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A67C3">
      <w:pPr>
        <w:rPr>
          <w:rFonts w:ascii="黑体" w:hAnsi="黑体" w:eastAsia="黑体"/>
          <w:sz w:val="32"/>
          <w:szCs w:val="32"/>
        </w:rPr>
      </w:pPr>
      <w:r>
        <w:rPr>
          <w:rFonts w:hint="eastAsia" w:ascii="黑体" w:hAnsi="黑体" w:eastAsia="黑体"/>
          <w:sz w:val="32"/>
          <w:szCs w:val="32"/>
        </w:rPr>
        <w:t>附件</w:t>
      </w:r>
    </w:p>
    <w:p w14:paraId="06209E03">
      <w:pPr>
        <w:keepNext w:val="0"/>
        <w:keepLines w:val="0"/>
        <w:pageBreakBefore w:val="0"/>
        <w:widowControl w:val="0"/>
        <w:kinsoku/>
        <w:wordWrap/>
        <w:overflowPunct/>
        <w:topLinePunct w:val="0"/>
        <w:autoSpaceDE/>
        <w:autoSpaceDN/>
        <w:bidi w:val="0"/>
        <w:adjustRightInd/>
        <w:snapToGrid/>
        <w:spacing w:line="40" w:lineRule="exact"/>
        <w:ind w:firstLine="640" w:firstLineChars="200"/>
        <w:textAlignment w:val="auto"/>
        <w:rPr>
          <w:rFonts w:ascii="仿宋" w:hAnsi="仿宋" w:eastAsia="仿宋"/>
          <w:sz w:val="32"/>
          <w:szCs w:val="32"/>
        </w:rPr>
      </w:pPr>
    </w:p>
    <w:p w14:paraId="09946A61">
      <w:pPr>
        <w:spacing w:line="720" w:lineRule="exact"/>
        <w:jc w:val="center"/>
        <w:rPr>
          <w:rFonts w:ascii="华文中宋" w:hAnsi="华文中宋" w:eastAsia="华文中宋"/>
          <w:sz w:val="44"/>
          <w:szCs w:val="44"/>
        </w:rPr>
      </w:pPr>
      <w:bookmarkStart w:id="0" w:name="_Hlk136257247"/>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年浙江省地勘行业专业技术人员继续教育培训班（第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期）课程简介</w:t>
      </w:r>
      <w:bookmarkEnd w:id="0"/>
    </w:p>
    <w:p w14:paraId="1CEAF8C0">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sz w:val="32"/>
          <w:szCs w:val="32"/>
        </w:rPr>
      </w:pPr>
    </w:p>
    <w:p w14:paraId="1C6506DD">
      <w:pPr>
        <w:spacing w:line="720" w:lineRule="exact"/>
        <w:jc w:val="center"/>
        <w:rPr>
          <w:rFonts w:hint="eastAsia" w:ascii="方正小标宋简体" w:hAnsi="方正小标宋简体" w:eastAsia="方正小标宋简体" w:cs="方正小标宋简体"/>
          <w:sz w:val="36"/>
          <w:szCs w:val="36"/>
          <w:lang w:eastAsia="zh-CN"/>
        </w:rPr>
      </w:pPr>
      <w:bookmarkStart w:id="1" w:name="_Hlk138766129"/>
      <w:r>
        <w:rPr>
          <w:rFonts w:hint="eastAsia" w:ascii="方正小标宋简体" w:hAnsi="方正小标宋简体" w:eastAsia="方正小标宋简体" w:cs="方正小标宋简体"/>
          <w:sz w:val="36"/>
          <w:szCs w:val="36"/>
          <w:lang w:eastAsia="zh-CN"/>
        </w:rPr>
        <w:t>地学大数据与数字地球系统</w:t>
      </w:r>
    </w:p>
    <w:p w14:paraId="4C08ADAB">
      <w:pPr>
        <w:spacing w:line="720" w:lineRule="exact"/>
        <w:jc w:val="center"/>
        <w:rPr>
          <w:rFonts w:hint="eastAsia" w:ascii="方正小标宋简体" w:hAnsi="方正小标宋简体" w:eastAsia="方正小标宋简体" w:cs="方正小标宋简体"/>
          <w:sz w:val="36"/>
          <w:szCs w:val="36"/>
          <w:lang w:eastAsia="zh-CN"/>
        </w:rPr>
      </w:pPr>
    </w:p>
    <w:p w14:paraId="454AAC00">
      <w:pPr>
        <w:spacing w:line="560" w:lineRule="exact"/>
        <w:ind w:firstLine="600" w:firstLineChars="200"/>
        <w:rPr>
          <w:rFonts w:ascii="仿宋" w:hAnsi="仿宋" w:eastAsia="仿宋"/>
          <w:sz w:val="30"/>
          <w:szCs w:val="30"/>
        </w:rPr>
      </w:pPr>
      <w:r>
        <w:rPr>
          <w:rFonts w:ascii="仿宋" w:hAnsi="仿宋" w:eastAsia="仿宋"/>
          <w:sz w:val="30"/>
          <w:szCs w:val="30"/>
        </w:rPr>
        <w:t>课程简介：</w:t>
      </w:r>
      <w:r>
        <w:rPr>
          <w:rFonts w:hint="eastAsia" w:ascii="仿宋" w:hAnsi="仿宋" w:eastAsia="仿宋"/>
          <w:sz w:val="30"/>
          <w:szCs w:val="30"/>
        </w:rPr>
        <w:t>简要介绍地学大数据的发展与特点；重点围绕科学研究范式变革，针对当前工作的痛点问题，讲解数字地球系统建设中的大数据管理与可视化、知识建模、高性能计算、服务应用等关键技术；结合典型案例介绍大数据背景下的地学研究发展方向。</w:t>
      </w:r>
    </w:p>
    <w:p w14:paraId="28520B8F">
      <w:pPr>
        <w:spacing w:line="560" w:lineRule="exact"/>
        <w:ind w:firstLine="600" w:firstLineChars="200"/>
        <w:rPr>
          <w:rFonts w:hint="eastAsia" w:ascii="仿宋" w:hAnsi="仿宋" w:eastAsia="仿宋"/>
          <w:sz w:val="32"/>
          <w:szCs w:val="32"/>
          <w:lang w:eastAsia="zh-CN"/>
        </w:rPr>
      </w:pPr>
      <w:r>
        <w:rPr>
          <w:rFonts w:ascii="仿宋" w:hAnsi="仿宋" w:eastAsia="仿宋"/>
          <w:sz w:val="30"/>
          <w:szCs w:val="30"/>
        </w:rPr>
        <w:drawing>
          <wp:anchor distT="0" distB="0" distL="114300" distR="114300" simplePos="0" relativeHeight="251661312" behindDoc="1" locked="0" layoutInCell="1" allowOverlap="1">
            <wp:simplePos x="0" y="0"/>
            <wp:positionH relativeFrom="margin">
              <wp:posOffset>3959860</wp:posOffset>
            </wp:positionH>
            <wp:positionV relativeFrom="paragraph">
              <wp:posOffset>147320</wp:posOffset>
            </wp:positionV>
            <wp:extent cx="1259840" cy="1676400"/>
            <wp:effectExtent l="0" t="0" r="16510" b="0"/>
            <wp:wrapTight wrapText="bothSides">
              <wp:wrapPolygon>
                <wp:start x="0" y="0"/>
                <wp:lineTo x="0" y="21600"/>
                <wp:lineTo x="21600" y="21600"/>
                <wp:lineTo x="21600"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59840" cy="1676400"/>
                    </a:xfrm>
                    <a:prstGeom prst="rect">
                      <a:avLst/>
                    </a:prstGeom>
                    <a:noFill/>
                  </pic:spPr>
                </pic:pic>
              </a:graphicData>
            </a:graphic>
          </wp:anchor>
        </w:drawing>
      </w:r>
      <w:r>
        <w:rPr>
          <w:rFonts w:ascii="仿宋" w:hAnsi="仿宋" w:eastAsia="仿宋"/>
          <w:sz w:val="30"/>
          <w:szCs w:val="30"/>
        </w:rPr>
        <w:t>主讲人：</w:t>
      </w:r>
      <w:r>
        <w:rPr>
          <w:rFonts w:hint="eastAsia" w:ascii="仿宋" w:hAnsi="仿宋" w:eastAsia="仿宋"/>
          <w:sz w:val="30"/>
          <w:szCs w:val="30"/>
        </w:rPr>
        <w:t>杜震洪</w:t>
      </w:r>
      <w:r>
        <w:rPr>
          <w:rFonts w:ascii="仿宋" w:hAnsi="仿宋" w:eastAsia="仿宋"/>
          <w:sz w:val="30"/>
          <w:szCs w:val="30"/>
        </w:rPr>
        <w:t>，</w:t>
      </w:r>
      <w:r>
        <w:rPr>
          <w:rFonts w:hint="eastAsia" w:ascii="仿宋" w:hAnsi="仿宋" w:eastAsia="仿宋"/>
          <w:sz w:val="30"/>
          <w:szCs w:val="30"/>
        </w:rPr>
        <w:t>浙江大学求是特聘教授，博士生导师，国家杰出青年科学基金获得者。现任浙江大学地球科学学院院长，浙江省资源与环境信息系统重点实验室主任。长期从事地学大数据与地球系统、遥感与地理信息系统、时空大数据与人工智能的教学与科研工作，近5年主持国家自然科学基金、国家重点研发计划课题、国家重大科技专项等项目10余项。发表科研论文70余篇，专著2部，以第一完成人获教育部科技进步奖、浙江省科技进步奖、国家海洋科技进步奖、中国测绘科技进步奖等4项</w:t>
      </w:r>
      <w:r>
        <w:rPr>
          <w:rFonts w:hint="eastAsia" w:ascii="仿宋" w:hAnsi="仿宋" w:eastAsia="仿宋"/>
          <w:sz w:val="30"/>
          <w:szCs w:val="30"/>
          <w:lang w:eastAsia="zh-CN"/>
        </w:rPr>
        <w:t>；曾获国家科技进步二等奖，入选浙江省万人计划青年拔尖人才计划等</w:t>
      </w:r>
      <w:r>
        <w:rPr>
          <w:rFonts w:hint="eastAsia" w:ascii="仿宋" w:hAnsi="仿宋" w:eastAsia="仿宋"/>
          <w:sz w:val="30"/>
          <w:szCs w:val="30"/>
        </w:rPr>
        <w:t>。</w:t>
      </w:r>
    </w:p>
    <w:p w14:paraId="5C156711">
      <w:pPr>
        <w:rPr>
          <w:rFonts w:hint="eastAsia" w:ascii="方正小标宋简体" w:hAnsi="方正小标宋简体" w:eastAsia="方正小标宋简体" w:cs="方正小标宋简体"/>
          <w:sz w:val="44"/>
          <w:szCs w:val="44"/>
        </w:rPr>
      </w:pPr>
    </w:p>
    <w:p w14:paraId="246284F5">
      <w:pPr>
        <w:spacing w:line="720" w:lineRule="exact"/>
        <w:jc w:val="center"/>
        <w:rPr>
          <w:rFonts w:hint="eastAsia" w:ascii="方正小标宋简体" w:hAnsi="方正小标宋简体" w:eastAsia="方正小标宋简体" w:cs="方正小标宋简体"/>
          <w:sz w:val="36"/>
          <w:szCs w:val="36"/>
          <w:lang w:eastAsia="zh-CN"/>
        </w:rPr>
      </w:pPr>
    </w:p>
    <w:p w14:paraId="0646FFD7">
      <w:pPr>
        <w:spacing w:line="7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金属矿产成矿规律及找矿方向</w:t>
      </w:r>
    </w:p>
    <w:p w14:paraId="34A58BA1">
      <w:pPr>
        <w:spacing w:line="600" w:lineRule="exact"/>
        <w:jc w:val="center"/>
        <w:rPr>
          <w:rFonts w:ascii="方正小标宋简体" w:eastAsia="方正小标宋简体"/>
          <w:sz w:val="40"/>
          <w:szCs w:val="44"/>
        </w:rPr>
      </w:pPr>
    </w:p>
    <w:p w14:paraId="29B4F413">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课程简介：以板块构造和大陆动力学理论为指导，运用地质、地球物理、地球化学和同位素定年技术相结合的方法，探讨浙江构造-岩浆演化特征，划分浙江地质构造演化阶段，剖析各个构造地质阶段的成矿作用，形成的金属矿种、矿床类型和矿床（矿体）空间定位条件，指出浙江具有找矿潜力的金属矿种和矿床类型，探讨在什么地方找矿，找什么类型的矿和相应的找矿技术方法，以期为新一轮战略性矿产找矿行动提供有价值的技术思路和技术方法。</w:t>
      </w:r>
    </w:p>
    <w:p w14:paraId="72440655">
      <w:pPr>
        <w:spacing w:line="560" w:lineRule="exact"/>
        <w:ind w:firstLine="560" w:firstLineChars="200"/>
        <w:rPr>
          <w:rFonts w:ascii="仿宋" w:hAnsi="仿宋" w:eastAsia="仿宋"/>
          <w:sz w:val="32"/>
          <w:szCs w:val="32"/>
        </w:rPr>
      </w:pPr>
      <w:r>
        <w:rPr>
          <w:rFonts w:ascii="宋体" w:hAnsi="宋体" w:eastAsia="宋体" w:cs="宋体"/>
          <w:sz w:val="28"/>
          <w:szCs w:val="28"/>
        </w:rPr>
        <w:drawing>
          <wp:anchor distT="0" distB="0" distL="114300" distR="114300" simplePos="0" relativeHeight="251662336" behindDoc="1" locked="0" layoutInCell="1" allowOverlap="1">
            <wp:simplePos x="0" y="0"/>
            <wp:positionH relativeFrom="column">
              <wp:posOffset>3997960</wp:posOffset>
            </wp:positionH>
            <wp:positionV relativeFrom="paragraph">
              <wp:posOffset>102235</wp:posOffset>
            </wp:positionV>
            <wp:extent cx="1259840" cy="1764665"/>
            <wp:effectExtent l="0" t="0" r="16510" b="6985"/>
            <wp:wrapTight wrapText="bothSides">
              <wp:wrapPolygon>
                <wp:start x="0" y="0"/>
                <wp:lineTo x="0" y="21600"/>
                <wp:lineTo x="21600" y="21600"/>
                <wp:lineTo x="21600" y="0"/>
                <wp:lineTo x="0" y="0"/>
              </wp:wrapPolygon>
            </wp:wrapTight>
            <wp:docPr id="16239136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1362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59840" cy="1764665"/>
                    </a:xfrm>
                    <a:prstGeom prst="rect">
                      <a:avLst/>
                    </a:prstGeom>
                    <a:noFill/>
                  </pic:spPr>
                </pic:pic>
              </a:graphicData>
            </a:graphic>
          </wp:anchor>
        </w:drawing>
      </w:r>
      <w:r>
        <w:rPr>
          <w:rFonts w:hint="eastAsia" w:ascii="仿宋" w:hAnsi="仿宋" w:eastAsia="仿宋"/>
          <w:sz w:val="30"/>
          <w:szCs w:val="30"/>
        </w:rPr>
        <w:t>主讲人：</w:t>
      </w:r>
      <w:r>
        <w:rPr>
          <w:rFonts w:hint="eastAsia" w:ascii="仿宋" w:hAnsi="仿宋" w:eastAsia="仿宋"/>
          <w:sz w:val="30"/>
          <w:szCs w:val="30"/>
          <w:lang w:eastAsia="zh-CN"/>
        </w:rPr>
        <w:t>周乐尧，正高级工程师，硕士。曾担任浙江省地质矿产研究所研究总工程师、所长等职。长期从事成矿规律与成矿预测研究，先后完成部、省和厅科研项目15项，出版专著2部，核心期刊发表论文20余篇，获部科技成果二等奖3项和省科技成果三等奖1项，获国土资源部首批科技领军人才、全国化学能源地质矿山系统大国工匠和浙江省优秀科技工作者称号。</w:t>
      </w:r>
    </w:p>
    <w:p w14:paraId="78911B27">
      <w:pPr>
        <w:rPr>
          <w:rFonts w:ascii="华文中宋" w:hAnsi="华文中宋" w:eastAsia="华文中宋"/>
          <w:sz w:val="44"/>
          <w:szCs w:val="44"/>
        </w:rPr>
        <w:sectPr>
          <w:footerReference r:id="rId3" w:type="default"/>
          <w:pgSz w:w="11906" w:h="16838"/>
          <w:pgMar w:top="1440" w:right="1800" w:bottom="1440" w:left="1800" w:header="851" w:footer="680" w:gutter="0"/>
          <w:cols w:space="425" w:num="1"/>
          <w:docGrid w:type="lines" w:linePitch="312" w:charSpace="0"/>
        </w:sectPr>
      </w:pPr>
    </w:p>
    <w:p w14:paraId="6BA486F6">
      <w:pPr>
        <w:spacing w:line="720" w:lineRule="exact"/>
        <w:jc w:val="center"/>
        <w:rPr>
          <w:rFonts w:hint="eastAsia" w:ascii="方正小标宋简体" w:hAnsi="方正小标宋简体" w:eastAsia="方正小标宋简体" w:cs="方正小标宋简体"/>
          <w:sz w:val="36"/>
          <w:szCs w:val="36"/>
          <w:lang w:val="en-US" w:eastAsia="zh-CN"/>
        </w:rPr>
      </w:pPr>
    </w:p>
    <w:p w14:paraId="07BF3A0D">
      <w:pPr>
        <w:spacing w:line="72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浙江省地下水资源基础调查（2024-2026）技术规定</w:t>
      </w:r>
    </w:p>
    <w:p w14:paraId="4CFBEF6D">
      <w:pPr>
        <w:spacing w:line="600" w:lineRule="exact"/>
        <w:jc w:val="center"/>
        <w:rPr>
          <w:rFonts w:ascii="方正小标宋简体" w:eastAsia="方正小标宋简体"/>
          <w:sz w:val="40"/>
          <w:szCs w:val="44"/>
        </w:rPr>
      </w:pPr>
    </w:p>
    <w:p w14:paraId="7F5CABFF">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课程简介：紧扣自然资源部和省自然资源厅关于开展水资源基础调查工作有关文件的精神，介绍我省地下水资源基础调查主要任务和工作内容，重点介绍重点县（市、区）地下水资源基础调查实施方案编制、经费概算、野外调查、成果编制及数据汇总填报和资源（线上）评价等方面的相关技术规定，为推动本轮地下水资源基础调查工作提供技术支撑。</w:t>
      </w:r>
    </w:p>
    <w:p w14:paraId="16CCE6FD">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sz w:val="32"/>
          <w:szCs w:val="32"/>
        </w:rPr>
      </w:pPr>
      <w:r>
        <w:rPr>
          <w:rFonts w:hint="eastAsia" w:ascii="仿宋" w:hAnsi="仿宋" w:eastAsia="仿宋"/>
          <w:sz w:val="30"/>
          <w:szCs w:val="30"/>
          <w:lang w:eastAsia="zh-CN"/>
        </w:rPr>
        <w:drawing>
          <wp:anchor distT="0" distB="0" distL="114300" distR="114300" simplePos="0" relativeHeight="251665408" behindDoc="0" locked="0" layoutInCell="1" allowOverlap="1">
            <wp:simplePos x="0" y="0"/>
            <wp:positionH relativeFrom="column">
              <wp:posOffset>4020185</wp:posOffset>
            </wp:positionH>
            <wp:positionV relativeFrom="paragraph">
              <wp:posOffset>100330</wp:posOffset>
            </wp:positionV>
            <wp:extent cx="1188085" cy="1647190"/>
            <wp:effectExtent l="0" t="0" r="12065" b="10160"/>
            <wp:wrapSquare wrapText="bothSides"/>
            <wp:docPr id="7" name="图片 7" descr="可以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可以印 (2)"/>
                    <pic:cNvPicPr>
                      <a:picLocks noChangeAspect="1"/>
                    </pic:cNvPicPr>
                  </pic:nvPicPr>
                  <pic:blipFill>
                    <a:blip r:embed="rId9"/>
                    <a:stretch>
                      <a:fillRect/>
                    </a:stretch>
                  </pic:blipFill>
                  <pic:spPr>
                    <a:xfrm>
                      <a:off x="0" y="0"/>
                      <a:ext cx="1188085" cy="1647190"/>
                    </a:xfrm>
                    <a:prstGeom prst="rect">
                      <a:avLst/>
                    </a:prstGeom>
                  </pic:spPr>
                </pic:pic>
              </a:graphicData>
            </a:graphic>
          </wp:anchor>
        </w:drawing>
      </w:r>
      <w:r>
        <w:rPr>
          <w:rFonts w:hint="eastAsia" w:ascii="仿宋" w:hAnsi="仿宋" w:eastAsia="仿宋"/>
          <w:sz w:val="30"/>
          <w:szCs w:val="30"/>
        </w:rPr>
        <w:t>主讲人：</w:t>
      </w:r>
      <w:r>
        <w:rPr>
          <w:rFonts w:hint="eastAsia" w:ascii="仿宋" w:hAnsi="仿宋" w:eastAsia="仿宋"/>
          <w:sz w:val="30"/>
          <w:szCs w:val="30"/>
          <w:lang w:eastAsia="zh-CN"/>
        </w:rPr>
        <w:t>黎伟，高级工程师，现任浙江省地质院城市地质调查研究所监测预警中心主任。长期从事全省水文地质调查评价、地下水与地面沉降监测等技术支撑及项目工作，先后主编《浙江省地下水监测网优化工作方案》（2022-2025年）《浙江省水资源基础调查实施方案（地下水部分）》（2024-2026年），主持浙江省地下水资源调查周期评价（2001-2020年）、国家地下水监测工程（浙江省部分）建设、运行维护等数十个项目，项目成果先后获得“国土资源科学技术奖”一等奖、浙江省“十二五”“十三五”期间“十大地质成果”提名奖等。</w:t>
      </w:r>
    </w:p>
    <w:p w14:paraId="22F6C482">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6DE57D39">
      <w:pPr>
        <w:spacing w:line="720" w:lineRule="exact"/>
        <w:jc w:val="center"/>
        <w:rPr>
          <w:rFonts w:hint="eastAsia" w:ascii="方正小标宋简体" w:hAnsi="方正小标宋简体" w:eastAsia="方正小标宋简体" w:cs="方正小标宋简体"/>
          <w:sz w:val="44"/>
          <w:szCs w:val="44"/>
          <w:lang w:val="en-US" w:eastAsia="zh-CN"/>
        </w:rPr>
      </w:pPr>
    </w:p>
    <w:p w14:paraId="7D3A32FF">
      <w:pPr>
        <w:spacing w:line="7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城市地质安全风险防控工作思路与技术要点</w:t>
      </w:r>
    </w:p>
    <w:p w14:paraId="0A7F8C4B">
      <w:pPr>
        <w:spacing w:line="600" w:lineRule="exact"/>
        <w:jc w:val="center"/>
        <w:rPr>
          <w:rFonts w:ascii="方正小标宋简体" w:eastAsia="方正小标宋简体"/>
          <w:sz w:val="40"/>
          <w:szCs w:val="44"/>
        </w:rPr>
      </w:pPr>
    </w:p>
    <w:p w14:paraId="09552D1C">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课程简介：</w:t>
      </w:r>
      <w:r>
        <w:rPr>
          <w:rFonts w:hint="eastAsia" w:ascii="仿宋" w:hAnsi="仿宋" w:eastAsia="仿宋"/>
          <w:sz w:val="30"/>
          <w:szCs w:val="30"/>
          <w:lang w:val="en-US" w:eastAsia="zh-CN"/>
        </w:rPr>
        <w:t>围绕自然资源部等四部委关于加强城市地质安全风险防控的通知精神，系统阐述城市地质安全风险防控的工作背景和主要内容，重点解读浙江省城市地质安全风险防控实施方案，讲解城市地质安全风险“一张图”编制和县级城市地质调查技术要点。</w:t>
      </w:r>
    </w:p>
    <w:p w14:paraId="23F7353E">
      <w:pPr>
        <w:spacing w:line="560" w:lineRule="exact"/>
        <w:ind w:firstLine="600" w:firstLineChars="200"/>
        <w:rPr>
          <w:rFonts w:hint="eastAsia" w:ascii="方正小标宋简体" w:hAnsi="方正小标宋简体" w:eastAsia="方正小标宋简体" w:cs="方正小标宋简体"/>
          <w:sz w:val="44"/>
          <w:szCs w:val="44"/>
        </w:rPr>
      </w:pPr>
      <w:r>
        <w:rPr>
          <w:rFonts w:hint="eastAsia" w:ascii="仿宋" w:hAnsi="仿宋" w:eastAsia="仿宋"/>
          <w:sz w:val="30"/>
          <w:szCs w:val="30"/>
        </w:rPr>
        <w:drawing>
          <wp:anchor distT="0" distB="0" distL="114300" distR="114300" simplePos="0" relativeHeight="251663360" behindDoc="1" locked="0" layoutInCell="1" allowOverlap="1">
            <wp:simplePos x="0" y="0"/>
            <wp:positionH relativeFrom="column">
              <wp:posOffset>3943350</wp:posOffset>
            </wp:positionH>
            <wp:positionV relativeFrom="paragraph">
              <wp:posOffset>151130</wp:posOffset>
            </wp:positionV>
            <wp:extent cx="1224280" cy="1530985"/>
            <wp:effectExtent l="0" t="0" r="13970" b="12065"/>
            <wp:wrapTight wrapText="bothSides">
              <wp:wrapPolygon>
                <wp:start x="0" y="0"/>
                <wp:lineTo x="0" y="21600"/>
                <wp:lineTo x="21600" y="21600"/>
                <wp:lineTo x="21600" y="0"/>
                <wp:lineTo x="0" y="0"/>
              </wp:wrapPolygon>
            </wp:wrapTight>
            <wp:docPr id="6" name="图片 6" descr="e409437e28a0cd7973318aa53ad6c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409437e28a0cd7973318aa53ad6c79"/>
                    <pic:cNvPicPr>
                      <a:picLocks noChangeAspect="1"/>
                    </pic:cNvPicPr>
                  </pic:nvPicPr>
                  <pic:blipFill>
                    <a:blip r:embed="rId10"/>
                    <a:stretch>
                      <a:fillRect/>
                    </a:stretch>
                  </pic:blipFill>
                  <pic:spPr>
                    <a:xfrm>
                      <a:off x="0" y="0"/>
                      <a:ext cx="1224280" cy="1530985"/>
                    </a:xfrm>
                    <a:prstGeom prst="rect">
                      <a:avLst/>
                    </a:prstGeom>
                  </pic:spPr>
                </pic:pic>
              </a:graphicData>
            </a:graphic>
          </wp:anchor>
        </w:drawing>
      </w:r>
      <w:r>
        <w:rPr>
          <w:rFonts w:hint="eastAsia" w:ascii="仿宋" w:hAnsi="仿宋" w:eastAsia="仿宋"/>
          <w:sz w:val="30"/>
          <w:szCs w:val="30"/>
        </w:rPr>
        <w:t>主讲人：</w:t>
      </w:r>
      <w:r>
        <w:rPr>
          <w:rFonts w:hint="eastAsia" w:ascii="仿宋" w:hAnsi="仿宋" w:eastAsia="仿宋"/>
          <w:sz w:val="30"/>
          <w:szCs w:val="30"/>
          <w:lang w:val="en-US" w:eastAsia="zh-CN"/>
        </w:rPr>
        <w:t>周丽玲，工程师，现任浙江省地质院城市地质调查研究所综合研究室副主任（主持工作）。长期从事城市地质、水工环地质调查研究工作，主持浙江省级三性资金项目2项、厅科技项目1项，参加省部合作项目、省级地勘基金项目、地调局项目、厅科技项目等近10项。成果获浙江省地质科学技术奖二等奖2次，浙江省“十三五”期间“十大地质成果”提名奖2次，中国地质学会优秀报告1次。合著专著1部，公开发表论文10余篇，其中SCI论文1篇，授权实用新型专利1项，软件著作权4项，制订技术规范4项，多次主编政府调研报告、战略规划。</w:t>
      </w:r>
    </w:p>
    <w:p w14:paraId="6B5EDD65">
      <w:pPr>
        <w:rPr>
          <w:rFonts w:hint="eastAsia" w:ascii="仿宋" w:hAnsi="仿宋" w:eastAsia="仿宋"/>
          <w:sz w:val="32"/>
          <w:szCs w:val="32"/>
        </w:rPr>
      </w:pPr>
      <w:r>
        <w:rPr>
          <w:rFonts w:hint="eastAsia" w:ascii="仿宋" w:hAnsi="仿宋" w:eastAsia="仿宋"/>
          <w:sz w:val="32"/>
          <w:szCs w:val="32"/>
        </w:rPr>
        <w:br w:type="page"/>
      </w:r>
    </w:p>
    <w:p w14:paraId="37C65AE0">
      <w:pPr>
        <w:spacing w:line="720" w:lineRule="exact"/>
        <w:jc w:val="center"/>
        <w:rPr>
          <w:rFonts w:hint="eastAsia" w:ascii="方正小标宋简体" w:hAnsi="方正小标宋简体" w:eastAsia="方正小标宋简体" w:cs="方正小标宋简体"/>
          <w:sz w:val="44"/>
          <w:szCs w:val="44"/>
        </w:rPr>
      </w:pPr>
    </w:p>
    <w:p w14:paraId="64C07963">
      <w:pPr>
        <w:spacing w:line="7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浙江省地质勘查项目管理技术要点</w:t>
      </w:r>
    </w:p>
    <w:p w14:paraId="1749946B">
      <w:pPr>
        <w:spacing w:line="560" w:lineRule="exact"/>
        <w:ind w:firstLine="640" w:firstLineChars="200"/>
        <w:rPr>
          <w:rFonts w:hint="eastAsia" w:ascii="仿宋" w:hAnsi="仿宋" w:eastAsia="仿宋"/>
          <w:sz w:val="32"/>
          <w:szCs w:val="32"/>
        </w:rPr>
      </w:pPr>
    </w:p>
    <w:p w14:paraId="48C6BB17">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课程简介：本课程从高素质地质人才队伍建设和地勘项目质量提升推动地勘行业高质量发展出发，围绕地质勘查项目可研续作、绩效目标、设计方案、野外验收、成果评审、工作报告、绩效监控、绩效评价、资料汇交、完工审计等方面，系统阐述项目全过程管理的相关技术要点，结合省级地勘项目实施情况开展相关案例分析，重点讲解关键技术要点和重要环节。</w:t>
      </w:r>
    </w:p>
    <w:p w14:paraId="13260871">
      <w:pPr>
        <w:spacing w:line="560" w:lineRule="exact"/>
        <w:ind w:firstLine="600" w:firstLineChars="200"/>
        <w:rPr>
          <w:rFonts w:hint="eastAsia" w:ascii="仿宋" w:hAnsi="仿宋" w:eastAsia="仿宋"/>
          <w:sz w:val="32"/>
          <w:szCs w:val="32"/>
          <w:lang w:eastAsia="zh-CN"/>
        </w:rPr>
      </w:pPr>
      <w:r>
        <w:rPr>
          <w:rFonts w:hint="eastAsia" w:ascii="仿宋" w:hAnsi="仿宋" w:eastAsia="仿宋"/>
          <w:sz w:val="30"/>
          <w:szCs w:val="30"/>
          <w:lang w:eastAsia="zh-CN"/>
        </w:rPr>
        <w:drawing>
          <wp:anchor distT="0" distB="0" distL="114300" distR="114300" simplePos="0" relativeHeight="251666432" behindDoc="1" locked="0" layoutInCell="1" allowOverlap="1">
            <wp:simplePos x="0" y="0"/>
            <wp:positionH relativeFrom="column">
              <wp:posOffset>3945255</wp:posOffset>
            </wp:positionH>
            <wp:positionV relativeFrom="paragraph">
              <wp:posOffset>176530</wp:posOffset>
            </wp:positionV>
            <wp:extent cx="1259840" cy="1575435"/>
            <wp:effectExtent l="0" t="0" r="16510" b="5715"/>
            <wp:wrapTight wrapText="bothSides">
              <wp:wrapPolygon>
                <wp:start x="0" y="0"/>
                <wp:lineTo x="0" y="21600"/>
                <wp:lineTo x="21600" y="21600"/>
                <wp:lineTo x="21600" y="0"/>
                <wp:lineTo x="0" y="0"/>
              </wp:wrapPolygon>
            </wp:wrapTight>
            <wp:docPr id="8" name="图片 8" descr="241f068d4ac24f7472de941a570bc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41f068d4ac24f7472de941a570bca5"/>
                    <pic:cNvPicPr>
                      <a:picLocks noChangeAspect="1"/>
                    </pic:cNvPicPr>
                  </pic:nvPicPr>
                  <pic:blipFill>
                    <a:blip r:embed="rId11"/>
                    <a:stretch>
                      <a:fillRect/>
                    </a:stretch>
                  </pic:blipFill>
                  <pic:spPr>
                    <a:xfrm>
                      <a:off x="0" y="0"/>
                      <a:ext cx="1259840" cy="1575435"/>
                    </a:xfrm>
                    <a:prstGeom prst="rect">
                      <a:avLst/>
                    </a:prstGeom>
                  </pic:spPr>
                </pic:pic>
              </a:graphicData>
            </a:graphic>
          </wp:anchor>
        </w:drawing>
      </w:r>
      <w:r>
        <w:rPr>
          <w:rFonts w:hint="eastAsia" w:ascii="仿宋" w:hAnsi="仿宋" w:eastAsia="仿宋"/>
          <w:sz w:val="30"/>
          <w:szCs w:val="30"/>
        </w:rPr>
        <w:t>主讲人：杨豪，工程师，硕士</w:t>
      </w:r>
      <w:r>
        <w:rPr>
          <w:rFonts w:hint="eastAsia" w:ascii="仿宋" w:hAnsi="仿宋" w:eastAsia="仿宋"/>
          <w:sz w:val="30"/>
          <w:szCs w:val="30"/>
          <w:lang w:eastAsia="zh-CN"/>
        </w:rPr>
        <w:t>，</w:t>
      </w:r>
      <w:r>
        <w:rPr>
          <w:rFonts w:hint="eastAsia" w:ascii="仿宋" w:hAnsi="仿宋" w:eastAsia="仿宋"/>
          <w:sz w:val="30"/>
          <w:szCs w:val="30"/>
        </w:rPr>
        <w:t>现任浙江省地质院基础地质调查研究所（浙江省地质勘查基金管理中心）基金管理中心副主任。先后从事矿产资源勘查、环境地质调查、地热资源调查、农业地质调查、地质灾害评估、项目管理等工作10余年，主持地热资源调查评价、地热资源勘查、地质灾害危险性评估、土地质量调查、数据库建设等大小项目10多项，组织开展省级“三性”地质工作资金项目检查、验收、评审近60次。获中国地质学会十大地质科技进展奖1项，发表论文5篇（北大核心期刊2篇）。</w:t>
      </w:r>
    </w:p>
    <w:p w14:paraId="3D893606">
      <w:pPr>
        <w:rPr>
          <w:rFonts w:hint="eastAsia" w:ascii="仿宋" w:hAnsi="仿宋" w:eastAsia="仿宋"/>
          <w:sz w:val="32"/>
          <w:szCs w:val="32"/>
          <w:lang w:eastAsia="zh-CN"/>
        </w:rPr>
      </w:pPr>
      <w:r>
        <w:rPr>
          <w:rFonts w:hint="eastAsia" w:ascii="仿宋" w:hAnsi="仿宋" w:eastAsia="仿宋"/>
          <w:sz w:val="32"/>
          <w:szCs w:val="32"/>
          <w:lang w:eastAsia="zh-CN"/>
        </w:rPr>
        <w:br w:type="page"/>
      </w:r>
    </w:p>
    <w:p w14:paraId="521B9213">
      <w:pPr>
        <w:spacing w:line="720" w:lineRule="exact"/>
        <w:jc w:val="center"/>
        <w:rPr>
          <w:rFonts w:hint="eastAsia" w:ascii="方正小标宋简体" w:hAnsi="方正小标宋简体" w:eastAsia="方正小标宋简体" w:cs="方正小标宋简体"/>
          <w:sz w:val="36"/>
          <w:szCs w:val="36"/>
        </w:rPr>
      </w:pPr>
    </w:p>
    <w:p w14:paraId="6AA585AB">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地质实验测试基础知识及通用技术</w:t>
      </w:r>
    </w:p>
    <w:p w14:paraId="39E46E21">
      <w:pPr>
        <w:spacing w:line="720" w:lineRule="exact"/>
        <w:jc w:val="center"/>
        <w:rPr>
          <w:rFonts w:ascii="华文中宋" w:hAnsi="华文中宋" w:eastAsia="华文中宋"/>
          <w:sz w:val="44"/>
          <w:szCs w:val="44"/>
        </w:rPr>
      </w:pPr>
    </w:p>
    <w:p w14:paraId="771C7715">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课程简介：地质实验测试工作产生的数据是地质科学研究、矿产资源及地质环境评价的重要基础，是发展地质勘查事业和地质科学研究的重要技术支撑。本课程介绍地质实验测试的基础知识和通用技术，介绍地质实验测试的历史发展、专业特点及基础理论，重点阐述地质实验测试在找矿突破战略、土地质量调查和地下水地质调查等方面的作用。</w:t>
      </w:r>
    </w:p>
    <w:p w14:paraId="233D5FE5">
      <w:pPr>
        <w:spacing w:line="560" w:lineRule="exact"/>
        <w:ind w:firstLine="600" w:firstLineChars="200"/>
        <w:rPr>
          <w:rFonts w:hint="eastAsia" w:ascii="仿宋" w:hAnsi="仿宋" w:eastAsia="仿宋"/>
          <w:sz w:val="32"/>
          <w:szCs w:val="32"/>
          <w:lang w:eastAsia="zh-CN"/>
        </w:rPr>
      </w:pPr>
      <w:r>
        <w:rPr>
          <w:rFonts w:hint="eastAsia" w:ascii="仿宋" w:hAnsi="仿宋" w:eastAsia="仿宋"/>
          <w:sz w:val="30"/>
          <w:szCs w:val="30"/>
        </w:rPr>
        <w:drawing>
          <wp:anchor distT="0" distB="0" distL="114300" distR="114300" simplePos="0" relativeHeight="251664384" behindDoc="0" locked="0" layoutInCell="1" allowOverlap="1">
            <wp:simplePos x="0" y="0"/>
            <wp:positionH relativeFrom="column">
              <wp:posOffset>3971925</wp:posOffset>
            </wp:positionH>
            <wp:positionV relativeFrom="paragraph">
              <wp:posOffset>109855</wp:posOffset>
            </wp:positionV>
            <wp:extent cx="1224280" cy="1634490"/>
            <wp:effectExtent l="0" t="0" r="13970" b="3810"/>
            <wp:wrapSquare wrapText="bothSides"/>
            <wp:docPr id="20980859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85903"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24280" cy="1634490"/>
                    </a:xfrm>
                    <a:prstGeom prst="rect">
                      <a:avLst/>
                    </a:prstGeom>
                  </pic:spPr>
                </pic:pic>
              </a:graphicData>
            </a:graphic>
          </wp:anchor>
        </w:drawing>
      </w:r>
      <w:r>
        <w:rPr>
          <w:rFonts w:hint="eastAsia" w:ascii="仿宋" w:hAnsi="仿宋" w:eastAsia="仿宋"/>
          <w:sz w:val="30"/>
          <w:szCs w:val="30"/>
        </w:rPr>
        <w:t>主讲人：吴述超，高级工程师</w:t>
      </w:r>
      <w:r>
        <w:rPr>
          <w:rFonts w:hint="eastAsia" w:ascii="仿宋" w:hAnsi="仿宋" w:eastAsia="仿宋"/>
          <w:sz w:val="30"/>
          <w:szCs w:val="30"/>
          <w:lang w:eastAsia="zh-CN"/>
        </w:rPr>
        <w:t>，</w:t>
      </w:r>
      <w:r>
        <w:rPr>
          <w:rFonts w:hint="eastAsia" w:ascii="仿宋" w:hAnsi="仿宋" w:eastAsia="仿宋"/>
          <w:sz w:val="30"/>
          <w:szCs w:val="30"/>
        </w:rPr>
        <w:t>博士，现</w:t>
      </w:r>
      <w:r>
        <w:rPr>
          <w:rFonts w:hint="eastAsia" w:ascii="仿宋" w:hAnsi="仿宋" w:eastAsia="仿宋"/>
          <w:sz w:val="30"/>
          <w:szCs w:val="30"/>
          <w:lang w:eastAsia="zh-CN"/>
        </w:rPr>
        <w:t>任</w:t>
      </w:r>
      <w:r>
        <w:rPr>
          <w:rFonts w:hint="eastAsia" w:ascii="仿宋" w:hAnsi="仿宋" w:eastAsia="仿宋"/>
          <w:sz w:val="30"/>
          <w:szCs w:val="30"/>
        </w:rPr>
        <w:t>浙江省地矿科技有限公司副总工程师</w:t>
      </w:r>
      <w:r>
        <w:rPr>
          <w:rFonts w:hint="eastAsia" w:ascii="仿宋" w:hAnsi="仿宋" w:eastAsia="仿宋"/>
          <w:sz w:val="30"/>
          <w:szCs w:val="30"/>
          <w:lang w:eastAsia="zh-CN"/>
        </w:rPr>
        <w:t>、</w:t>
      </w:r>
      <w:r>
        <w:rPr>
          <w:rFonts w:hint="eastAsia" w:ascii="仿宋" w:hAnsi="仿宋" w:eastAsia="仿宋"/>
          <w:sz w:val="30"/>
          <w:szCs w:val="30"/>
        </w:rPr>
        <w:t>自然资源部杭州矿产资源检测中心授权签字人。主要从事标准物质研制、检测标准制定等科研工作，从事岩石、土壤、地下水中化学成分的分析测试质量管理工作。先后主持国家自然科学基金、浙江省自然科学基金等科研项目，发表科研文章50余篇。先后获 “浙江省地质勘查局系统2011-2016年度杰出青年”“浙江省地勘局系统1226人才之</w:t>
      </w:r>
      <w:r>
        <w:rPr>
          <w:rFonts w:hint="eastAsia" w:ascii="仿宋" w:hAnsi="仿宋" w:eastAsia="仿宋"/>
          <w:sz w:val="30"/>
          <w:szCs w:val="30"/>
          <w:lang w:eastAsia="zh-CN"/>
        </w:rPr>
        <w:t>‘</w:t>
      </w:r>
      <w:r>
        <w:rPr>
          <w:rFonts w:hint="eastAsia" w:ascii="仿宋" w:hAnsi="仿宋" w:eastAsia="仿宋"/>
          <w:sz w:val="30"/>
          <w:szCs w:val="30"/>
        </w:rPr>
        <w:t>地质专家</w:t>
      </w:r>
      <w:r>
        <w:rPr>
          <w:rFonts w:hint="eastAsia" w:ascii="仿宋" w:hAnsi="仿宋" w:eastAsia="仿宋"/>
          <w:sz w:val="30"/>
          <w:szCs w:val="30"/>
          <w:lang w:eastAsia="zh-CN"/>
        </w:rPr>
        <w:t>’</w:t>
      </w:r>
      <w:r>
        <w:rPr>
          <w:rFonts w:hint="eastAsia" w:ascii="仿宋" w:hAnsi="仿宋" w:eastAsia="仿宋"/>
          <w:sz w:val="30"/>
          <w:szCs w:val="30"/>
        </w:rPr>
        <w:t>培养计划”“浙江省地勘局优秀项目负责人”等荣誉称号。</w:t>
      </w:r>
    </w:p>
    <w:p w14:paraId="6DE20481">
      <w:pPr>
        <w:spacing w:line="560" w:lineRule="exact"/>
        <w:ind w:firstLine="640" w:firstLineChars="200"/>
        <w:rPr>
          <w:rFonts w:hint="eastAsia" w:ascii="仿宋" w:hAnsi="仿宋" w:eastAsia="仿宋"/>
          <w:sz w:val="32"/>
          <w:szCs w:val="32"/>
        </w:rPr>
      </w:pPr>
    </w:p>
    <w:p w14:paraId="0BC6F816">
      <w:pPr>
        <w:spacing w:line="560" w:lineRule="exact"/>
        <w:ind w:firstLine="640" w:firstLineChars="200"/>
        <w:rPr>
          <w:rFonts w:ascii="仿宋" w:hAnsi="仿宋" w:eastAsia="仿宋"/>
          <w:sz w:val="32"/>
          <w:szCs w:val="32"/>
        </w:rPr>
      </w:pPr>
    </w:p>
    <w:p w14:paraId="768E37B6">
      <w:pPr>
        <w:tabs>
          <w:tab w:val="center" w:pos="4153"/>
        </w:tabs>
        <w:spacing w:line="720" w:lineRule="exact"/>
        <w:rPr>
          <w:rFonts w:ascii="华文中宋" w:hAnsi="华文中宋" w:eastAsia="华文中宋"/>
          <w:sz w:val="44"/>
          <w:szCs w:val="44"/>
        </w:rPr>
      </w:pPr>
      <w:r>
        <w:rPr>
          <w:rFonts w:ascii="华文中宋" w:hAnsi="华文中宋" w:eastAsia="华文中宋"/>
          <w:sz w:val="44"/>
          <w:szCs w:val="44"/>
        </w:rPr>
        <w:tab/>
      </w:r>
    </w:p>
    <w:p w14:paraId="15CBA3C4">
      <w:pPr>
        <w:rPr>
          <w:rFonts w:ascii="华文中宋" w:hAnsi="华文中宋" w:eastAsia="华文中宋"/>
          <w:sz w:val="44"/>
          <w:szCs w:val="44"/>
        </w:rPr>
        <w:sectPr>
          <w:pgSz w:w="11906" w:h="16838"/>
          <w:pgMar w:top="1440" w:right="1800" w:bottom="1440" w:left="1800" w:header="851" w:footer="992" w:gutter="0"/>
          <w:cols w:space="425" w:num="1"/>
          <w:docGrid w:type="lines" w:linePitch="312" w:charSpace="0"/>
        </w:sectPr>
      </w:pPr>
    </w:p>
    <w:p w14:paraId="05A80F61">
      <w:pPr>
        <w:spacing w:line="720" w:lineRule="exact"/>
        <w:jc w:val="center"/>
        <w:rPr>
          <w:rFonts w:hint="eastAsia" w:ascii="方正小标宋简体" w:hAnsi="方正小标宋简体" w:eastAsia="方正小标宋简体" w:cs="方正小标宋简体"/>
          <w:sz w:val="44"/>
          <w:szCs w:val="44"/>
        </w:rPr>
      </w:pPr>
    </w:p>
    <w:p w14:paraId="045B1AC4">
      <w:pPr>
        <w:spacing w:line="7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土地质量地球化学监测技术</w:t>
      </w:r>
    </w:p>
    <w:p w14:paraId="41E42E46">
      <w:pPr>
        <w:jc w:val="center"/>
        <w:rPr>
          <w:rFonts w:ascii="Times New Roman" w:hAnsi="Times New Roman" w:eastAsia="方正小标宋简体" w:cs="Times New Roman"/>
          <w:sz w:val="40"/>
          <w:szCs w:val="44"/>
        </w:rPr>
      </w:pPr>
    </w:p>
    <w:p w14:paraId="56933088">
      <w:pPr>
        <w:spacing w:line="560" w:lineRule="exact"/>
        <w:ind w:firstLine="600" w:firstLineChars="200"/>
        <w:rPr>
          <w:rFonts w:ascii="仿宋" w:hAnsi="仿宋" w:eastAsia="仿宋"/>
          <w:sz w:val="30"/>
          <w:szCs w:val="30"/>
        </w:rPr>
      </w:pPr>
      <w:r>
        <w:rPr>
          <w:rFonts w:ascii="仿宋" w:hAnsi="仿宋" w:eastAsia="仿宋"/>
          <w:sz w:val="30"/>
          <w:szCs w:val="30"/>
        </w:rPr>
        <w:t>课程简介：</w:t>
      </w:r>
      <w:r>
        <w:rPr>
          <w:rFonts w:hint="eastAsia" w:ascii="仿宋" w:hAnsi="仿宋" w:eastAsia="仿宋"/>
          <w:sz w:val="30"/>
          <w:szCs w:val="30"/>
        </w:rPr>
        <w:t>简要介绍国内外土地质量监测研究进展和浙江省土地质量地球化学监测工作背景；针对监测分区分级、监测点布设、监测频率甄别、监测指标筛选和变化量识别等难点问题，介绍浙江省土地质量地球化学监测体系的构建；围绕浙江省土地质量地球化学监测网建设，讲解监测工作的实施和监测结果的评价。</w:t>
      </w:r>
    </w:p>
    <w:p w14:paraId="2F166FE7">
      <w:pPr>
        <w:spacing w:line="560" w:lineRule="exact"/>
        <w:ind w:firstLine="600" w:firstLineChars="200"/>
        <w:rPr>
          <w:rFonts w:hint="eastAsia" w:ascii="仿宋" w:hAnsi="仿宋" w:eastAsia="仿宋"/>
          <w:sz w:val="30"/>
          <w:szCs w:val="30"/>
        </w:rPr>
      </w:pPr>
      <w:r>
        <w:rPr>
          <w:rFonts w:eastAsia="黑体"/>
          <w:sz w:val="30"/>
          <w:szCs w:val="30"/>
        </w:rPr>
        <w:drawing>
          <wp:anchor distT="0" distB="0" distL="114300" distR="114300" simplePos="0" relativeHeight="251659264" behindDoc="0" locked="0" layoutInCell="1" allowOverlap="1">
            <wp:simplePos x="0" y="0"/>
            <wp:positionH relativeFrom="column">
              <wp:posOffset>3925570</wp:posOffset>
            </wp:positionH>
            <wp:positionV relativeFrom="paragraph">
              <wp:posOffset>134620</wp:posOffset>
            </wp:positionV>
            <wp:extent cx="1259840" cy="1578610"/>
            <wp:effectExtent l="0" t="0" r="16510" b="2540"/>
            <wp:wrapSquare wrapText="bothSides"/>
            <wp:docPr id="13368880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8800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59840" cy="1578610"/>
                    </a:xfrm>
                    <a:prstGeom prst="rect">
                      <a:avLst/>
                    </a:prstGeom>
                    <a:noFill/>
                    <a:ln>
                      <a:noFill/>
                    </a:ln>
                  </pic:spPr>
                </pic:pic>
              </a:graphicData>
            </a:graphic>
          </wp:anchor>
        </w:drawing>
      </w:r>
      <w:r>
        <w:rPr>
          <w:rFonts w:hint="eastAsia" w:ascii="仿宋" w:hAnsi="仿宋" w:eastAsia="仿宋"/>
          <w:sz w:val="30"/>
          <w:szCs w:val="30"/>
        </w:rPr>
        <w:t>主讲人：徐明星，高级工程师，博士</w:t>
      </w:r>
      <w:r>
        <w:rPr>
          <w:rFonts w:hint="eastAsia" w:ascii="仿宋" w:hAnsi="仿宋" w:eastAsia="仿宋"/>
          <w:sz w:val="30"/>
          <w:szCs w:val="30"/>
          <w:lang w:eastAsia="zh-CN"/>
        </w:rPr>
        <w:t>，现任浙江</w:t>
      </w:r>
      <w:r>
        <w:rPr>
          <w:rFonts w:hint="eastAsia" w:ascii="仿宋" w:hAnsi="仿宋" w:eastAsia="仿宋"/>
          <w:sz w:val="30"/>
          <w:szCs w:val="30"/>
        </w:rPr>
        <w:t>省地质院</w:t>
      </w:r>
      <w:r>
        <w:rPr>
          <w:rFonts w:hint="eastAsia" w:ascii="仿宋" w:hAnsi="仿宋" w:eastAsia="仿宋"/>
          <w:sz w:val="30"/>
          <w:szCs w:val="30"/>
          <w:lang w:eastAsia="zh-CN"/>
        </w:rPr>
        <w:t>国土空间</w:t>
      </w:r>
      <w:r>
        <w:rPr>
          <w:rFonts w:hint="eastAsia" w:ascii="仿宋" w:hAnsi="仿宋" w:eastAsia="仿宋"/>
          <w:sz w:val="30"/>
          <w:szCs w:val="30"/>
        </w:rPr>
        <w:t>生态修复所监测与大数据室主任</w:t>
      </w:r>
      <w:r>
        <w:rPr>
          <w:rFonts w:hint="eastAsia" w:ascii="仿宋" w:hAnsi="仿宋" w:eastAsia="仿宋"/>
          <w:sz w:val="30"/>
          <w:szCs w:val="30"/>
          <w:lang w:eastAsia="zh-CN"/>
        </w:rPr>
        <w:t>。</w:t>
      </w:r>
      <w:r>
        <w:rPr>
          <w:rFonts w:hint="eastAsia" w:ascii="仿宋" w:hAnsi="仿宋" w:eastAsia="仿宋"/>
          <w:sz w:val="30"/>
          <w:szCs w:val="30"/>
        </w:rPr>
        <w:t>主要从事土地质量调查监测、资源环境遥感和生态评价等工作。主持和参与浙江省“翎雁”项目计划、国家和省公益性地质科研项目10余项，曾获得国土资源科学技术二等奖2项目、浙江省地质科学技术二等奖1项、浙江省“十三五”期间“十大地质成果奖”1项、中国地质学会十大地质科技进展1项，主编专著3部，以第一/通讯作者发表SCI/EI检索学术论文20余篇。</w:t>
      </w:r>
    </w:p>
    <w:p w14:paraId="146E0E10">
      <w:pPr>
        <w:jc w:val="center"/>
        <w:rPr>
          <w:rFonts w:ascii="华文中宋" w:hAnsi="华文中宋" w:eastAsia="华文中宋"/>
          <w:sz w:val="36"/>
          <w:szCs w:val="36"/>
        </w:rPr>
      </w:pPr>
    </w:p>
    <w:p w14:paraId="55AE518F">
      <w:pPr>
        <w:jc w:val="center"/>
        <w:rPr>
          <w:rFonts w:ascii="华文中宋" w:hAnsi="华文中宋" w:eastAsia="华文中宋"/>
          <w:sz w:val="36"/>
          <w:szCs w:val="36"/>
        </w:rPr>
      </w:pPr>
    </w:p>
    <w:p w14:paraId="34507D7F">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0597206A">
      <w:pPr>
        <w:spacing w:line="720" w:lineRule="exact"/>
        <w:jc w:val="center"/>
        <w:rPr>
          <w:rFonts w:hint="eastAsia" w:ascii="方正小标宋简体" w:hAnsi="方正小标宋简体" w:eastAsia="方正小标宋简体" w:cs="方正小标宋简体"/>
          <w:sz w:val="36"/>
          <w:szCs w:val="36"/>
        </w:rPr>
      </w:pPr>
    </w:p>
    <w:p w14:paraId="218ED0D6">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富硒土地地球化学详查技术</w:t>
      </w:r>
    </w:p>
    <w:p w14:paraId="2B67B922">
      <w:pPr>
        <w:jc w:val="center"/>
        <w:rPr>
          <w:rFonts w:ascii="Times New Roman" w:hAnsi="Times New Roman" w:eastAsia="方正小标宋简体" w:cs="Times New Roman"/>
          <w:sz w:val="40"/>
          <w:szCs w:val="44"/>
        </w:rPr>
      </w:pPr>
    </w:p>
    <w:p w14:paraId="1D8B5E24">
      <w:pPr>
        <w:spacing w:line="560" w:lineRule="exact"/>
        <w:ind w:firstLine="640" w:firstLineChars="200"/>
        <w:rPr>
          <w:rFonts w:ascii="仿宋" w:hAnsi="仿宋" w:eastAsia="仿宋"/>
          <w:sz w:val="32"/>
          <w:szCs w:val="32"/>
        </w:rPr>
      </w:pPr>
      <w:r>
        <w:rPr>
          <w:rFonts w:ascii="仿宋" w:hAnsi="仿宋" w:eastAsia="仿宋"/>
          <w:sz w:val="32"/>
          <w:szCs w:val="32"/>
        </w:rPr>
        <w:t>课程简介：</w:t>
      </w:r>
      <w:r>
        <w:rPr>
          <w:rFonts w:hint="eastAsia" w:ascii="仿宋" w:hAnsi="仿宋" w:eastAsia="仿宋"/>
          <w:sz w:val="32"/>
          <w:szCs w:val="32"/>
        </w:rPr>
        <w:t>简要介绍浙江省富硒土地地球化学详查工作背景；围绕野外踏勘、调查单元划分、土壤等各类介质调查样点布设与采集、分析测试指标确定、工作质量控制、富硒土地类型划分等关键技术，讲解浙江省富硒土地地球化学详查主要工作内容与工作方法。</w:t>
      </w:r>
    </w:p>
    <w:p w14:paraId="1F22112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margin">
              <wp:align>right</wp:align>
            </wp:positionH>
            <wp:positionV relativeFrom="paragraph">
              <wp:posOffset>147320</wp:posOffset>
            </wp:positionV>
            <wp:extent cx="1188720" cy="1728470"/>
            <wp:effectExtent l="0" t="0" r="11430"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8720" cy="1728216"/>
                    </a:xfrm>
                    <a:prstGeom prst="rect">
                      <a:avLst/>
                    </a:prstGeom>
                  </pic:spPr>
                </pic:pic>
              </a:graphicData>
            </a:graphic>
          </wp:anchor>
        </w:drawing>
      </w:r>
      <w:r>
        <w:rPr>
          <w:rFonts w:hint="eastAsia" w:ascii="仿宋" w:hAnsi="仿宋" w:eastAsia="仿宋"/>
          <w:sz w:val="32"/>
          <w:szCs w:val="32"/>
        </w:rPr>
        <w:t>主讲人：魏迎春，高级工程师，硕士，</w:t>
      </w:r>
      <w:r>
        <w:rPr>
          <w:rFonts w:hint="eastAsia" w:ascii="仿宋" w:hAnsi="仿宋" w:eastAsia="仿宋"/>
          <w:sz w:val="30"/>
          <w:szCs w:val="30"/>
          <w:lang w:eastAsia="zh-CN"/>
        </w:rPr>
        <w:t>现任浙江</w:t>
      </w:r>
      <w:r>
        <w:rPr>
          <w:rFonts w:hint="eastAsia" w:ascii="仿宋" w:hAnsi="仿宋" w:eastAsia="仿宋"/>
          <w:sz w:val="30"/>
          <w:szCs w:val="30"/>
        </w:rPr>
        <w:t>省地质院</w:t>
      </w:r>
      <w:r>
        <w:rPr>
          <w:rFonts w:hint="eastAsia" w:ascii="仿宋" w:hAnsi="仿宋" w:eastAsia="仿宋"/>
          <w:sz w:val="30"/>
          <w:szCs w:val="30"/>
          <w:lang w:eastAsia="zh-CN"/>
        </w:rPr>
        <w:t>国土空间</w:t>
      </w:r>
      <w:r>
        <w:rPr>
          <w:rFonts w:hint="eastAsia" w:ascii="仿宋" w:hAnsi="仿宋" w:eastAsia="仿宋"/>
          <w:sz w:val="30"/>
          <w:szCs w:val="30"/>
        </w:rPr>
        <w:t>生态修复所生态与健康调查研究室</w:t>
      </w:r>
      <w:r>
        <w:rPr>
          <w:rFonts w:hint="eastAsia" w:ascii="仿宋" w:hAnsi="仿宋" w:eastAsia="仿宋"/>
          <w:sz w:val="30"/>
          <w:szCs w:val="30"/>
          <w:lang w:eastAsia="zh-CN"/>
        </w:rPr>
        <w:t>副</w:t>
      </w:r>
      <w:r>
        <w:rPr>
          <w:rFonts w:hint="eastAsia" w:ascii="仿宋" w:hAnsi="仿宋" w:eastAsia="仿宋"/>
          <w:sz w:val="30"/>
          <w:szCs w:val="30"/>
        </w:rPr>
        <w:t>主任</w:t>
      </w:r>
      <w:r>
        <w:rPr>
          <w:rFonts w:hint="eastAsia" w:ascii="仿宋" w:hAnsi="仿宋" w:eastAsia="仿宋"/>
          <w:sz w:val="30"/>
          <w:szCs w:val="30"/>
          <w:lang w:eastAsia="zh-CN"/>
        </w:rPr>
        <w:t>。</w:t>
      </w:r>
      <w:r>
        <w:rPr>
          <w:rFonts w:hint="eastAsia" w:ascii="仿宋" w:hAnsi="仿宋" w:eastAsia="仿宋"/>
          <w:sz w:val="32"/>
          <w:szCs w:val="32"/>
        </w:rPr>
        <w:t>主要从事农业地质、土地质量地质调查与评价等工作。主持和参与省部级项目</w:t>
      </w:r>
      <w:r>
        <w:rPr>
          <w:rFonts w:ascii="仿宋" w:hAnsi="仿宋" w:eastAsia="仿宋"/>
          <w:sz w:val="32"/>
          <w:szCs w:val="32"/>
        </w:rPr>
        <w:t>2</w:t>
      </w:r>
      <w:r>
        <w:rPr>
          <w:rFonts w:hint="eastAsia" w:ascii="仿宋" w:hAnsi="仿宋" w:eastAsia="仿宋"/>
          <w:sz w:val="32"/>
          <w:szCs w:val="32"/>
        </w:rPr>
        <w:t>0余项，曾获得国土资源科学技术二等奖</w:t>
      </w:r>
      <w:r>
        <w:rPr>
          <w:rFonts w:ascii="仿宋" w:hAnsi="仿宋" w:eastAsia="仿宋"/>
          <w:sz w:val="32"/>
          <w:szCs w:val="32"/>
        </w:rPr>
        <w:t>1</w:t>
      </w:r>
      <w:r>
        <w:rPr>
          <w:rFonts w:hint="eastAsia" w:ascii="仿宋" w:hAnsi="仿宋" w:eastAsia="仿宋"/>
          <w:sz w:val="32"/>
          <w:szCs w:val="32"/>
        </w:rPr>
        <w:t>项、浙江省“十三五”期间“十大地质成果奖”1项、中国地质学会十大地质科技进展1项，</w:t>
      </w:r>
      <w:r>
        <w:rPr>
          <w:rFonts w:ascii="仿宋" w:hAnsi="仿宋" w:eastAsia="仿宋"/>
          <w:sz w:val="32"/>
          <w:szCs w:val="32"/>
        </w:rPr>
        <w:t>主编专著3</w:t>
      </w:r>
      <w:r>
        <w:rPr>
          <w:rFonts w:hint="eastAsia" w:ascii="仿宋" w:hAnsi="仿宋" w:eastAsia="仿宋"/>
          <w:sz w:val="32"/>
          <w:szCs w:val="32"/>
        </w:rPr>
        <w:t>部，参与起草地方标准2项、团体标准1项。</w:t>
      </w:r>
    </w:p>
    <w:bookmarkEnd w:id="1"/>
    <w:p w14:paraId="3BA9A6AD">
      <w:bookmarkStart w:id="2" w:name="_GoBack"/>
      <w:bookmarkEnd w:id="2"/>
    </w:p>
    <w:sectPr>
      <w:footerReference r:id="rId5" w:type="first"/>
      <w:footerReference r:id="rId4" w:type="default"/>
      <w:pgSz w:w="11906" w:h="16838"/>
      <w:pgMar w:top="1440" w:right="1800" w:bottom="1440" w:left="1800"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D911CB-11D9-425F-9677-921212B870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A302B46A-D8DD-43A1-9EB9-C4647DDB48E5}"/>
  </w:font>
  <w:font w:name="华文中宋">
    <w:panose1 w:val="02010600040101010101"/>
    <w:charset w:val="86"/>
    <w:family w:val="auto"/>
    <w:pitch w:val="default"/>
    <w:sig w:usb0="00000287" w:usb1="080F0000" w:usb2="00000000" w:usb3="00000000" w:csb0="0004009F" w:csb1="DFD70000"/>
    <w:embedRegular r:id="rId3" w:fontKey="{3EF4F5B5-16C8-4FF9-864F-9CE1D1DE7B3D}"/>
  </w:font>
  <w:font w:name="方正小标宋简体">
    <w:panose1 w:val="02000000000000000000"/>
    <w:charset w:val="86"/>
    <w:family w:val="auto"/>
    <w:pitch w:val="default"/>
    <w:sig w:usb0="00000001" w:usb1="08000000" w:usb2="00000000" w:usb3="00000000" w:csb0="00040000" w:csb1="00000000"/>
    <w:embedRegular r:id="rId4" w:fontKey="{17EA2BC3-791D-4B85-9B08-89ADDADBA5C1}"/>
  </w:font>
  <w:font w:name="方正仿宋_GBK">
    <w:panose1 w:val="02000000000000000000"/>
    <w:charset w:val="86"/>
    <w:family w:val="auto"/>
    <w:pitch w:val="default"/>
    <w:sig w:usb0="A00002BF" w:usb1="38CF7CFA" w:usb2="00082016" w:usb3="00000000" w:csb0="00040001" w:csb1="00000000"/>
    <w:embedRegular r:id="rId5" w:fontKey="{F24DB912-F5D9-4ACB-BAA8-27CCB1107C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28322A3">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2208"/>
    </w:sdtPr>
    <w:sdtContent>
      <w:p w14:paraId="7F70EAB7">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50726"/>
      <w:docPartObj>
        <w:docPartGallery w:val="autotext"/>
      </w:docPartObj>
    </w:sdtPr>
    <w:sdtContent>
      <w:p w14:paraId="733E3B14">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NmJmZDE1MWRlY2FmZDJhMGZhOTVlOGYxMDdiZDQifQ=="/>
  </w:docVars>
  <w:rsids>
    <w:rsidRoot w:val="007C6726"/>
    <w:rsid w:val="00000A27"/>
    <w:rsid w:val="00002D22"/>
    <w:rsid w:val="00004F7D"/>
    <w:rsid w:val="000146DE"/>
    <w:rsid w:val="0005040B"/>
    <w:rsid w:val="000529F0"/>
    <w:rsid w:val="00067BB6"/>
    <w:rsid w:val="000853A9"/>
    <w:rsid w:val="00087B5D"/>
    <w:rsid w:val="000B20AB"/>
    <w:rsid w:val="000B4584"/>
    <w:rsid w:val="000B59AF"/>
    <w:rsid w:val="000E0472"/>
    <w:rsid w:val="000E33D7"/>
    <w:rsid w:val="000F200C"/>
    <w:rsid w:val="001473EA"/>
    <w:rsid w:val="00177295"/>
    <w:rsid w:val="001B2FEE"/>
    <w:rsid w:val="001B4050"/>
    <w:rsid w:val="001E4E10"/>
    <w:rsid w:val="001F1169"/>
    <w:rsid w:val="001F6431"/>
    <w:rsid w:val="0020169E"/>
    <w:rsid w:val="00220F6E"/>
    <w:rsid w:val="002438E5"/>
    <w:rsid w:val="00252B3D"/>
    <w:rsid w:val="002673C2"/>
    <w:rsid w:val="0027314E"/>
    <w:rsid w:val="002747E6"/>
    <w:rsid w:val="002953FC"/>
    <w:rsid w:val="00297635"/>
    <w:rsid w:val="002B4D50"/>
    <w:rsid w:val="002C1C01"/>
    <w:rsid w:val="002D0303"/>
    <w:rsid w:val="002F538A"/>
    <w:rsid w:val="003065C9"/>
    <w:rsid w:val="00326697"/>
    <w:rsid w:val="00333D4B"/>
    <w:rsid w:val="0034273B"/>
    <w:rsid w:val="00357E0D"/>
    <w:rsid w:val="00396F58"/>
    <w:rsid w:val="003C0CBA"/>
    <w:rsid w:val="003D42D0"/>
    <w:rsid w:val="003E7500"/>
    <w:rsid w:val="0040244C"/>
    <w:rsid w:val="00405498"/>
    <w:rsid w:val="00406C39"/>
    <w:rsid w:val="00412FD6"/>
    <w:rsid w:val="00432B75"/>
    <w:rsid w:val="00441A60"/>
    <w:rsid w:val="00450242"/>
    <w:rsid w:val="00452057"/>
    <w:rsid w:val="00461765"/>
    <w:rsid w:val="00462818"/>
    <w:rsid w:val="004735CA"/>
    <w:rsid w:val="004744AA"/>
    <w:rsid w:val="00477DB4"/>
    <w:rsid w:val="00491FC4"/>
    <w:rsid w:val="004A238A"/>
    <w:rsid w:val="004B1ED1"/>
    <w:rsid w:val="004B6829"/>
    <w:rsid w:val="004B7D27"/>
    <w:rsid w:val="004D7181"/>
    <w:rsid w:val="004E2147"/>
    <w:rsid w:val="004F0327"/>
    <w:rsid w:val="00513FA2"/>
    <w:rsid w:val="00516E5C"/>
    <w:rsid w:val="0051799A"/>
    <w:rsid w:val="00521F6D"/>
    <w:rsid w:val="005349FF"/>
    <w:rsid w:val="00540A5B"/>
    <w:rsid w:val="0054236F"/>
    <w:rsid w:val="00545C90"/>
    <w:rsid w:val="0054652B"/>
    <w:rsid w:val="00575489"/>
    <w:rsid w:val="005822BB"/>
    <w:rsid w:val="005A425E"/>
    <w:rsid w:val="005A7E3B"/>
    <w:rsid w:val="005B6CD9"/>
    <w:rsid w:val="005D0E4D"/>
    <w:rsid w:val="005D6E5F"/>
    <w:rsid w:val="005E17D0"/>
    <w:rsid w:val="005E7B39"/>
    <w:rsid w:val="0061388B"/>
    <w:rsid w:val="00656F0E"/>
    <w:rsid w:val="00663CE7"/>
    <w:rsid w:val="006739D5"/>
    <w:rsid w:val="00682C7E"/>
    <w:rsid w:val="006A4D1B"/>
    <w:rsid w:val="006B1718"/>
    <w:rsid w:val="006B1C51"/>
    <w:rsid w:val="006C096D"/>
    <w:rsid w:val="006D4981"/>
    <w:rsid w:val="006D4C0B"/>
    <w:rsid w:val="006D62C9"/>
    <w:rsid w:val="0070024A"/>
    <w:rsid w:val="00701403"/>
    <w:rsid w:val="0070202F"/>
    <w:rsid w:val="00716189"/>
    <w:rsid w:val="007162C6"/>
    <w:rsid w:val="007331BB"/>
    <w:rsid w:val="00740DFE"/>
    <w:rsid w:val="0075775D"/>
    <w:rsid w:val="00761356"/>
    <w:rsid w:val="00766F4D"/>
    <w:rsid w:val="007831F1"/>
    <w:rsid w:val="00796E6F"/>
    <w:rsid w:val="007B2350"/>
    <w:rsid w:val="007C583A"/>
    <w:rsid w:val="007C6726"/>
    <w:rsid w:val="007D5AFB"/>
    <w:rsid w:val="008416E9"/>
    <w:rsid w:val="008423FC"/>
    <w:rsid w:val="0085064E"/>
    <w:rsid w:val="00857213"/>
    <w:rsid w:val="008707D6"/>
    <w:rsid w:val="00870E31"/>
    <w:rsid w:val="008801A0"/>
    <w:rsid w:val="00881DC8"/>
    <w:rsid w:val="008C478E"/>
    <w:rsid w:val="008D721C"/>
    <w:rsid w:val="008E1BB2"/>
    <w:rsid w:val="008E4AAD"/>
    <w:rsid w:val="008F0E35"/>
    <w:rsid w:val="008F1482"/>
    <w:rsid w:val="008F2501"/>
    <w:rsid w:val="00916929"/>
    <w:rsid w:val="00922132"/>
    <w:rsid w:val="00935082"/>
    <w:rsid w:val="00940F89"/>
    <w:rsid w:val="00953390"/>
    <w:rsid w:val="00955711"/>
    <w:rsid w:val="009574A9"/>
    <w:rsid w:val="00962892"/>
    <w:rsid w:val="00967373"/>
    <w:rsid w:val="00970A54"/>
    <w:rsid w:val="00974C76"/>
    <w:rsid w:val="009830D3"/>
    <w:rsid w:val="009B798D"/>
    <w:rsid w:val="009C3A56"/>
    <w:rsid w:val="009D03C4"/>
    <w:rsid w:val="009E39D6"/>
    <w:rsid w:val="00A02A08"/>
    <w:rsid w:val="00A072F4"/>
    <w:rsid w:val="00A273FC"/>
    <w:rsid w:val="00A30908"/>
    <w:rsid w:val="00A37006"/>
    <w:rsid w:val="00A50B13"/>
    <w:rsid w:val="00A51AA4"/>
    <w:rsid w:val="00A5570F"/>
    <w:rsid w:val="00A6251B"/>
    <w:rsid w:val="00A64DC2"/>
    <w:rsid w:val="00A70319"/>
    <w:rsid w:val="00A85BA9"/>
    <w:rsid w:val="00A96F8F"/>
    <w:rsid w:val="00AB7C97"/>
    <w:rsid w:val="00AE0D92"/>
    <w:rsid w:val="00AE471A"/>
    <w:rsid w:val="00AF1B8F"/>
    <w:rsid w:val="00B02845"/>
    <w:rsid w:val="00B27CF2"/>
    <w:rsid w:val="00B3388E"/>
    <w:rsid w:val="00B46A66"/>
    <w:rsid w:val="00B665AF"/>
    <w:rsid w:val="00B727C7"/>
    <w:rsid w:val="00B75A63"/>
    <w:rsid w:val="00B768AF"/>
    <w:rsid w:val="00B83E1A"/>
    <w:rsid w:val="00B9176A"/>
    <w:rsid w:val="00BC4F26"/>
    <w:rsid w:val="00BD7E1D"/>
    <w:rsid w:val="00BE067D"/>
    <w:rsid w:val="00BE48A3"/>
    <w:rsid w:val="00BE7878"/>
    <w:rsid w:val="00BE79B5"/>
    <w:rsid w:val="00C13A6D"/>
    <w:rsid w:val="00C21664"/>
    <w:rsid w:val="00C42624"/>
    <w:rsid w:val="00C5029A"/>
    <w:rsid w:val="00C53822"/>
    <w:rsid w:val="00C54D3C"/>
    <w:rsid w:val="00C70BA3"/>
    <w:rsid w:val="00C72B3A"/>
    <w:rsid w:val="00C80105"/>
    <w:rsid w:val="00C86DA6"/>
    <w:rsid w:val="00CC43A1"/>
    <w:rsid w:val="00CC6F3C"/>
    <w:rsid w:val="00CF4464"/>
    <w:rsid w:val="00D15BBB"/>
    <w:rsid w:val="00D2147B"/>
    <w:rsid w:val="00D23079"/>
    <w:rsid w:val="00D32B96"/>
    <w:rsid w:val="00D32C89"/>
    <w:rsid w:val="00D4383D"/>
    <w:rsid w:val="00D50101"/>
    <w:rsid w:val="00D51D30"/>
    <w:rsid w:val="00D57C1F"/>
    <w:rsid w:val="00D8346A"/>
    <w:rsid w:val="00D94FED"/>
    <w:rsid w:val="00D96876"/>
    <w:rsid w:val="00DA496B"/>
    <w:rsid w:val="00DA660E"/>
    <w:rsid w:val="00DB6F86"/>
    <w:rsid w:val="00DB7F4B"/>
    <w:rsid w:val="00DC24A6"/>
    <w:rsid w:val="00DC4E17"/>
    <w:rsid w:val="00DD1157"/>
    <w:rsid w:val="00DE0A41"/>
    <w:rsid w:val="00DE48DA"/>
    <w:rsid w:val="00DF216C"/>
    <w:rsid w:val="00E3099C"/>
    <w:rsid w:val="00E612C5"/>
    <w:rsid w:val="00E672AE"/>
    <w:rsid w:val="00E920E4"/>
    <w:rsid w:val="00E93B08"/>
    <w:rsid w:val="00EA4691"/>
    <w:rsid w:val="00EB23E2"/>
    <w:rsid w:val="00EC223B"/>
    <w:rsid w:val="00EC2333"/>
    <w:rsid w:val="00ED7152"/>
    <w:rsid w:val="00F04B51"/>
    <w:rsid w:val="00F07C41"/>
    <w:rsid w:val="00F24348"/>
    <w:rsid w:val="00F33D72"/>
    <w:rsid w:val="00F379C6"/>
    <w:rsid w:val="00F4250F"/>
    <w:rsid w:val="00F66AEC"/>
    <w:rsid w:val="00F726F3"/>
    <w:rsid w:val="00F77825"/>
    <w:rsid w:val="00FC1D98"/>
    <w:rsid w:val="00FC6097"/>
    <w:rsid w:val="00FC75E0"/>
    <w:rsid w:val="02D6193B"/>
    <w:rsid w:val="1CAB2EC5"/>
    <w:rsid w:val="1FF4CCE6"/>
    <w:rsid w:val="32AC108E"/>
    <w:rsid w:val="377F98A1"/>
    <w:rsid w:val="39F3296C"/>
    <w:rsid w:val="3DFF4AA1"/>
    <w:rsid w:val="52FDAD11"/>
    <w:rsid w:val="5FFBAF25"/>
    <w:rsid w:val="626F13F1"/>
    <w:rsid w:val="77716A92"/>
    <w:rsid w:val="77EFBFD9"/>
    <w:rsid w:val="7A7B3BB4"/>
    <w:rsid w:val="7D771D0A"/>
    <w:rsid w:val="7FE78233"/>
    <w:rsid w:val="AAF50C95"/>
    <w:rsid w:val="BF79243F"/>
    <w:rsid w:val="EDBEF1A2"/>
    <w:rsid w:val="FAF35644"/>
    <w:rsid w:val="FE5FC25A"/>
    <w:rsid w:val="FEDB8CBA"/>
    <w:rsid w:val="FEFA4D19"/>
    <w:rsid w:val="FF3FAB99"/>
    <w:rsid w:val="FFAF8531"/>
    <w:rsid w:val="FFFD8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next w:val="3"/>
    <w:link w:val="13"/>
    <w:qFormat/>
    <w:uiPriority w:val="0"/>
    <w:pPr>
      <w:widowControl w:val="0"/>
      <w:suppressAutoHyphens/>
      <w:spacing w:after="140" w:line="276" w:lineRule="auto"/>
      <w:jc w:val="both"/>
    </w:pPr>
    <w:rPr>
      <w:rFonts w:ascii="Calibri" w:hAnsi="Calibri" w:eastAsia="宋体" w:cs="Times New Roman"/>
      <w:kern w:val="2"/>
      <w:sz w:val="21"/>
      <w:szCs w:val="24"/>
      <w:lang w:val="en-US" w:eastAsia="zh-CN" w:bidi="ar-SA"/>
    </w:rPr>
  </w:style>
  <w:style w:type="paragraph" w:styleId="3">
    <w:name w:val="Body Text First Indent"/>
    <w:basedOn w:val="2"/>
    <w:link w:val="14"/>
    <w:unhideWhenUsed/>
    <w:qFormat/>
    <w:uiPriority w:val="0"/>
    <w:pPr>
      <w:suppressAutoHyphens w:val="0"/>
      <w:spacing w:after="120" w:line="240" w:lineRule="auto"/>
      <w:ind w:firstLine="420" w:firstLineChars="100"/>
    </w:pPr>
    <w:rPr>
      <w:rFonts w:ascii="等线" w:hAnsi="等线" w:eastAsia="等线"/>
    </w:rPr>
  </w:style>
  <w:style w:type="paragraph" w:styleId="4">
    <w:name w:val="endnote text"/>
    <w:basedOn w:val="1"/>
    <w:link w:val="17"/>
    <w:unhideWhenUsed/>
    <w:qFormat/>
    <w:uiPriority w:val="0"/>
    <w:pPr>
      <w:snapToGrid w:val="0"/>
      <w:jc w:val="left"/>
    </w:pPr>
    <w:rPr>
      <w:szCs w:val="22"/>
    </w:rPr>
  </w:style>
  <w:style w:type="paragraph" w:styleId="5">
    <w:name w:val="Balloon Text"/>
    <w:basedOn w:val="1"/>
    <w:semiHidden/>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kern w:val="0"/>
      <w:sz w:val="24"/>
    </w:rPr>
  </w:style>
  <w:style w:type="character" w:styleId="11">
    <w:name w:val="page number"/>
    <w:basedOn w:val="10"/>
    <w:qFormat/>
    <w:uiPriority w:val="0"/>
  </w:style>
  <w:style w:type="character" w:styleId="12">
    <w:name w:val="Hyperlink"/>
    <w:basedOn w:val="10"/>
    <w:qFormat/>
    <w:uiPriority w:val="0"/>
    <w:rPr>
      <w:color w:val="0563C1" w:themeColor="hyperlink"/>
      <w:u w:val="single"/>
      <w14:textFill>
        <w14:solidFill>
          <w14:schemeClr w14:val="hlink"/>
        </w14:solidFill>
      </w14:textFill>
    </w:rPr>
  </w:style>
  <w:style w:type="character" w:customStyle="1" w:styleId="13">
    <w:name w:val="正文文本 字符"/>
    <w:link w:val="2"/>
    <w:qFormat/>
    <w:uiPriority w:val="0"/>
    <w:rPr>
      <w:rFonts w:ascii="Calibri" w:hAnsi="Calibri"/>
      <w:kern w:val="2"/>
      <w:sz w:val="21"/>
      <w:szCs w:val="24"/>
    </w:rPr>
  </w:style>
  <w:style w:type="character" w:customStyle="1" w:styleId="14">
    <w:name w:val="正文文本首行缩进 字符"/>
    <w:link w:val="3"/>
    <w:qFormat/>
    <w:uiPriority w:val="0"/>
    <w:rPr>
      <w:rFonts w:ascii="等线" w:hAnsi="等线" w:eastAsia="等线"/>
      <w:kern w:val="2"/>
      <w:sz w:val="21"/>
      <w:szCs w:val="24"/>
    </w:rPr>
  </w:style>
  <w:style w:type="character" w:customStyle="1" w:styleId="15">
    <w:name w:val="页脚 字符"/>
    <w:link w:val="6"/>
    <w:qFormat/>
    <w:uiPriority w:val="99"/>
    <w:rPr>
      <w:kern w:val="2"/>
      <w:sz w:val="18"/>
      <w:szCs w:val="18"/>
    </w:rPr>
  </w:style>
  <w:style w:type="paragraph" w:customStyle="1" w:styleId="1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尾注文本 字符"/>
    <w:basedOn w:val="10"/>
    <w:link w:val="4"/>
    <w:qFormat/>
    <w:uiPriority w:val="0"/>
    <w:rPr>
      <w:kern w:val="2"/>
      <w:sz w:val="21"/>
      <w:szCs w:val="22"/>
    </w:rPr>
  </w:style>
  <w:style w:type="character" w:customStyle="1" w:styleId="18">
    <w:name w:val="fontstyle11"/>
    <w:qFormat/>
    <w:uiPriority w:val="0"/>
    <w:rPr>
      <w:rFonts w:hint="eastAsia" w:ascii="宋体" w:hAnsi="宋体" w:eastAsia="宋体"/>
      <w:color w:val="000000"/>
      <w:sz w:val="36"/>
      <w:szCs w:val="36"/>
    </w:rPr>
  </w:style>
  <w:style w:type="paragraph" w:customStyle="1" w:styleId="1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0">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9800E81D-AC16-4C1B-B21C-8FD77BB8F12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2996</Words>
  <Characters>3062</Characters>
  <Lines>27</Lines>
  <Paragraphs>7</Paragraphs>
  <TotalTime>0</TotalTime>
  <ScaleCrop>false</ScaleCrop>
  <LinksUpToDate>false</LinksUpToDate>
  <CharactersWithSpaces>3065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2023-05-26T03:03:00Z</dcterms:created>
  <dc:creator>微软用户</dc:creator>
  <cp:lastModifiedBy>Twenty Third</cp:lastModifiedBy>
  <cp:lastPrinted>2024-07-10T17:36:00Z</cp:lastPrinted>
  <dcterms:modified xsi:type="dcterms:W3CDTF">2024-07-10T06:18:47Z</dcterms:modified>
  <dc:title>               </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1268098CD58C4B73B4B13C7A58E1180E_13</vt:lpwstr>
  </property>
</Properties>
</file>