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宋体" w:eastAsia="黑体" w:cs="黑体"/>
          <w:b w:val="0"/>
          <w:color w:val="000000"/>
          <w:sz w:val="36"/>
          <w:szCs w:val="36"/>
        </w:rPr>
      </w:pPr>
      <w:bookmarkStart w:id="0" w:name="_GoBack"/>
      <w:r>
        <w:rPr>
          <w:rFonts w:hint="eastAsia" w:ascii="黑体" w:hAnsi="宋体" w:eastAsia="黑体" w:cs="黑体"/>
          <w:b w:val="0"/>
          <w:color w:val="000000"/>
          <w:sz w:val="36"/>
          <w:szCs w:val="36"/>
        </w:rPr>
        <w:t>2024年“上海标准”</w:t>
      </w:r>
      <w:r>
        <w:rPr>
          <w:rFonts w:ascii="黑体" w:hAnsi="宋体" w:eastAsia="黑体" w:cs="黑体"/>
          <w:b w:val="0"/>
          <w:color w:val="000000"/>
          <w:sz w:val="36"/>
          <w:szCs w:val="36"/>
        </w:rPr>
        <w:t>培育项目名单</w:t>
      </w:r>
      <w:bookmarkEnd w:id="0"/>
    </w:p>
    <w:p>
      <w:pPr>
        <w:spacing w:line="360" w:lineRule="auto"/>
        <w:jc w:val="center"/>
        <w:rPr>
          <w:rFonts w:hint="eastAsia" w:ascii="黑体" w:hAnsi="宋体" w:eastAsia="黑体" w:cs="黑体"/>
          <w:b w:val="0"/>
          <w:color w:val="000000"/>
          <w:sz w:val="36"/>
          <w:szCs w:val="36"/>
        </w:rPr>
      </w:pPr>
    </w:p>
    <w:tbl>
      <w:tblPr>
        <w:tblStyle w:val="2"/>
        <w:tblW w:w="14760" w:type="dxa"/>
        <w:jc w:val="center"/>
        <w:tblInd w:w="0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602"/>
        <w:gridCol w:w="1800"/>
        <w:gridCol w:w="65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tblHeader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标准类别</w:t>
            </w:r>
          </w:p>
        </w:tc>
        <w:tc>
          <w:tcPr>
            <w:tcW w:w="6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申请单位</w:t>
            </w: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移动式大容量镁基固态储氢装置的安全技术要求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企业标准</w:t>
            </w:r>
          </w:p>
        </w:tc>
        <w:tc>
          <w:tcPr>
            <w:tcW w:w="6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ind w:right="-294" w:rightChars="-14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上海氢枫能源技术有限公司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办公照明智能化规范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团体标准</w:t>
            </w:r>
          </w:p>
        </w:tc>
        <w:tc>
          <w:tcPr>
            <w:tcW w:w="6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ind w:right="-294" w:rightChars="-14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上海浦东智能照明联合会</w:t>
            </w:r>
          </w:p>
        </w:tc>
      </w:tr>
      <w:tr>
        <w:tblPrEx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区域配电网碳排放核算规范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团体标准</w:t>
            </w:r>
          </w:p>
        </w:tc>
        <w:tc>
          <w:tcPr>
            <w:tcW w:w="6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ind w:right="-294" w:rightChars="-14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国网上海市电力公司电力科学研究院、上海市电力行业协会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内置脱离器低压交流避雷器技术规范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团体标准</w:t>
            </w:r>
          </w:p>
        </w:tc>
        <w:tc>
          <w:tcPr>
            <w:tcW w:w="6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ind w:right="-111" w:rightChars="-53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上海市电力行业协会、国网上海市电力公司金山供电公司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隐私计算密码应用基本要求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团体标准</w:t>
            </w:r>
          </w:p>
        </w:tc>
        <w:tc>
          <w:tcPr>
            <w:tcW w:w="6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napToGrid w:val="0"/>
              <w:ind w:right="-294" w:rightChars="-14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上海市商用密码行业协会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03B33"/>
    <w:rsid w:val="1B903B33"/>
    <w:rsid w:val="34750ED1"/>
    <w:rsid w:val="3737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2024-10-23T01:55:00Z</dcterms:created>
  <dc:creator>WPS_1666836091</dc:creator>
  <cp:lastModifiedBy>WPS_1666836091</cp:lastModifiedBy>
  <dcterms:modified xsi:type="dcterms:W3CDTF">2025-01-09T01:59:55Z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