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ordWrap w:val="0"/>
        <w:jc w:val="center"/>
        <w:rPr>
          <w:rFonts w:cs="Times New Roman"/>
          <w:kern w:val="2"/>
          <w:sz w:val="52"/>
          <w:szCs w:val="52"/>
          <w:highlight w:val="none"/>
        </w:rPr>
      </w:pPr>
    </w:p>
    <w:p>
      <w:pPr>
        <w:wordWrap w:val="0"/>
        <w:spacing w:line="360" w:lineRule="auto"/>
        <w:jc w:val="center"/>
        <w:rPr>
          <w:rFonts w:hint="eastAsia" w:ascii="华文隶书" w:hAnsi="宋体" w:eastAsia="华文隶书"/>
          <w:sz w:val="44"/>
          <w:szCs w:val="44"/>
          <w:highlight w:val="yellow"/>
          <w:lang w:val="en-US" w:eastAsia="zh-CN"/>
        </w:rPr>
      </w:pPr>
      <w:r>
        <w:rPr>
          <w:rFonts w:hint="eastAsia" w:ascii="华文隶书" w:hAnsi="宋体" w:eastAsia="华文隶书"/>
          <w:sz w:val="44"/>
          <w:szCs w:val="44"/>
          <w:highlight w:val="yellow"/>
          <w:lang w:val="en-US" w:eastAsia="zh-CN"/>
        </w:rPr>
        <w:t>咸安区社会福利院整体搬迁工程项目</w:t>
      </w:r>
    </w:p>
    <w:p>
      <w:pPr>
        <w:wordWrap w:val="0"/>
        <w:spacing w:line="360" w:lineRule="auto"/>
        <w:jc w:val="center"/>
        <w:rPr>
          <w:rFonts w:hint="eastAsia" w:ascii="华文隶书" w:hAnsi="宋体" w:eastAsia="华文隶书"/>
          <w:sz w:val="44"/>
          <w:szCs w:val="44"/>
          <w:highlight w:val="none"/>
          <w:lang w:val="en-US" w:eastAsia="zh-CN"/>
        </w:rPr>
      </w:pPr>
      <w:r>
        <w:rPr>
          <w:rFonts w:hint="eastAsia" w:ascii="华文隶书" w:hAnsi="宋体" w:eastAsia="华文隶书"/>
          <w:sz w:val="44"/>
          <w:szCs w:val="44"/>
          <w:highlight w:val="none"/>
          <w:lang w:val="en-US" w:eastAsia="zh-CN"/>
        </w:rPr>
        <w:t>电梯设备</w:t>
      </w:r>
      <w:r>
        <w:rPr>
          <w:rFonts w:hint="eastAsia" w:ascii="华文隶书" w:hAnsi="宋体" w:eastAsia="华文隶书"/>
          <w:sz w:val="44"/>
          <w:szCs w:val="44"/>
          <w:highlight w:val="none"/>
          <w:lang w:val="en-US" w:eastAsia="zh-Hans"/>
        </w:rPr>
        <w:t>采购</w:t>
      </w:r>
      <w:r>
        <w:rPr>
          <w:rFonts w:hint="eastAsia" w:ascii="华文隶书" w:hAnsi="宋体" w:eastAsia="华文隶书"/>
          <w:sz w:val="44"/>
          <w:szCs w:val="44"/>
          <w:highlight w:val="none"/>
          <w:lang w:val="en-US" w:eastAsia="zh-CN"/>
        </w:rPr>
        <w:t>及安装</w:t>
      </w:r>
    </w:p>
    <w:p>
      <w:pPr>
        <w:wordWrap w:val="0"/>
        <w:rPr>
          <w:rFonts w:ascii="楷体_GB2312" w:hAnsi="黑体" w:eastAsia="楷体_GB2312"/>
          <w:b/>
          <w:sz w:val="144"/>
          <w:szCs w:val="144"/>
          <w:highlight w:val="none"/>
        </w:rPr>
      </w:pPr>
    </w:p>
    <w:p>
      <w:pPr>
        <w:wordWrap w:val="0"/>
        <w:ind w:firstLine="578" w:firstLineChars="240"/>
        <w:rPr>
          <w:rFonts w:ascii="楷体_GB2312" w:hAnsi="黑体" w:eastAsia="楷体_GB2312"/>
          <w:b/>
          <w:sz w:val="24"/>
          <w:highlight w:val="none"/>
        </w:rPr>
      </w:pPr>
    </w:p>
    <w:p>
      <w:pPr>
        <w:wordWrap w:val="0"/>
        <w:ind w:firstLine="2304" w:firstLineChars="240"/>
        <w:rPr>
          <w:rFonts w:ascii="微软雅黑" w:hAnsi="微软雅黑" w:eastAsia="微软雅黑"/>
          <w:sz w:val="96"/>
          <w:szCs w:val="96"/>
          <w:highlight w:val="none"/>
        </w:rPr>
      </w:pPr>
      <w:r>
        <w:rPr>
          <w:rFonts w:hint="eastAsia" w:ascii="微软雅黑" w:hAnsi="微软雅黑" w:eastAsia="微软雅黑"/>
          <w:sz w:val="96"/>
          <w:szCs w:val="96"/>
          <w:highlight w:val="none"/>
        </w:rPr>
        <w:t>招标文件</w:t>
      </w:r>
    </w:p>
    <w:p>
      <w:pPr>
        <w:wordWrap w:val="0"/>
        <w:spacing w:line="360" w:lineRule="auto"/>
        <w:jc w:val="center"/>
        <w:rPr>
          <w:rFonts w:ascii="宋体"/>
          <w:b/>
          <w:sz w:val="32"/>
          <w:highlight w:val="none"/>
        </w:rPr>
      </w:pPr>
    </w:p>
    <w:p>
      <w:pPr>
        <w:wordWrap w:val="0"/>
        <w:spacing w:line="360" w:lineRule="auto"/>
        <w:jc w:val="center"/>
        <w:rPr>
          <w:rFonts w:ascii="宋体"/>
          <w:b/>
          <w:sz w:val="32"/>
          <w:highlight w:val="none"/>
        </w:rPr>
      </w:pPr>
    </w:p>
    <w:p>
      <w:pPr>
        <w:wordWrap w:val="0"/>
        <w:spacing w:line="360" w:lineRule="auto"/>
        <w:jc w:val="left"/>
        <w:rPr>
          <w:rFonts w:ascii="黑体" w:hAnsi="宋体" w:eastAsia="黑体"/>
          <w:b/>
          <w:sz w:val="32"/>
          <w:szCs w:val="32"/>
          <w:highlight w:val="none"/>
        </w:rPr>
      </w:pPr>
    </w:p>
    <w:p>
      <w:pPr>
        <w:wordWrap w:val="0"/>
        <w:spacing w:line="360" w:lineRule="auto"/>
        <w:jc w:val="right"/>
        <w:rPr>
          <w:rFonts w:ascii="黑体" w:hAnsi="宋体" w:eastAsia="黑体"/>
          <w:b/>
          <w:sz w:val="32"/>
          <w:szCs w:val="32"/>
          <w:highlight w:val="none"/>
        </w:rPr>
      </w:pPr>
    </w:p>
    <w:p>
      <w:pPr>
        <w:wordWrap w:val="0"/>
        <w:spacing w:line="360" w:lineRule="auto"/>
        <w:rPr>
          <w:rFonts w:ascii="黑体" w:hAnsi="宋体" w:eastAsia="黑体"/>
          <w:b/>
          <w:sz w:val="32"/>
          <w:highlight w:val="none"/>
        </w:rPr>
      </w:pPr>
    </w:p>
    <w:p>
      <w:pPr>
        <w:wordWrap w:val="0"/>
        <w:spacing w:line="480" w:lineRule="auto"/>
        <w:ind w:firstLine="1800" w:firstLineChars="600"/>
        <w:rPr>
          <w:rFonts w:hint="eastAsia" w:ascii="宋体" w:hAnsi="宋体" w:eastAsia="宋体"/>
          <w:sz w:val="30"/>
          <w:szCs w:val="30"/>
          <w:highlight w:val="none"/>
          <w:lang w:eastAsia="zh-CN"/>
        </w:rPr>
      </w:pPr>
      <w:r>
        <w:rPr>
          <w:rFonts w:hint="eastAsia" w:ascii="宋体" w:hAnsi="宋体"/>
          <w:sz w:val="30"/>
          <w:szCs w:val="30"/>
          <w:highlight w:val="none"/>
        </w:rPr>
        <w:t>项目编号：</w:t>
      </w:r>
      <w:r>
        <w:rPr>
          <w:rFonts w:hint="eastAsia" w:ascii="宋体" w:hAnsi="宋体"/>
          <w:sz w:val="30"/>
          <w:szCs w:val="30"/>
          <w:highlight w:val="none"/>
          <w:lang w:eastAsia="zh-CN"/>
        </w:rPr>
        <w:t>2022--</w:t>
      </w:r>
      <w:r>
        <w:rPr>
          <w:rFonts w:hint="eastAsia" w:ascii="宋体" w:hAnsi="宋体"/>
          <w:sz w:val="30"/>
          <w:szCs w:val="30"/>
          <w:highlight w:val="none"/>
          <w:lang w:val="en-US" w:eastAsia="zh-CN"/>
        </w:rPr>
        <w:t>FLY</w:t>
      </w:r>
      <w:r>
        <w:rPr>
          <w:rFonts w:hint="eastAsia" w:ascii="宋体" w:hAnsi="宋体"/>
          <w:sz w:val="30"/>
          <w:szCs w:val="30"/>
          <w:highlight w:val="none"/>
          <w:lang w:eastAsia="zh-Hans"/>
        </w:rPr>
        <w:t>-</w:t>
      </w:r>
      <w:r>
        <w:rPr>
          <w:rFonts w:hint="eastAsia" w:ascii="宋体" w:hAnsi="宋体"/>
          <w:sz w:val="30"/>
          <w:szCs w:val="30"/>
          <w:highlight w:val="none"/>
          <w:lang w:eastAsia="zh-CN"/>
        </w:rPr>
        <w:t>001</w:t>
      </w:r>
    </w:p>
    <w:p>
      <w:pPr>
        <w:wordWrap w:val="0"/>
        <w:spacing w:line="480" w:lineRule="auto"/>
        <w:ind w:firstLine="1800" w:firstLineChars="600"/>
        <w:rPr>
          <w:rFonts w:hint="eastAsia" w:ascii="宋体" w:eastAsia="宋体" w:cs="宋体"/>
          <w:bCs/>
          <w:kern w:val="0"/>
          <w:sz w:val="30"/>
          <w:szCs w:val="30"/>
          <w:highlight w:val="none"/>
          <w:lang w:eastAsia="zh-CN"/>
        </w:rPr>
      </w:pPr>
      <w:r>
        <w:rPr>
          <w:rFonts w:hint="eastAsia" w:ascii="宋体" w:hAnsi="宋体" w:cs="宋体"/>
          <w:bCs/>
          <w:kern w:val="0"/>
          <w:sz w:val="30"/>
          <w:szCs w:val="30"/>
          <w:highlight w:val="none"/>
          <w:lang w:val="en-US" w:eastAsia="zh-CN"/>
        </w:rPr>
        <w:t>采购</w:t>
      </w:r>
      <w:r>
        <w:rPr>
          <w:rFonts w:hint="eastAsia" w:ascii="宋体" w:hAnsi="宋体" w:cs="宋体"/>
          <w:bCs/>
          <w:kern w:val="0"/>
          <w:sz w:val="30"/>
          <w:szCs w:val="30"/>
          <w:highlight w:val="none"/>
        </w:rPr>
        <w:t>单</w:t>
      </w:r>
      <w:r>
        <w:rPr>
          <w:rFonts w:hint="eastAsia" w:ascii="宋体" w:hAnsi="宋体"/>
          <w:sz w:val="30"/>
          <w:szCs w:val="30"/>
          <w:highlight w:val="none"/>
        </w:rPr>
        <w:t>位：</w:t>
      </w:r>
      <w:r>
        <w:rPr>
          <w:rFonts w:hint="eastAsia" w:ascii="宋体" w:hAnsi="宋体"/>
          <w:sz w:val="30"/>
          <w:szCs w:val="30"/>
          <w:highlight w:val="none"/>
          <w:lang w:val="en-US" w:eastAsia="zh-CN"/>
        </w:rPr>
        <w:t>咸宁市宁安建筑工程有限公司</w:t>
      </w:r>
    </w:p>
    <w:p>
      <w:pPr>
        <w:wordWrap w:val="0"/>
        <w:spacing w:line="480" w:lineRule="auto"/>
        <w:ind w:firstLine="1800" w:firstLineChars="600"/>
        <w:rPr>
          <w:rFonts w:hint="eastAsia" w:ascii="宋体" w:eastAsia="宋体" w:cs="宋体"/>
          <w:bCs/>
          <w:kern w:val="0"/>
          <w:sz w:val="30"/>
          <w:szCs w:val="30"/>
          <w:highlight w:val="none"/>
          <w:lang w:eastAsia="zh-CN"/>
        </w:rPr>
      </w:pPr>
      <w:r>
        <w:rPr>
          <w:rFonts w:hint="eastAsia" w:ascii="宋体" w:hAnsi="宋体"/>
          <w:sz w:val="30"/>
          <w:szCs w:val="30"/>
          <w:highlight w:val="none"/>
        </w:rPr>
        <w:t>编制时间：</w:t>
      </w:r>
      <w:r>
        <w:rPr>
          <w:rFonts w:hint="eastAsia" w:ascii="宋体" w:hAnsi="宋体"/>
          <w:sz w:val="30"/>
          <w:szCs w:val="30"/>
          <w:highlight w:val="none"/>
          <w:lang w:eastAsia="zh-CN"/>
        </w:rPr>
        <w:t>二零</w:t>
      </w:r>
      <w:r>
        <w:rPr>
          <w:rFonts w:hint="eastAsia" w:ascii="宋体" w:hAnsi="宋体"/>
          <w:sz w:val="30"/>
          <w:szCs w:val="30"/>
          <w:highlight w:val="none"/>
          <w:lang w:val="en-US" w:eastAsia="zh-CN"/>
        </w:rPr>
        <w:t>二二</w:t>
      </w:r>
      <w:r>
        <w:rPr>
          <w:rFonts w:hint="eastAsia" w:ascii="宋体" w:hAnsi="宋体"/>
          <w:sz w:val="30"/>
          <w:szCs w:val="30"/>
          <w:highlight w:val="none"/>
          <w:lang w:eastAsia="zh-CN"/>
        </w:rPr>
        <w:t>年</w:t>
      </w:r>
      <w:r>
        <w:rPr>
          <w:rFonts w:hint="eastAsia" w:ascii="宋体" w:hAnsi="宋体"/>
          <w:sz w:val="30"/>
          <w:szCs w:val="30"/>
          <w:highlight w:val="none"/>
          <w:lang w:val="en-US" w:eastAsia="zh-CN"/>
        </w:rPr>
        <w:t>九</w:t>
      </w:r>
      <w:r>
        <w:rPr>
          <w:rFonts w:hint="eastAsia" w:ascii="宋体" w:hAnsi="宋体"/>
          <w:sz w:val="30"/>
          <w:szCs w:val="30"/>
          <w:highlight w:val="none"/>
          <w:lang w:eastAsia="zh-CN"/>
        </w:rPr>
        <w:t>月</w:t>
      </w:r>
    </w:p>
    <w:p>
      <w:pPr>
        <w:wordWrap w:val="0"/>
        <w:spacing w:line="300" w:lineRule="auto"/>
        <w:jc w:val="center"/>
        <w:rPr>
          <w:rFonts w:ascii="宋体" w:cs="Arial"/>
          <w:b/>
          <w:bCs/>
          <w:sz w:val="24"/>
          <w:highlight w:val="none"/>
          <w:lang w:val="en-GB"/>
        </w:rPr>
        <w:sectPr>
          <w:footerReference r:id="rId6" w:type="first"/>
          <w:headerReference r:id="rId3" w:type="default"/>
          <w:footerReference r:id="rId4" w:type="default"/>
          <w:footerReference r:id="rId5" w:type="even"/>
          <w:pgSz w:w="11907" w:h="16840"/>
          <w:pgMar w:top="1000" w:right="1474" w:bottom="1000" w:left="1474" w:header="907" w:footer="907" w:gutter="0"/>
          <w:pgBorders>
            <w:top w:val="none" w:sz="0" w:space="0"/>
            <w:left w:val="none" w:sz="0" w:space="0"/>
            <w:bottom w:val="none" w:sz="0" w:space="0"/>
            <w:right w:val="none" w:sz="0" w:space="0"/>
          </w:pgBorders>
          <w:pgNumType w:start="1"/>
          <w:cols w:space="720" w:num="1"/>
          <w:titlePg/>
          <w:docGrid w:linePitch="312" w:charSpace="0"/>
        </w:sectPr>
      </w:pPr>
    </w:p>
    <w:p>
      <w:pPr>
        <w:tabs>
          <w:tab w:val="center" w:pos="4536"/>
        </w:tabs>
        <w:wordWrap w:val="0"/>
        <w:spacing w:line="560" w:lineRule="exact"/>
        <w:jc w:val="left"/>
        <w:rPr>
          <w:highlight w:val="none"/>
        </w:rPr>
      </w:pPr>
      <w:r>
        <w:rPr>
          <w:rFonts w:ascii="黑体" w:hAnsi="宋体" w:eastAsia="黑体" w:cs="Arial"/>
          <w:b/>
          <w:bCs/>
          <w:sz w:val="52"/>
          <w:szCs w:val="52"/>
          <w:highlight w:val="none"/>
        </w:rPr>
        <w:tab/>
      </w:r>
      <w:bookmarkStart w:id="0" w:name="_Hlk528226535"/>
      <w:bookmarkStart w:id="1" w:name="_Toc535815709"/>
      <w:bookmarkStart w:id="2" w:name="_Toc136229088"/>
      <w:bookmarkStart w:id="3" w:name="_Toc535814464"/>
      <w:bookmarkStart w:id="4" w:name="_Toc120411791"/>
      <w:bookmarkStart w:id="5" w:name="_Toc426449721"/>
    </w:p>
    <w:sdt>
      <w:sdtPr>
        <w:rPr>
          <w:rFonts w:ascii="宋体" w:hAnsi="宋体" w:eastAsia="宋体" w:cs="Times New Roman"/>
          <w:b/>
          <w:bCs/>
          <w:kern w:val="2"/>
          <w:sz w:val="32"/>
          <w:szCs w:val="32"/>
          <w:highlight w:val="none"/>
          <w:lang w:val="en-US" w:eastAsia="zh-CN" w:bidi="ar-SA"/>
        </w:rPr>
        <w:id w:val="147451877"/>
        <w15:color w:val="DBDBDB"/>
        <w:docPartObj>
          <w:docPartGallery w:val="Table of Contents"/>
          <w:docPartUnique/>
        </w:docPartObj>
      </w:sdtPr>
      <w:sdtEndPr>
        <w:rPr>
          <w:rFonts w:hint="eastAsia" w:ascii="Times New Roman" w:hAnsi="Times New Roman" w:eastAsia="宋体" w:cs="Times New Roman"/>
          <w:b/>
          <w:bCs w:val="0"/>
          <w:caps w:val="0"/>
          <w:kern w:val="2"/>
          <w:sz w:val="24"/>
          <w:szCs w:val="24"/>
          <w:highlight w:val="none"/>
          <w:lang w:val="en-US" w:eastAsia="zh-CN" w:bidi="ar-SA"/>
        </w:rPr>
      </w:sdtEndPr>
      <w:sdtContent>
        <w:p>
          <w:pPr>
            <w:tabs>
              <w:tab w:val="center" w:pos="4536"/>
            </w:tabs>
            <w:wordWrap w:val="0"/>
            <w:spacing w:line="560" w:lineRule="exact"/>
            <w:jc w:val="center"/>
            <w:rPr>
              <w:b/>
              <w:bCs/>
              <w:sz w:val="32"/>
              <w:szCs w:val="32"/>
              <w:highlight w:val="none"/>
            </w:rPr>
          </w:pPr>
          <w:r>
            <w:rPr>
              <w:rFonts w:ascii="宋体" w:hAnsi="宋体" w:eastAsia="宋体"/>
              <w:b/>
              <w:bCs/>
              <w:sz w:val="32"/>
              <w:szCs w:val="32"/>
              <w:highlight w:val="none"/>
            </w:rPr>
            <w:t>目录</w:t>
          </w:r>
        </w:p>
        <w:p>
          <w:pPr>
            <w:pStyle w:val="156"/>
            <w:tabs>
              <w:tab w:val="right" w:leader="dot" w:pos="8958"/>
            </w:tabs>
            <w:rPr>
              <w:b/>
              <w:sz w:val="28"/>
              <w:szCs w:val="28"/>
              <w:highlight w:val="none"/>
            </w:rPr>
          </w:pPr>
          <w:r>
            <w:rPr>
              <w:rFonts w:hint="eastAsia" w:ascii="Times New Roman" w:hAnsi="Times New Roman" w:eastAsia="宋体"/>
              <w:b w:val="0"/>
              <w:bCs w:val="0"/>
              <w:caps w:val="0"/>
              <w:sz w:val="21"/>
              <w:szCs w:val="24"/>
              <w:highlight w:val="none"/>
              <w:lang w:val="en-US" w:eastAsia="zh-CN"/>
            </w:rPr>
            <w:fldChar w:fldCharType="begin"/>
          </w:r>
          <w:r>
            <w:rPr>
              <w:rFonts w:hint="eastAsia" w:ascii="Times New Roman" w:hAnsi="Times New Roman" w:eastAsia="宋体"/>
              <w:b w:val="0"/>
              <w:bCs w:val="0"/>
              <w:caps w:val="0"/>
              <w:sz w:val="21"/>
              <w:szCs w:val="24"/>
              <w:highlight w:val="none"/>
              <w:lang w:val="en-US" w:eastAsia="zh-CN"/>
            </w:rPr>
            <w:instrText xml:space="preserve">TOC \o "1-2" \h \u </w:instrText>
          </w:r>
          <w:r>
            <w:rPr>
              <w:rFonts w:hint="eastAsia" w:ascii="Times New Roman" w:hAnsi="Times New Roman" w:eastAsia="宋体"/>
              <w:b w:val="0"/>
              <w:bCs w:val="0"/>
              <w:caps w:val="0"/>
              <w:sz w:val="21"/>
              <w:szCs w:val="24"/>
              <w:highlight w:val="none"/>
              <w:lang w:val="en-US" w:eastAsia="zh-CN"/>
            </w:rPr>
            <w:fldChar w:fldCharType="separate"/>
          </w: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_Toc12546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 xml:space="preserve">第一章 </w:t>
          </w:r>
          <w:r>
            <w:rPr>
              <w:rFonts w:ascii="黑体" w:eastAsia="黑体"/>
              <w:b/>
              <w:sz w:val="28"/>
              <w:szCs w:val="28"/>
              <w:highlight w:val="none"/>
            </w:rPr>
            <w:t xml:space="preserve"> </w:t>
          </w:r>
          <w:r>
            <w:rPr>
              <w:rFonts w:hint="eastAsia" w:ascii="黑体" w:eastAsia="黑体"/>
              <w:b/>
              <w:sz w:val="28"/>
              <w:szCs w:val="28"/>
              <w:highlight w:val="none"/>
            </w:rPr>
            <w:t>投标邀请函</w:t>
          </w:r>
          <w:r>
            <w:rPr>
              <w:b/>
              <w:sz w:val="28"/>
              <w:szCs w:val="28"/>
              <w:highlight w:val="none"/>
            </w:rPr>
            <w:tab/>
          </w:r>
          <w:r>
            <w:rPr>
              <w:b/>
              <w:sz w:val="28"/>
              <w:szCs w:val="28"/>
              <w:highlight w:val="none"/>
            </w:rPr>
            <w:fldChar w:fldCharType="begin"/>
          </w:r>
          <w:r>
            <w:rPr>
              <w:b/>
              <w:sz w:val="28"/>
              <w:szCs w:val="28"/>
              <w:highlight w:val="none"/>
            </w:rPr>
            <w:instrText xml:space="preserve"> PAGEREF _Toc12546 \h </w:instrText>
          </w:r>
          <w:r>
            <w:rPr>
              <w:b/>
              <w:sz w:val="28"/>
              <w:szCs w:val="28"/>
              <w:highlight w:val="none"/>
            </w:rPr>
            <w:fldChar w:fldCharType="separate"/>
          </w:r>
          <w:r>
            <w:rPr>
              <w:b/>
              <w:sz w:val="28"/>
              <w:szCs w:val="28"/>
              <w:highlight w:val="none"/>
            </w:rPr>
            <w:t>1</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_Toc6950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一、采购项目概况</w:t>
          </w:r>
          <w:r>
            <w:rPr>
              <w:sz w:val="28"/>
              <w:szCs w:val="28"/>
              <w:highlight w:val="none"/>
            </w:rPr>
            <w:tab/>
          </w:r>
          <w:r>
            <w:rPr>
              <w:sz w:val="28"/>
              <w:szCs w:val="28"/>
              <w:highlight w:val="none"/>
            </w:rPr>
            <w:fldChar w:fldCharType="begin"/>
          </w:r>
          <w:r>
            <w:rPr>
              <w:sz w:val="28"/>
              <w:szCs w:val="28"/>
              <w:highlight w:val="none"/>
            </w:rPr>
            <w:instrText xml:space="preserve"> PAGEREF _Toc6950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_Toc13958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二、投标人的资格</w:t>
          </w:r>
          <w:r>
            <w:rPr>
              <w:sz w:val="28"/>
              <w:szCs w:val="28"/>
              <w:highlight w:val="none"/>
            </w:rPr>
            <w:tab/>
          </w:r>
          <w:r>
            <w:rPr>
              <w:sz w:val="28"/>
              <w:szCs w:val="28"/>
              <w:highlight w:val="none"/>
            </w:rPr>
            <w:fldChar w:fldCharType="begin"/>
          </w:r>
          <w:r>
            <w:rPr>
              <w:sz w:val="28"/>
              <w:szCs w:val="28"/>
              <w:highlight w:val="none"/>
            </w:rPr>
            <w:instrText xml:space="preserve"> PAGEREF _Toc13958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_Toc13167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三、招标文件获取</w:t>
          </w:r>
          <w:r>
            <w:rPr>
              <w:sz w:val="28"/>
              <w:szCs w:val="28"/>
              <w:highlight w:val="none"/>
            </w:rPr>
            <w:tab/>
          </w:r>
          <w:r>
            <w:rPr>
              <w:sz w:val="28"/>
              <w:szCs w:val="28"/>
              <w:highlight w:val="none"/>
            </w:rPr>
            <w:fldChar w:fldCharType="begin"/>
          </w:r>
          <w:r>
            <w:rPr>
              <w:sz w:val="28"/>
              <w:szCs w:val="28"/>
              <w:highlight w:val="none"/>
            </w:rPr>
            <w:instrText xml:space="preserve"> PAGEREF _Toc13167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_Toc31299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四、投标文件递交</w:t>
          </w:r>
          <w:r>
            <w:rPr>
              <w:sz w:val="28"/>
              <w:szCs w:val="28"/>
              <w:highlight w:val="none"/>
            </w:rPr>
            <w:tab/>
          </w:r>
          <w:r>
            <w:rPr>
              <w:sz w:val="28"/>
              <w:szCs w:val="28"/>
              <w:highlight w:val="none"/>
            </w:rPr>
            <w:fldChar w:fldCharType="begin"/>
          </w:r>
          <w:r>
            <w:rPr>
              <w:sz w:val="28"/>
              <w:szCs w:val="28"/>
              <w:highlight w:val="none"/>
            </w:rPr>
            <w:instrText xml:space="preserve"> PAGEREF _Toc31299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_Toc11531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五、开标地点时间</w:t>
          </w:r>
          <w:r>
            <w:rPr>
              <w:sz w:val="28"/>
              <w:szCs w:val="28"/>
              <w:highlight w:val="none"/>
            </w:rPr>
            <w:tab/>
          </w:r>
          <w:r>
            <w:rPr>
              <w:sz w:val="28"/>
              <w:szCs w:val="28"/>
              <w:highlight w:val="none"/>
            </w:rPr>
            <w:fldChar w:fldCharType="begin"/>
          </w:r>
          <w:r>
            <w:rPr>
              <w:sz w:val="28"/>
              <w:szCs w:val="28"/>
              <w:highlight w:val="none"/>
            </w:rPr>
            <w:instrText xml:space="preserve"> PAGEREF _Toc11531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_Toc32540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bCs/>
              <w:snapToGrid w:val="0"/>
              <w:kern w:val="0"/>
              <w:sz w:val="28"/>
              <w:szCs w:val="28"/>
              <w:highlight w:val="none"/>
            </w:rPr>
            <w:t>六、相关联系方式</w:t>
          </w:r>
          <w:r>
            <w:rPr>
              <w:sz w:val="28"/>
              <w:szCs w:val="28"/>
              <w:highlight w:val="none"/>
            </w:rPr>
            <w:tab/>
          </w:r>
          <w:r>
            <w:rPr>
              <w:sz w:val="28"/>
              <w:szCs w:val="28"/>
              <w:highlight w:val="none"/>
            </w:rPr>
            <w:fldChar w:fldCharType="begin"/>
          </w:r>
          <w:r>
            <w:rPr>
              <w:sz w:val="28"/>
              <w:szCs w:val="28"/>
              <w:highlight w:val="none"/>
            </w:rPr>
            <w:instrText xml:space="preserve"> PAGEREF _Toc32540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_Toc2333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bCs/>
              <w:snapToGrid w:val="0"/>
              <w:kern w:val="0"/>
              <w:sz w:val="28"/>
              <w:szCs w:val="28"/>
              <w:highlight w:val="none"/>
            </w:rPr>
            <w:t>七、信息发布媒体</w:t>
          </w:r>
          <w:r>
            <w:rPr>
              <w:sz w:val="28"/>
              <w:szCs w:val="28"/>
              <w:highlight w:val="none"/>
            </w:rPr>
            <w:tab/>
          </w:r>
          <w:r>
            <w:rPr>
              <w:sz w:val="28"/>
              <w:szCs w:val="28"/>
              <w:highlight w:val="none"/>
            </w:rPr>
            <w:fldChar w:fldCharType="begin"/>
          </w:r>
          <w:r>
            <w:rPr>
              <w:sz w:val="28"/>
              <w:szCs w:val="28"/>
              <w:highlight w:val="none"/>
            </w:rPr>
            <w:instrText xml:space="preserve"> PAGEREF _Toc2333 \h </w:instrText>
          </w:r>
          <w:r>
            <w:rPr>
              <w:sz w:val="28"/>
              <w:szCs w:val="28"/>
              <w:highlight w:val="none"/>
            </w:rPr>
            <w:fldChar w:fldCharType="separate"/>
          </w:r>
          <w:r>
            <w:rPr>
              <w:sz w:val="28"/>
              <w:szCs w:val="28"/>
              <w:highlight w:val="none"/>
            </w:rPr>
            <w:t>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_Toc27693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 xml:space="preserve">第二章 </w:t>
          </w:r>
          <w:r>
            <w:rPr>
              <w:rFonts w:ascii="黑体" w:eastAsia="黑体"/>
              <w:b/>
              <w:sz w:val="28"/>
              <w:szCs w:val="28"/>
              <w:highlight w:val="none"/>
            </w:rPr>
            <w:t xml:space="preserve"> </w:t>
          </w:r>
          <w:r>
            <w:rPr>
              <w:rFonts w:hint="eastAsia" w:ascii="黑体" w:eastAsia="黑体"/>
              <w:b/>
              <w:sz w:val="28"/>
              <w:szCs w:val="28"/>
              <w:highlight w:val="none"/>
            </w:rPr>
            <w:t>投标人须知</w:t>
          </w:r>
          <w:r>
            <w:rPr>
              <w:b/>
              <w:sz w:val="28"/>
              <w:szCs w:val="28"/>
              <w:highlight w:val="none"/>
            </w:rPr>
            <w:tab/>
          </w:r>
          <w:r>
            <w:rPr>
              <w:b/>
              <w:sz w:val="28"/>
              <w:szCs w:val="28"/>
              <w:highlight w:val="none"/>
            </w:rPr>
            <w:fldChar w:fldCharType="begin"/>
          </w:r>
          <w:r>
            <w:rPr>
              <w:b/>
              <w:sz w:val="28"/>
              <w:szCs w:val="28"/>
              <w:highlight w:val="none"/>
            </w:rPr>
            <w:instrText xml:space="preserve"> PAGEREF _Toc27693 \h </w:instrText>
          </w:r>
          <w:r>
            <w:rPr>
              <w:b/>
              <w:sz w:val="28"/>
              <w:szCs w:val="28"/>
              <w:highlight w:val="none"/>
            </w:rPr>
            <w:fldChar w:fldCharType="separate"/>
          </w:r>
          <w:r>
            <w:rPr>
              <w:b/>
              <w:sz w:val="28"/>
              <w:szCs w:val="28"/>
              <w:highlight w:val="none"/>
            </w:rPr>
            <w:t>4</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_Toc31416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一、 </w:t>
          </w:r>
          <w:r>
            <w:rPr>
              <w:rFonts w:hint="eastAsia" w:ascii="黑体" w:hAnsi="黑体" w:eastAsia="黑体" w:cs="黑体"/>
              <w:sz w:val="28"/>
              <w:szCs w:val="28"/>
              <w:highlight w:val="none"/>
            </w:rPr>
            <w:t>供应商须知附表</w:t>
          </w:r>
          <w:r>
            <w:rPr>
              <w:sz w:val="28"/>
              <w:szCs w:val="28"/>
              <w:highlight w:val="none"/>
            </w:rPr>
            <w:tab/>
          </w:r>
          <w:r>
            <w:rPr>
              <w:sz w:val="28"/>
              <w:szCs w:val="28"/>
              <w:highlight w:val="none"/>
            </w:rPr>
            <w:fldChar w:fldCharType="begin"/>
          </w:r>
          <w:r>
            <w:rPr>
              <w:sz w:val="28"/>
              <w:szCs w:val="28"/>
              <w:highlight w:val="none"/>
            </w:rPr>
            <w:instrText xml:space="preserve"> PAGEREF _Toc31416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_Toc14104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二、 </w:t>
          </w:r>
          <w:r>
            <w:rPr>
              <w:rFonts w:hint="eastAsia" w:ascii="黑体" w:hAnsi="黑体" w:eastAsia="黑体" w:cs="黑体"/>
              <w:sz w:val="28"/>
              <w:szCs w:val="28"/>
              <w:highlight w:val="none"/>
            </w:rPr>
            <w:t>相关定义说明</w:t>
          </w:r>
          <w:r>
            <w:rPr>
              <w:sz w:val="28"/>
              <w:szCs w:val="28"/>
              <w:highlight w:val="none"/>
            </w:rPr>
            <w:tab/>
          </w:r>
          <w:r>
            <w:rPr>
              <w:sz w:val="28"/>
              <w:szCs w:val="28"/>
              <w:highlight w:val="none"/>
            </w:rPr>
            <w:fldChar w:fldCharType="begin"/>
          </w:r>
          <w:r>
            <w:rPr>
              <w:sz w:val="28"/>
              <w:szCs w:val="28"/>
              <w:highlight w:val="none"/>
            </w:rPr>
            <w:instrText xml:space="preserve"> PAGEREF _Toc14104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_Toc23648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三、 </w:t>
          </w:r>
          <w:r>
            <w:rPr>
              <w:rFonts w:hint="eastAsia" w:ascii="黑体" w:hAnsi="黑体" w:eastAsia="黑体" w:cs="黑体"/>
              <w:sz w:val="28"/>
              <w:szCs w:val="28"/>
              <w:highlight w:val="none"/>
            </w:rPr>
            <w:t>招标文件说明</w:t>
          </w:r>
          <w:r>
            <w:rPr>
              <w:sz w:val="28"/>
              <w:szCs w:val="28"/>
              <w:highlight w:val="none"/>
            </w:rPr>
            <w:tab/>
          </w:r>
          <w:r>
            <w:rPr>
              <w:sz w:val="28"/>
              <w:szCs w:val="28"/>
              <w:highlight w:val="none"/>
            </w:rPr>
            <w:fldChar w:fldCharType="begin"/>
          </w:r>
          <w:r>
            <w:rPr>
              <w:sz w:val="28"/>
              <w:szCs w:val="28"/>
              <w:highlight w:val="none"/>
            </w:rPr>
            <w:instrText xml:space="preserve"> PAGEREF _Toc23648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_Toc26106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四、 </w:t>
          </w:r>
          <w:r>
            <w:rPr>
              <w:rFonts w:hint="eastAsia" w:ascii="黑体" w:hAnsi="黑体" w:eastAsia="黑体" w:cs="黑体"/>
              <w:sz w:val="28"/>
              <w:szCs w:val="28"/>
              <w:highlight w:val="none"/>
            </w:rPr>
            <w:t>投标文件编制</w:t>
          </w:r>
          <w:r>
            <w:rPr>
              <w:sz w:val="28"/>
              <w:szCs w:val="28"/>
              <w:highlight w:val="none"/>
            </w:rPr>
            <w:tab/>
          </w:r>
          <w:r>
            <w:rPr>
              <w:sz w:val="28"/>
              <w:szCs w:val="28"/>
              <w:highlight w:val="none"/>
            </w:rPr>
            <w:fldChar w:fldCharType="begin"/>
          </w:r>
          <w:r>
            <w:rPr>
              <w:sz w:val="28"/>
              <w:szCs w:val="28"/>
              <w:highlight w:val="none"/>
            </w:rPr>
            <w:instrText xml:space="preserve"> PAGEREF _Toc26106 \h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_Toc715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五、 </w:t>
          </w:r>
          <w:r>
            <w:rPr>
              <w:rFonts w:hint="eastAsia" w:ascii="黑体" w:hAnsi="黑体" w:eastAsia="黑体" w:cs="黑体"/>
              <w:sz w:val="28"/>
              <w:szCs w:val="28"/>
              <w:highlight w:val="none"/>
            </w:rPr>
            <w:t>投标文件递交</w:t>
          </w:r>
          <w:r>
            <w:rPr>
              <w:sz w:val="28"/>
              <w:szCs w:val="28"/>
              <w:highlight w:val="none"/>
            </w:rPr>
            <w:tab/>
          </w:r>
          <w:r>
            <w:rPr>
              <w:sz w:val="28"/>
              <w:szCs w:val="28"/>
              <w:highlight w:val="none"/>
            </w:rPr>
            <w:fldChar w:fldCharType="begin"/>
          </w:r>
          <w:r>
            <w:rPr>
              <w:sz w:val="28"/>
              <w:szCs w:val="28"/>
              <w:highlight w:val="none"/>
            </w:rPr>
            <w:instrText xml:space="preserve"> PAGEREF _Toc715 \h </w:instrText>
          </w:r>
          <w:r>
            <w:rPr>
              <w:sz w:val="28"/>
              <w:szCs w:val="28"/>
              <w:highlight w:val="none"/>
            </w:rPr>
            <w:fldChar w:fldCharType="separate"/>
          </w:r>
          <w:r>
            <w:rPr>
              <w:sz w:val="28"/>
              <w:szCs w:val="28"/>
              <w:highlight w:val="none"/>
            </w:rPr>
            <w:t>9</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_Toc19885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六、 </w:t>
          </w:r>
          <w:r>
            <w:rPr>
              <w:rFonts w:hint="eastAsia" w:ascii="黑体" w:hAnsi="黑体" w:eastAsia="黑体" w:cs="黑体"/>
              <w:sz w:val="28"/>
              <w:szCs w:val="28"/>
              <w:highlight w:val="none"/>
            </w:rPr>
            <w:t>开标评标定标</w:t>
          </w:r>
          <w:r>
            <w:rPr>
              <w:sz w:val="28"/>
              <w:szCs w:val="28"/>
              <w:highlight w:val="none"/>
            </w:rPr>
            <w:tab/>
          </w:r>
          <w:r>
            <w:rPr>
              <w:sz w:val="28"/>
              <w:szCs w:val="28"/>
              <w:highlight w:val="none"/>
            </w:rPr>
            <w:fldChar w:fldCharType="begin"/>
          </w:r>
          <w:r>
            <w:rPr>
              <w:sz w:val="28"/>
              <w:szCs w:val="28"/>
              <w:highlight w:val="none"/>
            </w:rPr>
            <w:instrText xml:space="preserve"> PAGEREF _Toc19885 \h </w:instrText>
          </w:r>
          <w:r>
            <w:rPr>
              <w:sz w:val="28"/>
              <w:szCs w:val="28"/>
              <w:highlight w:val="none"/>
            </w:rPr>
            <w:fldChar w:fldCharType="separate"/>
          </w:r>
          <w:r>
            <w:rPr>
              <w:sz w:val="28"/>
              <w:szCs w:val="28"/>
              <w:highlight w:val="none"/>
            </w:rPr>
            <w:t>10</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_Toc24181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七、 </w:t>
          </w:r>
          <w:r>
            <w:rPr>
              <w:rFonts w:hint="eastAsia" w:ascii="黑体" w:hAnsi="黑体" w:eastAsia="黑体" w:cs="黑体"/>
              <w:sz w:val="28"/>
              <w:szCs w:val="28"/>
              <w:highlight w:val="none"/>
            </w:rPr>
            <w:t>授予合同其它</w:t>
          </w:r>
          <w:r>
            <w:rPr>
              <w:sz w:val="28"/>
              <w:szCs w:val="28"/>
              <w:highlight w:val="none"/>
            </w:rPr>
            <w:tab/>
          </w:r>
          <w:r>
            <w:rPr>
              <w:sz w:val="28"/>
              <w:szCs w:val="28"/>
              <w:highlight w:val="none"/>
            </w:rPr>
            <w:fldChar w:fldCharType="begin"/>
          </w:r>
          <w:r>
            <w:rPr>
              <w:sz w:val="28"/>
              <w:szCs w:val="28"/>
              <w:highlight w:val="none"/>
            </w:rPr>
            <w:instrText xml:space="preserve"> PAGEREF _Toc24181 \h </w:instrText>
          </w:r>
          <w:r>
            <w:rPr>
              <w:sz w:val="28"/>
              <w:szCs w:val="28"/>
              <w:highlight w:val="none"/>
            </w:rPr>
            <w:fldChar w:fldCharType="separate"/>
          </w:r>
          <w:r>
            <w:rPr>
              <w:sz w:val="28"/>
              <w:szCs w:val="28"/>
              <w:highlight w:val="none"/>
            </w:rPr>
            <w:t>11</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_Toc6023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第三章  商务技术要求</w:t>
          </w:r>
          <w:r>
            <w:rPr>
              <w:b/>
              <w:sz w:val="28"/>
              <w:szCs w:val="28"/>
              <w:highlight w:val="none"/>
            </w:rPr>
            <w:tab/>
          </w:r>
          <w:r>
            <w:rPr>
              <w:b/>
              <w:sz w:val="28"/>
              <w:szCs w:val="28"/>
              <w:highlight w:val="none"/>
            </w:rPr>
            <w:fldChar w:fldCharType="begin"/>
          </w:r>
          <w:r>
            <w:rPr>
              <w:b/>
              <w:sz w:val="28"/>
              <w:szCs w:val="28"/>
              <w:highlight w:val="none"/>
            </w:rPr>
            <w:instrText xml:space="preserve"> PAGEREF _Toc6023 \h </w:instrText>
          </w:r>
          <w:r>
            <w:rPr>
              <w:b/>
              <w:sz w:val="28"/>
              <w:szCs w:val="28"/>
              <w:highlight w:val="none"/>
            </w:rPr>
            <w:fldChar w:fldCharType="separate"/>
          </w:r>
          <w:r>
            <w:rPr>
              <w:b/>
              <w:sz w:val="28"/>
              <w:szCs w:val="28"/>
              <w:highlight w:val="none"/>
            </w:rPr>
            <w:t>13</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_Toc11007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黑体"/>
              <w:sz w:val="28"/>
              <w:szCs w:val="28"/>
              <w:highlight w:val="none"/>
              <w:lang w:val="en-US" w:eastAsia="zh-CN"/>
            </w:rPr>
            <w:t>一、材料相关信息</w:t>
          </w:r>
          <w:r>
            <w:rPr>
              <w:sz w:val="28"/>
              <w:szCs w:val="28"/>
              <w:highlight w:val="none"/>
            </w:rPr>
            <w:tab/>
          </w:r>
          <w:r>
            <w:rPr>
              <w:sz w:val="28"/>
              <w:szCs w:val="28"/>
              <w:highlight w:val="none"/>
            </w:rPr>
            <w:fldChar w:fldCharType="begin"/>
          </w:r>
          <w:r>
            <w:rPr>
              <w:sz w:val="28"/>
              <w:szCs w:val="28"/>
              <w:highlight w:val="none"/>
            </w:rPr>
            <w:instrText xml:space="preserve"> PAGEREF _Toc11007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_Toc29118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宋体" w:eastAsia="黑体"/>
              <w:sz w:val="28"/>
              <w:szCs w:val="28"/>
              <w:highlight w:val="none"/>
              <w:lang w:val="zh-CN"/>
            </w:rPr>
            <w:t>二、</w:t>
          </w:r>
          <w:r>
            <w:rPr>
              <w:rFonts w:hint="eastAsia" w:ascii="黑体" w:eastAsia="黑体"/>
              <w:sz w:val="28"/>
              <w:szCs w:val="28"/>
              <w:highlight w:val="none"/>
              <w:shd w:val="clear" w:color="auto" w:fill="FFFFFF"/>
            </w:rPr>
            <w:t>▲</w:t>
          </w:r>
          <w:r>
            <w:rPr>
              <w:rFonts w:hint="eastAsia" w:ascii="黑体" w:hAnsi="宋体" w:eastAsia="黑体"/>
              <w:sz w:val="28"/>
              <w:szCs w:val="28"/>
              <w:highlight w:val="none"/>
              <w:lang w:val="zh-CN"/>
            </w:rPr>
            <w:t>商务条件</w:t>
          </w:r>
          <w:r>
            <w:rPr>
              <w:rFonts w:hint="eastAsia" w:ascii="黑体" w:eastAsia="黑体"/>
              <w:sz w:val="28"/>
              <w:szCs w:val="28"/>
              <w:highlight w:val="none"/>
              <w:shd w:val="clear" w:color="auto" w:fill="FFFFFF"/>
            </w:rPr>
            <w:t>要求</w:t>
          </w:r>
          <w:r>
            <w:rPr>
              <w:sz w:val="28"/>
              <w:szCs w:val="28"/>
              <w:highlight w:val="none"/>
            </w:rPr>
            <w:tab/>
          </w:r>
          <w:r>
            <w:rPr>
              <w:sz w:val="28"/>
              <w:szCs w:val="28"/>
              <w:highlight w:val="none"/>
            </w:rPr>
            <w:fldChar w:fldCharType="begin"/>
          </w:r>
          <w:r>
            <w:rPr>
              <w:sz w:val="28"/>
              <w:szCs w:val="28"/>
              <w:highlight w:val="none"/>
            </w:rPr>
            <w:instrText xml:space="preserve"> PAGEREF _Toc29118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_Toc8826 </w:instrText>
          </w:r>
          <w:r>
            <w:rPr>
              <w:rFonts w:hint="eastAsia" w:ascii="Times New Roman" w:hAnsi="Times New Roman" w:eastAsia="宋体"/>
              <w:bCs w:val="0"/>
              <w:caps w:val="0"/>
              <w:sz w:val="28"/>
              <w:szCs w:val="28"/>
              <w:highlight w:val="none"/>
              <w:lang w:val="en-US" w:eastAsia="zh-CN"/>
            </w:rPr>
            <w:fldChar w:fldCharType="separate"/>
          </w:r>
          <w:r>
            <w:rPr>
              <w:rFonts w:hint="eastAsia" w:ascii="宋体" w:hAnsi="宋体" w:eastAsia="黑体" w:cs="黑体"/>
              <w:snapToGrid w:val="0"/>
              <w:kern w:val="21"/>
              <w:sz w:val="28"/>
              <w:szCs w:val="28"/>
              <w:highlight w:val="none"/>
              <w:lang w:val="zh-CN"/>
            </w:rPr>
            <w:t>三</w:t>
          </w:r>
          <w:r>
            <w:rPr>
              <w:rFonts w:hint="eastAsia" w:ascii="黑体" w:hAnsi="宋体" w:eastAsia="黑体"/>
              <w:sz w:val="28"/>
              <w:szCs w:val="28"/>
              <w:highlight w:val="none"/>
              <w:lang w:val="zh-CN"/>
            </w:rPr>
            <w:t>、</w:t>
          </w:r>
          <w:r>
            <w:rPr>
              <w:rFonts w:hint="eastAsia"/>
              <w:sz w:val="28"/>
              <w:szCs w:val="28"/>
              <w:highlight w:val="none"/>
              <w:shd w:val="clear" w:color="auto" w:fill="FFFFFF"/>
            </w:rPr>
            <w:t>▲</w:t>
          </w:r>
          <w:r>
            <w:rPr>
              <w:rFonts w:hint="eastAsia" w:ascii="黑体" w:eastAsia="黑体"/>
              <w:sz w:val="28"/>
              <w:szCs w:val="28"/>
              <w:highlight w:val="none"/>
              <w:shd w:val="clear" w:color="auto" w:fill="FFFFFF"/>
            </w:rPr>
            <w:t>履约能力</w:t>
          </w:r>
          <w:r>
            <w:rPr>
              <w:sz w:val="28"/>
              <w:szCs w:val="28"/>
              <w:highlight w:val="none"/>
            </w:rPr>
            <w:tab/>
          </w:r>
          <w:r>
            <w:rPr>
              <w:sz w:val="28"/>
              <w:szCs w:val="28"/>
              <w:highlight w:val="none"/>
            </w:rPr>
            <w:fldChar w:fldCharType="begin"/>
          </w:r>
          <w:r>
            <w:rPr>
              <w:sz w:val="28"/>
              <w:szCs w:val="28"/>
              <w:highlight w:val="none"/>
            </w:rPr>
            <w:instrText xml:space="preserve"> PAGEREF _Toc8826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_Toc10248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宋体" w:eastAsia="黑体"/>
              <w:sz w:val="28"/>
              <w:szCs w:val="28"/>
              <w:highlight w:val="none"/>
              <w:lang w:val="en-US" w:eastAsia="zh-CN"/>
              <w14:shadow w14:blurRad="50800" w14:dist="38100" w14:dir="2700000" w14:sx="100000" w14:sy="100000" w14:kx="0" w14:ky="0" w14:algn="tl">
                <w14:srgbClr w14:val="000000">
                  <w14:alpha w14:val="60000"/>
                </w14:srgbClr>
              </w14:shadow>
            </w:rPr>
            <w:t>四、</w:t>
          </w:r>
          <w:r>
            <w:rPr>
              <w:rFonts w:hint="eastAsia"/>
              <w:sz w:val="28"/>
              <w:szCs w:val="28"/>
              <w:highlight w:val="none"/>
              <w:shd w:val="clear" w:color="auto" w:fill="FFFFFF"/>
            </w:rPr>
            <w:t>▲</w:t>
          </w:r>
          <w:r>
            <w:rPr>
              <w:rFonts w:hint="eastAsia" w:ascii="黑体" w:hAnsi="宋体" w:eastAsia="黑体"/>
              <w:sz w:val="28"/>
              <w:szCs w:val="28"/>
              <w:highlight w:val="none"/>
              <w:lang w:val="en-US" w:eastAsia="zh-CN"/>
              <w14:shadow w14:blurRad="50800" w14:dist="38100" w14:dir="2700000" w14:sx="100000" w14:sy="100000" w14:kx="0" w14:ky="0" w14:algn="tl">
                <w14:srgbClr w14:val="000000">
                  <w14:alpha w14:val="60000"/>
                </w14:srgbClr>
              </w14:shadow>
            </w:rPr>
            <w:t>技术要求</w:t>
          </w:r>
          <w:r>
            <w:rPr>
              <w:sz w:val="28"/>
              <w:szCs w:val="28"/>
              <w:highlight w:val="none"/>
            </w:rPr>
            <w:tab/>
          </w:r>
          <w:r>
            <w:rPr>
              <w:sz w:val="28"/>
              <w:szCs w:val="28"/>
              <w:highlight w:val="none"/>
            </w:rPr>
            <w:fldChar w:fldCharType="begin"/>
          </w:r>
          <w:r>
            <w:rPr>
              <w:sz w:val="28"/>
              <w:szCs w:val="28"/>
              <w:highlight w:val="none"/>
            </w:rPr>
            <w:instrText xml:space="preserve"> PAGEREF _Toc10248 \h </w:instrText>
          </w:r>
          <w:r>
            <w:rPr>
              <w:sz w:val="28"/>
              <w:szCs w:val="28"/>
              <w:highlight w:val="none"/>
            </w:rPr>
            <w:fldChar w:fldCharType="separate"/>
          </w:r>
          <w:r>
            <w:rPr>
              <w:sz w:val="28"/>
              <w:szCs w:val="28"/>
              <w:highlight w:val="none"/>
            </w:rPr>
            <w:t>14</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_Toc7176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第四章  评标方法标准</w:t>
          </w:r>
          <w:r>
            <w:rPr>
              <w:b/>
              <w:sz w:val="28"/>
              <w:szCs w:val="28"/>
              <w:highlight w:val="none"/>
            </w:rPr>
            <w:tab/>
          </w:r>
          <w:r>
            <w:rPr>
              <w:b/>
              <w:sz w:val="28"/>
              <w:szCs w:val="28"/>
              <w:highlight w:val="none"/>
            </w:rPr>
            <w:fldChar w:fldCharType="begin"/>
          </w:r>
          <w:r>
            <w:rPr>
              <w:b/>
              <w:sz w:val="28"/>
              <w:szCs w:val="28"/>
              <w:highlight w:val="none"/>
            </w:rPr>
            <w:instrText xml:space="preserve"> PAGEREF _Toc7176 \h </w:instrText>
          </w:r>
          <w:r>
            <w:rPr>
              <w:b/>
              <w:sz w:val="28"/>
              <w:szCs w:val="28"/>
              <w:highlight w:val="none"/>
            </w:rPr>
            <w:fldChar w:fldCharType="separate"/>
          </w:r>
          <w:r>
            <w:rPr>
              <w:b/>
              <w:sz w:val="28"/>
              <w:szCs w:val="28"/>
              <w:highlight w:val="none"/>
            </w:rPr>
            <w:t>15</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_Toc3643 </w:instrText>
          </w:r>
          <w:r>
            <w:rPr>
              <w:rFonts w:hint="eastAsia" w:ascii="Times New Roman" w:hAnsi="Times New Roman" w:eastAsia="宋体"/>
              <w:bCs w:val="0"/>
              <w:caps w:val="0"/>
              <w:sz w:val="28"/>
              <w:szCs w:val="28"/>
              <w:highlight w:val="none"/>
              <w:lang w:val="en-US" w:eastAsia="zh-CN"/>
            </w:rPr>
            <w:fldChar w:fldCharType="separate"/>
          </w:r>
          <w:r>
            <w:rPr>
              <w:rFonts w:hint="eastAsia" w:eastAsia="黑体" w:cs="Times New Roman"/>
              <w:sz w:val="28"/>
              <w:szCs w:val="28"/>
              <w:highlight w:val="none"/>
              <w:lang w:val="zh-CN"/>
            </w:rPr>
            <w:t xml:space="preserve">一、 </w:t>
          </w:r>
          <w:r>
            <w:rPr>
              <w:rFonts w:hint="eastAsia" w:ascii="黑体" w:eastAsia="黑体"/>
              <w:sz w:val="28"/>
              <w:szCs w:val="28"/>
              <w:highlight w:val="none"/>
              <w:lang w:val="zh-CN"/>
            </w:rPr>
            <w:t>评标原则办法</w:t>
          </w:r>
          <w:r>
            <w:rPr>
              <w:sz w:val="28"/>
              <w:szCs w:val="28"/>
              <w:highlight w:val="none"/>
            </w:rPr>
            <w:tab/>
          </w:r>
          <w:r>
            <w:rPr>
              <w:sz w:val="28"/>
              <w:szCs w:val="28"/>
              <w:highlight w:val="none"/>
            </w:rPr>
            <w:fldChar w:fldCharType="begin"/>
          </w:r>
          <w:r>
            <w:rPr>
              <w:sz w:val="28"/>
              <w:szCs w:val="28"/>
              <w:highlight w:val="none"/>
            </w:rPr>
            <w:instrText xml:space="preserve"> PAGEREF _Toc3643 \h </w:instrText>
          </w:r>
          <w:r>
            <w:rPr>
              <w:sz w:val="28"/>
              <w:szCs w:val="28"/>
              <w:highlight w:val="none"/>
            </w:rPr>
            <w:fldChar w:fldCharType="separate"/>
          </w:r>
          <w:r>
            <w:rPr>
              <w:sz w:val="28"/>
              <w:szCs w:val="28"/>
              <w:highlight w:val="none"/>
            </w:rPr>
            <w:t>15</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_Toc30838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Times New Roman"/>
              <w:sz w:val="28"/>
              <w:szCs w:val="28"/>
              <w:highlight w:val="none"/>
            </w:rPr>
            <w:t xml:space="preserve">二、 </w:t>
          </w:r>
          <w:r>
            <w:rPr>
              <w:rFonts w:hint="eastAsia" w:ascii="黑体" w:hAnsi="黑体" w:eastAsia="黑体" w:cs="黑体"/>
              <w:sz w:val="28"/>
              <w:szCs w:val="28"/>
              <w:highlight w:val="none"/>
            </w:rPr>
            <w:t>评标程序步骤</w:t>
          </w:r>
          <w:r>
            <w:rPr>
              <w:sz w:val="28"/>
              <w:szCs w:val="28"/>
              <w:highlight w:val="none"/>
            </w:rPr>
            <w:tab/>
          </w:r>
          <w:r>
            <w:rPr>
              <w:sz w:val="28"/>
              <w:szCs w:val="28"/>
              <w:highlight w:val="none"/>
            </w:rPr>
            <w:fldChar w:fldCharType="begin"/>
          </w:r>
          <w:r>
            <w:rPr>
              <w:sz w:val="28"/>
              <w:szCs w:val="28"/>
              <w:highlight w:val="none"/>
            </w:rPr>
            <w:instrText xml:space="preserve"> PAGEREF _Toc30838 \h </w:instrText>
          </w:r>
          <w:r>
            <w:rPr>
              <w:sz w:val="28"/>
              <w:szCs w:val="28"/>
              <w:highlight w:val="none"/>
            </w:rPr>
            <w:fldChar w:fldCharType="separate"/>
          </w:r>
          <w:r>
            <w:rPr>
              <w:sz w:val="28"/>
              <w:szCs w:val="28"/>
              <w:highlight w:val="none"/>
            </w:rPr>
            <w:t>16</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_Toc13563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Times New Roman"/>
              <w:bCs/>
              <w:sz w:val="28"/>
              <w:szCs w:val="28"/>
              <w:highlight w:val="none"/>
            </w:rPr>
            <w:t xml:space="preserve">三、 </w:t>
          </w:r>
          <w:r>
            <w:rPr>
              <w:rFonts w:hint="eastAsia" w:ascii="黑体" w:hAnsi="黑体" w:eastAsia="黑体" w:cs="黑体"/>
              <w:bCs/>
              <w:sz w:val="28"/>
              <w:szCs w:val="28"/>
              <w:highlight w:val="none"/>
            </w:rPr>
            <w:t>串标废标规定</w:t>
          </w:r>
          <w:r>
            <w:rPr>
              <w:sz w:val="28"/>
              <w:szCs w:val="28"/>
              <w:highlight w:val="none"/>
            </w:rPr>
            <w:tab/>
          </w:r>
          <w:r>
            <w:rPr>
              <w:sz w:val="28"/>
              <w:szCs w:val="28"/>
              <w:highlight w:val="none"/>
            </w:rPr>
            <w:fldChar w:fldCharType="begin"/>
          </w:r>
          <w:r>
            <w:rPr>
              <w:sz w:val="28"/>
              <w:szCs w:val="28"/>
              <w:highlight w:val="none"/>
            </w:rPr>
            <w:instrText xml:space="preserve"> PAGEREF _Toc13563 \h </w:instrText>
          </w:r>
          <w:r>
            <w:rPr>
              <w:sz w:val="28"/>
              <w:szCs w:val="28"/>
              <w:highlight w:val="none"/>
            </w:rPr>
            <w:fldChar w:fldCharType="separate"/>
          </w:r>
          <w:r>
            <w:rPr>
              <w:sz w:val="28"/>
              <w:szCs w:val="28"/>
              <w:highlight w:val="none"/>
            </w:rPr>
            <w:t>17</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_Toc5311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Times New Roman"/>
              <w:bCs/>
              <w:kern w:val="0"/>
              <w:sz w:val="28"/>
              <w:szCs w:val="28"/>
              <w:highlight w:val="none"/>
            </w:rPr>
            <w:t xml:space="preserve">四、 </w:t>
          </w:r>
          <w:r>
            <w:rPr>
              <w:rFonts w:hint="eastAsia" w:ascii="黑体" w:hAnsi="黑体" w:eastAsia="黑体" w:cs="黑体"/>
              <w:bCs/>
              <w:sz w:val="28"/>
              <w:szCs w:val="28"/>
              <w:highlight w:val="none"/>
              <w:lang w:val="zh-CN"/>
            </w:rPr>
            <w:t>投标文件初审</w:t>
          </w:r>
          <w:r>
            <w:rPr>
              <w:sz w:val="28"/>
              <w:szCs w:val="28"/>
              <w:highlight w:val="none"/>
            </w:rPr>
            <w:tab/>
          </w:r>
          <w:r>
            <w:rPr>
              <w:sz w:val="28"/>
              <w:szCs w:val="28"/>
              <w:highlight w:val="none"/>
            </w:rPr>
            <w:fldChar w:fldCharType="begin"/>
          </w:r>
          <w:r>
            <w:rPr>
              <w:sz w:val="28"/>
              <w:szCs w:val="28"/>
              <w:highlight w:val="none"/>
            </w:rPr>
            <w:instrText xml:space="preserve"> PAGEREF _Toc5311 \h </w:instrText>
          </w:r>
          <w:r>
            <w:rPr>
              <w:sz w:val="28"/>
              <w:szCs w:val="28"/>
              <w:highlight w:val="none"/>
            </w:rPr>
            <w:fldChar w:fldCharType="separate"/>
          </w:r>
          <w:r>
            <w:rPr>
              <w:sz w:val="28"/>
              <w:szCs w:val="28"/>
              <w:highlight w:val="none"/>
            </w:rPr>
            <w:t>18</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_Toc24750 </w:instrText>
          </w:r>
          <w:r>
            <w:rPr>
              <w:rFonts w:hint="eastAsia" w:ascii="Times New Roman" w:hAnsi="Times New Roman" w:eastAsia="宋体"/>
              <w:bCs w:val="0"/>
              <w:caps w:val="0"/>
              <w:sz w:val="28"/>
              <w:szCs w:val="28"/>
              <w:highlight w:val="none"/>
              <w:lang w:val="en-US" w:eastAsia="zh-CN"/>
            </w:rPr>
            <w:fldChar w:fldCharType="separate"/>
          </w:r>
          <w:r>
            <w:rPr>
              <w:rFonts w:hint="eastAsia" w:ascii="宋体" w:hAnsi="宋体" w:eastAsia="黑体" w:cs="Times New Roman"/>
              <w:sz w:val="28"/>
              <w:szCs w:val="28"/>
              <w:highlight w:val="none"/>
            </w:rPr>
            <w:t xml:space="preserve">五、 </w:t>
          </w:r>
          <w:r>
            <w:rPr>
              <w:rFonts w:hint="eastAsia" w:ascii="黑体" w:hAnsi="黑体" w:eastAsia="黑体" w:cs="黑体"/>
              <w:bCs/>
              <w:sz w:val="28"/>
              <w:szCs w:val="28"/>
              <w:highlight w:val="none"/>
              <w:lang w:val="zh-CN"/>
            </w:rPr>
            <w:t>投标文件详审</w:t>
          </w:r>
          <w:r>
            <w:rPr>
              <w:sz w:val="28"/>
              <w:szCs w:val="28"/>
              <w:highlight w:val="none"/>
            </w:rPr>
            <w:tab/>
          </w:r>
          <w:r>
            <w:rPr>
              <w:sz w:val="28"/>
              <w:szCs w:val="28"/>
              <w:highlight w:val="none"/>
            </w:rPr>
            <w:fldChar w:fldCharType="begin"/>
          </w:r>
          <w:r>
            <w:rPr>
              <w:sz w:val="28"/>
              <w:szCs w:val="28"/>
              <w:highlight w:val="none"/>
            </w:rPr>
            <w:instrText xml:space="preserve"> PAGEREF _Toc24750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_Toc31130 </w:instrText>
          </w:r>
          <w:r>
            <w:rPr>
              <w:rFonts w:hint="eastAsia" w:ascii="Times New Roman" w:hAnsi="Times New Roman" w:eastAsia="宋体"/>
              <w:bCs w:val="0"/>
              <w:caps w:val="0"/>
              <w:sz w:val="28"/>
              <w:szCs w:val="28"/>
              <w:highlight w:val="none"/>
              <w:lang w:val="en-US" w:eastAsia="zh-CN"/>
            </w:rPr>
            <w:fldChar w:fldCharType="separate"/>
          </w:r>
          <w:r>
            <w:rPr>
              <w:rFonts w:hint="eastAsia" w:cs="Times New Roman"/>
              <w:sz w:val="28"/>
              <w:szCs w:val="28"/>
              <w:highlight w:val="none"/>
              <w:lang w:val="zh-CN"/>
            </w:rPr>
            <w:t xml:space="preserve">六、 </w:t>
          </w:r>
          <w:r>
            <w:rPr>
              <w:rFonts w:hint="eastAsia" w:ascii="黑体" w:hAnsi="黑体" w:eastAsia="黑体" w:cs="黑体"/>
              <w:sz w:val="28"/>
              <w:szCs w:val="28"/>
              <w:highlight w:val="none"/>
              <w:lang w:val="zh-CN"/>
            </w:rPr>
            <w:t>项目定标办法</w:t>
          </w:r>
          <w:r>
            <w:rPr>
              <w:sz w:val="28"/>
              <w:szCs w:val="28"/>
              <w:highlight w:val="none"/>
            </w:rPr>
            <w:tab/>
          </w:r>
          <w:r>
            <w:rPr>
              <w:sz w:val="28"/>
              <w:szCs w:val="28"/>
              <w:highlight w:val="none"/>
            </w:rPr>
            <w:fldChar w:fldCharType="begin"/>
          </w:r>
          <w:r>
            <w:rPr>
              <w:sz w:val="28"/>
              <w:szCs w:val="28"/>
              <w:highlight w:val="none"/>
            </w:rPr>
            <w:instrText xml:space="preserve"> PAGEREF _Toc31130 \h </w:instrText>
          </w:r>
          <w:r>
            <w:rPr>
              <w:sz w:val="28"/>
              <w:szCs w:val="28"/>
              <w:highlight w:val="none"/>
            </w:rPr>
            <w:fldChar w:fldCharType="separate"/>
          </w:r>
          <w:r>
            <w:rPr>
              <w:sz w:val="28"/>
              <w:szCs w:val="28"/>
              <w:highlight w:val="none"/>
            </w:rPr>
            <w:t>20</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_Toc15706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第五章  合同主要条款</w:t>
          </w:r>
          <w:r>
            <w:rPr>
              <w:rFonts w:hint="eastAsia" w:ascii="黑体" w:eastAsia="黑体"/>
              <w:b/>
              <w:sz w:val="28"/>
              <w:szCs w:val="28"/>
              <w:highlight w:val="none"/>
              <w:lang w:eastAsia="zh-CN"/>
            </w:rPr>
            <w:t>（</w:t>
          </w:r>
          <w:r>
            <w:rPr>
              <w:rFonts w:hint="eastAsia" w:ascii="黑体" w:eastAsia="黑体"/>
              <w:b/>
              <w:sz w:val="28"/>
              <w:szCs w:val="28"/>
              <w:highlight w:val="none"/>
              <w:lang w:val="en-US" w:eastAsia="zh-CN"/>
            </w:rPr>
            <w:t>参考</w:t>
          </w:r>
          <w:r>
            <w:rPr>
              <w:rFonts w:hint="eastAsia" w:ascii="黑体" w:eastAsia="黑体"/>
              <w:b/>
              <w:sz w:val="28"/>
              <w:szCs w:val="28"/>
              <w:highlight w:val="none"/>
              <w:lang w:eastAsia="zh-CN"/>
            </w:rPr>
            <w:t>）</w:t>
          </w:r>
          <w:r>
            <w:rPr>
              <w:b/>
              <w:sz w:val="28"/>
              <w:szCs w:val="28"/>
              <w:highlight w:val="none"/>
            </w:rPr>
            <w:tab/>
          </w:r>
          <w:r>
            <w:rPr>
              <w:b/>
              <w:sz w:val="28"/>
              <w:szCs w:val="28"/>
              <w:highlight w:val="none"/>
            </w:rPr>
            <w:fldChar w:fldCharType="begin"/>
          </w:r>
          <w:r>
            <w:rPr>
              <w:b/>
              <w:sz w:val="28"/>
              <w:szCs w:val="28"/>
              <w:highlight w:val="none"/>
            </w:rPr>
            <w:instrText xml:space="preserve"> PAGEREF _Toc15706 \h </w:instrText>
          </w:r>
          <w:r>
            <w:rPr>
              <w:b/>
              <w:sz w:val="28"/>
              <w:szCs w:val="28"/>
              <w:highlight w:val="none"/>
            </w:rPr>
            <w:fldChar w:fldCharType="separate"/>
          </w:r>
          <w:r>
            <w:rPr>
              <w:b/>
              <w:sz w:val="28"/>
              <w:szCs w:val="28"/>
              <w:highlight w:val="none"/>
            </w:rPr>
            <w:t>21</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6"/>
            <w:tabs>
              <w:tab w:val="right" w:leader="dot" w:pos="8958"/>
            </w:tabs>
            <w:rPr>
              <w:b/>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_Toc6535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hAnsi="黑体" w:eastAsia="黑体" w:cs="黑体"/>
              <w:b/>
              <w:sz w:val="28"/>
              <w:szCs w:val="28"/>
              <w:highlight w:val="none"/>
            </w:rPr>
            <w:t>第六章  投标文件格式</w:t>
          </w:r>
          <w:r>
            <w:rPr>
              <w:b/>
              <w:sz w:val="28"/>
              <w:szCs w:val="28"/>
              <w:highlight w:val="none"/>
            </w:rPr>
            <w:tab/>
          </w:r>
          <w:r>
            <w:rPr>
              <w:b/>
              <w:sz w:val="28"/>
              <w:szCs w:val="28"/>
              <w:highlight w:val="none"/>
            </w:rPr>
            <w:fldChar w:fldCharType="begin"/>
          </w:r>
          <w:r>
            <w:rPr>
              <w:b/>
              <w:sz w:val="28"/>
              <w:szCs w:val="28"/>
              <w:highlight w:val="none"/>
            </w:rPr>
            <w:instrText xml:space="preserve"> PAGEREF _Toc6535 \h </w:instrText>
          </w:r>
          <w:r>
            <w:rPr>
              <w:b/>
              <w:sz w:val="28"/>
              <w:szCs w:val="28"/>
              <w:highlight w:val="none"/>
            </w:rPr>
            <w:fldChar w:fldCharType="separate"/>
          </w:r>
          <w:r>
            <w:rPr>
              <w:b/>
              <w:sz w:val="28"/>
              <w:szCs w:val="28"/>
              <w:highlight w:val="none"/>
            </w:rPr>
            <w:t>23</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28"/>
            <w:wordWrap w:val="0"/>
            <w:spacing w:before="0" w:after="0" w:line="560" w:lineRule="exact"/>
            <w:rPr>
              <w:rFonts w:hint="eastAsia" w:ascii="Times New Roman" w:hAnsi="Times New Roman" w:eastAsia="宋体"/>
              <w:b w:val="0"/>
              <w:bCs w:val="0"/>
              <w:caps w:val="0"/>
              <w:sz w:val="21"/>
              <w:szCs w:val="24"/>
              <w:highlight w:val="none"/>
              <w:lang w:val="en-US" w:eastAsia="zh-CN"/>
            </w:rPr>
          </w:pPr>
          <w:r>
            <w:rPr>
              <w:rFonts w:hint="eastAsia" w:ascii="Times New Roman" w:hAnsi="Times New Roman" w:eastAsia="宋体"/>
              <w:b/>
              <w:bCs w:val="0"/>
              <w:caps w:val="0"/>
              <w:szCs w:val="24"/>
              <w:highlight w:val="none"/>
              <w:lang w:val="en-US" w:eastAsia="zh-CN"/>
            </w:rPr>
            <w:fldChar w:fldCharType="end"/>
          </w:r>
        </w:p>
      </w:sdtContent>
    </w:sdt>
    <w:p>
      <w:pPr>
        <w:rPr>
          <w:highlight w:val="none"/>
        </w:rPr>
      </w:pPr>
    </w:p>
    <w:p>
      <w:pPr>
        <w:pStyle w:val="28"/>
        <w:wordWrap w:val="0"/>
        <w:spacing w:before="0" w:after="0" w:line="560" w:lineRule="exact"/>
        <w:rPr>
          <w:rFonts w:ascii="Times New Roman" w:hAnsi="Times New Roman"/>
          <w:b w:val="0"/>
          <w:bCs w:val="0"/>
          <w:caps w:val="0"/>
          <w:sz w:val="21"/>
          <w:szCs w:val="24"/>
          <w:highlight w:val="none"/>
        </w:rPr>
      </w:pPr>
    </w:p>
    <w:p>
      <w:pPr>
        <w:tabs>
          <w:tab w:val="center" w:pos="4536"/>
        </w:tabs>
        <w:wordWrap w:val="0"/>
        <w:spacing w:line="560" w:lineRule="exact"/>
        <w:jc w:val="left"/>
        <w:rPr>
          <w:highlight w:val="none"/>
        </w:rPr>
        <w:sectPr>
          <w:footerReference r:id="rId7" w:type="default"/>
          <w:pgSz w:w="11906" w:h="16838"/>
          <w:pgMar w:top="1440" w:right="1474" w:bottom="1440" w:left="1474" w:header="851" w:footer="992" w:gutter="0"/>
          <w:pgBorders>
            <w:top w:val="none" w:sz="0" w:space="0"/>
            <w:left w:val="none" w:sz="0" w:space="0"/>
            <w:bottom w:val="none" w:sz="0" w:space="0"/>
            <w:right w:val="none" w:sz="0" w:space="0"/>
          </w:pgBorders>
          <w:pgNumType w:start="1"/>
          <w:cols w:space="425" w:num="1"/>
          <w:docGrid w:linePitch="312" w:charSpace="0"/>
        </w:sectPr>
      </w:pPr>
    </w:p>
    <w:p>
      <w:pPr>
        <w:pStyle w:val="2"/>
        <w:rPr>
          <w:highlight w:val="none"/>
        </w:rPr>
      </w:pPr>
    </w:p>
    <w:bookmarkEnd w:id="0"/>
    <w:p>
      <w:pPr>
        <w:tabs>
          <w:tab w:val="center" w:pos="4536"/>
        </w:tabs>
        <w:spacing w:before="240" w:beforeLines="100" w:after="240" w:afterLines="100" w:line="560" w:lineRule="exact"/>
        <w:jc w:val="center"/>
        <w:outlineLvl w:val="0"/>
        <w:rPr>
          <w:rFonts w:ascii="黑体" w:eastAsia="黑体"/>
          <w:b/>
          <w:sz w:val="44"/>
          <w:szCs w:val="52"/>
          <w:highlight w:val="none"/>
        </w:rPr>
      </w:pPr>
      <w:bookmarkStart w:id="6" w:name="_Toc12546"/>
      <w:r>
        <w:rPr>
          <w:rFonts w:hint="eastAsia" w:ascii="黑体" w:eastAsia="黑体"/>
          <w:b/>
          <w:sz w:val="44"/>
          <w:szCs w:val="52"/>
          <w:highlight w:val="none"/>
        </w:rPr>
        <w:t xml:space="preserve">第一章 </w:t>
      </w:r>
      <w:r>
        <w:rPr>
          <w:rFonts w:ascii="黑体" w:eastAsia="黑体"/>
          <w:b/>
          <w:sz w:val="44"/>
          <w:szCs w:val="52"/>
          <w:highlight w:val="none"/>
        </w:rPr>
        <w:t xml:space="preserve"> </w:t>
      </w:r>
      <w:r>
        <w:rPr>
          <w:rFonts w:hint="eastAsia" w:ascii="黑体" w:eastAsia="黑体"/>
          <w:b/>
          <w:sz w:val="44"/>
          <w:szCs w:val="52"/>
          <w:highlight w:val="none"/>
        </w:rPr>
        <w:t>投标邀请函</w:t>
      </w:r>
      <w:bookmarkEnd w:id="1"/>
      <w:bookmarkEnd w:id="2"/>
      <w:bookmarkEnd w:id="3"/>
      <w:bookmarkEnd w:id="4"/>
      <w:bookmarkEnd w:id="5"/>
      <w:bookmarkEnd w:id="6"/>
    </w:p>
    <w:p>
      <w:pPr>
        <w:keepNext w:val="0"/>
        <w:keepLines w:val="0"/>
        <w:pageBreakBefore w:val="0"/>
        <w:kinsoku/>
        <w:wordWrap w:val="0"/>
        <w:overflowPunct/>
        <w:topLinePunct w:val="0"/>
        <w:bidi w:val="0"/>
        <w:spacing w:line="560" w:lineRule="exact"/>
        <w:ind w:firstLine="420" w:firstLineChars="200"/>
        <w:textAlignment w:val="auto"/>
        <w:rPr>
          <w:rFonts w:hint="eastAsia" w:asciiTheme="minorEastAsia" w:hAnsiTheme="minorEastAsia" w:eastAsiaTheme="minorEastAsia" w:cstheme="minorEastAsia"/>
          <w:kern w:val="0"/>
          <w:sz w:val="21"/>
          <w:szCs w:val="21"/>
          <w:highlight w:val="none"/>
        </w:rPr>
      </w:pPr>
      <w:bookmarkStart w:id="7" w:name="_Toc136229090"/>
      <w:bookmarkStart w:id="8" w:name="_Toc426449761"/>
      <w:bookmarkStart w:id="9" w:name="_Toc535815711"/>
      <w:bookmarkStart w:id="10" w:name="_Toc535891855"/>
      <w:bookmarkStart w:id="11" w:name="_Toc535891688"/>
      <w:bookmarkStart w:id="12" w:name="_Toc120411834"/>
      <w:bookmarkStart w:id="13" w:name="_Toc535832555"/>
      <w:bookmarkStart w:id="14" w:name="_Toc535814466"/>
      <w:r>
        <w:rPr>
          <w:rFonts w:hint="eastAsia" w:asciiTheme="minorEastAsia" w:hAnsiTheme="minorEastAsia" w:eastAsiaTheme="minorEastAsia" w:cstheme="minorEastAsia"/>
          <w:kern w:val="0"/>
          <w:sz w:val="21"/>
          <w:szCs w:val="21"/>
          <w:highlight w:val="none"/>
          <w:u w:val="single"/>
          <w:lang w:eastAsia="zh-CN"/>
        </w:rPr>
        <w:t>咸宁市宁安建筑工程有限公司</w:t>
      </w:r>
      <w:r>
        <w:rPr>
          <w:rFonts w:hint="eastAsia" w:asciiTheme="minorEastAsia" w:hAnsiTheme="minorEastAsia" w:eastAsiaTheme="minorEastAsia" w:cstheme="minorEastAsia"/>
          <w:kern w:val="0"/>
          <w:sz w:val="21"/>
          <w:szCs w:val="21"/>
          <w:highlight w:val="none"/>
          <w:lang w:eastAsia="zh-CN"/>
        </w:rPr>
        <w:t>因业务开展的需要，对</w:t>
      </w:r>
      <w:r>
        <w:rPr>
          <w:rFonts w:hint="eastAsia" w:asciiTheme="minorEastAsia" w:hAnsiTheme="minorEastAsia" w:eastAsiaTheme="minorEastAsia" w:cstheme="minorEastAsia"/>
          <w:kern w:val="0"/>
          <w:sz w:val="21"/>
          <w:szCs w:val="21"/>
          <w:highlight w:val="yellow"/>
          <w:u w:val="single"/>
          <w:lang w:val="en-US" w:eastAsia="zh-Hans"/>
        </w:rPr>
        <w:t>咸安</w:t>
      </w:r>
      <w:r>
        <w:rPr>
          <w:rFonts w:hint="eastAsia" w:asciiTheme="minorEastAsia" w:hAnsiTheme="minorEastAsia" w:eastAsiaTheme="minorEastAsia" w:cstheme="minorEastAsia"/>
          <w:kern w:val="0"/>
          <w:sz w:val="21"/>
          <w:szCs w:val="21"/>
          <w:highlight w:val="yellow"/>
          <w:u w:val="single"/>
          <w:lang w:val="en-US" w:eastAsia="zh-CN"/>
        </w:rPr>
        <w:t>区社会福利院整体搬迁工程</w:t>
      </w:r>
      <w:r>
        <w:rPr>
          <w:rFonts w:hint="eastAsia" w:asciiTheme="minorEastAsia" w:hAnsiTheme="minorEastAsia" w:eastAsiaTheme="minorEastAsia" w:cstheme="minorEastAsia"/>
          <w:kern w:val="0"/>
          <w:sz w:val="21"/>
          <w:szCs w:val="21"/>
          <w:highlight w:val="none"/>
          <w:u w:val="single"/>
          <w:lang w:val="en-US" w:eastAsia="zh-CN"/>
        </w:rPr>
        <w:t>医用兼无障碍电梯采购安装</w:t>
      </w:r>
      <w:r>
        <w:rPr>
          <w:rFonts w:hint="eastAsia" w:asciiTheme="minorEastAsia" w:hAnsiTheme="minorEastAsia" w:eastAsiaTheme="minorEastAsia" w:cstheme="minorEastAsia"/>
          <w:kern w:val="0"/>
          <w:sz w:val="21"/>
          <w:szCs w:val="21"/>
          <w:highlight w:val="none"/>
          <w:lang w:eastAsia="zh-CN"/>
        </w:rPr>
        <w:t>项目进行公开招标，邀请符合资格条件的投标人参与本项目的竞标</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kinsoku/>
        <w:wordWrap w:val="0"/>
        <w:overflowPunct/>
        <w:topLinePunct w:val="0"/>
        <w:bidi w:val="0"/>
        <w:adjustRightInd w:val="0"/>
        <w:snapToGrid w:val="0"/>
        <w:spacing w:line="56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15" w:name="_Toc381602681"/>
      <w:bookmarkStart w:id="16" w:name="_Toc6950"/>
      <w:r>
        <w:rPr>
          <w:rFonts w:hint="eastAsia" w:asciiTheme="minorEastAsia" w:hAnsiTheme="minorEastAsia" w:eastAsiaTheme="minorEastAsia" w:cstheme="minorEastAsia"/>
          <w:b/>
          <w:kern w:val="0"/>
          <w:sz w:val="21"/>
          <w:szCs w:val="21"/>
          <w:highlight w:val="none"/>
        </w:rPr>
        <w:t>一、采购项目概况</w:t>
      </w:r>
      <w:bookmarkEnd w:id="15"/>
      <w:bookmarkEnd w:id="16"/>
    </w:p>
    <w:p>
      <w:pPr>
        <w:keepNext w:val="0"/>
        <w:keepLines w:val="0"/>
        <w:pageBreakBefore w:val="0"/>
        <w:widowControl/>
        <w:numPr>
          <w:ilvl w:val="0"/>
          <w:numId w:val="4"/>
        </w:numPr>
        <w:kinsoku/>
        <w:wordWrap w:val="0"/>
        <w:overflowPunct/>
        <w:topLinePunct w:val="0"/>
        <w:bidi w:val="0"/>
        <w:adjustRightInd w:val="0"/>
        <w:snapToGrid w:val="0"/>
        <w:spacing w:line="560" w:lineRule="exact"/>
        <w:ind w:firstLine="111"/>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项目编</w:t>
      </w:r>
      <w:r>
        <w:rPr>
          <w:rFonts w:hint="eastAsia" w:asciiTheme="minorEastAsia" w:hAnsiTheme="minorEastAsia" w:eastAsiaTheme="minorEastAsia" w:cstheme="minorEastAsia"/>
          <w:kern w:val="0"/>
          <w:sz w:val="21"/>
          <w:szCs w:val="21"/>
          <w:highlight w:val="none"/>
          <w:lang w:eastAsia="zh-CN"/>
        </w:rPr>
        <w:t>号：</w:t>
      </w:r>
      <w:r>
        <w:rPr>
          <w:rFonts w:hint="eastAsia" w:asciiTheme="minorEastAsia" w:hAnsiTheme="minorEastAsia" w:eastAsiaTheme="minorEastAsia" w:cstheme="minorEastAsia"/>
          <w:kern w:val="0"/>
          <w:sz w:val="21"/>
          <w:szCs w:val="21"/>
          <w:highlight w:val="none"/>
          <w:lang w:eastAsia="zh-Hans"/>
        </w:rPr>
        <w:t>2022--</w:t>
      </w:r>
      <w:r>
        <w:rPr>
          <w:rFonts w:hint="eastAsia" w:asciiTheme="minorEastAsia" w:hAnsiTheme="minorEastAsia" w:eastAsiaTheme="minorEastAsia" w:cstheme="minorEastAsia"/>
          <w:kern w:val="0"/>
          <w:sz w:val="21"/>
          <w:szCs w:val="21"/>
          <w:highlight w:val="none"/>
          <w:lang w:val="en-US" w:eastAsia="zh-CN"/>
        </w:rPr>
        <w:t>FLY</w:t>
      </w:r>
      <w:r>
        <w:rPr>
          <w:rFonts w:hint="eastAsia" w:asciiTheme="minorEastAsia" w:hAnsiTheme="minorEastAsia" w:eastAsiaTheme="minorEastAsia" w:cstheme="minorEastAsia"/>
          <w:kern w:val="0"/>
          <w:sz w:val="21"/>
          <w:szCs w:val="21"/>
          <w:highlight w:val="none"/>
          <w:lang w:eastAsia="zh-Hans"/>
        </w:rPr>
        <w:t>-001</w:t>
      </w:r>
      <w:r>
        <w:rPr>
          <w:rFonts w:hint="eastAsia" w:asciiTheme="minorEastAsia" w:hAnsiTheme="minorEastAsia" w:eastAsiaTheme="minorEastAsia" w:cstheme="minorEastAsia"/>
          <w:kern w:val="0"/>
          <w:sz w:val="21"/>
          <w:szCs w:val="21"/>
          <w:highlight w:val="none"/>
          <w:lang w:eastAsia="zh-CN"/>
        </w:rPr>
        <w:t xml:space="preserve"> </w:t>
      </w:r>
    </w:p>
    <w:p>
      <w:pPr>
        <w:keepNext w:val="0"/>
        <w:keepLines w:val="0"/>
        <w:pageBreakBefore w:val="0"/>
        <w:widowControl/>
        <w:numPr>
          <w:ilvl w:val="0"/>
          <w:numId w:val="4"/>
        </w:numPr>
        <w:kinsoku/>
        <w:wordWrap w:val="0"/>
        <w:overflowPunct/>
        <w:topLinePunct w:val="0"/>
        <w:bidi w:val="0"/>
        <w:adjustRightInd w:val="0"/>
        <w:snapToGrid w:val="0"/>
        <w:spacing w:line="560" w:lineRule="exact"/>
        <w:ind w:firstLine="111"/>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项目</w:t>
      </w:r>
      <w:r>
        <w:rPr>
          <w:rFonts w:hint="eastAsia" w:asciiTheme="minorEastAsia" w:hAnsiTheme="minorEastAsia" w:eastAsiaTheme="minorEastAsia" w:cstheme="minorEastAsia"/>
          <w:kern w:val="0"/>
          <w:sz w:val="21"/>
          <w:szCs w:val="21"/>
          <w:highlight w:val="none"/>
          <w:lang w:eastAsia="zh-CN"/>
        </w:rPr>
        <w:t>名称</w:t>
      </w:r>
      <w:bookmarkStart w:id="17" w:name="_Hlk528154358"/>
      <w:r>
        <w:rPr>
          <w:rFonts w:hint="eastAsia" w:asciiTheme="minorEastAsia" w:hAnsiTheme="minorEastAsia" w:eastAsiaTheme="minorEastAsia" w:cstheme="minorEastAsia"/>
          <w:kern w:val="0"/>
          <w:sz w:val="21"/>
          <w:szCs w:val="21"/>
          <w:highlight w:val="none"/>
          <w:lang w:eastAsia="zh-CN"/>
        </w:rPr>
        <w:t>：</w:t>
      </w:r>
      <w:bookmarkEnd w:id="17"/>
      <w:r>
        <w:rPr>
          <w:rFonts w:hint="eastAsia" w:asciiTheme="minorEastAsia" w:hAnsiTheme="minorEastAsia" w:eastAsiaTheme="minorEastAsia" w:cstheme="minorEastAsia"/>
          <w:kern w:val="0"/>
          <w:sz w:val="21"/>
          <w:szCs w:val="21"/>
          <w:highlight w:val="yellow"/>
          <w:u w:val="single"/>
          <w:lang w:val="en-US" w:eastAsia="zh-Hans"/>
        </w:rPr>
        <w:t>咸安</w:t>
      </w:r>
      <w:r>
        <w:rPr>
          <w:rFonts w:hint="eastAsia" w:asciiTheme="minorEastAsia" w:hAnsiTheme="minorEastAsia" w:eastAsiaTheme="minorEastAsia" w:cstheme="minorEastAsia"/>
          <w:kern w:val="0"/>
          <w:sz w:val="21"/>
          <w:szCs w:val="21"/>
          <w:highlight w:val="yellow"/>
          <w:u w:val="single"/>
          <w:lang w:val="en-US" w:eastAsia="zh-CN"/>
        </w:rPr>
        <w:t>区社会福利院整体搬迁工程</w:t>
      </w:r>
      <w:r>
        <w:rPr>
          <w:rFonts w:hint="eastAsia" w:asciiTheme="minorEastAsia" w:hAnsiTheme="minorEastAsia" w:eastAsiaTheme="minorEastAsia" w:cstheme="minorEastAsia"/>
          <w:kern w:val="0"/>
          <w:sz w:val="21"/>
          <w:szCs w:val="21"/>
          <w:highlight w:val="none"/>
          <w:u w:val="single"/>
          <w:lang w:val="en-US" w:eastAsia="zh-CN"/>
        </w:rPr>
        <w:t>医用兼无障碍电梯采购安装</w:t>
      </w:r>
      <w:r>
        <w:rPr>
          <w:rFonts w:hint="eastAsia" w:asciiTheme="minorEastAsia" w:hAnsiTheme="minorEastAsia" w:eastAsiaTheme="minorEastAsia" w:cstheme="minorEastAsia"/>
          <w:kern w:val="0"/>
          <w:sz w:val="21"/>
          <w:szCs w:val="21"/>
          <w:highlight w:val="none"/>
          <w:lang w:eastAsia="zh-CN"/>
        </w:rPr>
        <w:t>项目</w:t>
      </w:r>
    </w:p>
    <w:p>
      <w:pPr>
        <w:keepNext w:val="0"/>
        <w:keepLines w:val="0"/>
        <w:pageBreakBefore w:val="0"/>
        <w:widowControl/>
        <w:numPr>
          <w:ilvl w:val="0"/>
          <w:numId w:val="4"/>
        </w:numPr>
        <w:kinsoku/>
        <w:wordWrap w:val="0"/>
        <w:overflowPunct/>
        <w:topLinePunct w:val="0"/>
        <w:bidi w:val="0"/>
        <w:adjustRightInd w:val="0"/>
        <w:snapToGrid w:val="0"/>
        <w:spacing w:line="560" w:lineRule="exact"/>
        <w:ind w:firstLine="111"/>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最高限价：</w:t>
      </w:r>
      <w:r>
        <w:rPr>
          <w:rFonts w:hint="eastAsia" w:asciiTheme="minorEastAsia" w:hAnsiTheme="minorEastAsia" w:eastAsiaTheme="minorEastAsia" w:cstheme="minorEastAsia"/>
          <w:kern w:val="0"/>
          <w:sz w:val="21"/>
          <w:szCs w:val="21"/>
          <w:highlight w:val="none"/>
          <w:lang w:val="en-US" w:eastAsia="zh-CN"/>
        </w:rPr>
        <w:t>18.5</w:t>
      </w:r>
      <w:r>
        <w:rPr>
          <w:rFonts w:hint="eastAsia" w:asciiTheme="minorEastAsia" w:hAnsiTheme="minorEastAsia" w:eastAsiaTheme="minorEastAsia" w:cstheme="minorEastAsia"/>
          <w:kern w:val="0"/>
          <w:sz w:val="21"/>
          <w:szCs w:val="21"/>
          <w:highlight w:val="none"/>
          <w:lang w:val="en-US" w:eastAsia="zh-Hans"/>
        </w:rPr>
        <w:t>万元</w:t>
      </w:r>
      <w:r>
        <w:rPr>
          <w:rFonts w:hint="eastAsia" w:asciiTheme="minorEastAsia" w:hAnsiTheme="minorEastAsia" w:eastAsiaTheme="minorEastAsia" w:cstheme="minorEastAsia"/>
          <w:kern w:val="0"/>
          <w:sz w:val="21"/>
          <w:szCs w:val="21"/>
          <w:highlight w:val="none"/>
          <w:lang w:val="en-US" w:eastAsia="zh-CN"/>
        </w:rPr>
        <w:t>/台</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numPr>
          <w:ilvl w:val="0"/>
          <w:numId w:val="4"/>
        </w:numPr>
        <w:kinsoku/>
        <w:wordWrap w:val="0"/>
        <w:overflowPunct/>
        <w:topLinePunct w:val="0"/>
        <w:bidi w:val="0"/>
        <w:adjustRightInd w:val="0"/>
        <w:snapToGrid w:val="0"/>
        <w:spacing w:line="56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基本内容</w:t>
      </w:r>
      <w:r>
        <w:rPr>
          <w:rFonts w:hint="eastAsia" w:asciiTheme="minorEastAsia" w:hAnsiTheme="minorEastAsia" w:eastAsiaTheme="minorEastAsia" w:cstheme="minorEastAsia"/>
          <w:bCs/>
          <w:color w:val="auto"/>
          <w:sz w:val="21"/>
          <w:szCs w:val="21"/>
          <w:highlight w:val="none"/>
          <w:lang w:val="en-US" w:eastAsia="zh-CN"/>
        </w:rPr>
        <w:t>：咸安区社会福利院整体搬迁工程</w:t>
      </w:r>
      <w:r>
        <w:rPr>
          <w:rFonts w:hint="eastAsia" w:asciiTheme="minorEastAsia" w:hAnsiTheme="minorEastAsia" w:eastAsiaTheme="minorEastAsia" w:cstheme="minorEastAsia"/>
          <w:bCs/>
          <w:color w:val="auto"/>
          <w:sz w:val="21"/>
          <w:szCs w:val="21"/>
          <w:highlight w:val="yellow"/>
          <w:lang w:val="en-US" w:eastAsia="zh-CN"/>
        </w:rPr>
        <w:t>养老综合楼2台，医疗康复楼2台</w:t>
      </w:r>
      <w:r>
        <w:rPr>
          <w:rFonts w:hint="eastAsia" w:asciiTheme="minorEastAsia" w:hAnsiTheme="minorEastAsia" w:eastAsiaTheme="minorEastAsia" w:cstheme="minorEastAsia"/>
          <w:bCs/>
          <w:color w:val="auto"/>
          <w:sz w:val="21"/>
          <w:szCs w:val="21"/>
          <w:highlight w:val="none"/>
          <w:lang w:val="en-US" w:eastAsia="zh-CN"/>
        </w:rPr>
        <w:t>医用兼无障碍电梯设备的采购及安装。</w:t>
      </w:r>
    </w:p>
    <w:p>
      <w:pPr>
        <w:keepNext w:val="0"/>
        <w:keepLines w:val="0"/>
        <w:pageBreakBefore w:val="0"/>
        <w:widowControl/>
        <w:numPr>
          <w:ilvl w:val="0"/>
          <w:numId w:val="4"/>
        </w:numPr>
        <w:kinsoku/>
        <w:wordWrap w:val="0"/>
        <w:overflowPunct/>
        <w:topLinePunct w:val="0"/>
        <w:bidi w:val="0"/>
        <w:adjustRightInd w:val="0"/>
        <w:snapToGrid w:val="0"/>
        <w:spacing w:line="56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供应要</w:t>
      </w:r>
      <w:r>
        <w:rPr>
          <w:rFonts w:hint="eastAsia" w:asciiTheme="minorEastAsia" w:hAnsiTheme="minorEastAsia" w:eastAsiaTheme="minorEastAsia" w:cstheme="minorEastAsia"/>
          <w:bCs/>
          <w:color w:val="auto"/>
          <w:sz w:val="21"/>
          <w:szCs w:val="21"/>
          <w:highlight w:val="none"/>
          <w:lang w:val="en-US" w:eastAsia="zh-CN"/>
        </w:rPr>
        <w:t>求：</w:t>
      </w:r>
      <w:r>
        <w:rPr>
          <w:rFonts w:hint="eastAsia" w:asciiTheme="minorEastAsia" w:hAnsiTheme="minorEastAsia" w:eastAsiaTheme="minorEastAsia" w:cstheme="minorEastAsia"/>
          <w:bCs/>
          <w:color w:val="auto"/>
          <w:sz w:val="21"/>
          <w:szCs w:val="21"/>
          <w:highlight w:val="none"/>
          <w:lang w:val="en-US" w:eastAsia="zh-Hans"/>
        </w:rPr>
        <w:t>按</w:t>
      </w:r>
      <w:r>
        <w:rPr>
          <w:rFonts w:hint="eastAsia" w:asciiTheme="minorEastAsia" w:hAnsiTheme="minorEastAsia" w:eastAsiaTheme="minorEastAsia" w:cstheme="minorEastAsia"/>
          <w:bCs/>
          <w:color w:val="auto"/>
          <w:sz w:val="21"/>
          <w:szCs w:val="21"/>
          <w:highlight w:val="none"/>
          <w:lang w:val="en-US" w:eastAsia="zh-CN"/>
        </w:rPr>
        <w:t>工程进度</w:t>
      </w:r>
      <w:r>
        <w:rPr>
          <w:rFonts w:hint="eastAsia" w:asciiTheme="minorEastAsia" w:hAnsiTheme="minorEastAsia" w:eastAsiaTheme="minorEastAsia" w:cstheme="minorEastAsia"/>
          <w:bCs/>
          <w:color w:val="auto"/>
          <w:sz w:val="21"/>
          <w:szCs w:val="21"/>
          <w:highlight w:val="none"/>
          <w:lang w:val="en-US" w:eastAsia="zh-Hans"/>
        </w:rPr>
        <w:t>要求。</w:t>
      </w:r>
      <w:r>
        <w:rPr>
          <w:rFonts w:hint="eastAsia" w:asciiTheme="minorEastAsia" w:hAnsiTheme="minorEastAsia" w:eastAsiaTheme="minorEastAsia" w:cstheme="minorEastAsia"/>
          <w:bCs/>
          <w:color w:val="auto"/>
          <w:sz w:val="21"/>
          <w:szCs w:val="21"/>
          <w:highlight w:val="none"/>
          <w:lang w:val="en-US" w:eastAsia="zh-CN"/>
        </w:rPr>
        <w:t>合同签订后45天内安装调试完成</w:t>
      </w:r>
      <w:r>
        <w:rPr>
          <w:rFonts w:hint="eastAsia" w:asciiTheme="minorEastAsia" w:hAnsiTheme="minorEastAsia" w:eastAsiaTheme="minorEastAsia" w:cstheme="minorEastAsia"/>
          <w:bCs/>
          <w:color w:val="auto"/>
          <w:sz w:val="21"/>
          <w:szCs w:val="21"/>
          <w:highlight w:val="none"/>
          <w:lang w:val="en-US" w:eastAsia="zh-Hans"/>
        </w:rPr>
        <w:t>。</w:t>
      </w:r>
    </w:p>
    <w:p>
      <w:pPr>
        <w:keepNext w:val="0"/>
        <w:keepLines w:val="0"/>
        <w:pageBreakBefore w:val="0"/>
        <w:widowControl/>
        <w:numPr>
          <w:ilvl w:val="0"/>
          <w:numId w:val="4"/>
        </w:numPr>
        <w:kinsoku/>
        <w:wordWrap w:val="0"/>
        <w:overflowPunct/>
        <w:topLinePunct w:val="0"/>
        <w:bidi w:val="0"/>
        <w:adjustRightInd w:val="0"/>
        <w:snapToGrid w:val="0"/>
        <w:spacing w:line="56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red"/>
          <w:lang w:val="en-US" w:eastAsia="zh-CN"/>
        </w:rPr>
        <w:t>品牌要求</w:t>
      </w:r>
      <w:r>
        <w:rPr>
          <w:rFonts w:hint="eastAsia" w:asciiTheme="minorEastAsia" w:hAnsiTheme="minorEastAsia" w:eastAsiaTheme="minorEastAsia" w:cstheme="minorEastAsia"/>
          <w:bCs/>
          <w:color w:val="auto"/>
          <w:sz w:val="21"/>
          <w:szCs w:val="21"/>
          <w:highlight w:val="none"/>
          <w:lang w:val="en-US" w:eastAsia="zh-CN"/>
        </w:rPr>
        <w:t>：本电梯设备定为杭州西奥品牌，有机房医梯/XO-CONB作为设备型号。</w:t>
      </w:r>
    </w:p>
    <w:p>
      <w:pPr>
        <w:keepNext w:val="0"/>
        <w:keepLines w:val="0"/>
        <w:pageBreakBefore w:val="0"/>
        <w:widowControl/>
        <w:numPr>
          <w:ilvl w:val="0"/>
          <w:numId w:val="4"/>
        </w:numPr>
        <w:kinsoku/>
        <w:wordWrap w:val="0"/>
        <w:overflowPunct/>
        <w:topLinePunct w:val="0"/>
        <w:bidi w:val="0"/>
        <w:adjustRightInd w:val="0"/>
        <w:snapToGrid w:val="0"/>
        <w:spacing w:line="56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质量要求：合格。</w:t>
      </w:r>
    </w:p>
    <w:p>
      <w:pPr>
        <w:keepNext w:val="0"/>
        <w:keepLines w:val="0"/>
        <w:pageBreakBefore w:val="0"/>
        <w:widowControl/>
        <w:kinsoku/>
        <w:wordWrap w:val="0"/>
        <w:overflowPunct/>
        <w:topLinePunct w:val="0"/>
        <w:bidi w:val="0"/>
        <w:adjustRightInd w:val="0"/>
        <w:snapToGrid w:val="0"/>
        <w:spacing w:line="56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18" w:name="_Toc13958"/>
      <w:bookmarkStart w:id="19" w:name="_Toc381602682"/>
      <w:bookmarkStart w:id="20" w:name="_Toc366760579"/>
      <w:r>
        <w:rPr>
          <w:rFonts w:hint="eastAsia" w:asciiTheme="minorEastAsia" w:hAnsiTheme="minorEastAsia" w:eastAsiaTheme="minorEastAsia" w:cstheme="minorEastAsia"/>
          <w:b/>
          <w:kern w:val="0"/>
          <w:sz w:val="21"/>
          <w:szCs w:val="21"/>
          <w:highlight w:val="none"/>
        </w:rPr>
        <w:t>二、投标人的资格</w:t>
      </w:r>
      <w:bookmarkEnd w:id="18"/>
      <w:bookmarkEnd w:id="19"/>
      <w:bookmarkEnd w:id="20"/>
    </w:p>
    <w:p>
      <w:pPr>
        <w:keepNext w:val="0"/>
        <w:keepLines w:val="0"/>
        <w:pageBreakBefore w:val="0"/>
        <w:widowControl/>
        <w:shd w:val="clear" w:color="auto" w:fill="FFFFFF"/>
        <w:kinsoku/>
        <w:wordWrap w:val="0"/>
        <w:overflowPunct/>
        <w:topLinePunct w:val="0"/>
        <w:bidi w:val="0"/>
        <w:spacing w:line="560" w:lineRule="exact"/>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投标人必须符合《政府采购法》第二十二条规定的条件</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本项目审查资格要求如下：</w:t>
      </w:r>
    </w:p>
    <w:p>
      <w:pPr>
        <w:pStyle w:val="140"/>
        <w:keepNext w:val="0"/>
        <w:keepLines w:val="0"/>
        <w:pageBreakBefore w:val="0"/>
        <w:numPr>
          <w:ilvl w:val="0"/>
          <w:numId w:val="5"/>
        </w:numPr>
        <w:kinsoku/>
        <w:wordWrap w:val="0"/>
        <w:overflowPunct/>
        <w:topLinePunct w:val="0"/>
        <w:autoSpaceDE w:val="0"/>
        <w:autoSpaceDN w:val="0"/>
        <w:bidi w:val="0"/>
        <w:adjustRightInd w:val="0"/>
        <w:spacing w:line="56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投标</w:t>
      </w:r>
      <w:r>
        <w:rPr>
          <w:rFonts w:hint="eastAsia" w:asciiTheme="minorEastAsia" w:hAnsiTheme="minorEastAsia" w:eastAsiaTheme="minorEastAsia" w:cstheme="minorEastAsia"/>
          <w:kern w:val="0"/>
          <w:sz w:val="21"/>
          <w:szCs w:val="21"/>
          <w:highlight w:val="none"/>
        </w:rPr>
        <w:t>人必须具有中华人民共和国境内注册的独立法人；</w:t>
      </w:r>
    </w:p>
    <w:p>
      <w:pPr>
        <w:pStyle w:val="140"/>
        <w:keepNext w:val="0"/>
        <w:keepLines w:val="0"/>
        <w:pageBreakBefore w:val="0"/>
        <w:numPr>
          <w:ilvl w:val="0"/>
          <w:numId w:val="5"/>
        </w:numPr>
        <w:kinsoku/>
        <w:wordWrap w:val="0"/>
        <w:overflowPunct/>
        <w:topLinePunct w:val="0"/>
        <w:autoSpaceDE w:val="0"/>
        <w:autoSpaceDN w:val="0"/>
        <w:bidi w:val="0"/>
        <w:adjustRightInd w:val="0"/>
        <w:spacing w:line="56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投标人须具有电梯设备销售</w:t>
      </w:r>
      <w:r>
        <w:rPr>
          <w:rFonts w:hint="eastAsia" w:asciiTheme="minorEastAsia" w:hAnsiTheme="minorEastAsia" w:eastAsiaTheme="minorEastAsia" w:cstheme="minorEastAsia"/>
          <w:kern w:val="0"/>
          <w:sz w:val="21"/>
          <w:szCs w:val="21"/>
          <w:highlight w:val="none"/>
          <w:lang w:val="en-US" w:eastAsia="zh-Hans"/>
        </w:rPr>
        <w:t>及</w:t>
      </w:r>
      <w:r>
        <w:rPr>
          <w:rFonts w:hint="eastAsia" w:asciiTheme="minorEastAsia" w:hAnsiTheme="minorEastAsia" w:eastAsiaTheme="minorEastAsia" w:cstheme="minorEastAsia"/>
          <w:kern w:val="0"/>
          <w:sz w:val="21"/>
          <w:szCs w:val="21"/>
          <w:highlight w:val="none"/>
          <w:lang w:val="en-US" w:eastAsia="zh-CN"/>
        </w:rPr>
        <w:t>安装</w:t>
      </w:r>
      <w:r>
        <w:rPr>
          <w:rFonts w:hint="eastAsia" w:asciiTheme="minorEastAsia" w:hAnsiTheme="minorEastAsia" w:eastAsiaTheme="minorEastAsia" w:cstheme="minorEastAsia"/>
          <w:kern w:val="0"/>
          <w:sz w:val="21"/>
          <w:szCs w:val="21"/>
          <w:highlight w:val="none"/>
          <w:lang w:val="en-US" w:eastAsia="zh-Hans"/>
        </w:rPr>
        <w:t>资质</w:t>
      </w:r>
      <w:r>
        <w:rPr>
          <w:rFonts w:hint="eastAsia" w:asciiTheme="minorEastAsia" w:hAnsiTheme="minorEastAsia" w:eastAsiaTheme="minorEastAsia" w:cstheme="minorEastAsia"/>
          <w:kern w:val="0"/>
          <w:sz w:val="21"/>
          <w:szCs w:val="21"/>
          <w:highlight w:val="red"/>
          <w:lang w:val="en-US" w:eastAsia="zh-CN"/>
        </w:rPr>
        <w:t>；</w:t>
      </w:r>
    </w:p>
    <w:p>
      <w:pPr>
        <w:pStyle w:val="140"/>
        <w:keepNext w:val="0"/>
        <w:keepLines w:val="0"/>
        <w:pageBreakBefore w:val="0"/>
        <w:numPr>
          <w:ilvl w:val="0"/>
          <w:numId w:val="5"/>
        </w:numPr>
        <w:kinsoku/>
        <w:wordWrap w:val="0"/>
        <w:overflowPunct/>
        <w:topLinePunct w:val="0"/>
        <w:autoSpaceDE w:val="0"/>
        <w:autoSpaceDN w:val="0"/>
        <w:bidi w:val="0"/>
        <w:adjustRightInd w:val="0"/>
        <w:spacing w:line="56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有依法缴纳税收记录（提供2022年1月至今任意连续3个月纳税凭证）</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6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投标人在“信用中国”网站(www.creditchina.gov.cn) 上查询无“失信被执行人”信息；在“中国政府采购网”(www.ccgp.gov.cn)上查询未被列入政府采购严重违法失信行为记录名单；（提供网页查询截图加盖公章）</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6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本次招标属于企业内部经营活动，所有解释权归</w:t>
      </w:r>
      <w:r>
        <w:rPr>
          <w:rFonts w:hint="eastAsia" w:asciiTheme="minorEastAsia" w:hAnsiTheme="minorEastAsia" w:eastAsiaTheme="minorEastAsia" w:cstheme="minorEastAsia"/>
          <w:kern w:val="0"/>
          <w:sz w:val="21"/>
          <w:szCs w:val="21"/>
          <w:highlight w:val="none"/>
          <w:lang w:eastAsia="zh-CN"/>
        </w:rPr>
        <w:t>咸宁市宁安建筑工程有限公司</w:t>
      </w:r>
      <w:r>
        <w:rPr>
          <w:rFonts w:hint="eastAsia" w:asciiTheme="minorEastAsia" w:hAnsiTheme="minorEastAsia" w:eastAsiaTheme="minorEastAsia" w:cstheme="minorEastAsia"/>
          <w:kern w:val="0"/>
          <w:sz w:val="21"/>
          <w:szCs w:val="21"/>
          <w:highlight w:val="none"/>
        </w:rPr>
        <w:t>所有。</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6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本项目不接受联合体投标</w:t>
      </w:r>
      <w:bookmarkStart w:id="21" w:name="_Toc381602683"/>
      <w:bookmarkStart w:id="22" w:name="_Toc6108"/>
      <w:r>
        <w:rPr>
          <w:rFonts w:hint="eastAsia" w:asciiTheme="minorEastAsia" w:hAnsiTheme="minorEastAsia" w:eastAsiaTheme="minorEastAsia" w:cstheme="minorEastAsia"/>
          <w:sz w:val="21"/>
          <w:szCs w:val="21"/>
          <w:highlight w:val="none"/>
        </w:rPr>
        <w:t>。</w:t>
      </w:r>
    </w:p>
    <w:p>
      <w:pPr>
        <w:keepNext w:val="0"/>
        <w:keepLines w:val="0"/>
        <w:pageBreakBefore w:val="0"/>
        <w:widowControl/>
        <w:kinsoku/>
        <w:wordWrap w:val="0"/>
        <w:overflowPunct/>
        <w:topLinePunct w:val="0"/>
        <w:bidi w:val="0"/>
        <w:adjustRightInd w:val="0"/>
        <w:snapToGrid w:val="0"/>
        <w:spacing w:line="56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3" w:name="_Toc13167"/>
      <w:r>
        <w:rPr>
          <w:rFonts w:hint="eastAsia" w:asciiTheme="minorEastAsia" w:hAnsiTheme="minorEastAsia" w:eastAsiaTheme="minorEastAsia" w:cstheme="minorEastAsia"/>
          <w:b/>
          <w:kern w:val="0"/>
          <w:sz w:val="21"/>
          <w:szCs w:val="21"/>
          <w:highlight w:val="none"/>
        </w:rPr>
        <w:t>三、招标文件获取</w:t>
      </w:r>
      <w:bookmarkEnd w:id="21"/>
      <w:bookmarkEnd w:id="22"/>
      <w:bookmarkEnd w:id="23"/>
    </w:p>
    <w:p>
      <w:pPr>
        <w:keepNext w:val="0"/>
        <w:keepLines w:val="0"/>
        <w:pageBreakBefore w:val="0"/>
        <w:widowControl/>
        <w:numPr>
          <w:ilvl w:val="1"/>
          <w:numId w:val="6"/>
        </w:numPr>
        <w:kinsoku/>
        <w:overflowPunct/>
        <w:topLinePunct w:val="0"/>
        <w:bidi w:val="0"/>
        <w:adjustRightInd w:val="0"/>
        <w:snapToGrid w:val="0"/>
        <w:spacing w:line="560" w:lineRule="exact"/>
        <w:ind w:left="525" w:hanging="525"/>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获取时间：</w:t>
      </w:r>
      <w:r>
        <w:rPr>
          <w:rFonts w:hint="eastAsia" w:asciiTheme="minorEastAsia" w:hAnsiTheme="minorEastAsia" w:eastAsiaTheme="minorEastAsia" w:cstheme="minorEastAsia"/>
          <w:kern w:val="0"/>
          <w:sz w:val="21"/>
          <w:szCs w:val="21"/>
          <w:highlight w:val="none"/>
          <w:u w:val="single"/>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w:t>
      </w:r>
      <w:r>
        <w:rPr>
          <w:rFonts w:hint="eastAsia" w:asciiTheme="minorEastAsia" w:hAnsiTheme="minorEastAsia" w:eastAsiaTheme="minorEastAsia" w:cstheme="minorEastAsia"/>
          <w:kern w:val="0"/>
          <w:sz w:val="21"/>
          <w:szCs w:val="21"/>
          <w:highlight w:val="none"/>
          <w:u w:val="single"/>
        </w:rPr>
        <w:t xml:space="preserve">年 9 月 </w:t>
      </w:r>
      <w:r>
        <w:rPr>
          <w:rFonts w:hint="eastAsia" w:asciiTheme="minorEastAsia" w:hAnsiTheme="minorEastAsia" w:eastAsiaTheme="minorEastAsia" w:cstheme="minorEastAsia"/>
          <w:kern w:val="0"/>
          <w:sz w:val="21"/>
          <w:szCs w:val="21"/>
          <w:highlight w:val="none"/>
          <w:u w:val="single"/>
          <w:lang w:val="en-US" w:eastAsia="zh-CN"/>
        </w:rPr>
        <w:t>9</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rPr>
        <w:t>起至</w:t>
      </w:r>
      <w:r>
        <w:rPr>
          <w:rFonts w:hint="eastAsia" w:asciiTheme="minorEastAsia" w:hAnsiTheme="minorEastAsia" w:eastAsiaTheme="minorEastAsia" w:cstheme="minorEastAsia"/>
          <w:kern w:val="0"/>
          <w:sz w:val="21"/>
          <w:szCs w:val="21"/>
          <w:highlight w:val="none"/>
          <w:u w:val="single"/>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w:t>
      </w:r>
      <w:r>
        <w:rPr>
          <w:rFonts w:hint="eastAsia" w:asciiTheme="minorEastAsia" w:hAnsiTheme="minorEastAsia" w:eastAsiaTheme="minorEastAsia" w:cstheme="minorEastAsia"/>
          <w:kern w:val="0"/>
          <w:sz w:val="21"/>
          <w:szCs w:val="21"/>
          <w:highlight w:val="none"/>
          <w:u w:val="single"/>
        </w:rPr>
        <w:t xml:space="preserve">年 9月 </w:t>
      </w:r>
      <w:r>
        <w:rPr>
          <w:rFonts w:hint="eastAsia" w:asciiTheme="minorEastAsia" w:hAnsiTheme="minorEastAsia" w:eastAsiaTheme="minorEastAsia" w:cstheme="minorEastAsia"/>
          <w:kern w:val="0"/>
          <w:sz w:val="21"/>
          <w:szCs w:val="21"/>
          <w:highlight w:val="none"/>
          <w:u w:val="single"/>
          <w:lang w:val="en-US" w:eastAsia="zh-CN"/>
        </w:rPr>
        <w:t>13</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numPr>
          <w:ilvl w:val="1"/>
          <w:numId w:val="6"/>
        </w:numPr>
        <w:kinsoku/>
        <w:overflowPunct/>
        <w:topLinePunct w:val="0"/>
        <w:bidi w:val="0"/>
        <w:adjustRightInd w:val="0"/>
        <w:snapToGrid w:val="0"/>
        <w:spacing w:line="56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获取地点：</w:t>
      </w:r>
      <w:r>
        <w:rPr>
          <w:rFonts w:hint="eastAsia" w:asciiTheme="minorEastAsia" w:hAnsiTheme="minorEastAsia" w:eastAsiaTheme="minorEastAsia" w:cstheme="minorEastAsia"/>
          <w:kern w:val="0"/>
          <w:sz w:val="21"/>
          <w:szCs w:val="21"/>
          <w:highlight w:val="none"/>
          <w:lang w:eastAsia="zh-CN"/>
        </w:rPr>
        <w:t>咸宁市宁安建筑工程有限公司</w:t>
      </w:r>
      <w:r>
        <w:rPr>
          <w:rFonts w:hint="eastAsia" w:asciiTheme="minorEastAsia" w:hAnsiTheme="minorEastAsia" w:eastAsiaTheme="minorEastAsia" w:cstheme="minorEastAsia"/>
          <w:kern w:val="0"/>
          <w:sz w:val="21"/>
          <w:szCs w:val="21"/>
          <w:highlight w:val="none"/>
          <w:lang w:val="en-US" w:eastAsia="zh-CN"/>
        </w:rPr>
        <w:t>（咸安区昊天建材城9号楼2楼）。</w:t>
      </w:r>
    </w:p>
    <w:p>
      <w:pPr>
        <w:keepNext w:val="0"/>
        <w:keepLines w:val="0"/>
        <w:pageBreakBefore w:val="0"/>
        <w:widowControl/>
        <w:numPr>
          <w:ilvl w:val="1"/>
          <w:numId w:val="6"/>
        </w:numPr>
        <w:kinsoku/>
        <w:overflowPunct/>
        <w:topLinePunct w:val="0"/>
        <w:bidi w:val="0"/>
        <w:adjustRightInd w:val="0"/>
        <w:snapToGrid w:val="0"/>
        <w:spacing w:line="56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招标</w:t>
      </w:r>
      <w:r>
        <w:rPr>
          <w:rFonts w:hint="eastAsia" w:asciiTheme="minorEastAsia" w:hAnsiTheme="minorEastAsia" w:eastAsiaTheme="minorEastAsia" w:cstheme="minorEastAsia"/>
          <w:kern w:val="0"/>
          <w:sz w:val="21"/>
          <w:szCs w:val="21"/>
          <w:highlight w:val="none"/>
        </w:rPr>
        <w:t>文件售价：200元（人民币），售后不退。</w:t>
      </w:r>
    </w:p>
    <w:p>
      <w:pPr>
        <w:keepNext w:val="0"/>
        <w:keepLines w:val="0"/>
        <w:pageBreakBefore w:val="0"/>
        <w:widowControl/>
        <w:numPr>
          <w:ilvl w:val="1"/>
          <w:numId w:val="6"/>
        </w:numPr>
        <w:kinsoku/>
        <w:overflowPunct/>
        <w:topLinePunct w:val="0"/>
        <w:bidi w:val="0"/>
        <w:adjustRightInd w:val="0"/>
        <w:snapToGrid w:val="0"/>
        <w:spacing w:line="56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获取要求：合格投标人应在获取时间内，携带资格证明材料领取</w:t>
      </w:r>
      <w:r>
        <w:rPr>
          <w:rFonts w:hint="eastAsia" w:asciiTheme="minorEastAsia" w:hAnsiTheme="minorEastAsia" w:eastAsiaTheme="minorEastAsia" w:cstheme="minorEastAsia"/>
          <w:kern w:val="0"/>
          <w:sz w:val="21"/>
          <w:szCs w:val="21"/>
          <w:highlight w:val="none"/>
          <w:lang w:val="en-US" w:eastAsia="zh-CN"/>
        </w:rPr>
        <w:t>招标</w:t>
      </w:r>
      <w:r>
        <w:rPr>
          <w:rFonts w:hint="eastAsia" w:asciiTheme="minorEastAsia" w:hAnsiTheme="minorEastAsia" w:eastAsiaTheme="minorEastAsia" w:cstheme="minorEastAsia"/>
          <w:kern w:val="0"/>
          <w:sz w:val="21"/>
          <w:szCs w:val="21"/>
          <w:highlight w:val="none"/>
        </w:rPr>
        <w:t>文件</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60" w:lineRule="exact"/>
        <w:ind w:left="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法定代表人身份证明书及法定代表人身份证原件或法定代表人授权书及受托人身份证原件及加盖公章的复印件；</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60" w:lineRule="exact"/>
        <w:ind w:left="0"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三合一</w:t>
      </w:r>
      <w:r>
        <w:rPr>
          <w:rFonts w:hint="eastAsia" w:asciiTheme="minorEastAsia" w:hAnsiTheme="minorEastAsia" w:eastAsiaTheme="minorEastAsia" w:cstheme="minorEastAsia"/>
          <w:sz w:val="21"/>
          <w:szCs w:val="21"/>
          <w:highlight w:val="none"/>
        </w:rPr>
        <w:t>证件副本原件及加盖公章的复印件；</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60" w:lineRule="exact"/>
        <w:ind w:left="0"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val="en-US" w:eastAsia="zh-CN"/>
        </w:rPr>
        <w:t>资质证书</w:t>
      </w:r>
      <w:r>
        <w:rPr>
          <w:rFonts w:hint="eastAsia" w:asciiTheme="minorEastAsia" w:hAnsiTheme="minorEastAsia" w:eastAsiaTheme="minorEastAsia" w:cstheme="minorEastAsia"/>
          <w:kern w:val="0"/>
          <w:sz w:val="21"/>
          <w:szCs w:val="21"/>
          <w:highlight w:val="none"/>
        </w:rPr>
        <w:t>副本</w:t>
      </w:r>
      <w:r>
        <w:rPr>
          <w:rFonts w:hint="eastAsia" w:asciiTheme="minorEastAsia" w:hAnsiTheme="minorEastAsia" w:eastAsiaTheme="minorEastAsia" w:cstheme="minorEastAsia"/>
          <w:sz w:val="21"/>
          <w:szCs w:val="21"/>
          <w:highlight w:val="none"/>
        </w:rPr>
        <w:t>原件及加盖公章的复印件</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kinsoku/>
        <w:wordWrap w:val="0"/>
        <w:overflowPunct/>
        <w:topLinePunct w:val="0"/>
        <w:bidi w:val="0"/>
        <w:adjustRightInd w:val="0"/>
        <w:snapToGrid w:val="0"/>
        <w:spacing w:line="560" w:lineRule="exact"/>
        <w:ind w:firstLine="420" w:firstLineChars="200"/>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投标人请携带以上资格审查资料原件和加盖公章复印件参加资格审查，复印件在和原件核对无误后，原件退还，复印件留存。投标人报名成功不代表投标人具备本项目投标资格，投标人所有资质条件纳入资格后审。</w:t>
      </w:r>
    </w:p>
    <w:p>
      <w:pPr>
        <w:keepNext w:val="0"/>
        <w:keepLines w:val="0"/>
        <w:pageBreakBefore w:val="0"/>
        <w:widowControl/>
        <w:kinsoku/>
        <w:wordWrap w:val="0"/>
        <w:overflowPunct/>
        <w:topLinePunct w:val="0"/>
        <w:bidi w:val="0"/>
        <w:adjustRightInd w:val="0"/>
        <w:snapToGrid w:val="0"/>
        <w:spacing w:line="56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4" w:name="_Toc25848"/>
      <w:bookmarkStart w:id="25" w:name="_Toc381602684"/>
      <w:bookmarkStart w:id="26" w:name="_Toc31299"/>
      <w:r>
        <w:rPr>
          <w:rFonts w:hint="eastAsia" w:asciiTheme="minorEastAsia" w:hAnsiTheme="minorEastAsia" w:eastAsiaTheme="minorEastAsia" w:cstheme="minorEastAsia"/>
          <w:b/>
          <w:kern w:val="0"/>
          <w:sz w:val="21"/>
          <w:szCs w:val="21"/>
          <w:highlight w:val="none"/>
        </w:rPr>
        <w:t>四、投标文件</w:t>
      </w:r>
      <w:bookmarkEnd w:id="24"/>
      <w:bookmarkEnd w:id="25"/>
      <w:r>
        <w:rPr>
          <w:rFonts w:hint="eastAsia" w:asciiTheme="minorEastAsia" w:hAnsiTheme="minorEastAsia" w:eastAsiaTheme="minorEastAsia" w:cstheme="minorEastAsia"/>
          <w:b/>
          <w:kern w:val="0"/>
          <w:sz w:val="21"/>
          <w:szCs w:val="21"/>
          <w:highlight w:val="none"/>
        </w:rPr>
        <w:t>递交</w:t>
      </w:r>
      <w:bookmarkEnd w:id="26"/>
    </w:p>
    <w:p>
      <w:pPr>
        <w:keepNext w:val="0"/>
        <w:keepLines w:val="0"/>
        <w:pageBreakBefore w:val="0"/>
        <w:widowControl/>
        <w:numPr>
          <w:ilvl w:val="0"/>
          <w:numId w:val="0"/>
        </w:numPr>
        <w:kinsoku/>
        <w:wordWrap w:val="0"/>
        <w:overflowPunct/>
        <w:topLinePunct w:val="0"/>
        <w:bidi w:val="0"/>
        <w:adjustRightInd w:val="0"/>
        <w:snapToGrid w:val="0"/>
        <w:spacing w:line="560" w:lineRule="exact"/>
        <w:ind w:leftChars="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一</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送达地点：</w:t>
      </w:r>
      <w:r>
        <w:rPr>
          <w:rFonts w:hint="eastAsia" w:asciiTheme="minorEastAsia" w:hAnsiTheme="minorEastAsia" w:eastAsiaTheme="minorEastAsia" w:cstheme="minorEastAsia"/>
          <w:kern w:val="0"/>
          <w:sz w:val="21"/>
          <w:szCs w:val="21"/>
          <w:highlight w:val="none"/>
          <w:lang w:eastAsia="zh-CN"/>
        </w:rPr>
        <w:t>咸宁市宁安建筑工程有限公司（咸安区昊天建材城9号楼2楼</w:t>
      </w:r>
      <w:r>
        <w:rPr>
          <w:rFonts w:hint="eastAsia" w:asciiTheme="minorEastAsia" w:hAnsiTheme="minorEastAsia" w:eastAsiaTheme="minorEastAsia" w:cstheme="minorEastAsia"/>
          <w:kern w:val="0"/>
          <w:sz w:val="21"/>
          <w:szCs w:val="21"/>
          <w:highlight w:val="none"/>
          <w:lang w:val="en-US" w:eastAsia="zh-CN"/>
        </w:rPr>
        <w:t>会议室</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numPr>
          <w:ilvl w:val="0"/>
          <w:numId w:val="0"/>
        </w:numPr>
        <w:kinsoku/>
        <w:wordWrap w:val="0"/>
        <w:overflowPunct/>
        <w:topLinePunct w:val="0"/>
        <w:bidi w:val="0"/>
        <w:adjustRightInd w:val="0"/>
        <w:snapToGrid w:val="0"/>
        <w:spacing w:line="560" w:lineRule="exact"/>
        <w:ind w:left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二</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截止时间：</w:t>
      </w:r>
      <w:r>
        <w:rPr>
          <w:rFonts w:hint="eastAsia" w:asciiTheme="minorEastAsia" w:hAnsiTheme="minorEastAsia" w:eastAsiaTheme="minorEastAsia" w:cstheme="minorEastAsia"/>
          <w:kern w:val="0"/>
          <w:sz w:val="21"/>
          <w:szCs w:val="21"/>
          <w:highlight w:val="none"/>
          <w:u w:val="single"/>
          <w:lang w:eastAsia="zh-CN"/>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2年9月</w:t>
      </w:r>
      <w:r>
        <w:rPr>
          <w:rFonts w:hint="eastAsia" w:asciiTheme="minorEastAsia" w:hAnsiTheme="minorEastAsia" w:eastAsiaTheme="minorEastAsia" w:cstheme="minorEastAsia"/>
          <w:kern w:val="0"/>
          <w:sz w:val="21"/>
          <w:szCs w:val="21"/>
          <w:highlight w:val="none"/>
          <w:u w:val="single"/>
          <w:lang w:val="en-US" w:eastAsia="zh-CN"/>
        </w:rPr>
        <w:t>14</w:t>
      </w:r>
      <w:r>
        <w:rPr>
          <w:rFonts w:hint="eastAsia" w:asciiTheme="minorEastAsia" w:hAnsiTheme="minorEastAsia" w:eastAsiaTheme="minorEastAsia" w:cstheme="minorEastAsia"/>
          <w:kern w:val="0"/>
          <w:sz w:val="21"/>
          <w:szCs w:val="21"/>
          <w:highlight w:val="none"/>
          <w:u w:val="single"/>
          <w:lang w:eastAsia="zh-CN"/>
        </w:rPr>
        <w:t>日</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en-US" w:eastAsia="zh-CN"/>
        </w:rPr>
        <w:t>10</w:t>
      </w:r>
      <w:r>
        <w:rPr>
          <w:rFonts w:hint="eastAsia" w:asciiTheme="minorEastAsia" w:hAnsiTheme="minorEastAsia" w:eastAsiaTheme="minorEastAsia" w:cstheme="minorEastAsia"/>
          <w:kern w:val="0"/>
          <w:sz w:val="21"/>
          <w:szCs w:val="21"/>
          <w:highlight w:val="none"/>
          <w:u w:val="single"/>
        </w:rPr>
        <w:t xml:space="preserve"> 时 </w:t>
      </w:r>
      <w:r>
        <w:rPr>
          <w:rFonts w:hint="eastAsia" w:asciiTheme="minorEastAsia" w:hAnsiTheme="minorEastAsia" w:eastAsiaTheme="minorEastAsia" w:cstheme="minorEastAsia"/>
          <w:kern w:val="0"/>
          <w:sz w:val="21"/>
          <w:szCs w:val="21"/>
          <w:highlight w:val="none"/>
          <w:u w:val="single"/>
          <w:lang w:eastAsia="zh-CN"/>
        </w:rPr>
        <w:t>0</w:t>
      </w:r>
      <w:r>
        <w:rPr>
          <w:rFonts w:hint="eastAsia" w:asciiTheme="minorEastAsia" w:hAnsiTheme="minorEastAsia" w:eastAsiaTheme="minorEastAsia" w:cstheme="minorEastAsia"/>
          <w:kern w:val="0"/>
          <w:sz w:val="21"/>
          <w:szCs w:val="21"/>
          <w:highlight w:val="none"/>
          <w:u w:val="single"/>
        </w:rPr>
        <w:t>0 分。</w:t>
      </w:r>
      <w:r>
        <w:rPr>
          <w:rFonts w:hint="eastAsia" w:asciiTheme="minorEastAsia" w:hAnsiTheme="minorEastAsia" w:eastAsiaTheme="minorEastAsia" w:cstheme="minorEastAsia"/>
          <w:sz w:val="21"/>
          <w:szCs w:val="21"/>
          <w:highlight w:val="none"/>
        </w:rPr>
        <w:t>逾期送达的或者未送达指定地点的投标文件，</w:t>
      </w:r>
      <w:r>
        <w:rPr>
          <w:rFonts w:hint="eastAsia" w:asciiTheme="minorEastAsia" w:hAnsiTheme="minorEastAsia" w:eastAsiaTheme="minorEastAsia" w:cstheme="minorEastAsia"/>
          <w:sz w:val="21"/>
          <w:szCs w:val="21"/>
          <w:highlight w:val="none"/>
          <w:lang w:eastAsia="zh-CN"/>
        </w:rPr>
        <w:t>采购方</w:t>
      </w:r>
      <w:r>
        <w:rPr>
          <w:rFonts w:hint="eastAsia" w:asciiTheme="minorEastAsia" w:hAnsiTheme="minorEastAsia" w:eastAsiaTheme="minorEastAsia" w:cstheme="minorEastAsia"/>
          <w:sz w:val="21"/>
          <w:szCs w:val="21"/>
          <w:highlight w:val="none"/>
        </w:rPr>
        <w:t>不予受理。</w:t>
      </w:r>
    </w:p>
    <w:p>
      <w:pPr>
        <w:keepNext w:val="0"/>
        <w:keepLines w:val="0"/>
        <w:pageBreakBefore w:val="0"/>
        <w:widowControl/>
        <w:kinsoku/>
        <w:wordWrap w:val="0"/>
        <w:overflowPunct/>
        <w:topLinePunct w:val="0"/>
        <w:bidi w:val="0"/>
        <w:adjustRightInd w:val="0"/>
        <w:snapToGrid w:val="0"/>
        <w:spacing w:line="56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7" w:name="_Toc10054"/>
      <w:bookmarkStart w:id="28" w:name="_Toc11531"/>
      <w:bookmarkStart w:id="29" w:name="_Toc381602685"/>
      <w:r>
        <w:rPr>
          <w:rFonts w:hint="eastAsia" w:asciiTheme="minorEastAsia" w:hAnsiTheme="minorEastAsia" w:eastAsiaTheme="minorEastAsia" w:cstheme="minorEastAsia"/>
          <w:b/>
          <w:kern w:val="0"/>
          <w:sz w:val="21"/>
          <w:szCs w:val="21"/>
          <w:highlight w:val="none"/>
        </w:rPr>
        <w:t>五、开标地点时间</w:t>
      </w:r>
      <w:bookmarkEnd w:id="27"/>
      <w:bookmarkEnd w:id="28"/>
      <w:bookmarkEnd w:id="29"/>
    </w:p>
    <w:p>
      <w:pPr>
        <w:keepNext w:val="0"/>
        <w:keepLines w:val="0"/>
        <w:pageBreakBefore w:val="0"/>
        <w:widowControl/>
        <w:kinsoku/>
        <w:wordWrap w:val="0"/>
        <w:overflowPunct/>
        <w:topLinePunct w:val="0"/>
        <w:bidi w:val="0"/>
        <w:adjustRightInd w:val="0"/>
        <w:snapToGrid w:val="0"/>
        <w:spacing w:line="56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（一）开标地点：</w:t>
      </w:r>
      <w:r>
        <w:rPr>
          <w:rFonts w:hint="eastAsia" w:asciiTheme="minorEastAsia" w:hAnsiTheme="minorEastAsia" w:eastAsiaTheme="minorEastAsia" w:cstheme="minorEastAsia"/>
          <w:kern w:val="0"/>
          <w:sz w:val="21"/>
          <w:szCs w:val="21"/>
          <w:highlight w:val="none"/>
          <w:lang w:eastAsia="zh-CN"/>
        </w:rPr>
        <w:t>咸宁市宁安建筑工程有限公司（咸安区昊天建材城9号楼2楼</w:t>
      </w:r>
      <w:r>
        <w:rPr>
          <w:rFonts w:hint="eastAsia" w:asciiTheme="minorEastAsia" w:hAnsiTheme="minorEastAsia" w:eastAsiaTheme="minorEastAsia" w:cstheme="minorEastAsia"/>
          <w:kern w:val="0"/>
          <w:sz w:val="21"/>
          <w:szCs w:val="21"/>
          <w:highlight w:val="none"/>
          <w:lang w:val="en-US" w:eastAsia="zh-CN"/>
        </w:rPr>
        <w:t>会议室</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kinsoku/>
        <w:wordWrap w:val="0"/>
        <w:overflowPunct/>
        <w:topLinePunct w:val="0"/>
        <w:bidi w:val="0"/>
        <w:adjustRightInd w:val="0"/>
        <w:snapToGrid w:val="0"/>
        <w:spacing w:line="560" w:lineRule="exact"/>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（二）开标时间：</w:t>
      </w:r>
      <w:r>
        <w:rPr>
          <w:rFonts w:hint="eastAsia" w:asciiTheme="minorEastAsia" w:hAnsiTheme="minorEastAsia" w:eastAsiaTheme="minorEastAsia" w:cstheme="minorEastAsia"/>
          <w:kern w:val="0"/>
          <w:sz w:val="21"/>
          <w:szCs w:val="21"/>
          <w:highlight w:val="none"/>
          <w:u w:val="single"/>
          <w:lang w:eastAsia="zh-CN"/>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2年9月</w:t>
      </w:r>
      <w:r>
        <w:rPr>
          <w:rFonts w:hint="eastAsia" w:asciiTheme="minorEastAsia" w:hAnsiTheme="minorEastAsia" w:eastAsiaTheme="minorEastAsia" w:cstheme="minorEastAsia"/>
          <w:kern w:val="0"/>
          <w:sz w:val="21"/>
          <w:szCs w:val="21"/>
          <w:highlight w:val="none"/>
          <w:u w:val="single"/>
          <w:lang w:val="en-US" w:eastAsia="zh-CN"/>
        </w:rPr>
        <w:t>14</w:t>
      </w:r>
      <w:r>
        <w:rPr>
          <w:rFonts w:hint="eastAsia" w:asciiTheme="minorEastAsia" w:hAnsiTheme="minorEastAsia" w:eastAsiaTheme="minorEastAsia" w:cstheme="minorEastAsia"/>
          <w:kern w:val="0"/>
          <w:sz w:val="21"/>
          <w:szCs w:val="21"/>
          <w:highlight w:val="none"/>
          <w:u w:val="single"/>
          <w:lang w:eastAsia="zh-CN"/>
        </w:rPr>
        <w:t>日</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en-US" w:eastAsia="zh-CN"/>
        </w:rPr>
        <w:t>10</w:t>
      </w:r>
      <w:r>
        <w:rPr>
          <w:rFonts w:hint="eastAsia" w:asciiTheme="minorEastAsia" w:hAnsiTheme="minorEastAsia" w:eastAsiaTheme="minorEastAsia" w:cstheme="minorEastAsia"/>
          <w:kern w:val="0"/>
          <w:sz w:val="21"/>
          <w:szCs w:val="21"/>
          <w:highlight w:val="none"/>
          <w:u w:val="single"/>
        </w:rPr>
        <w:t xml:space="preserve"> 时 </w:t>
      </w:r>
      <w:r>
        <w:rPr>
          <w:rFonts w:hint="eastAsia" w:asciiTheme="minorEastAsia" w:hAnsiTheme="minorEastAsia" w:eastAsiaTheme="minorEastAsia" w:cstheme="minorEastAsia"/>
          <w:kern w:val="0"/>
          <w:sz w:val="21"/>
          <w:szCs w:val="21"/>
          <w:highlight w:val="none"/>
          <w:u w:val="single"/>
          <w:lang w:eastAsia="zh-CN"/>
        </w:rPr>
        <w:t>0</w:t>
      </w:r>
      <w:r>
        <w:rPr>
          <w:rFonts w:hint="eastAsia" w:asciiTheme="minorEastAsia" w:hAnsiTheme="minorEastAsia" w:eastAsiaTheme="minorEastAsia" w:cstheme="minorEastAsia"/>
          <w:kern w:val="0"/>
          <w:sz w:val="21"/>
          <w:szCs w:val="21"/>
          <w:highlight w:val="none"/>
          <w:u w:val="single"/>
        </w:rPr>
        <w:t>0 分。</w:t>
      </w:r>
    </w:p>
    <w:p>
      <w:pPr>
        <w:keepNext w:val="0"/>
        <w:keepLines w:val="0"/>
        <w:pageBreakBefore w:val="0"/>
        <w:kinsoku/>
        <w:wordWrap w:val="0"/>
        <w:overflowPunct/>
        <w:topLinePunct w:val="0"/>
        <w:bidi w:val="0"/>
        <w:adjustRightInd w:val="0"/>
        <w:snapToGrid w:val="0"/>
        <w:spacing w:line="560" w:lineRule="exact"/>
        <w:ind w:left="2" w:firstLine="453" w:firstLineChars="216"/>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届时敬请参加投标的法定代表人凭法定代表人身份证明书及法定代表人身份证原件，或授权代表凭法定代表人授权书及受托人身份证原件出席开标仪式。</w:t>
      </w:r>
    </w:p>
    <w:p>
      <w:pPr>
        <w:keepNext w:val="0"/>
        <w:keepLines w:val="0"/>
        <w:pageBreakBefore w:val="0"/>
        <w:kinsoku/>
        <w:wordWrap w:val="0"/>
        <w:overflowPunct/>
        <w:topLinePunct w:val="0"/>
        <w:bidi w:val="0"/>
        <w:adjustRightInd w:val="0"/>
        <w:snapToGrid w:val="0"/>
        <w:spacing w:line="560" w:lineRule="exact"/>
        <w:textAlignment w:val="auto"/>
        <w:outlineLvl w:val="1"/>
        <w:rPr>
          <w:rFonts w:hint="eastAsia" w:asciiTheme="minorEastAsia" w:hAnsiTheme="minorEastAsia" w:eastAsiaTheme="minorEastAsia" w:cstheme="minorEastAsia"/>
          <w:b/>
          <w:bCs/>
          <w:snapToGrid w:val="0"/>
          <w:kern w:val="0"/>
          <w:sz w:val="21"/>
          <w:szCs w:val="21"/>
          <w:highlight w:val="none"/>
        </w:rPr>
      </w:pPr>
      <w:bookmarkStart w:id="30" w:name="_Toc32540"/>
      <w:r>
        <w:rPr>
          <w:rFonts w:hint="eastAsia" w:asciiTheme="minorEastAsia" w:hAnsiTheme="minorEastAsia" w:eastAsiaTheme="minorEastAsia" w:cstheme="minorEastAsia"/>
          <w:b/>
          <w:bCs/>
          <w:snapToGrid w:val="0"/>
          <w:kern w:val="0"/>
          <w:sz w:val="21"/>
          <w:szCs w:val="21"/>
          <w:highlight w:val="none"/>
        </w:rPr>
        <w:t>六、相关联系方式</w:t>
      </w:r>
      <w:bookmarkEnd w:id="30"/>
    </w:p>
    <w:p>
      <w:pPr>
        <w:keepNext w:val="0"/>
        <w:keepLines w:val="0"/>
        <w:pageBreakBefore w:val="0"/>
        <w:kinsoku/>
        <w:wordWrap w:val="0"/>
        <w:overflowPunct/>
        <w:topLinePunct w:val="0"/>
        <w:autoSpaceDE w:val="0"/>
        <w:autoSpaceDN w:val="0"/>
        <w:bidi w:val="0"/>
        <w:spacing w:line="56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rPr>
        <w:t>采购方名称：</w:t>
      </w:r>
      <w:r>
        <w:rPr>
          <w:rFonts w:hint="eastAsia" w:asciiTheme="minorEastAsia" w:hAnsiTheme="minorEastAsia" w:eastAsiaTheme="minorEastAsia" w:cstheme="minorEastAsia"/>
          <w:sz w:val="21"/>
          <w:szCs w:val="21"/>
          <w:highlight w:val="none"/>
          <w:lang w:eastAsia="zh-CN"/>
        </w:rPr>
        <w:t>咸宁市宁安建筑工程有限公司</w:t>
      </w:r>
      <w:r>
        <w:rPr>
          <w:rFonts w:hint="eastAsia" w:asciiTheme="minorEastAsia" w:hAnsiTheme="minorEastAsia" w:eastAsiaTheme="minorEastAsia" w:cstheme="minorEastAsia"/>
          <w:sz w:val="21"/>
          <w:szCs w:val="21"/>
          <w:highlight w:val="none"/>
        </w:rPr>
        <w:t>\联系人：</w:t>
      </w:r>
      <w:r>
        <w:rPr>
          <w:rFonts w:hint="eastAsia" w:asciiTheme="minorEastAsia" w:hAnsiTheme="minorEastAsia" w:eastAsiaTheme="minorEastAsia" w:cstheme="minorEastAsia"/>
          <w:sz w:val="21"/>
          <w:szCs w:val="21"/>
          <w:highlight w:val="none"/>
          <w:lang w:eastAsia="zh-CN"/>
        </w:rPr>
        <w:t>胡弘</w:t>
      </w:r>
    </w:p>
    <w:p>
      <w:pPr>
        <w:keepNext w:val="0"/>
        <w:keepLines w:val="0"/>
        <w:pageBreakBefore w:val="0"/>
        <w:kinsoku/>
        <w:wordWrap w:val="0"/>
        <w:overflowPunct/>
        <w:topLinePunct w:val="0"/>
        <w:autoSpaceDE w:val="0"/>
        <w:autoSpaceDN w:val="0"/>
        <w:bidi w:val="0"/>
        <w:spacing w:line="56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采购方电话：</w:t>
      </w:r>
      <w:r>
        <w:rPr>
          <w:rFonts w:hint="eastAsia" w:asciiTheme="minorEastAsia" w:hAnsiTheme="minorEastAsia" w:eastAsiaTheme="minorEastAsia" w:cstheme="minorEastAsia"/>
          <w:sz w:val="21"/>
          <w:szCs w:val="21"/>
          <w:highlight w:val="none"/>
          <w:lang w:val="en-US" w:eastAsia="zh-CN"/>
        </w:rPr>
        <w:t>18007240968</w:t>
      </w:r>
    </w:p>
    <w:p>
      <w:pPr>
        <w:keepNext w:val="0"/>
        <w:keepLines w:val="0"/>
        <w:pageBreakBefore w:val="0"/>
        <w:kinsoku/>
        <w:wordWrap w:val="0"/>
        <w:overflowPunct/>
        <w:topLinePunct w:val="0"/>
        <w:autoSpaceDE w:val="0"/>
        <w:autoSpaceDN w:val="0"/>
        <w:bidi w:val="0"/>
        <w:spacing w:line="5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采购方地址：</w:t>
      </w:r>
      <w:r>
        <w:rPr>
          <w:rFonts w:hint="eastAsia" w:asciiTheme="minorEastAsia" w:hAnsiTheme="minorEastAsia" w:eastAsiaTheme="minorEastAsia" w:cstheme="minorEastAsia"/>
          <w:sz w:val="21"/>
          <w:szCs w:val="21"/>
          <w:highlight w:val="none"/>
          <w:lang w:eastAsia="zh-CN"/>
        </w:rPr>
        <w:t>咸安区昊天建材城</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9</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号楼</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楼</w:t>
      </w:r>
    </w:p>
    <w:p>
      <w:pPr>
        <w:keepNext w:val="0"/>
        <w:keepLines w:val="0"/>
        <w:pageBreakBefore w:val="0"/>
        <w:kinsoku/>
        <w:wordWrap w:val="0"/>
        <w:overflowPunct/>
        <w:topLinePunct w:val="0"/>
        <w:bidi w:val="0"/>
        <w:adjustRightInd w:val="0"/>
        <w:snapToGrid w:val="0"/>
        <w:spacing w:line="560" w:lineRule="exact"/>
        <w:textAlignment w:val="auto"/>
        <w:outlineLvl w:val="1"/>
        <w:rPr>
          <w:rFonts w:hint="eastAsia" w:asciiTheme="minorEastAsia" w:hAnsiTheme="minorEastAsia" w:eastAsiaTheme="minorEastAsia" w:cstheme="minorEastAsia"/>
          <w:b/>
          <w:bCs/>
          <w:snapToGrid w:val="0"/>
          <w:kern w:val="0"/>
          <w:sz w:val="21"/>
          <w:szCs w:val="21"/>
          <w:highlight w:val="none"/>
        </w:rPr>
      </w:pPr>
      <w:bookmarkStart w:id="31" w:name="_Toc2333"/>
      <w:r>
        <w:rPr>
          <w:rFonts w:hint="eastAsia" w:asciiTheme="minorEastAsia" w:hAnsiTheme="minorEastAsia" w:eastAsiaTheme="minorEastAsia" w:cstheme="minorEastAsia"/>
          <w:b/>
          <w:bCs/>
          <w:snapToGrid w:val="0"/>
          <w:kern w:val="0"/>
          <w:sz w:val="21"/>
          <w:szCs w:val="21"/>
          <w:highlight w:val="none"/>
        </w:rPr>
        <w:t>七、信息发布媒体</w:t>
      </w:r>
      <w:bookmarkEnd w:id="31"/>
    </w:p>
    <w:p>
      <w:pPr>
        <w:keepNext w:val="0"/>
        <w:keepLines w:val="0"/>
        <w:pageBreakBefore w:val="0"/>
        <w:kinsoku/>
        <w:wordWrap w:val="0"/>
        <w:overflowPunct/>
        <w:topLinePunct w:val="0"/>
        <w:bidi w:val="0"/>
        <w:adjustRightInd w:val="0"/>
        <w:snapToGrid w:val="0"/>
        <w:spacing w:line="560" w:lineRule="exac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1"/>
          <w:szCs w:val="21"/>
          <w:highlight w:val="none"/>
        </w:rPr>
        <w:t>咸宁市宁安建筑工程有限公司网站（http://zb.xnxact.com/）</w:t>
      </w:r>
    </w:p>
    <w:p>
      <w:pPr>
        <w:wordWrap w:val="0"/>
        <w:adjustRightInd w:val="0"/>
        <w:snapToGrid w:val="0"/>
        <w:spacing w:line="520" w:lineRule="exact"/>
        <w:jc w:val="right"/>
        <w:rPr>
          <w:rFonts w:hint="eastAsia" w:asciiTheme="minorEastAsia" w:hAnsiTheme="minorEastAsia" w:eastAsiaTheme="minorEastAsia" w:cstheme="minorEastAsia"/>
          <w:kern w:val="0"/>
          <w:sz w:val="24"/>
          <w:szCs w:val="24"/>
          <w:highlight w:val="none"/>
          <w:lang w:val="en-US" w:eastAsia="zh-CN"/>
        </w:rPr>
      </w:pPr>
    </w:p>
    <w:p>
      <w:pPr>
        <w:wordWrap w:val="0"/>
        <w:spacing w:before="120" w:beforeLines="50" w:after="120" w:afterLines="50"/>
        <w:ind w:firstLine="945" w:firstLineChars="450"/>
        <w:jc w:val="center"/>
        <w:outlineLvl w:val="0"/>
        <w:rPr>
          <w:rFonts w:ascii="黑体" w:eastAsia="黑体"/>
          <w:sz w:val="44"/>
          <w:highlight w:val="none"/>
        </w:rPr>
      </w:pPr>
      <w:r>
        <w:rPr>
          <w:rFonts w:ascii="宋体"/>
          <w:szCs w:val="21"/>
          <w:highlight w:val="none"/>
        </w:rPr>
        <w:br w:type="page"/>
      </w:r>
      <w:bookmarkStart w:id="32" w:name="_Toc27693"/>
      <w:r>
        <w:rPr>
          <w:rFonts w:hint="eastAsia" w:ascii="黑体" w:eastAsia="黑体"/>
          <w:sz w:val="44"/>
          <w:highlight w:val="none"/>
        </w:rPr>
        <w:t xml:space="preserve">第二章 </w:t>
      </w:r>
      <w:r>
        <w:rPr>
          <w:rFonts w:ascii="黑体" w:eastAsia="黑体"/>
          <w:sz w:val="44"/>
          <w:highlight w:val="none"/>
        </w:rPr>
        <w:t xml:space="preserve"> </w:t>
      </w:r>
      <w:r>
        <w:rPr>
          <w:rFonts w:hint="eastAsia" w:ascii="黑体" w:eastAsia="黑体"/>
          <w:sz w:val="44"/>
          <w:highlight w:val="none"/>
        </w:rPr>
        <w:t>投标人须知</w:t>
      </w:r>
      <w:bookmarkEnd w:id="32"/>
      <w:bookmarkStart w:id="33" w:name="_Toc535832512"/>
      <w:bookmarkStart w:id="34" w:name="_Toc426449725"/>
      <w:bookmarkStart w:id="35" w:name="_Toc120411793"/>
    </w:p>
    <w:bookmarkEnd w:id="33"/>
    <w:bookmarkEnd w:id="34"/>
    <w:bookmarkEnd w:id="35"/>
    <w:p>
      <w:pPr>
        <w:pStyle w:val="4"/>
        <w:numPr>
          <w:ilvl w:val="0"/>
          <w:numId w:val="8"/>
        </w:numPr>
        <w:wordWrap w:val="0"/>
        <w:spacing w:before="120" w:beforeLines="50" w:after="120" w:afterLines="50"/>
        <w:jc w:val="both"/>
        <w:rPr>
          <w:rFonts w:ascii="黑体" w:hAnsi="黑体" w:eastAsia="黑体" w:cs="黑体"/>
          <w:highlight w:val="none"/>
        </w:rPr>
      </w:pPr>
      <w:bookmarkStart w:id="36" w:name="_Toc31416"/>
      <w:r>
        <w:rPr>
          <w:rFonts w:hint="eastAsia" w:ascii="黑体" w:hAnsi="黑体" w:eastAsia="黑体" w:cs="黑体"/>
          <w:highlight w:val="none"/>
        </w:rPr>
        <w:t>供应商须知附表</w:t>
      </w:r>
      <w:bookmarkEnd w:id="36"/>
    </w:p>
    <w:tbl>
      <w:tblPr>
        <w:tblStyle w:val="40"/>
        <w:tblW w:w="525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782"/>
        <w:gridCol w:w="2308"/>
        <w:gridCol w:w="637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413" w:type="pct"/>
            <w:vAlign w:val="center"/>
          </w:tcPr>
          <w:p>
            <w:pPr>
              <w:pStyle w:val="154"/>
              <w:shd w:val="clear"/>
              <w:ind w:left="9"/>
              <w:jc w:val="center"/>
              <w:rPr>
                <w:b/>
                <w:bCs/>
                <w:color w:val="000000"/>
                <w:highlight w:val="none"/>
                <w:lang w:val="zh-CN"/>
              </w:rPr>
            </w:pPr>
            <w:r>
              <w:rPr>
                <w:rFonts w:hint="eastAsia"/>
                <w:b/>
                <w:bCs/>
                <w:color w:val="000000"/>
                <w:highlight w:val="none"/>
                <w:lang w:val="zh-CN"/>
              </w:rPr>
              <w:t>序号</w:t>
            </w:r>
          </w:p>
        </w:tc>
        <w:tc>
          <w:tcPr>
            <w:tcW w:w="1218" w:type="pct"/>
            <w:vAlign w:val="center"/>
          </w:tcPr>
          <w:p>
            <w:pPr>
              <w:pStyle w:val="154"/>
              <w:shd w:val="clear"/>
              <w:ind w:left="38"/>
              <w:jc w:val="center"/>
              <w:rPr>
                <w:b/>
                <w:bCs/>
                <w:color w:val="000000"/>
                <w:highlight w:val="none"/>
                <w:lang w:val="zh-CN"/>
              </w:rPr>
            </w:pPr>
            <w:r>
              <w:rPr>
                <w:rFonts w:hint="eastAsia"/>
                <w:b/>
                <w:bCs/>
                <w:color w:val="000000"/>
                <w:highlight w:val="none"/>
                <w:lang w:val="zh-CN"/>
              </w:rPr>
              <w:t>应知事项</w:t>
            </w:r>
          </w:p>
        </w:tc>
        <w:tc>
          <w:tcPr>
            <w:tcW w:w="3367" w:type="pct"/>
            <w:vAlign w:val="center"/>
          </w:tcPr>
          <w:p>
            <w:pPr>
              <w:pStyle w:val="154"/>
              <w:shd w:val="clear"/>
              <w:jc w:val="center"/>
              <w:rPr>
                <w:b/>
                <w:bCs/>
                <w:color w:val="000000"/>
                <w:highlight w:val="none"/>
                <w:lang w:val="zh-CN"/>
              </w:rPr>
            </w:pPr>
            <w:r>
              <w:rPr>
                <w:rFonts w:hint="eastAsia"/>
                <w:b/>
                <w:bCs/>
                <w:color w:val="000000"/>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1</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确定邀请</w:t>
            </w:r>
            <w:r>
              <w:rPr>
                <w:rFonts w:hint="eastAsia"/>
                <w:color w:val="000000"/>
                <w:highlight w:val="none"/>
                <w:lang w:val="en-US" w:eastAsia="zh-CN"/>
              </w:rPr>
              <w:t>投标</w:t>
            </w:r>
            <w:r>
              <w:rPr>
                <w:rFonts w:hint="eastAsia"/>
                <w:color w:val="000000"/>
                <w:highlight w:val="none"/>
                <w:lang w:val="zh-CN"/>
              </w:rPr>
              <w:t>的供应商数量和方式</w:t>
            </w:r>
          </w:p>
        </w:tc>
        <w:tc>
          <w:tcPr>
            <w:tcW w:w="3367" w:type="pct"/>
            <w:vAlign w:val="center"/>
          </w:tcPr>
          <w:p>
            <w:pPr>
              <w:pStyle w:val="154"/>
              <w:shd w:val="clear"/>
              <w:jc w:val="both"/>
              <w:rPr>
                <w:color w:val="000000"/>
                <w:highlight w:val="none"/>
                <w:lang w:val="zh-CN"/>
              </w:rPr>
            </w:pPr>
            <w:r>
              <w:rPr>
                <w:rFonts w:hint="eastAsia"/>
                <w:color w:val="000000"/>
                <w:highlight w:val="none"/>
                <w:lang w:val="zh-CN"/>
              </w:rPr>
              <w:t>本次</w:t>
            </w:r>
            <w:r>
              <w:rPr>
                <w:rFonts w:hint="eastAsia"/>
                <w:color w:val="000000"/>
                <w:highlight w:val="none"/>
                <w:lang w:val="en-US" w:eastAsia="zh-CN"/>
              </w:rPr>
              <w:t>公开招标</w:t>
            </w:r>
            <w:r>
              <w:rPr>
                <w:rFonts w:hint="eastAsia"/>
                <w:color w:val="000000"/>
                <w:highlight w:val="none"/>
                <w:lang w:val="zh-CN"/>
              </w:rPr>
              <w:t>邀请的供应商数量：本次采购采取</w:t>
            </w:r>
            <w:r>
              <w:rPr>
                <w:rFonts w:hint="eastAsia"/>
                <w:bCs/>
                <w:color w:val="000000"/>
                <w:highlight w:val="none"/>
              </w:rPr>
              <w:t>公告</w:t>
            </w:r>
            <w:r>
              <w:rPr>
                <w:rFonts w:hint="eastAsia"/>
                <w:color w:val="000000"/>
                <w:highlight w:val="none"/>
                <w:lang w:val="zh-CN"/>
              </w:rPr>
              <w:t>的方式邀请参加</w:t>
            </w:r>
            <w:r>
              <w:rPr>
                <w:rFonts w:hint="eastAsia"/>
                <w:color w:val="000000"/>
                <w:highlight w:val="none"/>
                <w:lang w:val="en-US" w:eastAsia="zh-CN"/>
              </w:rPr>
              <w:t>投标</w:t>
            </w:r>
            <w:r>
              <w:rPr>
                <w:rFonts w:hint="eastAsia"/>
                <w:color w:val="000000"/>
                <w:highlight w:val="none"/>
                <w:lang w:val="zh-CN"/>
              </w:rPr>
              <w:t>的供应商。</w:t>
            </w:r>
          </w:p>
          <w:p>
            <w:pPr>
              <w:pStyle w:val="154"/>
              <w:shd w:val="clear"/>
              <w:rPr>
                <w:bCs/>
                <w:color w:val="000000"/>
                <w:highlight w:val="none"/>
              </w:rPr>
            </w:pPr>
            <w:r>
              <w:rPr>
                <w:rFonts w:hint="eastAsia"/>
                <w:bCs/>
                <w:color w:val="000000"/>
                <w:highlight w:val="none"/>
              </w:rPr>
              <w:t>公告方式：本次</w:t>
            </w:r>
            <w:r>
              <w:rPr>
                <w:rFonts w:hint="eastAsia"/>
                <w:bCs/>
                <w:color w:val="000000"/>
                <w:highlight w:val="none"/>
                <w:lang w:val="en-US" w:eastAsia="zh-CN"/>
              </w:rPr>
              <w:t>公开招标</w:t>
            </w:r>
            <w:r>
              <w:rPr>
                <w:rFonts w:hint="eastAsia"/>
                <w:bCs/>
                <w:color w:val="000000"/>
                <w:highlight w:val="none"/>
              </w:rPr>
              <w:t>邀请在咸宁市宁安建筑工程有限公司网站（http://zb.xnxact.com/）以公告形式发布，供应商</w:t>
            </w:r>
            <w:r>
              <w:rPr>
                <w:bCs/>
                <w:color w:val="000000"/>
                <w:highlight w:val="none"/>
              </w:rPr>
              <w:t>的数量为</w:t>
            </w:r>
            <w:r>
              <w:rPr>
                <w:rFonts w:hint="eastAsia"/>
                <w:bCs/>
                <w:color w:val="000000"/>
                <w:highlight w:val="none"/>
              </w:rPr>
              <w:t>获取</w:t>
            </w:r>
            <w:r>
              <w:rPr>
                <w:rFonts w:hint="eastAsia"/>
                <w:bCs/>
                <w:color w:val="000000"/>
                <w:highlight w:val="none"/>
                <w:lang w:val="en-US" w:eastAsia="zh-CN"/>
              </w:rPr>
              <w:t>招标</w:t>
            </w:r>
            <w:r>
              <w:rPr>
                <w:rFonts w:hint="eastAsia"/>
                <w:bCs/>
                <w:color w:val="000000"/>
                <w:highlight w:val="none"/>
              </w:rPr>
              <w:t>文件</w:t>
            </w:r>
            <w:r>
              <w:rPr>
                <w:bCs/>
                <w:color w:val="000000"/>
                <w:highlight w:val="none"/>
              </w:rPr>
              <w:t>并参加采购活动的数量</w:t>
            </w:r>
            <w:r>
              <w:rPr>
                <w:rFonts w:hint="eastAsia"/>
                <w:bCs/>
                <w:color w:val="000000"/>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en-US" w:eastAsia="zh-CN"/>
              </w:rPr>
            </w:pPr>
            <w:r>
              <w:rPr>
                <w:rFonts w:hint="eastAsia" w:cs="Courier New"/>
                <w:color w:val="000000"/>
                <w:highlight w:val="none"/>
                <w:lang w:val="en-US" w:eastAsia="zh-CN"/>
              </w:rPr>
              <w:t>2</w:t>
            </w:r>
          </w:p>
        </w:tc>
        <w:tc>
          <w:tcPr>
            <w:tcW w:w="1218" w:type="pct"/>
            <w:vAlign w:val="center"/>
          </w:tcPr>
          <w:p>
            <w:pPr>
              <w:pStyle w:val="154"/>
              <w:shd w:val="clear"/>
              <w:ind w:left="38"/>
              <w:jc w:val="center"/>
              <w:rPr>
                <w:rFonts w:hint="default" w:eastAsia="宋体"/>
                <w:color w:val="000000"/>
                <w:highlight w:val="none"/>
                <w:lang w:val="en-US" w:eastAsia="zh-CN"/>
              </w:rPr>
            </w:pPr>
            <w:r>
              <w:rPr>
                <w:rFonts w:hint="eastAsia"/>
                <w:color w:val="000000"/>
                <w:highlight w:val="none"/>
                <w:lang w:val="en-US" w:eastAsia="zh-CN"/>
              </w:rPr>
              <w:t>投标截止时间</w:t>
            </w:r>
          </w:p>
        </w:tc>
        <w:tc>
          <w:tcPr>
            <w:tcW w:w="3367" w:type="pct"/>
            <w:vAlign w:val="center"/>
          </w:tcPr>
          <w:p>
            <w:pPr>
              <w:pStyle w:val="154"/>
              <w:shd w:val="clear"/>
              <w:ind w:firstLine="240" w:firstLineChars="100"/>
              <w:rPr>
                <w:rFonts w:hint="eastAsia"/>
                <w:bCs/>
                <w:color w:val="000000"/>
                <w:highlight w:val="none"/>
              </w:rPr>
            </w:pPr>
            <w:r>
              <w:rPr>
                <w:rFonts w:hint="eastAsia"/>
                <w:bCs/>
                <w:color w:val="000000"/>
                <w:highlight w:val="none"/>
                <w:lang w:eastAsia="zh-CN"/>
              </w:rPr>
              <w:t>20</w:t>
            </w:r>
            <w:r>
              <w:rPr>
                <w:rFonts w:hint="eastAsia"/>
                <w:bCs/>
                <w:color w:val="000000"/>
                <w:highlight w:val="none"/>
                <w:lang w:val="en-US" w:eastAsia="zh-CN"/>
              </w:rPr>
              <w:t>2</w:t>
            </w:r>
            <w:r>
              <w:rPr>
                <w:rFonts w:hint="eastAsia"/>
                <w:bCs/>
                <w:color w:val="000000"/>
                <w:highlight w:val="none"/>
                <w:lang w:eastAsia="zh-CN"/>
              </w:rPr>
              <w:t>2</w:t>
            </w:r>
            <w:r>
              <w:rPr>
                <w:rFonts w:hint="eastAsia"/>
                <w:bCs/>
                <w:color w:val="000000"/>
                <w:highlight w:val="none"/>
                <w:lang w:val="en-US" w:eastAsia="zh-CN"/>
              </w:rPr>
              <w:t xml:space="preserve"> </w:t>
            </w:r>
            <w:r>
              <w:rPr>
                <w:rFonts w:hint="eastAsia"/>
                <w:bCs/>
                <w:color w:val="000000"/>
                <w:highlight w:val="none"/>
                <w:lang w:eastAsia="zh-CN"/>
              </w:rPr>
              <w:t>年</w:t>
            </w:r>
            <w:r>
              <w:rPr>
                <w:rFonts w:hint="eastAsia"/>
                <w:bCs/>
                <w:color w:val="000000"/>
                <w:highlight w:val="none"/>
                <w:lang w:val="en-US" w:eastAsia="zh-CN"/>
              </w:rPr>
              <w:t xml:space="preserve"> </w:t>
            </w:r>
            <w:r>
              <w:rPr>
                <w:rFonts w:hint="eastAsia"/>
                <w:bCs/>
                <w:color w:val="000000"/>
                <w:highlight w:val="none"/>
                <w:lang w:eastAsia="zh-CN"/>
              </w:rPr>
              <w:t>9</w:t>
            </w:r>
            <w:r>
              <w:rPr>
                <w:rFonts w:hint="eastAsia"/>
                <w:bCs/>
                <w:color w:val="000000"/>
                <w:highlight w:val="none"/>
                <w:lang w:val="en-US" w:eastAsia="zh-CN"/>
              </w:rPr>
              <w:t xml:space="preserve"> </w:t>
            </w:r>
            <w:r>
              <w:rPr>
                <w:rFonts w:hint="eastAsia"/>
                <w:bCs/>
                <w:color w:val="000000"/>
                <w:highlight w:val="none"/>
                <w:lang w:eastAsia="zh-CN"/>
              </w:rPr>
              <w:t>月</w:t>
            </w:r>
            <w:r>
              <w:rPr>
                <w:rFonts w:hint="eastAsia"/>
                <w:bCs/>
                <w:color w:val="000000"/>
                <w:highlight w:val="none"/>
                <w:lang w:val="en-US" w:eastAsia="zh-CN"/>
              </w:rPr>
              <w:t xml:space="preserve"> 14 </w:t>
            </w:r>
            <w:r>
              <w:rPr>
                <w:rFonts w:hint="eastAsia"/>
                <w:bCs/>
                <w:color w:val="000000"/>
                <w:highlight w:val="none"/>
                <w:lang w:eastAsia="zh-CN"/>
              </w:rPr>
              <w:t>日</w:t>
            </w:r>
            <w:r>
              <w:rPr>
                <w:rFonts w:hint="eastAsia"/>
                <w:bCs/>
                <w:color w:val="000000"/>
                <w:highlight w:val="none"/>
              </w:rPr>
              <w:t xml:space="preserve"> </w:t>
            </w:r>
            <w:r>
              <w:rPr>
                <w:rFonts w:hint="eastAsia"/>
                <w:bCs/>
                <w:color w:val="000000"/>
                <w:highlight w:val="none"/>
                <w:lang w:val="en-US" w:eastAsia="zh-CN"/>
              </w:rPr>
              <w:t>10</w:t>
            </w:r>
            <w:r>
              <w:rPr>
                <w:rFonts w:hint="eastAsia"/>
                <w:bCs/>
                <w:color w:val="000000"/>
                <w:highlight w:val="none"/>
              </w:rPr>
              <w:t xml:space="preserve"> 时 </w:t>
            </w:r>
            <w:r>
              <w:rPr>
                <w:rFonts w:hint="eastAsia"/>
                <w:bCs/>
                <w:color w:val="000000"/>
                <w:highlight w:val="none"/>
                <w:lang w:eastAsia="zh-CN"/>
              </w:rPr>
              <w:t>0</w:t>
            </w:r>
            <w:r>
              <w:rPr>
                <w:rFonts w:hint="eastAsia"/>
                <w:bCs/>
                <w:color w:val="000000"/>
                <w:highlight w:val="none"/>
              </w:rPr>
              <w:t>0 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3</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最高限价</w:t>
            </w:r>
          </w:p>
          <w:p>
            <w:pPr>
              <w:pStyle w:val="154"/>
              <w:shd w:val="clear"/>
              <w:ind w:left="38"/>
              <w:jc w:val="center"/>
              <w:rPr>
                <w:color w:val="000000"/>
                <w:highlight w:val="none"/>
                <w:lang w:val="zh-CN"/>
              </w:rPr>
            </w:pPr>
            <w:r>
              <w:rPr>
                <w:rFonts w:hint="eastAsia"/>
                <w:b/>
                <w:bCs/>
                <w:color w:val="000000"/>
                <w:highlight w:val="none"/>
                <w:lang w:val="zh-CN"/>
              </w:rPr>
              <w:t>（实质性要求）</w:t>
            </w:r>
          </w:p>
        </w:tc>
        <w:tc>
          <w:tcPr>
            <w:tcW w:w="3367" w:type="pct"/>
            <w:vAlign w:val="center"/>
          </w:tcPr>
          <w:p>
            <w:pPr>
              <w:pStyle w:val="154"/>
              <w:shd w:val="clear"/>
              <w:jc w:val="left"/>
              <w:rPr>
                <w:rFonts w:hint="eastAsia" w:ascii="宋体" w:hAnsi="宋体" w:cs="宋体"/>
                <w:b/>
                <w:bCs w:val="0"/>
                <w:color w:val="auto"/>
                <w:szCs w:val="21"/>
                <w:highlight w:val="none"/>
                <w:lang w:val="zh-CN" w:eastAsia="zh-CN"/>
              </w:rPr>
            </w:pPr>
            <w:r>
              <w:rPr>
                <w:rFonts w:hint="eastAsia" w:ascii="宋体" w:hAnsi="宋体" w:cs="宋体"/>
                <w:bCs/>
                <w:color w:val="auto"/>
                <w:szCs w:val="21"/>
                <w:highlight w:val="none"/>
                <w:lang w:eastAsia="zh-CN"/>
              </w:rPr>
              <w:t>包含设备的采购费、运输费、</w:t>
            </w:r>
            <w:r>
              <w:rPr>
                <w:rFonts w:hint="eastAsia" w:ascii="宋体" w:hAnsi="宋体"/>
                <w:szCs w:val="21"/>
                <w:highlight w:val="none"/>
                <w:lang w:val="en-US" w:eastAsia="zh-CN"/>
              </w:rPr>
              <w:t>安装</w:t>
            </w:r>
            <w:r>
              <w:rPr>
                <w:rFonts w:hint="eastAsia" w:ascii="宋体" w:hAnsi="宋体"/>
                <w:szCs w:val="21"/>
                <w:highlight w:val="none"/>
                <w:lang w:val="zh-CN"/>
              </w:rPr>
              <w:t>管理费、利润及</w:t>
            </w:r>
            <w:r>
              <w:rPr>
                <w:rFonts w:hint="eastAsia" w:ascii="宋体" w:hAnsi="宋体"/>
                <w:szCs w:val="21"/>
                <w:highlight w:val="none"/>
                <w:lang w:val="en-US" w:eastAsia="zh-CN"/>
              </w:rPr>
              <w:t>9</w:t>
            </w:r>
            <w:r>
              <w:rPr>
                <w:rFonts w:hint="eastAsia" w:ascii="宋体" w:hAnsi="宋体"/>
                <w:szCs w:val="21"/>
                <w:highlight w:val="none"/>
                <w:lang w:val="zh-CN"/>
              </w:rPr>
              <w:t>%增值税专用发票等</w:t>
            </w:r>
            <w:r>
              <w:rPr>
                <w:rFonts w:hint="eastAsia"/>
                <w:color w:val="000000"/>
                <w:highlight w:val="red"/>
                <w:lang w:val="zh-CN"/>
              </w:rPr>
              <w:t>,最高限价：</w:t>
            </w:r>
            <w:r>
              <w:rPr>
                <w:rFonts w:hint="eastAsia" w:asciiTheme="majorEastAsia" w:hAnsiTheme="majorEastAsia" w:eastAsiaTheme="majorEastAsia" w:cstheme="majorEastAsia"/>
                <w:color w:val="auto"/>
                <w:kern w:val="0"/>
                <w:sz w:val="24"/>
                <w:szCs w:val="24"/>
                <w:highlight w:val="red"/>
                <w:u w:val="single"/>
                <w:lang w:val="en-US" w:eastAsia="zh-CN"/>
              </w:rPr>
              <w:t>18.5</w:t>
            </w:r>
            <w:r>
              <w:rPr>
                <w:rFonts w:hint="eastAsia" w:asciiTheme="majorEastAsia" w:hAnsiTheme="majorEastAsia" w:eastAsiaTheme="majorEastAsia" w:cstheme="majorEastAsia"/>
                <w:color w:val="auto"/>
                <w:kern w:val="0"/>
                <w:sz w:val="24"/>
                <w:szCs w:val="24"/>
                <w:highlight w:val="red"/>
                <w:u w:val="single"/>
                <w:lang w:val="en-US" w:eastAsia="zh-Hans"/>
              </w:rPr>
              <w:t>万元</w:t>
            </w:r>
            <w:r>
              <w:rPr>
                <w:rFonts w:hint="eastAsia" w:asciiTheme="majorEastAsia" w:hAnsiTheme="majorEastAsia" w:eastAsiaTheme="majorEastAsia" w:cstheme="majorEastAsia"/>
                <w:color w:val="auto"/>
                <w:kern w:val="0"/>
                <w:sz w:val="24"/>
                <w:szCs w:val="24"/>
                <w:highlight w:val="red"/>
                <w:u w:val="single"/>
                <w:lang w:val="en-US" w:eastAsia="zh-CN"/>
              </w:rPr>
              <w:t xml:space="preserve">/台 </w:t>
            </w:r>
            <w:r>
              <w:rPr>
                <w:rFonts w:hint="eastAsia"/>
                <w:color w:val="000000"/>
                <w:highlight w:val="red"/>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4</w:t>
            </w:r>
          </w:p>
        </w:tc>
        <w:tc>
          <w:tcPr>
            <w:tcW w:w="1218" w:type="pct"/>
            <w:vAlign w:val="center"/>
          </w:tcPr>
          <w:p>
            <w:pPr>
              <w:pStyle w:val="154"/>
              <w:shd w:val="clear"/>
              <w:ind w:left="38"/>
              <w:jc w:val="center"/>
              <w:rPr>
                <w:highlight w:val="none"/>
              </w:rPr>
            </w:pPr>
            <w:r>
              <w:rPr>
                <w:rFonts w:hint="eastAsia"/>
                <w:highlight w:val="none"/>
              </w:rPr>
              <w:t>低于成本价</w:t>
            </w:r>
          </w:p>
          <w:p>
            <w:pPr>
              <w:pStyle w:val="154"/>
              <w:shd w:val="clear"/>
              <w:ind w:left="38"/>
              <w:jc w:val="center"/>
              <w:rPr>
                <w:highlight w:val="none"/>
              </w:rPr>
            </w:pPr>
            <w:r>
              <w:rPr>
                <w:rFonts w:hint="eastAsia"/>
                <w:highlight w:val="none"/>
              </w:rPr>
              <w:t>不正当竞争预防措施</w:t>
            </w:r>
          </w:p>
          <w:p>
            <w:pPr>
              <w:pStyle w:val="154"/>
              <w:shd w:val="clear"/>
              <w:ind w:left="38"/>
              <w:jc w:val="center"/>
              <w:rPr>
                <w:highlight w:val="none"/>
              </w:rPr>
            </w:pPr>
            <w:r>
              <w:rPr>
                <w:rFonts w:hint="eastAsia"/>
                <w:b/>
                <w:bCs/>
                <w:highlight w:val="none"/>
              </w:rPr>
              <w:t>（实质性要求）</w:t>
            </w:r>
          </w:p>
        </w:tc>
        <w:tc>
          <w:tcPr>
            <w:tcW w:w="3367" w:type="pct"/>
            <w:vAlign w:val="center"/>
          </w:tcPr>
          <w:p>
            <w:pPr>
              <w:pStyle w:val="154"/>
              <w:shd w:val="clear"/>
              <w:snapToGrid w:val="0"/>
              <w:ind w:firstLine="480" w:firstLineChars="200"/>
              <w:rPr>
                <w:highlight w:val="none"/>
                <w:lang w:val="zh-CN"/>
              </w:rPr>
            </w:pPr>
            <w:r>
              <w:rPr>
                <w:rFonts w:hint="eastAsia"/>
                <w:highlight w:val="none"/>
                <w:lang w:val="zh-CN"/>
              </w:rPr>
              <w:t>在评审过程中，供应商的响应文件涉嫌无偿或低于成本价报价的，有可能影响产品质量或者不能诚信履约的，按照相关规定，评审委员会应当要求其在评审现场合理的时间内提供成本构成书面说明，并提交相关证明材料，证明其报价的合理性，无法证明其报价合理性的，其响应文件按照无效响应处理。</w:t>
            </w:r>
          </w:p>
          <w:p>
            <w:pPr>
              <w:pStyle w:val="154"/>
              <w:shd w:val="clear"/>
              <w:snapToGrid w:val="0"/>
              <w:ind w:firstLine="480" w:firstLineChars="200"/>
              <w:rPr>
                <w:highlight w:val="none"/>
                <w:lang w:val="zh-CN"/>
              </w:rPr>
            </w:pPr>
            <w:r>
              <w:rPr>
                <w:rFonts w:hint="eastAsia"/>
                <w:highlight w:val="none"/>
                <w:lang w:val="zh-CN"/>
              </w:rPr>
              <w:t>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54"/>
              <w:shd w:val="clear"/>
              <w:snapToGrid w:val="0"/>
              <w:ind w:firstLine="480" w:firstLineChars="200"/>
              <w:rPr>
                <w:highlight w:val="none"/>
              </w:rPr>
            </w:pPr>
            <w:r>
              <w:rPr>
                <w:rFonts w:hint="eastAsia"/>
                <w:highlight w:val="none"/>
                <w:lang w:val="zh-CN"/>
              </w:rPr>
              <w:t>供应商书面说明应当签字确认或者加盖公章，否则无效。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5</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成交结果公告</w:t>
            </w:r>
          </w:p>
        </w:tc>
        <w:tc>
          <w:tcPr>
            <w:tcW w:w="3367" w:type="pct"/>
            <w:vAlign w:val="center"/>
          </w:tcPr>
          <w:p>
            <w:pPr>
              <w:pStyle w:val="154"/>
              <w:shd w:val="clear"/>
              <w:ind w:firstLine="480" w:firstLineChars="200"/>
              <w:jc w:val="both"/>
              <w:rPr>
                <w:color w:val="000000"/>
                <w:highlight w:val="none"/>
                <w:lang w:val="zh-CN"/>
              </w:rPr>
            </w:pPr>
            <w:r>
              <w:rPr>
                <w:rFonts w:hint="eastAsia"/>
                <w:color w:val="000000"/>
                <w:highlight w:val="none"/>
                <w:lang w:val="zh-CN"/>
              </w:rPr>
              <w:t>成交结果在</w:t>
            </w:r>
            <w:r>
              <w:rPr>
                <w:rFonts w:hint="eastAsia"/>
                <w:bCs/>
                <w:color w:val="000000"/>
                <w:highlight w:val="none"/>
              </w:rPr>
              <w:t>咸宁市宁安建筑工程有限公司网站（http://zb.xnxact.com/）</w:t>
            </w:r>
            <w:r>
              <w:rPr>
                <w:rFonts w:hint="eastAsia"/>
                <w:bCs/>
                <w:color w:val="000000"/>
                <w:highlight w:val="none"/>
                <w:lang w:val="en-US" w:eastAsia="zh-CN"/>
              </w:rPr>
              <w:t>上</w:t>
            </w:r>
            <w:r>
              <w:rPr>
                <w:rFonts w:hint="eastAsia"/>
                <w:color w:val="000000"/>
                <w:highlight w:val="none"/>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6</w:t>
            </w:r>
          </w:p>
        </w:tc>
        <w:tc>
          <w:tcPr>
            <w:tcW w:w="1218" w:type="pct"/>
            <w:vAlign w:val="center"/>
          </w:tcPr>
          <w:p>
            <w:pPr>
              <w:pStyle w:val="154"/>
              <w:shd w:val="clear"/>
              <w:snapToGrid w:val="0"/>
              <w:ind w:left="38"/>
              <w:jc w:val="center"/>
              <w:rPr>
                <w:highlight w:val="none"/>
                <w:lang w:val="zh-CN"/>
              </w:rPr>
            </w:pPr>
            <w:r>
              <w:rPr>
                <w:rFonts w:hint="eastAsia"/>
                <w:highlight w:val="none"/>
                <w:lang w:val="zh-CN"/>
              </w:rPr>
              <w:t>履约保证金</w:t>
            </w:r>
          </w:p>
        </w:tc>
        <w:tc>
          <w:tcPr>
            <w:tcW w:w="3367" w:type="pct"/>
            <w:vAlign w:val="center"/>
          </w:tcPr>
          <w:p>
            <w:pPr>
              <w:pStyle w:val="154"/>
              <w:shd w:val="clear"/>
              <w:snapToGrid w:val="0"/>
              <w:jc w:val="both"/>
              <w:rPr>
                <w:highlight w:val="none"/>
              </w:rPr>
            </w:pPr>
            <w:r>
              <w:rPr>
                <w:rFonts w:hint="eastAsia"/>
                <w:highlight w:val="none"/>
              </w:rPr>
              <w:t>本项目不作要求。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7</w:t>
            </w:r>
          </w:p>
        </w:tc>
        <w:tc>
          <w:tcPr>
            <w:tcW w:w="1218" w:type="pct"/>
            <w:vAlign w:val="center"/>
          </w:tcPr>
          <w:p>
            <w:pPr>
              <w:pStyle w:val="154"/>
              <w:shd w:val="clear"/>
              <w:ind w:left="38"/>
              <w:jc w:val="center"/>
              <w:rPr>
                <w:color w:val="000000"/>
                <w:highlight w:val="none"/>
                <w:lang w:val="zh-CN"/>
              </w:rPr>
            </w:pPr>
            <w:r>
              <w:rPr>
                <w:rFonts w:hint="eastAsia"/>
                <w:bCs/>
                <w:color w:val="000000"/>
                <w:highlight w:val="none"/>
                <w:lang w:val="en-US" w:eastAsia="zh-CN"/>
              </w:rPr>
              <w:t>招标</w:t>
            </w:r>
            <w:r>
              <w:rPr>
                <w:rFonts w:hint="eastAsia"/>
                <w:color w:val="000000"/>
                <w:highlight w:val="none"/>
                <w:lang w:val="zh-CN"/>
              </w:rPr>
              <w:t>文件咨询</w:t>
            </w:r>
          </w:p>
        </w:tc>
        <w:tc>
          <w:tcPr>
            <w:tcW w:w="3367" w:type="pct"/>
            <w:vAlign w:val="center"/>
          </w:tcPr>
          <w:p>
            <w:pPr>
              <w:pStyle w:val="154"/>
              <w:shd w:val="clear"/>
              <w:snapToGrid w:val="0"/>
              <w:jc w:val="both"/>
              <w:rPr>
                <w:rFonts w:hint="default" w:asciiTheme="minorEastAsia" w:hAnsiTheme="minorEastAsia" w:eastAsiaTheme="minorEastAsia" w:cstheme="minorEastAsia"/>
                <w:sz w:val="21"/>
                <w:szCs w:val="21"/>
                <w:highlight w:val="none"/>
                <w:lang w:val="en-US" w:eastAsia="zh-CN"/>
              </w:rPr>
            </w:pPr>
            <w:r>
              <w:rPr>
                <w:rFonts w:hint="eastAsia"/>
                <w:color w:val="000000"/>
                <w:highlight w:val="none"/>
                <w:lang w:val="zh-CN"/>
              </w:rPr>
              <w:t>联系人：</w:t>
            </w:r>
            <w:r>
              <w:rPr>
                <w:rFonts w:hint="eastAsia" w:asciiTheme="minorEastAsia" w:hAnsiTheme="minorEastAsia" w:eastAsiaTheme="minorEastAsia" w:cstheme="minorEastAsia"/>
                <w:sz w:val="21"/>
                <w:szCs w:val="21"/>
                <w:highlight w:val="none"/>
                <w:lang w:eastAsia="zh-CN"/>
              </w:rPr>
              <w:t>胡弘</w:t>
            </w:r>
            <w:r>
              <w:rPr>
                <w:rFonts w:hint="eastAsia"/>
                <w:color w:val="000000"/>
                <w:highlight w:val="none"/>
                <w:lang w:val="zh-CN"/>
              </w:rPr>
              <w:t xml:space="preserve">        联系电话：</w:t>
            </w:r>
            <w:r>
              <w:rPr>
                <w:rFonts w:hint="eastAsia" w:asciiTheme="minorEastAsia" w:hAnsiTheme="minorEastAsia" w:eastAsiaTheme="minorEastAsia" w:cstheme="minorEastAsia"/>
                <w:sz w:val="21"/>
                <w:szCs w:val="21"/>
                <w:highlight w:val="none"/>
                <w:lang w:val="en-US" w:eastAsia="zh-CN"/>
              </w:rPr>
              <w:t>18007240968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8</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en-US" w:eastAsia="zh-CN"/>
              </w:rPr>
              <w:t>招标</w:t>
            </w:r>
            <w:r>
              <w:rPr>
                <w:rFonts w:hint="eastAsia"/>
                <w:color w:val="000000"/>
                <w:highlight w:val="none"/>
                <w:lang w:val="zh-CN"/>
              </w:rPr>
              <w:t>过程、结果工作咨询</w:t>
            </w:r>
          </w:p>
        </w:tc>
        <w:tc>
          <w:tcPr>
            <w:tcW w:w="3367" w:type="pct"/>
            <w:vAlign w:val="center"/>
          </w:tcPr>
          <w:p>
            <w:pPr>
              <w:pStyle w:val="154"/>
              <w:shd w:val="clear"/>
              <w:snapToGrid w:val="0"/>
              <w:jc w:val="both"/>
              <w:rPr>
                <w:rFonts w:hint="default" w:eastAsia="宋体"/>
                <w:color w:val="000000"/>
                <w:highlight w:val="none"/>
                <w:lang w:val="en-US" w:eastAsia="zh-CN"/>
              </w:rPr>
            </w:pPr>
            <w:r>
              <w:rPr>
                <w:rFonts w:hint="eastAsia"/>
                <w:color w:val="000000"/>
                <w:highlight w:val="none"/>
                <w:lang w:val="zh-CN"/>
              </w:rPr>
              <w:t>联系人：</w:t>
            </w:r>
            <w:r>
              <w:rPr>
                <w:rFonts w:hint="eastAsia" w:asciiTheme="minorEastAsia" w:hAnsiTheme="minorEastAsia" w:eastAsiaTheme="minorEastAsia" w:cstheme="minorEastAsia"/>
                <w:sz w:val="21"/>
                <w:szCs w:val="21"/>
                <w:highlight w:val="none"/>
                <w:lang w:eastAsia="zh-CN"/>
              </w:rPr>
              <w:t>胡弘</w:t>
            </w:r>
            <w:r>
              <w:rPr>
                <w:rFonts w:hint="eastAsia"/>
                <w:color w:val="000000"/>
                <w:highlight w:val="none"/>
                <w:lang w:val="zh-CN"/>
              </w:rPr>
              <w:t xml:space="preserve">        联系电话：</w:t>
            </w:r>
            <w:r>
              <w:rPr>
                <w:rFonts w:hint="eastAsia" w:asciiTheme="minorEastAsia" w:hAnsiTheme="minorEastAsia" w:eastAsiaTheme="minorEastAsia" w:cstheme="minorEastAsia"/>
                <w:sz w:val="21"/>
                <w:szCs w:val="21"/>
                <w:highlight w:val="none"/>
                <w:lang w:val="en-US" w:eastAsia="zh-CN"/>
              </w:rPr>
              <w:t>18007240968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9</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成交通知书领取</w:t>
            </w:r>
          </w:p>
        </w:tc>
        <w:tc>
          <w:tcPr>
            <w:tcW w:w="3367" w:type="pct"/>
            <w:vAlign w:val="center"/>
          </w:tcPr>
          <w:p>
            <w:pPr>
              <w:pStyle w:val="154"/>
              <w:shd w:val="clear"/>
              <w:snapToGrid w:val="0"/>
              <w:ind w:firstLine="480" w:firstLineChars="200"/>
              <w:rPr>
                <w:color w:val="000000"/>
                <w:highlight w:val="none"/>
                <w:lang w:val="zh-CN"/>
              </w:rPr>
            </w:pPr>
            <w:r>
              <w:rPr>
                <w:rFonts w:hint="eastAsia"/>
                <w:highlight w:val="none"/>
                <w:lang w:val="zh-CN"/>
              </w:rPr>
              <w:t>成交结果公告在</w:t>
            </w:r>
            <w:r>
              <w:rPr>
                <w:rFonts w:hint="eastAsia"/>
                <w:bCs/>
                <w:color w:val="000000"/>
                <w:highlight w:val="none"/>
              </w:rPr>
              <w:t>咸宁市宁安建筑工程有限公司网站（http://zb.xnxact.com/）</w:t>
            </w:r>
            <w:r>
              <w:rPr>
                <w:rFonts w:hint="eastAsia"/>
                <w:highlight w:val="none"/>
                <w:lang w:val="zh-CN"/>
              </w:rPr>
              <w:t>上发布后，请成交供应商凭有效身份证明证件及法人授权委托书到</w:t>
            </w:r>
            <w:r>
              <w:rPr>
                <w:rFonts w:hint="eastAsia"/>
                <w:highlight w:val="none"/>
                <w:lang w:val="zh-CN" w:eastAsia="zh-CN"/>
              </w:rPr>
              <w:t>咸安区昊天建材城</w:t>
            </w:r>
            <w:r>
              <w:rPr>
                <w:rFonts w:hint="eastAsia"/>
                <w:highlight w:val="none"/>
                <w:lang w:val="en-US" w:eastAsia="zh-CN"/>
              </w:rPr>
              <w:t xml:space="preserve"> </w:t>
            </w:r>
            <w:r>
              <w:rPr>
                <w:rFonts w:hint="eastAsia"/>
                <w:highlight w:val="none"/>
                <w:lang w:val="zh-CN" w:eastAsia="zh-CN"/>
              </w:rPr>
              <w:t>9</w:t>
            </w:r>
            <w:r>
              <w:rPr>
                <w:rFonts w:hint="eastAsia"/>
                <w:highlight w:val="none"/>
                <w:lang w:val="en-US" w:eastAsia="zh-CN"/>
              </w:rPr>
              <w:t xml:space="preserve"> </w:t>
            </w:r>
            <w:r>
              <w:rPr>
                <w:rFonts w:hint="eastAsia"/>
                <w:highlight w:val="none"/>
                <w:lang w:val="zh-CN" w:eastAsia="zh-CN"/>
              </w:rPr>
              <w:t>号楼</w:t>
            </w:r>
            <w:r>
              <w:rPr>
                <w:rFonts w:hint="eastAsia"/>
                <w:highlight w:val="none"/>
                <w:lang w:val="en-US" w:eastAsia="zh-CN"/>
              </w:rPr>
              <w:t xml:space="preserve"> </w:t>
            </w:r>
            <w:r>
              <w:rPr>
                <w:rFonts w:hint="eastAsia"/>
                <w:highlight w:val="none"/>
                <w:lang w:val="zh-CN" w:eastAsia="zh-CN"/>
              </w:rPr>
              <w:t>2</w:t>
            </w:r>
            <w:r>
              <w:rPr>
                <w:rFonts w:hint="eastAsia"/>
                <w:highlight w:val="none"/>
                <w:lang w:val="en-US" w:eastAsia="zh-CN"/>
              </w:rPr>
              <w:t xml:space="preserve"> </w:t>
            </w:r>
            <w:r>
              <w:rPr>
                <w:rFonts w:hint="eastAsia"/>
                <w:highlight w:val="none"/>
                <w:lang w:val="zh-CN" w:eastAsia="zh-CN"/>
              </w:rPr>
              <w:t>楼（咸宁市宁安建筑工程有限公司）</w:t>
            </w:r>
            <w:r>
              <w:rPr>
                <w:rFonts w:hint="eastAsia"/>
                <w:highlight w:val="none"/>
                <w:lang w:val="zh-CN"/>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18" w:hRule="atLeast"/>
          <w:jc w:val="center"/>
        </w:trPr>
        <w:tc>
          <w:tcPr>
            <w:tcW w:w="413" w:type="pct"/>
            <w:vAlign w:val="center"/>
          </w:tcPr>
          <w:p>
            <w:pPr>
              <w:pStyle w:val="154"/>
              <w:shd w:val="clear"/>
              <w:jc w:val="center"/>
              <w:rPr>
                <w:rFonts w:hint="default" w:eastAsia="宋体" w:cs="Courier New"/>
                <w:color w:val="000000"/>
                <w:highlight w:val="none"/>
                <w:lang w:val="en-US" w:eastAsia="zh-CN"/>
              </w:rPr>
            </w:pPr>
            <w:r>
              <w:rPr>
                <w:rFonts w:hint="eastAsia" w:cs="Courier New"/>
                <w:color w:val="000000"/>
                <w:highlight w:val="none"/>
                <w:lang w:val="en-US" w:eastAsia="zh-CN"/>
              </w:rPr>
              <w:t>10</w:t>
            </w:r>
          </w:p>
        </w:tc>
        <w:tc>
          <w:tcPr>
            <w:tcW w:w="1218" w:type="pct"/>
            <w:vAlign w:val="center"/>
          </w:tcPr>
          <w:p>
            <w:pPr>
              <w:shd w:val="clear"/>
              <w:snapToGrid w:val="0"/>
              <w:jc w:val="center"/>
              <w:rPr>
                <w:color w:val="000000"/>
                <w:highlight w:val="none"/>
                <w:lang w:val="zh-CN"/>
              </w:rPr>
            </w:pPr>
            <w:r>
              <w:rPr>
                <w:rFonts w:hint="eastAsia" w:ascii="宋体" w:hAnsi="宋体"/>
                <w:sz w:val="24"/>
                <w:highlight w:val="none"/>
                <w:lang w:val="zh-CN"/>
              </w:rPr>
              <w:t>代理服务费</w:t>
            </w:r>
          </w:p>
        </w:tc>
        <w:tc>
          <w:tcPr>
            <w:tcW w:w="3367" w:type="pct"/>
            <w:vAlign w:val="center"/>
          </w:tcPr>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1.经与采购人约定由成交供应商在领取成交通知书时一次性付清代理服务费及</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过程产生的相关费用</w:t>
            </w:r>
            <w:r>
              <w:rPr>
                <w:rFonts w:hint="eastAsia" w:ascii="宋体" w:hAnsi="宋体" w:eastAsia="宋体" w:cs="宋体"/>
                <w:highlight w:val="none"/>
                <w:lang w:val="zh-CN" w:eastAsia="zh-Hans"/>
              </w:rPr>
              <w:t>（</w:t>
            </w:r>
            <w:r>
              <w:rPr>
                <w:rFonts w:hint="eastAsia" w:ascii="宋体" w:hAnsi="宋体" w:eastAsia="宋体" w:cs="宋体"/>
                <w:highlight w:val="none"/>
                <w:lang w:val="en-US" w:eastAsia="zh-Hans"/>
              </w:rPr>
              <w:t>如评标费等</w:t>
            </w:r>
            <w:r>
              <w:rPr>
                <w:rFonts w:hint="eastAsia" w:ascii="宋体" w:hAnsi="宋体" w:eastAsia="宋体" w:cs="宋体"/>
                <w:highlight w:val="none"/>
                <w:lang w:val="zh-CN" w:eastAsia="zh-Hans"/>
              </w:rPr>
              <w:t>）</w:t>
            </w:r>
            <w:r>
              <w:rPr>
                <w:rFonts w:hint="eastAsia" w:ascii="宋体" w:hAnsi="宋体" w:eastAsia="宋体" w:cs="宋体"/>
                <w:highlight w:val="none"/>
                <w:lang w:val="zh-CN"/>
              </w:rPr>
              <w:t>。</w:t>
            </w:r>
          </w:p>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（代理服务费已包含在报价中，响应供应商在报价中不得单列）。</w:t>
            </w:r>
          </w:p>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2.</w:t>
            </w:r>
            <w:r>
              <w:rPr>
                <w:rFonts w:hint="eastAsia" w:ascii="宋体" w:hAnsi="宋体" w:eastAsia="宋体" w:cs="宋体"/>
                <w:highlight w:val="none"/>
                <w:lang w:val="en-US" w:eastAsia="zh-CN"/>
              </w:rPr>
              <w:t>本项目代理服务费</w:t>
            </w:r>
            <w:r>
              <w:rPr>
                <w:rFonts w:hint="eastAsia" w:ascii="宋体" w:hAnsi="宋体" w:eastAsia="宋体" w:cs="宋体"/>
                <w:highlight w:val="none"/>
                <w:lang w:val="zh-CN"/>
              </w:rPr>
              <w:t>按</w:t>
            </w:r>
            <w:r>
              <w:rPr>
                <w:rFonts w:hint="eastAsia" w:ascii="宋体" w:hAnsi="宋体" w:eastAsia="宋体" w:cs="宋体"/>
                <w:highlight w:val="none"/>
                <w:lang w:val="en-US" w:eastAsia="zh-CN"/>
              </w:rPr>
              <w:t>约定以固定价</w:t>
            </w:r>
            <w:r>
              <w:rPr>
                <w:rFonts w:hint="eastAsia" w:cs="宋体"/>
                <w:highlight w:val="red"/>
                <w:lang w:val="en-US" w:eastAsia="zh-CN"/>
              </w:rPr>
              <w:t>1</w:t>
            </w:r>
            <w:r>
              <w:rPr>
                <w:rFonts w:hint="eastAsia" w:ascii="宋体" w:hAnsi="宋体" w:eastAsia="宋体" w:cs="宋体"/>
                <w:highlight w:val="red"/>
                <w:lang w:val="en-US" w:eastAsia="zh-CN"/>
              </w:rPr>
              <w:t>000元收取</w:t>
            </w:r>
            <w:r>
              <w:rPr>
                <w:rFonts w:hint="eastAsia" w:ascii="宋体" w:hAnsi="宋体" w:eastAsia="宋体" w:cs="宋体"/>
                <w:highlight w:val="red"/>
                <w:lang w:val="zh-CN"/>
              </w:rPr>
              <w:t>。</w:t>
            </w:r>
          </w:p>
          <w:p>
            <w:pPr>
              <w:pStyle w:val="154"/>
              <w:shd w:val="clear"/>
              <w:snapToGrid w:val="0"/>
              <w:ind w:firstLine="482" w:firstLineChars="200"/>
              <w:rPr>
                <w:rFonts w:ascii="宋体" w:hAnsi="宋体"/>
                <w:b/>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5" w:hRule="atLeast"/>
          <w:jc w:val="center"/>
        </w:trPr>
        <w:tc>
          <w:tcPr>
            <w:tcW w:w="413" w:type="pct"/>
            <w:vAlign w:val="center"/>
          </w:tcPr>
          <w:p>
            <w:pPr>
              <w:pStyle w:val="154"/>
              <w:shd w:val="clear"/>
              <w:jc w:val="center"/>
              <w:rPr>
                <w:rFonts w:hint="default" w:eastAsia="宋体" w:cs="Courier New"/>
                <w:color w:val="000000"/>
                <w:highlight w:val="none"/>
                <w:lang w:val="en-US" w:eastAsia="zh-CN"/>
              </w:rPr>
            </w:pPr>
            <w:r>
              <w:rPr>
                <w:rFonts w:hint="eastAsia" w:cs="Courier New"/>
                <w:color w:val="000000"/>
                <w:highlight w:val="none"/>
                <w:lang w:val="en-US" w:eastAsia="zh-CN"/>
              </w:rPr>
              <w:t>11</w:t>
            </w:r>
          </w:p>
        </w:tc>
        <w:tc>
          <w:tcPr>
            <w:tcW w:w="1218" w:type="pct"/>
            <w:vAlign w:val="center"/>
          </w:tcPr>
          <w:p>
            <w:pPr>
              <w:pStyle w:val="154"/>
              <w:shd w:val="clear"/>
              <w:jc w:val="center"/>
              <w:rPr>
                <w:rFonts w:cs="Times New Roman"/>
                <w:kern w:val="2"/>
                <w:highlight w:val="none"/>
              </w:rPr>
            </w:pPr>
            <w:r>
              <w:rPr>
                <w:rFonts w:hint="eastAsia" w:cs="Times New Roman"/>
                <w:kern w:val="2"/>
                <w:highlight w:val="none"/>
              </w:rPr>
              <w:t>重要提示</w:t>
            </w:r>
          </w:p>
        </w:tc>
        <w:tc>
          <w:tcPr>
            <w:tcW w:w="3367" w:type="pct"/>
            <w:vAlign w:val="center"/>
          </w:tcPr>
          <w:p>
            <w:pPr>
              <w:pStyle w:val="154"/>
              <w:shd w:val="clear"/>
              <w:snapToGrid w:val="0"/>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安装</w:t>
            </w:r>
            <w:r>
              <w:rPr>
                <w:rFonts w:hint="eastAsia" w:ascii="宋体" w:hAnsi="宋体" w:eastAsia="宋体" w:cs="宋体"/>
                <w:highlight w:val="none"/>
                <w:lang w:val="zh-CN"/>
              </w:rPr>
              <w:t>期限：本项目</w:t>
            </w:r>
            <w:r>
              <w:rPr>
                <w:rFonts w:hint="eastAsia" w:ascii="宋体" w:hAnsi="宋体" w:eastAsia="宋体" w:cs="宋体"/>
                <w:highlight w:val="none"/>
                <w:lang w:val="en-US" w:eastAsia="zh-CN"/>
              </w:rPr>
              <w:t>电梯合同签订后45天内安装完毕；</w:t>
            </w:r>
          </w:p>
          <w:p>
            <w:pPr>
              <w:pStyle w:val="154"/>
              <w:shd w:val="clear"/>
              <w:snapToGrid w:val="0"/>
              <w:ind w:firstLine="480" w:firstLineChars="200"/>
              <w:rPr>
                <w:rFonts w:hint="eastAsia" w:eastAsia="宋体"/>
                <w:b/>
                <w:bCs/>
                <w:sz w:val="24"/>
                <w:highlight w:val="none"/>
                <w:lang w:val="en-US" w:eastAsia="zh-CN"/>
              </w:rPr>
            </w:pPr>
            <w:r>
              <w:rPr>
                <w:rFonts w:hint="eastAsia" w:ascii="宋体" w:hAnsi="宋体" w:eastAsia="宋体" w:cs="宋体"/>
                <w:highlight w:val="none"/>
                <w:lang w:val="en-US" w:eastAsia="zh-CN"/>
              </w:rPr>
              <w:t>保修期限：设备安装调试完毕后，经检验监督部门验收合格并颁发使用许可证之日起计算，质保期为1年，且每半月进行一次例行维保检查。</w:t>
            </w:r>
          </w:p>
        </w:tc>
      </w:tr>
    </w:tbl>
    <w:p>
      <w:pPr>
        <w:rPr>
          <w:highlight w:val="none"/>
        </w:rPr>
      </w:pPr>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37" w:name="_Toc14104"/>
      <w:r>
        <w:rPr>
          <w:rFonts w:hint="eastAsia" w:ascii="黑体" w:hAnsi="黑体" w:eastAsia="黑体" w:cs="黑体"/>
          <w:highlight w:val="none"/>
        </w:rPr>
        <w:t>相关定义说明</w:t>
      </w:r>
      <w:bookmarkEnd w:id="37"/>
    </w:p>
    <w:p>
      <w:pPr>
        <w:pStyle w:val="99"/>
        <w:tabs>
          <w:tab w:val="clear" w:pos="425"/>
        </w:tabs>
        <w:wordWrap w:val="0"/>
        <w:spacing w:before="0" w:after="0" w:line="520" w:lineRule="exact"/>
        <w:ind w:left="1157" w:hanging="1157"/>
        <w:rPr>
          <w:sz w:val="21"/>
          <w:szCs w:val="21"/>
          <w:highlight w:val="none"/>
        </w:rPr>
      </w:pPr>
      <w:bookmarkStart w:id="38" w:name="_Toc426449727"/>
      <w:r>
        <w:rPr>
          <w:rFonts w:hint="eastAsia"/>
          <w:sz w:val="21"/>
          <w:szCs w:val="21"/>
          <w:highlight w:val="none"/>
        </w:rPr>
        <w:t>相关定义</w:t>
      </w:r>
      <w:bookmarkEnd w:id="38"/>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w:t>
      </w:r>
      <w:r>
        <w:rPr>
          <w:rFonts w:hint="eastAsia" w:ascii="宋体" w:hAnsi="宋体" w:cs="Arial"/>
          <w:kern w:val="0"/>
          <w:szCs w:val="21"/>
          <w:highlight w:val="none"/>
          <w:lang w:eastAsia="zh-CN"/>
        </w:rPr>
        <w:t>招标人</w:t>
      </w:r>
      <w:r>
        <w:rPr>
          <w:rFonts w:hint="eastAsia" w:ascii="宋体" w:hAnsi="宋体" w:cs="Arial"/>
          <w:kern w:val="0"/>
          <w:szCs w:val="21"/>
          <w:highlight w:val="none"/>
        </w:rPr>
        <w:t>”系指</w:t>
      </w:r>
      <w:r>
        <w:rPr>
          <w:rFonts w:hint="eastAsia" w:ascii="宋体" w:hAnsi="宋体" w:cs="Arial"/>
          <w:kern w:val="0"/>
          <w:szCs w:val="21"/>
          <w:highlight w:val="none"/>
          <w:lang w:eastAsia="zh-CN"/>
        </w:rPr>
        <w:t>咸宁市宁安建筑工程有限公司</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“投标人”系指</w:t>
      </w:r>
      <w:r>
        <w:rPr>
          <w:rFonts w:hint="eastAsia" w:ascii="宋体" w:hAnsi="宋体" w:cs="Arial"/>
          <w:kern w:val="0"/>
          <w:szCs w:val="21"/>
          <w:highlight w:val="none"/>
          <w:lang w:val="en-US" w:eastAsia="zh-CN"/>
        </w:rPr>
        <w:t>被招标人邀请且</w:t>
      </w:r>
      <w:r>
        <w:rPr>
          <w:rFonts w:hint="eastAsia" w:ascii="宋体" w:hAnsi="宋体" w:cs="Arial"/>
          <w:kern w:val="0"/>
          <w:szCs w:val="21"/>
          <w:highlight w:val="none"/>
        </w:rPr>
        <w:t>向</w:t>
      </w:r>
      <w:r>
        <w:rPr>
          <w:rFonts w:hint="eastAsia" w:ascii="宋体" w:hAnsi="宋体" w:cs="Arial"/>
          <w:kern w:val="0"/>
          <w:szCs w:val="21"/>
          <w:highlight w:val="none"/>
          <w:lang w:eastAsia="zh-CN"/>
        </w:rPr>
        <w:t>招标人</w:t>
      </w:r>
      <w:r>
        <w:rPr>
          <w:rFonts w:hint="eastAsia" w:ascii="宋体" w:hAnsi="宋体" w:cs="Arial"/>
          <w:kern w:val="0"/>
          <w:szCs w:val="21"/>
          <w:highlight w:val="none"/>
        </w:rPr>
        <w:t>提交投标文件的法人、其他组织。</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w:t>
      </w:r>
      <w:r>
        <w:rPr>
          <w:rFonts w:hint="eastAsia" w:ascii="宋体" w:hAnsi="宋体" w:cs="Arial"/>
          <w:kern w:val="0"/>
          <w:szCs w:val="21"/>
          <w:highlight w:val="none"/>
          <w:lang w:eastAsia="zh-CN"/>
        </w:rPr>
        <w:t>监督单位</w:t>
      </w:r>
      <w:r>
        <w:rPr>
          <w:rFonts w:hint="eastAsia" w:ascii="宋体" w:hAnsi="宋体" w:cs="Arial"/>
          <w:kern w:val="0"/>
          <w:szCs w:val="21"/>
          <w:highlight w:val="none"/>
        </w:rPr>
        <w:t>”系指</w:t>
      </w:r>
      <w:r>
        <w:rPr>
          <w:rFonts w:hint="eastAsia" w:ascii="宋体" w:hAnsi="宋体" w:cs="Arial"/>
          <w:kern w:val="0"/>
          <w:szCs w:val="21"/>
          <w:highlight w:val="none"/>
          <w:lang w:eastAsia="zh-CN"/>
        </w:rPr>
        <w:t>咸宁市宁安建筑工程有限公司</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货物”是指投标人制造或组织符合招标文件要求的设备等。必须是全新的货物。进口货物必须是具有合法的进口手续和途径并通过了中华人民共和国商检部门检验。投标产品应符合国家法律法规的质量标准要求及相关证明。</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“服务”是指除货物以外的其他采购对象，其中包括：投标人须承担的运输、安装、技术支持、培训以及其他类似附加服务的义务。</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“工程”是指施工人员使用施工材料、施工设备按计划对系统项目进行建设。</w:t>
      </w:r>
    </w:p>
    <w:p>
      <w:pPr>
        <w:pStyle w:val="99"/>
        <w:tabs>
          <w:tab w:val="clear" w:pos="425"/>
        </w:tabs>
        <w:wordWrap w:val="0"/>
        <w:spacing w:before="0" w:after="0" w:line="520" w:lineRule="exact"/>
        <w:ind w:left="1157" w:hanging="1157"/>
        <w:rPr>
          <w:sz w:val="21"/>
          <w:szCs w:val="21"/>
          <w:highlight w:val="none"/>
        </w:rPr>
      </w:pPr>
      <w:bookmarkStart w:id="39" w:name="_Toc426449728"/>
      <w:r>
        <w:rPr>
          <w:rFonts w:hint="eastAsia"/>
          <w:sz w:val="21"/>
          <w:szCs w:val="21"/>
          <w:highlight w:val="none"/>
        </w:rPr>
        <w:t>资金来源</w:t>
      </w:r>
      <w:bookmarkEnd w:id="3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采购该批工程的资金已落实，并计划将采购资金用于本次采购合同款项支付。</w:t>
      </w:r>
    </w:p>
    <w:p>
      <w:pPr>
        <w:pStyle w:val="99"/>
        <w:tabs>
          <w:tab w:val="clear" w:pos="425"/>
        </w:tabs>
        <w:wordWrap w:val="0"/>
        <w:spacing w:before="0" w:after="0" w:line="520" w:lineRule="exact"/>
        <w:ind w:left="1157" w:hanging="1157"/>
        <w:rPr>
          <w:sz w:val="21"/>
          <w:szCs w:val="21"/>
          <w:highlight w:val="none"/>
        </w:rPr>
      </w:pPr>
      <w:bookmarkStart w:id="40" w:name="_Toc426449729"/>
      <w:r>
        <w:rPr>
          <w:rFonts w:hint="eastAsia"/>
          <w:sz w:val="21"/>
          <w:szCs w:val="21"/>
          <w:highlight w:val="none"/>
        </w:rPr>
        <w:t>合格投标人</w:t>
      </w:r>
      <w:bookmarkEnd w:id="4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投标人必须</w:t>
      </w:r>
      <w:r>
        <w:rPr>
          <w:rFonts w:hint="eastAsia" w:ascii="宋体" w:hAnsi="宋体" w:cs="Arial"/>
          <w:kern w:val="0"/>
          <w:szCs w:val="21"/>
          <w:highlight w:val="none"/>
          <w:lang w:val="en-US" w:eastAsia="zh-CN"/>
        </w:rPr>
        <w:t>被招标人邀请且</w:t>
      </w:r>
      <w:r>
        <w:rPr>
          <w:rFonts w:hint="eastAsia" w:ascii="宋体" w:hAnsi="宋体" w:cs="Arial"/>
          <w:kern w:val="0"/>
          <w:szCs w:val="21"/>
          <w:highlight w:val="none"/>
        </w:rPr>
        <w:t>符合投标邀请函中投标人资格、资质的要求。</w:t>
      </w:r>
    </w:p>
    <w:p>
      <w:pPr>
        <w:pStyle w:val="99"/>
        <w:tabs>
          <w:tab w:val="clear" w:pos="425"/>
        </w:tabs>
        <w:wordWrap w:val="0"/>
        <w:spacing w:before="0" w:after="0" w:line="520" w:lineRule="exact"/>
        <w:ind w:left="1157" w:hanging="1157"/>
        <w:rPr>
          <w:sz w:val="21"/>
          <w:szCs w:val="21"/>
          <w:highlight w:val="none"/>
        </w:rPr>
      </w:pPr>
      <w:r>
        <w:rPr>
          <w:rFonts w:hint="eastAsia"/>
          <w:sz w:val="21"/>
          <w:szCs w:val="21"/>
          <w:highlight w:val="none"/>
        </w:rPr>
        <w:t>投标费用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投标人应承担所有与准备和参加投标有关的费用，不论投标的结果如何，</w:t>
      </w:r>
      <w:r>
        <w:rPr>
          <w:rFonts w:hint="eastAsia" w:ascii="宋体" w:hAnsi="宋体" w:cs="Arial"/>
          <w:kern w:val="0"/>
          <w:szCs w:val="21"/>
          <w:highlight w:val="none"/>
          <w:lang w:eastAsia="zh-CN"/>
        </w:rPr>
        <w:t>招标人</w:t>
      </w:r>
      <w:r>
        <w:rPr>
          <w:rFonts w:hint="eastAsia" w:ascii="宋体" w:hAnsi="宋体" w:cs="Arial"/>
          <w:kern w:val="0"/>
          <w:szCs w:val="21"/>
          <w:highlight w:val="none"/>
        </w:rPr>
        <w:t>无义务和责任承担这些费用。</w:t>
      </w:r>
    </w:p>
    <w:p>
      <w:pPr>
        <w:pStyle w:val="99"/>
        <w:tabs>
          <w:tab w:val="clear" w:pos="425"/>
        </w:tabs>
        <w:wordWrap w:val="0"/>
        <w:spacing w:before="0" w:after="0" w:line="520" w:lineRule="exact"/>
        <w:ind w:left="1157" w:hanging="1157"/>
        <w:rPr>
          <w:rFonts w:cs="黑体"/>
          <w:sz w:val="21"/>
          <w:szCs w:val="21"/>
          <w:highlight w:val="none"/>
        </w:rPr>
      </w:pPr>
      <w:r>
        <w:rPr>
          <w:rFonts w:hint="eastAsia" w:cs="黑体"/>
          <w:sz w:val="21"/>
          <w:szCs w:val="21"/>
          <w:highlight w:val="none"/>
          <w:lang w:val="zh-CN"/>
        </w:rPr>
        <w:t>踏勘</w:t>
      </w:r>
      <w:bookmarkStart w:id="41" w:name="_Toc426449726"/>
      <w:r>
        <w:rPr>
          <w:rFonts w:hint="eastAsia" w:cs="黑体"/>
          <w:sz w:val="21"/>
          <w:szCs w:val="21"/>
          <w:highlight w:val="none"/>
          <w:lang w:val="zh-CN"/>
        </w:rPr>
        <w:t>现场</w:t>
      </w:r>
      <w:bookmarkEnd w:id="41"/>
      <w:bookmarkStart w:id="42" w:name="_Toc535832518"/>
      <w:bookmarkStart w:id="43" w:name="_Toc120411797"/>
      <w:bookmarkStart w:id="44" w:name="_Toc426449730"/>
    </w:p>
    <w:bookmarkEnd w:id="42"/>
    <w:bookmarkEnd w:id="43"/>
    <w:bookmarkEnd w:id="44"/>
    <w:p>
      <w:pPr>
        <w:numPr>
          <w:ilvl w:val="1"/>
          <w:numId w:val="2"/>
        </w:numPr>
        <w:tabs>
          <w:tab w:val="left" w:pos="1155"/>
        </w:tabs>
        <w:wordWrap w:val="0"/>
        <w:spacing w:line="520" w:lineRule="exact"/>
        <w:rPr>
          <w:rFonts w:ascii="宋体" w:hAnsi="宋体" w:cs="Arial"/>
          <w:kern w:val="0"/>
          <w:szCs w:val="21"/>
          <w:highlight w:val="none"/>
        </w:rPr>
      </w:pPr>
      <w:bookmarkStart w:id="45" w:name="_Toc535832516"/>
      <w:bookmarkStart w:id="46" w:name="_Toc120411795"/>
      <w:r>
        <w:rPr>
          <w:rFonts w:hint="eastAsia" w:ascii="宋体" w:hAnsi="宋体" w:cs="Arial"/>
          <w:kern w:val="0"/>
          <w:szCs w:val="21"/>
          <w:highlight w:val="none"/>
        </w:rPr>
        <w:t>本项目不组织踏勘现场。</w:t>
      </w:r>
    </w:p>
    <w:bookmarkEnd w:id="45"/>
    <w:bookmarkEnd w:id="46"/>
    <w:p>
      <w:pPr>
        <w:pStyle w:val="4"/>
        <w:numPr>
          <w:ilvl w:val="0"/>
          <w:numId w:val="8"/>
        </w:numPr>
        <w:wordWrap w:val="0"/>
        <w:spacing w:before="120" w:beforeLines="50" w:after="120" w:afterLines="50"/>
        <w:jc w:val="both"/>
        <w:rPr>
          <w:rFonts w:hint="eastAsia" w:ascii="黑体" w:hAnsi="黑体" w:eastAsia="黑体" w:cs="黑体"/>
          <w:highlight w:val="none"/>
        </w:rPr>
      </w:pPr>
      <w:bookmarkStart w:id="47" w:name="_Hlt3694263"/>
      <w:bookmarkEnd w:id="47"/>
      <w:bookmarkStart w:id="48" w:name="_Toc535832519"/>
      <w:bookmarkStart w:id="49" w:name="_Toc426449731"/>
      <w:bookmarkStart w:id="50" w:name="_Toc120411798"/>
      <w:bookmarkStart w:id="51" w:name="_Toc23648"/>
      <w:r>
        <w:rPr>
          <w:rFonts w:hint="eastAsia" w:ascii="黑体" w:hAnsi="黑体" w:eastAsia="黑体" w:cs="黑体"/>
          <w:highlight w:val="none"/>
        </w:rPr>
        <w:t>招标文件</w:t>
      </w:r>
      <w:bookmarkEnd w:id="48"/>
      <w:bookmarkEnd w:id="49"/>
      <w:bookmarkEnd w:id="50"/>
      <w:r>
        <w:rPr>
          <w:rFonts w:hint="eastAsia" w:ascii="黑体" w:hAnsi="黑体" w:eastAsia="黑体" w:cs="黑体"/>
          <w:highlight w:val="none"/>
        </w:rPr>
        <w:t>说明</w:t>
      </w:r>
      <w:bookmarkEnd w:id="51"/>
    </w:p>
    <w:p>
      <w:pPr>
        <w:pStyle w:val="99"/>
        <w:tabs>
          <w:tab w:val="clear" w:pos="425"/>
        </w:tabs>
        <w:wordWrap w:val="0"/>
        <w:spacing w:before="0" w:after="0" w:line="520" w:lineRule="exact"/>
        <w:ind w:left="1157" w:hanging="1157"/>
        <w:rPr>
          <w:sz w:val="21"/>
          <w:szCs w:val="21"/>
          <w:highlight w:val="none"/>
        </w:rPr>
      </w:pPr>
      <w:bookmarkStart w:id="52" w:name="_Hlt52005541"/>
      <w:bookmarkEnd w:id="52"/>
      <w:bookmarkStart w:id="53" w:name="_Toc535832520"/>
      <w:bookmarkStart w:id="54" w:name="_Toc120411799"/>
      <w:bookmarkStart w:id="55" w:name="_Toc426449732"/>
      <w:r>
        <w:rPr>
          <w:rFonts w:hint="eastAsia"/>
          <w:sz w:val="21"/>
          <w:szCs w:val="21"/>
          <w:highlight w:val="none"/>
        </w:rPr>
        <w:t>招标文件的构成</w:t>
      </w:r>
      <w:bookmarkEnd w:id="53"/>
      <w:bookmarkEnd w:id="54"/>
      <w:bookmarkEnd w:id="55"/>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招标文件用以阐明所需货物及服务、招标投标程序和合同条款。招标文件共六章</w:t>
      </w:r>
      <w:r>
        <w:rPr>
          <w:rFonts w:ascii="宋体" w:hAnsi="宋体" w:cs="Arial"/>
          <w:kern w:val="0"/>
          <w:szCs w:val="21"/>
          <w:highlight w:val="none"/>
        </w:rPr>
        <w:t>,</w:t>
      </w:r>
      <w:r>
        <w:rPr>
          <w:rFonts w:hint="eastAsia" w:ascii="宋体" w:hAnsi="宋体" w:cs="Arial"/>
          <w:kern w:val="0"/>
          <w:szCs w:val="21"/>
          <w:highlight w:val="none"/>
        </w:rPr>
        <w:t>具体内容如下：</w:t>
      </w:r>
    </w:p>
    <w:p>
      <w:pPr>
        <w:numPr>
          <w:ilvl w:val="0"/>
          <w:numId w:val="9"/>
        </w:numPr>
        <w:tabs>
          <w:tab w:val="left" w:pos="1575"/>
          <w:tab w:val="left" w:pos="2310"/>
        </w:tabs>
        <w:wordWrap w:val="0"/>
        <w:spacing w:line="520" w:lineRule="exact"/>
        <w:ind w:left="1050" w:leftChars="500" w:firstLine="105" w:firstLineChars="50"/>
        <w:rPr>
          <w:rFonts w:ascii="宋体" w:cs="Arial"/>
          <w:szCs w:val="21"/>
          <w:highlight w:val="none"/>
        </w:rPr>
      </w:pPr>
      <w:r>
        <w:rPr>
          <w:rFonts w:hint="eastAsia" w:ascii="宋体" w:hAnsi="宋体" w:cs="Arial"/>
          <w:szCs w:val="21"/>
          <w:highlight w:val="none"/>
        </w:rPr>
        <w:t>投标邀请函</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投标人须知</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商务技术要求</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评标方法标准</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合同主要条款</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投标文件内容</w:t>
      </w:r>
      <w:r>
        <w:rPr>
          <w:rFonts w:ascii="宋体" w:hAnsi="宋体" w:cs="宋体"/>
          <w:szCs w:val="21"/>
          <w:highlight w:val="none"/>
        </w:rPr>
        <w:t>&lt;</w:t>
      </w:r>
      <w:r>
        <w:rPr>
          <w:rFonts w:hint="eastAsia" w:ascii="宋体" w:hAnsi="宋体" w:cs="Arial"/>
          <w:szCs w:val="21"/>
          <w:highlight w:val="none"/>
        </w:rPr>
        <w:t>格式</w:t>
      </w:r>
      <w:r>
        <w:rPr>
          <w:rFonts w:ascii="宋体" w:hAnsi="宋体" w:cs="宋体"/>
          <w:szCs w:val="21"/>
          <w:highlight w:val="none"/>
        </w:rPr>
        <w:t>&gt;</w:t>
      </w:r>
    </w:p>
    <w:p>
      <w:pPr>
        <w:tabs>
          <w:tab w:val="left" w:pos="1575"/>
          <w:tab w:val="left" w:pos="2115"/>
          <w:tab w:val="left" w:pos="2310"/>
        </w:tabs>
        <w:wordWrap w:val="0"/>
        <w:spacing w:line="520" w:lineRule="exact"/>
        <w:ind w:left="1155"/>
        <w:rPr>
          <w:rFonts w:ascii="宋体" w:cs="Arial"/>
          <w:szCs w:val="21"/>
          <w:highlight w:val="none"/>
        </w:rPr>
      </w:pPr>
      <w:r>
        <w:rPr>
          <w:rFonts w:hint="eastAsia" w:ascii="宋体" w:hAnsi="宋体" w:cs="Arial"/>
          <w:szCs w:val="21"/>
          <w:highlight w:val="none"/>
        </w:rPr>
        <w:t>请仔细检查招标文件是否齐全，如有缺漏，请立即与</w:t>
      </w:r>
      <w:r>
        <w:rPr>
          <w:rFonts w:hint="eastAsia" w:ascii="宋体" w:hAnsi="宋体" w:cs="Arial"/>
          <w:szCs w:val="21"/>
          <w:highlight w:val="none"/>
          <w:lang w:eastAsia="zh-CN"/>
        </w:rPr>
        <w:t>招标人</w:t>
      </w:r>
      <w:r>
        <w:rPr>
          <w:rFonts w:hint="eastAsia" w:ascii="宋体" w:hAnsi="宋体" w:cs="Arial"/>
          <w:szCs w:val="21"/>
          <w:highlight w:val="none"/>
        </w:rPr>
        <w:t>联系解决。</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除</w:t>
      </w:r>
      <w:r>
        <w:rPr>
          <w:rFonts w:ascii="宋体" w:hAnsi="宋体" w:cs="Arial"/>
          <w:kern w:val="0"/>
          <w:szCs w:val="21"/>
          <w:highlight w:val="none"/>
        </w:rPr>
        <w:t>6.1</w:t>
      </w:r>
      <w:r>
        <w:rPr>
          <w:rFonts w:hint="eastAsia" w:ascii="宋体" w:hAnsi="宋体" w:cs="Arial"/>
          <w:kern w:val="0"/>
          <w:szCs w:val="21"/>
          <w:highlight w:val="none"/>
        </w:rPr>
        <w:t>内容外，招标人以书面形式发出的对招标文件的澄清或修改内容，均为招标文件的组成部分，对招标人和投标人起约束作用。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认真阅读招标文件中所有的事项、格式、条款和技术要求等。如果投标人没有按照招标文件要求提交全部资料或者投标文件没有对招标文件在各方面都作出实质性响应，是投标人的风险，并可能导致其投标被拒绝。</w:t>
      </w:r>
    </w:p>
    <w:p>
      <w:pPr>
        <w:pStyle w:val="99"/>
        <w:tabs>
          <w:tab w:val="clear" w:pos="425"/>
        </w:tabs>
        <w:wordWrap w:val="0"/>
        <w:spacing w:before="0" w:after="0" w:line="520" w:lineRule="exact"/>
        <w:ind w:left="1157" w:hanging="1157"/>
        <w:rPr>
          <w:sz w:val="21"/>
          <w:szCs w:val="21"/>
          <w:highlight w:val="none"/>
        </w:rPr>
      </w:pPr>
      <w:bookmarkStart w:id="56" w:name="_Hlt12448048"/>
      <w:bookmarkEnd w:id="56"/>
      <w:bookmarkStart w:id="57" w:name="_Toc426449733"/>
      <w:bookmarkStart w:id="58" w:name="_Toc120411801"/>
      <w:bookmarkStart w:id="59" w:name="_Toc535832522"/>
      <w:r>
        <w:rPr>
          <w:rFonts w:hint="eastAsia"/>
          <w:sz w:val="21"/>
          <w:szCs w:val="21"/>
          <w:highlight w:val="none"/>
        </w:rPr>
        <w:t>招标文件的澄清</w:t>
      </w:r>
      <w:bookmarkEnd w:id="57"/>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投标人对招标文件的澄清要求，应以书面形式（包括信函、传真等，下同）在投标截止日期</w:t>
      </w:r>
      <w:r>
        <w:rPr>
          <w:rFonts w:hint="eastAsia" w:ascii="宋体" w:hAnsi="宋体" w:cs="Arial"/>
          <w:kern w:val="0"/>
          <w:szCs w:val="21"/>
          <w:highlight w:val="none"/>
          <w:lang w:val="en-US" w:eastAsia="zh-CN"/>
        </w:rPr>
        <w:t>一</w:t>
      </w:r>
      <w:r>
        <w:rPr>
          <w:rFonts w:hint="eastAsia" w:ascii="宋体" w:hAnsi="宋体" w:cs="Arial"/>
          <w:kern w:val="0"/>
          <w:szCs w:val="21"/>
          <w:highlight w:val="none"/>
        </w:rPr>
        <w:t>（</w:t>
      </w:r>
      <w:r>
        <w:rPr>
          <w:rFonts w:ascii="宋体" w:hAnsi="宋体" w:cs="Arial"/>
          <w:kern w:val="0"/>
          <w:szCs w:val="21"/>
          <w:highlight w:val="none"/>
        </w:rPr>
        <w:t>1</w:t>
      </w:r>
      <w:r>
        <w:rPr>
          <w:rFonts w:hint="eastAsia" w:ascii="宋体" w:hAnsi="宋体" w:cs="Arial"/>
          <w:kern w:val="0"/>
          <w:szCs w:val="21"/>
          <w:highlight w:val="none"/>
        </w:rPr>
        <w:t>）天（日历天，下同）以前通知</w:t>
      </w:r>
      <w:r>
        <w:rPr>
          <w:rFonts w:hint="eastAsia" w:ascii="宋体" w:hAnsi="宋体" w:cs="Arial"/>
          <w:kern w:val="0"/>
          <w:szCs w:val="21"/>
          <w:highlight w:val="none"/>
          <w:lang w:eastAsia="zh-CN"/>
        </w:rPr>
        <w:t>招标人</w:t>
      </w:r>
      <w:r>
        <w:rPr>
          <w:rFonts w:hint="eastAsia" w:ascii="宋体" w:hAnsi="宋体" w:cs="Arial"/>
          <w:kern w:val="0"/>
          <w:szCs w:val="21"/>
          <w:highlight w:val="none"/>
        </w:rPr>
        <w:t>。</w:t>
      </w:r>
      <w:r>
        <w:rPr>
          <w:rFonts w:hint="eastAsia" w:ascii="宋体" w:hAnsi="宋体" w:cs="Arial"/>
          <w:kern w:val="0"/>
          <w:szCs w:val="21"/>
          <w:highlight w:val="none"/>
          <w:lang w:eastAsia="zh-CN"/>
        </w:rPr>
        <w:t>招标人</w:t>
      </w:r>
      <w:r>
        <w:rPr>
          <w:rFonts w:hint="eastAsia" w:ascii="宋体" w:hAnsi="宋体" w:cs="Arial"/>
          <w:kern w:val="0"/>
          <w:szCs w:val="21"/>
          <w:highlight w:val="none"/>
        </w:rPr>
        <w:t>对在投标截止期</w:t>
      </w:r>
      <w:r>
        <w:rPr>
          <w:rFonts w:hint="eastAsia" w:ascii="宋体" w:hAnsi="宋体" w:cs="Arial"/>
          <w:kern w:val="0"/>
          <w:szCs w:val="21"/>
          <w:highlight w:val="none"/>
          <w:lang w:val="en-US" w:eastAsia="zh-CN"/>
        </w:rPr>
        <w:t>一</w:t>
      </w:r>
      <w:r>
        <w:rPr>
          <w:rFonts w:hint="eastAsia" w:ascii="宋体" w:hAnsi="宋体" w:cs="Arial"/>
          <w:kern w:val="0"/>
          <w:szCs w:val="21"/>
          <w:highlight w:val="none"/>
        </w:rPr>
        <w:t>（</w:t>
      </w:r>
      <w:r>
        <w:rPr>
          <w:rFonts w:ascii="宋体" w:hAnsi="宋体" w:cs="Arial"/>
          <w:kern w:val="0"/>
          <w:szCs w:val="21"/>
          <w:highlight w:val="none"/>
        </w:rPr>
        <w:t>1</w:t>
      </w:r>
      <w:r>
        <w:rPr>
          <w:rFonts w:hint="eastAsia" w:ascii="宋体" w:hAnsi="宋体" w:cs="Arial"/>
          <w:kern w:val="0"/>
          <w:szCs w:val="21"/>
          <w:highlight w:val="none"/>
        </w:rPr>
        <w:t>）天以前收到的澄清要求，将视情况以召开答疑会或者以书面形式予以答复，并将书面答复发给已领取招标文件的每一投标人，书面答复不说明问题的来源。</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如果召开答疑会，将通知所有领取招标文件并已登记的投标人参加。</w:t>
      </w:r>
    </w:p>
    <w:p>
      <w:pPr>
        <w:pStyle w:val="99"/>
        <w:tabs>
          <w:tab w:val="clear" w:pos="425"/>
        </w:tabs>
        <w:wordWrap w:val="0"/>
        <w:spacing w:before="0" w:after="0" w:line="520" w:lineRule="exact"/>
        <w:ind w:left="1157" w:hanging="1157"/>
        <w:rPr>
          <w:sz w:val="21"/>
          <w:szCs w:val="21"/>
          <w:highlight w:val="none"/>
        </w:rPr>
      </w:pPr>
      <w:bookmarkStart w:id="60" w:name="_Toc426449734"/>
      <w:r>
        <w:rPr>
          <w:rFonts w:hint="eastAsia"/>
          <w:sz w:val="21"/>
          <w:szCs w:val="21"/>
          <w:highlight w:val="none"/>
        </w:rPr>
        <w:t>招标文件的修改</w:t>
      </w:r>
      <w:bookmarkEnd w:id="6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在投标截止日期前的任何时候，无论出于何种原因，</w:t>
      </w:r>
      <w:r>
        <w:rPr>
          <w:rFonts w:hint="eastAsia" w:ascii="宋体" w:hAnsi="宋体" w:cs="Arial"/>
          <w:kern w:val="0"/>
          <w:szCs w:val="21"/>
          <w:highlight w:val="none"/>
          <w:lang w:eastAsia="zh-CN"/>
        </w:rPr>
        <w:t>招标人</w:t>
      </w:r>
      <w:r>
        <w:rPr>
          <w:rFonts w:hint="eastAsia" w:ascii="宋体" w:hAnsi="宋体" w:cs="Arial"/>
          <w:kern w:val="0"/>
          <w:szCs w:val="21"/>
          <w:highlight w:val="none"/>
        </w:rPr>
        <w:t>可主动地或在解答投标人提出的澄清问题时对招标文件进行修改。</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修改后的文件将作为招标文件的组成部分，对所有投标人具有约束力。</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为使投标人有足够的时间按招标文件的修改要求修订投标文件，</w:t>
      </w:r>
      <w:r>
        <w:rPr>
          <w:rFonts w:hint="eastAsia" w:ascii="宋体" w:hAnsi="宋体" w:cs="Arial"/>
          <w:kern w:val="0"/>
          <w:szCs w:val="21"/>
          <w:highlight w:val="none"/>
          <w:lang w:eastAsia="zh-CN"/>
        </w:rPr>
        <w:t>招标人</w:t>
      </w:r>
      <w:r>
        <w:rPr>
          <w:rFonts w:hint="eastAsia" w:ascii="宋体" w:hAnsi="宋体" w:cs="Arial"/>
          <w:kern w:val="0"/>
          <w:szCs w:val="21"/>
          <w:highlight w:val="none"/>
        </w:rPr>
        <w:t>可酌情推迟投标截止时间和开标时间，并将以书面形式通知所有投标人。</w:t>
      </w:r>
    </w:p>
    <w:p>
      <w:pPr>
        <w:pStyle w:val="99"/>
        <w:tabs>
          <w:tab w:val="clear" w:pos="425"/>
        </w:tabs>
        <w:wordWrap w:val="0"/>
        <w:spacing w:before="0" w:after="0" w:line="520" w:lineRule="exact"/>
        <w:ind w:left="1157" w:hanging="1157"/>
        <w:rPr>
          <w:sz w:val="21"/>
          <w:szCs w:val="21"/>
          <w:highlight w:val="none"/>
        </w:rPr>
      </w:pPr>
      <w:bookmarkStart w:id="61" w:name="_Toc426449735"/>
      <w:r>
        <w:rPr>
          <w:rFonts w:hint="eastAsia"/>
          <w:sz w:val="21"/>
          <w:szCs w:val="21"/>
          <w:highlight w:val="none"/>
        </w:rPr>
        <w:t>通知</w:t>
      </w:r>
      <w:bookmarkEnd w:id="61"/>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对与本项目有关的通知，</w:t>
      </w:r>
      <w:r>
        <w:rPr>
          <w:rFonts w:hint="eastAsia" w:ascii="宋体" w:hAnsi="宋体" w:cs="Arial"/>
          <w:kern w:val="0"/>
          <w:szCs w:val="21"/>
          <w:highlight w:val="none"/>
          <w:lang w:eastAsia="zh-CN"/>
        </w:rPr>
        <w:t>招标人</w:t>
      </w:r>
      <w:r>
        <w:rPr>
          <w:rFonts w:hint="eastAsia" w:ascii="宋体" w:hAnsi="宋体" w:cs="Arial"/>
          <w:kern w:val="0"/>
          <w:szCs w:val="21"/>
          <w:highlight w:val="none"/>
        </w:rPr>
        <w:t>将以书面或电子邮件或在本招标公告刊登的媒体上发布公告的形式，送达所有与通知有关的已登记并领取了招标文件的投标人，电子邮箱地址和传真号码以投标人的登记为准。收到通知的投标人应以同等方式立即予以回复确认。因登记有误或邮箱服务器、传真线路故障导致通知延迟送达或无法送达，</w:t>
      </w:r>
      <w:r>
        <w:rPr>
          <w:rFonts w:hint="eastAsia" w:ascii="宋体" w:hAnsi="宋体" w:cs="Arial"/>
          <w:kern w:val="0"/>
          <w:szCs w:val="21"/>
          <w:highlight w:val="none"/>
          <w:lang w:eastAsia="zh-CN"/>
        </w:rPr>
        <w:t>招标人</w:t>
      </w:r>
      <w:r>
        <w:rPr>
          <w:rFonts w:hint="eastAsia" w:ascii="宋体" w:hAnsi="宋体" w:cs="Arial"/>
          <w:kern w:val="0"/>
          <w:szCs w:val="21"/>
          <w:highlight w:val="none"/>
        </w:rPr>
        <w:t>不承担责任。</w:t>
      </w:r>
      <w:bookmarkEnd w:id="58"/>
      <w:bookmarkEnd w:id="59"/>
      <w:bookmarkStart w:id="62" w:name="_Hlt4646413"/>
      <w:bookmarkEnd w:id="62"/>
      <w:bookmarkStart w:id="63" w:name="_Toc426449736"/>
      <w:bookmarkStart w:id="64" w:name="_Toc535832523"/>
      <w:bookmarkStart w:id="65" w:name="_Toc120411802"/>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66" w:name="_Toc26106"/>
      <w:r>
        <w:rPr>
          <w:rFonts w:hint="eastAsia" w:ascii="黑体" w:hAnsi="黑体" w:eastAsia="黑体" w:cs="黑体"/>
          <w:highlight w:val="none"/>
        </w:rPr>
        <w:t>投标文件编制</w:t>
      </w:r>
      <w:bookmarkEnd w:id="63"/>
      <w:bookmarkEnd w:id="64"/>
      <w:bookmarkEnd w:id="65"/>
      <w:bookmarkEnd w:id="66"/>
    </w:p>
    <w:p>
      <w:pPr>
        <w:pStyle w:val="99"/>
        <w:tabs>
          <w:tab w:val="clear" w:pos="425"/>
        </w:tabs>
        <w:wordWrap w:val="0"/>
        <w:spacing w:before="0" w:after="0" w:line="520" w:lineRule="exact"/>
        <w:ind w:left="1157" w:hanging="1157"/>
        <w:rPr>
          <w:sz w:val="21"/>
          <w:szCs w:val="21"/>
          <w:highlight w:val="none"/>
        </w:rPr>
      </w:pPr>
      <w:bookmarkStart w:id="67" w:name="_Toc426449737"/>
      <w:bookmarkStart w:id="68" w:name="_Toc535832524"/>
      <w:bookmarkStart w:id="69" w:name="_Toc120411803"/>
      <w:r>
        <w:rPr>
          <w:rFonts w:hint="eastAsia"/>
          <w:sz w:val="21"/>
          <w:szCs w:val="21"/>
          <w:highlight w:val="none"/>
        </w:rPr>
        <w:t>投标文件语言及计量</w:t>
      </w:r>
      <w:bookmarkEnd w:id="67"/>
      <w:bookmarkEnd w:id="68"/>
      <w:bookmarkEnd w:id="6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投标人提交的投标文件以及投标人与</w:t>
      </w:r>
      <w:r>
        <w:rPr>
          <w:rFonts w:hint="eastAsia" w:ascii="宋体" w:hAnsi="宋体" w:cs="Arial"/>
          <w:kern w:val="0"/>
          <w:szCs w:val="21"/>
          <w:highlight w:val="none"/>
          <w:lang w:eastAsia="zh-CN"/>
        </w:rPr>
        <w:t>招标人</w:t>
      </w:r>
      <w:r>
        <w:rPr>
          <w:rFonts w:hint="eastAsia" w:ascii="宋体" w:hAnsi="宋体" w:cs="Arial"/>
          <w:kern w:val="0"/>
          <w:szCs w:val="21"/>
          <w:highlight w:val="none"/>
        </w:rPr>
        <w:t>就有关投标的所有往来函电均应使用中文书写。投标人提交的支持文件和印制的文献可以用另一种语言，但相应内容应附中文翻译本，在存在差异和矛盾时以中文翻译本为准。</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除招标文件另有规定外，在投标文件中以及所有投标人与</w:t>
      </w:r>
      <w:r>
        <w:rPr>
          <w:rFonts w:hint="eastAsia" w:ascii="宋体" w:hAnsi="宋体" w:cs="Arial"/>
          <w:kern w:val="0"/>
          <w:szCs w:val="21"/>
          <w:highlight w:val="none"/>
          <w:lang w:eastAsia="zh-CN"/>
        </w:rPr>
        <w:t>招标人</w:t>
      </w:r>
      <w:r>
        <w:rPr>
          <w:rFonts w:hint="eastAsia" w:ascii="宋体" w:hAnsi="宋体" w:cs="Arial"/>
          <w:kern w:val="0"/>
          <w:szCs w:val="21"/>
          <w:highlight w:val="none"/>
        </w:rPr>
        <w:t>往来文件中的计量单位均应采用中华人民共和国法定计量单位。</w:t>
      </w:r>
    </w:p>
    <w:p>
      <w:pPr>
        <w:pStyle w:val="99"/>
        <w:tabs>
          <w:tab w:val="clear" w:pos="425"/>
        </w:tabs>
        <w:wordWrap w:val="0"/>
        <w:spacing w:before="0" w:after="0" w:line="520" w:lineRule="exact"/>
        <w:ind w:left="1157" w:hanging="1157"/>
        <w:rPr>
          <w:sz w:val="21"/>
          <w:szCs w:val="21"/>
          <w:highlight w:val="none"/>
        </w:rPr>
      </w:pPr>
      <w:bookmarkStart w:id="70" w:name="_Toc426449738"/>
      <w:bookmarkStart w:id="71" w:name="_Toc535832525"/>
      <w:bookmarkStart w:id="72" w:name="_Toc120411804"/>
      <w:r>
        <w:rPr>
          <w:rFonts w:hint="eastAsia"/>
          <w:sz w:val="21"/>
          <w:szCs w:val="21"/>
          <w:highlight w:val="none"/>
        </w:rPr>
        <w:t>投标文件的构成</w:t>
      </w:r>
      <w:bookmarkEnd w:id="70"/>
      <w:bookmarkEnd w:id="71"/>
      <w:bookmarkEnd w:id="72"/>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投标文件主要内容及格式详见招标文件第六章“投标文件内容</w:t>
      </w:r>
      <w:r>
        <w:rPr>
          <w:rFonts w:ascii="宋体" w:hAnsi="宋体" w:cs="Arial"/>
          <w:kern w:val="0"/>
          <w:szCs w:val="21"/>
          <w:highlight w:val="none"/>
        </w:rPr>
        <w:t>&lt;</w:t>
      </w:r>
      <w:r>
        <w:rPr>
          <w:rFonts w:hint="eastAsia" w:ascii="宋体" w:hAnsi="宋体" w:cs="Arial"/>
          <w:kern w:val="0"/>
          <w:szCs w:val="21"/>
          <w:highlight w:val="none"/>
        </w:rPr>
        <w:t>格式</w:t>
      </w:r>
      <w:r>
        <w:rPr>
          <w:rFonts w:ascii="宋体" w:hAnsi="宋体" w:cs="Arial"/>
          <w:kern w:val="0"/>
          <w:szCs w:val="21"/>
          <w:highlight w:val="none"/>
        </w:rPr>
        <w:t>&gt;</w:t>
      </w:r>
      <w:r>
        <w:rPr>
          <w:rFonts w:hint="eastAsia" w:ascii="宋体" w:hAnsi="宋体" w:cs="Arial"/>
          <w:kern w:val="0"/>
          <w:szCs w:val="21"/>
          <w:highlight w:val="none"/>
        </w:rPr>
        <w:t>”。</w:t>
      </w:r>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投标人应当参考其规定和要求进行编写，否则有可能作出对投标人不利的评审。</w:t>
      </w:r>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为了便于查找，投标文件尽可能按以上目录顺序，并标明页码。</w:t>
      </w:r>
    </w:p>
    <w:p>
      <w:pPr>
        <w:pStyle w:val="99"/>
        <w:tabs>
          <w:tab w:val="clear" w:pos="425"/>
        </w:tabs>
        <w:wordWrap w:val="0"/>
        <w:spacing w:before="0" w:after="0" w:line="520" w:lineRule="exact"/>
        <w:ind w:left="1157" w:hanging="1157"/>
        <w:rPr>
          <w:sz w:val="21"/>
          <w:szCs w:val="21"/>
          <w:highlight w:val="none"/>
        </w:rPr>
      </w:pPr>
      <w:r>
        <w:rPr>
          <w:rFonts w:hint="eastAsia"/>
          <w:sz w:val="21"/>
          <w:szCs w:val="21"/>
          <w:highlight w:val="none"/>
        </w:rPr>
        <w:t>投标文件真实性及完整性</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投标人应严格按照招标文件中的有关要求如实编制投标文件，并提供证明材料。投标文件所有内容一定要真实，</w:t>
      </w:r>
      <w:r>
        <w:rPr>
          <w:rFonts w:hint="eastAsia" w:ascii="宋体" w:hAnsi="宋体" w:cs="Arial"/>
          <w:kern w:val="0"/>
          <w:szCs w:val="21"/>
          <w:highlight w:val="none"/>
          <w:lang w:eastAsia="zh-CN"/>
        </w:rPr>
        <w:t>招标人</w:t>
      </w:r>
      <w:r>
        <w:rPr>
          <w:rFonts w:hint="eastAsia" w:ascii="宋体" w:hAnsi="宋体" w:cs="Arial"/>
          <w:kern w:val="0"/>
          <w:szCs w:val="21"/>
          <w:highlight w:val="none"/>
        </w:rPr>
        <w:t>保留进一步对其真实性核实，如果一旦发现投标文件有虚假现象，则被视为投标人没有履行采购诚实信用的原则作废标处理或取消其所有资格，并有可能受到相关处罚。</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投标文件内容一定要完整，否则，会作出对投标人非常不利的评审甚至初审不合格，</w:t>
      </w:r>
      <w:r>
        <w:rPr>
          <w:rFonts w:hint="eastAsia" w:ascii="宋体" w:hAnsi="宋体" w:cs="Arial"/>
          <w:kern w:val="0"/>
          <w:szCs w:val="21"/>
          <w:highlight w:val="none"/>
          <w:lang w:eastAsia="zh-CN"/>
        </w:rPr>
        <w:t>招标人</w:t>
      </w:r>
      <w:r>
        <w:rPr>
          <w:rFonts w:hint="eastAsia" w:ascii="宋体" w:hAnsi="宋体" w:cs="Arial"/>
          <w:kern w:val="0"/>
          <w:szCs w:val="21"/>
          <w:highlight w:val="none"/>
        </w:rPr>
        <w:t>保留进一步要求投标人补充提供有关材料的权利，拒绝补充材料或提供的材料不真实，将被视为自动放弃投标资格。</w:t>
      </w:r>
    </w:p>
    <w:p>
      <w:pPr>
        <w:pStyle w:val="99"/>
        <w:tabs>
          <w:tab w:val="clear" w:pos="425"/>
        </w:tabs>
        <w:wordWrap w:val="0"/>
        <w:spacing w:before="0" w:after="0" w:line="520" w:lineRule="exact"/>
        <w:ind w:left="1157" w:hanging="1157"/>
        <w:rPr>
          <w:sz w:val="21"/>
          <w:szCs w:val="21"/>
          <w:highlight w:val="none"/>
        </w:rPr>
      </w:pPr>
      <w:bookmarkStart w:id="73" w:name="_Toc120411806"/>
      <w:bookmarkStart w:id="74" w:name="_Toc426449739"/>
      <w:bookmarkStart w:id="75" w:name="_Toc535832527"/>
      <w:r>
        <w:rPr>
          <w:rFonts w:hint="eastAsia"/>
          <w:sz w:val="21"/>
          <w:szCs w:val="21"/>
          <w:highlight w:val="none"/>
        </w:rPr>
        <w:t>投标报价</w:t>
      </w:r>
      <w:bookmarkEnd w:id="73"/>
      <w:bookmarkEnd w:id="74"/>
      <w:bookmarkEnd w:id="75"/>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投标人所提供的货物和服务一律用人民币报价。</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的投标报价应包括完成本项目的全部费用。投标人对报价的准确性负责，任何漏报、错报等均是投标人的风险。投标总价应包含全部服务内容的报价、包括运输、配送、验收、售后服务、保险、税金等各项直接、间接费用</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并由中标方支付</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全部服务内容的报价、包括运输、配送、验收、售后服务、保险、税金等各项直接、间接费用。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投标人总价和单价只允许一个报价，任何有可供选择的报价将不予接受。</w:t>
      </w:r>
    </w:p>
    <w:p>
      <w:pPr>
        <w:numPr>
          <w:ilvl w:val="1"/>
          <w:numId w:val="2"/>
        </w:numPr>
        <w:tabs>
          <w:tab w:val="left" w:pos="1155"/>
        </w:tabs>
        <w:wordWrap w:val="0"/>
        <w:spacing w:line="520" w:lineRule="exact"/>
        <w:rPr>
          <w:rFonts w:ascii="宋体" w:hAnsi="宋体" w:cs="Arial"/>
          <w:color w:val="auto"/>
          <w:kern w:val="0"/>
          <w:szCs w:val="21"/>
          <w:highlight w:val="none"/>
          <w:u w:val="none"/>
        </w:rPr>
      </w:pPr>
      <w:r>
        <w:rPr>
          <w:rFonts w:hint="eastAsia" w:ascii="宋体" w:hAnsi="宋体" w:cs="Arial"/>
          <w:kern w:val="0"/>
          <w:szCs w:val="21"/>
          <w:highlight w:val="none"/>
        </w:rPr>
        <w:t>本项目也不接受任何“赠送”或“优惠”，否则将被视为投标文件符合性审查不能通过；不接受低于成本价或部分完全不合理的报价的投标，如果投标人不能对以上情况作出合理的解释，将被视为投标符合性审查不能通过。评标小组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小组会应当将其作为无效响应处理</w:t>
      </w:r>
      <w:r>
        <w:rPr>
          <w:rFonts w:hint="eastAsia" w:ascii="宋体" w:hAnsi="宋体" w:cs="Arial"/>
          <w:kern w:val="0"/>
          <w:szCs w:val="21"/>
          <w:highlight w:val="none"/>
          <w:lang w:eastAsia="zh-CN"/>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投标人所报的价格在合同的执行过程中是固定不变的，不得以任何理由予以变更。</w:t>
      </w:r>
    </w:p>
    <w:p>
      <w:pPr>
        <w:pStyle w:val="99"/>
        <w:tabs>
          <w:tab w:val="clear" w:pos="425"/>
        </w:tabs>
        <w:wordWrap w:val="0"/>
        <w:spacing w:before="0" w:after="0" w:line="520" w:lineRule="exact"/>
        <w:ind w:left="1157" w:hanging="1157"/>
        <w:rPr>
          <w:szCs w:val="21"/>
          <w:highlight w:val="none"/>
        </w:rPr>
      </w:pPr>
      <w:bookmarkStart w:id="76" w:name="_Hlt536430657"/>
      <w:bookmarkEnd w:id="76"/>
      <w:bookmarkStart w:id="77" w:name="_Toc121195753"/>
      <w:bookmarkStart w:id="78" w:name="_Toc47348161"/>
      <w:bookmarkStart w:id="79" w:name="_Toc109616875"/>
      <w:bookmarkStart w:id="80" w:name="_Toc426449740"/>
      <w:bookmarkStart w:id="81" w:name="_Toc120411810"/>
      <w:bookmarkStart w:id="82" w:name="_Toc535832531"/>
      <w:r>
        <w:rPr>
          <w:rFonts w:hint="eastAsia"/>
          <w:sz w:val="21"/>
          <w:szCs w:val="21"/>
          <w:highlight w:val="none"/>
        </w:rPr>
        <w:t>投标文件</w:t>
      </w:r>
      <w:bookmarkEnd w:id="77"/>
      <w:bookmarkEnd w:id="78"/>
      <w:bookmarkEnd w:id="79"/>
      <w:r>
        <w:rPr>
          <w:rFonts w:hint="eastAsia"/>
          <w:sz w:val="21"/>
          <w:szCs w:val="21"/>
          <w:highlight w:val="none"/>
        </w:rPr>
        <w:t>签</w:t>
      </w:r>
      <w:bookmarkEnd w:id="80"/>
      <w:r>
        <w:rPr>
          <w:rFonts w:hint="eastAsia"/>
          <w:sz w:val="21"/>
          <w:szCs w:val="21"/>
          <w:highlight w:val="none"/>
        </w:rPr>
        <w:t>章、密封、标记</w:t>
      </w:r>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投标文件一律采用</w:t>
      </w:r>
      <w:r>
        <w:rPr>
          <w:rFonts w:ascii="宋体" w:hAnsi="宋体" w:cs="Arial"/>
          <w:kern w:val="0"/>
          <w:szCs w:val="21"/>
          <w:highlight w:val="none"/>
        </w:rPr>
        <w:t>A4</w:t>
      </w:r>
      <w:r>
        <w:rPr>
          <w:rFonts w:hint="eastAsia" w:ascii="宋体" w:hAnsi="宋体" w:cs="Arial"/>
          <w:kern w:val="0"/>
          <w:szCs w:val="21"/>
          <w:highlight w:val="none"/>
        </w:rPr>
        <w:t>规格纸张，</w:t>
      </w:r>
      <w:r>
        <w:rPr>
          <w:rFonts w:hint="eastAsia"/>
          <w:szCs w:val="21"/>
          <w:highlight w:val="none"/>
          <w:lang w:val="zh-CN"/>
        </w:rPr>
        <w:t>正本须打印或用不褪色墨水书写；</w:t>
      </w:r>
      <w:r>
        <w:rPr>
          <w:rFonts w:hint="eastAsia" w:ascii="宋体" w:hAnsi="宋体" w:cs="Arial"/>
          <w:kern w:val="0"/>
          <w:szCs w:val="21"/>
          <w:highlight w:val="none"/>
        </w:rPr>
        <w:t>填写部分字迹要工整清楚。</w:t>
      </w:r>
      <w:r>
        <w:rPr>
          <w:rFonts w:hint="eastAsia"/>
          <w:szCs w:val="21"/>
          <w:highlight w:val="none"/>
          <w:lang w:val="zh-CN"/>
        </w:rPr>
        <w:t>且左侧采用胶装或铁钉订装等不可拆</w:t>
      </w:r>
      <w:r>
        <w:rPr>
          <w:rFonts w:hint="eastAsia" w:ascii="宋体" w:hAnsi="宋体" w:cs="Arial"/>
          <w:kern w:val="0"/>
          <w:szCs w:val="21"/>
          <w:highlight w:val="none"/>
        </w:rPr>
        <w:t>卸</w:t>
      </w:r>
      <w:r>
        <w:rPr>
          <w:rFonts w:hint="eastAsia"/>
          <w:szCs w:val="21"/>
          <w:highlight w:val="none"/>
          <w:lang w:val="zh-CN"/>
        </w:rPr>
        <w:t>的装订，对未经装订的投标书可能发生的文件散落或缺损，由此产生的后果其责任由投标人承担，</w:t>
      </w:r>
      <w:r>
        <w:rPr>
          <w:rFonts w:hint="eastAsia" w:ascii="宋体" w:hAnsi="宋体" w:cs="Arial"/>
          <w:kern w:val="0"/>
          <w:szCs w:val="21"/>
          <w:highlight w:val="none"/>
        </w:rPr>
        <w:t>投标人应准备投标文件</w:t>
      </w:r>
      <w:r>
        <w:rPr>
          <w:rFonts w:hint="eastAsia" w:ascii="宋体" w:hAnsi="宋体" w:cs="Arial"/>
          <w:b/>
          <w:bCs/>
          <w:kern w:val="0"/>
          <w:szCs w:val="21"/>
          <w:highlight w:val="none"/>
        </w:rPr>
        <w:t>正本一份</w:t>
      </w:r>
      <w:r>
        <w:rPr>
          <w:rFonts w:hint="eastAsia" w:ascii="宋体" w:hAnsi="宋体" w:cs="Arial"/>
          <w:b/>
          <w:bCs/>
          <w:kern w:val="0"/>
          <w:szCs w:val="21"/>
          <w:highlight w:val="none"/>
          <w:lang w:eastAsia="zh-CN"/>
        </w:rPr>
        <w:t>、副本贰份</w:t>
      </w:r>
      <w:r>
        <w:rPr>
          <w:rFonts w:hint="eastAsia" w:ascii="宋体" w:hAnsi="宋体" w:cs="Arial"/>
          <w:kern w:val="0"/>
          <w:szCs w:val="21"/>
          <w:highlight w:val="none"/>
        </w:rPr>
        <w:t>，其正、副本都应装订成册。每份投标文件须清楚地标明</w:t>
      </w:r>
      <w:r>
        <w:rPr>
          <w:rFonts w:hint="eastAsia" w:ascii="宋体" w:cs="Arial"/>
          <w:kern w:val="0"/>
          <w:szCs w:val="21"/>
          <w:highlight w:val="none"/>
        </w:rPr>
        <w:t>“</w:t>
      </w:r>
      <w:r>
        <w:rPr>
          <w:rFonts w:hint="eastAsia" w:ascii="宋体" w:hAnsi="宋体" w:cs="Arial"/>
          <w:kern w:val="0"/>
          <w:szCs w:val="21"/>
          <w:highlight w:val="none"/>
        </w:rPr>
        <w:t>正本</w:t>
      </w:r>
      <w:r>
        <w:rPr>
          <w:rFonts w:hint="eastAsia" w:ascii="宋体" w:cs="Arial"/>
          <w:kern w:val="0"/>
          <w:szCs w:val="21"/>
          <w:highlight w:val="none"/>
        </w:rPr>
        <w:t>”</w:t>
      </w:r>
      <w:r>
        <w:rPr>
          <w:rFonts w:hint="eastAsia" w:ascii="宋体" w:hAnsi="宋体" w:cs="Arial"/>
          <w:kern w:val="0"/>
          <w:szCs w:val="21"/>
          <w:highlight w:val="none"/>
        </w:rPr>
        <w:t>、</w:t>
      </w:r>
      <w:r>
        <w:rPr>
          <w:rFonts w:hint="eastAsia" w:ascii="宋体" w:cs="Arial"/>
          <w:kern w:val="0"/>
          <w:szCs w:val="21"/>
          <w:highlight w:val="none"/>
        </w:rPr>
        <w:t>“</w:t>
      </w:r>
      <w:r>
        <w:rPr>
          <w:rFonts w:hint="eastAsia" w:ascii="宋体" w:hAnsi="宋体" w:cs="Arial"/>
          <w:kern w:val="0"/>
          <w:szCs w:val="21"/>
          <w:highlight w:val="none"/>
        </w:rPr>
        <w:t>副本</w:t>
      </w:r>
      <w:r>
        <w:rPr>
          <w:rFonts w:hint="eastAsia" w:ascii="宋体" w:cs="Arial"/>
          <w:kern w:val="0"/>
          <w:szCs w:val="21"/>
          <w:highlight w:val="none"/>
        </w:rPr>
        <w:t>”</w:t>
      </w:r>
      <w:r>
        <w:rPr>
          <w:rFonts w:hint="eastAsia" w:ascii="宋体" w:hAnsi="宋体" w:cs="Arial"/>
          <w:kern w:val="0"/>
          <w:szCs w:val="21"/>
          <w:highlight w:val="none"/>
        </w:rPr>
        <w:t>。若正本和副本不符，以正本为准。投标文件副本可以是正本的复印件</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若电子版与纸质版投标文件不符，以纸质版为准。</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投标文件的密封和标记：投标人应根据招标文件的要求，在投标文件的适当位置填写投标人全称、加盖投标人印章、签署法定代表人或法定代表人委托代理人的全名。正本</w:t>
      </w:r>
      <w:r>
        <w:rPr>
          <w:rFonts w:hint="eastAsia" w:ascii="宋体" w:hAnsi="宋体" w:cs="Arial"/>
          <w:kern w:val="0"/>
          <w:szCs w:val="21"/>
          <w:highlight w:val="none"/>
          <w:lang w:eastAsia="zh-CN"/>
        </w:rPr>
        <w:t>、</w:t>
      </w:r>
      <w:r>
        <w:rPr>
          <w:rFonts w:hint="eastAsia" w:ascii="宋体" w:hAnsi="宋体" w:cs="Arial"/>
          <w:kern w:val="0"/>
          <w:szCs w:val="21"/>
          <w:highlight w:val="none"/>
        </w:rPr>
        <w:t>副本密封在一个封包中。封包应注明内容详见附件。投标文件如有涂改之处，应由投标人的法定代表人或法定代表人委托代理人签字。</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u w:val="single"/>
        </w:rPr>
        <w:t>投标人没有按以上要求</w:t>
      </w:r>
      <w:r>
        <w:rPr>
          <w:rFonts w:hint="eastAsia" w:ascii="宋体" w:hAnsi="宋体" w:cs="宋体"/>
          <w:kern w:val="0"/>
          <w:szCs w:val="21"/>
          <w:highlight w:val="none"/>
          <w:u w:val="single"/>
        </w:rPr>
        <w:t>密封</w:t>
      </w:r>
      <w:r>
        <w:rPr>
          <w:rFonts w:hint="eastAsia" w:ascii="宋体" w:hAnsi="宋体" w:cs="宋体"/>
          <w:kern w:val="0"/>
          <w:szCs w:val="21"/>
          <w:highlight w:val="none"/>
          <w:u w:val="single"/>
          <w:lang w:val="en-US" w:eastAsia="zh-CN"/>
        </w:rPr>
        <w:t>将被拒收，未按以上要求</w:t>
      </w:r>
      <w:r>
        <w:rPr>
          <w:rFonts w:hint="eastAsia" w:ascii="宋体" w:hAnsi="宋体" w:cs="宋体"/>
          <w:kern w:val="0"/>
          <w:szCs w:val="21"/>
          <w:highlight w:val="none"/>
          <w:u w:val="single"/>
        </w:rPr>
        <w:t>签署、盖章的作废标处理。</w:t>
      </w:r>
    </w:p>
    <w:p>
      <w:pPr>
        <w:pStyle w:val="99"/>
        <w:tabs>
          <w:tab w:val="clear" w:pos="425"/>
        </w:tabs>
        <w:wordWrap w:val="0"/>
        <w:spacing w:before="0" w:after="0" w:line="520" w:lineRule="exact"/>
        <w:ind w:left="1157" w:hanging="1157"/>
        <w:rPr>
          <w:sz w:val="21"/>
          <w:szCs w:val="21"/>
          <w:highlight w:val="none"/>
        </w:rPr>
      </w:pPr>
      <w:bookmarkStart w:id="83" w:name="_Toc426449741"/>
      <w:r>
        <w:rPr>
          <w:rFonts w:hint="eastAsia"/>
          <w:sz w:val="21"/>
          <w:szCs w:val="21"/>
          <w:highlight w:val="none"/>
        </w:rPr>
        <w:t>投标保证金</w:t>
      </w:r>
      <w:bookmarkEnd w:id="81"/>
      <w:bookmarkEnd w:id="82"/>
      <w:bookmarkEnd w:id="83"/>
      <w:r>
        <w:rPr>
          <w:rFonts w:hint="eastAsia"/>
          <w:sz w:val="21"/>
          <w:szCs w:val="21"/>
          <w:highlight w:val="none"/>
          <w:lang w:eastAsia="zh-CN"/>
        </w:rPr>
        <w:t>（</w:t>
      </w:r>
      <w:r>
        <w:rPr>
          <w:rFonts w:hint="eastAsia"/>
          <w:sz w:val="21"/>
          <w:szCs w:val="21"/>
          <w:highlight w:val="none"/>
          <w:lang w:val="en-US" w:eastAsia="zh-CN"/>
        </w:rPr>
        <w:t>本项目不需缴纳</w:t>
      </w:r>
      <w:r>
        <w:rPr>
          <w:rFonts w:hint="eastAsia"/>
          <w:sz w:val="21"/>
          <w:szCs w:val="21"/>
          <w:highlight w:val="none"/>
          <w:lang w:eastAsia="zh-CN"/>
        </w:rPr>
        <w:t>）</w:t>
      </w:r>
    </w:p>
    <w:p>
      <w:pPr>
        <w:pStyle w:val="99"/>
        <w:tabs>
          <w:tab w:val="clear" w:pos="425"/>
        </w:tabs>
        <w:wordWrap w:val="0"/>
        <w:spacing w:before="0" w:after="0" w:line="520" w:lineRule="exact"/>
        <w:ind w:left="1157" w:hanging="1157"/>
        <w:rPr>
          <w:sz w:val="21"/>
          <w:szCs w:val="21"/>
          <w:highlight w:val="none"/>
        </w:rPr>
      </w:pPr>
      <w:bookmarkStart w:id="84" w:name="_Hlt12448524"/>
      <w:bookmarkEnd w:id="84"/>
      <w:bookmarkStart w:id="85" w:name="_Toc120411811"/>
      <w:bookmarkStart w:id="86" w:name="_Toc426449742"/>
      <w:bookmarkStart w:id="87" w:name="_Toc535832532"/>
      <w:r>
        <w:rPr>
          <w:rFonts w:hint="eastAsia"/>
          <w:sz w:val="21"/>
          <w:szCs w:val="21"/>
          <w:highlight w:val="none"/>
        </w:rPr>
        <w:t>投标有效期</w:t>
      </w:r>
      <w:bookmarkEnd w:id="85"/>
      <w:bookmarkEnd w:id="86"/>
      <w:bookmarkEnd w:id="87"/>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u w:val="single"/>
        </w:rPr>
        <w:t>投标应在规定的投标截止日期后</w:t>
      </w:r>
      <w:r>
        <w:rPr>
          <w:rFonts w:hint="eastAsia" w:ascii="宋体" w:hAnsi="宋体" w:cs="Arial"/>
          <w:kern w:val="0"/>
          <w:szCs w:val="21"/>
          <w:highlight w:val="none"/>
          <w:u w:val="single"/>
          <w:lang w:val="en-US" w:eastAsia="zh-CN"/>
        </w:rPr>
        <w:t>六</w:t>
      </w:r>
      <w:r>
        <w:rPr>
          <w:rFonts w:hint="eastAsia" w:ascii="宋体" w:hAnsi="宋体" w:cs="Arial"/>
          <w:kern w:val="0"/>
          <w:szCs w:val="21"/>
          <w:highlight w:val="none"/>
          <w:u w:val="single"/>
        </w:rPr>
        <w:t>十（</w:t>
      </w:r>
      <w:r>
        <w:rPr>
          <w:rFonts w:hint="eastAsia" w:ascii="宋体" w:hAnsi="宋体" w:cs="Arial"/>
          <w:kern w:val="0"/>
          <w:szCs w:val="21"/>
          <w:highlight w:val="none"/>
          <w:u w:val="single"/>
          <w:lang w:val="en-US" w:eastAsia="zh-CN"/>
        </w:rPr>
        <w:t>6</w:t>
      </w:r>
      <w:r>
        <w:rPr>
          <w:rFonts w:ascii="宋体" w:hAnsi="宋体" w:cs="Arial"/>
          <w:kern w:val="0"/>
          <w:szCs w:val="21"/>
          <w:highlight w:val="none"/>
          <w:u w:val="single"/>
        </w:rPr>
        <w:t>0</w:t>
      </w:r>
      <w:r>
        <w:rPr>
          <w:rFonts w:hint="eastAsia" w:ascii="宋体" w:hAnsi="宋体" w:cs="Arial"/>
          <w:kern w:val="0"/>
          <w:szCs w:val="21"/>
          <w:highlight w:val="none"/>
          <w:u w:val="single"/>
        </w:rPr>
        <w:t>）天内保持有效。投标有效期不满足要求的投标将被视为非响应性投标而予以拒绝。</w:t>
      </w:r>
      <w:bookmarkStart w:id="88" w:name="_Toc426449743"/>
      <w:bookmarkStart w:id="89" w:name="_Toc120411813"/>
      <w:bookmarkStart w:id="90" w:name="_Toc535832535"/>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91" w:name="_Toc715"/>
      <w:r>
        <w:rPr>
          <w:rFonts w:hint="eastAsia" w:ascii="黑体" w:hAnsi="黑体" w:eastAsia="黑体" w:cs="黑体"/>
          <w:highlight w:val="none"/>
        </w:rPr>
        <w:t>投标文件递交</w:t>
      </w:r>
      <w:bookmarkEnd w:id="88"/>
      <w:bookmarkEnd w:id="89"/>
      <w:bookmarkEnd w:id="90"/>
      <w:bookmarkEnd w:id="91"/>
    </w:p>
    <w:p>
      <w:pPr>
        <w:pStyle w:val="99"/>
        <w:tabs>
          <w:tab w:val="clear" w:pos="425"/>
        </w:tabs>
        <w:wordWrap w:val="0"/>
        <w:spacing w:before="0" w:after="0" w:line="520" w:lineRule="exact"/>
        <w:ind w:left="1157" w:hanging="1157"/>
        <w:rPr>
          <w:sz w:val="21"/>
          <w:szCs w:val="21"/>
          <w:highlight w:val="none"/>
        </w:rPr>
      </w:pPr>
      <w:bookmarkStart w:id="92" w:name="_Hlt17794836"/>
      <w:bookmarkEnd w:id="92"/>
      <w:bookmarkStart w:id="93" w:name="_Toc426449745"/>
      <w:bookmarkStart w:id="94" w:name="_Toc120411815"/>
      <w:bookmarkStart w:id="95" w:name="_Toc535832537"/>
      <w:r>
        <w:rPr>
          <w:rFonts w:hint="eastAsia"/>
          <w:sz w:val="21"/>
          <w:szCs w:val="21"/>
          <w:highlight w:val="none"/>
        </w:rPr>
        <w:t>投标的递交及截止期</w:t>
      </w:r>
      <w:bookmarkEnd w:id="93"/>
      <w:bookmarkEnd w:id="94"/>
      <w:bookmarkEnd w:id="95"/>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u w:val="single"/>
        </w:rPr>
        <w:t>投标文件的递交：投标人应按招标邀请函要求的时间递交投标文件，递交时须出示投标授权委托书以及被委托人身份证原件，法定代表人参与投标的应出示法人证明及身份证原件，否则视为弃权。如果招标文件规定投标时要提供原件，则原件自行保管，资格审查时递交评委审查。</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投标人应将投标文件不迟于投标邀请函规定的投标截止时间递交至开标地点。</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w:t>
      </w:r>
      <w:r>
        <w:rPr>
          <w:rFonts w:hint="eastAsia" w:ascii="宋体" w:hAnsi="宋体" w:cs="Arial"/>
          <w:kern w:val="0"/>
          <w:szCs w:val="21"/>
          <w:highlight w:val="none"/>
          <w:lang w:eastAsia="zh-CN"/>
        </w:rPr>
        <w:t>招标人</w:t>
      </w:r>
      <w:r>
        <w:rPr>
          <w:rFonts w:hint="eastAsia" w:ascii="宋体" w:hAnsi="宋体" w:cs="Arial"/>
          <w:kern w:val="0"/>
          <w:szCs w:val="21"/>
          <w:highlight w:val="none"/>
        </w:rPr>
        <w:t>决定酌情延长投标截止期，</w:t>
      </w:r>
      <w:r>
        <w:rPr>
          <w:rFonts w:hint="eastAsia" w:ascii="宋体" w:hAnsi="宋体" w:cs="Arial"/>
          <w:kern w:val="0"/>
          <w:szCs w:val="21"/>
          <w:highlight w:val="none"/>
          <w:lang w:eastAsia="zh-CN"/>
        </w:rPr>
        <w:t>招标人</w:t>
      </w:r>
      <w:r>
        <w:rPr>
          <w:rFonts w:hint="eastAsia" w:ascii="宋体" w:hAnsi="宋体" w:cs="Arial"/>
          <w:kern w:val="0"/>
          <w:szCs w:val="21"/>
          <w:highlight w:val="none"/>
        </w:rPr>
        <w:t>和投标人受投标截止期制约的所有权利和义务均应延长至新的截止期。</w:t>
      </w:r>
    </w:p>
    <w:p>
      <w:pPr>
        <w:pStyle w:val="99"/>
        <w:tabs>
          <w:tab w:val="clear" w:pos="425"/>
        </w:tabs>
        <w:wordWrap w:val="0"/>
        <w:spacing w:before="0" w:after="0" w:line="520" w:lineRule="exact"/>
        <w:ind w:left="1157" w:hanging="1157"/>
        <w:rPr>
          <w:sz w:val="21"/>
          <w:szCs w:val="21"/>
          <w:highlight w:val="none"/>
        </w:rPr>
      </w:pPr>
      <w:bookmarkStart w:id="96" w:name="_Toc426449746"/>
      <w:bookmarkStart w:id="97" w:name="_Toc535832538"/>
      <w:bookmarkStart w:id="98" w:name="_Toc120411816"/>
      <w:r>
        <w:rPr>
          <w:rFonts w:hint="eastAsia"/>
          <w:sz w:val="21"/>
          <w:szCs w:val="21"/>
          <w:highlight w:val="none"/>
        </w:rPr>
        <w:t>迟交的投标文件</w:t>
      </w:r>
      <w:bookmarkEnd w:id="96"/>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将拒绝并原封退回在规定的投标截止期后收到的投标文件。</w:t>
      </w:r>
    </w:p>
    <w:p>
      <w:pPr>
        <w:pStyle w:val="99"/>
        <w:tabs>
          <w:tab w:val="clear" w:pos="425"/>
        </w:tabs>
        <w:wordWrap w:val="0"/>
        <w:spacing w:before="0" w:after="0" w:line="520" w:lineRule="exact"/>
        <w:ind w:left="1157" w:hanging="1157"/>
        <w:rPr>
          <w:sz w:val="21"/>
          <w:szCs w:val="21"/>
          <w:highlight w:val="none"/>
        </w:rPr>
      </w:pPr>
      <w:bookmarkStart w:id="99" w:name="_Toc426449747"/>
      <w:r>
        <w:rPr>
          <w:rFonts w:hint="eastAsia"/>
          <w:sz w:val="21"/>
          <w:szCs w:val="21"/>
          <w:highlight w:val="none"/>
        </w:rPr>
        <w:t>投标文件的修改和撤销</w:t>
      </w:r>
      <w:bookmarkEnd w:id="9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投标人在递交投标文件后，可以修改或撤回其投标，但</w:t>
      </w:r>
      <w:r>
        <w:rPr>
          <w:rFonts w:hint="eastAsia" w:ascii="宋体" w:hAnsi="宋体" w:cs="Arial"/>
          <w:kern w:val="0"/>
          <w:szCs w:val="21"/>
          <w:highlight w:val="none"/>
          <w:lang w:eastAsia="zh-CN"/>
        </w:rPr>
        <w:t>招标人</w:t>
      </w:r>
      <w:r>
        <w:rPr>
          <w:rFonts w:hint="eastAsia" w:ascii="宋体" w:hAnsi="宋体" w:cs="Arial"/>
          <w:kern w:val="0"/>
          <w:szCs w:val="21"/>
          <w:highlight w:val="none"/>
        </w:rPr>
        <w:t>必须在规定的投标截止期之前，收到修改或撤回的书面通知。</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投标人的修改或撤回通知应由投标人的法定代表人或法人授权代理人签字或加盖投标人公章，并按本须知第</w:t>
      </w:r>
      <w:r>
        <w:rPr>
          <w:rFonts w:ascii="宋体" w:hAnsi="宋体" w:cs="Arial"/>
          <w:kern w:val="0"/>
          <w:szCs w:val="21"/>
          <w:highlight w:val="none"/>
        </w:rPr>
        <w:t>14</w:t>
      </w:r>
      <w:r>
        <w:rPr>
          <w:rFonts w:hint="eastAsia" w:ascii="宋体" w:hAnsi="宋体" w:cs="Arial"/>
          <w:kern w:val="0"/>
          <w:szCs w:val="21"/>
          <w:highlight w:val="none"/>
        </w:rPr>
        <w:t>条规定密封、标记和发送。</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在投标截止期之后投标人不得撤回其投标，在投标截止期之后，投标人不得对其投标做任何修改。</w:t>
      </w:r>
      <w:bookmarkEnd w:id="97"/>
      <w:bookmarkEnd w:id="98"/>
      <w:bookmarkStart w:id="100" w:name="_Toc426449748"/>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101" w:name="_Toc120411818"/>
      <w:bookmarkStart w:id="102" w:name="_Toc535832540"/>
      <w:bookmarkStart w:id="103" w:name="_Toc19885"/>
      <w:r>
        <w:rPr>
          <w:rFonts w:hint="eastAsia" w:ascii="黑体" w:hAnsi="黑体" w:eastAsia="黑体" w:cs="黑体"/>
          <w:highlight w:val="none"/>
        </w:rPr>
        <w:t>开标评标</w:t>
      </w:r>
      <w:bookmarkEnd w:id="101"/>
      <w:bookmarkEnd w:id="102"/>
      <w:bookmarkStart w:id="104" w:name="_Toc535832541"/>
      <w:bookmarkStart w:id="105" w:name="_Toc120411819"/>
      <w:r>
        <w:rPr>
          <w:rFonts w:hint="eastAsia" w:ascii="黑体" w:hAnsi="黑体" w:eastAsia="黑体" w:cs="黑体"/>
          <w:highlight w:val="none"/>
        </w:rPr>
        <w:t>定标</w:t>
      </w:r>
      <w:bookmarkEnd w:id="100"/>
      <w:bookmarkEnd w:id="103"/>
    </w:p>
    <w:p>
      <w:pPr>
        <w:pStyle w:val="99"/>
        <w:tabs>
          <w:tab w:val="clear" w:pos="425"/>
        </w:tabs>
        <w:wordWrap w:val="0"/>
        <w:spacing w:before="0" w:after="0" w:line="520" w:lineRule="exact"/>
        <w:ind w:left="1157" w:hanging="1157"/>
        <w:rPr>
          <w:sz w:val="21"/>
          <w:szCs w:val="21"/>
          <w:highlight w:val="none"/>
        </w:rPr>
      </w:pPr>
      <w:bookmarkStart w:id="106" w:name="_Toc426449749"/>
      <w:r>
        <w:rPr>
          <w:rFonts w:hint="eastAsia"/>
          <w:sz w:val="21"/>
          <w:szCs w:val="21"/>
          <w:highlight w:val="none"/>
        </w:rPr>
        <w:t>开标</w:t>
      </w:r>
      <w:bookmarkEnd w:id="104"/>
      <w:bookmarkEnd w:id="105"/>
      <w:bookmarkEnd w:id="106"/>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按“投标邀请函”中规定的日期、时间和地点组织开标。</w:t>
      </w:r>
      <w:r>
        <w:rPr>
          <w:rFonts w:hint="eastAsia" w:ascii="宋体" w:hAnsi="宋体" w:cs="Arial"/>
          <w:kern w:val="0"/>
          <w:szCs w:val="21"/>
          <w:highlight w:val="none"/>
          <w:u w:val="single"/>
        </w:rPr>
        <w:t>投标人需派授权代表参加，参加开标的投标人代表应出示有效身份证件和法人授权委托书并签名报到以证明其出席。无有效身份证件或人证不符者其投标将被拒绝。</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开标时，由投标人或其推选的代表查验投标文件密封情况，由</w:t>
      </w:r>
      <w:r>
        <w:rPr>
          <w:rFonts w:hint="eastAsia" w:ascii="宋体" w:hAnsi="宋体" w:cs="Arial"/>
          <w:kern w:val="0"/>
          <w:szCs w:val="21"/>
          <w:highlight w:val="none"/>
          <w:lang w:eastAsia="zh-CN"/>
        </w:rPr>
        <w:t>招标人</w:t>
      </w:r>
      <w:r>
        <w:rPr>
          <w:rFonts w:hint="eastAsia" w:ascii="宋体" w:hAnsi="宋体" w:cs="Arial"/>
          <w:kern w:val="0"/>
          <w:szCs w:val="21"/>
          <w:highlight w:val="none"/>
        </w:rPr>
        <w:t>查验到会投标人的法人授权委托书及被委托人身份证件（原件），确认无误后拆封唱标，公布每份投标文件中“</w:t>
      </w:r>
      <w:r>
        <w:rPr>
          <w:rFonts w:hint="eastAsia" w:ascii="宋体" w:hAnsi="宋体" w:cs="Arial"/>
          <w:b/>
          <w:bCs/>
          <w:kern w:val="0"/>
          <w:szCs w:val="21"/>
          <w:highlight w:val="none"/>
          <w:lang w:val="en-US" w:eastAsia="zh-CN"/>
        </w:rPr>
        <w:t>投标报价函</w:t>
      </w:r>
      <w:r>
        <w:rPr>
          <w:rFonts w:hint="eastAsia" w:ascii="宋体" w:hAnsi="宋体" w:cs="Arial"/>
          <w:kern w:val="0"/>
          <w:szCs w:val="21"/>
          <w:highlight w:val="none"/>
        </w:rPr>
        <w:t>”的各项内容以及</w:t>
      </w:r>
      <w:r>
        <w:rPr>
          <w:rFonts w:hint="eastAsia" w:ascii="宋体" w:hAnsi="宋体" w:cs="Arial"/>
          <w:kern w:val="0"/>
          <w:szCs w:val="21"/>
          <w:highlight w:val="none"/>
          <w:lang w:eastAsia="zh-CN"/>
        </w:rPr>
        <w:t>招标人</w:t>
      </w:r>
      <w:r>
        <w:rPr>
          <w:rFonts w:hint="eastAsia" w:ascii="宋体" w:hAnsi="宋体" w:cs="Arial"/>
          <w:kern w:val="0"/>
          <w:szCs w:val="21"/>
          <w:highlight w:val="none"/>
        </w:rPr>
        <w:t>认为合适的其他内容。只有在开标时宣读的折扣和申明内容在评标时才会考虑。除了按本须知第</w:t>
      </w:r>
      <w:r>
        <w:rPr>
          <w:rFonts w:ascii="宋体" w:hAnsi="宋体" w:cs="Arial"/>
          <w:kern w:val="0"/>
          <w:szCs w:val="21"/>
          <w:highlight w:val="none"/>
        </w:rPr>
        <w:t>18</w:t>
      </w:r>
      <w:r>
        <w:rPr>
          <w:rFonts w:hint="eastAsia" w:ascii="宋体" w:hAnsi="宋体" w:cs="Arial"/>
          <w:kern w:val="0"/>
          <w:szCs w:val="21"/>
          <w:highlight w:val="none"/>
        </w:rPr>
        <w:t>条的规定原封退回迟到的投标外，开标时不得拒绝任何投标。</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未开启和未唱标的投标文件将原封退回给投标人。开启唱标后的投标文件不予退还。</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负责开标记录。开标记录要求各投标人代表签字确认。</w:t>
      </w:r>
    </w:p>
    <w:p>
      <w:pPr>
        <w:pStyle w:val="99"/>
        <w:tabs>
          <w:tab w:val="clear" w:pos="425"/>
        </w:tabs>
        <w:wordWrap w:val="0"/>
        <w:spacing w:before="0" w:after="0" w:line="520" w:lineRule="exact"/>
        <w:ind w:left="1157" w:hanging="1157"/>
        <w:rPr>
          <w:sz w:val="21"/>
          <w:szCs w:val="21"/>
          <w:highlight w:val="none"/>
        </w:rPr>
      </w:pPr>
      <w:bookmarkStart w:id="107" w:name="_Toc426449750"/>
      <w:bookmarkStart w:id="108" w:name="_Toc535832542"/>
      <w:bookmarkStart w:id="109" w:name="_Toc120411820"/>
      <w:r>
        <w:rPr>
          <w:rFonts w:hint="eastAsia"/>
          <w:sz w:val="21"/>
          <w:szCs w:val="21"/>
          <w:highlight w:val="none"/>
        </w:rPr>
        <w:t>评标委员会和评标方法</w:t>
      </w:r>
      <w:bookmarkEnd w:id="107"/>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评标委员会组成具体见第四章评标办法标准。</w:t>
      </w:r>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本次评标采用综合评分法，具体见第四章评标办法标准。</w:t>
      </w:r>
    </w:p>
    <w:bookmarkEnd w:id="108"/>
    <w:bookmarkEnd w:id="109"/>
    <w:p>
      <w:pPr>
        <w:pStyle w:val="99"/>
        <w:tabs>
          <w:tab w:val="clear" w:pos="425"/>
        </w:tabs>
        <w:wordWrap w:val="0"/>
        <w:spacing w:before="0" w:after="0" w:line="520" w:lineRule="exact"/>
        <w:ind w:left="1157" w:hanging="1157"/>
        <w:rPr>
          <w:sz w:val="21"/>
          <w:szCs w:val="21"/>
          <w:highlight w:val="none"/>
        </w:rPr>
      </w:pPr>
      <w:bookmarkStart w:id="110" w:name="_Toc535832543"/>
      <w:bookmarkStart w:id="111" w:name="_Toc426449751"/>
      <w:bookmarkStart w:id="112" w:name="_Toc120411821"/>
      <w:r>
        <w:rPr>
          <w:rFonts w:hint="eastAsia"/>
          <w:sz w:val="21"/>
          <w:szCs w:val="21"/>
          <w:highlight w:val="none"/>
        </w:rPr>
        <w:t>投标文件的初审</w:t>
      </w:r>
      <w:bookmarkEnd w:id="110"/>
      <w:bookmarkEnd w:id="111"/>
      <w:bookmarkEnd w:id="11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评标委员会按照本招标文件第四章规定，对投标文件进行初审。</w:t>
      </w:r>
    </w:p>
    <w:p>
      <w:pPr>
        <w:pStyle w:val="99"/>
        <w:tabs>
          <w:tab w:val="clear" w:pos="425"/>
        </w:tabs>
        <w:wordWrap w:val="0"/>
        <w:spacing w:before="0" w:after="0" w:line="520" w:lineRule="exact"/>
        <w:ind w:left="1157" w:hanging="1157"/>
        <w:rPr>
          <w:sz w:val="21"/>
          <w:szCs w:val="21"/>
          <w:highlight w:val="none"/>
        </w:rPr>
      </w:pPr>
      <w:bookmarkStart w:id="113" w:name="_Toc426449752"/>
      <w:bookmarkStart w:id="114" w:name="_Toc535832544"/>
      <w:r>
        <w:rPr>
          <w:rFonts w:hint="eastAsia"/>
          <w:sz w:val="21"/>
          <w:szCs w:val="21"/>
          <w:highlight w:val="none"/>
        </w:rPr>
        <w:t>投标文件的澄清</w:t>
      </w:r>
      <w:bookmarkEnd w:id="113"/>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投标人对投标文件的澄清具体见第四章评标办法标准。</w:t>
      </w:r>
    </w:p>
    <w:p>
      <w:pPr>
        <w:pStyle w:val="99"/>
        <w:tabs>
          <w:tab w:val="clear" w:pos="425"/>
        </w:tabs>
        <w:wordWrap w:val="0"/>
        <w:spacing w:before="0" w:after="0" w:line="520" w:lineRule="exact"/>
        <w:ind w:left="1157" w:hanging="1157"/>
        <w:rPr>
          <w:sz w:val="21"/>
          <w:szCs w:val="21"/>
          <w:highlight w:val="none"/>
        </w:rPr>
      </w:pPr>
      <w:bookmarkStart w:id="115" w:name="_Toc426449753"/>
      <w:r>
        <w:rPr>
          <w:rFonts w:hint="eastAsia"/>
          <w:sz w:val="21"/>
          <w:szCs w:val="21"/>
          <w:highlight w:val="none"/>
        </w:rPr>
        <w:t>投标文件的评价</w:t>
      </w:r>
      <w:bookmarkEnd w:id="115"/>
    </w:p>
    <w:bookmarkEnd w:id="114"/>
    <w:p>
      <w:pPr>
        <w:numPr>
          <w:ilvl w:val="1"/>
          <w:numId w:val="2"/>
        </w:numPr>
        <w:tabs>
          <w:tab w:val="left" w:pos="1155"/>
        </w:tabs>
        <w:wordWrap w:val="0"/>
        <w:spacing w:line="520" w:lineRule="exact"/>
        <w:rPr>
          <w:rFonts w:ascii="宋体" w:hAnsi="宋体" w:cs="Arial"/>
          <w:kern w:val="0"/>
          <w:szCs w:val="21"/>
          <w:highlight w:val="none"/>
        </w:rPr>
      </w:pPr>
      <w:bookmarkStart w:id="116" w:name="_Hlt3694340"/>
      <w:bookmarkEnd w:id="116"/>
      <w:bookmarkStart w:id="117" w:name="_Toc120411823"/>
      <w:bookmarkStart w:id="118" w:name="_Toc536337671"/>
      <w:r>
        <w:rPr>
          <w:rFonts w:hint="eastAsia" w:ascii="宋体" w:hAnsi="宋体" w:cs="Arial"/>
          <w:kern w:val="0"/>
          <w:szCs w:val="21"/>
          <w:highlight w:val="none"/>
        </w:rPr>
        <w:t>评标委员会按照本招标文件第四章规定，对投标文件进行评价。</w:t>
      </w:r>
    </w:p>
    <w:p>
      <w:pPr>
        <w:pStyle w:val="99"/>
        <w:tabs>
          <w:tab w:val="clear" w:pos="425"/>
        </w:tabs>
        <w:wordWrap w:val="0"/>
        <w:spacing w:before="0" w:after="0" w:line="520" w:lineRule="exact"/>
        <w:ind w:left="1157" w:hanging="1157"/>
        <w:rPr>
          <w:sz w:val="21"/>
          <w:szCs w:val="21"/>
          <w:highlight w:val="none"/>
        </w:rPr>
      </w:pPr>
      <w:bookmarkStart w:id="119" w:name="_Toc426449754"/>
      <w:bookmarkStart w:id="120" w:name="_Toc210297423"/>
      <w:r>
        <w:rPr>
          <w:rFonts w:hint="eastAsia"/>
          <w:sz w:val="21"/>
          <w:szCs w:val="21"/>
          <w:highlight w:val="none"/>
        </w:rPr>
        <w:t>定标</w:t>
      </w:r>
      <w:bookmarkEnd w:id="119"/>
      <w:bookmarkEnd w:id="12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评标委员会依据对各投标文件的评审结果，提出书面评标报告，具体见第四章评标办法标准。</w:t>
      </w:r>
    </w:p>
    <w:bookmarkEnd w:id="117"/>
    <w:bookmarkEnd w:id="118"/>
    <w:p>
      <w:pPr>
        <w:pStyle w:val="99"/>
        <w:tabs>
          <w:tab w:val="clear" w:pos="425"/>
        </w:tabs>
        <w:wordWrap w:val="0"/>
        <w:spacing w:before="0" w:after="0" w:line="520" w:lineRule="exact"/>
        <w:ind w:left="1157" w:hanging="1157"/>
        <w:rPr>
          <w:sz w:val="21"/>
          <w:szCs w:val="21"/>
          <w:highlight w:val="none"/>
        </w:rPr>
      </w:pPr>
      <w:bookmarkStart w:id="121" w:name="_Hlt3013648"/>
      <w:bookmarkEnd w:id="121"/>
      <w:bookmarkStart w:id="122" w:name="_Toc426449755"/>
      <w:bookmarkStart w:id="123" w:name="_Toc120411825"/>
      <w:bookmarkStart w:id="124" w:name="_Toc535832547"/>
      <w:r>
        <w:rPr>
          <w:rFonts w:hint="eastAsia"/>
          <w:sz w:val="21"/>
          <w:szCs w:val="21"/>
          <w:highlight w:val="none"/>
        </w:rPr>
        <w:t>保密及其他注意事项</w:t>
      </w:r>
      <w:bookmarkEnd w:id="12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凡是属于审查、澄清、评价和比较投标的有关资料以及授标意向等，评标委员会及有关人员自始至终均不得向投标人或其他无关人员透露。</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在评标期间，投标人企图影响招标人、招标代理机构和评标委员会而获得评标信息的任何活动，都将导致其投标被拒绝，并承担相应的法律责任。</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评标委员会不向未中标供应商解释未中标原因，不退还投标文件</w:t>
      </w:r>
      <w:bookmarkStart w:id="125" w:name="_Toc426449756"/>
      <w:r>
        <w:rPr>
          <w:rFonts w:hint="eastAsia" w:ascii="宋体" w:hAnsi="宋体" w:cs="Arial"/>
          <w:kern w:val="0"/>
          <w:szCs w:val="21"/>
          <w:highlight w:val="none"/>
        </w:rPr>
        <w:t>。</w:t>
      </w:r>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126" w:name="_Toc24181"/>
      <w:r>
        <w:rPr>
          <w:rFonts w:hint="eastAsia" w:ascii="黑体" w:hAnsi="黑体" w:eastAsia="黑体" w:cs="黑体"/>
          <w:highlight w:val="none"/>
        </w:rPr>
        <w:t>授予合同</w:t>
      </w:r>
      <w:bookmarkEnd w:id="123"/>
      <w:bookmarkEnd w:id="124"/>
      <w:bookmarkEnd w:id="125"/>
      <w:r>
        <w:rPr>
          <w:rFonts w:hint="eastAsia" w:ascii="黑体" w:hAnsi="黑体" w:eastAsia="黑体" w:cs="黑体"/>
          <w:highlight w:val="none"/>
        </w:rPr>
        <w:t>其它</w:t>
      </w:r>
      <w:bookmarkEnd w:id="126"/>
    </w:p>
    <w:p>
      <w:pPr>
        <w:pStyle w:val="99"/>
        <w:tabs>
          <w:tab w:val="clear" w:pos="425"/>
        </w:tabs>
        <w:wordWrap w:val="0"/>
        <w:spacing w:before="0" w:after="0" w:line="520" w:lineRule="exact"/>
        <w:ind w:left="1157" w:hanging="1157"/>
        <w:rPr>
          <w:sz w:val="21"/>
          <w:szCs w:val="21"/>
          <w:highlight w:val="none"/>
        </w:rPr>
      </w:pPr>
      <w:bookmarkStart w:id="127" w:name="_Hlt3694416"/>
      <w:bookmarkEnd w:id="127"/>
      <w:bookmarkStart w:id="128" w:name="_Toc426449757"/>
      <w:bookmarkStart w:id="129" w:name="_Toc120411827"/>
      <w:bookmarkStart w:id="130" w:name="_Toc535832549"/>
      <w:r>
        <w:rPr>
          <w:rFonts w:hint="eastAsia"/>
          <w:sz w:val="21"/>
          <w:szCs w:val="21"/>
          <w:highlight w:val="none"/>
        </w:rPr>
        <w:t>合同</w:t>
      </w:r>
      <w:bookmarkEnd w:id="128"/>
      <w:r>
        <w:rPr>
          <w:rFonts w:hint="eastAsia"/>
          <w:sz w:val="21"/>
          <w:szCs w:val="21"/>
          <w:highlight w:val="none"/>
        </w:rPr>
        <w:t>依据</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应按招标文件要求和中标人的投标文件承诺订立书面合同，不得超出招标文件和中标人投标文件的范围，也不得另行订立背离合同实质性内容的其他协议。</w:t>
      </w:r>
      <w:r>
        <w:rPr>
          <w:rFonts w:hint="eastAsia" w:ascii="宋体" w:hAnsi="宋体" w:cs="Arial"/>
          <w:kern w:val="0"/>
          <w:szCs w:val="21"/>
          <w:highlight w:val="none"/>
          <w:lang w:eastAsia="zh-CN"/>
        </w:rPr>
        <w:t>招标人</w:t>
      </w:r>
      <w:r>
        <w:rPr>
          <w:rFonts w:hint="eastAsia" w:ascii="宋体" w:hAnsi="宋体" w:cs="Arial"/>
          <w:kern w:val="0"/>
          <w:szCs w:val="21"/>
          <w:highlight w:val="none"/>
        </w:rPr>
        <w:t>应在《中标通知书》发出之日起</w:t>
      </w:r>
      <w:r>
        <w:rPr>
          <w:rFonts w:ascii="宋体" w:hAnsi="宋体" w:cs="Arial"/>
          <w:kern w:val="0"/>
          <w:szCs w:val="21"/>
          <w:highlight w:val="none"/>
        </w:rPr>
        <w:t>30</w:t>
      </w:r>
      <w:r>
        <w:rPr>
          <w:rFonts w:hint="eastAsia" w:ascii="宋体" w:hAnsi="宋体" w:cs="Arial"/>
          <w:kern w:val="0"/>
          <w:szCs w:val="21"/>
          <w:highlight w:val="none"/>
        </w:rPr>
        <w:t>天内与中标人签订采购合同。</w:t>
      </w:r>
    </w:p>
    <w:p>
      <w:pPr>
        <w:pStyle w:val="99"/>
        <w:tabs>
          <w:tab w:val="clear" w:pos="425"/>
        </w:tabs>
        <w:wordWrap w:val="0"/>
        <w:spacing w:before="0" w:after="0" w:line="520" w:lineRule="exact"/>
        <w:ind w:left="1157" w:hanging="1157"/>
        <w:rPr>
          <w:sz w:val="21"/>
          <w:szCs w:val="21"/>
          <w:highlight w:val="none"/>
        </w:rPr>
      </w:pPr>
      <w:bookmarkStart w:id="131" w:name="_Toc426449758"/>
      <w:r>
        <w:rPr>
          <w:rFonts w:hint="eastAsia"/>
          <w:sz w:val="21"/>
          <w:szCs w:val="21"/>
          <w:highlight w:val="none"/>
        </w:rPr>
        <w:t>中标通知</w:t>
      </w:r>
      <w:bookmarkEnd w:id="131"/>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val="en-US" w:eastAsia="zh-CN"/>
        </w:rPr>
        <w:t>招标人</w:t>
      </w:r>
      <w:r>
        <w:rPr>
          <w:rFonts w:hint="eastAsia" w:ascii="宋体" w:hAnsi="宋体" w:cs="Arial"/>
          <w:kern w:val="0"/>
          <w:szCs w:val="21"/>
          <w:highlight w:val="none"/>
        </w:rPr>
        <w:t>在</w:t>
      </w:r>
      <w:r>
        <w:rPr>
          <w:rFonts w:hint="eastAsia" w:ascii="宋体" w:hAnsi="宋体" w:cs="Arial"/>
          <w:kern w:val="0"/>
          <w:szCs w:val="21"/>
          <w:highlight w:val="none"/>
          <w:lang w:eastAsia="zh-CN"/>
        </w:rPr>
        <w:t>咸宁市宁安建筑工程有限公司网站（http://zb.xnxact.com/）</w:t>
      </w:r>
      <w:r>
        <w:rPr>
          <w:rFonts w:hint="eastAsia" w:ascii="宋体" w:hAnsi="宋体" w:cs="Arial"/>
          <w:kern w:val="0"/>
          <w:szCs w:val="21"/>
          <w:highlight w:val="none"/>
        </w:rPr>
        <w:t>上发布《中标公告》。并以书面形式向中标人发出《中标通知书》，《中标通知书》一经发出即产生法律效力。</w:t>
      </w:r>
    </w:p>
    <w:p>
      <w:pPr>
        <w:pStyle w:val="99"/>
        <w:tabs>
          <w:tab w:val="clear" w:pos="425"/>
        </w:tabs>
        <w:wordWrap w:val="0"/>
        <w:spacing w:before="0" w:after="0" w:line="520" w:lineRule="exact"/>
        <w:ind w:left="1157" w:hanging="1157"/>
        <w:rPr>
          <w:sz w:val="21"/>
          <w:szCs w:val="21"/>
          <w:highlight w:val="none"/>
        </w:rPr>
      </w:pPr>
      <w:bookmarkStart w:id="132" w:name="_Toc426449759"/>
      <w:r>
        <w:rPr>
          <w:rFonts w:hint="eastAsia"/>
          <w:sz w:val="21"/>
          <w:szCs w:val="21"/>
          <w:highlight w:val="none"/>
        </w:rPr>
        <w:t>签订合同</w:t>
      </w:r>
      <w:bookmarkEnd w:id="13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中标人在收到《中标通知书》后，应在三（</w:t>
      </w:r>
      <w:r>
        <w:rPr>
          <w:rFonts w:ascii="宋体" w:hAnsi="宋体" w:cs="Arial"/>
          <w:kern w:val="0"/>
          <w:szCs w:val="21"/>
          <w:highlight w:val="none"/>
        </w:rPr>
        <w:t>3</w:t>
      </w:r>
      <w:r>
        <w:rPr>
          <w:rFonts w:hint="eastAsia" w:ascii="宋体" w:hAnsi="宋体" w:cs="Arial"/>
          <w:kern w:val="0"/>
          <w:szCs w:val="21"/>
          <w:highlight w:val="none"/>
        </w:rPr>
        <w:t>）天内按照指定的地点，派遣其授权在合同上签字的代表（该代表需有中标人正式授权证明）进行商务谈判，并在三十（</w:t>
      </w:r>
      <w:r>
        <w:rPr>
          <w:rFonts w:ascii="宋体" w:hAnsi="宋体" w:cs="Arial"/>
          <w:kern w:val="0"/>
          <w:szCs w:val="21"/>
          <w:highlight w:val="none"/>
        </w:rPr>
        <w:t>30</w:t>
      </w:r>
      <w:r>
        <w:rPr>
          <w:rFonts w:hint="eastAsia" w:ascii="宋体" w:hAnsi="宋体" w:cs="Arial"/>
          <w:kern w:val="0"/>
          <w:szCs w:val="21"/>
          <w:highlight w:val="none"/>
        </w:rPr>
        <w:t>）天内签订合同。</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如果投标人没有按照上述规定签订合同，</w:t>
      </w:r>
      <w:r>
        <w:rPr>
          <w:rFonts w:hint="eastAsia" w:ascii="宋体" w:hAnsi="宋体" w:cs="Arial"/>
          <w:kern w:val="0"/>
          <w:szCs w:val="21"/>
          <w:highlight w:val="none"/>
          <w:lang w:eastAsia="zh-CN"/>
        </w:rPr>
        <w:t>招标人</w:t>
      </w:r>
      <w:r>
        <w:rPr>
          <w:rFonts w:hint="eastAsia" w:ascii="宋体" w:hAnsi="宋体" w:cs="Arial"/>
          <w:kern w:val="0"/>
          <w:szCs w:val="21"/>
          <w:highlight w:val="none"/>
        </w:rPr>
        <w:t>将取消其中标资格，给</w:t>
      </w:r>
      <w:r>
        <w:rPr>
          <w:rFonts w:hint="eastAsia" w:ascii="宋体" w:hAnsi="宋体" w:cs="Arial"/>
          <w:kern w:val="0"/>
          <w:szCs w:val="21"/>
          <w:highlight w:val="none"/>
          <w:lang w:eastAsia="zh-CN"/>
        </w:rPr>
        <w:t>招标人</w:t>
      </w:r>
      <w:r>
        <w:rPr>
          <w:rFonts w:hint="eastAsia" w:ascii="宋体" w:hAnsi="宋体" w:cs="Arial"/>
          <w:kern w:val="0"/>
          <w:szCs w:val="21"/>
          <w:highlight w:val="none"/>
        </w:rPr>
        <w:t>造成的损失的，还应当予以赔偿，同时依法承担相应的法律责任；投标人一旦中标，通过商务谈判签订合同后，不得私自转包，否则将视为违约并自动中止合同。</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投标人认为采购文件、采购过程和中标、成交结果使自己的权益受到损害的，可以在知道或者应知其权益受到损害之日起七个工作日内，由投标人法人代表或其授权代表前往本招标文件中联系地址，以书纸质质形一次性性向</w:t>
      </w:r>
      <w:r>
        <w:rPr>
          <w:rFonts w:hint="eastAsia" w:ascii="宋体" w:hAnsi="宋体" w:cs="Arial"/>
          <w:kern w:val="0"/>
          <w:szCs w:val="21"/>
          <w:highlight w:val="none"/>
          <w:lang w:val="en-US" w:eastAsia="zh-CN"/>
        </w:rPr>
        <w:t>招标人</w:t>
      </w:r>
      <w:r>
        <w:rPr>
          <w:rFonts w:hint="eastAsia" w:ascii="宋体" w:hAnsi="宋体" w:cs="Arial"/>
          <w:kern w:val="0"/>
          <w:szCs w:val="21"/>
          <w:highlight w:val="none"/>
        </w:rPr>
        <w:t>提针对同一采购程序环节的的质疑投标人提出质疑应当提交质疑函和必要的证明材料。质疑函应当包括下列内容：（1）投标人的姓名或者名称、地址、邮编、联系人及联系电话；（2）质疑项目的名称、编号；（3）具体、明确的质疑事项和与质疑事项相关的请求；（4）事实依据；（5）必要的法律依据；（6）提出质疑的日期。以书面形式向</w:t>
      </w:r>
      <w:r>
        <w:rPr>
          <w:rFonts w:hint="eastAsia" w:ascii="宋体" w:hAnsi="宋体" w:cs="Arial"/>
          <w:kern w:val="0"/>
          <w:szCs w:val="21"/>
          <w:highlight w:val="none"/>
          <w:lang w:eastAsia="zh-CN"/>
        </w:rPr>
        <w:t>招标人</w:t>
      </w:r>
      <w:r>
        <w:rPr>
          <w:rFonts w:hint="eastAsia" w:ascii="宋体" w:hAnsi="宋体" w:cs="Arial"/>
          <w:kern w:val="0"/>
          <w:szCs w:val="21"/>
          <w:highlight w:val="none"/>
        </w:rPr>
        <w:t>提出质疑。</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文件的最终解释权：最终解释权为</w:t>
      </w:r>
      <w:r>
        <w:rPr>
          <w:rFonts w:hint="eastAsia" w:ascii="宋体" w:hAnsi="宋体" w:cs="Arial"/>
          <w:kern w:val="0"/>
          <w:szCs w:val="21"/>
          <w:highlight w:val="none"/>
          <w:lang w:eastAsia="zh-CN"/>
        </w:rPr>
        <w:t>招标人</w:t>
      </w:r>
      <w:r>
        <w:rPr>
          <w:rFonts w:hint="eastAsia" w:ascii="宋体" w:hAnsi="宋体" w:cs="Arial"/>
          <w:kern w:val="0"/>
          <w:szCs w:val="21"/>
          <w:highlight w:val="none"/>
        </w:rPr>
        <w:t>。</w:t>
      </w:r>
    </w:p>
    <w:bookmarkEnd w:id="129"/>
    <w:bookmarkEnd w:id="130"/>
    <w:p>
      <w:pPr>
        <w:pStyle w:val="99"/>
        <w:tabs>
          <w:tab w:val="clear" w:pos="425"/>
        </w:tabs>
        <w:wordWrap w:val="0"/>
        <w:spacing w:before="0" w:after="0" w:line="520" w:lineRule="exact"/>
        <w:ind w:left="1157" w:hanging="1157"/>
        <w:rPr>
          <w:rFonts w:cs="宋体"/>
          <w:bCs w:val="0"/>
          <w:sz w:val="21"/>
          <w:szCs w:val="21"/>
          <w:highlight w:val="none"/>
          <w:lang w:val="zh-CN"/>
        </w:rPr>
      </w:pPr>
      <w:bookmarkStart w:id="133" w:name="_Hlt536512902"/>
      <w:bookmarkEnd w:id="133"/>
      <w:bookmarkStart w:id="134" w:name="_Hlt9415011"/>
      <w:bookmarkEnd w:id="134"/>
      <w:bookmarkStart w:id="135" w:name="_Toc120411833"/>
      <w:bookmarkStart w:id="136" w:name="_Toc426449760"/>
      <w:bookmarkStart w:id="137" w:name="_Toc535832554"/>
      <w:r>
        <w:rPr>
          <w:rFonts w:hint="eastAsia" w:cs="宋体"/>
          <w:bCs w:val="0"/>
          <w:sz w:val="21"/>
          <w:szCs w:val="21"/>
          <w:highlight w:val="none"/>
          <w:lang w:val="zh-CN"/>
        </w:rPr>
        <w:t>代理服务费</w:t>
      </w:r>
      <w:bookmarkEnd w:id="135"/>
      <w:bookmarkEnd w:id="136"/>
    </w:p>
    <w:bookmarkEnd w:id="7"/>
    <w:bookmarkEnd w:id="137"/>
    <w:p>
      <w:pPr>
        <w:numPr>
          <w:ilvl w:val="1"/>
          <w:numId w:val="2"/>
        </w:numPr>
        <w:tabs>
          <w:tab w:val="left" w:pos="1155"/>
        </w:tabs>
        <w:wordWrap w:val="0"/>
        <w:spacing w:line="520" w:lineRule="exact"/>
        <w:rPr>
          <w:rFonts w:ascii="宋体" w:hAnsi="宋体"/>
          <w:bCs/>
          <w:color w:val="auto"/>
          <w:sz w:val="21"/>
          <w:szCs w:val="21"/>
          <w:highlight w:val="none"/>
        </w:rPr>
      </w:pPr>
      <w:r>
        <w:rPr>
          <w:rFonts w:hint="eastAsia" w:ascii="宋体" w:hAnsi="宋体" w:cs="宋体"/>
          <w:highlight w:val="none"/>
          <w:lang w:val="en-US" w:eastAsia="zh-CN"/>
        </w:rPr>
        <w:t>本项目代理服务费</w:t>
      </w:r>
      <w:r>
        <w:rPr>
          <w:rFonts w:hint="eastAsia" w:ascii="宋体" w:hAnsi="宋体" w:cs="宋体"/>
          <w:highlight w:val="none"/>
        </w:rPr>
        <w:t>按</w:t>
      </w:r>
      <w:r>
        <w:rPr>
          <w:rFonts w:hint="eastAsia" w:ascii="宋体" w:hAnsi="宋体" w:cs="宋体"/>
          <w:highlight w:val="none"/>
          <w:lang w:val="en-US" w:eastAsia="zh-CN"/>
        </w:rPr>
        <w:t>约定以固定价1000元收取</w:t>
      </w:r>
      <w:r>
        <w:rPr>
          <w:rFonts w:hint="eastAsia" w:ascii="宋体" w:hAnsi="宋体" w:cs="宋体"/>
          <w:highlight w:val="none"/>
        </w:rPr>
        <w:t>。</w:t>
      </w:r>
    </w:p>
    <w:p>
      <w:pPr>
        <w:numPr>
          <w:ilvl w:val="1"/>
          <w:numId w:val="2"/>
        </w:numPr>
        <w:tabs>
          <w:tab w:val="left" w:pos="1155"/>
        </w:tabs>
        <w:wordWrap w:val="0"/>
        <w:spacing w:line="520" w:lineRule="exact"/>
        <w:rPr>
          <w:rFonts w:ascii="宋体" w:hAnsi="宋体"/>
          <w:bCs/>
          <w:color w:val="auto"/>
          <w:sz w:val="21"/>
          <w:szCs w:val="21"/>
          <w:highlight w:val="none"/>
        </w:rPr>
      </w:pPr>
      <w:r>
        <w:rPr>
          <w:rFonts w:hint="eastAsia" w:ascii="宋体" w:hAnsi="宋体"/>
          <w:bCs/>
          <w:color w:val="auto"/>
          <w:sz w:val="21"/>
          <w:szCs w:val="21"/>
          <w:highlight w:val="none"/>
          <w:lang w:val="en-US" w:eastAsia="zh-CN"/>
        </w:rPr>
        <w:t>中标</w:t>
      </w:r>
      <w:r>
        <w:rPr>
          <w:rFonts w:hint="eastAsia" w:ascii="宋体" w:hAnsi="宋体"/>
          <w:bCs/>
          <w:color w:val="auto"/>
          <w:sz w:val="21"/>
          <w:szCs w:val="21"/>
          <w:highlight w:val="none"/>
        </w:rPr>
        <w:t>供应商</w:t>
      </w:r>
      <w:r>
        <w:rPr>
          <w:rFonts w:ascii="宋体" w:hAnsi="宋体"/>
          <w:bCs/>
          <w:color w:val="auto"/>
          <w:sz w:val="21"/>
          <w:szCs w:val="21"/>
          <w:highlight w:val="none"/>
        </w:rPr>
        <w:t>须在领取</w:t>
      </w:r>
      <w:r>
        <w:rPr>
          <w:rFonts w:hint="eastAsia" w:ascii="宋体" w:hAnsi="宋体"/>
          <w:bCs/>
          <w:color w:val="auto"/>
          <w:sz w:val="21"/>
          <w:szCs w:val="21"/>
          <w:highlight w:val="none"/>
          <w:lang w:val="en-US" w:eastAsia="zh-CN"/>
        </w:rPr>
        <w:t>中标</w:t>
      </w:r>
      <w:r>
        <w:rPr>
          <w:rFonts w:ascii="宋体" w:hAnsi="宋体"/>
          <w:bCs/>
          <w:color w:val="auto"/>
          <w:sz w:val="21"/>
          <w:szCs w:val="21"/>
          <w:highlight w:val="none"/>
        </w:rPr>
        <w:t>通知书时向代理机构</w:t>
      </w:r>
      <w:r>
        <w:rPr>
          <w:rFonts w:hint="eastAsia" w:ascii="宋体" w:hAnsi="宋体"/>
          <w:bCs/>
          <w:color w:val="auto"/>
          <w:sz w:val="21"/>
          <w:szCs w:val="21"/>
          <w:highlight w:val="none"/>
        </w:rPr>
        <w:t>一次性付清采购</w:t>
      </w:r>
      <w:r>
        <w:rPr>
          <w:rFonts w:ascii="宋体" w:hAnsi="宋体"/>
          <w:bCs/>
          <w:color w:val="auto"/>
          <w:sz w:val="21"/>
          <w:szCs w:val="21"/>
          <w:highlight w:val="none"/>
        </w:rPr>
        <w:t>代理服务费</w:t>
      </w:r>
      <w:r>
        <w:rPr>
          <w:rFonts w:hint="eastAsia" w:ascii="宋体" w:hAnsi="宋体"/>
          <w:bCs/>
          <w:color w:val="auto"/>
          <w:sz w:val="21"/>
          <w:szCs w:val="21"/>
          <w:highlight w:val="none"/>
        </w:rPr>
        <w:t>及</w:t>
      </w:r>
      <w:r>
        <w:rPr>
          <w:rFonts w:hint="eastAsia" w:ascii="宋体" w:hAnsi="宋体"/>
          <w:bCs/>
          <w:color w:val="auto"/>
          <w:sz w:val="21"/>
          <w:szCs w:val="21"/>
          <w:highlight w:val="none"/>
          <w:lang w:val="en-US" w:eastAsia="zh-CN"/>
        </w:rPr>
        <w:t>招标</w:t>
      </w:r>
      <w:r>
        <w:rPr>
          <w:rFonts w:hint="eastAsia" w:ascii="宋体" w:hAnsi="宋体"/>
          <w:bCs/>
          <w:color w:val="auto"/>
          <w:sz w:val="21"/>
          <w:szCs w:val="21"/>
          <w:highlight w:val="none"/>
        </w:rPr>
        <w:t>过程产生的相关费用</w:t>
      </w:r>
      <w:r>
        <w:rPr>
          <w:rFonts w:hint="eastAsia" w:ascii="宋体" w:hAnsi="宋体"/>
          <w:bCs/>
          <w:color w:val="auto"/>
          <w:sz w:val="21"/>
          <w:szCs w:val="21"/>
          <w:highlight w:val="none"/>
          <w:lang w:eastAsia="zh-CN"/>
        </w:rPr>
        <w:t>（如评标费等）</w:t>
      </w:r>
      <w:r>
        <w:rPr>
          <w:rFonts w:hint="eastAsia" w:ascii="宋体" w:hAnsi="宋体"/>
          <w:bCs/>
          <w:color w:val="auto"/>
          <w:sz w:val="21"/>
          <w:szCs w:val="21"/>
          <w:highlight w:val="none"/>
        </w:rPr>
        <w:t>。</w:t>
      </w:r>
    </w:p>
    <w:p>
      <w:pPr>
        <w:widowControl/>
        <w:shd w:val="clear" w:color="auto" w:fill="FFFFFF"/>
        <w:wordWrap w:val="0"/>
        <w:spacing w:before="100" w:beforeAutospacing="1" w:after="100" w:afterAutospacing="1" w:line="455" w:lineRule="atLeast"/>
        <w:jc w:val="center"/>
        <w:outlineLvl w:val="0"/>
        <w:rPr>
          <w:rFonts w:ascii="黑体" w:eastAsia="黑体"/>
          <w:b/>
          <w:sz w:val="44"/>
          <w:szCs w:val="44"/>
          <w:highlight w:val="none"/>
        </w:rPr>
      </w:pPr>
      <w:r>
        <w:rPr>
          <w:rFonts w:ascii="宋体" w:cs="Arial"/>
          <w:kern w:val="0"/>
          <w:sz w:val="24"/>
          <w:highlight w:val="none"/>
        </w:rPr>
        <w:br w:type="page"/>
      </w:r>
      <w:bookmarkStart w:id="138" w:name="_Toc6023"/>
      <w:r>
        <w:rPr>
          <w:rFonts w:hint="eastAsia" w:ascii="黑体" w:eastAsia="黑体"/>
          <w:sz w:val="44"/>
          <w:highlight w:val="none"/>
        </w:rPr>
        <w:t xml:space="preserve">第三章  </w:t>
      </w:r>
      <w:r>
        <w:rPr>
          <w:rFonts w:hint="eastAsia" w:ascii="黑体" w:eastAsia="黑体"/>
          <w:b/>
          <w:sz w:val="44"/>
          <w:szCs w:val="44"/>
          <w:highlight w:val="none"/>
        </w:rPr>
        <w:t>商务技术要求</w:t>
      </w:r>
      <w:bookmarkEnd w:id="8"/>
      <w:bookmarkEnd w:id="138"/>
      <w:bookmarkStart w:id="139" w:name="_Toc426449762"/>
      <w:bookmarkStart w:id="140" w:name="_Toc198345621"/>
    </w:p>
    <w:bookmarkEnd w:id="139"/>
    <w:bookmarkEnd w:id="140"/>
    <w:p>
      <w:pPr>
        <w:widowControl/>
        <w:numPr>
          <w:ilvl w:val="0"/>
          <w:numId w:val="0"/>
        </w:numPr>
        <w:shd w:val="clear" w:color="auto" w:fill="FFFFFF"/>
        <w:wordWrap w:val="0"/>
        <w:snapToGrid w:val="0"/>
        <w:spacing w:before="100" w:beforeAutospacing="1" w:line="520" w:lineRule="exact"/>
        <w:ind w:left="23" w:leftChars="0"/>
        <w:outlineLvl w:val="1"/>
        <w:rPr>
          <w:rFonts w:ascii="黑体" w:hAnsi="黑体" w:eastAsia="黑体" w:cs="黑体"/>
          <w:b/>
          <w:sz w:val="24"/>
          <w:highlight w:val="none"/>
        </w:rPr>
      </w:pPr>
      <w:bookmarkStart w:id="141" w:name="_Toc11007"/>
      <w:bookmarkStart w:id="142" w:name="_Toc364866855"/>
      <w:bookmarkStart w:id="143" w:name="_Toc210376579"/>
      <w:bookmarkStart w:id="144" w:name="_Toc426449763"/>
      <w:bookmarkStart w:id="145" w:name="_Toc425413766"/>
      <w:bookmarkStart w:id="146" w:name="_Toc251751794"/>
      <w:bookmarkStart w:id="147" w:name="_Toc218048211"/>
      <w:bookmarkStart w:id="148" w:name="_Toc363573470"/>
      <w:r>
        <w:rPr>
          <w:rFonts w:hint="eastAsia" w:ascii="黑体" w:hAnsi="黑体" w:eastAsia="黑体" w:cs="黑体"/>
          <w:b/>
          <w:sz w:val="24"/>
          <w:highlight w:val="none"/>
          <w:lang w:val="en-US" w:eastAsia="zh-CN"/>
        </w:rPr>
        <w:t>一、材料相关信息</w:t>
      </w:r>
      <w:bookmarkEnd w:id="141"/>
    </w:p>
    <w:p>
      <w:pPr>
        <w:numPr>
          <w:ilvl w:val="0"/>
          <w:numId w:val="0"/>
        </w:numPr>
        <w:spacing w:line="6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计价依据：</w:t>
      </w:r>
      <w:bookmarkStart w:id="149" w:name="_Hlk513187881"/>
      <w:r>
        <w:rPr>
          <w:rFonts w:hint="eastAsia" w:ascii="宋体" w:hAnsi="宋体" w:cs="宋体"/>
          <w:bCs/>
          <w:color w:val="auto"/>
          <w:szCs w:val="21"/>
          <w:highlight w:val="none"/>
          <w:lang w:eastAsia="zh-CN"/>
        </w:rPr>
        <w:t>按照每台电梯的采购、安装</w:t>
      </w:r>
      <w:r>
        <w:rPr>
          <w:rFonts w:hint="eastAsia" w:ascii="宋体" w:hAnsi="宋体" w:cs="宋体"/>
          <w:bCs/>
          <w:color w:val="auto"/>
          <w:szCs w:val="21"/>
          <w:highlight w:val="none"/>
        </w:rPr>
        <w:t>作为计价标准</w:t>
      </w:r>
      <w:r>
        <w:rPr>
          <w:rFonts w:hint="eastAsia" w:ascii="宋体" w:hAnsi="宋体" w:cs="宋体"/>
          <w:bCs/>
          <w:color w:val="auto"/>
          <w:szCs w:val="21"/>
          <w:highlight w:val="none"/>
          <w:lang w:eastAsia="zh-CN"/>
        </w:rPr>
        <w:t>；</w:t>
      </w:r>
    </w:p>
    <w:p>
      <w:pPr>
        <w:numPr>
          <w:ilvl w:val="0"/>
          <w:numId w:val="0"/>
        </w:numPr>
        <w:tabs>
          <w:tab w:val="left" w:pos="210"/>
        </w:tabs>
        <w:wordWrap w:val="0"/>
        <w:spacing w:line="520" w:lineRule="exact"/>
        <w:rPr>
          <w:rFonts w:hint="default" w:ascii="宋体" w:hAnsi="宋体"/>
          <w:szCs w:val="21"/>
          <w:highlight w:val="none"/>
          <w:lang w:val="en-US"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设备</w:t>
      </w:r>
      <w:r>
        <w:rPr>
          <w:rFonts w:hint="eastAsia" w:ascii="宋体" w:hAnsi="宋体" w:cs="宋体"/>
          <w:bCs/>
          <w:color w:val="auto"/>
          <w:szCs w:val="21"/>
          <w:highlight w:val="none"/>
        </w:rPr>
        <w:t>价</w:t>
      </w:r>
      <w:r>
        <w:rPr>
          <w:rFonts w:hint="eastAsia" w:ascii="宋体" w:hAnsi="宋体" w:cs="宋体"/>
          <w:bCs/>
          <w:color w:val="auto"/>
          <w:szCs w:val="21"/>
          <w:highlight w:val="none"/>
          <w:lang w:eastAsia="zh-CN"/>
        </w:rPr>
        <w:t>格</w:t>
      </w:r>
      <w:bookmarkEnd w:id="149"/>
      <w:r>
        <w:rPr>
          <w:rFonts w:hint="eastAsia" w:ascii="宋体" w:hAnsi="宋体" w:cs="宋体"/>
          <w:bCs/>
          <w:color w:val="auto"/>
          <w:szCs w:val="21"/>
          <w:highlight w:val="none"/>
          <w:lang w:eastAsia="zh-CN"/>
        </w:rPr>
        <w:t>：包含设备的采购费、运输费、</w:t>
      </w:r>
      <w:r>
        <w:rPr>
          <w:rFonts w:hint="eastAsia" w:ascii="宋体" w:hAnsi="宋体"/>
          <w:szCs w:val="21"/>
          <w:highlight w:val="none"/>
          <w:lang w:val="en-US" w:eastAsia="zh-CN"/>
        </w:rPr>
        <w:t>安装</w:t>
      </w:r>
      <w:r>
        <w:rPr>
          <w:rFonts w:hint="eastAsia" w:ascii="宋体" w:hAnsi="宋体"/>
          <w:szCs w:val="21"/>
          <w:highlight w:val="none"/>
          <w:lang w:val="zh-CN"/>
        </w:rPr>
        <w:t>管理费、利润及</w:t>
      </w:r>
      <w:r>
        <w:rPr>
          <w:rFonts w:hint="eastAsia" w:ascii="宋体" w:hAnsi="宋体"/>
          <w:szCs w:val="21"/>
          <w:highlight w:val="none"/>
          <w:lang w:val="en-US" w:eastAsia="zh-CN"/>
        </w:rPr>
        <w:t>9</w:t>
      </w:r>
      <w:r>
        <w:rPr>
          <w:rFonts w:hint="eastAsia" w:ascii="宋体" w:hAnsi="宋体"/>
          <w:szCs w:val="21"/>
          <w:highlight w:val="none"/>
          <w:lang w:val="zh-CN"/>
        </w:rPr>
        <w:t>%增值税专用发票等。</w:t>
      </w:r>
    </w:p>
    <w:bookmarkEnd w:id="142"/>
    <w:bookmarkEnd w:id="143"/>
    <w:bookmarkEnd w:id="144"/>
    <w:bookmarkEnd w:id="145"/>
    <w:bookmarkEnd w:id="146"/>
    <w:bookmarkEnd w:id="147"/>
    <w:bookmarkEnd w:id="148"/>
    <w:p>
      <w:pPr>
        <w:tabs>
          <w:tab w:val="left" w:pos="7768"/>
        </w:tabs>
        <w:wordWrap w:val="0"/>
        <w:spacing w:line="560" w:lineRule="exact"/>
        <w:ind w:left="-51" w:right="59" w:rightChars="28"/>
        <w:outlineLvl w:val="1"/>
        <w:rPr>
          <w:rFonts w:ascii="黑体" w:eastAsia="黑体"/>
          <w:b/>
          <w:sz w:val="24"/>
          <w:highlight w:val="none"/>
          <w:shd w:val="clear" w:color="auto" w:fill="FFFFFF"/>
        </w:rPr>
      </w:pPr>
      <w:bookmarkStart w:id="150" w:name="_Toc29118"/>
      <w:r>
        <w:rPr>
          <w:rFonts w:hint="eastAsia" w:ascii="黑体" w:hAnsi="宋体" w:eastAsia="黑体"/>
          <w:b/>
          <w:sz w:val="24"/>
          <w:highlight w:val="none"/>
          <w:lang w:val="zh-CN"/>
        </w:rPr>
        <w:t>二、</w:t>
      </w:r>
      <w:r>
        <w:rPr>
          <w:rFonts w:hint="eastAsia" w:ascii="黑体" w:eastAsia="黑体"/>
          <w:b/>
          <w:sz w:val="24"/>
          <w:highlight w:val="none"/>
          <w:shd w:val="clear" w:color="auto" w:fill="FFFFFF"/>
        </w:rPr>
        <w:t>▲</w:t>
      </w:r>
      <w:r>
        <w:rPr>
          <w:rFonts w:hint="eastAsia" w:ascii="黑体" w:hAnsi="宋体" w:eastAsia="黑体"/>
          <w:b/>
          <w:sz w:val="24"/>
          <w:highlight w:val="none"/>
          <w:lang w:val="zh-CN"/>
        </w:rPr>
        <w:t>商务条件</w:t>
      </w:r>
      <w:r>
        <w:rPr>
          <w:rFonts w:hint="eastAsia" w:ascii="黑体" w:eastAsia="黑体"/>
          <w:b/>
          <w:sz w:val="24"/>
          <w:highlight w:val="none"/>
          <w:shd w:val="clear" w:color="auto" w:fill="FFFFFF"/>
        </w:rPr>
        <w:t>要求</w:t>
      </w:r>
      <w:bookmarkEnd w:id="150"/>
      <w:r>
        <w:rPr>
          <w:rFonts w:ascii="黑体" w:eastAsia="黑体"/>
          <w:b/>
          <w:sz w:val="24"/>
          <w:highlight w:val="none"/>
          <w:shd w:val="clear" w:color="auto" w:fill="FFFFFF"/>
        </w:rPr>
        <w:tab/>
      </w:r>
    </w:p>
    <w:p>
      <w:pPr>
        <w:numPr>
          <w:ilvl w:val="0"/>
          <w:numId w:val="10"/>
        </w:numPr>
        <w:tabs>
          <w:tab w:val="left" w:pos="210"/>
        </w:tabs>
        <w:wordWrap w:val="0"/>
        <w:spacing w:line="520" w:lineRule="exact"/>
        <w:rPr>
          <w:rFonts w:ascii="宋体" w:hAnsi="宋体"/>
          <w:szCs w:val="21"/>
          <w:highlight w:val="none"/>
          <w:lang w:val="zh-CN"/>
        </w:rPr>
      </w:pPr>
      <w:r>
        <w:rPr>
          <w:rFonts w:hint="eastAsia" w:ascii="宋体" w:hAnsi="宋体"/>
          <w:szCs w:val="21"/>
          <w:highlight w:val="none"/>
          <w:lang w:val="zh-CN"/>
        </w:rPr>
        <w:t>供应时间：按本项目所在项目部要求供应（按时、指定地点）。</w:t>
      </w:r>
    </w:p>
    <w:p>
      <w:pPr>
        <w:numPr>
          <w:ilvl w:val="0"/>
          <w:numId w:val="10"/>
        </w:numPr>
        <w:tabs>
          <w:tab w:val="left" w:pos="210"/>
        </w:tabs>
        <w:wordWrap w:val="0"/>
        <w:spacing w:line="520" w:lineRule="exact"/>
        <w:rPr>
          <w:highlight w:val="yellow"/>
        </w:rPr>
      </w:pPr>
      <w:r>
        <w:rPr>
          <w:rFonts w:hint="eastAsia"/>
          <w:highlight w:val="none"/>
        </w:rPr>
        <w:t>验收方式：</w:t>
      </w:r>
      <w:r>
        <w:rPr>
          <w:rFonts w:hint="eastAsia" w:ascii="宋体" w:hAnsi="宋体"/>
          <w:szCs w:val="21"/>
          <w:highlight w:val="none"/>
        </w:rPr>
        <w:t>①</w:t>
      </w:r>
      <w:r>
        <w:rPr>
          <w:rFonts w:hint="eastAsia" w:ascii="宋体" w:hAnsi="宋体"/>
          <w:szCs w:val="21"/>
          <w:highlight w:val="none"/>
          <w:lang w:bidi="en-US"/>
        </w:rPr>
        <w:t>验收依据：相关质量标准合格。②验收内容：数量及质量标准。</w:t>
      </w:r>
      <w:r>
        <w:rPr>
          <w:rFonts w:hint="eastAsia" w:ascii="宋体" w:hAnsi="宋体"/>
          <w:szCs w:val="21"/>
          <w:highlight w:val="none"/>
          <w:lang w:bidi="en-US"/>
        </w:rPr>
        <w:fldChar w:fldCharType="begin"/>
      </w:r>
      <w:r>
        <w:rPr>
          <w:rFonts w:hint="eastAsia" w:ascii="宋体" w:hAnsi="宋体"/>
          <w:szCs w:val="21"/>
          <w:highlight w:val="none"/>
          <w:lang w:bidi="en-US"/>
        </w:rPr>
        <w:instrText xml:space="preserve"> = 3 \* GB3 </w:instrText>
      </w:r>
      <w:r>
        <w:rPr>
          <w:rFonts w:hint="eastAsia" w:ascii="宋体" w:hAnsi="宋体"/>
          <w:szCs w:val="21"/>
          <w:highlight w:val="none"/>
          <w:lang w:bidi="en-US"/>
        </w:rPr>
        <w:fldChar w:fldCharType="separate"/>
      </w:r>
      <w:r>
        <w:rPr>
          <w:rFonts w:hint="eastAsia" w:ascii="宋体" w:hAnsi="宋体"/>
          <w:szCs w:val="21"/>
          <w:highlight w:val="none"/>
          <w:lang w:bidi="en-US"/>
        </w:rPr>
        <w:t>③</w:t>
      </w:r>
      <w:r>
        <w:rPr>
          <w:rFonts w:hint="eastAsia" w:ascii="宋体" w:hAnsi="宋体"/>
          <w:szCs w:val="21"/>
          <w:highlight w:val="none"/>
          <w:lang w:bidi="en-US"/>
        </w:rPr>
        <w:fldChar w:fldCharType="end"/>
      </w:r>
      <w:r>
        <w:rPr>
          <w:rFonts w:hint="eastAsia" w:ascii="宋体" w:hAnsi="宋体"/>
          <w:szCs w:val="21"/>
          <w:highlight w:val="none"/>
          <w:lang w:bidi="en-US"/>
        </w:rPr>
        <w:t>验收程序：质检</w:t>
      </w:r>
      <w:r>
        <w:rPr>
          <w:rFonts w:hint="eastAsia" w:ascii="宋体" w:hAnsi="宋体"/>
          <w:szCs w:val="21"/>
          <w:highlight w:val="none"/>
          <w:lang w:val="zh-CN"/>
        </w:rPr>
        <w:t>合格。</w:t>
      </w:r>
      <w:r>
        <w:rPr>
          <w:rFonts w:hint="eastAsia" w:ascii="宋体" w:hAnsi="宋体"/>
          <w:szCs w:val="21"/>
          <w:highlight w:val="yellow"/>
          <w:lang w:val="en-US" w:eastAsia="zh-CN"/>
        </w:rPr>
        <w:t>质保期为一年，以电梯设备安装调试完成经检测单位验收合格之日起计算。</w:t>
      </w:r>
    </w:p>
    <w:p>
      <w:pPr>
        <w:numPr>
          <w:ilvl w:val="0"/>
          <w:numId w:val="10"/>
        </w:numPr>
        <w:tabs>
          <w:tab w:val="left" w:pos="210"/>
        </w:tabs>
        <w:wordWrap w:val="0"/>
        <w:spacing w:line="520" w:lineRule="exact"/>
        <w:rPr>
          <w:rFonts w:ascii="宋体" w:hAnsi="宋体"/>
          <w:szCs w:val="21"/>
          <w:highlight w:val="none"/>
          <w:lang w:val="zh-CN"/>
        </w:rPr>
      </w:pPr>
      <w:r>
        <w:rPr>
          <w:rFonts w:hint="eastAsia" w:ascii="宋体" w:hAnsi="宋体"/>
          <w:szCs w:val="21"/>
          <w:highlight w:val="none"/>
          <w:lang w:val="zh-CN"/>
        </w:rPr>
        <w:t>付款条</w:t>
      </w:r>
      <w:r>
        <w:rPr>
          <w:rFonts w:hint="eastAsia" w:ascii="宋体" w:hAnsi="宋体"/>
          <w:szCs w:val="21"/>
          <w:highlight w:val="none"/>
          <w:lang w:val="zh-CN" w:eastAsia="zh-CN"/>
        </w:rPr>
        <w:t>件：</w:t>
      </w:r>
      <w:r>
        <w:rPr>
          <w:rFonts w:hint="eastAsia" w:ascii="宋体" w:hAnsi="宋体"/>
          <w:szCs w:val="21"/>
          <w:highlight w:val="red"/>
          <w:lang w:val="en-US" w:eastAsia="zh-CN"/>
        </w:rPr>
        <w:t>设备到场后一个月内支付合同签订价款60%</w:t>
      </w:r>
      <w:r>
        <w:rPr>
          <w:rFonts w:hint="eastAsia" w:ascii="宋体" w:hAnsi="宋体"/>
          <w:szCs w:val="21"/>
          <w:highlight w:val="red"/>
          <w:lang w:val="en-US" w:eastAsia="zh-Hans"/>
        </w:rPr>
        <w:t>，</w:t>
      </w:r>
      <w:r>
        <w:rPr>
          <w:rFonts w:hint="eastAsia" w:ascii="宋体" w:hAnsi="宋体"/>
          <w:szCs w:val="21"/>
          <w:highlight w:val="red"/>
          <w:lang w:val="en-US" w:eastAsia="zh-CN"/>
        </w:rPr>
        <w:t>设备安装完毕并经检验监督部门验收合格并颁发使用许可证后支付合同签订价款的97%，剩余3%作为质保金，待质保期满后1个月内退还。</w:t>
      </w:r>
    </w:p>
    <w:p>
      <w:pPr>
        <w:numPr>
          <w:ilvl w:val="0"/>
          <w:numId w:val="10"/>
        </w:numPr>
        <w:tabs>
          <w:tab w:val="left" w:pos="210"/>
        </w:tabs>
        <w:wordWrap w:val="0"/>
        <w:spacing w:line="500" w:lineRule="exact"/>
        <w:rPr>
          <w:rFonts w:ascii="宋体"/>
          <w:szCs w:val="21"/>
          <w:highlight w:val="none"/>
          <w:lang w:val="zh-CN"/>
        </w:rPr>
      </w:pPr>
      <w:r>
        <w:rPr>
          <w:rFonts w:hint="eastAsia" w:ascii="宋体" w:hAnsi="宋体"/>
          <w:szCs w:val="21"/>
          <w:highlight w:val="none"/>
          <w:lang w:val="zh-CN"/>
        </w:rPr>
        <w:t>违约责任：不满足合同要求，招标人有权不对其进行验收；同时招标人</w:t>
      </w:r>
      <w:r>
        <w:rPr>
          <w:rFonts w:hint="eastAsia" w:ascii="宋体" w:hAnsi="宋体"/>
          <w:szCs w:val="21"/>
          <w:highlight w:val="none"/>
        </w:rPr>
        <w:t>有权对应标的行为进行双倍罚款或取消合同。若非</w:t>
      </w:r>
      <w:r>
        <w:rPr>
          <w:rFonts w:hint="eastAsia" w:ascii="宋体" w:hAnsi="宋体"/>
          <w:szCs w:val="21"/>
          <w:highlight w:val="none"/>
          <w:lang w:eastAsia="zh-CN"/>
        </w:rPr>
        <w:t>招标人</w:t>
      </w:r>
      <w:r>
        <w:rPr>
          <w:rFonts w:hint="eastAsia" w:ascii="宋体" w:hAnsi="宋体"/>
          <w:szCs w:val="21"/>
          <w:highlight w:val="none"/>
        </w:rPr>
        <w:t>原因，供方逾期交付使用的，供方向</w:t>
      </w:r>
      <w:r>
        <w:rPr>
          <w:rFonts w:hint="eastAsia" w:ascii="宋体" w:hAnsi="宋体"/>
          <w:szCs w:val="21"/>
          <w:highlight w:val="none"/>
          <w:lang w:eastAsia="zh-CN"/>
        </w:rPr>
        <w:t>招标人</w:t>
      </w:r>
      <w:r>
        <w:rPr>
          <w:rFonts w:hint="eastAsia" w:ascii="宋体" w:hAnsi="宋体"/>
          <w:szCs w:val="21"/>
          <w:highlight w:val="none"/>
        </w:rPr>
        <w:t>支付逾期违约金，逾期违约金为</w:t>
      </w:r>
      <w:r>
        <w:rPr>
          <w:rFonts w:hint="eastAsia" w:ascii="宋体" w:hAnsi="宋体"/>
          <w:szCs w:val="21"/>
          <w:highlight w:val="none"/>
          <w:lang w:val="en-US" w:eastAsia="zh-CN"/>
        </w:rPr>
        <w:t>每延误一天处以人民币5</w:t>
      </w:r>
      <w:r>
        <w:rPr>
          <w:rFonts w:hint="eastAsia" w:ascii="宋体" w:hAnsi="宋体" w:cs="宋体"/>
          <w:szCs w:val="21"/>
          <w:highlight w:val="none"/>
          <w:lang w:val="en-US" w:eastAsia="zh-CN"/>
        </w:rPr>
        <w:t>000元的处罚，该违约金直接从货款中扣除</w:t>
      </w:r>
      <w:r>
        <w:rPr>
          <w:rFonts w:hint="eastAsia" w:ascii="宋体" w:hAnsi="宋体"/>
          <w:szCs w:val="21"/>
          <w:highlight w:val="none"/>
        </w:rPr>
        <w:t>。</w:t>
      </w:r>
    </w:p>
    <w:p>
      <w:pPr>
        <w:widowControl/>
        <w:shd w:val="clear" w:color="auto" w:fill="FFFFFF"/>
        <w:wordWrap w:val="0"/>
        <w:spacing w:line="520" w:lineRule="exact"/>
        <w:ind w:left="3"/>
        <w:outlineLvl w:val="1"/>
        <w:rPr>
          <w:rFonts w:ascii="黑体" w:eastAsia="黑体"/>
          <w:b/>
          <w:sz w:val="24"/>
          <w:highlight w:val="none"/>
          <w:shd w:val="clear" w:color="auto" w:fill="FFFFFF"/>
        </w:rPr>
      </w:pPr>
      <w:bookmarkStart w:id="151" w:name="_Toc8826"/>
      <w:r>
        <w:rPr>
          <w:rFonts w:hint="eastAsia" w:ascii="宋体" w:hAnsi="宋体" w:eastAsia="黑体" w:cs="黑体"/>
          <w:b/>
          <w:snapToGrid w:val="0"/>
          <w:kern w:val="21"/>
          <w:sz w:val="24"/>
          <w:szCs w:val="21"/>
          <w:highlight w:val="none"/>
          <w:lang w:val="zh-CN"/>
        </w:rPr>
        <w:t>三</w:t>
      </w:r>
      <w:r>
        <w:rPr>
          <w:rFonts w:hint="eastAsia" w:ascii="黑体" w:hAnsi="宋体" w:eastAsia="黑体"/>
          <w:b/>
          <w:sz w:val="24"/>
          <w:highlight w:val="none"/>
          <w:lang w:val="zh-CN"/>
        </w:rPr>
        <w:t>、</w:t>
      </w:r>
      <w:r>
        <w:rPr>
          <w:rFonts w:hint="eastAsia"/>
          <w:sz w:val="24"/>
          <w:highlight w:val="none"/>
          <w:shd w:val="clear" w:color="auto" w:fill="FFFFFF"/>
        </w:rPr>
        <w:t>▲</w:t>
      </w:r>
      <w:r>
        <w:rPr>
          <w:rFonts w:hint="eastAsia" w:ascii="黑体" w:eastAsia="黑体"/>
          <w:b/>
          <w:sz w:val="24"/>
          <w:highlight w:val="none"/>
          <w:shd w:val="clear" w:color="auto" w:fill="FFFFFF"/>
        </w:rPr>
        <w:t>履约能力</w:t>
      </w:r>
      <w:bookmarkEnd w:id="151"/>
    </w:p>
    <w:p>
      <w:pPr>
        <w:pStyle w:val="2"/>
        <w:rPr>
          <w:rFonts w:hint="eastAsia"/>
          <w:highlight w:val="none"/>
          <w:lang w:val="en-US" w:eastAsia="zh-CN"/>
        </w:rPr>
      </w:pPr>
      <w:r>
        <w:rPr>
          <w:rFonts w:hint="eastAsia"/>
          <w:highlight w:val="none"/>
          <w:lang w:val="en-US" w:eastAsia="zh-CN"/>
        </w:rPr>
        <w:t>（一）供货实力</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55"/>
        <w:gridCol w:w="1765"/>
        <w:gridCol w:w="1445"/>
        <w:gridCol w:w="194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序号</w:t>
            </w:r>
          </w:p>
        </w:tc>
        <w:tc>
          <w:tcPr>
            <w:tcW w:w="1655"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项目名称</w:t>
            </w:r>
          </w:p>
        </w:tc>
        <w:tc>
          <w:tcPr>
            <w:tcW w:w="1765"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合同供应量</w:t>
            </w:r>
          </w:p>
        </w:tc>
        <w:tc>
          <w:tcPr>
            <w:tcW w:w="1445"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合同总价</w:t>
            </w:r>
          </w:p>
        </w:tc>
        <w:tc>
          <w:tcPr>
            <w:tcW w:w="1945" w:type="dxa"/>
            <w:vAlign w:val="top"/>
          </w:tcPr>
          <w:p>
            <w:pPr>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合同签订日期</w:t>
            </w:r>
          </w:p>
        </w:tc>
        <w:tc>
          <w:tcPr>
            <w:tcW w:w="856"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655" w:type="dxa"/>
            <w:vAlign w:val="top"/>
          </w:tcPr>
          <w:p>
            <w:pPr>
              <w:rPr>
                <w:rFonts w:hint="eastAsia" w:eastAsia="宋体"/>
                <w:color w:val="auto"/>
                <w:highlight w:val="none"/>
                <w:vertAlign w:val="baseline"/>
                <w:lang w:val="zh-CN" w:eastAsia="zh-CN"/>
              </w:rPr>
            </w:pPr>
          </w:p>
        </w:tc>
        <w:tc>
          <w:tcPr>
            <w:tcW w:w="1765" w:type="dxa"/>
            <w:vAlign w:val="top"/>
          </w:tcPr>
          <w:p>
            <w:pPr>
              <w:rPr>
                <w:rFonts w:hint="eastAsia" w:eastAsia="宋体"/>
                <w:color w:val="auto"/>
                <w:highlight w:val="none"/>
                <w:vertAlign w:val="baseline"/>
                <w:lang w:val="zh-CN" w:eastAsia="zh-CN"/>
              </w:rPr>
            </w:pPr>
          </w:p>
        </w:tc>
        <w:tc>
          <w:tcPr>
            <w:tcW w:w="1445" w:type="dxa"/>
            <w:vAlign w:val="top"/>
          </w:tcPr>
          <w:p>
            <w:pPr>
              <w:rPr>
                <w:rFonts w:hint="eastAsia" w:eastAsia="宋体"/>
                <w:color w:val="auto"/>
                <w:highlight w:val="none"/>
                <w:vertAlign w:val="baseline"/>
                <w:lang w:val="zh-CN" w:eastAsia="zh-CN"/>
              </w:rPr>
            </w:pPr>
          </w:p>
        </w:tc>
        <w:tc>
          <w:tcPr>
            <w:tcW w:w="1945" w:type="dxa"/>
            <w:vAlign w:val="top"/>
          </w:tcPr>
          <w:p>
            <w:pPr>
              <w:rPr>
                <w:rFonts w:hint="eastAsia" w:eastAsia="宋体"/>
                <w:color w:val="auto"/>
                <w:highlight w:val="none"/>
                <w:vertAlign w:val="baseline"/>
                <w:lang w:val="zh-CN" w:eastAsia="zh-CN"/>
              </w:rPr>
            </w:pPr>
          </w:p>
        </w:tc>
        <w:tc>
          <w:tcPr>
            <w:tcW w:w="856" w:type="dxa"/>
            <w:vAlign w:val="top"/>
          </w:tcPr>
          <w:p>
            <w:pPr>
              <w:rPr>
                <w:rFonts w:hint="eastAsia" w:eastAsia="宋体"/>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655" w:type="dxa"/>
            <w:vAlign w:val="top"/>
          </w:tcPr>
          <w:p>
            <w:pPr>
              <w:rPr>
                <w:rFonts w:hint="eastAsia" w:eastAsia="宋体"/>
                <w:color w:val="auto"/>
                <w:highlight w:val="none"/>
                <w:vertAlign w:val="baseline"/>
                <w:lang w:val="zh-CN" w:eastAsia="zh-CN"/>
              </w:rPr>
            </w:pPr>
          </w:p>
        </w:tc>
        <w:tc>
          <w:tcPr>
            <w:tcW w:w="1765" w:type="dxa"/>
            <w:vAlign w:val="top"/>
          </w:tcPr>
          <w:p>
            <w:pPr>
              <w:rPr>
                <w:rFonts w:hint="eastAsia" w:eastAsia="宋体"/>
                <w:color w:val="auto"/>
                <w:highlight w:val="none"/>
                <w:vertAlign w:val="baseline"/>
                <w:lang w:val="zh-CN" w:eastAsia="zh-CN"/>
              </w:rPr>
            </w:pPr>
          </w:p>
        </w:tc>
        <w:tc>
          <w:tcPr>
            <w:tcW w:w="1445" w:type="dxa"/>
            <w:vAlign w:val="top"/>
          </w:tcPr>
          <w:p>
            <w:pPr>
              <w:rPr>
                <w:rFonts w:hint="eastAsia" w:eastAsia="宋体"/>
                <w:color w:val="auto"/>
                <w:highlight w:val="none"/>
                <w:vertAlign w:val="baseline"/>
                <w:lang w:val="zh-CN" w:eastAsia="zh-CN"/>
              </w:rPr>
            </w:pPr>
          </w:p>
        </w:tc>
        <w:tc>
          <w:tcPr>
            <w:tcW w:w="1945" w:type="dxa"/>
            <w:vAlign w:val="top"/>
          </w:tcPr>
          <w:p>
            <w:pPr>
              <w:rPr>
                <w:rFonts w:hint="eastAsia" w:eastAsia="宋体"/>
                <w:color w:val="auto"/>
                <w:highlight w:val="none"/>
                <w:vertAlign w:val="baseline"/>
                <w:lang w:val="zh-CN" w:eastAsia="zh-CN"/>
              </w:rPr>
            </w:pPr>
          </w:p>
        </w:tc>
        <w:tc>
          <w:tcPr>
            <w:tcW w:w="856" w:type="dxa"/>
            <w:vAlign w:val="top"/>
          </w:tcPr>
          <w:p>
            <w:pPr>
              <w:rPr>
                <w:rFonts w:hint="eastAsia" w:eastAsia="宋体"/>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655" w:type="dxa"/>
            <w:vAlign w:val="top"/>
          </w:tcPr>
          <w:p>
            <w:pPr>
              <w:rPr>
                <w:rFonts w:hint="eastAsia" w:eastAsia="宋体"/>
                <w:color w:val="auto"/>
                <w:highlight w:val="none"/>
                <w:vertAlign w:val="baseline"/>
                <w:lang w:val="zh-CN" w:eastAsia="zh-CN"/>
              </w:rPr>
            </w:pPr>
          </w:p>
        </w:tc>
        <w:tc>
          <w:tcPr>
            <w:tcW w:w="1765" w:type="dxa"/>
            <w:vAlign w:val="top"/>
          </w:tcPr>
          <w:p>
            <w:pPr>
              <w:rPr>
                <w:rFonts w:hint="eastAsia" w:eastAsia="宋体"/>
                <w:color w:val="auto"/>
                <w:highlight w:val="none"/>
                <w:vertAlign w:val="baseline"/>
                <w:lang w:val="zh-CN" w:eastAsia="zh-CN"/>
              </w:rPr>
            </w:pPr>
          </w:p>
        </w:tc>
        <w:tc>
          <w:tcPr>
            <w:tcW w:w="1445" w:type="dxa"/>
            <w:vAlign w:val="top"/>
          </w:tcPr>
          <w:p>
            <w:pPr>
              <w:rPr>
                <w:rFonts w:hint="eastAsia" w:eastAsia="宋体"/>
                <w:color w:val="auto"/>
                <w:highlight w:val="none"/>
                <w:vertAlign w:val="baseline"/>
                <w:lang w:val="zh-CN" w:eastAsia="zh-CN"/>
              </w:rPr>
            </w:pPr>
          </w:p>
        </w:tc>
        <w:tc>
          <w:tcPr>
            <w:tcW w:w="1945" w:type="dxa"/>
            <w:vAlign w:val="top"/>
          </w:tcPr>
          <w:p>
            <w:pPr>
              <w:rPr>
                <w:rFonts w:hint="eastAsia" w:eastAsia="宋体"/>
                <w:color w:val="auto"/>
                <w:highlight w:val="none"/>
                <w:vertAlign w:val="baseline"/>
                <w:lang w:val="zh-CN" w:eastAsia="zh-CN"/>
              </w:rPr>
            </w:pPr>
          </w:p>
        </w:tc>
        <w:tc>
          <w:tcPr>
            <w:tcW w:w="856" w:type="dxa"/>
            <w:vAlign w:val="top"/>
          </w:tcPr>
          <w:p>
            <w:pPr>
              <w:rPr>
                <w:rFonts w:hint="eastAsia" w:eastAsia="宋体"/>
                <w:color w:val="auto"/>
                <w:highlight w:val="none"/>
                <w:vertAlign w:val="baseline"/>
                <w:lang w:val="zh-CN" w:eastAsia="zh-CN"/>
              </w:rPr>
            </w:pPr>
          </w:p>
        </w:tc>
      </w:tr>
    </w:tbl>
    <w:p>
      <w:pPr>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（二）安装及调试人员配置</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17"/>
        <w:gridCol w:w="1800"/>
        <w:gridCol w:w="224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序号</w:t>
            </w:r>
          </w:p>
        </w:tc>
        <w:tc>
          <w:tcPr>
            <w:tcW w:w="1917"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职务</w:t>
            </w:r>
          </w:p>
        </w:tc>
        <w:tc>
          <w:tcPr>
            <w:tcW w:w="1800"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姓名</w:t>
            </w:r>
          </w:p>
        </w:tc>
        <w:tc>
          <w:tcPr>
            <w:tcW w:w="2248" w:type="dxa"/>
            <w:vAlign w:val="top"/>
          </w:tcPr>
          <w:p>
            <w:pPr>
              <w:rPr>
                <w:rFonts w:hint="default" w:eastAsia="宋体"/>
                <w:color w:val="auto"/>
                <w:highlight w:val="red"/>
                <w:vertAlign w:val="baseline"/>
                <w:lang w:val="en-US" w:eastAsia="zh-Hans"/>
              </w:rPr>
            </w:pPr>
            <w:r>
              <w:rPr>
                <w:rFonts w:hint="eastAsia" w:eastAsia="宋体"/>
                <w:color w:val="auto"/>
                <w:highlight w:val="red"/>
                <w:vertAlign w:val="baseline"/>
                <w:lang w:val="en-US" w:eastAsia="zh-Hans"/>
              </w:rPr>
              <w:t>身份证号码</w:t>
            </w:r>
          </w:p>
        </w:tc>
        <w:tc>
          <w:tcPr>
            <w:tcW w:w="1705" w:type="dxa"/>
            <w:vAlign w:val="top"/>
          </w:tcPr>
          <w:p>
            <w:pPr>
              <w:rPr>
                <w:rFonts w:hint="eastAsia" w:eastAsia="宋体"/>
                <w:color w:val="auto"/>
                <w:highlight w:val="red"/>
                <w:vertAlign w:val="baseline"/>
                <w:lang w:val="en-US" w:eastAsia="zh-CN"/>
              </w:rPr>
            </w:pPr>
            <w:r>
              <w:rPr>
                <w:rFonts w:hint="eastAsia"/>
                <w:color w:val="auto"/>
                <w:highlight w:val="red"/>
                <w:vertAlign w:val="baseline"/>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917" w:type="dxa"/>
            <w:vAlign w:val="top"/>
          </w:tcPr>
          <w:p>
            <w:pPr>
              <w:rPr>
                <w:rFonts w:hint="eastAsia" w:eastAsia="宋体"/>
                <w:color w:val="auto"/>
                <w:highlight w:val="none"/>
                <w:vertAlign w:val="baseline"/>
                <w:lang w:val="zh-CN" w:eastAsia="zh-CN"/>
              </w:rPr>
            </w:pPr>
          </w:p>
        </w:tc>
        <w:tc>
          <w:tcPr>
            <w:tcW w:w="1800" w:type="dxa"/>
            <w:vAlign w:val="top"/>
          </w:tcPr>
          <w:p>
            <w:pPr>
              <w:rPr>
                <w:rFonts w:hint="eastAsia" w:eastAsia="宋体"/>
                <w:color w:val="auto"/>
                <w:highlight w:val="none"/>
                <w:vertAlign w:val="baseline"/>
                <w:lang w:val="zh-CN" w:eastAsia="zh-CN"/>
              </w:rPr>
            </w:pPr>
          </w:p>
        </w:tc>
        <w:tc>
          <w:tcPr>
            <w:tcW w:w="2248" w:type="dxa"/>
            <w:vAlign w:val="top"/>
          </w:tcPr>
          <w:p>
            <w:pPr>
              <w:rPr>
                <w:rFonts w:hint="eastAsia" w:eastAsia="宋体"/>
                <w:color w:val="auto"/>
                <w:highlight w:val="none"/>
                <w:vertAlign w:val="baseline"/>
                <w:lang w:val="zh-CN" w:eastAsia="zh-CN"/>
              </w:rPr>
            </w:pPr>
          </w:p>
        </w:tc>
        <w:tc>
          <w:tcPr>
            <w:tcW w:w="1705" w:type="dxa"/>
            <w:vAlign w:val="top"/>
          </w:tcPr>
          <w:p>
            <w:pPr>
              <w:rPr>
                <w:rFonts w:hint="eastAsia" w:eastAsia="宋体"/>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917" w:type="dxa"/>
            <w:vAlign w:val="top"/>
          </w:tcPr>
          <w:p>
            <w:pPr>
              <w:rPr>
                <w:rFonts w:hint="eastAsia" w:eastAsia="宋体"/>
                <w:color w:val="auto"/>
                <w:highlight w:val="none"/>
                <w:vertAlign w:val="baseline"/>
                <w:lang w:val="zh-CN" w:eastAsia="zh-CN"/>
              </w:rPr>
            </w:pPr>
          </w:p>
        </w:tc>
        <w:tc>
          <w:tcPr>
            <w:tcW w:w="1800" w:type="dxa"/>
            <w:vAlign w:val="top"/>
          </w:tcPr>
          <w:p>
            <w:pPr>
              <w:rPr>
                <w:rFonts w:hint="eastAsia" w:eastAsia="宋体"/>
                <w:color w:val="auto"/>
                <w:highlight w:val="none"/>
                <w:vertAlign w:val="baseline"/>
                <w:lang w:val="zh-CN" w:eastAsia="zh-CN"/>
              </w:rPr>
            </w:pPr>
          </w:p>
        </w:tc>
        <w:tc>
          <w:tcPr>
            <w:tcW w:w="2248" w:type="dxa"/>
            <w:vAlign w:val="top"/>
          </w:tcPr>
          <w:p>
            <w:pPr>
              <w:rPr>
                <w:rFonts w:hint="eastAsia" w:eastAsia="宋体"/>
                <w:color w:val="auto"/>
                <w:highlight w:val="none"/>
                <w:vertAlign w:val="baseline"/>
                <w:lang w:val="zh-CN" w:eastAsia="zh-CN"/>
              </w:rPr>
            </w:pPr>
          </w:p>
        </w:tc>
        <w:tc>
          <w:tcPr>
            <w:tcW w:w="1705" w:type="dxa"/>
            <w:vAlign w:val="top"/>
          </w:tcPr>
          <w:p>
            <w:pPr>
              <w:rPr>
                <w:rFonts w:hint="eastAsia" w:eastAsia="宋体"/>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917" w:type="dxa"/>
            <w:vAlign w:val="top"/>
          </w:tcPr>
          <w:p>
            <w:pPr>
              <w:rPr>
                <w:rFonts w:hint="eastAsia" w:eastAsia="宋体"/>
                <w:color w:val="auto"/>
                <w:highlight w:val="none"/>
                <w:vertAlign w:val="baseline"/>
                <w:lang w:val="zh-CN" w:eastAsia="zh-CN"/>
              </w:rPr>
            </w:pPr>
          </w:p>
        </w:tc>
        <w:tc>
          <w:tcPr>
            <w:tcW w:w="1800" w:type="dxa"/>
            <w:vAlign w:val="top"/>
          </w:tcPr>
          <w:p>
            <w:pPr>
              <w:rPr>
                <w:rFonts w:hint="eastAsia" w:eastAsia="宋体"/>
                <w:color w:val="auto"/>
                <w:highlight w:val="none"/>
                <w:vertAlign w:val="baseline"/>
                <w:lang w:val="zh-CN" w:eastAsia="zh-CN"/>
              </w:rPr>
            </w:pPr>
          </w:p>
        </w:tc>
        <w:tc>
          <w:tcPr>
            <w:tcW w:w="2248" w:type="dxa"/>
            <w:vAlign w:val="top"/>
          </w:tcPr>
          <w:p>
            <w:pPr>
              <w:rPr>
                <w:rFonts w:hint="eastAsia" w:eastAsia="宋体"/>
                <w:color w:val="auto"/>
                <w:highlight w:val="none"/>
                <w:vertAlign w:val="baseline"/>
                <w:lang w:val="zh-CN" w:eastAsia="zh-CN"/>
              </w:rPr>
            </w:pPr>
          </w:p>
        </w:tc>
        <w:tc>
          <w:tcPr>
            <w:tcW w:w="1705" w:type="dxa"/>
            <w:vAlign w:val="top"/>
          </w:tcPr>
          <w:p>
            <w:pPr>
              <w:rPr>
                <w:rFonts w:hint="eastAsia" w:eastAsia="宋体"/>
                <w:color w:val="auto"/>
                <w:highlight w:val="none"/>
                <w:vertAlign w:val="baseline"/>
                <w:lang w:val="zh-CN" w:eastAsia="zh-CN"/>
              </w:rPr>
            </w:pPr>
          </w:p>
        </w:tc>
      </w:tr>
    </w:tbl>
    <w:p>
      <w:pPr>
        <w:pStyle w:val="2"/>
        <w:rPr>
          <w:rFonts w:hint="default"/>
          <w:highlight w:val="none"/>
          <w:lang w:val="en-US"/>
        </w:rPr>
      </w:pPr>
    </w:p>
    <w:p>
      <w:pPr>
        <w:numPr>
          <w:ilvl w:val="0"/>
          <w:numId w:val="0"/>
        </w:numPr>
        <w:tabs>
          <w:tab w:val="left" w:pos="34"/>
        </w:tabs>
        <w:wordWrap w:val="0"/>
        <w:spacing w:line="560" w:lineRule="exact"/>
        <w:ind w:leftChars="0" w:right="59" w:rightChars="28"/>
        <w:outlineLvl w:val="1"/>
        <w:rPr>
          <w:rFonts w:hint="default" w:ascii="黑体" w:eastAsia="宋体"/>
          <w:b/>
          <w:sz w:val="24"/>
          <w:highlight w:val="none"/>
          <w:shd w:val="clear" w:color="auto" w:fill="FFFFFF"/>
          <w:lang w:val="en-US" w:eastAsia="zh-CN"/>
        </w:rPr>
      </w:pPr>
      <w:bookmarkStart w:id="152" w:name="_Toc10248"/>
      <w:r>
        <w:rPr>
          <w:rFonts w:hint="eastAsia" w:ascii="黑体" w:hAnsi="宋体" w:eastAsia="黑体"/>
          <w:b/>
          <w:sz w:val="24"/>
          <w:highlight w:val="none"/>
          <w:lang w:val="en-US" w:eastAsia="zh-CN"/>
          <w14:shadow w14:blurRad="50800" w14:dist="38100" w14:dir="2700000" w14:sx="100000" w14:sy="100000" w14:kx="0" w14:ky="0" w14:algn="tl">
            <w14:srgbClr w14:val="000000">
              <w14:alpha w14:val="60000"/>
            </w14:srgbClr>
          </w14:shadow>
        </w:rPr>
        <w:t>四、</w:t>
      </w:r>
      <w:r>
        <w:rPr>
          <w:rFonts w:hint="eastAsia"/>
          <w:sz w:val="24"/>
          <w:highlight w:val="none"/>
          <w:shd w:val="clear" w:color="auto" w:fill="FFFFFF"/>
        </w:rPr>
        <w:t>▲</w:t>
      </w:r>
      <w:r>
        <w:rPr>
          <w:rFonts w:hint="eastAsia" w:ascii="黑体" w:hAnsi="宋体" w:eastAsia="黑体"/>
          <w:b/>
          <w:sz w:val="24"/>
          <w:highlight w:val="none"/>
          <w:lang w:val="en-US" w:eastAsia="zh-CN"/>
          <w14:shadow w14:blurRad="50800" w14:dist="38100" w14:dir="2700000" w14:sx="100000" w14:sy="100000" w14:kx="0" w14:ky="0" w14:algn="tl">
            <w14:srgbClr w14:val="000000">
              <w14:alpha w14:val="60000"/>
            </w14:srgbClr>
          </w14:shadow>
        </w:rPr>
        <w:t>技术要求</w:t>
      </w:r>
      <w:bookmarkEnd w:id="152"/>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技术方案要求合理、完整、科学、严谨、具有的先进性、可行性。主要包括以下内容:</w:t>
      </w:r>
    </w:p>
    <w:p>
      <w:pPr>
        <w:spacing w:line="520" w:lineRule="atLeast"/>
        <w:ind w:left="420"/>
        <w:rPr>
          <w:rFonts w:hint="eastAsia" w:ascii="宋体" w:hAnsi="宋体"/>
          <w:szCs w:val="21"/>
          <w:highlight w:val="none"/>
          <w:lang w:val="en-US" w:eastAsia="zh-Hans"/>
        </w:rPr>
      </w:pPr>
      <w:bookmarkStart w:id="153" w:name="_Toc426449772"/>
      <w:r>
        <w:rPr>
          <w:rFonts w:hint="eastAsia" w:ascii="宋体" w:hAnsi="宋体"/>
          <w:szCs w:val="21"/>
          <w:highlight w:val="none"/>
          <w:lang w:val="en-US" w:eastAsia="zh-CN"/>
        </w:rPr>
        <w:t>方案的主要</w:t>
      </w:r>
      <w:r>
        <w:rPr>
          <w:rFonts w:hint="eastAsia" w:ascii="宋体" w:hAnsi="宋体"/>
          <w:szCs w:val="21"/>
          <w:highlight w:val="none"/>
          <w:lang w:val="en-US" w:eastAsia="zh-Hans"/>
        </w:rPr>
        <w:t>内容应包含组织机构、</w:t>
      </w:r>
      <w:r>
        <w:rPr>
          <w:rFonts w:hint="eastAsia" w:ascii="宋体" w:hAnsi="宋体"/>
          <w:szCs w:val="21"/>
          <w:highlight w:val="none"/>
          <w:lang w:val="zh-CN" w:eastAsia="zh-CN"/>
        </w:rPr>
        <w:t>拟投入主要管理人员</w:t>
      </w:r>
      <w:r>
        <w:rPr>
          <w:rFonts w:hint="eastAsia" w:ascii="宋体" w:hAnsi="宋体"/>
          <w:szCs w:val="21"/>
          <w:highlight w:val="none"/>
          <w:lang w:val="zh-CN" w:eastAsia="zh-Hans"/>
        </w:rPr>
        <w:t>、</w:t>
      </w:r>
      <w:r>
        <w:rPr>
          <w:rFonts w:hint="eastAsia" w:ascii="宋体" w:hAnsi="宋体"/>
          <w:szCs w:val="21"/>
          <w:highlight w:val="none"/>
          <w:lang w:val="en-US" w:eastAsia="zh-Hans"/>
        </w:rPr>
        <w:t>材料供应能力及供应实施方案、质量控制措施、服务措施、售后保障措施等。</w:t>
      </w:r>
    </w:p>
    <w:p>
      <w:pPr>
        <w:spacing w:line="520" w:lineRule="atLeast"/>
        <w:ind w:left="420"/>
        <w:rPr>
          <w:rFonts w:hint="eastAsia" w:ascii="宋体" w:hAnsi="宋体"/>
          <w:szCs w:val="21"/>
          <w:highlight w:val="none"/>
          <w:lang w:val="en-US" w:eastAsia="zh-Hans"/>
        </w:rPr>
      </w:pPr>
      <w:r>
        <w:rPr>
          <w:rFonts w:hint="eastAsia" w:ascii="宋体" w:hAnsi="宋体"/>
          <w:szCs w:val="21"/>
          <w:highlight w:val="none"/>
          <w:lang w:val="en-US" w:eastAsia="zh-Hans"/>
        </w:rPr>
        <w:t>技术</w:t>
      </w:r>
      <w:r>
        <w:rPr>
          <w:rFonts w:hint="eastAsia" w:ascii="宋体" w:hAnsi="宋体"/>
          <w:szCs w:val="21"/>
          <w:highlight w:val="none"/>
          <w:lang w:val="zh-CN" w:eastAsia="zh-Hans"/>
        </w:rPr>
        <w:t>响应</w:t>
      </w:r>
      <w:r>
        <w:rPr>
          <w:rFonts w:hint="eastAsia" w:ascii="宋体" w:hAnsi="宋体"/>
          <w:szCs w:val="21"/>
          <w:highlight w:val="none"/>
          <w:lang w:val="en-US" w:eastAsia="zh-Hans"/>
        </w:rPr>
        <w:t>方案应能证明贵司具备履约能力，满足工期，质量有保障，提供最大程度满足项目要求的服务技术实施方案。</w:t>
      </w:r>
    </w:p>
    <w:p>
      <w:pPr>
        <w:widowControl/>
        <w:shd w:val="clear" w:color="auto" w:fill="FFFFFF"/>
        <w:wordWrap w:val="0"/>
        <w:spacing w:before="240" w:beforeLines="100" w:after="120" w:afterLines="50" w:line="480" w:lineRule="auto"/>
        <w:jc w:val="center"/>
        <w:outlineLvl w:val="0"/>
        <w:rPr>
          <w:rFonts w:ascii="黑体" w:eastAsia="黑体"/>
          <w:b/>
          <w:sz w:val="44"/>
          <w:szCs w:val="44"/>
          <w:highlight w:val="none"/>
        </w:rPr>
      </w:pPr>
      <w:r>
        <w:rPr>
          <w:rFonts w:ascii="黑体" w:eastAsia="黑体"/>
          <w:b/>
          <w:sz w:val="24"/>
          <w:highlight w:val="none"/>
          <w:shd w:val="clear" w:color="auto" w:fill="FFFFFF"/>
        </w:rPr>
        <w:br w:type="page"/>
      </w:r>
      <w:bookmarkStart w:id="154" w:name="_Toc7176"/>
      <w:r>
        <w:rPr>
          <w:rFonts w:hint="eastAsia" w:ascii="黑体" w:eastAsia="黑体"/>
          <w:b/>
          <w:sz w:val="44"/>
          <w:szCs w:val="44"/>
          <w:highlight w:val="none"/>
        </w:rPr>
        <w:t>第四章  评标方法标准</w:t>
      </w:r>
      <w:bookmarkEnd w:id="153"/>
      <w:bookmarkEnd w:id="154"/>
    </w:p>
    <w:p>
      <w:pPr>
        <w:numPr>
          <w:ilvl w:val="0"/>
          <w:numId w:val="11"/>
        </w:numPr>
        <w:wordWrap w:val="0"/>
        <w:spacing w:line="520" w:lineRule="exact"/>
        <w:ind w:right="195" w:rightChars="93"/>
        <w:outlineLvl w:val="1"/>
        <w:rPr>
          <w:rFonts w:eastAsia="黑体"/>
          <w:b/>
          <w:sz w:val="24"/>
          <w:highlight w:val="none"/>
          <w:lang w:val="zh-CN"/>
        </w:rPr>
      </w:pPr>
      <w:bookmarkStart w:id="155" w:name="_Toc3643"/>
      <w:r>
        <w:rPr>
          <w:rFonts w:hint="eastAsia" w:ascii="黑体" w:eastAsia="黑体"/>
          <w:b/>
          <w:sz w:val="24"/>
          <w:highlight w:val="none"/>
          <w:lang w:val="zh-CN"/>
        </w:rPr>
        <w:t>评标原则办法</w:t>
      </w:r>
      <w:bookmarkEnd w:id="155"/>
    </w:p>
    <w:p>
      <w:pPr>
        <w:numPr>
          <w:ilvl w:val="0"/>
          <w:numId w:val="12"/>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rPr>
        <w:t>评委组成：依照有关法规组建评标委员会。评委会成员由</w:t>
      </w:r>
      <w:r>
        <w:rPr>
          <w:rFonts w:hint="eastAsia" w:ascii="宋体" w:hAnsi="宋体" w:cs="Arial"/>
          <w:kern w:val="0"/>
          <w:szCs w:val="21"/>
          <w:highlight w:val="none"/>
          <w:lang w:val="en-US" w:eastAsia="zh-CN"/>
        </w:rPr>
        <w:t>招标人代表2人和经发集团专家评审库</w:t>
      </w:r>
      <w:r>
        <w:rPr>
          <w:rFonts w:hint="eastAsia" w:ascii="宋体" w:hAnsi="宋体" w:cs="Arial"/>
          <w:kern w:val="0"/>
          <w:szCs w:val="21"/>
          <w:highlight w:val="none"/>
        </w:rPr>
        <w:t>中随机抽取</w:t>
      </w:r>
      <w:r>
        <w:rPr>
          <w:rFonts w:hint="eastAsia" w:ascii="宋体" w:hAnsi="宋体" w:cs="Arial"/>
          <w:kern w:val="0"/>
          <w:szCs w:val="21"/>
          <w:highlight w:val="none"/>
          <w:lang w:val="en-US" w:eastAsia="zh-CN"/>
        </w:rPr>
        <w:t>1</w:t>
      </w:r>
      <w:r>
        <w:rPr>
          <w:rFonts w:hint="eastAsia" w:ascii="宋体" w:hAnsi="宋体" w:cs="Arial"/>
          <w:kern w:val="0"/>
          <w:szCs w:val="21"/>
          <w:highlight w:val="none"/>
        </w:rPr>
        <w:t>名评审专家组成。</w:t>
      </w:r>
    </w:p>
    <w:p>
      <w:pPr>
        <w:numPr>
          <w:ilvl w:val="0"/>
          <w:numId w:val="12"/>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rPr>
        <w:t>评标原则：坚持公平、公正和诚实信用原则，反对不正当竞争。以投标文件等为评标依据。</w:t>
      </w:r>
    </w:p>
    <w:p>
      <w:pPr>
        <w:numPr>
          <w:ilvl w:val="0"/>
          <w:numId w:val="12"/>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职责</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核对评审专家身份，对评审专家在采购活动中的职责履行情况予以记录，并及时将有关违法违规行为向</w:t>
      </w:r>
      <w:r>
        <w:rPr>
          <w:rFonts w:hint="eastAsia" w:cs="宋体" w:asciiTheme="minorEastAsia" w:hAnsiTheme="minorEastAsia" w:eastAsiaTheme="minorEastAsia"/>
          <w:szCs w:val="21"/>
          <w:highlight w:val="none"/>
          <w:lang w:val="en-US" w:eastAsia="zh-CN"/>
        </w:rPr>
        <w:t>领导</w:t>
      </w:r>
      <w:r>
        <w:rPr>
          <w:rFonts w:hint="eastAsia" w:cs="宋体" w:asciiTheme="minorEastAsia" w:hAnsiTheme="minorEastAsia" w:eastAsiaTheme="minorEastAsia"/>
          <w:szCs w:val="21"/>
          <w:highlight w:val="none"/>
          <w:lang w:val="zh-CN"/>
        </w:rPr>
        <w:t>报告；</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宣布评标纪律；</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公布投标人名单，告知评审专家应当回避的情形；</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组织评标委员会推选评标组长；</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在评标期间采取必要的通讯管理措施，保证评标活动不受外界干扰；</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根据评标委员会的要求介绍采购相关政策法规、招标文件；</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维护评标秩序，监督评标委员会依照招标文件规定的评标程序、方法和标准进行独立评审，及时制止和纠正评审专家的倾向性言论或者违法违规行为；</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投标人资格审查；</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核对评标结果，出现法定可修改规定情形的，要求评标委员会复核或者书面说明理由，评标委员会拒绝的，应予记录并向监督单位报告；</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处理与评标有关的其他事项。</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招标人可以在评标前说明项目背景和采购需求，说明内容不得含有歧视性、倾向性意见，不得超出招标文件所述范围。说明应当提交书面材料，并随采购文件一并存档。</w:t>
      </w:r>
    </w:p>
    <w:p>
      <w:pPr>
        <w:numPr>
          <w:ilvl w:val="0"/>
          <w:numId w:val="12"/>
        </w:numPr>
        <w:wordWrap w:val="0"/>
        <w:spacing w:line="520" w:lineRule="exact"/>
        <w:ind w:left="324"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评标委员会独立履行下列职责</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审查、评价投标文件是否符合招标文件的商务、技术等实质性要求；</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要求投标人对投标文件有关事项作出澄清或者说明；</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对投标文件进行比较和评价；</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确定中标候选人名单，以及根据招标人委托直接确定中标人；</w:t>
      </w:r>
    </w:p>
    <w:p>
      <w:pPr>
        <w:pStyle w:val="145"/>
        <w:numPr>
          <w:ilvl w:val="0"/>
          <w:numId w:val="13"/>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向招标人或者有关部门报告评标中发现的违法行为。</w:t>
      </w:r>
    </w:p>
    <w:p>
      <w:pPr>
        <w:numPr>
          <w:ilvl w:val="0"/>
          <w:numId w:val="12"/>
        </w:numPr>
        <w:wordWrap w:val="0"/>
        <w:spacing w:line="520" w:lineRule="exact"/>
        <w:ind w:left="324"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办法：采取综合评分法，在最大限度地满足招标文件实质性要求前提下，按照招标文件中规定的各项因素进行综合评审后，按得分由高到低顺序推荐中标候选人，或根据招标人授权直接确定中标人，但投标报价低于其成本的除外。综合评分相等时，以投标报价低的优先；投标报价也相等的，由招标人自行确定。</w:t>
      </w:r>
    </w:p>
    <w:p>
      <w:pPr>
        <w:pStyle w:val="4"/>
        <w:numPr>
          <w:ilvl w:val="0"/>
          <w:numId w:val="11"/>
        </w:numPr>
        <w:wordWrap w:val="0"/>
        <w:jc w:val="both"/>
        <w:rPr>
          <w:rFonts w:ascii="黑体" w:hAnsi="黑体" w:eastAsia="黑体" w:cs="黑体"/>
          <w:highlight w:val="none"/>
        </w:rPr>
      </w:pPr>
      <w:bookmarkStart w:id="156" w:name="_Toc426449773"/>
      <w:bookmarkStart w:id="157" w:name="_Toc210297442"/>
      <w:bookmarkStart w:id="158" w:name="_Toc30838"/>
      <w:r>
        <w:rPr>
          <w:rFonts w:hint="eastAsia" w:ascii="黑体" w:hAnsi="黑体" w:eastAsia="黑体" w:cs="黑体"/>
          <w:highlight w:val="none"/>
        </w:rPr>
        <w:t>评标</w:t>
      </w:r>
      <w:bookmarkEnd w:id="156"/>
      <w:bookmarkEnd w:id="157"/>
      <w:r>
        <w:rPr>
          <w:rFonts w:hint="eastAsia" w:ascii="黑体" w:hAnsi="黑体" w:eastAsia="黑体" w:cs="黑体"/>
          <w:highlight w:val="none"/>
        </w:rPr>
        <w:t>程序步骤</w:t>
      </w:r>
      <w:bookmarkEnd w:id="158"/>
    </w:p>
    <w:p>
      <w:pPr>
        <w:pStyle w:val="13"/>
        <w:numPr>
          <w:ilvl w:val="0"/>
          <w:numId w:val="14"/>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投标文件的初审</w:t>
      </w:r>
    </w:p>
    <w:p>
      <w:pPr>
        <w:wordWrap w:val="0"/>
        <w:spacing w:line="520" w:lineRule="exact"/>
        <w:ind w:right="195" w:rightChars="93"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en-US" w:eastAsia="zh-CN"/>
        </w:rPr>
        <w:t>投标文件的资格初审经招标人代表评审，</w:t>
      </w:r>
      <w:r>
        <w:rPr>
          <w:rFonts w:hint="eastAsia" w:cs="宋体" w:asciiTheme="minorEastAsia" w:hAnsiTheme="minorEastAsia" w:eastAsiaTheme="minorEastAsia"/>
          <w:szCs w:val="21"/>
          <w:highlight w:val="none"/>
          <w:lang w:val="zh-CN"/>
        </w:rPr>
        <w:t>投标文件的</w:t>
      </w:r>
      <w:r>
        <w:rPr>
          <w:rFonts w:hint="eastAsia" w:cs="宋体" w:asciiTheme="minorEastAsia" w:hAnsiTheme="minorEastAsia" w:eastAsiaTheme="minorEastAsia"/>
          <w:szCs w:val="21"/>
          <w:highlight w:val="none"/>
          <w:lang w:val="en-US" w:eastAsia="zh-CN"/>
        </w:rPr>
        <w:t>符合性初审</w:t>
      </w:r>
      <w:r>
        <w:rPr>
          <w:rFonts w:hint="eastAsia" w:cs="宋体" w:asciiTheme="minorEastAsia" w:hAnsiTheme="minorEastAsia" w:eastAsiaTheme="minorEastAsia"/>
          <w:szCs w:val="21"/>
          <w:highlight w:val="none"/>
          <w:lang w:val="zh-CN"/>
        </w:rPr>
        <w:t>、投标文件的澄清、投标文件的评价、评标结论经过评委会评审不符合招标文件规定的投标文件的不进入下一步的评审。</w:t>
      </w:r>
    </w:p>
    <w:p>
      <w:pPr>
        <w:pStyle w:val="13"/>
        <w:numPr>
          <w:ilvl w:val="0"/>
          <w:numId w:val="14"/>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投标文件的详审</w:t>
      </w:r>
    </w:p>
    <w:p>
      <w:pPr>
        <w:numPr>
          <w:ilvl w:val="0"/>
          <w:numId w:val="15"/>
        </w:numPr>
        <w:shd w:val="clear" w:color="auto" w:fill="FFFFFF"/>
        <w:wordWrap w:val="0"/>
        <w:spacing w:line="520" w:lineRule="exact"/>
        <w:ind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在详细评标之前，评标委员会要审查每份投标文件是否实质上响应了招标文件的要求。实质上响应的投标文件应该是与招标文件要求的关键条款、条件和规格相符没有重大负偏离的投标文件。对重大负偏离的认定，须经评标委员会三分之二以上多数同意，重大负偏离将被认定为是对招标文件实质上的不响应，其投标将被视为无效投标。</w:t>
      </w:r>
    </w:p>
    <w:p>
      <w:pPr>
        <w:numPr>
          <w:ilvl w:val="0"/>
          <w:numId w:val="15"/>
        </w:numPr>
        <w:shd w:val="clear" w:color="auto" w:fill="FFFFFF"/>
        <w:wordWrap w:val="0"/>
        <w:spacing w:line="520" w:lineRule="exact"/>
        <w:ind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只对确定为实质上响应招标文件要求的投标文件进行详细评审。详细评审即以招标文件为依据，对所有实质上响应的投标按照评分标准进行评分。评标委员会对投标文件的判定，只依据投标文件内容本身，不依靠开标后的任何外来证明。投标人没有提供证明材料的，相应的评分项目不计分。投标人提供虚假材料谋取中标，一经查实，即取消中标资格。</w:t>
      </w:r>
    </w:p>
    <w:p>
      <w:pPr>
        <w:pStyle w:val="13"/>
        <w:numPr>
          <w:ilvl w:val="0"/>
          <w:numId w:val="14"/>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投标文件的澄清</w:t>
      </w:r>
    </w:p>
    <w:p>
      <w:pPr>
        <w:pStyle w:val="13"/>
        <w:numPr>
          <w:ilvl w:val="1"/>
          <w:numId w:val="16"/>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期间，评标委员会有权要求投标人对其投标文件中含义不明确、同类问题表述不一致或者有明显文字和计算错误的内容等作必要的澄清、说明或者补正。投标人必须按照评标委员会要求的澄清内容和时间做出澄清。除按本须知规定改正算术错误外，投标人对投标文件的澄清不得超出投标文件的范围或者改变投标文件的实质性内容。在评标期间，评标委员会可要求投标人对其投标人文件进行澄清，但不得寻求、提供或允许投标人对投标价等实质性内容做任何更改。有关澄清的答复均应由投标人的法定代表人或授权代表签字的书面形式作出并加盖投标人的印章。</w:t>
      </w:r>
    </w:p>
    <w:p>
      <w:pPr>
        <w:pStyle w:val="13"/>
        <w:numPr>
          <w:ilvl w:val="1"/>
          <w:numId w:val="16"/>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投标人的澄清文件是其投标文件的组成部分。</w:t>
      </w:r>
    </w:p>
    <w:p>
      <w:pPr>
        <w:pStyle w:val="13"/>
        <w:numPr>
          <w:ilvl w:val="0"/>
          <w:numId w:val="14"/>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法定评定事项</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报价出现前后不一致的，除招标文件另有规定外，按照下列规定修正：投标文件中大写金额和小写金额不一致的，以大写金额为准；单价金额小数点或者百分比有明显错位的，以投标报价函为准；总价金额与按单价汇总金额不一致的，以单价金额计算结果为准。同时出现两种以上不一致的，按照前款规定的顺序修正。修正后的报价经投标人确认后产生约束力，投标人不确认的，其投标无效。</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评标结果汇总完成后，除下列情形外，任何人不得修改评标结果：分值汇总计算错误的；分项评分超出评分标准范围的；评标委员会成员对客观评审因素评分不一致的；经评标委员会认定评分畸高、畸低的。</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报告签署前，经复核发现存在以上情形之一的，评标委员会应当当场修改评标结果，并在评标报告中记载；评标报告签署后，招标人发现存在以上情形之一的，应当组织原评标委员会进行重新评审，重新评审改变评标结果的，书面报告</w:t>
      </w:r>
      <w:r>
        <w:rPr>
          <w:rFonts w:hint="eastAsia" w:cs="宋体" w:asciiTheme="minorEastAsia" w:hAnsiTheme="minorEastAsia" w:eastAsiaTheme="minorEastAsia"/>
          <w:szCs w:val="21"/>
          <w:highlight w:val="none"/>
          <w:lang w:val="en-US" w:eastAsia="zh-CN"/>
        </w:rPr>
        <w:t>监督单位</w:t>
      </w:r>
      <w:r>
        <w:rPr>
          <w:rFonts w:hint="eastAsia" w:cs="宋体" w:asciiTheme="minorEastAsia" w:hAnsiTheme="minorEastAsia" w:eastAsiaTheme="minorEastAsia"/>
          <w:szCs w:val="21"/>
          <w:highlight w:val="none"/>
          <w:lang w:val="zh-CN"/>
        </w:rPr>
        <w:t>。</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发现招标文件存在歧义、重大缺陷导致评标工作无法进行，或者招标文件内容违反国家有关强制性规定的，应当停止评标工作，与招标人沟通并作书面记录。招标人确认后，应当修改招标文件，重新组织采购活动。</w:t>
      </w:r>
    </w:p>
    <w:p>
      <w:pPr>
        <w:numPr>
          <w:ilvl w:val="0"/>
          <w:numId w:val="11"/>
        </w:numPr>
        <w:wordWrap w:val="0"/>
        <w:spacing w:line="520" w:lineRule="exact"/>
        <w:ind w:right="195" w:rightChars="93"/>
        <w:outlineLvl w:val="1"/>
        <w:rPr>
          <w:rFonts w:ascii="黑体" w:hAnsi="黑体" w:eastAsia="黑体" w:cs="黑体"/>
          <w:b/>
          <w:bCs/>
          <w:sz w:val="24"/>
          <w:highlight w:val="none"/>
        </w:rPr>
      </w:pPr>
      <w:bookmarkStart w:id="159" w:name="_Toc13563"/>
      <w:r>
        <w:rPr>
          <w:rFonts w:hint="eastAsia" w:ascii="黑体" w:hAnsi="黑体" w:eastAsia="黑体" w:cs="黑体"/>
          <w:b/>
          <w:bCs/>
          <w:sz w:val="24"/>
          <w:highlight w:val="none"/>
        </w:rPr>
        <w:t>串标废标规定</w:t>
      </w:r>
      <w:bookmarkEnd w:id="159"/>
    </w:p>
    <w:p>
      <w:pPr>
        <w:pStyle w:val="13"/>
        <w:numPr>
          <w:ilvl w:val="1"/>
          <w:numId w:val="18"/>
        </w:numPr>
        <w:tabs>
          <w:tab w:val="left" w:pos="420"/>
          <w:tab w:val="clear" w:pos="840"/>
        </w:tabs>
        <w:wordWrap w:val="0"/>
        <w:spacing w:line="520" w:lineRule="exact"/>
        <w:ind w:left="420" w:right="195" w:rightChars="93"/>
        <w:rPr>
          <w:rFonts w:ascii="宋体" w:cs="宋体"/>
          <w:b/>
          <w:bCs/>
          <w:highlight w:val="none"/>
        </w:rPr>
      </w:pPr>
      <w:r>
        <w:rPr>
          <w:rFonts w:hint="eastAsia" w:ascii="宋体" w:hAnsi="宋体" w:cs="宋体"/>
          <w:b/>
          <w:bCs/>
          <w:highlight w:val="none"/>
        </w:rPr>
        <w:t>有下列情形之一的，视为投标人串通投标，其投标无效：</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不同投标人的投标文件由同一单位或者个人编制；</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不同投标人委托同一单位或者个人办理投标事宜；</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不同投标人的投标文件载明的项目管理成员或者联系人员为同一人；</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不同投标人的投标文件异常一致或者投标报价呈规律性差异；</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不同投标人的投标文件相互混装；</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法律法规和招标文件规定的其它内容。</w:t>
      </w:r>
    </w:p>
    <w:p>
      <w:pPr>
        <w:pStyle w:val="13"/>
        <w:numPr>
          <w:ilvl w:val="0"/>
          <w:numId w:val="19"/>
        </w:numPr>
        <w:wordWrap w:val="0"/>
        <w:spacing w:line="520" w:lineRule="exact"/>
        <w:ind w:right="195" w:rightChars="93"/>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符合下列条件之一的投标文件一律无效，其投标为废标</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投标文件未按招标文件要求签署、盖章的；</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不具备招标文件中规定的资格要求的；</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报价超过招标文件中规定的预算金额或者最高限价的；</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投标文件含有招标人不能接受的附加条件的；</w:t>
      </w:r>
    </w:p>
    <w:p>
      <w:pPr>
        <w:pStyle w:val="13"/>
        <w:numPr>
          <w:ilvl w:val="0"/>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法律、法规和招标文件规定的其他无效情形。</w:t>
      </w:r>
    </w:p>
    <w:p>
      <w:pPr>
        <w:pStyle w:val="13"/>
        <w:numPr>
          <w:ilvl w:val="0"/>
          <w:numId w:val="20"/>
        </w:numPr>
        <w:wordWrap w:val="0"/>
        <w:spacing w:line="520" w:lineRule="exact"/>
        <w:outlineLvl w:val="1"/>
        <w:rPr>
          <w:rFonts w:ascii="黑体" w:hAnsi="黑体" w:eastAsia="黑体" w:cs="黑体"/>
          <w:b/>
          <w:bCs/>
          <w:kern w:val="0"/>
          <w:sz w:val="24"/>
          <w:szCs w:val="24"/>
          <w:highlight w:val="none"/>
        </w:rPr>
      </w:pPr>
      <w:bookmarkStart w:id="160" w:name="_Toc5311"/>
      <w:r>
        <w:rPr>
          <w:rFonts w:hint="eastAsia" w:ascii="黑体" w:hAnsi="黑体" w:eastAsia="黑体" w:cs="黑体"/>
          <w:b/>
          <w:bCs/>
          <w:sz w:val="24"/>
          <w:szCs w:val="24"/>
          <w:highlight w:val="none"/>
          <w:lang w:val="zh-CN"/>
        </w:rPr>
        <w:t>投标文件初审</w:t>
      </w:r>
      <w:bookmarkEnd w:id="160"/>
    </w:p>
    <w:p>
      <w:pPr>
        <w:pStyle w:val="13"/>
        <w:wordWrap w:val="0"/>
        <w:spacing w:line="520" w:lineRule="exact"/>
        <w:ind w:left="479" w:leftChars="228" w:firstLine="525" w:firstLineChars="250"/>
        <w:rPr>
          <w:rFonts w:ascii="宋体" w:cs="Arial"/>
          <w:kern w:val="0"/>
          <w:szCs w:val="21"/>
          <w:highlight w:val="none"/>
        </w:rPr>
      </w:pPr>
      <w:r>
        <w:rPr>
          <w:rFonts w:hint="eastAsia" w:ascii="宋体" w:hAnsi="宋体" w:cs="Arial"/>
          <w:kern w:val="0"/>
          <w:szCs w:val="21"/>
          <w:highlight w:val="none"/>
        </w:rPr>
        <w:t>评标委员会从资格性和符合性两方面审查每份投标文件是否实质上响应了招标文件的要求。实质上响应的投标应该是与招标文件要求的关键条款、条件和规格相符，没有重大偏离的投标。对关键条文的偏离、保留或反对将被认为是实质上的偏离，将视作无效投标。评标委员会的审查只根据投标文件本身的真实无误的内容，而不依据外部的证据，但投标文件有不真实不正确的内容时除外。</w:t>
      </w:r>
    </w:p>
    <w:p>
      <w:pPr>
        <w:wordWrap w:val="0"/>
        <w:spacing w:line="520" w:lineRule="exact"/>
        <w:ind w:right="-309" w:rightChars="-147"/>
        <w:jc w:val="left"/>
        <w:rPr>
          <w:rFonts w:hint="eastAsia"/>
          <w:szCs w:val="21"/>
          <w:highlight w:val="none"/>
          <w:lang w:val="zh-CN"/>
        </w:rPr>
      </w:pPr>
      <w:r>
        <w:rPr>
          <w:rFonts w:hint="eastAsia"/>
          <w:sz w:val="24"/>
          <w:highlight w:val="none"/>
          <w:lang w:val="zh-CN"/>
        </w:rPr>
        <w:t>〈一〉</w:t>
      </w:r>
      <w:r>
        <w:rPr>
          <w:rFonts w:hint="eastAsia"/>
          <w:szCs w:val="21"/>
          <w:highlight w:val="none"/>
          <w:lang w:val="zh-CN"/>
        </w:rPr>
        <w:t>资格性初审表</w:t>
      </w:r>
    </w:p>
    <w:p>
      <w:pPr>
        <w:wordWrap w:val="0"/>
        <w:spacing w:line="520" w:lineRule="exact"/>
        <w:ind w:right="-309" w:rightChars="-147"/>
        <w:jc w:val="left"/>
        <w:rPr>
          <w:rFonts w:hint="eastAsia"/>
          <w:szCs w:val="21"/>
          <w:highlight w:val="none"/>
          <w:lang w:val="zh-CN"/>
        </w:rPr>
      </w:pPr>
    </w:p>
    <w:tbl>
      <w:tblPr>
        <w:tblStyle w:val="40"/>
        <w:tblW w:w="9018" w:type="dxa"/>
        <w:tblInd w:w="0" w:type="dxa"/>
        <w:shd w:val="clear" w:color="auto" w:fill="auto"/>
        <w:tblLayout w:type="autofit"/>
        <w:tblCellMar>
          <w:top w:w="0" w:type="dxa"/>
          <w:left w:w="0" w:type="dxa"/>
          <w:bottom w:w="0" w:type="dxa"/>
          <w:right w:w="0" w:type="dxa"/>
        </w:tblCellMar>
      </w:tblPr>
      <w:tblGrid>
        <w:gridCol w:w="7224"/>
        <w:gridCol w:w="1794"/>
      </w:tblGrid>
      <w:tr>
        <w:tblPrEx>
          <w:shd w:val="clear" w:color="auto" w:fill="auto"/>
          <w:tblCellMar>
            <w:top w:w="0" w:type="dxa"/>
            <w:left w:w="0" w:type="dxa"/>
            <w:bottom w:w="0" w:type="dxa"/>
            <w:right w:w="0" w:type="dxa"/>
          </w:tblCellMar>
        </w:tblPrEx>
        <w:trPr>
          <w:trHeight w:val="561" w:hRule="atLeast"/>
        </w:trPr>
        <w:tc>
          <w:tcPr>
            <w:tcW w:w="722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资格性初审内容</w:t>
            </w:r>
          </w:p>
        </w:tc>
        <w:tc>
          <w:tcPr>
            <w:tcW w:w="1794"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是否合格</w:t>
            </w:r>
          </w:p>
        </w:tc>
      </w:tr>
      <w:tr>
        <w:tblPrEx>
          <w:shd w:val="clear" w:color="auto" w:fill="auto"/>
          <w:tblCellMar>
            <w:top w:w="0" w:type="dxa"/>
            <w:left w:w="0" w:type="dxa"/>
            <w:bottom w:w="0" w:type="dxa"/>
            <w:right w:w="0" w:type="dxa"/>
          </w:tblCellMar>
        </w:tblPrEx>
        <w:trPr>
          <w:trHeight w:val="492"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投标人必须具有中华人民共和国境内注册的独立法人</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blPrEx>
          <w:shd w:val="clear" w:color="auto" w:fill="auto"/>
          <w:tblCellMar>
            <w:top w:w="0" w:type="dxa"/>
            <w:left w:w="0" w:type="dxa"/>
            <w:bottom w:w="0" w:type="dxa"/>
            <w:right w:w="0" w:type="dxa"/>
          </w:tblCellMar>
        </w:tblPrEx>
        <w:trPr>
          <w:trHeight w:val="520"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投标报价合乎预算、唯一性</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blPrEx>
          <w:shd w:val="clear" w:color="auto" w:fill="auto"/>
          <w:tblCellMar>
            <w:top w:w="0" w:type="dxa"/>
            <w:left w:w="0" w:type="dxa"/>
            <w:bottom w:w="0" w:type="dxa"/>
            <w:right w:w="0" w:type="dxa"/>
          </w:tblCellMar>
        </w:tblPrEx>
        <w:trPr>
          <w:trHeight w:val="506"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投标人须具有电梯设备销售</w:t>
            </w:r>
            <w:r>
              <w:rPr>
                <w:rFonts w:hint="eastAsia" w:ascii="宋体" w:hAnsi="宋体" w:eastAsia="宋体" w:cs="宋体"/>
                <w:i w:val="0"/>
                <w:color w:val="000000"/>
                <w:kern w:val="0"/>
                <w:sz w:val="18"/>
                <w:szCs w:val="18"/>
                <w:highlight w:val="none"/>
                <w:u w:val="none"/>
                <w:lang w:val="en-US" w:eastAsia="zh-Hans" w:bidi="ar"/>
              </w:rPr>
              <w:t>及</w:t>
            </w:r>
            <w:r>
              <w:rPr>
                <w:rFonts w:hint="eastAsia" w:ascii="宋体" w:hAnsi="宋体" w:eastAsia="宋体" w:cs="宋体"/>
                <w:i w:val="0"/>
                <w:color w:val="000000"/>
                <w:kern w:val="0"/>
                <w:sz w:val="18"/>
                <w:szCs w:val="18"/>
                <w:highlight w:val="none"/>
                <w:u w:val="none"/>
                <w:lang w:val="en-US" w:eastAsia="zh-CN" w:bidi="ar"/>
              </w:rPr>
              <w:t>安装</w:t>
            </w:r>
            <w:r>
              <w:rPr>
                <w:rFonts w:hint="eastAsia" w:ascii="宋体" w:hAnsi="宋体" w:eastAsia="宋体" w:cs="宋体"/>
                <w:i w:val="0"/>
                <w:color w:val="000000"/>
                <w:kern w:val="0"/>
                <w:sz w:val="18"/>
                <w:szCs w:val="18"/>
                <w:highlight w:val="none"/>
                <w:u w:val="none"/>
                <w:lang w:val="en-US" w:eastAsia="zh-Hans" w:bidi="ar"/>
              </w:rPr>
              <w:t>资质</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　</w:t>
            </w:r>
          </w:p>
        </w:tc>
      </w:tr>
      <w:tr>
        <w:tblPrEx>
          <w:shd w:val="clear" w:color="auto" w:fill="auto"/>
          <w:tblCellMar>
            <w:top w:w="0" w:type="dxa"/>
            <w:left w:w="0" w:type="dxa"/>
            <w:bottom w:w="0" w:type="dxa"/>
            <w:right w:w="0" w:type="dxa"/>
          </w:tblCellMar>
        </w:tblPrEx>
        <w:trPr>
          <w:trHeight w:val="561"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kern w:val="0"/>
                <w:sz w:val="18"/>
                <w:szCs w:val="18"/>
                <w:highlight w:val="none"/>
                <w:u w:val="none"/>
                <w:lang w:val="en-US" w:eastAsia="zh-CN" w:bidi="ar"/>
              </w:rPr>
            </w:pPr>
            <w:r>
              <w:rPr>
                <w:rFonts w:hint="default" w:ascii="宋体" w:hAnsi="宋体" w:eastAsia="宋体" w:cs="宋体"/>
                <w:i w:val="0"/>
                <w:color w:val="000000"/>
                <w:kern w:val="0"/>
                <w:sz w:val="18"/>
                <w:szCs w:val="18"/>
                <w:highlight w:val="none"/>
                <w:u w:val="none"/>
                <w:lang w:val="en-US" w:eastAsia="zh-CN" w:bidi="ar"/>
              </w:rPr>
              <w:t>有依法缴纳税收记录</w:t>
            </w:r>
            <w:r>
              <w:rPr>
                <w:rFonts w:hint="eastAsia" w:ascii="宋体" w:hAnsi="宋体" w:eastAsia="宋体" w:cs="宋体"/>
                <w:i w:val="0"/>
                <w:color w:val="000000"/>
                <w:kern w:val="0"/>
                <w:sz w:val="18"/>
                <w:szCs w:val="18"/>
                <w:highlight w:val="none"/>
                <w:u w:val="none"/>
                <w:lang w:val="en-US" w:eastAsia="zh-CN" w:bidi="ar"/>
              </w:rPr>
              <w:t>。</w:t>
            </w:r>
            <w:r>
              <w:rPr>
                <w:rFonts w:hint="default" w:ascii="宋体" w:hAnsi="宋体" w:eastAsia="宋体" w:cs="宋体"/>
                <w:i w:val="0"/>
                <w:color w:val="000000"/>
                <w:kern w:val="0"/>
                <w:sz w:val="18"/>
                <w:szCs w:val="18"/>
                <w:highlight w:val="none"/>
                <w:u w:val="none"/>
                <w:lang w:val="en-US" w:eastAsia="zh-CN" w:bidi="ar"/>
              </w:rPr>
              <w:t>（提供2022年1月至今任意连续3个月纳税凭证）</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　</w:t>
            </w:r>
          </w:p>
        </w:tc>
      </w:tr>
      <w:tr>
        <w:tblPrEx>
          <w:shd w:val="clear" w:color="auto" w:fill="auto"/>
          <w:tblCellMar>
            <w:top w:w="0" w:type="dxa"/>
            <w:left w:w="0" w:type="dxa"/>
            <w:bottom w:w="0" w:type="dxa"/>
            <w:right w:w="0" w:type="dxa"/>
          </w:tblCellMar>
        </w:tblPrEx>
        <w:trPr>
          <w:trHeight w:val="947"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在“信用中国”网站(www.creditchina.gov.cn) 上查询无“失信被执行人”信息；在“中国政府采购网”(www.ccgp.gov.cn)上查询未被列入政府采购严重违法失信行为记录名单</w:t>
            </w:r>
            <w:r>
              <w:rPr>
                <w:rFonts w:hint="eastAsia" w:ascii="宋体" w:hAnsi="宋体" w:cs="宋体"/>
                <w:i w:val="0"/>
                <w:color w:val="000000"/>
                <w:kern w:val="0"/>
                <w:sz w:val="18"/>
                <w:szCs w:val="18"/>
                <w:highlight w:val="none"/>
                <w:u w:val="none"/>
                <w:lang w:val="en-US" w:eastAsia="zh-CN" w:bidi="ar"/>
              </w:rPr>
              <w:t>。</w:t>
            </w:r>
            <w:r>
              <w:rPr>
                <w:rFonts w:hint="eastAsia" w:ascii="宋体" w:hAnsi="宋体" w:eastAsia="宋体" w:cs="宋体"/>
                <w:i w:val="0"/>
                <w:color w:val="000000"/>
                <w:kern w:val="0"/>
                <w:sz w:val="18"/>
                <w:szCs w:val="18"/>
                <w:highlight w:val="none"/>
                <w:u w:val="none"/>
                <w:lang w:val="en-US" w:eastAsia="zh-CN" w:bidi="ar"/>
              </w:rPr>
              <w:t>（提供网页查询截图加盖公章）</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blPrEx>
          <w:tblCellMar>
            <w:top w:w="0" w:type="dxa"/>
            <w:left w:w="0" w:type="dxa"/>
            <w:bottom w:w="0" w:type="dxa"/>
            <w:right w:w="0" w:type="dxa"/>
          </w:tblCellMar>
        </w:tblPrEx>
        <w:trPr>
          <w:trHeight w:val="487"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是否通过</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bl>
    <w:p>
      <w:pPr>
        <w:wordWrap w:val="0"/>
        <w:spacing w:line="520" w:lineRule="exact"/>
        <w:ind w:right="-309" w:rightChars="-147"/>
        <w:jc w:val="left"/>
        <w:rPr>
          <w:rFonts w:hint="eastAsia"/>
          <w:szCs w:val="21"/>
          <w:highlight w:val="none"/>
          <w:lang w:val="zh-CN"/>
        </w:rPr>
      </w:pPr>
    </w:p>
    <w:p>
      <w:pPr>
        <w:wordWrap w:val="0"/>
        <w:spacing w:line="400" w:lineRule="exact"/>
        <w:ind w:right="-309" w:rightChars="-147"/>
        <w:rPr>
          <w:rFonts w:hint="eastAsia"/>
          <w:szCs w:val="21"/>
          <w:highlight w:val="none"/>
          <w:lang w:val="zh-CN"/>
        </w:rPr>
      </w:pPr>
      <w:r>
        <w:rPr>
          <w:rFonts w:hint="eastAsia"/>
          <w:szCs w:val="21"/>
          <w:highlight w:val="none"/>
          <w:lang w:val="zh-CN"/>
        </w:rPr>
        <w:t>〈二〉符合性初审表</w:t>
      </w:r>
    </w:p>
    <w:p>
      <w:pPr>
        <w:wordWrap w:val="0"/>
        <w:spacing w:line="400" w:lineRule="exact"/>
        <w:ind w:right="-309" w:rightChars="-147"/>
        <w:rPr>
          <w:rFonts w:hint="eastAsia"/>
          <w:szCs w:val="21"/>
          <w:highlight w:val="none"/>
          <w:lang w:val="zh-CN"/>
        </w:rPr>
      </w:pPr>
    </w:p>
    <w:tbl>
      <w:tblPr>
        <w:tblStyle w:val="40"/>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585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类别</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内容</w:t>
            </w:r>
          </w:p>
        </w:tc>
        <w:tc>
          <w:tcPr>
            <w:tcW w:w="1200" w:type="dxa"/>
          </w:tcPr>
          <w:p>
            <w:pPr>
              <w:wordWrap w:val="0"/>
              <w:spacing w:line="400" w:lineRule="exact"/>
              <w:ind w:right="-309" w:rightChars="-147"/>
              <w:rPr>
                <w:sz w:val="18"/>
                <w:szCs w:val="18"/>
                <w:highlight w:val="none"/>
                <w:lang w:val="zh-CN"/>
              </w:rPr>
            </w:pPr>
            <w:r>
              <w:rPr>
                <w:rFonts w:hint="eastAsia"/>
                <w:sz w:val="18"/>
                <w:szCs w:val="18"/>
                <w:highlight w:val="none"/>
                <w:lang w:val="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7" w:type="dxa"/>
            <w:vMerge w:val="restart"/>
          </w:tcPr>
          <w:p>
            <w:pPr>
              <w:wordWrap w:val="0"/>
              <w:spacing w:line="400" w:lineRule="exact"/>
              <w:ind w:right="-309" w:rightChars="-147"/>
              <w:rPr>
                <w:sz w:val="18"/>
                <w:szCs w:val="18"/>
                <w:highlight w:val="none"/>
                <w:lang w:val="zh-CN"/>
              </w:rPr>
            </w:pPr>
            <w:r>
              <w:rPr>
                <w:rFonts w:hint="eastAsia"/>
                <w:sz w:val="18"/>
                <w:szCs w:val="18"/>
                <w:highlight w:val="none"/>
                <w:lang w:val="zh-CN"/>
              </w:rPr>
              <w:t>商务性要求</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身份证明及授权书</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文件密封、签署、盖章</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rPr>
            </w:pPr>
            <w:r>
              <w:rPr>
                <w:rFonts w:hint="eastAsia"/>
                <w:sz w:val="18"/>
                <w:szCs w:val="18"/>
                <w:highlight w:val="none"/>
              </w:rPr>
              <w:t>投标报价合理性</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rPr>
              <w:t>投标响应文件的承诺商务条款等内容</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技术性要求</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符合技术基本要求、技术资料完整性、技术资料真实性</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其它事项</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rPr>
              <w:t>无文件规定废标的条款</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是否通过</w:t>
            </w:r>
          </w:p>
        </w:tc>
        <w:tc>
          <w:tcPr>
            <w:tcW w:w="7059" w:type="dxa"/>
            <w:gridSpan w:val="2"/>
          </w:tcPr>
          <w:p>
            <w:pPr>
              <w:wordWrap w:val="0"/>
              <w:spacing w:line="400" w:lineRule="exact"/>
              <w:ind w:right="-309" w:rightChars="-147"/>
              <w:rPr>
                <w:sz w:val="18"/>
                <w:szCs w:val="18"/>
                <w:highlight w:val="none"/>
                <w:lang w:val="zh-CN"/>
              </w:rPr>
            </w:pPr>
          </w:p>
        </w:tc>
      </w:tr>
    </w:tbl>
    <w:p>
      <w:pPr>
        <w:pStyle w:val="13"/>
        <w:numPr>
          <w:ilvl w:val="0"/>
          <w:numId w:val="21"/>
        </w:numPr>
        <w:wordWrap w:val="0"/>
        <w:spacing w:line="440" w:lineRule="exact"/>
        <w:outlineLvl w:val="1"/>
        <w:rPr>
          <w:rFonts w:ascii="宋体" w:hAnsi="宋体" w:eastAsia="黑体" w:cs="宋体"/>
          <w:b/>
          <w:sz w:val="24"/>
          <w:szCs w:val="24"/>
          <w:highlight w:val="none"/>
        </w:rPr>
      </w:pPr>
      <w:bookmarkStart w:id="161" w:name="_Toc24750"/>
      <w:r>
        <w:rPr>
          <w:rFonts w:hint="eastAsia" w:ascii="黑体" w:hAnsi="黑体" w:eastAsia="黑体" w:cs="黑体"/>
          <w:b/>
          <w:bCs/>
          <w:sz w:val="24"/>
          <w:szCs w:val="24"/>
          <w:highlight w:val="none"/>
          <w:lang w:val="zh-CN"/>
        </w:rPr>
        <w:t>投标文件详审</w:t>
      </w:r>
      <w:bookmarkEnd w:id="161"/>
    </w:p>
    <w:p>
      <w:pPr>
        <w:wordWrap w:val="0"/>
        <w:spacing w:line="500" w:lineRule="exact"/>
        <w:ind w:right="67" w:rightChars="32" w:firstLine="420" w:firstLineChars="200"/>
        <w:rPr>
          <w:rFonts w:ascii="宋体" w:cs="宋体"/>
          <w:szCs w:val="21"/>
          <w:highlight w:val="none"/>
        </w:rPr>
      </w:pPr>
      <w:r>
        <w:rPr>
          <w:rFonts w:hint="eastAsia" w:ascii="宋体" w:hAnsi="宋体" w:cs="宋体"/>
          <w:szCs w:val="21"/>
          <w:highlight w:val="none"/>
          <w:lang w:val="zh-CN"/>
        </w:rPr>
        <w:t>综合得分总分</w:t>
      </w:r>
      <w:r>
        <w:rPr>
          <w:rFonts w:ascii="宋体" w:hAnsi="宋体" w:cs="宋体"/>
          <w:szCs w:val="21"/>
          <w:highlight w:val="none"/>
          <w:lang w:val="zh-CN"/>
        </w:rPr>
        <w:t>M100=</w:t>
      </w:r>
      <w:r>
        <w:rPr>
          <w:rFonts w:hint="eastAsia" w:ascii="宋体" w:hAnsi="宋体" w:cs="宋体"/>
          <w:szCs w:val="21"/>
          <w:highlight w:val="none"/>
          <w:lang w:val="zh-CN"/>
        </w:rPr>
        <w:t>价格</w:t>
      </w:r>
      <w:r>
        <w:rPr>
          <w:rFonts w:ascii="宋体" w:hAnsi="宋体" w:cs="宋体"/>
          <w:szCs w:val="21"/>
          <w:highlight w:val="none"/>
          <w:lang w:val="zh-CN"/>
        </w:rPr>
        <w:t>A</w:t>
      </w:r>
      <w:r>
        <w:rPr>
          <w:rFonts w:hint="eastAsia" w:ascii="宋体" w:hAnsi="宋体" w:cs="宋体"/>
          <w:szCs w:val="21"/>
          <w:highlight w:val="none"/>
          <w:lang w:val="en-US" w:eastAsia="zh-CN"/>
        </w:rPr>
        <w:t>7</w:t>
      </w:r>
      <w:r>
        <w:rPr>
          <w:rFonts w:hint="eastAsia" w:ascii="宋体" w:hAnsi="宋体" w:cs="宋体"/>
          <w:szCs w:val="21"/>
          <w:highlight w:val="none"/>
        </w:rPr>
        <w:t>0</w:t>
      </w:r>
      <w:r>
        <w:rPr>
          <w:rFonts w:ascii="宋体" w:hAnsi="宋体" w:cs="宋体"/>
          <w:szCs w:val="21"/>
          <w:highlight w:val="none"/>
        </w:rPr>
        <w:t>+</w:t>
      </w:r>
      <w:r>
        <w:rPr>
          <w:rFonts w:hint="eastAsia" w:ascii="宋体" w:hAnsi="宋体" w:cs="宋体"/>
          <w:szCs w:val="21"/>
          <w:highlight w:val="none"/>
          <w:lang w:val="zh-CN"/>
        </w:rPr>
        <w:t>技术方案</w:t>
      </w:r>
      <w:r>
        <w:rPr>
          <w:rFonts w:hint="eastAsia" w:ascii="宋体" w:hAnsi="宋体" w:cs="宋体"/>
          <w:szCs w:val="21"/>
          <w:highlight w:val="none"/>
          <w:lang w:val="en-US" w:eastAsia="zh-CN"/>
        </w:rPr>
        <w:t>B30</w:t>
      </w:r>
      <w:r>
        <w:rPr>
          <w:rFonts w:hint="eastAsia" w:ascii="宋体" w:cs="宋体"/>
          <w:szCs w:val="21"/>
          <w:highlight w:val="none"/>
          <w:lang w:val="zh-CN"/>
        </w:rPr>
        <w:t>，</w:t>
      </w:r>
      <w:r>
        <w:rPr>
          <w:rFonts w:hint="eastAsia" w:ascii="宋体" w:hAnsi="宋体" w:cs="宋体"/>
          <w:szCs w:val="21"/>
          <w:highlight w:val="none"/>
          <w:lang w:val="zh-CN"/>
        </w:rPr>
        <w:t>投标人商务价格得分和技术得分为评委计分的算术平均数。</w:t>
      </w:r>
    </w:p>
    <w:p>
      <w:pPr>
        <w:keepNext w:val="0"/>
        <w:keepLines w:val="0"/>
        <w:pageBreakBefore w:val="0"/>
        <w:widowControl w:val="0"/>
        <w:kinsoku/>
        <w:wordWrap w:val="0"/>
        <w:overflowPunct/>
        <w:topLinePunct w:val="0"/>
        <w:autoSpaceDE/>
        <w:autoSpaceDN/>
        <w:bidi w:val="0"/>
        <w:adjustRightInd/>
        <w:snapToGrid/>
        <w:spacing w:line="460" w:lineRule="exact"/>
        <w:textAlignment w:val="auto"/>
        <w:rPr>
          <w:rFonts w:hint="eastAsia" w:ascii="宋体" w:hAnsi="宋体" w:cs="宋体"/>
          <w:szCs w:val="21"/>
          <w:highlight w:val="none"/>
          <w:lang w:val="zh-CN"/>
        </w:rPr>
      </w:pPr>
      <w:r>
        <w:rPr>
          <w:rFonts w:hint="eastAsia" w:ascii="宋体" w:hAnsi="宋体" w:cs="宋体"/>
          <w:szCs w:val="21"/>
          <w:highlight w:val="none"/>
          <w:lang w:val="zh-CN"/>
        </w:rPr>
        <w:t>〈一〉、价格权值及计分。价格分Ａ＝</w:t>
      </w:r>
      <w:r>
        <w:rPr>
          <w:rFonts w:hint="eastAsia" w:ascii="宋体" w:hAnsi="宋体" w:cs="宋体"/>
          <w:szCs w:val="21"/>
          <w:highlight w:val="none"/>
          <w:lang w:val="en-US" w:eastAsia="zh-CN"/>
        </w:rPr>
        <w:t>70</w:t>
      </w:r>
      <w:r>
        <w:rPr>
          <w:rFonts w:hint="eastAsia" w:ascii="宋体" w:hAnsi="宋体" w:cs="宋体"/>
          <w:szCs w:val="21"/>
          <w:highlight w:val="none"/>
          <w:lang w:val="zh-CN"/>
        </w:rPr>
        <w:t>分</w:t>
      </w:r>
    </w:p>
    <w:p>
      <w:pPr>
        <w:wordWrap w:val="0"/>
        <w:spacing w:line="520" w:lineRule="exact"/>
        <w:rPr>
          <w:rFonts w:hint="eastAsia" w:ascii="宋体" w:hAnsi="宋体" w:cs="宋体"/>
          <w:szCs w:val="21"/>
          <w:highlight w:val="none"/>
          <w:lang w:val="zh-CN"/>
        </w:rPr>
      </w:pPr>
    </w:p>
    <w:tbl>
      <w:tblPr>
        <w:tblStyle w:val="40"/>
        <w:tblW w:w="9317" w:type="dxa"/>
        <w:tblInd w:w="10" w:type="dxa"/>
        <w:tblLayout w:type="fixed"/>
        <w:tblCellMar>
          <w:top w:w="0" w:type="dxa"/>
          <w:left w:w="10" w:type="dxa"/>
          <w:bottom w:w="0" w:type="dxa"/>
          <w:right w:w="10" w:type="dxa"/>
        </w:tblCellMar>
      </w:tblPr>
      <w:tblGrid>
        <w:gridCol w:w="1440"/>
        <w:gridCol w:w="7877"/>
      </w:tblGrid>
      <w:tr>
        <w:tblPrEx>
          <w:tblCellMar>
            <w:top w:w="0" w:type="dxa"/>
            <w:left w:w="10" w:type="dxa"/>
            <w:bottom w:w="0" w:type="dxa"/>
            <w:right w:w="10" w:type="dxa"/>
          </w:tblCellMar>
        </w:tblPrEx>
        <w:trPr>
          <w:trHeight w:val="450" w:hRule="atLeast"/>
        </w:trPr>
        <w:tc>
          <w:tcPr>
            <w:tcW w:w="1440" w:type="dxa"/>
            <w:tcBorders>
              <w:top w:val="single" w:color="auto" w:sz="4" w:space="0"/>
              <w:left w:val="single" w:color="auto" w:sz="6" w:space="0"/>
              <w:bottom w:val="single" w:color="auto" w:sz="6" w:space="0"/>
              <w:right w:val="single" w:color="auto" w:sz="4" w:space="0"/>
            </w:tcBorders>
            <w:vAlign w:val="center"/>
          </w:tcPr>
          <w:p>
            <w:pPr>
              <w:wordWrap w:val="0"/>
              <w:spacing w:line="400" w:lineRule="exact"/>
              <w:ind w:left="-1" w:leftChars="-290" w:hanging="608" w:hangingChars="338"/>
              <w:jc w:val="center"/>
              <w:rPr>
                <w:rFonts w:ascii="宋体" w:hAnsi="宋体" w:cs="宋体"/>
                <w:sz w:val="18"/>
                <w:szCs w:val="18"/>
                <w:highlight w:val="none"/>
                <w:lang w:val="zh-CN"/>
              </w:rPr>
            </w:pPr>
            <w:r>
              <w:rPr>
                <w:rFonts w:hint="eastAsia" w:ascii="宋体" w:hAnsi="宋体" w:cs="宋体"/>
                <w:sz w:val="18"/>
                <w:szCs w:val="18"/>
                <w:highlight w:val="none"/>
                <w:lang w:val="zh-CN"/>
              </w:rPr>
              <w:t>评审内容</w:t>
            </w:r>
          </w:p>
        </w:tc>
        <w:tc>
          <w:tcPr>
            <w:tcW w:w="7877" w:type="dxa"/>
            <w:tcBorders>
              <w:top w:val="single" w:color="auto" w:sz="4" w:space="0"/>
              <w:left w:val="single" w:color="auto" w:sz="4" w:space="0"/>
              <w:bottom w:val="single" w:color="auto" w:sz="6" w:space="0"/>
              <w:right w:val="single" w:color="auto" w:sz="4" w:space="0"/>
            </w:tcBorders>
            <w:vAlign w:val="center"/>
          </w:tcPr>
          <w:p>
            <w:pPr>
              <w:wordWrap w:val="0"/>
              <w:spacing w:line="400" w:lineRule="exact"/>
              <w:jc w:val="center"/>
              <w:rPr>
                <w:rFonts w:ascii="宋体" w:hAnsi="宋体" w:cs="宋体"/>
                <w:sz w:val="18"/>
                <w:szCs w:val="18"/>
                <w:highlight w:val="none"/>
                <w:lang w:val="zh-CN"/>
              </w:rPr>
            </w:pPr>
            <w:r>
              <w:rPr>
                <w:rFonts w:hint="eastAsia" w:ascii="宋体" w:hAnsi="宋体" w:cs="宋体"/>
                <w:sz w:val="18"/>
                <w:szCs w:val="18"/>
                <w:highlight w:val="none"/>
                <w:lang w:val="zh-CN"/>
              </w:rPr>
              <w:t>计分依据说明</w:t>
            </w:r>
          </w:p>
        </w:tc>
      </w:tr>
      <w:tr>
        <w:tblPrEx>
          <w:tblCellMar>
            <w:top w:w="0" w:type="dxa"/>
            <w:left w:w="10" w:type="dxa"/>
            <w:bottom w:w="0" w:type="dxa"/>
            <w:right w:w="10" w:type="dxa"/>
          </w:tblCellMar>
        </w:tblPrEx>
        <w:trPr>
          <w:trHeight w:val="1193" w:hRule="atLeast"/>
        </w:trPr>
        <w:tc>
          <w:tcPr>
            <w:tcW w:w="1440" w:type="dxa"/>
            <w:tcBorders>
              <w:top w:val="single" w:color="auto" w:sz="4" w:space="0"/>
              <w:left w:val="single" w:color="auto" w:sz="6" w:space="0"/>
              <w:bottom w:val="single" w:color="auto" w:sz="4" w:space="0"/>
              <w:right w:val="single" w:color="auto" w:sz="4" w:space="0"/>
            </w:tcBorders>
            <w:vAlign w:val="center"/>
          </w:tcPr>
          <w:p>
            <w:pPr>
              <w:wordWrap w:val="0"/>
              <w:spacing w:line="400" w:lineRule="exact"/>
              <w:rPr>
                <w:rFonts w:ascii="宋体" w:hAnsi="宋体" w:cs="宋体"/>
                <w:sz w:val="18"/>
                <w:szCs w:val="18"/>
                <w:highlight w:val="none"/>
                <w:lang w:val="zh-CN"/>
              </w:rPr>
            </w:pPr>
            <w:r>
              <w:rPr>
                <w:rFonts w:hint="eastAsia" w:ascii="宋体" w:hAnsi="宋体" w:cs="宋体"/>
                <w:sz w:val="18"/>
                <w:szCs w:val="18"/>
                <w:highlight w:val="none"/>
                <w:lang w:val="zh-CN"/>
              </w:rPr>
              <w:t>报价得分</w:t>
            </w:r>
            <w:r>
              <w:rPr>
                <w:rFonts w:hint="eastAsia" w:ascii="宋体" w:hAnsi="宋体" w:cs="宋体"/>
                <w:sz w:val="18"/>
                <w:szCs w:val="18"/>
                <w:highlight w:val="none"/>
                <w:lang w:val="en-US" w:eastAsia="zh-CN"/>
              </w:rPr>
              <w:t>70</w:t>
            </w:r>
            <w:r>
              <w:rPr>
                <w:rFonts w:hint="eastAsia" w:ascii="宋体" w:hAnsi="宋体" w:cs="宋体"/>
                <w:sz w:val="18"/>
                <w:szCs w:val="18"/>
                <w:highlight w:val="none"/>
                <w:lang w:val="zh-CN"/>
              </w:rPr>
              <w:t>分</w:t>
            </w:r>
          </w:p>
        </w:tc>
        <w:tc>
          <w:tcPr>
            <w:tcW w:w="7877" w:type="dxa"/>
            <w:tcBorders>
              <w:top w:val="single" w:color="auto" w:sz="4" w:space="0"/>
              <w:left w:val="single" w:color="auto" w:sz="4" w:space="0"/>
              <w:bottom w:val="single" w:color="auto" w:sz="4" w:space="0"/>
              <w:right w:val="single" w:color="auto" w:sz="4" w:space="0"/>
            </w:tcBorders>
            <w:vAlign w:val="center"/>
          </w:tcPr>
          <w:p>
            <w:pPr>
              <w:widowControl/>
              <w:wordWrap w:val="0"/>
              <w:rPr>
                <w:rFonts w:hint="eastAsia" w:ascii="宋体" w:hAnsi="宋体" w:cs="宋体"/>
                <w:sz w:val="18"/>
                <w:szCs w:val="18"/>
                <w:highlight w:val="none"/>
                <w:lang w:val="en-US" w:eastAsia="zh-Hans"/>
              </w:rPr>
            </w:pPr>
            <w:r>
              <w:rPr>
                <w:rFonts w:hint="eastAsia" w:ascii="宋体" w:hAnsi="宋体" w:cs="宋体"/>
                <w:sz w:val="18"/>
                <w:szCs w:val="18"/>
                <w:highlight w:val="none"/>
                <w:lang w:val="en-US" w:eastAsia="zh-CN"/>
              </w:rPr>
              <w:t>以杭州西奥电梯品牌报价</w:t>
            </w:r>
            <w:r>
              <w:rPr>
                <w:rFonts w:hint="eastAsia" w:ascii="宋体" w:hAnsi="宋体" w:cs="宋体"/>
                <w:sz w:val="18"/>
                <w:szCs w:val="18"/>
                <w:highlight w:val="none"/>
                <w:lang w:val="en-US" w:eastAsia="zh-Hans"/>
              </w:rPr>
              <w:t>（包含</w:t>
            </w:r>
            <w:r>
              <w:rPr>
                <w:rFonts w:hint="eastAsia" w:ascii="宋体" w:hAnsi="宋体" w:cs="宋体"/>
                <w:sz w:val="18"/>
                <w:szCs w:val="18"/>
                <w:highlight w:val="none"/>
                <w:lang w:val="en-US" w:eastAsia="zh-CN"/>
              </w:rPr>
              <w:t>电梯设备</w:t>
            </w:r>
            <w:r>
              <w:rPr>
                <w:rFonts w:hint="eastAsia" w:ascii="宋体" w:hAnsi="宋体" w:cs="宋体"/>
                <w:sz w:val="18"/>
                <w:szCs w:val="18"/>
                <w:highlight w:val="none"/>
                <w:lang w:val="en-US" w:eastAsia="zh-Hans"/>
              </w:rPr>
              <w:t>的采购费、运输</w:t>
            </w:r>
            <w:r>
              <w:rPr>
                <w:rFonts w:hint="eastAsia" w:ascii="宋体" w:hAnsi="宋体" w:cs="宋体"/>
                <w:sz w:val="18"/>
                <w:szCs w:val="18"/>
                <w:highlight w:val="none"/>
                <w:lang w:val="en-US" w:eastAsia="zh-CN"/>
              </w:rPr>
              <w:t>损耗</w:t>
            </w:r>
            <w:r>
              <w:rPr>
                <w:rFonts w:hint="eastAsia" w:ascii="宋体" w:hAnsi="宋体" w:cs="宋体"/>
                <w:sz w:val="18"/>
                <w:szCs w:val="18"/>
                <w:highlight w:val="none"/>
                <w:lang w:val="en-US" w:eastAsia="zh-Hans"/>
              </w:rPr>
              <w:t>费、</w:t>
            </w:r>
            <w:r>
              <w:rPr>
                <w:rFonts w:hint="eastAsia" w:ascii="宋体" w:hAnsi="宋体" w:cs="宋体"/>
                <w:sz w:val="18"/>
                <w:szCs w:val="18"/>
                <w:highlight w:val="none"/>
                <w:lang w:val="en-US" w:eastAsia="zh-CN"/>
              </w:rPr>
              <w:t>安装</w:t>
            </w:r>
            <w:r>
              <w:rPr>
                <w:rFonts w:hint="eastAsia" w:ascii="宋体" w:hAnsi="宋体" w:cs="宋体"/>
                <w:sz w:val="18"/>
                <w:szCs w:val="18"/>
                <w:highlight w:val="none"/>
                <w:lang w:val="en-US" w:eastAsia="zh-Hans"/>
              </w:rPr>
              <w:t>管理费、利润及</w:t>
            </w:r>
            <w:r>
              <w:rPr>
                <w:rFonts w:hint="eastAsia" w:ascii="宋体" w:hAnsi="宋体" w:cs="宋体"/>
                <w:sz w:val="18"/>
                <w:szCs w:val="18"/>
                <w:highlight w:val="none"/>
                <w:lang w:val="en-US" w:eastAsia="zh-CN"/>
              </w:rPr>
              <w:t>9</w:t>
            </w:r>
            <w:r>
              <w:rPr>
                <w:rFonts w:hint="eastAsia" w:ascii="宋体" w:hAnsi="宋体" w:cs="宋体"/>
                <w:sz w:val="18"/>
                <w:szCs w:val="18"/>
                <w:highlight w:val="none"/>
                <w:lang w:val="en-US" w:eastAsia="zh-Hans"/>
              </w:rPr>
              <w:t>%增值税专用发票等）</w:t>
            </w:r>
          </w:p>
          <w:p>
            <w:pPr>
              <w:widowControl/>
              <w:wordWrap w:val="0"/>
              <w:rPr>
                <w:rFonts w:hint="eastAsia" w:ascii="宋体" w:hAnsi="宋体" w:cs="宋体"/>
                <w:sz w:val="18"/>
                <w:szCs w:val="18"/>
                <w:highlight w:val="none"/>
                <w:lang w:val="en-US" w:eastAsia="zh-Hans"/>
              </w:rPr>
            </w:pPr>
            <w:r>
              <w:rPr>
                <w:rFonts w:hint="eastAsia" w:ascii="宋体" w:hAnsi="宋体" w:cs="宋体"/>
                <w:sz w:val="18"/>
                <w:szCs w:val="18"/>
                <w:highlight w:val="none"/>
                <w:lang w:val="en-US" w:eastAsia="zh-Hans"/>
              </w:rPr>
              <w:t>报价的控制范围（</w:t>
            </w:r>
            <w:r>
              <w:rPr>
                <w:rFonts w:hint="eastAsia" w:ascii="宋体" w:hAnsi="宋体" w:cs="宋体"/>
                <w:sz w:val="18"/>
                <w:szCs w:val="18"/>
                <w:highlight w:val="none"/>
                <w:lang w:val="en-US" w:eastAsia="zh-CN"/>
              </w:rPr>
              <w:t>165000</w:t>
            </w:r>
            <w:r>
              <w:rPr>
                <w:rFonts w:hint="eastAsia" w:ascii="宋体" w:hAnsi="宋体" w:cs="宋体"/>
                <w:sz w:val="18"/>
                <w:szCs w:val="18"/>
                <w:highlight w:val="none"/>
                <w:lang w:val="en-US" w:eastAsia="zh-Hans"/>
              </w:rPr>
              <w:t>元/</w:t>
            </w:r>
            <w:r>
              <w:rPr>
                <w:rFonts w:hint="eastAsia" w:ascii="宋体" w:hAnsi="宋体" w:cs="宋体"/>
                <w:sz w:val="18"/>
                <w:szCs w:val="18"/>
                <w:highlight w:val="none"/>
                <w:lang w:val="en-US" w:eastAsia="zh-CN"/>
              </w:rPr>
              <w:t>台</w:t>
            </w:r>
            <w:r>
              <w:rPr>
                <w:rFonts w:hint="eastAsia" w:ascii="宋体" w:hAnsi="宋体" w:cs="宋体"/>
                <w:sz w:val="18"/>
                <w:szCs w:val="18"/>
                <w:highlight w:val="none"/>
                <w:lang w:val="en-US" w:eastAsia="zh-Hans"/>
              </w:rPr>
              <w:t>≤X≤</w:t>
            </w:r>
            <w:r>
              <w:rPr>
                <w:rFonts w:hint="eastAsia" w:ascii="宋体" w:hAnsi="宋体" w:cs="宋体"/>
                <w:sz w:val="18"/>
                <w:szCs w:val="18"/>
                <w:highlight w:val="none"/>
                <w:lang w:val="en-US" w:eastAsia="zh-CN"/>
              </w:rPr>
              <w:t>185000</w:t>
            </w:r>
            <w:r>
              <w:rPr>
                <w:rFonts w:hint="eastAsia" w:ascii="宋体" w:hAnsi="宋体" w:cs="宋体"/>
                <w:sz w:val="18"/>
                <w:szCs w:val="18"/>
                <w:highlight w:val="none"/>
                <w:lang w:val="en-US" w:eastAsia="zh-Hans"/>
              </w:rPr>
              <w:t>元/</w:t>
            </w:r>
            <w:r>
              <w:rPr>
                <w:rFonts w:hint="eastAsia" w:ascii="宋体" w:hAnsi="宋体" w:cs="宋体"/>
                <w:sz w:val="18"/>
                <w:szCs w:val="18"/>
                <w:highlight w:val="none"/>
                <w:lang w:val="en-US" w:eastAsia="zh-CN"/>
              </w:rPr>
              <w:t>台</w:t>
            </w:r>
            <w:r>
              <w:rPr>
                <w:rFonts w:hint="eastAsia" w:ascii="宋体" w:hAnsi="宋体" w:cs="宋体"/>
                <w:sz w:val="18"/>
                <w:szCs w:val="18"/>
                <w:highlight w:val="none"/>
                <w:lang w:val="en-US" w:eastAsia="zh-Hans"/>
              </w:rPr>
              <w:t>）</w:t>
            </w:r>
          </w:p>
          <w:p>
            <w:pPr>
              <w:widowControl/>
              <w:wordWrap w:val="0"/>
              <w:rPr>
                <w:rFonts w:ascii="宋体" w:hAnsi="宋体" w:cs="宋体"/>
                <w:kern w:val="0"/>
                <w:sz w:val="18"/>
                <w:szCs w:val="18"/>
                <w:highlight w:val="none"/>
              </w:rPr>
            </w:pPr>
            <w:r>
              <w:rPr>
                <w:rFonts w:hint="eastAsia" w:ascii="宋体" w:hAnsi="宋体" w:cs="宋体"/>
                <w:sz w:val="18"/>
                <w:szCs w:val="18"/>
                <w:highlight w:val="none"/>
                <w:lang w:val="en-US" w:eastAsia="zh-Hans"/>
              </w:rPr>
              <w:t>投标商务报价得分计算：</w:t>
            </w:r>
            <w:r>
              <w:rPr>
                <w:rFonts w:hint="eastAsia" w:ascii="宋体" w:hAnsi="宋体" w:cs="宋体"/>
                <w:sz w:val="18"/>
                <w:szCs w:val="18"/>
                <w:highlight w:val="none"/>
                <w:lang w:val="en-US" w:eastAsia="zh-CN"/>
              </w:rPr>
              <w:t>F2</w:t>
            </w:r>
            <w:r>
              <w:rPr>
                <w:rFonts w:hint="eastAsia" w:ascii="宋体" w:hAnsi="宋体" w:cs="宋体"/>
                <w:sz w:val="18"/>
                <w:szCs w:val="18"/>
                <w:highlight w:val="none"/>
                <w:lang w:val="en-US" w:eastAsia="zh-Hans"/>
              </w:rPr>
              <w:t>=</w:t>
            </w:r>
            <w:r>
              <w:rPr>
                <w:rFonts w:hint="eastAsia" w:ascii="宋体" w:hAnsi="宋体" w:cs="宋体"/>
                <w:sz w:val="18"/>
                <w:szCs w:val="18"/>
                <w:highlight w:val="none"/>
                <w:lang w:val="en-US" w:eastAsia="zh-CN"/>
              </w:rPr>
              <w:t>7</w:t>
            </w:r>
            <w:r>
              <w:rPr>
                <w:rFonts w:hint="eastAsia" w:ascii="宋体" w:hAnsi="宋体" w:cs="宋体"/>
                <w:sz w:val="18"/>
                <w:szCs w:val="18"/>
                <w:highlight w:val="none"/>
                <w:lang w:val="en-US" w:eastAsia="zh-Hans"/>
              </w:rPr>
              <w:t>0-0.</w:t>
            </w:r>
            <w:r>
              <w:rPr>
                <w:rFonts w:hint="eastAsia" w:ascii="宋体" w:hAnsi="宋体" w:cs="宋体"/>
                <w:sz w:val="18"/>
                <w:szCs w:val="18"/>
                <w:highlight w:val="none"/>
                <w:lang w:val="en-US" w:eastAsia="zh-CN"/>
              </w:rPr>
              <w:t>001</w:t>
            </w:r>
            <w:r>
              <w:rPr>
                <w:rFonts w:hint="eastAsia" w:ascii="宋体" w:hAnsi="宋体" w:cs="宋体"/>
                <w:sz w:val="18"/>
                <w:szCs w:val="18"/>
                <w:highlight w:val="none"/>
                <w:lang w:val="en-US" w:eastAsia="zh-Hans"/>
              </w:rPr>
              <w:t>*(X-</w:t>
            </w:r>
            <w:r>
              <w:rPr>
                <w:rFonts w:hint="eastAsia" w:ascii="宋体" w:hAnsi="宋体" w:cs="宋体"/>
                <w:sz w:val="18"/>
                <w:szCs w:val="18"/>
                <w:highlight w:val="none"/>
                <w:lang w:val="en-US" w:eastAsia="zh-CN"/>
              </w:rPr>
              <w:t>165000</w:t>
            </w:r>
            <w:r>
              <w:rPr>
                <w:rFonts w:hint="eastAsia" w:ascii="宋体" w:hAnsi="宋体" w:cs="宋体"/>
                <w:sz w:val="18"/>
                <w:szCs w:val="18"/>
                <w:highlight w:val="none"/>
                <w:lang w:val="en-US" w:eastAsia="zh-Hans"/>
              </w:rPr>
              <w:t>)</w:t>
            </w:r>
          </w:p>
        </w:tc>
      </w:tr>
    </w:tbl>
    <w:p>
      <w:pPr>
        <w:wordWrap w:val="0"/>
        <w:spacing w:line="520" w:lineRule="exact"/>
        <w:rPr>
          <w:rFonts w:ascii="宋体" w:hAnsi="宋体" w:cs="宋体"/>
          <w:szCs w:val="21"/>
          <w:highlight w:val="none"/>
          <w:lang w:val="zh-CN"/>
        </w:rPr>
      </w:pPr>
      <w:r>
        <w:rPr>
          <w:rFonts w:hint="eastAsia" w:ascii="宋体" w:hAnsi="宋体" w:cs="宋体"/>
          <w:szCs w:val="21"/>
          <w:highlight w:val="none"/>
          <w:lang w:val="zh-CN"/>
        </w:rPr>
        <w:t>〈二〉、技术权值及计分。技术Ｃ=</w:t>
      </w:r>
      <w:r>
        <w:rPr>
          <w:rFonts w:hint="eastAsia" w:ascii="宋体" w:hAnsi="宋体" w:cs="宋体"/>
          <w:szCs w:val="21"/>
          <w:highlight w:val="none"/>
          <w:lang w:val="en-US" w:eastAsia="zh-CN"/>
        </w:rPr>
        <w:t>30</w:t>
      </w:r>
      <w:r>
        <w:rPr>
          <w:rFonts w:hint="eastAsia" w:ascii="宋体" w:hAnsi="宋体" w:cs="宋体"/>
          <w:szCs w:val="21"/>
          <w:highlight w:val="none"/>
          <w:lang w:val="zh-CN"/>
        </w:rPr>
        <w:t>分</w:t>
      </w:r>
    </w:p>
    <w:tbl>
      <w:tblPr>
        <w:tblStyle w:val="40"/>
        <w:tblW w:w="8692" w:type="dxa"/>
        <w:jc w:val="center"/>
        <w:tblLayout w:type="fixed"/>
        <w:tblCellMar>
          <w:top w:w="0" w:type="dxa"/>
          <w:left w:w="108" w:type="dxa"/>
          <w:bottom w:w="0" w:type="dxa"/>
          <w:right w:w="108" w:type="dxa"/>
        </w:tblCellMar>
      </w:tblPr>
      <w:tblGrid>
        <w:gridCol w:w="3415"/>
        <w:gridCol w:w="851"/>
        <w:gridCol w:w="4426"/>
      </w:tblGrid>
      <w:tr>
        <w:tblPrEx>
          <w:tblCellMar>
            <w:top w:w="0" w:type="dxa"/>
            <w:left w:w="108" w:type="dxa"/>
            <w:bottom w:w="0" w:type="dxa"/>
            <w:right w:w="108" w:type="dxa"/>
          </w:tblCellMar>
        </w:tblPrEx>
        <w:trPr>
          <w:trHeight w:val="397"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sz w:val="18"/>
                <w:szCs w:val="18"/>
                <w:highlight w:val="none"/>
              </w:rPr>
              <w:t>评审内容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4426" w:type="dxa"/>
            <w:tcBorders>
              <w:top w:val="single" w:color="auto" w:sz="4" w:space="0"/>
              <w:left w:val="nil"/>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评审标准</w:t>
            </w:r>
          </w:p>
        </w:tc>
      </w:tr>
      <w:tr>
        <w:tblPrEx>
          <w:tblCellMar>
            <w:top w:w="0" w:type="dxa"/>
            <w:left w:w="108" w:type="dxa"/>
            <w:bottom w:w="0" w:type="dxa"/>
            <w:right w:w="108" w:type="dxa"/>
          </w:tblCellMar>
        </w:tblPrEx>
        <w:trPr>
          <w:trHeight w:val="1249"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eastAsia="zh-CN"/>
              </w:rPr>
              <w:t>安装</w:t>
            </w:r>
            <w:r>
              <w:rPr>
                <w:rFonts w:hint="eastAsia" w:ascii="宋体" w:hAnsi="宋体" w:cs="宋体"/>
                <w:kern w:val="0"/>
                <w:sz w:val="18"/>
                <w:szCs w:val="18"/>
                <w:highlight w:val="none"/>
              </w:rPr>
              <w:t>实施方案</w:t>
            </w:r>
          </w:p>
        </w:tc>
        <w:tc>
          <w:tcPr>
            <w:tcW w:w="85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10</w:t>
            </w:r>
            <w:r>
              <w:rPr>
                <w:rFonts w:hint="eastAsia" w:ascii="宋体" w:hAnsi="宋体" w:cs="宋体"/>
                <w:kern w:val="0"/>
                <w:sz w:val="18"/>
                <w:szCs w:val="18"/>
                <w:highlight w:val="none"/>
              </w:rPr>
              <w:t>分</w:t>
            </w:r>
          </w:p>
        </w:tc>
        <w:tc>
          <w:tcPr>
            <w:tcW w:w="4426" w:type="dxa"/>
            <w:tcBorders>
              <w:top w:val="single" w:color="auto" w:sz="4" w:space="0"/>
              <w:left w:val="single" w:color="auto" w:sz="4" w:space="0"/>
              <w:bottom w:val="single" w:color="auto" w:sz="4" w:space="0"/>
              <w:right w:val="single" w:color="auto" w:sz="4" w:space="0"/>
            </w:tcBorders>
            <w:vAlign w:val="center"/>
          </w:tcPr>
          <w:p>
            <w:pPr>
              <w:widowControl/>
              <w:wordWrap w:val="0"/>
              <w:rPr>
                <w:rFonts w:hint="eastAsia" w:ascii="宋体" w:hAnsi="宋体" w:cs="宋体"/>
                <w:sz w:val="18"/>
                <w:szCs w:val="18"/>
                <w:highlight w:val="none"/>
                <w:lang w:val="en-US" w:eastAsia="zh-Hans"/>
              </w:rPr>
            </w:pPr>
            <w:r>
              <w:rPr>
                <w:rFonts w:hint="eastAsia" w:ascii="宋体" w:hAnsi="宋体" w:cs="宋体"/>
                <w:sz w:val="18"/>
                <w:szCs w:val="18"/>
                <w:highlight w:val="none"/>
                <w:lang w:val="en-US" w:eastAsia="zh-Hans"/>
              </w:rPr>
              <w:t>针对项目实际情况有先进、具体、完整、可行的实施措施，</w:t>
            </w:r>
            <w:r>
              <w:rPr>
                <w:rFonts w:hint="eastAsia" w:ascii="宋体" w:hAnsi="宋体" w:cs="宋体"/>
                <w:sz w:val="18"/>
                <w:szCs w:val="18"/>
                <w:highlight w:val="none"/>
                <w:lang w:val="en-US" w:eastAsia="zh-CN"/>
              </w:rPr>
              <w:t>安装</w:t>
            </w:r>
            <w:r>
              <w:rPr>
                <w:rFonts w:hint="eastAsia" w:ascii="宋体" w:hAnsi="宋体" w:cs="宋体"/>
                <w:sz w:val="18"/>
                <w:szCs w:val="18"/>
                <w:highlight w:val="none"/>
                <w:lang w:val="en-US" w:eastAsia="zh-Hans"/>
              </w:rPr>
              <w:t>实施方案优秀得</w:t>
            </w:r>
            <w:r>
              <w:rPr>
                <w:rFonts w:hint="eastAsia" w:ascii="宋体" w:hAnsi="宋体" w:cs="宋体"/>
                <w:sz w:val="18"/>
                <w:szCs w:val="18"/>
                <w:highlight w:val="none"/>
                <w:lang w:val="en-US" w:eastAsia="zh-CN"/>
              </w:rPr>
              <w:t>8-10</w:t>
            </w:r>
            <w:r>
              <w:rPr>
                <w:rFonts w:hint="eastAsia" w:ascii="宋体" w:hAnsi="宋体" w:cs="宋体"/>
                <w:sz w:val="18"/>
                <w:szCs w:val="18"/>
                <w:highlight w:val="none"/>
                <w:lang w:val="en-US" w:eastAsia="zh-Hans"/>
              </w:rPr>
              <w:t>分；</w:t>
            </w:r>
            <w:r>
              <w:rPr>
                <w:rFonts w:hint="eastAsia" w:ascii="宋体" w:hAnsi="宋体" w:cs="宋体"/>
                <w:sz w:val="18"/>
                <w:szCs w:val="18"/>
                <w:highlight w:val="none"/>
                <w:lang w:val="en-US" w:eastAsia="zh-CN"/>
              </w:rPr>
              <w:t>安装</w:t>
            </w:r>
            <w:r>
              <w:rPr>
                <w:rFonts w:hint="eastAsia" w:ascii="宋体" w:hAnsi="宋体" w:cs="宋体"/>
                <w:sz w:val="18"/>
                <w:szCs w:val="18"/>
                <w:highlight w:val="none"/>
                <w:lang w:val="en-US" w:eastAsia="zh-Hans"/>
              </w:rPr>
              <w:t>实施方案合理得</w:t>
            </w:r>
            <w:r>
              <w:rPr>
                <w:rFonts w:hint="eastAsia" w:ascii="宋体" w:hAnsi="宋体" w:cs="宋体"/>
                <w:sz w:val="18"/>
                <w:szCs w:val="18"/>
                <w:highlight w:val="none"/>
                <w:lang w:val="en-US" w:eastAsia="zh-CN"/>
              </w:rPr>
              <w:t>4-7</w:t>
            </w:r>
            <w:r>
              <w:rPr>
                <w:rFonts w:hint="eastAsia" w:ascii="宋体" w:hAnsi="宋体" w:cs="宋体"/>
                <w:sz w:val="18"/>
                <w:szCs w:val="18"/>
                <w:highlight w:val="none"/>
                <w:lang w:val="en-US" w:eastAsia="zh-Hans"/>
              </w:rPr>
              <w:t>分；</w:t>
            </w:r>
            <w:r>
              <w:rPr>
                <w:rFonts w:hint="eastAsia" w:ascii="宋体" w:hAnsi="宋体" w:cs="宋体"/>
                <w:sz w:val="18"/>
                <w:szCs w:val="18"/>
                <w:highlight w:val="none"/>
                <w:lang w:val="en-US" w:eastAsia="zh-CN"/>
              </w:rPr>
              <w:t>安装</w:t>
            </w:r>
            <w:r>
              <w:rPr>
                <w:rFonts w:hint="eastAsia" w:ascii="宋体" w:hAnsi="宋体" w:cs="宋体"/>
                <w:sz w:val="18"/>
                <w:szCs w:val="18"/>
                <w:highlight w:val="none"/>
                <w:lang w:val="en-US" w:eastAsia="zh-Hans"/>
              </w:rPr>
              <w:t>实施方案一般得</w:t>
            </w:r>
            <w:r>
              <w:rPr>
                <w:rFonts w:hint="default" w:ascii="宋体" w:hAnsi="宋体" w:cs="宋体"/>
                <w:sz w:val="18"/>
                <w:szCs w:val="18"/>
                <w:highlight w:val="none"/>
                <w:lang w:val="en-US" w:eastAsia="zh-Hans"/>
              </w:rPr>
              <w:t>0-</w:t>
            </w:r>
            <w:r>
              <w:rPr>
                <w:rFonts w:hint="eastAsia" w:ascii="宋体" w:hAnsi="宋体" w:cs="宋体"/>
                <w:sz w:val="18"/>
                <w:szCs w:val="18"/>
                <w:highlight w:val="none"/>
                <w:lang w:val="en-US" w:eastAsia="zh-CN"/>
              </w:rPr>
              <w:t>3</w:t>
            </w:r>
            <w:r>
              <w:rPr>
                <w:rFonts w:hint="eastAsia" w:ascii="宋体" w:hAnsi="宋体" w:cs="宋体"/>
                <w:sz w:val="18"/>
                <w:szCs w:val="18"/>
                <w:highlight w:val="none"/>
                <w:lang w:val="en-US" w:eastAsia="zh-Hans"/>
              </w:rPr>
              <w:t>分；</w:t>
            </w:r>
          </w:p>
        </w:tc>
      </w:tr>
      <w:tr>
        <w:tblPrEx>
          <w:tblCellMar>
            <w:top w:w="0" w:type="dxa"/>
            <w:left w:w="108" w:type="dxa"/>
            <w:bottom w:w="0" w:type="dxa"/>
            <w:right w:w="108" w:type="dxa"/>
          </w:tblCellMar>
        </w:tblPrEx>
        <w:trPr>
          <w:trHeight w:val="992"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rPr>
              <w:t>质量控制措施</w:t>
            </w:r>
          </w:p>
        </w:tc>
        <w:tc>
          <w:tcPr>
            <w:tcW w:w="85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rPr>
              <w:t>分</w:t>
            </w:r>
          </w:p>
        </w:tc>
        <w:tc>
          <w:tcPr>
            <w:tcW w:w="4426" w:type="dxa"/>
            <w:tcBorders>
              <w:top w:val="single" w:color="auto" w:sz="4" w:space="0"/>
              <w:left w:val="single" w:color="auto" w:sz="4" w:space="0"/>
              <w:bottom w:val="single" w:color="auto" w:sz="4" w:space="0"/>
              <w:right w:val="single" w:color="auto" w:sz="4" w:space="0"/>
            </w:tcBorders>
            <w:vAlign w:val="center"/>
          </w:tcPr>
          <w:p>
            <w:pPr>
              <w:widowControl/>
              <w:wordWrap w:val="0"/>
              <w:rPr>
                <w:rFonts w:hint="eastAsia" w:ascii="宋体" w:hAnsi="宋体" w:cs="宋体"/>
                <w:sz w:val="18"/>
                <w:szCs w:val="18"/>
                <w:highlight w:val="none"/>
                <w:lang w:val="en-US" w:eastAsia="zh-Hans"/>
              </w:rPr>
            </w:pPr>
            <w:r>
              <w:rPr>
                <w:rFonts w:hint="eastAsia" w:ascii="宋体" w:hAnsi="宋体" w:cs="宋体"/>
                <w:sz w:val="18"/>
                <w:szCs w:val="18"/>
                <w:highlight w:val="none"/>
                <w:lang w:val="en-US" w:eastAsia="zh-Hans"/>
              </w:rPr>
              <w:t>确保工程质量施工等的措施方案</w:t>
            </w:r>
            <w:r>
              <w:rPr>
                <w:rFonts w:hint="eastAsia" w:ascii="宋体" w:hAnsi="宋体" w:cs="宋体"/>
                <w:sz w:val="18"/>
                <w:szCs w:val="18"/>
                <w:highlight w:val="none"/>
                <w:lang w:val="en-US" w:eastAsia="zh-CN"/>
              </w:rPr>
              <w:t>优秀</w:t>
            </w:r>
            <w:r>
              <w:rPr>
                <w:rFonts w:hint="eastAsia" w:ascii="宋体" w:hAnsi="宋体" w:cs="宋体"/>
                <w:sz w:val="18"/>
                <w:szCs w:val="18"/>
                <w:highlight w:val="none"/>
                <w:lang w:val="en-US" w:eastAsia="zh-Hans"/>
              </w:rPr>
              <w:t>得</w:t>
            </w:r>
            <w:r>
              <w:rPr>
                <w:rFonts w:hint="default" w:ascii="宋体" w:hAnsi="宋体" w:cs="宋体"/>
                <w:sz w:val="18"/>
                <w:szCs w:val="18"/>
                <w:highlight w:val="none"/>
                <w:lang w:val="en-US" w:eastAsia="zh-Hans"/>
              </w:rPr>
              <w:t>4-5</w:t>
            </w:r>
            <w:r>
              <w:rPr>
                <w:rFonts w:hint="eastAsia" w:ascii="宋体" w:hAnsi="宋体" w:cs="宋体"/>
                <w:sz w:val="18"/>
                <w:szCs w:val="18"/>
                <w:highlight w:val="none"/>
                <w:lang w:val="en-US" w:eastAsia="zh-Hans"/>
              </w:rPr>
              <w:t>分；方案完整合理得</w:t>
            </w:r>
            <w:r>
              <w:rPr>
                <w:rFonts w:hint="default" w:ascii="宋体" w:hAnsi="宋体" w:cs="宋体"/>
                <w:sz w:val="18"/>
                <w:szCs w:val="18"/>
                <w:highlight w:val="none"/>
                <w:lang w:val="en-US" w:eastAsia="zh-Hans"/>
              </w:rPr>
              <w:t>2-3</w:t>
            </w:r>
            <w:r>
              <w:rPr>
                <w:rFonts w:hint="eastAsia" w:ascii="宋体" w:hAnsi="宋体" w:cs="宋体"/>
                <w:sz w:val="18"/>
                <w:szCs w:val="18"/>
                <w:highlight w:val="none"/>
                <w:lang w:val="en-US" w:eastAsia="zh-Hans"/>
              </w:rPr>
              <w:t>分；方案</w:t>
            </w:r>
            <w:r>
              <w:rPr>
                <w:rFonts w:hint="eastAsia" w:ascii="宋体" w:hAnsi="宋体" w:cs="宋体"/>
                <w:sz w:val="18"/>
                <w:szCs w:val="18"/>
                <w:highlight w:val="none"/>
                <w:lang w:val="en-US" w:eastAsia="zh-CN"/>
              </w:rPr>
              <w:t>一般</w:t>
            </w:r>
            <w:r>
              <w:rPr>
                <w:rFonts w:hint="eastAsia" w:ascii="宋体" w:hAnsi="宋体" w:cs="宋体"/>
                <w:sz w:val="18"/>
                <w:szCs w:val="18"/>
                <w:highlight w:val="none"/>
                <w:lang w:val="en-US" w:eastAsia="zh-Hans"/>
              </w:rPr>
              <w:t>得</w:t>
            </w:r>
            <w:r>
              <w:rPr>
                <w:rFonts w:hint="default" w:ascii="宋体" w:hAnsi="宋体" w:cs="宋体"/>
                <w:sz w:val="18"/>
                <w:szCs w:val="18"/>
                <w:highlight w:val="none"/>
                <w:lang w:val="en-US" w:eastAsia="zh-Hans"/>
              </w:rPr>
              <w:t>0-1</w:t>
            </w:r>
            <w:r>
              <w:rPr>
                <w:rFonts w:hint="eastAsia" w:ascii="宋体" w:hAnsi="宋体" w:cs="宋体"/>
                <w:sz w:val="18"/>
                <w:szCs w:val="18"/>
                <w:highlight w:val="none"/>
                <w:lang w:val="en-US" w:eastAsia="zh-Hans"/>
              </w:rPr>
              <w:t>分。</w:t>
            </w:r>
          </w:p>
        </w:tc>
      </w:tr>
      <w:tr>
        <w:tblPrEx>
          <w:tblCellMar>
            <w:top w:w="0" w:type="dxa"/>
            <w:left w:w="108" w:type="dxa"/>
            <w:bottom w:w="0" w:type="dxa"/>
            <w:right w:w="108" w:type="dxa"/>
          </w:tblCellMar>
        </w:tblPrEx>
        <w:trPr>
          <w:trHeight w:val="1212"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ascii="宋体" w:hAnsi="宋体" w:cs="宋体"/>
                <w:kern w:val="0"/>
                <w:sz w:val="18"/>
                <w:szCs w:val="18"/>
                <w:highlight w:val="none"/>
                <w:lang w:val="en-US" w:eastAsia="zh-Hans"/>
              </w:rPr>
            </w:pPr>
            <w:r>
              <w:rPr>
                <w:rFonts w:hint="eastAsia" w:ascii="宋体" w:hAnsi="宋体" w:cs="宋体"/>
                <w:kern w:val="0"/>
                <w:sz w:val="18"/>
                <w:szCs w:val="18"/>
                <w:highlight w:val="none"/>
                <w:lang w:val="en-US" w:eastAsia="zh-Hans"/>
              </w:rPr>
              <w:t>供货实力</w:t>
            </w:r>
          </w:p>
          <w:p>
            <w:pPr>
              <w:widowControl/>
              <w:wordWrap w:val="0"/>
              <w:jc w:val="center"/>
              <w:rPr>
                <w:rFonts w:hint="eastAsia" w:ascii="宋体" w:hAnsi="宋体" w:cs="宋体"/>
                <w:kern w:val="0"/>
                <w:sz w:val="18"/>
                <w:szCs w:val="18"/>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10分</w:t>
            </w:r>
          </w:p>
        </w:tc>
        <w:tc>
          <w:tcPr>
            <w:tcW w:w="4426" w:type="dxa"/>
            <w:tcBorders>
              <w:top w:val="single" w:color="auto" w:sz="4" w:space="0"/>
              <w:left w:val="single" w:color="auto" w:sz="4" w:space="0"/>
              <w:bottom w:val="single" w:color="auto" w:sz="4" w:space="0"/>
              <w:right w:val="single" w:color="auto" w:sz="4" w:space="0"/>
            </w:tcBorders>
            <w:vAlign w:val="center"/>
          </w:tcPr>
          <w:p>
            <w:pPr>
              <w:widowControl/>
              <w:wordWrap w:val="0"/>
              <w:rPr>
                <w:rFonts w:hint="eastAsia" w:ascii="宋体" w:hAnsi="宋体" w:cs="宋体"/>
                <w:sz w:val="18"/>
                <w:szCs w:val="18"/>
                <w:highlight w:val="none"/>
                <w:lang w:val="en-US" w:eastAsia="zh-Hans"/>
              </w:rPr>
            </w:pPr>
            <w:r>
              <w:rPr>
                <w:rFonts w:hint="eastAsia" w:ascii="宋体" w:hAnsi="宋体" w:cs="宋体"/>
                <w:sz w:val="18"/>
                <w:szCs w:val="18"/>
                <w:highlight w:val="none"/>
                <w:lang w:val="en-US" w:eastAsia="zh-Hans"/>
              </w:rPr>
              <w:t>近</w:t>
            </w:r>
            <w:r>
              <w:rPr>
                <w:rFonts w:hint="default" w:ascii="宋体" w:hAnsi="宋体" w:cs="宋体"/>
                <w:sz w:val="18"/>
                <w:szCs w:val="18"/>
                <w:highlight w:val="none"/>
                <w:lang w:val="en-US" w:eastAsia="zh-Hans"/>
              </w:rPr>
              <w:t>2</w:t>
            </w:r>
            <w:r>
              <w:rPr>
                <w:rFonts w:hint="eastAsia" w:ascii="宋体" w:hAnsi="宋体" w:cs="宋体"/>
                <w:sz w:val="18"/>
                <w:szCs w:val="18"/>
                <w:highlight w:val="none"/>
                <w:lang w:val="en-US" w:eastAsia="zh-Hans"/>
              </w:rPr>
              <w:t>年的</w:t>
            </w:r>
            <w:r>
              <w:rPr>
                <w:rFonts w:hint="eastAsia" w:ascii="宋体" w:hAnsi="宋体" w:cs="宋体"/>
                <w:sz w:val="18"/>
                <w:szCs w:val="18"/>
                <w:highlight w:val="none"/>
                <w:lang w:val="en-US" w:eastAsia="zh-CN"/>
              </w:rPr>
              <w:t>电梯采购安装合同台数</w:t>
            </w:r>
            <w:r>
              <w:rPr>
                <w:rFonts w:hint="eastAsia" w:ascii="宋体" w:hAnsi="宋体" w:cs="宋体"/>
                <w:sz w:val="18"/>
                <w:szCs w:val="18"/>
                <w:highlight w:val="none"/>
                <w:lang w:val="en-US" w:eastAsia="zh-Hans"/>
              </w:rPr>
              <w:t>最多的得</w:t>
            </w:r>
            <w:r>
              <w:rPr>
                <w:rFonts w:hint="eastAsia" w:ascii="宋体" w:hAnsi="宋体" w:cs="宋体"/>
                <w:sz w:val="18"/>
                <w:szCs w:val="18"/>
                <w:highlight w:val="none"/>
                <w:lang w:val="en-US" w:eastAsia="zh-CN"/>
              </w:rPr>
              <w:t>8</w:t>
            </w:r>
            <w:r>
              <w:rPr>
                <w:rFonts w:hint="eastAsia" w:ascii="宋体" w:hAnsi="宋体" w:cs="宋体"/>
                <w:sz w:val="18"/>
                <w:szCs w:val="18"/>
                <w:highlight w:val="none"/>
                <w:lang w:val="en-US" w:eastAsia="zh-Hans"/>
              </w:rPr>
              <w:t>分，名次每低一位</w:t>
            </w:r>
            <w:r>
              <w:rPr>
                <w:rFonts w:hint="eastAsia" w:ascii="宋体" w:hAnsi="宋体" w:cs="宋体"/>
                <w:sz w:val="18"/>
                <w:szCs w:val="18"/>
                <w:highlight w:val="none"/>
                <w:lang w:val="en-US" w:eastAsia="zh-CN"/>
              </w:rPr>
              <w:t>扣</w:t>
            </w:r>
            <w:r>
              <w:rPr>
                <w:rFonts w:hint="default" w:ascii="宋体" w:hAnsi="宋体" w:cs="宋体"/>
                <w:sz w:val="18"/>
                <w:szCs w:val="18"/>
                <w:highlight w:val="none"/>
                <w:lang w:val="en-US" w:eastAsia="zh-Hans"/>
              </w:rPr>
              <w:t>0.5</w:t>
            </w:r>
            <w:r>
              <w:rPr>
                <w:rFonts w:hint="eastAsia" w:ascii="宋体" w:hAnsi="宋体" w:cs="宋体"/>
                <w:sz w:val="18"/>
                <w:szCs w:val="18"/>
                <w:highlight w:val="none"/>
                <w:lang w:val="en-US" w:eastAsia="zh-Hans"/>
              </w:rPr>
              <w:t>分；（需提供合同证明）</w:t>
            </w:r>
          </w:p>
          <w:p>
            <w:pPr>
              <w:widowControl/>
              <w:wordWrap w:val="0"/>
              <w:rPr>
                <w:rFonts w:hint="eastAsia" w:ascii="宋体" w:hAnsi="宋体" w:cs="宋体"/>
                <w:sz w:val="18"/>
                <w:szCs w:val="18"/>
                <w:highlight w:val="none"/>
                <w:lang w:val="en-US" w:eastAsia="zh-Hans"/>
              </w:rPr>
            </w:pPr>
            <w:r>
              <w:rPr>
                <w:rFonts w:hint="eastAsia" w:ascii="宋体" w:hAnsi="宋体" w:cs="宋体"/>
                <w:sz w:val="18"/>
                <w:szCs w:val="18"/>
                <w:highlight w:val="none"/>
                <w:lang w:val="en-US" w:eastAsia="zh-CN"/>
              </w:rPr>
              <w:t>有杭州西奥品牌代理权限的加2分。</w:t>
            </w:r>
          </w:p>
        </w:tc>
      </w:tr>
      <w:tr>
        <w:tblPrEx>
          <w:tblCellMar>
            <w:top w:w="0" w:type="dxa"/>
            <w:left w:w="108" w:type="dxa"/>
            <w:bottom w:w="0" w:type="dxa"/>
            <w:right w:w="108" w:type="dxa"/>
          </w:tblCellMar>
        </w:tblPrEx>
        <w:trPr>
          <w:trHeight w:val="1212"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ascii="宋体" w:hAnsi="宋体" w:cs="宋体"/>
                <w:kern w:val="0"/>
                <w:sz w:val="18"/>
                <w:szCs w:val="18"/>
                <w:highlight w:val="none"/>
                <w:lang w:val="en-US" w:eastAsia="zh-Hans"/>
              </w:rPr>
            </w:pPr>
            <w:r>
              <w:rPr>
                <w:rFonts w:hint="eastAsia" w:ascii="宋体" w:hAnsi="宋体" w:cs="宋体"/>
                <w:kern w:val="0"/>
                <w:sz w:val="18"/>
                <w:szCs w:val="18"/>
                <w:highlight w:val="none"/>
                <w:lang w:val="en-US" w:eastAsia="zh-CN"/>
              </w:rPr>
              <w:t>安装及调试人员配置</w:t>
            </w:r>
          </w:p>
          <w:p>
            <w:pPr>
              <w:widowControl/>
              <w:wordWrap w:val="0"/>
              <w:jc w:val="center"/>
              <w:rPr>
                <w:rFonts w:hint="eastAsia" w:ascii="宋体" w:hAnsi="宋体" w:cs="宋体"/>
                <w:kern w:val="0"/>
                <w:sz w:val="18"/>
                <w:szCs w:val="18"/>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5分</w:t>
            </w:r>
          </w:p>
        </w:tc>
        <w:tc>
          <w:tcPr>
            <w:tcW w:w="4426" w:type="dxa"/>
            <w:tcBorders>
              <w:top w:val="single" w:color="auto" w:sz="4" w:space="0"/>
              <w:left w:val="single" w:color="auto" w:sz="4" w:space="0"/>
              <w:bottom w:val="single" w:color="auto" w:sz="4" w:space="0"/>
              <w:right w:val="single" w:color="auto" w:sz="4" w:space="0"/>
            </w:tcBorders>
            <w:vAlign w:val="center"/>
          </w:tcPr>
          <w:p>
            <w:pPr>
              <w:widowControl/>
              <w:wordWrap w:val="0"/>
              <w:rPr>
                <w:rFonts w:hint="eastAsia" w:ascii="宋体" w:hAnsi="宋体" w:cs="宋体"/>
                <w:sz w:val="18"/>
                <w:szCs w:val="18"/>
                <w:highlight w:val="none"/>
                <w:lang w:val="en-US" w:eastAsia="zh-Hans"/>
              </w:rPr>
            </w:pPr>
            <w:r>
              <w:rPr>
                <w:rFonts w:hint="eastAsia" w:ascii="宋体" w:hAnsi="宋体" w:cs="宋体"/>
                <w:sz w:val="18"/>
                <w:szCs w:val="18"/>
                <w:highlight w:val="none"/>
                <w:lang w:val="en-US" w:eastAsia="zh-CN"/>
              </w:rPr>
              <w:t>安装及调试人员配置满足特种设备安装要求且安装人员具有相应特种作业资格证书，配备齐全的得5分，不齐全的得0分。</w:t>
            </w:r>
          </w:p>
        </w:tc>
      </w:tr>
    </w:tbl>
    <w:p>
      <w:pPr>
        <w:tabs>
          <w:tab w:val="left" w:pos="360"/>
        </w:tabs>
        <w:wordWrap w:val="0"/>
        <w:spacing w:line="560" w:lineRule="exact"/>
        <w:ind w:right="-183" w:rightChars="-87"/>
        <w:rPr>
          <w:rFonts w:ascii="宋体" w:cs="宋体"/>
          <w:szCs w:val="21"/>
          <w:highlight w:val="none"/>
          <w:lang w:val="zh-CN"/>
        </w:rPr>
      </w:pPr>
      <w:r>
        <w:rPr>
          <w:rFonts w:ascii="宋体" w:hAnsi="宋体" w:cs="宋体"/>
          <w:szCs w:val="21"/>
          <w:highlight w:val="none"/>
          <w:lang w:val="zh-CN"/>
        </w:rPr>
        <w:t>1.</w:t>
      </w:r>
      <w:r>
        <w:rPr>
          <w:rFonts w:hint="eastAsia" w:ascii="宋体" w:hAnsi="宋体" w:cs="宋体"/>
          <w:szCs w:val="21"/>
          <w:highlight w:val="none"/>
          <w:lang w:val="zh-CN"/>
        </w:rPr>
        <w:t>所有计算结果保留</w:t>
      </w:r>
      <w:r>
        <w:rPr>
          <w:rFonts w:ascii="宋体" w:hAnsi="宋体" w:cs="宋体"/>
          <w:szCs w:val="21"/>
          <w:highlight w:val="none"/>
          <w:lang w:val="zh-CN"/>
        </w:rPr>
        <w:t>2</w:t>
      </w:r>
      <w:r>
        <w:rPr>
          <w:rFonts w:hint="eastAsia" w:ascii="宋体" w:hAnsi="宋体" w:cs="宋体"/>
          <w:szCs w:val="21"/>
          <w:highlight w:val="none"/>
          <w:lang w:val="zh-CN"/>
        </w:rPr>
        <w:t>位小数（四舍五入）。</w:t>
      </w:r>
    </w:p>
    <w:p>
      <w:pPr>
        <w:wordWrap w:val="0"/>
        <w:spacing w:line="560" w:lineRule="exact"/>
        <w:ind w:right="-183" w:rightChars="-87"/>
        <w:rPr>
          <w:rFonts w:ascii="宋体" w:cs="宋体"/>
          <w:szCs w:val="21"/>
          <w:highlight w:val="none"/>
          <w:lang w:val="zh-CN"/>
        </w:rPr>
      </w:pPr>
      <w:r>
        <w:rPr>
          <w:rFonts w:ascii="宋体" w:hAnsi="宋体" w:cs="宋体"/>
          <w:szCs w:val="21"/>
          <w:highlight w:val="none"/>
          <w:lang w:val="zh-CN"/>
        </w:rPr>
        <w:t>2.</w:t>
      </w:r>
      <w:r>
        <w:rPr>
          <w:rFonts w:hint="eastAsia" w:ascii="宋体" w:hAnsi="宋体" w:cs="宋体"/>
          <w:szCs w:val="21"/>
          <w:highlight w:val="none"/>
          <w:lang w:val="zh-CN"/>
        </w:rPr>
        <w:t>有下列情况之一者单项评分为无效分，评委须作出解释，并重新打分：</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a</w:t>
      </w:r>
      <w:r>
        <w:rPr>
          <w:rFonts w:hint="eastAsia" w:ascii="宋体" w:hAnsi="宋体" w:cs="宋体"/>
          <w:szCs w:val="21"/>
          <w:highlight w:val="none"/>
          <w:lang w:val="zh-CN"/>
        </w:rPr>
        <w:t>、评分高出规定最高分；</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b</w:t>
      </w:r>
      <w:r>
        <w:rPr>
          <w:rFonts w:hint="eastAsia" w:ascii="宋体" w:hAnsi="宋体" w:cs="宋体"/>
          <w:szCs w:val="21"/>
          <w:highlight w:val="none"/>
          <w:lang w:val="zh-CN"/>
        </w:rPr>
        <w:t>、一个记分内容有</w:t>
      </w:r>
      <w:r>
        <w:rPr>
          <w:rFonts w:ascii="宋体" w:hAnsi="宋体" w:cs="宋体"/>
          <w:szCs w:val="21"/>
          <w:highlight w:val="none"/>
          <w:lang w:val="zh-CN"/>
        </w:rPr>
        <w:t>2</w:t>
      </w:r>
      <w:r>
        <w:rPr>
          <w:rFonts w:hint="eastAsia" w:ascii="宋体" w:hAnsi="宋体" w:cs="宋体"/>
          <w:szCs w:val="21"/>
          <w:highlight w:val="none"/>
          <w:lang w:val="zh-CN"/>
        </w:rPr>
        <w:t>个或</w:t>
      </w:r>
      <w:r>
        <w:rPr>
          <w:rFonts w:ascii="宋体" w:hAnsi="宋体" w:cs="宋体"/>
          <w:szCs w:val="21"/>
          <w:highlight w:val="none"/>
          <w:lang w:val="zh-CN"/>
        </w:rPr>
        <w:t>2</w:t>
      </w:r>
      <w:r>
        <w:rPr>
          <w:rFonts w:hint="eastAsia" w:ascii="宋体" w:hAnsi="宋体" w:cs="宋体"/>
          <w:szCs w:val="21"/>
          <w:highlight w:val="none"/>
          <w:lang w:val="zh-CN"/>
        </w:rPr>
        <w:t>个以上记分或无记分的；</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c</w:t>
      </w:r>
      <w:r>
        <w:rPr>
          <w:rFonts w:hint="eastAsia" w:ascii="宋体" w:hAnsi="宋体" w:cs="宋体"/>
          <w:szCs w:val="21"/>
          <w:highlight w:val="none"/>
          <w:lang w:val="zh-CN"/>
        </w:rPr>
        <w:t>、明显不合理或有排斥性、倾向性记分；</w:t>
      </w:r>
    </w:p>
    <w:p>
      <w:pPr>
        <w:wordWrap w:val="0"/>
        <w:spacing w:line="560" w:lineRule="exact"/>
        <w:ind w:right="-57" w:rightChars="-27"/>
        <w:rPr>
          <w:szCs w:val="21"/>
          <w:highlight w:val="none"/>
        </w:rPr>
      </w:pPr>
      <w:r>
        <w:rPr>
          <w:rFonts w:ascii="宋体" w:hAnsi="宋体" w:cs="宋体"/>
          <w:szCs w:val="21"/>
          <w:highlight w:val="none"/>
          <w:lang w:val="zh-CN"/>
        </w:rPr>
        <w:t>d</w:t>
      </w:r>
      <w:r>
        <w:rPr>
          <w:rFonts w:hint="eastAsia" w:ascii="宋体" w:hAnsi="宋体" w:cs="宋体"/>
          <w:szCs w:val="21"/>
          <w:highlight w:val="none"/>
          <w:lang w:val="zh-CN"/>
        </w:rPr>
        <w:t>、没有按招标文件评分标准评分的。</w:t>
      </w:r>
    </w:p>
    <w:p>
      <w:pPr>
        <w:numPr>
          <w:ilvl w:val="0"/>
          <w:numId w:val="22"/>
        </w:numPr>
        <w:wordWrap w:val="0"/>
        <w:spacing w:line="560" w:lineRule="exact"/>
        <w:ind w:right="-57" w:rightChars="-27"/>
        <w:outlineLvl w:val="1"/>
        <w:rPr>
          <w:b/>
          <w:sz w:val="24"/>
          <w:highlight w:val="none"/>
          <w:lang w:val="zh-CN"/>
        </w:rPr>
      </w:pPr>
      <w:bookmarkStart w:id="162" w:name="_Toc31130"/>
      <w:bookmarkStart w:id="163" w:name="_Toc136229091"/>
      <w:r>
        <w:rPr>
          <w:rFonts w:hint="eastAsia" w:ascii="黑体" w:hAnsi="黑体" w:eastAsia="黑体" w:cs="黑体"/>
          <w:b/>
          <w:sz w:val="24"/>
          <w:highlight w:val="none"/>
          <w:lang w:val="zh-CN"/>
        </w:rPr>
        <w:t>项目定标办法</w:t>
      </w:r>
      <w:bookmarkEnd w:id="162"/>
    </w:p>
    <w:p>
      <w:pPr>
        <w:numPr>
          <w:ilvl w:val="0"/>
          <w:numId w:val="23"/>
        </w:numPr>
        <w:tabs>
          <w:tab w:val="left" w:pos="360"/>
          <w:tab w:val="clear" w:pos="571"/>
        </w:tabs>
        <w:wordWrap w:val="0"/>
        <w:spacing w:line="560" w:lineRule="exact"/>
        <w:ind w:left="360" w:right="195" w:rightChars="93" w:hanging="360"/>
        <w:rPr>
          <w:b/>
          <w:szCs w:val="21"/>
          <w:highlight w:val="none"/>
        </w:rPr>
      </w:pPr>
      <w:r>
        <w:rPr>
          <w:rFonts w:hint="eastAsia"/>
          <w:szCs w:val="21"/>
          <w:highlight w:val="none"/>
        </w:rPr>
        <w:t>推荐中标候选人</w:t>
      </w:r>
      <w:r>
        <w:rPr>
          <w:rFonts w:hint="eastAsia"/>
          <w:b/>
          <w:szCs w:val="21"/>
          <w:highlight w:val="none"/>
          <w:lang w:eastAsia="zh-CN"/>
        </w:rPr>
        <w:t>：</w:t>
      </w:r>
      <w:r>
        <w:rPr>
          <w:rFonts w:hint="eastAsia"/>
          <w:szCs w:val="21"/>
          <w:highlight w:val="none"/>
        </w:rPr>
        <w:t>评标委员会对满足招标文件实质性要求的投标文件，按照</w:t>
      </w:r>
      <w:r>
        <w:rPr>
          <w:rFonts w:hint="eastAsia"/>
          <w:szCs w:val="21"/>
          <w:highlight w:val="none"/>
          <w:lang w:val="en-US" w:eastAsia="zh-CN"/>
        </w:rPr>
        <w:t>本招标文件第四章评标办法</w:t>
      </w:r>
      <w:r>
        <w:rPr>
          <w:rFonts w:hint="eastAsia"/>
          <w:szCs w:val="21"/>
          <w:highlight w:val="none"/>
        </w:rPr>
        <w:t>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numPr>
          <w:ilvl w:val="0"/>
          <w:numId w:val="23"/>
        </w:numPr>
        <w:tabs>
          <w:tab w:val="left" w:pos="360"/>
          <w:tab w:val="clear" w:pos="571"/>
        </w:tabs>
        <w:wordWrap w:val="0"/>
        <w:spacing w:line="560" w:lineRule="exact"/>
        <w:ind w:left="360" w:right="195" w:rightChars="93" w:hanging="360"/>
        <w:rPr>
          <w:szCs w:val="21"/>
          <w:highlight w:val="none"/>
        </w:rPr>
      </w:pPr>
      <w:r>
        <w:rPr>
          <w:rFonts w:hint="eastAsia"/>
          <w:szCs w:val="21"/>
          <w:highlight w:val="none"/>
        </w:rPr>
        <w:t>定标原则</w:t>
      </w:r>
      <w:r>
        <w:rPr>
          <w:rFonts w:hint="eastAsia"/>
          <w:szCs w:val="21"/>
          <w:highlight w:val="none"/>
          <w:lang w:eastAsia="zh-CN"/>
        </w:rPr>
        <w:t>：</w:t>
      </w:r>
      <w:r>
        <w:rPr>
          <w:rFonts w:hint="eastAsia"/>
          <w:szCs w:val="21"/>
          <w:highlight w:val="none"/>
        </w:rPr>
        <w:t>最低报价不是中标唯一条件，当合格投标人数量达到</w:t>
      </w:r>
      <w:r>
        <w:rPr>
          <w:szCs w:val="21"/>
          <w:highlight w:val="none"/>
        </w:rPr>
        <w:t>3</w:t>
      </w:r>
      <w:r>
        <w:rPr>
          <w:rFonts w:hint="eastAsia"/>
          <w:szCs w:val="21"/>
          <w:highlight w:val="none"/>
        </w:rPr>
        <w:t>家或以上时，则排名第一的供应商中标，若合格投标人数量不足</w:t>
      </w:r>
      <w:r>
        <w:rPr>
          <w:szCs w:val="21"/>
          <w:highlight w:val="none"/>
        </w:rPr>
        <w:t>3</w:t>
      </w:r>
      <w:r>
        <w:rPr>
          <w:rFonts w:hint="eastAsia"/>
          <w:szCs w:val="21"/>
          <w:highlight w:val="none"/>
        </w:rPr>
        <w:t>家，经</w:t>
      </w:r>
      <w:r>
        <w:rPr>
          <w:rFonts w:hint="eastAsia"/>
          <w:szCs w:val="21"/>
          <w:highlight w:val="none"/>
          <w:lang w:eastAsia="zh-CN"/>
        </w:rPr>
        <w:t>监督单位</w:t>
      </w:r>
      <w:r>
        <w:rPr>
          <w:rFonts w:hint="eastAsia"/>
          <w:szCs w:val="21"/>
          <w:highlight w:val="none"/>
        </w:rPr>
        <w:t>同意后，可采取其他方式采购。中标人不得放弃中标，否则将受到相关处罚。</w:t>
      </w:r>
      <w:bookmarkStart w:id="195" w:name="_GoBack"/>
      <w:bookmarkEnd w:id="195"/>
      <w:r>
        <w:rPr>
          <w:rFonts w:hint="eastAsia"/>
          <w:szCs w:val="21"/>
          <w:highlight w:val="none"/>
        </w:rPr>
        <w:t>如果中标人因为不可抗力因素放弃中标，或者证实排名第一的供应商不具备中标资格，</w:t>
      </w:r>
      <w:r>
        <w:rPr>
          <w:rFonts w:hint="eastAsia"/>
          <w:szCs w:val="21"/>
          <w:highlight w:val="none"/>
          <w:lang w:eastAsia="zh-CN"/>
        </w:rPr>
        <w:t>招标人</w:t>
      </w:r>
      <w:r>
        <w:rPr>
          <w:rFonts w:hint="eastAsia"/>
          <w:szCs w:val="21"/>
          <w:highlight w:val="none"/>
        </w:rPr>
        <w:t>可依次从其他中标候选供应商选择中标单位</w:t>
      </w:r>
      <w:r>
        <w:rPr>
          <w:rFonts w:hint="eastAsia"/>
          <w:szCs w:val="21"/>
          <w:highlight w:val="none"/>
          <w:lang w:val="en-US" w:eastAsia="zh-CN"/>
        </w:rPr>
        <w:t>或者重新招标</w:t>
      </w:r>
      <w:r>
        <w:rPr>
          <w:rFonts w:hint="eastAsia"/>
          <w:szCs w:val="21"/>
          <w:highlight w:val="none"/>
        </w:rPr>
        <w:t>。</w:t>
      </w:r>
      <w:bookmarkStart w:id="164" w:name="_Toc426449777"/>
    </w:p>
    <w:p>
      <w:pPr>
        <w:widowControl/>
        <w:shd w:val="clear" w:color="auto" w:fill="FFFFFF"/>
        <w:wordWrap w:val="0"/>
        <w:spacing w:before="100" w:beforeAutospacing="1" w:after="100" w:afterAutospacing="1" w:line="455" w:lineRule="atLeast"/>
        <w:ind w:firstLine="840" w:firstLineChars="400"/>
        <w:jc w:val="center"/>
        <w:outlineLvl w:val="0"/>
        <w:rPr>
          <w:rFonts w:hint="eastAsia" w:ascii="黑体" w:hAnsi="黑体" w:eastAsia="黑体" w:cs="黑体"/>
          <w:bCs/>
          <w:sz w:val="44"/>
          <w:szCs w:val="44"/>
          <w:highlight w:val="none"/>
          <w:lang w:eastAsia="zh-CN"/>
        </w:rPr>
      </w:pPr>
      <w:r>
        <w:rPr>
          <w:szCs w:val="21"/>
          <w:highlight w:val="none"/>
        </w:rPr>
        <w:br w:type="page"/>
      </w:r>
      <w:bookmarkStart w:id="165" w:name="_Toc15706"/>
      <w:r>
        <w:rPr>
          <w:rFonts w:hint="eastAsia" w:ascii="黑体" w:eastAsia="黑体"/>
          <w:b/>
          <w:sz w:val="44"/>
          <w:szCs w:val="44"/>
          <w:highlight w:val="none"/>
        </w:rPr>
        <w:t>第五章  合同主要条款</w:t>
      </w:r>
      <w:bookmarkEnd w:id="164"/>
      <w:r>
        <w:rPr>
          <w:rFonts w:hint="eastAsia" w:ascii="黑体" w:eastAsia="黑体"/>
          <w:b/>
          <w:sz w:val="44"/>
          <w:szCs w:val="44"/>
          <w:highlight w:val="none"/>
          <w:lang w:eastAsia="zh-CN"/>
        </w:rPr>
        <w:t>（</w:t>
      </w:r>
      <w:r>
        <w:rPr>
          <w:rFonts w:hint="eastAsia" w:ascii="黑体" w:eastAsia="黑体"/>
          <w:b/>
          <w:sz w:val="44"/>
          <w:szCs w:val="44"/>
          <w:highlight w:val="none"/>
          <w:lang w:val="en-US" w:eastAsia="zh-CN"/>
        </w:rPr>
        <w:t>参考</w:t>
      </w:r>
      <w:r>
        <w:rPr>
          <w:rFonts w:hint="eastAsia" w:ascii="黑体" w:eastAsia="黑体"/>
          <w:b/>
          <w:sz w:val="44"/>
          <w:szCs w:val="44"/>
          <w:highlight w:val="none"/>
          <w:lang w:eastAsia="zh-CN"/>
        </w:rPr>
        <w:t>）</w:t>
      </w:r>
      <w:bookmarkEnd w:id="165"/>
    </w:p>
    <w:p>
      <w:pPr>
        <w:wordWrap w:val="0"/>
        <w:spacing w:line="520" w:lineRule="exact"/>
        <w:ind w:right="-57" w:rightChars="-27"/>
        <w:rPr>
          <w:rFonts w:hint="eastAsia" w:ascii="宋体" w:hAnsi="宋体"/>
          <w:szCs w:val="21"/>
          <w:highlight w:val="none"/>
        </w:rPr>
      </w:pPr>
      <w:r>
        <w:rPr>
          <w:rFonts w:hint="eastAsia" w:ascii="宋体" w:hAnsi="宋体"/>
          <w:szCs w:val="21"/>
          <w:highlight w:val="none"/>
        </w:rPr>
        <w:t>合同甲方：</w:t>
      </w:r>
    </w:p>
    <w:p>
      <w:pPr>
        <w:wordWrap w:val="0"/>
        <w:spacing w:line="520" w:lineRule="exact"/>
        <w:ind w:right="-57" w:rightChars="-27"/>
        <w:rPr>
          <w:rFonts w:ascii="宋体"/>
          <w:szCs w:val="21"/>
          <w:highlight w:val="none"/>
        </w:rPr>
      </w:pPr>
      <w:r>
        <w:rPr>
          <w:rFonts w:hint="eastAsia" w:ascii="宋体" w:hAnsi="宋体"/>
          <w:szCs w:val="21"/>
          <w:highlight w:val="none"/>
        </w:rPr>
        <w:t>合同乙方：</w:t>
      </w:r>
    </w:p>
    <w:p>
      <w:pPr>
        <w:wordWrap w:val="0"/>
        <w:spacing w:line="520" w:lineRule="exact"/>
        <w:ind w:right="-57" w:rightChars="-27" w:firstLine="411" w:firstLineChars="196"/>
        <w:outlineLvl w:val="0"/>
        <w:rPr>
          <w:rFonts w:ascii="宋体"/>
          <w:szCs w:val="21"/>
          <w:highlight w:val="none"/>
        </w:rPr>
      </w:pPr>
      <w:bookmarkStart w:id="166" w:name="_Toc30847"/>
      <w:r>
        <w:rPr>
          <w:rFonts w:hint="eastAsia" w:ascii="宋体" w:hAnsi="宋体"/>
          <w:szCs w:val="21"/>
          <w:highlight w:val="none"/>
        </w:rPr>
        <w:t>经双方约定本合同文件的组成及优先顺序：</w:t>
      </w:r>
      <w:r>
        <w:rPr>
          <w:rFonts w:ascii="宋体" w:hAnsi="宋体"/>
          <w:szCs w:val="21"/>
          <w:highlight w:val="none"/>
        </w:rPr>
        <w:t>(l</w:t>
      </w:r>
      <w:r>
        <w:rPr>
          <w:rFonts w:hint="eastAsia" w:ascii="宋体" w:hAnsi="宋体"/>
          <w:szCs w:val="21"/>
          <w:highlight w:val="none"/>
        </w:rPr>
        <w:t>）合同协议书、</w:t>
      </w:r>
      <w:r>
        <w:rPr>
          <w:rFonts w:ascii="宋体" w:hAnsi="宋体"/>
          <w:szCs w:val="21"/>
          <w:highlight w:val="none"/>
        </w:rPr>
        <w:t>(2</w:t>
      </w:r>
      <w:r>
        <w:rPr>
          <w:rFonts w:hint="eastAsia" w:ascii="宋体" w:hAnsi="宋体"/>
          <w:szCs w:val="21"/>
          <w:highlight w:val="none"/>
        </w:rPr>
        <w:t>）</w:t>
      </w:r>
      <w:r>
        <w:rPr>
          <w:rFonts w:hint="eastAsia" w:ascii="宋体" w:hAnsi="宋体"/>
          <w:szCs w:val="21"/>
          <w:highlight w:val="none"/>
          <w:lang w:val="en-US" w:eastAsia="zh-CN"/>
        </w:rPr>
        <w:t>中标</w:t>
      </w:r>
      <w:r>
        <w:rPr>
          <w:rFonts w:hint="eastAsia" w:ascii="宋体" w:hAnsi="宋体"/>
          <w:szCs w:val="21"/>
          <w:highlight w:val="none"/>
        </w:rPr>
        <w:t>通知书、</w:t>
      </w:r>
      <w:r>
        <w:rPr>
          <w:rFonts w:ascii="宋体" w:hAnsi="宋体"/>
          <w:szCs w:val="21"/>
          <w:highlight w:val="none"/>
        </w:rPr>
        <w:t>(3</w:t>
      </w:r>
      <w:r>
        <w:rPr>
          <w:rFonts w:hint="eastAsia" w:ascii="宋体" w:hAnsi="宋体"/>
          <w:szCs w:val="21"/>
          <w:highlight w:val="none"/>
        </w:rPr>
        <w:t>）</w:t>
      </w:r>
      <w:r>
        <w:rPr>
          <w:rFonts w:hint="eastAsia" w:ascii="宋体" w:hAnsi="宋体"/>
          <w:szCs w:val="21"/>
          <w:highlight w:val="none"/>
          <w:lang w:val="en-US" w:eastAsia="zh-CN"/>
        </w:rPr>
        <w:t>招标</w:t>
      </w:r>
      <w:r>
        <w:rPr>
          <w:rFonts w:hint="eastAsia" w:ascii="宋体" w:hAnsi="宋体"/>
          <w:szCs w:val="21"/>
          <w:highlight w:val="none"/>
        </w:rPr>
        <w:t>文件、</w:t>
      </w:r>
      <w:r>
        <w:rPr>
          <w:rFonts w:ascii="宋体" w:hAnsi="宋体"/>
          <w:szCs w:val="21"/>
          <w:highlight w:val="none"/>
        </w:rPr>
        <w:t xml:space="preserve">(4) </w:t>
      </w:r>
      <w:r>
        <w:rPr>
          <w:rFonts w:hint="eastAsia" w:ascii="宋体" w:hAnsi="宋体"/>
          <w:szCs w:val="21"/>
          <w:highlight w:val="none"/>
          <w:lang w:val="en-US" w:eastAsia="zh-CN"/>
        </w:rPr>
        <w:t>投标</w:t>
      </w:r>
      <w:r>
        <w:rPr>
          <w:rFonts w:hint="eastAsia" w:ascii="宋体" w:hAnsi="宋体"/>
          <w:szCs w:val="21"/>
          <w:highlight w:val="none"/>
        </w:rPr>
        <w:t>文件、</w:t>
      </w:r>
      <w:r>
        <w:rPr>
          <w:rFonts w:ascii="宋体" w:hAnsi="宋体"/>
          <w:szCs w:val="21"/>
          <w:highlight w:val="none"/>
        </w:rPr>
        <w:t>(5)</w:t>
      </w:r>
      <w:r>
        <w:rPr>
          <w:rFonts w:hint="eastAsia" w:ascii="宋体" w:hAnsi="宋体"/>
          <w:szCs w:val="21"/>
          <w:highlight w:val="none"/>
        </w:rPr>
        <w:t>其他补充文件。</w:t>
      </w:r>
      <w:bookmarkEnd w:id="166"/>
    </w:p>
    <w:p>
      <w:pPr>
        <w:numPr>
          <w:ilvl w:val="0"/>
          <w:numId w:val="24"/>
        </w:numPr>
        <w:wordWrap w:val="0"/>
        <w:spacing w:line="520" w:lineRule="exact"/>
        <w:ind w:right="-57" w:rightChars="-27"/>
        <w:outlineLvl w:val="0"/>
        <w:rPr>
          <w:rFonts w:ascii="黑体" w:hAnsi="宋体" w:eastAsia="黑体"/>
          <w:b/>
          <w:bCs/>
          <w:sz w:val="24"/>
          <w:highlight w:val="none"/>
        </w:rPr>
      </w:pPr>
      <w:bookmarkStart w:id="167" w:name="_Toc184635099"/>
      <w:bookmarkStart w:id="168" w:name="_Toc24081"/>
      <w:r>
        <w:rPr>
          <w:rFonts w:hint="eastAsia" w:ascii="黑体" w:hAnsi="宋体" w:eastAsia="黑体"/>
          <w:b/>
          <w:bCs/>
          <w:sz w:val="24"/>
          <w:highlight w:val="none"/>
        </w:rPr>
        <w:t>甲乙双方的义务</w:t>
      </w:r>
      <w:bookmarkEnd w:id="167"/>
      <w:bookmarkEnd w:id="168"/>
    </w:p>
    <w:p>
      <w:pPr>
        <w:tabs>
          <w:tab w:val="left" w:pos="1958"/>
        </w:tabs>
        <w:wordWrap w:val="0"/>
        <w:spacing w:line="520" w:lineRule="exact"/>
        <w:ind w:right="-57" w:rightChars="-27"/>
        <w:outlineLvl w:val="0"/>
        <w:rPr>
          <w:rFonts w:ascii="宋体"/>
          <w:b/>
          <w:bCs/>
          <w:szCs w:val="21"/>
          <w:highlight w:val="none"/>
        </w:rPr>
      </w:pPr>
      <w:bookmarkStart w:id="169" w:name="_Toc10695"/>
      <w:r>
        <w:rPr>
          <w:rFonts w:hint="eastAsia" w:ascii="宋体" w:hAnsi="宋体"/>
          <w:b/>
          <w:bCs/>
          <w:szCs w:val="21"/>
          <w:highlight w:val="none"/>
        </w:rPr>
        <w:t>〈一〉</w:t>
      </w:r>
      <w:r>
        <w:rPr>
          <w:rFonts w:hint="eastAsia" w:ascii="宋体" w:hAnsi="宋体"/>
          <w:bCs/>
          <w:szCs w:val="21"/>
          <w:highlight w:val="none"/>
        </w:rPr>
        <w:t>甲方义务</w:t>
      </w:r>
      <w:bookmarkEnd w:id="169"/>
      <w:r>
        <w:rPr>
          <w:rFonts w:ascii="宋体"/>
          <w:bCs/>
          <w:szCs w:val="21"/>
          <w:highlight w:val="none"/>
        </w:rPr>
        <w:tab/>
      </w:r>
    </w:p>
    <w:p>
      <w:pPr>
        <w:numPr>
          <w:ilvl w:val="0"/>
          <w:numId w:val="25"/>
        </w:numPr>
        <w:wordWrap w:val="0"/>
        <w:spacing w:line="520" w:lineRule="exact"/>
        <w:ind w:right="-57" w:rightChars="-27"/>
        <w:rPr>
          <w:rFonts w:ascii="宋体"/>
          <w:szCs w:val="21"/>
          <w:highlight w:val="none"/>
        </w:rPr>
      </w:pPr>
      <w:r>
        <w:rPr>
          <w:rFonts w:hint="eastAsia" w:ascii="宋体" w:hAnsi="宋体"/>
          <w:szCs w:val="21"/>
          <w:highlight w:val="none"/>
        </w:rPr>
        <w:t>提供作业必备条件；</w:t>
      </w:r>
    </w:p>
    <w:p>
      <w:pPr>
        <w:numPr>
          <w:ilvl w:val="0"/>
          <w:numId w:val="25"/>
        </w:numPr>
        <w:wordWrap w:val="0"/>
        <w:spacing w:line="520" w:lineRule="exact"/>
        <w:ind w:right="-57" w:rightChars="-27"/>
        <w:rPr>
          <w:rFonts w:ascii="宋体"/>
          <w:szCs w:val="21"/>
          <w:highlight w:val="none"/>
        </w:rPr>
      </w:pPr>
      <w:r>
        <w:rPr>
          <w:rFonts w:hint="eastAsia" w:ascii="宋体" w:hAnsi="宋体"/>
          <w:szCs w:val="21"/>
          <w:highlight w:val="none"/>
        </w:rPr>
        <w:t>提供的相关资料；</w:t>
      </w:r>
    </w:p>
    <w:p>
      <w:pPr>
        <w:numPr>
          <w:ilvl w:val="0"/>
          <w:numId w:val="25"/>
        </w:numPr>
        <w:wordWrap w:val="0"/>
        <w:spacing w:line="520" w:lineRule="exact"/>
        <w:ind w:right="-57" w:rightChars="-27"/>
        <w:rPr>
          <w:rFonts w:ascii="宋体"/>
          <w:szCs w:val="21"/>
          <w:highlight w:val="none"/>
        </w:rPr>
      </w:pPr>
      <w:r>
        <w:rPr>
          <w:rFonts w:hint="eastAsia" w:ascii="宋体" w:hAnsi="宋体"/>
          <w:szCs w:val="21"/>
          <w:highlight w:val="none"/>
        </w:rPr>
        <w:t>支付合同价款；</w:t>
      </w:r>
    </w:p>
    <w:p>
      <w:pPr>
        <w:numPr>
          <w:ilvl w:val="0"/>
          <w:numId w:val="25"/>
        </w:numPr>
        <w:wordWrap w:val="0"/>
        <w:spacing w:line="520" w:lineRule="exact"/>
        <w:ind w:right="-57" w:rightChars="-27"/>
        <w:rPr>
          <w:rFonts w:ascii="宋体"/>
          <w:szCs w:val="21"/>
          <w:highlight w:val="none"/>
        </w:rPr>
      </w:pPr>
      <w:r>
        <w:rPr>
          <w:rFonts w:hint="eastAsia" w:ascii="宋体" w:hAnsi="宋体"/>
          <w:szCs w:val="21"/>
          <w:highlight w:val="none"/>
        </w:rPr>
        <w:t>组织验收；</w:t>
      </w:r>
    </w:p>
    <w:p>
      <w:pPr>
        <w:numPr>
          <w:ilvl w:val="0"/>
          <w:numId w:val="25"/>
        </w:numPr>
        <w:wordWrap w:val="0"/>
        <w:spacing w:line="520" w:lineRule="exact"/>
        <w:ind w:right="-57" w:rightChars="-27"/>
        <w:rPr>
          <w:rFonts w:ascii="宋体"/>
          <w:szCs w:val="21"/>
          <w:highlight w:val="none"/>
        </w:rPr>
      </w:pPr>
      <w:r>
        <w:rPr>
          <w:rFonts w:hint="eastAsia" w:ascii="宋体" w:hAnsi="宋体"/>
          <w:szCs w:val="21"/>
          <w:highlight w:val="none"/>
        </w:rPr>
        <w:t>其他义务；</w:t>
      </w:r>
    </w:p>
    <w:p>
      <w:pPr>
        <w:wordWrap w:val="0"/>
        <w:spacing w:line="520" w:lineRule="exact"/>
        <w:ind w:right="-57" w:rightChars="-27"/>
        <w:outlineLvl w:val="0"/>
        <w:rPr>
          <w:rFonts w:ascii="宋体"/>
          <w:b/>
          <w:bCs/>
          <w:szCs w:val="21"/>
          <w:highlight w:val="none"/>
        </w:rPr>
      </w:pPr>
      <w:bookmarkStart w:id="170" w:name="_Toc19733"/>
      <w:r>
        <w:rPr>
          <w:rFonts w:hint="eastAsia" w:ascii="宋体" w:hAnsi="宋体"/>
          <w:b/>
          <w:bCs/>
          <w:szCs w:val="21"/>
          <w:highlight w:val="none"/>
        </w:rPr>
        <w:t>〈二〉乙方的义务</w:t>
      </w:r>
      <w:bookmarkEnd w:id="170"/>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按合同约定的时间和地点完成全部供应项目，并出具合格的结算凭证；</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对供应项目的完备性、安全性负责；</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保证工作人员的安全和保障其合法权益；</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避免对他人的利益和周边环境造成损害；</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货物的照管，直至验收合格后移交给甲方为止。</w:t>
      </w:r>
    </w:p>
    <w:p>
      <w:pPr>
        <w:numPr>
          <w:ilvl w:val="0"/>
          <w:numId w:val="27"/>
        </w:numPr>
        <w:wordWrap w:val="0"/>
        <w:spacing w:line="520" w:lineRule="exact"/>
        <w:ind w:right="-57" w:rightChars="-27"/>
        <w:outlineLvl w:val="0"/>
        <w:rPr>
          <w:rFonts w:ascii="黑体" w:hAnsi="宋体" w:eastAsia="黑体"/>
          <w:b/>
          <w:sz w:val="24"/>
          <w:highlight w:val="none"/>
        </w:rPr>
      </w:pPr>
      <w:bookmarkStart w:id="171" w:name="_Toc7375"/>
      <w:r>
        <w:rPr>
          <w:rFonts w:hint="eastAsia" w:ascii="黑体" w:hAnsi="宋体" w:eastAsia="黑体"/>
          <w:b/>
          <w:bCs/>
          <w:sz w:val="24"/>
          <w:highlight w:val="none"/>
        </w:rPr>
        <w:t>供应内容价格</w:t>
      </w:r>
      <w:bookmarkEnd w:id="171"/>
    </w:p>
    <w:tbl>
      <w:tblPr>
        <w:tblStyle w:val="40"/>
        <w:tblW w:w="7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396"/>
        <w:gridCol w:w="1268"/>
        <w:gridCol w:w="134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73" w:type="dxa"/>
          </w:tcPr>
          <w:p>
            <w:pPr>
              <w:wordWrap w:val="0"/>
              <w:spacing w:line="520" w:lineRule="exact"/>
              <w:ind w:right="-57" w:rightChars="-27"/>
              <w:rPr>
                <w:rFonts w:ascii="宋体" w:cs="宋体"/>
                <w:sz w:val="24"/>
                <w:highlight w:val="none"/>
              </w:rPr>
            </w:pPr>
            <w:r>
              <w:rPr>
                <w:rFonts w:hint="eastAsia" w:ascii="宋体" w:hAnsi="宋体"/>
                <w:sz w:val="24"/>
                <w:highlight w:val="none"/>
              </w:rPr>
              <w:t>供应内容</w:t>
            </w:r>
          </w:p>
        </w:tc>
        <w:tc>
          <w:tcPr>
            <w:tcW w:w="1396" w:type="dxa"/>
          </w:tcPr>
          <w:p>
            <w:pPr>
              <w:wordWrap w:val="0"/>
              <w:spacing w:line="520" w:lineRule="exact"/>
              <w:ind w:right="-57" w:rightChars="-27"/>
              <w:rPr>
                <w:rFonts w:ascii="宋体" w:cs="宋体"/>
                <w:sz w:val="24"/>
                <w:highlight w:val="none"/>
              </w:rPr>
            </w:pPr>
            <w:r>
              <w:rPr>
                <w:rFonts w:hint="eastAsia" w:ascii="宋体" w:hAnsi="宋体"/>
                <w:sz w:val="24"/>
                <w:highlight w:val="none"/>
              </w:rPr>
              <w:t>数量</w:t>
            </w:r>
          </w:p>
        </w:tc>
        <w:tc>
          <w:tcPr>
            <w:tcW w:w="1268" w:type="dxa"/>
          </w:tcPr>
          <w:p>
            <w:pPr>
              <w:wordWrap w:val="0"/>
              <w:spacing w:line="520" w:lineRule="exact"/>
              <w:ind w:right="-57" w:rightChars="-27"/>
              <w:rPr>
                <w:rFonts w:ascii="宋体" w:cs="宋体"/>
                <w:sz w:val="24"/>
                <w:highlight w:val="none"/>
              </w:rPr>
            </w:pPr>
            <w:r>
              <w:rPr>
                <w:rFonts w:hint="eastAsia" w:ascii="宋体" w:hAnsi="宋体"/>
                <w:sz w:val="24"/>
                <w:highlight w:val="none"/>
              </w:rPr>
              <w:t>单价</w:t>
            </w:r>
          </w:p>
        </w:tc>
        <w:tc>
          <w:tcPr>
            <w:tcW w:w="1346" w:type="dxa"/>
          </w:tcPr>
          <w:p>
            <w:pPr>
              <w:wordWrap w:val="0"/>
              <w:spacing w:line="520" w:lineRule="exact"/>
              <w:ind w:right="-57" w:rightChars="-27"/>
              <w:rPr>
                <w:rFonts w:ascii="宋体" w:cs="宋体"/>
                <w:sz w:val="24"/>
                <w:highlight w:val="none"/>
              </w:rPr>
            </w:pPr>
            <w:r>
              <w:rPr>
                <w:rFonts w:hint="eastAsia" w:ascii="宋体" w:hAnsi="宋体"/>
                <w:sz w:val="24"/>
                <w:highlight w:val="none"/>
                <w:lang w:val="en-US" w:eastAsia="zh-CN"/>
              </w:rPr>
              <w:t>合</w:t>
            </w:r>
            <w:r>
              <w:rPr>
                <w:rFonts w:hint="eastAsia" w:ascii="宋体" w:hAnsi="宋体"/>
                <w:sz w:val="24"/>
                <w:highlight w:val="none"/>
              </w:rPr>
              <w:t>计</w:t>
            </w:r>
          </w:p>
        </w:tc>
        <w:tc>
          <w:tcPr>
            <w:tcW w:w="1195" w:type="dxa"/>
          </w:tcPr>
          <w:p>
            <w:pPr>
              <w:wordWrap w:val="0"/>
              <w:spacing w:line="520" w:lineRule="exact"/>
              <w:ind w:right="-57" w:rightChars="-27"/>
              <w:rPr>
                <w:rFonts w:ascii="宋体" w:cs="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73" w:type="dxa"/>
          </w:tcPr>
          <w:p>
            <w:pPr>
              <w:wordWrap w:val="0"/>
              <w:spacing w:line="520" w:lineRule="exact"/>
              <w:ind w:right="-57" w:rightChars="-27"/>
              <w:rPr>
                <w:rFonts w:ascii="宋体" w:cs="宋体"/>
                <w:sz w:val="24"/>
                <w:highlight w:val="none"/>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73" w:type="dxa"/>
          </w:tcPr>
          <w:p>
            <w:pPr>
              <w:wordWrap w:val="0"/>
              <w:spacing w:line="520" w:lineRule="exact"/>
              <w:ind w:right="-57" w:rightChars="-27"/>
              <w:rPr>
                <w:rFonts w:ascii="宋体" w:cs="宋体"/>
                <w:sz w:val="24"/>
                <w:highlight w:val="none"/>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73" w:type="dxa"/>
          </w:tcPr>
          <w:p>
            <w:pPr>
              <w:wordWrap w:val="0"/>
              <w:spacing w:line="520" w:lineRule="exact"/>
              <w:ind w:right="-57" w:rightChars="-27"/>
              <w:rPr>
                <w:rFonts w:hint="eastAsia" w:ascii="宋体" w:eastAsia="宋体" w:cs="宋体"/>
                <w:sz w:val="24"/>
                <w:highlight w:val="none"/>
                <w:lang w:val="en-US" w:eastAsia="zh-CN"/>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bl>
    <w:p>
      <w:pPr>
        <w:numPr>
          <w:ilvl w:val="0"/>
          <w:numId w:val="28"/>
        </w:numPr>
        <w:wordWrap w:val="0"/>
        <w:spacing w:line="520" w:lineRule="exact"/>
        <w:ind w:right="-57" w:rightChars="-27"/>
        <w:rPr>
          <w:rFonts w:ascii="黑体" w:hAnsi="宋体" w:eastAsia="黑体"/>
          <w:b/>
          <w:bCs/>
          <w:sz w:val="24"/>
          <w:highlight w:val="none"/>
        </w:rPr>
      </w:pPr>
      <w:r>
        <w:rPr>
          <w:rFonts w:hint="eastAsia" w:ascii="黑体" w:hAnsi="宋体" w:eastAsia="黑体"/>
          <w:b/>
          <w:bCs/>
          <w:sz w:val="24"/>
          <w:highlight w:val="none"/>
        </w:rPr>
        <w:t>供应时间</w:t>
      </w:r>
      <w:r>
        <w:rPr>
          <w:rFonts w:hint="eastAsia" w:ascii="黑体" w:hAnsi="宋体" w:eastAsia="黑体"/>
          <w:b/>
          <w:sz w:val="24"/>
          <w:highlight w:val="none"/>
        </w:rPr>
        <w:t>及地点</w:t>
      </w:r>
    </w:p>
    <w:p>
      <w:pPr>
        <w:numPr>
          <w:ilvl w:val="0"/>
          <w:numId w:val="29"/>
        </w:numPr>
        <w:wordWrap w:val="0"/>
        <w:spacing w:line="520" w:lineRule="exact"/>
        <w:ind w:right="-57" w:rightChars="-27"/>
        <w:rPr>
          <w:rFonts w:ascii="宋体"/>
          <w:szCs w:val="21"/>
          <w:highlight w:val="none"/>
        </w:rPr>
      </w:pPr>
      <w:r>
        <w:rPr>
          <w:rFonts w:hint="eastAsia" w:ascii="宋体" w:hAnsi="宋体"/>
          <w:szCs w:val="21"/>
          <w:highlight w:val="none"/>
        </w:rPr>
        <w:t>供应时间：</w:t>
      </w:r>
    </w:p>
    <w:p>
      <w:pPr>
        <w:numPr>
          <w:ilvl w:val="0"/>
          <w:numId w:val="29"/>
        </w:numPr>
        <w:wordWrap w:val="0"/>
        <w:spacing w:line="520" w:lineRule="exact"/>
        <w:ind w:right="-57" w:rightChars="-27"/>
        <w:rPr>
          <w:rFonts w:ascii="宋体"/>
          <w:szCs w:val="21"/>
          <w:highlight w:val="none"/>
        </w:rPr>
      </w:pPr>
      <w:r>
        <w:rPr>
          <w:rFonts w:hint="eastAsia" w:ascii="宋体" w:hAnsi="宋体"/>
          <w:szCs w:val="21"/>
          <w:highlight w:val="none"/>
        </w:rPr>
        <w:t>供应地点：</w:t>
      </w:r>
    </w:p>
    <w:p>
      <w:pPr>
        <w:numPr>
          <w:ilvl w:val="0"/>
          <w:numId w:val="28"/>
        </w:numPr>
        <w:wordWrap w:val="0"/>
        <w:spacing w:line="520" w:lineRule="exact"/>
        <w:ind w:right="-57" w:rightChars="-27"/>
        <w:outlineLvl w:val="0"/>
        <w:rPr>
          <w:rFonts w:ascii="黑体" w:hAnsi="宋体" w:eastAsia="黑体"/>
          <w:b/>
          <w:bCs/>
          <w:sz w:val="24"/>
          <w:highlight w:val="none"/>
        </w:rPr>
      </w:pPr>
      <w:bookmarkStart w:id="172" w:name="_Toc23011"/>
      <w:r>
        <w:rPr>
          <w:rFonts w:hint="eastAsia" w:ascii="黑体" w:hAnsi="宋体" w:eastAsia="黑体"/>
          <w:b/>
          <w:bCs/>
          <w:sz w:val="24"/>
          <w:highlight w:val="none"/>
        </w:rPr>
        <w:t>质量标准及验收</w:t>
      </w:r>
      <w:bookmarkEnd w:id="172"/>
    </w:p>
    <w:p>
      <w:pPr>
        <w:numPr>
          <w:ilvl w:val="0"/>
          <w:numId w:val="30"/>
        </w:numPr>
        <w:wordWrap w:val="0"/>
        <w:spacing w:line="520" w:lineRule="exact"/>
        <w:ind w:right="-57" w:rightChars="-27"/>
        <w:outlineLvl w:val="0"/>
        <w:rPr>
          <w:rFonts w:ascii="宋体"/>
          <w:bCs/>
          <w:szCs w:val="21"/>
          <w:highlight w:val="none"/>
        </w:rPr>
      </w:pPr>
      <w:bookmarkStart w:id="173" w:name="_Toc21072"/>
      <w:r>
        <w:rPr>
          <w:rFonts w:hint="eastAsia" w:ascii="宋体" w:hAnsi="宋体"/>
          <w:szCs w:val="21"/>
          <w:highlight w:val="none"/>
        </w:rPr>
        <w:t>质量</w:t>
      </w:r>
      <w:r>
        <w:rPr>
          <w:rFonts w:hint="eastAsia" w:ascii="宋体" w:hAnsi="宋体"/>
          <w:bCs/>
          <w:szCs w:val="21"/>
          <w:highlight w:val="none"/>
        </w:rPr>
        <w:t>标准</w:t>
      </w:r>
      <w:r>
        <w:rPr>
          <w:rFonts w:hint="eastAsia" w:ascii="宋体" w:hAnsi="宋体"/>
          <w:szCs w:val="21"/>
          <w:highlight w:val="none"/>
        </w:rPr>
        <w:t>：</w:t>
      </w:r>
      <w:bookmarkEnd w:id="173"/>
    </w:p>
    <w:p>
      <w:pPr>
        <w:numPr>
          <w:ilvl w:val="0"/>
          <w:numId w:val="30"/>
        </w:numPr>
        <w:wordWrap w:val="0"/>
        <w:spacing w:line="520" w:lineRule="exact"/>
        <w:ind w:right="-57" w:rightChars="-27"/>
        <w:rPr>
          <w:rFonts w:ascii="宋体"/>
          <w:szCs w:val="21"/>
          <w:highlight w:val="none"/>
        </w:rPr>
      </w:pPr>
      <w:r>
        <w:rPr>
          <w:rFonts w:hint="eastAsia" w:ascii="宋体" w:hAnsi="宋体"/>
          <w:szCs w:val="21"/>
          <w:highlight w:val="none"/>
        </w:rPr>
        <w:t>验收方式：</w:t>
      </w:r>
    </w:p>
    <w:p>
      <w:pPr>
        <w:numPr>
          <w:ilvl w:val="0"/>
          <w:numId w:val="28"/>
        </w:numPr>
        <w:wordWrap w:val="0"/>
        <w:spacing w:line="520" w:lineRule="exact"/>
        <w:ind w:right="-57" w:rightChars="-27"/>
        <w:outlineLvl w:val="0"/>
        <w:rPr>
          <w:rFonts w:ascii="黑体" w:hAnsi="宋体" w:eastAsia="黑体"/>
          <w:b/>
          <w:bCs/>
          <w:sz w:val="24"/>
          <w:highlight w:val="none"/>
          <w:u w:val="single"/>
        </w:rPr>
      </w:pPr>
      <w:bookmarkStart w:id="174" w:name="_Toc31935"/>
      <w:r>
        <w:rPr>
          <w:rFonts w:hint="eastAsia" w:ascii="黑体" w:hAnsi="宋体" w:eastAsia="黑体"/>
          <w:b/>
          <w:bCs/>
          <w:sz w:val="24"/>
          <w:highlight w:val="none"/>
        </w:rPr>
        <w:t>付款条件</w:t>
      </w:r>
      <w:bookmarkEnd w:id="174"/>
    </w:p>
    <w:p>
      <w:pPr>
        <w:wordWrap w:val="0"/>
        <w:spacing w:line="520" w:lineRule="exact"/>
        <w:ind w:right="195" w:rightChars="93" w:firstLine="420" w:firstLineChars="200"/>
        <w:rPr>
          <w:rFonts w:hint="eastAsia" w:ascii="宋体" w:hAnsi="宋体"/>
          <w:szCs w:val="21"/>
          <w:highlight w:val="red"/>
          <w:lang w:val="zh-CN"/>
        </w:rPr>
      </w:pPr>
      <w:r>
        <w:rPr>
          <w:rFonts w:hint="eastAsia" w:ascii="宋体" w:hAnsi="宋体"/>
          <w:szCs w:val="21"/>
          <w:highlight w:val="red"/>
          <w:lang w:val="en-US" w:eastAsia="zh-CN"/>
        </w:rPr>
        <w:t>设备到场后一个月内支付合同签订价款60%</w:t>
      </w:r>
      <w:r>
        <w:rPr>
          <w:rFonts w:hint="eastAsia" w:ascii="宋体" w:hAnsi="宋体"/>
          <w:szCs w:val="21"/>
          <w:highlight w:val="red"/>
          <w:lang w:val="en-US" w:eastAsia="zh-Hans"/>
        </w:rPr>
        <w:t>，</w:t>
      </w:r>
      <w:r>
        <w:rPr>
          <w:rFonts w:hint="eastAsia" w:ascii="宋体" w:hAnsi="宋体"/>
          <w:szCs w:val="21"/>
          <w:highlight w:val="red"/>
          <w:lang w:val="en-US" w:eastAsia="zh-CN"/>
        </w:rPr>
        <w:t>设备安装完毕并经检验监督部门验收合格并颁发使用许可证后支付合同签订价款的97%，剩余3%作为质保金，待质保期满后1个月内退还。</w:t>
      </w:r>
    </w:p>
    <w:p>
      <w:pPr>
        <w:pStyle w:val="2"/>
      </w:pPr>
    </w:p>
    <w:p>
      <w:pPr>
        <w:numPr>
          <w:ilvl w:val="0"/>
          <w:numId w:val="31"/>
        </w:numPr>
        <w:wordWrap w:val="0"/>
        <w:spacing w:line="520" w:lineRule="exact"/>
        <w:ind w:right="-57" w:rightChars="-27"/>
        <w:outlineLvl w:val="0"/>
        <w:rPr>
          <w:rFonts w:ascii="黑体" w:hAnsi="宋体" w:eastAsia="黑体"/>
          <w:b/>
          <w:bCs/>
          <w:sz w:val="24"/>
          <w:highlight w:val="none"/>
        </w:rPr>
      </w:pPr>
      <w:bookmarkStart w:id="175" w:name="_Toc6721"/>
      <w:r>
        <w:rPr>
          <w:rFonts w:hint="eastAsia" w:ascii="黑体" w:hAnsi="宋体" w:eastAsia="黑体"/>
          <w:b/>
          <w:bCs/>
          <w:sz w:val="24"/>
          <w:highlight w:val="none"/>
        </w:rPr>
        <w:t>变更、违约、争议处理</w:t>
      </w:r>
      <w:bookmarkEnd w:id="175"/>
    </w:p>
    <w:p>
      <w:pPr>
        <w:numPr>
          <w:ilvl w:val="0"/>
          <w:numId w:val="32"/>
        </w:numPr>
        <w:wordWrap w:val="0"/>
        <w:spacing w:line="520" w:lineRule="exact"/>
        <w:ind w:right="195" w:rightChars="93"/>
        <w:rPr>
          <w:rFonts w:ascii="宋体"/>
          <w:szCs w:val="21"/>
          <w:highlight w:val="none"/>
        </w:rPr>
      </w:pPr>
      <w:r>
        <w:rPr>
          <w:rFonts w:hint="eastAsia" w:ascii="宋体" w:hAnsi="宋体"/>
          <w:szCs w:val="21"/>
          <w:highlight w:val="none"/>
        </w:rPr>
        <w:t>变更的内容及计价：</w:t>
      </w:r>
      <w:r>
        <w:rPr>
          <w:rFonts w:ascii="宋体" w:hAnsi="宋体"/>
          <w:szCs w:val="21"/>
          <w:highlight w:val="none"/>
        </w:rPr>
        <w:t>(1)</w:t>
      </w:r>
      <w:r>
        <w:rPr>
          <w:rFonts w:hint="eastAsia" w:ascii="宋体" w:hAnsi="宋体"/>
          <w:szCs w:val="21"/>
          <w:highlight w:val="none"/>
        </w:rPr>
        <w:t>取消合同中任何一项工作，但被取消的工作不能转由甲方或他人实施，追加的额外工作；</w:t>
      </w:r>
      <w:r>
        <w:rPr>
          <w:rFonts w:ascii="宋体" w:hAnsi="宋体"/>
          <w:szCs w:val="21"/>
          <w:highlight w:val="none"/>
        </w:rPr>
        <w:t>(2)</w:t>
      </w:r>
      <w:r>
        <w:rPr>
          <w:rFonts w:hint="eastAsia" w:ascii="宋体" w:hAnsi="宋体"/>
          <w:szCs w:val="21"/>
          <w:highlight w:val="none"/>
        </w:rPr>
        <w:t>改变合同中任何一项工作的质量、内容、供应时间，其价格按己有清单标价或变更内容按市场的价格。</w:t>
      </w:r>
    </w:p>
    <w:p>
      <w:pPr>
        <w:numPr>
          <w:ilvl w:val="0"/>
          <w:numId w:val="32"/>
        </w:numPr>
        <w:wordWrap w:val="0"/>
        <w:spacing w:line="520" w:lineRule="exact"/>
        <w:ind w:right="195" w:rightChars="93"/>
        <w:rPr>
          <w:rFonts w:ascii="宋体"/>
          <w:szCs w:val="21"/>
          <w:highlight w:val="none"/>
        </w:rPr>
      </w:pPr>
      <w:r>
        <w:rPr>
          <w:rFonts w:hint="eastAsia" w:ascii="宋体" w:hAnsi="宋体"/>
          <w:szCs w:val="21"/>
          <w:highlight w:val="none"/>
        </w:rPr>
        <w:t>违约的处理：</w:t>
      </w:r>
    </w:p>
    <w:p>
      <w:pPr>
        <w:numPr>
          <w:ilvl w:val="0"/>
          <w:numId w:val="32"/>
        </w:numPr>
        <w:wordWrap w:val="0"/>
        <w:spacing w:line="520" w:lineRule="exact"/>
        <w:ind w:right="195" w:rightChars="93"/>
        <w:rPr>
          <w:rFonts w:ascii="宋体"/>
          <w:szCs w:val="21"/>
          <w:highlight w:val="none"/>
        </w:rPr>
      </w:pPr>
      <w:r>
        <w:rPr>
          <w:rFonts w:hint="eastAsia" w:ascii="宋体" w:hAnsi="宋体"/>
          <w:szCs w:val="21"/>
          <w:highlight w:val="none"/>
        </w:rPr>
        <w:t>如果乙方违约：（</w:t>
      </w:r>
      <w:r>
        <w:rPr>
          <w:rFonts w:ascii="宋体" w:hAnsi="宋体"/>
          <w:szCs w:val="21"/>
          <w:highlight w:val="none"/>
        </w:rPr>
        <w:t>1</w:t>
      </w:r>
      <w:r>
        <w:rPr>
          <w:rFonts w:hint="eastAsia" w:ascii="宋体" w:hAnsi="宋体"/>
          <w:szCs w:val="21"/>
          <w:highlight w:val="none"/>
        </w:rPr>
        <w:t>）甲方可通知乙方立即解除合同。</w:t>
      </w:r>
      <w:r>
        <w:rPr>
          <w:rFonts w:ascii="宋体" w:hAnsi="宋体"/>
          <w:szCs w:val="21"/>
          <w:highlight w:val="none"/>
        </w:rPr>
        <w:t xml:space="preserve"> (2)</w:t>
      </w:r>
      <w:r>
        <w:rPr>
          <w:rFonts w:hint="eastAsia" w:ascii="宋体" w:hAnsi="宋体"/>
          <w:szCs w:val="21"/>
          <w:highlight w:val="none"/>
        </w:rPr>
        <w:t>甲方可向乙方发出整改通知，要求其在指定的期限内改正。并承担因此引起的费用增加和（或）工期延误责任，同时乙方支付合同价日</w:t>
      </w:r>
      <w:r>
        <w:rPr>
          <w:rFonts w:ascii="宋体" w:hAnsi="宋体"/>
          <w:szCs w:val="21"/>
          <w:highlight w:val="none"/>
          <w:u w:val="single"/>
        </w:rPr>
        <w:t>2%</w:t>
      </w:r>
      <w:r>
        <w:rPr>
          <w:rFonts w:ascii="宋体"/>
          <w:szCs w:val="21"/>
          <w:highlight w:val="none"/>
          <w:u w:val="single"/>
          <w:vertAlign w:val="subscript"/>
        </w:rPr>
        <w:t>0</w:t>
      </w:r>
      <w:r>
        <w:rPr>
          <w:rFonts w:hint="eastAsia" w:ascii="宋体" w:hAnsi="宋体"/>
          <w:szCs w:val="21"/>
          <w:highlight w:val="none"/>
        </w:rPr>
        <w:t>逾期违约金，但不免除修补缺陷的义务。</w:t>
      </w:r>
    </w:p>
    <w:p>
      <w:pPr>
        <w:numPr>
          <w:ilvl w:val="0"/>
          <w:numId w:val="32"/>
        </w:numPr>
        <w:wordWrap w:val="0"/>
        <w:spacing w:line="520" w:lineRule="exact"/>
        <w:ind w:right="195" w:rightChars="93"/>
        <w:rPr>
          <w:rFonts w:ascii="宋体"/>
          <w:szCs w:val="21"/>
          <w:highlight w:val="none"/>
        </w:rPr>
      </w:pPr>
      <w:r>
        <w:rPr>
          <w:rFonts w:hint="eastAsia" w:ascii="宋体" w:hAnsi="宋体"/>
          <w:szCs w:val="21"/>
          <w:highlight w:val="none"/>
        </w:rPr>
        <w:t>如果甲方违约解除合同：应在解除合同后</w:t>
      </w:r>
      <w:r>
        <w:rPr>
          <w:rFonts w:ascii="宋体" w:hAnsi="宋体"/>
          <w:szCs w:val="21"/>
          <w:highlight w:val="none"/>
          <w:u w:val="single"/>
        </w:rPr>
        <w:t>28</w:t>
      </w:r>
      <w:r>
        <w:rPr>
          <w:rFonts w:hint="eastAsia" w:ascii="宋体" w:hAnsi="宋体"/>
          <w:szCs w:val="21"/>
          <w:highlight w:val="none"/>
        </w:rPr>
        <w:t>天内向乙方支付完成部分的价款；订购并己付款的货物和服务的金额；由于解除合同应赔偿的乙方损失等，或承担因甲方责任引起的费用增加和（或）工期延误责任。</w:t>
      </w:r>
    </w:p>
    <w:p>
      <w:pPr>
        <w:numPr>
          <w:ilvl w:val="0"/>
          <w:numId w:val="32"/>
        </w:numPr>
        <w:wordWrap w:val="0"/>
        <w:spacing w:line="520" w:lineRule="exact"/>
        <w:ind w:right="195" w:rightChars="93"/>
        <w:outlineLvl w:val="0"/>
        <w:rPr>
          <w:rFonts w:ascii="宋体"/>
          <w:szCs w:val="21"/>
          <w:highlight w:val="none"/>
        </w:rPr>
      </w:pPr>
      <w:bookmarkStart w:id="176" w:name="_Toc9083"/>
      <w:r>
        <w:rPr>
          <w:rFonts w:hint="eastAsia" w:ascii="宋体" w:hAnsi="宋体"/>
          <w:bCs/>
          <w:szCs w:val="21"/>
          <w:highlight w:val="none"/>
        </w:rPr>
        <w:t>争议的解决、</w:t>
      </w:r>
      <w:r>
        <w:rPr>
          <w:rFonts w:hint="eastAsia" w:ascii="宋体" w:hAnsi="宋体"/>
          <w:szCs w:val="21"/>
          <w:highlight w:val="none"/>
        </w:rPr>
        <w:t>合同有效期及合同份数：</w:t>
      </w:r>
      <w:bookmarkEnd w:id="176"/>
    </w:p>
    <w:p>
      <w:pPr>
        <w:numPr>
          <w:ilvl w:val="0"/>
          <w:numId w:val="33"/>
        </w:numPr>
        <w:wordWrap w:val="0"/>
        <w:spacing w:line="520" w:lineRule="exact"/>
        <w:ind w:right="195" w:rightChars="93"/>
        <w:outlineLvl w:val="0"/>
        <w:rPr>
          <w:rFonts w:ascii="宋体"/>
          <w:szCs w:val="21"/>
          <w:highlight w:val="none"/>
        </w:rPr>
      </w:pPr>
      <w:bookmarkStart w:id="177" w:name="_Toc31232"/>
      <w:r>
        <w:rPr>
          <w:rFonts w:hint="eastAsia" w:ascii="宋体" w:hAnsi="宋体"/>
          <w:szCs w:val="21"/>
          <w:highlight w:val="none"/>
        </w:rPr>
        <w:t>争议的解决方式依次：协商解决或者提请争议评审、向约定的仲裁委员会申请仲裁、向有管辖权的人民法院提起诉讼。</w:t>
      </w:r>
      <w:bookmarkEnd w:id="177"/>
    </w:p>
    <w:p>
      <w:pPr>
        <w:numPr>
          <w:ilvl w:val="0"/>
          <w:numId w:val="33"/>
        </w:numPr>
        <w:wordWrap w:val="0"/>
        <w:spacing w:line="520" w:lineRule="exact"/>
        <w:ind w:right="195" w:rightChars="93"/>
        <w:rPr>
          <w:rFonts w:ascii="宋体"/>
          <w:szCs w:val="21"/>
          <w:highlight w:val="none"/>
        </w:rPr>
      </w:pPr>
      <w:r>
        <w:rPr>
          <w:rFonts w:hint="eastAsia" w:ascii="宋体" w:hAnsi="宋体"/>
          <w:szCs w:val="21"/>
          <w:highlight w:val="none"/>
        </w:rPr>
        <w:t>本合同从签订之日起生效，至甲乙双方责任期满为止。</w:t>
      </w:r>
    </w:p>
    <w:p>
      <w:pPr>
        <w:numPr>
          <w:ilvl w:val="0"/>
          <w:numId w:val="33"/>
        </w:numPr>
        <w:wordWrap w:val="0"/>
        <w:spacing w:line="520" w:lineRule="exact"/>
        <w:ind w:right="195" w:rightChars="93"/>
        <w:rPr>
          <w:rFonts w:ascii="宋体"/>
          <w:szCs w:val="21"/>
          <w:highlight w:val="none"/>
        </w:rPr>
      </w:pPr>
      <w:r>
        <w:rPr>
          <w:rFonts w:hint="eastAsia" w:ascii="宋体" w:hAnsi="宋体"/>
          <w:szCs w:val="21"/>
          <w:highlight w:val="none"/>
        </w:rPr>
        <w:t>本合同一式伍份，甲乙双方各执两份、招标代理公司执一份。</w:t>
      </w:r>
    </w:p>
    <w:p>
      <w:pPr>
        <w:wordWrap w:val="0"/>
        <w:spacing w:line="520" w:lineRule="exact"/>
        <w:ind w:right="195" w:rightChars="93" w:firstLine="406"/>
        <w:rPr>
          <w:rFonts w:ascii="宋体" w:hAnsi="宋体"/>
          <w:szCs w:val="21"/>
          <w:highlight w:val="none"/>
        </w:rPr>
      </w:pPr>
      <w:r>
        <w:rPr>
          <w:rFonts w:hint="eastAsia" w:ascii="宋体" w:hAnsi="宋体"/>
          <w:szCs w:val="21"/>
          <w:highlight w:val="none"/>
        </w:rPr>
        <w:t>甲方（签章）：</w:t>
      </w:r>
    </w:p>
    <w:p>
      <w:pPr>
        <w:wordWrap w:val="0"/>
        <w:spacing w:line="520" w:lineRule="exact"/>
        <w:ind w:right="195" w:rightChars="93" w:firstLine="406"/>
        <w:rPr>
          <w:rFonts w:ascii="宋体"/>
          <w:szCs w:val="21"/>
          <w:highlight w:val="none"/>
          <w:lang w:val="zh-CN"/>
        </w:rPr>
      </w:pPr>
      <w:r>
        <w:rPr>
          <w:rFonts w:hint="eastAsia" w:ascii="宋体" w:hAnsi="宋体"/>
          <w:szCs w:val="21"/>
          <w:highlight w:val="none"/>
        </w:rPr>
        <w:t>乙方（签章）：</w:t>
      </w:r>
    </w:p>
    <w:bookmarkEnd w:id="9"/>
    <w:bookmarkEnd w:id="10"/>
    <w:bookmarkEnd w:id="11"/>
    <w:bookmarkEnd w:id="12"/>
    <w:bookmarkEnd w:id="13"/>
    <w:bookmarkEnd w:id="14"/>
    <w:bookmarkEnd w:id="163"/>
    <w:p>
      <w:pPr>
        <w:pStyle w:val="3"/>
        <w:wordWrap w:val="0"/>
        <w:rPr>
          <w:rFonts w:ascii="黑体" w:hAnsi="黑体" w:eastAsia="黑体" w:cs="黑体"/>
          <w:highlight w:val="none"/>
        </w:rPr>
      </w:pPr>
      <w:bookmarkStart w:id="178" w:name="_Toc535814467"/>
      <w:bookmarkStart w:id="179" w:name="_Toc136229092"/>
      <w:bookmarkStart w:id="180" w:name="_Toc426449780"/>
      <w:bookmarkStart w:id="181" w:name="_Toc120411845"/>
      <w:bookmarkStart w:id="182" w:name="_Toc535815712"/>
      <w:r>
        <w:rPr>
          <w:rFonts w:hint="eastAsia" w:ascii="黑体" w:hAnsi="黑体" w:eastAsia="黑体" w:cs="黑体"/>
          <w:highlight w:val="none"/>
        </w:rPr>
        <w:br w:type="page"/>
      </w:r>
      <w:bookmarkStart w:id="183" w:name="_Toc6535"/>
      <w:r>
        <w:rPr>
          <w:rFonts w:hint="eastAsia" w:ascii="黑体" w:hAnsi="黑体" w:eastAsia="黑体" w:cs="黑体"/>
          <w:highlight w:val="none"/>
        </w:rPr>
        <w:t>第六章</w:t>
      </w:r>
      <w:bookmarkEnd w:id="178"/>
      <w:r>
        <w:rPr>
          <w:rFonts w:hint="eastAsia" w:ascii="黑体" w:hAnsi="黑体" w:eastAsia="黑体" w:cs="黑体"/>
          <w:highlight w:val="none"/>
        </w:rPr>
        <w:t xml:space="preserve">  投标文件格式</w:t>
      </w:r>
      <w:bookmarkEnd w:id="179"/>
      <w:bookmarkEnd w:id="180"/>
      <w:bookmarkEnd w:id="181"/>
      <w:bookmarkEnd w:id="183"/>
    </w:p>
    <w:p>
      <w:pPr>
        <w:wordWrap w:val="0"/>
        <w:spacing w:line="560" w:lineRule="exact"/>
        <w:rPr>
          <w:rFonts w:ascii="宋体"/>
          <w:b/>
          <w:sz w:val="24"/>
          <w:highlight w:val="none"/>
          <w:lang w:val="zh-CN"/>
        </w:rPr>
      </w:pPr>
    </w:p>
    <w:p>
      <w:pPr>
        <w:wordWrap w:val="0"/>
        <w:spacing w:line="560" w:lineRule="exact"/>
        <w:outlineLvl w:val="0"/>
        <w:rPr>
          <w:rFonts w:ascii="宋体"/>
          <w:spacing w:val="-24"/>
          <w:sz w:val="24"/>
          <w:highlight w:val="none"/>
        </w:rPr>
      </w:pPr>
      <w:bookmarkStart w:id="184" w:name="_Toc9370"/>
      <w:r>
        <w:rPr>
          <w:rFonts w:hint="eastAsia" w:ascii="宋体" w:hAnsi="宋体"/>
          <w:b/>
          <w:sz w:val="24"/>
          <w:highlight w:val="none"/>
          <w:lang w:val="zh-CN"/>
        </w:rPr>
        <w:t>封面</w:t>
      </w:r>
      <w:bookmarkEnd w:id="184"/>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right="-317" w:rightChars="-151"/>
        <w:rPr>
          <w:rFonts w:ascii="宋体" w:hAnsi="宋体" w:eastAsia="宋体"/>
          <w:sz w:val="24"/>
          <w:szCs w:val="24"/>
          <w:highlight w:val="none"/>
        </w:rPr>
      </w:pPr>
    </w:p>
    <w:p>
      <w:pPr>
        <w:pStyle w:val="14"/>
        <w:wordWrap w:val="0"/>
        <w:ind w:right="-317" w:rightChars="-151"/>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2"/>
        <w:rPr>
          <w:rFonts w:hint="eastAsia" w:ascii="宋体" w:hAnsi="宋体" w:cs="宋体"/>
          <w:b/>
          <w:bCs/>
          <w:sz w:val="24"/>
          <w:highlight w:val="none"/>
          <w:u w:val="none"/>
          <w:lang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839"/>
        <w:jc w:val="center"/>
        <w:textAlignment w:val="auto"/>
        <w:rPr>
          <w:rFonts w:hint="eastAsia" w:ascii="宋体" w:hAnsi="宋体" w:cs="宋体"/>
          <w:b/>
          <w:bCs/>
          <w:sz w:val="28"/>
          <w:szCs w:val="28"/>
          <w:highlight w:val="none"/>
          <w:u w:val="none"/>
          <w:lang w:val="en-US" w:eastAsia="zh-CN"/>
        </w:rPr>
      </w:pPr>
      <w:r>
        <w:rPr>
          <w:rFonts w:hint="eastAsia" w:asciiTheme="minorEastAsia" w:hAnsiTheme="minorEastAsia" w:eastAsiaTheme="minorEastAsia" w:cstheme="minorEastAsia"/>
          <w:b/>
          <w:bCs/>
          <w:kern w:val="0"/>
          <w:sz w:val="28"/>
          <w:szCs w:val="28"/>
          <w:highlight w:val="yellow"/>
          <w:u w:val="none"/>
          <w:lang w:val="en-US" w:eastAsia="zh-Hans"/>
        </w:rPr>
        <w:t>咸安</w:t>
      </w:r>
      <w:r>
        <w:rPr>
          <w:rFonts w:hint="eastAsia" w:asciiTheme="minorEastAsia" w:hAnsiTheme="minorEastAsia" w:eastAsiaTheme="minorEastAsia" w:cstheme="minorEastAsia"/>
          <w:b/>
          <w:bCs/>
          <w:kern w:val="0"/>
          <w:sz w:val="28"/>
          <w:szCs w:val="28"/>
          <w:highlight w:val="yellow"/>
          <w:u w:val="none"/>
          <w:lang w:val="en-US" w:eastAsia="zh-CN"/>
        </w:rPr>
        <w:t>区社会福利院整体搬迁工程</w:t>
      </w:r>
      <w:r>
        <w:rPr>
          <w:rFonts w:hint="eastAsia" w:asciiTheme="minorEastAsia" w:hAnsiTheme="minorEastAsia" w:eastAsiaTheme="minorEastAsia" w:cstheme="minorEastAsia"/>
          <w:b/>
          <w:bCs/>
          <w:kern w:val="0"/>
          <w:sz w:val="28"/>
          <w:szCs w:val="28"/>
          <w:highlight w:val="none"/>
          <w:u w:val="none"/>
          <w:lang w:val="en-US" w:eastAsia="zh-CN"/>
        </w:rPr>
        <w:t>医用兼无障碍电梯采购安装</w:t>
      </w:r>
      <w:r>
        <w:rPr>
          <w:rFonts w:hint="eastAsia" w:asciiTheme="minorEastAsia" w:hAnsiTheme="minorEastAsia" w:eastAsiaTheme="minorEastAsia" w:cstheme="minorEastAsia"/>
          <w:b/>
          <w:bCs/>
          <w:kern w:val="0"/>
          <w:sz w:val="28"/>
          <w:szCs w:val="28"/>
          <w:highlight w:val="none"/>
          <w:u w:val="none"/>
          <w:lang w:eastAsia="zh-CN"/>
        </w:rPr>
        <w:t>项目</w:t>
      </w:r>
    </w:p>
    <w:p>
      <w:pPr>
        <w:rPr>
          <w:rFonts w:hint="eastAsia"/>
          <w:lang w:eastAsia="zh-CN"/>
        </w:rPr>
      </w:pPr>
    </w:p>
    <w:p>
      <w:pPr>
        <w:wordWrap w:val="0"/>
        <w:ind w:firstLine="840"/>
        <w:jc w:val="center"/>
        <w:rPr>
          <w:rFonts w:ascii="宋体" w:cs="宋体"/>
          <w:szCs w:val="21"/>
          <w:highlight w:val="none"/>
        </w:rPr>
      </w:pPr>
    </w:p>
    <w:p>
      <w:pPr>
        <w:wordWrap w:val="0"/>
        <w:jc w:val="center"/>
        <w:rPr>
          <w:rFonts w:ascii="宋体" w:cs="宋体"/>
          <w:sz w:val="32"/>
          <w:szCs w:val="32"/>
          <w:highlight w:val="none"/>
        </w:rPr>
      </w:pPr>
      <w:r>
        <w:rPr>
          <w:rFonts w:hint="eastAsia" w:ascii="宋体" w:hAnsi="宋体" w:cs="宋体"/>
          <w:sz w:val="32"/>
          <w:szCs w:val="32"/>
          <w:highlight w:val="none"/>
        </w:rPr>
        <w:t>投标文件</w:t>
      </w:r>
    </w:p>
    <w:p>
      <w:pPr>
        <w:wordWrap w:val="0"/>
        <w:ind w:firstLine="4305" w:firstLineChars="2050"/>
        <w:rPr>
          <w:rFonts w:ascii="宋体" w:cs="宋体"/>
          <w:szCs w:val="21"/>
          <w:highlight w:val="none"/>
        </w:rPr>
      </w:pPr>
    </w:p>
    <w:p>
      <w:pPr>
        <w:wordWrap w:val="0"/>
        <w:ind w:firstLine="4305" w:firstLineChars="2050"/>
        <w:rPr>
          <w:rFonts w:ascii="宋体" w:cs="宋体"/>
          <w:szCs w:val="21"/>
          <w:highlight w:val="none"/>
        </w:rPr>
      </w:pPr>
    </w:p>
    <w:p>
      <w:pPr>
        <w:wordWrap w:val="0"/>
        <w:jc w:val="center"/>
        <w:rPr>
          <w:rFonts w:ascii="宋体" w:cs="宋体"/>
          <w:szCs w:val="21"/>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3150" w:firstLineChars="1500"/>
        <w:textAlignment w:val="auto"/>
        <w:rPr>
          <w:rFonts w:ascii="宋体" w:cs="宋体"/>
          <w:szCs w:val="21"/>
          <w:highlight w:val="none"/>
          <w:u w:val="single"/>
        </w:rPr>
      </w:pPr>
      <w:r>
        <w:rPr>
          <w:rFonts w:hint="eastAsia" w:ascii="宋体" w:hAnsi="宋体" w:cs="宋体"/>
          <w:szCs w:val="21"/>
          <w:highlight w:val="none"/>
        </w:rPr>
        <w:t>项目编号：</w:t>
      </w:r>
      <w:r>
        <w:rPr>
          <w:rFonts w:hint="eastAsia" w:asciiTheme="minorEastAsia" w:hAnsiTheme="minorEastAsia" w:eastAsiaTheme="minorEastAsia" w:cstheme="minorEastAsia"/>
          <w:color w:val="auto"/>
          <w:kern w:val="0"/>
          <w:sz w:val="21"/>
          <w:szCs w:val="21"/>
          <w:highlight w:val="none"/>
          <w:u w:val="none"/>
          <w:lang w:eastAsia="zh-CN"/>
        </w:rPr>
        <w:t>2022--</w:t>
      </w:r>
      <w:r>
        <w:rPr>
          <w:rFonts w:hint="eastAsia" w:asciiTheme="minorEastAsia" w:hAnsiTheme="minorEastAsia" w:eastAsiaTheme="minorEastAsia" w:cstheme="minorEastAsia"/>
          <w:color w:val="auto"/>
          <w:kern w:val="0"/>
          <w:sz w:val="21"/>
          <w:szCs w:val="21"/>
          <w:highlight w:val="none"/>
          <w:u w:val="none"/>
          <w:lang w:val="en-US" w:eastAsia="zh-CN"/>
        </w:rPr>
        <w:t>FLY</w:t>
      </w:r>
      <w:r>
        <w:rPr>
          <w:rFonts w:hint="eastAsia" w:asciiTheme="minorEastAsia" w:hAnsiTheme="minorEastAsia" w:eastAsiaTheme="minorEastAsia" w:cstheme="minorEastAsia"/>
          <w:color w:val="auto"/>
          <w:kern w:val="0"/>
          <w:sz w:val="21"/>
          <w:szCs w:val="21"/>
          <w:highlight w:val="none"/>
          <w:u w:val="none"/>
          <w:lang w:eastAsia="zh-Hans"/>
        </w:rPr>
        <w:t>-</w:t>
      </w:r>
      <w:r>
        <w:rPr>
          <w:rFonts w:hint="eastAsia" w:asciiTheme="minorEastAsia" w:hAnsiTheme="minorEastAsia" w:eastAsiaTheme="minorEastAsia" w:cstheme="minorEastAsia"/>
          <w:color w:val="auto"/>
          <w:kern w:val="0"/>
          <w:sz w:val="21"/>
          <w:szCs w:val="21"/>
          <w:highlight w:val="none"/>
          <w:u w:val="none"/>
          <w:lang w:eastAsia="zh-CN"/>
        </w:rPr>
        <w:t>001</w:t>
      </w:r>
    </w:p>
    <w:p>
      <w:pPr>
        <w:keepNext w:val="0"/>
        <w:keepLines w:val="0"/>
        <w:pageBreakBefore w:val="0"/>
        <w:widowControl w:val="0"/>
        <w:kinsoku/>
        <w:wordWrap w:val="0"/>
        <w:overflowPunct/>
        <w:topLinePunct w:val="0"/>
        <w:autoSpaceDE/>
        <w:autoSpaceDN/>
        <w:bidi w:val="0"/>
        <w:adjustRightInd/>
        <w:snapToGrid/>
        <w:spacing w:line="360" w:lineRule="auto"/>
        <w:ind w:firstLine="3150" w:firstLineChars="1500"/>
        <w:textAlignment w:val="auto"/>
        <w:rPr>
          <w:rFonts w:ascii="宋体" w:cs="宋体"/>
          <w:szCs w:val="21"/>
          <w:highlight w:val="none"/>
        </w:rPr>
      </w:pPr>
      <w:r>
        <w:rPr>
          <w:rFonts w:hint="eastAsia" w:ascii="宋体" w:hAnsi="宋体" w:cs="宋体"/>
          <w:szCs w:val="21"/>
          <w:highlight w:val="none"/>
        </w:rPr>
        <w:t>采购单位：</w:t>
      </w:r>
      <w:r>
        <w:rPr>
          <w:rFonts w:hint="eastAsia" w:asciiTheme="minorEastAsia" w:hAnsiTheme="minorEastAsia" w:eastAsiaTheme="minorEastAsia" w:cstheme="minorEastAsia"/>
          <w:color w:val="auto"/>
          <w:kern w:val="0"/>
          <w:sz w:val="21"/>
          <w:szCs w:val="21"/>
          <w:highlight w:val="none"/>
          <w:u w:val="none"/>
          <w:lang w:eastAsia="zh-CN"/>
        </w:rPr>
        <w:t>咸宁市宁安建筑工程有限公司</w:t>
      </w:r>
    </w:p>
    <w:p>
      <w:pPr>
        <w:keepNext w:val="0"/>
        <w:keepLines w:val="0"/>
        <w:pageBreakBefore w:val="0"/>
        <w:widowControl w:val="0"/>
        <w:kinsoku/>
        <w:wordWrap w:val="0"/>
        <w:overflowPunct/>
        <w:topLinePunct w:val="0"/>
        <w:autoSpaceDE/>
        <w:autoSpaceDN/>
        <w:bidi w:val="0"/>
        <w:adjustRightInd/>
        <w:snapToGrid/>
        <w:spacing w:line="360" w:lineRule="auto"/>
        <w:ind w:firstLine="3150" w:firstLineChars="1500"/>
        <w:textAlignment w:val="auto"/>
        <w:rPr>
          <w:rFonts w:ascii="宋体" w:cs="宋体"/>
          <w:szCs w:val="21"/>
          <w:highlight w:val="none"/>
        </w:rPr>
      </w:pPr>
      <w:r>
        <w:rPr>
          <w:rFonts w:hint="eastAsia" w:ascii="宋体" w:hAnsi="宋体" w:cs="宋体"/>
          <w:szCs w:val="21"/>
          <w:highlight w:val="none"/>
        </w:rPr>
        <w:t>投标单位：</w:t>
      </w:r>
      <w:r>
        <w:rPr>
          <w:rFonts w:ascii="宋体" w:hAnsi="宋体" w:cs="宋体"/>
          <w:szCs w:val="21"/>
          <w:highlight w:val="none"/>
        </w:rPr>
        <w:t>xxxxxxxxxxxxxxxxx</w:t>
      </w:r>
    </w:p>
    <w:p>
      <w:pPr>
        <w:keepNext w:val="0"/>
        <w:keepLines w:val="0"/>
        <w:pageBreakBefore w:val="0"/>
        <w:widowControl w:val="0"/>
        <w:kinsoku/>
        <w:wordWrap w:val="0"/>
        <w:overflowPunct/>
        <w:topLinePunct w:val="0"/>
        <w:autoSpaceDE/>
        <w:autoSpaceDN/>
        <w:bidi w:val="0"/>
        <w:adjustRightInd/>
        <w:snapToGrid/>
        <w:spacing w:line="360" w:lineRule="auto"/>
        <w:ind w:firstLine="3150" w:firstLineChars="1500"/>
        <w:textAlignment w:val="auto"/>
        <w:rPr>
          <w:rFonts w:ascii="宋体" w:cs="宋体"/>
          <w:szCs w:val="21"/>
          <w:highlight w:val="none"/>
        </w:rPr>
      </w:pPr>
      <w:r>
        <w:rPr>
          <w:rFonts w:hint="eastAsia" w:ascii="宋体" w:hAnsi="宋体" w:cs="宋体"/>
          <w:bCs/>
          <w:szCs w:val="21"/>
          <w:highlight w:val="none"/>
        </w:rPr>
        <w:t>投标时间：</w:t>
      </w:r>
      <w:r>
        <w:rPr>
          <w:rFonts w:ascii="宋体" w:hAnsi="宋体" w:cs="宋体"/>
          <w:bCs/>
          <w:szCs w:val="21"/>
          <w:highlight w:val="none"/>
        </w:rPr>
        <w:t>xxxxxxxxxxxxxxxxx</w:t>
      </w:r>
    </w:p>
    <w:bookmarkEnd w:id="182"/>
    <w:p>
      <w:pPr>
        <w:wordWrap w:val="0"/>
        <w:spacing w:line="560" w:lineRule="exact"/>
        <w:ind w:firstLine="3092" w:firstLineChars="700"/>
        <w:rPr>
          <w:rFonts w:ascii="黑体" w:hAnsi="黑体" w:eastAsia="黑体"/>
          <w:b/>
          <w:sz w:val="44"/>
          <w:szCs w:val="44"/>
          <w:highlight w:val="none"/>
          <w:lang w:val="zh-CN"/>
        </w:rPr>
      </w:pPr>
      <w:r>
        <w:rPr>
          <w:rFonts w:ascii="黑体" w:hAnsi="黑体" w:eastAsia="黑体"/>
          <w:b/>
          <w:sz w:val="44"/>
          <w:szCs w:val="44"/>
          <w:highlight w:val="none"/>
          <w:lang w:val="zh-CN"/>
        </w:rPr>
        <w:br w:type="page"/>
      </w:r>
      <w:r>
        <w:rPr>
          <w:rFonts w:hint="eastAsia" w:ascii="黑体" w:hAnsi="黑体" w:eastAsia="黑体"/>
          <w:b/>
          <w:sz w:val="44"/>
          <w:szCs w:val="44"/>
          <w:highlight w:val="none"/>
          <w:lang w:val="zh-CN"/>
        </w:rPr>
        <w:t>目  录</w:t>
      </w:r>
    </w:p>
    <w:p>
      <w:pPr>
        <w:wordWrap w:val="0"/>
        <w:spacing w:line="560" w:lineRule="exact"/>
        <w:rPr>
          <w:rFonts w:hint="eastAsia" w:ascii="黑体" w:hAnsi="黑体" w:eastAsia="黑体" w:cs="黑体"/>
          <w:b/>
          <w:sz w:val="24"/>
          <w:highlight w:val="none"/>
          <w:lang w:val="zh-CN"/>
        </w:rPr>
      </w:pPr>
    </w:p>
    <w:p>
      <w:pPr>
        <w:pStyle w:val="19"/>
        <w:numPr>
          <w:ilvl w:val="0"/>
          <w:numId w:val="34"/>
        </w:numPr>
        <w:spacing w:line="460" w:lineRule="exact"/>
        <w:ind w:left="0" w:leftChars="0" w:firstLine="567"/>
        <w:jc w:val="left"/>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lang w:eastAsia="zh-Hans"/>
        </w:rPr>
        <w:t>资</w:t>
      </w:r>
      <w:r>
        <w:rPr>
          <w:rFonts w:hint="eastAsia" w:ascii="宋体" w:hAnsi="宋体" w:eastAsia="宋体" w:cs="宋体"/>
          <w:color w:val="auto"/>
          <w:sz w:val="28"/>
          <w:szCs w:val="28"/>
          <w:highlight w:val="none"/>
          <w:lang w:eastAsia="zh-CN"/>
        </w:rPr>
        <w:t>格</w:t>
      </w:r>
      <w:r>
        <w:rPr>
          <w:rFonts w:hint="eastAsia" w:ascii="宋体" w:hAnsi="宋体" w:eastAsia="宋体" w:cs="宋体"/>
          <w:color w:val="auto"/>
          <w:sz w:val="28"/>
          <w:szCs w:val="28"/>
          <w:highlight w:val="none"/>
          <w:lang w:eastAsia="zh-Hans"/>
        </w:rPr>
        <w:t>文件</w:t>
      </w:r>
    </w:p>
    <w:p>
      <w:pPr>
        <w:pStyle w:val="19"/>
        <w:numPr>
          <w:ilvl w:val="0"/>
          <w:numId w:val="34"/>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zh-CN" w:eastAsia="zh-Hans"/>
        </w:rPr>
        <w:t>法人身份证明及其授权委托书</w:t>
      </w:r>
    </w:p>
    <w:p>
      <w:pPr>
        <w:pStyle w:val="19"/>
        <w:numPr>
          <w:ilvl w:val="0"/>
          <w:numId w:val="34"/>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zh-CN" w:eastAsia="zh-Hans"/>
        </w:rPr>
        <w:t>类似工程业绩表（</w:t>
      </w:r>
      <w:r>
        <w:rPr>
          <w:rFonts w:hint="eastAsia" w:ascii="宋体" w:hAnsi="宋体" w:eastAsia="宋体" w:cs="宋体"/>
          <w:color w:val="auto"/>
          <w:sz w:val="28"/>
          <w:szCs w:val="28"/>
          <w:highlight w:val="none"/>
          <w:lang w:eastAsia="zh-Hans"/>
        </w:rPr>
        <w:t>近2年</w:t>
      </w:r>
      <w:r>
        <w:rPr>
          <w:rFonts w:hint="eastAsia" w:ascii="宋体" w:hAnsi="宋体" w:eastAsia="宋体" w:cs="宋体"/>
          <w:color w:val="auto"/>
          <w:sz w:val="28"/>
          <w:szCs w:val="28"/>
          <w:highlight w:val="none"/>
          <w:lang w:val="zh-CN" w:eastAsia="zh-Hans"/>
        </w:rPr>
        <w:t>）</w:t>
      </w:r>
    </w:p>
    <w:p>
      <w:pPr>
        <w:pStyle w:val="19"/>
        <w:numPr>
          <w:ilvl w:val="0"/>
          <w:numId w:val="34"/>
        </w:numPr>
        <w:spacing w:line="460" w:lineRule="exact"/>
        <w:ind w:left="0" w:leftChars="0" w:firstLine="567"/>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安装及调试人员配置表</w:t>
      </w:r>
    </w:p>
    <w:p>
      <w:pPr>
        <w:pStyle w:val="19"/>
        <w:numPr>
          <w:ilvl w:val="0"/>
          <w:numId w:val="34"/>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eastAsia="zh-Hans"/>
        </w:rPr>
        <w:t>技术</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lang w:eastAsia="zh-Hans"/>
        </w:rPr>
        <w:t>方案</w:t>
      </w:r>
    </w:p>
    <w:p>
      <w:pPr>
        <w:pStyle w:val="19"/>
        <w:numPr>
          <w:ilvl w:val="0"/>
          <w:numId w:val="34"/>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en-US" w:eastAsia="zh-CN"/>
        </w:rPr>
        <w:t>投标报价函</w:t>
      </w:r>
    </w:p>
    <w:p>
      <w:pPr>
        <w:pStyle w:val="19"/>
        <w:numPr>
          <w:ilvl w:val="0"/>
          <w:numId w:val="34"/>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cs="宋体"/>
          <w:color w:val="auto"/>
          <w:sz w:val="28"/>
          <w:szCs w:val="28"/>
          <w:highlight w:val="none"/>
          <w:lang w:val="en-US" w:eastAsia="zh-CN"/>
        </w:rPr>
        <w:t>附件</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1</w:t>
      </w:r>
      <w:r>
        <w:rPr>
          <w:rFonts w:hint="eastAsia" w:ascii="宋体" w:hAnsi="宋体" w:cs="宋体"/>
          <w:color w:val="auto"/>
          <w:sz w:val="28"/>
          <w:szCs w:val="28"/>
          <w:highlight w:val="none"/>
          <w:lang w:val="zh-CN" w:eastAsia="zh-Hans"/>
        </w:rPr>
        <w:t>　投标资格声明书</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val="zh-CN"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2</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zh-CN" w:eastAsia="zh-Hans"/>
        </w:rPr>
        <w:t>投标响应书</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3</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zh-CN" w:eastAsia="zh-Hans"/>
        </w:rPr>
        <w:t>投标要求重要事项作出的响应承诺</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4</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en-US" w:eastAsia="zh-CN"/>
        </w:rPr>
        <w:t>投标承诺函</w:t>
      </w:r>
    </w:p>
    <w:p>
      <w:pPr>
        <w:pStyle w:val="19"/>
        <w:widowControl w:val="0"/>
        <w:numPr>
          <w:ilvl w:val="0"/>
          <w:numId w:val="0"/>
        </w:numPr>
        <w:spacing w:line="460" w:lineRule="exact"/>
        <w:jc w:val="left"/>
        <w:rPr>
          <w:rFonts w:hint="eastAsia" w:ascii="宋体" w:hAnsi="宋体" w:eastAsia="宋体" w:cs="宋体"/>
          <w:color w:val="auto"/>
          <w:sz w:val="28"/>
          <w:szCs w:val="28"/>
          <w:highlight w:val="none"/>
          <w:lang w:val="zh-CN" w:eastAsia="zh-Hans"/>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rPr>
      </w:pPr>
      <w:bookmarkStart w:id="185" w:name="_Toc22711"/>
      <w:r>
        <w:rPr>
          <w:rFonts w:hint="eastAsia"/>
          <w:color w:val="auto"/>
          <w:highlight w:val="none"/>
          <w:lang w:eastAsia="zh-Hans"/>
        </w:rPr>
        <w:t>一、资</w:t>
      </w:r>
      <w:r>
        <w:rPr>
          <w:rFonts w:hint="eastAsia"/>
          <w:color w:val="auto"/>
          <w:highlight w:val="none"/>
          <w:lang w:eastAsia="zh-CN"/>
        </w:rPr>
        <w:t>格</w:t>
      </w:r>
      <w:r>
        <w:rPr>
          <w:rFonts w:hint="eastAsia"/>
          <w:color w:val="auto"/>
          <w:highlight w:val="none"/>
          <w:lang w:eastAsia="zh-Hans"/>
        </w:rPr>
        <w:t>文件</w:t>
      </w:r>
      <w:bookmarkEnd w:id="185"/>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1</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工商营业执照</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eastAsia="zh-Hans"/>
        </w:rPr>
        <w:t>2、</w:t>
      </w:r>
      <w:r>
        <w:rPr>
          <w:rFonts w:hint="eastAsia" w:ascii="宋体" w:hAnsi="宋体" w:cs="宋体"/>
          <w:color w:val="auto"/>
          <w:sz w:val="28"/>
          <w:szCs w:val="28"/>
          <w:highlight w:val="none"/>
          <w:lang w:val="en-US" w:eastAsia="zh-CN"/>
        </w:rPr>
        <w:t>电梯设备销售</w:t>
      </w:r>
      <w:r>
        <w:rPr>
          <w:rFonts w:hint="eastAsia" w:ascii="宋体" w:hAnsi="宋体" w:cs="宋体"/>
          <w:color w:val="auto"/>
          <w:sz w:val="28"/>
          <w:szCs w:val="28"/>
          <w:highlight w:val="none"/>
          <w:lang w:val="en-US" w:eastAsia="zh-Hans"/>
        </w:rPr>
        <w:t>及</w:t>
      </w:r>
      <w:r>
        <w:rPr>
          <w:rFonts w:hint="eastAsia" w:ascii="宋体" w:hAnsi="宋体" w:cs="宋体"/>
          <w:color w:val="auto"/>
          <w:sz w:val="28"/>
          <w:szCs w:val="28"/>
          <w:highlight w:val="none"/>
          <w:lang w:val="en-US" w:eastAsia="zh-CN"/>
        </w:rPr>
        <w:t>安装</w:t>
      </w:r>
      <w:r>
        <w:rPr>
          <w:rFonts w:hint="eastAsia" w:ascii="宋体" w:hAnsi="宋体" w:cs="宋体"/>
          <w:color w:val="auto"/>
          <w:sz w:val="28"/>
          <w:szCs w:val="28"/>
          <w:highlight w:val="none"/>
          <w:lang w:val="en-US" w:eastAsia="zh-Hans"/>
        </w:rPr>
        <w:t>资质</w:t>
      </w:r>
      <w:r>
        <w:rPr>
          <w:rFonts w:hint="eastAsia" w:ascii="宋体" w:hAnsi="宋体" w:cs="宋体"/>
          <w:color w:val="auto"/>
          <w:sz w:val="28"/>
          <w:szCs w:val="28"/>
          <w:highlight w:val="none"/>
          <w:lang w:val="en-US" w:eastAsia="zh-CN"/>
        </w:rPr>
        <w:t>。</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3</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有依法缴纳税收记录（提供2022年1月至今任意连续3个月纳税凭证）</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4</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投标人在“信用中国”网站(www.creditchina.gov.cn) 上查询无“失信被执行人”信息；在“中国政府采购网”(www.ccgp.gov.cn)上查询未被列入政府采购严重违法失信行为记录名单；（提供网页查询截图加盖公章）</w:t>
      </w:r>
    </w:p>
    <w:p>
      <w:pPr>
        <w:wordWrap w:val="0"/>
        <w:spacing w:line="560" w:lineRule="exact"/>
        <w:rPr>
          <w:rFonts w:hint="eastAsia" w:ascii="黑体" w:hAnsi="黑体" w:eastAsia="黑体" w:cs="黑体"/>
          <w:b/>
          <w:sz w:val="24"/>
          <w:highlight w:val="none"/>
          <w:lang w:val="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bookmarkStart w:id="186" w:name="_Toc2411"/>
      <w:r>
        <w:rPr>
          <w:rFonts w:hint="eastAsia"/>
          <w:color w:val="auto"/>
          <w:highlight w:val="none"/>
          <w:lang w:val="zh-CN" w:eastAsia="zh-Hans"/>
        </w:rPr>
        <w:t>二、法人身份证明及其授权委托书</w:t>
      </w:r>
      <w:bookmarkEnd w:id="186"/>
    </w:p>
    <w:p>
      <w:pPr>
        <w:wordWrap w:val="0"/>
        <w:spacing w:line="520" w:lineRule="exact"/>
        <w:ind w:left="-376" w:leftChars="-179" w:firstLine="365" w:firstLineChars="174"/>
        <w:rPr>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480"/>
        <w:rPr>
          <w:highlight w:val="none"/>
          <w:lang w:val="zh-CN"/>
        </w:rPr>
      </w:pPr>
      <w:r>
        <w:rPr>
          <w:rFonts w:hint="eastAsia"/>
          <w:highlight w:val="none"/>
          <w:lang w:val="zh-CN"/>
        </w:rPr>
        <w:t>本公司法定代表人为</w:t>
      </w:r>
      <w:r>
        <w:rPr>
          <w:rFonts w:hint="eastAsia"/>
          <w:highlight w:val="none"/>
          <w:u w:val="single"/>
          <w:lang w:val="zh-CN"/>
        </w:rPr>
        <w:t xml:space="preserve"> </w:t>
      </w:r>
      <w:r>
        <w:rPr>
          <w:highlight w:val="none"/>
          <w:u w:val="single"/>
          <w:lang w:val="zh-CN"/>
        </w:rPr>
        <w:t xml:space="preserve">     </w:t>
      </w:r>
      <w:r>
        <w:rPr>
          <w:rFonts w:hint="eastAsia"/>
          <w:highlight w:val="none"/>
          <w:lang w:val="zh-CN"/>
        </w:rPr>
        <w:t>，现授权</w:t>
      </w:r>
      <w:r>
        <w:rPr>
          <w:rFonts w:hint="eastAsia"/>
          <w:highlight w:val="none"/>
          <w:u w:val="single"/>
          <w:lang w:val="zh-CN"/>
        </w:rPr>
        <w:t xml:space="preserve"> </w:t>
      </w:r>
      <w:r>
        <w:rPr>
          <w:highlight w:val="none"/>
          <w:u w:val="single"/>
          <w:lang w:val="zh-CN"/>
        </w:rPr>
        <w:t xml:space="preserve">     </w:t>
      </w:r>
      <w:r>
        <w:rPr>
          <w:rFonts w:hint="eastAsia"/>
          <w:highlight w:val="none"/>
          <w:lang w:val="zh-CN"/>
        </w:rPr>
        <w:t>同志为我公司参加贵单位组织的</w:t>
      </w:r>
      <w:r>
        <w:rPr>
          <w:rFonts w:hint="eastAsia"/>
          <w:highlight w:val="none"/>
          <w:u w:val="single"/>
          <w:lang w:val="zh-CN"/>
        </w:rPr>
        <w:t>（项目名称及编号）</w:t>
      </w:r>
      <w:r>
        <w:rPr>
          <w:rFonts w:hint="eastAsia"/>
          <w:highlight w:val="none"/>
          <w:lang w:val="zh-CN"/>
        </w:rPr>
        <w:t>采购活动的投标代表人，全权代表我公司处理在该项目采购活动中，以我方名义签署、澄清、说明、补正、递交、撤回、修改投标文件、签订合同、结算和处理招投标相关的一切事宜，其法律后果由我方承担。代理期限从</w:t>
      </w:r>
      <w:r>
        <w:rPr>
          <w:rFonts w:hint="eastAsia"/>
          <w:highlight w:val="none"/>
          <w:u w:val="single"/>
          <w:lang w:val="zh-CN"/>
        </w:rPr>
        <w:t xml:space="preserve"> </w:t>
      </w:r>
      <w:r>
        <w:rPr>
          <w:highlight w:val="none"/>
          <w:u w:val="single"/>
          <w:lang w:val="zh-CN"/>
        </w:rPr>
        <w:t xml:space="preserve">   </w:t>
      </w:r>
      <w:r>
        <w:rPr>
          <w:rFonts w:hint="eastAsia"/>
          <w:highlight w:val="none"/>
          <w:lang w:val="zh-CN"/>
        </w:rPr>
        <w:t>年</w:t>
      </w:r>
      <w:r>
        <w:rPr>
          <w:rFonts w:hint="eastAsia"/>
          <w:highlight w:val="none"/>
          <w:u w:val="single"/>
          <w:lang w:val="zh-CN"/>
        </w:rPr>
        <w:t xml:space="preserve"> </w:t>
      </w:r>
      <w:r>
        <w:rPr>
          <w:highlight w:val="none"/>
          <w:u w:val="single"/>
          <w:lang w:val="zh-CN"/>
        </w:rPr>
        <w:t xml:space="preserve">   </w:t>
      </w:r>
      <w:r>
        <w:rPr>
          <w:rFonts w:hint="eastAsia"/>
          <w:highlight w:val="none"/>
          <w:lang w:val="zh-CN"/>
        </w:rPr>
        <w:t>月</w:t>
      </w:r>
      <w:r>
        <w:rPr>
          <w:rFonts w:hint="eastAsia"/>
          <w:highlight w:val="none"/>
          <w:u w:val="single"/>
          <w:lang w:val="zh-CN"/>
        </w:rPr>
        <w:t xml:space="preserve"> </w:t>
      </w:r>
      <w:r>
        <w:rPr>
          <w:highlight w:val="none"/>
          <w:u w:val="single"/>
          <w:lang w:val="zh-CN"/>
        </w:rPr>
        <w:t xml:space="preserve">   </w:t>
      </w:r>
      <w:r>
        <w:rPr>
          <w:rFonts w:hint="eastAsia"/>
          <w:highlight w:val="none"/>
          <w:lang w:val="zh-CN"/>
        </w:rPr>
        <w:t>日起至</w:t>
      </w:r>
      <w:r>
        <w:rPr>
          <w:rFonts w:hint="eastAsia"/>
          <w:highlight w:val="none"/>
          <w:u w:val="single"/>
          <w:lang w:val="zh-CN"/>
        </w:rPr>
        <w:t xml:space="preserve"> </w:t>
      </w:r>
      <w:r>
        <w:rPr>
          <w:highlight w:val="none"/>
          <w:u w:val="single"/>
          <w:lang w:val="zh-CN"/>
        </w:rPr>
        <w:t xml:space="preserve">   </w:t>
      </w:r>
      <w:r>
        <w:rPr>
          <w:rFonts w:hint="eastAsia"/>
          <w:highlight w:val="none"/>
          <w:lang w:val="zh-CN"/>
        </w:rPr>
        <w:t>年</w:t>
      </w:r>
      <w:r>
        <w:rPr>
          <w:rFonts w:hint="eastAsia"/>
          <w:highlight w:val="none"/>
          <w:u w:val="single"/>
          <w:lang w:val="zh-CN"/>
        </w:rPr>
        <w:t xml:space="preserve"> </w:t>
      </w:r>
      <w:r>
        <w:rPr>
          <w:highlight w:val="none"/>
          <w:u w:val="single"/>
          <w:lang w:val="zh-CN"/>
        </w:rPr>
        <w:t xml:space="preserve">   </w:t>
      </w:r>
      <w:r>
        <w:rPr>
          <w:rFonts w:hint="eastAsia"/>
          <w:highlight w:val="none"/>
          <w:lang w:val="zh-CN"/>
        </w:rPr>
        <w:t>月</w:t>
      </w:r>
      <w:r>
        <w:rPr>
          <w:rFonts w:hint="eastAsia"/>
          <w:highlight w:val="none"/>
          <w:u w:val="single"/>
          <w:lang w:val="zh-CN"/>
        </w:rPr>
        <w:t xml:space="preserve"> </w:t>
      </w:r>
      <w:r>
        <w:rPr>
          <w:highlight w:val="none"/>
          <w:u w:val="single"/>
          <w:lang w:val="zh-CN"/>
        </w:rPr>
        <w:t xml:space="preserve">   </w:t>
      </w:r>
      <w:r>
        <w:rPr>
          <w:rFonts w:hint="eastAsia"/>
          <w:highlight w:val="none"/>
          <w:lang w:val="zh-CN"/>
        </w:rPr>
        <w:t>日止。代理人无转委托权。</w:t>
      </w:r>
    </w:p>
    <w:p>
      <w:pPr>
        <w:wordWrap w:val="0"/>
        <w:spacing w:line="560" w:lineRule="exact"/>
        <w:rPr>
          <w:highlight w:val="none"/>
          <w:lang w:val="zh-CN"/>
        </w:rPr>
      </w:pPr>
      <w:r>
        <w:rPr>
          <w:rFonts w:hint="eastAsia"/>
          <w:highlight w:val="none"/>
          <w:lang w:val="zh-CN"/>
        </w:rPr>
        <w:t>附：法定代表人身份证明</w:t>
      </w:r>
    </w:p>
    <w:p>
      <w:pPr>
        <w:wordWrap w:val="0"/>
        <w:spacing w:line="560" w:lineRule="exact"/>
        <w:rPr>
          <w:highlight w:val="none"/>
          <w:lang w:val="zh-CN"/>
        </w:rPr>
      </w:pPr>
      <w:r>
        <w:rPr>
          <w:rFonts w:hint="eastAsia"/>
          <w:highlight w:val="none"/>
          <w:lang w:val="zh-CN"/>
        </w:rPr>
        <w:t>投标人名称：（加盖章）</w:t>
      </w:r>
    </w:p>
    <w:p>
      <w:pPr>
        <w:wordWrap w:val="0"/>
        <w:spacing w:line="560" w:lineRule="exact"/>
        <w:rPr>
          <w:highlight w:val="none"/>
          <w:u w:val="single"/>
          <w:lang w:val="zh-CN"/>
        </w:rPr>
      </w:pPr>
      <w:r>
        <w:rPr>
          <w:rFonts w:hint="eastAsia"/>
          <w:highlight w:val="none"/>
          <w:lang w:val="zh-CN"/>
        </w:rPr>
        <w:t>法定代表人：（签名或盖章）</w:t>
      </w:r>
    </w:p>
    <w:p>
      <w:pPr>
        <w:wordWrap w:val="0"/>
        <w:spacing w:line="560" w:lineRule="exact"/>
        <w:rPr>
          <w:highlight w:val="none"/>
          <w:u w:val="single"/>
          <w:lang w:val="zh-CN"/>
        </w:rPr>
      </w:pPr>
      <w:r>
        <w:rPr>
          <w:rFonts w:hint="eastAsia"/>
          <w:highlight w:val="none"/>
          <w:lang w:val="zh-CN"/>
        </w:rPr>
        <w:t>委托代理人：（签名或盖章）</w:t>
      </w:r>
    </w:p>
    <w:p>
      <w:pPr>
        <w:wordWrap w:val="0"/>
        <w:spacing w:line="560" w:lineRule="exact"/>
        <w:rPr>
          <w:highlight w:val="none"/>
          <w:lang w:val="zh-CN"/>
        </w:rPr>
      </w:pPr>
      <w:r>
        <w:rPr>
          <w:rFonts w:hint="eastAsia"/>
          <w:highlight w:val="none"/>
          <w:lang w:val="zh-CN"/>
        </w:rPr>
        <w:t>日期：</w:t>
      </w:r>
    </w:p>
    <w:tbl>
      <w:tblPr>
        <w:tblStyle w:val="40"/>
        <w:tblW w:w="9030" w:type="dxa"/>
        <w:tblInd w:w="10" w:type="dxa"/>
        <w:tblLayout w:type="fixed"/>
        <w:tblCellMar>
          <w:top w:w="0" w:type="dxa"/>
          <w:left w:w="10" w:type="dxa"/>
          <w:bottom w:w="0" w:type="dxa"/>
          <w:right w:w="10" w:type="dxa"/>
        </w:tblCellMar>
      </w:tblPr>
      <w:tblGrid>
        <w:gridCol w:w="9030"/>
      </w:tblGrid>
      <w:tr>
        <w:tblPrEx>
          <w:tblCellMar>
            <w:top w:w="0" w:type="dxa"/>
            <w:left w:w="10" w:type="dxa"/>
            <w:bottom w:w="0" w:type="dxa"/>
            <w:right w:w="10" w:type="dxa"/>
          </w:tblCellMar>
        </w:tblPrEx>
        <w:trPr>
          <w:trHeight w:val="2420" w:hRule="atLeast"/>
        </w:trPr>
        <w:tc>
          <w:tcPr>
            <w:tcW w:w="9030" w:type="dxa"/>
            <w:tcBorders>
              <w:top w:val="single" w:color="auto" w:sz="6" w:space="0"/>
              <w:left w:val="single" w:color="auto" w:sz="6" w:space="0"/>
              <w:bottom w:val="single" w:color="auto" w:sz="6" w:space="0"/>
              <w:right w:val="single" w:color="auto" w:sz="6" w:space="0"/>
            </w:tcBorders>
          </w:tcPr>
          <w:p>
            <w:pPr>
              <w:wordWrap w:val="0"/>
              <w:spacing w:line="560" w:lineRule="exact"/>
              <w:rPr>
                <w:highlight w:val="none"/>
                <w:lang w:val="zh-CN"/>
              </w:rPr>
            </w:pPr>
            <w:r>
              <w:rPr>
                <w:rFonts w:hint="eastAsia"/>
                <w:highlight w:val="none"/>
                <w:lang w:val="zh-CN"/>
              </w:rPr>
              <w:t>粘贴法定代表人身份证（复印件）</w:t>
            </w:r>
          </w:p>
          <w:p>
            <w:pPr>
              <w:wordWrap w:val="0"/>
              <w:spacing w:line="560" w:lineRule="exact"/>
              <w:rPr>
                <w:highlight w:val="none"/>
                <w:lang w:val="zh-CN"/>
              </w:rPr>
            </w:pPr>
          </w:p>
        </w:tc>
      </w:tr>
    </w:tbl>
    <w:p>
      <w:pPr>
        <w:wordWrap w:val="0"/>
        <w:spacing w:line="560" w:lineRule="exact"/>
        <w:rPr>
          <w:sz w:val="24"/>
          <w:highlight w:val="none"/>
          <w:lang w:val="zh-CN"/>
        </w:rPr>
      </w:pPr>
    </w:p>
    <w:tbl>
      <w:tblPr>
        <w:tblStyle w:val="40"/>
        <w:tblW w:w="9030" w:type="dxa"/>
        <w:tblInd w:w="10" w:type="dxa"/>
        <w:tblLayout w:type="fixed"/>
        <w:tblCellMar>
          <w:top w:w="0" w:type="dxa"/>
          <w:left w:w="10" w:type="dxa"/>
          <w:bottom w:w="0" w:type="dxa"/>
          <w:right w:w="10" w:type="dxa"/>
        </w:tblCellMar>
      </w:tblPr>
      <w:tblGrid>
        <w:gridCol w:w="9030"/>
      </w:tblGrid>
      <w:tr>
        <w:tblPrEx>
          <w:tblCellMar>
            <w:top w:w="0" w:type="dxa"/>
            <w:left w:w="10" w:type="dxa"/>
            <w:bottom w:w="0" w:type="dxa"/>
            <w:right w:w="10" w:type="dxa"/>
          </w:tblCellMar>
        </w:tblPrEx>
        <w:tc>
          <w:tcPr>
            <w:tcW w:w="9030" w:type="dxa"/>
            <w:tcBorders>
              <w:top w:val="single" w:color="auto" w:sz="6" w:space="0"/>
              <w:left w:val="single" w:color="auto" w:sz="6" w:space="0"/>
              <w:bottom w:val="single" w:color="auto" w:sz="6" w:space="0"/>
              <w:right w:val="single" w:color="auto" w:sz="6" w:space="0"/>
            </w:tcBorders>
          </w:tcPr>
          <w:p>
            <w:pPr>
              <w:wordWrap w:val="0"/>
              <w:spacing w:line="560" w:lineRule="exact"/>
              <w:rPr>
                <w:szCs w:val="21"/>
                <w:highlight w:val="none"/>
                <w:lang w:val="zh-CN"/>
              </w:rPr>
            </w:pPr>
            <w:r>
              <w:rPr>
                <w:rFonts w:hint="eastAsia"/>
                <w:szCs w:val="21"/>
                <w:highlight w:val="none"/>
                <w:lang w:val="zh-CN"/>
              </w:rPr>
              <w:t>粘贴被授权人身份证（复印件）</w:t>
            </w:r>
          </w:p>
          <w:p>
            <w:pPr>
              <w:wordWrap w:val="0"/>
              <w:spacing w:line="560" w:lineRule="exact"/>
              <w:rPr>
                <w:sz w:val="24"/>
                <w:highlight w:val="none"/>
                <w:lang w:val="zh-CN"/>
              </w:rPr>
            </w:pPr>
          </w:p>
          <w:p>
            <w:pPr>
              <w:wordWrap w:val="0"/>
              <w:spacing w:line="560" w:lineRule="exact"/>
              <w:rPr>
                <w:sz w:val="24"/>
                <w:highlight w:val="none"/>
                <w:lang w:val="zh-CN"/>
              </w:rPr>
            </w:pPr>
          </w:p>
          <w:p>
            <w:pPr>
              <w:wordWrap w:val="0"/>
              <w:spacing w:line="560" w:lineRule="exact"/>
              <w:rPr>
                <w:sz w:val="24"/>
                <w:highlight w:val="none"/>
                <w:lang w:val="zh-CN"/>
              </w:rPr>
            </w:pPr>
          </w:p>
          <w:p>
            <w:pPr>
              <w:wordWrap w:val="0"/>
              <w:spacing w:line="560" w:lineRule="exact"/>
              <w:rPr>
                <w:sz w:val="24"/>
                <w:highlight w:val="none"/>
                <w:lang w:val="zh-CN"/>
              </w:rPr>
            </w:pPr>
          </w:p>
        </w:tc>
      </w:tr>
    </w:tbl>
    <w:p>
      <w:pPr>
        <w:pStyle w:val="2"/>
        <w:rPr>
          <w:rFonts w:hint="eastAsia"/>
          <w:highlight w:val="none"/>
          <w:lang w:val="en-US" w:eastAsia="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CN"/>
        </w:rPr>
      </w:pPr>
      <w:bookmarkStart w:id="187" w:name="_Toc29965"/>
      <w:bookmarkStart w:id="188" w:name="_Toc21203"/>
      <w:r>
        <w:rPr>
          <w:rFonts w:hint="eastAsia"/>
          <w:color w:val="auto"/>
          <w:highlight w:val="none"/>
          <w:lang w:val="en-US" w:eastAsia="zh-CN"/>
        </w:rPr>
        <w:t>三</w:t>
      </w:r>
      <w:r>
        <w:rPr>
          <w:rFonts w:hint="eastAsia"/>
          <w:color w:val="auto"/>
          <w:highlight w:val="none"/>
          <w:lang w:val="en-US" w:eastAsia="zh-Hans"/>
        </w:rPr>
        <w:t>、</w:t>
      </w:r>
      <w:r>
        <w:rPr>
          <w:rFonts w:hint="eastAsia"/>
          <w:color w:val="auto"/>
          <w:highlight w:val="none"/>
          <w:lang w:val="zh-CN" w:eastAsia="zh-CN"/>
        </w:rPr>
        <w:t>类似工程业绩表</w:t>
      </w:r>
      <w:r>
        <w:rPr>
          <w:rFonts w:hint="eastAsia"/>
          <w:color w:val="auto"/>
          <w:highlight w:val="none"/>
          <w:lang w:val="zh-CN" w:eastAsia="zh-Hans"/>
        </w:rPr>
        <w:t>（</w:t>
      </w:r>
      <w:r>
        <w:rPr>
          <w:rFonts w:hint="eastAsia"/>
          <w:color w:val="auto"/>
          <w:highlight w:val="none"/>
          <w:lang w:val="en-US" w:eastAsia="zh-Hans"/>
        </w:rPr>
        <w:t>近</w:t>
      </w:r>
      <w:r>
        <w:rPr>
          <w:rFonts w:hint="default"/>
          <w:color w:val="auto"/>
          <w:highlight w:val="none"/>
          <w:lang w:val="zh-CN" w:eastAsia="zh-Hans"/>
        </w:rPr>
        <w:t>2</w:t>
      </w:r>
      <w:r>
        <w:rPr>
          <w:rFonts w:hint="eastAsia"/>
          <w:color w:val="auto"/>
          <w:highlight w:val="none"/>
          <w:lang w:val="en-US" w:eastAsia="zh-Hans"/>
        </w:rPr>
        <w:t>年</w:t>
      </w:r>
      <w:r>
        <w:rPr>
          <w:rFonts w:hint="eastAsia"/>
          <w:color w:val="auto"/>
          <w:highlight w:val="none"/>
          <w:lang w:val="zh-CN" w:eastAsia="zh-Hans"/>
        </w:rPr>
        <w:t>）</w:t>
      </w:r>
      <w:bookmarkEnd w:id="187"/>
      <w:bookmarkEnd w:id="188"/>
    </w:p>
    <w:p>
      <w:pPr>
        <w:pStyle w:val="2"/>
        <w:rPr>
          <w:rFonts w:hint="eastAsia"/>
          <w:highlight w:val="none"/>
          <w:lang w:val="en-US" w:eastAsia="zh-CN"/>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55"/>
        <w:gridCol w:w="1765"/>
        <w:gridCol w:w="1445"/>
        <w:gridCol w:w="194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序号</w:t>
            </w:r>
          </w:p>
        </w:tc>
        <w:tc>
          <w:tcPr>
            <w:tcW w:w="1655"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项目名称</w:t>
            </w:r>
          </w:p>
        </w:tc>
        <w:tc>
          <w:tcPr>
            <w:tcW w:w="1765"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合同供应量</w:t>
            </w:r>
          </w:p>
        </w:tc>
        <w:tc>
          <w:tcPr>
            <w:tcW w:w="1445"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合同总价</w:t>
            </w:r>
          </w:p>
        </w:tc>
        <w:tc>
          <w:tcPr>
            <w:tcW w:w="1945" w:type="dxa"/>
            <w:vAlign w:val="top"/>
          </w:tcPr>
          <w:p>
            <w:pPr>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合同签订日期</w:t>
            </w:r>
          </w:p>
        </w:tc>
        <w:tc>
          <w:tcPr>
            <w:tcW w:w="856"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655" w:type="dxa"/>
            <w:vAlign w:val="top"/>
          </w:tcPr>
          <w:p>
            <w:pPr>
              <w:rPr>
                <w:rFonts w:hint="eastAsia" w:eastAsia="宋体"/>
                <w:color w:val="auto"/>
                <w:highlight w:val="none"/>
                <w:vertAlign w:val="baseline"/>
                <w:lang w:val="zh-CN" w:eastAsia="zh-CN"/>
              </w:rPr>
            </w:pPr>
          </w:p>
        </w:tc>
        <w:tc>
          <w:tcPr>
            <w:tcW w:w="1765" w:type="dxa"/>
            <w:vAlign w:val="top"/>
          </w:tcPr>
          <w:p>
            <w:pPr>
              <w:rPr>
                <w:rFonts w:hint="eastAsia" w:eastAsia="宋体"/>
                <w:color w:val="auto"/>
                <w:highlight w:val="none"/>
                <w:vertAlign w:val="baseline"/>
                <w:lang w:val="zh-CN" w:eastAsia="zh-CN"/>
              </w:rPr>
            </w:pPr>
          </w:p>
        </w:tc>
        <w:tc>
          <w:tcPr>
            <w:tcW w:w="1445" w:type="dxa"/>
            <w:vAlign w:val="top"/>
          </w:tcPr>
          <w:p>
            <w:pPr>
              <w:rPr>
                <w:rFonts w:hint="eastAsia" w:eastAsia="宋体"/>
                <w:color w:val="auto"/>
                <w:highlight w:val="none"/>
                <w:vertAlign w:val="baseline"/>
                <w:lang w:val="zh-CN" w:eastAsia="zh-CN"/>
              </w:rPr>
            </w:pPr>
          </w:p>
        </w:tc>
        <w:tc>
          <w:tcPr>
            <w:tcW w:w="1945" w:type="dxa"/>
            <w:vAlign w:val="top"/>
          </w:tcPr>
          <w:p>
            <w:pPr>
              <w:rPr>
                <w:rFonts w:hint="eastAsia" w:eastAsia="宋体"/>
                <w:color w:val="auto"/>
                <w:highlight w:val="none"/>
                <w:vertAlign w:val="baseline"/>
                <w:lang w:val="zh-CN" w:eastAsia="zh-CN"/>
              </w:rPr>
            </w:pPr>
          </w:p>
        </w:tc>
        <w:tc>
          <w:tcPr>
            <w:tcW w:w="856" w:type="dxa"/>
            <w:vAlign w:val="top"/>
          </w:tcPr>
          <w:p>
            <w:pPr>
              <w:rPr>
                <w:rFonts w:hint="eastAsia" w:eastAsia="宋体"/>
                <w:color w:val="auto"/>
                <w:highlight w:val="none"/>
                <w:vertAlign w:val="baseline"/>
                <w:lang w:val="zh-CN" w:eastAsia="zh-CN"/>
              </w:rPr>
            </w:pPr>
            <w:r>
              <w:rPr>
                <w:rFonts w:hint="eastAsia" w:ascii="宋体" w:hAnsi="宋体" w:cs="宋体"/>
                <w:sz w:val="18"/>
                <w:szCs w:val="18"/>
                <w:highlight w:val="none"/>
              </w:rPr>
              <w:t>需提供合同证明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655" w:type="dxa"/>
            <w:vAlign w:val="top"/>
          </w:tcPr>
          <w:p>
            <w:pPr>
              <w:rPr>
                <w:rFonts w:hint="eastAsia" w:eastAsia="宋体"/>
                <w:color w:val="auto"/>
                <w:highlight w:val="none"/>
                <w:vertAlign w:val="baseline"/>
                <w:lang w:val="zh-CN" w:eastAsia="zh-CN"/>
              </w:rPr>
            </w:pPr>
          </w:p>
        </w:tc>
        <w:tc>
          <w:tcPr>
            <w:tcW w:w="1765" w:type="dxa"/>
            <w:vAlign w:val="top"/>
          </w:tcPr>
          <w:p>
            <w:pPr>
              <w:rPr>
                <w:rFonts w:hint="eastAsia" w:eastAsia="宋体"/>
                <w:color w:val="auto"/>
                <w:highlight w:val="none"/>
                <w:vertAlign w:val="baseline"/>
                <w:lang w:val="zh-CN" w:eastAsia="zh-CN"/>
              </w:rPr>
            </w:pPr>
          </w:p>
        </w:tc>
        <w:tc>
          <w:tcPr>
            <w:tcW w:w="1445" w:type="dxa"/>
            <w:vAlign w:val="top"/>
          </w:tcPr>
          <w:p>
            <w:pPr>
              <w:rPr>
                <w:rFonts w:hint="eastAsia" w:eastAsia="宋体"/>
                <w:color w:val="auto"/>
                <w:highlight w:val="none"/>
                <w:vertAlign w:val="baseline"/>
                <w:lang w:val="zh-CN" w:eastAsia="zh-CN"/>
              </w:rPr>
            </w:pPr>
          </w:p>
        </w:tc>
        <w:tc>
          <w:tcPr>
            <w:tcW w:w="1945" w:type="dxa"/>
            <w:vAlign w:val="top"/>
          </w:tcPr>
          <w:p>
            <w:pPr>
              <w:rPr>
                <w:rFonts w:hint="eastAsia" w:eastAsia="宋体"/>
                <w:color w:val="auto"/>
                <w:highlight w:val="none"/>
                <w:vertAlign w:val="baseline"/>
                <w:lang w:val="zh-CN" w:eastAsia="zh-CN"/>
              </w:rPr>
            </w:pPr>
          </w:p>
        </w:tc>
        <w:tc>
          <w:tcPr>
            <w:tcW w:w="856" w:type="dxa"/>
            <w:vAlign w:val="top"/>
          </w:tcPr>
          <w:p>
            <w:pPr>
              <w:rPr>
                <w:rFonts w:hint="eastAsia" w:eastAsia="宋体"/>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655" w:type="dxa"/>
            <w:vAlign w:val="top"/>
          </w:tcPr>
          <w:p>
            <w:pPr>
              <w:rPr>
                <w:rFonts w:hint="eastAsia" w:eastAsia="宋体"/>
                <w:color w:val="auto"/>
                <w:highlight w:val="none"/>
                <w:vertAlign w:val="baseline"/>
                <w:lang w:val="zh-CN" w:eastAsia="zh-CN"/>
              </w:rPr>
            </w:pPr>
          </w:p>
        </w:tc>
        <w:tc>
          <w:tcPr>
            <w:tcW w:w="1765" w:type="dxa"/>
            <w:vAlign w:val="top"/>
          </w:tcPr>
          <w:p>
            <w:pPr>
              <w:rPr>
                <w:rFonts w:hint="eastAsia" w:eastAsia="宋体"/>
                <w:color w:val="auto"/>
                <w:highlight w:val="none"/>
                <w:vertAlign w:val="baseline"/>
                <w:lang w:val="zh-CN" w:eastAsia="zh-CN"/>
              </w:rPr>
            </w:pPr>
          </w:p>
        </w:tc>
        <w:tc>
          <w:tcPr>
            <w:tcW w:w="1445" w:type="dxa"/>
            <w:vAlign w:val="top"/>
          </w:tcPr>
          <w:p>
            <w:pPr>
              <w:rPr>
                <w:rFonts w:hint="eastAsia" w:eastAsia="宋体"/>
                <w:color w:val="auto"/>
                <w:highlight w:val="none"/>
                <w:vertAlign w:val="baseline"/>
                <w:lang w:val="zh-CN" w:eastAsia="zh-CN"/>
              </w:rPr>
            </w:pPr>
          </w:p>
        </w:tc>
        <w:tc>
          <w:tcPr>
            <w:tcW w:w="1945" w:type="dxa"/>
            <w:vAlign w:val="top"/>
          </w:tcPr>
          <w:p>
            <w:pPr>
              <w:rPr>
                <w:rFonts w:hint="eastAsia" w:eastAsia="宋体"/>
                <w:color w:val="auto"/>
                <w:highlight w:val="none"/>
                <w:vertAlign w:val="baseline"/>
                <w:lang w:val="zh-CN" w:eastAsia="zh-CN"/>
              </w:rPr>
            </w:pPr>
          </w:p>
        </w:tc>
        <w:tc>
          <w:tcPr>
            <w:tcW w:w="856" w:type="dxa"/>
            <w:vAlign w:val="top"/>
          </w:tcPr>
          <w:p>
            <w:pPr>
              <w:rPr>
                <w:rFonts w:hint="eastAsia" w:eastAsia="宋体"/>
                <w:color w:val="auto"/>
                <w:highlight w:val="none"/>
                <w:vertAlign w:val="baseline"/>
                <w:lang w:val="zh-CN" w:eastAsia="zh-CN"/>
              </w:rPr>
            </w:pPr>
          </w:p>
        </w:tc>
      </w:tr>
    </w:tbl>
    <w:p>
      <w:pPr>
        <w:pStyle w:val="4"/>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default" w:eastAsia="宋体"/>
          <w:color w:val="auto"/>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color w:val="auto"/>
          <w:highlight w:val="none"/>
          <w:lang w:val="en-US" w:eastAsia="zh-CN"/>
        </w:rPr>
      </w:pPr>
      <w:r>
        <w:rPr>
          <w:rFonts w:hint="eastAsia"/>
          <w:color w:val="auto"/>
          <w:highlight w:val="none"/>
          <w:lang w:val="en-US" w:eastAsia="zh-CN"/>
        </w:rPr>
        <w:t>四、安装及调试人员配置表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17"/>
        <w:gridCol w:w="1800"/>
        <w:gridCol w:w="224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default" w:eastAsia="宋体"/>
                <w:color w:val="auto"/>
                <w:highlight w:val="none"/>
                <w:vertAlign w:val="baseline"/>
                <w:lang w:val="en-US" w:eastAsia="zh-Hans"/>
              </w:rPr>
            </w:pPr>
            <w:r>
              <w:rPr>
                <w:rFonts w:hint="eastAsia" w:eastAsia="宋体"/>
                <w:color w:val="auto"/>
                <w:highlight w:val="none"/>
                <w:vertAlign w:val="baseline"/>
                <w:lang w:val="en-US" w:eastAsia="zh-Hans"/>
              </w:rPr>
              <w:t>序号</w:t>
            </w:r>
          </w:p>
        </w:tc>
        <w:tc>
          <w:tcPr>
            <w:tcW w:w="1917"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职务</w:t>
            </w:r>
          </w:p>
        </w:tc>
        <w:tc>
          <w:tcPr>
            <w:tcW w:w="1800" w:type="dxa"/>
            <w:vAlign w:val="top"/>
          </w:tcPr>
          <w:p>
            <w:pPr>
              <w:rPr>
                <w:rFonts w:hint="eastAsia" w:eastAsia="宋体"/>
                <w:color w:val="auto"/>
                <w:highlight w:val="none"/>
                <w:vertAlign w:val="baseline"/>
                <w:lang w:val="en-US" w:eastAsia="zh-Hans"/>
              </w:rPr>
            </w:pPr>
            <w:r>
              <w:rPr>
                <w:rFonts w:hint="eastAsia" w:eastAsia="宋体"/>
                <w:color w:val="auto"/>
                <w:highlight w:val="none"/>
                <w:vertAlign w:val="baseline"/>
                <w:lang w:val="en-US" w:eastAsia="zh-Hans"/>
              </w:rPr>
              <w:t>姓名</w:t>
            </w:r>
          </w:p>
        </w:tc>
        <w:tc>
          <w:tcPr>
            <w:tcW w:w="2248" w:type="dxa"/>
            <w:vAlign w:val="top"/>
          </w:tcPr>
          <w:p>
            <w:pPr>
              <w:rPr>
                <w:rFonts w:hint="default" w:eastAsia="宋体"/>
                <w:color w:val="auto"/>
                <w:highlight w:val="red"/>
                <w:vertAlign w:val="baseline"/>
                <w:lang w:val="en-US" w:eastAsia="zh-Hans"/>
              </w:rPr>
            </w:pPr>
            <w:r>
              <w:rPr>
                <w:rFonts w:hint="eastAsia" w:eastAsia="宋体"/>
                <w:color w:val="auto"/>
                <w:highlight w:val="red"/>
                <w:vertAlign w:val="baseline"/>
                <w:lang w:val="en-US" w:eastAsia="zh-Hans"/>
              </w:rPr>
              <w:t>身份证号码</w:t>
            </w:r>
          </w:p>
        </w:tc>
        <w:tc>
          <w:tcPr>
            <w:tcW w:w="1705" w:type="dxa"/>
            <w:vAlign w:val="top"/>
          </w:tcPr>
          <w:p>
            <w:pPr>
              <w:rPr>
                <w:rFonts w:hint="eastAsia" w:eastAsia="宋体"/>
                <w:color w:val="auto"/>
                <w:highlight w:val="red"/>
                <w:vertAlign w:val="baseline"/>
                <w:lang w:val="en-US" w:eastAsia="zh-CN"/>
              </w:rPr>
            </w:pPr>
            <w:r>
              <w:rPr>
                <w:rFonts w:hint="eastAsia"/>
                <w:color w:val="auto"/>
                <w:highlight w:val="red"/>
                <w:vertAlign w:val="baseline"/>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917" w:type="dxa"/>
            <w:vAlign w:val="top"/>
          </w:tcPr>
          <w:p>
            <w:pPr>
              <w:rPr>
                <w:rFonts w:hint="eastAsia" w:eastAsia="宋体"/>
                <w:color w:val="auto"/>
                <w:highlight w:val="none"/>
                <w:vertAlign w:val="baseline"/>
                <w:lang w:val="zh-CN" w:eastAsia="zh-CN"/>
              </w:rPr>
            </w:pPr>
          </w:p>
        </w:tc>
        <w:tc>
          <w:tcPr>
            <w:tcW w:w="1800" w:type="dxa"/>
            <w:vAlign w:val="top"/>
          </w:tcPr>
          <w:p>
            <w:pPr>
              <w:rPr>
                <w:rFonts w:hint="eastAsia" w:eastAsia="宋体"/>
                <w:color w:val="auto"/>
                <w:highlight w:val="none"/>
                <w:vertAlign w:val="baseline"/>
                <w:lang w:val="zh-CN" w:eastAsia="zh-CN"/>
              </w:rPr>
            </w:pPr>
          </w:p>
        </w:tc>
        <w:tc>
          <w:tcPr>
            <w:tcW w:w="2248" w:type="dxa"/>
            <w:vAlign w:val="top"/>
          </w:tcPr>
          <w:p>
            <w:pPr>
              <w:rPr>
                <w:rFonts w:hint="eastAsia" w:eastAsia="宋体"/>
                <w:color w:val="auto"/>
                <w:highlight w:val="none"/>
                <w:vertAlign w:val="baseline"/>
                <w:lang w:val="zh-CN" w:eastAsia="zh-CN"/>
              </w:rPr>
            </w:pPr>
          </w:p>
        </w:tc>
        <w:tc>
          <w:tcPr>
            <w:tcW w:w="1705" w:type="dxa"/>
            <w:vAlign w:val="top"/>
          </w:tcPr>
          <w:p>
            <w:pPr>
              <w:rPr>
                <w:rFonts w:hint="eastAsia" w:eastAsia="宋体"/>
                <w:color w:val="auto"/>
                <w:highlight w:val="none"/>
                <w:vertAlign w:val="baseline"/>
                <w:lang w:val="zh-CN" w:eastAsia="zh-CN"/>
              </w:rPr>
            </w:pPr>
            <w:r>
              <w:rPr>
                <w:rFonts w:hint="eastAsia"/>
                <w:color w:val="auto"/>
                <w:highlight w:val="none"/>
                <w:vertAlign w:val="baseline"/>
                <w:lang w:val="zh-CN" w:eastAsia="zh-CN"/>
              </w:rPr>
              <w:t>特种作业人员提供证书复印件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917" w:type="dxa"/>
            <w:vAlign w:val="top"/>
          </w:tcPr>
          <w:p>
            <w:pPr>
              <w:rPr>
                <w:rFonts w:hint="eastAsia" w:eastAsia="宋体"/>
                <w:color w:val="auto"/>
                <w:highlight w:val="none"/>
                <w:vertAlign w:val="baseline"/>
                <w:lang w:val="zh-CN" w:eastAsia="zh-CN"/>
              </w:rPr>
            </w:pPr>
          </w:p>
        </w:tc>
        <w:tc>
          <w:tcPr>
            <w:tcW w:w="1800" w:type="dxa"/>
            <w:vAlign w:val="top"/>
          </w:tcPr>
          <w:p>
            <w:pPr>
              <w:rPr>
                <w:rFonts w:hint="eastAsia" w:eastAsia="宋体"/>
                <w:color w:val="auto"/>
                <w:highlight w:val="none"/>
                <w:vertAlign w:val="baseline"/>
                <w:lang w:val="zh-CN" w:eastAsia="zh-CN"/>
              </w:rPr>
            </w:pPr>
          </w:p>
        </w:tc>
        <w:tc>
          <w:tcPr>
            <w:tcW w:w="2248" w:type="dxa"/>
            <w:vAlign w:val="top"/>
          </w:tcPr>
          <w:p>
            <w:pPr>
              <w:rPr>
                <w:rFonts w:hint="eastAsia" w:eastAsia="宋体"/>
                <w:color w:val="auto"/>
                <w:highlight w:val="none"/>
                <w:vertAlign w:val="baseline"/>
                <w:lang w:val="zh-CN" w:eastAsia="zh-CN"/>
              </w:rPr>
            </w:pPr>
          </w:p>
        </w:tc>
        <w:tc>
          <w:tcPr>
            <w:tcW w:w="1705" w:type="dxa"/>
            <w:vAlign w:val="top"/>
          </w:tcPr>
          <w:p>
            <w:pPr>
              <w:rPr>
                <w:rFonts w:hint="eastAsia" w:eastAsia="宋体"/>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top"/>
          </w:tcPr>
          <w:p>
            <w:pPr>
              <w:rPr>
                <w:rFonts w:hint="eastAsia" w:eastAsia="宋体"/>
                <w:color w:val="auto"/>
                <w:highlight w:val="none"/>
                <w:vertAlign w:val="baseline"/>
                <w:lang w:val="zh-CN" w:eastAsia="zh-CN"/>
              </w:rPr>
            </w:pPr>
          </w:p>
        </w:tc>
        <w:tc>
          <w:tcPr>
            <w:tcW w:w="1917" w:type="dxa"/>
            <w:vAlign w:val="top"/>
          </w:tcPr>
          <w:p>
            <w:pPr>
              <w:rPr>
                <w:rFonts w:hint="eastAsia" w:eastAsia="宋体"/>
                <w:color w:val="auto"/>
                <w:highlight w:val="none"/>
                <w:vertAlign w:val="baseline"/>
                <w:lang w:val="zh-CN" w:eastAsia="zh-CN"/>
              </w:rPr>
            </w:pPr>
          </w:p>
        </w:tc>
        <w:tc>
          <w:tcPr>
            <w:tcW w:w="1800" w:type="dxa"/>
            <w:vAlign w:val="top"/>
          </w:tcPr>
          <w:p>
            <w:pPr>
              <w:rPr>
                <w:rFonts w:hint="eastAsia" w:eastAsia="宋体"/>
                <w:color w:val="auto"/>
                <w:highlight w:val="none"/>
                <w:vertAlign w:val="baseline"/>
                <w:lang w:val="zh-CN" w:eastAsia="zh-CN"/>
              </w:rPr>
            </w:pPr>
          </w:p>
        </w:tc>
        <w:tc>
          <w:tcPr>
            <w:tcW w:w="2248" w:type="dxa"/>
            <w:vAlign w:val="top"/>
          </w:tcPr>
          <w:p>
            <w:pPr>
              <w:rPr>
                <w:rFonts w:hint="eastAsia" w:eastAsia="宋体"/>
                <w:color w:val="auto"/>
                <w:highlight w:val="none"/>
                <w:vertAlign w:val="baseline"/>
                <w:lang w:val="zh-CN" w:eastAsia="zh-CN"/>
              </w:rPr>
            </w:pPr>
          </w:p>
        </w:tc>
        <w:tc>
          <w:tcPr>
            <w:tcW w:w="1705" w:type="dxa"/>
            <w:vAlign w:val="top"/>
          </w:tcPr>
          <w:p>
            <w:pPr>
              <w:rPr>
                <w:rFonts w:hint="eastAsia" w:eastAsia="宋体"/>
                <w:color w:val="auto"/>
                <w:highlight w:val="none"/>
                <w:vertAlign w:val="baseline"/>
                <w:lang w:val="zh-CN" w:eastAsia="zh-CN"/>
              </w:rPr>
            </w:pPr>
          </w:p>
        </w:tc>
      </w:tr>
    </w:tbl>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en-US" w:eastAsia="zh-CN"/>
        </w:rPr>
      </w:pPr>
      <w:bookmarkStart w:id="189" w:name="_Toc17781"/>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r>
        <w:rPr>
          <w:rFonts w:hint="eastAsia"/>
          <w:color w:val="auto"/>
          <w:highlight w:val="none"/>
          <w:lang w:val="en-US" w:eastAsia="zh-CN"/>
        </w:rPr>
        <w:t>五</w:t>
      </w:r>
      <w:r>
        <w:rPr>
          <w:rFonts w:hint="eastAsia"/>
          <w:color w:val="auto"/>
          <w:highlight w:val="none"/>
          <w:lang w:val="zh-CN" w:eastAsia="zh-Hans"/>
        </w:rPr>
        <w:t>、</w:t>
      </w:r>
      <w:r>
        <w:rPr>
          <w:rFonts w:hint="eastAsia"/>
          <w:color w:val="auto"/>
          <w:highlight w:val="none"/>
          <w:lang w:val="zh-CN" w:eastAsia="zh-Hans"/>
        </w:rPr>
        <w:fldChar w:fldCharType="begin"/>
      </w:r>
      <w:r>
        <w:rPr>
          <w:rFonts w:hint="eastAsia"/>
          <w:color w:val="auto"/>
          <w:highlight w:val="none"/>
          <w:lang w:val="zh-CN" w:eastAsia="zh-Hans"/>
        </w:rPr>
        <w:instrText xml:space="preserve"> HYPERLINK \l _Toc14063 </w:instrText>
      </w:r>
      <w:r>
        <w:rPr>
          <w:rFonts w:hint="eastAsia"/>
          <w:color w:val="auto"/>
          <w:highlight w:val="none"/>
          <w:lang w:val="zh-CN" w:eastAsia="zh-Hans"/>
        </w:rPr>
        <w:fldChar w:fldCharType="separate"/>
      </w:r>
      <w:r>
        <w:rPr>
          <w:rFonts w:hint="eastAsia"/>
          <w:color w:val="auto"/>
          <w:highlight w:val="none"/>
          <w:lang w:val="zh-CN" w:eastAsia="zh-Hans"/>
        </w:rPr>
        <w:t>技术响应方案</w:t>
      </w:r>
      <w:r>
        <w:rPr>
          <w:rFonts w:hint="eastAsia"/>
          <w:color w:val="auto"/>
          <w:highlight w:val="none"/>
          <w:lang w:val="zh-CN" w:eastAsia="zh-Hans"/>
        </w:rPr>
        <w:fldChar w:fldCharType="end"/>
      </w:r>
      <w:bookmarkEnd w:id="189"/>
    </w:p>
    <w:p>
      <w:pPr>
        <w:wordWrap w:val="0"/>
        <w:spacing w:line="560" w:lineRule="exact"/>
        <w:ind w:firstLine="480"/>
        <w:rPr>
          <w:rFonts w:hint="eastAsia"/>
          <w:highlight w:val="none"/>
          <w:lang w:val="en-US" w:eastAsia="zh-Hans"/>
        </w:rPr>
      </w:pPr>
      <w:r>
        <w:rPr>
          <w:rFonts w:hint="eastAsia"/>
          <w:highlight w:val="none"/>
          <w:lang w:val="en-US" w:eastAsia="zh-Hans"/>
        </w:rPr>
        <w:t>主要内容应包含：</w:t>
      </w:r>
    </w:p>
    <w:p>
      <w:pPr>
        <w:wordWrap w:val="0"/>
        <w:spacing w:line="560" w:lineRule="exact"/>
        <w:ind w:firstLine="480"/>
        <w:rPr>
          <w:rFonts w:hint="eastAsia"/>
          <w:highlight w:val="none"/>
          <w:lang w:val="en-US" w:eastAsia="zh-CN"/>
        </w:rPr>
      </w:pPr>
      <w:r>
        <w:rPr>
          <w:rFonts w:hint="eastAsia"/>
          <w:highlight w:val="none"/>
          <w:lang w:val="en-US" w:eastAsia="zh-CN"/>
        </w:rPr>
        <w:t>1.提供安装实施方案</w:t>
      </w:r>
    </w:p>
    <w:p>
      <w:pPr>
        <w:wordWrap w:val="0"/>
        <w:spacing w:line="560" w:lineRule="exact"/>
        <w:ind w:firstLine="480"/>
        <w:rPr>
          <w:rFonts w:hint="default"/>
          <w:highlight w:val="none"/>
          <w:lang w:val="en-US" w:eastAsia="zh-CN"/>
        </w:rPr>
      </w:pPr>
      <w:r>
        <w:rPr>
          <w:rFonts w:hint="eastAsia"/>
          <w:highlight w:val="none"/>
          <w:lang w:val="en-US" w:eastAsia="zh-CN"/>
        </w:rPr>
        <w:t>2.质量控制措施</w:t>
      </w:r>
    </w:p>
    <w:p>
      <w:pPr>
        <w:wordWrap w:val="0"/>
        <w:spacing w:line="560" w:lineRule="exact"/>
        <w:ind w:firstLine="480"/>
        <w:rPr>
          <w:rFonts w:hint="eastAsia"/>
          <w:highlight w:val="none"/>
          <w:lang w:val="en-US" w:eastAsia="zh-CN"/>
        </w:rPr>
      </w:pPr>
    </w:p>
    <w:p>
      <w:pPr>
        <w:wordWrap w:val="0"/>
        <w:spacing w:line="560" w:lineRule="exact"/>
        <w:ind w:firstLine="480"/>
        <w:rPr>
          <w:rFonts w:hint="eastAsia"/>
          <w:highlight w:val="none"/>
          <w:lang w:val="en-US" w:eastAsia="zh-CN"/>
        </w:rPr>
      </w:pPr>
      <w:r>
        <w:rPr>
          <w:rFonts w:hint="eastAsia"/>
          <w:highlight w:val="none"/>
          <w:lang w:val="en-US" w:eastAsia="zh-CN"/>
        </w:rPr>
        <w:t>技术方案要求合理、完整、科学、严谨、具有的先进性、可行性。主要包括以下内容:</w:t>
      </w:r>
    </w:p>
    <w:p>
      <w:pPr>
        <w:wordWrap w:val="0"/>
        <w:spacing w:line="560" w:lineRule="exact"/>
        <w:ind w:firstLine="480"/>
        <w:rPr>
          <w:rFonts w:hint="eastAsia"/>
          <w:highlight w:val="none"/>
          <w:lang w:val="en-US" w:eastAsia="zh-Hans"/>
        </w:rPr>
      </w:pPr>
      <w:r>
        <w:rPr>
          <w:rFonts w:hint="eastAsia"/>
          <w:highlight w:val="none"/>
          <w:lang w:val="en-US" w:eastAsia="zh-CN"/>
        </w:rPr>
        <w:t>方案的主要</w:t>
      </w:r>
      <w:r>
        <w:rPr>
          <w:rFonts w:hint="eastAsia"/>
          <w:highlight w:val="none"/>
          <w:lang w:val="en-US" w:eastAsia="zh-Hans"/>
        </w:rPr>
        <w:t>内容应包含组织机构、</w:t>
      </w:r>
      <w:r>
        <w:rPr>
          <w:rFonts w:hint="eastAsia"/>
          <w:highlight w:val="none"/>
          <w:lang w:val="zh-CN" w:eastAsia="zh-CN"/>
        </w:rPr>
        <w:t>拟投入主要管理人员</w:t>
      </w:r>
      <w:r>
        <w:rPr>
          <w:rFonts w:hint="eastAsia"/>
          <w:highlight w:val="none"/>
          <w:lang w:val="zh-CN" w:eastAsia="zh-Hans"/>
        </w:rPr>
        <w:t>、</w:t>
      </w:r>
      <w:r>
        <w:rPr>
          <w:rFonts w:hint="eastAsia"/>
          <w:highlight w:val="none"/>
          <w:lang w:val="en-US" w:eastAsia="zh-Hans"/>
        </w:rPr>
        <w:t>材料供应能力及供应实施方案、质量控制措施、服务措施、售后保障措施等。</w:t>
      </w:r>
    </w:p>
    <w:p>
      <w:pPr>
        <w:wordWrap w:val="0"/>
        <w:spacing w:line="560" w:lineRule="exact"/>
        <w:ind w:firstLine="480"/>
        <w:rPr>
          <w:rFonts w:hint="eastAsia"/>
          <w:highlight w:val="none"/>
          <w:lang w:val="en-US" w:eastAsia="zh-Hans"/>
        </w:rPr>
      </w:pPr>
      <w:r>
        <w:rPr>
          <w:rFonts w:hint="eastAsia"/>
          <w:highlight w:val="none"/>
          <w:lang w:val="en-US" w:eastAsia="zh-Hans"/>
        </w:rPr>
        <w:t>技术</w:t>
      </w:r>
      <w:r>
        <w:rPr>
          <w:rFonts w:hint="eastAsia"/>
          <w:highlight w:val="none"/>
          <w:lang w:val="zh-CN" w:eastAsia="zh-Hans"/>
        </w:rPr>
        <w:t>响应</w:t>
      </w:r>
      <w:r>
        <w:rPr>
          <w:rFonts w:hint="eastAsia"/>
          <w:highlight w:val="none"/>
          <w:lang w:val="en-US" w:eastAsia="zh-Hans"/>
        </w:rPr>
        <w:t>方案应能证明贵司具备履约能力，满足工期，质量有保障，提供最大程度满足项目要求的服务技术实施方案。</w:t>
      </w:r>
    </w:p>
    <w:p>
      <w:pPr>
        <w:pStyle w:val="2"/>
        <w:rPr>
          <w:rFonts w:hint="eastAsia" w:ascii="宋体" w:hAnsi="宋体" w:eastAsia="宋体" w:cs="宋体"/>
          <w:color w:val="auto"/>
          <w:sz w:val="24"/>
          <w:highlight w:val="none"/>
          <w:lang w:val="en-US" w:eastAsia="zh-Hans"/>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default"/>
          <w:color w:val="auto"/>
          <w:highlight w:val="none"/>
          <w:lang w:val="en-US" w:eastAsia="zh-CN"/>
        </w:rPr>
      </w:pPr>
      <w:bookmarkStart w:id="190" w:name="_Toc16296"/>
      <w:r>
        <w:rPr>
          <w:rFonts w:hint="eastAsia"/>
          <w:color w:val="auto"/>
          <w:highlight w:val="none"/>
          <w:lang w:val="zh-CN" w:eastAsia="zh-CN"/>
        </w:rPr>
        <w:t>六、</w:t>
      </w:r>
      <w:r>
        <w:rPr>
          <w:rFonts w:hint="eastAsia"/>
          <w:color w:val="auto"/>
          <w:highlight w:val="none"/>
          <w:lang w:val="en-US" w:eastAsia="zh-CN"/>
        </w:rPr>
        <w:t>投标报价函</w:t>
      </w:r>
      <w:bookmarkEnd w:id="190"/>
    </w:p>
    <w:p>
      <w:pPr>
        <w:keepNext w:val="0"/>
        <w:keepLines w:val="0"/>
        <w:pageBreakBefore w:val="0"/>
        <w:kinsoku/>
        <w:wordWrap/>
        <w:overflowPunct/>
        <w:topLinePunct w:val="0"/>
        <w:bidi w:val="0"/>
        <w:adjustRightInd w:val="0"/>
        <w:snapToGrid w:val="0"/>
        <w:spacing w:line="400" w:lineRule="atLeas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t>　</w:t>
      </w:r>
      <w:r>
        <w:rPr>
          <w:rFonts w:hint="eastAsia" w:ascii="宋体" w:hAnsi="宋体" w:cs="宋体"/>
          <w:color w:val="auto"/>
          <w:kern w:val="0"/>
          <w:sz w:val="24"/>
          <w:highlight w:val="none"/>
          <w:u w:val="single"/>
          <w:lang w:eastAsia="zh-CN"/>
        </w:rPr>
        <w:t>咸宁市宁安建筑工程有限公司</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（采购人名称）：</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根据贵方</w:t>
      </w:r>
      <w:r>
        <w:rPr>
          <w:rFonts w:hint="eastAsia" w:ascii="宋体" w:hAnsi="宋体" w:eastAsia="宋体" w:cs="宋体"/>
          <w:b w:val="0"/>
          <w:bCs w:val="0"/>
          <w:color w:val="auto"/>
          <w:kern w:val="0"/>
          <w:sz w:val="24"/>
          <w:szCs w:val="24"/>
          <w:highlight w:val="none"/>
          <w:u w:val="single"/>
        </w:rPr>
        <w:t>（项目名称</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kern w:val="0"/>
          <w:sz w:val="24"/>
          <w:szCs w:val="24"/>
          <w:highlight w:val="none"/>
          <w:u w:val="single"/>
        </w:rPr>
        <w:t>项目编号）</w:t>
      </w:r>
      <w:r>
        <w:rPr>
          <w:rFonts w:hint="eastAsia" w:ascii="宋体" w:hAnsi="宋体" w:eastAsia="宋体" w:cs="宋体"/>
          <w:b w:val="0"/>
          <w:bCs w:val="0"/>
          <w:color w:val="auto"/>
          <w:kern w:val="0"/>
          <w:sz w:val="24"/>
          <w:szCs w:val="24"/>
          <w:highlight w:val="none"/>
        </w:rPr>
        <w:t>项目采购相关服务的询价邀请，我方声明如下事项：</w:t>
      </w:r>
    </w:p>
    <w:p>
      <w:pPr>
        <w:keepNext w:val="0"/>
        <w:keepLines w:val="0"/>
        <w:pageBreakBefore w:val="0"/>
        <w:widowControl/>
        <w:numPr>
          <w:ilvl w:val="0"/>
          <w:numId w:val="35"/>
        </w:numPr>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zh-CN" w:bidi="th-TH"/>
        </w:rPr>
        <w:t>我方已仔细研究了</w:t>
      </w:r>
      <w:r>
        <w:rPr>
          <w:rFonts w:hint="eastAsia" w:ascii="宋体" w:hAnsi="宋体" w:cs="宋体"/>
          <w:b w:val="0"/>
          <w:bCs w:val="0"/>
          <w:color w:val="auto"/>
          <w:kern w:val="0"/>
          <w:sz w:val="24"/>
          <w:szCs w:val="24"/>
          <w:highlight w:val="none"/>
          <w:lang w:val="en-US" w:eastAsia="zh-Hans" w:bidi="th-TH"/>
        </w:rPr>
        <w:t>本项目</w:t>
      </w:r>
      <w:r>
        <w:rPr>
          <w:rFonts w:hint="eastAsia" w:ascii="宋体" w:hAnsi="宋体" w:eastAsia="宋体" w:cs="宋体"/>
          <w:b w:val="0"/>
          <w:bCs w:val="0"/>
          <w:color w:val="auto"/>
          <w:kern w:val="0"/>
          <w:sz w:val="24"/>
          <w:szCs w:val="24"/>
          <w:highlight w:val="none"/>
          <w:lang w:val="zh-CN" w:bidi="th-TH"/>
        </w:rPr>
        <w:t>施工</w:t>
      </w:r>
      <w:r>
        <w:rPr>
          <w:rFonts w:hint="eastAsia" w:ascii="宋体" w:hAnsi="宋体" w:eastAsia="宋体" w:cs="宋体"/>
          <w:b w:val="0"/>
          <w:bCs w:val="0"/>
          <w:color w:val="auto"/>
          <w:kern w:val="0"/>
          <w:sz w:val="24"/>
          <w:szCs w:val="24"/>
          <w:highlight w:val="none"/>
          <w:lang w:val="zh-CN" w:eastAsia="zh-CN" w:bidi="th-TH"/>
        </w:rPr>
        <w:t>询价</w:t>
      </w:r>
      <w:r>
        <w:rPr>
          <w:rFonts w:hint="eastAsia" w:ascii="宋体" w:hAnsi="宋体" w:eastAsia="宋体" w:cs="宋体"/>
          <w:b w:val="0"/>
          <w:bCs w:val="0"/>
          <w:color w:val="auto"/>
          <w:kern w:val="0"/>
          <w:sz w:val="24"/>
          <w:szCs w:val="24"/>
          <w:highlight w:val="none"/>
          <w:lang w:val="zh-CN" w:bidi="th-TH"/>
        </w:rPr>
        <w:t>文件的全部内容，</w:t>
      </w:r>
      <w:r>
        <w:rPr>
          <w:rFonts w:hint="eastAsia" w:ascii="宋体" w:hAnsi="宋体" w:eastAsia="宋体" w:cs="宋体"/>
          <w:b w:val="0"/>
          <w:bCs w:val="0"/>
          <w:color w:val="auto"/>
          <w:kern w:val="0"/>
          <w:sz w:val="24"/>
          <w:szCs w:val="24"/>
          <w:highlight w:val="none"/>
          <w:lang w:val="en-US" w:eastAsia="zh-Hans" w:bidi="th-TH"/>
        </w:rPr>
        <w:t>我方承诺，我司能满足甲方的</w:t>
      </w:r>
      <w:r>
        <w:rPr>
          <w:rFonts w:hint="eastAsia" w:ascii="宋体" w:hAnsi="宋体" w:eastAsia="宋体" w:cs="宋体"/>
          <w:b w:val="0"/>
          <w:bCs w:val="0"/>
          <w:color w:val="auto"/>
          <w:kern w:val="0"/>
          <w:sz w:val="24"/>
          <w:szCs w:val="24"/>
          <w:highlight w:val="none"/>
          <w:lang w:val="en-US" w:eastAsia="zh-Hans"/>
        </w:rPr>
        <w:t>供应要求</w:t>
      </w:r>
      <w:r>
        <w:rPr>
          <w:rFonts w:hint="eastAsia" w:ascii="宋体" w:hAnsi="宋体" w:eastAsia="宋体" w:cs="宋体"/>
          <w:b w:val="0"/>
          <w:bCs w:val="0"/>
          <w:color w:val="auto"/>
          <w:kern w:val="0"/>
          <w:sz w:val="24"/>
          <w:szCs w:val="24"/>
          <w:highlight w:val="none"/>
          <w:lang w:eastAsia="zh-Hans"/>
        </w:rPr>
        <w:t>，</w:t>
      </w:r>
      <w:r>
        <w:rPr>
          <w:rFonts w:hint="eastAsia" w:ascii="宋体" w:hAnsi="宋体" w:eastAsia="宋体" w:cs="宋体"/>
          <w:b w:val="0"/>
          <w:bCs w:val="0"/>
          <w:color w:val="auto"/>
          <w:kern w:val="0"/>
          <w:sz w:val="24"/>
          <w:szCs w:val="24"/>
          <w:highlight w:val="none"/>
          <w:lang w:val="en-US" w:eastAsia="zh-CN"/>
        </w:rPr>
        <w:t>质量</w:t>
      </w:r>
      <w:r>
        <w:rPr>
          <w:rFonts w:hint="eastAsia" w:ascii="宋体" w:hAnsi="宋体" w:eastAsia="宋体" w:cs="宋体"/>
          <w:b w:val="0"/>
          <w:bCs w:val="0"/>
          <w:color w:val="auto"/>
          <w:kern w:val="0"/>
          <w:sz w:val="24"/>
          <w:szCs w:val="24"/>
          <w:highlight w:val="none"/>
          <w:lang w:val="en-US" w:eastAsia="zh-Hans"/>
        </w:rPr>
        <w:t>达到</w:t>
      </w:r>
      <w:r>
        <w:rPr>
          <w:rFonts w:hint="eastAsia" w:ascii="宋体" w:hAnsi="宋体" w:eastAsia="宋体" w:cs="宋体"/>
          <w:b w:val="0"/>
          <w:bCs w:val="0"/>
          <w:color w:val="auto"/>
          <w:kern w:val="0"/>
          <w:sz w:val="24"/>
          <w:szCs w:val="24"/>
          <w:highlight w:val="none"/>
          <w:lang w:val="en-US" w:eastAsia="zh-CN"/>
        </w:rPr>
        <w:t>合格</w:t>
      </w:r>
      <w:r>
        <w:rPr>
          <w:rFonts w:hint="eastAsia" w:ascii="宋体" w:hAnsi="宋体" w:eastAsia="宋体" w:cs="宋体"/>
          <w:b w:val="0"/>
          <w:bCs w:val="0"/>
          <w:color w:val="auto"/>
          <w:kern w:val="0"/>
          <w:sz w:val="24"/>
          <w:szCs w:val="24"/>
          <w:highlight w:val="none"/>
          <w:lang w:val="en-US" w:eastAsia="zh-Hans"/>
        </w:rPr>
        <w:t>标准，具体报价如下：</w:t>
      </w:r>
    </w:p>
    <w:tbl>
      <w:tblPr>
        <w:tblStyle w:val="4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570"/>
        <w:gridCol w:w="473"/>
        <w:gridCol w:w="1026"/>
        <w:gridCol w:w="851"/>
        <w:gridCol w:w="1025"/>
        <w:gridCol w:w="708"/>
        <w:gridCol w:w="638"/>
        <w:gridCol w:w="511"/>
        <w:gridCol w:w="640"/>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553" w:type="dxa"/>
            <w:vMerge w:val="restart"/>
            <w:noWrap w:val="0"/>
            <w:vAlign w:val="center"/>
          </w:tcPr>
          <w:p>
            <w:pPr>
              <w:ind w:left="-168" w:leftChars="-80" w:firstLine="192" w:firstLineChars="80"/>
              <w:jc w:val="center"/>
              <w:rPr>
                <w:rFonts w:hint="eastAsia" w:ascii="宋体" w:hAnsi="宋体"/>
                <w:color w:val="auto"/>
                <w:sz w:val="24"/>
                <w:szCs w:val="24"/>
                <w:highlight w:val="none"/>
              </w:rPr>
            </w:pPr>
            <w:r>
              <w:rPr>
                <w:rFonts w:hint="eastAsia" w:ascii="宋体" w:hAnsi="宋体"/>
                <w:color w:val="auto"/>
                <w:sz w:val="24"/>
                <w:szCs w:val="24"/>
                <w:highlight w:val="none"/>
              </w:rPr>
              <w:t>编号</w:t>
            </w:r>
          </w:p>
        </w:tc>
        <w:tc>
          <w:tcPr>
            <w:tcW w:w="1570" w:type="dxa"/>
            <w:vMerge w:val="restart"/>
            <w:noWrap w:val="0"/>
            <w:vAlign w:val="center"/>
          </w:tcPr>
          <w:p>
            <w:pPr>
              <w:ind w:left="-168" w:leftChars="-80" w:firstLine="192" w:firstLineChars="8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货物名称</w:t>
            </w:r>
            <w:r>
              <w:rPr>
                <w:rFonts w:hint="eastAsia" w:ascii="宋体" w:hAnsi="宋体"/>
                <w:color w:val="auto"/>
                <w:sz w:val="24"/>
                <w:szCs w:val="24"/>
                <w:highlight w:val="none"/>
                <w:lang w:val="en-US" w:eastAsia="zh-CN"/>
              </w:rPr>
              <w:t>/型号</w:t>
            </w:r>
          </w:p>
        </w:tc>
        <w:tc>
          <w:tcPr>
            <w:tcW w:w="473" w:type="dxa"/>
            <w:vMerge w:val="restart"/>
            <w:noWrap w:val="0"/>
            <w:vAlign w:val="center"/>
          </w:tcPr>
          <w:p>
            <w:pPr>
              <w:spacing w:line="460" w:lineRule="exact"/>
              <w:jc w:val="center"/>
              <w:rPr>
                <w:rFonts w:hint="eastAsia" w:ascii="宋体" w:hAnsi="宋体"/>
                <w:color w:val="auto"/>
                <w:sz w:val="24"/>
                <w:szCs w:val="24"/>
                <w:highlight w:val="none"/>
              </w:rPr>
            </w:pPr>
            <w:r>
              <w:rPr>
                <w:rFonts w:hint="eastAsia" w:ascii="宋体" w:hAnsi="宋体"/>
                <w:color w:val="auto"/>
                <w:sz w:val="24"/>
                <w:szCs w:val="24"/>
                <w:highlight w:val="none"/>
              </w:rPr>
              <w:t>数量</w:t>
            </w:r>
            <w:r>
              <w:rPr>
                <w:rFonts w:ascii="宋体" w:hAnsi="宋体"/>
                <w:color w:val="auto"/>
                <w:sz w:val="24"/>
                <w:szCs w:val="24"/>
                <w:highlight w:val="none"/>
              </w:rPr>
              <w:t>(</w:t>
            </w:r>
            <w:r>
              <w:rPr>
                <w:rFonts w:hint="eastAsia" w:ascii="宋体" w:hAnsi="宋体"/>
                <w:color w:val="auto"/>
                <w:sz w:val="24"/>
                <w:szCs w:val="24"/>
                <w:highlight w:val="none"/>
              </w:rPr>
              <w:t>台)</w:t>
            </w:r>
          </w:p>
        </w:tc>
        <w:tc>
          <w:tcPr>
            <w:tcW w:w="2902" w:type="dxa"/>
            <w:gridSpan w:val="3"/>
            <w:noWrap w:val="0"/>
            <w:vAlign w:val="center"/>
          </w:tcPr>
          <w:p>
            <w:pPr>
              <w:spacing w:line="460" w:lineRule="exact"/>
              <w:jc w:val="center"/>
              <w:rPr>
                <w:rFonts w:hint="eastAsia" w:ascii="宋体" w:hAnsi="宋体"/>
                <w:color w:val="auto"/>
                <w:sz w:val="24"/>
                <w:szCs w:val="24"/>
                <w:highlight w:val="none"/>
              </w:rPr>
            </w:pPr>
            <w:r>
              <w:rPr>
                <w:rFonts w:hint="eastAsia" w:ascii="宋体" w:hAnsi="宋体"/>
                <w:color w:val="auto"/>
                <w:sz w:val="24"/>
                <w:szCs w:val="24"/>
                <w:highlight w:val="none"/>
              </w:rPr>
              <w:t>规 格</w:t>
            </w:r>
          </w:p>
        </w:tc>
        <w:tc>
          <w:tcPr>
            <w:tcW w:w="708" w:type="dxa"/>
            <w:vMerge w:val="restart"/>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单台</w:t>
            </w:r>
          </w:p>
          <w:p>
            <w:pPr>
              <w:jc w:val="center"/>
              <w:rPr>
                <w:rFonts w:hint="eastAsia" w:ascii="宋体" w:hAnsi="宋体"/>
                <w:color w:val="auto"/>
                <w:sz w:val="24"/>
                <w:szCs w:val="24"/>
                <w:highlight w:val="none"/>
              </w:rPr>
            </w:pPr>
            <w:r>
              <w:rPr>
                <w:rFonts w:hint="eastAsia" w:ascii="宋体" w:hAnsi="宋体"/>
                <w:color w:val="auto"/>
                <w:sz w:val="24"/>
                <w:szCs w:val="24"/>
                <w:highlight w:val="none"/>
              </w:rPr>
              <w:t>设备费</w:t>
            </w:r>
          </w:p>
        </w:tc>
        <w:tc>
          <w:tcPr>
            <w:tcW w:w="638" w:type="dxa"/>
            <w:vMerge w:val="restart"/>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单台</w:t>
            </w:r>
          </w:p>
          <w:p>
            <w:pPr>
              <w:jc w:val="center"/>
              <w:rPr>
                <w:rFonts w:hint="eastAsia" w:ascii="宋体" w:hAnsi="宋体"/>
                <w:color w:val="auto"/>
                <w:sz w:val="24"/>
                <w:szCs w:val="24"/>
                <w:highlight w:val="none"/>
              </w:rPr>
            </w:pPr>
            <w:r>
              <w:rPr>
                <w:rFonts w:hint="eastAsia" w:ascii="宋体" w:hAnsi="宋体"/>
                <w:color w:val="auto"/>
                <w:sz w:val="24"/>
                <w:szCs w:val="24"/>
                <w:highlight w:val="none"/>
              </w:rPr>
              <w:t>安装</w:t>
            </w:r>
            <w:r>
              <w:rPr>
                <w:rFonts w:hint="eastAsia" w:ascii="宋体" w:hAnsi="宋体"/>
                <w:color w:val="auto"/>
                <w:sz w:val="24"/>
                <w:szCs w:val="24"/>
                <w:highlight w:val="none"/>
                <w:lang w:eastAsia="zh-CN"/>
              </w:rPr>
              <w:t>调试</w:t>
            </w:r>
            <w:r>
              <w:rPr>
                <w:rFonts w:hint="eastAsia" w:ascii="宋体" w:hAnsi="宋体"/>
                <w:color w:val="auto"/>
                <w:sz w:val="24"/>
                <w:szCs w:val="24"/>
                <w:highlight w:val="none"/>
              </w:rPr>
              <w:t>费</w:t>
            </w:r>
          </w:p>
        </w:tc>
        <w:tc>
          <w:tcPr>
            <w:tcW w:w="511" w:type="dxa"/>
            <w:vMerge w:val="restart"/>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单台</w:t>
            </w:r>
          </w:p>
          <w:p>
            <w:pPr>
              <w:jc w:val="center"/>
              <w:rPr>
                <w:rFonts w:hint="eastAsia" w:ascii="宋体" w:hAnsi="宋体"/>
                <w:color w:val="auto"/>
                <w:sz w:val="24"/>
                <w:szCs w:val="24"/>
                <w:highlight w:val="none"/>
              </w:rPr>
            </w:pPr>
            <w:r>
              <w:rPr>
                <w:rFonts w:hint="eastAsia" w:ascii="宋体" w:hAnsi="宋体"/>
                <w:color w:val="auto"/>
                <w:sz w:val="24"/>
                <w:szCs w:val="24"/>
                <w:highlight w:val="none"/>
              </w:rPr>
              <w:t>运费</w:t>
            </w:r>
          </w:p>
        </w:tc>
        <w:tc>
          <w:tcPr>
            <w:tcW w:w="640" w:type="dxa"/>
            <w:vMerge w:val="restart"/>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单台</w:t>
            </w:r>
          </w:p>
          <w:p>
            <w:pPr>
              <w:jc w:val="center"/>
              <w:rPr>
                <w:rFonts w:hint="eastAsia" w:ascii="宋体" w:hAnsi="宋体"/>
                <w:color w:val="auto"/>
                <w:sz w:val="24"/>
                <w:szCs w:val="24"/>
                <w:highlight w:val="none"/>
              </w:rPr>
            </w:pPr>
            <w:r>
              <w:rPr>
                <w:rFonts w:hint="eastAsia" w:ascii="宋体" w:hAnsi="宋体"/>
                <w:color w:val="auto"/>
                <w:sz w:val="24"/>
                <w:szCs w:val="24"/>
                <w:highlight w:val="none"/>
              </w:rPr>
              <w:t>小计</w:t>
            </w:r>
          </w:p>
        </w:tc>
        <w:tc>
          <w:tcPr>
            <w:tcW w:w="805" w:type="dxa"/>
            <w:vMerge w:val="restart"/>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合计</w:t>
            </w:r>
          </w:p>
          <w:p>
            <w:pPr>
              <w:jc w:val="center"/>
              <w:rPr>
                <w:rFonts w:hint="eastAsia" w:ascii="宋体" w:hAnsi="宋体"/>
                <w:color w:val="auto"/>
                <w:sz w:val="24"/>
                <w:szCs w:val="24"/>
                <w:highlight w:val="none"/>
              </w:rPr>
            </w:pPr>
            <w:r>
              <w:rPr>
                <w:rFonts w:hint="eastAsia" w:ascii="宋体" w:hAnsi="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9" w:hRule="atLeast"/>
          <w:jc w:val="center"/>
        </w:trPr>
        <w:tc>
          <w:tcPr>
            <w:tcW w:w="553" w:type="dxa"/>
            <w:vMerge w:val="continue"/>
            <w:shd w:val="clear" w:color="auto" w:fill="D9D9D9"/>
            <w:noWrap w:val="0"/>
            <w:vAlign w:val="center"/>
          </w:tcPr>
          <w:p>
            <w:pPr>
              <w:ind w:left="-168" w:leftChars="-80" w:firstLine="192" w:firstLineChars="80"/>
              <w:jc w:val="center"/>
              <w:rPr>
                <w:rFonts w:hint="eastAsia" w:ascii="宋体" w:hAnsi="宋体"/>
                <w:color w:val="auto"/>
                <w:sz w:val="24"/>
                <w:szCs w:val="24"/>
                <w:highlight w:val="none"/>
              </w:rPr>
            </w:pPr>
          </w:p>
        </w:tc>
        <w:tc>
          <w:tcPr>
            <w:tcW w:w="1570" w:type="dxa"/>
            <w:vMerge w:val="continue"/>
            <w:shd w:val="clear" w:color="auto" w:fill="D9D9D9"/>
            <w:noWrap w:val="0"/>
            <w:vAlign w:val="center"/>
          </w:tcPr>
          <w:p>
            <w:pPr>
              <w:ind w:left="-168" w:leftChars="-80" w:firstLine="192" w:firstLineChars="80"/>
              <w:jc w:val="center"/>
              <w:rPr>
                <w:rFonts w:hint="eastAsia" w:ascii="宋体" w:hAnsi="宋体"/>
                <w:color w:val="auto"/>
                <w:sz w:val="24"/>
                <w:szCs w:val="24"/>
                <w:highlight w:val="none"/>
              </w:rPr>
            </w:pPr>
          </w:p>
        </w:tc>
        <w:tc>
          <w:tcPr>
            <w:tcW w:w="473" w:type="dxa"/>
            <w:vMerge w:val="continue"/>
            <w:shd w:val="clear" w:color="auto" w:fill="D9D9D9"/>
            <w:noWrap w:val="0"/>
            <w:vAlign w:val="center"/>
          </w:tcPr>
          <w:p>
            <w:pPr>
              <w:spacing w:line="460" w:lineRule="exact"/>
              <w:jc w:val="center"/>
              <w:rPr>
                <w:rFonts w:hint="eastAsia" w:ascii="宋体" w:hAnsi="宋体"/>
                <w:color w:val="auto"/>
                <w:sz w:val="24"/>
                <w:szCs w:val="24"/>
                <w:highlight w:val="none"/>
              </w:rPr>
            </w:pPr>
          </w:p>
        </w:tc>
        <w:tc>
          <w:tcPr>
            <w:tcW w:w="1026" w:type="dxa"/>
            <w:shd w:val="clear" w:color="auto" w:fill="auto"/>
            <w:noWrap w:val="0"/>
            <w:vAlign w:val="center"/>
          </w:tcPr>
          <w:p>
            <w:pPr>
              <w:spacing w:line="3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层站门</w:t>
            </w:r>
          </w:p>
          <w:p>
            <w:pPr>
              <w:spacing w:line="32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w w:val="66"/>
                <w:sz w:val="24"/>
                <w:szCs w:val="24"/>
                <w:highlight w:val="none"/>
              </w:rPr>
              <w:t>提升高度（M）</w:t>
            </w:r>
            <w:r>
              <w:rPr>
                <w:rFonts w:ascii="宋体" w:hAnsi="宋体"/>
                <w:color w:val="auto"/>
                <w:w w:val="66"/>
                <w:sz w:val="24"/>
                <w:szCs w:val="24"/>
                <w:highlight w:val="none"/>
              </w:rPr>
              <w:t>]</w:t>
            </w:r>
          </w:p>
        </w:tc>
        <w:tc>
          <w:tcPr>
            <w:tcW w:w="851" w:type="dxa"/>
            <w:shd w:val="clear" w:color="auto" w:fill="auto"/>
            <w:noWrap w:val="0"/>
            <w:vAlign w:val="center"/>
          </w:tcPr>
          <w:p>
            <w:pPr>
              <w:spacing w:line="320" w:lineRule="exact"/>
              <w:jc w:val="center"/>
              <w:rPr>
                <w:rFonts w:ascii="宋体" w:hAnsi="宋体"/>
                <w:color w:val="auto"/>
                <w:sz w:val="24"/>
                <w:szCs w:val="24"/>
                <w:highlight w:val="none"/>
              </w:rPr>
            </w:pPr>
            <w:r>
              <w:rPr>
                <w:rFonts w:hint="eastAsia" w:ascii="宋体" w:hAnsi="宋体"/>
                <w:color w:val="auto"/>
                <w:sz w:val="24"/>
                <w:szCs w:val="24"/>
                <w:highlight w:val="none"/>
              </w:rPr>
              <w:t>载重</w:t>
            </w:r>
            <w:r>
              <w:rPr>
                <w:rFonts w:ascii="宋体" w:hAnsi="宋体"/>
                <w:color w:val="auto"/>
                <w:sz w:val="24"/>
                <w:szCs w:val="24"/>
                <w:highlight w:val="none"/>
              </w:rPr>
              <w:t>(kg)</w:t>
            </w:r>
          </w:p>
          <w:p>
            <w:pPr>
              <w:spacing w:line="320" w:lineRule="exact"/>
              <w:jc w:val="center"/>
              <w:rPr>
                <w:rFonts w:hint="eastAsia"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w w:val="66"/>
                <w:sz w:val="24"/>
                <w:szCs w:val="24"/>
                <w:highlight w:val="none"/>
              </w:rPr>
              <w:t>角度</w:t>
            </w:r>
            <w:r>
              <w:rPr>
                <w:rFonts w:ascii="宋体" w:hAnsi="宋体"/>
                <w:color w:val="auto"/>
                <w:w w:val="66"/>
                <w:sz w:val="24"/>
                <w:szCs w:val="24"/>
                <w:highlight w:val="none"/>
              </w:rPr>
              <w:t>(</w:t>
            </w:r>
            <w:r>
              <w:rPr>
                <w:rFonts w:hint="eastAsia" w:ascii="宋体" w:hAnsi="宋体"/>
                <w:color w:val="auto"/>
                <w:w w:val="66"/>
                <w:sz w:val="24"/>
                <w:szCs w:val="24"/>
                <w:highlight w:val="none"/>
              </w:rPr>
              <w:t>度)]</w:t>
            </w:r>
          </w:p>
        </w:tc>
        <w:tc>
          <w:tcPr>
            <w:tcW w:w="1025" w:type="dxa"/>
            <w:shd w:val="clear" w:color="auto" w:fill="auto"/>
            <w:noWrap w:val="0"/>
            <w:vAlign w:val="center"/>
          </w:tcPr>
          <w:p>
            <w:pPr>
              <w:spacing w:line="320" w:lineRule="exact"/>
              <w:jc w:val="center"/>
              <w:rPr>
                <w:rFonts w:ascii="宋体" w:hAnsi="宋体"/>
                <w:color w:val="auto"/>
                <w:sz w:val="24"/>
                <w:szCs w:val="24"/>
                <w:highlight w:val="none"/>
              </w:rPr>
            </w:pPr>
            <w:r>
              <w:rPr>
                <w:rFonts w:hint="eastAsia" w:ascii="宋体" w:hAnsi="宋体"/>
                <w:color w:val="auto"/>
                <w:sz w:val="24"/>
                <w:szCs w:val="24"/>
                <w:highlight w:val="none"/>
              </w:rPr>
              <w:t>速度</w:t>
            </w:r>
            <w:r>
              <w:rPr>
                <w:rFonts w:ascii="宋体" w:hAnsi="宋体"/>
                <w:color w:val="auto"/>
                <w:sz w:val="24"/>
                <w:szCs w:val="24"/>
                <w:highlight w:val="none"/>
              </w:rPr>
              <w:t>(m/s)</w:t>
            </w:r>
          </w:p>
          <w:p>
            <w:pPr>
              <w:spacing w:line="32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w w:val="66"/>
                <w:sz w:val="24"/>
                <w:szCs w:val="24"/>
                <w:highlight w:val="none"/>
              </w:rPr>
              <w:t>梯级宽度（</w:t>
            </w:r>
            <w:r>
              <w:rPr>
                <w:rFonts w:ascii="宋体" w:hAnsi="宋体"/>
                <w:color w:val="auto"/>
                <w:w w:val="66"/>
                <w:sz w:val="24"/>
                <w:szCs w:val="24"/>
                <w:highlight w:val="none"/>
              </w:rPr>
              <w:t>mm</w:t>
            </w:r>
            <w:r>
              <w:rPr>
                <w:rFonts w:hint="eastAsia" w:ascii="宋体" w:hAnsi="宋体"/>
                <w:color w:val="auto"/>
                <w:w w:val="66"/>
                <w:sz w:val="24"/>
                <w:szCs w:val="24"/>
                <w:highlight w:val="none"/>
              </w:rPr>
              <w:t>）]</w:t>
            </w:r>
          </w:p>
        </w:tc>
        <w:tc>
          <w:tcPr>
            <w:tcW w:w="708" w:type="dxa"/>
            <w:vMerge w:val="continue"/>
            <w:shd w:val="clear" w:color="auto" w:fill="D9D9D9"/>
            <w:noWrap w:val="0"/>
            <w:vAlign w:val="top"/>
          </w:tcPr>
          <w:p>
            <w:pPr>
              <w:jc w:val="center"/>
              <w:rPr>
                <w:rFonts w:hint="eastAsia" w:ascii="宋体" w:hAnsi="宋体"/>
                <w:color w:val="auto"/>
                <w:sz w:val="24"/>
                <w:szCs w:val="24"/>
                <w:highlight w:val="none"/>
              </w:rPr>
            </w:pPr>
          </w:p>
        </w:tc>
        <w:tc>
          <w:tcPr>
            <w:tcW w:w="638" w:type="dxa"/>
            <w:vMerge w:val="continue"/>
            <w:shd w:val="clear" w:color="auto" w:fill="D9D9D9"/>
            <w:noWrap w:val="0"/>
            <w:vAlign w:val="top"/>
          </w:tcPr>
          <w:p>
            <w:pPr>
              <w:jc w:val="center"/>
              <w:rPr>
                <w:rFonts w:hint="eastAsia" w:ascii="宋体" w:hAnsi="宋体"/>
                <w:color w:val="auto"/>
                <w:sz w:val="24"/>
                <w:szCs w:val="24"/>
                <w:highlight w:val="none"/>
              </w:rPr>
            </w:pPr>
          </w:p>
        </w:tc>
        <w:tc>
          <w:tcPr>
            <w:tcW w:w="511" w:type="dxa"/>
            <w:vMerge w:val="continue"/>
            <w:shd w:val="clear" w:color="auto" w:fill="D9D9D9"/>
            <w:noWrap w:val="0"/>
            <w:vAlign w:val="center"/>
          </w:tcPr>
          <w:p>
            <w:pPr>
              <w:jc w:val="center"/>
              <w:rPr>
                <w:rFonts w:hint="eastAsia" w:ascii="宋体" w:hAnsi="宋体"/>
                <w:color w:val="auto"/>
                <w:sz w:val="24"/>
                <w:szCs w:val="24"/>
                <w:highlight w:val="none"/>
              </w:rPr>
            </w:pPr>
          </w:p>
        </w:tc>
        <w:tc>
          <w:tcPr>
            <w:tcW w:w="640" w:type="dxa"/>
            <w:vMerge w:val="continue"/>
            <w:shd w:val="clear" w:color="auto" w:fill="D9D9D9"/>
            <w:noWrap w:val="0"/>
            <w:vAlign w:val="center"/>
          </w:tcPr>
          <w:p>
            <w:pPr>
              <w:jc w:val="center"/>
              <w:rPr>
                <w:rFonts w:hint="eastAsia" w:ascii="宋体" w:hAnsi="宋体"/>
                <w:color w:val="auto"/>
                <w:sz w:val="24"/>
                <w:szCs w:val="24"/>
                <w:highlight w:val="none"/>
              </w:rPr>
            </w:pPr>
          </w:p>
        </w:tc>
        <w:tc>
          <w:tcPr>
            <w:tcW w:w="805" w:type="dxa"/>
            <w:vMerge w:val="continue"/>
            <w:shd w:val="clear" w:color="auto" w:fill="D9D9D9"/>
            <w:noWrap w:val="0"/>
            <w:vAlign w:val="center"/>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553" w:type="dxa"/>
            <w:noWrap w:val="0"/>
            <w:vAlign w:val="center"/>
          </w:tcPr>
          <w:p>
            <w:pPr>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p>
        </w:tc>
        <w:tc>
          <w:tcPr>
            <w:tcW w:w="1570" w:type="dxa"/>
            <w:noWrap w:val="0"/>
            <w:vAlign w:val="center"/>
          </w:tcPr>
          <w:p>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有机房医梯/</w:t>
            </w:r>
            <w:r>
              <w:rPr>
                <w:rFonts w:ascii="宋体" w:hAnsi="宋体"/>
                <w:bCs/>
                <w:color w:val="auto"/>
                <w:sz w:val="24"/>
                <w:szCs w:val="24"/>
                <w:highlight w:val="none"/>
              </w:rPr>
              <w:t>XO-CONB</w:t>
            </w:r>
          </w:p>
        </w:tc>
        <w:tc>
          <w:tcPr>
            <w:tcW w:w="473" w:type="dxa"/>
            <w:noWrap w:val="0"/>
            <w:vAlign w:val="center"/>
          </w:tcPr>
          <w:p>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4</w:t>
            </w:r>
          </w:p>
        </w:tc>
        <w:tc>
          <w:tcPr>
            <w:tcW w:w="1026" w:type="dxa"/>
            <w:noWrap w:val="0"/>
            <w:vAlign w:val="center"/>
          </w:tcPr>
          <w:p>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4/4/4</w:t>
            </w:r>
          </w:p>
        </w:tc>
        <w:tc>
          <w:tcPr>
            <w:tcW w:w="851" w:type="dxa"/>
            <w:noWrap w:val="0"/>
            <w:vAlign w:val="center"/>
          </w:tcPr>
          <w:p>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1600</w:t>
            </w:r>
          </w:p>
        </w:tc>
        <w:tc>
          <w:tcPr>
            <w:tcW w:w="1025" w:type="dxa"/>
            <w:noWrap w:val="0"/>
            <w:vAlign w:val="center"/>
          </w:tcPr>
          <w:p>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1.0</w:t>
            </w:r>
          </w:p>
        </w:tc>
        <w:tc>
          <w:tcPr>
            <w:tcW w:w="708" w:type="dxa"/>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p>
        </w:tc>
        <w:tc>
          <w:tcPr>
            <w:tcW w:w="638" w:type="dxa"/>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p>
        </w:tc>
        <w:tc>
          <w:tcPr>
            <w:tcW w:w="511"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p>
        </w:tc>
        <w:tc>
          <w:tcPr>
            <w:tcW w:w="640" w:type="dxa"/>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p>
        </w:tc>
        <w:tc>
          <w:tcPr>
            <w:tcW w:w="805" w:type="dxa"/>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53" w:type="dxa"/>
            <w:noWrap w:val="0"/>
            <w:vAlign w:val="center"/>
          </w:tcPr>
          <w:p>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p>
        </w:tc>
        <w:tc>
          <w:tcPr>
            <w:tcW w:w="7442" w:type="dxa"/>
            <w:gridSpan w:val="9"/>
            <w:noWrap w:val="0"/>
            <w:vAlign w:val="center"/>
          </w:tcPr>
          <w:p>
            <w:pPr>
              <w:keepNext w:val="0"/>
              <w:keepLines w:val="0"/>
              <w:widowControl/>
              <w:suppressLineNumbers w:val="0"/>
              <w:jc w:val="left"/>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工程总价： （大写）</w:t>
            </w:r>
          </w:p>
        </w:tc>
        <w:tc>
          <w:tcPr>
            <w:tcW w:w="805" w:type="dxa"/>
            <w:noWrap w:val="0"/>
            <w:vAlign w:val="center"/>
          </w:tcPr>
          <w:p>
            <w:pPr>
              <w:keepNext w:val="0"/>
              <w:keepLines w:val="0"/>
              <w:widowControl/>
              <w:suppressLineNumbers w:val="0"/>
              <w:jc w:val="center"/>
              <w:textAlignment w:val="center"/>
              <w:rPr>
                <w:rFonts w:hint="default" w:ascii="宋体" w:hAnsi="宋体" w:eastAsia="宋体" w:cs="宋体"/>
                <w:b/>
                <w:bCs/>
                <w:color w:val="auto"/>
                <w:sz w:val="24"/>
                <w:szCs w:val="24"/>
                <w:highlight w:val="none"/>
                <w:lang w:val="en-US" w:eastAsia="zh-CN"/>
              </w:rPr>
            </w:pPr>
          </w:p>
        </w:tc>
      </w:tr>
    </w:tbl>
    <w:p>
      <w:pPr>
        <w:pStyle w:val="19"/>
        <w:numPr>
          <w:ilvl w:val="0"/>
          <w:numId w:val="0"/>
        </w:numPr>
        <w:rPr>
          <w:rFonts w:hint="eastAsia"/>
          <w:color w:val="auto"/>
          <w:highlight w:val="none"/>
          <w:lang w:val="en-US" w:eastAsia="zh-CN"/>
        </w:rPr>
      </w:pP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lang w:eastAsia="zh-Hans"/>
        </w:rPr>
        <w:t>1</w:t>
      </w:r>
      <w:r>
        <w:rPr>
          <w:rFonts w:hint="eastAsia" w:ascii="宋体" w:hAnsi="宋体" w:eastAsia="宋体" w:cs="宋体"/>
          <w:b w:val="0"/>
          <w:bCs w:val="0"/>
          <w:color w:val="auto"/>
          <w:sz w:val="24"/>
          <w:szCs w:val="24"/>
          <w:highlight w:val="none"/>
          <w:lang w:eastAsia="zh-Hans"/>
        </w:rPr>
        <w:t>、</w:t>
      </w:r>
      <w:r>
        <w:rPr>
          <w:rFonts w:hint="eastAsia" w:ascii="宋体" w:hAnsi="宋体" w:eastAsia="宋体" w:cs="宋体"/>
          <w:b w:val="0"/>
          <w:bCs w:val="0"/>
          <w:color w:val="auto"/>
          <w:sz w:val="24"/>
          <w:szCs w:val="24"/>
          <w:highlight w:val="none"/>
          <w:lang w:val="en-US" w:eastAsia="zh-Hans"/>
        </w:rPr>
        <w:t>以上</w:t>
      </w:r>
      <w:r>
        <w:rPr>
          <w:rFonts w:hint="eastAsia" w:ascii="宋体" w:hAnsi="宋体" w:eastAsia="宋体" w:cs="宋体"/>
          <w:b w:val="0"/>
          <w:bCs w:val="0"/>
          <w:color w:val="auto"/>
          <w:sz w:val="24"/>
          <w:szCs w:val="24"/>
          <w:highlight w:val="none"/>
        </w:rPr>
        <w:t>价格包含</w:t>
      </w:r>
      <w:r>
        <w:rPr>
          <w:rFonts w:hint="eastAsia" w:ascii="宋体" w:hAnsi="宋体" w:cs="宋体"/>
          <w:b w:val="0"/>
          <w:bCs w:val="0"/>
          <w:color w:val="auto"/>
          <w:sz w:val="24"/>
          <w:szCs w:val="24"/>
          <w:highlight w:val="none"/>
          <w:lang w:val="en-US" w:eastAsia="zh-CN"/>
        </w:rPr>
        <w:t>设备</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成本</w:t>
      </w:r>
      <w:r>
        <w:rPr>
          <w:rFonts w:hint="eastAsia" w:ascii="宋体" w:hAnsi="宋体" w:eastAsia="宋体" w:cs="宋体"/>
          <w:b w:val="0"/>
          <w:bCs w:val="0"/>
          <w:color w:val="auto"/>
          <w:sz w:val="24"/>
          <w:szCs w:val="24"/>
          <w:highlight w:val="none"/>
        </w:rPr>
        <w:t>费、运输</w:t>
      </w:r>
      <w:r>
        <w:rPr>
          <w:rFonts w:hint="eastAsia" w:ascii="宋体" w:hAnsi="宋体" w:cs="宋体"/>
          <w:b w:val="0"/>
          <w:bCs w:val="0"/>
          <w:color w:val="auto"/>
          <w:sz w:val="24"/>
          <w:szCs w:val="24"/>
          <w:highlight w:val="none"/>
          <w:lang w:val="en-US" w:eastAsia="zh-CN"/>
        </w:rPr>
        <w:t>损耗</w:t>
      </w:r>
      <w:r>
        <w:rPr>
          <w:rFonts w:hint="eastAsia" w:ascii="宋体" w:hAnsi="宋体" w:eastAsia="宋体" w:cs="宋体"/>
          <w:b w:val="0"/>
          <w:bCs w:val="0"/>
          <w:color w:val="auto"/>
          <w:sz w:val="24"/>
          <w:szCs w:val="24"/>
          <w:highlight w:val="none"/>
        </w:rPr>
        <w:t>费、</w:t>
      </w:r>
      <w:r>
        <w:rPr>
          <w:rFonts w:hint="eastAsia" w:ascii="宋体" w:hAnsi="宋体" w:cs="宋体"/>
          <w:b w:val="0"/>
          <w:bCs w:val="0"/>
          <w:color w:val="auto"/>
          <w:sz w:val="24"/>
          <w:szCs w:val="24"/>
          <w:highlight w:val="none"/>
          <w:lang w:val="en-US" w:eastAsia="zh-CN"/>
        </w:rPr>
        <w:t>安装</w:t>
      </w:r>
      <w:r>
        <w:rPr>
          <w:rFonts w:hint="eastAsia" w:ascii="宋体" w:hAnsi="宋体" w:eastAsia="宋体" w:cs="宋体"/>
          <w:b w:val="0"/>
          <w:bCs w:val="0"/>
          <w:color w:val="auto"/>
          <w:sz w:val="24"/>
          <w:szCs w:val="24"/>
          <w:highlight w:val="none"/>
        </w:rPr>
        <w:t>管理费、利润及</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rPr>
        <w:t>%</w:t>
      </w:r>
      <w:r>
        <w:rPr>
          <w:rFonts w:hint="eastAsia" w:ascii="宋体" w:hAnsi="宋体" w:eastAsia="宋体" w:cs="宋体"/>
          <w:b w:val="0"/>
          <w:bCs w:val="0"/>
          <w:color w:val="auto"/>
          <w:sz w:val="24"/>
          <w:szCs w:val="24"/>
          <w:highlight w:val="none"/>
        </w:rPr>
        <w:t>增值税专用发票等；</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Hans"/>
        </w:rPr>
        <w:t>、</w:t>
      </w:r>
      <w:r>
        <w:rPr>
          <w:rFonts w:hint="eastAsia" w:ascii="宋体" w:hAnsi="宋体" w:eastAsia="宋体" w:cs="宋体"/>
          <w:b w:val="0"/>
          <w:bCs w:val="0"/>
          <w:color w:val="auto"/>
          <w:sz w:val="24"/>
          <w:szCs w:val="24"/>
          <w:highlight w:val="none"/>
        </w:rPr>
        <w:t>本</w:t>
      </w:r>
      <w:r>
        <w:rPr>
          <w:rFonts w:hint="eastAsia" w:ascii="宋体" w:hAnsi="宋体" w:cs="宋体"/>
          <w:b w:val="0"/>
          <w:bCs w:val="0"/>
          <w:color w:val="auto"/>
          <w:sz w:val="24"/>
          <w:szCs w:val="24"/>
          <w:highlight w:val="none"/>
          <w:lang w:val="en-US" w:eastAsia="zh-CN"/>
        </w:rPr>
        <w:t>电梯设备定为杭州西奥品牌，</w:t>
      </w:r>
      <w:r>
        <w:rPr>
          <w:rFonts w:hint="eastAsia" w:ascii="宋体" w:hAnsi="宋体" w:eastAsia="宋体" w:cs="Times New Roman"/>
          <w:color w:val="auto"/>
          <w:highlight w:val="none"/>
          <w:lang w:val="en-US" w:eastAsia="zh-CN"/>
        </w:rPr>
        <w:t>有机房医梯/</w:t>
      </w:r>
      <w:r>
        <w:rPr>
          <w:rFonts w:ascii="宋体" w:hAnsi="宋体"/>
          <w:bCs/>
          <w:color w:val="auto"/>
          <w:sz w:val="22"/>
          <w:szCs w:val="24"/>
          <w:highlight w:val="none"/>
        </w:rPr>
        <w:t>XO-CONB</w:t>
      </w:r>
      <w:r>
        <w:rPr>
          <w:rFonts w:hint="eastAsia" w:ascii="宋体" w:hAnsi="宋体" w:eastAsia="宋体" w:cs="宋体"/>
          <w:b w:val="0"/>
          <w:bCs w:val="0"/>
          <w:color w:val="auto"/>
          <w:sz w:val="24"/>
          <w:szCs w:val="24"/>
          <w:highlight w:val="none"/>
        </w:rPr>
        <w:t>作为</w:t>
      </w:r>
      <w:r>
        <w:rPr>
          <w:rFonts w:hint="eastAsia" w:ascii="宋体" w:hAnsi="宋体" w:cs="宋体"/>
          <w:b w:val="0"/>
          <w:bCs w:val="0"/>
          <w:color w:val="auto"/>
          <w:sz w:val="24"/>
          <w:szCs w:val="24"/>
          <w:highlight w:val="none"/>
          <w:lang w:val="en-US" w:eastAsia="zh-CN"/>
        </w:rPr>
        <w:t>设备型号；</w:t>
      </w:r>
    </w:p>
    <w:p>
      <w:pPr>
        <w:keepNext w:val="0"/>
        <w:keepLines w:val="0"/>
        <w:pageBreakBefore w:val="0"/>
        <w:widowControl/>
        <w:kinsoku/>
        <w:wordWrap/>
        <w:overflowPunct/>
        <w:topLinePunct w:val="0"/>
        <w:bidi w:val="0"/>
        <w:snapToGrid w:val="0"/>
        <w:spacing w:line="400" w:lineRule="atLeast"/>
        <w:ind w:right="26" w:firstLine="480"/>
        <w:textAlignment w:val="auto"/>
        <w:rPr>
          <w:rFonts w:hint="default" w:ascii="宋体" w:hAnsi="宋体" w:eastAsia="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Hans"/>
        </w:rPr>
        <w:t>、</w:t>
      </w:r>
      <w:r>
        <w:rPr>
          <w:rFonts w:hint="eastAsia" w:ascii="宋体" w:hAnsi="宋体" w:cs="宋体"/>
          <w:b w:val="0"/>
          <w:bCs w:val="0"/>
          <w:color w:val="auto"/>
          <w:sz w:val="24"/>
          <w:szCs w:val="24"/>
          <w:highlight w:val="none"/>
          <w:lang w:val="en-US" w:eastAsia="zh-CN"/>
        </w:rPr>
        <w:t>因设备安装需要，增加土建部分工程量，费用另计。</w:t>
      </w:r>
    </w:p>
    <w:p>
      <w:pPr>
        <w:keepNext w:val="0"/>
        <w:keepLines w:val="0"/>
        <w:pageBreakBefore w:val="0"/>
        <w:widowControl/>
        <w:kinsoku/>
        <w:wordWrap/>
        <w:overflowPunct/>
        <w:topLinePunct w:val="0"/>
        <w:bidi w:val="0"/>
        <w:snapToGrid w:val="0"/>
        <w:spacing w:line="400" w:lineRule="atLeast"/>
        <w:ind w:right="26" w:firstLine="480"/>
        <w:textAlignment w:val="auto"/>
        <w:rPr>
          <w:rFonts w:hint="default" w:ascii="宋体" w:hAnsi="宋体" w:eastAsia="宋体" w:cs="宋体"/>
          <w:b w:val="0"/>
          <w:bCs w:val="0"/>
          <w:strike/>
          <w:dstrike w:val="0"/>
          <w:color w:val="auto"/>
          <w:sz w:val="24"/>
          <w:szCs w:val="24"/>
          <w:highlight w:val="none"/>
          <w:lang w:val="en-US" w:eastAsia="zh-CN"/>
        </w:rPr>
      </w:pPr>
      <w:r>
        <w:rPr>
          <w:rFonts w:hint="eastAsia" w:ascii="宋体" w:hAnsi="宋体" w:cs="宋体"/>
          <w:b w:val="0"/>
          <w:bCs w:val="0"/>
          <w:strike w:val="0"/>
          <w:dstrike w:val="0"/>
          <w:color w:val="auto"/>
          <w:sz w:val="24"/>
          <w:szCs w:val="24"/>
          <w:highlight w:val="none"/>
          <w:lang w:val="en-US" w:eastAsia="zh-CN"/>
        </w:rPr>
        <w:t>本合同为固定总价合同，无价格调整。</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Hans"/>
        </w:rPr>
        <w:t>、我司同意甲方的付款条件</w:t>
      </w:r>
      <w:r>
        <w:rPr>
          <w:rFonts w:hint="eastAsia" w:ascii="宋体" w:hAnsi="宋体" w:cs="宋体"/>
          <w:b w:val="0"/>
          <w:bCs w:val="0"/>
          <w:color w:val="auto"/>
          <w:sz w:val="24"/>
          <w:szCs w:val="24"/>
          <w:highlight w:val="none"/>
          <w:lang w:eastAsia="zh-CN"/>
        </w:rPr>
        <w:t>。</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三</w:t>
      </w:r>
      <w:r>
        <w:rPr>
          <w:rFonts w:hint="eastAsia" w:ascii="宋体" w:hAnsi="宋体" w:eastAsia="宋体" w:cs="宋体"/>
          <w:b w:val="0"/>
          <w:bCs w:val="0"/>
          <w:color w:val="auto"/>
          <w:kern w:val="0"/>
          <w:sz w:val="24"/>
          <w:szCs w:val="24"/>
          <w:highlight w:val="none"/>
        </w:rPr>
        <w:t>、我方已详细审查询价采购文件的全部内容，我们完全理解并同意放弃对这方面有不明及误解的权力。</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rPr>
        <w:t>、我方</w:t>
      </w:r>
      <w:r>
        <w:rPr>
          <w:rFonts w:hint="eastAsia" w:ascii="宋体" w:hAnsi="宋体" w:eastAsia="宋体" w:cs="宋体"/>
          <w:b w:val="0"/>
          <w:bCs w:val="0"/>
          <w:color w:val="auto"/>
          <w:sz w:val="24"/>
          <w:szCs w:val="24"/>
          <w:highlight w:val="none"/>
        </w:rPr>
        <w:t>与采购人没有任何隶属关系或其他利害关系。</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五</w:t>
      </w:r>
      <w:r>
        <w:rPr>
          <w:rFonts w:hint="eastAsia" w:ascii="宋体" w:hAnsi="宋体" w:eastAsia="宋体" w:cs="宋体"/>
          <w:b w:val="0"/>
          <w:bCs w:val="0"/>
          <w:color w:val="auto"/>
          <w:kern w:val="0"/>
          <w:sz w:val="24"/>
          <w:szCs w:val="24"/>
          <w:highlight w:val="none"/>
        </w:rPr>
        <w:t>、我方同意提供按照贵方可能要求的与报价有关的一切数据或资料，完全理解贵方不一定接受最低价的报价（低于建安成本的报价且不能提供合理证明</w:t>
      </w:r>
      <w:r>
        <w:rPr>
          <w:rFonts w:hint="eastAsia" w:ascii="宋体" w:hAnsi="宋体" w:eastAsia="宋体" w:cs="宋体"/>
          <w:b w:val="0"/>
          <w:bCs w:val="0"/>
          <w:color w:val="auto"/>
          <w:kern w:val="0"/>
          <w:sz w:val="24"/>
          <w:szCs w:val="24"/>
          <w:highlight w:val="none"/>
          <w:lang w:eastAsia="zh-CN"/>
        </w:rPr>
        <w:t>材料</w:t>
      </w:r>
      <w:r>
        <w:rPr>
          <w:rFonts w:hint="eastAsia" w:ascii="宋体" w:hAnsi="宋体" w:eastAsia="宋体" w:cs="宋体"/>
          <w:b w:val="0"/>
          <w:bCs w:val="0"/>
          <w:color w:val="auto"/>
          <w:kern w:val="0"/>
          <w:sz w:val="24"/>
          <w:szCs w:val="24"/>
          <w:highlight w:val="none"/>
        </w:rPr>
        <w:t>的）。</w:t>
      </w:r>
    </w:p>
    <w:p>
      <w:pPr>
        <w:pStyle w:val="153"/>
        <w:rPr>
          <w:rFonts w:hint="eastAsia"/>
          <w:b w:val="0"/>
          <w:bCs w:val="0"/>
          <w:color w:val="auto"/>
          <w:sz w:val="21"/>
          <w:szCs w:val="21"/>
          <w:highlight w:val="none"/>
        </w:rPr>
      </w:pPr>
    </w:p>
    <w:p>
      <w:pPr>
        <w:keepNext w:val="0"/>
        <w:keepLines w:val="0"/>
        <w:pageBreakBefore w:val="0"/>
        <w:kinsoku/>
        <w:wordWrap/>
        <w:overflowPunct/>
        <w:topLinePunct w:val="0"/>
        <w:bidi w:val="0"/>
        <w:spacing w:line="400" w:lineRule="atLeas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（公章）</w:t>
      </w:r>
    </w:p>
    <w:p>
      <w:pPr>
        <w:keepNext w:val="0"/>
        <w:keepLines w:val="0"/>
        <w:pageBreakBefore w:val="0"/>
        <w:kinsoku/>
        <w:wordWrap/>
        <w:overflowPunct/>
        <w:topLinePunct w:val="0"/>
        <w:bidi w:val="0"/>
        <w:spacing w:line="400" w:lineRule="atLeas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法定代表人或授权委托人：</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（签字）</w:t>
      </w:r>
    </w:p>
    <w:p>
      <w:pPr>
        <w:keepNext w:val="0"/>
        <w:keepLines w:val="0"/>
        <w:pageBreakBefore w:val="0"/>
        <w:kinsoku/>
        <w:wordWrap/>
        <w:overflowPunct/>
        <w:topLinePunct w:val="0"/>
        <w:bidi w:val="0"/>
        <w:spacing w:line="400" w:lineRule="atLeast"/>
        <w:ind w:firstLine="420" w:firstLineChars="200"/>
        <w:textAlignment w:val="auto"/>
        <w:rPr>
          <w:rFonts w:ascii="仿宋_GB2312" w:hAnsi="宋体" w:eastAsia="仿宋_GB2312"/>
          <w:b/>
          <w:sz w:val="32"/>
          <w:highlight w:val="none"/>
        </w:rPr>
      </w:pPr>
      <w:r>
        <w:rPr>
          <w:rFonts w:hint="eastAsia" w:ascii="宋体" w:hAnsi="宋体" w:eastAsia="宋体" w:cs="宋体"/>
          <w:b w:val="0"/>
          <w:bCs w:val="0"/>
          <w:color w:val="auto"/>
          <w:sz w:val="21"/>
          <w:szCs w:val="21"/>
          <w:highlight w:val="none"/>
        </w:rPr>
        <w:t>日  期：     年    月    日</w:t>
      </w:r>
    </w:p>
    <w:p>
      <w:pPr>
        <w:rPr>
          <w:rFonts w:hint="eastAsia"/>
          <w:lang w:val="en-US" w:eastAsia="zh-Hans"/>
        </w:rPr>
      </w:pPr>
    </w:p>
    <w:p>
      <w:pPr>
        <w:wordWrap w:val="0"/>
        <w:spacing w:line="560" w:lineRule="exact"/>
        <w:rPr>
          <w:rFonts w:hint="eastAsia" w:ascii="黑体" w:hAnsi="黑体" w:eastAsia="黑体" w:cs="黑体"/>
          <w:b/>
          <w:sz w:val="24"/>
          <w:highlight w:val="none"/>
          <w:lang w:val="zh-CN"/>
        </w:rPr>
      </w:pPr>
    </w:p>
    <w:p>
      <w:pPr>
        <w:rPr>
          <w:rFonts w:hint="eastAsia"/>
          <w:lang w:val="zh-CN"/>
        </w:rPr>
      </w:pPr>
    </w:p>
    <w:p>
      <w:pPr>
        <w:wordWrap w:val="0"/>
        <w:spacing w:line="560" w:lineRule="exact"/>
        <w:outlineLvl w:val="0"/>
        <w:rPr>
          <w:rFonts w:ascii="宋体"/>
          <w:sz w:val="24"/>
          <w:highlight w:val="none"/>
        </w:rPr>
      </w:pPr>
      <w:r>
        <w:rPr>
          <w:rFonts w:ascii="宋体"/>
          <w:szCs w:val="21"/>
          <w:highlight w:val="none"/>
          <w:lang w:val="zh-CN"/>
        </w:rPr>
        <w:br w:type="page"/>
      </w:r>
      <w:bookmarkStart w:id="191" w:name="_Toc3483"/>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1</w:t>
      </w:r>
      <w:r>
        <w:rPr>
          <w:rFonts w:hint="eastAsia" w:ascii="黑体" w:eastAsia="黑体"/>
          <w:b/>
          <w:sz w:val="24"/>
          <w:highlight w:val="none"/>
          <w:lang w:val="zh-CN"/>
        </w:rPr>
        <w:t>　</w:t>
      </w:r>
      <w:r>
        <w:rPr>
          <w:rFonts w:hint="eastAsia" w:ascii="黑体" w:hAnsi="黑体" w:eastAsia="黑体"/>
          <w:b/>
          <w:sz w:val="24"/>
          <w:highlight w:val="none"/>
          <w:lang w:val="zh-CN"/>
        </w:rPr>
        <w:t>投标资格声明书</w:t>
      </w:r>
      <w:bookmarkEnd w:id="191"/>
    </w:p>
    <w:p>
      <w:pPr>
        <w:wordWrap w:val="0"/>
        <w:spacing w:line="520" w:lineRule="exact"/>
        <w:ind w:left="-376" w:leftChars="-179" w:firstLine="365" w:firstLineChars="174"/>
        <w:rPr>
          <w:rFonts w:ascii="宋体"/>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20" w:lineRule="exact"/>
        <w:ind w:firstLine="420" w:firstLineChars="200"/>
        <w:rPr>
          <w:rFonts w:ascii="宋体"/>
          <w:szCs w:val="21"/>
          <w:highlight w:val="none"/>
        </w:rPr>
      </w:pPr>
      <w:r>
        <w:rPr>
          <w:rFonts w:hint="eastAsia" w:ascii="宋体" w:hAnsi="宋体"/>
          <w:szCs w:val="21"/>
          <w:highlight w:val="none"/>
          <w:lang w:val="zh-CN"/>
        </w:rPr>
        <w:t>依据贵方</w:t>
      </w:r>
      <w:r>
        <w:rPr>
          <w:rFonts w:hint="eastAsia" w:ascii="宋体" w:hAnsi="宋体"/>
          <w:szCs w:val="21"/>
          <w:highlight w:val="none"/>
          <w:u w:val="single"/>
          <w:lang w:val="zh-CN"/>
        </w:rPr>
        <w:t>（采购项目名称</w:t>
      </w:r>
      <w:r>
        <w:rPr>
          <w:rFonts w:ascii="宋体" w:hAnsi="宋体"/>
          <w:szCs w:val="21"/>
          <w:highlight w:val="none"/>
          <w:u w:val="single"/>
          <w:lang w:val="zh-CN"/>
        </w:rPr>
        <w:t>/</w:t>
      </w:r>
      <w:r>
        <w:rPr>
          <w:rFonts w:hint="eastAsia" w:ascii="宋体" w:hAnsi="宋体"/>
          <w:szCs w:val="21"/>
          <w:highlight w:val="none"/>
          <w:u w:val="single"/>
          <w:lang w:val="zh-CN"/>
        </w:rPr>
        <w:t>及编号）</w:t>
      </w:r>
      <w:r>
        <w:rPr>
          <w:rFonts w:hint="eastAsia" w:ascii="宋体" w:hAnsi="宋体"/>
          <w:szCs w:val="21"/>
          <w:highlight w:val="none"/>
          <w:lang w:val="zh-CN"/>
        </w:rPr>
        <w:t>项目招标采购货物及服务的投标邀请。我公司具备</w:t>
      </w:r>
      <w:r>
        <w:rPr>
          <w:rFonts w:hint="eastAsia" w:ascii="宋体" w:hAnsi="宋体"/>
          <w:szCs w:val="21"/>
          <w:highlight w:val="none"/>
        </w:rPr>
        <w:t>本</w:t>
      </w:r>
      <w:r>
        <w:rPr>
          <w:rFonts w:hint="eastAsia" w:ascii="宋体" w:hAnsi="宋体"/>
          <w:szCs w:val="21"/>
          <w:highlight w:val="none"/>
          <w:lang w:val="zh-CN"/>
        </w:rPr>
        <w:t>项目</w:t>
      </w:r>
      <w:r>
        <w:rPr>
          <w:rFonts w:hint="eastAsia" w:ascii="宋体" w:hAnsi="宋体"/>
          <w:szCs w:val="21"/>
          <w:highlight w:val="none"/>
        </w:rPr>
        <w:t>招标公告相</w:t>
      </w:r>
      <w:r>
        <w:rPr>
          <w:rFonts w:hint="eastAsia" w:ascii="宋体" w:hAnsi="宋体"/>
          <w:szCs w:val="21"/>
          <w:highlight w:val="none"/>
          <w:lang w:val="zh-CN"/>
        </w:rPr>
        <w:t>关报名投标资格，为此提出相关证明，并保证所提供的资料是真实的，否则，同意贵方以不诚信纳入不良记录等处罚。</w:t>
      </w:r>
    </w:p>
    <w:p>
      <w:pPr>
        <w:wordWrap w:val="0"/>
        <w:spacing w:line="520" w:lineRule="exact"/>
        <w:rPr>
          <w:rFonts w:ascii="宋体"/>
          <w:szCs w:val="21"/>
          <w:highlight w:val="none"/>
        </w:rPr>
      </w:pPr>
      <w:r>
        <w:rPr>
          <w:rFonts w:hint="eastAsia" w:ascii="宋体" w:hAnsi="宋体"/>
          <w:szCs w:val="21"/>
          <w:highlight w:val="none"/>
        </w:rPr>
        <w:t>资格初审证明资料附后：</w:t>
      </w:r>
    </w:p>
    <w:p>
      <w:pPr>
        <w:numPr>
          <w:ilvl w:val="0"/>
          <w:numId w:val="36"/>
        </w:numPr>
        <w:wordWrap w:val="0"/>
        <w:spacing w:line="520" w:lineRule="exact"/>
        <w:rPr>
          <w:rFonts w:ascii="宋体"/>
          <w:szCs w:val="21"/>
          <w:highlight w:val="none"/>
        </w:rPr>
      </w:pPr>
      <w:r>
        <w:rPr>
          <w:rFonts w:hint="eastAsia" w:ascii="宋体" w:hAnsi="宋体"/>
          <w:szCs w:val="21"/>
          <w:highlight w:val="none"/>
        </w:rPr>
        <w:t>三证合一营业执照复印件加盖公章；</w:t>
      </w:r>
    </w:p>
    <w:p>
      <w:pPr>
        <w:numPr>
          <w:ilvl w:val="0"/>
          <w:numId w:val="36"/>
        </w:numPr>
        <w:wordWrap w:val="0"/>
        <w:spacing w:line="520" w:lineRule="exact"/>
        <w:rPr>
          <w:rFonts w:ascii="宋体"/>
          <w:szCs w:val="21"/>
          <w:highlight w:val="none"/>
        </w:rPr>
      </w:pPr>
      <w:r>
        <w:rPr>
          <w:rFonts w:hint="eastAsia" w:ascii="宋体" w:hAnsi="宋体"/>
          <w:szCs w:val="21"/>
          <w:highlight w:val="none"/>
          <w:lang w:val="en-US" w:eastAsia="zh-CN"/>
        </w:rPr>
        <w:t>电梯设备销售及安装资质；</w:t>
      </w:r>
    </w:p>
    <w:p>
      <w:pPr>
        <w:numPr>
          <w:ilvl w:val="0"/>
          <w:numId w:val="36"/>
        </w:numPr>
        <w:wordWrap w:val="0"/>
        <w:spacing w:line="520" w:lineRule="exact"/>
        <w:rPr>
          <w:rFonts w:ascii="宋体"/>
          <w:szCs w:val="21"/>
          <w:highlight w:val="none"/>
        </w:rPr>
      </w:pPr>
      <w:r>
        <w:rPr>
          <w:rFonts w:hint="eastAsia" w:ascii="宋体" w:hAnsi="宋体"/>
          <w:szCs w:val="21"/>
          <w:highlight w:val="none"/>
          <w:lang w:val="en-US" w:eastAsia="zh-CN"/>
        </w:rPr>
        <w:t>缴纳税收记录（2022年1月至今任意连续三个月纳税凭证）；</w:t>
      </w:r>
    </w:p>
    <w:p>
      <w:pPr>
        <w:numPr>
          <w:ilvl w:val="0"/>
          <w:numId w:val="36"/>
        </w:numPr>
        <w:wordWrap w:val="0"/>
        <w:spacing w:line="520" w:lineRule="exact"/>
        <w:rPr>
          <w:rFonts w:ascii="宋体"/>
          <w:szCs w:val="21"/>
          <w:highlight w:val="none"/>
        </w:rPr>
      </w:pPr>
      <w:r>
        <w:rPr>
          <w:rFonts w:hint="eastAsia" w:asciiTheme="minorEastAsia" w:hAnsiTheme="minorEastAsia" w:eastAsiaTheme="minorEastAsia" w:cstheme="minorEastAsia"/>
          <w:kern w:val="0"/>
          <w:sz w:val="21"/>
          <w:szCs w:val="21"/>
          <w:highlight w:val="none"/>
          <w:lang w:val="en-US" w:eastAsia="zh-CN"/>
        </w:rPr>
        <w:t>在“信用中国”网站(www.creditchina.gov.cn) 上查询无“失信被执行人”信息；在“中国政府采购网”(www.ccgp.gov.cn)上查询未被列入政府采购严重违法失信行为记录名单；（提供网页查询截图加盖公章）</w:t>
      </w:r>
    </w:p>
    <w:p>
      <w:pPr>
        <w:numPr>
          <w:ilvl w:val="0"/>
          <w:numId w:val="36"/>
        </w:numPr>
        <w:wordWrap w:val="0"/>
        <w:spacing w:line="520" w:lineRule="exact"/>
        <w:rPr>
          <w:rFonts w:ascii="宋体"/>
          <w:szCs w:val="21"/>
          <w:highlight w:val="none"/>
        </w:rPr>
      </w:pPr>
      <w:r>
        <w:rPr>
          <w:rFonts w:hint="eastAsia" w:ascii="宋体"/>
          <w:szCs w:val="21"/>
          <w:highlight w:val="none"/>
        </w:rPr>
        <w:t>其他。</w:t>
      </w:r>
    </w:p>
    <w:p>
      <w:pPr>
        <w:wordWrap w:val="0"/>
        <w:spacing w:line="520" w:lineRule="exact"/>
        <w:rPr>
          <w:rFonts w:ascii="宋体"/>
          <w:szCs w:val="21"/>
          <w:highlight w:val="none"/>
        </w:rPr>
      </w:pPr>
    </w:p>
    <w:p>
      <w:pPr>
        <w:wordWrap w:val="0"/>
        <w:spacing w:line="520" w:lineRule="exact"/>
        <w:rPr>
          <w:rFonts w:ascii="宋体"/>
          <w:szCs w:val="21"/>
          <w:highlight w:val="none"/>
        </w:rPr>
      </w:pPr>
    </w:p>
    <w:p>
      <w:pPr>
        <w:wordWrap w:val="0"/>
        <w:spacing w:line="520" w:lineRule="exact"/>
        <w:rPr>
          <w:rFonts w:ascii="宋体"/>
          <w:szCs w:val="21"/>
          <w:highlight w:val="none"/>
        </w:rPr>
      </w:pPr>
    </w:p>
    <w:p>
      <w:pPr>
        <w:wordWrap w:val="0"/>
        <w:spacing w:line="520" w:lineRule="exact"/>
        <w:rPr>
          <w:rFonts w:ascii="宋体"/>
          <w:szCs w:val="21"/>
          <w:highlight w:val="none"/>
          <w:u w:val="single"/>
          <w:lang w:val="zh-CN"/>
        </w:rPr>
      </w:pPr>
      <w:r>
        <w:rPr>
          <w:rFonts w:hint="eastAsia" w:ascii="宋体" w:hAnsi="宋体"/>
          <w:szCs w:val="21"/>
          <w:highlight w:val="none"/>
          <w:lang w:val="zh-CN"/>
        </w:rPr>
        <w:t>投标人名称（加盖章）</w:t>
      </w:r>
    </w:p>
    <w:p>
      <w:pPr>
        <w:wordWrap w:val="0"/>
        <w:spacing w:line="520" w:lineRule="exact"/>
        <w:rPr>
          <w:rFonts w:ascii="宋体"/>
          <w:szCs w:val="21"/>
          <w:highlight w:val="none"/>
          <w:u w:val="single"/>
          <w:lang w:val="zh-CN"/>
        </w:rPr>
      </w:pPr>
      <w:r>
        <w:rPr>
          <w:rFonts w:hint="eastAsia" w:ascii="宋体" w:hAnsi="宋体"/>
          <w:szCs w:val="21"/>
          <w:highlight w:val="none"/>
          <w:lang w:val="zh-CN"/>
        </w:rPr>
        <w:t>法定代表人或其授权代表（签名）：</w:t>
      </w:r>
    </w:p>
    <w:p>
      <w:pPr>
        <w:wordWrap w:val="0"/>
        <w:spacing w:line="520" w:lineRule="exact"/>
        <w:rPr>
          <w:rFonts w:ascii="宋体"/>
          <w:szCs w:val="21"/>
          <w:highlight w:val="none"/>
          <w:lang w:val="zh-CN"/>
        </w:rPr>
      </w:pPr>
      <w:r>
        <w:rPr>
          <w:rFonts w:hint="eastAsia" w:ascii="宋体" w:hAnsi="宋体"/>
          <w:szCs w:val="21"/>
          <w:highlight w:val="none"/>
          <w:lang w:val="zh-CN"/>
        </w:rPr>
        <w:t>日期：</w:t>
      </w: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r>
        <w:rPr>
          <w:rFonts w:ascii="黑体" w:eastAsia="黑体"/>
          <w:b/>
          <w:sz w:val="24"/>
          <w:highlight w:val="none"/>
          <w:lang w:val="zh-CN"/>
        </w:rPr>
        <w:br w:type="page"/>
      </w:r>
    </w:p>
    <w:p>
      <w:pPr>
        <w:wordWrap w:val="0"/>
        <w:spacing w:line="560" w:lineRule="exact"/>
        <w:outlineLvl w:val="0"/>
        <w:rPr>
          <w:rFonts w:ascii="黑体" w:eastAsia="黑体"/>
          <w:b/>
          <w:sz w:val="24"/>
          <w:highlight w:val="none"/>
          <w:lang w:val="zh-CN"/>
        </w:rPr>
      </w:pPr>
      <w:bookmarkStart w:id="192" w:name="_Toc7775"/>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2</w:t>
      </w:r>
      <w:r>
        <w:rPr>
          <w:rFonts w:hint="eastAsia" w:ascii="黑体" w:eastAsia="黑体"/>
          <w:b/>
          <w:sz w:val="24"/>
          <w:highlight w:val="none"/>
        </w:rPr>
        <w:t>　</w:t>
      </w:r>
      <w:r>
        <w:rPr>
          <w:rFonts w:hint="eastAsia" w:ascii="黑体" w:eastAsia="黑体"/>
          <w:b/>
          <w:sz w:val="24"/>
          <w:highlight w:val="none"/>
          <w:lang w:val="zh-CN"/>
        </w:rPr>
        <w:t>投标响应书</w:t>
      </w:r>
      <w:bookmarkEnd w:id="192"/>
    </w:p>
    <w:p>
      <w:pPr>
        <w:wordWrap w:val="0"/>
        <w:spacing w:line="520" w:lineRule="exact"/>
        <w:ind w:left="-376" w:leftChars="-179" w:firstLine="365" w:firstLineChars="174"/>
        <w:rPr>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336"/>
        <w:rPr>
          <w:rFonts w:ascii="宋体"/>
          <w:szCs w:val="21"/>
          <w:highlight w:val="none"/>
          <w:lang w:val="zh-CN"/>
        </w:rPr>
      </w:pPr>
      <w:r>
        <w:rPr>
          <w:rFonts w:hint="eastAsia" w:ascii="宋体" w:hAnsi="宋体"/>
          <w:szCs w:val="21"/>
          <w:highlight w:val="none"/>
          <w:lang w:val="zh-CN"/>
        </w:rPr>
        <w:t>依据贵方</w:t>
      </w:r>
      <w:r>
        <w:rPr>
          <w:rFonts w:hint="eastAsia" w:ascii="宋体" w:hAnsi="宋体"/>
          <w:szCs w:val="21"/>
          <w:highlight w:val="none"/>
          <w:u w:val="single"/>
          <w:lang w:val="zh-CN"/>
        </w:rPr>
        <w:t>（采购项目名称</w:t>
      </w:r>
      <w:r>
        <w:rPr>
          <w:rFonts w:ascii="宋体" w:hAnsi="宋体"/>
          <w:szCs w:val="21"/>
          <w:highlight w:val="none"/>
          <w:u w:val="single"/>
          <w:lang w:val="zh-CN"/>
        </w:rPr>
        <w:t>/</w:t>
      </w:r>
      <w:r>
        <w:rPr>
          <w:rFonts w:hint="eastAsia" w:ascii="宋体" w:hAnsi="宋体"/>
          <w:szCs w:val="21"/>
          <w:highlight w:val="none"/>
          <w:u w:val="single"/>
          <w:lang w:val="zh-CN"/>
        </w:rPr>
        <w:t>采购项目编号）</w:t>
      </w:r>
      <w:r>
        <w:rPr>
          <w:rFonts w:hint="eastAsia" w:ascii="宋体" w:hAnsi="宋体"/>
          <w:szCs w:val="21"/>
          <w:highlight w:val="none"/>
          <w:lang w:val="zh-CN"/>
        </w:rPr>
        <w:t>项目招标邀请，我方提交价格文件、商务文件、技术文件正本</w:t>
      </w:r>
      <w:r>
        <w:rPr>
          <w:rFonts w:ascii="宋体" w:hAnsi="宋体"/>
          <w:szCs w:val="21"/>
          <w:highlight w:val="none"/>
          <w:lang w:val="zh-CN"/>
        </w:rPr>
        <w:t>1</w:t>
      </w:r>
      <w:r>
        <w:rPr>
          <w:rFonts w:hint="eastAsia" w:ascii="宋体" w:hAnsi="宋体"/>
          <w:szCs w:val="21"/>
          <w:highlight w:val="none"/>
          <w:lang w:val="zh-CN"/>
        </w:rPr>
        <w:t>份，副本</w:t>
      </w:r>
      <w:r>
        <w:rPr>
          <w:rFonts w:hint="eastAsia" w:ascii="宋体" w:hAnsi="宋体"/>
          <w:szCs w:val="21"/>
          <w:highlight w:val="none"/>
          <w:lang w:val="en-US" w:eastAsia="zh-CN"/>
        </w:rPr>
        <w:t>2</w:t>
      </w:r>
      <w:r>
        <w:rPr>
          <w:rFonts w:hint="eastAsia" w:ascii="宋体" w:hAnsi="宋体"/>
          <w:szCs w:val="21"/>
          <w:highlight w:val="none"/>
          <w:lang w:val="zh-CN"/>
        </w:rPr>
        <w:t>份。</w:t>
      </w:r>
    </w:p>
    <w:p>
      <w:pPr>
        <w:wordWrap w:val="0"/>
        <w:spacing w:line="560" w:lineRule="exact"/>
        <w:rPr>
          <w:rFonts w:ascii="宋体"/>
          <w:szCs w:val="21"/>
          <w:highlight w:val="none"/>
          <w:lang w:val="zh-CN"/>
        </w:rPr>
      </w:pPr>
      <w:r>
        <w:rPr>
          <w:rFonts w:hint="eastAsia" w:ascii="宋体" w:hAnsi="宋体"/>
          <w:szCs w:val="21"/>
          <w:highlight w:val="none"/>
          <w:lang w:val="zh-CN"/>
        </w:rPr>
        <w:t>根据招标文件的要求</w:t>
      </w:r>
      <w:r>
        <w:rPr>
          <w:rFonts w:hint="eastAsia" w:ascii="宋体"/>
          <w:szCs w:val="21"/>
          <w:highlight w:val="none"/>
          <w:lang w:val="zh-CN"/>
        </w:rPr>
        <w:t>，</w:t>
      </w:r>
      <w:r>
        <w:rPr>
          <w:rFonts w:hint="eastAsia" w:ascii="宋体" w:hAnsi="宋体"/>
          <w:szCs w:val="21"/>
          <w:highlight w:val="none"/>
          <w:lang w:val="zh-CN"/>
        </w:rPr>
        <w:t>我方作出了实质性响应</w:t>
      </w:r>
      <w:r>
        <w:rPr>
          <w:rFonts w:hint="eastAsia" w:ascii="宋体"/>
          <w:szCs w:val="21"/>
          <w:highlight w:val="none"/>
          <w:lang w:val="zh-CN"/>
        </w:rPr>
        <w:t>，</w:t>
      </w:r>
      <w:r>
        <w:rPr>
          <w:rFonts w:hint="eastAsia" w:ascii="宋体" w:hAnsi="宋体"/>
          <w:szCs w:val="21"/>
          <w:highlight w:val="none"/>
          <w:lang w:val="zh-CN"/>
        </w:rPr>
        <w:t>在此，具体事项如下：</w:t>
      </w:r>
    </w:p>
    <w:p>
      <w:pPr>
        <w:wordWrap w:val="0"/>
        <w:spacing w:line="560" w:lineRule="exact"/>
        <w:rPr>
          <w:rFonts w:ascii="宋体"/>
          <w:szCs w:val="21"/>
          <w:highlight w:val="none"/>
          <w:lang w:val="zh-CN"/>
        </w:rPr>
      </w:pPr>
      <w:r>
        <w:rPr>
          <w:rFonts w:ascii="宋体" w:hAnsi="宋体"/>
          <w:szCs w:val="21"/>
          <w:highlight w:val="none"/>
          <w:lang w:val="zh-CN"/>
        </w:rPr>
        <w:t>1.</w:t>
      </w:r>
      <w:r>
        <w:rPr>
          <w:rFonts w:hint="eastAsia" w:ascii="宋体" w:hAnsi="宋体"/>
          <w:szCs w:val="21"/>
          <w:highlight w:val="none"/>
          <w:lang w:val="zh-CN"/>
        </w:rPr>
        <w:t>我方提供了法人身份证明及其授权委托书；</w:t>
      </w:r>
    </w:p>
    <w:p>
      <w:pPr>
        <w:wordWrap w:val="0"/>
        <w:spacing w:line="560" w:lineRule="exact"/>
        <w:rPr>
          <w:rFonts w:ascii="宋体"/>
          <w:szCs w:val="21"/>
          <w:highlight w:val="none"/>
          <w:lang w:val="zh-CN"/>
        </w:rPr>
      </w:pPr>
      <w:r>
        <w:rPr>
          <w:rFonts w:hint="eastAsia" w:ascii="宋体" w:hAnsi="宋体"/>
          <w:szCs w:val="21"/>
          <w:highlight w:val="none"/>
          <w:lang w:val="en-US" w:eastAsia="zh-CN"/>
        </w:rPr>
        <w:t>2</w:t>
      </w:r>
      <w:r>
        <w:rPr>
          <w:rFonts w:ascii="宋体" w:hAnsi="宋体"/>
          <w:szCs w:val="21"/>
          <w:highlight w:val="none"/>
          <w:lang w:val="zh-CN"/>
        </w:rPr>
        <w:t>.</w:t>
      </w:r>
      <w:r>
        <w:rPr>
          <w:rFonts w:hint="eastAsia" w:ascii="宋体" w:hAnsi="宋体"/>
          <w:szCs w:val="21"/>
          <w:highlight w:val="none"/>
          <w:lang w:val="zh-CN"/>
        </w:rPr>
        <w:t>我方对招标文件商务必要事项作出了相关承诺；</w:t>
      </w:r>
    </w:p>
    <w:p>
      <w:pPr>
        <w:wordWrap w:val="0"/>
        <w:spacing w:line="560" w:lineRule="exact"/>
        <w:rPr>
          <w:rFonts w:ascii="宋体"/>
          <w:szCs w:val="21"/>
          <w:highlight w:val="none"/>
          <w:lang w:val="zh-CN"/>
        </w:rPr>
      </w:pPr>
      <w:r>
        <w:rPr>
          <w:rFonts w:hint="eastAsia" w:ascii="宋体" w:hAnsi="宋体"/>
          <w:szCs w:val="21"/>
          <w:highlight w:val="none"/>
          <w:lang w:val="en-US" w:eastAsia="zh-CN"/>
        </w:rPr>
        <w:t>3</w:t>
      </w:r>
      <w:r>
        <w:rPr>
          <w:rFonts w:ascii="宋体" w:hAnsi="宋体"/>
          <w:szCs w:val="21"/>
          <w:highlight w:val="none"/>
          <w:lang w:val="zh-CN"/>
        </w:rPr>
        <w:t>.</w:t>
      </w:r>
      <w:r>
        <w:rPr>
          <w:rFonts w:hint="eastAsia" w:ascii="宋体" w:hAnsi="宋体"/>
          <w:szCs w:val="21"/>
          <w:highlight w:val="none"/>
          <w:lang w:val="zh-CN"/>
        </w:rPr>
        <w:t>我方对投标要求重要事项作出了相关承诺；</w:t>
      </w:r>
    </w:p>
    <w:p>
      <w:pPr>
        <w:wordWrap w:val="0"/>
        <w:spacing w:line="560" w:lineRule="exact"/>
        <w:rPr>
          <w:rFonts w:ascii="宋体"/>
          <w:szCs w:val="21"/>
          <w:highlight w:val="none"/>
          <w:lang w:val="zh-CN"/>
        </w:rPr>
      </w:pPr>
      <w:r>
        <w:rPr>
          <w:rFonts w:hint="eastAsia" w:ascii="宋体" w:hAnsi="宋体"/>
          <w:szCs w:val="21"/>
          <w:highlight w:val="none"/>
          <w:lang w:val="en-US" w:eastAsia="zh-CN"/>
        </w:rPr>
        <w:t>4</w:t>
      </w:r>
      <w:r>
        <w:rPr>
          <w:rFonts w:ascii="宋体" w:hAnsi="宋体"/>
          <w:szCs w:val="21"/>
          <w:highlight w:val="none"/>
          <w:lang w:val="zh-CN"/>
        </w:rPr>
        <w:t>.</w:t>
      </w:r>
      <w:r>
        <w:rPr>
          <w:rFonts w:hint="eastAsia" w:ascii="宋体" w:hAnsi="宋体"/>
          <w:szCs w:val="21"/>
          <w:highlight w:val="none"/>
          <w:lang w:val="zh-CN"/>
        </w:rPr>
        <w:t>以上相关投标符合性响应的初审具体内容附后。</w:t>
      </w:r>
    </w:p>
    <w:p>
      <w:pPr>
        <w:wordWrap w:val="0"/>
        <w:spacing w:line="560" w:lineRule="exact"/>
        <w:rPr>
          <w:rFonts w:ascii="宋体"/>
          <w:szCs w:val="21"/>
          <w:highlight w:val="none"/>
          <w:lang w:val="zh-CN"/>
        </w:rPr>
      </w:pPr>
    </w:p>
    <w:p>
      <w:pPr>
        <w:wordWrap w:val="0"/>
        <w:spacing w:line="560" w:lineRule="exact"/>
        <w:rPr>
          <w:rFonts w:ascii="宋体"/>
          <w:szCs w:val="21"/>
          <w:highlight w:val="none"/>
          <w:lang w:val="zh-CN"/>
        </w:rPr>
      </w:pPr>
    </w:p>
    <w:p>
      <w:pPr>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u w:val="single"/>
          <w:lang w:val="zh-CN"/>
        </w:rPr>
      </w:pPr>
      <w:r>
        <w:rPr>
          <w:rFonts w:hint="eastAsia" w:ascii="宋体" w:hAnsi="宋体"/>
          <w:szCs w:val="21"/>
          <w:highlight w:val="none"/>
          <w:lang w:val="zh-CN"/>
        </w:rPr>
        <w:t>投标人名称（加盖章）</w:t>
      </w:r>
    </w:p>
    <w:p>
      <w:pPr>
        <w:tabs>
          <w:tab w:val="left" w:pos="0"/>
        </w:tabs>
        <w:wordWrap w:val="0"/>
        <w:spacing w:line="560" w:lineRule="exact"/>
        <w:rPr>
          <w:rFonts w:ascii="宋体"/>
          <w:szCs w:val="21"/>
          <w:highlight w:val="none"/>
          <w:lang w:val="zh-CN"/>
        </w:rPr>
      </w:pPr>
      <w:r>
        <w:rPr>
          <w:rFonts w:hint="eastAsia" w:ascii="宋体" w:hAnsi="宋体"/>
          <w:szCs w:val="21"/>
          <w:highlight w:val="none"/>
          <w:lang w:val="zh-CN"/>
        </w:rPr>
        <w:t>法定代表人或其授权代表（签名）：</w:t>
      </w:r>
    </w:p>
    <w:p>
      <w:pPr>
        <w:wordWrap w:val="0"/>
        <w:spacing w:line="560" w:lineRule="exact"/>
        <w:rPr>
          <w:rFonts w:ascii="宋体"/>
          <w:szCs w:val="21"/>
          <w:highlight w:val="none"/>
          <w:u w:val="single"/>
          <w:lang w:val="zh-CN"/>
        </w:rPr>
      </w:pPr>
      <w:r>
        <w:rPr>
          <w:rFonts w:hint="eastAsia" w:ascii="宋体" w:hAnsi="宋体"/>
          <w:szCs w:val="21"/>
          <w:highlight w:val="none"/>
          <w:lang w:val="zh-CN"/>
        </w:rPr>
        <w:t>日期：</w:t>
      </w:r>
    </w:p>
    <w:p>
      <w:pPr>
        <w:wordWrap w:val="0"/>
        <w:spacing w:line="560" w:lineRule="exact"/>
        <w:outlineLvl w:val="0"/>
        <w:rPr>
          <w:rFonts w:ascii="黑体" w:eastAsia="黑体"/>
          <w:b/>
          <w:sz w:val="24"/>
          <w:highlight w:val="none"/>
          <w:lang w:val="zh-CN"/>
        </w:rPr>
      </w:pPr>
      <w:r>
        <w:rPr>
          <w:rFonts w:ascii="宋体"/>
          <w:szCs w:val="21"/>
          <w:highlight w:val="none"/>
          <w:lang w:val="zh-CN"/>
        </w:rPr>
        <w:br w:type="page"/>
      </w:r>
      <w:bookmarkStart w:id="193" w:name="_Toc11826"/>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3</w:t>
      </w:r>
      <w:r>
        <w:rPr>
          <w:rFonts w:hint="eastAsia" w:ascii="黑体" w:eastAsia="黑体"/>
          <w:b/>
          <w:sz w:val="24"/>
          <w:highlight w:val="none"/>
        </w:rPr>
        <w:t>　</w:t>
      </w:r>
      <w:r>
        <w:rPr>
          <w:rFonts w:hint="eastAsia" w:ascii="黑体" w:eastAsia="黑体"/>
          <w:b/>
          <w:sz w:val="24"/>
          <w:highlight w:val="none"/>
          <w:lang w:val="zh-CN"/>
        </w:rPr>
        <w:t>投标</w:t>
      </w:r>
      <w:r>
        <w:rPr>
          <w:rFonts w:hint="eastAsia" w:ascii="黑体" w:hAnsi="宋体" w:eastAsia="黑体"/>
          <w:b/>
          <w:sz w:val="24"/>
          <w:highlight w:val="none"/>
          <w:lang w:val="zh-CN"/>
        </w:rPr>
        <w:t>要求重要事项作出的</w:t>
      </w:r>
      <w:r>
        <w:rPr>
          <w:rFonts w:hint="eastAsia" w:ascii="黑体" w:eastAsia="黑体"/>
          <w:b/>
          <w:sz w:val="24"/>
          <w:highlight w:val="none"/>
          <w:lang w:val="zh-CN"/>
        </w:rPr>
        <w:t>响应</w:t>
      </w:r>
      <w:r>
        <w:rPr>
          <w:rFonts w:hint="eastAsia" w:ascii="黑体" w:hAnsi="宋体" w:eastAsia="黑体"/>
          <w:b/>
          <w:sz w:val="24"/>
          <w:highlight w:val="none"/>
          <w:lang w:val="zh-CN"/>
        </w:rPr>
        <w:t>承诺</w:t>
      </w:r>
      <w:bookmarkEnd w:id="193"/>
    </w:p>
    <w:p>
      <w:pPr>
        <w:wordWrap w:val="0"/>
        <w:spacing w:line="520" w:lineRule="exact"/>
        <w:ind w:left="-376" w:leftChars="-179" w:firstLine="365" w:firstLineChars="174"/>
        <w:rPr>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336"/>
        <w:rPr>
          <w:rFonts w:ascii="宋体"/>
          <w:szCs w:val="21"/>
          <w:highlight w:val="none"/>
          <w:lang w:val="zh-CN"/>
        </w:rPr>
      </w:pPr>
      <w:r>
        <w:rPr>
          <w:rFonts w:hint="eastAsia" w:ascii="宋体" w:hAnsi="宋体"/>
          <w:szCs w:val="21"/>
          <w:highlight w:val="none"/>
          <w:lang w:val="zh-CN"/>
        </w:rPr>
        <w:t>依据贵方</w:t>
      </w:r>
      <w:r>
        <w:rPr>
          <w:rFonts w:hint="eastAsia" w:ascii="宋体" w:hAnsi="宋体"/>
          <w:szCs w:val="21"/>
          <w:highlight w:val="none"/>
          <w:u w:val="single"/>
          <w:lang w:val="zh-CN"/>
        </w:rPr>
        <w:t>（项目名称</w:t>
      </w:r>
      <w:r>
        <w:rPr>
          <w:rFonts w:ascii="宋体" w:hAnsi="宋体"/>
          <w:szCs w:val="21"/>
          <w:highlight w:val="none"/>
          <w:u w:val="single"/>
          <w:lang w:val="zh-CN"/>
        </w:rPr>
        <w:t>/</w:t>
      </w:r>
      <w:r>
        <w:rPr>
          <w:rFonts w:hint="eastAsia" w:ascii="宋体" w:hAnsi="宋体"/>
          <w:szCs w:val="21"/>
          <w:highlight w:val="none"/>
          <w:u w:val="single"/>
          <w:lang w:val="zh-CN"/>
        </w:rPr>
        <w:t>项目编号）</w:t>
      </w:r>
      <w:r>
        <w:rPr>
          <w:rFonts w:hint="eastAsia" w:ascii="宋体" w:hAnsi="宋体"/>
          <w:szCs w:val="21"/>
          <w:highlight w:val="none"/>
          <w:lang w:val="zh-CN"/>
        </w:rPr>
        <w:t>项目招标文件商务必要事项</w:t>
      </w:r>
      <w:r>
        <w:rPr>
          <w:rFonts w:hint="eastAsia" w:ascii="宋体"/>
          <w:szCs w:val="21"/>
          <w:highlight w:val="none"/>
          <w:lang w:val="zh-CN"/>
        </w:rPr>
        <w:t>，</w:t>
      </w:r>
      <w:r>
        <w:rPr>
          <w:rFonts w:hint="eastAsia" w:ascii="宋体" w:hAnsi="宋体"/>
          <w:szCs w:val="21"/>
          <w:highlight w:val="none"/>
          <w:lang w:val="zh-CN"/>
        </w:rPr>
        <w:t>我方作出了实质性响应完全接受</w:t>
      </w:r>
      <w:r>
        <w:rPr>
          <w:rFonts w:hint="eastAsia" w:ascii="宋体"/>
          <w:szCs w:val="21"/>
          <w:highlight w:val="none"/>
          <w:lang w:val="zh-CN"/>
        </w:rPr>
        <w:t>，</w:t>
      </w:r>
      <w:r>
        <w:rPr>
          <w:rFonts w:hint="eastAsia" w:ascii="宋体" w:hAnsi="宋体"/>
          <w:szCs w:val="21"/>
          <w:highlight w:val="none"/>
          <w:lang w:val="zh-CN"/>
        </w:rPr>
        <w:t>在此</w:t>
      </w:r>
      <w:r>
        <w:rPr>
          <w:rFonts w:hint="eastAsia" w:ascii="宋体"/>
          <w:szCs w:val="21"/>
          <w:highlight w:val="none"/>
          <w:lang w:val="zh-CN"/>
        </w:rPr>
        <w:t>，</w:t>
      </w:r>
      <w:r>
        <w:rPr>
          <w:rFonts w:hint="eastAsia" w:ascii="宋体" w:hAnsi="宋体"/>
          <w:szCs w:val="21"/>
          <w:highlight w:val="none"/>
          <w:lang w:val="zh-CN"/>
        </w:rPr>
        <w:t>作出郑重承诺具体事项如下：</w:t>
      </w:r>
    </w:p>
    <w:p>
      <w:pPr>
        <w:numPr>
          <w:ilvl w:val="0"/>
          <w:numId w:val="37"/>
        </w:numPr>
        <w:wordWrap w:val="0"/>
        <w:spacing w:line="560" w:lineRule="exact"/>
        <w:rPr>
          <w:rFonts w:ascii="宋体"/>
          <w:szCs w:val="21"/>
          <w:highlight w:val="none"/>
        </w:rPr>
      </w:pPr>
      <w:r>
        <w:rPr>
          <w:rFonts w:hint="eastAsia" w:ascii="宋体" w:hAnsi="宋体"/>
          <w:szCs w:val="21"/>
          <w:highlight w:val="none"/>
          <w:lang w:val="zh-CN"/>
        </w:rPr>
        <w:t>我们已详细审查全部招标文件，包括</w:t>
      </w:r>
      <w:r>
        <w:rPr>
          <w:rFonts w:hint="eastAsia" w:ascii="宋体" w:hAnsi="宋体"/>
          <w:szCs w:val="21"/>
          <w:highlight w:val="none"/>
          <w:u w:val="single"/>
          <w:lang w:val="zh-CN"/>
        </w:rPr>
        <w:t>（补遗书）</w:t>
      </w:r>
      <w:r>
        <w:rPr>
          <w:rFonts w:hint="eastAsia" w:ascii="宋体" w:hAnsi="宋体"/>
          <w:szCs w:val="21"/>
          <w:highlight w:val="none"/>
          <w:lang w:val="zh-CN"/>
        </w:rPr>
        <w:t>；完全理解招标文件内容</w:t>
      </w:r>
      <w:r>
        <w:rPr>
          <w:rFonts w:hint="eastAsia" w:ascii="宋体" w:hAnsi="宋体"/>
          <w:szCs w:val="21"/>
          <w:highlight w:val="none"/>
        </w:rPr>
        <w:t>、对招标文件的各项条款无异议，</w:t>
      </w:r>
      <w:r>
        <w:rPr>
          <w:rFonts w:hint="eastAsia" w:ascii="宋体" w:hAnsi="宋体"/>
          <w:szCs w:val="21"/>
          <w:highlight w:val="none"/>
          <w:lang w:val="zh-CN"/>
        </w:rPr>
        <w:t>并同意放弃对这方面有不明及误解的权力，</w:t>
      </w:r>
      <w:r>
        <w:rPr>
          <w:rFonts w:hint="eastAsia" w:ascii="宋体" w:hAnsi="宋体"/>
          <w:szCs w:val="21"/>
          <w:highlight w:val="none"/>
        </w:rPr>
        <w:t>采购项目一旦开标，我方保证不会对招标文件中的任何条款提出任何质疑或投诉；</w:t>
      </w:r>
    </w:p>
    <w:p>
      <w:pPr>
        <w:numPr>
          <w:ilvl w:val="0"/>
          <w:numId w:val="37"/>
        </w:numPr>
        <w:wordWrap w:val="0"/>
        <w:spacing w:line="520" w:lineRule="exact"/>
        <w:rPr>
          <w:rFonts w:ascii="宋体"/>
          <w:szCs w:val="21"/>
          <w:highlight w:val="none"/>
          <w:lang w:val="zh-CN"/>
        </w:rPr>
      </w:pPr>
      <w:r>
        <w:rPr>
          <w:rFonts w:hint="eastAsia" w:ascii="宋体" w:hAnsi="宋体"/>
          <w:szCs w:val="21"/>
          <w:highlight w:val="none"/>
        </w:rPr>
        <w:t>我方保证以投标人的身份直接参与投标。不许任何人借用我方名义参与投标</w:t>
      </w:r>
      <w:r>
        <w:rPr>
          <w:rFonts w:ascii="宋体"/>
          <w:szCs w:val="21"/>
          <w:highlight w:val="none"/>
        </w:rPr>
        <w:t>,</w:t>
      </w:r>
      <w:r>
        <w:rPr>
          <w:rFonts w:hint="eastAsia" w:ascii="宋体" w:hAnsi="宋体"/>
          <w:szCs w:val="21"/>
          <w:highlight w:val="none"/>
        </w:rPr>
        <w:t>一旦中标</w:t>
      </w:r>
      <w:r>
        <w:rPr>
          <w:rFonts w:ascii="宋体"/>
          <w:szCs w:val="21"/>
          <w:highlight w:val="none"/>
        </w:rPr>
        <w:t>,</w:t>
      </w:r>
      <w:r>
        <w:rPr>
          <w:rFonts w:hint="eastAsia" w:ascii="宋体" w:hAnsi="宋体"/>
          <w:szCs w:val="21"/>
          <w:highlight w:val="none"/>
        </w:rPr>
        <w:t>我方保证不转让合同；</w:t>
      </w:r>
    </w:p>
    <w:p>
      <w:pPr>
        <w:numPr>
          <w:ilvl w:val="0"/>
          <w:numId w:val="37"/>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响应招标文件要求的投标有效期；</w:t>
      </w:r>
    </w:p>
    <w:p>
      <w:pPr>
        <w:numPr>
          <w:ilvl w:val="0"/>
          <w:numId w:val="37"/>
        </w:numPr>
        <w:wordWrap w:val="0"/>
        <w:spacing w:line="520" w:lineRule="exact"/>
        <w:rPr>
          <w:rFonts w:ascii="宋体"/>
          <w:szCs w:val="21"/>
          <w:highlight w:val="none"/>
          <w:lang w:val="zh-CN"/>
        </w:rPr>
      </w:pPr>
      <w:r>
        <w:rPr>
          <w:rFonts w:hint="eastAsia" w:ascii="宋体" w:hAnsi="宋体"/>
          <w:szCs w:val="21"/>
          <w:highlight w:val="none"/>
          <w:lang w:val="zh-CN"/>
        </w:rPr>
        <w:t>我方保证</w:t>
      </w:r>
      <w:r>
        <w:rPr>
          <w:rFonts w:hint="eastAsia" w:ascii="宋体" w:hAnsi="宋体"/>
          <w:szCs w:val="21"/>
          <w:highlight w:val="none"/>
        </w:rPr>
        <w:t>投标文件中提供的一切文件材料均真实、有效；决不提供虚假材料</w:t>
      </w:r>
      <w:r>
        <w:rPr>
          <w:rFonts w:hint="eastAsia" w:ascii="宋体" w:hAnsi="宋体" w:cs="宋体"/>
          <w:kern w:val="0"/>
          <w:szCs w:val="21"/>
          <w:highlight w:val="none"/>
        </w:rPr>
        <w:t>谋</w:t>
      </w:r>
      <w:r>
        <w:rPr>
          <w:rFonts w:hint="eastAsia" w:ascii="宋体" w:hAnsi="宋体"/>
          <w:szCs w:val="21"/>
          <w:highlight w:val="none"/>
        </w:rPr>
        <w:t>取中标；并同意采购方及监管方等对材料真实性的进一步审查；</w:t>
      </w:r>
    </w:p>
    <w:p>
      <w:pPr>
        <w:numPr>
          <w:ilvl w:val="0"/>
          <w:numId w:val="37"/>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完全理解招标文件恶意串通的情形</w:t>
      </w:r>
      <w:r>
        <w:rPr>
          <w:rFonts w:hint="eastAsia" w:ascii="宋体"/>
          <w:szCs w:val="21"/>
          <w:highlight w:val="none"/>
          <w:lang w:val="zh-CN"/>
        </w:rPr>
        <w:t>，</w:t>
      </w:r>
      <w:r>
        <w:rPr>
          <w:rFonts w:hint="eastAsia" w:ascii="宋体" w:hAnsi="宋体"/>
          <w:szCs w:val="21"/>
          <w:highlight w:val="none"/>
          <w:lang w:val="zh-CN"/>
        </w:rPr>
        <w:t>保证不以这一违规的方式</w:t>
      </w:r>
      <w:r>
        <w:rPr>
          <w:rFonts w:hint="eastAsia" w:ascii="宋体" w:hAnsi="宋体" w:cs="宋体"/>
          <w:kern w:val="0"/>
          <w:szCs w:val="21"/>
          <w:highlight w:val="none"/>
        </w:rPr>
        <w:t>谋</w:t>
      </w:r>
      <w:r>
        <w:rPr>
          <w:rFonts w:hint="eastAsia" w:ascii="宋体" w:hAnsi="宋体"/>
          <w:szCs w:val="21"/>
          <w:highlight w:val="none"/>
        </w:rPr>
        <w:t>取中标；</w:t>
      </w:r>
    </w:p>
    <w:p>
      <w:pPr>
        <w:numPr>
          <w:ilvl w:val="0"/>
          <w:numId w:val="37"/>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完全理解招标文件其它</w:t>
      </w:r>
      <w:r>
        <w:rPr>
          <w:rFonts w:hint="eastAsia" w:ascii="宋体" w:hAnsi="宋体" w:cs="宋体"/>
          <w:bCs/>
          <w:szCs w:val="21"/>
          <w:highlight w:val="none"/>
        </w:rPr>
        <w:t>废标</w:t>
      </w:r>
      <w:r>
        <w:rPr>
          <w:rFonts w:hint="eastAsia" w:ascii="宋体" w:hAnsi="宋体"/>
          <w:szCs w:val="21"/>
          <w:highlight w:val="none"/>
          <w:lang w:val="zh-CN"/>
        </w:rPr>
        <w:t>的内容</w:t>
      </w:r>
      <w:r>
        <w:rPr>
          <w:rFonts w:hint="eastAsia" w:ascii="宋体"/>
          <w:szCs w:val="21"/>
          <w:highlight w:val="none"/>
          <w:lang w:val="zh-CN"/>
        </w:rPr>
        <w:t>，</w:t>
      </w:r>
      <w:r>
        <w:rPr>
          <w:rFonts w:hint="eastAsia" w:ascii="宋体" w:hAnsi="宋体"/>
          <w:szCs w:val="21"/>
          <w:highlight w:val="none"/>
          <w:lang w:val="zh-CN"/>
        </w:rPr>
        <w:t>保证不以这些违规的方式</w:t>
      </w:r>
      <w:r>
        <w:rPr>
          <w:rFonts w:hint="eastAsia" w:ascii="宋体" w:hAnsi="宋体" w:cs="宋体"/>
          <w:kern w:val="0"/>
          <w:szCs w:val="21"/>
          <w:highlight w:val="none"/>
        </w:rPr>
        <w:t>谋</w:t>
      </w:r>
      <w:r>
        <w:rPr>
          <w:rFonts w:hint="eastAsia" w:ascii="宋体" w:hAnsi="宋体"/>
          <w:szCs w:val="21"/>
          <w:highlight w:val="none"/>
        </w:rPr>
        <w:t>取中标。</w:t>
      </w:r>
    </w:p>
    <w:p>
      <w:pPr>
        <w:wordWrap w:val="0"/>
        <w:spacing w:line="560" w:lineRule="exact"/>
        <w:ind w:firstLine="420" w:firstLineChars="200"/>
        <w:rPr>
          <w:rFonts w:ascii="宋体"/>
          <w:szCs w:val="21"/>
          <w:highlight w:val="none"/>
        </w:rPr>
      </w:pPr>
      <w:r>
        <w:rPr>
          <w:rFonts w:hint="eastAsia" w:ascii="宋体" w:hAnsi="宋体"/>
          <w:szCs w:val="21"/>
          <w:highlight w:val="none"/>
        </w:rPr>
        <w:t>如果违背上述承诺，我方同意接受招标文件规定及以下处罚：被列入不良诚信记录或黑名单；承担法律责任。</w:t>
      </w: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u w:val="single"/>
          <w:lang w:val="zh-CN"/>
        </w:rPr>
      </w:pPr>
      <w:r>
        <w:rPr>
          <w:rFonts w:hint="eastAsia" w:ascii="宋体" w:hAnsi="宋体"/>
          <w:szCs w:val="21"/>
          <w:highlight w:val="none"/>
          <w:lang w:val="zh-CN"/>
        </w:rPr>
        <w:t>投标人名称（加盖章）</w:t>
      </w:r>
    </w:p>
    <w:p>
      <w:pPr>
        <w:tabs>
          <w:tab w:val="left" w:pos="0"/>
        </w:tabs>
        <w:wordWrap w:val="0"/>
        <w:spacing w:line="560" w:lineRule="exact"/>
        <w:rPr>
          <w:rFonts w:ascii="宋体"/>
          <w:szCs w:val="21"/>
          <w:highlight w:val="none"/>
          <w:lang w:val="zh-CN"/>
        </w:rPr>
      </w:pPr>
      <w:r>
        <w:rPr>
          <w:rFonts w:hint="eastAsia" w:ascii="宋体" w:hAnsi="宋体"/>
          <w:szCs w:val="21"/>
          <w:highlight w:val="none"/>
          <w:lang w:val="zh-CN"/>
        </w:rPr>
        <w:t>法定代表人或其授权代表（签名）：</w:t>
      </w:r>
    </w:p>
    <w:p>
      <w:pPr>
        <w:wordWrap w:val="0"/>
        <w:spacing w:line="560" w:lineRule="exact"/>
        <w:rPr>
          <w:rFonts w:ascii="宋体"/>
          <w:szCs w:val="21"/>
          <w:highlight w:val="none"/>
          <w:u w:val="single"/>
          <w:lang w:val="zh-CN"/>
        </w:rPr>
      </w:pPr>
      <w:r>
        <w:rPr>
          <w:rFonts w:hint="eastAsia" w:ascii="宋体" w:hAnsi="宋体"/>
          <w:szCs w:val="21"/>
          <w:highlight w:val="none"/>
          <w:lang w:val="zh-CN"/>
        </w:rPr>
        <w:t>日期：</w:t>
      </w:r>
    </w:p>
    <w:p>
      <w:pPr>
        <w:wordWrap w:val="0"/>
        <w:spacing w:line="560" w:lineRule="exact"/>
        <w:rPr>
          <w:rFonts w:ascii="黑体" w:eastAsia="黑体"/>
          <w:b/>
          <w:sz w:val="24"/>
          <w:highlight w:val="none"/>
          <w:lang w:val="zh-CN"/>
        </w:rPr>
        <w:sectPr>
          <w:footerReference r:id="rId8" w:type="default"/>
          <w:pgSz w:w="11906" w:h="16838"/>
          <w:pgMar w:top="1440" w:right="1474" w:bottom="1440" w:left="1474" w:header="851" w:footer="992" w:gutter="0"/>
          <w:pgBorders>
            <w:top w:val="none" w:sz="0" w:space="0"/>
            <w:left w:val="none" w:sz="0" w:space="0"/>
            <w:bottom w:val="none" w:sz="0" w:space="0"/>
            <w:right w:val="none" w:sz="0" w:space="0"/>
          </w:pgBorders>
          <w:pgNumType w:start="1"/>
          <w:cols w:space="425" w:num="1"/>
          <w:docGrid w:linePitch="312" w:charSpace="0"/>
        </w:sectPr>
      </w:pPr>
      <w:r>
        <w:rPr>
          <w:rFonts w:ascii="黑体" w:eastAsia="黑体"/>
          <w:b/>
          <w:sz w:val="24"/>
          <w:highlight w:val="none"/>
          <w:lang w:val="zh-CN"/>
        </w:rPr>
        <w:br w:type="page"/>
      </w:r>
    </w:p>
    <w:p>
      <w:pPr>
        <w:wordWrap w:val="0"/>
        <w:spacing w:line="560" w:lineRule="exact"/>
        <w:outlineLvl w:val="0"/>
        <w:rPr>
          <w:rFonts w:hint="default" w:ascii="黑体" w:eastAsia="黑体"/>
          <w:b/>
          <w:sz w:val="24"/>
          <w:highlight w:val="none"/>
          <w:lang w:val="en-US" w:eastAsia="zh-CN"/>
        </w:rPr>
      </w:pPr>
      <w:bookmarkStart w:id="194" w:name="_Toc5192"/>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4</w:t>
      </w:r>
      <w:r>
        <w:rPr>
          <w:rFonts w:hint="eastAsia" w:ascii="黑体" w:eastAsia="黑体"/>
          <w:b/>
          <w:sz w:val="24"/>
          <w:highlight w:val="none"/>
        </w:rPr>
        <w:t>　</w:t>
      </w:r>
      <w:r>
        <w:rPr>
          <w:rFonts w:hint="eastAsia" w:ascii="黑体" w:eastAsia="黑体"/>
          <w:b/>
          <w:sz w:val="24"/>
          <w:highlight w:val="none"/>
          <w:lang w:val="en-US" w:eastAsia="zh-CN"/>
        </w:rPr>
        <w:t>投标承诺函</w:t>
      </w:r>
      <w:bookmarkEnd w:id="194"/>
    </w:p>
    <w:p>
      <w:pPr>
        <w:spacing w:line="440" w:lineRule="atLeast"/>
        <w:ind w:leftChars="-95" w:hanging="174" w:hangingChars="83"/>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u w:val="single"/>
          <w:lang w:eastAsia="zh-Hans"/>
        </w:rPr>
        <w:t>　</w:t>
      </w:r>
      <w:r>
        <w:rPr>
          <w:rFonts w:hint="eastAsia" w:ascii="宋体" w:hAnsi="宋体" w:cs="宋体"/>
          <w:color w:val="auto"/>
          <w:kern w:val="0"/>
          <w:sz w:val="21"/>
          <w:szCs w:val="21"/>
          <w:highlight w:val="none"/>
          <w:u w:val="single"/>
          <w:lang w:eastAsia="zh-CN"/>
        </w:rPr>
        <w:t>咸宁市宁安建筑工程有限公司</w:t>
      </w:r>
      <w:r>
        <w:rPr>
          <w:rFonts w:hint="eastAsia" w:ascii="宋体" w:hAnsi="宋体" w:cs="宋体"/>
          <w:color w:val="auto"/>
          <w:kern w:val="0"/>
          <w:sz w:val="21"/>
          <w:szCs w:val="21"/>
          <w:highlight w:val="none"/>
          <w:u w:val="single"/>
          <w:lang w:eastAsia="zh-Hans"/>
        </w:rPr>
        <w:t>　</w:t>
      </w:r>
      <w:r>
        <w:rPr>
          <w:rFonts w:hint="eastAsia" w:ascii="宋体" w:hAnsi="宋体" w:cs="宋体"/>
          <w:color w:val="auto"/>
          <w:kern w:val="0"/>
          <w:sz w:val="21"/>
          <w:szCs w:val="21"/>
          <w:highlight w:val="none"/>
          <w:lang w:eastAsia="zh-Hans"/>
        </w:rPr>
        <w:t>（</w:t>
      </w:r>
      <w:r>
        <w:rPr>
          <w:rFonts w:hint="eastAsia" w:ascii="宋体" w:hAnsi="宋体" w:cs="宋体"/>
          <w:color w:val="auto"/>
          <w:kern w:val="0"/>
          <w:sz w:val="21"/>
          <w:szCs w:val="21"/>
          <w:highlight w:val="none"/>
          <w:lang w:eastAsia="zh-CN"/>
        </w:rPr>
        <w:t>招标</w:t>
      </w:r>
      <w:r>
        <w:rPr>
          <w:rFonts w:hint="eastAsia" w:ascii="宋体" w:hAnsi="宋体" w:cs="宋体"/>
          <w:color w:val="auto"/>
          <w:kern w:val="0"/>
          <w:sz w:val="21"/>
          <w:szCs w:val="21"/>
          <w:highlight w:val="none"/>
          <w:lang w:eastAsia="zh-Hans"/>
        </w:rPr>
        <w:t>人名称）：</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作为参与此次物资采购活动的</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，我公司现郑重作出以下承诺：</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1、遵守《咸宁市宁安建筑工程有限公司供应商采购管理制度》及有关物资采购的各项法律、法规和制度。</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2、客观真实反映自身情况，按规定接受资格审查，不提供虚假材料，不夸大自身技术和提供服务的能力。</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3、以合法正当的手段参与物资采购的公平竞争。不与采购人、其他</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恶意串通，不以不正当手段诋毁、排挤其他</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，不向采购人、评审机构行贿或者提供其他不正当利益。</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4、在物资采购活动中，认真履行规定义务。</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5、自觉接受招标</w:t>
      </w:r>
      <w:r>
        <w:rPr>
          <w:rFonts w:hint="eastAsia" w:ascii="宋体" w:hAnsi="宋体" w:cs="宋体"/>
          <w:color w:val="auto"/>
          <w:kern w:val="0"/>
          <w:sz w:val="21"/>
          <w:szCs w:val="21"/>
          <w:highlight w:val="none"/>
          <w:lang w:eastAsia="zh-CN"/>
        </w:rPr>
        <w:t>监督单位</w:t>
      </w:r>
      <w:r>
        <w:rPr>
          <w:rFonts w:hint="eastAsia" w:ascii="宋体" w:hAnsi="宋体" w:cs="宋体"/>
          <w:color w:val="auto"/>
          <w:kern w:val="0"/>
          <w:sz w:val="21"/>
          <w:szCs w:val="21"/>
          <w:highlight w:val="none"/>
          <w:lang w:eastAsia="zh-Hans"/>
        </w:rPr>
        <w:t>及其他相关部门的监督检查。</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6</w:t>
      </w:r>
      <w:r>
        <w:rPr>
          <w:rFonts w:hint="eastAsia" w:ascii="宋体" w:hAnsi="宋体" w:cs="宋体"/>
          <w:color w:val="auto"/>
          <w:kern w:val="0"/>
          <w:sz w:val="21"/>
          <w:szCs w:val="21"/>
          <w:highlight w:val="none"/>
          <w:lang w:eastAsia="zh-Hans"/>
        </w:rPr>
        <w:t>、我方所报的单价，已充分考虑了招标文件及供货合同要求中标单位（供方）应承担的所有义务及风险，由此造成或可能造成的费用我方已包含在</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lang w:eastAsia="zh-Hans"/>
        </w:rPr>
        <w:t>中。</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7</w:t>
      </w:r>
      <w:r>
        <w:rPr>
          <w:rFonts w:hint="eastAsia" w:ascii="宋体" w:hAnsi="宋体" w:cs="宋体"/>
          <w:color w:val="auto"/>
          <w:kern w:val="0"/>
          <w:sz w:val="21"/>
          <w:szCs w:val="21"/>
          <w:highlight w:val="none"/>
          <w:lang w:eastAsia="zh-Hans"/>
        </w:rPr>
        <w:t>、我方承诺不会因贵方对供货合同中的承包范围的调整而产生的异议。</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8</w:t>
      </w:r>
      <w:r>
        <w:rPr>
          <w:rFonts w:hint="eastAsia" w:ascii="宋体" w:hAnsi="宋体" w:cs="宋体"/>
          <w:color w:val="auto"/>
          <w:kern w:val="0"/>
          <w:sz w:val="21"/>
          <w:szCs w:val="21"/>
          <w:highlight w:val="none"/>
          <w:lang w:eastAsia="zh-Hans"/>
        </w:rPr>
        <w:t>、若我单位没有中标，我单位将不要求贵方做任何经济补偿和解释。</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9</w:t>
      </w:r>
      <w:r>
        <w:rPr>
          <w:rFonts w:hint="eastAsia" w:ascii="宋体" w:hAnsi="宋体" w:cs="宋体"/>
          <w:color w:val="auto"/>
          <w:kern w:val="0"/>
          <w:sz w:val="21"/>
          <w:szCs w:val="21"/>
          <w:highlight w:val="none"/>
          <w:lang w:eastAsia="zh-Hans"/>
        </w:rPr>
        <w:t>、我司将严格按照招标文件的要求提供工程所需材料，如因材料质量、材料进场时间问题而造成工期延误。我司承诺接受每延误一天处以人民币 5000 元的违约金，该违约金直接从货款中扣除。</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如违反以上承诺，我公司愿承担一切法律责任，并接受</w:t>
      </w:r>
      <w:r>
        <w:rPr>
          <w:rFonts w:hint="eastAsia" w:ascii="宋体" w:hAnsi="宋体" w:cs="宋体"/>
          <w:color w:val="auto"/>
          <w:kern w:val="0"/>
          <w:sz w:val="21"/>
          <w:szCs w:val="21"/>
          <w:highlight w:val="none"/>
          <w:lang w:eastAsia="zh-CN"/>
        </w:rPr>
        <w:t>监督单位</w:t>
      </w:r>
      <w:r>
        <w:rPr>
          <w:rFonts w:hint="eastAsia" w:ascii="宋体" w:hAnsi="宋体" w:cs="宋体"/>
          <w:color w:val="auto"/>
          <w:kern w:val="0"/>
          <w:sz w:val="21"/>
          <w:szCs w:val="21"/>
          <w:highlight w:val="none"/>
          <w:lang w:eastAsia="zh-Hans"/>
        </w:rPr>
        <w:t>及其他相关部门依法作出的处罚。</w:t>
      </w:r>
    </w:p>
    <w:p>
      <w:pPr>
        <w:pStyle w:val="2"/>
        <w:rPr>
          <w:rFonts w:hint="eastAsia"/>
          <w:color w:val="auto"/>
          <w:sz w:val="21"/>
          <w:szCs w:val="21"/>
          <w:highlight w:val="none"/>
          <w:lang w:eastAsia="zh-Hans"/>
        </w:rPr>
      </w:pPr>
    </w:p>
    <w:p>
      <w:pPr>
        <w:spacing w:line="440" w:lineRule="atLeast"/>
        <w:rPr>
          <w:rFonts w:hint="eastAsia" w:ascii="宋体" w:hAnsi="宋体" w:cs="宋体"/>
          <w:color w:val="auto"/>
          <w:sz w:val="21"/>
          <w:szCs w:val="21"/>
          <w:highlight w:val="none"/>
          <w:lang w:eastAsia="zh-CN"/>
        </w:rPr>
      </w:pPr>
    </w:p>
    <w:p>
      <w:pPr>
        <w:spacing w:line="440" w:lineRule="atLeast"/>
        <w:rPr>
          <w:rFonts w:hint="eastAsia" w:ascii="宋体" w:hAnsi="宋体" w:cs="宋体"/>
          <w:color w:val="auto"/>
          <w:sz w:val="21"/>
          <w:szCs w:val="21"/>
          <w:highlight w:val="none"/>
          <w:lang w:eastAsia="zh-CN"/>
        </w:rPr>
      </w:pPr>
    </w:p>
    <w:p>
      <w:pPr>
        <w:spacing w:line="440"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（公章）</w:t>
      </w:r>
    </w:p>
    <w:p>
      <w:pPr>
        <w:spacing w:line="4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法定代表人或授权委托人：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（签字）</w:t>
      </w:r>
    </w:p>
    <w:p>
      <w:pPr>
        <w:wordWrap w:val="0"/>
        <w:spacing w:line="520" w:lineRule="exact"/>
        <w:ind w:left="-376" w:leftChars="-179" w:firstLine="365" w:firstLineChars="174"/>
        <w:rPr>
          <w:szCs w:val="21"/>
          <w:highlight w:val="none"/>
          <w:lang w:val="zh-CN"/>
        </w:rPr>
      </w:pPr>
      <w:r>
        <w:rPr>
          <w:rFonts w:hint="eastAsia" w:ascii="宋体" w:hAnsi="宋体" w:cs="宋体"/>
          <w:color w:val="auto"/>
          <w:sz w:val="21"/>
          <w:szCs w:val="21"/>
          <w:highlight w:val="none"/>
        </w:rPr>
        <w:t>日  期：     年    月    日</w:t>
      </w:r>
      <w:r>
        <w:rPr>
          <w:rFonts w:hint="eastAsia" w:ascii="宋体" w:hAnsi="宋体" w:cs="宋体"/>
          <w:color w:val="auto"/>
          <w:kern w:val="0"/>
          <w:sz w:val="24"/>
          <w:highlight w:val="none"/>
          <w:lang w:eastAsia="zh-Hans"/>
        </w:rPr>
        <w:t xml:space="preserve"> </w:t>
      </w:r>
    </w:p>
    <w:sectPr>
      <w:pgSz w:w="11906" w:h="16838"/>
      <w:pgMar w:top="1440" w:right="1474" w:bottom="1440" w:left="1474"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2</w:t>
    </w:r>
    <w:r>
      <w:rPr>
        <w:rStyle w:val="44"/>
      </w:rPr>
      <w:fldChar w:fldCharType="end"/>
    </w:r>
  </w:p>
  <w:p>
    <w:pPr>
      <w:pStyle w:val="26"/>
      <w:framePr w:wrap="around" w:vAnchor="text" w:hAnchor="margin" w:xAlign="center" w:y="1"/>
      <w:rPr>
        <w:rStyle w:val="44"/>
      </w:rPr>
    </w:pP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0"/>
      </w:pBdr>
      <w:ind w:right="1200"/>
      <w:rPr>
        <w:rFonts w:eastAsia="黑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notBeside" w:vAnchor="page" w:hAnchor="page" w:x="6091" w:y="15389" w:anchorLock="1"/>
      <w:jc w:val="center"/>
      <w:rPr>
        <w:rStyle w:val="44"/>
      </w:rPr>
    </w:pPr>
    <w:r>
      <w:rPr>
        <w:rStyle w:val="44"/>
      </w:rPr>
      <w:fldChar w:fldCharType="begin"/>
    </w:r>
    <w:r>
      <w:rPr>
        <w:rStyle w:val="44"/>
      </w:rPr>
      <w:instrText xml:space="preserve">PAGE  </w:instrText>
    </w:r>
    <w:r>
      <w:rPr>
        <w:rStyle w:val="44"/>
      </w:rPr>
      <w:fldChar w:fldCharType="separate"/>
    </w:r>
    <w:r>
      <w:rPr>
        <w:rStyle w:val="44"/>
      </w:rPr>
      <w:t>2</w:t>
    </w:r>
    <w:r>
      <w:rPr>
        <w:rStyle w:val="44"/>
      </w:rPr>
      <w:fldChar w:fldCharType="end"/>
    </w:r>
  </w:p>
  <w:p>
    <w:pPr>
      <w:pBdr>
        <w:top w:val="single" w:color="auto" w:sz="4" w:space="0"/>
      </w:pBdr>
      <w:ind w:right="1200"/>
      <w:jc w:val="left"/>
      <w:rPr>
        <w:rFonts w:eastAsia="黑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360" w:lineRule="auto"/>
      <w:rPr>
        <w:rFonts w:ascii="华文行楷" w:hAnsi="宋体" w:eastAsia="华文行楷" w:cs="宋体"/>
        <w:i/>
        <w:kern w:val="0"/>
        <w:szCs w:val="21"/>
        <w:u w:val="double"/>
      </w:rPr>
    </w:pPr>
    <w:r>
      <w:rPr>
        <w:rFonts w:hint="eastAsia" w:ascii="华文行楷" w:hAnsi="宋体" w:eastAsia="华文行楷" w:cs="宋体"/>
        <w:i/>
        <w:kern w:val="0"/>
        <w:szCs w:val="21"/>
        <w:u w:val="double"/>
        <w:lang w:eastAsia="zh-CN"/>
      </w:rPr>
      <w:t>咸宁市宁安建筑工程有限公司</w:t>
    </w:r>
    <w:r>
      <w:rPr>
        <w:rFonts w:ascii="华文行楷" w:hAnsi="宋体" w:eastAsia="华文行楷" w:cs="宋体"/>
        <w:i/>
        <w:kern w:val="0"/>
        <w:szCs w:val="21"/>
        <w:u w:val="double"/>
      </w:rPr>
      <w:t xml:space="preserve">      </w:t>
    </w:r>
    <w:r>
      <w:rPr>
        <w:rFonts w:hint="eastAsia" w:ascii="华文行楷" w:hAnsi="宋体" w:eastAsia="华文行楷" w:cs="宋体"/>
        <w:i/>
        <w:kern w:val="0"/>
        <w:szCs w:val="21"/>
        <w:u w:val="double"/>
        <w:lang w:val="en-US" w:eastAsia="zh-CN"/>
      </w:rPr>
      <w:t xml:space="preserve">                                     </w:t>
    </w:r>
    <w:r>
      <w:rPr>
        <w:rFonts w:ascii="华文行楷" w:hAnsi="宋体" w:eastAsia="华文行楷" w:cs="宋体"/>
        <w:i/>
        <w:kern w:val="0"/>
        <w:szCs w:val="21"/>
        <w:u w:val="double"/>
      </w:rPr>
      <w:t xml:space="preserve">   </w:t>
    </w:r>
    <w:r>
      <w:rPr>
        <w:rFonts w:hint="eastAsia" w:ascii="华文行楷" w:hAnsi="宋体" w:eastAsia="华文行楷" w:cs="宋体"/>
        <w:i/>
        <w:kern w:val="0"/>
        <w:szCs w:val="21"/>
        <w:u w:val="double"/>
      </w:rPr>
      <w:t xml:space="preserve">    </w:t>
    </w:r>
    <w:r>
      <w:rPr>
        <w:rFonts w:hint="eastAsia" w:ascii="华文行楷" w:hAnsi="宋体" w:eastAsia="华文行楷" w:cs="宋体"/>
        <w:i/>
        <w:szCs w:val="21"/>
        <w:u w:val="doub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C26C6"/>
    <w:multiLevelType w:val="singleLevel"/>
    <w:tmpl w:val="F96C26C6"/>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chineseCountingThousand"/>
      <w:lvlText w:val="(%1)"/>
      <w:lvlJc w:val="left"/>
      <w:pPr>
        <w:tabs>
          <w:tab w:val="left" w:pos="420"/>
        </w:tabs>
        <w:ind w:left="420" w:firstLine="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264"/>
        </w:tabs>
        <w:ind w:left="2264"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chineseCountingThousand"/>
      <w:lvlText w:val="(%1)"/>
      <w:lvlJc w:val="left"/>
      <w:pPr>
        <w:tabs>
          <w:tab w:val="left" w:pos="525"/>
        </w:tabs>
        <w:ind w:left="1029" w:hanging="504"/>
      </w:pPr>
      <w:rPr>
        <w:rFonts w:hint="eastAsia"/>
        <w:sz w:val="21"/>
        <w:szCs w:val="21"/>
      </w:rPr>
    </w:lvl>
    <w:lvl w:ilvl="1" w:tentative="0">
      <w:start w:val="1"/>
      <w:numFmt w:val="chineseCountingThousand"/>
      <w:lvlText w:val="(%2)"/>
      <w:lvlJc w:val="left"/>
      <w:pPr>
        <w:tabs>
          <w:tab w:val="left" w:pos="564"/>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B4417F"/>
    <w:multiLevelType w:val="multilevel"/>
    <w:tmpl w:val="03B4417F"/>
    <w:lvl w:ilvl="0" w:tentative="0">
      <w:start w:val="1"/>
      <w:numFmt w:val="decimal"/>
      <w:pStyle w:val="99"/>
      <w:lvlText w:val="%1."/>
      <w:lvlJc w:val="left"/>
      <w:pPr>
        <w:tabs>
          <w:tab w:val="left" w:pos="425"/>
        </w:tabs>
        <w:ind w:left="425" w:hanging="425"/>
      </w:pPr>
      <w:rPr>
        <w:rFonts w:hint="eastAsia" w:cs="Times New Roman"/>
        <w:sz w:val="24"/>
        <w:szCs w:val="24"/>
      </w:rPr>
    </w:lvl>
    <w:lvl w:ilvl="1" w:tentative="0">
      <w:start w:val="1"/>
      <w:numFmt w:val="decimal"/>
      <w:lvlText w:val="%1.%2."/>
      <w:lvlJc w:val="left"/>
      <w:pPr>
        <w:tabs>
          <w:tab w:val="left" w:pos="567"/>
        </w:tabs>
        <w:ind w:left="1134" w:hanging="964"/>
      </w:pPr>
      <w:rPr>
        <w:rFonts w:hint="eastAsia" w:ascii="宋体" w:hAnsi="宋体" w:eastAsia="宋体" w:cs="Times New Roman"/>
      </w:rPr>
    </w:lvl>
    <w:lvl w:ilvl="2" w:tentative="0">
      <w:start w:val="1"/>
      <w:numFmt w:val="decimal"/>
      <w:lvlText w:val="%1.%2.%3"/>
      <w:lvlJc w:val="left"/>
      <w:pPr>
        <w:tabs>
          <w:tab w:val="left" w:pos="567"/>
        </w:tabs>
        <w:ind w:left="227" w:firstLine="340"/>
      </w:pPr>
      <w:rPr>
        <w:rFonts w:hint="eastAsia" w:ascii="宋体" w:hAnsi="宋体" w:eastAsia="宋体"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08416887"/>
    <w:multiLevelType w:val="multilevel"/>
    <w:tmpl w:val="08416887"/>
    <w:lvl w:ilvl="0" w:tentative="0">
      <w:start w:val="1"/>
      <w:numFmt w:val="chineseCountingThousand"/>
      <w:lvlText w:val="(%1)"/>
      <w:lvlJc w:val="left"/>
      <w:pPr>
        <w:tabs>
          <w:tab w:val="left" w:pos="420"/>
        </w:tabs>
        <w:ind w:left="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420"/>
        </w:tabs>
        <w:ind w:left="42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9DC50B0"/>
    <w:multiLevelType w:val="multilevel"/>
    <w:tmpl w:val="19DC50B0"/>
    <w:lvl w:ilvl="0" w:tentative="0">
      <w:start w:val="1"/>
      <w:numFmt w:val="bullet"/>
      <w:lvlText w:val=""/>
      <w:lvlJc w:val="left"/>
      <w:pPr>
        <w:ind w:left="845" w:hanging="420"/>
      </w:pPr>
      <w:rPr>
        <w:rFonts w:hint="default" w:ascii="Wingdings" w:hAnsi="Wingdings" w:cs="Wingdings"/>
      </w:rPr>
    </w:lvl>
    <w:lvl w:ilvl="1" w:tentative="0">
      <w:start w:val="1"/>
      <w:numFmt w:val="bullet"/>
      <w:lvlText w:val=""/>
      <w:lvlJc w:val="left"/>
      <w:pPr>
        <w:ind w:left="1265" w:hanging="420"/>
      </w:pPr>
      <w:rPr>
        <w:rFonts w:hint="default" w:ascii="Wingdings" w:hAnsi="Wingdings" w:cs="Wingdings"/>
      </w:rPr>
    </w:lvl>
    <w:lvl w:ilvl="2" w:tentative="0">
      <w:start w:val="1"/>
      <w:numFmt w:val="bullet"/>
      <w:lvlText w:val=""/>
      <w:lvlJc w:val="left"/>
      <w:pPr>
        <w:ind w:left="1685" w:hanging="420"/>
      </w:pPr>
      <w:rPr>
        <w:rFonts w:hint="default" w:ascii="Wingdings" w:hAnsi="Wingdings" w:cs="Wingdings"/>
      </w:rPr>
    </w:lvl>
    <w:lvl w:ilvl="3" w:tentative="0">
      <w:start w:val="1"/>
      <w:numFmt w:val="bullet"/>
      <w:lvlText w:val=""/>
      <w:lvlJc w:val="left"/>
      <w:pPr>
        <w:ind w:left="210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cs="Wingdings"/>
      </w:rPr>
    </w:lvl>
    <w:lvl w:ilvl="6" w:tentative="0">
      <w:start w:val="1"/>
      <w:numFmt w:val="bullet"/>
      <w:lvlText w:val=""/>
      <w:lvlJc w:val="left"/>
      <w:pPr>
        <w:ind w:left="3365" w:hanging="420"/>
      </w:pPr>
      <w:rPr>
        <w:rFonts w:hint="default" w:ascii="Wingdings" w:hAnsi="Wingdings" w:cs="Wingdings"/>
      </w:rPr>
    </w:lvl>
    <w:lvl w:ilvl="7" w:tentative="0">
      <w:start w:val="1"/>
      <w:numFmt w:val="bullet"/>
      <w:lvlText w:val=""/>
      <w:lvlJc w:val="left"/>
      <w:pPr>
        <w:ind w:left="3785" w:hanging="420"/>
      </w:pPr>
      <w:rPr>
        <w:rFonts w:hint="default" w:ascii="Wingdings" w:hAnsi="Wingdings" w:cs="Wingdings"/>
      </w:rPr>
    </w:lvl>
    <w:lvl w:ilvl="8" w:tentative="0">
      <w:start w:val="1"/>
      <w:numFmt w:val="bullet"/>
      <w:lvlText w:val=""/>
      <w:lvlJc w:val="left"/>
      <w:pPr>
        <w:ind w:left="4205" w:hanging="420"/>
      </w:pPr>
      <w:rPr>
        <w:rFonts w:hint="default" w:ascii="Wingdings" w:hAnsi="Wingdings" w:cs="Wingdings"/>
      </w:rPr>
    </w:lvl>
  </w:abstractNum>
  <w:abstractNum w:abstractNumId="6">
    <w:nsid w:val="21894732"/>
    <w:multiLevelType w:val="multilevel"/>
    <w:tmpl w:val="21894732"/>
    <w:lvl w:ilvl="0" w:tentative="0">
      <w:start w:val="1"/>
      <w:numFmt w:val="chineseCountingThousand"/>
      <w:lvlText w:val="(%1)"/>
      <w:lvlJc w:val="left"/>
      <w:pPr>
        <w:tabs>
          <w:tab w:val="left" w:pos="525"/>
        </w:tabs>
        <w:ind w:left="1029" w:hanging="504"/>
      </w:pPr>
      <w:rPr>
        <w:rFonts w:hint="eastAsia"/>
        <w:sz w:val="21"/>
        <w:szCs w:val="21"/>
      </w:rPr>
    </w:lvl>
    <w:lvl w:ilvl="1" w:tentative="0">
      <w:start w:val="1"/>
      <w:numFmt w:val="chineseCountingThousand"/>
      <w:lvlText w:val="(%2)"/>
      <w:lvlJc w:val="left"/>
      <w:pPr>
        <w:tabs>
          <w:tab w:val="left" w:pos="564"/>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6D3752"/>
    <w:multiLevelType w:val="multilevel"/>
    <w:tmpl w:val="236D3752"/>
    <w:lvl w:ilvl="0" w:tentative="0">
      <w:start w:val="1"/>
      <w:numFmt w:val="decimal"/>
      <w:lvlText w:val="%1."/>
      <w:lvlJc w:val="left"/>
      <w:pPr>
        <w:tabs>
          <w:tab w:val="left" w:pos="945"/>
        </w:tabs>
        <w:ind w:left="945" w:hanging="420"/>
      </w:pPr>
      <w:rPr>
        <w:rFonts w:hint="eastAsia" w:cs="Times New Roman"/>
      </w:rPr>
    </w:lvl>
    <w:lvl w:ilvl="1" w:tentative="0">
      <w:start w:val="1"/>
      <w:numFmt w:val="lowerLetter"/>
      <w:lvlText w:val="%2)"/>
      <w:lvlJc w:val="left"/>
      <w:pPr>
        <w:tabs>
          <w:tab w:val="left" w:pos="1365"/>
        </w:tabs>
        <w:ind w:left="1365" w:hanging="420"/>
      </w:pPr>
      <w:rPr>
        <w:rFonts w:cs="Times New Roman"/>
      </w:rPr>
    </w:lvl>
    <w:lvl w:ilvl="2" w:tentative="0">
      <w:start w:val="1"/>
      <w:numFmt w:val="lowerRoman"/>
      <w:lvlText w:val="%3."/>
      <w:lvlJc w:val="right"/>
      <w:pPr>
        <w:tabs>
          <w:tab w:val="left" w:pos="1785"/>
        </w:tabs>
        <w:ind w:left="1785" w:hanging="420"/>
      </w:pPr>
      <w:rPr>
        <w:rFonts w:cs="Times New Roman"/>
      </w:rPr>
    </w:lvl>
    <w:lvl w:ilvl="3" w:tentative="0">
      <w:start w:val="1"/>
      <w:numFmt w:val="decimal"/>
      <w:lvlText w:val="%4."/>
      <w:lvlJc w:val="left"/>
      <w:pPr>
        <w:tabs>
          <w:tab w:val="left" w:pos="2205"/>
        </w:tabs>
        <w:ind w:left="2205" w:hanging="420"/>
      </w:pPr>
      <w:rPr>
        <w:rFonts w:cs="Times New Roman"/>
      </w:rPr>
    </w:lvl>
    <w:lvl w:ilvl="4" w:tentative="0">
      <w:start w:val="1"/>
      <w:numFmt w:val="lowerLetter"/>
      <w:lvlText w:val="%5)"/>
      <w:lvlJc w:val="left"/>
      <w:pPr>
        <w:tabs>
          <w:tab w:val="left" w:pos="2625"/>
        </w:tabs>
        <w:ind w:left="2625" w:hanging="420"/>
      </w:pPr>
      <w:rPr>
        <w:rFonts w:cs="Times New Roman"/>
      </w:rPr>
    </w:lvl>
    <w:lvl w:ilvl="5" w:tentative="0">
      <w:start w:val="1"/>
      <w:numFmt w:val="lowerRoman"/>
      <w:lvlText w:val="%6."/>
      <w:lvlJc w:val="right"/>
      <w:pPr>
        <w:tabs>
          <w:tab w:val="left" w:pos="3045"/>
        </w:tabs>
        <w:ind w:left="3045" w:hanging="420"/>
      </w:pPr>
      <w:rPr>
        <w:rFonts w:cs="Times New Roman"/>
      </w:rPr>
    </w:lvl>
    <w:lvl w:ilvl="6" w:tentative="0">
      <w:start w:val="1"/>
      <w:numFmt w:val="decimal"/>
      <w:lvlText w:val="%7."/>
      <w:lvlJc w:val="left"/>
      <w:pPr>
        <w:tabs>
          <w:tab w:val="left" w:pos="3465"/>
        </w:tabs>
        <w:ind w:left="3465" w:hanging="420"/>
      </w:pPr>
      <w:rPr>
        <w:rFonts w:cs="Times New Roman"/>
      </w:rPr>
    </w:lvl>
    <w:lvl w:ilvl="7" w:tentative="0">
      <w:start w:val="1"/>
      <w:numFmt w:val="lowerLetter"/>
      <w:lvlText w:val="%8)"/>
      <w:lvlJc w:val="left"/>
      <w:pPr>
        <w:tabs>
          <w:tab w:val="left" w:pos="3885"/>
        </w:tabs>
        <w:ind w:left="3885" w:hanging="420"/>
      </w:pPr>
      <w:rPr>
        <w:rFonts w:cs="Times New Roman"/>
      </w:rPr>
    </w:lvl>
    <w:lvl w:ilvl="8" w:tentative="0">
      <w:start w:val="1"/>
      <w:numFmt w:val="lowerRoman"/>
      <w:lvlText w:val="%9."/>
      <w:lvlJc w:val="right"/>
      <w:pPr>
        <w:tabs>
          <w:tab w:val="left" w:pos="4305"/>
        </w:tabs>
        <w:ind w:left="4305" w:hanging="420"/>
      </w:pPr>
      <w:rPr>
        <w:rFonts w:cs="Times New Roman"/>
      </w:rPr>
    </w:lvl>
  </w:abstractNum>
  <w:abstractNum w:abstractNumId="8">
    <w:nsid w:val="24A03B7B"/>
    <w:multiLevelType w:val="multilevel"/>
    <w:tmpl w:val="24A03B7B"/>
    <w:lvl w:ilvl="0" w:tentative="0">
      <w:start w:val="1"/>
      <w:numFmt w:val="decimal"/>
      <w:pStyle w:val="124"/>
      <w:lvlText w:val="%1."/>
      <w:lvlJc w:val="left"/>
      <w:pPr>
        <w:tabs>
          <w:tab w:val="left" w:pos="567"/>
        </w:tabs>
        <w:ind w:left="1701" w:hanging="1134"/>
      </w:pPr>
      <w:rPr>
        <w:rFonts w:hint="default" w:cs="Times New Roman"/>
      </w:rPr>
    </w:lvl>
    <w:lvl w:ilvl="1" w:tentative="0">
      <w:start w:val="1"/>
      <w:numFmt w:val="decimal"/>
      <w:lvlText w:val="%1.%2."/>
      <w:lvlJc w:val="left"/>
      <w:pPr>
        <w:tabs>
          <w:tab w:val="left" w:pos="567"/>
        </w:tabs>
        <w:ind w:left="1701" w:hanging="1701"/>
      </w:pPr>
      <w:rPr>
        <w:rFonts w:hint="default" w:cs="Times New Roman"/>
      </w:rPr>
    </w:lvl>
    <w:lvl w:ilvl="2" w:tentative="0">
      <w:start w:val="1"/>
      <w:numFmt w:val="decimal"/>
      <w:lvlText w:val="%1.%2.%3"/>
      <w:lvlJc w:val="left"/>
      <w:pPr>
        <w:tabs>
          <w:tab w:val="left" w:pos="567"/>
        </w:tabs>
        <w:ind w:left="1701" w:hanging="1701"/>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9">
    <w:nsid w:val="262B7458"/>
    <w:multiLevelType w:val="multilevel"/>
    <w:tmpl w:val="262B7458"/>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E680C94"/>
    <w:multiLevelType w:val="multilevel"/>
    <w:tmpl w:val="2E680C94"/>
    <w:lvl w:ilvl="0" w:tentative="0">
      <w:start w:val="1"/>
      <w:numFmt w:val="decimal"/>
      <w:lvlText w:val="%1、"/>
      <w:lvlJc w:val="left"/>
      <w:pPr>
        <w:ind w:left="290" w:hanging="324"/>
      </w:pPr>
      <w:rPr>
        <w:rFonts w:hint="default"/>
      </w:rPr>
    </w:lvl>
    <w:lvl w:ilvl="1" w:tentative="0">
      <w:start w:val="1"/>
      <w:numFmt w:val="lowerLetter"/>
      <w:lvlText w:val="%2)"/>
      <w:lvlJc w:val="left"/>
      <w:pPr>
        <w:ind w:left="806" w:hanging="420"/>
      </w:pPr>
    </w:lvl>
    <w:lvl w:ilvl="2" w:tentative="0">
      <w:start w:val="1"/>
      <w:numFmt w:val="lowerRoman"/>
      <w:lvlText w:val="%3."/>
      <w:lvlJc w:val="right"/>
      <w:pPr>
        <w:ind w:left="1226" w:hanging="420"/>
      </w:pPr>
    </w:lvl>
    <w:lvl w:ilvl="3" w:tentative="0">
      <w:start w:val="1"/>
      <w:numFmt w:val="decimal"/>
      <w:lvlText w:val="%4."/>
      <w:lvlJc w:val="left"/>
      <w:pPr>
        <w:ind w:left="1646" w:hanging="420"/>
      </w:pPr>
    </w:lvl>
    <w:lvl w:ilvl="4" w:tentative="0">
      <w:start w:val="1"/>
      <w:numFmt w:val="lowerLetter"/>
      <w:lvlText w:val="%5)"/>
      <w:lvlJc w:val="left"/>
      <w:pPr>
        <w:ind w:left="2066" w:hanging="420"/>
      </w:pPr>
    </w:lvl>
    <w:lvl w:ilvl="5" w:tentative="0">
      <w:start w:val="1"/>
      <w:numFmt w:val="lowerRoman"/>
      <w:lvlText w:val="%6."/>
      <w:lvlJc w:val="right"/>
      <w:pPr>
        <w:ind w:left="2486" w:hanging="420"/>
      </w:pPr>
    </w:lvl>
    <w:lvl w:ilvl="6" w:tentative="0">
      <w:start w:val="1"/>
      <w:numFmt w:val="decimal"/>
      <w:lvlText w:val="%7."/>
      <w:lvlJc w:val="left"/>
      <w:pPr>
        <w:ind w:left="2906" w:hanging="420"/>
      </w:pPr>
    </w:lvl>
    <w:lvl w:ilvl="7" w:tentative="0">
      <w:start w:val="1"/>
      <w:numFmt w:val="lowerLetter"/>
      <w:lvlText w:val="%8)"/>
      <w:lvlJc w:val="left"/>
      <w:pPr>
        <w:ind w:left="3326" w:hanging="420"/>
      </w:pPr>
    </w:lvl>
    <w:lvl w:ilvl="8" w:tentative="0">
      <w:start w:val="1"/>
      <w:numFmt w:val="lowerRoman"/>
      <w:lvlText w:val="%9."/>
      <w:lvlJc w:val="right"/>
      <w:pPr>
        <w:ind w:left="3746" w:hanging="420"/>
      </w:pPr>
    </w:lvl>
  </w:abstractNum>
  <w:abstractNum w:abstractNumId="11">
    <w:nsid w:val="318C07B4"/>
    <w:multiLevelType w:val="multilevel"/>
    <w:tmpl w:val="318C07B4"/>
    <w:lvl w:ilvl="0" w:tentative="0">
      <w:start w:val="1"/>
      <w:numFmt w:val="chineseCountingThousand"/>
      <w:lvlText w:val="(%1)"/>
      <w:lvlJc w:val="left"/>
      <w:pPr>
        <w:tabs>
          <w:tab w:val="left" w:pos="-216"/>
        </w:tabs>
        <w:ind w:left="-216" w:hanging="144"/>
      </w:pPr>
      <w:rPr>
        <w:rFonts w:hint="eastAsia" w:cs="Times New Roman"/>
        <w:b w:val="0"/>
      </w:rPr>
    </w:lvl>
    <w:lvl w:ilvl="1" w:tentative="0">
      <w:start w:val="1"/>
      <w:numFmt w:val="japaneseCounting"/>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2756CDC"/>
    <w:multiLevelType w:val="multilevel"/>
    <w:tmpl w:val="32756CD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329A0C90"/>
    <w:multiLevelType w:val="multilevel"/>
    <w:tmpl w:val="329A0C90"/>
    <w:lvl w:ilvl="0" w:tentative="0">
      <w:start w:val="1"/>
      <w:numFmt w:val="japaneseCounting"/>
      <w:lvlText w:val="%1、"/>
      <w:lvlJc w:val="left"/>
      <w:pPr>
        <w:ind w:left="3912" w:hanging="510"/>
      </w:pPr>
      <w:rPr>
        <w:rFonts w:hint="default" w:hAnsi="宋体" w:cs="Times New Roman"/>
      </w:rPr>
    </w:lvl>
    <w:lvl w:ilvl="1" w:tentative="0">
      <w:start w:val="1"/>
      <w:numFmt w:val="lowerLetter"/>
      <w:lvlText w:val="%2)"/>
      <w:lvlJc w:val="left"/>
      <w:pPr>
        <w:ind w:left="4242" w:hanging="420"/>
      </w:pPr>
      <w:rPr>
        <w:rFonts w:cs="Times New Roman"/>
      </w:rPr>
    </w:lvl>
    <w:lvl w:ilvl="2" w:tentative="0">
      <w:start w:val="1"/>
      <w:numFmt w:val="lowerRoman"/>
      <w:lvlText w:val="%3."/>
      <w:lvlJc w:val="right"/>
      <w:pPr>
        <w:ind w:left="4662" w:hanging="420"/>
      </w:pPr>
      <w:rPr>
        <w:rFonts w:cs="Times New Roman"/>
      </w:rPr>
    </w:lvl>
    <w:lvl w:ilvl="3" w:tentative="0">
      <w:start w:val="1"/>
      <w:numFmt w:val="decimal"/>
      <w:lvlText w:val="%4."/>
      <w:lvlJc w:val="left"/>
      <w:pPr>
        <w:ind w:left="5082" w:hanging="420"/>
      </w:pPr>
      <w:rPr>
        <w:rFonts w:cs="Times New Roman"/>
      </w:rPr>
    </w:lvl>
    <w:lvl w:ilvl="4" w:tentative="0">
      <w:start w:val="1"/>
      <w:numFmt w:val="lowerLetter"/>
      <w:lvlText w:val="%5)"/>
      <w:lvlJc w:val="left"/>
      <w:pPr>
        <w:ind w:left="5502" w:hanging="420"/>
      </w:pPr>
      <w:rPr>
        <w:rFonts w:cs="Times New Roman"/>
      </w:rPr>
    </w:lvl>
    <w:lvl w:ilvl="5" w:tentative="0">
      <w:start w:val="1"/>
      <w:numFmt w:val="lowerRoman"/>
      <w:lvlText w:val="%6."/>
      <w:lvlJc w:val="right"/>
      <w:pPr>
        <w:ind w:left="5922" w:hanging="420"/>
      </w:pPr>
      <w:rPr>
        <w:rFonts w:cs="Times New Roman"/>
      </w:rPr>
    </w:lvl>
    <w:lvl w:ilvl="6" w:tentative="0">
      <w:start w:val="1"/>
      <w:numFmt w:val="decimal"/>
      <w:lvlText w:val="%7."/>
      <w:lvlJc w:val="left"/>
      <w:pPr>
        <w:ind w:left="6342" w:hanging="420"/>
      </w:pPr>
      <w:rPr>
        <w:rFonts w:cs="Times New Roman"/>
      </w:rPr>
    </w:lvl>
    <w:lvl w:ilvl="7" w:tentative="0">
      <w:start w:val="1"/>
      <w:numFmt w:val="lowerLetter"/>
      <w:lvlText w:val="%8)"/>
      <w:lvlJc w:val="left"/>
      <w:pPr>
        <w:ind w:left="6762" w:hanging="420"/>
      </w:pPr>
      <w:rPr>
        <w:rFonts w:cs="Times New Roman"/>
      </w:rPr>
    </w:lvl>
    <w:lvl w:ilvl="8" w:tentative="0">
      <w:start w:val="1"/>
      <w:numFmt w:val="lowerRoman"/>
      <w:lvlText w:val="%9."/>
      <w:lvlJc w:val="right"/>
      <w:pPr>
        <w:ind w:left="7182" w:hanging="420"/>
      </w:pPr>
      <w:rPr>
        <w:rFonts w:cs="Times New Roman"/>
      </w:rPr>
    </w:lvl>
  </w:abstractNum>
  <w:abstractNum w:abstractNumId="14">
    <w:nsid w:val="450513B8"/>
    <w:multiLevelType w:val="multilevel"/>
    <w:tmpl w:val="450513B8"/>
    <w:lvl w:ilvl="0" w:tentative="0">
      <w:start w:val="1"/>
      <w:numFmt w:val="japaneseCounting"/>
      <w:lvlText w:val="第%1章"/>
      <w:lvlJc w:val="left"/>
      <w:pPr>
        <w:tabs>
          <w:tab w:val="left" w:pos="2115"/>
        </w:tabs>
        <w:ind w:left="2115" w:hanging="855"/>
      </w:pPr>
      <w:rPr>
        <w:rFonts w:hint="eastAsia" w:cs="Times New Roman"/>
      </w:rPr>
    </w:lvl>
    <w:lvl w:ilvl="1" w:tentative="0">
      <w:start w:val="1"/>
      <w:numFmt w:val="lowerLetter"/>
      <w:lvlText w:val="%2)"/>
      <w:lvlJc w:val="left"/>
      <w:pPr>
        <w:tabs>
          <w:tab w:val="left" w:pos="2100"/>
        </w:tabs>
        <w:ind w:left="2100" w:hanging="420"/>
      </w:pPr>
      <w:rPr>
        <w:rFonts w:cs="Times New Roman"/>
      </w:rPr>
    </w:lvl>
    <w:lvl w:ilvl="2" w:tentative="0">
      <w:start w:val="1"/>
      <w:numFmt w:val="decimal"/>
      <w:lvlText w:val="%3）"/>
      <w:lvlJc w:val="left"/>
      <w:pPr>
        <w:tabs>
          <w:tab w:val="left" w:pos="2820"/>
        </w:tabs>
        <w:ind w:left="2820" w:hanging="720"/>
      </w:pPr>
      <w:rPr>
        <w:rFonts w:hint="eastAsia" w:ascii="Arial" w:hAnsi="Arial" w:cs="Arial"/>
      </w:rPr>
    </w:lvl>
    <w:lvl w:ilvl="3" w:tentative="0">
      <w:start w:val="1"/>
      <w:numFmt w:val="lowerLetter"/>
      <w:lvlText w:val="%4)"/>
      <w:lvlJc w:val="left"/>
      <w:pPr>
        <w:tabs>
          <w:tab w:val="left" w:pos="2940"/>
        </w:tabs>
        <w:ind w:left="2940" w:hanging="420"/>
      </w:pPr>
      <w:rPr>
        <w:rFonts w:hint="eastAsia" w:cs="Times New Roman"/>
      </w:rPr>
    </w:lvl>
    <w:lvl w:ilvl="4" w:tentative="0">
      <w:start w:val="16"/>
      <w:numFmt w:val="decimal"/>
      <w:lvlText w:val="%5."/>
      <w:lvlJc w:val="left"/>
      <w:pPr>
        <w:tabs>
          <w:tab w:val="left" w:pos="3300"/>
        </w:tabs>
        <w:ind w:left="3300" w:hanging="360"/>
      </w:pPr>
      <w:rPr>
        <w:rFonts w:hint="default" w:cs="Times New Roman"/>
      </w:rPr>
    </w:lvl>
    <w:lvl w:ilvl="5" w:tentative="0">
      <w:start w:val="1"/>
      <w:numFmt w:val="lowerRoman"/>
      <w:lvlText w:val="%6."/>
      <w:lvlJc w:val="right"/>
      <w:pPr>
        <w:tabs>
          <w:tab w:val="left" w:pos="3780"/>
        </w:tabs>
        <w:ind w:left="3780" w:hanging="420"/>
      </w:pPr>
      <w:rPr>
        <w:rFonts w:cs="Times New Roman"/>
      </w:rPr>
    </w:lvl>
    <w:lvl w:ilvl="6" w:tentative="0">
      <w:start w:val="1"/>
      <w:numFmt w:val="decimal"/>
      <w:lvlText w:val="%7."/>
      <w:lvlJc w:val="left"/>
      <w:pPr>
        <w:tabs>
          <w:tab w:val="left" w:pos="4200"/>
        </w:tabs>
        <w:ind w:left="4200" w:hanging="420"/>
      </w:pPr>
      <w:rPr>
        <w:rFonts w:cs="Times New Roman"/>
      </w:rPr>
    </w:lvl>
    <w:lvl w:ilvl="7" w:tentative="0">
      <w:start w:val="1"/>
      <w:numFmt w:val="lowerLetter"/>
      <w:lvlText w:val="%8)"/>
      <w:lvlJc w:val="left"/>
      <w:pPr>
        <w:tabs>
          <w:tab w:val="left" w:pos="4620"/>
        </w:tabs>
        <w:ind w:left="4620" w:hanging="420"/>
      </w:pPr>
      <w:rPr>
        <w:rFonts w:cs="Times New Roman"/>
      </w:rPr>
    </w:lvl>
    <w:lvl w:ilvl="8" w:tentative="0">
      <w:start w:val="1"/>
      <w:numFmt w:val="lowerRoman"/>
      <w:lvlText w:val="%9."/>
      <w:lvlJc w:val="right"/>
      <w:pPr>
        <w:tabs>
          <w:tab w:val="left" w:pos="5040"/>
        </w:tabs>
        <w:ind w:left="5040" w:hanging="420"/>
      </w:pPr>
      <w:rPr>
        <w:rFonts w:cs="Times New Roman"/>
      </w:rPr>
    </w:lvl>
  </w:abstractNum>
  <w:abstractNum w:abstractNumId="15">
    <w:nsid w:val="567404C9"/>
    <w:multiLevelType w:val="singleLevel"/>
    <w:tmpl w:val="567404C9"/>
    <w:lvl w:ilvl="0" w:tentative="0">
      <w:start w:val="1"/>
      <w:numFmt w:val="chineseCountingThousand"/>
      <w:lvlText w:val="(%1)"/>
      <w:lvlJc w:val="left"/>
      <w:pPr>
        <w:tabs>
          <w:tab w:val="left" w:pos="294"/>
        </w:tabs>
        <w:ind w:left="510" w:hanging="504"/>
      </w:pPr>
      <w:rPr>
        <w:rFonts w:hint="eastAsia" w:cs="Times New Roman"/>
        <w:color w:val="auto"/>
      </w:rPr>
    </w:lvl>
  </w:abstractNum>
  <w:abstractNum w:abstractNumId="16">
    <w:nsid w:val="56740A1E"/>
    <w:multiLevelType w:val="singleLevel"/>
    <w:tmpl w:val="56740A1E"/>
    <w:lvl w:ilvl="0" w:tentative="0">
      <w:start w:val="1"/>
      <w:numFmt w:val="chineseCounting"/>
      <w:lvlText w:val="%1、"/>
      <w:lvlJc w:val="left"/>
      <w:pPr>
        <w:tabs>
          <w:tab w:val="left" w:pos="571"/>
        </w:tabs>
        <w:ind w:left="567" w:hanging="601"/>
      </w:pPr>
      <w:rPr>
        <w:rFonts w:hint="eastAsia" w:cs="Times New Roman"/>
      </w:rPr>
    </w:lvl>
  </w:abstractNum>
  <w:abstractNum w:abstractNumId="17">
    <w:nsid w:val="56740C07"/>
    <w:multiLevelType w:val="singleLevel"/>
    <w:tmpl w:val="56740C07"/>
    <w:lvl w:ilvl="0" w:tentative="0">
      <w:start w:val="4"/>
      <w:numFmt w:val="chineseCounting"/>
      <w:lvlText w:val="%1、"/>
      <w:lvlJc w:val="left"/>
      <w:pPr>
        <w:tabs>
          <w:tab w:val="left" w:pos="571"/>
        </w:tabs>
        <w:ind w:left="567" w:hanging="601"/>
      </w:pPr>
      <w:rPr>
        <w:rFonts w:hint="eastAsia" w:cs="Times New Roman"/>
      </w:rPr>
    </w:lvl>
  </w:abstractNum>
  <w:abstractNum w:abstractNumId="18">
    <w:nsid w:val="56740C65"/>
    <w:multiLevelType w:val="singleLevel"/>
    <w:tmpl w:val="56740C65"/>
    <w:lvl w:ilvl="0" w:tentative="0">
      <w:start w:val="5"/>
      <w:numFmt w:val="chineseCounting"/>
      <w:lvlText w:val="%1、"/>
      <w:lvlJc w:val="left"/>
      <w:pPr>
        <w:tabs>
          <w:tab w:val="left" w:pos="571"/>
        </w:tabs>
        <w:ind w:left="567" w:hanging="601"/>
      </w:pPr>
      <w:rPr>
        <w:rFonts w:hint="eastAsia" w:cs="Times New Roman"/>
      </w:rPr>
    </w:lvl>
  </w:abstractNum>
  <w:abstractNum w:abstractNumId="19">
    <w:nsid w:val="56740CF8"/>
    <w:multiLevelType w:val="singleLevel"/>
    <w:tmpl w:val="56740CF8"/>
    <w:lvl w:ilvl="0" w:tentative="0">
      <w:start w:val="6"/>
      <w:numFmt w:val="chineseCounting"/>
      <w:lvlText w:val="%1、"/>
      <w:lvlJc w:val="left"/>
      <w:pPr>
        <w:tabs>
          <w:tab w:val="left" w:pos="571"/>
        </w:tabs>
        <w:ind w:left="567" w:hanging="544"/>
      </w:pPr>
      <w:rPr>
        <w:rFonts w:hint="eastAsia" w:cs="Times New Roman"/>
      </w:rPr>
    </w:lvl>
  </w:abstractNum>
  <w:abstractNum w:abstractNumId="20">
    <w:nsid w:val="56740D32"/>
    <w:multiLevelType w:val="singleLevel"/>
    <w:tmpl w:val="56740D32"/>
    <w:lvl w:ilvl="0" w:tentative="0">
      <w:start w:val="1"/>
      <w:numFmt w:val="chineseCounting"/>
      <w:lvlText w:val="%1、"/>
      <w:lvlJc w:val="left"/>
      <w:pPr>
        <w:tabs>
          <w:tab w:val="left" w:pos="571"/>
        </w:tabs>
        <w:ind w:left="567" w:hanging="601"/>
      </w:pPr>
      <w:rPr>
        <w:rFonts w:hint="eastAsia" w:cs="Times New Roman"/>
      </w:rPr>
    </w:lvl>
  </w:abstractNum>
  <w:abstractNum w:abstractNumId="21">
    <w:nsid w:val="56740D4E"/>
    <w:multiLevelType w:val="singleLevel"/>
    <w:tmpl w:val="56740D4E"/>
    <w:lvl w:ilvl="0" w:tentative="0">
      <w:start w:val="1"/>
      <w:numFmt w:val="decimal"/>
      <w:lvlText w:val="%1．"/>
      <w:lvlJc w:val="left"/>
      <w:pPr>
        <w:tabs>
          <w:tab w:val="left" w:pos="571"/>
        </w:tabs>
        <w:ind w:left="567" w:hanging="561"/>
      </w:pPr>
      <w:rPr>
        <w:rFonts w:hint="default" w:cs="Times New Roman"/>
        <w:b w:val="0"/>
      </w:rPr>
    </w:lvl>
  </w:abstractNum>
  <w:abstractNum w:abstractNumId="22">
    <w:nsid w:val="56740E03"/>
    <w:multiLevelType w:val="singleLevel"/>
    <w:tmpl w:val="56740E03"/>
    <w:lvl w:ilvl="0" w:tentative="0">
      <w:start w:val="1"/>
      <w:numFmt w:val="decimal"/>
      <w:lvlText w:val="%1．"/>
      <w:lvlJc w:val="left"/>
      <w:pPr>
        <w:tabs>
          <w:tab w:val="left" w:pos="571"/>
        </w:tabs>
        <w:ind w:left="567" w:hanging="561"/>
      </w:pPr>
      <w:rPr>
        <w:rFonts w:hint="default" w:cs="Times New Roman"/>
      </w:rPr>
    </w:lvl>
  </w:abstractNum>
  <w:abstractNum w:abstractNumId="23">
    <w:nsid w:val="56740E51"/>
    <w:multiLevelType w:val="singleLevel"/>
    <w:tmpl w:val="56740E51"/>
    <w:lvl w:ilvl="0" w:tentative="0">
      <w:start w:val="1"/>
      <w:numFmt w:val="decimal"/>
      <w:lvlText w:val="%1．"/>
      <w:lvlJc w:val="left"/>
      <w:pPr>
        <w:tabs>
          <w:tab w:val="left" w:pos="571"/>
        </w:tabs>
        <w:ind w:left="567" w:hanging="561"/>
      </w:pPr>
      <w:rPr>
        <w:rFonts w:hint="default" w:cs="Times New Roman"/>
      </w:rPr>
    </w:lvl>
  </w:abstractNum>
  <w:abstractNum w:abstractNumId="24">
    <w:nsid w:val="56740EAE"/>
    <w:multiLevelType w:val="singleLevel"/>
    <w:tmpl w:val="56740EAE"/>
    <w:lvl w:ilvl="0" w:tentative="0">
      <w:start w:val="2"/>
      <w:numFmt w:val="chineseCounting"/>
      <w:lvlText w:val="%1、"/>
      <w:lvlJc w:val="left"/>
      <w:pPr>
        <w:tabs>
          <w:tab w:val="left" w:pos="571"/>
        </w:tabs>
        <w:ind w:left="567" w:hanging="601"/>
      </w:pPr>
      <w:rPr>
        <w:rFonts w:hint="eastAsia" w:cs="Times New Roman"/>
      </w:rPr>
    </w:lvl>
  </w:abstractNum>
  <w:abstractNum w:abstractNumId="25">
    <w:nsid w:val="56740F05"/>
    <w:multiLevelType w:val="singleLevel"/>
    <w:tmpl w:val="56740F05"/>
    <w:lvl w:ilvl="0" w:tentative="0">
      <w:start w:val="3"/>
      <w:numFmt w:val="chineseCounting"/>
      <w:lvlText w:val="%1、"/>
      <w:lvlJc w:val="left"/>
      <w:pPr>
        <w:tabs>
          <w:tab w:val="left" w:pos="571"/>
        </w:tabs>
        <w:ind w:left="567" w:hanging="601"/>
      </w:pPr>
      <w:rPr>
        <w:rFonts w:hint="eastAsia" w:cs="Times New Roman"/>
      </w:rPr>
    </w:lvl>
  </w:abstractNum>
  <w:abstractNum w:abstractNumId="26">
    <w:nsid w:val="56740F63"/>
    <w:multiLevelType w:val="singleLevel"/>
    <w:tmpl w:val="56740F63"/>
    <w:lvl w:ilvl="0" w:tentative="0">
      <w:start w:val="1"/>
      <w:numFmt w:val="decimal"/>
      <w:lvlText w:val="%1．"/>
      <w:lvlJc w:val="left"/>
      <w:pPr>
        <w:tabs>
          <w:tab w:val="left" w:pos="571"/>
        </w:tabs>
        <w:ind w:left="567" w:hanging="561"/>
      </w:pPr>
      <w:rPr>
        <w:rFonts w:hint="default" w:cs="Times New Roman"/>
      </w:rPr>
    </w:lvl>
  </w:abstractNum>
  <w:abstractNum w:abstractNumId="27">
    <w:nsid w:val="56740FA7"/>
    <w:multiLevelType w:val="singleLevel"/>
    <w:tmpl w:val="56740FA7"/>
    <w:lvl w:ilvl="0" w:tentative="0">
      <w:start w:val="1"/>
      <w:numFmt w:val="decimal"/>
      <w:lvlText w:val="%1．"/>
      <w:lvlJc w:val="left"/>
      <w:pPr>
        <w:tabs>
          <w:tab w:val="left" w:pos="571"/>
        </w:tabs>
        <w:ind w:left="567" w:hanging="561"/>
      </w:pPr>
      <w:rPr>
        <w:rFonts w:hint="default" w:cs="Times New Roman"/>
      </w:rPr>
    </w:lvl>
  </w:abstractNum>
  <w:abstractNum w:abstractNumId="28">
    <w:nsid w:val="56740FEE"/>
    <w:multiLevelType w:val="singleLevel"/>
    <w:tmpl w:val="56740FEE"/>
    <w:lvl w:ilvl="0" w:tentative="0">
      <w:start w:val="6"/>
      <w:numFmt w:val="chineseCounting"/>
      <w:lvlText w:val="%1、"/>
      <w:lvlJc w:val="left"/>
      <w:pPr>
        <w:tabs>
          <w:tab w:val="left" w:pos="571"/>
        </w:tabs>
        <w:ind w:left="567" w:hanging="601"/>
      </w:pPr>
      <w:rPr>
        <w:rFonts w:hint="eastAsia" w:cs="Times New Roman"/>
      </w:rPr>
    </w:lvl>
  </w:abstractNum>
  <w:abstractNum w:abstractNumId="29">
    <w:nsid w:val="5674103D"/>
    <w:multiLevelType w:val="singleLevel"/>
    <w:tmpl w:val="5674103D"/>
    <w:lvl w:ilvl="0" w:tentative="0">
      <w:start w:val="1"/>
      <w:numFmt w:val="decimal"/>
      <w:lvlText w:val="%1．"/>
      <w:lvlJc w:val="left"/>
      <w:pPr>
        <w:tabs>
          <w:tab w:val="left" w:pos="571"/>
        </w:tabs>
        <w:ind w:left="567" w:hanging="561"/>
      </w:pPr>
      <w:rPr>
        <w:rFonts w:hint="default" w:cs="Times New Roman"/>
      </w:rPr>
    </w:lvl>
  </w:abstractNum>
  <w:abstractNum w:abstractNumId="30">
    <w:nsid w:val="5674106D"/>
    <w:multiLevelType w:val="singleLevel"/>
    <w:tmpl w:val="5674106D"/>
    <w:lvl w:ilvl="0" w:tentative="0">
      <w:start w:val="1"/>
      <w:numFmt w:val="decimal"/>
      <w:lvlText w:val="%1)"/>
      <w:lvlJc w:val="left"/>
      <w:pPr>
        <w:tabs>
          <w:tab w:val="left" w:pos="595"/>
        </w:tabs>
        <w:ind w:left="595" w:hanging="595"/>
      </w:pPr>
      <w:rPr>
        <w:rFonts w:hint="default" w:cs="Times New Roman"/>
      </w:rPr>
    </w:lvl>
  </w:abstractNum>
  <w:abstractNum w:abstractNumId="31">
    <w:nsid w:val="597C2C59"/>
    <w:multiLevelType w:val="singleLevel"/>
    <w:tmpl w:val="597C2C59"/>
    <w:lvl w:ilvl="0" w:tentative="0">
      <w:start w:val="1"/>
      <w:numFmt w:val="bullet"/>
      <w:lvlText w:val=""/>
      <w:lvlJc w:val="left"/>
      <w:pPr>
        <w:ind w:left="420" w:hanging="420"/>
      </w:pPr>
      <w:rPr>
        <w:rFonts w:hint="default" w:ascii="Wingdings" w:hAnsi="Wingdings" w:cs="Wingdings"/>
      </w:rPr>
    </w:lvl>
  </w:abstractNum>
  <w:abstractNum w:abstractNumId="32">
    <w:nsid w:val="597C39D6"/>
    <w:multiLevelType w:val="singleLevel"/>
    <w:tmpl w:val="597C39D6"/>
    <w:lvl w:ilvl="0" w:tentative="0">
      <w:start w:val="1"/>
      <w:numFmt w:val="bullet"/>
      <w:lvlText w:val=""/>
      <w:lvlJc w:val="left"/>
      <w:pPr>
        <w:ind w:left="420" w:hanging="420"/>
      </w:pPr>
      <w:rPr>
        <w:rFonts w:hint="default" w:ascii="Wingdings" w:hAnsi="Wingdings" w:cs="Wingdings"/>
      </w:rPr>
    </w:lvl>
  </w:abstractNum>
  <w:abstractNum w:abstractNumId="33">
    <w:nsid w:val="62407847"/>
    <w:multiLevelType w:val="multilevel"/>
    <w:tmpl w:val="62407847"/>
    <w:lvl w:ilvl="0" w:tentative="0">
      <w:start w:val="8"/>
      <w:numFmt w:val="decimal"/>
      <w:pStyle w:val="5"/>
      <w:lvlText w:val="%1."/>
      <w:lvlJc w:val="left"/>
      <w:pPr>
        <w:tabs>
          <w:tab w:val="left" w:pos="1134"/>
        </w:tabs>
        <w:ind w:left="1134" w:hanging="1134"/>
      </w:pPr>
      <w:rPr>
        <w:rFonts w:hint="eastAsia" w:ascii="宋体" w:eastAsia="宋体" w:cs="Times New Roman"/>
        <w:b/>
        <w:i w:val="0"/>
        <w:sz w:val="24"/>
      </w:rPr>
    </w:lvl>
    <w:lvl w:ilvl="1" w:tentative="0">
      <w:start w:val="5"/>
      <w:numFmt w:val="decimal"/>
      <w:lvlText w:val="%1.%2"/>
      <w:lvlJc w:val="left"/>
      <w:pPr>
        <w:tabs>
          <w:tab w:val="left" w:pos="1134"/>
        </w:tabs>
        <w:ind w:left="1134" w:hanging="1134"/>
      </w:pPr>
      <w:rPr>
        <w:rFonts w:hint="eastAsia" w:ascii="宋体" w:eastAsia="宋体" w:cs="Times New Roman"/>
        <w:b w:val="0"/>
        <w:i w:val="0"/>
        <w:sz w:val="24"/>
      </w:rPr>
    </w:lvl>
    <w:lvl w:ilvl="2" w:tentative="0">
      <w:start w:val="1"/>
      <w:numFmt w:val="decimal"/>
      <w:lvlText w:val="10.4.%3"/>
      <w:lvlJc w:val="left"/>
      <w:pPr>
        <w:tabs>
          <w:tab w:val="left" w:pos="1134"/>
        </w:tabs>
        <w:ind w:left="1134" w:hanging="1134"/>
      </w:pPr>
      <w:rPr>
        <w:rFonts w:hint="eastAsia" w:ascii="宋体" w:eastAsia="宋体" w:cs="Times New Roman"/>
        <w:b w:val="0"/>
        <w:i w:val="0"/>
        <w:sz w:val="24"/>
        <w:szCs w:val="24"/>
      </w:rPr>
    </w:lvl>
    <w:lvl w:ilvl="3" w:tentative="0">
      <w:start w:val="1"/>
      <w:numFmt w:val="decimal"/>
      <w:lvlText w:val="%1.%2.%3.%4"/>
      <w:lvlJc w:val="left"/>
      <w:pPr>
        <w:tabs>
          <w:tab w:val="left" w:pos="1134"/>
        </w:tabs>
        <w:ind w:left="1134" w:hanging="1134"/>
      </w:pPr>
      <w:rPr>
        <w:rFonts w:hint="eastAsia" w:ascii="宋体" w:eastAsia="宋体" w:cs="Times New Roman"/>
        <w:b w:val="0"/>
        <w:i w:val="0"/>
        <w:sz w:val="24"/>
      </w:rPr>
    </w:lvl>
    <w:lvl w:ilvl="4" w:tentative="0">
      <w:start w:val="1"/>
      <w:numFmt w:val="decimal"/>
      <w:lvlText w:val="%1.%2.%3.%4.%5"/>
      <w:lvlJc w:val="left"/>
      <w:pPr>
        <w:tabs>
          <w:tab w:val="left" w:pos="1134"/>
        </w:tabs>
        <w:ind w:left="1134" w:hanging="1134"/>
      </w:pPr>
      <w:rPr>
        <w:rFonts w:hint="eastAsia" w:ascii="宋体" w:eastAsia="宋体" w:cs="Times New Roman"/>
        <w:b w:val="0"/>
        <w:i w:val="0"/>
        <w:sz w:val="24"/>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4">
    <w:nsid w:val="64A26742"/>
    <w:multiLevelType w:val="multilevel"/>
    <w:tmpl w:val="64A26742"/>
    <w:lvl w:ilvl="0" w:tentative="0">
      <w:start w:val="1"/>
      <w:numFmt w:val="decimal"/>
      <w:lvlText w:val="%1."/>
      <w:lvlJc w:val="left"/>
      <w:pPr>
        <w:ind w:left="425" w:hanging="425"/>
      </w:pPr>
    </w:lvl>
    <w:lvl w:ilvl="1" w:tentative="0">
      <w:start w:val="1"/>
      <w:numFmt w:val="bullet"/>
      <w:lvlText w:val=""/>
      <w:lvlJc w:val="left"/>
      <w:pPr>
        <w:ind w:left="567" w:hanging="567"/>
      </w:pPr>
      <w:rPr>
        <w:rFonts w:hint="default" w:ascii="Wingdings" w:hAnsi="Wingdings" w:cs="Wingdings"/>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5">
    <w:nsid w:val="6EA20DFE"/>
    <w:multiLevelType w:val="multilevel"/>
    <w:tmpl w:val="6EA20DFE"/>
    <w:lvl w:ilvl="0" w:tentative="0">
      <w:start w:val="1"/>
      <w:numFmt w:val="decimal"/>
      <w:lvlText w:val="%1."/>
      <w:lvlJc w:val="left"/>
      <w:pPr>
        <w:tabs>
          <w:tab w:val="left" w:pos="-323"/>
        </w:tabs>
        <w:ind w:left="-107" w:hanging="216"/>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2E7810A"/>
    <w:multiLevelType w:val="singleLevel"/>
    <w:tmpl w:val="72E7810A"/>
    <w:lvl w:ilvl="0" w:tentative="0">
      <w:start w:val="1"/>
      <w:numFmt w:val="chineseCounting"/>
      <w:suff w:val="nothing"/>
      <w:lvlText w:val="%1、"/>
      <w:lvlJc w:val="left"/>
      <w:rPr>
        <w:rFonts w:hint="eastAsia"/>
      </w:rPr>
    </w:lvl>
  </w:abstractNum>
  <w:num w:numId="1">
    <w:abstractNumId w:val="33"/>
  </w:num>
  <w:num w:numId="2">
    <w:abstractNumId w:val="3"/>
  </w:num>
  <w:num w:numId="3">
    <w:abstractNumId w:val="8"/>
  </w:num>
  <w:num w:numId="4">
    <w:abstractNumId w:val="11"/>
  </w:num>
  <w:num w:numId="5">
    <w:abstractNumId w:val="2"/>
  </w:num>
  <w:num w:numId="6">
    <w:abstractNumId w:val="6"/>
  </w:num>
  <w:num w:numId="7">
    <w:abstractNumId w:val="3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6"/>
  </w:num>
  <w:num w:numId="12">
    <w:abstractNumId w:val="10"/>
  </w:num>
  <w:num w:numId="13">
    <w:abstractNumId w:val="5"/>
  </w:num>
  <w:num w:numId="14">
    <w:abstractNumId w:val="1"/>
  </w:num>
  <w:num w:numId="15">
    <w:abstractNumId w:val="32"/>
  </w:num>
  <w:num w:numId="16">
    <w:abstractNumId w:val="34"/>
  </w:num>
  <w:num w:numId="17">
    <w:abstractNumId w:val="31"/>
  </w:num>
  <w:num w:numId="18">
    <w:abstractNumId w:val="4"/>
  </w:num>
  <w:num w:numId="19">
    <w:abstractNumId w:val="9"/>
  </w:num>
  <w:num w:numId="20">
    <w:abstractNumId w:val="17"/>
  </w:num>
  <w:num w:numId="21">
    <w:abstractNumId w:val="18"/>
  </w:num>
  <w:num w:numId="22">
    <w:abstractNumId w:val="19"/>
  </w:num>
  <w:num w:numId="23">
    <w:abstractNumId w:val="21"/>
  </w:num>
  <w:num w:numId="24">
    <w:abstractNumId w:val="20"/>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6"/>
  </w:num>
  <w:num w:numId="35">
    <w:abstractNumId w:val="0"/>
  </w:num>
  <w:num w:numId="36">
    <w:abstractNumId w:val="1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WI0NTE4Y2FlZWY3NGI0ZGM3NzZjYzg0NjZlNTMifQ=="/>
  </w:docVars>
  <w:rsids>
    <w:rsidRoot w:val="00F00E21"/>
    <w:rsid w:val="00000EA7"/>
    <w:rsid w:val="0000111C"/>
    <w:rsid w:val="00002160"/>
    <w:rsid w:val="0000485C"/>
    <w:rsid w:val="00004A17"/>
    <w:rsid w:val="00006272"/>
    <w:rsid w:val="00010900"/>
    <w:rsid w:val="00012719"/>
    <w:rsid w:val="0001424E"/>
    <w:rsid w:val="00015B82"/>
    <w:rsid w:val="00015F89"/>
    <w:rsid w:val="00021679"/>
    <w:rsid w:val="0003084C"/>
    <w:rsid w:val="00031907"/>
    <w:rsid w:val="00036612"/>
    <w:rsid w:val="00036FDA"/>
    <w:rsid w:val="000406CD"/>
    <w:rsid w:val="000411DA"/>
    <w:rsid w:val="00041A85"/>
    <w:rsid w:val="00044BC6"/>
    <w:rsid w:val="0004618F"/>
    <w:rsid w:val="00055644"/>
    <w:rsid w:val="000604E6"/>
    <w:rsid w:val="00062296"/>
    <w:rsid w:val="000635AE"/>
    <w:rsid w:val="0006584B"/>
    <w:rsid w:val="00066C03"/>
    <w:rsid w:val="00066FC0"/>
    <w:rsid w:val="00067751"/>
    <w:rsid w:val="00067983"/>
    <w:rsid w:val="000713B4"/>
    <w:rsid w:val="000750E2"/>
    <w:rsid w:val="0007569E"/>
    <w:rsid w:val="00076B8B"/>
    <w:rsid w:val="00076FD1"/>
    <w:rsid w:val="00077A94"/>
    <w:rsid w:val="000846A8"/>
    <w:rsid w:val="0008577F"/>
    <w:rsid w:val="000919AA"/>
    <w:rsid w:val="00095C28"/>
    <w:rsid w:val="000A6C62"/>
    <w:rsid w:val="000B471C"/>
    <w:rsid w:val="000B5561"/>
    <w:rsid w:val="000C0D8A"/>
    <w:rsid w:val="000C19CB"/>
    <w:rsid w:val="000C290C"/>
    <w:rsid w:val="000C2B94"/>
    <w:rsid w:val="000C34AA"/>
    <w:rsid w:val="000C48F7"/>
    <w:rsid w:val="000C7D35"/>
    <w:rsid w:val="000D17B9"/>
    <w:rsid w:val="000E1D71"/>
    <w:rsid w:val="000E47BE"/>
    <w:rsid w:val="000E7F44"/>
    <w:rsid w:val="000F225E"/>
    <w:rsid w:val="000F49CE"/>
    <w:rsid w:val="000F7E55"/>
    <w:rsid w:val="00102816"/>
    <w:rsid w:val="00103824"/>
    <w:rsid w:val="00103FEB"/>
    <w:rsid w:val="00104B46"/>
    <w:rsid w:val="00107296"/>
    <w:rsid w:val="00110D62"/>
    <w:rsid w:val="001122F8"/>
    <w:rsid w:val="00117F24"/>
    <w:rsid w:val="001213D6"/>
    <w:rsid w:val="0012297B"/>
    <w:rsid w:val="001256F3"/>
    <w:rsid w:val="0012754C"/>
    <w:rsid w:val="001300ED"/>
    <w:rsid w:val="0013105E"/>
    <w:rsid w:val="0013156A"/>
    <w:rsid w:val="001319EB"/>
    <w:rsid w:val="0013387E"/>
    <w:rsid w:val="00136BA4"/>
    <w:rsid w:val="00136E64"/>
    <w:rsid w:val="0014038E"/>
    <w:rsid w:val="00142652"/>
    <w:rsid w:val="00142A41"/>
    <w:rsid w:val="00144DFE"/>
    <w:rsid w:val="00144F11"/>
    <w:rsid w:val="00145531"/>
    <w:rsid w:val="001500E3"/>
    <w:rsid w:val="00153165"/>
    <w:rsid w:val="001532EF"/>
    <w:rsid w:val="00155713"/>
    <w:rsid w:val="00157345"/>
    <w:rsid w:val="00162ED2"/>
    <w:rsid w:val="001662C9"/>
    <w:rsid w:val="001664E8"/>
    <w:rsid w:val="00170AD4"/>
    <w:rsid w:val="00170D26"/>
    <w:rsid w:val="001710C3"/>
    <w:rsid w:val="00173813"/>
    <w:rsid w:val="00176FB6"/>
    <w:rsid w:val="00177EA0"/>
    <w:rsid w:val="00185D2C"/>
    <w:rsid w:val="00185DF3"/>
    <w:rsid w:val="00186AD8"/>
    <w:rsid w:val="00190EFF"/>
    <w:rsid w:val="00192835"/>
    <w:rsid w:val="00193158"/>
    <w:rsid w:val="00193B31"/>
    <w:rsid w:val="0019427C"/>
    <w:rsid w:val="00196ACB"/>
    <w:rsid w:val="0019767F"/>
    <w:rsid w:val="001A255D"/>
    <w:rsid w:val="001B2A43"/>
    <w:rsid w:val="001B3828"/>
    <w:rsid w:val="001B73D3"/>
    <w:rsid w:val="001C0919"/>
    <w:rsid w:val="001C2DB2"/>
    <w:rsid w:val="001C5A56"/>
    <w:rsid w:val="001C79B3"/>
    <w:rsid w:val="001D2390"/>
    <w:rsid w:val="001D4C05"/>
    <w:rsid w:val="001D786D"/>
    <w:rsid w:val="001E16D5"/>
    <w:rsid w:val="001E1E5C"/>
    <w:rsid w:val="001E48E1"/>
    <w:rsid w:val="001E4AB0"/>
    <w:rsid w:val="001E54DD"/>
    <w:rsid w:val="001F199A"/>
    <w:rsid w:val="001F60E4"/>
    <w:rsid w:val="001F61D5"/>
    <w:rsid w:val="00201F10"/>
    <w:rsid w:val="002036EE"/>
    <w:rsid w:val="00203866"/>
    <w:rsid w:val="00204E21"/>
    <w:rsid w:val="00213FE2"/>
    <w:rsid w:val="00214620"/>
    <w:rsid w:val="00214DFD"/>
    <w:rsid w:val="00214F21"/>
    <w:rsid w:val="00215890"/>
    <w:rsid w:val="002165E1"/>
    <w:rsid w:val="00220D08"/>
    <w:rsid w:val="00222B6A"/>
    <w:rsid w:val="002328F3"/>
    <w:rsid w:val="00234912"/>
    <w:rsid w:val="00234FB8"/>
    <w:rsid w:val="00235184"/>
    <w:rsid w:val="00235CE1"/>
    <w:rsid w:val="00235F5D"/>
    <w:rsid w:val="002418C8"/>
    <w:rsid w:val="00241EE6"/>
    <w:rsid w:val="00242D39"/>
    <w:rsid w:val="00245C46"/>
    <w:rsid w:val="002479CB"/>
    <w:rsid w:val="002526A9"/>
    <w:rsid w:val="00254175"/>
    <w:rsid w:val="00254699"/>
    <w:rsid w:val="00255824"/>
    <w:rsid w:val="00257D32"/>
    <w:rsid w:val="0026066D"/>
    <w:rsid w:val="0026097D"/>
    <w:rsid w:val="00261A37"/>
    <w:rsid w:val="00262DD4"/>
    <w:rsid w:val="0026438C"/>
    <w:rsid w:val="0026622F"/>
    <w:rsid w:val="00272953"/>
    <w:rsid w:val="00272C75"/>
    <w:rsid w:val="00272FF8"/>
    <w:rsid w:val="002763B9"/>
    <w:rsid w:val="002816BA"/>
    <w:rsid w:val="00283484"/>
    <w:rsid w:val="00290E67"/>
    <w:rsid w:val="00290FF6"/>
    <w:rsid w:val="00292B1D"/>
    <w:rsid w:val="00292CC4"/>
    <w:rsid w:val="00294BF6"/>
    <w:rsid w:val="002966B3"/>
    <w:rsid w:val="002A0042"/>
    <w:rsid w:val="002A7F2A"/>
    <w:rsid w:val="002B6E4E"/>
    <w:rsid w:val="002B73FB"/>
    <w:rsid w:val="002C04A0"/>
    <w:rsid w:val="002C174D"/>
    <w:rsid w:val="002C6C4C"/>
    <w:rsid w:val="002D5E01"/>
    <w:rsid w:val="002E061B"/>
    <w:rsid w:val="002E398D"/>
    <w:rsid w:val="002E3E67"/>
    <w:rsid w:val="002F071F"/>
    <w:rsid w:val="002F14DD"/>
    <w:rsid w:val="002F23C1"/>
    <w:rsid w:val="002F294D"/>
    <w:rsid w:val="002F2FCF"/>
    <w:rsid w:val="002F7F9F"/>
    <w:rsid w:val="00301260"/>
    <w:rsid w:val="00305969"/>
    <w:rsid w:val="00307CB2"/>
    <w:rsid w:val="00313338"/>
    <w:rsid w:val="00313744"/>
    <w:rsid w:val="003221F6"/>
    <w:rsid w:val="003229B8"/>
    <w:rsid w:val="00325077"/>
    <w:rsid w:val="00335850"/>
    <w:rsid w:val="00337704"/>
    <w:rsid w:val="003435B8"/>
    <w:rsid w:val="0034449A"/>
    <w:rsid w:val="00344F36"/>
    <w:rsid w:val="00346FDC"/>
    <w:rsid w:val="00347128"/>
    <w:rsid w:val="003479D4"/>
    <w:rsid w:val="003507F0"/>
    <w:rsid w:val="003536CA"/>
    <w:rsid w:val="00355773"/>
    <w:rsid w:val="003568BF"/>
    <w:rsid w:val="0035754F"/>
    <w:rsid w:val="0035798A"/>
    <w:rsid w:val="00362279"/>
    <w:rsid w:val="00362370"/>
    <w:rsid w:val="003636D9"/>
    <w:rsid w:val="003642A0"/>
    <w:rsid w:val="00371B0F"/>
    <w:rsid w:val="003736ED"/>
    <w:rsid w:val="00373F93"/>
    <w:rsid w:val="00374181"/>
    <w:rsid w:val="00385871"/>
    <w:rsid w:val="0038737C"/>
    <w:rsid w:val="00397E63"/>
    <w:rsid w:val="003A2F1A"/>
    <w:rsid w:val="003A4A0D"/>
    <w:rsid w:val="003A6684"/>
    <w:rsid w:val="003A6B13"/>
    <w:rsid w:val="003A727F"/>
    <w:rsid w:val="003B199E"/>
    <w:rsid w:val="003B386E"/>
    <w:rsid w:val="003C2CFA"/>
    <w:rsid w:val="003C34E8"/>
    <w:rsid w:val="003C4002"/>
    <w:rsid w:val="003D00EC"/>
    <w:rsid w:val="003D108F"/>
    <w:rsid w:val="003D1B89"/>
    <w:rsid w:val="003D2951"/>
    <w:rsid w:val="003D2F78"/>
    <w:rsid w:val="003D3560"/>
    <w:rsid w:val="003E0726"/>
    <w:rsid w:val="003F0B27"/>
    <w:rsid w:val="003F1811"/>
    <w:rsid w:val="003F2BB8"/>
    <w:rsid w:val="003F37F9"/>
    <w:rsid w:val="003F386A"/>
    <w:rsid w:val="003F5A2D"/>
    <w:rsid w:val="00400EC6"/>
    <w:rsid w:val="00401A65"/>
    <w:rsid w:val="00402291"/>
    <w:rsid w:val="00403E0A"/>
    <w:rsid w:val="004074AF"/>
    <w:rsid w:val="004105CE"/>
    <w:rsid w:val="00411AE9"/>
    <w:rsid w:val="00411D07"/>
    <w:rsid w:val="0041537B"/>
    <w:rsid w:val="00416486"/>
    <w:rsid w:val="00422B5E"/>
    <w:rsid w:val="00426D4A"/>
    <w:rsid w:val="004279A2"/>
    <w:rsid w:val="00430236"/>
    <w:rsid w:val="004317E3"/>
    <w:rsid w:val="00432A3D"/>
    <w:rsid w:val="0043327E"/>
    <w:rsid w:val="004363E7"/>
    <w:rsid w:val="00436DB0"/>
    <w:rsid w:val="004411F6"/>
    <w:rsid w:val="004420E8"/>
    <w:rsid w:val="00442660"/>
    <w:rsid w:val="004451FB"/>
    <w:rsid w:val="00450C84"/>
    <w:rsid w:val="00450E67"/>
    <w:rsid w:val="0045161A"/>
    <w:rsid w:val="004549A3"/>
    <w:rsid w:val="00455C6F"/>
    <w:rsid w:val="00460EA1"/>
    <w:rsid w:val="004640A8"/>
    <w:rsid w:val="00464F28"/>
    <w:rsid w:val="00466AFD"/>
    <w:rsid w:val="00467AE0"/>
    <w:rsid w:val="00467FA8"/>
    <w:rsid w:val="00471F5C"/>
    <w:rsid w:val="004730EE"/>
    <w:rsid w:val="00476747"/>
    <w:rsid w:val="00480B9D"/>
    <w:rsid w:val="00481CFF"/>
    <w:rsid w:val="00481EB4"/>
    <w:rsid w:val="00482457"/>
    <w:rsid w:val="0049424F"/>
    <w:rsid w:val="00495794"/>
    <w:rsid w:val="00496595"/>
    <w:rsid w:val="00496927"/>
    <w:rsid w:val="004A10BF"/>
    <w:rsid w:val="004A13D0"/>
    <w:rsid w:val="004A77A5"/>
    <w:rsid w:val="004B159B"/>
    <w:rsid w:val="004B2872"/>
    <w:rsid w:val="004B556D"/>
    <w:rsid w:val="004B606E"/>
    <w:rsid w:val="004B6436"/>
    <w:rsid w:val="004C187E"/>
    <w:rsid w:val="004C38D8"/>
    <w:rsid w:val="004C4ED4"/>
    <w:rsid w:val="004C784E"/>
    <w:rsid w:val="004C7FE8"/>
    <w:rsid w:val="004D013E"/>
    <w:rsid w:val="004D05E5"/>
    <w:rsid w:val="004D36D2"/>
    <w:rsid w:val="004D389E"/>
    <w:rsid w:val="004E027C"/>
    <w:rsid w:val="004E52EB"/>
    <w:rsid w:val="004E73F9"/>
    <w:rsid w:val="004F118E"/>
    <w:rsid w:val="004F22FF"/>
    <w:rsid w:val="004F5179"/>
    <w:rsid w:val="004F686F"/>
    <w:rsid w:val="004F6A40"/>
    <w:rsid w:val="00504B78"/>
    <w:rsid w:val="00506223"/>
    <w:rsid w:val="0051213E"/>
    <w:rsid w:val="005139EB"/>
    <w:rsid w:val="00520D83"/>
    <w:rsid w:val="00523464"/>
    <w:rsid w:val="00524DC9"/>
    <w:rsid w:val="00526C1A"/>
    <w:rsid w:val="00533E35"/>
    <w:rsid w:val="005364BE"/>
    <w:rsid w:val="005373B1"/>
    <w:rsid w:val="00537FCE"/>
    <w:rsid w:val="00540C2F"/>
    <w:rsid w:val="00540DB2"/>
    <w:rsid w:val="00542DE1"/>
    <w:rsid w:val="00552E88"/>
    <w:rsid w:val="00554314"/>
    <w:rsid w:val="00554B48"/>
    <w:rsid w:val="005578F0"/>
    <w:rsid w:val="00557B57"/>
    <w:rsid w:val="005634C8"/>
    <w:rsid w:val="0056416A"/>
    <w:rsid w:val="0056560A"/>
    <w:rsid w:val="00566147"/>
    <w:rsid w:val="00567477"/>
    <w:rsid w:val="005675E4"/>
    <w:rsid w:val="00571F6B"/>
    <w:rsid w:val="0057268D"/>
    <w:rsid w:val="00573E1B"/>
    <w:rsid w:val="005763FB"/>
    <w:rsid w:val="00584807"/>
    <w:rsid w:val="00585DDE"/>
    <w:rsid w:val="00586DF7"/>
    <w:rsid w:val="00587A65"/>
    <w:rsid w:val="00587CCD"/>
    <w:rsid w:val="00587DB5"/>
    <w:rsid w:val="00590148"/>
    <w:rsid w:val="00594847"/>
    <w:rsid w:val="0059654A"/>
    <w:rsid w:val="005A0710"/>
    <w:rsid w:val="005A4192"/>
    <w:rsid w:val="005A54DC"/>
    <w:rsid w:val="005A74FD"/>
    <w:rsid w:val="005B0377"/>
    <w:rsid w:val="005B12F5"/>
    <w:rsid w:val="005B28E8"/>
    <w:rsid w:val="005B4C3F"/>
    <w:rsid w:val="005B4E08"/>
    <w:rsid w:val="005B4E11"/>
    <w:rsid w:val="005B5201"/>
    <w:rsid w:val="005B54BD"/>
    <w:rsid w:val="005B6FDC"/>
    <w:rsid w:val="005C415E"/>
    <w:rsid w:val="005D1FA0"/>
    <w:rsid w:val="005D2FF4"/>
    <w:rsid w:val="005D6BFE"/>
    <w:rsid w:val="005D73C7"/>
    <w:rsid w:val="005D7E7C"/>
    <w:rsid w:val="005E7E51"/>
    <w:rsid w:val="005F13E7"/>
    <w:rsid w:val="00600CE8"/>
    <w:rsid w:val="00601137"/>
    <w:rsid w:val="00601154"/>
    <w:rsid w:val="00603390"/>
    <w:rsid w:val="00603A80"/>
    <w:rsid w:val="0060531E"/>
    <w:rsid w:val="00605E53"/>
    <w:rsid w:val="0060788D"/>
    <w:rsid w:val="00607EEB"/>
    <w:rsid w:val="0061151C"/>
    <w:rsid w:val="00614E42"/>
    <w:rsid w:val="006152B3"/>
    <w:rsid w:val="006204EA"/>
    <w:rsid w:val="00621D20"/>
    <w:rsid w:val="00623B3A"/>
    <w:rsid w:val="00625168"/>
    <w:rsid w:val="0062642A"/>
    <w:rsid w:val="006304AF"/>
    <w:rsid w:val="00631FA7"/>
    <w:rsid w:val="00634158"/>
    <w:rsid w:val="006362B4"/>
    <w:rsid w:val="00636C35"/>
    <w:rsid w:val="006373DB"/>
    <w:rsid w:val="00652F10"/>
    <w:rsid w:val="00653F51"/>
    <w:rsid w:val="006604A2"/>
    <w:rsid w:val="00661782"/>
    <w:rsid w:val="0066325B"/>
    <w:rsid w:val="00665C32"/>
    <w:rsid w:val="00666596"/>
    <w:rsid w:val="006709C8"/>
    <w:rsid w:val="00670ACF"/>
    <w:rsid w:val="0067403F"/>
    <w:rsid w:val="006747F1"/>
    <w:rsid w:val="006753E2"/>
    <w:rsid w:val="00680E01"/>
    <w:rsid w:val="00681F5E"/>
    <w:rsid w:val="00684780"/>
    <w:rsid w:val="00693361"/>
    <w:rsid w:val="006949C3"/>
    <w:rsid w:val="0069702E"/>
    <w:rsid w:val="00697063"/>
    <w:rsid w:val="006B3D76"/>
    <w:rsid w:val="006C3E54"/>
    <w:rsid w:val="006C40F0"/>
    <w:rsid w:val="006C4F76"/>
    <w:rsid w:val="006C5220"/>
    <w:rsid w:val="006D1521"/>
    <w:rsid w:val="006D3612"/>
    <w:rsid w:val="006D5613"/>
    <w:rsid w:val="006D7F76"/>
    <w:rsid w:val="006E2AB2"/>
    <w:rsid w:val="006F0478"/>
    <w:rsid w:val="00701019"/>
    <w:rsid w:val="007035F8"/>
    <w:rsid w:val="007042EA"/>
    <w:rsid w:val="00706073"/>
    <w:rsid w:val="00710836"/>
    <w:rsid w:val="00712AA7"/>
    <w:rsid w:val="007149D5"/>
    <w:rsid w:val="0071572B"/>
    <w:rsid w:val="00715AEA"/>
    <w:rsid w:val="007178FE"/>
    <w:rsid w:val="007209E8"/>
    <w:rsid w:val="00722DC5"/>
    <w:rsid w:val="00726AA5"/>
    <w:rsid w:val="00731D3A"/>
    <w:rsid w:val="00733FBA"/>
    <w:rsid w:val="00734748"/>
    <w:rsid w:val="00740184"/>
    <w:rsid w:val="00740D7D"/>
    <w:rsid w:val="00750F55"/>
    <w:rsid w:val="007510FD"/>
    <w:rsid w:val="00751761"/>
    <w:rsid w:val="007556D0"/>
    <w:rsid w:val="00757188"/>
    <w:rsid w:val="00757D60"/>
    <w:rsid w:val="007602E8"/>
    <w:rsid w:val="00763912"/>
    <w:rsid w:val="00766E4E"/>
    <w:rsid w:val="00767D69"/>
    <w:rsid w:val="007713B6"/>
    <w:rsid w:val="0077164C"/>
    <w:rsid w:val="00772059"/>
    <w:rsid w:val="0077280F"/>
    <w:rsid w:val="007734E9"/>
    <w:rsid w:val="00774594"/>
    <w:rsid w:val="007746E0"/>
    <w:rsid w:val="00776DB3"/>
    <w:rsid w:val="007776EF"/>
    <w:rsid w:val="00777F0B"/>
    <w:rsid w:val="007807CA"/>
    <w:rsid w:val="0078089C"/>
    <w:rsid w:val="007864E5"/>
    <w:rsid w:val="00790C52"/>
    <w:rsid w:val="00791578"/>
    <w:rsid w:val="00791B34"/>
    <w:rsid w:val="0079689A"/>
    <w:rsid w:val="00796DDA"/>
    <w:rsid w:val="007A0D72"/>
    <w:rsid w:val="007A6AC2"/>
    <w:rsid w:val="007A7EA3"/>
    <w:rsid w:val="007B0919"/>
    <w:rsid w:val="007B2C81"/>
    <w:rsid w:val="007B3BF4"/>
    <w:rsid w:val="007B46C6"/>
    <w:rsid w:val="007B58F5"/>
    <w:rsid w:val="007B7528"/>
    <w:rsid w:val="007B7D3B"/>
    <w:rsid w:val="007C1DC7"/>
    <w:rsid w:val="007C270E"/>
    <w:rsid w:val="007C27A3"/>
    <w:rsid w:val="007C756B"/>
    <w:rsid w:val="007D0DFB"/>
    <w:rsid w:val="007D1B92"/>
    <w:rsid w:val="007D1C99"/>
    <w:rsid w:val="007D24FF"/>
    <w:rsid w:val="007D5349"/>
    <w:rsid w:val="007E0E63"/>
    <w:rsid w:val="007E456B"/>
    <w:rsid w:val="007E45CD"/>
    <w:rsid w:val="007E5FDF"/>
    <w:rsid w:val="007E7658"/>
    <w:rsid w:val="007F1589"/>
    <w:rsid w:val="007F1737"/>
    <w:rsid w:val="007F1A04"/>
    <w:rsid w:val="007F206A"/>
    <w:rsid w:val="007F390A"/>
    <w:rsid w:val="007F542F"/>
    <w:rsid w:val="007F5F97"/>
    <w:rsid w:val="008003F7"/>
    <w:rsid w:val="00804309"/>
    <w:rsid w:val="00804A27"/>
    <w:rsid w:val="00804D63"/>
    <w:rsid w:val="0080630B"/>
    <w:rsid w:val="008121BB"/>
    <w:rsid w:val="00814B60"/>
    <w:rsid w:val="0081772A"/>
    <w:rsid w:val="00820378"/>
    <w:rsid w:val="008224A3"/>
    <w:rsid w:val="008225DA"/>
    <w:rsid w:val="00823011"/>
    <w:rsid w:val="00823854"/>
    <w:rsid w:val="00825A5C"/>
    <w:rsid w:val="00825C80"/>
    <w:rsid w:val="00832208"/>
    <w:rsid w:val="00833B40"/>
    <w:rsid w:val="00834494"/>
    <w:rsid w:val="008352F3"/>
    <w:rsid w:val="008368E5"/>
    <w:rsid w:val="00840957"/>
    <w:rsid w:val="008410D6"/>
    <w:rsid w:val="00841DCE"/>
    <w:rsid w:val="008428EC"/>
    <w:rsid w:val="008454E9"/>
    <w:rsid w:val="00847F5C"/>
    <w:rsid w:val="00854CB0"/>
    <w:rsid w:val="008553A6"/>
    <w:rsid w:val="008600C6"/>
    <w:rsid w:val="00860E30"/>
    <w:rsid w:val="00862BA2"/>
    <w:rsid w:val="00863B89"/>
    <w:rsid w:val="0086473C"/>
    <w:rsid w:val="00870C4A"/>
    <w:rsid w:val="008747B2"/>
    <w:rsid w:val="00875568"/>
    <w:rsid w:val="00877A9C"/>
    <w:rsid w:val="00880AB2"/>
    <w:rsid w:val="008825EB"/>
    <w:rsid w:val="008936DA"/>
    <w:rsid w:val="00894820"/>
    <w:rsid w:val="008A047F"/>
    <w:rsid w:val="008A3815"/>
    <w:rsid w:val="008A4C99"/>
    <w:rsid w:val="008A6714"/>
    <w:rsid w:val="008B1E9F"/>
    <w:rsid w:val="008B5244"/>
    <w:rsid w:val="008B58B3"/>
    <w:rsid w:val="008B59AB"/>
    <w:rsid w:val="008B5AD6"/>
    <w:rsid w:val="008B7677"/>
    <w:rsid w:val="008B7817"/>
    <w:rsid w:val="008D0B3F"/>
    <w:rsid w:val="008D6B12"/>
    <w:rsid w:val="008E17B3"/>
    <w:rsid w:val="008E19C8"/>
    <w:rsid w:val="008E1ED5"/>
    <w:rsid w:val="008E525B"/>
    <w:rsid w:val="008E5C56"/>
    <w:rsid w:val="008F1513"/>
    <w:rsid w:val="008F3D85"/>
    <w:rsid w:val="00900276"/>
    <w:rsid w:val="00901C73"/>
    <w:rsid w:val="009051D9"/>
    <w:rsid w:val="00907B20"/>
    <w:rsid w:val="00907CA6"/>
    <w:rsid w:val="009110A9"/>
    <w:rsid w:val="00913F81"/>
    <w:rsid w:val="009142D6"/>
    <w:rsid w:val="009160EB"/>
    <w:rsid w:val="00917FE4"/>
    <w:rsid w:val="00920409"/>
    <w:rsid w:val="00920569"/>
    <w:rsid w:val="0092291C"/>
    <w:rsid w:val="00925B57"/>
    <w:rsid w:val="00930129"/>
    <w:rsid w:val="00932D76"/>
    <w:rsid w:val="00934636"/>
    <w:rsid w:val="00936E66"/>
    <w:rsid w:val="00937F61"/>
    <w:rsid w:val="00940D2F"/>
    <w:rsid w:val="00941034"/>
    <w:rsid w:val="00946FDD"/>
    <w:rsid w:val="009506E9"/>
    <w:rsid w:val="00950CE9"/>
    <w:rsid w:val="00952CEC"/>
    <w:rsid w:val="009562AA"/>
    <w:rsid w:val="00957991"/>
    <w:rsid w:val="00957B43"/>
    <w:rsid w:val="00957E3F"/>
    <w:rsid w:val="00960AA2"/>
    <w:rsid w:val="00961C6D"/>
    <w:rsid w:val="009632A3"/>
    <w:rsid w:val="00963C77"/>
    <w:rsid w:val="009644CD"/>
    <w:rsid w:val="00967706"/>
    <w:rsid w:val="00967F36"/>
    <w:rsid w:val="0097039D"/>
    <w:rsid w:val="00970823"/>
    <w:rsid w:val="00970B3C"/>
    <w:rsid w:val="00971C58"/>
    <w:rsid w:val="00973131"/>
    <w:rsid w:val="00976326"/>
    <w:rsid w:val="00976C8E"/>
    <w:rsid w:val="009777F9"/>
    <w:rsid w:val="00984CB3"/>
    <w:rsid w:val="00993531"/>
    <w:rsid w:val="009957B4"/>
    <w:rsid w:val="009A397B"/>
    <w:rsid w:val="009A7E81"/>
    <w:rsid w:val="009B1CA3"/>
    <w:rsid w:val="009B1D26"/>
    <w:rsid w:val="009B303C"/>
    <w:rsid w:val="009B5AA6"/>
    <w:rsid w:val="009B7108"/>
    <w:rsid w:val="009C1CEB"/>
    <w:rsid w:val="009C4853"/>
    <w:rsid w:val="009C4B6E"/>
    <w:rsid w:val="009C64C7"/>
    <w:rsid w:val="009C6FFB"/>
    <w:rsid w:val="009C775F"/>
    <w:rsid w:val="009C7E7C"/>
    <w:rsid w:val="009D10A7"/>
    <w:rsid w:val="009D1142"/>
    <w:rsid w:val="009D1BB6"/>
    <w:rsid w:val="009D1E2A"/>
    <w:rsid w:val="009D27FA"/>
    <w:rsid w:val="009D3602"/>
    <w:rsid w:val="009D3C68"/>
    <w:rsid w:val="009D3EE0"/>
    <w:rsid w:val="009D440F"/>
    <w:rsid w:val="009D6D76"/>
    <w:rsid w:val="009D7A9F"/>
    <w:rsid w:val="009E0700"/>
    <w:rsid w:val="009E0B54"/>
    <w:rsid w:val="009E1569"/>
    <w:rsid w:val="009E42A9"/>
    <w:rsid w:val="009E4714"/>
    <w:rsid w:val="009E5A2D"/>
    <w:rsid w:val="009E6790"/>
    <w:rsid w:val="009E6D01"/>
    <w:rsid w:val="009E6ED7"/>
    <w:rsid w:val="009E7212"/>
    <w:rsid w:val="009E7300"/>
    <w:rsid w:val="009E79DE"/>
    <w:rsid w:val="009E7C15"/>
    <w:rsid w:val="009E7F6A"/>
    <w:rsid w:val="009F2A1D"/>
    <w:rsid w:val="009F392A"/>
    <w:rsid w:val="009F4BC9"/>
    <w:rsid w:val="009F53E7"/>
    <w:rsid w:val="009F5E4C"/>
    <w:rsid w:val="009F6A62"/>
    <w:rsid w:val="00A0511E"/>
    <w:rsid w:val="00A06317"/>
    <w:rsid w:val="00A07E5D"/>
    <w:rsid w:val="00A14AF9"/>
    <w:rsid w:val="00A16489"/>
    <w:rsid w:val="00A17827"/>
    <w:rsid w:val="00A2335F"/>
    <w:rsid w:val="00A270E3"/>
    <w:rsid w:val="00A30AD0"/>
    <w:rsid w:val="00A337A1"/>
    <w:rsid w:val="00A33CDF"/>
    <w:rsid w:val="00A408D4"/>
    <w:rsid w:val="00A44F17"/>
    <w:rsid w:val="00A53294"/>
    <w:rsid w:val="00A54055"/>
    <w:rsid w:val="00A549D9"/>
    <w:rsid w:val="00A6032F"/>
    <w:rsid w:val="00A620C0"/>
    <w:rsid w:val="00A63484"/>
    <w:rsid w:val="00A64406"/>
    <w:rsid w:val="00A64D58"/>
    <w:rsid w:val="00A7078C"/>
    <w:rsid w:val="00A725E7"/>
    <w:rsid w:val="00A77826"/>
    <w:rsid w:val="00A8431D"/>
    <w:rsid w:val="00A87E68"/>
    <w:rsid w:val="00A91E9A"/>
    <w:rsid w:val="00AA1DC0"/>
    <w:rsid w:val="00AA22C6"/>
    <w:rsid w:val="00AA4333"/>
    <w:rsid w:val="00AA6F02"/>
    <w:rsid w:val="00AB0AD4"/>
    <w:rsid w:val="00AB184E"/>
    <w:rsid w:val="00AB2619"/>
    <w:rsid w:val="00AB5C3A"/>
    <w:rsid w:val="00AC0F34"/>
    <w:rsid w:val="00AC3511"/>
    <w:rsid w:val="00AC52CB"/>
    <w:rsid w:val="00AC6392"/>
    <w:rsid w:val="00AC6723"/>
    <w:rsid w:val="00AD1978"/>
    <w:rsid w:val="00AD5EE1"/>
    <w:rsid w:val="00AD7DF0"/>
    <w:rsid w:val="00AE1950"/>
    <w:rsid w:val="00AE225C"/>
    <w:rsid w:val="00AE3FD3"/>
    <w:rsid w:val="00AE77B6"/>
    <w:rsid w:val="00AF072D"/>
    <w:rsid w:val="00AF3609"/>
    <w:rsid w:val="00AF512E"/>
    <w:rsid w:val="00AF633C"/>
    <w:rsid w:val="00B0328E"/>
    <w:rsid w:val="00B03F3F"/>
    <w:rsid w:val="00B07695"/>
    <w:rsid w:val="00B077E7"/>
    <w:rsid w:val="00B10E4E"/>
    <w:rsid w:val="00B120E2"/>
    <w:rsid w:val="00B140AB"/>
    <w:rsid w:val="00B154D3"/>
    <w:rsid w:val="00B163D8"/>
    <w:rsid w:val="00B20211"/>
    <w:rsid w:val="00B21E54"/>
    <w:rsid w:val="00B22D0E"/>
    <w:rsid w:val="00B26C99"/>
    <w:rsid w:val="00B27FC5"/>
    <w:rsid w:val="00B33BC7"/>
    <w:rsid w:val="00B345E2"/>
    <w:rsid w:val="00B358FC"/>
    <w:rsid w:val="00B3763A"/>
    <w:rsid w:val="00B43A74"/>
    <w:rsid w:val="00B4561C"/>
    <w:rsid w:val="00B5099E"/>
    <w:rsid w:val="00B5197E"/>
    <w:rsid w:val="00B5661A"/>
    <w:rsid w:val="00B60228"/>
    <w:rsid w:val="00B645B6"/>
    <w:rsid w:val="00B6698C"/>
    <w:rsid w:val="00B66A30"/>
    <w:rsid w:val="00B71E79"/>
    <w:rsid w:val="00B7210E"/>
    <w:rsid w:val="00B733F0"/>
    <w:rsid w:val="00B857F9"/>
    <w:rsid w:val="00B8748B"/>
    <w:rsid w:val="00B902B3"/>
    <w:rsid w:val="00B92820"/>
    <w:rsid w:val="00B9354E"/>
    <w:rsid w:val="00B93ECC"/>
    <w:rsid w:val="00BA1361"/>
    <w:rsid w:val="00BA1875"/>
    <w:rsid w:val="00BA1B3D"/>
    <w:rsid w:val="00BA37EB"/>
    <w:rsid w:val="00BA4ECE"/>
    <w:rsid w:val="00BA7AC7"/>
    <w:rsid w:val="00BB0B40"/>
    <w:rsid w:val="00BB25FB"/>
    <w:rsid w:val="00BB27B1"/>
    <w:rsid w:val="00BB2B76"/>
    <w:rsid w:val="00BB33CB"/>
    <w:rsid w:val="00BB4DD2"/>
    <w:rsid w:val="00BB7583"/>
    <w:rsid w:val="00BC59ED"/>
    <w:rsid w:val="00BC62F7"/>
    <w:rsid w:val="00BD2353"/>
    <w:rsid w:val="00BD506B"/>
    <w:rsid w:val="00BD6EF6"/>
    <w:rsid w:val="00BE000C"/>
    <w:rsid w:val="00BE14DE"/>
    <w:rsid w:val="00BE4375"/>
    <w:rsid w:val="00BF4A92"/>
    <w:rsid w:val="00C02F4C"/>
    <w:rsid w:val="00C03374"/>
    <w:rsid w:val="00C03A78"/>
    <w:rsid w:val="00C13A45"/>
    <w:rsid w:val="00C142E5"/>
    <w:rsid w:val="00C16937"/>
    <w:rsid w:val="00C17BDD"/>
    <w:rsid w:val="00C17BE8"/>
    <w:rsid w:val="00C25572"/>
    <w:rsid w:val="00C25AFE"/>
    <w:rsid w:val="00C26692"/>
    <w:rsid w:val="00C27E42"/>
    <w:rsid w:val="00C349B7"/>
    <w:rsid w:val="00C36BC4"/>
    <w:rsid w:val="00C37569"/>
    <w:rsid w:val="00C41ABA"/>
    <w:rsid w:val="00C42599"/>
    <w:rsid w:val="00C42D5F"/>
    <w:rsid w:val="00C4505C"/>
    <w:rsid w:val="00C45B06"/>
    <w:rsid w:val="00C54228"/>
    <w:rsid w:val="00C54C15"/>
    <w:rsid w:val="00C56DE5"/>
    <w:rsid w:val="00C61F0D"/>
    <w:rsid w:val="00C71E2D"/>
    <w:rsid w:val="00C7450D"/>
    <w:rsid w:val="00C75173"/>
    <w:rsid w:val="00C76159"/>
    <w:rsid w:val="00C830C0"/>
    <w:rsid w:val="00C85C68"/>
    <w:rsid w:val="00C86C51"/>
    <w:rsid w:val="00C91613"/>
    <w:rsid w:val="00C93F9B"/>
    <w:rsid w:val="00C9513B"/>
    <w:rsid w:val="00C961B5"/>
    <w:rsid w:val="00CA164C"/>
    <w:rsid w:val="00CB273C"/>
    <w:rsid w:val="00CB362F"/>
    <w:rsid w:val="00CC1826"/>
    <w:rsid w:val="00CC2604"/>
    <w:rsid w:val="00CC6909"/>
    <w:rsid w:val="00CC766D"/>
    <w:rsid w:val="00CD2116"/>
    <w:rsid w:val="00CD665A"/>
    <w:rsid w:val="00CD6BB9"/>
    <w:rsid w:val="00CD781B"/>
    <w:rsid w:val="00CE0F10"/>
    <w:rsid w:val="00CE34CD"/>
    <w:rsid w:val="00CE7D2B"/>
    <w:rsid w:val="00CF16B5"/>
    <w:rsid w:val="00CF1755"/>
    <w:rsid w:val="00CF5B8C"/>
    <w:rsid w:val="00D010C4"/>
    <w:rsid w:val="00D02270"/>
    <w:rsid w:val="00D037B4"/>
    <w:rsid w:val="00D077FC"/>
    <w:rsid w:val="00D07DC1"/>
    <w:rsid w:val="00D133FF"/>
    <w:rsid w:val="00D17BD0"/>
    <w:rsid w:val="00D2134A"/>
    <w:rsid w:val="00D3562B"/>
    <w:rsid w:val="00D412A5"/>
    <w:rsid w:val="00D5148D"/>
    <w:rsid w:val="00D540D6"/>
    <w:rsid w:val="00D54C01"/>
    <w:rsid w:val="00D56648"/>
    <w:rsid w:val="00D57C4E"/>
    <w:rsid w:val="00D622E8"/>
    <w:rsid w:val="00D628B4"/>
    <w:rsid w:val="00D63B14"/>
    <w:rsid w:val="00D642E9"/>
    <w:rsid w:val="00D65F5F"/>
    <w:rsid w:val="00D672EE"/>
    <w:rsid w:val="00D67FF7"/>
    <w:rsid w:val="00D768E6"/>
    <w:rsid w:val="00D8048D"/>
    <w:rsid w:val="00D849AA"/>
    <w:rsid w:val="00D86B9A"/>
    <w:rsid w:val="00D96D4E"/>
    <w:rsid w:val="00DA03D8"/>
    <w:rsid w:val="00DA3202"/>
    <w:rsid w:val="00DA78A2"/>
    <w:rsid w:val="00DB0B03"/>
    <w:rsid w:val="00DB1B30"/>
    <w:rsid w:val="00DB3CCA"/>
    <w:rsid w:val="00DB6269"/>
    <w:rsid w:val="00DB73E5"/>
    <w:rsid w:val="00DC23AB"/>
    <w:rsid w:val="00DC2A71"/>
    <w:rsid w:val="00DC2D4C"/>
    <w:rsid w:val="00DC5C5F"/>
    <w:rsid w:val="00DC73EC"/>
    <w:rsid w:val="00DD1C54"/>
    <w:rsid w:val="00DD404F"/>
    <w:rsid w:val="00DD408C"/>
    <w:rsid w:val="00DD6278"/>
    <w:rsid w:val="00DD741C"/>
    <w:rsid w:val="00DE16CA"/>
    <w:rsid w:val="00DE3905"/>
    <w:rsid w:val="00DE6B10"/>
    <w:rsid w:val="00E00A8F"/>
    <w:rsid w:val="00E04916"/>
    <w:rsid w:val="00E11DD9"/>
    <w:rsid w:val="00E1687F"/>
    <w:rsid w:val="00E20C49"/>
    <w:rsid w:val="00E20FE9"/>
    <w:rsid w:val="00E23986"/>
    <w:rsid w:val="00E24A89"/>
    <w:rsid w:val="00E24D8A"/>
    <w:rsid w:val="00E2509B"/>
    <w:rsid w:val="00E26748"/>
    <w:rsid w:val="00E27084"/>
    <w:rsid w:val="00E27A30"/>
    <w:rsid w:val="00E30F0A"/>
    <w:rsid w:val="00E34535"/>
    <w:rsid w:val="00E354E0"/>
    <w:rsid w:val="00E40F27"/>
    <w:rsid w:val="00E41C8F"/>
    <w:rsid w:val="00E4214A"/>
    <w:rsid w:val="00E4261E"/>
    <w:rsid w:val="00E43618"/>
    <w:rsid w:val="00E450D5"/>
    <w:rsid w:val="00E45A97"/>
    <w:rsid w:val="00E46312"/>
    <w:rsid w:val="00E46692"/>
    <w:rsid w:val="00E52EDC"/>
    <w:rsid w:val="00E547D5"/>
    <w:rsid w:val="00E56E4B"/>
    <w:rsid w:val="00E61678"/>
    <w:rsid w:val="00E61E59"/>
    <w:rsid w:val="00E6226E"/>
    <w:rsid w:val="00E640F1"/>
    <w:rsid w:val="00E70C99"/>
    <w:rsid w:val="00E710D5"/>
    <w:rsid w:val="00E719AE"/>
    <w:rsid w:val="00E71E84"/>
    <w:rsid w:val="00E75735"/>
    <w:rsid w:val="00E775D2"/>
    <w:rsid w:val="00E82216"/>
    <w:rsid w:val="00E82F39"/>
    <w:rsid w:val="00E836CD"/>
    <w:rsid w:val="00E83DF9"/>
    <w:rsid w:val="00E8488B"/>
    <w:rsid w:val="00E87717"/>
    <w:rsid w:val="00E94B16"/>
    <w:rsid w:val="00E95145"/>
    <w:rsid w:val="00E955E4"/>
    <w:rsid w:val="00E95ABF"/>
    <w:rsid w:val="00E96105"/>
    <w:rsid w:val="00E96339"/>
    <w:rsid w:val="00E976F4"/>
    <w:rsid w:val="00EA06C2"/>
    <w:rsid w:val="00EA7195"/>
    <w:rsid w:val="00EB258A"/>
    <w:rsid w:val="00EB399D"/>
    <w:rsid w:val="00EC292B"/>
    <w:rsid w:val="00EC2AA2"/>
    <w:rsid w:val="00EC45C4"/>
    <w:rsid w:val="00EC4712"/>
    <w:rsid w:val="00EC4A4D"/>
    <w:rsid w:val="00EC4D18"/>
    <w:rsid w:val="00EC7A56"/>
    <w:rsid w:val="00ED3AD7"/>
    <w:rsid w:val="00ED5B06"/>
    <w:rsid w:val="00ED7F2F"/>
    <w:rsid w:val="00EE1937"/>
    <w:rsid w:val="00EE3ADF"/>
    <w:rsid w:val="00EF2ED4"/>
    <w:rsid w:val="00EF74A6"/>
    <w:rsid w:val="00F00E21"/>
    <w:rsid w:val="00F00ED9"/>
    <w:rsid w:val="00F021AE"/>
    <w:rsid w:val="00F02445"/>
    <w:rsid w:val="00F04B9E"/>
    <w:rsid w:val="00F06201"/>
    <w:rsid w:val="00F11015"/>
    <w:rsid w:val="00F15371"/>
    <w:rsid w:val="00F16B93"/>
    <w:rsid w:val="00F22949"/>
    <w:rsid w:val="00F22A19"/>
    <w:rsid w:val="00F23E67"/>
    <w:rsid w:val="00F24200"/>
    <w:rsid w:val="00F24327"/>
    <w:rsid w:val="00F26AB3"/>
    <w:rsid w:val="00F27926"/>
    <w:rsid w:val="00F27943"/>
    <w:rsid w:val="00F327DF"/>
    <w:rsid w:val="00F32A9E"/>
    <w:rsid w:val="00F3398F"/>
    <w:rsid w:val="00F371F1"/>
    <w:rsid w:val="00F37979"/>
    <w:rsid w:val="00F40614"/>
    <w:rsid w:val="00F4112C"/>
    <w:rsid w:val="00F419D9"/>
    <w:rsid w:val="00F4566B"/>
    <w:rsid w:val="00F45AC7"/>
    <w:rsid w:val="00F46BCF"/>
    <w:rsid w:val="00F46EF0"/>
    <w:rsid w:val="00F47160"/>
    <w:rsid w:val="00F51DF0"/>
    <w:rsid w:val="00F5285D"/>
    <w:rsid w:val="00F5479A"/>
    <w:rsid w:val="00F54A62"/>
    <w:rsid w:val="00F56BB7"/>
    <w:rsid w:val="00F57635"/>
    <w:rsid w:val="00F65288"/>
    <w:rsid w:val="00F67D28"/>
    <w:rsid w:val="00F706A9"/>
    <w:rsid w:val="00F71169"/>
    <w:rsid w:val="00F72340"/>
    <w:rsid w:val="00F72C6D"/>
    <w:rsid w:val="00F734E6"/>
    <w:rsid w:val="00F73F90"/>
    <w:rsid w:val="00F77C9C"/>
    <w:rsid w:val="00F83463"/>
    <w:rsid w:val="00F84593"/>
    <w:rsid w:val="00F87906"/>
    <w:rsid w:val="00F968CB"/>
    <w:rsid w:val="00FA0052"/>
    <w:rsid w:val="00FA3B5E"/>
    <w:rsid w:val="00FA5A84"/>
    <w:rsid w:val="00FA71AE"/>
    <w:rsid w:val="00FA7611"/>
    <w:rsid w:val="00FA7D8A"/>
    <w:rsid w:val="00FB25C7"/>
    <w:rsid w:val="00FB2D5F"/>
    <w:rsid w:val="00FB37BD"/>
    <w:rsid w:val="00FB3AF2"/>
    <w:rsid w:val="00FB41DB"/>
    <w:rsid w:val="00FB550E"/>
    <w:rsid w:val="00FB5F45"/>
    <w:rsid w:val="00FC3CDD"/>
    <w:rsid w:val="00FC7126"/>
    <w:rsid w:val="00FD003E"/>
    <w:rsid w:val="00FD0803"/>
    <w:rsid w:val="00FD33C8"/>
    <w:rsid w:val="00FD4F65"/>
    <w:rsid w:val="00FD5184"/>
    <w:rsid w:val="00FD5708"/>
    <w:rsid w:val="00FD778A"/>
    <w:rsid w:val="00FD7A09"/>
    <w:rsid w:val="00FE4E4D"/>
    <w:rsid w:val="00FE50B5"/>
    <w:rsid w:val="00FE5400"/>
    <w:rsid w:val="00FE5935"/>
    <w:rsid w:val="00FF1272"/>
    <w:rsid w:val="00FF1BCB"/>
    <w:rsid w:val="00FF26B9"/>
    <w:rsid w:val="00FF7EA3"/>
    <w:rsid w:val="05BF21B6"/>
    <w:rsid w:val="08B12F86"/>
    <w:rsid w:val="09A26200"/>
    <w:rsid w:val="0A6B5D82"/>
    <w:rsid w:val="0C095C41"/>
    <w:rsid w:val="0C9D0577"/>
    <w:rsid w:val="0CA764DD"/>
    <w:rsid w:val="0E7F1B87"/>
    <w:rsid w:val="0EC10441"/>
    <w:rsid w:val="0EF25867"/>
    <w:rsid w:val="0F2A20CF"/>
    <w:rsid w:val="10391CBF"/>
    <w:rsid w:val="110C7CC9"/>
    <w:rsid w:val="12370156"/>
    <w:rsid w:val="12D14115"/>
    <w:rsid w:val="146B50E8"/>
    <w:rsid w:val="15527217"/>
    <w:rsid w:val="15B36D47"/>
    <w:rsid w:val="15BD6FF9"/>
    <w:rsid w:val="17247B6B"/>
    <w:rsid w:val="178440B9"/>
    <w:rsid w:val="18905979"/>
    <w:rsid w:val="18CF5BF8"/>
    <w:rsid w:val="18F00212"/>
    <w:rsid w:val="1924735F"/>
    <w:rsid w:val="19BC2F5B"/>
    <w:rsid w:val="1C4F1D80"/>
    <w:rsid w:val="1E0A5972"/>
    <w:rsid w:val="202C6A10"/>
    <w:rsid w:val="22C563D7"/>
    <w:rsid w:val="234464E1"/>
    <w:rsid w:val="2378778B"/>
    <w:rsid w:val="237E12B8"/>
    <w:rsid w:val="23CE18C6"/>
    <w:rsid w:val="24823B14"/>
    <w:rsid w:val="251026CF"/>
    <w:rsid w:val="25FB7378"/>
    <w:rsid w:val="26B03752"/>
    <w:rsid w:val="2D5E0866"/>
    <w:rsid w:val="2DE61461"/>
    <w:rsid w:val="2E2D7433"/>
    <w:rsid w:val="2E6D6C6F"/>
    <w:rsid w:val="308201C1"/>
    <w:rsid w:val="31496D8E"/>
    <w:rsid w:val="3273368E"/>
    <w:rsid w:val="33F27D92"/>
    <w:rsid w:val="35287598"/>
    <w:rsid w:val="387C3498"/>
    <w:rsid w:val="38931D96"/>
    <w:rsid w:val="3A7C4B96"/>
    <w:rsid w:val="3AD71B0E"/>
    <w:rsid w:val="3B402248"/>
    <w:rsid w:val="3C9D2D3D"/>
    <w:rsid w:val="3DA90C23"/>
    <w:rsid w:val="3FA7FDB7"/>
    <w:rsid w:val="3FC9475C"/>
    <w:rsid w:val="413A5FC1"/>
    <w:rsid w:val="415C1EF2"/>
    <w:rsid w:val="41623715"/>
    <w:rsid w:val="421A1B67"/>
    <w:rsid w:val="432C651B"/>
    <w:rsid w:val="456575CB"/>
    <w:rsid w:val="45AB683A"/>
    <w:rsid w:val="460D63DF"/>
    <w:rsid w:val="46E75A68"/>
    <w:rsid w:val="48D76D8C"/>
    <w:rsid w:val="491348B1"/>
    <w:rsid w:val="49975AD0"/>
    <w:rsid w:val="49A67BCA"/>
    <w:rsid w:val="4B6821FD"/>
    <w:rsid w:val="4CEC002E"/>
    <w:rsid w:val="4D506CA5"/>
    <w:rsid w:val="4DB7256A"/>
    <w:rsid w:val="4E7C31B2"/>
    <w:rsid w:val="4F275A9B"/>
    <w:rsid w:val="4F9128D7"/>
    <w:rsid w:val="5058283D"/>
    <w:rsid w:val="5069492F"/>
    <w:rsid w:val="51DE793A"/>
    <w:rsid w:val="528B241E"/>
    <w:rsid w:val="531B62F4"/>
    <w:rsid w:val="537B0576"/>
    <w:rsid w:val="55CC2E14"/>
    <w:rsid w:val="55F02B23"/>
    <w:rsid w:val="57C0025E"/>
    <w:rsid w:val="57F17A45"/>
    <w:rsid w:val="58E07492"/>
    <w:rsid w:val="59AF7983"/>
    <w:rsid w:val="5AD00DCE"/>
    <w:rsid w:val="5C107E40"/>
    <w:rsid w:val="5CF95E65"/>
    <w:rsid w:val="5D376538"/>
    <w:rsid w:val="5E604480"/>
    <w:rsid w:val="5E6A70D3"/>
    <w:rsid w:val="5EE00572"/>
    <w:rsid w:val="61B431F8"/>
    <w:rsid w:val="62091C6C"/>
    <w:rsid w:val="62D05331"/>
    <w:rsid w:val="63554566"/>
    <w:rsid w:val="63580BBF"/>
    <w:rsid w:val="63717487"/>
    <w:rsid w:val="65260E61"/>
    <w:rsid w:val="6607593C"/>
    <w:rsid w:val="6732000A"/>
    <w:rsid w:val="678D7D65"/>
    <w:rsid w:val="68D57D5D"/>
    <w:rsid w:val="6B397FBC"/>
    <w:rsid w:val="6B9965C0"/>
    <w:rsid w:val="6BD55E12"/>
    <w:rsid w:val="6C3C68B5"/>
    <w:rsid w:val="6E9539F3"/>
    <w:rsid w:val="70993EA7"/>
    <w:rsid w:val="717D1213"/>
    <w:rsid w:val="73200D15"/>
    <w:rsid w:val="733F7AFA"/>
    <w:rsid w:val="75E056FE"/>
    <w:rsid w:val="76D6A93E"/>
    <w:rsid w:val="77E73E4E"/>
    <w:rsid w:val="77FD7430"/>
    <w:rsid w:val="78C80C2D"/>
    <w:rsid w:val="78F9576D"/>
    <w:rsid w:val="79796677"/>
    <w:rsid w:val="7A3171CA"/>
    <w:rsid w:val="7BD73E1A"/>
    <w:rsid w:val="7BEF2667"/>
    <w:rsid w:val="7DE331C7"/>
    <w:rsid w:val="7DFBDA08"/>
    <w:rsid w:val="7E3F5971"/>
    <w:rsid w:val="7EEFB566"/>
    <w:rsid w:val="7FB92320"/>
    <w:rsid w:val="7FF343B7"/>
    <w:rsid w:val="7FFB006F"/>
    <w:rsid w:val="7FFF83A9"/>
    <w:rsid w:val="ABD5474B"/>
    <w:rsid w:val="D5FF13A5"/>
    <w:rsid w:val="DBBC106E"/>
    <w:rsid w:val="DFFDB6BB"/>
    <w:rsid w:val="E3BE80B8"/>
    <w:rsid w:val="E4EBFF66"/>
    <w:rsid w:val="FEF690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9"/>
    <w:pPr>
      <w:keepLines/>
      <w:spacing w:line="560" w:lineRule="exact"/>
      <w:jc w:val="center"/>
      <w:outlineLvl w:val="0"/>
    </w:pPr>
    <w:rPr>
      <w:b/>
      <w:bCs/>
      <w:kern w:val="44"/>
      <w:sz w:val="44"/>
      <w:szCs w:val="44"/>
    </w:rPr>
  </w:style>
  <w:style w:type="paragraph" w:styleId="4">
    <w:name w:val="heading 2"/>
    <w:basedOn w:val="1"/>
    <w:next w:val="1"/>
    <w:link w:val="51"/>
    <w:qFormat/>
    <w:uiPriority w:val="0"/>
    <w:pPr>
      <w:keepNext/>
      <w:keepLines/>
      <w:spacing w:line="520" w:lineRule="exact"/>
      <w:jc w:val="center"/>
      <w:outlineLvl w:val="1"/>
    </w:pPr>
    <w:rPr>
      <w:rFonts w:ascii="宋体" w:hAnsi="宋体"/>
      <w:b/>
      <w:bCs/>
      <w:kern w:val="0"/>
      <w:sz w:val="24"/>
    </w:rPr>
  </w:style>
  <w:style w:type="paragraph" w:styleId="5">
    <w:name w:val="heading 3"/>
    <w:basedOn w:val="1"/>
    <w:next w:val="1"/>
    <w:link w:val="52"/>
    <w:qFormat/>
    <w:uiPriority w:val="0"/>
    <w:pPr>
      <w:keepNext/>
      <w:keepLines/>
      <w:numPr>
        <w:ilvl w:val="0"/>
        <w:numId w:val="1"/>
      </w:numPr>
      <w:spacing w:before="120" w:after="120" w:line="300" w:lineRule="auto"/>
      <w:outlineLvl w:val="2"/>
    </w:pPr>
    <w:rPr>
      <w:rFonts w:ascii="宋体"/>
      <w:b/>
      <w:bCs/>
      <w:kern w:val="0"/>
      <w:sz w:val="32"/>
      <w:szCs w:val="32"/>
    </w:rPr>
  </w:style>
  <w:style w:type="paragraph" w:styleId="6">
    <w:name w:val="heading 4"/>
    <w:basedOn w:val="1"/>
    <w:next w:val="1"/>
    <w:link w:val="53"/>
    <w:qFormat/>
    <w:uiPriority w:val="99"/>
    <w:pPr>
      <w:keepNext/>
      <w:keepLines/>
      <w:spacing w:line="300" w:lineRule="auto"/>
      <w:outlineLvl w:val="3"/>
    </w:pPr>
    <w:rPr>
      <w:rFonts w:ascii="Arial" w:hAnsi="Arial"/>
      <w:bCs/>
      <w:kern w:val="0"/>
      <w:sz w:val="28"/>
      <w:szCs w:val="28"/>
    </w:rPr>
  </w:style>
  <w:style w:type="paragraph" w:styleId="7">
    <w:name w:val="heading 5"/>
    <w:basedOn w:val="1"/>
    <w:next w:val="1"/>
    <w:link w:val="54"/>
    <w:qFormat/>
    <w:uiPriority w:val="9"/>
    <w:pPr>
      <w:keepNext/>
      <w:keepLines/>
      <w:spacing w:before="280" w:after="290" w:line="376" w:lineRule="auto"/>
      <w:outlineLvl w:val="4"/>
    </w:pPr>
    <w:rPr>
      <w:b/>
      <w:bCs/>
      <w:kern w:val="0"/>
      <w:sz w:val="28"/>
      <w:szCs w:val="28"/>
    </w:rPr>
  </w:style>
  <w:style w:type="paragraph" w:styleId="8">
    <w:name w:val="heading 6"/>
    <w:basedOn w:val="1"/>
    <w:next w:val="1"/>
    <w:link w:val="55"/>
    <w:qFormat/>
    <w:uiPriority w:val="99"/>
    <w:pPr>
      <w:keepNext/>
      <w:keepLines/>
      <w:spacing w:before="240" w:after="64" w:line="320" w:lineRule="auto"/>
      <w:outlineLvl w:val="5"/>
    </w:pPr>
    <w:rPr>
      <w:rFonts w:ascii="Arial" w:hAnsi="Arial" w:eastAsia="黑体"/>
      <w:b/>
      <w:bCs/>
      <w:kern w:val="0"/>
      <w:sz w:val="24"/>
    </w:rPr>
  </w:style>
  <w:style w:type="paragraph" w:styleId="9">
    <w:name w:val="heading 7"/>
    <w:basedOn w:val="1"/>
    <w:next w:val="1"/>
    <w:link w:val="56"/>
    <w:qFormat/>
    <w:uiPriority w:val="99"/>
    <w:pPr>
      <w:keepNext/>
      <w:keepLines/>
      <w:spacing w:before="240" w:after="64" w:line="320" w:lineRule="auto"/>
      <w:outlineLvl w:val="6"/>
    </w:pPr>
    <w:rPr>
      <w:b/>
      <w:bCs/>
      <w:kern w:val="0"/>
      <w:sz w:val="24"/>
    </w:rPr>
  </w:style>
  <w:style w:type="paragraph" w:styleId="10">
    <w:name w:val="heading 8"/>
    <w:basedOn w:val="1"/>
    <w:next w:val="1"/>
    <w:link w:val="57"/>
    <w:qFormat/>
    <w:uiPriority w:val="99"/>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qFormat/>
    <w:uiPriority w:val="99"/>
    <w:pPr>
      <w:keepNext/>
      <w:keepLines/>
      <w:spacing w:before="240" w:after="64" w:line="320" w:lineRule="auto"/>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5"/>
    <w:qFormat/>
    <w:uiPriority w:val="99"/>
    <w:rPr>
      <w:rFonts w:ascii="宋体" w:hAnsi="Courier New"/>
      <w:kern w:val="10"/>
      <w:szCs w:val="21"/>
    </w:rPr>
  </w:style>
  <w:style w:type="paragraph" w:styleId="12">
    <w:name w:val="toc 7"/>
    <w:basedOn w:val="1"/>
    <w:next w:val="1"/>
    <w:semiHidden/>
    <w:qFormat/>
    <w:uiPriority w:val="99"/>
    <w:pPr>
      <w:ind w:left="1260"/>
      <w:jc w:val="left"/>
    </w:pPr>
    <w:rPr>
      <w:szCs w:val="21"/>
    </w:rPr>
  </w:style>
  <w:style w:type="paragraph" w:styleId="13">
    <w:name w:val="Normal Indent"/>
    <w:basedOn w:val="1"/>
    <w:link w:val="144"/>
    <w:qFormat/>
    <w:uiPriority w:val="99"/>
    <w:pPr>
      <w:spacing w:line="360" w:lineRule="auto"/>
      <w:ind w:left="420" w:firstLine="420"/>
    </w:pPr>
    <w:rPr>
      <w:szCs w:val="20"/>
    </w:rPr>
  </w:style>
  <w:style w:type="paragraph" w:styleId="14">
    <w:name w:val="caption"/>
    <w:basedOn w:val="1"/>
    <w:next w:val="1"/>
    <w:qFormat/>
    <w:uiPriority w:val="99"/>
    <w:rPr>
      <w:rFonts w:ascii="Arial" w:hAnsi="Arial" w:eastAsia="黑体" w:cs="Arial"/>
      <w:sz w:val="20"/>
      <w:szCs w:val="20"/>
    </w:rPr>
  </w:style>
  <w:style w:type="paragraph" w:styleId="15">
    <w:name w:val="Document Map"/>
    <w:basedOn w:val="1"/>
    <w:link w:val="61"/>
    <w:semiHidden/>
    <w:qFormat/>
    <w:uiPriority w:val="99"/>
    <w:pPr>
      <w:shd w:val="clear" w:color="auto" w:fill="000080"/>
    </w:pPr>
    <w:rPr>
      <w:kern w:val="0"/>
      <w:sz w:val="24"/>
    </w:rPr>
  </w:style>
  <w:style w:type="paragraph" w:styleId="16">
    <w:name w:val="annotation text"/>
    <w:basedOn w:val="1"/>
    <w:link w:val="59"/>
    <w:semiHidden/>
    <w:qFormat/>
    <w:uiPriority w:val="99"/>
    <w:pPr>
      <w:jc w:val="left"/>
    </w:pPr>
    <w:rPr>
      <w:kern w:val="0"/>
      <w:sz w:val="24"/>
    </w:rPr>
  </w:style>
  <w:style w:type="paragraph" w:styleId="17">
    <w:name w:val="Body Text 3"/>
    <w:basedOn w:val="1"/>
    <w:link w:val="62"/>
    <w:qFormat/>
    <w:uiPriority w:val="99"/>
    <w:rPr>
      <w:color w:val="FF00FF"/>
      <w:kern w:val="0"/>
      <w:sz w:val="24"/>
    </w:rPr>
  </w:style>
  <w:style w:type="paragraph" w:styleId="18">
    <w:name w:val="Body Text"/>
    <w:basedOn w:val="1"/>
    <w:link w:val="63"/>
    <w:qFormat/>
    <w:uiPriority w:val="99"/>
    <w:rPr>
      <w:kern w:val="0"/>
      <w:sz w:val="24"/>
    </w:rPr>
  </w:style>
  <w:style w:type="paragraph" w:styleId="19">
    <w:name w:val="Body Text Indent"/>
    <w:basedOn w:val="1"/>
    <w:link w:val="64"/>
    <w:qFormat/>
    <w:uiPriority w:val="99"/>
    <w:pPr>
      <w:ind w:left="853" w:leftChars="406" w:firstLine="490" w:firstLineChars="204"/>
    </w:pPr>
    <w:rPr>
      <w:rFonts w:ascii="宋体" w:hAnsi="宋体"/>
      <w:kern w:val="0"/>
      <w:sz w:val="24"/>
    </w:rPr>
  </w:style>
  <w:style w:type="paragraph" w:styleId="20">
    <w:name w:val="toc 5"/>
    <w:basedOn w:val="1"/>
    <w:next w:val="1"/>
    <w:semiHidden/>
    <w:qFormat/>
    <w:uiPriority w:val="99"/>
    <w:pPr>
      <w:ind w:left="840"/>
      <w:jc w:val="left"/>
    </w:pPr>
    <w:rPr>
      <w:szCs w:val="21"/>
    </w:rPr>
  </w:style>
  <w:style w:type="paragraph" w:styleId="21">
    <w:name w:val="toc 3"/>
    <w:basedOn w:val="1"/>
    <w:next w:val="1"/>
    <w:semiHidden/>
    <w:qFormat/>
    <w:uiPriority w:val="99"/>
    <w:pPr>
      <w:tabs>
        <w:tab w:val="left" w:pos="840"/>
        <w:tab w:val="right" w:leader="dot" w:pos="9062"/>
      </w:tabs>
      <w:ind w:left="420"/>
      <w:jc w:val="left"/>
    </w:pPr>
    <w:rPr>
      <w:rFonts w:hAnsi="宋体" w:cs="Arial"/>
      <w:sz w:val="24"/>
    </w:rPr>
  </w:style>
  <w:style w:type="paragraph" w:styleId="22">
    <w:name w:val="toc 8"/>
    <w:basedOn w:val="1"/>
    <w:next w:val="1"/>
    <w:semiHidden/>
    <w:qFormat/>
    <w:uiPriority w:val="99"/>
    <w:pPr>
      <w:ind w:left="1470"/>
      <w:jc w:val="left"/>
    </w:pPr>
    <w:rPr>
      <w:szCs w:val="21"/>
    </w:rPr>
  </w:style>
  <w:style w:type="paragraph" w:styleId="23">
    <w:name w:val="Date"/>
    <w:basedOn w:val="1"/>
    <w:next w:val="1"/>
    <w:link w:val="66"/>
    <w:qFormat/>
    <w:uiPriority w:val="99"/>
    <w:pPr>
      <w:ind w:left="100" w:leftChars="2500"/>
    </w:pPr>
    <w:rPr>
      <w:color w:val="0000FF"/>
      <w:kern w:val="0"/>
      <w:sz w:val="24"/>
    </w:rPr>
  </w:style>
  <w:style w:type="paragraph" w:styleId="24">
    <w:name w:val="Body Text Indent 2"/>
    <w:basedOn w:val="1"/>
    <w:link w:val="67"/>
    <w:qFormat/>
    <w:uiPriority w:val="99"/>
    <w:pPr>
      <w:ind w:left="899" w:leftChars="428" w:firstLine="456" w:firstLineChars="217"/>
    </w:pPr>
    <w:rPr>
      <w:kern w:val="0"/>
      <w:sz w:val="24"/>
    </w:rPr>
  </w:style>
  <w:style w:type="paragraph" w:styleId="25">
    <w:name w:val="Balloon Text"/>
    <w:basedOn w:val="1"/>
    <w:link w:val="68"/>
    <w:semiHidden/>
    <w:qFormat/>
    <w:uiPriority w:val="99"/>
    <w:rPr>
      <w:kern w:val="0"/>
      <w:sz w:val="18"/>
      <w:szCs w:val="18"/>
    </w:rPr>
  </w:style>
  <w:style w:type="paragraph" w:styleId="26">
    <w:name w:val="footer"/>
    <w:basedOn w:val="1"/>
    <w:link w:val="69"/>
    <w:qFormat/>
    <w:uiPriority w:val="99"/>
    <w:pPr>
      <w:tabs>
        <w:tab w:val="center" w:pos="4153"/>
        <w:tab w:val="right" w:pos="8306"/>
      </w:tabs>
      <w:snapToGrid w:val="0"/>
      <w:jc w:val="left"/>
    </w:pPr>
    <w:rPr>
      <w:kern w:val="0"/>
      <w:sz w:val="18"/>
      <w:szCs w:val="18"/>
    </w:rPr>
  </w:style>
  <w:style w:type="paragraph" w:styleId="27">
    <w:name w:val="header"/>
    <w:basedOn w:val="1"/>
    <w:link w:val="70"/>
    <w:qFormat/>
    <w:uiPriority w:val="99"/>
    <w:pPr>
      <w:tabs>
        <w:tab w:val="center" w:pos="4153"/>
        <w:tab w:val="right" w:pos="8306"/>
      </w:tabs>
      <w:snapToGrid w:val="0"/>
      <w:jc w:val="center"/>
    </w:pPr>
    <w:rPr>
      <w:kern w:val="0"/>
      <w:sz w:val="18"/>
      <w:szCs w:val="18"/>
    </w:rPr>
  </w:style>
  <w:style w:type="paragraph" w:styleId="28">
    <w:name w:val="toc 1"/>
    <w:basedOn w:val="1"/>
    <w:next w:val="1"/>
    <w:semiHidden/>
    <w:qFormat/>
    <w:uiPriority w:val="99"/>
    <w:pPr>
      <w:tabs>
        <w:tab w:val="right" w:leader="dot" w:pos="9062"/>
      </w:tabs>
      <w:spacing w:before="120" w:after="120"/>
      <w:jc w:val="left"/>
    </w:pPr>
    <w:rPr>
      <w:rFonts w:ascii="宋体" w:hAnsi="宋体"/>
      <w:b/>
      <w:bCs/>
      <w:caps/>
      <w:sz w:val="24"/>
      <w:szCs w:val="36"/>
    </w:rPr>
  </w:style>
  <w:style w:type="paragraph" w:styleId="29">
    <w:name w:val="toc 4"/>
    <w:basedOn w:val="1"/>
    <w:next w:val="1"/>
    <w:semiHidden/>
    <w:qFormat/>
    <w:uiPriority w:val="99"/>
    <w:pPr>
      <w:ind w:left="630"/>
      <w:jc w:val="left"/>
    </w:pPr>
    <w:rPr>
      <w:szCs w:val="21"/>
    </w:rPr>
  </w:style>
  <w:style w:type="paragraph" w:styleId="30">
    <w:name w:val="Subtitle"/>
    <w:basedOn w:val="1"/>
    <w:next w:val="1"/>
    <w:link w:val="147"/>
    <w:qFormat/>
    <w:locked/>
    <w:uiPriority w:val="11"/>
    <w:pPr>
      <w:spacing w:before="120" w:line="276" w:lineRule="auto"/>
      <w:ind w:left="568" w:hanging="568" w:hangingChars="202"/>
      <w:jc w:val="left"/>
      <w:outlineLvl w:val="1"/>
    </w:pPr>
    <w:rPr>
      <w:rFonts w:ascii="宋体" w:hAnsi="宋体"/>
      <w:b/>
      <w:bCs/>
      <w:color w:val="000000"/>
      <w:kern w:val="28"/>
      <w:sz w:val="28"/>
      <w:szCs w:val="28"/>
    </w:rPr>
  </w:style>
  <w:style w:type="paragraph" w:styleId="31">
    <w:name w:val="toc 6"/>
    <w:basedOn w:val="1"/>
    <w:next w:val="1"/>
    <w:semiHidden/>
    <w:qFormat/>
    <w:uiPriority w:val="99"/>
    <w:pPr>
      <w:ind w:left="1050"/>
      <w:jc w:val="left"/>
    </w:pPr>
    <w:rPr>
      <w:szCs w:val="21"/>
    </w:rPr>
  </w:style>
  <w:style w:type="paragraph" w:styleId="32">
    <w:name w:val="Body Text Indent 3"/>
    <w:basedOn w:val="1"/>
    <w:link w:val="71"/>
    <w:qFormat/>
    <w:uiPriority w:val="99"/>
    <w:pPr>
      <w:ind w:left="899" w:leftChars="428" w:firstLine="458" w:firstLineChars="218"/>
    </w:pPr>
    <w:rPr>
      <w:kern w:val="0"/>
      <w:sz w:val="24"/>
    </w:rPr>
  </w:style>
  <w:style w:type="paragraph" w:styleId="33">
    <w:name w:val="table of figures"/>
    <w:basedOn w:val="1"/>
    <w:next w:val="1"/>
    <w:semiHidden/>
    <w:qFormat/>
    <w:uiPriority w:val="99"/>
    <w:pPr>
      <w:ind w:left="840" w:leftChars="200" w:hanging="420" w:hangingChars="200"/>
    </w:pPr>
  </w:style>
  <w:style w:type="paragraph" w:styleId="34">
    <w:name w:val="toc 2"/>
    <w:basedOn w:val="1"/>
    <w:next w:val="1"/>
    <w:semiHidden/>
    <w:qFormat/>
    <w:uiPriority w:val="99"/>
    <w:pPr>
      <w:tabs>
        <w:tab w:val="right" w:leader="dot" w:pos="9062"/>
      </w:tabs>
      <w:spacing w:line="360" w:lineRule="exact"/>
      <w:ind w:left="210"/>
      <w:jc w:val="left"/>
    </w:pPr>
    <w:rPr>
      <w:rFonts w:ascii="宋体" w:hAnsi="宋体"/>
      <w:smallCaps/>
      <w:sz w:val="24"/>
      <w:szCs w:val="30"/>
    </w:rPr>
  </w:style>
  <w:style w:type="paragraph" w:styleId="35">
    <w:name w:val="toc 9"/>
    <w:basedOn w:val="1"/>
    <w:next w:val="1"/>
    <w:semiHidden/>
    <w:qFormat/>
    <w:uiPriority w:val="99"/>
    <w:pPr>
      <w:ind w:left="1680"/>
      <w:jc w:val="left"/>
    </w:pPr>
    <w:rPr>
      <w:szCs w:val="21"/>
    </w:rPr>
  </w:style>
  <w:style w:type="paragraph" w:styleId="36">
    <w:name w:val="Body Text 2"/>
    <w:basedOn w:val="1"/>
    <w:link w:val="72"/>
    <w:qFormat/>
    <w:uiPriority w:val="99"/>
    <w:rPr>
      <w:color w:val="FF0000"/>
      <w:kern w:val="0"/>
      <w:sz w:val="24"/>
    </w:rPr>
  </w:style>
  <w:style w:type="paragraph" w:styleId="37">
    <w:name w:val="Message Header"/>
    <w:basedOn w:val="1"/>
    <w:link w:val="7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annotation subject"/>
    <w:basedOn w:val="16"/>
    <w:next w:val="16"/>
    <w:link w:val="60"/>
    <w:semiHidden/>
    <w:qFormat/>
    <w:uiPriority w:val="99"/>
    <w:rPr>
      <w:b/>
      <w:bCs/>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99"/>
    <w:rPr>
      <w:rFonts w:cs="Times New Roman"/>
      <w:b/>
    </w:rPr>
  </w:style>
  <w:style w:type="character" w:styleId="44">
    <w:name w:val="page number"/>
    <w:basedOn w:val="42"/>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Emphasis"/>
    <w:qFormat/>
    <w:locked/>
    <w:uiPriority w:val="99"/>
    <w:rPr>
      <w:rFonts w:cs="Times New Roman"/>
      <w:i/>
      <w:iCs/>
    </w:rPr>
  </w:style>
  <w:style w:type="character" w:styleId="47">
    <w:name w:val="Hyperlink"/>
    <w:qFormat/>
    <w:uiPriority w:val="99"/>
    <w:rPr>
      <w:rFonts w:cs="Times New Roman"/>
      <w:color w:val="0000FF"/>
      <w:u w:val="single"/>
    </w:rPr>
  </w:style>
  <w:style w:type="character" w:styleId="48">
    <w:name w:val="annotation reference"/>
    <w:semiHidden/>
    <w:qFormat/>
    <w:uiPriority w:val="99"/>
    <w:rPr>
      <w:rFonts w:cs="Times New Roman"/>
      <w:sz w:val="21"/>
    </w:rPr>
  </w:style>
  <w:style w:type="paragraph" w:customStyle="1" w:styleId="49">
    <w:name w:val="文档正文"/>
    <w:basedOn w:val="13"/>
    <w:qFormat/>
    <w:uiPriority w:val="0"/>
    <w:pPr>
      <w:widowControl w:val="0"/>
      <w:autoSpaceDE w:val="0"/>
      <w:autoSpaceDN w:val="0"/>
      <w:snapToGrid w:val="0"/>
      <w:spacing w:line="440" w:lineRule="exact"/>
      <w:ind w:firstLine="505" w:firstLineChars="0"/>
      <w:jc w:val="both"/>
    </w:pPr>
    <w:rPr>
      <w:rFonts w:ascii="Times New Roman" w:hAnsi="Times New Roman" w:eastAsia="宋体" w:cs="Times New Roman"/>
      <w:spacing w:val="4"/>
      <w:kern w:val="2"/>
      <w:sz w:val="24"/>
      <w:szCs w:val="20"/>
      <w:lang w:val="en-US" w:eastAsia="zh-CN" w:bidi="ar-SA"/>
    </w:rPr>
  </w:style>
  <w:style w:type="character" w:customStyle="1" w:styleId="50">
    <w:name w:val="标题 1 字符"/>
    <w:link w:val="3"/>
    <w:qFormat/>
    <w:locked/>
    <w:uiPriority w:val="99"/>
    <w:rPr>
      <w:rFonts w:ascii="Times New Roman" w:hAnsi="Times New Roman" w:eastAsia="宋体" w:cs="Times New Roman"/>
      <w:b/>
      <w:bCs/>
      <w:kern w:val="44"/>
      <w:sz w:val="44"/>
      <w:szCs w:val="44"/>
    </w:rPr>
  </w:style>
  <w:style w:type="character" w:customStyle="1" w:styleId="51">
    <w:name w:val="标题 2 字符"/>
    <w:link w:val="4"/>
    <w:qFormat/>
    <w:locked/>
    <w:uiPriority w:val="99"/>
    <w:rPr>
      <w:rFonts w:ascii="宋体" w:hAnsi="宋体" w:eastAsia="宋体" w:cs="Times New Roman"/>
      <w:b/>
      <w:bCs/>
      <w:sz w:val="24"/>
      <w:szCs w:val="24"/>
    </w:rPr>
  </w:style>
  <w:style w:type="character" w:customStyle="1" w:styleId="52">
    <w:name w:val="标题 3 字符"/>
    <w:link w:val="5"/>
    <w:qFormat/>
    <w:locked/>
    <w:uiPriority w:val="0"/>
    <w:rPr>
      <w:rFonts w:ascii="宋体"/>
      <w:b/>
      <w:bCs/>
      <w:sz w:val="32"/>
      <w:szCs w:val="32"/>
    </w:rPr>
  </w:style>
  <w:style w:type="character" w:customStyle="1" w:styleId="53">
    <w:name w:val="标题 4 字符"/>
    <w:link w:val="6"/>
    <w:qFormat/>
    <w:locked/>
    <w:uiPriority w:val="99"/>
    <w:rPr>
      <w:rFonts w:ascii="Arial" w:hAnsi="Arial" w:eastAsia="宋体" w:cs="Times New Roman"/>
      <w:bCs/>
      <w:sz w:val="28"/>
      <w:szCs w:val="28"/>
    </w:rPr>
  </w:style>
  <w:style w:type="character" w:customStyle="1" w:styleId="54">
    <w:name w:val="标题 5 字符"/>
    <w:link w:val="7"/>
    <w:qFormat/>
    <w:locked/>
    <w:uiPriority w:val="99"/>
    <w:rPr>
      <w:rFonts w:ascii="Times New Roman" w:hAnsi="Times New Roman" w:eastAsia="宋体" w:cs="Times New Roman"/>
      <w:b/>
      <w:bCs/>
      <w:sz w:val="28"/>
      <w:szCs w:val="28"/>
    </w:rPr>
  </w:style>
  <w:style w:type="character" w:customStyle="1" w:styleId="55">
    <w:name w:val="标题 6 字符"/>
    <w:link w:val="8"/>
    <w:qFormat/>
    <w:locked/>
    <w:uiPriority w:val="99"/>
    <w:rPr>
      <w:rFonts w:ascii="Arial" w:hAnsi="Arial" w:eastAsia="黑体" w:cs="Times New Roman"/>
      <w:b/>
      <w:bCs/>
      <w:sz w:val="24"/>
      <w:szCs w:val="24"/>
    </w:rPr>
  </w:style>
  <w:style w:type="character" w:customStyle="1" w:styleId="56">
    <w:name w:val="标题 7 字符"/>
    <w:link w:val="9"/>
    <w:qFormat/>
    <w:locked/>
    <w:uiPriority w:val="99"/>
    <w:rPr>
      <w:rFonts w:ascii="Times New Roman" w:hAnsi="Times New Roman" w:eastAsia="宋体" w:cs="Times New Roman"/>
      <w:b/>
      <w:bCs/>
      <w:sz w:val="24"/>
      <w:szCs w:val="24"/>
    </w:rPr>
  </w:style>
  <w:style w:type="character" w:customStyle="1" w:styleId="57">
    <w:name w:val="标题 8 字符"/>
    <w:link w:val="10"/>
    <w:qFormat/>
    <w:locked/>
    <w:uiPriority w:val="99"/>
    <w:rPr>
      <w:rFonts w:ascii="Arial" w:hAnsi="Arial" w:eastAsia="黑体" w:cs="Times New Roman"/>
      <w:sz w:val="24"/>
      <w:szCs w:val="24"/>
    </w:rPr>
  </w:style>
  <w:style w:type="character" w:customStyle="1" w:styleId="58">
    <w:name w:val="标题 9 字符"/>
    <w:link w:val="11"/>
    <w:qFormat/>
    <w:locked/>
    <w:uiPriority w:val="99"/>
    <w:rPr>
      <w:rFonts w:ascii="Arial" w:hAnsi="Arial" w:eastAsia="黑体" w:cs="Times New Roman"/>
      <w:sz w:val="21"/>
      <w:szCs w:val="21"/>
    </w:rPr>
  </w:style>
  <w:style w:type="character" w:customStyle="1" w:styleId="59">
    <w:name w:val="批注文字 字符"/>
    <w:link w:val="16"/>
    <w:semiHidden/>
    <w:qFormat/>
    <w:locked/>
    <w:uiPriority w:val="99"/>
    <w:rPr>
      <w:rFonts w:ascii="Times New Roman" w:hAnsi="Times New Roman" w:eastAsia="宋体" w:cs="Times New Roman"/>
      <w:sz w:val="24"/>
      <w:szCs w:val="24"/>
    </w:rPr>
  </w:style>
  <w:style w:type="character" w:customStyle="1" w:styleId="60">
    <w:name w:val="批注主题 字符"/>
    <w:link w:val="39"/>
    <w:semiHidden/>
    <w:qFormat/>
    <w:locked/>
    <w:uiPriority w:val="99"/>
    <w:rPr>
      <w:rFonts w:ascii="Times New Roman" w:hAnsi="Times New Roman" w:eastAsia="宋体" w:cs="Times New Roman"/>
      <w:b/>
      <w:bCs/>
      <w:sz w:val="24"/>
      <w:szCs w:val="24"/>
    </w:rPr>
  </w:style>
  <w:style w:type="character" w:customStyle="1" w:styleId="61">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62">
    <w:name w:val="正文文本 3 字符"/>
    <w:link w:val="17"/>
    <w:qFormat/>
    <w:locked/>
    <w:uiPriority w:val="99"/>
    <w:rPr>
      <w:rFonts w:ascii="Times New Roman" w:hAnsi="Times New Roman" w:eastAsia="宋体" w:cs="Times New Roman"/>
      <w:color w:val="FF00FF"/>
      <w:sz w:val="24"/>
      <w:szCs w:val="24"/>
    </w:rPr>
  </w:style>
  <w:style w:type="character" w:customStyle="1" w:styleId="63">
    <w:name w:val="正文文本 字符"/>
    <w:link w:val="18"/>
    <w:semiHidden/>
    <w:qFormat/>
    <w:locked/>
    <w:uiPriority w:val="99"/>
    <w:rPr>
      <w:rFonts w:ascii="Times New Roman" w:hAnsi="Times New Roman" w:eastAsia="宋体" w:cs="Times New Roman"/>
      <w:sz w:val="24"/>
      <w:szCs w:val="24"/>
    </w:rPr>
  </w:style>
  <w:style w:type="character" w:customStyle="1" w:styleId="64">
    <w:name w:val="正文文本缩进 字符"/>
    <w:link w:val="19"/>
    <w:qFormat/>
    <w:locked/>
    <w:uiPriority w:val="99"/>
    <w:rPr>
      <w:rFonts w:ascii="宋体" w:hAnsi="宋体" w:eastAsia="宋体" w:cs="Times New Roman"/>
      <w:sz w:val="24"/>
      <w:szCs w:val="24"/>
    </w:rPr>
  </w:style>
  <w:style w:type="character" w:customStyle="1" w:styleId="65">
    <w:name w:val="纯文本 字符"/>
    <w:link w:val="2"/>
    <w:qFormat/>
    <w:locked/>
    <w:uiPriority w:val="99"/>
    <w:rPr>
      <w:rFonts w:ascii="宋体" w:hAnsi="Courier New" w:eastAsia="宋体" w:cs="Times New Roman"/>
      <w:kern w:val="10"/>
      <w:sz w:val="21"/>
      <w:szCs w:val="21"/>
    </w:rPr>
  </w:style>
  <w:style w:type="character" w:customStyle="1" w:styleId="66">
    <w:name w:val="日期 字符"/>
    <w:link w:val="23"/>
    <w:qFormat/>
    <w:locked/>
    <w:uiPriority w:val="99"/>
    <w:rPr>
      <w:rFonts w:ascii="Times New Roman" w:hAnsi="Times New Roman" w:eastAsia="宋体" w:cs="Times New Roman"/>
      <w:color w:val="0000FF"/>
      <w:sz w:val="24"/>
      <w:szCs w:val="24"/>
    </w:rPr>
  </w:style>
  <w:style w:type="character" w:customStyle="1" w:styleId="67">
    <w:name w:val="正文文本缩进 2 字符"/>
    <w:link w:val="24"/>
    <w:qFormat/>
    <w:locked/>
    <w:uiPriority w:val="99"/>
    <w:rPr>
      <w:rFonts w:ascii="Times New Roman" w:hAnsi="Times New Roman" w:eastAsia="宋体" w:cs="Times New Roman"/>
      <w:sz w:val="24"/>
      <w:szCs w:val="24"/>
    </w:rPr>
  </w:style>
  <w:style w:type="character" w:customStyle="1" w:styleId="68">
    <w:name w:val="批注框文本 字符"/>
    <w:link w:val="25"/>
    <w:semiHidden/>
    <w:qFormat/>
    <w:locked/>
    <w:uiPriority w:val="99"/>
    <w:rPr>
      <w:rFonts w:ascii="Times New Roman" w:hAnsi="Times New Roman" w:eastAsia="宋体" w:cs="Times New Roman"/>
      <w:sz w:val="18"/>
      <w:szCs w:val="18"/>
    </w:rPr>
  </w:style>
  <w:style w:type="character" w:customStyle="1" w:styleId="69">
    <w:name w:val="页脚 字符"/>
    <w:link w:val="26"/>
    <w:qFormat/>
    <w:locked/>
    <w:uiPriority w:val="99"/>
    <w:rPr>
      <w:rFonts w:ascii="Times New Roman" w:hAnsi="Times New Roman" w:eastAsia="宋体" w:cs="Times New Roman"/>
      <w:sz w:val="18"/>
      <w:szCs w:val="18"/>
    </w:rPr>
  </w:style>
  <w:style w:type="character" w:customStyle="1" w:styleId="70">
    <w:name w:val="页眉 字符"/>
    <w:link w:val="27"/>
    <w:qFormat/>
    <w:locked/>
    <w:uiPriority w:val="99"/>
    <w:rPr>
      <w:rFonts w:ascii="Times New Roman" w:hAnsi="Times New Roman" w:eastAsia="宋体" w:cs="Times New Roman"/>
      <w:sz w:val="18"/>
      <w:szCs w:val="18"/>
    </w:rPr>
  </w:style>
  <w:style w:type="character" w:customStyle="1" w:styleId="71">
    <w:name w:val="正文文本缩进 3 字符"/>
    <w:link w:val="32"/>
    <w:qFormat/>
    <w:locked/>
    <w:uiPriority w:val="99"/>
    <w:rPr>
      <w:rFonts w:ascii="Times New Roman" w:hAnsi="Times New Roman" w:eastAsia="宋体" w:cs="Times New Roman"/>
      <w:sz w:val="24"/>
      <w:szCs w:val="24"/>
    </w:rPr>
  </w:style>
  <w:style w:type="character" w:customStyle="1" w:styleId="72">
    <w:name w:val="正文文本 2 字符"/>
    <w:link w:val="36"/>
    <w:qFormat/>
    <w:locked/>
    <w:uiPriority w:val="99"/>
    <w:rPr>
      <w:rFonts w:ascii="Times New Roman" w:hAnsi="Times New Roman" w:eastAsia="宋体" w:cs="Times New Roman"/>
      <w:color w:val="FF0000"/>
      <w:sz w:val="24"/>
      <w:szCs w:val="24"/>
    </w:rPr>
  </w:style>
  <w:style w:type="character" w:customStyle="1" w:styleId="73">
    <w:name w:val="信息标题 字符"/>
    <w:link w:val="37"/>
    <w:qFormat/>
    <w:locked/>
    <w:uiPriority w:val="99"/>
    <w:rPr>
      <w:rFonts w:ascii="Arial" w:hAnsi="Arial" w:eastAsia="宋体" w:cs="Arial"/>
      <w:sz w:val="24"/>
      <w:szCs w:val="24"/>
      <w:shd w:val="pct20" w:color="auto" w:fill="auto"/>
    </w:rPr>
  </w:style>
  <w:style w:type="character" w:customStyle="1" w:styleId="74">
    <w:name w:val="Body Text Char"/>
    <w:qFormat/>
    <w:locked/>
    <w:uiPriority w:val="99"/>
    <w:rPr>
      <w:rFonts w:eastAsia="宋体"/>
      <w:sz w:val="24"/>
    </w:rPr>
  </w:style>
  <w:style w:type="character" w:customStyle="1" w:styleId="75">
    <w:name w:val="C正文 Char"/>
    <w:link w:val="76"/>
    <w:qFormat/>
    <w:locked/>
    <w:uiPriority w:val="99"/>
    <w:rPr>
      <w:rFonts w:ascii="微软雅黑" w:hAnsi="微软雅黑" w:eastAsia="微软雅黑"/>
      <w:sz w:val="24"/>
    </w:rPr>
  </w:style>
  <w:style w:type="paragraph" w:customStyle="1" w:styleId="76">
    <w:name w:val="C正文"/>
    <w:basedOn w:val="1"/>
    <w:link w:val="75"/>
    <w:qFormat/>
    <w:uiPriority w:val="99"/>
    <w:pPr>
      <w:widowControl/>
      <w:spacing w:beforeLines="50"/>
      <w:ind w:firstLine="480" w:firstLineChars="200"/>
    </w:pPr>
    <w:rPr>
      <w:rFonts w:ascii="微软雅黑" w:hAnsi="微软雅黑" w:eastAsia="微软雅黑"/>
      <w:kern w:val="0"/>
      <w:sz w:val="24"/>
      <w:szCs w:val="20"/>
    </w:rPr>
  </w:style>
  <w:style w:type="paragraph" w:customStyle="1" w:styleId="77">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8">
    <w:name w:val="xl53"/>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79">
    <w:name w:val="xl52"/>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80">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character" w:customStyle="1" w:styleId="81">
    <w:name w:val="Body Text Char1"/>
    <w:semiHidden/>
    <w:qFormat/>
    <w:locked/>
    <w:uiPriority w:val="99"/>
    <w:rPr>
      <w:rFonts w:ascii="Times New Roman" w:hAnsi="Times New Roman" w:cs="Times New Roman"/>
      <w:sz w:val="24"/>
      <w:szCs w:val="24"/>
    </w:rPr>
  </w:style>
  <w:style w:type="paragraph" w:customStyle="1" w:styleId="82">
    <w:name w:val="p121"/>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8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84">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85">
    <w:name w:val="正文2"/>
    <w:basedOn w:val="18"/>
    <w:qFormat/>
    <w:uiPriority w:val="99"/>
    <w:pPr>
      <w:spacing w:line="360" w:lineRule="auto"/>
      <w:ind w:firstLine="480" w:firstLineChars="200"/>
    </w:pPr>
    <w:rPr>
      <w:rFonts w:ascii="宋体"/>
    </w:rPr>
  </w:style>
  <w:style w:type="paragraph" w:customStyle="1" w:styleId="86">
    <w:name w:val="xl30"/>
    <w:basedOn w:val="1"/>
    <w:qFormat/>
    <w:uiPriority w:val="99"/>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87">
    <w:name w:val="xl44"/>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88">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9">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90">
    <w:name w:val="Char1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1">
    <w:name w:val="xl31"/>
    <w:basedOn w:val="1"/>
    <w:qFormat/>
    <w:uiPriority w:val="99"/>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92">
    <w:name w:val="xl49"/>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kern w:val="0"/>
      <w:sz w:val="20"/>
      <w:szCs w:val="20"/>
    </w:rPr>
  </w:style>
  <w:style w:type="paragraph" w:customStyle="1" w:styleId="93">
    <w:name w:val="Char Char Char Char"/>
    <w:basedOn w:val="1"/>
    <w:semiHidden/>
    <w:qFormat/>
    <w:uiPriority w:val="99"/>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94">
    <w:name w:val="xl46"/>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95">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96">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8">
    <w:name w:val="Char Char Char Char Char Char1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9">
    <w:name w:val="样式1"/>
    <w:basedOn w:val="5"/>
    <w:qFormat/>
    <w:uiPriority w:val="99"/>
    <w:pPr>
      <w:numPr>
        <w:ilvl w:val="0"/>
        <w:numId w:val="2"/>
      </w:numPr>
      <w:spacing w:line="560" w:lineRule="exact"/>
    </w:pPr>
    <w:rPr>
      <w:rFonts w:hAnsi="宋体" w:cs="Arial"/>
    </w:rPr>
  </w:style>
  <w:style w:type="paragraph" w:customStyle="1" w:styleId="100">
    <w:name w:val="xl55"/>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101">
    <w:name w:val="xl29"/>
    <w:basedOn w:val="1"/>
    <w:qFormat/>
    <w:uiPriority w:val="99"/>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02">
    <w:name w:val="Char Char Char Char Char Char1 Char Char 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3">
    <w:name w:val="项目符号3"/>
    <w:basedOn w:val="1"/>
    <w:qFormat/>
    <w:uiPriority w:val="99"/>
    <w:pPr>
      <w:tabs>
        <w:tab w:val="left" w:pos="1260"/>
      </w:tabs>
      <w:ind w:left="1260" w:hanging="420"/>
    </w:pPr>
    <w:rPr>
      <w:sz w:val="24"/>
    </w:rPr>
  </w:style>
  <w:style w:type="paragraph" w:customStyle="1" w:styleId="10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20"/>
      <w:szCs w:val="20"/>
    </w:rPr>
  </w:style>
  <w:style w:type="paragraph" w:customStyle="1" w:styleId="10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kern w:val="0"/>
      <w:sz w:val="20"/>
      <w:szCs w:val="20"/>
    </w:rPr>
  </w:style>
  <w:style w:type="paragraph" w:customStyle="1" w:styleId="106">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subtitle 2"/>
    <w:basedOn w:val="1"/>
    <w:qFormat/>
    <w:uiPriority w:val="99"/>
    <w:pPr>
      <w:overflowPunct w:val="0"/>
      <w:autoSpaceDE w:val="0"/>
      <w:autoSpaceDN w:val="0"/>
      <w:adjustRightInd w:val="0"/>
      <w:spacing w:before="240" w:after="240" w:line="312" w:lineRule="atLeast"/>
      <w:textAlignment w:val="baseline"/>
    </w:pPr>
    <w:rPr>
      <w:rFonts w:ascii="黑体" w:eastAsia="黑体"/>
      <w:kern w:val="0"/>
      <w:sz w:val="24"/>
      <w:szCs w:val="20"/>
    </w:rPr>
  </w:style>
  <w:style w:type="paragraph" w:customStyle="1" w:styleId="108">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9">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0">
    <w:name w:val="xl5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11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2">
    <w:name w:val="xl34"/>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3">
    <w:name w:val="xiao b"/>
    <w:basedOn w:val="1"/>
    <w:qFormat/>
    <w:uiPriority w:val="99"/>
    <w:pPr>
      <w:jc w:val="center"/>
    </w:pPr>
    <w:rPr>
      <w:rFonts w:eastAsia="黑体"/>
      <w:sz w:val="24"/>
      <w:szCs w:val="20"/>
    </w:rPr>
  </w:style>
  <w:style w:type="paragraph" w:customStyle="1" w:styleId="114">
    <w:name w:val="xl39"/>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116">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kern w:val="0"/>
      <w:sz w:val="20"/>
      <w:szCs w:val="20"/>
    </w:rPr>
  </w:style>
  <w:style w:type="paragraph" w:customStyle="1" w:styleId="117">
    <w:name w:val="1"/>
    <w:basedOn w:val="1"/>
    <w:next w:val="18"/>
    <w:qFormat/>
    <w:uiPriority w:val="99"/>
    <w:rPr>
      <w:sz w:val="24"/>
    </w:rPr>
  </w:style>
  <w:style w:type="paragraph" w:customStyle="1" w:styleId="118">
    <w:name w:val="xl3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9">
    <w:name w:val="p0"/>
    <w:basedOn w:val="1"/>
    <w:qFormat/>
    <w:uiPriority w:val="99"/>
    <w:pPr>
      <w:widowControl/>
    </w:pPr>
    <w:rPr>
      <w:kern w:val="0"/>
      <w:szCs w:val="21"/>
    </w:rPr>
  </w:style>
  <w:style w:type="paragraph" w:customStyle="1" w:styleId="120">
    <w:name w:val="xl50"/>
    <w:basedOn w:val="1"/>
    <w:qFormat/>
    <w:uiPriority w:val="99"/>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2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2">
    <w:name w:val="xl45"/>
    <w:basedOn w:val="1"/>
    <w:qFormat/>
    <w:uiPriority w:val="99"/>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123">
    <w:name w:val="xl5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4">
    <w:name w:val="样式2"/>
    <w:basedOn w:val="4"/>
    <w:qFormat/>
    <w:uiPriority w:val="99"/>
    <w:pPr>
      <w:numPr>
        <w:ilvl w:val="0"/>
        <w:numId w:val="3"/>
      </w:numPr>
      <w:spacing w:line="500" w:lineRule="exact"/>
      <w:jc w:val="both"/>
    </w:pPr>
    <w:rPr>
      <w:color w:val="000000"/>
    </w:rPr>
  </w:style>
  <w:style w:type="paragraph" w:customStyle="1" w:styleId="125">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126">
    <w:name w:val="xl4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2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29">
    <w:name w:val="xl28"/>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3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31">
    <w:name w:val="xl56"/>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32">
    <w:name w:val="xl35"/>
    <w:basedOn w:val="1"/>
    <w:qFormat/>
    <w:uiPriority w:val="99"/>
    <w:pPr>
      <w:widowControl/>
      <w:pBdr>
        <w:top w:val="single" w:color="auto" w:sz="4" w:space="0"/>
        <w:left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33">
    <w:name w:val="xl59"/>
    <w:basedOn w:val="1"/>
    <w:qFormat/>
    <w:uiPriority w:val="99"/>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34">
    <w:name w:val="项目符合2"/>
    <w:basedOn w:val="1"/>
    <w:qFormat/>
    <w:uiPriority w:val="99"/>
    <w:pPr>
      <w:tabs>
        <w:tab w:val="left" w:pos="1049"/>
      </w:tabs>
      <w:ind w:left="1049" w:hanging="420"/>
    </w:pPr>
    <w:rPr>
      <w:sz w:val="24"/>
    </w:rPr>
  </w:style>
  <w:style w:type="paragraph" w:customStyle="1" w:styleId="135">
    <w:name w:val="正文1"/>
    <w:basedOn w:val="1"/>
    <w:qFormat/>
    <w:uiPriority w:val="99"/>
    <w:pPr>
      <w:tabs>
        <w:tab w:val="left" w:pos="1800"/>
        <w:tab w:val="left" w:pos="2160"/>
      </w:tabs>
      <w:spacing w:line="360" w:lineRule="auto"/>
      <w:ind w:left="2430"/>
    </w:pPr>
    <w:rPr>
      <w:rFonts w:ascii="宋体" w:hAnsi="宋体"/>
    </w:rPr>
  </w:style>
  <w:style w:type="paragraph" w:customStyle="1" w:styleId="1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7">
    <w:name w:val="op-map-singlepoint-info-right"/>
    <w:qFormat/>
    <w:uiPriority w:val="99"/>
    <w:rPr>
      <w:rFonts w:cs="Times New Roman"/>
    </w:rPr>
  </w:style>
  <w:style w:type="paragraph" w:customStyle="1" w:styleId="138">
    <w:name w:val="Char Char1 Char Char Char Char Char Char Char Char Char Char"/>
    <w:basedOn w:val="1"/>
    <w:qFormat/>
    <w:uiPriority w:val="99"/>
    <w:rPr>
      <w:kern w:val="0"/>
      <w:szCs w:val="20"/>
    </w:rPr>
  </w:style>
  <w:style w:type="paragraph" w:customStyle="1" w:styleId="139">
    <w:name w:val="列出段落1"/>
    <w:basedOn w:val="1"/>
    <w:qFormat/>
    <w:uiPriority w:val="99"/>
    <w:pPr>
      <w:ind w:firstLine="420" w:firstLineChars="200"/>
    </w:pPr>
  </w:style>
  <w:style w:type="paragraph" w:customStyle="1" w:styleId="140">
    <w:name w:val="列出段落2"/>
    <w:basedOn w:val="1"/>
    <w:qFormat/>
    <w:uiPriority w:val="0"/>
    <w:pPr>
      <w:ind w:firstLine="420" w:firstLineChars="200"/>
    </w:pPr>
  </w:style>
  <w:style w:type="paragraph" w:customStyle="1" w:styleId="141">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纯文本1"/>
    <w:basedOn w:val="1"/>
    <w:qFormat/>
    <w:uiPriority w:val="0"/>
    <w:pPr>
      <w:adjustRightInd w:val="0"/>
      <w:textAlignment w:val="baseline"/>
    </w:pPr>
    <w:rPr>
      <w:rFonts w:ascii="宋体" w:hAnsi="Courier New" w:eastAsia="楷体_GB2312"/>
      <w:sz w:val="26"/>
      <w:szCs w:val="20"/>
    </w:rPr>
  </w:style>
  <w:style w:type="paragraph" w:customStyle="1" w:styleId="143">
    <w:name w:val="List Paragraph1"/>
    <w:basedOn w:val="1"/>
    <w:qFormat/>
    <w:uiPriority w:val="99"/>
    <w:pPr>
      <w:ind w:firstLine="420" w:firstLineChars="200"/>
    </w:pPr>
  </w:style>
  <w:style w:type="character" w:customStyle="1" w:styleId="144">
    <w:name w:val="正文缩进 字符"/>
    <w:link w:val="13"/>
    <w:qFormat/>
    <w:locked/>
    <w:uiPriority w:val="99"/>
    <w:rPr>
      <w:kern w:val="2"/>
      <w:sz w:val="21"/>
    </w:rPr>
  </w:style>
  <w:style w:type="paragraph" w:styleId="145">
    <w:name w:val="List Paragraph"/>
    <w:basedOn w:val="1"/>
    <w:link w:val="148"/>
    <w:qFormat/>
    <w:uiPriority w:val="34"/>
    <w:pPr>
      <w:ind w:firstLine="420" w:firstLineChars="200"/>
    </w:pPr>
  </w:style>
  <w:style w:type="paragraph" w:customStyle="1" w:styleId="146">
    <w:name w:val="_Style 3"/>
    <w:basedOn w:val="1"/>
    <w:unhideWhenUsed/>
    <w:qFormat/>
    <w:uiPriority w:val="34"/>
    <w:pPr>
      <w:ind w:firstLine="420" w:firstLineChars="200"/>
    </w:pPr>
  </w:style>
  <w:style w:type="character" w:customStyle="1" w:styleId="147">
    <w:name w:val="副标题 字符"/>
    <w:basedOn w:val="42"/>
    <w:link w:val="30"/>
    <w:qFormat/>
    <w:uiPriority w:val="11"/>
    <w:rPr>
      <w:rFonts w:ascii="宋体" w:hAnsi="宋体"/>
      <w:b/>
      <w:bCs/>
      <w:color w:val="000000"/>
      <w:kern w:val="28"/>
      <w:sz w:val="28"/>
      <w:szCs w:val="28"/>
    </w:rPr>
  </w:style>
  <w:style w:type="character" w:customStyle="1" w:styleId="148">
    <w:name w:val="列表段落 字符"/>
    <w:link w:val="145"/>
    <w:qFormat/>
    <w:locked/>
    <w:uiPriority w:val="34"/>
    <w:rPr>
      <w:kern w:val="2"/>
      <w:sz w:val="21"/>
      <w:szCs w:val="24"/>
    </w:rPr>
  </w:style>
  <w:style w:type="character" w:customStyle="1" w:styleId="149">
    <w:name w:val="列出段落 Char"/>
    <w:qFormat/>
    <w:uiPriority w:val="34"/>
    <w:rPr>
      <w:kern w:val="2"/>
      <w:sz w:val="21"/>
      <w:szCs w:val="24"/>
    </w:rPr>
  </w:style>
  <w:style w:type="character" w:customStyle="1" w:styleId="150">
    <w:name w:val="Unresolved Mention"/>
    <w:basedOn w:val="42"/>
    <w:semiHidden/>
    <w:unhideWhenUsed/>
    <w:qFormat/>
    <w:uiPriority w:val="99"/>
    <w:rPr>
      <w:color w:val="605E5C"/>
      <w:shd w:val="clear" w:color="auto" w:fill="E1DFDD"/>
    </w:rPr>
  </w:style>
  <w:style w:type="character" w:customStyle="1" w:styleId="151">
    <w:name w:val="font51"/>
    <w:basedOn w:val="42"/>
    <w:qFormat/>
    <w:uiPriority w:val="0"/>
    <w:rPr>
      <w:rFonts w:hint="eastAsia" w:ascii="宋体" w:hAnsi="宋体" w:eastAsia="宋体" w:cs="宋体"/>
      <w:color w:val="000000"/>
      <w:sz w:val="18"/>
      <w:szCs w:val="18"/>
      <w:u w:val="none"/>
    </w:rPr>
  </w:style>
  <w:style w:type="character" w:customStyle="1" w:styleId="152">
    <w:name w:val="font61"/>
    <w:basedOn w:val="42"/>
    <w:qFormat/>
    <w:uiPriority w:val="0"/>
    <w:rPr>
      <w:rFonts w:hint="default" w:ascii="Times New Roman" w:hAnsi="Times New Roman" w:cs="Times New Roman"/>
      <w:color w:val="000000"/>
      <w:sz w:val="18"/>
      <w:szCs w:val="18"/>
      <w:u w:val="none"/>
    </w:rPr>
  </w:style>
  <w:style w:type="paragraph" w:customStyle="1" w:styleId="153">
    <w:name w:val="段"/>
    <w:next w:val="1"/>
    <w:qFormat/>
    <w:uiPriority w:val="0"/>
    <w:pPr>
      <w:autoSpaceDE w:val="0"/>
      <w:autoSpaceDN w:val="0"/>
      <w:ind w:left="650" w:firstLine="200" w:firstLineChars="200"/>
      <w:jc w:val="both"/>
    </w:pPr>
    <w:rPr>
      <w:rFonts w:ascii="宋体" w:hAnsi="Calibri" w:eastAsia="宋体" w:cs="Times New Roman"/>
      <w:sz w:val="21"/>
      <w:lang w:val="en-US" w:eastAsia="zh-CN" w:bidi="ar-SA"/>
    </w:rPr>
  </w:style>
  <w:style w:type="paragraph" w:customStyle="1" w:styleId="1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5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WPSOffice手动目录 1"/>
    <w:qFormat/>
    <w:uiPriority w:val="0"/>
    <w:pPr>
      <w:ind w:leftChars="0"/>
    </w:pPr>
    <w:rPr>
      <w:rFonts w:ascii="Times New Roman" w:hAnsi="Times New Roman" w:eastAsia="宋体" w:cs="Times New Roman"/>
      <w:sz w:val="20"/>
      <w:szCs w:val="20"/>
    </w:rPr>
  </w:style>
  <w:style w:type="paragraph" w:customStyle="1" w:styleId="15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14924</Words>
  <Characters>15503</Characters>
  <Lines>152</Lines>
  <Paragraphs>42</Paragraphs>
  <TotalTime>2</TotalTime>
  <ScaleCrop>false</ScaleCrop>
  <LinksUpToDate>false</LinksUpToDate>
  <CharactersWithSpaces>15835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2018-05-21T17:36:00Z</dcterms:created>
  <dc:creator>Administrator</dc:creator>
  <cp:lastModifiedBy>廖耀东</cp:lastModifiedBy>
  <cp:lastPrinted>2018-06-22T15:51:00Z</cp:lastPrinted>
  <dcterms:modified xsi:type="dcterms:W3CDTF">2022-09-09T07:59:16Z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5D0BC08146E1454E9EEEC3FAB60A5D10</vt:lpwstr>
  </property>
</Properties>
</file>