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cs="宋体"/>
          <w:bCs/>
        </w:rPr>
      </w:pPr>
      <w:r>
        <w:rPr>
          <w:rFonts w:hint="eastAsia" w:ascii="宋体" w:hAnsi="宋体" w:cs="宋体"/>
          <w:bCs/>
        </w:rPr>
        <w:t>附件1 ：</w:t>
      </w:r>
    </w:p>
    <w:p>
      <w:pPr>
        <w:widowControl/>
        <w:jc w:val="center"/>
        <w:rPr>
          <w:rFonts w:hint="eastAsia" w:ascii="宋体" w:hAnsi="宋体" w:cs="宋体"/>
          <w:b/>
          <w:bCs/>
        </w:rPr>
      </w:pPr>
      <w:r>
        <w:rPr>
          <w:rFonts w:hint="eastAsia" w:ascii="宋体" w:hAnsi="宋体" w:cs="宋体"/>
          <w:b/>
          <w:bCs/>
        </w:rPr>
        <w:t>湖北省工程造价咨询企业执业质量检查记录表</w:t>
      </w:r>
    </w:p>
    <w:p>
      <w:pPr>
        <w:widowControl/>
        <w:jc w:val="center"/>
        <w:rPr>
          <w:rFonts w:hint="eastAsia" w:ascii="宋体" w:hAnsi="宋体" w:cs="宋体"/>
          <w:b/>
          <w:bCs/>
          <w:sz w:val="18"/>
          <w:szCs w:val="18"/>
        </w:rPr>
      </w:pPr>
    </w:p>
    <w:tbl>
      <w:tblPr>
        <w:tblStyle w:val="2"/>
        <w:tblW w:w="10815" w:type="dxa"/>
        <w:tblCellSpacing w:w="0" w:type="dxa"/>
        <w:tblInd w:w="-70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29"/>
        <w:gridCol w:w="1407"/>
        <w:gridCol w:w="494"/>
        <w:gridCol w:w="311"/>
        <w:gridCol w:w="410"/>
        <w:gridCol w:w="523"/>
        <w:gridCol w:w="2379"/>
        <w:gridCol w:w="1337"/>
        <w:gridCol w:w="801"/>
        <w:gridCol w:w="878"/>
        <w:gridCol w:w="389"/>
        <w:gridCol w:w="122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0815" w:type="dxa"/>
            <w:gridSpan w:val="12"/>
            <w:vAlign w:val="center"/>
          </w:tcPr>
          <w:p>
            <w:pPr>
              <w:widowControl/>
              <w:jc w:val="center"/>
              <w:rPr>
                <w:rFonts w:hint="eastAsia" w:ascii="宋体" w:hAnsi="宋体" w:cs="宋体"/>
                <w:b/>
                <w:sz w:val="18"/>
                <w:szCs w:val="18"/>
              </w:rPr>
            </w:pPr>
            <w:r>
              <w:rPr>
                <w:rFonts w:hint="eastAsia" w:ascii="宋体" w:hAnsi="宋体" w:cs="宋体"/>
                <w:b/>
                <w:sz w:val="18"/>
                <w:szCs w:val="18"/>
              </w:rPr>
              <w:t>企业基本情况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162" w:type="dxa"/>
            <w:gridSpan w:val="5"/>
            <w:vAlign w:val="center"/>
          </w:tcPr>
          <w:p>
            <w:pPr>
              <w:widowControl/>
              <w:jc w:val="center"/>
              <w:rPr>
                <w:rFonts w:hint="eastAsia" w:ascii="宋体" w:hAnsi="宋体" w:cs="宋体"/>
                <w:sz w:val="18"/>
                <w:szCs w:val="18"/>
              </w:rPr>
            </w:pPr>
            <w:r>
              <w:rPr>
                <w:rFonts w:hint="eastAsia" w:ascii="宋体" w:hAnsi="宋体" w:cs="宋体"/>
                <w:sz w:val="18"/>
                <w:szCs w:val="18"/>
              </w:rPr>
              <w:t>企业名称</w:t>
            </w:r>
          </w:p>
        </w:tc>
        <w:tc>
          <w:tcPr>
            <w:tcW w:w="7653" w:type="dxa"/>
            <w:gridSpan w:val="7"/>
            <w:vAlign w:val="center"/>
          </w:tcPr>
          <w:p>
            <w:pPr>
              <w:widowControl/>
              <w:jc w:val="center"/>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162" w:type="dxa"/>
            <w:gridSpan w:val="5"/>
            <w:vAlign w:val="center"/>
          </w:tcPr>
          <w:p>
            <w:pPr>
              <w:widowControl/>
              <w:jc w:val="center"/>
              <w:rPr>
                <w:rFonts w:hint="eastAsia" w:ascii="宋体" w:hAnsi="宋体" w:cs="宋体"/>
                <w:sz w:val="18"/>
                <w:szCs w:val="18"/>
              </w:rPr>
            </w:pPr>
            <w:r>
              <w:rPr>
                <w:rFonts w:hint="eastAsia" w:ascii="宋体" w:hAnsi="宋体" w:cs="宋体"/>
                <w:sz w:val="18"/>
                <w:szCs w:val="18"/>
              </w:rPr>
              <w:t>详细地址</w:t>
            </w:r>
          </w:p>
        </w:tc>
        <w:tc>
          <w:tcPr>
            <w:tcW w:w="4378" w:type="dxa"/>
            <w:gridSpan w:val="3"/>
            <w:vAlign w:val="center"/>
          </w:tcPr>
          <w:p>
            <w:pPr>
              <w:widowControl/>
              <w:jc w:val="center"/>
              <w:rPr>
                <w:rFonts w:hint="eastAsia" w:ascii="宋体" w:hAnsi="宋体" w:cs="宋体"/>
                <w:sz w:val="18"/>
                <w:szCs w:val="18"/>
              </w:rPr>
            </w:pPr>
          </w:p>
        </w:tc>
        <w:tc>
          <w:tcPr>
            <w:tcW w:w="1619" w:type="dxa"/>
            <w:gridSpan w:val="2"/>
            <w:vAlign w:val="center"/>
          </w:tcPr>
          <w:p>
            <w:pPr>
              <w:widowControl/>
              <w:jc w:val="center"/>
              <w:rPr>
                <w:rFonts w:hint="eastAsia" w:ascii="宋体" w:hAnsi="宋体" w:cs="宋体"/>
                <w:sz w:val="18"/>
                <w:szCs w:val="18"/>
              </w:rPr>
            </w:pPr>
            <w:r>
              <w:rPr>
                <w:rFonts w:hint="eastAsia" w:ascii="宋体" w:hAnsi="宋体" w:cs="宋体"/>
                <w:sz w:val="18"/>
                <w:szCs w:val="18"/>
              </w:rPr>
              <w:t>邮政编码</w:t>
            </w:r>
          </w:p>
        </w:tc>
        <w:tc>
          <w:tcPr>
            <w:tcW w:w="1656" w:type="dxa"/>
            <w:gridSpan w:val="2"/>
            <w:vAlign w:val="center"/>
          </w:tcPr>
          <w:p>
            <w:pPr>
              <w:widowControl/>
              <w:jc w:val="center"/>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162" w:type="dxa"/>
            <w:gridSpan w:val="5"/>
            <w:vAlign w:val="center"/>
          </w:tcPr>
          <w:p>
            <w:pPr>
              <w:widowControl/>
              <w:jc w:val="center"/>
              <w:rPr>
                <w:rFonts w:hint="eastAsia" w:ascii="宋体" w:hAnsi="宋体" w:cs="宋体"/>
                <w:sz w:val="18"/>
                <w:szCs w:val="18"/>
              </w:rPr>
            </w:pPr>
            <w:r>
              <w:rPr>
                <w:rFonts w:hint="eastAsia" w:ascii="宋体" w:hAnsi="宋体" w:cs="宋体"/>
                <w:sz w:val="18"/>
                <w:szCs w:val="18"/>
              </w:rPr>
              <w:t>资质等级</w:t>
            </w:r>
          </w:p>
        </w:tc>
        <w:tc>
          <w:tcPr>
            <w:tcW w:w="4378" w:type="dxa"/>
            <w:gridSpan w:val="3"/>
            <w:vAlign w:val="center"/>
          </w:tcPr>
          <w:p>
            <w:pPr>
              <w:widowControl/>
              <w:jc w:val="center"/>
              <w:rPr>
                <w:rFonts w:hint="eastAsia" w:ascii="宋体" w:hAnsi="宋体" w:cs="宋体"/>
                <w:sz w:val="18"/>
                <w:szCs w:val="18"/>
              </w:rPr>
            </w:pPr>
          </w:p>
        </w:tc>
        <w:tc>
          <w:tcPr>
            <w:tcW w:w="1619" w:type="dxa"/>
            <w:gridSpan w:val="2"/>
            <w:vAlign w:val="center"/>
          </w:tcPr>
          <w:p>
            <w:pPr>
              <w:widowControl/>
              <w:jc w:val="center"/>
              <w:rPr>
                <w:rFonts w:hint="eastAsia" w:ascii="宋体" w:hAnsi="宋体" w:cs="宋体"/>
                <w:sz w:val="18"/>
                <w:szCs w:val="18"/>
              </w:rPr>
            </w:pPr>
            <w:r>
              <w:rPr>
                <w:rFonts w:hint="eastAsia" w:ascii="宋体" w:hAnsi="宋体" w:cs="宋体"/>
                <w:sz w:val="18"/>
                <w:szCs w:val="18"/>
              </w:rPr>
              <w:t>核准时间</w:t>
            </w:r>
          </w:p>
        </w:tc>
        <w:tc>
          <w:tcPr>
            <w:tcW w:w="1656" w:type="dxa"/>
            <w:gridSpan w:val="2"/>
            <w:vAlign w:val="center"/>
          </w:tcPr>
          <w:p>
            <w:pPr>
              <w:widowControl/>
              <w:jc w:val="center"/>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162" w:type="dxa"/>
            <w:gridSpan w:val="5"/>
            <w:vAlign w:val="center"/>
          </w:tcPr>
          <w:p>
            <w:pPr>
              <w:widowControl/>
              <w:jc w:val="center"/>
              <w:rPr>
                <w:rFonts w:hint="eastAsia" w:ascii="宋体" w:hAnsi="宋体" w:cs="宋体"/>
                <w:sz w:val="18"/>
                <w:szCs w:val="18"/>
              </w:rPr>
            </w:pPr>
            <w:r>
              <w:rPr>
                <w:rFonts w:hint="eastAsia" w:ascii="宋体" w:hAnsi="宋体" w:cs="宋体"/>
                <w:sz w:val="18"/>
                <w:szCs w:val="18"/>
              </w:rPr>
              <w:t>法定代表人</w:t>
            </w:r>
          </w:p>
        </w:tc>
        <w:tc>
          <w:tcPr>
            <w:tcW w:w="3083" w:type="dxa"/>
            <w:gridSpan w:val="2"/>
            <w:vAlign w:val="center"/>
          </w:tcPr>
          <w:p>
            <w:pPr>
              <w:widowControl/>
              <w:jc w:val="center"/>
              <w:rPr>
                <w:rFonts w:hint="eastAsia" w:ascii="宋体" w:hAnsi="宋体" w:cs="宋体"/>
                <w:sz w:val="18"/>
                <w:szCs w:val="18"/>
              </w:rPr>
            </w:pPr>
          </w:p>
        </w:tc>
        <w:tc>
          <w:tcPr>
            <w:tcW w:w="1295" w:type="dxa"/>
            <w:vAlign w:val="center"/>
          </w:tcPr>
          <w:p>
            <w:pPr>
              <w:widowControl/>
              <w:jc w:val="center"/>
              <w:rPr>
                <w:rFonts w:hint="eastAsia" w:ascii="宋体" w:hAnsi="宋体" w:cs="宋体"/>
                <w:sz w:val="18"/>
                <w:szCs w:val="18"/>
              </w:rPr>
            </w:pPr>
            <w:r>
              <w:rPr>
                <w:rFonts w:hint="eastAsia" w:ascii="宋体" w:hAnsi="宋体" w:cs="宋体"/>
                <w:sz w:val="18"/>
                <w:szCs w:val="18"/>
              </w:rPr>
              <w:t>办公电话和手机号</w:t>
            </w:r>
          </w:p>
        </w:tc>
        <w:tc>
          <w:tcPr>
            <w:tcW w:w="3275" w:type="dxa"/>
            <w:gridSpan w:val="4"/>
            <w:vAlign w:val="center"/>
          </w:tcPr>
          <w:p>
            <w:pPr>
              <w:widowControl/>
              <w:jc w:val="center"/>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0815" w:type="dxa"/>
            <w:gridSpan w:val="12"/>
            <w:vAlign w:val="center"/>
          </w:tcPr>
          <w:p>
            <w:pPr>
              <w:widowControl/>
              <w:jc w:val="center"/>
              <w:rPr>
                <w:rFonts w:hint="eastAsia" w:ascii="宋体" w:hAnsi="宋体" w:cs="宋体"/>
                <w:sz w:val="18"/>
                <w:szCs w:val="18"/>
              </w:rPr>
            </w:pPr>
            <w:r>
              <w:rPr>
                <w:rFonts w:hint="eastAsia" w:ascii="宋体" w:hAnsi="宋体" w:cs="宋体"/>
                <w:b/>
                <w:bCs/>
                <w:sz w:val="18"/>
                <w:szCs w:val="18"/>
              </w:rPr>
              <w:t>执业质量情况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0815" w:type="dxa"/>
            <w:gridSpan w:val="12"/>
            <w:vAlign w:val="center"/>
          </w:tcPr>
          <w:p>
            <w:pPr>
              <w:widowControl/>
              <w:rPr>
                <w:rFonts w:hint="eastAsia" w:ascii="宋体" w:hAnsi="宋体" w:cs="宋体"/>
                <w:sz w:val="18"/>
                <w:szCs w:val="18"/>
              </w:rPr>
            </w:pPr>
            <w:r>
              <w:rPr>
                <w:rFonts w:hint="eastAsia" w:ascii="宋体" w:hAnsi="宋体" w:cs="宋体"/>
                <w:sz w:val="18"/>
                <w:szCs w:val="18"/>
              </w:rPr>
              <w:t>项目1名称：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0815" w:type="dxa"/>
            <w:gridSpan w:val="12"/>
            <w:vAlign w:val="center"/>
          </w:tcPr>
          <w:p>
            <w:pPr>
              <w:widowControl/>
              <w:rPr>
                <w:rFonts w:hint="eastAsia" w:ascii="宋体" w:hAnsi="宋体" w:cs="宋体"/>
                <w:sz w:val="18"/>
                <w:szCs w:val="18"/>
              </w:rPr>
            </w:pPr>
            <w:r>
              <w:rPr>
                <w:rFonts w:hint="eastAsia" w:ascii="宋体" w:hAnsi="宋体" w:cs="宋体"/>
                <w:sz w:val="18"/>
                <w:szCs w:val="18"/>
              </w:rPr>
              <w:t>项目2名称：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78" w:type="dxa"/>
            <w:vAlign w:val="center"/>
          </w:tcPr>
          <w:p>
            <w:pPr>
              <w:widowControl/>
              <w:jc w:val="center"/>
              <w:rPr>
                <w:rFonts w:hint="eastAsia" w:ascii="宋体" w:hAnsi="宋体" w:cs="宋体"/>
                <w:sz w:val="18"/>
                <w:szCs w:val="18"/>
              </w:rPr>
            </w:pPr>
            <w:r>
              <w:rPr>
                <w:rFonts w:hint="eastAsia" w:ascii="宋体" w:hAnsi="宋体" w:cs="宋体"/>
                <w:sz w:val="18"/>
                <w:szCs w:val="18"/>
              </w:rPr>
              <w:t>序号</w:t>
            </w:r>
          </w:p>
        </w:tc>
        <w:tc>
          <w:tcPr>
            <w:tcW w:w="7436" w:type="dxa"/>
            <w:gridSpan w:val="8"/>
            <w:vAlign w:val="center"/>
          </w:tcPr>
          <w:p>
            <w:pPr>
              <w:widowControl/>
              <w:jc w:val="center"/>
              <w:rPr>
                <w:rFonts w:hint="eastAsia" w:ascii="宋体" w:hAnsi="宋体" w:cs="宋体"/>
                <w:sz w:val="18"/>
                <w:szCs w:val="18"/>
              </w:rPr>
            </w:pPr>
            <w:r>
              <w:rPr>
                <w:rFonts w:hint="eastAsia" w:ascii="宋体" w:hAnsi="宋体" w:cs="宋体"/>
                <w:sz w:val="18"/>
                <w:szCs w:val="18"/>
              </w:rPr>
              <w:t>工程造价咨询企业执业质量检查内容及标准（100分）</w:t>
            </w:r>
          </w:p>
        </w:tc>
        <w:tc>
          <w:tcPr>
            <w:tcW w:w="1273" w:type="dxa"/>
            <w:gridSpan w:val="2"/>
            <w:vAlign w:val="center"/>
          </w:tcPr>
          <w:p>
            <w:pPr>
              <w:widowControl/>
              <w:jc w:val="center"/>
              <w:rPr>
                <w:rFonts w:hint="eastAsia" w:ascii="宋体" w:hAnsi="宋体" w:cs="宋体"/>
                <w:sz w:val="18"/>
                <w:szCs w:val="18"/>
              </w:rPr>
            </w:pPr>
            <w:r>
              <w:rPr>
                <w:rFonts w:hint="eastAsia" w:ascii="宋体" w:hAnsi="宋体" w:cs="宋体"/>
                <w:sz w:val="18"/>
                <w:szCs w:val="18"/>
              </w:rPr>
              <w:t>项目1扣分</w:t>
            </w:r>
          </w:p>
          <w:p>
            <w:pPr>
              <w:widowControl/>
              <w:jc w:val="center"/>
              <w:rPr>
                <w:rFonts w:hint="eastAsia" w:ascii="宋体" w:hAnsi="宋体" w:cs="宋体"/>
                <w:sz w:val="18"/>
                <w:szCs w:val="18"/>
              </w:rPr>
            </w:pPr>
            <w:r>
              <w:rPr>
                <w:rFonts w:hint="eastAsia" w:ascii="宋体" w:hAnsi="宋体" w:cs="宋体"/>
                <w:sz w:val="18"/>
                <w:szCs w:val="18"/>
              </w:rPr>
              <w:t>及原因</w:t>
            </w:r>
          </w:p>
        </w:tc>
        <w:tc>
          <w:tcPr>
            <w:tcW w:w="1228" w:type="dxa"/>
            <w:vAlign w:val="center"/>
          </w:tcPr>
          <w:p>
            <w:pPr>
              <w:widowControl/>
              <w:jc w:val="center"/>
              <w:rPr>
                <w:rFonts w:hint="eastAsia" w:ascii="宋体" w:hAnsi="宋体" w:cs="宋体"/>
                <w:sz w:val="18"/>
                <w:szCs w:val="18"/>
              </w:rPr>
            </w:pPr>
            <w:r>
              <w:rPr>
                <w:rFonts w:hint="eastAsia" w:ascii="宋体" w:hAnsi="宋体" w:cs="宋体"/>
                <w:sz w:val="18"/>
                <w:szCs w:val="18"/>
              </w:rPr>
              <w:t>项目2扣分</w:t>
            </w:r>
          </w:p>
          <w:p>
            <w:pPr>
              <w:widowControl/>
              <w:jc w:val="center"/>
              <w:rPr>
                <w:rFonts w:hint="eastAsia" w:ascii="宋体" w:hAnsi="宋体" w:cs="宋体"/>
                <w:sz w:val="18"/>
                <w:szCs w:val="18"/>
              </w:rPr>
            </w:pPr>
            <w:r>
              <w:rPr>
                <w:rFonts w:hint="eastAsia" w:ascii="宋体" w:hAnsi="宋体" w:cs="宋体"/>
                <w:sz w:val="18"/>
                <w:szCs w:val="18"/>
              </w:rPr>
              <w:t>及原因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78" w:type="dxa"/>
            <w:vAlign w:val="center"/>
          </w:tcPr>
          <w:p>
            <w:pPr>
              <w:widowControl/>
              <w:jc w:val="center"/>
              <w:rPr>
                <w:rFonts w:hint="eastAsia" w:ascii="宋体" w:hAnsi="宋体" w:cs="宋体"/>
                <w:sz w:val="18"/>
                <w:szCs w:val="18"/>
              </w:rPr>
            </w:pPr>
            <w:r>
              <w:rPr>
                <w:rFonts w:hint="eastAsia" w:ascii="宋体" w:hAnsi="宋体" w:cs="宋体"/>
                <w:sz w:val="18"/>
                <w:szCs w:val="18"/>
              </w:rPr>
              <w:t>一</w:t>
            </w:r>
          </w:p>
        </w:tc>
        <w:tc>
          <w:tcPr>
            <w:tcW w:w="7436" w:type="dxa"/>
            <w:gridSpan w:val="8"/>
            <w:vAlign w:val="center"/>
          </w:tcPr>
          <w:p>
            <w:pPr>
              <w:widowControl/>
              <w:jc w:val="center"/>
              <w:rPr>
                <w:rFonts w:hint="eastAsia" w:ascii="宋体" w:hAnsi="宋体" w:cs="宋体"/>
                <w:sz w:val="18"/>
                <w:szCs w:val="18"/>
              </w:rPr>
            </w:pPr>
            <w:r>
              <w:rPr>
                <w:rFonts w:hint="eastAsia" w:ascii="宋体" w:hAnsi="宋体" w:cs="宋体"/>
                <w:sz w:val="18"/>
                <w:szCs w:val="18"/>
              </w:rPr>
              <w:t>准备阶段（20分）</w:t>
            </w:r>
          </w:p>
        </w:tc>
        <w:tc>
          <w:tcPr>
            <w:tcW w:w="1273" w:type="dxa"/>
            <w:gridSpan w:val="2"/>
            <w:vAlign w:val="center"/>
          </w:tcPr>
          <w:p>
            <w:pPr>
              <w:widowControl/>
              <w:jc w:val="center"/>
              <w:rPr>
                <w:rFonts w:hint="eastAsia" w:ascii="宋体" w:hAnsi="宋体" w:cs="宋体"/>
                <w:sz w:val="18"/>
                <w:szCs w:val="18"/>
              </w:rPr>
            </w:pPr>
          </w:p>
        </w:tc>
        <w:tc>
          <w:tcPr>
            <w:tcW w:w="1228" w:type="dxa"/>
            <w:vAlign w:val="center"/>
          </w:tcPr>
          <w:p>
            <w:pPr>
              <w:widowControl/>
              <w:jc w:val="center"/>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78" w:type="dxa"/>
            <w:vMerge w:val="restart"/>
            <w:vAlign w:val="center"/>
          </w:tcPr>
          <w:p>
            <w:pPr>
              <w:widowControl/>
              <w:jc w:val="center"/>
              <w:rPr>
                <w:rFonts w:hint="eastAsia" w:ascii="宋体" w:hAnsi="宋体" w:cs="宋体"/>
                <w:sz w:val="18"/>
                <w:szCs w:val="18"/>
              </w:rPr>
            </w:pPr>
            <w:r>
              <w:rPr>
                <w:rFonts w:hint="eastAsia" w:ascii="宋体" w:hAnsi="宋体" w:cs="宋体"/>
                <w:sz w:val="18"/>
                <w:szCs w:val="18"/>
              </w:rPr>
              <w:t>1</w:t>
            </w:r>
          </w:p>
        </w:tc>
        <w:tc>
          <w:tcPr>
            <w:tcW w:w="1677" w:type="dxa"/>
            <w:gridSpan w:val="2"/>
            <w:vMerge w:val="restart"/>
            <w:vAlign w:val="center"/>
          </w:tcPr>
          <w:p>
            <w:pPr>
              <w:widowControl/>
              <w:jc w:val="center"/>
              <w:rPr>
                <w:rFonts w:hint="eastAsia" w:ascii="宋体" w:hAnsi="宋体" w:cs="宋体"/>
                <w:sz w:val="18"/>
                <w:szCs w:val="18"/>
              </w:rPr>
            </w:pPr>
            <w:r>
              <w:rPr>
                <w:rFonts w:hint="eastAsia" w:ascii="宋体" w:hAnsi="宋体" w:cs="宋体"/>
                <w:sz w:val="18"/>
                <w:szCs w:val="18"/>
              </w:rPr>
              <w:t>咨询合同</w:t>
            </w:r>
          </w:p>
          <w:p>
            <w:pPr>
              <w:widowControl/>
              <w:jc w:val="center"/>
              <w:rPr>
                <w:rFonts w:hint="eastAsia" w:ascii="宋体" w:hAnsi="宋体" w:cs="宋体"/>
                <w:sz w:val="18"/>
                <w:szCs w:val="18"/>
              </w:rPr>
            </w:pPr>
            <w:r>
              <w:rPr>
                <w:rFonts w:hint="eastAsia" w:ascii="宋体" w:hAnsi="宋体" w:cs="宋体"/>
                <w:sz w:val="18"/>
                <w:szCs w:val="18"/>
              </w:rPr>
              <w:t>（10分）</w:t>
            </w:r>
          </w:p>
        </w:tc>
        <w:tc>
          <w:tcPr>
            <w:tcW w:w="5759" w:type="dxa"/>
            <w:gridSpan w:val="6"/>
            <w:vAlign w:val="center"/>
          </w:tcPr>
          <w:p>
            <w:pPr>
              <w:widowControl/>
              <w:rPr>
                <w:rFonts w:hint="eastAsia" w:ascii="宋体" w:hAnsi="宋体" w:cs="宋体"/>
                <w:sz w:val="18"/>
                <w:szCs w:val="18"/>
              </w:rPr>
            </w:pPr>
            <w:r>
              <w:rPr>
                <w:rFonts w:hint="eastAsia" w:ascii="宋体" w:hAnsi="宋体" w:cs="宋体"/>
                <w:sz w:val="18"/>
                <w:szCs w:val="18"/>
              </w:rPr>
              <w:t>没有签订咨询合同（咨询合同含单项合同、年度合同、框架协议）的扣10分</w:t>
            </w:r>
          </w:p>
        </w:tc>
        <w:tc>
          <w:tcPr>
            <w:tcW w:w="1273" w:type="dxa"/>
            <w:gridSpan w:val="2"/>
            <w:vMerge w:val="restart"/>
            <w:vAlign w:val="center"/>
          </w:tcPr>
          <w:p>
            <w:pPr>
              <w:widowControl/>
              <w:jc w:val="center"/>
              <w:rPr>
                <w:rFonts w:hint="eastAsia" w:ascii="宋体" w:hAnsi="宋体" w:cs="宋体"/>
                <w:sz w:val="18"/>
                <w:szCs w:val="18"/>
              </w:rPr>
            </w:pPr>
          </w:p>
        </w:tc>
        <w:tc>
          <w:tcPr>
            <w:tcW w:w="1228" w:type="dxa"/>
            <w:vMerge w:val="restart"/>
            <w:vAlign w:val="center"/>
          </w:tcPr>
          <w:p>
            <w:pPr>
              <w:widowControl/>
              <w:jc w:val="center"/>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vMerge w:val="continue"/>
            <w:vAlign w:val="center"/>
          </w:tcPr>
          <w:p>
            <w:pPr>
              <w:widowControl/>
              <w:jc w:val="left"/>
              <w:rPr>
                <w:rFonts w:hint="eastAsia" w:ascii="宋体" w:hAnsi="宋体" w:cs="宋体"/>
                <w:sz w:val="18"/>
                <w:szCs w:val="18"/>
              </w:rPr>
            </w:pPr>
          </w:p>
        </w:tc>
        <w:tc>
          <w:tcPr>
            <w:tcW w:w="0" w:type="auto"/>
            <w:gridSpan w:val="2"/>
            <w:vMerge w:val="continue"/>
            <w:vAlign w:val="center"/>
          </w:tcPr>
          <w:p>
            <w:pPr>
              <w:widowControl/>
              <w:jc w:val="left"/>
              <w:rPr>
                <w:rFonts w:hint="eastAsia" w:ascii="宋体" w:hAnsi="宋体" w:cs="宋体"/>
                <w:sz w:val="18"/>
                <w:szCs w:val="18"/>
              </w:rPr>
            </w:pPr>
          </w:p>
        </w:tc>
        <w:tc>
          <w:tcPr>
            <w:tcW w:w="5759" w:type="dxa"/>
            <w:gridSpan w:val="6"/>
            <w:vAlign w:val="center"/>
          </w:tcPr>
          <w:p>
            <w:pPr>
              <w:widowControl/>
              <w:rPr>
                <w:rFonts w:hint="eastAsia" w:ascii="宋体" w:hAnsi="宋体" w:cs="宋体"/>
                <w:sz w:val="18"/>
                <w:szCs w:val="18"/>
              </w:rPr>
            </w:pPr>
            <w:r>
              <w:rPr>
                <w:rFonts w:hint="eastAsia" w:ascii="宋体" w:hAnsi="宋体" w:cs="宋体"/>
                <w:sz w:val="18"/>
                <w:szCs w:val="18"/>
              </w:rPr>
              <w:t>超越资质等级业务范围承接工程造价咨询业务的扣10分</w:t>
            </w:r>
          </w:p>
        </w:tc>
        <w:tc>
          <w:tcPr>
            <w:tcW w:w="0" w:type="auto"/>
            <w:gridSpan w:val="2"/>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9" w:hRule="atLeast"/>
          <w:tblCellSpacing w:w="0" w:type="dxa"/>
        </w:trPr>
        <w:tc>
          <w:tcPr>
            <w:tcW w:w="0" w:type="auto"/>
            <w:vMerge w:val="continue"/>
            <w:vAlign w:val="center"/>
          </w:tcPr>
          <w:p>
            <w:pPr>
              <w:widowControl/>
              <w:jc w:val="left"/>
              <w:rPr>
                <w:rFonts w:hint="eastAsia" w:ascii="宋体" w:hAnsi="宋体" w:cs="宋体"/>
                <w:sz w:val="18"/>
                <w:szCs w:val="18"/>
              </w:rPr>
            </w:pPr>
          </w:p>
        </w:tc>
        <w:tc>
          <w:tcPr>
            <w:tcW w:w="0" w:type="auto"/>
            <w:gridSpan w:val="2"/>
            <w:vMerge w:val="continue"/>
            <w:vAlign w:val="center"/>
          </w:tcPr>
          <w:p>
            <w:pPr>
              <w:widowControl/>
              <w:jc w:val="left"/>
              <w:rPr>
                <w:rFonts w:hint="eastAsia" w:ascii="宋体" w:hAnsi="宋体" w:cs="宋体"/>
                <w:sz w:val="18"/>
                <w:szCs w:val="18"/>
              </w:rPr>
            </w:pPr>
          </w:p>
        </w:tc>
        <w:tc>
          <w:tcPr>
            <w:tcW w:w="5759" w:type="dxa"/>
            <w:gridSpan w:val="6"/>
            <w:vAlign w:val="center"/>
          </w:tcPr>
          <w:p>
            <w:pPr>
              <w:widowControl/>
              <w:rPr>
                <w:rFonts w:hint="eastAsia" w:ascii="宋体" w:hAnsi="宋体" w:cs="宋体"/>
                <w:sz w:val="18"/>
                <w:szCs w:val="18"/>
              </w:rPr>
            </w:pPr>
            <w:r>
              <w:rPr>
                <w:rFonts w:hint="eastAsia" w:ascii="宋体" w:hAnsi="宋体" w:cs="宋体"/>
                <w:sz w:val="18"/>
                <w:szCs w:val="18"/>
              </w:rPr>
              <w:t>咨询合同应采用示范文本，确因委托方要求也可采用非示范文本。合同中需明确委托标的、咨询类别、咨询范围、服务周期、服务酬金等要求，否则每项扣1分</w:t>
            </w:r>
          </w:p>
        </w:tc>
        <w:tc>
          <w:tcPr>
            <w:tcW w:w="0" w:type="auto"/>
            <w:gridSpan w:val="2"/>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78" w:type="dxa"/>
            <w:vMerge w:val="restart"/>
            <w:vAlign w:val="center"/>
          </w:tcPr>
          <w:p>
            <w:pPr>
              <w:widowControl/>
              <w:jc w:val="center"/>
              <w:rPr>
                <w:rFonts w:hint="eastAsia" w:ascii="宋体" w:hAnsi="宋体" w:cs="宋体"/>
                <w:sz w:val="18"/>
                <w:szCs w:val="18"/>
              </w:rPr>
            </w:pPr>
            <w:r>
              <w:rPr>
                <w:rFonts w:hint="eastAsia" w:ascii="宋体" w:hAnsi="宋体" w:cs="宋体"/>
                <w:sz w:val="18"/>
                <w:szCs w:val="18"/>
              </w:rPr>
              <w:t>2</w:t>
            </w:r>
          </w:p>
        </w:tc>
        <w:tc>
          <w:tcPr>
            <w:tcW w:w="1677" w:type="dxa"/>
            <w:gridSpan w:val="2"/>
            <w:vMerge w:val="restart"/>
            <w:vAlign w:val="center"/>
          </w:tcPr>
          <w:p>
            <w:pPr>
              <w:widowControl/>
              <w:jc w:val="center"/>
              <w:rPr>
                <w:rFonts w:hint="eastAsia" w:ascii="宋体" w:hAnsi="宋体" w:cs="宋体"/>
                <w:sz w:val="18"/>
                <w:szCs w:val="18"/>
              </w:rPr>
            </w:pPr>
            <w:r>
              <w:rPr>
                <w:rFonts w:hint="eastAsia" w:ascii="宋体" w:hAnsi="宋体" w:cs="宋体"/>
                <w:sz w:val="18"/>
                <w:szCs w:val="18"/>
              </w:rPr>
              <w:t>咨询资料</w:t>
            </w:r>
          </w:p>
          <w:p>
            <w:pPr>
              <w:widowControl/>
              <w:jc w:val="center"/>
              <w:rPr>
                <w:rFonts w:hint="eastAsia" w:ascii="宋体" w:hAnsi="宋体" w:cs="宋体"/>
                <w:sz w:val="18"/>
                <w:szCs w:val="18"/>
              </w:rPr>
            </w:pPr>
            <w:r>
              <w:rPr>
                <w:rFonts w:hint="eastAsia" w:ascii="宋体" w:hAnsi="宋体" w:cs="宋体"/>
                <w:sz w:val="18"/>
                <w:szCs w:val="18"/>
              </w:rPr>
              <w:t>（5分）</w:t>
            </w:r>
          </w:p>
        </w:tc>
        <w:tc>
          <w:tcPr>
            <w:tcW w:w="5759" w:type="dxa"/>
            <w:gridSpan w:val="6"/>
            <w:vAlign w:val="center"/>
          </w:tcPr>
          <w:p>
            <w:pPr>
              <w:widowControl/>
              <w:rPr>
                <w:rFonts w:hint="eastAsia" w:ascii="宋体" w:hAnsi="宋体" w:cs="宋体"/>
                <w:sz w:val="18"/>
                <w:szCs w:val="18"/>
              </w:rPr>
            </w:pPr>
            <w:r>
              <w:rPr>
                <w:rFonts w:hint="eastAsia" w:ascii="宋体" w:hAnsi="宋体" w:cs="宋体"/>
                <w:sz w:val="18"/>
                <w:szCs w:val="18"/>
              </w:rPr>
              <w:t>未按有关规定收集咨询资料，不能提供资料清单的扣5分</w:t>
            </w:r>
          </w:p>
        </w:tc>
        <w:tc>
          <w:tcPr>
            <w:tcW w:w="1273" w:type="dxa"/>
            <w:gridSpan w:val="2"/>
            <w:vMerge w:val="restart"/>
            <w:vAlign w:val="center"/>
          </w:tcPr>
          <w:p>
            <w:pPr>
              <w:widowControl/>
              <w:jc w:val="center"/>
              <w:rPr>
                <w:rFonts w:hint="eastAsia" w:ascii="宋体" w:hAnsi="宋体" w:cs="宋体"/>
                <w:sz w:val="18"/>
                <w:szCs w:val="18"/>
              </w:rPr>
            </w:pPr>
          </w:p>
        </w:tc>
        <w:tc>
          <w:tcPr>
            <w:tcW w:w="1228" w:type="dxa"/>
            <w:vMerge w:val="restart"/>
            <w:vAlign w:val="center"/>
          </w:tcPr>
          <w:p>
            <w:pPr>
              <w:widowControl/>
              <w:jc w:val="center"/>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vMerge w:val="continue"/>
            <w:vAlign w:val="center"/>
          </w:tcPr>
          <w:p>
            <w:pPr>
              <w:widowControl/>
              <w:jc w:val="left"/>
              <w:rPr>
                <w:rFonts w:hint="eastAsia" w:ascii="宋体" w:hAnsi="宋体" w:cs="宋体"/>
                <w:sz w:val="18"/>
                <w:szCs w:val="18"/>
              </w:rPr>
            </w:pPr>
          </w:p>
        </w:tc>
        <w:tc>
          <w:tcPr>
            <w:tcW w:w="0" w:type="auto"/>
            <w:gridSpan w:val="2"/>
            <w:vMerge w:val="continue"/>
            <w:vAlign w:val="center"/>
          </w:tcPr>
          <w:p>
            <w:pPr>
              <w:widowControl/>
              <w:jc w:val="left"/>
              <w:rPr>
                <w:rFonts w:hint="eastAsia" w:ascii="宋体" w:hAnsi="宋体" w:cs="宋体"/>
                <w:sz w:val="18"/>
                <w:szCs w:val="18"/>
              </w:rPr>
            </w:pPr>
          </w:p>
        </w:tc>
        <w:tc>
          <w:tcPr>
            <w:tcW w:w="5759" w:type="dxa"/>
            <w:gridSpan w:val="6"/>
            <w:vAlign w:val="center"/>
          </w:tcPr>
          <w:p>
            <w:pPr>
              <w:widowControl/>
              <w:rPr>
                <w:rFonts w:hint="eastAsia" w:ascii="宋体" w:hAnsi="宋体" w:cs="宋体"/>
                <w:sz w:val="18"/>
                <w:szCs w:val="18"/>
              </w:rPr>
            </w:pPr>
            <w:r>
              <w:rPr>
                <w:rFonts w:hint="eastAsia" w:ascii="宋体" w:hAnsi="宋体" w:cs="宋体"/>
                <w:sz w:val="18"/>
                <w:szCs w:val="18"/>
              </w:rPr>
              <w:t>咨询资料（依据《建设工程造价咨询质量控制规范》的相关规定）无法满足工程造价咨询业务需求的扣3分</w:t>
            </w:r>
          </w:p>
        </w:tc>
        <w:tc>
          <w:tcPr>
            <w:tcW w:w="0" w:type="auto"/>
            <w:gridSpan w:val="2"/>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vMerge w:val="continue"/>
            <w:vAlign w:val="center"/>
          </w:tcPr>
          <w:p>
            <w:pPr>
              <w:widowControl/>
              <w:jc w:val="left"/>
              <w:rPr>
                <w:rFonts w:hint="eastAsia" w:ascii="宋体" w:hAnsi="宋体" w:cs="宋体"/>
                <w:sz w:val="18"/>
                <w:szCs w:val="18"/>
              </w:rPr>
            </w:pPr>
          </w:p>
        </w:tc>
        <w:tc>
          <w:tcPr>
            <w:tcW w:w="0" w:type="auto"/>
            <w:gridSpan w:val="2"/>
            <w:vMerge w:val="continue"/>
            <w:vAlign w:val="center"/>
          </w:tcPr>
          <w:p>
            <w:pPr>
              <w:widowControl/>
              <w:jc w:val="left"/>
              <w:rPr>
                <w:rFonts w:hint="eastAsia" w:ascii="宋体" w:hAnsi="宋体" w:cs="宋体"/>
                <w:sz w:val="18"/>
                <w:szCs w:val="18"/>
              </w:rPr>
            </w:pPr>
          </w:p>
        </w:tc>
        <w:tc>
          <w:tcPr>
            <w:tcW w:w="5759" w:type="dxa"/>
            <w:gridSpan w:val="6"/>
            <w:vAlign w:val="center"/>
          </w:tcPr>
          <w:p>
            <w:pPr>
              <w:widowControl/>
              <w:rPr>
                <w:rFonts w:hint="eastAsia" w:ascii="宋体" w:hAnsi="宋体" w:cs="宋体"/>
                <w:sz w:val="18"/>
                <w:szCs w:val="18"/>
              </w:rPr>
            </w:pPr>
            <w:r>
              <w:rPr>
                <w:rFonts w:hint="eastAsia" w:ascii="宋体" w:hAnsi="宋体" w:cs="宋体"/>
                <w:sz w:val="18"/>
                <w:szCs w:val="18"/>
              </w:rPr>
              <w:t>咨询资料清单交接退还手续不完整的扣1分</w:t>
            </w:r>
          </w:p>
        </w:tc>
        <w:tc>
          <w:tcPr>
            <w:tcW w:w="0" w:type="auto"/>
            <w:gridSpan w:val="2"/>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78" w:type="dxa"/>
            <w:vMerge w:val="restart"/>
            <w:vAlign w:val="center"/>
          </w:tcPr>
          <w:p>
            <w:pPr>
              <w:widowControl/>
              <w:jc w:val="center"/>
              <w:rPr>
                <w:rFonts w:hint="eastAsia" w:ascii="宋体" w:hAnsi="宋体" w:cs="宋体"/>
                <w:sz w:val="18"/>
                <w:szCs w:val="18"/>
              </w:rPr>
            </w:pPr>
            <w:r>
              <w:rPr>
                <w:rFonts w:hint="eastAsia" w:ascii="宋体" w:hAnsi="宋体" w:cs="宋体"/>
                <w:sz w:val="18"/>
                <w:szCs w:val="18"/>
              </w:rPr>
              <w:t>3</w:t>
            </w:r>
          </w:p>
        </w:tc>
        <w:tc>
          <w:tcPr>
            <w:tcW w:w="1677" w:type="dxa"/>
            <w:gridSpan w:val="2"/>
            <w:vMerge w:val="restart"/>
            <w:vAlign w:val="center"/>
          </w:tcPr>
          <w:p>
            <w:pPr>
              <w:widowControl/>
              <w:jc w:val="center"/>
              <w:rPr>
                <w:rFonts w:hint="eastAsia" w:ascii="宋体" w:hAnsi="宋体" w:cs="宋体"/>
                <w:sz w:val="18"/>
                <w:szCs w:val="18"/>
              </w:rPr>
            </w:pPr>
            <w:r>
              <w:rPr>
                <w:rFonts w:hint="eastAsia" w:ascii="宋体" w:hAnsi="宋体" w:cs="宋体"/>
                <w:sz w:val="18"/>
                <w:szCs w:val="18"/>
              </w:rPr>
              <w:t>实施方案</w:t>
            </w:r>
          </w:p>
          <w:p>
            <w:pPr>
              <w:widowControl/>
              <w:jc w:val="center"/>
              <w:rPr>
                <w:rFonts w:hint="eastAsia" w:ascii="宋体" w:hAnsi="宋体" w:cs="宋体"/>
                <w:sz w:val="18"/>
                <w:szCs w:val="18"/>
              </w:rPr>
            </w:pPr>
            <w:r>
              <w:rPr>
                <w:rFonts w:hint="eastAsia" w:ascii="宋体" w:hAnsi="宋体" w:cs="宋体"/>
                <w:sz w:val="18"/>
                <w:szCs w:val="18"/>
              </w:rPr>
              <w:t>（5分）</w:t>
            </w:r>
          </w:p>
        </w:tc>
        <w:tc>
          <w:tcPr>
            <w:tcW w:w="5759" w:type="dxa"/>
            <w:gridSpan w:val="6"/>
            <w:vAlign w:val="center"/>
          </w:tcPr>
          <w:p>
            <w:pPr>
              <w:widowControl/>
              <w:rPr>
                <w:rFonts w:hint="eastAsia" w:ascii="宋体" w:hAnsi="宋体" w:cs="宋体"/>
                <w:sz w:val="18"/>
                <w:szCs w:val="18"/>
              </w:rPr>
            </w:pPr>
            <w:r>
              <w:rPr>
                <w:rFonts w:hint="eastAsia" w:ascii="宋体" w:hAnsi="宋体" w:cs="宋体"/>
                <w:sz w:val="18"/>
                <w:szCs w:val="18"/>
              </w:rPr>
              <w:t>未编制实施方案的扣5分</w:t>
            </w:r>
          </w:p>
        </w:tc>
        <w:tc>
          <w:tcPr>
            <w:tcW w:w="1273" w:type="dxa"/>
            <w:gridSpan w:val="2"/>
            <w:vMerge w:val="restart"/>
            <w:vAlign w:val="center"/>
          </w:tcPr>
          <w:p>
            <w:pPr>
              <w:widowControl/>
              <w:jc w:val="center"/>
              <w:rPr>
                <w:rFonts w:hint="eastAsia" w:ascii="宋体" w:hAnsi="宋体" w:cs="宋体"/>
                <w:sz w:val="18"/>
                <w:szCs w:val="18"/>
              </w:rPr>
            </w:pPr>
          </w:p>
        </w:tc>
        <w:tc>
          <w:tcPr>
            <w:tcW w:w="1228" w:type="dxa"/>
            <w:vMerge w:val="restart"/>
            <w:vAlign w:val="center"/>
          </w:tcPr>
          <w:p>
            <w:pPr>
              <w:widowControl/>
              <w:jc w:val="center"/>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vMerge w:val="continue"/>
            <w:vAlign w:val="center"/>
          </w:tcPr>
          <w:p>
            <w:pPr>
              <w:widowControl/>
              <w:jc w:val="left"/>
              <w:rPr>
                <w:rFonts w:hint="eastAsia" w:ascii="宋体" w:hAnsi="宋体" w:cs="宋体"/>
                <w:sz w:val="18"/>
                <w:szCs w:val="18"/>
              </w:rPr>
            </w:pPr>
          </w:p>
        </w:tc>
        <w:tc>
          <w:tcPr>
            <w:tcW w:w="0" w:type="auto"/>
            <w:gridSpan w:val="2"/>
            <w:vMerge w:val="continue"/>
            <w:vAlign w:val="center"/>
          </w:tcPr>
          <w:p>
            <w:pPr>
              <w:widowControl/>
              <w:jc w:val="left"/>
              <w:rPr>
                <w:rFonts w:hint="eastAsia" w:ascii="宋体" w:hAnsi="宋体" w:cs="宋体"/>
                <w:sz w:val="18"/>
                <w:szCs w:val="18"/>
              </w:rPr>
            </w:pPr>
          </w:p>
        </w:tc>
        <w:tc>
          <w:tcPr>
            <w:tcW w:w="5759" w:type="dxa"/>
            <w:gridSpan w:val="6"/>
            <w:vAlign w:val="center"/>
          </w:tcPr>
          <w:p>
            <w:pPr>
              <w:widowControl/>
              <w:rPr>
                <w:rFonts w:hint="eastAsia" w:ascii="宋体" w:hAnsi="宋体" w:cs="宋体"/>
                <w:sz w:val="18"/>
                <w:szCs w:val="18"/>
              </w:rPr>
            </w:pPr>
            <w:r>
              <w:rPr>
                <w:rFonts w:hint="eastAsia" w:ascii="宋体" w:hAnsi="宋体" w:cs="宋体"/>
                <w:sz w:val="18"/>
                <w:szCs w:val="18"/>
              </w:rPr>
              <w:t>实施方案内容不完整的扣2分</w:t>
            </w:r>
          </w:p>
        </w:tc>
        <w:tc>
          <w:tcPr>
            <w:tcW w:w="0" w:type="auto"/>
            <w:gridSpan w:val="2"/>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vMerge w:val="continue"/>
            <w:vAlign w:val="center"/>
          </w:tcPr>
          <w:p>
            <w:pPr>
              <w:widowControl/>
              <w:jc w:val="left"/>
              <w:rPr>
                <w:rFonts w:hint="eastAsia" w:ascii="宋体" w:hAnsi="宋体" w:cs="宋体"/>
                <w:sz w:val="18"/>
                <w:szCs w:val="18"/>
              </w:rPr>
            </w:pPr>
          </w:p>
        </w:tc>
        <w:tc>
          <w:tcPr>
            <w:tcW w:w="0" w:type="auto"/>
            <w:gridSpan w:val="2"/>
            <w:vMerge w:val="continue"/>
            <w:vAlign w:val="center"/>
          </w:tcPr>
          <w:p>
            <w:pPr>
              <w:widowControl/>
              <w:jc w:val="left"/>
              <w:rPr>
                <w:rFonts w:hint="eastAsia" w:ascii="宋体" w:hAnsi="宋体" w:cs="宋体"/>
                <w:sz w:val="18"/>
                <w:szCs w:val="18"/>
              </w:rPr>
            </w:pPr>
          </w:p>
        </w:tc>
        <w:tc>
          <w:tcPr>
            <w:tcW w:w="5759" w:type="dxa"/>
            <w:gridSpan w:val="6"/>
            <w:vAlign w:val="center"/>
          </w:tcPr>
          <w:p>
            <w:pPr>
              <w:widowControl/>
              <w:rPr>
                <w:rFonts w:hint="eastAsia" w:ascii="宋体" w:hAnsi="宋体" w:cs="宋体"/>
                <w:sz w:val="18"/>
                <w:szCs w:val="18"/>
              </w:rPr>
            </w:pPr>
            <w:r>
              <w:rPr>
                <w:rFonts w:hint="eastAsia" w:ascii="宋体" w:hAnsi="宋体" w:cs="宋体"/>
                <w:sz w:val="18"/>
                <w:szCs w:val="18"/>
              </w:rPr>
              <w:t>业务操作人员配置不合理或资格不符合有关规定的扣3分</w:t>
            </w:r>
          </w:p>
        </w:tc>
        <w:tc>
          <w:tcPr>
            <w:tcW w:w="0" w:type="auto"/>
            <w:gridSpan w:val="2"/>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vMerge w:val="continue"/>
            <w:vAlign w:val="center"/>
          </w:tcPr>
          <w:p>
            <w:pPr>
              <w:widowControl/>
              <w:jc w:val="left"/>
              <w:rPr>
                <w:rFonts w:hint="eastAsia" w:ascii="宋体" w:hAnsi="宋体" w:cs="宋体"/>
                <w:sz w:val="18"/>
                <w:szCs w:val="18"/>
              </w:rPr>
            </w:pPr>
          </w:p>
        </w:tc>
        <w:tc>
          <w:tcPr>
            <w:tcW w:w="0" w:type="auto"/>
            <w:gridSpan w:val="2"/>
            <w:vMerge w:val="continue"/>
            <w:vAlign w:val="center"/>
          </w:tcPr>
          <w:p>
            <w:pPr>
              <w:widowControl/>
              <w:jc w:val="left"/>
              <w:rPr>
                <w:rFonts w:hint="eastAsia" w:ascii="宋体" w:hAnsi="宋体" w:cs="宋体"/>
                <w:sz w:val="18"/>
                <w:szCs w:val="18"/>
              </w:rPr>
            </w:pPr>
          </w:p>
        </w:tc>
        <w:tc>
          <w:tcPr>
            <w:tcW w:w="5759" w:type="dxa"/>
            <w:gridSpan w:val="6"/>
            <w:vAlign w:val="center"/>
          </w:tcPr>
          <w:p>
            <w:pPr>
              <w:widowControl/>
              <w:rPr>
                <w:rFonts w:hint="eastAsia" w:ascii="宋体" w:hAnsi="宋体" w:cs="宋体"/>
                <w:sz w:val="18"/>
                <w:szCs w:val="18"/>
              </w:rPr>
            </w:pPr>
            <w:r>
              <w:rPr>
                <w:rFonts w:hint="eastAsia" w:ascii="宋体" w:hAnsi="宋体" w:cs="宋体"/>
                <w:sz w:val="18"/>
                <w:szCs w:val="18"/>
              </w:rPr>
              <w:t>实施方案未经工程造价咨询企业相关负责人审定和批准的扣1分</w:t>
            </w:r>
          </w:p>
        </w:tc>
        <w:tc>
          <w:tcPr>
            <w:tcW w:w="0" w:type="auto"/>
            <w:gridSpan w:val="2"/>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vMerge w:val="continue"/>
            <w:vAlign w:val="center"/>
          </w:tcPr>
          <w:p>
            <w:pPr>
              <w:widowControl/>
              <w:jc w:val="left"/>
              <w:rPr>
                <w:rFonts w:hint="eastAsia" w:ascii="宋体" w:hAnsi="宋体" w:cs="宋体"/>
                <w:sz w:val="18"/>
                <w:szCs w:val="18"/>
              </w:rPr>
            </w:pPr>
          </w:p>
        </w:tc>
        <w:tc>
          <w:tcPr>
            <w:tcW w:w="0" w:type="auto"/>
            <w:gridSpan w:val="2"/>
            <w:vMerge w:val="continue"/>
            <w:vAlign w:val="center"/>
          </w:tcPr>
          <w:p>
            <w:pPr>
              <w:widowControl/>
              <w:jc w:val="left"/>
              <w:rPr>
                <w:rFonts w:hint="eastAsia" w:ascii="宋体" w:hAnsi="宋体" w:cs="宋体"/>
                <w:sz w:val="18"/>
                <w:szCs w:val="18"/>
              </w:rPr>
            </w:pPr>
          </w:p>
        </w:tc>
        <w:tc>
          <w:tcPr>
            <w:tcW w:w="5759" w:type="dxa"/>
            <w:gridSpan w:val="6"/>
            <w:vAlign w:val="center"/>
          </w:tcPr>
          <w:p>
            <w:pPr>
              <w:widowControl/>
              <w:rPr>
                <w:rFonts w:hint="eastAsia" w:ascii="宋体" w:hAnsi="宋体" w:cs="宋体"/>
                <w:sz w:val="18"/>
                <w:szCs w:val="18"/>
              </w:rPr>
            </w:pPr>
            <w:r>
              <w:rPr>
                <w:rFonts w:hint="eastAsia" w:ascii="宋体" w:hAnsi="宋体" w:cs="宋体"/>
                <w:sz w:val="18"/>
                <w:szCs w:val="18"/>
              </w:rPr>
              <w:t>实施方案操作人员未到位的扣1分</w:t>
            </w:r>
          </w:p>
        </w:tc>
        <w:tc>
          <w:tcPr>
            <w:tcW w:w="0" w:type="auto"/>
            <w:gridSpan w:val="2"/>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78" w:type="dxa"/>
            <w:vAlign w:val="center"/>
          </w:tcPr>
          <w:p>
            <w:pPr>
              <w:widowControl/>
              <w:jc w:val="center"/>
              <w:rPr>
                <w:rFonts w:hint="eastAsia" w:ascii="宋体" w:hAnsi="宋体" w:cs="宋体"/>
                <w:sz w:val="18"/>
                <w:szCs w:val="18"/>
              </w:rPr>
            </w:pPr>
            <w:r>
              <w:rPr>
                <w:rFonts w:hint="eastAsia" w:ascii="宋体" w:hAnsi="宋体" w:cs="宋体"/>
                <w:sz w:val="18"/>
                <w:szCs w:val="18"/>
              </w:rPr>
              <w:t>二</w:t>
            </w:r>
          </w:p>
        </w:tc>
        <w:tc>
          <w:tcPr>
            <w:tcW w:w="7436" w:type="dxa"/>
            <w:gridSpan w:val="8"/>
            <w:vAlign w:val="center"/>
          </w:tcPr>
          <w:p>
            <w:pPr>
              <w:widowControl/>
              <w:jc w:val="center"/>
              <w:rPr>
                <w:rFonts w:hint="eastAsia" w:ascii="宋体" w:hAnsi="宋体" w:cs="宋体"/>
                <w:sz w:val="18"/>
                <w:szCs w:val="18"/>
              </w:rPr>
            </w:pPr>
            <w:r>
              <w:rPr>
                <w:rFonts w:hint="eastAsia" w:ascii="宋体" w:hAnsi="宋体" w:cs="宋体"/>
                <w:sz w:val="18"/>
                <w:szCs w:val="18"/>
              </w:rPr>
              <w:t>实施阶段（45分）</w:t>
            </w:r>
          </w:p>
        </w:tc>
        <w:tc>
          <w:tcPr>
            <w:tcW w:w="1273" w:type="dxa"/>
            <w:gridSpan w:val="2"/>
            <w:vAlign w:val="center"/>
          </w:tcPr>
          <w:p>
            <w:pPr>
              <w:widowControl/>
              <w:jc w:val="center"/>
              <w:rPr>
                <w:rFonts w:hint="eastAsia" w:ascii="宋体" w:hAnsi="宋体" w:cs="宋体"/>
                <w:sz w:val="18"/>
                <w:szCs w:val="18"/>
              </w:rPr>
            </w:pPr>
          </w:p>
        </w:tc>
        <w:tc>
          <w:tcPr>
            <w:tcW w:w="1228" w:type="dxa"/>
            <w:vAlign w:val="center"/>
          </w:tcPr>
          <w:p>
            <w:pPr>
              <w:widowControl/>
              <w:jc w:val="center"/>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78" w:type="dxa"/>
            <w:vMerge w:val="restart"/>
            <w:vAlign w:val="center"/>
          </w:tcPr>
          <w:p>
            <w:pPr>
              <w:widowControl/>
              <w:jc w:val="center"/>
              <w:rPr>
                <w:rFonts w:hint="eastAsia" w:ascii="宋体" w:hAnsi="宋体" w:cs="宋体"/>
                <w:sz w:val="18"/>
                <w:szCs w:val="18"/>
              </w:rPr>
            </w:pPr>
            <w:r>
              <w:rPr>
                <w:rFonts w:hint="eastAsia" w:ascii="宋体" w:hAnsi="宋体" w:cs="宋体"/>
                <w:sz w:val="18"/>
                <w:szCs w:val="18"/>
              </w:rPr>
              <w:t>1</w:t>
            </w:r>
          </w:p>
        </w:tc>
        <w:tc>
          <w:tcPr>
            <w:tcW w:w="1258" w:type="dxa"/>
            <w:vMerge w:val="restart"/>
            <w:vAlign w:val="center"/>
          </w:tcPr>
          <w:p>
            <w:pPr>
              <w:widowControl/>
              <w:jc w:val="center"/>
              <w:rPr>
                <w:rFonts w:hint="eastAsia" w:ascii="宋体" w:hAnsi="宋体" w:cs="宋体"/>
                <w:sz w:val="18"/>
                <w:szCs w:val="18"/>
              </w:rPr>
            </w:pPr>
            <w:r>
              <w:rPr>
                <w:rFonts w:hint="eastAsia" w:ascii="宋体" w:hAnsi="宋体" w:cs="宋体"/>
                <w:sz w:val="18"/>
                <w:szCs w:val="18"/>
              </w:rPr>
              <w:t>业务操作</w:t>
            </w:r>
          </w:p>
          <w:p>
            <w:pPr>
              <w:widowControl/>
              <w:jc w:val="center"/>
              <w:rPr>
                <w:rFonts w:hint="eastAsia" w:ascii="宋体" w:hAnsi="宋体" w:cs="宋体"/>
                <w:sz w:val="18"/>
                <w:szCs w:val="18"/>
              </w:rPr>
            </w:pPr>
            <w:r>
              <w:rPr>
                <w:rFonts w:hint="eastAsia" w:ascii="宋体" w:hAnsi="宋体" w:cs="宋体"/>
                <w:sz w:val="18"/>
                <w:szCs w:val="18"/>
              </w:rPr>
              <w:t>（35分）</w:t>
            </w:r>
          </w:p>
        </w:tc>
        <w:tc>
          <w:tcPr>
            <w:tcW w:w="1459" w:type="dxa"/>
            <w:gridSpan w:val="4"/>
            <w:vMerge w:val="restart"/>
            <w:vAlign w:val="center"/>
          </w:tcPr>
          <w:p>
            <w:pPr>
              <w:widowControl/>
              <w:jc w:val="center"/>
              <w:rPr>
                <w:rFonts w:hint="eastAsia" w:ascii="宋体" w:hAnsi="宋体" w:cs="宋体"/>
                <w:sz w:val="18"/>
                <w:szCs w:val="18"/>
              </w:rPr>
            </w:pPr>
            <w:r>
              <w:rPr>
                <w:rFonts w:hint="eastAsia" w:ascii="宋体" w:hAnsi="宋体" w:cs="宋体"/>
                <w:sz w:val="18"/>
                <w:szCs w:val="18"/>
              </w:rPr>
              <w:t>项目前期</w:t>
            </w:r>
          </w:p>
          <w:p>
            <w:pPr>
              <w:widowControl/>
              <w:jc w:val="center"/>
              <w:rPr>
                <w:rFonts w:hint="eastAsia" w:ascii="宋体" w:hAnsi="宋体" w:cs="宋体"/>
                <w:sz w:val="18"/>
                <w:szCs w:val="18"/>
              </w:rPr>
            </w:pPr>
            <w:r>
              <w:rPr>
                <w:rFonts w:hint="eastAsia" w:ascii="宋体" w:hAnsi="宋体" w:cs="宋体"/>
                <w:sz w:val="18"/>
                <w:szCs w:val="18"/>
              </w:rPr>
              <w:t>（35分）</w:t>
            </w:r>
          </w:p>
        </w:tc>
        <w:tc>
          <w:tcPr>
            <w:tcW w:w="4719" w:type="dxa"/>
            <w:gridSpan w:val="3"/>
            <w:vAlign w:val="center"/>
          </w:tcPr>
          <w:p>
            <w:pPr>
              <w:widowControl/>
              <w:rPr>
                <w:rFonts w:hint="eastAsia" w:ascii="宋体" w:hAnsi="宋体" w:cs="宋体"/>
                <w:sz w:val="18"/>
                <w:szCs w:val="18"/>
              </w:rPr>
            </w:pPr>
            <w:r>
              <w:rPr>
                <w:rFonts w:hint="eastAsia" w:ascii="宋体" w:hAnsi="宋体" w:cs="宋体"/>
                <w:sz w:val="18"/>
                <w:szCs w:val="18"/>
              </w:rPr>
              <w:t>经济论证不充分，缺乏科学性和真实性的扣10分</w:t>
            </w:r>
          </w:p>
        </w:tc>
        <w:tc>
          <w:tcPr>
            <w:tcW w:w="1273" w:type="dxa"/>
            <w:gridSpan w:val="2"/>
            <w:vMerge w:val="restart"/>
            <w:vAlign w:val="center"/>
          </w:tcPr>
          <w:p>
            <w:pPr>
              <w:widowControl/>
              <w:jc w:val="center"/>
              <w:rPr>
                <w:rFonts w:hint="eastAsia" w:ascii="宋体" w:hAnsi="宋体" w:cs="宋体"/>
                <w:sz w:val="18"/>
                <w:szCs w:val="18"/>
              </w:rPr>
            </w:pPr>
          </w:p>
        </w:tc>
        <w:tc>
          <w:tcPr>
            <w:tcW w:w="1228" w:type="dxa"/>
            <w:vMerge w:val="restart"/>
            <w:vAlign w:val="center"/>
          </w:tcPr>
          <w:p>
            <w:pPr>
              <w:widowControl/>
              <w:jc w:val="center"/>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c>
          <w:tcPr>
            <w:tcW w:w="0" w:type="auto"/>
            <w:gridSpan w:val="4"/>
            <w:vMerge w:val="continue"/>
            <w:vAlign w:val="center"/>
          </w:tcPr>
          <w:p>
            <w:pPr>
              <w:widowControl/>
              <w:jc w:val="left"/>
              <w:rPr>
                <w:rFonts w:hint="eastAsia" w:ascii="宋体" w:hAnsi="宋体" w:cs="宋体"/>
                <w:sz w:val="18"/>
                <w:szCs w:val="18"/>
              </w:rPr>
            </w:pPr>
          </w:p>
        </w:tc>
        <w:tc>
          <w:tcPr>
            <w:tcW w:w="4719" w:type="dxa"/>
            <w:gridSpan w:val="3"/>
            <w:vAlign w:val="center"/>
          </w:tcPr>
          <w:p>
            <w:pPr>
              <w:widowControl/>
              <w:rPr>
                <w:rFonts w:hint="eastAsia" w:ascii="宋体" w:hAnsi="宋体" w:cs="宋体"/>
                <w:sz w:val="18"/>
                <w:szCs w:val="18"/>
              </w:rPr>
            </w:pPr>
            <w:r>
              <w:rPr>
                <w:rFonts w:hint="eastAsia" w:ascii="宋体" w:hAnsi="宋体" w:cs="宋体"/>
                <w:sz w:val="18"/>
                <w:szCs w:val="18"/>
              </w:rPr>
              <w:t>无技术方案必选及比选的客观性不足的扣6分</w:t>
            </w:r>
          </w:p>
        </w:tc>
        <w:tc>
          <w:tcPr>
            <w:tcW w:w="0" w:type="auto"/>
            <w:gridSpan w:val="2"/>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c>
          <w:tcPr>
            <w:tcW w:w="0" w:type="auto"/>
            <w:gridSpan w:val="4"/>
            <w:vMerge w:val="continue"/>
            <w:vAlign w:val="center"/>
          </w:tcPr>
          <w:p>
            <w:pPr>
              <w:widowControl/>
              <w:jc w:val="left"/>
              <w:rPr>
                <w:rFonts w:hint="eastAsia" w:ascii="宋体" w:hAnsi="宋体" w:cs="宋体"/>
                <w:sz w:val="18"/>
                <w:szCs w:val="18"/>
              </w:rPr>
            </w:pPr>
          </w:p>
        </w:tc>
        <w:tc>
          <w:tcPr>
            <w:tcW w:w="4719" w:type="dxa"/>
            <w:gridSpan w:val="3"/>
            <w:vAlign w:val="center"/>
          </w:tcPr>
          <w:p>
            <w:pPr>
              <w:widowControl/>
              <w:rPr>
                <w:rFonts w:hint="eastAsia" w:ascii="宋体" w:hAnsi="宋体" w:cs="宋体"/>
                <w:sz w:val="18"/>
                <w:szCs w:val="18"/>
              </w:rPr>
            </w:pPr>
            <w:r>
              <w:rPr>
                <w:rFonts w:hint="eastAsia" w:ascii="宋体" w:hAnsi="宋体" w:cs="宋体"/>
                <w:sz w:val="18"/>
                <w:szCs w:val="18"/>
              </w:rPr>
              <w:t>工程经济效益、社会效益、环境效益分析方法不当、脱离实际、内容达不到现行的规定与要求的扣8分</w:t>
            </w:r>
          </w:p>
        </w:tc>
        <w:tc>
          <w:tcPr>
            <w:tcW w:w="0" w:type="auto"/>
            <w:gridSpan w:val="2"/>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c>
          <w:tcPr>
            <w:tcW w:w="0" w:type="auto"/>
            <w:gridSpan w:val="4"/>
            <w:vMerge w:val="continue"/>
            <w:vAlign w:val="center"/>
          </w:tcPr>
          <w:p>
            <w:pPr>
              <w:widowControl/>
              <w:jc w:val="left"/>
              <w:rPr>
                <w:rFonts w:hint="eastAsia" w:ascii="宋体" w:hAnsi="宋体" w:cs="宋体"/>
                <w:sz w:val="18"/>
                <w:szCs w:val="18"/>
              </w:rPr>
            </w:pPr>
          </w:p>
        </w:tc>
        <w:tc>
          <w:tcPr>
            <w:tcW w:w="4719" w:type="dxa"/>
            <w:gridSpan w:val="3"/>
            <w:vAlign w:val="center"/>
          </w:tcPr>
          <w:p>
            <w:pPr>
              <w:widowControl/>
              <w:rPr>
                <w:rFonts w:hint="eastAsia" w:ascii="宋体" w:hAnsi="宋体" w:cs="宋体"/>
                <w:sz w:val="18"/>
                <w:szCs w:val="18"/>
              </w:rPr>
            </w:pPr>
            <w:r>
              <w:rPr>
                <w:rFonts w:hint="eastAsia" w:ascii="宋体" w:hAnsi="宋体" w:cs="宋体"/>
                <w:sz w:val="18"/>
                <w:szCs w:val="18"/>
              </w:rPr>
              <w:t>投资估算或初步概算项目不全、深度不够、指标不当、脱离实际、内容达不到现行的规定与要求的扣5分</w:t>
            </w:r>
          </w:p>
        </w:tc>
        <w:tc>
          <w:tcPr>
            <w:tcW w:w="0" w:type="auto"/>
            <w:gridSpan w:val="2"/>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c>
          <w:tcPr>
            <w:tcW w:w="0" w:type="auto"/>
            <w:gridSpan w:val="4"/>
            <w:vMerge w:val="continue"/>
            <w:vAlign w:val="center"/>
          </w:tcPr>
          <w:p>
            <w:pPr>
              <w:widowControl/>
              <w:jc w:val="left"/>
              <w:rPr>
                <w:rFonts w:hint="eastAsia" w:ascii="宋体" w:hAnsi="宋体" w:cs="宋体"/>
                <w:sz w:val="18"/>
                <w:szCs w:val="18"/>
              </w:rPr>
            </w:pPr>
          </w:p>
        </w:tc>
        <w:tc>
          <w:tcPr>
            <w:tcW w:w="4719" w:type="dxa"/>
            <w:gridSpan w:val="3"/>
            <w:vAlign w:val="center"/>
          </w:tcPr>
          <w:p>
            <w:pPr>
              <w:widowControl/>
              <w:rPr>
                <w:rFonts w:hint="eastAsia" w:ascii="宋体" w:hAnsi="宋体" w:cs="宋体"/>
                <w:sz w:val="18"/>
                <w:szCs w:val="18"/>
              </w:rPr>
            </w:pPr>
            <w:r>
              <w:rPr>
                <w:rFonts w:hint="eastAsia" w:ascii="宋体" w:hAnsi="宋体" w:cs="宋体"/>
                <w:sz w:val="18"/>
                <w:szCs w:val="18"/>
              </w:rPr>
              <w:t>计价依据使用不当、附表漏项的，每发现一处扣5分</w:t>
            </w:r>
          </w:p>
        </w:tc>
        <w:tc>
          <w:tcPr>
            <w:tcW w:w="0" w:type="auto"/>
            <w:gridSpan w:val="2"/>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c>
          <w:tcPr>
            <w:tcW w:w="1459" w:type="dxa"/>
            <w:gridSpan w:val="4"/>
            <w:vMerge w:val="restart"/>
            <w:vAlign w:val="center"/>
          </w:tcPr>
          <w:p>
            <w:pPr>
              <w:widowControl/>
              <w:jc w:val="center"/>
              <w:rPr>
                <w:rFonts w:hint="eastAsia" w:ascii="宋体" w:hAnsi="宋体" w:cs="宋体"/>
                <w:sz w:val="18"/>
                <w:szCs w:val="18"/>
              </w:rPr>
            </w:pPr>
            <w:r>
              <w:rPr>
                <w:rFonts w:hint="eastAsia" w:ascii="宋体" w:hAnsi="宋体" w:cs="宋体"/>
                <w:sz w:val="18"/>
                <w:szCs w:val="18"/>
              </w:rPr>
              <w:t>设计阶段</w:t>
            </w:r>
          </w:p>
          <w:p>
            <w:pPr>
              <w:widowControl/>
              <w:jc w:val="center"/>
              <w:rPr>
                <w:rFonts w:hint="eastAsia" w:ascii="宋体" w:hAnsi="宋体" w:cs="宋体"/>
                <w:sz w:val="18"/>
                <w:szCs w:val="18"/>
              </w:rPr>
            </w:pPr>
            <w:r>
              <w:rPr>
                <w:rFonts w:hint="eastAsia" w:ascii="宋体" w:hAnsi="宋体" w:cs="宋体"/>
                <w:sz w:val="18"/>
                <w:szCs w:val="18"/>
              </w:rPr>
              <w:t>（35分）</w:t>
            </w:r>
          </w:p>
        </w:tc>
        <w:tc>
          <w:tcPr>
            <w:tcW w:w="4719" w:type="dxa"/>
            <w:gridSpan w:val="3"/>
            <w:vAlign w:val="center"/>
          </w:tcPr>
          <w:p>
            <w:pPr>
              <w:widowControl/>
              <w:rPr>
                <w:rFonts w:hint="eastAsia" w:ascii="宋体" w:hAnsi="宋体" w:cs="宋体"/>
                <w:sz w:val="18"/>
                <w:szCs w:val="18"/>
              </w:rPr>
            </w:pPr>
            <w:r>
              <w:rPr>
                <w:rFonts w:hint="eastAsia" w:ascii="宋体" w:hAnsi="宋体" w:cs="宋体"/>
                <w:sz w:val="18"/>
                <w:szCs w:val="18"/>
              </w:rPr>
              <w:t>对不同的建设方案的技术经济比选与优化论证分析评价不充分，推荐的建设方案脱离实际的扣10分</w:t>
            </w:r>
          </w:p>
        </w:tc>
        <w:tc>
          <w:tcPr>
            <w:tcW w:w="1273" w:type="dxa"/>
            <w:gridSpan w:val="2"/>
            <w:vMerge w:val="restart"/>
            <w:vAlign w:val="center"/>
          </w:tcPr>
          <w:p>
            <w:pPr>
              <w:widowControl/>
              <w:jc w:val="center"/>
              <w:rPr>
                <w:rFonts w:hint="eastAsia" w:ascii="宋体" w:hAnsi="宋体" w:cs="宋体"/>
                <w:sz w:val="18"/>
                <w:szCs w:val="18"/>
              </w:rPr>
            </w:pPr>
          </w:p>
        </w:tc>
        <w:tc>
          <w:tcPr>
            <w:tcW w:w="1228" w:type="dxa"/>
            <w:vMerge w:val="restart"/>
            <w:vAlign w:val="center"/>
          </w:tcPr>
          <w:p>
            <w:pPr>
              <w:widowControl/>
              <w:jc w:val="center"/>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c>
          <w:tcPr>
            <w:tcW w:w="0" w:type="auto"/>
            <w:gridSpan w:val="4"/>
            <w:vMerge w:val="continue"/>
            <w:vAlign w:val="center"/>
          </w:tcPr>
          <w:p>
            <w:pPr>
              <w:widowControl/>
              <w:jc w:val="left"/>
              <w:rPr>
                <w:rFonts w:hint="eastAsia" w:ascii="宋体" w:hAnsi="宋体" w:cs="宋体"/>
                <w:sz w:val="18"/>
                <w:szCs w:val="18"/>
              </w:rPr>
            </w:pPr>
          </w:p>
        </w:tc>
        <w:tc>
          <w:tcPr>
            <w:tcW w:w="4719" w:type="dxa"/>
            <w:gridSpan w:val="3"/>
            <w:vAlign w:val="center"/>
          </w:tcPr>
          <w:p>
            <w:pPr>
              <w:widowControl/>
              <w:rPr>
                <w:rFonts w:hint="eastAsia" w:ascii="宋体" w:hAnsi="宋体" w:cs="宋体"/>
                <w:sz w:val="18"/>
                <w:szCs w:val="18"/>
              </w:rPr>
            </w:pPr>
            <w:r>
              <w:rPr>
                <w:rFonts w:hint="eastAsia" w:ascii="宋体" w:hAnsi="宋体" w:cs="宋体"/>
                <w:sz w:val="18"/>
                <w:szCs w:val="18"/>
              </w:rPr>
              <w:t>工程概算与预算编制的工程数量，出现重项、漏项和计算错误的，每发现一处扣5分</w:t>
            </w:r>
          </w:p>
        </w:tc>
        <w:tc>
          <w:tcPr>
            <w:tcW w:w="0" w:type="auto"/>
            <w:gridSpan w:val="2"/>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c>
          <w:tcPr>
            <w:tcW w:w="0" w:type="auto"/>
            <w:gridSpan w:val="4"/>
            <w:vMerge w:val="continue"/>
            <w:vAlign w:val="center"/>
          </w:tcPr>
          <w:p>
            <w:pPr>
              <w:widowControl/>
              <w:jc w:val="left"/>
              <w:rPr>
                <w:rFonts w:hint="eastAsia" w:ascii="宋体" w:hAnsi="宋体" w:cs="宋体"/>
                <w:sz w:val="18"/>
                <w:szCs w:val="18"/>
              </w:rPr>
            </w:pPr>
          </w:p>
        </w:tc>
        <w:tc>
          <w:tcPr>
            <w:tcW w:w="4719" w:type="dxa"/>
            <w:gridSpan w:val="3"/>
            <w:vAlign w:val="center"/>
          </w:tcPr>
          <w:p>
            <w:pPr>
              <w:widowControl/>
              <w:rPr>
                <w:rFonts w:hint="eastAsia" w:ascii="宋体" w:hAnsi="宋体" w:cs="宋体"/>
                <w:sz w:val="18"/>
                <w:szCs w:val="18"/>
              </w:rPr>
            </w:pPr>
            <w:r>
              <w:rPr>
                <w:rFonts w:hint="eastAsia" w:ascii="宋体" w:hAnsi="宋体" w:cs="宋体"/>
                <w:sz w:val="18"/>
                <w:szCs w:val="18"/>
              </w:rPr>
              <w:t>概算与预算不符合现行计价规定或工程量未经计算而凭经验估计的，每发现一处扣5分</w:t>
            </w:r>
          </w:p>
        </w:tc>
        <w:tc>
          <w:tcPr>
            <w:tcW w:w="0" w:type="auto"/>
            <w:gridSpan w:val="2"/>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c>
          <w:tcPr>
            <w:tcW w:w="0" w:type="auto"/>
            <w:gridSpan w:val="4"/>
            <w:vMerge w:val="restart"/>
            <w:vAlign w:val="center"/>
          </w:tcPr>
          <w:p>
            <w:pPr>
              <w:widowControl/>
              <w:jc w:val="center"/>
              <w:rPr>
                <w:rFonts w:hint="eastAsia" w:ascii="宋体" w:hAnsi="宋体" w:cs="宋体"/>
                <w:sz w:val="18"/>
                <w:szCs w:val="18"/>
              </w:rPr>
            </w:pPr>
            <w:r>
              <w:rPr>
                <w:rFonts w:hint="eastAsia" w:ascii="宋体" w:hAnsi="宋体" w:cs="宋体"/>
                <w:sz w:val="18"/>
                <w:szCs w:val="18"/>
              </w:rPr>
              <w:t>招投标阶段</w:t>
            </w:r>
          </w:p>
          <w:p>
            <w:pPr>
              <w:jc w:val="center"/>
              <w:rPr>
                <w:rFonts w:hint="eastAsia" w:ascii="宋体" w:hAnsi="宋体" w:cs="宋体"/>
                <w:sz w:val="18"/>
                <w:szCs w:val="18"/>
              </w:rPr>
            </w:pPr>
            <w:r>
              <w:rPr>
                <w:rFonts w:hint="eastAsia" w:ascii="宋体" w:hAnsi="宋体" w:cs="宋体"/>
                <w:sz w:val="18"/>
                <w:szCs w:val="18"/>
              </w:rPr>
              <w:t>（35分）</w:t>
            </w:r>
          </w:p>
        </w:tc>
        <w:tc>
          <w:tcPr>
            <w:tcW w:w="4719" w:type="dxa"/>
            <w:gridSpan w:val="3"/>
            <w:vAlign w:val="center"/>
          </w:tcPr>
          <w:p>
            <w:pPr>
              <w:widowControl/>
              <w:rPr>
                <w:rFonts w:hint="eastAsia" w:ascii="宋体" w:hAnsi="宋体" w:cs="宋体"/>
                <w:sz w:val="18"/>
                <w:szCs w:val="18"/>
              </w:rPr>
            </w:pPr>
            <w:r>
              <w:rPr>
                <w:rFonts w:hint="eastAsia" w:ascii="宋体" w:hAnsi="宋体" w:cs="宋体"/>
                <w:sz w:val="18"/>
                <w:szCs w:val="18"/>
              </w:rPr>
              <w:t>咨询成果文件组成不完备、资料不齐全的，每发现一处扣10分</w:t>
            </w:r>
          </w:p>
        </w:tc>
        <w:tc>
          <w:tcPr>
            <w:tcW w:w="0" w:type="auto"/>
            <w:gridSpan w:val="2"/>
            <w:vMerge w:val="restart"/>
            <w:vAlign w:val="center"/>
          </w:tcPr>
          <w:p>
            <w:pPr>
              <w:widowControl/>
              <w:jc w:val="left"/>
              <w:rPr>
                <w:rFonts w:hint="eastAsia" w:ascii="宋体" w:hAnsi="宋体" w:cs="宋体"/>
                <w:sz w:val="18"/>
                <w:szCs w:val="18"/>
              </w:rPr>
            </w:pPr>
          </w:p>
        </w:tc>
        <w:tc>
          <w:tcPr>
            <w:tcW w:w="0" w:type="auto"/>
            <w:vMerge w:val="restart"/>
            <w:vAlign w:val="center"/>
          </w:tcPr>
          <w:p>
            <w:pPr>
              <w:widowControl/>
              <w:jc w:val="left"/>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c>
          <w:tcPr>
            <w:tcW w:w="0" w:type="auto"/>
            <w:gridSpan w:val="4"/>
            <w:vMerge w:val="continue"/>
            <w:vAlign w:val="center"/>
          </w:tcPr>
          <w:p>
            <w:pPr>
              <w:widowControl/>
              <w:jc w:val="center"/>
              <w:rPr>
                <w:rFonts w:hint="eastAsia" w:ascii="宋体" w:hAnsi="宋体" w:cs="宋体"/>
                <w:sz w:val="18"/>
                <w:szCs w:val="18"/>
              </w:rPr>
            </w:pPr>
          </w:p>
        </w:tc>
        <w:tc>
          <w:tcPr>
            <w:tcW w:w="4719" w:type="dxa"/>
            <w:gridSpan w:val="3"/>
            <w:vAlign w:val="center"/>
          </w:tcPr>
          <w:p>
            <w:pPr>
              <w:widowControl/>
              <w:rPr>
                <w:rFonts w:hint="eastAsia" w:ascii="宋体" w:hAnsi="宋体" w:cs="宋体"/>
                <w:sz w:val="18"/>
                <w:szCs w:val="18"/>
              </w:rPr>
            </w:pPr>
            <w:r>
              <w:rPr>
                <w:rFonts w:hint="eastAsia" w:ascii="宋体" w:hAnsi="宋体" w:cs="宋体"/>
                <w:sz w:val="18"/>
                <w:szCs w:val="18"/>
              </w:rPr>
              <w:t>采用的定额和取费标准有误，扣5分</w:t>
            </w:r>
          </w:p>
        </w:tc>
        <w:tc>
          <w:tcPr>
            <w:tcW w:w="0" w:type="auto"/>
            <w:gridSpan w:val="2"/>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c>
          <w:tcPr>
            <w:tcW w:w="0" w:type="auto"/>
            <w:gridSpan w:val="4"/>
            <w:vMerge w:val="continue"/>
            <w:vAlign w:val="center"/>
          </w:tcPr>
          <w:p>
            <w:pPr>
              <w:jc w:val="center"/>
              <w:rPr>
                <w:rFonts w:hint="eastAsia" w:ascii="宋体" w:hAnsi="宋体" w:cs="宋体"/>
                <w:sz w:val="18"/>
                <w:szCs w:val="18"/>
              </w:rPr>
            </w:pPr>
          </w:p>
        </w:tc>
        <w:tc>
          <w:tcPr>
            <w:tcW w:w="4719" w:type="dxa"/>
            <w:gridSpan w:val="3"/>
            <w:vAlign w:val="center"/>
          </w:tcPr>
          <w:p>
            <w:pPr>
              <w:widowControl/>
              <w:rPr>
                <w:rFonts w:hint="eastAsia" w:ascii="宋体" w:hAnsi="宋体" w:cs="宋体"/>
                <w:sz w:val="18"/>
                <w:szCs w:val="18"/>
              </w:rPr>
            </w:pPr>
            <w:r>
              <w:rPr>
                <w:rFonts w:hint="eastAsia" w:ascii="宋体" w:hAnsi="宋体" w:cs="宋体"/>
                <w:sz w:val="18"/>
                <w:szCs w:val="18"/>
              </w:rPr>
              <w:t>定额套项、取费程序、材料及设备价格、工程量与取费统计汇总不正确的，每发现一处扣2分</w:t>
            </w:r>
          </w:p>
        </w:tc>
        <w:tc>
          <w:tcPr>
            <w:tcW w:w="0" w:type="auto"/>
            <w:gridSpan w:val="2"/>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c>
          <w:tcPr>
            <w:tcW w:w="1459" w:type="dxa"/>
            <w:gridSpan w:val="4"/>
            <w:vMerge w:val="continue"/>
            <w:vAlign w:val="center"/>
          </w:tcPr>
          <w:p>
            <w:pPr>
              <w:widowControl/>
              <w:jc w:val="center"/>
              <w:rPr>
                <w:rFonts w:hint="eastAsia" w:ascii="宋体" w:hAnsi="宋体" w:cs="宋体"/>
                <w:sz w:val="18"/>
                <w:szCs w:val="18"/>
              </w:rPr>
            </w:pPr>
          </w:p>
        </w:tc>
        <w:tc>
          <w:tcPr>
            <w:tcW w:w="4719" w:type="dxa"/>
            <w:gridSpan w:val="3"/>
            <w:vAlign w:val="center"/>
          </w:tcPr>
          <w:p>
            <w:pPr>
              <w:widowControl/>
              <w:rPr>
                <w:rFonts w:hint="eastAsia" w:ascii="宋体" w:hAnsi="宋体" w:cs="宋体"/>
                <w:sz w:val="18"/>
                <w:szCs w:val="18"/>
              </w:rPr>
            </w:pPr>
            <w:r>
              <w:rPr>
                <w:rFonts w:hint="eastAsia" w:ascii="宋体" w:hAnsi="宋体" w:cs="宋体"/>
                <w:sz w:val="18"/>
                <w:szCs w:val="18"/>
              </w:rPr>
              <w:t>编制工程量清单的如出现工程量或计量单位有误、项目漏项、项目特征不明确、项目编码、项目名称不符合计价规范要求，每发现一处扣2分</w:t>
            </w:r>
          </w:p>
        </w:tc>
        <w:tc>
          <w:tcPr>
            <w:tcW w:w="1273" w:type="dxa"/>
            <w:gridSpan w:val="2"/>
            <w:vMerge w:val="continue"/>
            <w:vAlign w:val="center"/>
          </w:tcPr>
          <w:p>
            <w:pPr>
              <w:widowControl/>
              <w:jc w:val="center"/>
              <w:rPr>
                <w:rFonts w:hint="eastAsia" w:ascii="宋体" w:hAnsi="宋体" w:cs="宋体"/>
                <w:sz w:val="18"/>
                <w:szCs w:val="18"/>
              </w:rPr>
            </w:pPr>
          </w:p>
        </w:tc>
        <w:tc>
          <w:tcPr>
            <w:tcW w:w="1228" w:type="dxa"/>
            <w:vMerge w:val="continue"/>
            <w:vAlign w:val="center"/>
          </w:tcPr>
          <w:p>
            <w:pPr>
              <w:widowControl/>
              <w:jc w:val="center"/>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c>
          <w:tcPr>
            <w:tcW w:w="0" w:type="auto"/>
            <w:gridSpan w:val="4"/>
            <w:vMerge w:val="continue"/>
            <w:vAlign w:val="center"/>
          </w:tcPr>
          <w:p>
            <w:pPr>
              <w:widowControl/>
              <w:jc w:val="left"/>
              <w:rPr>
                <w:rFonts w:hint="eastAsia" w:ascii="宋体" w:hAnsi="宋体" w:cs="宋体"/>
                <w:sz w:val="18"/>
                <w:szCs w:val="18"/>
              </w:rPr>
            </w:pPr>
          </w:p>
        </w:tc>
        <w:tc>
          <w:tcPr>
            <w:tcW w:w="4719" w:type="dxa"/>
            <w:gridSpan w:val="3"/>
            <w:vAlign w:val="center"/>
          </w:tcPr>
          <w:p>
            <w:pPr>
              <w:widowControl/>
              <w:rPr>
                <w:rFonts w:hint="eastAsia" w:ascii="宋体" w:hAnsi="宋体" w:cs="宋体"/>
                <w:sz w:val="18"/>
                <w:szCs w:val="18"/>
              </w:rPr>
            </w:pPr>
            <w:r>
              <w:rPr>
                <w:rFonts w:hint="eastAsia" w:ascii="宋体" w:hAnsi="宋体" w:cs="宋体"/>
                <w:sz w:val="18"/>
                <w:szCs w:val="18"/>
              </w:rPr>
              <w:t>编制招标控制价或预算价采用的消耗量定额、取费标准、材料及设备市场价格有误、套用消耗量定额项目错项、漏项、重项、计价程序、取费基数出现错误的，每发现一处扣2分</w:t>
            </w:r>
          </w:p>
        </w:tc>
        <w:tc>
          <w:tcPr>
            <w:tcW w:w="0" w:type="auto"/>
            <w:gridSpan w:val="2"/>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c>
          <w:tcPr>
            <w:tcW w:w="0" w:type="auto"/>
            <w:gridSpan w:val="4"/>
            <w:vMerge w:val="continue"/>
            <w:vAlign w:val="center"/>
          </w:tcPr>
          <w:p>
            <w:pPr>
              <w:widowControl/>
              <w:jc w:val="left"/>
              <w:rPr>
                <w:rFonts w:hint="eastAsia" w:ascii="宋体" w:hAnsi="宋体" w:cs="宋体"/>
                <w:sz w:val="18"/>
                <w:szCs w:val="18"/>
              </w:rPr>
            </w:pPr>
          </w:p>
        </w:tc>
        <w:tc>
          <w:tcPr>
            <w:tcW w:w="4719" w:type="dxa"/>
            <w:gridSpan w:val="3"/>
            <w:vAlign w:val="center"/>
          </w:tcPr>
          <w:p>
            <w:pPr>
              <w:widowControl/>
              <w:rPr>
                <w:rFonts w:hint="eastAsia" w:ascii="宋体" w:hAnsi="宋体" w:cs="宋体"/>
                <w:sz w:val="18"/>
                <w:szCs w:val="18"/>
              </w:rPr>
            </w:pPr>
            <w:r>
              <w:rPr>
                <w:rFonts w:hint="eastAsia" w:ascii="宋体" w:hAnsi="宋体" w:cs="宋体"/>
                <w:sz w:val="18"/>
                <w:szCs w:val="18"/>
              </w:rPr>
              <w:t>招标控制价或预算价计算如项目清单费用不全，未考虑清单净用量与实际施工量的差异因素、技术措施所采用的施工方法脱离实际，擅自调整取费标准、人、材、机信息价格和定额含量的，每发现一处扣2分</w:t>
            </w:r>
          </w:p>
        </w:tc>
        <w:tc>
          <w:tcPr>
            <w:tcW w:w="0" w:type="auto"/>
            <w:gridSpan w:val="2"/>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c>
          <w:tcPr>
            <w:tcW w:w="1459" w:type="dxa"/>
            <w:gridSpan w:val="4"/>
            <w:vMerge w:val="restart"/>
            <w:vAlign w:val="center"/>
          </w:tcPr>
          <w:p>
            <w:pPr>
              <w:widowControl/>
              <w:jc w:val="center"/>
              <w:rPr>
                <w:rFonts w:hint="eastAsia" w:ascii="宋体" w:hAnsi="宋体" w:cs="宋体"/>
                <w:sz w:val="18"/>
                <w:szCs w:val="18"/>
              </w:rPr>
            </w:pPr>
            <w:r>
              <w:rPr>
                <w:rFonts w:hint="eastAsia" w:ascii="宋体" w:hAnsi="宋体" w:cs="宋体"/>
                <w:sz w:val="18"/>
                <w:szCs w:val="18"/>
              </w:rPr>
              <w:t>施工阶段</w:t>
            </w:r>
          </w:p>
          <w:p>
            <w:pPr>
              <w:widowControl/>
              <w:jc w:val="center"/>
              <w:rPr>
                <w:rFonts w:hint="eastAsia" w:ascii="宋体" w:hAnsi="宋体" w:cs="宋体"/>
                <w:sz w:val="18"/>
                <w:szCs w:val="18"/>
              </w:rPr>
            </w:pPr>
            <w:r>
              <w:rPr>
                <w:rFonts w:hint="eastAsia" w:ascii="宋体" w:hAnsi="宋体" w:cs="宋体"/>
                <w:sz w:val="18"/>
                <w:szCs w:val="18"/>
              </w:rPr>
              <w:t>（35分）</w:t>
            </w:r>
          </w:p>
        </w:tc>
        <w:tc>
          <w:tcPr>
            <w:tcW w:w="4719" w:type="dxa"/>
            <w:gridSpan w:val="3"/>
            <w:vAlign w:val="center"/>
          </w:tcPr>
          <w:p>
            <w:pPr>
              <w:widowControl/>
              <w:rPr>
                <w:rFonts w:hint="eastAsia" w:ascii="宋体" w:hAnsi="宋体" w:cs="宋体"/>
                <w:sz w:val="18"/>
                <w:szCs w:val="18"/>
              </w:rPr>
            </w:pPr>
            <w:r>
              <w:rPr>
                <w:rFonts w:hint="eastAsia" w:ascii="宋体" w:hAnsi="宋体" w:cs="宋体"/>
                <w:sz w:val="18"/>
                <w:szCs w:val="18"/>
              </w:rPr>
              <w:t>咨询成果文件组成不完备、资料不齐全的，每发现一处扣10分</w:t>
            </w:r>
          </w:p>
        </w:tc>
        <w:tc>
          <w:tcPr>
            <w:tcW w:w="1273" w:type="dxa"/>
            <w:gridSpan w:val="2"/>
            <w:vMerge w:val="restart"/>
            <w:vAlign w:val="center"/>
          </w:tcPr>
          <w:p>
            <w:pPr>
              <w:widowControl/>
              <w:jc w:val="center"/>
              <w:rPr>
                <w:rFonts w:hint="eastAsia" w:ascii="宋体" w:hAnsi="宋体" w:cs="宋体"/>
                <w:sz w:val="18"/>
                <w:szCs w:val="18"/>
              </w:rPr>
            </w:pPr>
          </w:p>
        </w:tc>
        <w:tc>
          <w:tcPr>
            <w:tcW w:w="1228" w:type="dxa"/>
            <w:vMerge w:val="restart"/>
            <w:vAlign w:val="center"/>
          </w:tcPr>
          <w:p>
            <w:pPr>
              <w:widowControl/>
              <w:jc w:val="center"/>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c>
          <w:tcPr>
            <w:tcW w:w="1459" w:type="dxa"/>
            <w:gridSpan w:val="4"/>
            <w:vMerge w:val="continue"/>
            <w:vAlign w:val="center"/>
          </w:tcPr>
          <w:p>
            <w:pPr>
              <w:widowControl/>
              <w:jc w:val="center"/>
              <w:rPr>
                <w:rFonts w:hint="eastAsia" w:ascii="宋体" w:hAnsi="宋体" w:cs="宋体"/>
                <w:sz w:val="18"/>
                <w:szCs w:val="18"/>
              </w:rPr>
            </w:pPr>
          </w:p>
        </w:tc>
        <w:tc>
          <w:tcPr>
            <w:tcW w:w="4719" w:type="dxa"/>
            <w:gridSpan w:val="3"/>
            <w:vAlign w:val="center"/>
          </w:tcPr>
          <w:p>
            <w:pPr>
              <w:widowControl/>
              <w:rPr>
                <w:rFonts w:hint="eastAsia" w:ascii="宋体" w:hAnsi="宋体" w:cs="宋体"/>
                <w:sz w:val="18"/>
                <w:szCs w:val="18"/>
              </w:rPr>
            </w:pPr>
            <w:r>
              <w:rPr>
                <w:rFonts w:hint="eastAsia" w:ascii="宋体" w:hAnsi="宋体" w:cs="宋体"/>
                <w:sz w:val="18"/>
                <w:szCs w:val="18"/>
              </w:rPr>
              <w:t>工程款使用计划与施工组织设计及施工合同价款支付不符的，在设计或施工进度变化较大的情况下，未进行调整或未建议进行调整的，每发现一处扣5分</w:t>
            </w:r>
          </w:p>
        </w:tc>
        <w:tc>
          <w:tcPr>
            <w:tcW w:w="1273" w:type="dxa"/>
            <w:gridSpan w:val="2"/>
            <w:vMerge w:val="continue"/>
            <w:vAlign w:val="center"/>
          </w:tcPr>
          <w:p>
            <w:pPr>
              <w:widowControl/>
              <w:jc w:val="center"/>
              <w:rPr>
                <w:rFonts w:hint="eastAsia" w:ascii="宋体" w:hAnsi="宋体" w:cs="宋体"/>
                <w:sz w:val="18"/>
                <w:szCs w:val="18"/>
              </w:rPr>
            </w:pPr>
          </w:p>
        </w:tc>
        <w:tc>
          <w:tcPr>
            <w:tcW w:w="1228" w:type="dxa"/>
            <w:vMerge w:val="continue"/>
            <w:vAlign w:val="center"/>
          </w:tcPr>
          <w:p>
            <w:pPr>
              <w:widowControl/>
              <w:jc w:val="center"/>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c>
          <w:tcPr>
            <w:tcW w:w="0" w:type="auto"/>
            <w:gridSpan w:val="4"/>
            <w:vMerge w:val="continue"/>
            <w:vAlign w:val="center"/>
          </w:tcPr>
          <w:p>
            <w:pPr>
              <w:widowControl/>
              <w:jc w:val="left"/>
              <w:rPr>
                <w:rFonts w:hint="eastAsia" w:ascii="宋体" w:hAnsi="宋体" w:cs="宋体"/>
                <w:sz w:val="18"/>
                <w:szCs w:val="18"/>
              </w:rPr>
            </w:pPr>
          </w:p>
        </w:tc>
        <w:tc>
          <w:tcPr>
            <w:tcW w:w="4719" w:type="dxa"/>
            <w:gridSpan w:val="3"/>
            <w:vAlign w:val="center"/>
          </w:tcPr>
          <w:p>
            <w:pPr>
              <w:widowControl/>
              <w:rPr>
                <w:rFonts w:hint="eastAsia" w:ascii="宋体" w:hAnsi="宋体" w:cs="宋体"/>
                <w:sz w:val="18"/>
                <w:szCs w:val="18"/>
              </w:rPr>
            </w:pPr>
            <w:r>
              <w:rPr>
                <w:rFonts w:hint="eastAsia" w:ascii="宋体" w:hAnsi="宋体" w:cs="宋体"/>
                <w:sz w:val="18"/>
                <w:szCs w:val="18"/>
              </w:rPr>
              <w:t>工程进度款的审核与确定不符合合同相关支付条款的，计价基数有误，工程量的核定出现重项、漏项和计算错误的，中期付款报告的签发程序及时间不符合施工合同要求的，每发现一处扣5分</w:t>
            </w:r>
          </w:p>
        </w:tc>
        <w:tc>
          <w:tcPr>
            <w:tcW w:w="0" w:type="auto"/>
            <w:gridSpan w:val="2"/>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c>
          <w:tcPr>
            <w:tcW w:w="0" w:type="auto"/>
            <w:gridSpan w:val="4"/>
            <w:vMerge w:val="continue"/>
            <w:vAlign w:val="center"/>
          </w:tcPr>
          <w:p>
            <w:pPr>
              <w:widowControl/>
              <w:jc w:val="left"/>
              <w:rPr>
                <w:rFonts w:hint="eastAsia" w:ascii="宋体" w:hAnsi="宋体" w:cs="宋体"/>
                <w:sz w:val="18"/>
                <w:szCs w:val="18"/>
              </w:rPr>
            </w:pPr>
          </w:p>
        </w:tc>
        <w:tc>
          <w:tcPr>
            <w:tcW w:w="4719" w:type="dxa"/>
            <w:gridSpan w:val="3"/>
            <w:vAlign w:val="center"/>
          </w:tcPr>
          <w:p>
            <w:pPr>
              <w:widowControl/>
              <w:rPr>
                <w:rFonts w:hint="eastAsia" w:ascii="宋体" w:hAnsi="宋体" w:cs="宋体"/>
                <w:sz w:val="18"/>
                <w:szCs w:val="18"/>
              </w:rPr>
            </w:pPr>
            <w:r>
              <w:rPr>
                <w:rFonts w:hint="eastAsia" w:ascii="宋体" w:hAnsi="宋体" w:cs="宋体"/>
                <w:sz w:val="18"/>
                <w:szCs w:val="18"/>
              </w:rPr>
              <w:t>施工阶段各类造价文件（工程变更与现场签证、材料询价定价等）审核依据不充分，设计变更手续、签证程序无相关专业造价工程师签字的、内容与实际情况不符，变更计价方式不合理，并未就此向委托方提出合理建议的，每发现一处扣5分</w:t>
            </w:r>
          </w:p>
        </w:tc>
        <w:tc>
          <w:tcPr>
            <w:tcW w:w="0" w:type="auto"/>
            <w:gridSpan w:val="2"/>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c>
          <w:tcPr>
            <w:tcW w:w="1459" w:type="dxa"/>
            <w:gridSpan w:val="4"/>
            <w:vMerge w:val="restart"/>
            <w:vAlign w:val="center"/>
          </w:tcPr>
          <w:p>
            <w:pPr>
              <w:widowControl/>
              <w:jc w:val="center"/>
              <w:rPr>
                <w:rFonts w:hint="eastAsia" w:ascii="宋体" w:hAnsi="宋体" w:cs="宋体"/>
                <w:sz w:val="18"/>
                <w:szCs w:val="18"/>
              </w:rPr>
            </w:pPr>
            <w:r>
              <w:rPr>
                <w:rFonts w:hint="eastAsia" w:ascii="宋体" w:hAnsi="宋体" w:cs="宋体"/>
                <w:sz w:val="18"/>
                <w:szCs w:val="18"/>
              </w:rPr>
              <w:t>全过程服务</w:t>
            </w:r>
          </w:p>
          <w:p>
            <w:pPr>
              <w:widowControl/>
              <w:jc w:val="center"/>
              <w:rPr>
                <w:rFonts w:hint="eastAsia" w:ascii="宋体" w:hAnsi="宋体" w:cs="宋体"/>
                <w:sz w:val="18"/>
                <w:szCs w:val="18"/>
              </w:rPr>
            </w:pPr>
            <w:r>
              <w:rPr>
                <w:rFonts w:hint="eastAsia" w:ascii="宋体" w:hAnsi="宋体" w:cs="宋体"/>
                <w:sz w:val="18"/>
                <w:szCs w:val="18"/>
              </w:rPr>
              <w:t>（35分）</w:t>
            </w:r>
          </w:p>
        </w:tc>
        <w:tc>
          <w:tcPr>
            <w:tcW w:w="4719" w:type="dxa"/>
            <w:gridSpan w:val="3"/>
            <w:vAlign w:val="center"/>
          </w:tcPr>
          <w:p>
            <w:pPr>
              <w:widowControl/>
              <w:rPr>
                <w:rFonts w:hint="eastAsia" w:ascii="宋体" w:hAnsi="宋体" w:cs="宋体"/>
                <w:sz w:val="18"/>
                <w:szCs w:val="18"/>
              </w:rPr>
            </w:pPr>
            <w:r>
              <w:rPr>
                <w:rFonts w:hint="eastAsia" w:ascii="宋体" w:hAnsi="宋体" w:cs="宋体"/>
                <w:sz w:val="18"/>
                <w:szCs w:val="18"/>
              </w:rPr>
              <w:t>咨询成果文件组成不完备、资料不齐全的，每发现一处扣10分</w:t>
            </w:r>
          </w:p>
        </w:tc>
        <w:tc>
          <w:tcPr>
            <w:tcW w:w="1273" w:type="dxa"/>
            <w:gridSpan w:val="2"/>
            <w:vMerge w:val="restart"/>
            <w:vAlign w:val="center"/>
          </w:tcPr>
          <w:p>
            <w:pPr>
              <w:widowControl/>
              <w:jc w:val="center"/>
              <w:rPr>
                <w:rFonts w:hint="eastAsia" w:ascii="宋体" w:hAnsi="宋体" w:cs="宋体"/>
                <w:sz w:val="18"/>
                <w:szCs w:val="18"/>
              </w:rPr>
            </w:pPr>
          </w:p>
        </w:tc>
        <w:tc>
          <w:tcPr>
            <w:tcW w:w="1228" w:type="dxa"/>
            <w:vMerge w:val="restart"/>
            <w:vAlign w:val="center"/>
          </w:tcPr>
          <w:p>
            <w:pPr>
              <w:widowControl/>
              <w:jc w:val="center"/>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c>
          <w:tcPr>
            <w:tcW w:w="1459" w:type="dxa"/>
            <w:gridSpan w:val="4"/>
            <w:vMerge w:val="continue"/>
            <w:vAlign w:val="center"/>
          </w:tcPr>
          <w:p>
            <w:pPr>
              <w:widowControl/>
              <w:jc w:val="center"/>
              <w:rPr>
                <w:rFonts w:hint="eastAsia" w:ascii="宋体" w:hAnsi="宋体" w:cs="宋体"/>
                <w:sz w:val="18"/>
                <w:szCs w:val="18"/>
              </w:rPr>
            </w:pPr>
          </w:p>
        </w:tc>
        <w:tc>
          <w:tcPr>
            <w:tcW w:w="4719" w:type="dxa"/>
            <w:gridSpan w:val="3"/>
            <w:vAlign w:val="center"/>
          </w:tcPr>
          <w:p>
            <w:pPr>
              <w:widowControl/>
              <w:rPr>
                <w:rFonts w:hint="eastAsia" w:ascii="宋体" w:hAnsi="宋体" w:cs="宋体"/>
                <w:sz w:val="18"/>
                <w:szCs w:val="18"/>
              </w:rPr>
            </w:pPr>
            <w:r>
              <w:rPr>
                <w:rFonts w:hint="eastAsia" w:ascii="宋体" w:hAnsi="宋体" w:cs="宋体"/>
                <w:sz w:val="18"/>
                <w:szCs w:val="18"/>
              </w:rPr>
              <w:t>无造价控制目标、造价控制的标准和要求、造价控制措施的，每发现一处扣10分，造价控制的目标、标准和要求及措施不符合工程实际及相关要求的，每发现一处扣5分</w:t>
            </w:r>
          </w:p>
        </w:tc>
        <w:tc>
          <w:tcPr>
            <w:tcW w:w="1273" w:type="dxa"/>
            <w:gridSpan w:val="2"/>
            <w:vMerge w:val="continue"/>
            <w:vAlign w:val="center"/>
          </w:tcPr>
          <w:p>
            <w:pPr>
              <w:widowControl/>
              <w:jc w:val="center"/>
              <w:rPr>
                <w:rFonts w:hint="eastAsia" w:ascii="宋体" w:hAnsi="宋体" w:cs="宋体"/>
                <w:sz w:val="18"/>
                <w:szCs w:val="18"/>
              </w:rPr>
            </w:pPr>
          </w:p>
        </w:tc>
        <w:tc>
          <w:tcPr>
            <w:tcW w:w="1228" w:type="dxa"/>
            <w:vMerge w:val="continue"/>
            <w:vAlign w:val="center"/>
          </w:tcPr>
          <w:p>
            <w:pPr>
              <w:widowControl/>
              <w:jc w:val="center"/>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c>
          <w:tcPr>
            <w:tcW w:w="0" w:type="auto"/>
            <w:gridSpan w:val="4"/>
            <w:vMerge w:val="continue"/>
            <w:vAlign w:val="center"/>
          </w:tcPr>
          <w:p>
            <w:pPr>
              <w:widowControl/>
              <w:jc w:val="left"/>
              <w:rPr>
                <w:rFonts w:hint="eastAsia" w:ascii="宋体" w:hAnsi="宋体" w:cs="宋体"/>
                <w:sz w:val="18"/>
                <w:szCs w:val="18"/>
              </w:rPr>
            </w:pPr>
          </w:p>
        </w:tc>
        <w:tc>
          <w:tcPr>
            <w:tcW w:w="4719" w:type="dxa"/>
            <w:gridSpan w:val="3"/>
            <w:vAlign w:val="center"/>
          </w:tcPr>
          <w:p>
            <w:pPr>
              <w:widowControl/>
              <w:rPr>
                <w:rFonts w:hint="eastAsia" w:ascii="宋体" w:hAnsi="宋体" w:cs="宋体"/>
                <w:sz w:val="18"/>
                <w:szCs w:val="18"/>
              </w:rPr>
            </w:pPr>
            <w:r>
              <w:rPr>
                <w:rFonts w:hint="eastAsia" w:ascii="宋体" w:hAnsi="宋体" w:cs="宋体"/>
                <w:sz w:val="18"/>
                <w:szCs w:val="18"/>
              </w:rPr>
              <w:t>招投标策划、施工合同草拟、工程量清单编审、投标报价分析，不符合相关规定的每发现一处扣5分</w:t>
            </w:r>
          </w:p>
        </w:tc>
        <w:tc>
          <w:tcPr>
            <w:tcW w:w="0" w:type="auto"/>
            <w:gridSpan w:val="2"/>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c>
          <w:tcPr>
            <w:tcW w:w="0" w:type="auto"/>
            <w:gridSpan w:val="4"/>
            <w:vMerge w:val="continue"/>
            <w:vAlign w:val="center"/>
          </w:tcPr>
          <w:p>
            <w:pPr>
              <w:widowControl/>
              <w:jc w:val="left"/>
              <w:rPr>
                <w:rFonts w:hint="eastAsia" w:ascii="宋体" w:hAnsi="宋体" w:cs="宋体"/>
                <w:sz w:val="18"/>
                <w:szCs w:val="18"/>
              </w:rPr>
            </w:pPr>
          </w:p>
        </w:tc>
        <w:tc>
          <w:tcPr>
            <w:tcW w:w="4719" w:type="dxa"/>
            <w:gridSpan w:val="3"/>
            <w:vAlign w:val="center"/>
          </w:tcPr>
          <w:p>
            <w:pPr>
              <w:widowControl/>
              <w:rPr>
                <w:rFonts w:hint="eastAsia" w:ascii="宋体" w:hAnsi="宋体" w:cs="宋体"/>
                <w:sz w:val="18"/>
                <w:szCs w:val="18"/>
              </w:rPr>
            </w:pPr>
            <w:r>
              <w:rPr>
                <w:rFonts w:hint="eastAsia" w:ascii="宋体" w:hAnsi="宋体" w:cs="宋体"/>
                <w:sz w:val="18"/>
                <w:szCs w:val="18"/>
              </w:rPr>
              <w:t>工程预付款、进度款、结算款的审核程序不规范，工程变更、工程索赔的处理及计价有误的，每发现一处扣3分</w:t>
            </w:r>
          </w:p>
        </w:tc>
        <w:tc>
          <w:tcPr>
            <w:tcW w:w="0" w:type="auto"/>
            <w:gridSpan w:val="2"/>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c>
          <w:tcPr>
            <w:tcW w:w="0" w:type="auto"/>
            <w:gridSpan w:val="4"/>
            <w:vMerge w:val="continue"/>
            <w:vAlign w:val="center"/>
          </w:tcPr>
          <w:p>
            <w:pPr>
              <w:widowControl/>
              <w:jc w:val="left"/>
              <w:rPr>
                <w:rFonts w:hint="eastAsia" w:ascii="宋体" w:hAnsi="宋体" w:cs="宋体"/>
                <w:sz w:val="18"/>
                <w:szCs w:val="18"/>
              </w:rPr>
            </w:pPr>
          </w:p>
        </w:tc>
        <w:tc>
          <w:tcPr>
            <w:tcW w:w="4719" w:type="dxa"/>
            <w:gridSpan w:val="3"/>
            <w:vAlign w:val="center"/>
          </w:tcPr>
          <w:p>
            <w:pPr>
              <w:widowControl/>
              <w:rPr>
                <w:rFonts w:hint="eastAsia" w:ascii="宋体" w:hAnsi="宋体" w:cs="宋体"/>
                <w:sz w:val="18"/>
                <w:szCs w:val="18"/>
              </w:rPr>
            </w:pPr>
            <w:r>
              <w:rPr>
                <w:rFonts w:hint="eastAsia" w:ascii="宋体" w:hAnsi="宋体" w:cs="宋体"/>
                <w:sz w:val="18"/>
                <w:szCs w:val="18"/>
              </w:rPr>
              <w:t>造价核算、造价分析、造价预测有误的，每发现一处扣2分</w:t>
            </w:r>
          </w:p>
        </w:tc>
        <w:tc>
          <w:tcPr>
            <w:tcW w:w="0" w:type="auto"/>
            <w:gridSpan w:val="2"/>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c>
          <w:tcPr>
            <w:tcW w:w="1459" w:type="dxa"/>
            <w:gridSpan w:val="4"/>
            <w:vMerge w:val="restart"/>
            <w:vAlign w:val="center"/>
          </w:tcPr>
          <w:p>
            <w:pPr>
              <w:widowControl/>
              <w:jc w:val="center"/>
              <w:rPr>
                <w:rFonts w:hint="eastAsia" w:ascii="宋体" w:hAnsi="宋体" w:cs="宋体"/>
                <w:sz w:val="18"/>
                <w:szCs w:val="18"/>
              </w:rPr>
            </w:pPr>
            <w:r>
              <w:rPr>
                <w:rFonts w:hint="eastAsia" w:ascii="宋体" w:hAnsi="宋体" w:cs="宋体"/>
                <w:sz w:val="18"/>
                <w:szCs w:val="18"/>
              </w:rPr>
              <w:t>竣工结（决）算及后评估</w:t>
            </w:r>
          </w:p>
          <w:p>
            <w:pPr>
              <w:widowControl/>
              <w:jc w:val="center"/>
              <w:rPr>
                <w:rFonts w:hint="eastAsia" w:ascii="宋体" w:hAnsi="宋体" w:cs="宋体"/>
                <w:sz w:val="18"/>
                <w:szCs w:val="18"/>
              </w:rPr>
            </w:pPr>
            <w:r>
              <w:rPr>
                <w:rFonts w:hint="eastAsia" w:ascii="宋体" w:hAnsi="宋体" w:cs="宋体"/>
                <w:sz w:val="18"/>
                <w:szCs w:val="18"/>
              </w:rPr>
              <w:t>（35分）</w:t>
            </w:r>
          </w:p>
        </w:tc>
        <w:tc>
          <w:tcPr>
            <w:tcW w:w="4719" w:type="dxa"/>
            <w:gridSpan w:val="3"/>
            <w:vAlign w:val="center"/>
          </w:tcPr>
          <w:p>
            <w:pPr>
              <w:widowControl/>
              <w:rPr>
                <w:rFonts w:hint="eastAsia" w:ascii="宋体" w:hAnsi="宋体" w:cs="宋体"/>
                <w:sz w:val="18"/>
                <w:szCs w:val="18"/>
              </w:rPr>
            </w:pPr>
            <w:r>
              <w:rPr>
                <w:rFonts w:hint="eastAsia" w:ascii="宋体" w:hAnsi="宋体" w:cs="宋体"/>
                <w:sz w:val="18"/>
                <w:szCs w:val="18"/>
              </w:rPr>
              <w:t>咨询成果文件组成不完备、资料不齐全的，每发现一处扣10分</w:t>
            </w:r>
          </w:p>
        </w:tc>
        <w:tc>
          <w:tcPr>
            <w:tcW w:w="1273" w:type="dxa"/>
            <w:gridSpan w:val="2"/>
            <w:vMerge w:val="restart"/>
            <w:vAlign w:val="center"/>
          </w:tcPr>
          <w:p>
            <w:pPr>
              <w:widowControl/>
              <w:jc w:val="center"/>
              <w:rPr>
                <w:rFonts w:hint="eastAsia" w:ascii="宋体" w:hAnsi="宋体" w:cs="宋体"/>
                <w:sz w:val="18"/>
                <w:szCs w:val="18"/>
              </w:rPr>
            </w:pPr>
          </w:p>
        </w:tc>
        <w:tc>
          <w:tcPr>
            <w:tcW w:w="1228" w:type="dxa"/>
            <w:vMerge w:val="restart"/>
            <w:vAlign w:val="center"/>
          </w:tcPr>
          <w:p>
            <w:pPr>
              <w:widowControl/>
              <w:jc w:val="center"/>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0" w:hRule="atLeast"/>
          <w:tblCellSpacing w:w="0" w:type="dxa"/>
        </w:trPr>
        <w:tc>
          <w:tcPr>
            <w:tcW w:w="0" w:type="auto"/>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c>
          <w:tcPr>
            <w:tcW w:w="1459" w:type="dxa"/>
            <w:gridSpan w:val="4"/>
            <w:vMerge w:val="continue"/>
            <w:vAlign w:val="center"/>
          </w:tcPr>
          <w:p>
            <w:pPr>
              <w:widowControl/>
              <w:jc w:val="center"/>
              <w:rPr>
                <w:rFonts w:hint="eastAsia" w:ascii="宋体" w:hAnsi="宋体" w:cs="宋体"/>
                <w:sz w:val="18"/>
                <w:szCs w:val="18"/>
              </w:rPr>
            </w:pPr>
          </w:p>
        </w:tc>
        <w:tc>
          <w:tcPr>
            <w:tcW w:w="4719" w:type="dxa"/>
            <w:gridSpan w:val="3"/>
            <w:vAlign w:val="center"/>
          </w:tcPr>
          <w:p>
            <w:pPr>
              <w:widowControl/>
              <w:rPr>
                <w:rFonts w:hint="eastAsia" w:ascii="宋体" w:hAnsi="宋体" w:cs="宋体"/>
                <w:sz w:val="18"/>
                <w:szCs w:val="18"/>
              </w:rPr>
            </w:pPr>
            <w:r>
              <w:rPr>
                <w:rFonts w:hint="eastAsia" w:ascii="宋体" w:hAnsi="宋体" w:cs="宋体"/>
                <w:sz w:val="18"/>
                <w:szCs w:val="18"/>
              </w:rPr>
              <w:t>竣工结（决）算计价方式与施工合同或协议的约定不符，扣35分</w:t>
            </w:r>
          </w:p>
        </w:tc>
        <w:tc>
          <w:tcPr>
            <w:tcW w:w="1273" w:type="dxa"/>
            <w:gridSpan w:val="2"/>
            <w:vMerge w:val="continue"/>
            <w:vAlign w:val="center"/>
          </w:tcPr>
          <w:p>
            <w:pPr>
              <w:widowControl/>
              <w:jc w:val="center"/>
              <w:rPr>
                <w:rFonts w:hint="eastAsia" w:ascii="宋体" w:hAnsi="宋体" w:cs="宋体"/>
                <w:sz w:val="18"/>
                <w:szCs w:val="18"/>
              </w:rPr>
            </w:pPr>
          </w:p>
        </w:tc>
        <w:tc>
          <w:tcPr>
            <w:tcW w:w="1228" w:type="dxa"/>
            <w:vMerge w:val="continue"/>
            <w:vAlign w:val="center"/>
          </w:tcPr>
          <w:p>
            <w:pPr>
              <w:widowControl/>
              <w:jc w:val="center"/>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52" w:hRule="atLeast"/>
          <w:tblCellSpacing w:w="0" w:type="dxa"/>
        </w:trPr>
        <w:tc>
          <w:tcPr>
            <w:tcW w:w="0" w:type="auto"/>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c>
          <w:tcPr>
            <w:tcW w:w="1459" w:type="dxa"/>
            <w:gridSpan w:val="4"/>
            <w:vMerge w:val="continue"/>
            <w:vAlign w:val="center"/>
          </w:tcPr>
          <w:p>
            <w:pPr>
              <w:widowControl/>
              <w:jc w:val="center"/>
              <w:rPr>
                <w:rFonts w:hint="eastAsia" w:ascii="宋体" w:hAnsi="宋体" w:cs="宋体"/>
                <w:sz w:val="18"/>
                <w:szCs w:val="18"/>
              </w:rPr>
            </w:pPr>
          </w:p>
        </w:tc>
        <w:tc>
          <w:tcPr>
            <w:tcW w:w="4719" w:type="dxa"/>
            <w:gridSpan w:val="3"/>
            <w:vAlign w:val="center"/>
          </w:tcPr>
          <w:p>
            <w:pPr>
              <w:rPr>
                <w:rFonts w:hint="eastAsia" w:ascii="宋体" w:hAnsi="宋体" w:cs="宋体"/>
                <w:sz w:val="18"/>
                <w:szCs w:val="18"/>
              </w:rPr>
            </w:pPr>
            <w:r>
              <w:rPr>
                <w:rFonts w:hint="eastAsia" w:ascii="宋体" w:hAnsi="宋体" w:cs="宋体"/>
                <w:sz w:val="18"/>
                <w:szCs w:val="18"/>
              </w:rPr>
              <w:t>重要的设计变更、工程签证的手续不完备，每发现一处扣5分；重要的设计变更、工程签证与实际竣工项目状况不一致，并未就此向委托方提出合理建议的，每发现一处扣5分</w:t>
            </w:r>
          </w:p>
        </w:tc>
        <w:tc>
          <w:tcPr>
            <w:tcW w:w="1273" w:type="dxa"/>
            <w:gridSpan w:val="2"/>
            <w:vMerge w:val="continue"/>
            <w:vAlign w:val="center"/>
          </w:tcPr>
          <w:p>
            <w:pPr>
              <w:widowControl/>
              <w:jc w:val="center"/>
              <w:rPr>
                <w:rFonts w:hint="eastAsia" w:ascii="宋体" w:hAnsi="宋体" w:cs="宋体"/>
                <w:sz w:val="18"/>
                <w:szCs w:val="18"/>
              </w:rPr>
            </w:pPr>
          </w:p>
        </w:tc>
        <w:tc>
          <w:tcPr>
            <w:tcW w:w="1228" w:type="dxa"/>
            <w:vMerge w:val="continue"/>
            <w:vAlign w:val="center"/>
          </w:tcPr>
          <w:p>
            <w:pPr>
              <w:widowControl/>
              <w:jc w:val="center"/>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77" w:hRule="atLeast"/>
          <w:tblCellSpacing w:w="0" w:type="dxa"/>
        </w:trPr>
        <w:tc>
          <w:tcPr>
            <w:tcW w:w="0" w:type="auto"/>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c>
          <w:tcPr>
            <w:tcW w:w="1459" w:type="dxa"/>
            <w:gridSpan w:val="4"/>
            <w:vMerge w:val="continue"/>
            <w:vAlign w:val="center"/>
          </w:tcPr>
          <w:p>
            <w:pPr>
              <w:widowControl/>
              <w:jc w:val="center"/>
              <w:rPr>
                <w:rFonts w:hint="eastAsia" w:ascii="宋体" w:hAnsi="宋体" w:cs="宋体"/>
                <w:sz w:val="18"/>
                <w:szCs w:val="18"/>
              </w:rPr>
            </w:pPr>
          </w:p>
        </w:tc>
        <w:tc>
          <w:tcPr>
            <w:tcW w:w="4719" w:type="dxa"/>
            <w:gridSpan w:val="3"/>
            <w:vAlign w:val="center"/>
          </w:tcPr>
          <w:p>
            <w:pPr>
              <w:rPr>
                <w:rFonts w:hint="eastAsia" w:ascii="宋体" w:hAnsi="宋体" w:cs="宋体"/>
                <w:sz w:val="18"/>
                <w:szCs w:val="18"/>
              </w:rPr>
            </w:pPr>
            <w:r>
              <w:rPr>
                <w:rFonts w:hint="eastAsia" w:ascii="宋体" w:hAnsi="宋体" w:cs="宋体"/>
                <w:sz w:val="18"/>
                <w:szCs w:val="18"/>
              </w:rPr>
              <w:t>工程变更价款的确定、定额的使用、工程量的计算、材料价差调整等不符合有关规定，取费程序、取费基数、取费标准有误的，每发现一处扣4分</w:t>
            </w:r>
          </w:p>
        </w:tc>
        <w:tc>
          <w:tcPr>
            <w:tcW w:w="1273" w:type="dxa"/>
            <w:gridSpan w:val="2"/>
            <w:vMerge w:val="continue"/>
            <w:vAlign w:val="center"/>
          </w:tcPr>
          <w:p>
            <w:pPr>
              <w:widowControl/>
              <w:jc w:val="center"/>
              <w:rPr>
                <w:rFonts w:hint="eastAsia" w:ascii="宋体" w:hAnsi="宋体" w:cs="宋体"/>
                <w:sz w:val="18"/>
                <w:szCs w:val="18"/>
              </w:rPr>
            </w:pPr>
          </w:p>
        </w:tc>
        <w:tc>
          <w:tcPr>
            <w:tcW w:w="1228" w:type="dxa"/>
            <w:vMerge w:val="continue"/>
            <w:vAlign w:val="center"/>
          </w:tcPr>
          <w:p>
            <w:pPr>
              <w:widowControl/>
              <w:jc w:val="center"/>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c>
          <w:tcPr>
            <w:tcW w:w="0" w:type="auto"/>
            <w:gridSpan w:val="4"/>
            <w:vMerge w:val="continue"/>
            <w:vAlign w:val="center"/>
          </w:tcPr>
          <w:p>
            <w:pPr>
              <w:widowControl/>
              <w:jc w:val="left"/>
              <w:rPr>
                <w:rFonts w:hint="eastAsia" w:ascii="宋体" w:hAnsi="宋体" w:cs="宋体"/>
                <w:sz w:val="18"/>
                <w:szCs w:val="18"/>
              </w:rPr>
            </w:pPr>
          </w:p>
        </w:tc>
        <w:tc>
          <w:tcPr>
            <w:tcW w:w="4719" w:type="dxa"/>
            <w:gridSpan w:val="3"/>
            <w:vAlign w:val="center"/>
          </w:tcPr>
          <w:p>
            <w:pPr>
              <w:widowControl/>
              <w:rPr>
                <w:rFonts w:hint="eastAsia" w:ascii="宋体" w:hAnsi="宋体" w:cs="宋体"/>
                <w:sz w:val="18"/>
                <w:szCs w:val="18"/>
              </w:rPr>
            </w:pPr>
            <w:r>
              <w:rPr>
                <w:rFonts w:hint="eastAsia" w:ascii="宋体" w:hAnsi="宋体" w:cs="宋体"/>
                <w:sz w:val="18"/>
                <w:szCs w:val="18"/>
              </w:rPr>
              <w:t>赶工措施费、工期、质量奖罚、工程索赔的计价不合理或缺乏相应的证据支持的，每发现一处扣3分</w:t>
            </w:r>
          </w:p>
        </w:tc>
        <w:tc>
          <w:tcPr>
            <w:tcW w:w="0" w:type="auto"/>
            <w:gridSpan w:val="2"/>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c>
          <w:tcPr>
            <w:tcW w:w="0" w:type="auto"/>
            <w:gridSpan w:val="4"/>
            <w:vMerge w:val="continue"/>
            <w:vAlign w:val="center"/>
          </w:tcPr>
          <w:p>
            <w:pPr>
              <w:widowControl/>
              <w:jc w:val="left"/>
              <w:rPr>
                <w:rFonts w:hint="eastAsia" w:ascii="宋体" w:hAnsi="宋体" w:cs="宋体"/>
                <w:sz w:val="18"/>
                <w:szCs w:val="18"/>
              </w:rPr>
            </w:pPr>
          </w:p>
        </w:tc>
        <w:tc>
          <w:tcPr>
            <w:tcW w:w="4719" w:type="dxa"/>
            <w:gridSpan w:val="3"/>
            <w:vAlign w:val="center"/>
          </w:tcPr>
          <w:p>
            <w:pPr>
              <w:widowControl/>
              <w:rPr>
                <w:rFonts w:hint="eastAsia" w:ascii="宋体" w:hAnsi="宋体" w:cs="宋体"/>
                <w:sz w:val="18"/>
                <w:szCs w:val="18"/>
              </w:rPr>
            </w:pPr>
            <w:r>
              <w:rPr>
                <w:rFonts w:hint="eastAsia" w:ascii="宋体" w:hAnsi="宋体" w:cs="宋体"/>
                <w:sz w:val="18"/>
                <w:szCs w:val="18"/>
              </w:rPr>
              <w:t>项目后评估固定资产漏项、投产后经济、社会、环境效益评价深度不够或不真实的，每发现一处扣2分</w:t>
            </w:r>
          </w:p>
        </w:tc>
        <w:tc>
          <w:tcPr>
            <w:tcW w:w="0" w:type="auto"/>
            <w:gridSpan w:val="2"/>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c>
          <w:tcPr>
            <w:tcW w:w="0" w:type="auto"/>
            <w:gridSpan w:val="4"/>
            <w:vMerge w:val="continue"/>
            <w:vAlign w:val="center"/>
          </w:tcPr>
          <w:p>
            <w:pPr>
              <w:widowControl/>
              <w:jc w:val="left"/>
              <w:rPr>
                <w:rFonts w:hint="eastAsia" w:ascii="宋体" w:hAnsi="宋体" w:cs="宋体"/>
                <w:sz w:val="18"/>
                <w:szCs w:val="18"/>
              </w:rPr>
            </w:pPr>
          </w:p>
        </w:tc>
        <w:tc>
          <w:tcPr>
            <w:tcW w:w="4719" w:type="dxa"/>
            <w:gridSpan w:val="3"/>
            <w:vAlign w:val="center"/>
          </w:tcPr>
          <w:p>
            <w:pPr>
              <w:widowControl/>
              <w:rPr>
                <w:rFonts w:hint="eastAsia" w:ascii="宋体" w:hAnsi="宋体" w:cs="宋体"/>
                <w:sz w:val="18"/>
                <w:szCs w:val="18"/>
              </w:rPr>
            </w:pPr>
            <w:r>
              <w:rPr>
                <w:rFonts w:hint="eastAsia" w:ascii="宋体" w:hAnsi="宋体" w:cs="宋体"/>
                <w:sz w:val="18"/>
                <w:szCs w:val="18"/>
              </w:rPr>
              <w:t>缺项定额补充计算不符合有关规定及未履行备案手续的，每发现一处扣2分</w:t>
            </w:r>
          </w:p>
        </w:tc>
        <w:tc>
          <w:tcPr>
            <w:tcW w:w="0" w:type="auto"/>
            <w:gridSpan w:val="2"/>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c>
          <w:tcPr>
            <w:tcW w:w="0" w:type="auto"/>
            <w:gridSpan w:val="4"/>
            <w:vMerge w:val="restart"/>
            <w:vAlign w:val="center"/>
          </w:tcPr>
          <w:p>
            <w:pPr>
              <w:widowControl/>
              <w:jc w:val="center"/>
              <w:rPr>
                <w:rFonts w:hint="eastAsia" w:ascii="宋体" w:hAnsi="宋体" w:cs="宋体"/>
                <w:sz w:val="18"/>
                <w:szCs w:val="18"/>
              </w:rPr>
            </w:pPr>
            <w:r>
              <w:rPr>
                <w:rFonts w:hint="eastAsia" w:ascii="宋体" w:hAnsi="宋体" w:cs="宋体"/>
                <w:sz w:val="18"/>
                <w:szCs w:val="18"/>
              </w:rPr>
              <w:t>经济纠纷鉴定</w:t>
            </w:r>
          </w:p>
          <w:p>
            <w:pPr>
              <w:widowControl/>
              <w:jc w:val="center"/>
              <w:rPr>
                <w:rFonts w:hint="eastAsia" w:ascii="宋体" w:hAnsi="宋体" w:cs="宋体"/>
                <w:sz w:val="18"/>
                <w:szCs w:val="18"/>
              </w:rPr>
            </w:pPr>
            <w:r>
              <w:rPr>
                <w:rFonts w:hint="eastAsia" w:ascii="宋体" w:hAnsi="宋体" w:cs="宋体"/>
                <w:sz w:val="18"/>
                <w:szCs w:val="18"/>
              </w:rPr>
              <w:t>（35分）</w:t>
            </w:r>
          </w:p>
        </w:tc>
        <w:tc>
          <w:tcPr>
            <w:tcW w:w="4719" w:type="dxa"/>
            <w:gridSpan w:val="3"/>
            <w:vAlign w:val="center"/>
          </w:tcPr>
          <w:p>
            <w:pPr>
              <w:widowControl/>
              <w:rPr>
                <w:rFonts w:hint="eastAsia" w:ascii="宋体" w:hAnsi="宋体" w:cs="宋体"/>
                <w:sz w:val="18"/>
                <w:szCs w:val="18"/>
              </w:rPr>
            </w:pPr>
            <w:r>
              <w:rPr>
                <w:rFonts w:hint="eastAsia" w:ascii="宋体" w:hAnsi="宋体" w:cs="宋体"/>
                <w:sz w:val="18"/>
                <w:szCs w:val="18"/>
              </w:rPr>
              <w:t>咨询成果文件组成不完备、资料不齐全的，每发现一处扣10分</w:t>
            </w:r>
          </w:p>
        </w:tc>
        <w:tc>
          <w:tcPr>
            <w:tcW w:w="1273" w:type="dxa"/>
            <w:gridSpan w:val="2"/>
            <w:vMerge w:val="restart"/>
            <w:vAlign w:val="center"/>
          </w:tcPr>
          <w:p>
            <w:pPr>
              <w:widowControl/>
              <w:jc w:val="center"/>
              <w:rPr>
                <w:rFonts w:hint="eastAsia" w:ascii="宋体" w:hAnsi="宋体" w:cs="宋体"/>
                <w:sz w:val="18"/>
                <w:szCs w:val="18"/>
              </w:rPr>
            </w:pPr>
          </w:p>
        </w:tc>
        <w:tc>
          <w:tcPr>
            <w:tcW w:w="1228" w:type="dxa"/>
            <w:vMerge w:val="restart"/>
            <w:vAlign w:val="center"/>
          </w:tcPr>
          <w:p>
            <w:pPr>
              <w:widowControl/>
              <w:jc w:val="center"/>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c>
          <w:tcPr>
            <w:tcW w:w="0" w:type="auto"/>
            <w:gridSpan w:val="4"/>
            <w:vMerge w:val="continue"/>
            <w:vAlign w:val="center"/>
          </w:tcPr>
          <w:p>
            <w:pPr>
              <w:widowControl/>
              <w:jc w:val="center"/>
              <w:rPr>
                <w:rFonts w:hint="eastAsia" w:ascii="宋体" w:hAnsi="宋体" w:cs="宋体"/>
                <w:sz w:val="18"/>
                <w:szCs w:val="18"/>
              </w:rPr>
            </w:pPr>
          </w:p>
        </w:tc>
        <w:tc>
          <w:tcPr>
            <w:tcW w:w="4719" w:type="dxa"/>
            <w:gridSpan w:val="3"/>
            <w:vAlign w:val="center"/>
          </w:tcPr>
          <w:p>
            <w:pPr>
              <w:widowControl/>
              <w:rPr>
                <w:rFonts w:hint="eastAsia" w:ascii="宋体" w:hAnsi="宋体" w:cs="宋体"/>
                <w:sz w:val="18"/>
                <w:szCs w:val="18"/>
              </w:rPr>
            </w:pPr>
            <w:r>
              <w:rPr>
                <w:rFonts w:hint="eastAsia" w:ascii="宋体" w:hAnsi="宋体" w:cs="宋体"/>
                <w:sz w:val="18"/>
                <w:szCs w:val="18"/>
              </w:rPr>
              <w:t>工程造价的鉴定范围、鉴定依据和 鉴定内容不符合相关规定及鉴定委托人的鉴定要求的，每发现一处扣8分</w:t>
            </w:r>
          </w:p>
        </w:tc>
        <w:tc>
          <w:tcPr>
            <w:tcW w:w="1273" w:type="dxa"/>
            <w:gridSpan w:val="2"/>
            <w:vMerge w:val="continue"/>
            <w:vAlign w:val="center"/>
          </w:tcPr>
          <w:p>
            <w:pPr>
              <w:widowControl/>
              <w:jc w:val="center"/>
              <w:rPr>
                <w:rFonts w:hint="eastAsia" w:ascii="宋体" w:hAnsi="宋体" w:cs="宋体"/>
                <w:sz w:val="18"/>
                <w:szCs w:val="18"/>
              </w:rPr>
            </w:pPr>
          </w:p>
        </w:tc>
        <w:tc>
          <w:tcPr>
            <w:tcW w:w="1228" w:type="dxa"/>
            <w:vMerge w:val="continue"/>
            <w:vAlign w:val="center"/>
          </w:tcPr>
          <w:p>
            <w:pPr>
              <w:widowControl/>
              <w:jc w:val="center"/>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c>
          <w:tcPr>
            <w:tcW w:w="0" w:type="auto"/>
            <w:gridSpan w:val="4"/>
            <w:vMerge w:val="continue"/>
            <w:vAlign w:val="center"/>
          </w:tcPr>
          <w:p>
            <w:pPr>
              <w:widowControl/>
              <w:jc w:val="left"/>
              <w:rPr>
                <w:rFonts w:hint="eastAsia" w:ascii="宋体" w:hAnsi="宋体" w:cs="宋体"/>
                <w:sz w:val="18"/>
                <w:szCs w:val="18"/>
              </w:rPr>
            </w:pPr>
          </w:p>
        </w:tc>
        <w:tc>
          <w:tcPr>
            <w:tcW w:w="4719" w:type="dxa"/>
            <w:gridSpan w:val="3"/>
            <w:vAlign w:val="center"/>
          </w:tcPr>
          <w:p>
            <w:pPr>
              <w:widowControl/>
              <w:rPr>
                <w:rFonts w:hint="eastAsia" w:ascii="宋体" w:hAnsi="宋体" w:cs="宋体"/>
                <w:sz w:val="18"/>
                <w:szCs w:val="18"/>
              </w:rPr>
            </w:pPr>
            <w:r>
              <w:rPr>
                <w:rFonts w:hint="eastAsia" w:ascii="宋体" w:hAnsi="宋体" w:cs="宋体"/>
                <w:sz w:val="18"/>
                <w:szCs w:val="18"/>
              </w:rPr>
              <w:t>鉴定资料的质证与标的物的现场勘验不符合相关规定的，每发现一处扣5分</w:t>
            </w:r>
          </w:p>
        </w:tc>
        <w:tc>
          <w:tcPr>
            <w:tcW w:w="0" w:type="auto"/>
            <w:gridSpan w:val="2"/>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c>
          <w:tcPr>
            <w:tcW w:w="0" w:type="auto"/>
            <w:gridSpan w:val="4"/>
            <w:vMerge w:val="continue"/>
            <w:vAlign w:val="center"/>
          </w:tcPr>
          <w:p>
            <w:pPr>
              <w:widowControl/>
              <w:jc w:val="left"/>
              <w:rPr>
                <w:rFonts w:hint="eastAsia" w:ascii="宋体" w:hAnsi="宋体" w:cs="宋体"/>
                <w:sz w:val="18"/>
                <w:szCs w:val="18"/>
              </w:rPr>
            </w:pPr>
          </w:p>
        </w:tc>
        <w:tc>
          <w:tcPr>
            <w:tcW w:w="4719" w:type="dxa"/>
            <w:gridSpan w:val="3"/>
            <w:vAlign w:val="center"/>
          </w:tcPr>
          <w:p>
            <w:pPr>
              <w:widowControl/>
              <w:rPr>
                <w:rFonts w:hint="eastAsia" w:ascii="宋体" w:hAnsi="宋体" w:cs="宋体"/>
                <w:sz w:val="18"/>
                <w:szCs w:val="18"/>
              </w:rPr>
            </w:pPr>
            <w:r>
              <w:rPr>
                <w:rFonts w:hint="eastAsia" w:ascii="宋体" w:hAnsi="宋体" w:cs="宋体"/>
                <w:sz w:val="18"/>
                <w:szCs w:val="18"/>
              </w:rPr>
              <w:t>工程造价鉴定未按相关规定进行审核、复核及合议（较大争议的）制定案，合同文件解释顺序适用有误，工程计量及计价出现错误的，每发现一处扣3分</w:t>
            </w:r>
          </w:p>
        </w:tc>
        <w:tc>
          <w:tcPr>
            <w:tcW w:w="0" w:type="auto"/>
            <w:gridSpan w:val="2"/>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c>
          <w:tcPr>
            <w:tcW w:w="0" w:type="auto"/>
            <w:gridSpan w:val="4"/>
            <w:vMerge w:val="continue"/>
            <w:vAlign w:val="center"/>
          </w:tcPr>
          <w:p>
            <w:pPr>
              <w:widowControl/>
              <w:jc w:val="left"/>
              <w:rPr>
                <w:rFonts w:hint="eastAsia" w:ascii="宋体" w:hAnsi="宋体" w:cs="宋体"/>
                <w:sz w:val="18"/>
                <w:szCs w:val="18"/>
              </w:rPr>
            </w:pPr>
          </w:p>
        </w:tc>
        <w:tc>
          <w:tcPr>
            <w:tcW w:w="4719" w:type="dxa"/>
            <w:gridSpan w:val="3"/>
            <w:vAlign w:val="center"/>
          </w:tcPr>
          <w:p>
            <w:pPr>
              <w:widowControl/>
              <w:rPr>
                <w:rFonts w:hint="eastAsia" w:ascii="宋体" w:hAnsi="宋体" w:cs="宋体"/>
                <w:sz w:val="18"/>
                <w:szCs w:val="18"/>
              </w:rPr>
            </w:pPr>
            <w:r>
              <w:rPr>
                <w:rFonts w:hint="eastAsia" w:ascii="宋体" w:hAnsi="宋体" w:cs="宋体"/>
                <w:sz w:val="18"/>
                <w:szCs w:val="18"/>
              </w:rPr>
              <w:t>鉴定报告组成不完整，附表漏项的，每发现一处扣2分</w:t>
            </w:r>
          </w:p>
        </w:tc>
        <w:tc>
          <w:tcPr>
            <w:tcW w:w="0" w:type="auto"/>
            <w:gridSpan w:val="2"/>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vMerge w:val="restart"/>
            <w:vAlign w:val="center"/>
          </w:tcPr>
          <w:p>
            <w:pPr>
              <w:widowControl/>
              <w:jc w:val="center"/>
              <w:rPr>
                <w:rFonts w:hint="eastAsia" w:ascii="宋体" w:hAnsi="宋体" w:cs="宋体"/>
                <w:sz w:val="18"/>
                <w:szCs w:val="18"/>
              </w:rPr>
            </w:pPr>
            <w:r>
              <w:rPr>
                <w:rFonts w:hint="eastAsia" w:ascii="宋体" w:hAnsi="宋体" w:cs="宋体"/>
                <w:sz w:val="18"/>
                <w:szCs w:val="18"/>
              </w:rPr>
              <w:t>2</w:t>
            </w:r>
          </w:p>
        </w:tc>
        <w:tc>
          <w:tcPr>
            <w:tcW w:w="0" w:type="auto"/>
            <w:vMerge w:val="restart"/>
            <w:vAlign w:val="center"/>
          </w:tcPr>
          <w:p>
            <w:pPr>
              <w:widowControl/>
              <w:jc w:val="center"/>
              <w:rPr>
                <w:rFonts w:hint="eastAsia" w:ascii="宋体" w:hAnsi="宋体" w:cs="宋体"/>
                <w:sz w:val="18"/>
                <w:szCs w:val="18"/>
              </w:rPr>
            </w:pPr>
            <w:r>
              <w:rPr>
                <w:rFonts w:hint="eastAsia" w:ascii="宋体" w:hAnsi="宋体" w:cs="宋体"/>
                <w:sz w:val="18"/>
                <w:szCs w:val="18"/>
              </w:rPr>
              <w:t>业务审核</w:t>
            </w:r>
          </w:p>
          <w:p>
            <w:pPr>
              <w:widowControl/>
              <w:jc w:val="center"/>
              <w:rPr>
                <w:rFonts w:hint="eastAsia" w:ascii="宋体" w:hAnsi="宋体" w:cs="宋体"/>
                <w:sz w:val="18"/>
                <w:szCs w:val="18"/>
              </w:rPr>
            </w:pPr>
            <w:r>
              <w:rPr>
                <w:rFonts w:hint="eastAsia" w:ascii="宋体" w:hAnsi="宋体" w:cs="宋体"/>
                <w:sz w:val="18"/>
                <w:szCs w:val="18"/>
              </w:rPr>
              <w:t>（10分）</w:t>
            </w:r>
          </w:p>
        </w:tc>
        <w:tc>
          <w:tcPr>
            <w:tcW w:w="6178" w:type="dxa"/>
            <w:gridSpan w:val="7"/>
            <w:vAlign w:val="center"/>
          </w:tcPr>
          <w:p>
            <w:pPr>
              <w:widowControl/>
              <w:rPr>
                <w:rFonts w:hint="eastAsia" w:ascii="宋体" w:hAnsi="宋体" w:cs="宋体"/>
                <w:sz w:val="18"/>
                <w:szCs w:val="18"/>
              </w:rPr>
            </w:pPr>
            <w:r>
              <w:rPr>
                <w:rFonts w:hint="eastAsia" w:ascii="宋体" w:hAnsi="宋体" w:cs="宋体"/>
                <w:sz w:val="18"/>
                <w:szCs w:val="18"/>
              </w:rPr>
              <w:t>不能提供《造价咨询项目校审记录表》的扣10分</w:t>
            </w:r>
          </w:p>
        </w:tc>
        <w:tc>
          <w:tcPr>
            <w:tcW w:w="1273" w:type="dxa"/>
            <w:gridSpan w:val="2"/>
            <w:vMerge w:val="restart"/>
            <w:vAlign w:val="center"/>
          </w:tcPr>
          <w:p>
            <w:pPr>
              <w:widowControl/>
              <w:jc w:val="center"/>
              <w:rPr>
                <w:rFonts w:hint="eastAsia" w:ascii="宋体" w:hAnsi="宋体" w:cs="宋体"/>
                <w:sz w:val="18"/>
                <w:szCs w:val="18"/>
              </w:rPr>
            </w:pPr>
          </w:p>
        </w:tc>
        <w:tc>
          <w:tcPr>
            <w:tcW w:w="1228" w:type="dxa"/>
            <w:vMerge w:val="restart"/>
            <w:vAlign w:val="center"/>
          </w:tcPr>
          <w:p>
            <w:pPr>
              <w:widowControl/>
              <w:jc w:val="center"/>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c>
          <w:tcPr>
            <w:tcW w:w="6178" w:type="dxa"/>
            <w:gridSpan w:val="7"/>
            <w:vAlign w:val="center"/>
          </w:tcPr>
          <w:p>
            <w:pPr>
              <w:widowControl/>
              <w:rPr>
                <w:rFonts w:hint="eastAsia" w:ascii="宋体" w:hAnsi="宋体" w:cs="宋体"/>
                <w:sz w:val="18"/>
                <w:szCs w:val="18"/>
              </w:rPr>
            </w:pPr>
            <w:r>
              <w:rPr>
                <w:rFonts w:hint="eastAsia" w:ascii="宋体" w:hAnsi="宋体" w:cs="宋体"/>
                <w:sz w:val="18"/>
                <w:szCs w:val="18"/>
              </w:rPr>
              <w:t>对编制和校核中重要的计算公式和计算方法错误未予以纠正的，每发现一处扣3分</w:t>
            </w:r>
          </w:p>
        </w:tc>
        <w:tc>
          <w:tcPr>
            <w:tcW w:w="0" w:type="auto"/>
            <w:gridSpan w:val="2"/>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c>
          <w:tcPr>
            <w:tcW w:w="6178" w:type="dxa"/>
            <w:gridSpan w:val="7"/>
            <w:vAlign w:val="center"/>
          </w:tcPr>
          <w:p>
            <w:pPr>
              <w:widowControl/>
              <w:rPr>
                <w:rFonts w:hint="eastAsia" w:ascii="宋体" w:hAnsi="宋体" w:cs="宋体"/>
                <w:sz w:val="18"/>
                <w:szCs w:val="18"/>
              </w:rPr>
            </w:pPr>
            <w:r>
              <w:rPr>
                <w:rFonts w:hint="eastAsia" w:ascii="宋体" w:hAnsi="宋体" w:cs="宋体"/>
                <w:sz w:val="18"/>
                <w:szCs w:val="18"/>
              </w:rPr>
              <w:t>对各专业的技术经济标准不一致，关键数据及相互关系不协调未予发现的，每发现一处扣2分</w:t>
            </w:r>
          </w:p>
        </w:tc>
        <w:tc>
          <w:tcPr>
            <w:tcW w:w="0" w:type="auto"/>
            <w:gridSpan w:val="2"/>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c>
          <w:tcPr>
            <w:tcW w:w="6178" w:type="dxa"/>
            <w:gridSpan w:val="7"/>
            <w:vAlign w:val="center"/>
          </w:tcPr>
          <w:p>
            <w:pPr>
              <w:widowControl/>
              <w:rPr>
                <w:rFonts w:hint="eastAsia" w:ascii="宋体" w:hAnsi="宋体" w:cs="宋体"/>
                <w:sz w:val="18"/>
                <w:szCs w:val="18"/>
              </w:rPr>
            </w:pPr>
            <w:r>
              <w:rPr>
                <w:rFonts w:hint="eastAsia" w:ascii="宋体" w:hAnsi="宋体" w:cs="宋体"/>
                <w:sz w:val="18"/>
                <w:szCs w:val="18"/>
              </w:rPr>
              <w:t>常规的造价咨询业务，有关各方未在《施工现场勘察记录》、《工程量核实记录单》、《建设工程预结算协调会议记录》、《建设工程造价编审确认表》上签字认可的，每发现一处扣5分</w:t>
            </w:r>
          </w:p>
        </w:tc>
        <w:tc>
          <w:tcPr>
            <w:tcW w:w="0" w:type="auto"/>
            <w:gridSpan w:val="2"/>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78" w:type="dxa"/>
            <w:vAlign w:val="center"/>
          </w:tcPr>
          <w:p>
            <w:pPr>
              <w:widowControl/>
              <w:jc w:val="center"/>
              <w:rPr>
                <w:rFonts w:hint="eastAsia" w:ascii="宋体" w:hAnsi="宋体" w:cs="宋体"/>
                <w:sz w:val="18"/>
                <w:szCs w:val="18"/>
              </w:rPr>
            </w:pPr>
            <w:r>
              <w:rPr>
                <w:rFonts w:hint="eastAsia" w:ascii="宋体" w:hAnsi="宋体" w:cs="宋体"/>
                <w:sz w:val="18"/>
                <w:szCs w:val="18"/>
              </w:rPr>
              <w:t>三</w:t>
            </w:r>
          </w:p>
        </w:tc>
        <w:tc>
          <w:tcPr>
            <w:tcW w:w="7436" w:type="dxa"/>
            <w:gridSpan w:val="8"/>
            <w:vAlign w:val="center"/>
          </w:tcPr>
          <w:p>
            <w:pPr>
              <w:widowControl/>
              <w:jc w:val="center"/>
              <w:rPr>
                <w:rFonts w:hint="eastAsia" w:ascii="宋体" w:hAnsi="宋体" w:cs="宋体"/>
                <w:sz w:val="18"/>
                <w:szCs w:val="18"/>
              </w:rPr>
            </w:pPr>
            <w:r>
              <w:rPr>
                <w:rFonts w:hint="eastAsia" w:ascii="宋体" w:hAnsi="宋体" w:cs="宋体"/>
                <w:sz w:val="18"/>
                <w:szCs w:val="18"/>
              </w:rPr>
              <w:t>结尾阶段（25分）</w:t>
            </w:r>
          </w:p>
        </w:tc>
        <w:tc>
          <w:tcPr>
            <w:tcW w:w="1273" w:type="dxa"/>
            <w:gridSpan w:val="2"/>
            <w:vAlign w:val="center"/>
          </w:tcPr>
          <w:p>
            <w:pPr>
              <w:widowControl/>
              <w:jc w:val="center"/>
              <w:rPr>
                <w:rFonts w:hint="eastAsia" w:ascii="宋体" w:hAnsi="宋体" w:cs="宋体"/>
                <w:sz w:val="18"/>
                <w:szCs w:val="18"/>
              </w:rPr>
            </w:pPr>
          </w:p>
        </w:tc>
        <w:tc>
          <w:tcPr>
            <w:tcW w:w="1228" w:type="dxa"/>
            <w:vAlign w:val="center"/>
          </w:tcPr>
          <w:p>
            <w:pPr>
              <w:widowControl/>
              <w:jc w:val="center"/>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78" w:type="dxa"/>
            <w:vMerge w:val="restart"/>
            <w:vAlign w:val="center"/>
          </w:tcPr>
          <w:p>
            <w:pPr>
              <w:widowControl/>
              <w:jc w:val="center"/>
              <w:rPr>
                <w:rFonts w:hint="eastAsia" w:ascii="宋体" w:hAnsi="宋体" w:cs="宋体"/>
                <w:sz w:val="18"/>
                <w:szCs w:val="18"/>
              </w:rPr>
            </w:pPr>
            <w:r>
              <w:rPr>
                <w:rFonts w:hint="eastAsia" w:ascii="宋体" w:hAnsi="宋体" w:cs="宋体"/>
                <w:sz w:val="18"/>
                <w:szCs w:val="18"/>
              </w:rPr>
              <w:t>1</w:t>
            </w:r>
          </w:p>
        </w:tc>
        <w:tc>
          <w:tcPr>
            <w:tcW w:w="1939" w:type="dxa"/>
            <w:gridSpan w:val="3"/>
            <w:vMerge w:val="restart"/>
            <w:vAlign w:val="center"/>
          </w:tcPr>
          <w:p>
            <w:pPr>
              <w:widowControl/>
              <w:jc w:val="center"/>
              <w:rPr>
                <w:rFonts w:hint="eastAsia" w:ascii="宋体" w:hAnsi="宋体" w:cs="宋体"/>
                <w:sz w:val="18"/>
                <w:szCs w:val="18"/>
              </w:rPr>
            </w:pPr>
            <w:r>
              <w:rPr>
                <w:rFonts w:hint="eastAsia" w:ascii="宋体" w:hAnsi="宋体" w:cs="宋体"/>
                <w:sz w:val="18"/>
                <w:szCs w:val="18"/>
              </w:rPr>
              <w:t>咨询报告书</w:t>
            </w:r>
          </w:p>
          <w:p>
            <w:pPr>
              <w:widowControl/>
              <w:jc w:val="center"/>
              <w:rPr>
                <w:rFonts w:hint="eastAsia" w:ascii="宋体" w:hAnsi="宋体" w:cs="宋体"/>
                <w:sz w:val="18"/>
                <w:szCs w:val="18"/>
              </w:rPr>
            </w:pPr>
            <w:r>
              <w:rPr>
                <w:rFonts w:hint="eastAsia" w:ascii="宋体" w:hAnsi="宋体" w:cs="宋体"/>
                <w:sz w:val="18"/>
                <w:szCs w:val="18"/>
              </w:rPr>
              <w:t>（10分）</w:t>
            </w:r>
          </w:p>
        </w:tc>
        <w:tc>
          <w:tcPr>
            <w:tcW w:w="5497" w:type="dxa"/>
            <w:gridSpan w:val="5"/>
            <w:vAlign w:val="center"/>
          </w:tcPr>
          <w:p>
            <w:pPr>
              <w:widowControl/>
              <w:rPr>
                <w:rFonts w:hint="eastAsia" w:ascii="宋体" w:hAnsi="宋体" w:cs="宋体"/>
                <w:sz w:val="18"/>
                <w:szCs w:val="18"/>
              </w:rPr>
            </w:pPr>
            <w:r>
              <w:rPr>
                <w:rFonts w:hint="eastAsia" w:ascii="宋体" w:hAnsi="宋体" w:cs="宋体"/>
                <w:sz w:val="18"/>
                <w:szCs w:val="18"/>
              </w:rPr>
              <w:t>咨询成果文件的格式不符合要求的扣10分</w:t>
            </w:r>
          </w:p>
        </w:tc>
        <w:tc>
          <w:tcPr>
            <w:tcW w:w="1273" w:type="dxa"/>
            <w:gridSpan w:val="2"/>
            <w:vMerge w:val="restart"/>
            <w:vAlign w:val="center"/>
          </w:tcPr>
          <w:p>
            <w:pPr>
              <w:widowControl/>
              <w:jc w:val="center"/>
              <w:rPr>
                <w:rFonts w:hint="eastAsia" w:ascii="宋体" w:hAnsi="宋体" w:cs="宋体"/>
                <w:sz w:val="18"/>
                <w:szCs w:val="18"/>
              </w:rPr>
            </w:pPr>
          </w:p>
        </w:tc>
        <w:tc>
          <w:tcPr>
            <w:tcW w:w="1228" w:type="dxa"/>
            <w:vMerge w:val="restart"/>
            <w:vAlign w:val="center"/>
          </w:tcPr>
          <w:p>
            <w:pPr>
              <w:widowControl/>
              <w:jc w:val="center"/>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vMerge w:val="continue"/>
            <w:vAlign w:val="center"/>
          </w:tcPr>
          <w:p>
            <w:pPr>
              <w:widowControl/>
              <w:jc w:val="left"/>
              <w:rPr>
                <w:rFonts w:hint="eastAsia" w:ascii="宋体" w:hAnsi="宋体" w:cs="宋体"/>
                <w:sz w:val="18"/>
                <w:szCs w:val="18"/>
              </w:rPr>
            </w:pPr>
          </w:p>
        </w:tc>
        <w:tc>
          <w:tcPr>
            <w:tcW w:w="0" w:type="auto"/>
            <w:gridSpan w:val="3"/>
            <w:vMerge w:val="continue"/>
            <w:vAlign w:val="center"/>
          </w:tcPr>
          <w:p>
            <w:pPr>
              <w:widowControl/>
              <w:jc w:val="left"/>
              <w:rPr>
                <w:rFonts w:hint="eastAsia" w:ascii="宋体" w:hAnsi="宋体" w:cs="宋体"/>
                <w:sz w:val="18"/>
                <w:szCs w:val="18"/>
              </w:rPr>
            </w:pPr>
          </w:p>
        </w:tc>
        <w:tc>
          <w:tcPr>
            <w:tcW w:w="5497" w:type="dxa"/>
            <w:gridSpan w:val="5"/>
            <w:vAlign w:val="center"/>
          </w:tcPr>
          <w:p>
            <w:pPr>
              <w:widowControl/>
              <w:rPr>
                <w:rFonts w:hint="eastAsia" w:ascii="宋体" w:hAnsi="宋体" w:cs="宋体"/>
                <w:sz w:val="18"/>
                <w:szCs w:val="18"/>
              </w:rPr>
            </w:pPr>
            <w:r>
              <w:rPr>
                <w:rFonts w:hint="eastAsia" w:ascii="宋体" w:hAnsi="宋体" w:cs="宋体"/>
                <w:sz w:val="18"/>
                <w:szCs w:val="18"/>
              </w:rPr>
              <w:t>咨询成果文件未加盖参与项目的注册造价工程师执业专用章（不少于2人）、造价员从业印章和工程造价咨询单位成果文件报告专用章的扣5分(个人执业印章数不得少于3个)</w:t>
            </w:r>
          </w:p>
        </w:tc>
        <w:tc>
          <w:tcPr>
            <w:tcW w:w="0" w:type="auto"/>
            <w:gridSpan w:val="2"/>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vMerge w:val="continue"/>
            <w:vAlign w:val="center"/>
          </w:tcPr>
          <w:p>
            <w:pPr>
              <w:widowControl/>
              <w:jc w:val="left"/>
              <w:rPr>
                <w:rFonts w:hint="eastAsia" w:ascii="宋体" w:hAnsi="宋体" w:cs="宋体"/>
                <w:sz w:val="18"/>
                <w:szCs w:val="18"/>
              </w:rPr>
            </w:pPr>
          </w:p>
        </w:tc>
        <w:tc>
          <w:tcPr>
            <w:tcW w:w="0" w:type="auto"/>
            <w:gridSpan w:val="3"/>
            <w:vMerge w:val="continue"/>
            <w:vAlign w:val="center"/>
          </w:tcPr>
          <w:p>
            <w:pPr>
              <w:widowControl/>
              <w:jc w:val="left"/>
              <w:rPr>
                <w:rFonts w:hint="eastAsia" w:ascii="宋体" w:hAnsi="宋体" w:cs="宋体"/>
                <w:sz w:val="18"/>
                <w:szCs w:val="18"/>
              </w:rPr>
            </w:pPr>
          </w:p>
        </w:tc>
        <w:tc>
          <w:tcPr>
            <w:tcW w:w="5497" w:type="dxa"/>
            <w:gridSpan w:val="5"/>
            <w:vAlign w:val="center"/>
          </w:tcPr>
          <w:p>
            <w:pPr>
              <w:widowControl/>
              <w:rPr>
                <w:rFonts w:hint="eastAsia" w:ascii="宋体" w:hAnsi="宋体" w:cs="宋体"/>
                <w:sz w:val="18"/>
                <w:szCs w:val="18"/>
              </w:rPr>
            </w:pPr>
            <w:r>
              <w:rPr>
                <w:rFonts w:hint="eastAsia" w:ascii="宋体" w:hAnsi="宋体" w:cs="宋体"/>
                <w:sz w:val="18"/>
                <w:szCs w:val="18"/>
              </w:rPr>
              <w:t>在咨询成果文件的内容中，造价工程师声明段、编审范围段、意见段叙述不清或漏项的，每发现一处扣2分</w:t>
            </w:r>
          </w:p>
        </w:tc>
        <w:tc>
          <w:tcPr>
            <w:tcW w:w="0" w:type="auto"/>
            <w:gridSpan w:val="2"/>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78" w:type="dxa"/>
            <w:vMerge w:val="restart"/>
            <w:vAlign w:val="center"/>
          </w:tcPr>
          <w:p>
            <w:pPr>
              <w:widowControl/>
              <w:jc w:val="center"/>
              <w:rPr>
                <w:rFonts w:hint="eastAsia" w:ascii="宋体" w:hAnsi="宋体" w:cs="宋体"/>
                <w:sz w:val="18"/>
                <w:szCs w:val="18"/>
              </w:rPr>
            </w:pPr>
            <w:r>
              <w:rPr>
                <w:rFonts w:hint="eastAsia" w:ascii="宋体" w:hAnsi="宋体" w:cs="宋体"/>
                <w:sz w:val="18"/>
                <w:szCs w:val="18"/>
              </w:rPr>
              <w:t>2</w:t>
            </w:r>
          </w:p>
        </w:tc>
        <w:tc>
          <w:tcPr>
            <w:tcW w:w="1939" w:type="dxa"/>
            <w:gridSpan w:val="3"/>
            <w:vMerge w:val="restart"/>
            <w:vAlign w:val="center"/>
          </w:tcPr>
          <w:p>
            <w:pPr>
              <w:widowControl/>
              <w:jc w:val="center"/>
              <w:rPr>
                <w:rFonts w:hint="eastAsia" w:ascii="宋体" w:hAnsi="宋体" w:cs="宋体"/>
                <w:sz w:val="18"/>
                <w:szCs w:val="18"/>
              </w:rPr>
            </w:pPr>
            <w:r>
              <w:rPr>
                <w:rFonts w:hint="eastAsia" w:ascii="宋体" w:hAnsi="宋体" w:cs="宋体"/>
                <w:sz w:val="18"/>
                <w:szCs w:val="18"/>
              </w:rPr>
              <w:t>项目咨询业务档案（10分）</w:t>
            </w:r>
          </w:p>
        </w:tc>
        <w:tc>
          <w:tcPr>
            <w:tcW w:w="5497" w:type="dxa"/>
            <w:gridSpan w:val="5"/>
            <w:vAlign w:val="center"/>
          </w:tcPr>
          <w:p>
            <w:pPr>
              <w:widowControl/>
              <w:rPr>
                <w:rFonts w:hint="eastAsia" w:ascii="宋体" w:hAnsi="宋体" w:cs="宋体"/>
                <w:sz w:val="18"/>
                <w:szCs w:val="18"/>
              </w:rPr>
            </w:pPr>
            <w:r>
              <w:rPr>
                <w:rFonts w:hint="eastAsia" w:ascii="宋体" w:hAnsi="宋体" w:cs="宋体"/>
                <w:sz w:val="18"/>
                <w:szCs w:val="18"/>
              </w:rPr>
              <w:t>缺少《质量控制规范》5.4.6.1和5.4.6.2规定（根据不同的咨询业务）须归档资料的，每缺少一项扣5分</w:t>
            </w:r>
          </w:p>
        </w:tc>
        <w:tc>
          <w:tcPr>
            <w:tcW w:w="1273" w:type="dxa"/>
            <w:gridSpan w:val="2"/>
            <w:vMerge w:val="restart"/>
            <w:vAlign w:val="center"/>
          </w:tcPr>
          <w:p>
            <w:pPr>
              <w:widowControl/>
              <w:jc w:val="center"/>
              <w:rPr>
                <w:rFonts w:hint="eastAsia" w:ascii="宋体" w:hAnsi="宋体" w:cs="宋体"/>
                <w:sz w:val="18"/>
                <w:szCs w:val="18"/>
              </w:rPr>
            </w:pPr>
          </w:p>
        </w:tc>
        <w:tc>
          <w:tcPr>
            <w:tcW w:w="1228" w:type="dxa"/>
            <w:vMerge w:val="restart"/>
            <w:vAlign w:val="center"/>
          </w:tcPr>
          <w:p>
            <w:pPr>
              <w:widowControl/>
              <w:jc w:val="center"/>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vMerge w:val="continue"/>
            <w:vAlign w:val="center"/>
          </w:tcPr>
          <w:p>
            <w:pPr>
              <w:widowControl/>
              <w:jc w:val="left"/>
              <w:rPr>
                <w:rFonts w:hint="eastAsia" w:ascii="宋体" w:hAnsi="宋体" w:cs="宋体"/>
                <w:sz w:val="18"/>
                <w:szCs w:val="18"/>
              </w:rPr>
            </w:pPr>
          </w:p>
        </w:tc>
        <w:tc>
          <w:tcPr>
            <w:tcW w:w="0" w:type="auto"/>
            <w:gridSpan w:val="3"/>
            <w:vMerge w:val="continue"/>
            <w:vAlign w:val="center"/>
          </w:tcPr>
          <w:p>
            <w:pPr>
              <w:widowControl/>
              <w:jc w:val="left"/>
              <w:rPr>
                <w:rFonts w:hint="eastAsia" w:ascii="宋体" w:hAnsi="宋体" w:cs="宋体"/>
                <w:sz w:val="18"/>
                <w:szCs w:val="18"/>
              </w:rPr>
            </w:pPr>
          </w:p>
        </w:tc>
        <w:tc>
          <w:tcPr>
            <w:tcW w:w="5497" w:type="dxa"/>
            <w:gridSpan w:val="5"/>
            <w:vAlign w:val="center"/>
          </w:tcPr>
          <w:p>
            <w:pPr>
              <w:widowControl/>
              <w:rPr>
                <w:rFonts w:hint="eastAsia" w:ascii="宋体" w:hAnsi="宋体" w:cs="宋体"/>
                <w:sz w:val="18"/>
                <w:szCs w:val="18"/>
              </w:rPr>
            </w:pPr>
            <w:r>
              <w:rPr>
                <w:rFonts w:hint="eastAsia" w:ascii="宋体" w:hAnsi="宋体" w:cs="宋体"/>
                <w:sz w:val="18"/>
                <w:szCs w:val="18"/>
              </w:rPr>
              <w:t>缺少与最终咨询成果文件相关的计算底稿、计价文件、编制说明、必要的会议纪要和文函的，每缺少一项扣5分</w:t>
            </w:r>
          </w:p>
        </w:tc>
        <w:tc>
          <w:tcPr>
            <w:tcW w:w="0" w:type="auto"/>
            <w:gridSpan w:val="2"/>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vMerge w:val="continue"/>
            <w:vAlign w:val="center"/>
          </w:tcPr>
          <w:p>
            <w:pPr>
              <w:widowControl/>
              <w:jc w:val="left"/>
              <w:rPr>
                <w:rFonts w:hint="eastAsia" w:ascii="宋体" w:hAnsi="宋体" w:cs="宋体"/>
                <w:sz w:val="18"/>
                <w:szCs w:val="18"/>
              </w:rPr>
            </w:pPr>
          </w:p>
        </w:tc>
        <w:tc>
          <w:tcPr>
            <w:tcW w:w="0" w:type="auto"/>
            <w:gridSpan w:val="3"/>
            <w:vMerge w:val="continue"/>
            <w:vAlign w:val="center"/>
          </w:tcPr>
          <w:p>
            <w:pPr>
              <w:widowControl/>
              <w:jc w:val="left"/>
              <w:rPr>
                <w:rFonts w:hint="eastAsia" w:ascii="宋体" w:hAnsi="宋体" w:cs="宋体"/>
                <w:sz w:val="18"/>
                <w:szCs w:val="18"/>
              </w:rPr>
            </w:pPr>
          </w:p>
        </w:tc>
        <w:tc>
          <w:tcPr>
            <w:tcW w:w="5497" w:type="dxa"/>
            <w:gridSpan w:val="5"/>
            <w:vAlign w:val="center"/>
          </w:tcPr>
          <w:p>
            <w:pPr>
              <w:widowControl/>
              <w:rPr>
                <w:rFonts w:hint="eastAsia" w:ascii="宋体" w:hAnsi="宋体" w:cs="宋体"/>
                <w:sz w:val="18"/>
                <w:szCs w:val="18"/>
              </w:rPr>
            </w:pPr>
            <w:r>
              <w:rPr>
                <w:rFonts w:hint="eastAsia" w:ascii="宋体" w:hAnsi="宋体" w:cs="宋体"/>
                <w:sz w:val="18"/>
                <w:szCs w:val="18"/>
              </w:rPr>
              <w:t>未建立造价咨询业务台帐的扣5分</w:t>
            </w:r>
          </w:p>
        </w:tc>
        <w:tc>
          <w:tcPr>
            <w:tcW w:w="0" w:type="auto"/>
            <w:gridSpan w:val="2"/>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78" w:type="dxa"/>
            <w:vMerge w:val="restart"/>
            <w:vAlign w:val="center"/>
          </w:tcPr>
          <w:p>
            <w:pPr>
              <w:widowControl/>
              <w:jc w:val="center"/>
              <w:rPr>
                <w:rFonts w:hint="eastAsia" w:ascii="宋体" w:hAnsi="宋体" w:cs="宋体"/>
                <w:sz w:val="18"/>
                <w:szCs w:val="18"/>
              </w:rPr>
            </w:pPr>
            <w:r>
              <w:rPr>
                <w:rFonts w:hint="eastAsia" w:ascii="宋体" w:hAnsi="宋体" w:cs="宋体"/>
                <w:sz w:val="18"/>
                <w:szCs w:val="18"/>
              </w:rPr>
              <w:t>3</w:t>
            </w:r>
          </w:p>
        </w:tc>
        <w:tc>
          <w:tcPr>
            <w:tcW w:w="1939" w:type="dxa"/>
            <w:gridSpan w:val="3"/>
            <w:vMerge w:val="restart"/>
            <w:vAlign w:val="center"/>
          </w:tcPr>
          <w:p>
            <w:pPr>
              <w:widowControl/>
              <w:jc w:val="center"/>
              <w:rPr>
                <w:rFonts w:hint="eastAsia" w:ascii="宋体" w:hAnsi="宋体" w:cs="宋体"/>
                <w:sz w:val="18"/>
                <w:szCs w:val="18"/>
              </w:rPr>
            </w:pPr>
            <w:r>
              <w:rPr>
                <w:rFonts w:hint="eastAsia" w:ascii="宋体" w:hAnsi="宋体" w:cs="宋体"/>
                <w:sz w:val="18"/>
                <w:szCs w:val="18"/>
              </w:rPr>
              <w:t>回访和总结</w:t>
            </w:r>
          </w:p>
          <w:p>
            <w:pPr>
              <w:widowControl/>
              <w:jc w:val="center"/>
              <w:rPr>
                <w:rFonts w:hint="eastAsia" w:ascii="宋体" w:hAnsi="宋体" w:cs="宋体"/>
                <w:sz w:val="18"/>
                <w:szCs w:val="18"/>
              </w:rPr>
            </w:pPr>
            <w:r>
              <w:rPr>
                <w:rFonts w:hint="eastAsia" w:ascii="宋体" w:hAnsi="宋体" w:cs="宋体"/>
                <w:sz w:val="18"/>
                <w:szCs w:val="18"/>
              </w:rPr>
              <w:t>（5分）</w:t>
            </w:r>
          </w:p>
        </w:tc>
        <w:tc>
          <w:tcPr>
            <w:tcW w:w="5497" w:type="dxa"/>
            <w:gridSpan w:val="5"/>
            <w:vAlign w:val="center"/>
          </w:tcPr>
          <w:p>
            <w:pPr>
              <w:widowControl/>
              <w:rPr>
                <w:rFonts w:hint="eastAsia" w:ascii="宋体" w:hAnsi="宋体" w:cs="宋体"/>
                <w:sz w:val="18"/>
                <w:szCs w:val="18"/>
              </w:rPr>
            </w:pPr>
            <w:r>
              <w:rPr>
                <w:rFonts w:hint="eastAsia" w:ascii="宋体" w:hAnsi="宋体" w:cs="宋体"/>
                <w:sz w:val="18"/>
                <w:szCs w:val="18"/>
              </w:rPr>
              <w:t>未建立咨询回访与总结制度的扣5分</w:t>
            </w:r>
          </w:p>
        </w:tc>
        <w:tc>
          <w:tcPr>
            <w:tcW w:w="1273" w:type="dxa"/>
            <w:gridSpan w:val="2"/>
            <w:vMerge w:val="restart"/>
            <w:vAlign w:val="center"/>
          </w:tcPr>
          <w:p>
            <w:pPr>
              <w:widowControl/>
              <w:jc w:val="center"/>
              <w:rPr>
                <w:rFonts w:hint="eastAsia" w:ascii="宋体" w:hAnsi="宋体" w:cs="宋体"/>
                <w:sz w:val="18"/>
                <w:szCs w:val="18"/>
              </w:rPr>
            </w:pPr>
          </w:p>
        </w:tc>
        <w:tc>
          <w:tcPr>
            <w:tcW w:w="1228" w:type="dxa"/>
            <w:vMerge w:val="restart"/>
            <w:vAlign w:val="center"/>
          </w:tcPr>
          <w:p>
            <w:pPr>
              <w:widowControl/>
              <w:jc w:val="center"/>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vMerge w:val="continue"/>
            <w:vAlign w:val="center"/>
          </w:tcPr>
          <w:p>
            <w:pPr>
              <w:widowControl/>
              <w:jc w:val="left"/>
              <w:rPr>
                <w:rFonts w:hint="eastAsia" w:ascii="宋体" w:hAnsi="宋体" w:cs="宋体"/>
                <w:sz w:val="18"/>
                <w:szCs w:val="18"/>
              </w:rPr>
            </w:pPr>
          </w:p>
        </w:tc>
        <w:tc>
          <w:tcPr>
            <w:tcW w:w="0" w:type="auto"/>
            <w:gridSpan w:val="3"/>
            <w:vMerge w:val="continue"/>
            <w:vAlign w:val="center"/>
          </w:tcPr>
          <w:p>
            <w:pPr>
              <w:widowControl/>
              <w:jc w:val="left"/>
              <w:rPr>
                <w:rFonts w:hint="eastAsia" w:ascii="宋体" w:hAnsi="宋体" w:cs="宋体"/>
                <w:sz w:val="18"/>
                <w:szCs w:val="18"/>
              </w:rPr>
            </w:pPr>
          </w:p>
        </w:tc>
        <w:tc>
          <w:tcPr>
            <w:tcW w:w="5497" w:type="dxa"/>
            <w:gridSpan w:val="5"/>
            <w:vAlign w:val="center"/>
          </w:tcPr>
          <w:p>
            <w:pPr>
              <w:widowControl/>
              <w:rPr>
                <w:rFonts w:hint="eastAsia" w:ascii="宋体" w:hAnsi="宋体" w:cs="宋体"/>
                <w:sz w:val="18"/>
                <w:szCs w:val="18"/>
              </w:rPr>
            </w:pPr>
            <w:r>
              <w:rPr>
                <w:rFonts w:hint="eastAsia" w:ascii="宋体" w:hAnsi="宋体" w:cs="宋体"/>
                <w:sz w:val="18"/>
                <w:szCs w:val="18"/>
              </w:rPr>
              <w:t>3000万以上项目没有总结，没有归纳分析咨询服务的优缺点和经验教训，没有将存在的问题纳入质量改进建议的，没有提出相应的解决措施与方法的扣2分</w:t>
            </w:r>
          </w:p>
        </w:tc>
        <w:tc>
          <w:tcPr>
            <w:tcW w:w="0" w:type="auto"/>
            <w:gridSpan w:val="2"/>
            <w:vMerge w:val="continue"/>
            <w:vAlign w:val="center"/>
          </w:tcPr>
          <w:p>
            <w:pPr>
              <w:widowControl/>
              <w:jc w:val="left"/>
              <w:rPr>
                <w:rFonts w:hint="eastAsia" w:ascii="宋体" w:hAnsi="宋体" w:cs="宋体"/>
                <w:sz w:val="18"/>
                <w:szCs w:val="18"/>
              </w:rPr>
            </w:pPr>
          </w:p>
        </w:tc>
        <w:tc>
          <w:tcPr>
            <w:tcW w:w="0" w:type="auto"/>
            <w:vMerge w:val="continue"/>
            <w:vAlign w:val="center"/>
          </w:tcPr>
          <w:p>
            <w:pPr>
              <w:widowControl/>
              <w:jc w:val="left"/>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vAlign w:val="center"/>
          </w:tcPr>
          <w:p>
            <w:pPr>
              <w:widowControl/>
              <w:jc w:val="center"/>
              <w:rPr>
                <w:rFonts w:hint="eastAsia" w:ascii="宋体" w:hAnsi="宋体" w:cs="宋体"/>
                <w:sz w:val="18"/>
                <w:szCs w:val="18"/>
              </w:rPr>
            </w:pPr>
            <w:r>
              <w:rPr>
                <w:rFonts w:hint="eastAsia" w:ascii="宋体" w:hAnsi="宋体" w:cs="宋体"/>
                <w:sz w:val="18"/>
                <w:szCs w:val="18"/>
              </w:rPr>
              <w:t>四</w:t>
            </w:r>
          </w:p>
        </w:tc>
        <w:tc>
          <w:tcPr>
            <w:tcW w:w="7436" w:type="dxa"/>
            <w:gridSpan w:val="8"/>
            <w:vAlign w:val="center"/>
          </w:tcPr>
          <w:p>
            <w:pPr>
              <w:widowControl/>
              <w:jc w:val="center"/>
              <w:rPr>
                <w:rFonts w:hint="eastAsia" w:ascii="宋体" w:hAnsi="宋体" w:cs="宋体"/>
                <w:sz w:val="18"/>
                <w:szCs w:val="18"/>
              </w:rPr>
            </w:pPr>
            <w:r>
              <w:rPr>
                <w:rFonts w:hint="eastAsia" w:ascii="宋体" w:hAnsi="宋体" w:cs="宋体"/>
                <w:sz w:val="18"/>
                <w:szCs w:val="18"/>
              </w:rPr>
              <w:t>执业质量控制制度建设（10分）</w:t>
            </w:r>
          </w:p>
        </w:tc>
        <w:tc>
          <w:tcPr>
            <w:tcW w:w="1273" w:type="dxa"/>
            <w:gridSpan w:val="2"/>
            <w:vAlign w:val="center"/>
          </w:tcPr>
          <w:p>
            <w:pPr>
              <w:widowControl/>
              <w:jc w:val="center"/>
              <w:rPr>
                <w:rFonts w:hint="eastAsia" w:ascii="宋体" w:hAnsi="宋体" w:cs="宋体"/>
                <w:sz w:val="18"/>
                <w:szCs w:val="18"/>
              </w:rPr>
            </w:pPr>
          </w:p>
        </w:tc>
        <w:tc>
          <w:tcPr>
            <w:tcW w:w="1228" w:type="dxa"/>
            <w:vAlign w:val="center"/>
          </w:tcPr>
          <w:p>
            <w:pPr>
              <w:widowControl/>
              <w:jc w:val="center"/>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5" w:hRule="atLeast"/>
          <w:tblCellSpacing w:w="0" w:type="dxa"/>
        </w:trPr>
        <w:tc>
          <w:tcPr>
            <w:tcW w:w="0" w:type="auto"/>
            <w:vMerge w:val="restart"/>
            <w:vAlign w:val="center"/>
          </w:tcPr>
          <w:p>
            <w:pPr>
              <w:widowControl/>
              <w:jc w:val="center"/>
              <w:rPr>
                <w:rFonts w:hint="eastAsia" w:ascii="宋体" w:hAnsi="宋体" w:cs="宋体"/>
                <w:sz w:val="18"/>
                <w:szCs w:val="18"/>
              </w:rPr>
            </w:pPr>
            <w:r>
              <w:rPr>
                <w:rFonts w:hint="eastAsia" w:ascii="宋体" w:hAnsi="宋体" w:cs="宋体"/>
                <w:sz w:val="18"/>
                <w:szCs w:val="18"/>
              </w:rPr>
              <w:t>1</w:t>
            </w:r>
          </w:p>
        </w:tc>
        <w:tc>
          <w:tcPr>
            <w:tcW w:w="0" w:type="auto"/>
            <w:gridSpan w:val="3"/>
            <w:vMerge w:val="restart"/>
            <w:vAlign w:val="center"/>
          </w:tcPr>
          <w:p>
            <w:pPr>
              <w:widowControl/>
              <w:jc w:val="center"/>
              <w:rPr>
                <w:rFonts w:hint="eastAsia" w:ascii="宋体" w:hAnsi="宋体" w:cs="宋体"/>
                <w:sz w:val="18"/>
                <w:szCs w:val="18"/>
              </w:rPr>
            </w:pPr>
            <w:r>
              <w:rPr>
                <w:rFonts w:hint="eastAsia" w:ascii="宋体" w:hAnsi="宋体" w:cs="宋体"/>
                <w:sz w:val="18"/>
                <w:szCs w:val="18"/>
              </w:rPr>
              <w:t>制度、机制建设</w:t>
            </w:r>
          </w:p>
          <w:p>
            <w:pPr>
              <w:widowControl/>
              <w:jc w:val="center"/>
              <w:rPr>
                <w:rFonts w:hint="eastAsia" w:ascii="宋体" w:hAnsi="宋体" w:cs="宋体"/>
                <w:sz w:val="18"/>
                <w:szCs w:val="18"/>
              </w:rPr>
            </w:pPr>
            <w:r>
              <w:rPr>
                <w:rFonts w:hint="eastAsia" w:ascii="宋体" w:hAnsi="宋体" w:cs="宋体"/>
                <w:sz w:val="18"/>
                <w:szCs w:val="18"/>
              </w:rPr>
              <w:t>（10分）</w:t>
            </w:r>
          </w:p>
        </w:tc>
        <w:tc>
          <w:tcPr>
            <w:tcW w:w="5497" w:type="dxa"/>
            <w:gridSpan w:val="5"/>
            <w:vAlign w:val="center"/>
          </w:tcPr>
          <w:p>
            <w:pPr>
              <w:widowControl/>
              <w:rPr>
                <w:rFonts w:hint="eastAsia" w:ascii="宋体" w:hAnsi="宋体" w:cs="宋体"/>
                <w:sz w:val="18"/>
                <w:szCs w:val="18"/>
              </w:rPr>
            </w:pPr>
            <w:r>
              <w:rPr>
                <w:rFonts w:hint="eastAsia" w:ascii="宋体" w:hAnsi="宋体" w:cs="宋体"/>
                <w:sz w:val="18"/>
                <w:szCs w:val="18"/>
              </w:rPr>
              <w:t>不能提供执业质量控制制度的扣10分</w:t>
            </w:r>
          </w:p>
        </w:tc>
        <w:tc>
          <w:tcPr>
            <w:tcW w:w="1273" w:type="dxa"/>
            <w:gridSpan w:val="2"/>
            <w:vMerge w:val="restart"/>
            <w:vAlign w:val="center"/>
          </w:tcPr>
          <w:p>
            <w:pPr>
              <w:widowControl/>
              <w:jc w:val="center"/>
              <w:rPr>
                <w:rFonts w:hint="eastAsia" w:ascii="宋体" w:hAnsi="宋体" w:cs="宋体"/>
                <w:sz w:val="18"/>
                <w:szCs w:val="18"/>
              </w:rPr>
            </w:pPr>
          </w:p>
        </w:tc>
        <w:tc>
          <w:tcPr>
            <w:tcW w:w="1228" w:type="dxa"/>
            <w:vMerge w:val="restart"/>
            <w:vAlign w:val="center"/>
          </w:tcPr>
          <w:p>
            <w:pPr>
              <w:widowControl/>
              <w:jc w:val="center"/>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blCellSpacing w:w="0" w:type="dxa"/>
        </w:trPr>
        <w:tc>
          <w:tcPr>
            <w:tcW w:w="0" w:type="auto"/>
            <w:vMerge w:val="continue"/>
            <w:vAlign w:val="center"/>
          </w:tcPr>
          <w:p>
            <w:pPr>
              <w:widowControl/>
              <w:jc w:val="center"/>
              <w:rPr>
                <w:rFonts w:hint="eastAsia" w:ascii="宋体" w:hAnsi="宋体" w:cs="宋体"/>
                <w:sz w:val="18"/>
                <w:szCs w:val="18"/>
              </w:rPr>
            </w:pPr>
          </w:p>
        </w:tc>
        <w:tc>
          <w:tcPr>
            <w:tcW w:w="0" w:type="auto"/>
            <w:gridSpan w:val="3"/>
            <w:vMerge w:val="continue"/>
            <w:vAlign w:val="center"/>
          </w:tcPr>
          <w:p>
            <w:pPr>
              <w:widowControl/>
              <w:jc w:val="center"/>
              <w:rPr>
                <w:rFonts w:hint="eastAsia" w:ascii="宋体" w:hAnsi="宋体" w:cs="宋体"/>
                <w:sz w:val="18"/>
                <w:szCs w:val="18"/>
              </w:rPr>
            </w:pPr>
          </w:p>
        </w:tc>
        <w:tc>
          <w:tcPr>
            <w:tcW w:w="5497" w:type="dxa"/>
            <w:gridSpan w:val="5"/>
            <w:vAlign w:val="center"/>
          </w:tcPr>
          <w:p>
            <w:pPr>
              <w:rPr>
                <w:rFonts w:hint="eastAsia" w:ascii="宋体" w:hAnsi="宋体" w:cs="宋体"/>
                <w:sz w:val="18"/>
                <w:szCs w:val="18"/>
              </w:rPr>
            </w:pPr>
            <w:r>
              <w:rPr>
                <w:rFonts w:hint="eastAsia" w:ascii="宋体" w:hAnsi="宋体" w:cs="宋体"/>
                <w:sz w:val="18"/>
                <w:szCs w:val="18"/>
              </w:rPr>
              <w:t>制度内容空泛、没有执业质量控制流程的扣2分</w:t>
            </w:r>
          </w:p>
        </w:tc>
        <w:tc>
          <w:tcPr>
            <w:tcW w:w="1273" w:type="dxa"/>
            <w:gridSpan w:val="2"/>
            <w:vMerge w:val="continue"/>
            <w:vAlign w:val="center"/>
          </w:tcPr>
          <w:p>
            <w:pPr>
              <w:widowControl/>
              <w:jc w:val="center"/>
              <w:rPr>
                <w:rFonts w:hint="eastAsia" w:ascii="宋体" w:hAnsi="宋体" w:cs="宋体"/>
                <w:sz w:val="18"/>
                <w:szCs w:val="18"/>
              </w:rPr>
            </w:pPr>
          </w:p>
        </w:tc>
        <w:tc>
          <w:tcPr>
            <w:tcW w:w="1228" w:type="dxa"/>
            <w:vMerge w:val="continue"/>
            <w:vAlign w:val="center"/>
          </w:tcPr>
          <w:p>
            <w:pPr>
              <w:widowControl/>
              <w:jc w:val="center"/>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8" w:hRule="atLeast"/>
          <w:tblCellSpacing w:w="0" w:type="dxa"/>
        </w:trPr>
        <w:tc>
          <w:tcPr>
            <w:tcW w:w="8314" w:type="dxa"/>
            <w:gridSpan w:val="9"/>
            <w:vAlign w:val="center"/>
          </w:tcPr>
          <w:p>
            <w:pPr>
              <w:jc w:val="center"/>
              <w:rPr>
                <w:rFonts w:hint="eastAsia" w:ascii="宋体" w:hAnsi="宋体" w:cs="宋体"/>
                <w:sz w:val="18"/>
                <w:szCs w:val="18"/>
              </w:rPr>
            </w:pPr>
            <w:r>
              <w:rPr>
                <w:rFonts w:hint="eastAsia" w:ascii="宋体" w:hAnsi="宋体" w:cs="宋体"/>
                <w:sz w:val="18"/>
                <w:szCs w:val="18"/>
              </w:rPr>
              <w:t>扣分合计</w:t>
            </w:r>
          </w:p>
        </w:tc>
        <w:tc>
          <w:tcPr>
            <w:tcW w:w="1273" w:type="dxa"/>
            <w:gridSpan w:val="2"/>
            <w:vAlign w:val="center"/>
          </w:tcPr>
          <w:p>
            <w:pPr>
              <w:widowControl/>
              <w:jc w:val="center"/>
              <w:rPr>
                <w:rFonts w:hint="eastAsia" w:ascii="宋体" w:hAnsi="宋体" w:cs="宋体"/>
                <w:sz w:val="18"/>
                <w:szCs w:val="18"/>
              </w:rPr>
            </w:pPr>
          </w:p>
        </w:tc>
        <w:tc>
          <w:tcPr>
            <w:tcW w:w="1228" w:type="dxa"/>
            <w:vAlign w:val="center"/>
          </w:tcPr>
          <w:p>
            <w:pPr>
              <w:widowControl/>
              <w:jc w:val="center"/>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8" w:hRule="atLeast"/>
          <w:tblCellSpacing w:w="0" w:type="dxa"/>
        </w:trPr>
        <w:tc>
          <w:tcPr>
            <w:tcW w:w="8314" w:type="dxa"/>
            <w:gridSpan w:val="9"/>
            <w:vAlign w:val="center"/>
          </w:tcPr>
          <w:p>
            <w:pPr>
              <w:jc w:val="center"/>
              <w:rPr>
                <w:rFonts w:hint="eastAsia" w:ascii="宋体" w:hAnsi="宋体" w:cs="宋体"/>
                <w:sz w:val="18"/>
                <w:szCs w:val="18"/>
              </w:rPr>
            </w:pPr>
            <w:r>
              <w:rPr>
                <w:rFonts w:hint="eastAsia" w:ascii="宋体" w:hAnsi="宋体" w:cs="宋体"/>
                <w:sz w:val="18"/>
                <w:szCs w:val="18"/>
              </w:rPr>
              <w:t>得分总计</w:t>
            </w:r>
          </w:p>
        </w:tc>
        <w:tc>
          <w:tcPr>
            <w:tcW w:w="1273" w:type="dxa"/>
            <w:gridSpan w:val="2"/>
            <w:vAlign w:val="center"/>
          </w:tcPr>
          <w:p>
            <w:pPr>
              <w:widowControl/>
              <w:jc w:val="center"/>
              <w:rPr>
                <w:rFonts w:hint="eastAsia" w:ascii="宋体" w:hAnsi="宋体" w:cs="宋体"/>
                <w:sz w:val="18"/>
                <w:szCs w:val="18"/>
              </w:rPr>
            </w:pPr>
          </w:p>
        </w:tc>
        <w:tc>
          <w:tcPr>
            <w:tcW w:w="1228" w:type="dxa"/>
            <w:vAlign w:val="center"/>
          </w:tcPr>
          <w:p>
            <w:pPr>
              <w:widowControl/>
              <w:jc w:val="center"/>
              <w:rPr>
                <w:rFonts w:hint="eastAsia" w:ascii="宋体" w:hAnsi="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0815" w:type="dxa"/>
            <w:gridSpan w:val="12"/>
            <w:tcBorders>
              <w:bottom w:val="nil"/>
            </w:tcBorders>
            <w:vAlign w:val="center"/>
          </w:tcPr>
          <w:p>
            <w:pPr>
              <w:widowControl/>
              <w:jc w:val="center"/>
              <w:rPr>
                <w:rFonts w:hint="eastAsia" w:ascii="宋体" w:hAnsi="宋体" w:cs="宋体"/>
                <w:b/>
                <w:sz w:val="18"/>
                <w:szCs w:val="18"/>
              </w:rPr>
            </w:pPr>
            <w:r>
              <w:rPr>
                <w:rFonts w:hint="eastAsia" w:ascii="宋体" w:hAnsi="宋体" w:cs="宋体"/>
                <w:b/>
                <w:sz w:val="18"/>
                <w:szCs w:val="18"/>
              </w:rPr>
              <w:t>是否有《工程造价企业管理办法》第二十五条和《注册造价工程师管理办法》第二十条所列行为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0" w:hRule="atLeast"/>
          <w:tblCellSpacing w:w="0" w:type="dxa"/>
        </w:trPr>
        <w:tc>
          <w:tcPr>
            <w:tcW w:w="10815" w:type="dxa"/>
            <w:gridSpan w:val="12"/>
            <w:tcBorders>
              <w:bottom w:val="nil"/>
            </w:tcBorders>
          </w:tcPr>
          <w:tbl>
            <w:tblPr>
              <w:tblStyle w:val="2"/>
              <w:tblW w:w="10785"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07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63" w:hRule="atLeast"/>
                <w:tblCellSpacing w:w="0" w:type="dxa"/>
              </w:trPr>
              <w:tc>
                <w:tcPr>
                  <w:tcW w:w="10785" w:type="dxa"/>
                  <w:tcBorders>
                    <w:top w:val="nil"/>
                    <w:left w:val="nil"/>
                    <w:bottom w:val="outset" w:color="auto" w:sz="6" w:space="0"/>
                    <w:right w:val="nil"/>
                  </w:tcBorders>
                  <w:vAlign w:val="center"/>
                </w:tcPr>
                <w:tbl>
                  <w:tblPr>
                    <w:tblStyle w:val="2"/>
                    <w:tblW w:w="0" w:type="auto"/>
                    <w:tblCellSpacing w:w="20" w:type="dxa"/>
                    <w:tblInd w:w="13" w:type="dxa"/>
                    <w:tblBorders>
                      <w:top w:val="outset" w:color="auto" w:sz="6" w:space="0"/>
                      <w:left w:val="outset" w:color="auto" w:sz="6" w:space="0"/>
                      <w:bottom w:val="outset" w:color="auto" w:sz="6" w:space="0"/>
                      <w:right w:val="none" w:color="auto" w:sz="0" w:space="0"/>
                      <w:insideH w:val="outset" w:color="auto" w:sz="6" w:space="0"/>
                      <w:insideV w:val="outset" w:color="auto" w:sz="6" w:space="0"/>
                    </w:tblBorders>
                    <w:tblLayout w:type="autofit"/>
                    <w:tblCellMar>
                      <w:top w:w="0" w:type="dxa"/>
                      <w:left w:w="108" w:type="dxa"/>
                      <w:bottom w:w="0" w:type="dxa"/>
                      <w:right w:w="108" w:type="dxa"/>
                    </w:tblCellMar>
                  </w:tblPr>
                  <w:tblGrid>
                    <w:gridCol w:w="10749"/>
                  </w:tblGrid>
                  <w:tr>
                    <w:tblPrEx>
                      <w:tblBorders>
                        <w:top w:val="outset" w:color="auto" w:sz="6" w:space="0"/>
                        <w:left w:val="outset" w:color="auto" w:sz="6" w:space="0"/>
                        <w:bottom w:val="outset" w:color="auto" w:sz="6"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1545" w:hRule="atLeast"/>
                      <w:tblCellSpacing w:w="20" w:type="dxa"/>
                    </w:trPr>
                    <w:tc>
                      <w:tcPr>
                        <w:tcW w:w="10669" w:type="dxa"/>
                        <w:tcBorders>
                          <w:top w:val="nil"/>
                          <w:left w:val="nil"/>
                          <w:bottom w:val="nil"/>
                        </w:tcBorders>
                      </w:tcPr>
                      <w:p>
                        <w:pPr>
                          <w:jc w:val="center"/>
                          <w:rPr>
                            <w:rFonts w:hint="eastAsia" w:ascii="宋体" w:hAnsi="宋体" w:cs="宋体"/>
                            <w:b/>
                            <w:bCs/>
                            <w:sz w:val="18"/>
                            <w:szCs w:val="18"/>
                          </w:rPr>
                        </w:pPr>
                      </w:p>
                    </w:tc>
                  </w:tr>
                  <w:tr>
                    <w:tblPrEx>
                      <w:tblBorders>
                        <w:top w:val="outset" w:color="auto" w:sz="6" w:space="0"/>
                        <w:left w:val="outset" w:color="auto" w:sz="6" w:space="0"/>
                        <w:bottom w:val="outset" w:color="auto" w:sz="6" w:space="0"/>
                        <w:right w:val="none" w:color="auto" w:sz="0" w:space="0"/>
                        <w:insideH w:val="outset" w:color="auto" w:sz="6" w:space="0"/>
                        <w:insideV w:val="outset" w:color="auto" w:sz="6" w:space="0"/>
                      </w:tblBorders>
                      <w:tblCellMar>
                        <w:top w:w="0" w:type="dxa"/>
                        <w:left w:w="108" w:type="dxa"/>
                        <w:bottom w:w="0" w:type="dxa"/>
                        <w:right w:w="108" w:type="dxa"/>
                      </w:tblCellMar>
                    </w:tblPrEx>
                    <w:trPr>
                      <w:tblCellSpacing w:w="20" w:type="dxa"/>
                    </w:trPr>
                    <w:tc>
                      <w:tcPr>
                        <w:tcW w:w="10669" w:type="dxa"/>
                        <w:tcBorders>
                          <w:left w:val="nil"/>
                          <w:bottom w:val="nil"/>
                        </w:tcBorders>
                      </w:tcPr>
                      <w:p>
                        <w:pPr>
                          <w:jc w:val="center"/>
                          <w:rPr>
                            <w:rFonts w:ascii="宋体" w:hAnsi="宋体" w:cs="宋体"/>
                            <w:b/>
                            <w:sz w:val="18"/>
                            <w:szCs w:val="18"/>
                          </w:rPr>
                        </w:pPr>
                        <w:r>
                          <w:rPr>
                            <w:rFonts w:hint="eastAsia" w:ascii="宋体" w:hAnsi="宋体" w:cs="宋体"/>
                            <w:b/>
                            <w:bCs/>
                            <w:sz w:val="18"/>
                            <w:szCs w:val="18"/>
                          </w:rPr>
                          <w:t>检查结论</w:t>
                        </w:r>
                      </w:p>
                    </w:tc>
                  </w:tr>
                </w:tbl>
                <w:p>
                  <w:pPr>
                    <w:jc w:val="center"/>
                    <w:rPr>
                      <w:rFonts w:ascii="宋体" w:hAnsi="宋体" w:cs="宋体"/>
                      <w:b/>
                      <w:bCs/>
                      <w:sz w:val="18"/>
                      <w:szCs w:val="18"/>
                    </w:rPr>
                  </w:pPr>
                </w:p>
                <w:p>
                  <w:pPr>
                    <w:widowControl/>
                    <w:rPr>
                      <w:rFonts w:ascii="宋体" w:hAnsi="宋体" w:cs="宋体"/>
                      <w:sz w:val="18"/>
                      <w:szCs w:val="18"/>
                    </w:rPr>
                  </w:pPr>
                  <w:r>
                    <w:rPr>
                      <w:rFonts w:ascii="宋体" w:hAnsi="宋体" w:cs="宋体"/>
                      <w:sz w:val="18"/>
                      <w:szCs w:val="18"/>
                    </w:rPr>
                    <w:t>□ </w:t>
                  </w:r>
                  <w:r>
                    <w:rPr>
                      <w:rFonts w:hint="eastAsia" w:ascii="宋体" w:hAnsi="宋体" w:cs="宋体"/>
                      <w:sz w:val="18"/>
                      <w:szCs w:val="18"/>
                    </w:rPr>
                    <w:t xml:space="preserve"> 合格</w:t>
                  </w:r>
                </w:p>
                <w:p>
                  <w:pPr>
                    <w:widowControl/>
                    <w:rPr>
                      <w:rFonts w:ascii="宋体" w:hAnsi="宋体" w:cs="宋体"/>
                      <w:sz w:val="18"/>
                      <w:szCs w:val="18"/>
                    </w:rPr>
                  </w:pPr>
                  <w:r>
                    <w:rPr>
                      <w:rFonts w:ascii="宋体" w:hAnsi="宋体" w:cs="宋体"/>
                      <w:sz w:val="18"/>
                      <w:szCs w:val="18"/>
                    </w:rPr>
                    <w:t>□ </w:t>
                  </w:r>
                  <w:r>
                    <w:rPr>
                      <w:rFonts w:hint="eastAsia" w:ascii="宋体" w:hAnsi="宋体" w:cs="宋体"/>
                      <w:sz w:val="18"/>
                      <w:szCs w:val="18"/>
                    </w:rPr>
                    <w:t>不合格</w:t>
                  </w:r>
                </w:p>
                <w:p>
                  <w:pPr>
                    <w:rPr>
                      <w:rFonts w:ascii="宋体" w:hAnsi="宋体" w:cs="宋体"/>
                      <w:sz w:val="18"/>
                      <w:szCs w:val="18"/>
                    </w:rPr>
                  </w:pPr>
                </w:p>
              </w:tc>
            </w:tr>
          </w:tbl>
          <w:p>
            <w:pPr>
              <w:widowControl/>
              <w:jc w:val="center"/>
              <w:rPr>
                <w:rFonts w:ascii="宋体" w:hAnsi="宋体" w:cs="宋体"/>
                <w:b/>
                <w:sz w:val="18"/>
                <w:szCs w:val="18"/>
              </w:rPr>
            </w:pPr>
            <w:r>
              <w:rPr>
                <w:rFonts w:hint="eastAsia" w:ascii="宋体" w:hAnsi="宋体" w:cs="宋体"/>
                <w:b/>
                <w:sz w:val="18"/>
                <w:szCs w:val="18"/>
              </w:rPr>
              <w:t>其他需要说明的问题</w:t>
            </w:r>
          </w:p>
          <w:p>
            <w:pPr>
              <w:widowControl/>
              <w:rPr>
                <w:rFonts w:ascii="宋体" w:hAnsi="宋体" w:cs="宋体"/>
                <w:sz w:val="18"/>
                <w:szCs w:val="18"/>
              </w:rPr>
            </w:pPr>
          </w:p>
          <w:p>
            <w:pPr>
              <w:widowControl/>
              <w:rPr>
                <w:rFonts w:ascii="宋体" w:hAnsi="宋体" w:cs="宋体"/>
                <w:sz w:val="18"/>
                <w:szCs w:val="18"/>
              </w:rPr>
            </w:pPr>
          </w:p>
          <w:p>
            <w:pPr>
              <w:widowControl/>
              <w:rPr>
                <w:rFonts w:ascii="宋体" w:hAnsi="宋体" w:cs="宋体"/>
                <w:sz w:val="18"/>
                <w:szCs w:val="18"/>
              </w:rPr>
            </w:pPr>
          </w:p>
          <w:p>
            <w:pPr>
              <w:widowControl/>
              <w:rPr>
                <w:rFonts w:ascii="宋体" w:hAnsi="宋体" w:cs="宋体"/>
                <w:sz w:val="18"/>
                <w:szCs w:val="18"/>
              </w:rPr>
            </w:pPr>
          </w:p>
          <w:p>
            <w:pPr>
              <w:widowControl/>
              <w:rPr>
                <w:rFonts w:ascii="宋体" w:hAnsi="宋体" w:cs="宋体"/>
                <w:sz w:val="18"/>
                <w:szCs w:val="18"/>
              </w:rPr>
            </w:pPr>
          </w:p>
          <w:p>
            <w:pPr>
              <w:widowControl/>
              <w:rPr>
                <w:rFonts w:ascii="宋体" w:hAnsi="宋体" w:cs="宋体"/>
                <w:sz w:val="18"/>
                <w:szCs w:val="18"/>
              </w:rPr>
            </w:pPr>
          </w:p>
          <w:p>
            <w:pPr>
              <w:widowControl/>
              <w:rPr>
                <w:rFonts w:ascii="宋体" w:hAnsi="宋体" w:cs="宋体"/>
                <w:sz w:val="18"/>
                <w:szCs w:val="18"/>
              </w:rPr>
            </w:pPr>
          </w:p>
          <w:p>
            <w:pPr>
              <w:widowControl/>
              <w:rPr>
                <w:rFonts w:ascii="宋体" w:hAnsi="宋体" w:cs="宋体"/>
                <w:sz w:val="18"/>
                <w:szCs w:val="18"/>
              </w:rPr>
            </w:pPr>
          </w:p>
          <w:p>
            <w:pPr>
              <w:widowControl/>
              <w:rPr>
                <w:rFonts w:ascii="宋体" w:hAnsi="宋体" w:cs="宋体"/>
                <w:sz w:val="18"/>
                <w:szCs w:val="18"/>
              </w:rPr>
            </w:pPr>
          </w:p>
          <w:p>
            <w:pPr>
              <w:widowControl/>
              <w:rPr>
                <w:rFonts w:ascii="宋体" w:hAnsi="宋体" w:cs="宋体"/>
                <w:sz w:val="18"/>
                <w:szCs w:val="18"/>
              </w:rPr>
            </w:pPr>
          </w:p>
          <w:p>
            <w:pPr>
              <w:widowControl/>
              <w:rPr>
                <w:rFonts w:ascii="宋体" w:hAnsi="宋体" w:cs="宋体"/>
                <w:sz w:val="18"/>
                <w:szCs w:val="18"/>
              </w:rPr>
            </w:pPr>
          </w:p>
          <w:p>
            <w:pPr>
              <w:widowControl/>
              <w:rPr>
                <w:rFonts w:ascii="宋体" w:hAnsi="宋体" w:cs="宋体"/>
                <w:sz w:val="18"/>
                <w:szCs w:val="18"/>
              </w:rPr>
            </w:pPr>
            <w:r>
              <w:rPr>
                <w:rFonts w:hint="eastAsia" w:ascii="宋体" w:hAnsi="宋体" w:cs="宋体"/>
                <w:sz w:val="18"/>
                <w:szCs w:val="18"/>
              </w:rPr>
              <w:t>检查人员（签字）：</w:t>
            </w:r>
            <w:r>
              <w:rPr>
                <w:rFonts w:ascii="宋体" w:hAnsi="宋体" w:cs="宋体"/>
                <w:sz w:val="18"/>
                <w:szCs w:val="18"/>
              </w:rPr>
              <w:t xml:space="preserve">                                       </w:t>
            </w:r>
            <w:r>
              <w:rPr>
                <w:rFonts w:hint="eastAsia" w:ascii="宋体" w:hAnsi="宋体" w:cs="宋体"/>
                <w:sz w:val="18"/>
                <w:szCs w:val="18"/>
              </w:rPr>
              <w:t>企业代表人（签字）：</w:t>
            </w:r>
          </w:p>
          <w:p>
            <w:pPr>
              <w:widowControl/>
              <w:rPr>
                <w:rFonts w:ascii="宋体" w:hAnsi="宋体" w:cs="宋体"/>
                <w:sz w:val="18"/>
                <w:szCs w:val="18"/>
              </w:rPr>
            </w:pPr>
          </w:p>
          <w:p>
            <w:pPr>
              <w:widowControl/>
              <w:rPr>
                <w:rFonts w:ascii="宋体" w:hAnsi="宋体" w:cs="宋体"/>
                <w:sz w:val="18"/>
                <w:szCs w:val="18"/>
              </w:rPr>
            </w:pPr>
          </w:p>
          <w:p>
            <w:pPr>
              <w:widowControl/>
              <w:rPr>
                <w:rFonts w:ascii="宋体" w:hAnsi="宋体" w:cs="宋体"/>
                <w:sz w:val="18"/>
                <w:szCs w:val="18"/>
              </w:rPr>
            </w:pPr>
          </w:p>
          <w:p>
            <w:pPr>
              <w:ind w:firstLine="8010" w:firstLineChars="4450"/>
              <w:rPr>
                <w:rFonts w:ascii="宋体" w:hAnsi="宋体" w:cs="宋体"/>
                <w:sz w:val="18"/>
                <w:szCs w:val="18"/>
              </w:rPr>
            </w:pP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tc>
      </w:tr>
    </w:tbl>
    <w:p>
      <w:pPr>
        <w:rPr>
          <w:rFonts w:ascii="宋体" w:hAnsi="宋体"/>
          <w:sz w:val="18"/>
          <w:szCs w:val="18"/>
        </w:rPr>
      </w:pPr>
    </w:p>
    <w:p>
      <w:pPr>
        <w:rPr>
          <w:rFonts w:ascii="宋体" w:hAnsi="宋体"/>
          <w:sz w:val="18"/>
          <w:szCs w:val="18"/>
        </w:rPr>
      </w:pPr>
    </w:p>
    <w:p>
      <w:pPr>
        <w:rPr>
          <w:rFonts w:ascii="宋体" w:hAnsi="宋体"/>
          <w:sz w:val="18"/>
          <w:szCs w:val="18"/>
        </w:rPr>
      </w:pPr>
    </w:p>
    <w:p>
      <w:pPr>
        <w:ind w:left="810" w:hanging="810" w:hangingChars="450"/>
        <w:rPr>
          <w:rFonts w:ascii="宋体" w:hAnsi="宋体" w:cs="宋体"/>
          <w:bCs/>
          <w:sz w:val="18"/>
          <w:szCs w:val="18"/>
        </w:rPr>
      </w:pPr>
      <w:r>
        <w:rPr>
          <w:rFonts w:hint="eastAsia" w:ascii="宋体" w:hAnsi="宋体"/>
          <w:sz w:val="18"/>
          <w:szCs w:val="18"/>
        </w:rPr>
        <w:t xml:space="preserve">说明：   </w:t>
      </w:r>
      <w:r>
        <w:rPr>
          <w:rFonts w:hint="eastAsia" w:ascii="宋体" w:hAnsi="宋体" w:cs="宋体"/>
          <w:bCs/>
          <w:sz w:val="18"/>
          <w:szCs w:val="18"/>
        </w:rPr>
        <w:t>执业质量情况分值共100分。各阶段内容的扣分如超过该阶段分值，即不再扣分。执业质量情况得分按随机抽取的二个项目中，最低得分项目的得分确定。</w:t>
      </w:r>
    </w:p>
    <w:p>
      <w:pPr>
        <w:widowControl/>
        <w:rPr>
          <w:rFonts w:hint="eastAsia" w:ascii="ˎ̥" w:hAnsi="ˎ̥" w:cs="宋体"/>
          <w:sz w:val="18"/>
          <w:szCs w:val="18"/>
        </w:rPr>
      </w:pPr>
      <w:bookmarkStart w:id="0" w:name="_GoBack"/>
      <w:bookmarkEnd w:id="0"/>
      <w:r>
        <w:rPr>
          <w:rFonts w:hint="eastAsia" w:ascii="ˎ̥" w:hAnsi="ˎ̥" w:cs="宋体"/>
          <w:sz w:val="18"/>
          <w:szCs w:val="18"/>
        </w:rPr>
        <w:t>附件2：</w:t>
      </w:r>
    </w:p>
    <w:p>
      <w:pPr>
        <w:widowControl/>
        <w:jc w:val="center"/>
        <w:rPr>
          <w:rFonts w:hint="eastAsia" w:ascii="ˎ̥" w:hAnsi="ˎ̥" w:cs="宋体"/>
          <w:b/>
          <w:bCs/>
          <w:sz w:val="36"/>
          <w:szCs w:val="36"/>
        </w:rPr>
      </w:pPr>
      <w:r>
        <w:rPr>
          <w:rFonts w:hint="eastAsia" w:ascii="ˎ̥" w:hAnsi="ˎ̥" w:cs="宋体"/>
          <w:b/>
          <w:bCs/>
          <w:sz w:val="36"/>
          <w:szCs w:val="36"/>
        </w:rPr>
        <w:t>工程造价咨询企业自查自纠登记表</w:t>
      </w:r>
    </w:p>
    <w:p>
      <w:pPr>
        <w:widowControl/>
        <w:jc w:val="center"/>
        <w:rPr>
          <w:rFonts w:ascii="ˎ̥" w:hAnsi="ˎ̥" w:cs="宋体"/>
          <w:b/>
          <w:bCs/>
        </w:rPr>
      </w:pPr>
    </w:p>
    <w:p>
      <w:pPr>
        <w:widowControl/>
        <w:jc w:val="center"/>
        <w:rPr>
          <w:rFonts w:ascii="ˎ̥" w:hAnsi="ˎ̥" w:cs="宋体"/>
          <w:b/>
          <w:bCs/>
          <w:sz w:val="18"/>
          <w:szCs w:val="18"/>
        </w:rPr>
      </w:pPr>
    </w:p>
    <w:tbl>
      <w:tblPr>
        <w:tblStyle w:val="2"/>
        <w:tblW w:w="10021" w:type="dxa"/>
        <w:tblCellSpacing w:w="0" w:type="dxa"/>
        <w:tblInd w:w="-34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9"/>
        <w:gridCol w:w="900"/>
        <w:gridCol w:w="3273"/>
        <w:gridCol w:w="13"/>
        <w:gridCol w:w="722"/>
        <w:gridCol w:w="944"/>
        <w:gridCol w:w="1119"/>
        <w:gridCol w:w="221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21" w:type="dxa"/>
            <w:gridSpan w:val="8"/>
            <w:tcBorders>
              <w:top w:val="outset" w:color="auto" w:sz="6" w:space="0"/>
              <w:left w:val="outset" w:color="auto" w:sz="6" w:space="0"/>
              <w:bottom w:val="outset" w:color="auto" w:sz="6" w:space="0"/>
              <w:right w:val="outset" w:color="auto" w:sz="6" w:space="0"/>
            </w:tcBorders>
            <w:vAlign w:val="center"/>
          </w:tcPr>
          <w:p>
            <w:pPr>
              <w:widowControl/>
              <w:jc w:val="center"/>
              <w:rPr>
                <w:rFonts w:ascii="ˎ̥" w:hAnsi="ˎ̥" w:cs="宋体"/>
                <w:sz w:val="18"/>
                <w:szCs w:val="18"/>
              </w:rPr>
            </w:pPr>
            <w:r>
              <w:rPr>
                <w:rFonts w:hint="eastAsia" w:ascii="ˎ̥" w:hAnsi="ˎ̥" w:cs="宋体"/>
                <w:b/>
                <w:bCs/>
                <w:sz w:val="18"/>
                <w:szCs w:val="18"/>
              </w:rPr>
              <w:t>企业基本信息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739"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ˎ̥" w:hAnsi="ˎ̥" w:cs="宋体"/>
                <w:sz w:val="18"/>
                <w:szCs w:val="18"/>
              </w:rPr>
            </w:pPr>
            <w:r>
              <w:rPr>
                <w:rFonts w:hint="eastAsia" w:ascii="ˎ̥" w:hAnsi="ˎ̥" w:cs="宋体"/>
                <w:sz w:val="18"/>
                <w:szCs w:val="18"/>
              </w:rPr>
              <w:t>企业名称</w:t>
            </w:r>
          </w:p>
        </w:tc>
        <w:tc>
          <w:tcPr>
            <w:tcW w:w="8282" w:type="dxa"/>
            <w:gridSpan w:val="6"/>
            <w:tcBorders>
              <w:top w:val="outset" w:color="auto" w:sz="6" w:space="0"/>
              <w:left w:val="outset" w:color="auto" w:sz="6" w:space="0"/>
              <w:bottom w:val="outset" w:color="auto" w:sz="6" w:space="0"/>
              <w:right w:val="outset" w:color="auto" w:sz="6" w:space="0"/>
            </w:tcBorders>
            <w:vAlign w:val="center"/>
          </w:tcPr>
          <w:p>
            <w:pPr>
              <w:widowControl/>
              <w:jc w:val="center"/>
              <w:rPr>
                <w:rFonts w:ascii="ˎ̥" w:hAnsi="ˎ̥" w:cs="宋体"/>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739"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ˎ̥" w:hAnsi="ˎ̥" w:cs="宋体"/>
                <w:sz w:val="18"/>
                <w:szCs w:val="18"/>
              </w:rPr>
            </w:pPr>
            <w:r>
              <w:rPr>
                <w:rFonts w:hint="eastAsia" w:ascii="ˎ̥" w:hAnsi="ˎ̥" w:cs="宋体"/>
                <w:sz w:val="18"/>
                <w:szCs w:val="18"/>
              </w:rPr>
              <w:t>详细地址</w:t>
            </w:r>
          </w:p>
        </w:tc>
        <w:tc>
          <w:tcPr>
            <w:tcW w:w="4952"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ˎ̥" w:hAnsi="ˎ̥" w:cs="宋体"/>
                <w:sz w:val="18"/>
                <w:szCs w:val="18"/>
              </w:rPr>
            </w:pPr>
          </w:p>
        </w:tc>
        <w:tc>
          <w:tcPr>
            <w:tcW w:w="111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ˎ̥" w:hAnsi="ˎ̥" w:cs="宋体"/>
                <w:sz w:val="18"/>
                <w:szCs w:val="18"/>
              </w:rPr>
            </w:pPr>
            <w:r>
              <w:rPr>
                <w:rFonts w:hint="eastAsia" w:ascii="ˎ̥" w:hAnsi="ˎ̥" w:cs="宋体"/>
                <w:sz w:val="18"/>
                <w:szCs w:val="18"/>
              </w:rPr>
              <w:t>邮政编码</w:t>
            </w:r>
          </w:p>
        </w:tc>
        <w:tc>
          <w:tcPr>
            <w:tcW w:w="221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ˎ̥" w:hAnsi="ˎ̥" w:cs="宋体"/>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739"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ˎ̥" w:hAnsi="ˎ̥" w:cs="宋体"/>
                <w:sz w:val="18"/>
                <w:szCs w:val="18"/>
              </w:rPr>
            </w:pPr>
            <w:r>
              <w:rPr>
                <w:rFonts w:hint="eastAsia" w:ascii="ˎ̥" w:hAnsi="ˎ̥" w:cs="宋体"/>
                <w:sz w:val="18"/>
                <w:szCs w:val="18"/>
              </w:rPr>
              <w:t>资质等级及</w:t>
            </w:r>
          </w:p>
          <w:p>
            <w:pPr>
              <w:widowControl/>
              <w:jc w:val="center"/>
              <w:rPr>
                <w:rFonts w:ascii="ˎ̥" w:hAnsi="ˎ̥" w:cs="宋体"/>
                <w:sz w:val="18"/>
                <w:szCs w:val="18"/>
              </w:rPr>
            </w:pPr>
            <w:r>
              <w:rPr>
                <w:rFonts w:hint="eastAsia" w:ascii="ˎ̥" w:hAnsi="ˎ̥" w:cs="宋体"/>
                <w:sz w:val="18"/>
                <w:szCs w:val="18"/>
              </w:rPr>
              <w:t>证书编号</w:t>
            </w:r>
          </w:p>
        </w:tc>
        <w:tc>
          <w:tcPr>
            <w:tcW w:w="4952"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ˎ̥" w:hAnsi="ˎ̥" w:cs="宋体"/>
                <w:sz w:val="18"/>
                <w:szCs w:val="18"/>
              </w:rPr>
            </w:pPr>
          </w:p>
        </w:tc>
        <w:tc>
          <w:tcPr>
            <w:tcW w:w="111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ˎ̥" w:hAnsi="ˎ̥" w:cs="宋体"/>
                <w:sz w:val="18"/>
                <w:szCs w:val="18"/>
              </w:rPr>
            </w:pPr>
            <w:r>
              <w:rPr>
                <w:rFonts w:hint="eastAsia" w:ascii="ˎ̥" w:hAnsi="ˎ̥" w:cs="宋体"/>
                <w:sz w:val="18"/>
                <w:szCs w:val="18"/>
              </w:rPr>
              <w:t>核准时间</w:t>
            </w:r>
          </w:p>
        </w:tc>
        <w:tc>
          <w:tcPr>
            <w:tcW w:w="221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ˎ̥" w:hAnsi="ˎ̥" w:cs="宋体"/>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739"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ˎ̥" w:hAnsi="ˎ̥" w:cs="宋体"/>
                <w:sz w:val="18"/>
                <w:szCs w:val="18"/>
              </w:rPr>
            </w:pPr>
            <w:r>
              <w:rPr>
                <w:rFonts w:hint="eastAsia" w:ascii="ˎ̥" w:hAnsi="ˎ̥" w:cs="宋体"/>
                <w:sz w:val="18"/>
                <w:szCs w:val="18"/>
              </w:rPr>
              <w:t>法定代表人</w:t>
            </w:r>
          </w:p>
        </w:tc>
        <w:tc>
          <w:tcPr>
            <w:tcW w:w="327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ˎ̥" w:hAnsi="ˎ̥" w:cs="宋体"/>
                <w:sz w:val="18"/>
                <w:szCs w:val="18"/>
              </w:rPr>
            </w:pPr>
          </w:p>
        </w:tc>
        <w:tc>
          <w:tcPr>
            <w:tcW w:w="1679"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ˎ̥" w:hAnsi="ˎ̥" w:cs="宋体"/>
                <w:sz w:val="18"/>
                <w:szCs w:val="18"/>
              </w:rPr>
            </w:pPr>
            <w:r>
              <w:rPr>
                <w:rFonts w:hint="eastAsia" w:ascii="ˎ̥" w:hAnsi="ˎ̥" w:cs="宋体"/>
                <w:sz w:val="18"/>
                <w:szCs w:val="18"/>
              </w:rPr>
              <w:t>办公电话和手机</w:t>
            </w:r>
          </w:p>
        </w:tc>
        <w:tc>
          <w:tcPr>
            <w:tcW w:w="3330" w:type="dxa"/>
            <w:gridSpan w:val="2"/>
            <w:tcBorders>
              <w:top w:val="outset" w:color="auto" w:sz="6" w:space="0"/>
              <w:left w:val="outset" w:color="auto" w:sz="6" w:space="0"/>
              <w:bottom w:val="outset" w:color="auto" w:sz="6" w:space="0"/>
              <w:right w:val="outset" w:color="auto" w:sz="6" w:space="0"/>
            </w:tcBorders>
            <w:vAlign w:val="center"/>
          </w:tcPr>
          <w:p>
            <w:pPr>
              <w:widowControl/>
              <w:ind w:left="1"/>
              <w:jc w:val="center"/>
              <w:rPr>
                <w:rFonts w:ascii="ˎ̥" w:hAnsi="ˎ̥" w:cs="宋体"/>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739"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ˎ̥" w:hAnsi="ˎ̥" w:cs="宋体"/>
                <w:sz w:val="18"/>
                <w:szCs w:val="18"/>
              </w:rPr>
            </w:pPr>
            <w:r>
              <w:rPr>
                <w:rFonts w:hint="eastAsia" w:ascii="ˎ̥" w:hAnsi="ˎ̥" w:cs="宋体"/>
                <w:sz w:val="18"/>
                <w:szCs w:val="18"/>
              </w:rPr>
              <w:t>技术负责人</w:t>
            </w:r>
          </w:p>
        </w:tc>
        <w:tc>
          <w:tcPr>
            <w:tcW w:w="327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ˎ̥" w:hAnsi="ˎ̥" w:cs="宋体"/>
                <w:sz w:val="18"/>
                <w:szCs w:val="18"/>
              </w:rPr>
            </w:pPr>
          </w:p>
        </w:tc>
        <w:tc>
          <w:tcPr>
            <w:tcW w:w="1679"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ˎ̥" w:hAnsi="ˎ̥" w:cs="宋体"/>
                <w:sz w:val="18"/>
                <w:szCs w:val="18"/>
              </w:rPr>
            </w:pPr>
            <w:r>
              <w:rPr>
                <w:rFonts w:hint="eastAsia" w:ascii="ˎ̥" w:hAnsi="ˎ̥" w:cs="宋体"/>
                <w:sz w:val="18"/>
                <w:szCs w:val="18"/>
              </w:rPr>
              <w:t>办公电话和手机</w:t>
            </w:r>
          </w:p>
        </w:tc>
        <w:tc>
          <w:tcPr>
            <w:tcW w:w="3330"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ˎ̥" w:hAnsi="ˎ̥" w:cs="宋体"/>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21" w:type="dxa"/>
            <w:gridSpan w:val="8"/>
            <w:tcBorders>
              <w:top w:val="outset" w:color="auto" w:sz="6" w:space="0"/>
              <w:left w:val="outset" w:color="auto" w:sz="6" w:space="0"/>
              <w:bottom w:val="outset" w:color="auto" w:sz="6" w:space="0"/>
              <w:right w:val="outset" w:color="ACA899" w:sz="6" w:space="0"/>
            </w:tcBorders>
            <w:vAlign w:val="center"/>
          </w:tcPr>
          <w:p>
            <w:pPr>
              <w:widowControl/>
              <w:jc w:val="center"/>
              <w:rPr>
                <w:rFonts w:ascii="ˎ̥" w:hAnsi="ˎ̥" w:cs="宋体"/>
                <w:sz w:val="18"/>
                <w:szCs w:val="18"/>
              </w:rPr>
            </w:pPr>
            <w:r>
              <w:rPr>
                <w:rFonts w:hint="eastAsia" w:ascii="ˎ̥" w:hAnsi="ˎ̥" w:cs="宋体"/>
                <w:sz w:val="18"/>
                <w:szCs w:val="18"/>
              </w:rPr>
              <w:t>2019年完成咨询项目</w:t>
            </w:r>
            <w:r>
              <w:rPr>
                <w:rFonts w:ascii="ˎ̥" w:hAnsi="ˎ̥" w:cs="宋体"/>
                <w:sz w:val="18"/>
                <w:szCs w:val="18"/>
              </w:rPr>
              <w:t xml:space="preserve">    </w:t>
            </w:r>
            <w:r>
              <w:rPr>
                <w:rFonts w:hint="eastAsia" w:ascii="ˎ̥" w:hAnsi="ˎ̥" w:cs="宋体"/>
                <w:sz w:val="18"/>
                <w:szCs w:val="18"/>
              </w:rPr>
              <w:t>个；完成项目咨询总造价</w:t>
            </w:r>
            <w:r>
              <w:rPr>
                <w:rFonts w:ascii="ˎ̥" w:hAnsi="ˎ̥" w:cs="宋体"/>
                <w:sz w:val="18"/>
                <w:szCs w:val="18"/>
              </w:rPr>
              <w:t xml:space="preserve">       </w:t>
            </w:r>
            <w:r>
              <w:rPr>
                <w:rFonts w:hint="eastAsia" w:ascii="ˎ̥" w:hAnsi="ˎ̥" w:cs="宋体"/>
                <w:sz w:val="18"/>
                <w:szCs w:val="18"/>
              </w:rPr>
              <w:t>万元；项目审减（增）</w:t>
            </w:r>
            <w:r>
              <w:rPr>
                <w:rFonts w:ascii="ˎ̥" w:hAnsi="ˎ̥" w:cs="宋体"/>
                <w:sz w:val="18"/>
                <w:szCs w:val="18"/>
              </w:rPr>
              <w:t xml:space="preserve">    </w:t>
            </w:r>
            <w:r>
              <w:rPr>
                <w:rFonts w:hint="eastAsia" w:ascii="ˎ̥" w:hAnsi="ˎ̥" w:cs="宋体"/>
                <w:sz w:val="18"/>
                <w:szCs w:val="18"/>
              </w:rPr>
              <w:t>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025"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ˎ̥" w:hAnsi="ˎ̥" w:cs="宋体"/>
                <w:sz w:val="18"/>
                <w:szCs w:val="18"/>
              </w:rPr>
            </w:pPr>
            <w:r>
              <w:rPr>
                <w:rFonts w:ascii="ˎ̥" w:hAnsi="ˎ̥" w:cs="宋体"/>
                <w:sz w:val="18"/>
                <w:szCs w:val="18"/>
              </w:rPr>
              <w:t>20</w:t>
            </w:r>
            <w:r>
              <w:rPr>
                <w:rFonts w:hint="eastAsia" w:ascii="ˎ̥" w:hAnsi="ˎ̥" w:cs="宋体"/>
                <w:sz w:val="18"/>
                <w:szCs w:val="18"/>
              </w:rPr>
              <w:t>19年实现工程造价咨询营业收入</w:t>
            </w:r>
          </w:p>
        </w:tc>
        <w:tc>
          <w:tcPr>
            <w:tcW w:w="4996"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ˎ̥" w:hAnsi="ˎ̥" w:cs="宋体"/>
                <w:sz w:val="18"/>
                <w:szCs w:val="18"/>
              </w:rPr>
            </w:pPr>
            <w:r>
              <w:rPr>
                <w:rFonts w:hint="eastAsia" w:ascii="ˎ̥" w:hAnsi="ˎ̥" w:cs="宋体"/>
                <w:sz w:val="18"/>
                <w:szCs w:val="18"/>
              </w:rPr>
              <w:t>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21" w:type="dxa"/>
            <w:gridSpan w:val="8"/>
            <w:tcBorders>
              <w:top w:val="outset" w:color="auto" w:sz="6" w:space="0"/>
              <w:left w:val="outset" w:color="auto" w:sz="6" w:space="0"/>
              <w:bottom w:val="outset" w:color="auto" w:sz="6" w:space="0"/>
              <w:right w:val="outset" w:color="auto" w:sz="6" w:space="0"/>
            </w:tcBorders>
            <w:vAlign w:val="center"/>
          </w:tcPr>
          <w:p>
            <w:pPr>
              <w:widowControl/>
              <w:jc w:val="center"/>
              <w:rPr>
                <w:rFonts w:ascii="ˎ̥" w:hAnsi="ˎ̥" w:cs="宋体"/>
                <w:b/>
                <w:sz w:val="18"/>
                <w:szCs w:val="18"/>
              </w:rPr>
            </w:pPr>
            <w:r>
              <w:rPr>
                <w:rFonts w:hint="eastAsia" w:ascii="ˎ̥" w:hAnsi="ˎ̥" w:cs="宋体"/>
                <w:b/>
                <w:sz w:val="18"/>
                <w:szCs w:val="18"/>
              </w:rPr>
              <w:t>自查自纠内容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0" w:hRule="atLeast"/>
          <w:tblCellSpacing w:w="0" w:type="dxa"/>
        </w:trPr>
        <w:tc>
          <w:tcPr>
            <w:tcW w:w="5747" w:type="dxa"/>
            <w:gridSpan w:val="5"/>
            <w:tcBorders>
              <w:top w:val="outset" w:color="auto" w:sz="6" w:space="0"/>
              <w:left w:val="outset" w:color="auto" w:sz="6" w:space="0"/>
              <w:bottom w:val="outset" w:color="auto" w:sz="6" w:space="0"/>
              <w:right w:val="outset" w:color="auto" w:sz="6" w:space="0"/>
            </w:tcBorders>
            <w:vAlign w:val="center"/>
          </w:tcPr>
          <w:p>
            <w:pPr>
              <w:widowControl/>
              <w:jc w:val="center"/>
              <w:rPr>
                <w:rFonts w:ascii="ˎ̥" w:hAnsi="ˎ̥" w:cs="宋体"/>
                <w:sz w:val="18"/>
                <w:szCs w:val="18"/>
              </w:rPr>
            </w:pPr>
            <w:r>
              <w:rPr>
                <w:rFonts w:hint="eastAsia" w:ascii="ˎ̥" w:hAnsi="ˎ̥" w:cs="宋体"/>
                <w:sz w:val="18"/>
                <w:szCs w:val="18"/>
              </w:rPr>
              <w:t>内容</w:t>
            </w:r>
          </w:p>
        </w:tc>
        <w:tc>
          <w:tcPr>
            <w:tcW w:w="4274"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ˎ̥" w:hAnsi="ˎ̥" w:cs="宋体"/>
                <w:sz w:val="18"/>
                <w:szCs w:val="18"/>
              </w:rPr>
            </w:pPr>
            <w:r>
              <w:rPr>
                <w:rFonts w:hint="eastAsia" w:ascii="ˎ̥" w:hAnsi="ˎ̥" w:cs="宋体"/>
                <w:sz w:val="18"/>
                <w:szCs w:val="18"/>
              </w:rPr>
              <w:t>企业情况及存在问题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84" w:hRule="atLeast"/>
          <w:tblCellSpacing w:w="0" w:type="dxa"/>
        </w:trPr>
        <w:tc>
          <w:tcPr>
            <w:tcW w:w="83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ˎ̥" w:hAnsi="ˎ̥" w:cs="宋体"/>
                <w:sz w:val="18"/>
                <w:szCs w:val="18"/>
              </w:rPr>
            </w:pPr>
            <w:r>
              <w:rPr>
                <w:rFonts w:hint="eastAsia" w:ascii="ˎ̥" w:hAnsi="ˎ̥" w:cs="宋体"/>
                <w:sz w:val="18"/>
                <w:szCs w:val="18"/>
              </w:rPr>
              <w:t>执</w:t>
            </w:r>
          </w:p>
          <w:p>
            <w:pPr>
              <w:widowControl/>
              <w:jc w:val="center"/>
              <w:rPr>
                <w:rFonts w:ascii="ˎ̥" w:hAnsi="ˎ̥" w:cs="宋体"/>
                <w:sz w:val="18"/>
                <w:szCs w:val="18"/>
              </w:rPr>
            </w:pPr>
            <w:r>
              <w:rPr>
                <w:rFonts w:hint="eastAsia" w:ascii="ˎ̥" w:hAnsi="ˎ̥" w:cs="宋体"/>
                <w:sz w:val="18"/>
                <w:szCs w:val="18"/>
              </w:rPr>
              <w:t>业</w:t>
            </w:r>
          </w:p>
          <w:p>
            <w:pPr>
              <w:widowControl/>
              <w:jc w:val="center"/>
              <w:rPr>
                <w:rFonts w:ascii="ˎ̥" w:hAnsi="ˎ̥" w:cs="宋体"/>
                <w:sz w:val="18"/>
                <w:szCs w:val="18"/>
              </w:rPr>
            </w:pPr>
            <w:r>
              <w:rPr>
                <w:rFonts w:hint="eastAsia" w:ascii="ˎ̥" w:hAnsi="ˎ̥" w:cs="宋体"/>
                <w:sz w:val="18"/>
                <w:szCs w:val="18"/>
              </w:rPr>
              <w:t>质</w:t>
            </w:r>
          </w:p>
          <w:p>
            <w:pPr>
              <w:widowControl/>
              <w:jc w:val="center"/>
              <w:rPr>
                <w:rFonts w:ascii="ˎ̥" w:hAnsi="ˎ̥" w:cs="宋体"/>
                <w:sz w:val="18"/>
                <w:szCs w:val="18"/>
              </w:rPr>
            </w:pPr>
            <w:r>
              <w:rPr>
                <w:rFonts w:hint="eastAsia" w:ascii="ˎ̥" w:hAnsi="ˎ̥" w:cs="宋体"/>
                <w:sz w:val="18"/>
                <w:szCs w:val="18"/>
              </w:rPr>
              <w:t>量</w:t>
            </w:r>
          </w:p>
          <w:p>
            <w:pPr>
              <w:widowControl/>
              <w:jc w:val="center"/>
              <w:rPr>
                <w:rFonts w:ascii="ˎ̥" w:hAnsi="ˎ̥" w:cs="宋体"/>
                <w:sz w:val="18"/>
                <w:szCs w:val="18"/>
              </w:rPr>
            </w:pPr>
            <w:r>
              <w:rPr>
                <w:rFonts w:hint="eastAsia" w:ascii="ˎ̥" w:hAnsi="ˎ̥" w:cs="宋体"/>
                <w:sz w:val="18"/>
                <w:szCs w:val="18"/>
              </w:rPr>
              <w:t>情</w:t>
            </w:r>
          </w:p>
          <w:p>
            <w:pPr>
              <w:jc w:val="center"/>
              <w:rPr>
                <w:rFonts w:ascii="ˎ̥" w:hAnsi="ˎ̥" w:cs="宋体"/>
                <w:sz w:val="18"/>
                <w:szCs w:val="18"/>
              </w:rPr>
            </w:pPr>
            <w:r>
              <w:rPr>
                <w:rFonts w:hint="eastAsia" w:ascii="ˎ̥" w:hAnsi="ˎ̥" w:cs="宋体"/>
                <w:sz w:val="18"/>
                <w:szCs w:val="18"/>
              </w:rPr>
              <w:t>况</w:t>
            </w:r>
          </w:p>
        </w:tc>
        <w:tc>
          <w:tcPr>
            <w:tcW w:w="4908" w:type="dxa"/>
            <w:gridSpan w:val="4"/>
            <w:tcBorders>
              <w:top w:val="outset" w:color="auto" w:sz="6" w:space="0"/>
              <w:left w:val="outset" w:color="auto" w:sz="6" w:space="0"/>
              <w:bottom w:val="outset" w:color="auto" w:sz="6" w:space="0"/>
              <w:right w:val="outset" w:color="DDD9C3" w:sz="6" w:space="0"/>
            </w:tcBorders>
            <w:vAlign w:val="center"/>
          </w:tcPr>
          <w:p>
            <w:pPr>
              <w:widowControl/>
              <w:rPr>
                <w:rFonts w:hint="eastAsia" w:ascii="ˎ̥" w:hAnsi="ˎ̥" w:cs="宋体"/>
                <w:sz w:val="18"/>
                <w:szCs w:val="18"/>
              </w:rPr>
            </w:pPr>
            <w:r>
              <w:rPr>
                <w:rFonts w:ascii="ˎ̥" w:hAnsi="ˎ̥" w:cs="宋体"/>
                <w:sz w:val="18"/>
                <w:szCs w:val="18"/>
              </w:rPr>
              <w:t>1</w:t>
            </w:r>
            <w:r>
              <w:rPr>
                <w:rFonts w:hint="eastAsia" w:ascii="ˎ̥" w:hAnsi="ˎ̥" w:cs="宋体"/>
                <w:sz w:val="18"/>
                <w:szCs w:val="18"/>
              </w:rPr>
              <w:t>、企业执业质量管理体系是否完备</w:t>
            </w:r>
          </w:p>
          <w:p>
            <w:pPr>
              <w:widowControl/>
              <w:rPr>
                <w:rFonts w:hint="eastAsia" w:ascii="ˎ̥" w:hAnsi="ˎ̥" w:cs="宋体"/>
                <w:sz w:val="18"/>
                <w:szCs w:val="18"/>
              </w:rPr>
            </w:pPr>
            <w:r>
              <w:rPr>
                <w:rFonts w:hint="eastAsia" w:ascii="ˎ̥" w:hAnsi="ˎ̥" w:cs="宋体"/>
                <w:sz w:val="18"/>
                <w:szCs w:val="18"/>
              </w:rPr>
              <w:t>2、计价依据和计价模式的使用是否符合规定</w:t>
            </w:r>
          </w:p>
          <w:p>
            <w:pPr>
              <w:widowControl/>
              <w:rPr>
                <w:rFonts w:ascii="ˎ̥" w:hAnsi="ˎ̥" w:cs="宋体"/>
                <w:sz w:val="18"/>
                <w:szCs w:val="18"/>
              </w:rPr>
            </w:pPr>
            <w:r>
              <w:rPr>
                <w:rFonts w:hint="eastAsia" w:ascii="ˎ̥" w:hAnsi="ˎ̥" w:cs="宋体"/>
                <w:sz w:val="18"/>
                <w:szCs w:val="18"/>
              </w:rPr>
              <w:t>3、咨询业务操作程序是否符合质量控制规程要求</w:t>
            </w:r>
          </w:p>
          <w:p>
            <w:pPr>
              <w:widowControl/>
              <w:rPr>
                <w:rFonts w:hint="eastAsia" w:ascii="ˎ̥" w:hAnsi="ˎ̥" w:cs="宋体"/>
                <w:sz w:val="18"/>
                <w:szCs w:val="18"/>
              </w:rPr>
            </w:pPr>
            <w:r>
              <w:rPr>
                <w:rFonts w:hint="eastAsia" w:ascii="ˎ̥" w:hAnsi="ˎ̥" w:cs="宋体"/>
                <w:sz w:val="18"/>
                <w:szCs w:val="18"/>
              </w:rPr>
              <w:t>4、咨询成果质量是否符合质量控制规程要求</w:t>
            </w:r>
          </w:p>
          <w:p>
            <w:pPr>
              <w:widowControl/>
              <w:rPr>
                <w:rFonts w:ascii="ˎ̥" w:hAnsi="ˎ̥" w:cs="宋体"/>
                <w:sz w:val="18"/>
                <w:szCs w:val="18"/>
              </w:rPr>
            </w:pPr>
            <w:r>
              <w:rPr>
                <w:rFonts w:hint="eastAsia" w:ascii="ˎ̥" w:hAnsi="ˎ̥" w:cs="宋体"/>
                <w:sz w:val="18"/>
                <w:szCs w:val="18"/>
              </w:rPr>
              <w:t>5、咨询成果文件签字、盖章是否齐全有效</w:t>
            </w:r>
          </w:p>
          <w:p>
            <w:pPr>
              <w:widowControl/>
              <w:rPr>
                <w:rFonts w:hint="eastAsia" w:ascii="ˎ̥" w:hAnsi="ˎ̥" w:cs="宋体"/>
                <w:sz w:val="18"/>
                <w:szCs w:val="18"/>
              </w:rPr>
            </w:pPr>
            <w:r>
              <w:rPr>
                <w:rFonts w:hint="eastAsia" w:ascii="ˎ̥" w:hAnsi="ˎ̥" w:cs="宋体"/>
                <w:sz w:val="18"/>
                <w:szCs w:val="18"/>
              </w:rPr>
              <w:t>6、咨询成果文件档案管理是否符合要求</w:t>
            </w:r>
          </w:p>
          <w:p>
            <w:pPr>
              <w:widowControl/>
              <w:rPr>
                <w:rFonts w:ascii="ˎ̥" w:hAnsi="ˎ̥" w:cs="宋体"/>
                <w:sz w:val="18"/>
                <w:szCs w:val="18"/>
              </w:rPr>
            </w:pPr>
            <w:r>
              <w:rPr>
                <w:rFonts w:hint="eastAsia" w:ascii="ˎ̥" w:hAnsi="ˎ̥" w:cs="宋体"/>
                <w:sz w:val="18"/>
                <w:szCs w:val="18"/>
              </w:rPr>
              <w:t>7、是否有《工程造价咨询企业管理办法》第二十五条和《注册造价工程师管理办法》第二十条行为</w:t>
            </w:r>
          </w:p>
        </w:tc>
        <w:tc>
          <w:tcPr>
            <w:tcW w:w="4274" w:type="dxa"/>
            <w:gridSpan w:val="3"/>
            <w:tcBorders>
              <w:top w:val="outset" w:color="auto" w:sz="6" w:space="0"/>
              <w:left w:val="outset" w:color="auto" w:sz="6" w:space="0"/>
              <w:bottom w:val="outset" w:color="auto" w:sz="6" w:space="0"/>
              <w:right w:val="outset" w:color="ACA899" w:sz="6" w:space="0"/>
            </w:tcBorders>
            <w:vAlign w:val="center"/>
          </w:tcPr>
          <w:p>
            <w:pPr>
              <w:widowControl/>
              <w:jc w:val="center"/>
              <w:rPr>
                <w:rFonts w:ascii="ˎ̥" w:hAnsi="ˎ̥" w:cs="宋体"/>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39" w:type="dxa"/>
            <w:vMerge w:val="restart"/>
            <w:tcBorders>
              <w:top w:val="outset" w:color="auto" w:sz="6" w:space="0"/>
              <w:left w:val="outset" w:color="auto" w:sz="6" w:space="0"/>
              <w:right w:val="outset" w:color="auto" w:sz="6" w:space="0"/>
            </w:tcBorders>
            <w:vAlign w:val="center"/>
          </w:tcPr>
          <w:p>
            <w:pPr>
              <w:jc w:val="center"/>
              <w:rPr>
                <w:rFonts w:hint="eastAsia" w:ascii="ˎ̥" w:hAnsi="ˎ̥" w:cs="宋体"/>
                <w:sz w:val="18"/>
                <w:szCs w:val="18"/>
              </w:rPr>
            </w:pPr>
            <w:r>
              <w:rPr>
                <w:rFonts w:hint="eastAsia" w:ascii="ˎ̥" w:hAnsi="ˎ̥" w:cs="宋体"/>
                <w:sz w:val="18"/>
                <w:szCs w:val="18"/>
              </w:rPr>
              <w:t>整</w:t>
            </w:r>
          </w:p>
          <w:p>
            <w:pPr>
              <w:jc w:val="center"/>
              <w:rPr>
                <w:rFonts w:hint="eastAsia" w:ascii="ˎ̥" w:hAnsi="ˎ̥" w:cs="宋体"/>
                <w:sz w:val="18"/>
                <w:szCs w:val="18"/>
              </w:rPr>
            </w:pPr>
            <w:r>
              <w:rPr>
                <w:rFonts w:hint="eastAsia" w:ascii="ˎ̥" w:hAnsi="ˎ̥" w:cs="宋体"/>
                <w:sz w:val="18"/>
                <w:szCs w:val="18"/>
              </w:rPr>
              <w:t>改</w:t>
            </w:r>
          </w:p>
          <w:p>
            <w:pPr>
              <w:jc w:val="center"/>
              <w:rPr>
                <w:rFonts w:hint="eastAsia" w:ascii="ˎ̥" w:hAnsi="ˎ̥" w:cs="宋体"/>
                <w:sz w:val="18"/>
                <w:szCs w:val="18"/>
              </w:rPr>
            </w:pPr>
            <w:r>
              <w:rPr>
                <w:rFonts w:hint="eastAsia" w:ascii="ˎ̥" w:hAnsi="ˎ̥" w:cs="宋体"/>
                <w:sz w:val="18"/>
                <w:szCs w:val="18"/>
              </w:rPr>
              <w:t>措</w:t>
            </w:r>
          </w:p>
          <w:p>
            <w:pPr>
              <w:jc w:val="center"/>
              <w:rPr>
                <w:rFonts w:hint="eastAsia" w:ascii="ˎ̥" w:hAnsi="ˎ̥" w:cs="宋体"/>
                <w:sz w:val="18"/>
                <w:szCs w:val="18"/>
              </w:rPr>
            </w:pPr>
            <w:r>
              <w:rPr>
                <w:rFonts w:hint="eastAsia" w:ascii="ˎ̥" w:hAnsi="ˎ̥" w:cs="宋体"/>
                <w:sz w:val="18"/>
                <w:szCs w:val="18"/>
              </w:rPr>
              <w:t>施</w:t>
            </w:r>
          </w:p>
        </w:tc>
        <w:tc>
          <w:tcPr>
            <w:tcW w:w="9182" w:type="dxa"/>
            <w:gridSpan w:val="7"/>
            <w:tcBorders>
              <w:top w:val="outset" w:color="auto" w:sz="6" w:space="0"/>
              <w:left w:val="outset" w:color="auto" w:sz="6" w:space="0"/>
              <w:bottom w:val="outset" w:color="auto" w:sz="6" w:space="0"/>
              <w:right w:val="outset" w:color="A0A0A0" w:sz="6" w:space="0"/>
            </w:tcBorders>
            <w:vAlign w:val="center"/>
          </w:tcPr>
          <w:p>
            <w:pPr>
              <w:widowControl/>
              <w:jc w:val="center"/>
              <w:rPr>
                <w:rFonts w:ascii="ˎ̥" w:hAnsi="ˎ̥" w:cs="宋体"/>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152" w:hRule="atLeast"/>
          <w:tblCellSpacing w:w="0" w:type="dxa"/>
        </w:trPr>
        <w:tc>
          <w:tcPr>
            <w:tcW w:w="839" w:type="dxa"/>
            <w:vMerge w:val="continue"/>
            <w:tcBorders>
              <w:left w:val="outset" w:color="auto" w:sz="6" w:space="0"/>
              <w:right w:val="outset" w:color="auto" w:sz="6" w:space="0"/>
            </w:tcBorders>
            <w:vAlign w:val="center"/>
          </w:tcPr>
          <w:p>
            <w:pPr>
              <w:jc w:val="center"/>
              <w:rPr>
                <w:rFonts w:hint="eastAsia" w:ascii="ˎ̥" w:hAnsi="ˎ̥" w:cs="宋体"/>
                <w:sz w:val="18"/>
                <w:szCs w:val="18"/>
              </w:rPr>
            </w:pPr>
          </w:p>
        </w:tc>
        <w:tc>
          <w:tcPr>
            <w:tcW w:w="9182" w:type="dxa"/>
            <w:gridSpan w:val="7"/>
            <w:tcBorders>
              <w:top w:val="nil"/>
              <w:left w:val="outset" w:color="auto" w:sz="6" w:space="0"/>
              <w:bottom w:val="outset" w:color="auto" w:sz="6" w:space="0"/>
              <w:right w:val="outset" w:color="auto" w:sz="6" w:space="0"/>
            </w:tcBorders>
            <w:vAlign w:val="center"/>
          </w:tcPr>
          <w:p>
            <w:pPr>
              <w:widowControl/>
              <w:jc w:val="center"/>
              <w:rPr>
                <w:rFonts w:hint="eastAsia" w:ascii="ˎ̥" w:hAnsi="ˎ̥" w:cs="宋体"/>
                <w:sz w:val="18"/>
                <w:szCs w:val="18"/>
              </w:rPr>
            </w:pPr>
          </w:p>
          <w:p>
            <w:pPr>
              <w:widowControl/>
              <w:jc w:val="center"/>
              <w:rPr>
                <w:rFonts w:hint="eastAsia" w:ascii="ˎ̥" w:hAnsi="ˎ̥" w:cs="宋体"/>
                <w:sz w:val="18"/>
                <w:szCs w:val="18"/>
              </w:rPr>
            </w:pPr>
          </w:p>
          <w:p>
            <w:pPr>
              <w:widowControl/>
              <w:jc w:val="center"/>
              <w:rPr>
                <w:rFonts w:hint="eastAsia" w:ascii="ˎ̥" w:hAnsi="ˎ̥" w:cs="宋体"/>
                <w:sz w:val="18"/>
                <w:szCs w:val="18"/>
              </w:rPr>
            </w:pPr>
          </w:p>
          <w:p>
            <w:pPr>
              <w:widowControl/>
              <w:jc w:val="center"/>
              <w:rPr>
                <w:rFonts w:hint="eastAsia" w:ascii="ˎ̥" w:hAnsi="ˎ̥" w:cs="宋体"/>
                <w:sz w:val="18"/>
                <w:szCs w:val="18"/>
              </w:rPr>
            </w:pPr>
          </w:p>
          <w:p>
            <w:pPr>
              <w:widowControl/>
              <w:jc w:val="center"/>
              <w:rPr>
                <w:rFonts w:hint="eastAsia" w:ascii="ˎ̥" w:hAnsi="ˎ̥" w:cs="宋体"/>
                <w:sz w:val="18"/>
                <w:szCs w:val="18"/>
              </w:rPr>
            </w:pPr>
          </w:p>
          <w:p>
            <w:pPr>
              <w:widowControl/>
              <w:jc w:val="center"/>
              <w:rPr>
                <w:rFonts w:hint="eastAsia" w:ascii="ˎ̥" w:hAnsi="ˎ̥" w:cs="宋体"/>
                <w:sz w:val="18"/>
                <w:szCs w:val="18"/>
              </w:rPr>
            </w:pPr>
          </w:p>
          <w:p>
            <w:pPr>
              <w:widowControl/>
              <w:jc w:val="center"/>
              <w:rPr>
                <w:rFonts w:hint="eastAsia" w:ascii="ˎ̥" w:hAnsi="ˎ̥" w:cs="宋体"/>
                <w:sz w:val="18"/>
                <w:szCs w:val="18"/>
              </w:rPr>
            </w:pPr>
          </w:p>
          <w:p>
            <w:pPr>
              <w:widowControl/>
              <w:jc w:val="center"/>
              <w:rPr>
                <w:rFonts w:hint="eastAsia" w:ascii="ˎ̥" w:hAnsi="ˎ̥" w:cs="宋体"/>
                <w:sz w:val="18"/>
                <w:szCs w:val="18"/>
              </w:rPr>
            </w:pPr>
          </w:p>
          <w:p>
            <w:pPr>
              <w:widowControl/>
              <w:jc w:val="center"/>
              <w:rPr>
                <w:rFonts w:hint="eastAsia" w:ascii="ˎ̥" w:hAnsi="ˎ̥" w:cs="宋体"/>
                <w:sz w:val="18"/>
                <w:szCs w:val="18"/>
              </w:rPr>
            </w:pPr>
          </w:p>
          <w:p>
            <w:pPr>
              <w:widowControl/>
              <w:jc w:val="center"/>
              <w:rPr>
                <w:rFonts w:ascii="ˎ̥" w:hAnsi="ˎ̥" w:cs="宋体"/>
                <w:sz w:val="18"/>
                <w:szCs w:val="18"/>
              </w:rPr>
            </w:pPr>
          </w:p>
        </w:tc>
      </w:tr>
    </w:tbl>
    <w:p>
      <w:pPr>
        <w:widowControl/>
        <w:jc w:val="left"/>
        <w:rPr>
          <w:rFonts w:hint="eastAsia" w:ascii="ˎ̥" w:hAnsi="ˎ̥" w:cs="宋体"/>
          <w:bCs/>
        </w:rPr>
        <w:sectPr>
          <w:pgSz w:w="11906" w:h="16838"/>
          <w:pgMar w:top="1247" w:right="1134" w:bottom="1134" w:left="1134" w:header="851" w:footer="992" w:gutter="0"/>
          <w:cols w:space="720" w:num="1"/>
          <w:docGrid w:type="lines" w:linePitch="312" w:charSpace="0"/>
        </w:sectPr>
      </w:pPr>
    </w:p>
    <w:p>
      <w:pPr>
        <w:widowControl/>
        <w:rPr>
          <w:rFonts w:ascii="ˎ̥" w:hAnsi="ˎ̥" w:cs="宋体"/>
          <w:bCs/>
        </w:rPr>
      </w:pPr>
      <w:r>
        <w:rPr>
          <w:rFonts w:hint="eastAsia" w:ascii="ˎ̥" w:hAnsi="ˎ̥" w:cs="宋体"/>
          <w:bCs/>
        </w:rPr>
        <w:t>附表3：</w:t>
      </w:r>
    </w:p>
    <w:p>
      <w:pPr>
        <w:widowControl/>
        <w:ind w:firstLine="4680" w:firstLineChars="1300"/>
        <w:jc w:val="left"/>
        <w:rPr>
          <w:rFonts w:ascii="ˎ̥" w:hAnsi="ˎ̥" w:cs="宋体"/>
          <w:b/>
          <w:bCs/>
          <w:sz w:val="36"/>
          <w:szCs w:val="36"/>
        </w:rPr>
      </w:pPr>
      <w:r>
        <w:rPr>
          <w:rFonts w:hint="eastAsia" w:ascii="ˎ̥" w:hAnsi="ˎ̥" w:cs="宋体"/>
          <w:b/>
          <w:bCs/>
          <w:sz w:val="36"/>
          <w:szCs w:val="36"/>
        </w:rPr>
        <w:t>工程造价咨询企业专项检查情况汇总表</w:t>
      </w:r>
      <w:r>
        <w:rPr>
          <w:rFonts w:ascii="ˎ̥" w:hAnsi="ˎ̥" w:cs="宋体"/>
          <w:bCs/>
          <w:sz w:val="18"/>
          <w:szCs w:val="18"/>
        </w:rPr>
        <w:t xml:space="preserve">                                                                                                                    </w:t>
      </w:r>
      <w:r>
        <w:rPr>
          <w:rFonts w:hint="eastAsia" w:ascii="ˎ̥" w:hAnsi="ˎ̥" w:cs="宋体"/>
          <w:bCs/>
          <w:sz w:val="18"/>
          <w:szCs w:val="18"/>
        </w:rPr>
        <w:t xml:space="preserve">                                               填报单位（盖章）：                                                                                                                     填报时间：</w:t>
      </w:r>
    </w:p>
    <w:tbl>
      <w:tblPr>
        <w:tblStyle w:val="2"/>
        <w:tblW w:w="4982" w:type="pct"/>
        <w:tblInd w:w="0" w:type="dxa"/>
        <w:tblLayout w:type="fixed"/>
        <w:tblCellMar>
          <w:top w:w="0" w:type="dxa"/>
          <w:left w:w="108" w:type="dxa"/>
          <w:bottom w:w="0" w:type="dxa"/>
          <w:right w:w="108" w:type="dxa"/>
        </w:tblCellMar>
      </w:tblPr>
      <w:tblGrid>
        <w:gridCol w:w="534"/>
        <w:gridCol w:w="566"/>
        <w:gridCol w:w="853"/>
        <w:gridCol w:w="850"/>
        <w:gridCol w:w="709"/>
        <w:gridCol w:w="853"/>
        <w:gridCol w:w="850"/>
        <w:gridCol w:w="706"/>
        <w:gridCol w:w="850"/>
        <w:gridCol w:w="1133"/>
        <w:gridCol w:w="996"/>
        <w:gridCol w:w="709"/>
        <w:gridCol w:w="709"/>
        <w:gridCol w:w="850"/>
        <w:gridCol w:w="1410"/>
        <w:gridCol w:w="850"/>
        <w:gridCol w:w="1207"/>
        <w:gridCol w:w="924"/>
      </w:tblGrid>
      <w:tr>
        <w:tblPrEx>
          <w:tblCellMar>
            <w:top w:w="0" w:type="dxa"/>
            <w:left w:w="108" w:type="dxa"/>
            <w:bottom w:w="0" w:type="dxa"/>
            <w:right w:w="108" w:type="dxa"/>
          </w:tblCellMar>
        </w:tblPrEx>
        <w:trPr>
          <w:trHeight w:val="354" w:hRule="atLeast"/>
        </w:trPr>
        <w:tc>
          <w:tcPr>
            <w:tcW w:w="172" w:type="pct"/>
            <w:vMerge w:val="restart"/>
            <w:tcBorders>
              <w:top w:val="single" w:color="auto" w:sz="4" w:space="0"/>
              <w:left w:val="single" w:color="auto" w:sz="4" w:space="0"/>
              <w:right w:val="single" w:color="auto" w:sz="4" w:space="0"/>
            </w:tcBorders>
            <w:vAlign w:val="center"/>
          </w:tcPr>
          <w:p>
            <w:pPr>
              <w:widowControl/>
              <w:jc w:val="center"/>
              <w:rPr>
                <w:rFonts w:hint="eastAsia" w:ascii="ˎ̥" w:hAnsi="ˎ̥" w:cs="宋体"/>
                <w:bCs/>
                <w:sz w:val="15"/>
                <w:szCs w:val="15"/>
              </w:rPr>
            </w:pPr>
            <w:r>
              <w:rPr>
                <w:rFonts w:hint="eastAsia" w:ascii="ˎ̥" w:hAnsi="ˎ̥" w:cs="宋体"/>
                <w:bCs/>
                <w:sz w:val="15"/>
                <w:szCs w:val="15"/>
              </w:rPr>
              <w:t>序号</w:t>
            </w:r>
          </w:p>
        </w:tc>
        <w:tc>
          <w:tcPr>
            <w:tcW w:w="182" w:type="pct"/>
            <w:vMerge w:val="restart"/>
            <w:tcBorders>
              <w:top w:val="single" w:color="auto" w:sz="4" w:space="0"/>
              <w:left w:val="single" w:color="auto" w:sz="4" w:space="0"/>
              <w:right w:val="single" w:color="auto" w:sz="4" w:space="0"/>
            </w:tcBorders>
            <w:vAlign w:val="center"/>
          </w:tcPr>
          <w:p>
            <w:pPr>
              <w:widowControl/>
              <w:jc w:val="center"/>
              <w:rPr>
                <w:rFonts w:hint="eastAsia" w:ascii="ˎ̥" w:hAnsi="ˎ̥" w:cs="宋体"/>
                <w:bCs/>
                <w:sz w:val="15"/>
                <w:szCs w:val="15"/>
              </w:rPr>
            </w:pPr>
            <w:r>
              <w:rPr>
                <w:rFonts w:hint="eastAsia" w:ascii="ˎ̥" w:hAnsi="ˎ̥" w:cs="宋体"/>
                <w:bCs/>
                <w:sz w:val="15"/>
                <w:szCs w:val="15"/>
              </w:rPr>
              <w:t>属地</w:t>
            </w:r>
          </w:p>
        </w:tc>
        <w:tc>
          <w:tcPr>
            <w:tcW w:w="274" w:type="pct"/>
            <w:vMerge w:val="restart"/>
            <w:tcBorders>
              <w:top w:val="single" w:color="auto" w:sz="4" w:space="0"/>
              <w:left w:val="single" w:color="auto" w:sz="4" w:space="0"/>
              <w:right w:val="single" w:color="auto" w:sz="4" w:space="0"/>
            </w:tcBorders>
            <w:vAlign w:val="center"/>
          </w:tcPr>
          <w:p>
            <w:pPr>
              <w:widowControl/>
              <w:jc w:val="center"/>
              <w:rPr>
                <w:rFonts w:ascii="ˎ̥" w:hAnsi="ˎ̥" w:cs="宋体"/>
                <w:bCs/>
                <w:sz w:val="15"/>
                <w:szCs w:val="15"/>
              </w:rPr>
            </w:pPr>
            <w:r>
              <w:rPr>
                <w:rFonts w:hint="eastAsia" w:ascii="ˎ̥" w:hAnsi="ˎ̥" w:cs="宋体"/>
                <w:bCs/>
                <w:sz w:val="15"/>
                <w:szCs w:val="15"/>
              </w:rPr>
              <w:t>企业名称</w:t>
            </w:r>
          </w:p>
        </w:tc>
        <w:tc>
          <w:tcPr>
            <w:tcW w:w="273" w:type="pct"/>
            <w:vMerge w:val="restart"/>
            <w:tcBorders>
              <w:top w:val="single" w:color="auto" w:sz="4" w:space="0"/>
              <w:left w:val="single" w:color="auto" w:sz="4" w:space="0"/>
              <w:right w:val="single" w:color="auto" w:sz="4" w:space="0"/>
            </w:tcBorders>
            <w:vAlign w:val="center"/>
          </w:tcPr>
          <w:p>
            <w:pPr>
              <w:widowControl/>
              <w:jc w:val="center"/>
              <w:rPr>
                <w:rFonts w:hint="eastAsia" w:ascii="ˎ̥" w:hAnsi="ˎ̥" w:cs="宋体"/>
                <w:bCs/>
                <w:sz w:val="15"/>
                <w:szCs w:val="15"/>
              </w:rPr>
            </w:pPr>
            <w:r>
              <w:rPr>
                <w:rFonts w:hint="eastAsia" w:ascii="ˎ̥" w:hAnsi="ˎ̥" w:cs="宋体"/>
                <w:bCs/>
                <w:sz w:val="15"/>
                <w:szCs w:val="15"/>
              </w:rPr>
              <w:t>企业办公地址</w:t>
            </w:r>
          </w:p>
        </w:tc>
        <w:tc>
          <w:tcPr>
            <w:tcW w:w="228" w:type="pct"/>
            <w:vMerge w:val="restart"/>
            <w:tcBorders>
              <w:top w:val="single" w:color="auto" w:sz="4" w:space="0"/>
              <w:left w:val="single" w:color="auto" w:sz="4" w:space="0"/>
              <w:right w:val="single" w:color="auto" w:sz="4" w:space="0"/>
            </w:tcBorders>
            <w:vAlign w:val="center"/>
          </w:tcPr>
          <w:p>
            <w:pPr>
              <w:widowControl/>
              <w:jc w:val="center"/>
              <w:rPr>
                <w:rFonts w:hint="eastAsia" w:ascii="ˎ̥" w:hAnsi="ˎ̥" w:cs="宋体"/>
                <w:bCs/>
                <w:sz w:val="15"/>
                <w:szCs w:val="15"/>
              </w:rPr>
            </w:pPr>
            <w:r>
              <w:rPr>
                <w:rFonts w:hint="eastAsia" w:ascii="ˎ̥" w:hAnsi="ˎ̥" w:cs="宋体"/>
                <w:bCs/>
                <w:sz w:val="15"/>
                <w:szCs w:val="15"/>
              </w:rPr>
              <w:t>资质证书号</w:t>
            </w:r>
          </w:p>
        </w:tc>
        <w:tc>
          <w:tcPr>
            <w:tcW w:w="274" w:type="pct"/>
            <w:vMerge w:val="restart"/>
            <w:tcBorders>
              <w:top w:val="single" w:color="auto" w:sz="4" w:space="0"/>
              <w:left w:val="single" w:color="auto" w:sz="4" w:space="0"/>
              <w:right w:val="single" w:color="auto" w:sz="4" w:space="0"/>
            </w:tcBorders>
            <w:vAlign w:val="center"/>
          </w:tcPr>
          <w:p>
            <w:pPr>
              <w:widowControl/>
              <w:jc w:val="center"/>
              <w:rPr>
                <w:rFonts w:ascii="ˎ̥" w:hAnsi="ˎ̥" w:cs="宋体"/>
                <w:bCs/>
                <w:sz w:val="15"/>
                <w:szCs w:val="15"/>
              </w:rPr>
            </w:pPr>
            <w:r>
              <w:rPr>
                <w:rFonts w:hint="eastAsia" w:ascii="ˎ̥" w:hAnsi="ˎ̥" w:cs="宋体"/>
                <w:bCs/>
                <w:sz w:val="15"/>
                <w:szCs w:val="15"/>
              </w:rPr>
              <w:t>法人及联系方式</w:t>
            </w:r>
          </w:p>
        </w:tc>
        <w:tc>
          <w:tcPr>
            <w:tcW w:w="273" w:type="pct"/>
            <w:vMerge w:val="restart"/>
            <w:tcBorders>
              <w:top w:val="single" w:color="auto" w:sz="4" w:space="0"/>
              <w:left w:val="single" w:color="auto" w:sz="4" w:space="0"/>
              <w:right w:val="single" w:color="auto" w:sz="4" w:space="0"/>
            </w:tcBorders>
            <w:vAlign w:val="center"/>
          </w:tcPr>
          <w:p>
            <w:pPr>
              <w:widowControl/>
              <w:jc w:val="center"/>
              <w:rPr>
                <w:rFonts w:ascii="ˎ̥" w:hAnsi="ˎ̥" w:cs="宋体"/>
                <w:bCs/>
                <w:sz w:val="15"/>
                <w:szCs w:val="15"/>
              </w:rPr>
            </w:pPr>
            <w:r>
              <w:rPr>
                <w:rFonts w:hint="eastAsia" w:ascii="ˎ̥" w:hAnsi="ˎ̥" w:cs="宋体"/>
                <w:bCs/>
                <w:sz w:val="15"/>
                <w:szCs w:val="15"/>
              </w:rPr>
              <w:t>技术负责人及联系方式</w:t>
            </w:r>
          </w:p>
        </w:tc>
        <w:tc>
          <w:tcPr>
            <w:tcW w:w="3027" w:type="pct"/>
            <w:gridSpan w:val="10"/>
            <w:tcBorders>
              <w:top w:val="single" w:color="auto" w:sz="4" w:space="0"/>
              <w:left w:val="single" w:color="auto" w:sz="4" w:space="0"/>
              <w:bottom w:val="single" w:color="auto" w:sz="4" w:space="0"/>
              <w:right w:val="single" w:color="auto" w:sz="4" w:space="0"/>
            </w:tcBorders>
          </w:tcPr>
          <w:p>
            <w:pPr>
              <w:widowControl/>
              <w:jc w:val="center"/>
              <w:rPr>
                <w:rFonts w:ascii="ˎ̥" w:hAnsi="ˎ̥" w:cs="宋体"/>
                <w:bCs/>
                <w:sz w:val="15"/>
                <w:szCs w:val="15"/>
              </w:rPr>
            </w:pPr>
            <w:r>
              <w:rPr>
                <w:rFonts w:hint="eastAsia" w:ascii="ˎ̥" w:hAnsi="ˎ̥" w:cs="宋体"/>
                <w:bCs/>
                <w:sz w:val="15"/>
                <w:szCs w:val="15"/>
              </w:rPr>
              <w:t>执业质量检查情况</w:t>
            </w:r>
          </w:p>
        </w:tc>
        <w:tc>
          <w:tcPr>
            <w:tcW w:w="297" w:type="pct"/>
            <w:vMerge w:val="restart"/>
            <w:tcBorders>
              <w:top w:val="single" w:color="auto" w:sz="4" w:space="0"/>
              <w:left w:val="single" w:color="auto" w:sz="4" w:space="0"/>
              <w:right w:val="single" w:color="auto" w:sz="4" w:space="0"/>
            </w:tcBorders>
            <w:vAlign w:val="center"/>
          </w:tcPr>
          <w:p>
            <w:pPr>
              <w:widowControl/>
              <w:jc w:val="center"/>
              <w:rPr>
                <w:rFonts w:hint="eastAsia" w:ascii="ˎ̥" w:hAnsi="ˎ̥" w:cs="宋体"/>
                <w:bCs/>
                <w:sz w:val="15"/>
                <w:szCs w:val="15"/>
              </w:rPr>
            </w:pPr>
            <w:r>
              <w:rPr>
                <w:rFonts w:hint="eastAsia" w:ascii="ˎ̥" w:hAnsi="ˎ̥" w:cs="宋体"/>
                <w:bCs/>
                <w:sz w:val="15"/>
                <w:szCs w:val="15"/>
              </w:rPr>
              <w:t>整改</w:t>
            </w:r>
          </w:p>
          <w:p>
            <w:pPr>
              <w:widowControl/>
              <w:jc w:val="center"/>
              <w:rPr>
                <w:rFonts w:ascii="ˎ̥" w:hAnsi="ˎ̥" w:cs="宋体"/>
                <w:bCs/>
                <w:sz w:val="15"/>
                <w:szCs w:val="15"/>
              </w:rPr>
            </w:pPr>
            <w:r>
              <w:rPr>
                <w:rFonts w:hint="eastAsia" w:ascii="ˎ̥" w:hAnsi="ˎ̥" w:cs="宋体"/>
                <w:bCs/>
                <w:sz w:val="15"/>
                <w:szCs w:val="15"/>
              </w:rPr>
              <w:t>情况</w:t>
            </w:r>
          </w:p>
        </w:tc>
      </w:tr>
      <w:tr>
        <w:tblPrEx>
          <w:tblCellMar>
            <w:top w:w="0" w:type="dxa"/>
            <w:left w:w="108" w:type="dxa"/>
            <w:bottom w:w="0" w:type="dxa"/>
            <w:right w:w="108" w:type="dxa"/>
          </w:tblCellMar>
        </w:tblPrEx>
        <w:tc>
          <w:tcPr>
            <w:tcW w:w="172" w:type="pct"/>
            <w:vMerge w:val="continue"/>
            <w:tcBorders>
              <w:left w:val="single" w:color="auto" w:sz="4" w:space="0"/>
              <w:bottom w:val="single" w:color="auto" w:sz="4" w:space="0"/>
              <w:right w:val="single" w:color="auto" w:sz="4" w:space="0"/>
            </w:tcBorders>
            <w:vAlign w:val="center"/>
          </w:tcPr>
          <w:p>
            <w:pPr>
              <w:widowControl/>
              <w:jc w:val="center"/>
              <w:rPr>
                <w:rFonts w:ascii="ˎ̥" w:hAnsi="ˎ̥" w:cs="宋体"/>
                <w:bCs/>
                <w:sz w:val="15"/>
                <w:szCs w:val="15"/>
              </w:rPr>
            </w:pPr>
          </w:p>
        </w:tc>
        <w:tc>
          <w:tcPr>
            <w:tcW w:w="182" w:type="pct"/>
            <w:vMerge w:val="continue"/>
            <w:tcBorders>
              <w:left w:val="single" w:color="auto" w:sz="4" w:space="0"/>
              <w:bottom w:val="single" w:color="auto" w:sz="4" w:space="0"/>
              <w:right w:val="single" w:color="auto" w:sz="4" w:space="0"/>
            </w:tcBorders>
            <w:vAlign w:val="center"/>
          </w:tcPr>
          <w:p>
            <w:pPr>
              <w:widowControl/>
              <w:jc w:val="center"/>
              <w:rPr>
                <w:rFonts w:ascii="ˎ̥" w:hAnsi="ˎ̥" w:cs="宋体"/>
                <w:bCs/>
                <w:sz w:val="15"/>
                <w:szCs w:val="15"/>
              </w:rPr>
            </w:pPr>
          </w:p>
        </w:tc>
        <w:tc>
          <w:tcPr>
            <w:tcW w:w="274" w:type="pct"/>
            <w:vMerge w:val="continue"/>
            <w:tcBorders>
              <w:left w:val="single" w:color="auto" w:sz="4" w:space="0"/>
              <w:bottom w:val="single" w:color="auto" w:sz="4" w:space="0"/>
              <w:right w:val="single" w:color="auto" w:sz="4" w:space="0"/>
            </w:tcBorders>
            <w:vAlign w:val="center"/>
          </w:tcPr>
          <w:p>
            <w:pPr>
              <w:widowControl/>
              <w:jc w:val="center"/>
              <w:rPr>
                <w:rFonts w:ascii="ˎ̥" w:hAnsi="ˎ̥" w:cs="宋体"/>
                <w:bCs/>
                <w:sz w:val="15"/>
                <w:szCs w:val="15"/>
              </w:rPr>
            </w:pPr>
          </w:p>
        </w:tc>
        <w:tc>
          <w:tcPr>
            <w:tcW w:w="273" w:type="pct"/>
            <w:vMerge w:val="continue"/>
            <w:tcBorders>
              <w:left w:val="single" w:color="auto" w:sz="4" w:space="0"/>
              <w:bottom w:val="single" w:color="auto" w:sz="4" w:space="0"/>
              <w:right w:val="single" w:color="auto" w:sz="4" w:space="0"/>
            </w:tcBorders>
          </w:tcPr>
          <w:p>
            <w:pPr>
              <w:widowControl/>
              <w:jc w:val="center"/>
              <w:rPr>
                <w:rFonts w:ascii="ˎ̥" w:hAnsi="ˎ̥" w:cs="宋体"/>
                <w:bCs/>
                <w:sz w:val="15"/>
                <w:szCs w:val="15"/>
              </w:rPr>
            </w:pPr>
          </w:p>
        </w:tc>
        <w:tc>
          <w:tcPr>
            <w:tcW w:w="228" w:type="pct"/>
            <w:vMerge w:val="continue"/>
            <w:tcBorders>
              <w:left w:val="single" w:color="auto" w:sz="4" w:space="0"/>
              <w:bottom w:val="single" w:color="auto" w:sz="4" w:space="0"/>
              <w:right w:val="single" w:color="auto" w:sz="4" w:space="0"/>
            </w:tcBorders>
            <w:vAlign w:val="center"/>
          </w:tcPr>
          <w:p>
            <w:pPr>
              <w:widowControl/>
              <w:jc w:val="center"/>
              <w:rPr>
                <w:rFonts w:ascii="ˎ̥" w:hAnsi="ˎ̥" w:cs="宋体"/>
                <w:bCs/>
                <w:sz w:val="15"/>
                <w:szCs w:val="15"/>
              </w:rPr>
            </w:pPr>
          </w:p>
        </w:tc>
        <w:tc>
          <w:tcPr>
            <w:tcW w:w="274" w:type="pct"/>
            <w:vMerge w:val="continue"/>
            <w:tcBorders>
              <w:left w:val="single" w:color="auto" w:sz="4" w:space="0"/>
              <w:bottom w:val="single" w:color="auto" w:sz="4" w:space="0"/>
              <w:right w:val="single" w:color="auto" w:sz="4" w:space="0"/>
            </w:tcBorders>
            <w:vAlign w:val="center"/>
          </w:tcPr>
          <w:p>
            <w:pPr>
              <w:widowControl/>
              <w:jc w:val="center"/>
              <w:rPr>
                <w:rFonts w:ascii="ˎ̥" w:hAnsi="ˎ̥" w:cs="宋体"/>
                <w:bCs/>
                <w:sz w:val="15"/>
                <w:szCs w:val="15"/>
              </w:rPr>
            </w:pPr>
          </w:p>
        </w:tc>
        <w:tc>
          <w:tcPr>
            <w:tcW w:w="273" w:type="pct"/>
            <w:vMerge w:val="continue"/>
            <w:tcBorders>
              <w:left w:val="single" w:color="auto" w:sz="4" w:space="0"/>
              <w:bottom w:val="single" w:color="auto" w:sz="4" w:space="0"/>
              <w:right w:val="single" w:color="auto" w:sz="4" w:space="0"/>
            </w:tcBorders>
            <w:vAlign w:val="center"/>
          </w:tcPr>
          <w:p>
            <w:pPr>
              <w:widowControl/>
              <w:jc w:val="center"/>
              <w:rPr>
                <w:rFonts w:ascii="ˎ̥" w:hAnsi="ˎ̥" w:cs="宋体"/>
                <w:bCs/>
                <w:sz w:val="15"/>
                <w:szCs w:val="15"/>
              </w:rPr>
            </w:pPr>
          </w:p>
        </w:tc>
        <w:tc>
          <w:tcPr>
            <w:tcW w:w="22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ˎ̥" w:hAnsi="ˎ̥" w:cs="宋体"/>
                <w:bCs/>
                <w:sz w:val="15"/>
                <w:szCs w:val="15"/>
              </w:rPr>
            </w:pPr>
            <w:r>
              <w:rPr>
                <w:rFonts w:hint="eastAsia" w:ascii="ˎ̥" w:hAnsi="ˎ̥" w:cs="宋体"/>
                <w:bCs/>
                <w:sz w:val="15"/>
                <w:szCs w:val="15"/>
              </w:rPr>
              <w:t>2019年咨询项目数（个）</w:t>
            </w:r>
          </w:p>
        </w:tc>
        <w:tc>
          <w:tcPr>
            <w:tcW w:w="27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ˎ̥" w:hAnsi="ˎ̥" w:cs="宋体"/>
                <w:bCs/>
                <w:sz w:val="15"/>
                <w:szCs w:val="15"/>
              </w:rPr>
            </w:pPr>
            <w:r>
              <w:rPr>
                <w:rFonts w:hint="eastAsia" w:ascii="ˎ̥" w:hAnsi="ˎ̥" w:cs="宋体"/>
                <w:bCs/>
                <w:sz w:val="15"/>
                <w:szCs w:val="15"/>
              </w:rPr>
              <w:t>2019年咨询项目总造价（万元）</w:t>
            </w:r>
          </w:p>
        </w:tc>
        <w:tc>
          <w:tcPr>
            <w:tcW w:w="36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ˎ̥" w:hAnsi="ˎ̥" w:cs="宋体"/>
                <w:bCs/>
                <w:sz w:val="15"/>
                <w:szCs w:val="15"/>
              </w:rPr>
            </w:pPr>
            <w:r>
              <w:rPr>
                <w:rFonts w:hint="eastAsia" w:ascii="ˎ̥" w:hAnsi="ˎ̥" w:cs="宋体"/>
                <w:bCs/>
                <w:sz w:val="15"/>
                <w:szCs w:val="15"/>
              </w:rPr>
              <w:t>2019年咨询项目审减（增）额（万元）</w:t>
            </w:r>
          </w:p>
        </w:tc>
        <w:tc>
          <w:tcPr>
            <w:tcW w:w="32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ˎ̥" w:hAnsi="ˎ̥" w:cs="宋体"/>
                <w:bCs/>
                <w:sz w:val="15"/>
                <w:szCs w:val="15"/>
              </w:rPr>
            </w:pPr>
            <w:r>
              <w:rPr>
                <w:rFonts w:hint="eastAsia" w:ascii="ˎ̥" w:hAnsi="ˎ̥" w:cs="宋体"/>
                <w:bCs/>
                <w:sz w:val="15"/>
                <w:szCs w:val="15"/>
              </w:rPr>
              <w:t>2019年咨询收入合计（万元）</w:t>
            </w:r>
          </w:p>
        </w:tc>
        <w:tc>
          <w:tcPr>
            <w:tcW w:w="228"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ˎ̥" w:hAnsi="ˎ̥" w:cs="宋体"/>
                <w:bCs/>
                <w:sz w:val="15"/>
                <w:szCs w:val="15"/>
              </w:rPr>
            </w:pPr>
            <w:r>
              <w:rPr>
                <w:rFonts w:hint="eastAsia" w:ascii="ˎ̥" w:hAnsi="ˎ̥" w:cs="宋体"/>
                <w:bCs/>
                <w:sz w:val="15"/>
                <w:szCs w:val="15"/>
              </w:rPr>
              <w:t>项目1</w:t>
            </w:r>
          </w:p>
          <w:p>
            <w:pPr>
              <w:widowControl/>
              <w:jc w:val="center"/>
              <w:rPr>
                <w:rFonts w:hint="eastAsia" w:ascii="ˎ̥" w:hAnsi="ˎ̥" w:cs="宋体"/>
                <w:bCs/>
                <w:sz w:val="15"/>
                <w:szCs w:val="15"/>
              </w:rPr>
            </w:pPr>
            <w:r>
              <w:rPr>
                <w:rFonts w:hint="eastAsia" w:ascii="ˎ̥" w:hAnsi="ˎ̥" w:cs="宋体"/>
                <w:bCs/>
                <w:sz w:val="15"/>
                <w:szCs w:val="15"/>
              </w:rPr>
              <w:t>得分</w:t>
            </w:r>
          </w:p>
        </w:tc>
        <w:tc>
          <w:tcPr>
            <w:tcW w:w="228"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ˎ̥" w:hAnsi="ˎ̥" w:cs="宋体"/>
                <w:bCs/>
                <w:sz w:val="15"/>
                <w:szCs w:val="15"/>
              </w:rPr>
            </w:pPr>
            <w:r>
              <w:rPr>
                <w:rFonts w:hint="eastAsia" w:ascii="ˎ̥" w:hAnsi="ˎ̥" w:cs="宋体"/>
                <w:bCs/>
                <w:sz w:val="15"/>
                <w:szCs w:val="15"/>
              </w:rPr>
              <w:t>项目2</w:t>
            </w:r>
          </w:p>
          <w:p>
            <w:pPr>
              <w:widowControl/>
              <w:jc w:val="center"/>
              <w:rPr>
                <w:rFonts w:hint="eastAsia" w:ascii="ˎ̥" w:hAnsi="ˎ̥" w:cs="宋体"/>
                <w:bCs/>
                <w:sz w:val="15"/>
                <w:szCs w:val="15"/>
              </w:rPr>
            </w:pPr>
            <w:r>
              <w:rPr>
                <w:rFonts w:hint="eastAsia" w:ascii="ˎ̥" w:hAnsi="ˎ̥" w:cs="宋体"/>
                <w:bCs/>
                <w:sz w:val="15"/>
                <w:szCs w:val="15"/>
              </w:rPr>
              <w:t>得分</w:t>
            </w:r>
          </w:p>
        </w:tc>
        <w:tc>
          <w:tcPr>
            <w:tcW w:w="27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ˎ̥" w:hAnsi="ˎ̥" w:cs="宋体"/>
                <w:bCs/>
                <w:sz w:val="15"/>
                <w:szCs w:val="15"/>
              </w:rPr>
            </w:pPr>
            <w:r>
              <w:rPr>
                <w:rFonts w:hint="eastAsia" w:ascii="ˎ̥" w:hAnsi="ˎ̥" w:cs="宋体"/>
                <w:bCs/>
                <w:sz w:val="15"/>
                <w:szCs w:val="15"/>
              </w:rPr>
              <w:t>最终得分</w:t>
            </w:r>
          </w:p>
        </w:tc>
        <w:tc>
          <w:tcPr>
            <w:tcW w:w="45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ˎ̥" w:hAnsi="ˎ̥" w:cs="宋体"/>
                <w:bCs/>
                <w:sz w:val="15"/>
                <w:szCs w:val="15"/>
              </w:rPr>
            </w:pPr>
            <w:r>
              <w:rPr>
                <w:rFonts w:hint="eastAsia" w:ascii="ˎ̥" w:hAnsi="ˎ̥" w:cs="宋体"/>
                <w:sz w:val="18"/>
                <w:szCs w:val="18"/>
              </w:rPr>
              <w:t>是否有《工程造价咨询企业管理办法》第二十五条和《注册造价工程师管理办法》第二十条行为</w:t>
            </w:r>
          </w:p>
        </w:tc>
        <w:tc>
          <w:tcPr>
            <w:tcW w:w="27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ˎ̥" w:hAnsi="ˎ̥" w:cs="宋体"/>
                <w:bCs/>
                <w:sz w:val="15"/>
                <w:szCs w:val="15"/>
              </w:rPr>
            </w:pPr>
            <w:r>
              <w:rPr>
                <w:rFonts w:hint="eastAsia" w:ascii="ˎ̥" w:hAnsi="ˎ̥" w:cs="宋体"/>
                <w:bCs/>
                <w:sz w:val="15"/>
                <w:szCs w:val="15"/>
              </w:rPr>
              <w:t>检查</w:t>
            </w:r>
          </w:p>
          <w:p>
            <w:pPr>
              <w:widowControl/>
              <w:jc w:val="center"/>
              <w:rPr>
                <w:rFonts w:ascii="ˎ̥" w:hAnsi="ˎ̥" w:cs="宋体"/>
                <w:bCs/>
                <w:sz w:val="15"/>
                <w:szCs w:val="15"/>
              </w:rPr>
            </w:pPr>
            <w:r>
              <w:rPr>
                <w:rFonts w:hint="eastAsia" w:ascii="ˎ̥" w:hAnsi="ˎ̥" w:cs="宋体"/>
                <w:bCs/>
                <w:sz w:val="15"/>
                <w:szCs w:val="15"/>
              </w:rPr>
              <w:t>结论</w:t>
            </w:r>
          </w:p>
        </w:tc>
        <w:tc>
          <w:tcPr>
            <w:tcW w:w="38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ˎ̥" w:hAnsi="ˎ̥" w:cs="宋体"/>
                <w:bCs/>
                <w:sz w:val="15"/>
                <w:szCs w:val="15"/>
              </w:rPr>
            </w:pPr>
            <w:r>
              <w:rPr>
                <w:rFonts w:hint="eastAsia" w:ascii="ˎ̥" w:hAnsi="ˎ̥" w:cs="宋体"/>
                <w:bCs/>
                <w:sz w:val="15"/>
                <w:szCs w:val="15"/>
              </w:rPr>
              <w:t>处理情况</w:t>
            </w:r>
          </w:p>
        </w:tc>
        <w:tc>
          <w:tcPr>
            <w:tcW w:w="297" w:type="pct"/>
            <w:vMerge w:val="continue"/>
            <w:tcBorders>
              <w:left w:val="single" w:color="auto" w:sz="4" w:space="0"/>
              <w:bottom w:val="single" w:color="auto" w:sz="4" w:space="0"/>
              <w:right w:val="single" w:color="auto" w:sz="4" w:space="0"/>
            </w:tcBorders>
            <w:vAlign w:val="center"/>
          </w:tcPr>
          <w:p>
            <w:pPr>
              <w:widowControl/>
              <w:rPr>
                <w:rFonts w:ascii="ˎ̥" w:hAnsi="ˎ̥" w:cs="宋体"/>
                <w:bCs/>
                <w:sz w:val="15"/>
                <w:szCs w:val="15"/>
              </w:rPr>
            </w:pPr>
          </w:p>
        </w:tc>
      </w:tr>
      <w:tr>
        <w:tblPrEx>
          <w:tblCellMar>
            <w:top w:w="0" w:type="dxa"/>
            <w:left w:w="108" w:type="dxa"/>
            <w:bottom w:w="0" w:type="dxa"/>
            <w:right w:w="108" w:type="dxa"/>
          </w:tblCellMar>
        </w:tblPrEx>
        <w:trPr>
          <w:trHeight w:val="680" w:hRule="atLeast"/>
        </w:trPr>
        <w:tc>
          <w:tcPr>
            <w:tcW w:w="172"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182" w:type="pct"/>
            <w:tcBorders>
              <w:top w:val="single" w:color="auto" w:sz="4" w:space="0"/>
              <w:left w:val="single" w:color="auto" w:sz="4" w:space="0"/>
              <w:bottom w:val="single" w:color="auto" w:sz="4" w:space="0"/>
              <w:right w:val="single" w:color="auto" w:sz="4" w:space="0"/>
            </w:tcBorders>
          </w:tcPr>
          <w:p>
            <w:pPr>
              <w:widowControl/>
              <w:ind w:left="-214" w:leftChars="-102" w:firstLine="153" w:firstLineChars="102"/>
              <w:rPr>
                <w:rFonts w:ascii="ˎ̥" w:hAnsi="ˎ̥" w:cs="宋体"/>
                <w:bCs/>
                <w:sz w:val="15"/>
                <w:szCs w:val="15"/>
              </w:rPr>
            </w:pPr>
          </w:p>
        </w:tc>
        <w:tc>
          <w:tcPr>
            <w:tcW w:w="274" w:type="pct"/>
            <w:tcBorders>
              <w:top w:val="single" w:color="auto" w:sz="4" w:space="0"/>
              <w:left w:val="single" w:color="auto" w:sz="4" w:space="0"/>
              <w:bottom w:val="single" w:color="auto" w:sz="4" w:space="0"/>
              <w:right w:val="single" w:color="auto" w:sz="4" w:space="0"/>
            </w:tcBorders>
          </w:tcPr>
          <w:p>
            <w:pPr>
              <w:widowControl/>
              <w:ind w:left="-214" w:leftChars="-102" w:firstLine="153" w:firstLineChars="102"/>
              <w:rPr>
                <w:rFonts w:ascii="ˎ̥" w:hAnsi="ˎ̥" w:cs="宋体"/>
                <w:bCs/>
                <w:sz w:val="15"/>
                <w:szCs w:val="15"/>
              </w:rPr>
            </w:pPr>
          </w:p>
        </w:tc>
        <w:tc>
          <w:tcPr>
            <w:tcW w:w="273"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28"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4"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3"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27"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3"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364"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320"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28"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28"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3"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453"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3"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388"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97"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r>
      <w:tr>
        <w:tblPrEx>
          <w:tblCellMar>
            <w:top w:w="0" w:type="dxa"/>
            <w:left w:w="108" w:type="dxa"/>
            <w:bottom w:w="0" w:type="dxa"/>
            <w:right w:w="108" w:type="dxa"/>
          </w:tblCellMar>
        </w:tblPrEx>
        <w:trPr>
          <w:trHeight w:val="680" w:hRule="atLeast"/>
        </w:trPr>
        <w:tc>
          <w:tcPr>
            <w:tcW w:w="172"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182"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4"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3"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28"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4"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3"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27"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3"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364"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320"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28"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28"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3"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453"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3"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388"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97"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r>
      <w:tr>
        <w:tblPrEx>
          <w:tblCellMar>
            <w:top w:w="0" w:type="dxa"/>
            <w:left w:w="108" w:type="dxa"/>
            <w:bottom w:w="0" w:type="dxa"/>
            <w:right w:w="108" w:type="dxa"/>
          </w:tblCellMar>
        </w:tblPrEx>
        <w:trPr>
          <w:trHeight w:val="680" w:hRule="atLeast"/>
        </w:trPr>
        <w:tc>
          <w:tcPr>
            <w:tcW w:w="172"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182"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4"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3"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28"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4"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3"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27"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3"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364"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320"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28"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28"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3"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453"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3"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388"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97"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r>
      <w:tr>
        <w:tblPrEx>
          <w:tblCellMar>
            <w:top w:w="0" w:type="dxa"/>
            <w:left w:w="108" w:type="dxa"/>
            <w:bottom w:w="0" w:type="dxa"/>
            <w:right w:w="108" w:type="dxa"/>
          </w:tblCellMar>
        </w:tblPrEx>
        <w:trPr>
          <w:trHeight w:val="680" w:hRule="atLeast"/>
        </w:trPr>
        <w:tc>
          <w:tcPr>
            <w:tcW w:w="172"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182"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4"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3"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28"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4"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3"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27"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3"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364"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320"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28"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28"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3"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453"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3"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388"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97"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r>
      <w:tr>
        <w:tblPrEx>
          <w:tblCellMar>
            <w:top w:w="0" w:type="dxa"/>
            <w:left w:w="108" w:type="dxa"/>
            <w:bottom w:w="0" w:type="dxa"/>
            <w:right w:w="108" w:type="dxa"/>
          </w:tblCellMar>
        </w:tblPrEx>
        <w:trPr>
          <w:trHeight w:val="680" w:hRule="atLeast"/>
        </w:trPr>
        <w:tc>
          <w:tcPr>
            <w:tcW w:w="172"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182"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4"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3"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28"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4"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3"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27"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3"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364"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320"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28"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28"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3"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453"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3"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388"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97"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r>
      <w:tr>
        <w:tblPrEx>
          <w:tblCellMar>
            <w:top w:w="0" w:type="dxa"/>
            <w:left w:w="108" w:type="dxa"/>
            <w:bottom w:w="0" w:type="dxa"/>
            <w:right w:w="108" w:type="dxa"/>
          </w:tblCellMar>
        </w:tblPrEx>
        <w:trPr>
          <w:trHeight w:val="680" w:hRule="atLeast"/>
        </w:trPr>
        <w:tc>
          <w:tcPr>
            <w:tcW w:w="172"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182"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4"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3"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28"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4"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3"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27"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3"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364"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320"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28"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28"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3"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453"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3"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388"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97"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r>
      <w:tr>
        <w:tblPrEx>
          <w:tblCellMar>
            <w:top w:w="0" w:type="dxa"/>
            <w:left w:w="108" w:type="dxa"/>
            <w:bottom w:w="0" w:type="dxa"/>
            <w:right w:w="108" w:type="dxa"/>
          </w:tblCellMar>
        </w:tblPrEx>
        <w:trPr>
          <w:trHeight w:val="680" w:hRule="atLeast"/>
        </w:trPr>
        <w:tc>
          <w:tcPr>
            <w:tcW w:w="172"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182"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4"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3"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28"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4"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3"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27"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3"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364"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320"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28"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28"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3"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453"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3"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388"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97"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r>
      <w:tr>
        <w:tblPrEx>
          <w:tblCellMar>
            <w:top w:w="0" w:type="dxa"/>
            <w:left w:w="108" w:type="dxa"/>
            <w:bottom w:w="0" w:type="dxa"/>
            <w:right w:w="108" w:type="dxa"/>
          </w:tblCellMar>
        </w:tblPrEx>
        <w:trPr>
          <w:trHeight w:val="680" w:hRule="atLeast"/>
        </w:trPr>
        <w:tc>
          <w:tcPr>
            <w:tcW w:w="172"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182"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4"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3"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28"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4"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3"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27"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3"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364"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320"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28"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28"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3"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453"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73"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388"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c>
          <w:tcPr>
            <w:tcW w:w="297" w:type="pct"/>
            <w:tcBorders>
              <w:top w:val="single" w:color="auto" w:sz="4" w:space="0"/>
              <w:left w:val="single" w:color="auto" w:sz="4" w:space="0"/>
              <w:bottom w:val="single" w:color="auto" w:sz="4" w:space="0"/>
              <w:right w:val="single" w:color="auto" w:sz="4" w:space="0"/>
            </w:tcBorders>
          </w:tcPr>
          <w:p>
            <w:pPr>
              <w:widowControl/>
              <w:rPr>
                <w:rFonts w:ascii="ˎ̥" w:hAnsi="ˎ̥" w:cs="宋体"/>
                <w:bCs/>
                <w:sz w:val="15"/>
                <w:szCs w:val="15"/>
              </w:rPr>
            </w:pPr>
          </w:p>
        </w:tc>
      </w:tr>
    </w:tbl>
    <w:p>
      <w:pPr>
        <w:widowControl/>
        <w:jc w:val="left"/>
        <w:rPr>
          <w:rFonts w:hint="eastAsia" w:ascii="ˎ̥" w:hAnsi="ˎ̥" w:cs="宋体"/>
          <w:b/>
          <w:bCs/>
          <w:sz w:val="18"/>
          <w:szCs w:val="18"/>
        </w:rPr>
        <w:sectPr>
          <w:pgSz w:w="16839" w:h="11907" w:orient="landscape"/>
          <w:pgMar w:top="720" w:right="720" w:bottom="720" w:left="720" w:header="851" w:footer="992" w:gutter="0"/>
          <w:cols w:space="720" w:num="1"/>
          <w:docGrid w:type="linesAndChars" w:linePitch="381" w:charSpace="0"/>
        </w:sectPr>
      </w:pPr>
      <w:r>
        <w:rPr>
          <w:rFonts w:hint="eastAsia" w:ascii="ˎ̥" w:hAnsi="ˎ̥" w:cs="宋体"/>
          <w:b/>
          <w:bCs/>
          <w:sz w:val="18"/>
          <w:szCs w:val="18"/>
        </w:rPr>
        <w:t>填表说明：此汇总表为地市建设主管部门填报，请用Excel表格形式将此汇总表连同检查报告电子版一并上传省建设工程标准定额管理总站</w:t>
      </w:r>
    </w:p>
    <w:tbl>
      <w:tblPr>
        <w:tblStyle w:val="2"/>
        <w:tblW w:w="14880" w:type="dxa"/>
        <w:tblInd w:w="96" w:type="dxa"/>
        <w:tblLayout w:type="autofit"/>
        <w:tblCellMar>
          <w:top w:w="0" w:type="dxa"/>
          <w:left w:w="108" w:type="dxa"/>
          <w:bottom w:w="0" w:type="dxa"/>
          <w:right w:w="108" w:type="dxa"/>
        </w:tblCellMar>
      </w:tblPr>
      <w:tblGrid>
        <w:gridCol w:w="400"/>
        <w:gridCol w:w="460"/>
        <w:gridCol w:w="1000"/>
        <w:gridCol w:w="680"/>
        <w:gridCol w:w="580"/>
        <w:gridCol w:w="580"/>
        <w:gridCol w:w="560"/>
        <w:gridCol w:w="580"/>
        <w:gridCol w:w="580"/>
        <w:gridCol w:w="580"/>
        <w:gridCol w:w="580"/>
        <w:gridCol w:w="560"/>
        <w:gridCol w:w="740"/>
        <w:gridCol w:w="760"/>
        <w:gridCol w:w="800"/>
        <w:gridCol w:w="780"/>
        <w:gridCol w:w="640"/>
        <w:gridCol w:w="1000"/>
        <w:gridCol w:w="580"/>
        <w:gridCol w:w="640"/>
        <w:gridCol w:w="620"/>
        <w:gridCol w:w="620"/>
        <w:gridCol w:w="560"/>
      </w:tblGrid>
      <w:tr>
        <w:tblPrEx>
          <w:tblCellMar>
            <w:top w:w="0" w:type="dxa"/>
            <w:left w:w="108" w:type="dxa"/>
            <w:bottom w:w="0" w:type="dxa"/>
            <w:right w:w="108" w:type="dxa"/>
          </w:tblCellMar>
        </w:tblPrEx>
        <w:trPr>
          <w:trHeight w:val="780" w:hRule="atLeast"/>
        </w:trPr>
        <w:tc>
          <w:tcPr>
            <w:tcW w:w="14880" w:type="dxa"/>
            <w:gridSpan w:val="23"/>
            <w:tcBorders>
              <w:top w:val="nil"/>
              <w:left w:val="nil"/>
              <w:bottom w:val="nil"/>
              <w:right w:val="nil"/>
            </w:tcBorders>
            <w:shd w:val="clear" w:color="auto" w:fill="auto"/>
            <w:vAlign w:val="center"/>
          </w:tcPr>
          <w:p>
            <w:pPr>
              <w:widowControl/>
              <w:jc w:val="left"/>
              <w:rPr>
                <w:rFonts w:ascii="宋体" w:hAnsi="宋体" w:cs="宋体"/>
                <w:b/>
                <w:bCs/>
                <w:color w:val="000000"/>
                <w:kern w:val="0"/>
                <w:sz w:val="40"/>
                <w:szCs w:val="40"/>
              </w:rPr>
            </w:pPr>
            <w:r>
              <w:rPr>
                <w:rFonts w:hint="eastAsia" w:ascii="ˎ̥" w:hAnsi="ˎ̥" w:cs="宋体"/>
                <w:bCs/>
              </w:rPr>
              <w:t xml:space="preserve">附件4: </w:t>
            </w:r>
            <w:r>
              <w:rPr>
                <w:rFonts w:hint="eastAsia" w:ascii="宋体" w:hAnsi="宋体" w:cs="宋体"/>
                <w:b/>
                <w:bCs/>
                <w:color w:val="000000"/>
                <w:kern w:val="0"/>
                <w:sz w:val="40"/>
                <w:szCs w:val="40"/>
              </w:rPr>
              <w:t xml:space="preserve">                </w:t>
            </w:r>
            <w:r>
              <w:rPr>
                <w:rFonts w:hint="eastAsia" w:ascii="ˎ̥" w:hAnsi="ˎ̥" w:cs="宋体"/>
                <w:b/>
                <w:bCs/>
                <w:sz w:val="36"/>
                <w:szCs w:val="36"/>
              </w:rPr>
              <w:t xml:space="preserve"> 清单计价标准实施情况监督检查表</w:t>
            </w:r>
          </w:p>
        </w:tc>
      </w:tr>
      <w:tr>
        <w:tblPrEx>
          <w:tblCellMar>
            <w:top w:w="0" w:type="dxa"/>
            <w:left w:w="108" w:type="dxa"/>
            <w:bottom w:w="0" w:type="dxa"/>
            <w:right w:w="108" w:type="dxa"/>
          </w:tblCellMar>
        </w:tblPrEx>
        <w:trPr>
          <w:trHeight w:val="600" w:hRule="atLeast"/>
        </w:trPr>
        <w:tc>
          <w:tcPr>
            <w:tcW w:w="14880" w:type="dxa"/>
            <w:gridSpan w:val="23"/>
            <w:tcBorders>
              <w:top w:val="nil"/>
              <w:left w:val="nil"/>
              <w:bottom w:val="single" w:color="auto" w:sz="4" w:space="0"/>
              <w:right w:val="nil"/>
            </w:tcBorders>
            <w:shd w:val="clear" w:color="auto" w:fill="auto"/>
            <w:vAlign w:val="center"/>
          </w:tcPr>
          <w:p>
            <w:pPr>
              <w:widowControl/>
              <w:jc w:val="left"/>
              <w:rPr>
                <w:rFonts w:ascii="宋体" w:hAnsi="宋体" w:cs="宋体"/>
                <w:bCs/>
                <w:color w:val="000000"/>
                <w:kern w:val="0"/>
                <w:sz w:val="15"/>
                <w:szCs w:val="15"/>
              </w:rPr>
            </w:pPr>
            <w:r>
              <w:rPr>
                <w:rFonts w:hint="eastAsia" w:ascii="宋体" w:hAnsi="宋体" w:cs="宋体"/>
                <w:bCs/>
                <w:color w:val="000000"/>
                <w:kern w:val="0"/>
                <w:sz w:val="15"/>
                <w:szCs w:val="15"/>
              </w:rPr>
              <w:t>企业名称：</w:t>
            </w:r>
          </w:p>
        </w:tc>
      </w:tr>
      <w:tr>
        <w:tblPrEx>
          <w:tblCellMar>
            <w:top w:w="0" w:type="dxa"/>
            <w:left w:w="108" w:type="dxa"/>
            <w:bottom w:w="0" w:type="dxa"/>
            <w:right w:w="108" w:type="dxa"/>
          </w:tblCellMar>
        </w:tblPrEx>
        <w:trPr>
          <w:trHeight w:val="624" w:hRule="atLeast"/>
        </w:trPr>
        <w:tc>
          <w:tcPr>
            <w:tcW w:w="4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5"/>
                <w:szCs w:val="15"/>
              </w:rPr>
            </w:pPr>
            <w:r>
              <w:rPr>
                <w:rFonts w:hint="eastAsia" w:ascii="宋体" w:hAnsi="宋体" w:cs="宋体"/>
                <w:bCs/>
                <w:color w:val="000000"/>
                <w:kern w:val="0"/>
                <w:sz w:val="15"/>
                <w:szCs w:val="15"/>
              </w:rPr>
              <w:t>序号</w:t>
            </w:r>
          </w:p>
        </w:tc>
        <w:tc>
          <w:tcPr>
            <w:tcW w:w="4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5"/>
                <w:szCs w:val="15"/>
              </w:rPr>
            </w:pPr>
            <w:r>
              <w:rPr>
                <w:rFonts w:hint="eastAsia" w:ascii="宋体" w:hAnsi="宋体" w:cs="宋体"/>
                <w:bCs/>
                <w:color w:val="000000"/>
                <w:kern w:val="0"/>
                <w:sz w:val="15"/>
                <w:szCs w:val="15"/>
              </w:rPr>
              <w:t>属地</w:t>
            </w:r>
          </w:p>
        </w:tc>
        <w:tc>
          <w:tcPr>
            <w:tcW w:w="5140"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Cs/>
                <w:color w:val="000000"/>
                <w:kern w:val="0"/>
                <w:sz w:val="15"/>
                <w:szCs w:val="15"/>
              </w:rPr>
            </w:pPr>
            <w:r>
              <w:rPr>
                <w:rFonts w:hint="eastAsia" w:ascii="宋体" w:hAnsi="宋体" w:cs="宋体"/>
                <w:bCs/>
                <w:color w:val="000000"/>
                <w:kern w:val="0"/>
                <w:sz w:val="15"/>
                <w:szCs w:val="15"/>
              </w:rPr>
              <w:t>清单计价国家标准贯彻实施情况</w:t>
            </w:r>
          </w:p>
        </w:tc>
        <w:tc>
          <w:tcPr>
            <w:tcW w:w="8880" w:type="dxa"/>
            <w:gridSpan w:val="1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5"/>
                <w:szCs w:val="15"/>
              </w:rPr>
            </w:pPr>
            <w:r>
              <w:rPr>
                <w:rFonts w:hint="eastAsia" w:ascii="宋体" w:hAnsi="宋体" w:cs="宋体"/>
                <w:bCs/>
                <w:color w:val="000000"/>
                <w:kern w:val="0"/>
                <w:sz w:val="15"/>
                <w:szCs w:val="15"/>
              </w:rPr>
              <w:t>清单计价工程项目检查情况</w:t>
            </w:r>
          </w:p>
        </w:tc>
      </w:tr>
      <w:tr>
        <w:tblPrEx>
          <w:tblCellMar>
            <w:top w:w="0" w:type="dxa"/>
            <w:left w:w="108" w:type="dxa"/>
            <w:bottom w:w="0" w:type="dxa"/>
            <w:right w:w="108" w:type="dxa"/>
          </w:tblCellMar>
        </w:tblPrEx>
        <w:trPr>
          <w:trHeight w:val="4211" w:hRule="atLeast"/>
        </w:trPr>
        <w:tc>
          <w:tcPr>
            <w:tcW w:w="4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15"/>
                <w:szCs w:val="15"/>
              </w:rPr>
            </w:pPr>
          </w:p>
        </w:tc>
        <w:tc>
          <w:tcPr>
            <w:tcW w:w="4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15"/>
                <w:szCs w:val="15"/>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5"/>
                <w:szCs w:val="15"/>
              </w:rPr>
            </w:pPr>
            <w:r>
              <w:rPr>
                <w:rFonts w:hint="eastAsia" w:ascii="宋体" w:hAnsi="宋体" w:cs="宋体"/>
                <w:bCs/>
                <w:color w:val="000000"/>
                <w:kern w:val="0"/>
                <w:sz w:val="15"/>
                <w:szCs w:val="15"/>
              </w:rPr>
              <w:t>项目名称</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5"/>
                <w:szCs w:val="15"/>
              </w:rPr>
            </w:pPr>
            <w:r>
              <w:rPr>
                <w:rFonts w:hint="eastAsia" w:ascii="宋体" w:hAnsi="宋体" w:cs="宋体"/>
                <w:bCs/>
                <w:color w:val="000000"/>
                <w:kern w:val="0"/>
                <w:sz w:val="15"/>
                <w:szCs w:val="15"/>
              </w:rPr>
              <w:t>建设地点</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5"/>
                <w:szCs w:val="15"/>
              </w:rPr>
            </w:pPr>
            <w:r>
              <w:rPr>
                <w:rFonts w:hint="eastAsia" w:ascii="宋体" w:hAnsi="宋体" w:cs="宋体"/>
                <w:bCs/>
                <w:color w:val="000000"/>
                <w:kern w:val="0"/>
                <w:sz w:val="15"/>
                <w:szCs w:val="15"/>
              </w:rPr>
              <w:t>政策措施</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5"/>
                <w:szCs w:val="15"/>
              </w:rPr>
            </w:pPr>
            <w:r>
              <w:rPr>
                <w:rFonts w:hint="eastAsia" w:ascii="宋体" w:hAnsi="宋体" w:cs="宋体"/>
                <w:bCs/>
                <w:color w:val="000000"/>
                <w:kern w:val="0"/>
                <w:sz w:val="15"/>
                <w:szCs w:val="15"/>
              </w:rPr>
              <w:t>管理机制</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5"/>
                <w:szCs w:val="15"/>
              </w:rPr>
            </w:pPr>
            <w:r>
              <w:rPr>
                <w:rFonts w:hint="eastAsia" w:ascii="宋体" w:hAnsi="宋体" w:cs="宋体"/>
                <w:bCs/>
                <w:color w:val="000000"/>
                <w:kern w:val="0"/>
                <w:sz w:val="15"/>
                <w:szCs w:val="15"/>
              </w:rPr>
              <w:t>宣贯培训</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5"/>
                <w:szCs w:val="15"/>
              </w:rPr>
            </w:pPr>
            <w:r>
              <w:rPr>
                <w:rFonts w:hint="eastAsia" w:ascii="宋体" w:hAnsi="宋体" w:cs="宋体"/>
                <w:bCs/>
                <w:color w:val="000000"/>
                <w:kern w:val="0"/>
                <w:sz w:val="15"/>
                <w:szCs w:val="15"/>
              </w:rPr>
              <w:t>实施情况</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5"/>
                <w:szCs w:val="15"/>
              </w:rPr>
            </w:pPr>
            <w:r>
              <w:rPr>
                <w:rFonts w:hint="eastAsia" w:ascii="宋体" w:hAnsi="宋体" w:cs="宋体"/>
                <w:bCs/>
                <w:color w:val="000000"/>
                <w:kern w:val="0"/>
                <w:sz w:val="15"/>
                <w:szCs w:val="15"/>
              </w:rPr>
              <w:t>检查结论</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5"/>
                <w:szCs w:val="15"/>
              </w:rPr>
            </w:pPr>
            <w:r>
              <w:rPr>
                <w:rFonts w:hint="eastAsia" w:ascii="宋体" w:hAnsi="宋体" w:cs="宋体"/>
                <w:bCs/>
                <w:color w:val="000000"/>
                <w:kern w:val="0"/>
                <w:sz w:val="15"/>
                <w:szCs w:val="15"/>
              </w:rPr>
              <w:t>处理情况</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5"/>
                <w:szCs w:val="15"/>
              </w:rPr>
            </w:pPr>
            <w:r>
              <w:rPr>
                <w:rFonts w:hint="eastAsia" w:ascii="宋体" w:hAnsi="宋体" w:cs="宋体"/>
                <w:bCs/>
                <w:color w:val="000000"/>
                <w:kern w:val="0"/>
                <w:sz w:val="15"/>
                <w:szCs w:val="15"/>
              </w:rPr>
              <w:t>是否采用工程量清单计价</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5"/>
                <w:szCs w:val="15"/>
              </w:rPr>
            </w:pPr>
            <w:r>
              <w:rPr>
                <w:rFonts w:hint="eastAsia" w:ascii="宋体" w:hAnsi="宋体" w:cs="宋体"/>
                <w:bCs/>
                <w:color w:val="000000"/>
                <w:kern w:val="0"/>
                <w:sz w:val="15"/>
                <w:szCs w:val="15"/>
              </w:rPr>
              <w:t>工程量清单编制是否采用</w:t>
            </w:r>
            <w:r>
              <w:rPr>
                <w:rFonts w:ascii="宋体" w:hAnsi="宋体"/>
                <w:bCs/>
                <w:color w:val="000000"/>
                <w:kern w:val="0"/>
                <w:sz w:val="15"/>
                <w:szCs w:val="15"/>
              </w:rPr>
              <w:t>2013</w:t>
            </w:r>
            <w:r>
              <w:rPr>
                <w:rFonts w:hint="eastAsia" w:ascii="宋体" w:hAnsi="宋体" w:cs="宋体"/>
                <w:bCs/>
                <w:color w:val="000000"/>
                <w:kern w:val="0"/>
                <w:sz w:val="15"/>
                <w:szCs w:val="15"/>
              </w:rPr>
              <w:t>清单规范</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5"/>
                <w:szCs w:val="15"/>
              </w:rPr>
            </w:pPr>
            <w:r>
              <w:rPr>
                <w:rFonts w:hint="eastAsia" w:ascii="宋体" w:hAnsi="宋体" w:cs="宋体"/>
                <w:bCs/>
                <w:color w:val="000000"/>
                <w:kern w:val="0"/>
                <w:sz w:val="15"/>
                <w:szCs w:val="15"/>
              </w:rPr>
              <w:t>招标人是否编制了招标控制价及招标控制价是否按规定编制</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5"/>
                <w:szCs w:val="15"/>
              </w:rPr>
            </w:pPr>
            <w:r>
              <w:rPr>
                <w:rFonts w:hint="eastAsia" w:ascii="宋体" w:hAnsi="宋体" w:cs="宋体"/>
                <w:bCs/>
                <w:color w:val="000000"/>
                <w:kern w:val="0"/>
                <w:sz w:val="15"/>
                <w:szCs w:val="15"/>
              </w:rPr>
              <w:t>招标控制价是否采用湖北省</w:t>
            </w:r>
            <w:r>
              <w:rPr>
                <w:rFonts w:ascii="宋体" w:hAnsi="宋体"/>
                <w:bCs/>
                <w:color w:val="000000"/>
                <w:kern w:val="0"/>
                <w:sz w:val="15"/>
                <w:szCs w:val="15"/>
              </w:rPr>
              <w:t>2018</w:t>
            </w:r>
            <w:r>
              <w:rPr>
                <w:rFonts w:hint="eastAsia" w:ascii="宋体" w:hAnsi="宋体" w:cs="宋体"/>
                <w:bCs/>
                <w:color w:val="000000"/>
                <w:kern w:val="0"/>
                <w:sz w:val="15"/>
                <w:szCs w:val="15"/>
              </w:rPr>
              <w:t>版计价定额或</w:t>
            </w:r>
            <w:r>
              <w:rPr>
                <w:rFonts w:ascii="宋体" w:hAnsi="宋体"/>
                <w:bCs/>
                <w:color w:val="000000"/>
                <w:kern w:val="0"/>
                <w:sz w:val="15"/>
                <w:szCs w:val="15"/>
              </w:rPr>
              <w:t>2013</w:t>
            </w:r>
            <w:r>
              <w:rPr>
                <w:rFonts w:hint="eastAsia" w:ascii="宋体" w:hAnsi="宋体" w:cs="宋体"/>
                <w:bCs/>
                <w:color w:val="000000"/>
                <w:kern w:val="0"/>
                <w:sz w:val="15"/>
                <w:szCs w:val="15"/>
              </w:rPr>
              <w:t>版计价定额组价</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5"/>
                <w:szCs w:val="15"/>
              </w:rPr>
            </w:pPr>
            <w:r>
              <w:rPr>
                <w:rFonts w:hint="eastAsia" w:ascii="宋体" w:hAnsi="宋体" w:cs="宋体"/>
                <w:bCs/>
                <w:color w:val="000000"/>
                <w:kern w:val="0"/>
                <w:sz w:val="15"/>
                <w:szCs w:val="15"/>
              </w:rPr>
              <w:t>采用工程量清单投标的工程是否采用综合单价计价</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5"/>
                <w:szCs w:val="15"/>
              </w:rPr>
            </w:pPr>
            <w:r>
              <w:rPr>
                <w:rFonts w:hint="eastAsia" w:ascii="宋体" w:hAnsi="宋体" w:cs="宋体"/>
                <w:bCs/>
                <w:color w:val="000000"/>
                <w:kern w:val="0"/>
                <w:sz w:val="15"/>
                <w:szCs w:val="15"/>
              </w:rPr>
              <w:t>规费、税金和措施项目中的安全文明施工费是否按国家或省级建设主管部门的规定计算</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5"/>
                <w:szCs w:val="15"/>
              </w:rPr>
            </w:pPr>
            <w:r>
              <w:rPr>
                <w:rFonts w:hint="eastAsia" w:ascii="宋体" w:hAnsi="宋体" w:cs="宋体"/>
                <w:bCs/>
                <w:color w:val="000000"/>
                <w:kern w:val="0"/>
                <w:sz w:val="15"/>
                <w:szCs w:val="15"/>
              </w:rPr>
              <w:t>招标文件、合同文件中是否明确了合理的风险内容及其范围</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5"/>
                <w:szCs w:val="15"/>
              </w:rPr>
            </w:pPr>
            <w:r>
              <w:rPr>
                <w:rFonts w:hint="eastAsia" w:ascii="宋体" w:hAnsi="宋体" w:cs="宋体"/>
                <w:bCs/>
                <w:color w:val="000000"/>
                <w:kern w:val="0"/>
                <w:sz w:val="15"/>
                <w:szCs w:val="15"/>
              </w:rPr>
              <w:t>分部分项工程项目清单的项目编码、项目名称、项目特征、计量单位和工程量是否按国家工程量计算规范规定的要求编制</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5"/>
                <w:szCs w:val="15"/>
              </w:rPr>
            </w:pPr>
            <w:r>
              <w:rPr>
                <w:rFonts w:hint="eastAsia" w:ascii="宋体" w:hAnsi="宋体" w:cs="宋体"/>
                <w:bCs/>
                <w:color w:val="000000"/>
                <w:kern w:val="0"/>
                <w:sz w:val="15"/>
                <w:szCs w:val="15"/>
              </w:rPr>
              <w:t>措施项目清单是否按国家工程量计算规范规定的要求编制</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5"/>
                <w:szCs w:val="15"/>
              </w:rPr>
            </w:pPr>
            <w:r>
              <w:rPr>
                <w:rFonts w:hint="eastAsia" w:ascii="宋体" w:hAnsi="宋体" w:cs="宋体"/>
                <w:bCs/>
                <w:color w:val="000000"/>
                <w:kern w:val="0"/>
                <w:sz w:val="15"/>
                <w:szCs w:val="15"/>
              </w:rPr>
              <w:t>工程量计算是否执行现行国家工程量计算规范的计算规则</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5"/>
                <w:szCs w:val="15"/>
              </w:rPr>
            </w:pPr>
            <w:r>
              <w:rPr>
                <w:rFonts w:hint="eastAsia" w:ascii="宋体" w:hAnsi="宋体" w:cs="宋体"/>
                <w:bCs/>
                <w:color w:val="000000"/>
                <w:kern w:val="0"/>
                <w:sz w:val="15"/>
                <w:szCs w:val="15"/>
              </w:rPr>
              <w:t>竣工结算是否在合同约定时间内办理</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5"/>
                <w:szCs w:val="15"/>
              </w:rPr>
            </w:pPr>
            <w:r>
              <w:rPr>
                <w:rFonts w:hint="eastAsia" w:ascii="宋体" w:hAnsi="宋体" w:cs="宋体"/>
                <w:bCs/>
                <w:color w:val="000000"/>
                <w:kern w:val="0"/>
                <w:sz w:val="15"/>
                <w:szCs w:val="15"/>
              </w:rPr>
              <w:t>检查结论</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5"/>
                <w:szCs w:val="15"/>
              </w:rPr>
            </w:pPr>
            <w:r>
              <w:rPr>
                <w:rFonts w:hint="eastAsia" w:ascii="宋体" w:hAnsi="宋体" w:cs="宋体"/>
                <w:bCs/>
                <w:color w:val="000000"/>
                <w:kern w:val="0"/>
                <w:sz w:val="15"/>
                <w:szCs w:val="15"/>
              </w:rPr>
              <w:t>处理情况</w:t>
            </w:r>
          </w:p>
        </w:tc>
      </w:tr>
      <w:tr>
        <w:tblPrEx>
          <w:tblCellMar>
            <w:top w:w="0" w:type="dxa"/>
            <w:left w:w="108" w:type="dxa"/>
            <w:bottom w:w="0" w:type="dxa"/>
            <w:right w:w="108" w:type="dxa"/>
          </w:tblCellMar>
        </w:tblPrEx>
        <w:trPr>
          <w:trHeight w:val="1266" w:hRule="atLeast"/>
        </w:trPr>
        <w:tc>
          <w:tcPr>
            <w:tcW w:w="4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1259" w:hRule="atLeast"/>
        </w:trPr>
        <w:tc>
          <w:tcPr>
            <w:tcW w:w="4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6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bl>
    <w:p>
      <w:pPr>
        <w:rPr>
          <w:szCs w:val="21"/>
        </w:rPr>
      </w:pPr>
    </w:p>
    <w:p>
      <w:pPr>
        <w:widowControl/>
        <w:rPr>
          <w:rFonts w:hint="eastAsia" w:ascii="ˎ̥" w:hAnsi="ˎ̥" w:cs="宋体"/>
          <w:bCs/>
        </w:rPr>
      </w:pPr>
    </w:p>
    <w:p>
      <w:pPr>
        <w:widowControl/>
        <w:rPr>
          <w:rFonts w:hint="eastAsia" w:ascii="ˎ̥" w:hAnsi="ˎ̥" w:cs="宋体"/>
          <w:bCs/>
        </w:rPr>
        <w:sectPr>
          <w:pgSz w:w="16838" w:h="11906" w:orient="landscape"/>
          <w:pgMar w:top="1134" w:right="1440" w:bottom="1134" w:left="1134" w:header="851" w:footer="992" w:gutter="0"/>
          <w:cols w:space="720" w:num="1"/>
          <w:docGrid w:type="lines" w:linePitch="312" w:charSpace="0"/>
        </w:sectPr>
      </w:pPr>
    </w:p>
    <w:p>
      <w:pPr>
        <w:widowControl/>
        <w:rPr>
          <w:rFonts w:hint="eastAsia" w:ascii="ˎ̥" w:hAnsi="ˎ̥" w:cs="宋体"/>
          <w:bCs/>
        </w:rPr>
      </w:pPr>
      <w:r>
        <w:rPr>
          <w:rFonts w:hint="eastAsia" w:ascii="ˎ̥" w:hAnsi="ˎ̥" w:cs="宋体"/>
          <w:bCs/>
        </w:rPr>
        <w:t>附件5：</w:t>
      </w:r>
    </w:p>
    <w:p>
      <w:pPr>
        <w:widowControl/>
        <w:jc w:val="center"/>
        <w:rPr>
          <w:rFonts w:ascii="ˎ̥" w:hAnsi="ˎ̥" w:cs="宋体"/>
          <w:b/>
          <w:bCs/>
          <w:sz w:val="18"/>
          <w:szCs w:val="18"/>
        </w:rPr>
      </w:pPr>
    </w:p>
    <w:p>
      <w:pPr>
        <w:widowControl/>
        <w:jc w:val="center"/>
        <w:rPr>
          <w:rFonts w:ascii="ˎ̥" w:hAnsi="ˎ̥" w:cs="宋体"/>
          <w:b/>
          <w:bCs/>
          <w:sz w:val="36"/>
          <w:szCs w:val="36"/>
        </w:rPr>
      </w:pPr>
      <w:r>
        <w:rPr>
          <w:rFonts w:hint="eastAsia" w:ascii="ˎ̥" w:hAnsi="ˎ̥" w:cs="宋体"/>
          <w:b/>
          <w:bCs/>
          <w:sz w:val="36"/>
          <w:szCs w:val="36"/>
        </w:rPr>
        <w:t>工程造价咨询企业接受检查时应提供的资料清单</w:t>
      </w:r>
    </w:p>
    <w:p>
      <w:pPr>
        <w:widowControl/>
        <w:rPr>
          <w:rFonts w:hint="eastAsia" w:ascii="仿宋_GB2312" w:hAnsi="ˎ̥" w:eastAsia="仿宋_GB2312" w:cs="宋体"/>
          <w:bCs/>
          <w:sz w:val="32"/>
          <w:szCs w:val="32"/>
        </w:rPr>
      </w:pPr>
    </w:p>
    <w:p>
      <w:pPr>
        <w:widowControl/>
        <w:rPr>
          <w:rFonts w:hint="eastAsia" w:ascii="仿宋_GB2312" w:hAnsi="ˎ̥" w:eastAsia="仿宋_GB2312" w:cs="宋体"/>
          <w:b/>
          <w:bCs/>
          <w:sz w:val="32"/>
          <w:szCs w:val="32"/>
        </w:rPr>
      </w:pPr>
      <w:r>
        <w:rPr>
          <w:rFonts w:hint="eastAsia" w:ascii="仿宋_GB2312" w:hAnsi="ˎ̥" w:eastAsia="仿宋_GB2312" w:cs="宋体"/>
          <w:bCs/>
          <w:sz w:val="32"/>
          <w:szCs w:val="32"/>
        </w:rPr>
        <w:t>1．工程造价咨询企业自查自纠情况表；</w:t>
      </w:r>
    </w:p>
    <w:p>
      <w:pPr>
        <w:rPr>
          <w:rFonts w:hint="eastAsia" w:ascii="仿宋_GB2312" w:eastAsia="仿宋_GB2312"/>
          <w:sz w:val="32"/>
          <w:szCs w:val="32"/>
        </w:rPr>
      </w:pPr>
      <w:r>
        <w:rPr>
          <w:rFonts w:hint="eastAsia" w:ascii="仿宋_GB2312" w:eastAsia="仿宋_GB2312"/>
          <w:sz w:val="32"/>
          <w:szCs w:val="32"/>
        </w:rPr>
        <w:t>2、资质证书副本；</w:t>
      </w:r>
    </w:p>
    <w:p>
      <w:pPr>
        <w:rPr>
          <w:rFonts w:hint="eastAsia" w:ascii="仿宋_GB2312" w:eastAsia="仿宋_GB2312"/>
          <w:sz w:val="32"/>
          <w:szCs w:val="32"/>
        </w:rPr>
      </w:pPr>
      <w:r>
        <w:rPr>
          <w:rFonts w:hint="eastAsia" w:ascii="仿宋_GB2312" w:eastAsia="仿宋_GB2312"/>
          <w:sz w:val="32"/>
          <w:szCs w:val="32"/>
        </w:rPr>
        <w:t>3、营业执照副本；</w:t>
      </w:r>
    </w:p>
    <w:p>
      <w:pPr>
        <w:rPr>
          <w:rFonts w:hint="eastAsia" w:ascii="仿宋_GB2312" w:eastAsia="仿宋_GB2312"/>
          <w:sz w:val="32"/>
          <w:szCs w:val="32"/>
        </w:rPr>
      </w:pPr>
      <w:r>
        <w:rPr>
          <w:rFonts w:hint="eastAsia" w:ascii="仿宋_GB2312" w:eastAsia="仿宋_GB2312"/>
          <w:sz w:val="32"/>
          <w:szCs w:val="32"/>
        </w:rPr>
        <w:t>4、</w:t>
      </w:r>
      <w:r>
        <w:rPr>
          <w:rFonts w:hint="eastAsia" w:ascii="仿宋_GB2312" w:hAnsi="ˎ̥" w:eastAsia="仿宋_GB2312" w:cs="宋体"/>
          <w:bCs/>
          <w:sz w:val="32"/>
          <w:szCs w:val="32"/>
        </w:rPr>
        <w:t>执（从）业人员花名册、造价工程师注册证书；</w:t>
      </w:r>
    </w:p>
    <w:p>
      <w:pPr>
        <w:widowControl/>
        <w:rPr>
          <w:rFonts w:hint="eastAsia" w:ascii="仿宋_GB2312" w:hAnsi="ˎ̥" w:eastAsia="仿宋_GB2312" w:cs="宋体"/>
          <w:bCs/>
          <w:sz w:val="32"/>
          <w:szCs w:val="32"/>
        </w:rPr>
      </w:pPr>
      <w:r>
        <w:rPr>
          <w:rFonts w:hint="eastAsia" w:ascii="仿宋_GB2312" w:eastAsia="仿宋_GB2312"/>
          <w:sz w:val="32"/>
          <w:szCs w:val="32"/>
        </w:rPr>
        <w:t>5、</w:t>
      </w:r>
      <w:r>
        <w:rPr>
          <w:rFonts w:hint="eastAsia" w:ascii="仿宋_GB2312" w:hAnsi="ˎ̥" w:eastAsia="仿宋_GB2312" w:cs="宋体"/>
          <w:bCs/>
          <w:sz w:val="32"/>
          <w:szCs w:val="32"/>
        </w:rPr>
        <w:t>2019年工程造价咨询业务台账；</w:t>
      </w:r>
    </w:p>
    <w:p>
      <w:pPr>
        <w:rPr>
          <w:rFonts w:hint="eastAsia" w:ascii="仿宋_GB2312" w:eastAsia="仿宋_GB2312"/>
          <w:sz w:val="32"/>
          <w:szCs w:val="32"/>
        </w:rPr>
      </w:pPr>
      <w:r>
        <w:rPr>
          <w:rFonts w:hint="eastAsia" w:ascii="仿宋_GB2312" w:eastAsia="仿宋_GB2312"/>
          <w:sz w:val="32"/>
          <w:szCs w:val="32"/>
        </w:rPr>
        <w:t>6、</w:t>
      </w:r>
      <w:r>
        <w:rPr>
          <w:rFonts w:hint="eastAsia" w:ascii="仿宋_GB2312" w:hAnsi="ˎ̥" w:eastAsia="仿宋_GB2312" w:cs="宋体"/>
          <w:bCs/>
          <w:sz w:val="32"/>
          <w:szCs w:val="32"/>
        </w:rPr>
        <w:t>2019年工程造价成果文件档案资料；</w:t>
      </w:r>
    </w:p>
    <w:p>
      <w:pPr>
        <w:rPr>
          <w:rFonts w:hint="eastAsia" w:ascii="仿宋_GB2312" w:eastAsia="仿宋_GB2312"/>
          <w:sz w:val="32"/>
          <w:szCs w:val="32"/>
        </w:rPr>
      </w:pPr>
      <w:r>
        <w:rPr>
          <w:rFonts w:hint="eastAsia" w:ascii="仿宋_GB2312" w:eastAsia="仿宋_GB2312"/>
          <w:sz w:val="32"/>
          <w:szCs w:val="32"/>
        </w:rPr>
        <w:t>7、</w:t>
      </w:r>
      <w:r>
        <w:rPr>
          <w:rFonts w:hint="eastAsia" w:ascii="仿宋_GB2312" w:hAnsi="ˎ̥" w:eastAsia="仿宋_GB2312" w:cs="宋体"/>
          <w:bCs/>
          <w:sz w:val="32"/>
          <w:szCs w:val="32"/>
        </w:rPr>
        <w:t>企业相关管理制度；</w:t>
      </w:r>
    </w:p>
    <w:p>
      <w:pPr>
        <w:widowControl/>
        <w:rPr>
          <w:rFonts w:hint="eastAsia" w:ascii="仿宋_GB2312" w:hAnsi="ˎ̥" w:eastAsia="仿宋_GB2312" w:cs="宋体"/>
          <w:bCs/>
          <w:sz w:val="32"/>
          <w:szCs w:val="32"/>
        </w:rPr>
      </w:pPr>
      <w:r>
        <w:rPr>
          <w:rFonts w:hint="eastAsia" w:ascii="仿宋_GB2312" w:hAnsi="ˎ̥" w:eastAsia="仿宋_GB2312" w:cs="宋体"/>
          <w:bCs/>
          <w:sz w:val="32"/>
          <w:szCs w:val="32"/>
        </w:rPr>
        <w:t>8、</w:t>
      </w:r>
      <w:r>
        <w:rPr>
          <w:rFonts w:hint="eastAsia" w:ascii="仿宋_GB2312" w:eastAsia="仿宋_GB2312"/>
          <w:sz w:val="32"/>
          <w:szCs w:val="32"/>
        </w:rPr>
        <w:t>检查需要的其他证明材料。</w:t>
      </w:r>
    </w:p>
    <w:p/>
    <w:sectPr>
      <w:pgSz w:w="11906" w:h="16838"/>
      <w:pgMar w:top="1440"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E3B4C"/>
    <w:rsid w:val="00007B36"/>
    <w:rsid w:val="0001303A"/>
    <w:rsid w:val="000142DB"/>
    <w:rsid w:val="00025E21"/>
    <w:rsid w:val="0003508A"/>
    <w:rsid w:val="00035775"/>
    <w:rsid w:val="00043899"/>
    <w:rsid w:val="000439B2"/>
    <w:rsid w:val="00044AFA"/>
    <w:rsid w:val="000603D7"/>
    <w:rsid w:val="0006058D"/>
    <w:rsid w:val="00065E02"/>
    <w:rsid w:val="0006623E"/>
    <w:rsid w:val="00076A0D"/>
    <w:rsid w:val="000772A6"/>
    <w:rsid w:val="000A2DD1"/>
    <w:rsid w:val="000A47F6"/>
    <w:rsid w:val="000A6CAC"/>
    <w:rsid w:val="000A7346"/>
    <w:rsid w:val="000B0563"/>
    <w:rsid w:val="000B3424"/>
    <w:rsid w:val="000B5F4F"/>
    <w:rsid w:val="000C5122"/>
    <w:rsid w:val="000C5DB4"/>
    <w:rsid w:val="000C62CE"/>
    <w:rsid w:val="000D70F6"/>
    <w:rsid w:val="000E38DC"/>
    <w:rsid w:val="000E5E5B"/>
    <w:rsid w:val="000F186C"/>
    <w:rsid w:val="000F62C3"/>
    <w:rsid w:val="000F6CFF"/>
    <w:rsid w:val="00130DAD"/>
    <w:rsid w:val="0013211D"/>
    <w:rsid w:val="001479E4"/>
    <w:rsid w:val="001529E1"/>
    <w:rsid w:val="001602B2"/>
    <w:rsid w:val="00161D94"/>
    <w:rsid w:val="0016763A"/>
    <w:rsid w:val="00175F1B"/>
    <w:rsid w:val="00176F2E"/>
    <w:rsid w:val="0018410D"/>
    <w:rsid w:val="00185B4C"/>
    <w:rsid w:val="00187016"/>
    <w:rsid w:val="001904A8"/>
    <w:rsid w:val="0019732A"/>
    <w:rsid w:val="00197C77"/>
    <w:rsid w:val="001A485E"/>
    <w:rsid w:val="001D4200"/>
    <w:rsid w:val="001F333D"/>
    <w:rsid w:val="001F3BE1"/>
    <w:rsid w:val="00201F1E"/>
    <w:rsid w:val="0021493A"/>
    <w:rsid w:val="00215DC0"/>
    <w:rsid w:val="002217AE"/>
    <w:rsid w:val="00221E97"/>
    <w:rsid w:val="00225DC1"/>
    <w:rsid w:val="00227E96"/>
    <w:rsid w:val="00232759"/>
    <w:rsid w:val="002328EE"/>
    <w:rsid w:val="0025032E"/>
    <w:rsid w:val="00251728"/>
    <w:rsid w:val="002538CE"/>
    <w:rsid w:val="00256665"/>
    <w:rsid w:val="0026742A"/>
    <w:rsid w:val="00271A81"/>
    <w:rsid w:val="00282F95"/>
    <w:rsid w:val="002A2F68"/>
    <w:rsid w:val="002A3740"/>
    <w:rsid w:val="002A4C87"/>
    <w:rsid w:val="002B289B"/>
    <w:rsid w:val="002B77E9"/>
    <w:rsid w:val="002C03C9"/>
    <w:rsid w:val="002C0DAC"/>
    <w:rsid w:val="002C36FB"/>
    <w:rsid w:val="002C557F"/>
    <w:rsid w:val="002C6215"/>
    <w:rsid w:val="002D0067"/>
    <w:rsid w:val="002D65CB"/>
    <w:rsid w:val="002E26E5"/>
    <w:rsid w:val="002E2E70"/>
    <w:rsid w:val="002F4739"/>
    <w:rsid w:val="002F5A16"/>
    <w:rsid w:val="002F7259"/>
    <w:rsid w:val="00300BAC"/>
    <w:rsid w:val="00302A02"/>
    <w:rsid w:val="00322FFF"/>
    <w:rsid w:val="00326572"/>
    <w:rsid w:val="00326A09"/>
    <w:rsid w:val="00332661"/>
    <w:rsid w:val="00333444"/>
    <w:rsid w:val="003358F6"/>
    <w:rsid w:val="00335DF2"/>
    <w:rsid w:val="003444AF"/>
    <w:rsid w:val="003474BC"/>
    <w:rsid w:val="00351216"/>
    <w:rsid w:val="003739C9"/>
    <w:rsid w:val="003742E8"/>
    <w:rsid w:val="00374C92"/>
    <w:rsid w:val="0038162E"/>
    <w:rsid w:val="0038733E"/>
    <w:rsid w:val="003901DD"/>
    <w:rsid w:val="00396579"/>
    <w:rsid w:val="0039666E"/>
    <w:rsid w:val="003A60E1"/>
    <w:rsid w:val="003B04C5"/>
    <w:rsid w:val="003B081E"/>
    <w:rsid w:val="003B2FC5"/>
    <w:rsid w:val="003C0E93"/>
    <w:rsid w:val="003C1B7F"/>
    <w:rsid w:val="003C2370"/>
    <w:rsid w:val="003C47A9"/>
    <w:rsid w:val="003D40D3"/>
    <w:rsid w:val="003D5324"/>
    <w:rsid w:val="003E6391"/>
    <w:rsid w:val="00406403"/>
    <w:rsid w:val="00406F43"/>
    <w:rsid w:val="004072DF"/>
    <w:rsid w:val="00410786"/>
    <w:rsid w:val="0041265B"/>
    <w:rsid w:val="00413ADB"/>
    <w:rsid w:val="00421653"/>
    <w:rsid w:val="00422D76"/>
    <w:rsid w:val="0044752D"/>
    <w:rsid w:val="00447833"/>
    <w:rsid w:val="004571DE"/>
    <w:rsid w:val="004770D2"/>
    <w:rsid w:val="004B21B2"/>
    <w:rsid w:val="00503AB7"/>
    <w:rsid w:val="005042B7"/>
    <w:rsid w:val="00504C6B"/>
    <w:rsid w:val="00515849"/>
    <w:rsid w:val="00531E2C"/>
    <w:rsid w:val="00542EBE"/>
    <w:rsid w:val="00557379"/>
    <w:rsid w:val="0058449E"/>
    <w:rsid w:val="00597C3A"/>
    <w:rsid w:val="005C6C45"/>
    <w:rsid w:val="005D1B9B"/>
    <w:rsid w:val="005D2314"/>
    <w:rsid w:val="005D7CFF"/>
    <w:rsid w:val="005E65CD"/>
    <w:rsid w:val="005E7141"/>
    <w:rsid w:val="005F208D"/>
    <w:rsid w:val="005F326D"/>
    <w:rsid w:val="005F43C5"/>
    <w:rsid w:val="006001A4"/>
    <w:rsid w:val="006108F1"/>
    <w:rsid w:val="006146FD"/>
    <w:rsid w:val="00635CA3"/>
    <w:rsid w:val="00644888"/>
    <w:rsid w:val="0064744C"/>
    <w:rsid w:val="00651717"/>
    <w:rsid w:val="006521EE"/>
    <w:rsid w:val="006576D9"/>
    <w:rsid w:val="00661CAC"/>
    <w:rsid w:val="00666F18"/>
    <w:rsid w:val="00673A9A"/>
    <w:rsid w:val="0067655C"/>
    <w:rsid w:val="00682C80"/>
    <w:rsid w:val="0068767E"/>
    <w:rsid w:val="006927E6"/>
    <w:rsid w:val="006B1637"/>
    <w:rsid w:val="006B655B"/>
    <w:rsid w:val="006C0A6E"/>
    <w:rsid w:val="006C47DB"/>
    <w:rsid w:val="006D6CF3"/>
    <w:rsid w:val="006E05C4"/>
    <w:rsid w:val="006F261D"/>
    <w:rsid w:val="006F5325"/>
    <w:rsid w:val="00702EA8"/>
    <w:rsid w:val="00706D73"/>
    <w:rsid w:val="00710E8F"/>
    <w:rsid w:val="00713758"/>
    <w:rsid w:val="00713C71"/>
    <w:rsid w:val="00722434"/>
    <w:rsid w:val="007332DF"/>
    <w:rsid w:val="00736090"/>
    <w:rsid w:val="00737576"/>
    <w:rsid w:val="00750EE4"/>
    <w:rsid w:val="0075268F"/>
    <w:rsid w:val="007638FE"/>
    <w:rsid w:val="00763FC8"/>
    <w:rsid w:val="0077783D"/>
    <w:rsid w:val="00783E22"/>
    <w:rsid w:val="007A77C6"/>
    <w:rsid w:val="007B2ED7"/>
    <w:rsid w:val="007C1419"/>
    <w:rsid w:val="007C164C"/>
    <w:rsid w:val="007D6274"/>
    <w:rsid w:val="007E656B"/>
    <w:rsid w:val="007F0220"/>
    <w:rsid w:val="007F069D"/>
    <w:rsid w:val="008048F1"/>
    <w:rsid w:val="008212A6"/>
    <w:rsid w:val="008271C6"/>
    <w:rsid w:val="008343F5"/>
    <w:rsid w:val="008345EC"/>
    <w:rsid w:val="00841323"/>
    <w:rsid w:val="00843C18"/>
    <w:rsid w:val="00847F14"/>
    <w:rsid w:val="00850E49"/>
    <w:rsid w:val="00860941"/>
    <w:rsid w:val="00865946"/>
    <w:rsid w:val="0087688B"/>
    <w:rsid w:val="00884074"/>
    <w:rsid w:val="00886CF3"/>
    <w:rsid w:val="00892A2D"/>
    <w:rsid w:val="00897679"/>
    <w:rsid w:val="008C379B"/>
    <w:rsid w:val="008C5530"/>
    <w:rsid w:val="008C5899"/>
    <w:rsid w:val="008C70F3"/>
    <w:rsid w:val="008D53B1"/>
    <w:rsid w:val="008D5BEA"/>
    <w:rsid w:val="008D71D4"/>
    <w:rsid w:val="008E36DE"/>
    <w:rsid w:val="008F7BC7"/>
    <w:rsid w:val="009142C0"/>
    <w:rsid w:val="0091664C"/>
    <w:rsid w:val="00917CCD"/>
    <w:rsid w:val="0092047E"/>
    <w:rsid w:val="0092487E"/>
    <w:rsid w:val="0093050B"/>
    <w:rsid w:val="00933FFE"/>
    <w:rsid w:val="00936E2C"/>
    <w:rsid w:val="00973206"/>
    <w:rsid w:val="00980A4C"/>
    <w:rsid w:val="009918D0"/>
    <w:rsid w:val="009A0A8B"/>
    <w:rsid w:val="009A3AE8"/>
    <w:rsid w:val="009A4E68"/>
    <w:rsid w:val="009B29EA"/>
    <w:rsid w:val="009B2B9A"/>
    <w:rsid w:val="009C35CF"/>
    <w:rsid w:val="009C72D9"/>
    <w:rsid w:val="009D06C8"/>
    <w:rsid w:val="009D7096"/>
    <w:rsid w:val="009E5BB3"/>
    <w:rsid w:val="009F3187"/>
    <w:rsid w:val="00A004D2"/>
    <w:rsid w:val="00A06C81"/>
    <w:rsid w:val="00A13FE8"/>
    <w:rsid w:val="00A24243"/>
    <w:rsid w:val="00A26313"/>
    <w:rsid w:val="00A405CB"/>
    <w:rsid w:val="00A476FA"/>
    <w:rsid w:val="00A4782E"/>
    <w:rsid w:val="00A57404"/>
    <w:rsid w:val="00A61B37"/>
    <w:rsid w:val="00A67BE9"/>
    <w:rsid w:val="00A82E6C"/>
    <w:rsid w:val="00A857D1"/>
    <w:rsid w:val="00A86206"/>
    <w:rsid w:val="00A968D3"/>
    <w:rsid w:val="00AA6749"/>
    <w:rsid w:val="00AB1277"/>
    <w:rsid w:val="00AD1C2C"/>
    <w:rsid w:val="00AE1005"/>
    <w:rsid w:val="00AE27BC"/>
    <w:rsid w:val="00AF4815"/>
    <w:rsid w:val="00B06CCB"/>
    <w:rsid w:val="00B076B9"/>
    <w:rsid w:val="00B10449"/>
    <w:rsid w:val="00B11160"/>
    <w:rsid w:val="00B13F94"/>
    <w:rsid w:val="00B21D5F"/>
    <w:rsid w:val="00B271B6"/>
    <w:rsid w:val="00B52466"/>
    <w:rsid w:val="00B5738C"/>
    <w:rsid w:val="00B607C1"/>
    <w:rsid w:val="00B63146"/>
    <w:rsid w:val="00B718D1"/>
    <w:rsid w:val="00B719B5"/>
    <w:rsid w:val="00B924FF"/>
    <w:rsid w:val="00B93020"/>
    <w:rsid w:val="00B9747A"/>
    <w:rsid w:val="00BA1B05"/>
    <w:rsid w:val="00BA4A6B"/>
    <w:rsid w:val="00BA6CFF"/>
    <w:rsid w:val="00BA6D15"/>
    <w:rsid w:val="00BB0A9D"/>
    <w:rsid w:val="00BB29D2"/>
    <w:rsid w:val="00BB46BC"/>
    <w:rsid w:val="00BB60AB"/>
    <w:rsid w:val="00BD127F"/>
    <w:rsid w:val="00BE1189"/>
    <w:rsid w:val="00BF4F9D"/>
    <w:rsid w:val="00C00E45"/>
    <w:rsid w:val="00C0712C"/>
    <w:rsid w:val="00C11472"/>
    <w:rsid w:val="00C117F9"/>
    <w:rsid w:val="00C13B95"/>
    <w:rsid w:val="00C2339D"/>
    <w:rsid w:val="00C31139"/>
    <w:rsid w:val="00C31B4F"/>
    <w:rsid w:val="00C46B5F"/>
    <w:rsid w:val="00C6114E"/>
    <w:rsid w:val="00C65016"/>
    <w:rsid w:val="00C71487"/>
    <w:rsid w:val="00C7266C"/>
    <w:rsid w:val="00C73081"/>
    <w:rsid w:val="00C919DD"/>
    <w:rsid w:val="00C96B1D"/>
    <w:rsid w:val="00CA2D9D"/>
    <w:rsid w:val="00CA39A7"/>
    <w:rsid w:val="00CA4F4E"/>
    <w:rsid w:val="00CB7E91"/>
    <w:rsid w:val="00CC1081"/>
    <w:rsid w:val="00CC2687"/>
    <w:rsid w:val="00CD1D2D"/>
    <w:rsid w:val="00CD7A27"/>
    <w:rsid w:val="00CE08C1"/>
    <w:rsid w:val="00CE1077"/>
    <w:rsid w:val="00CE47DB"/>
    <w:rsid w:val="00CE6209"/>
    <w:rsid w:val="00CF015D"/>
    <w:rsid w:val="00CF2249"/>
    <w:rsid w:val="00CF36FC"/>
    <w:rsid w:val="00CF6814"/>
    <w:rsid w:val="00D01D5F"/>
    <w:rsid w:val="00D20FC4"/>
    <w:rsid w:val="00D25E96"/>
    <w:rsid w:val="00D333F2"/>
    <w:rsid w:val="00D43601"/>
    <w:rsid w:val="00D51CA0"/>
    <w:rsid w:val="00D60F01"/>
    <w:rsid w:val="00D6175D"/>
    <w:rsid w:val="00D7532F"/>
    <w:rsid w:val="00D83932"/>
    <w:rsid w:val="00D9031C"/>
    <w:rsid w:val="00D92F8C"/>
    <w:rsid w:val="00D93CE5"/>
    <w:rsid w:val="00D95197"/>
    <w:rsid w:val="00D9699A"/>
    <w:rsid w:val="00DA5A4E"/>
    <w:rsid w:val="00DB2BDB"/>
    <w:rsid w:val="00DB4A06"/>
    <w:rsid w:val="00DF2CF5"/>
    <w:rsid w:val="00DF5807"/>
    <w:rsid w:val="00DF5D26"/>
    <w:rsid w:val="00E0379A"/>
    <w:rsid w:val="00E06163"/>
    <w:rsid w:val="00E067C2"/>
    <w:rsid w:val="00E07729"/>
    <w:rsid w:val="00E12660"/>
    <w:rsid w:val="00E2436B"/>
    <w:rsid w:val="00E246D1"/>
    <w:rsid w:val="00E259D2"/>
    <w:rsid w:val="00E26F24"/>
    <w:rsid w:val="00E302AE"/>
    <w:rsid w:val="00E41F11"/>
    <w:rsid w:val="00E47886"/>
    <w:rsid w:val="00E60956"/>
    <w:rsid w:val="00E620C0"/>
    <w:rsid w:val="00E74126"/>
    <w:rsid w:val="00E81DED"/>
    <w:rsid w:val="00E84BFB"/>
    <w:rsid w:val="00E87C57"/>
    <w:rsid w:val="00EA3024"/>
    <w:rsid w:val="00EC0118"/>
    <w:rsid w:val="00EC06A5"/>
    <w:rsid w:val="00EC4BA8"/>
    <w:rsid w:val="00ED5E6A"/>
    <w:rsid w:val="00EE3B4C"/>
    <w:rsid w:val="00EE52D5"/>
    <w:rsid w:val="00EE6CF5"/>
    <w:rsid w:val="00EF564E"/>
    <w:rsid w:val="00EF72EB"/>
    <w:rsid w:val="00F0003B"/>
    <w:rsid w:val="00F24878"/>
    <w:rsid w:val="00F3324E"/>
    <w:rsid w:val="00F334EB"/>
    <w:rsid w:val="00F41567"/>
    <w:rsid w:val="00F46F43"/>
    <w:rsid w:val="00F47553"/>
    <w:rsid w:val="00F67BA9"/>
    <w:rsid w:val="00F72C59"/>
    <w:rsid w:val="00F72E3A"/>
    <w:rsid w:val="00F864AF"/>
    <w:rsid w:val="00F933E2"/>
    <w:rsid w:val="00F97239"/>
    <w:rsid w:val="00F97665"/>
    <w:rsid w:val="00FA395D"/>
    <w:rsid w:val="00FA70B3"/>
    <w:rsid w:val="00FB2982"/>
    <w:rsid w:val="00FB4DF5"/>
    <w:rsid w:val="00FB5913"/>
    <w:rsid w:val="00FC2F02"/>
    <w:rsid w:val="00FD6876"/>
    <w:rsid w:val="00FE1B57"/>
    <w:rsid w:val="00FE23DA"/>
    <w:rsid w:val="7DEA2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806</Words>
  <Characters>4599</Characters>
  <Lines>38</Lines>
  <Paragraphs>10</Paragraphs>
  <TotalTime>1</TotalTime>
  <ScaleCrop>false</ScaleCrop>
  <LinksUpToDate>false</LinksUpToDate>
  <CharactersWithSpaces>5395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2020-06-11T02:10:00Z</dcterms:created>
  <dc:creator>DELL</dc:creator>
  <cp:lastModifiedBy>XXXshuXXX</cp:lastModifiedBy>
  <dcterms:modified xsi:type="dcterms:W3CDTF">2020-06-16T02:05:03Z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