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490B3">
      <w:pPr>
        <w:autoSpaceDE w:val="0"/>
        <w:autoSpaceDN w:val="0"/>
        <w:adjustRightInd w:val="0"/>
        <w:spacing w:line="400" w:lineRule="exact"/>
        <w:ind w:firstLine="723" w:firstLineChars="200"/>
        <w:rPr>
          <w:rFonts w:hint="eastAsia" w:cs="(使用中文字体)" w:asciiTheme="minorEastAsia" w:hAnsiTheme="minorEastAsia" w:eastAsiaTheme="minorEastAsia"/>
          <w:b/>
          <w:kern w:val="0"/>
          <w:sz w:val="36"/>
          <w:szCs w:val="36"/>
          <w:highlight w:val="none"/>
        </w:rPr>
      </w:pPr>
      <w:r>
        <w:rPr>
          <w:rFonts w:hint="eastAsia" w:cs="(使用中文字体)" w:asciiTheme="minorEastAsia" w:hAnsiTheme="minorEastAsia" w:eastAsiaTheme="minorEastAsia"/>
          <w:b/>
          <w:kern w:val="0"/>
          <w:sz w:val="36"/>
          <w:szCs w:val="36"/>
          <w:highlight w:val="none"/>
        </w:rPr>
        <w:t>工程技术奖公示内容：</w:t>
      </w:r>
    </w:p>
    <w:p w14:paraId="5DE9BD56">
      <w:pPr>
        <w:autoSpaceDE w:val="0"/>
        <w:autoSpaceDN w:val="0"/>
        <w:adjustRightInd w:val="0"/>
        <w:spacing w:line="400" w:lineRule="exact"/>
        <w:ind w:firstLine="480" w:firstLineChars="200"/>
        <w:rPr>
          <w:rFonts w:hint="eastAsia" w:cs="(使用中文字体)" w:asciiTheme="minorEastAsia" w:hAnsiTheme="minorEastAsia" w:eastAsiaTheme="minorEastAsia"/>
          <w:kern w:val="0"/>
          <w:sz w:val="24"/>
          <w:highlight w:val="none"/>
          <w:lang w:eastAsia="zh-CN"/>
        </w:rPr>
      </w:pPr>
      <w:r>
        <w:rPr>
          <w:rFonts w:hint="eastAsia" w:cs="(使用中文字体)" w:asciiTheme="minorEastAsia" w:hAnsiTheme="minorEastAsia" w:eastAsiaTheme="minorEastAsia"/>
          <w:kern w:val="0"/>
          <w:sz w:val="24"/>
          <w:highlight w:val="none"/>
          <w:lang w:val="en-US" w:eastAsia="zh-CN"/>
        </w:rPr>
        <w:t>一、</w:t>
      </w:r>
      <w:r>
        <w:rPr>
          <w:rFonts w:hint="eastAsia" w:cs="(使用中文字体)" w:asciiTheme="minorEastAsia" w:hAnsiTheme="minorEastAsia" w:eastAsiaTheme="minorEastAsia"/>
          <w:kern w:val="0"/>
          <w:sz w:val="24"/>
          <w:highlight w:val="none"/>
        </w:rPr>
        <w:t>项目名称</w:t>
      </w:r>
      <w:r>
        <w:rPr>
          <w:rFonts w:hint="eastAsia" w:cs="(使用中文字体)" w:asciiTheme="minorEastAsia" w:hAnsiTheme="minorEastAsia" w:eastAsiaTheme="minorEastAsia"/>
          <w:kern w:val="0"/>
          <w:sz w:val="24"/>
          <w:highlight w:val="none"/>
          <w:lang w:eastAsia="zh-CN"/>
        </w:rPr>
        <w:t>：</w:t>
      </w:r>
      <w:r>
        <w:rPr>
          <w:rFonts w:hint="default" w:ascii="Times New Roman" w:hAnsi="Times New Roman" w:eastAsia="Times New Roman"/>
          <w:sz w:val="24"/>
          <w:lang w:val="zh-CN"/>
        </w:rPr>
        <w:t>前列腺癌诊疗新体系建立及推广应用</w:t>
      </w:r>
    </w:p>
    <w:p w14:paraId="00426CD9">
      <w:pPr>
        <w:autoSpaceDE w:val="0"/>
        <w:autoSpaceDN w:val="0"/>
        <w:adjustRightInd w:val="0"/>
        <w:spacing w:line="400" w:lineRule="exact"/>
        <w:ind w:firstLine="480" w:firstLineChars="200"/>
        <w:rPr>
          <w:rFonts w:hint="default"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二、</w:t>
      </w:r>
      <w:r>
        <w:rPr>
          <w:rFonts w:hint="eastAsia" w:cs="(使用中文字体)" w:asciiTheme="minorEastAsia" w:hAnsiTheme="minorEastAsia" w:eastAsiaTheme="minorEastAsia"/>
          <w:kern w:val="0"/>
          <w:sz w:val="24"/>
          <w:highlight w:val="none"/>
        </w:rPr>
        <w:t>提名专家</w:t>
      </w:r>
      <w:r>
        <w:rPr>
          <w:rFonts w:hint="eastAsia" w:cs="(使用中文字体)" w:asciiTheme="minorEastAsia" w:hAnsiTheme="minorEastAsia" w:eastAsiaTheme="minorEastAsia"/>
          <w:kern w:val="0"/>
          <w:sz w:val="24"/>
          <w:highlight w:val="none"/>
          <w:lang w:eastAsia="zh-CN"/>
        </w:rPr>
        <w:t>：</w:t>
      </w:r>
      <w:r>
        <w:rPr>
          <w:rFonts w:ascii="宋体" w:hAnsi="宋体" w:eastAsia="宋体" w:cs="宋体"/>
          <w:sz w:val="24"/>
          <w:szCs w:val="24"/>
        </w:rPr>
        <w:t>王辰</w:t>
      </w:r>
      <w:bookmarkStart w:id="0" w:name="_GoBack"/>
      <w:bookmarkEnd w:id="0"/>
      <w:r>
        <w:rPr>
          <w:rFonts w:hint="eastAsia" w:cs="(使用中文字体)" w:asciiTheme="minorEastAsia" w:hAnsiTheme="minorEastAsia" w:eastAsiaTheme="minorEastAsia"/>
          <w:kern w:val="0"/>
          <w:sz w:val="24"/>
          <w:highlight w:val="none"/>
          <w:lang w:val="en-US" w:eastAsia="zh-CN"/>
        </w:rPr>
        <w:t>、于金明、王锐</w:t>
      </w:r>
    </w:p>
    <w:p w14:paraId="02DE196B">
      <w:pPr>
        <w:autoSpaceDE w:val="0"/>
        <w:autoSpaceDN w:val="0"/>
        <w:adjustRightInd w:val="0"/>
        <w:spacing w:line="400" w:lineRule="exact"/>
        <w:ind w:firstLine="480" w:firstLineChars="200"/>
        <w:rPr>
          <w:rFonts w:hint="eastAsia" w:cs="(使用中文字体)" w:asciiTheme="minorEastAsia" w:hAnsiTheme="minorEastAsia" w:eastAsiaTheme="minorEastAsia"/>
          <w:kern w:val="0"/>
          <w:sz w:val="24"/>
          <w:highlight w:val="none"/>
          <w:lang w:eastAsia="zh-CN"/>
        </w:rPr>
      </w:pPr>
      <w:r>
        <w:rPr>
          <w:rFonts w:hint="eastAsia" w:cs="(使用中文字体)" w:asciiTheme="minorEastAsia" w:hAnsiTheme="minorEastAsia" w:eastAsiaTheme="minorEastAsia"/>
          <w:kern w:val="0"/>
          <w:sz w:val="24"/>
          <w:highlight w:val="none"/>
          <w:lang w:val="en-US" w:eastAsia="zh-CN"/>
        </w:rPr>
        <w:t>三、</w:t>
      </w:r>
      <w:r>
        <w:rPr>
          <w:rFonts w:hint="eastAsia" w:cs="(使用中文字体)" w:asciiTheme="minorEastAsia" w:hAnsiTheme="minorEastAsia" w:eastAsiaTheme="minorEastAsia"/>
          <w:kern w:val="0"/>
          <w:sz w:val="24"/>
          <w:highlight w:val="none"/>
        </w:rPr>
        <w:t>主要完成人情况（包括：排名、姓名、技术职称、工作单位、完成单位、对本项目主要技术发明</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w:t>
      </w:r>
    </w:p>
    <w:p w14:paraId="484D3023">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第一完成人，邢念增，主任医师，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：主持项目的整体设计、组织实施，是技术创新点设计与技术推广应用的主要负责人，为项目的实施提供了技术保障，是创新点一、二、三、四的主要贡献者之一。 </w:t>
      </w:r>
    </w:p>
    <w:p w14:paraId="2D4679ED">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第二完成人，张树栋，主任医师，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北京大学第三医院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北京大学第三医院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：改良 CTCs捕获芯片表面成分，提高CTCs捕获效率和检测准确性，建立并推广应用针对PSA“灰区”前列腺癌的早期无创诊断体系，已牵头开展国为首个 CTCs检测用于前列腺癌早期诊断的多中心临床研究。除此之外，揭示了前列腺癌侵袭和进展中多种关键分子靶点的作用，以期针对这些靶点进一步完善前列腺癌转移监测与治疗技术，为前列腺癌诊治体系的建设提供参考。 </w:t>
      </w:r>
    </w:p>
    <w:p w14:paraId="03C2DCB1">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第三完成人，牛亦农，主任医师，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：首都医科大学附属北京友谊医院，</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：首都医科大学附属北京友谊医院。</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：负责课题前期规划及设计，监督项目实施进程，指导技术路线，指导论文写作及发表等，是研究代表论文的责任作者之一，是创新点二、三、四的主要贡献者之一。 </w:t>
      </w:r>
    </w:p>
    <w:p w14:paraId="718E7281">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第四完成人，平浩，主任医师，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首都医科大学附属北京同仁医院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首都医科大学附属北京同仁医院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：负责课题前期规划及设计，监督项目实施进程，指导技术路线，指导论文写作及发表等，是研究代表论文的责任作者之一，是创新点二、三、四的主要贡献者之一。 </w:t>
      </w:r>
    </w:p>
    <w:p w14:paraId="597AB529">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第五完成人，杨飞亚，副主任医师，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：作为主要助手参与了本项目的大部分工作，对创新点实施及推广做出了重要贡献，是创新点一、二和三的主要贡献者之一。 </w:t>
      </w:r>
    </w:p>
    <w:p w14:paraId="2AB79037">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第六完成人，张勇，主任医师，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：创新点二、三、四的主要贡献者之一：国际上首次揭示 CDK13/NSUN5/ACC1通路通过调控脂质代谢参与前列腺癌治疗耐药，揭示前列腺癌多西他赛化疗耐药新机制和前列腺癌转移表观遗传学新机制。 </w:t>
      </w:r>
    </w:p>
    <w:p w14:paraId="1B391762">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第七完成人，田兵，</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：莱凯医疗器械（北京）有限公司，</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：莱凯医疗器械（北京）有限公司。</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：负责新型手术器械的研发与推广，专利的研发与转化。 </w:t>
      </w:r>
    </w:p>
    <w:p w14:paraId="6EDCC2D1">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第八完成人，刘飞，主治医师，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：作为主要助手参与了本项目的部分工作，对创新点实施及推广做出了重要贡献，是创新点二和三的主要贡献者之一。 </w:t>
      </w:r>
    </w:p>
    <w:p w14:paraId="0ED97AEF">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第九完成人，韩苏军，副主任医师，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：作为主要助手参与了本项目的部分工作，对创新点实施及推广做出了重要贡献，是创新点二和三的主要贡献者之一。 </w:t>
      </w:r>
    </w:p>
    <w:p w14:paraId="5F6F124E">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第十完成人，王明帅，主治医师，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：作为主要助手参与了本项目的部分工作，对创新点实施及推广做出了重要贡献，是创新点二和三的主要贡献者之一。  </w:t>
      </w:r>
    </w:p>
    <w:p w14:paraId="2D9907EC">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第十一完成人，陈东，主治医师，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：作为主要助手参与了本项目的部分工作，对创新点实施及推广做出了重要贡献，是创新点二和三的主要贡献者之一。  </w:t>
      </w:r>
    </w:p>
    <w:p w14:paraId="7B7BE6B7">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第十二完成人，吴丽媛，主治医师，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：作为主要助手参与了本项目的部分工作，对创新点实施及推广做出了重要贡献，是创新点二和三的主要贡献者之一。  </w:t>
      </w:r>
    </w:p>
    <w:p w14:paraId="0ED23BD7">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第十三完成人，王文宽，住院医师，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北京协和医学院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 xml:space="preserve">：作为主要助手参与了本项目的部分工作，对创新点实施及推广做出了重要贡献，是创新点二和三的主要贡献者之一。  </w:t>
      </w:r>
    </w:p>
    <w:p w14:paraId="04A84AE9">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第十四完成人，葛力源，住院医师，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北京大学第三医院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rPr>
        <w:t>北京大学第三医院</w:t>
      </w:r>
      <w:r>
        <w:rPr>
          <w:rFonts w:hint="eastAsia" w:cs="(使用中文字体)" w:asciiTheme="minorEastAsia" w:hAnsiTheme="minorEastAsia" w:eastAsiaTheme="minorEastAsia"/>
          <w:kern w:val="0"/>
          <w:sz w:val="24"/>
          <w:highlight w:val="none"/>
          <w:lang w:eastAsia="zh-CN"/>
        </w:rPr>
        <w:t>。</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：参加了项目内容 PSA灰区前列腺癌无创诊断体系的构建、实验数据分析、处理以及临床验证工作。</w:t>
      </w:r>
    </w:p>
    <w:p w14:paraId="622243E3">
      <w:pPr>
        <w:numPr>
          <w:ilvl w:val="0"/>
          <w:numId w:val="1"/>
        </w:numPr>
        <w:autoSpaceDE w:val="0"/>
        <w:autoSpaceDN w:val="0"/>
        <w:adjustRightInd w:val="0"/>
        <w:spacing w:line="400" w:lineRule="exact"/>
        <w:ind w:left="425" w:leftChars="0" w:hanging="425" w:firstLineChars="0"/>
        <w:rPr>
          <w:rFonts w:hint="eastAsia" w:cs="(使用中文字体)" w:asciiTheme="minorEastAsia" w:hAnsiTheme="minorEastAsia" w:eastAsiaTheme="minorEastAsia"/>
          <w:kern w:val="0"/>
          <w:sz w:val="24"/>
          <w:highlight w:val="none"/>
          <w:lang w:val="en-US" w:eastAsia="zh-CN"/>
        </w:rPr>
      </w:pPr>
      <w:r>
        <w:rPr>
          <w:rFonts w:hint="eastAsia" w:cs="(使用中文字体)" w:asciiTheme="minorEastAsia" w:hAnsiTheme="minorEastAsia" w:eastAsiaTheme="minorEastAsia"/>
          <w:kern w:val="0"/>
          <w:sz w:val="24"/>
          <w:highlight w:val="none"/>
          <w:lang w:val="en-US" w:eastAsia="zh-CN"/>
        </w:rPr>
        <w:t>第十五完成人，刘占良，住院医师，</w:t>
      </w:r>
      <w:r>
        <w:rPr>
          <w:rFonts w:hint="eastAsia" w:cs="(使用中文字体)" w:asciiTheme="minorEastAsia" w:hAnsiTheme="minorEastAsia" w:eastAsiaTheme="minorEastAsia"/>
          <w:kern w:val="0"/>
          <w:sz w:val="24"/>
          <w:highlight w:val="none"/>
        </w:rPr>
        <w:t>工作单位</w:t>
      </w:r>
      <w:r>
        <w:rPr>
          <w:rFonts w:hint="eastAsia" w:cs="(使用中文字体)" w:asciiTheme="minorEastAsia" w:hAnsiTheme="minorEastAsia" w:eastAsiaTheme="minorEastAsia"/>
          <w:kern w:val="0"/>
          <w:sz w:val="24"/>
          <w:highlight w:val="none"/>
          <w:lang w:eastAsia="zh-CN"/>
        </w:rPr>
        <w:t>：首都医科大学附属北京友谊医院，</w:t>
      </w:r>
      <w:r>
        <w:rPr>
          <w:rFonts w:hint="eastAsia" w:cs="(使用中文字体)" w:asciiTheme="minorEastAsia" w:hAnsiTheme="minorEastAsia" w:eastAsiaTheme="minorEastAsia"/>
          <w:kern w:val="0"/>
          <w:sz w:val="24"/>
          <w:highlight w:val="none"/>
        </w:rPr>
        <w:t>完成单位</w:t>
      </w:r>
      <w:r>
        <w:rPr>
          <w:rFonts w:hint="eastAsia" w:cs="(使用中文字体)" w:asciiTheme="minorEastAsia" w:hAnsiTheme="minorEastAsia" w:eastAsiaTheme="minorEastAsia"/>
          <w:kern w:val="0"/>
          <w:sz w:val="24"/>
          <w:highlight w:val="none"/>
          <w:lang w:eastAsia="zh-CN"/>
        </w:rPr>
        <w:t>：首都医科大学附属北京友谊医院。</w:t>
      </w:r>
      <w:r>
        <w:rPr>
          <w:rFonts w:hint="eastAsia" w:cs="(使用中文字体)" w:asciiTheme="minorEastAsia" w:hAnsiTheme="minorEastAsia" w:eastAsiaTheme="minorEastAsia"/>
          <w:kern w:val="0"/>
          <w:sz w:val="24"/>
          <w:highlight w:val="none"/>
          <w:lang w:val="en-US" w:eastAsia="zh-CN"/>
        </w:rPr>
        <w:t>主要科技创新</w:t>
      </w:r>
      <w:r>
        <w:rPr>
          <w:rFonts w:hint="eastAsia" w:cs="(使用中文字体)" w:asciiTheme="minorEastAsia" w:hAnsiTheme="minorEastAsia" w:eastAsiaTheme="minorEastAsia"/>
          <w:kern w:val="0"/>
          <w:sz w:val="24"/>
          <w:highlight w:val="none"/>
        </w:rPr>
        <w:t>的贡献</w:t>
      </w:r>
      <w:r>
        <w:rPr>
          <w:rFonts w:hint="eastAsia" w:cs="(使用中文字体)" w:asciiTheme="minorEastAsia" w:hAnsiTheme="minorEastAsia" w:eastAsiaTheme="minorEastAsia"/>
          <w:kern w:val="0"/>
          <w:sz w:val="24"/>
          <w:highlight w:val="none"/>
          <w:lang w:eastAsia="zh-CN"/>
        </w:rPr>
        <w:t>：作为主要助手参与了本项目的部分工作，对创新点实施及推广做出重要贡献，是创新点四的主要贡献者之一。</w:t>
      </w:r>
    </w:p>
    <w:p w14:paraId="0A043923">
      <w:pPr>
        <w:autoSpaceDE w:val="0"/>
        <w:autoSpaceDN w:val="0"/>
        <w:adjustRightInd w:val="0"/>
        <w:spacing w:line="400" w:lineRule="exact"/>
        <w:ind w:firstLine="480" w:firstLineChars="200"/>
        <w:rPr>
          <w:rFonts w:hint="default" w:cs="(使用中文字体)" w:asciiTheme="minorEastAsia" w:hAnsiTheme="minorEastAsia" w:eastAsiaTheme="minorEastAsia"/>
          <w:kern w:val="0"/>
          <w:sz w:val="24"/>
          <w:highlight w:val="none"/>
          <w:lang w:val="en-US" w:eastAsia="zh-CN"/>
        </w:rPr>
      </w:pPr>
    </w:p>
    <w:p w14:paraId="70429AF5">
      <w:pPr>
        <w:autoSpaceDE w:val="0"/>
        <w:autoSpaceDN w:val="0"/>
        <w:adjustRightInd w:val="0"/>
        <w:spacing w:line="400" w:lineRule="exact"/>
        <w:ind w:firstLine="480" w:firstLineChars="200"/>
        <w:rPr>
          <w:rFonts w:hint="eastAsia" w:cs="(使用中文字体)" w:asciiTheme="minorEastAsia" w:hAnsiTheme="minorEastAsia" w:eastAsiaTheme="minorEastAsia"/>
          <w:kern w:val="0"/>
          <w:sz w:val="24"/>
          <w:highlight w:val="none"/>
          <w:lang w:eastAsia="zh-CN"/>
        </w:rPr>
      </w:pPr>
      <w:r>
        <w:rPr>
          <w:rFonts w:hint="eastAsia" w:cs="(使用中文字体)" w:asciiTheme="minorEastAsia" w:hAnsiTheme="minorEastAsia" w:eastAsiaTheme="minorEastAsia"/>
          <w:kern w:val="0"/>
          <w:sz w:val="24"/>
          <w:highlight w:val="none"/>
          <w:lang w:val="en-US" w:eastAsia="zh-CN"/>
        </w:rPr>
        <w:t>四、</w:t>
      </w:r>
      <w:r>
        <w:rPr>
          <w:rFonts w:hint="eastAsia" w:cs="(使用中文字体)" w:asciiTheme="minorEastAsia" w:hAnsiTheme="minorEastAsia" w:eastAsiaTheme="minorEastAsia"/>
          <w:kern w:val="0"/>
          <w:sz w:val="24"/>
          <w:highlight w:val="none"/>
        </w:rPr>
        <w:t>主要完成单位</w:t>
      </w:r>
      <w:r>
        <w:rPr>
          <w:rFonts w:hint="eastAsia" w:cs="(使用中文字体)" w:asciiTheme="minorEastAsia" w:hAnsiTheme="minorEastAsia" w:eastAsiaTheme="minorEastAsia"/>
          <w:kern w:val="0"/>
          <w:sz w:val="24"/>
          <w:highlight w:val="none"/>
          <w:lang w:eastAsia="zh-CN"/>
        </w:rPr>
        <w:t>：1、北京协和医学院；2、北京大学第三医院；3、首都医科大学附属北京友谊医院；4、首都医科大学附属北京同仁医院；5、莱凯医疗器械（北京）有限公司</w:t>
      </w:r>
    </w:p>
    <w:p w14:paraId="1A1141F2">
      <w:pPr>
        <w:autoSpaceDE w:val="0"/>
        <w:autoSpaceDN w:val="0"/>
        <w:adjustRightInd w:val="0"/>
        <w:spacing w:line="400" w:lineRule="exact"/>
        <w:ind w:firstLine="480" w:firstLineChars="200"/>
        <w:rPr>
          <w:rFonts w:hint="eastAsia" w:cs="(使用中文字体)" w:asciiTheme="minorEastAsia" w:hAnsiTheme="minorEastAsia" w:eastAsiaTheme="minorEastAsia"/>
          <w:kern w:val="0"/>
          <w:sz w:val="24"/>
          <w:highlight w:val="none"/>
          <w:lang w:eastAsia="zh-CN"/>
        </w:rPr>
      </w:pPr>
    </w:p>
    <w:p w14:paraId="12234F5C">
      <w:pPr>
        <w:numPr>
          <w:ilvl w:val="0"/>
          <w:numId w:val="2"/>
        </w:numPr>
        <w:autoSpaceDE w:val="0"/>
        <w:autoSpaceDN w:val="0"/>
        <w:adjustRightInd w:val="0"/>
        <w:spacing w:line="400" w:lineRule="exact"/>
        <w:ind w:firstLine="480" w:firstLineChars="200"/>
        <w:rPr>
          <w:rFonts w:hint="eastAsia" w:cs="(使用中文字体)" w:asciiTheme="minorEastAsia" w:hAnsiTheme="minorEastAsia" w:eastAsiaTheme="minorEastAsia"/>
          <w:kern w:val="0"/>
          <w:sz w:val="24"/>
          <w:highlight w:val="none"/>
          <w:lang w:eastAsia="zh-CN"/>
        </w:rPr>
      </w:pPr>
      <w:r>
        <w:rPr>
          <w:rFonts w:hint="eastAsia" w:cs="(使用中文字体)" w:asciiTheme="minorEastAsia" w:hAnsiTheme="minorEastAsia" w:eastAsiaTheme="minorEastAsia"/>
          <w:kern w:val="0"/>
          <w:sz w:val="24"/>
          <w:highlight w:val="none"/>
        </w:rPr>
        <w:t>主要知识产权和标准规范等目录</w:t>
      </w:r>
      <w:r>
        <w:rPr>
          <w:rFonts w:hint="eastAsia" w:cs="(使用中文字体)" w:asciiTheme="minorEastAsia" w:hAnsiTheme="minorEastAsia" w:eastAsiaTheme="minorEastAsia"/>
          <w:kern w:val="0"/>
          <w:sz w:val="24"/>
          <w:highlight w:val="none"/>
          <w:lang w:eastAsia="zh-CN"/>
        </w:rPr>
        <w:t>：</w:t>
      </w:r>
    </w:p>
    <w:tbl>
      <w:tblPr>
        <w:tblStyle w:val="2"/>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14:paraId="050A0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center"/>
          </w:tcPr>
          <w:p w14:paraId="4F136160">
            <w:pPr>
              <w:spacing w:line="240" w:lineRule="exact"/>
              <w:jc w:val="center"/>
              <w:rPr>
                <w:rFonts w:ascii="宋体" w:hAnsi="宋体"/>
                <w:b/>
                <w:bCs/>
                <w:color w:val="000000"/>
                <w:highlight w:val="none"/>
              </w:rPr>
            </w:pPr>
            <w:r>
              <w:rPr>
                <w:rFonts w:ascii="宋体" w:hAnsi="宋体"/>
                <w:b/>
                <w:bCs/>
                <w:color w:val="000000"/>
                <w:highlight w:val="none"/>
              </w:rPr>
              <w:t>知识产权</w:t>
            </w:r>
            <w:r>
              <w:rPr>
                <w:rFonts w:hint="eastAsia" w:ascii="宋体" w:hAnsi="宋体"/>
                <w:b/>
                <w:bCs/>
                <w:color w:val="000000"/>
                <w:highlight w:val="none"/>
              </w:rPr>
              <w:t>（标准）</w:t>
            </w:r>
            <w:r>
              <w:rPr>
                <w:rFonts w:ascii="宋体" w:hAnsi="宋体"/>
                <w:b/>
                <w:bCs/>
                <w:color w:val="000000"/>
                <w:highlight w:val="none"/>
              </w:rPr>
              <w:t>类别</w:t>
            </w:r>
          </w:p>
        </w:tc>
        <w:tc>
          <w:tcPr>
            <w:tcW w:w="1300" w:type="dxa"/>
            <w:tcBorders>
              <w:tl2br w:val="nil"/>
              <w:tr2bl w:val="nil"/>
            </w:tcBorders>
            <w:noWrap w:val="0"/>
            <w:vAlign w:val="center"/>
          </w:tcPr>
          <w:p w14:paraId="184404BE">
            <w:pPr>
              <w:spacing w:line="240" w:lineRule="exact"/>
              <w:jc w:val="center"/>
              <w:rPr>
                <w:rFonts w:ascii="宋体" w:hAnsi="宋体"/>
                <w:b/>
                <w:bCs/>
                <w:color w:val="000000"/>
                <w:highlight w:val="none"/>
              </w:rPr>
            </w:pPr>
            <w:r>
              <w:rPr>
                <w:rFonts w:hint="eastAsia" w:ascii="宋体" w:hAnsi="宋体"/>
                <w:b/>
                <w:bCs/>
                <w:color w:val="000000"/>
                <w:highlight w:val="none"/>
              </w:rPr>
              <w:t>知识产权（标准）具体</w:t>
            </w:r>
            <w:r>
              <w:rPr>
                <w:rFonts w:ascii="宋体" w:hAnsi="宋体"/>
                <w:b/>
                <w:bCs/>
                <w:color w:val="000000"/>
                <w:highlight w:val="none"/>
              </w:rPr>
              <w:t>名称</w:t>
            </w:r>
          </w:p>
        </w:tc>
        <w:tc>
          <w:tcPr>
            <w:tcW w:w="1055" w:type="dxa"/>
            <w:tcBorders>
              <w:tl2br w:val="nil"/>
              <w:tr2bl w:val="nil"/>
            </w:tcBorders>
            <w:noWrap w:val="0"/>
            <w:vAlign w:val="center"/>
          </w:tcPr>
          <w:p w14:paraId="3E2C3F36">
            <w:pPr>
              <w:spacing w:line="240" w:lineRule="exact"/>
              <w:jc w:val="center"/>
              <w:rPr>
                <w:rFonts w:ascii="宋体" w:hAnsi="宋体"/>
                <w:b/>
                <w:bCs/>
                <w:color w:val="000000"/>
                <w:highlight w:val="none"/>
              </w:rPr>
            </w:pPr>
            <w:r>
              <w:rPr>
                <w:rFonts w:ascii="宋体" w:hAnsi="宋体"/>
                <w:b/>
                <w:bCs/>
                <w:color w:val="000000"/>
                <w:highlight w:val="none"/>
              </w:rPr>
              <w:t>国</w:t>
            </w:r>
            <w:r>
              <w:rPr>
                <w:rFonts w:hint="eastAsia" w:ascii="宋体" w:hAnsi="宋体"/>
                <w:b/>
                <w:bCs/>
                <w:color w:val="000000"/>
                <w:highlight w:val="none"/>
              </w:rPr>
              <w:t>家</w:t>
            </w:r>
          </w:p>
          <w:p w14:paraId="227A11B6">
            <w:pPr>
              <w:spacing w:line="240" w:lineRule="exact"/>
              <w:jc w:val="center"/>
              <w:rPr>
                <w:rFonts w:ascii="宋体" w:hAnsi="宋体"/>
                <w:b/>
                <w:bCs/>
                <w:color w:val="000000"/>
                <w:highlight w:val="none"/>
              </w:rPr>
            </w:pPr>
            <w:r>
              <w:rPr>
                <w:rFonts w:ascii="宋体" w:hAnsi="宋体"/>
                <w:b/>
                <w:bCs/>
                <w:color w:val="000000"/>
                <w:highlight w:val="none"/>
              </w:rPr>
              <w:t>（</w:t>
            </w:r>
            <w:r>
              <w:rPr>
                <w:rFonts w:hint="eastAsia" w:ascii="宋体" w:hAnsi="宋体"/>
                <w:b/>
                <w:bCs/>
                <w:color w:val="000000"/>
                <w:highlight w:val="none"/>
              </w:rPr>
              <w:t>地</w:t>
            </w:r>
            <w:r>
              <w:rPr>
                <w:rFonts w:ascii="宋体" w:hAnsi="宋体"/>
                <w:b/>
                <w:bCs/>
                <w:color w:val="000000"/>
                <w:highlight w:val="none"/>
              </w:rPr>
              <w:t>区）</w:t>
            </w:r>
          </w:p>
        </w:tc>
        <w:tc>
          <w:tcPr>
            <w:tcW w:w="876" w:type="dxa"/>
            <w:tcBorders>
              <w:tl2br w:val="nil"/>
              <w:tr2bl w:val="nil"/>
            </w:tcBorders>
            <w:noWrap w:val="0"/>
            <w:vAlign w:val="center"/>
          </w:tcPr>
          <w:p w14:paraId="7E0ED8F0">
            <w:pPr>
              <w:spacing w:line="240" w:lineRule="exact"/>
              <w:jc w:val="center"/>
              <w:rPr>
                <w:rFonts w:ascii="宋体" w:hAnsi="宋体"/>
                <w:b/>
                <w:bCs/>
                <w:color w:val="000000"/>
                <w:highlight w:val="none"/>
              </w:rPr>
            </w:pPr>
            <w:r>
              <w:rPr>
                <w:rFonts w:hint="eastAsia" w:ascii="宋体" w:hAnsi="宋体"/>
                <w:b/>
                <w:bCs/>
                <w:color w:val="000000"/>
                <w:highlight w:val="none"/>
              </w:rPr>
              <w:t>授权号（标准编号）</w:t>
            </w:r>
          </w:p>
        </w:tc>
        <w:tc>
          <w:tcPr>
            <w:tcW w:w="1024" w:type="dxa"/>
            <w:tcBorders>
              <w:tl2br w:val="nil"/>
              <w:tr2bl w:val="nil"/>
            </w:tcBorders>
            <w:noWrap w:val="0"/>
            <w:vAlign w:val="center"/>
          </w:tcPr>
          <w:p w14:paraId="7E79A631">
            <w:pPr>
              <w:spacing w:line="240" w:lineRule="exact"/>
              <w:jc w:val="center"/>
              <w:rPr>
                <w:rFonts w:ascii="宋体" w:hAnsi="宋体"/>
                <w:b/>
                <w:bCs/>
                <w:color w:val="000000"/>
                <w:highlight w:val="none"/>
              </w:rPr>
            </w:pPr>
            <w:r>
              <w:rPr>
                <w:rFonts w:hint="eastAsia" w:ascii="宋体" w:hAnsi="宋体"/>
                <w:b/>
                <w:bCs/>
                <w:color w:val="000000"/>
                <w:highlight w:val="none"/>
              </w:rPr>
              <w:t>授权（标准发布）日期</w:t>
            </w:r>
          </w:p>
        </w:tc>
        <w:tc>
          <w:tcPr>
            <w:tcW w:w="1170" w:type="dxa"/>
            <w:tcBorders>
              <w:tl2br w:val="nil"/>
              <w:tr2bl w:val="nil"/>
            </w:tcBorders>
            <w:noWrap w:val="0"/>
            <w:vAlign w:val="center"/>
          </w:tcPr>
          <w:p w14:paraId="5AD310FA">
            <w:pPr>
              <w:spacing w:line="240" w:lineRule="exact"/>
              <w:jc w:val="center"/>
              <w:rPr>
                <w:rFonts w:hint="eastAsia" w:ascii="宋体" w:hAnsi="宋体" w:eastAsia="宋体"/>
                <w:b/>
                <w:bCs/>
                <w:color w:val="000000"/>
                <w:highlight w:val="none"/>
                <w:lang w:eastAsia="zh-CN"/>
              </w:rPr>
            </w:pPr>
            <w:r>
              <w:rPr>
                <w:rFonts w:hint="eastAsia" w:ascii="宋体" w:hAnsi="宋体"/>
                <w:b/>
                <w:bCs/>
                <w:color w:val="000000"/>
                <w:highlight w:val="none"/>
              </w:rPr>
              <w:t>证书编号</w:t>
            </w:r>
          </w:p>
          <w:p w14:paraId="48814559">
            <w:pPr>
              <w:spacing w:line="240" w:lineRule="exact"/>
              <w:jc w:val="center"/>
              <w:rPr>
                <w:rFonts w:ascii="宋体" w:hAnsi="宋体"/>
                <w:b/>
                <w:bCs/>
                <w:color w:val="000000"/>
                <w:highlight w:val="none"/>
              </w:rPr>
            </w:pPr>
            <w:r>
              <w:rPr>
                <w:rFonts w:hint="eastAsia" w:ascii="宋体" w:hAnsi="宋体"/>
                <w:b/>
                <w:bCs/>
                <w:color w:val="000000"/>
                <w:highlight w:val="none"/>
              </w:rPr>
              <w:t>（标准批准发布</w:t>
            </w:r>
            <w:r>
              <w:rPr>
                <w:rFonts w:ascii="宋体" w:hAnsi="宋体"/>
                <w:b/>
                <w:bCs/>
                <w:color w:val="000000"/>
                <w:highlight w:val="none"/>
              </w:rPr>
              <w:t>部门</w:t>
            </w:r>
            <w:r>
              <w:rPr>
                <w:rFonts w:hint="eastAsia" w:ascii="宋体" w:hAnsi="宋体"/>
                <w:b/>
                <w:bCs/>
                <w:color w:val="000000"/>
                <w:highlight w:val="none"/>
              </w:rPr>
              <w:t>）</w:t>
            </w:r>
          </w:p>
        </w:tc>
        <w:tc>
          <w:tcPr>
            <w:tcW w:w="877" w:type="dxa"/>
            <w:tcBorders>
              <w:tl2br w:val="nil"/>
              <w:tr2bl w:val="nil"/>
            </w:tcBorders>
            <w:noWrap w:val="0"/>
            <w:vAlign w:val="center"/>
          </w:tcPr>
          <w:p w14:paraId="344095B5">
            <w:pPr>
              <w:spacing w:line="240" w:lineRule="exact"/>
              <w:jc w:val="center"/>
              <w:rPr>
                <w:rFonts w:ascii="宋体" w:hAnsi="宋体"/>
                <w:b/>
                <w:bCs/>
                <w:color w:val="000000"/>
                <w:highlight w:val="none"/>
              </w:rPr>
            </w:pPr>
            <w:r>
              <w:rPr>
                <w:rFonts w:hint="eastAsia" w:ascii="宋体" w:hAnsi="宋体"/>
                <w:b/>
                <w:bCs/>
                <w:color w:val="000000"/>
                <w:highlight w:val="none"/>
              </w:rPr>
              <w:t>权利人（标准起草单位）</w:t>
            </w:r>
          </w:p>
        </w:tc>
        <w:tc>
          <w:tcPr>
            <w:tcW w:w="878" w:type="dxa"/>
            <w:tcBorders>
              <w:tl2br w:val="nil"/>
              <w:tr2bl w:val="nil"/>
            </w:tcBorders>
            <w:noWrap w:val="0"/>
            <w:vAlign w:val="center"/>
          </w:tcPr>
          <w:p w14:paraId="2147DF14">
            <w:pPr>
              <w:spacing w:line="240" w:lineRule="exact"/>
              <w:jc w:val="center"/>
              <w:rPr>
                <w:rFonts w:ascii="宋体" w:hAnsi="宋体"/>
                <w:b/>
                <w:bCs/>
                <w:color w:val="000000"/>
                <w:highlight w:val="none"/>
              </w:rPr>
            </w:pPr>
            <w:r>
              <w:rPr>
                <w:rFonts w:hint="eastAsia" w:ascii="宋体" w:hAnsi="宋体"/>
                <w:b/>
                <w:bCs/>
                <w:color w:val="000000"/>
                <w:highlight w:val="none"/>
              </w:rPr>
              <w:t>发明人（标准起草人）</w:t>
            </w:r>
          </w:p>
        </w:tc>
        <w:tc>
          <w:tcPr>
            <w:tcW w:w="1221" w:type="dxa"/>
            <w:tcBorders>
              <w:tl2br w:val="nil"/>
              <w:tr2bl w:val="nil"/>
            </w:tcBorders>
            <w:noWrap w:val="0"/>
            <w:vAlign w:val="center"/>
          </w:tcPr>
          <w:p w14:paraId="780F7ADB">
            <w:pPr>
              <w:spacing w:line="240" w:lineRule="exact"/>
              <w:jc w:val="center"/>
              <w:rPr>
                <w:rFonts w:ascii="宋体" w:hAnsi="宋体"/>
                <w:b/>
                <w:bCs/>
                <w:color w:val="000000"/>
                <w:highlight w:val="none"/>
              </w:rPr>
            </w:pPr>
            <w:r>
              <w:rPr>
                <w:rFonts w:hint="eastAsia" w:ascii="宋体" w:hAnsi="宋体"/>
                <w:b/>
                <w:bCs/>
                <w:color w:val="000000"/>
                <w:highlight w:val="none"/>
              </w:rPr>
              <w:t>发明专利（标准）有效状态</w:t>
            </w:r>
          </w:p>
        </w:tc>
      </w:tr>
      <w:tr w14:paraId="6237F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3D1D4DAE">
            <w:pPr>
              <w:spacing w:line="240" w:lineRule="exact"/>
              <w:jc w:val="left"/>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论文</w:t>
            </w:r>
          </w:p>
        </w:tc>
        <w:tc>
          <w:tcPr>
            <w:tcW w:w="1300" w:type="dxa"/>
            <w:tcBorders>
              <w:tl2br w:val="nil"/>
              <w:tr2bl w:val="nil"/>
            </w:tcBorders>
            <w:noWrap w:val="0"/>
            <w:vAlign w:val="top"/>
          </w:tcPr>
          <w:p w14:paraId="7A32276A">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Interfacial Polymerization Produced Magnetic Particles with Nano‐Filopodia for Highly Accurate Liquid Biopsy in The Psa Gray Zone</w:t>
            </w:r>
            <w:r>
              <w:rPr>
                <w:rFonts w:hint="eastAsia"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rPr>
              <w:t>Advanced Materials; 2021,33(40): 2103999</w:t>
            </w:r>
          </w:p>
        </w:tc>
        <w:tc>
          <w:tcPr>
            <w:tcW w:w="1055" w:type="dxa"/>
            <w:tcBorders>
              <w:tl2br w:val="nil"/>
              <w:tr2bl w:val="nil"/>
            </w:tcBorders>
            <w:noWrap w:val="0"/>
            <w:vAlign w:val="top"/>
          </w:tcPr>
          <w:p w14:paraId="4FF4E6C7">
            <w:pPr>
              <w:spacing w:line="240" w:lineRule="exact"/>
              <w:jc w:val="left"/>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3A96E649">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D</w:t>
            </w:r>
            <w:r>
              <w:rPr>
                <w:rFonts w:hint="eastAsia" w:ascii="Times New Roman" w:hAnsi="Times New Roman" w:eastAsia="宋体" w:cs="Times New Roman"/>
                <w:color w:val="000000"/>
                <w:sz w:val="21"/>
                <w:szCs w:val="21"/>
                <w:highlight w:val="none"/>
                <w:lang w:val="en-US" w:eastAsia="zh-CN"/>
              </w:rPr>
              <w:t>OI</w:t>
            </w:r>
            <w:r>
              <w:rPr>
                <w:rFonts w:hint="eastAsia" w:ascii="Times New Roman" w:hAnsi="Times New Roman" w:eastAsia="宋体" w:cs="Times New Roman"/>
                <w:color w:val="000000"/>
                <w:sz w:val="21"/>
                <w:szCs w:val="21"/>
                <w:highlight w:val="none"/>
              </w:rPr>
              <w:t>: 10.1002/adma.202303821</w:t>
            </w:r>
          </w:p>
        </w:tc>
        <w:tc>
          <w:tcPr>
            <w:tcW w:w="1024" w:type="dxa"/>
            <w:tcBorders>
              <w:tl2br w:val="nil"/>
              <w:tr2bl w:val="nil"/>
            </w:tcBorders>
            <w:noWrap w:val="0"/>
            <w:vAlign w:val="top"/>
          </w:tcPr>
          <w:p w14:paraId="6228C7EE">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2023-08-29</w:t>
            </w:r>
          </w:p>
        </w:tc>
        <w:tc>
          <w:tcPr>
            <w:tcW w:w="1170" w:type="dxa"/>
            <w:tcBorders>
              <w:tl2br w:val="nil"/>
              <w:tr2bl w:val="nil"/>
            </w:tcBorders>
            <w:noWrap w:val="0"/>
            <w:vAlign w:val="top"/>
          </w:tcPr>
          <w:p w14:paraId="6F4D881C">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5BCC535B">
            <w:pPr>
              <w:spacing w:line="240" w:lineRule="exact"/>
              <w:jc w:val="left"/>
              <w:rPr>
                <w:rFonts w:hint="default" w:ascii="Times New Roman" w:hAnsi="Times New Roman" w:eastAsia="宋体" w:cs="Times New Roman"/>
                <w:color w:val="000000"/>
                <w:sz w:val="21"/>
                <w:szCs w:val="21"/>
                <w:highlight w:val="none"/>
              </w:rPr>
            </w:pPr>
          </w:p>
        </w:tc>
        <w:tc>
          <w:tcPr>
            <w:tcW w:w="878" w:type="dxa"/>
            <w:tcBorders>
              <w:tl2br w:val="nil"/>
              <w:tr2bl w:val="nil"/>
            </w:tcBorders>
            <w:noWrap w:val="0"/>
            <w:vAlign w:val="top"/>
          </w:tcPr>
          <w:p w14:paraId="4483F170">
            <w:pPr>
              <w:spacing w:line="240" w:lineRule="exact"/>
              <w:jc w:val="left"/>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rPr>
              <w:t>张树栋</w:t>
            </w:r>
            <w:r>
              <w:rPr>
                <w:rFonts w:hint="eastAsia" w:ascii="Times New Roman" w:hAnsi="Times New Roman" w:eastAsia="宋体" w:cs="Times New Roman"/>
                <w:color w:val="000000"/>
                <w:sz w:val="21"/>
                <w:szCs w:val="21"/>
                <w:highlight w:val="none"/>
                <w:lang w:val="en-US" w:eastAsia="zh-CN"/>
              </w:rPr>
              <w:t>等</w:t>
            </w:r>
          </w:p>
        </w:tc>
        <w:tc>
          <w:tcPr>
            <w:tcW w:w="1221" w:type="dxa"/>
            <w:tcBorders>
              <w:tl2br w:val="nil"/>
              <w:tr2bl w:val="nil"/>
            </w:tcBorders>
            <w:noWrap w:val="0"/>
            <w:vAlign w:val="top"/>
          </w:tcPr>
          <w:p w14:paraId="40989BD6">
            <w:pPr>
              <w:spacing w:line="240" w:lineRule="exact"/>
              <w:jc w:val="left"/>
              <w:rPr>
                <w:rFonts w:hint="default" w:ascii="Times New Roman" w:hAnsi="Times New Roman" w:eastAsia="宋体" w:cs="Times New Roman"/>
                <w:color w:val="000000"/>
                <w:sz w:val="21"/>
                <w:szCs w:val="21"/>
                <w:highlight w:val="none"/>
              </w:rPr>
            </w:pPr>
          </w:p>
        </w:tc>
      </w:tr>
      <w:tr w14:paraId="5056A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02ACF775">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论文</w:t>
            </w:r>
          </w:p>
        </w:tc>
        <w:tc>
          <w:tcPr>
            <w:tcW w:w="1300" w:type="dxa"/>
            <w:tcBorders>
              <w:tl2br w:val="nil"/>
              <w:tr2bl w:val="nil"/>
            </w:tcBorders>
            <w:noWrap w:val="0"/>
            <w:vAlign w:val="top"/>
          </w:tcPr>
          <w:p w14:paraId="2DE858A4">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Evaporation‐Induced rGO Coatings for Highly Sensitive and Non‐Invasive Diagnosis of Prostate Cancer in the PSA Gray Zone; Advanced Materials; 2021,33(40): e2103999</w:t>
            </w:r>
          </w:p>
        </w:tc>
        <w:tc>
          <w:tcPr>
            <w:tcW w:w="1055" w:type="dxa"/>
            <w:tcBorders>
              <w:tl2br w:val="nil"/>
              <w:tr2bl w:val="nil"/>
            </w:tcBorders>
            <w:noWrap w:val="0"/>
            <w:vAlign w:val="top"/>
          </w:tcPr>
          <w:p w14:paraId="50BE1289">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6874A09B">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DOl: 10.1002/adma.202103999</w:t>
            </w:r>
          </w:p>
        </w:tc>
        <w:tc>
          <w:tcPr>
            <w:tcW w:w="1024" w:type="dxa"/>
            <w:tcBorders>
              <w:tl2br w:val="nil"/>
              <w:tr2bl w:val="nil"/>
            </w:tcBorders>
            <w:noWrap w:val="0"/>
            <w:vAlign w:val="top"/>
          </w:tcPr>
          <w:p w14:paraId="0FB05C0A">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2021-08-16</w:t>
            </w:r>
          </w:p>
        </w:tc>
        <w:tc>
          <w:tcPr>
            <w:tcW w:w="1170" w:type="dxa"/>
            <w:tcBorders>
              <w:tl2br w:val="nil"/>
              <w:tr2bl w:val="nil"/>
            </w:tcBorders>
            <w:noWrap w:val="0"/>
            <w:vAlign w:val="top"/>
          </w:tcPr>
          <w:p w14:paraId="4CCF3F50">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10538BED">
            <w:pPr>
              <w:spacing w:line="240" w:lineRule="exact"/>
              <w:jc w:val="left"/>
              <w:rPr>
                <w:rFonts w:hint="default" w:ascii="Times New Roman" w:hAnsi="Times New Roman" w:eastAsia="宋体" w:cs="Times New Roman"/>
                <w:color w:val="000000"/>
                <w:sz w:val="21"/>
                <w:szCs w:val="21"/>
                <w:highlight w:val="none"/>
              </w:rPr>
            </w:pPr>
          </w:p>
        </w:tc>
        <w:tc>
          <w:tcPr>
            <w:tcW w:w="878" w:type="dxa"/>
            <w:tcBorders>
              <w:tl2br w:val="nil"/>
              <w:tr2bl w:val="nil"/>
            </w:tcBorders>
            <w:noWrap w:val="0"/>
            <w:vAlign w:val="top"/>
          </w:tcPr>
          <w:p w14:paraId="78391B39">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张树栋</w:t>
            </w:r>
            <w:r>
              <w:rPr>
                <w:rFonts w:hint="eastAsia" w:ascii="Times New Roman" w:hAnsi="Times New Roman" w:eastAsia="宋体" w:cs="Times New Roman"/>
                <w:color w:val="000000"/>
                <w:sz w:val="21"/>
                <w:szCs w:val="21"/>
                <w:highlight w:val="none"/>
                <w:lang w:val="en-US" w:eastAsia="zh-CN"/>
              </w:rPr>
              <w:t>等</w:t>
            </w:r>
          </w:p>
        </w:tc>
        <w:tc>
          <w:tcPr>
            <w:tcW w:w="1221" w:type="dxa"/>
            <w:tcBorders>
              <w:tl2br w:val="nil"/>
              <w:tr2bl w:val="nil"/>
            </w:tcBorders>
            <w:noWrap w:val="0"/>
            <w:vAlign w:val="top"/>
          </w:tcPr>
          <w:p w14:paraId="7FE72119">
            <w:pPr>
              <w:spacing w:line="240" w:lineRule="exact"/>
              <w:jc w:val="left"/>
              <w:rPr>
                <w:rFonts w:hint="default" w:ascii="Times New Roman" w:hAnsi="Times New Roman" w:eastAsia="宋体" w:cs="Times New Roman"/>
                <w:color w:val="000000"/>
                <w:sz w:val="21"/>
                <w:szCs w:val="21"/>
                <w:highlight w:val="none"/>
              </w:rPr>
            </w:pPr>
          </w:p>
        </w:tc>
      </w:tr>
      <w:tr w14:paraId="6323A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0310C577">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论文</w:t>
            </w:r>
          </w:p>
        </w:tc>
        <w:tc>
          <w:tcPr>
            <w:tcW w:w="1300" w:type="dxa"/>
            <w:tcBorders>
              <w:tl2br w:val="nil"/>
              <w:tr2bl w:val="nil"/>
            </w:tcBorders>
            <w:noWrap w:val="0"/>
            <w:vAlign w:val="top"/>
          </w:tcPr>
          <w:p w14:paraId="33025149">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 xml:space="preserve">The establishment of polypeptide PSMA-targeted chimeric antigen receptor-engineered natural killer cells for castration-resistant prostate cancer and the induction of ferroptosis-related cell death. Cancer Commun (Lond). 2022 Aug;42(8):768-783. </w:t>
            </w:r>
          </w:p>
        </w:tc>
        <w:tc>
          <w:tcPr>
            <w:tcW w:w="1055" w:type="dxa"/>
            <w:tcBorders>
              <w:tl2br w:val="nil"/>
              <w:tr2bl w:val="nil"/>
            </w:tcBorders>
            <w:noWrap w:val="0"/>
            <w:vAlign w:val="top"/>
          </w:tcPr>
          <w:p w14:paraId="25852D7A">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43E04B40">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DOI: 10.1002/cac2.12321.</w:t>
            </w:r>
          </w:p>
        </w:tc>
        <w:tc>
          <w:tcPr>
            <w:tcW w:w="1024" w:type="dxa"/>
            <w:tcBorders>
              <w:tl2br w:val="nil"/>
              <w:tr2bl w:val="nil"/>
            </w:tcBorders>
            <w:noWrap w:val="0"/>
            <w:vAlign w:val="top"/>
          </w:tcPr>
          <w:p w14:paraId="720F9D2D">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2022-06-02</w:t>
            </w:r>
          </w:p>
        </w:tc>
        <w:tc>
          <w:tcPr>
            <w:tcW w:w="1170" w:type="dxa"/>
            <w:tcBorders>
              <w:tl2br w:val="nil"/>
              <w:tr2bl w:val="nil"/>
            </w:tcBorders>
            <w:noWrap w:val="0"/>
            <w:vAlign w:val="top"/>
          </w:tcPr>
          <w:p w14:paraId="6D1F9D17">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5736D0FB">
            <w:pPr>
              <w:spacing w:line="240" w:lineRule="exact"/>
              <w:jc w:val="left"/>
              <w:rPr>
                <w:rFonts w:hint="default" w:ascii="Times New Roman" w:hAnsi="Times New Roman" w:eastAsia="宋体" w:cs="Times New Roman"/>
                <w:color w:val="000000"/>
                <w:sz w:val="21"/>
                <w:szCs w:val="21"/>
                <w:highlight w:val="none"/>
              </w:rPr>
            </w:pPr>
          </w:p>
        </w:tc>
        <w:tc>
          <w:tcPr>
            <w:tcW w:w="878" w:type="dxa"/>
            <w:tcBorders>
              <w:tl2br w:val="nil"/>
              <w:tr2bl w:val="nil"/>
            </w:tcBorders>
            <w:noWrap w:val="0"/>
            <w:vAlign w:val="top"/>
          </w:tcPr>
          <w:p w14:paraId="421017F0">
            <w:pPr>
              <w:spacing w:line="240" w:lineRule="exact"/>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邢念增等</w:t>
            </w:r>
          </w:p>
        </w:tc>
        <w:tc>
          <w:tcPr>
            <w:tcW w:w="1221" w:type="dxa"/>
            <w:tcBorders>
              <w:tl2br w:val="nil"/>
              <w:tr2bl w:val="nil"/>
            </w:tcBorders>
            <w:noWrap w:val="0"/>
            <w:vAlign w:val="top"/>
          </w:tcPr>
          <w:p w14:paraId="15A4856D">
            <w:pPr>
              <w:spacing w:line="240" w:lineRule="exact"/>
              <w:jc w:val="left"/>
              <w:rPr>
                <w:rFonts w:hint="default" w:ascii="Times New Roman" w:hAnsi="Times New Roman" w:eastAsia="宋体" w:cs="Times New Roman"/>
                <w:color w:val="000000"/>
                <w:sz w:val="21"/>
                <w:szCs w:val="21"/>
                <w:highlight w:val="none"/>
              </w:rPr>
            </w:pPr>
          </w:p>
        </w:tc>
      </w:tr>
      <w:tr w14:paraId="3517C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42E6C7C0">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论文</w:t>
            </w:r>
          </w:p>
        </w:tc>
        <w:tc>
          <w:tcPr>
            <w:tcW w:w="1300" w:type="dxa"/>
            <w:tcBorders>
              <w:tl2br w:val="nil"/>
              <w:tr2bl w:val="nil"/>
            </w:tcBorders>
            <w:noWrap w:val="0"/>
            <w:vAlign w:val="top"/>
          </w:tcPr>
          <w:p w14:paraId="62136F52">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 xml:space="preserve">Membrane dual-targeting probes: A promising strategy for fluorescence-guided prostate cancer surgery and lymph node metastases detection. Acta Pharm Sin B. 2023 Mar;13(3):1204-1215. </w:t>
            </w:r>
          </w:p>
        </w:tc>
        <w:tc>
          <w:tcPr>
            <w:tcW w:w="1055" w:type="dxa"/>
            <w:tcBorders>
              <w:tl2br w:val="nil"/>
              <w:tr2bl w:val="nil"/>
            </w:tcBorders>
            <w:noWrap w:val="0"/>
            <w:vAlign w:val="top"/>
          </w:tcPr>
          <w:p w14:paraId="7BEEA339">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3E8DBE13">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DOI: 10.1016/j.apsb.2022.07.018.</w:t>
            </w:r>
          </w:p>
        </w:tc>
        <w:tc>
          <w:tcPr>
            <w:tcW w:w="1024" w:type="dxa"/>
            <w:tcBorders>
              <w:tl2br w:val="nil"/>
              <w:tr2bl w:val="nil"/>
            </w:tcBorders>
            <w:noWrap w:val="0"/>
            <w:vAlign w:val="top"/>
          </w:tcPr>
          <w:p w14:paraId="759CE864">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2022-07-19</w:t>
            </w:r>
          </w:p>
        </w:tc>
        <w:tc>
          <w:tcPr>
            <w:tcW w:w="1170" w:type="dxa"/>
            <w:tcBorders>
              <w:tl2br w:val="nil"/>
              <w:tr2bl w:val="nil"/>
            </w:tcBorders>
            <w:noWrap w:val="0"/>
            <w:vAlign w:val="top"/>
          </w:tcPr>
          <w:p w14:paraId="17726529">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2C899C2E">
            <w:pPr>
              <w:spacing w:line="240" w:lineRule="exact"/>
              <w:jc w:val="left"/>
              <w:rPr>
                <w:rFonts w:hint="default" w:ascii="Times New Roman" w:hAnsi="Times New Roman" w:eastAsia="宋体" w:cs="Times New Roman"/>
                <w:color w:val="000000"/>
                <w:sz w:val="21"/>
                <w:szCs w:val="21"/>
                <w:highlight w:val="none"/>
              </w:rPr>
            </w:pPr>
          </w:p>
        </w:tc>
        <w:tc>
          <w:tcPr>
            <w:tcW w:w="878" w:type="dxa"/>
            <w:tcBorders>
              <w:tl2br w:val="nil"/>
              <w:tr2bl w:val="nil"/>
            </w:tcBorders>
            <w:noWrap w:val="0"/>
            <w:vAlign w:val="top"/>
          </w:tcPr>
          <w:p w14:paraId="134A5BBA">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邢念增等</w:t>
            </w:r>
          </w:p>
        </w:tc>
        <w:tc>
          <w:tcPr>
            <w:tcW w:w="1221" w:type="dxa"/>
            <w:tcBorders>
              <w:tl2br w:val="nil"/>
              <w:tr2bl w:val="nil"/>
            </w:tcBorders>
            <w:noWrap w:val="0"/>
            <w:vAlign w:val="top"/>
          </w:tcPr>
          <w:p w14:paraId="189906D6">
            <w:pPr>
              <w:spacing w:line="240" w:lineRule="exact"/>
              <w:jc w:val="left"/>
              <w:rPr>
                <w:rFonts w:hint="default" w:ascii="Times New Roman" w:hAnsi="Times New Roman" w:eastAsia="宋体" w:cs="Times New Roman"/>
                <w:color w:val="000000"/>
                <w:sz w:val="21"/>
                <w:szCs w:val="21"/>
                <w:highlight w:val="none"/>
              </w:rPr>
            </w:pPr>
          </w:p>
        </w:tc>
      </w:tr>
      <w:tr w14:paraId="72EDE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075F2B58">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论文</w:t>
            </w:r>
          </w:p>
        </w:tc>
        <w:tc>
          <w:tcPr>
            <w:tcW w:w="1300" w:type="dxa"/>
            <w:tcBorders>
              <w:tl2br w:val="nil"/>
              <w:tr2bl w:val="nil"/>
            </w:tcBorders>
            <w:noWrap w:val="0"/>
            <w:vAlign w:val="top"/>
          </w:tcPr>
          <w:p w14:paraId="487E3F13">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Polyphotosensitizer-Based Nanoparticles with Michael Addition Acceptors Inhibiting GST Activity and Cisplatin Deactivation for Enhanced Chemotherapy and Photodynamic Immunotherapy. Adv Sci (Weinh). 2023 Mar 17;e2300175.</w:t>
            </w:r>
          </w:p>
        </w:tc>
        <w:tc>
          <w:tcPr>
            <w:tcW w:w="1055" w:type="dxa"/>
            <w:tcBorders>
              <w:tl2br w:val="nil"/>
              <w:tr2bl w:val="nil"/>
            </w:tcBorders>
            <w:noWrap w:val="0"/>
            <w:vAlign w:val="top"/>
          </w:tcPr>
          <w:p w14:paraId="36582B8A">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73A87911">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 xml:space="preserve">DOI: </w:t>
            </w:r>
            <w:r>
              <w:rPr>
                <w:rFonts w:hint="default" w:ascii="Times New Roman" w:hAnsi="Times New Roman" w:eastAsia="宋体" w:cs="Times New Roman"/>
                <w:color w:val="000000"/>
                <w:sz w:val="21"/>
                <w:szCs w:val="21"/>
                <w:highlight w:val="none"/>
              </w:rPr>
              <w:t>10.1002/advs.202300175.</w:t>
            </w:r>
          </w:p>
        </w:tc>
        <w:tc>
          <w:tcPr>
            <w:tcW w:w="1024" w:type="dxa"/>
            <w:tcBorders>
              <w:tl2br w:val="nil"/>
              <w:tr2bl w:val="nil"/>
            </w:tcBorders>
            <w:noWrap w:val="0"/>
            <w:vAlign w:val="top"/>
          </w:tcPr>
          <w:p w14:paraId="708A2948">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2023-03-17</w:t>
            </w:r>
          </w:p>
        </w:tc>
        <w:tc>
          <w:tcPr>
            <w:tcW w:w="1170" w:type="dxa"/>
            <w:tcBorders>
              <w:tl2br w:val="nil"/>
              <w:tr2bl w:val="nil"/>
            </w:tcBorders>
            <w:noWrap w:val="0"/>
            <w:vAlign w:val="top"/>
          </w:tcPr>
          <w:p w14:paraId="3E729609">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46127B42">
            <w:pPr>
              <w:spacing w:line="240" w:lineRule="exact"/>
              <w:jc w:val="left"/>
              <w:rPr>
                <w:rFonts w:hint="default" w:ascii="Times New Roman" w:hAnsi="Times New Roman" w:eastAsia="宋体" w:cs="Times New Roman"/>
                <w:color w:val="000000"/>
                <w:sz w:val="21"/>
                <w:szCs w:val="21"/>
                <w:highlight w:val="none"/>
              </w:rPr>
            </w:pPr>
          </w:p>
        </w:tc>
        <w:tc>
          <w:tcPr>
            <w:tcW w:w="878" w:type="dxa"/>
            <w:tcBorders>
              <w:tl2br w:val="nil"/>
              <w:tr2bl w:val="nil"/>
            </w:tcBorders>
            <w:noWrap w:val="0"/>
            <w:vAlign w:val="top"/>
          </w:tcPr>
          <w:p w14:paraId="0BA0B969">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邢念增等</w:t>
            </w:r>
          </w:p>
        </w:tc>
        <w:tc>
          <w:tcPr>
            <w:tcW w:w="1221" w:type="dxa"/>
            <w:tcBorders>
              <w:tl2br w:val="nil"/>
              <w:tr2bl w:val="nil"/>
            </w:tcBorders>
            <w:noWrap w:val="0"/>
            <w:vAlign w:val="top"/>
          </w:tcPr>
          <w:p w14:paraId="41A2D5FD">
            <w:pPr>
              <w:spacing w:line="240" w:lineRule="exact"/>
              <w:jc w:val="left"/>
              <w:rPr>
                <w:rFonts w:hint="default" w:ascii="Times New Roman" w:hAnsi="Times New Roman" w:eastAsia="宋体" w:cs="Times New Roman"/>
                <w:color w:val="000000"/>
                <w:sz w:val="21"/>
                <w:szCs w:val="21"/>
                <w:highlight w:val="none"/>
              </w:rPr>
            </w:pPr>
          </w:p>
        </w:tc>
      </w:tr>
      <w:tr w14:paraId="7CA4D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3AB13C56">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论文</w:t>
            </w:r>
          </w:p>
        </w:tc>
        <w:tc>
          <w:tcPr>
            <w:tcW w:w="1300" w:type="dxa"/>
            <w:tcBorders>
              <w:tl2br w:val="nil"/>
              <w:tr2bl w:val="nil"/>
            </w:tcBorders>
            <w:noWrap w:val="0"/>
            <w:vAlign w:val="top"/>
          </w:tcPr>
          <w:p w14:paraId="3044A9E3">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 xml:space="preserve">CDK13 promotes lipid deposition and prostate cancer progression by stimulating NSUN5-mediated m5C modification of ACC1 mRNA. Cell Death Differ. 2023 Dec;30(12):2462-2476.  </w:t>
            </w:r>
          </w:p>
        </w:tc>
        <w:tc>
          <w:tcPr>
            <w:tcW w:w="1055" w:type="dxa"/>
            <w:tcBorders>
              <w:tl2br w:val="nil"/>
              <w:tr2bl w:val="nil"/>
            </w:tcBorders>
            <w:noWrap w:val="0"/>
            <w:vAlign w:val="top"/>
          </w:tcPr>
          <w:p w14:paraId="39BB6540">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2286CF1B">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DOI: 10.1038/s41418-023-01223-z.</w:t>
            </w:r>
          </w:p>
        </w:tc>
        <w:tc>
          <w:tcPr>
            <w:tcW w:w="1024" w:type="dxa"/>
            <w:tcBorders>
              <w:tl2br w:val="nil"/>
              <w:tr2bl w:val="nil"/>
            </w:tcBorders>
            <w:noWrap w:val="0"/>
            <w:vAlign w:val="top"/>
          </w:tcPr>
          <w:p w14:paraId="664F17D1">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2023-09-03</w:t>
            </w:r>
          </w:p>
        </w:tc>
        <w:tc>
          <w:tcPr>
            <w:tcW w:w="1170" w:type="dxa"/>
            <w:tcBorders>
              <w:tl2br w:val="nil"/>
              <w:tr2bl w:val="nil"/>
            </w:tcBorders>
            <w:noWrap w:val="0"/>
            <w:vAlign w:val="top"/>
          </w:tcPr>
          <w:p w14:paraId="51E19577">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2DB17111">
            <w:pPr>
              <w:spacing w:line="240" w:lineRule="exact"/>
              <w:jc w:val="left"/>
              <w:rPr>
                <w:rFonts w:hint="default" w:ascii="Times New Roman" w:hAnsi="Times New Roman" w:eastAsia="宋体" w:cs="Times New Roman"/>
                <w:color w:val="000000"/>
                <w:sz w:val="21"/>
                <w:szCs w:val="21"/>
                <w:highlight w:val="none"/>
              </w:rPr>
            </w:pPr>
          </w:p>
        </w:tc>
        <w:tc>
          <w:tcPr>
            <w:tcW w:w="878" w:type="dxa"/>
            <w:tcBorders>
              <w:tl2br w:val="nil"/>
              <w:tr2bl w:val="nil"/>
            </w:tcBorders>
            <w:noWrap w:val="0"/>
            <w:vAlign w:val="top"/>
          </w:tcPr>
          <w:p w14:paraId="67091EBE">
            <w:pPr>
              <w:spacing w:line="240" w:lineRule="exact"/>
              <w:jc w:val="left"/>
              <w:rPr>
                <w:rFonts w:hint="default" w:ascii="Times New Roman" w:hAnsi="Times New Roman" w:eastAsia="宋体" w:cs="Times New Roman"/>
                <w:color w:val="000000"/>
                <w:sz w:val="21"/>
                <w:szCs w:val="21"/>
                <w:highlight w:val="none"/>
                <w:lang w:val="en-US" w:eastAsia="zh-CN"/>
              </w:rPr>
            </w:pPr>
            <w:r>
              <w:rPr>
                <w:rFonts w:hint="eastAsia" w:eastAsia="宋体" w:cs="Times New Roman"/>
                <w:color w:val="000000"/>
                <w:sz w:val="21"/>
                <w:szCs w:val="21"/>
                <w:highlight w:val="none"/>
                <w:lang w:val="en-US" w:eastAsia="zh-CN"/>
              </w:rPr>
              <w:t>张勇等</w:t>
            </w:r>
          </w:p>
        </w:tc>
        <w:tc>
          <w:tcPr>
            <w:tcW w:w="1221" w:type="dxa"/>
            <w:tcBorders>
              <w:tl2br w:val="nil"/>
              <w:tr2bl w:val="nil"/>
            </w:tcBorders>
            <w:noWrap w:val="0"/>
            <w:vAlign w:val="top"/>
          </w:tcPr>
          <w:p w14:paraId="48BC1B4A">
            <w:pPr>
              <w:spacing w:line="240" w:lineRule="exact"/>
              <w:jc w:val="left"/>
              <w:rPr>
                <w:rFonts w:hint="default" w:ascii="Times New Roman" w:hAnsi="Times New Roman" w:eastAsia="宋体" w:cs="Times New Roman"/>
                <w:color w:val="000000"/>
                <w:sz w:val="21"/>
                <w:szCs w:val="21"/>
                <w:highlight w:val="none"/>
              </w:rPr>
            </w:pPr>
          </w:p>
        </w:tc>
      </w:tr>
      <w:tr w14:paraId="70730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6346293E">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论文</w:t>
            </w:r>
          </w:p>
        </w:tc>
        <w:tc>
          <w:tcPr>
            <w:tcW w:w="1300" w:type="dxa"/>
            <w:tcBorders>
              <w:tl2br w:val="nil"/>
              <w:tr2bl w:val="nil"/>
            </w:tcBorders>
            <w:noWrap w:val="0"/>
            <w:vAlign w:val="top"/>
          </w:tcPr>
          <w:p w14:paraId="07768B01">
            <w:pPr>
              <w:spacing w:line="240" w:lineRule="exact"/>
              <w:jc w:val="left"/>
              <w:rPr>
                <w:rFonts w:hint="default" w:ascii="Times New Roman" w:hAnsi="Times New Roman" w:eastAsia="宋体" w:cs="Times New Roman"/>
                <w:color w:val="000000"/>
                <w:sz w:val="21"/>
                <w:szCs w:val="21"/>
                <w:highlight w:val="none"/>
              </w:rPr>
            </w:pPr>
            <w:r>
              <w:rPr>
                <w:rFonts w:hint="eastAsia" w:eastAsia="宋体" w:cs="Times New Roman"/>
                <w:color w:val="000000"/>
                <w:sz w:val="21"/>
                <w:szCs w:val="21"/>
                <w:highlight w:val="none"/>
                <w:lang w:val="en-US" w:eastAsia="zh-CN"/>
              </w:rPr>
              <w:t>D</w:t>
            </w:r>
            <w:r>
              <w:rPr>
                <w:rFonts w:hint="default" w:ascii="Times New Roman" w:hAnsi="Times New Roman" w:eastAsia="宋体" w:cs="Times New Roman"/>
                <w:color w:val="000000"/>
                <w:sz w:val="21"/>
                <w:szCs w:val="21"/>
                <w:highlight w:val="none"/>
                <w:lang w:val="en-US"/>
              </w:rPr>
              <w:t xml:space="preserve">evelopment and validation of the utLIFE-PC algorithm for noninvasive detection of prostate cancer in urine: A prospective, observational study. Cell Rep Med. 2024 Dec 17;5(12):101870.  </w:t>
            </w:r>
          </w:p>
        </w:tc>
        <w:tc>
          <w:tcPr>
            <w:tcW w:w="1055" w:type="dxa"/>
            <w:tcBorders>
              <w:tl2br w:val="nil"/>
              <w:tr2bl w:val="nil"/>
            </w:tcBorders>
            <w:noWrap w:val="0"/>
            <w:vAlign w:val="top"/>
          </w:tcPr>
          <w:p w14:paraId="0D84552F">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27E97832">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DOI: 10.1016/j.xcrm.2024.101870.</w:t>
            </w:r>
          </w:p>
        </w:tc>
        <w:tc>
          <w:tcPr>
            <w:tcW w:w="1024" w:type="dxa"/>
            <w:tcBorders>
              <w:tl2br w:val="nil"/>
              <w:tr2bl w:val="nil"/>
            </w:tcBorders>
            <w:noWrap w:val="0"/>
            <w:vAlign w:val="top"/>
          </w:tcPr>
          <w:p w14:paraId="45F94719">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2024-12-09</w:t>
            </w:r>
          </w:p>
        </w:tc>
        <w:tc>
          <w:tcPr>
            <w:tcW w:w="1170" w:type="dxa"/>
            <w:tcBorders>
              <w:tl2br w:val="nil"/>
              <w:tr2bl w:val="nil"/>
            </w:tcBorders>
            <w:noWrap w:val="0"/>
            <w:vAlign w:val="top"/>
          </w:tcPr>
          <w:p w14:paraId="64862EEE">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373CE44C">
            <w:pPr>
              <w:spacing w:line="240" w:lineRule="exact"/>
              <w:jc w:val="left"/>
              <w:rPr>
                <w:rFonts w:hint="default" w:ascii="Times New Roman" w:hAnsi="Times New Roman" w:eastAsia="宋体" w:cs="Times New Roman"/>
                <w:color w:val="000000"/>
                <w:sz w:val="21"/>
                <w:szCs w:val="21"/>
                <w:highlight w:val="none"/>
              </w:rPr>
            </w:pPr>
          </w:p>
        </w:tc>
        <w:tc>
          <w:tcPr>
            <w:tcW w:w="878" w:type="dxa"/>
            <w:tcBorders>
              <w:tl2br w:val="nil"/>
              <w:tr2bl w:val="nil"/>
            </w:tcBorders>
            <w:noWrap w:val="0"/>
            <w:vAlign w:val="top"/>
          </w:tcPr>
          <w:p w14:paraId="6614802B">
            <w:pPr>
              <w:spacing w:line="240" w:lineRule="exact"/>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邢念增等</w:t>
            </w:r>
          </w:p>
        </w:tc>
        <w:tc>
          <w:tcPr>
            <w:tcW w:w="1221" w:type="dxa"/>
            <w:tcBorders>
              <w:tl2br w:val="nil"/>
              <w:tr2bl w:val="nil"/>
            </w:tcBorders>
            <w:noWrap w:val="0"/>
            <w:vAlign w:val="top"/>
          </w:tcPr>
          <w:p w14:paraId="6502A0DE">
            <w:pPr>
              <w:spacing w:line="240" w:lineRule="exact"/>
              <w:jc w:val="left"/>
              <w:rPr>
                <w:rFonts w:hint="default" w:ascii="Times New Roman" w:hAnsi="Times New Roman" w:eastAsia="宋体" w:cs="Times New Roman"/>
                <w:color w:val="000000"/>
                <w:sz w:val="21"/>
                <w:szCs w:val="21"/>
                <w:highlight w:val="none"/>
              </w:rPr>
            </w:pPr>
          </w:p>
        </w:tc>
      </w:tr>
      <w:tr w14:paraId="4661B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0469DDC7">
            <w:pPr>
              <w:spacing w:line="240" w:lineRule="exact"/>
              <w:jc w:val="left"/>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专著</w:t>
            </w:r>
          </w:p>
        </w:tc>
        <w:tc>
          <w:tcPr>
            <w:tcW w:w="1300" w:type="dxa"/>
            <w:tcBorders>
              <w:tl2br w:val="nil"/>
              <w:tr2bl w:val="nil"/>
            </w:tcBorders>
            <w:noWrap w:val="0"/>
            <w:vAlign w:val="top"/>
          </w:tcPr>
          <w:p w14:paraId="3EE5407E">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中华医学百科全书泌尿外科卷</w:t>
            </w:r>
          </w:p>
        </w:tc>
        <w:tc>
          <w:tcPr>
            <w:tcW w:w="1055" w:type="dxa"/>
            <w:tcBorders>
              <w:tl2br w:val="nil"/>
              <w:tr2bl w:val="nil"/>
            </w:tcBorders>
            <w:noWrap w:val="0"/>
            <w:vAlign w:val="top"/>
          </w:tcPr>
          <w:p w14:paraId="48F4B545">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48C55FEF">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ISBN：978-7-5679-2028-6</w:t>
            </w:r>
          </w:p>
        </w:tc>
        <w:tc>
          <w:tcPr>
            <w:tcW w:w="1024" w:type="dxa"/>
            <w:tcBorders>
              <w:tl2br w:val="nil"/>
              <w:tr2bl w:val="nil"/>
            </w:tcBorders>
            <w:noWrap w:val="0"/>
            <w:vAlign w:val="top"/>
          </w:tcPr>
          <w:p w14:paraId="05423962">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2022-10-01</w:t>
            </w:r>
          </w:p>
        </w:tc>
        <w:tc>
          <w:tcPr>
            <w:tcW w:w="1170" w:type="dxa"/>
            <w:tcBorders>
              <w:tl2br w:val="nil"/>
              <w:tr2bl w:val="nil"/>
            </w:tcBorders>
            <w:noWrap w:val="0"/>
            <w:vAlign w:val="top"/>
          </w:tcPr>
          <w:p w14:paraId="4ECA122A">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49394523">
            <w:pPr>
              <w:spacing w:line="240" w:lineRule="exact"/>
              <w:jc w:val="left"/>
              <w:rPr>
                <w:rFonts w:hint="default" w:ascii="Times New Roman" w:hAnsi="Times New Roman" w:eastAsia="宋体" w:cs="Times New Roman"/>
                <w:color w:val="000000"/>
                <w:sz w:val="21"/>
                <w:szCs w:val="21"/>
                <w:highlight w:val="none"/>
              </w:rPr>
            </w:pPr>
          </w:p>
        </w:tc>
        <w:tc>
          <w:tcPr>
            <w:tcW w:w="878" w:type="dxa"/>
            <w:tcBorders>
              <w:tl2br w:val="nil"/>
              <w:tr2bl w:val="nil"/>
            </w:tcBorders>
            <w:noWrap w:val="0"/>
            <w:vAlign w:val="top"/>
          </w:tcPr>
          <w:p w14:paraId="4B9B0218">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邢念增，李汉忠，张玉石等</w:t>
            </w:r>
          </w:p>
        </w:tc>
        <w:tc>
          <w:tcPr>
            <w:tcW w:w="1221" w:type="dxa"/>
            <w:tcBorders>
              <w:tl2br w:val="nil"/>
              <w:tr2bl w:val="nil"/>
            </w:tcBorders>
            <w:noWrap w:val="0"/>
            <w:vAlign w:val="top"/>
          </w:tcPr>
          <w:p w14:paraId="11905E9C">
            <w:pPr>
              <w:spacing w:line="240" w:lineRule="exact"/>
              <w:jc w:val="left"/>
              <w:rPr>
                <w:rFonts w:hint="default" w:ascii="Times New Roman" w:hAnsi="Times New Roman" w:eastAsia="宋体" w:cs="Times New Roman"/>
                <w:color w:val="000000"/>
                <w:sz w:val="21"/>
                <w:szCs w:val="21"/>
                <w:highlight w:val="none"/>
              </w:rPr>
            </w:pPr>
          </w:p>
        </w:tc>
      </w:tr>
      <w:tr w14:paraId="071B8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589B6058">
            <w:pPr>
              <w:spacing w:line="240" w:lineRule="exact"/>
              <w:jc w:val="left"/>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发明专利</w:t>
            </w:r>
          </w:p>
        </w:tc>
        <w:tc>
          <w:tcPr>
            <w:tcW w:w="1300" w:type="dxa"/>
            <w:tcBorders>
              <w:tl2br w:val="nil"/>
              <w:tr2bl w:val="nil"/>
            </w:tcBorders>
            <w:noWrap w:val="0"/>
            <w:vAlign w:val="top"/>
          </w:tcPr>
          <w:p w14:paraId="0957ED53">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两种前列腺特异性膜抗原靶向荧光探针及其制备方法与应用</w:t>
            </w:r>
          </w:p>
        </w:tc>
        <w:tc>
          <w:tcPr>
            <w:tcW w:w="1055" w:type="dxa"/>
            <w:tcBorders>
              <w:tl2br w:val="nil"/>
              <w:tr2bl w:val="nil"/>
            </w:tcBorders>
            <w:noWrap w:val="0"/>
            <w:vAlign w:val="top"/>
          </w:tcPr>
          <w:p w14:paraId="2CBBBEB8">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4544D964">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ZL20211352782.1</w:t>
            </w:r>
          </w:p>
        </w:tc>
        <w:tc>
          <w:tcPr>
            <w:tcW w:w="1024" w:type="dxa"/>
            <w:tcBorders>
              <w:tl2br w:val="nil"/>
              <w:tr2bl w:val="nil"/>
            </w:tcBorders>
            <w:noWrap w:val="0"/>
            <w:vAlign w:val="top"/>
          </w:tcPr>
          <w:p w14:paraId="51FA2E35">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2023-04-07</w:t>
            </w:r>
          </w:p>
        </w:tc>
        <w:tc>
          <w:tcPr>
            <w:tcW w:w="1170" w:type="dxa"/>
            <w:tcBorders>
              <w:tl2br w:val="nil"/>
              <w:tr2bl w:val="nil"/>
            </w:tcBorders>
            <w:noWrap w:val="0"/>
            <w:vAlign w:val="top"/>
          </w:tcPr>
          <w:p w14:paraId="7B892B6D">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7F9AACEB">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 xml:space="preserve">中国医学科学院肿瘤医院，中国医学科学院药物研究所  </w:t>
            </w:r>
          </w:p>
        </w:tc>
        <w:tc>
          <w:tcPr>
            <w:tcW w:w="878" w:type="dxa"/>
            <w:tcBorders>
              <w:tl2br w:val="nil"/>
              <w:tr2bl w:val="nil"/>
            </w:tcBorders>
            <w:noWrap w:val="0"/>
            <w:vAlign w:val="top"/>
          </w:tcPr>
          <w:p w14:paraId="4CE859D3">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 xml:space="preserve">邢念增，胡海宇，武岭岭，赵钦欣，王庆华，张青扬 </w:t>
            </w:r>
          </w:p>
        </w:tc>
        <w:tc>
          <w:tcPr>
            <w:tcW w:w="1221" w:type="dxa"/>
            <w:tcBorders>
              <w:tl2br w:val="nil"/>
              <w:tr2bl w:val="nil"/>
            </w:tcBorders>
            <w:noWrap w:val="0"/>
            <w:vAlign w:val="top"/>
          </w:tcPr>
          <w:p w14:paraId="39F376EB">
            <w:pPr>
              <w:spacing w:line="240" w:lineRule="exact"/>
              <w:jc w:val="left"/>
              <w:rPr>
                <w:rFonts w:hint="default" w:ascii="Times New Roman" w:hAnsi="Times New Roman" w:eastAsia="宋体" w:cs="Times New Roman"/>
                <w:color w:val="000000"/>
                <w:sz w:val="21"/>
                <w:szCs w:val="21"/>
                <w:highlight w:val="none"/>
              </w:rPr>
            </w:pPr>
          </w:p>
        </w:tc>
      </w:tr>
      <w:tr w14:paraId="2DF43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noWrap w:val="0"/>
            <w:vAlign w:val="top"/>
          </w:tcPr>
          <w:p w14:paraId="1B833DFE">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发明专利</w:t>
            </w:r>
          </w:p>
        </w:tc>
        <w:tc>
          <w:tcPr>
            <w:tcW w:w="1300" w:type="dxa"/>
            <w:tcBorders>
              <w:tl2br w:val="nil"/>
              <w:tr2bl w:val="nil"/>
            </w:tcBorders>
            <w:noWrap w:val="0"/>
            <w:vAlign w:val="top"/>
          </w:tcPr>
          <w:p w14:paraId="23103E86">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内窥镜夹持机械手</w:t>
            </w:r>
          </w:p>
        </w:tc>
        <w:tc>
          <w:tcPr>
            <w:tcW w:w="1055" w:type="dxa"/>
            <w:tcBorders>
              <w:tl2br w:val="nil"/>
              <w:tr2bl w:val="nil"/>
            </w:tcBorders>
            <w:noWrap w:val="0"/>
            <w:vAlign w:val="top"/>
          </w:tcPr>
          <w:p w14:paraId="641BB0E3">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lang w:val="en-US" w:eastAsia="zh-CN"/>
              </w:rPr>
              <w:t>中国</w:t>
            </w:r>
          </w:p>
        </w:tc>
        <w:tc>
          <w:tcPr>
            <w:tcW w:w="876" w:type="dxa"/>
            <w:tcBorders>
              <w:tl2br w:val="nil"/>
              <w:tr2bl w:val="nil"/>
            </w:tcBorders>
            <w:noWrap w:val="0"/>
            <w:vAlign w:val="top"/>
          </w:tcPr>
          <w:p w14:paraId="3A956F9B">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ZL202110286808.7</w:t>
            </w:r>
          </w:p>
        </w:tc>
        <w:tc>
          <w:tcPr>
            <w:tcW w:w="1024" w:type="dxa"/>
            <w:tcBorders>
              <w:tl2br w:val="nil"/>
              <w:tr2bl w:val="nil"/>
            </w:tcBorders>
            <w:noWrap w:val="0"/>
            <w:vAlign w:val="top"/>
          </w:tcPr>
          <w:p w14:paraId="1A643845">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2011-09-24</w:t>
            </w:r>
          </w:p>
        </w:tc>
        <w:tc>
          <w:tcPr>
            <w:tcW w:w="1170" w:type="dxa"/>
            <w:tcBorders>
              <w:tl2br w:val="nil"/>
              <w:tr2bl w:val="nil"/>
            </w:tcBorders>
            <w:noWrap w:val="0"/>
            <w:vAlign w:val="top"/>
          </w:tcPr>
          <w:p w14:paraId="69FC8B42">
            <w:pPr>
              <w:spacing w:line="240" w:lineRule="exact"/>
              <w:jc w:val="left"/>
              <w:rPr>
                <w:rFonts w:hint="default" w:ascii="Times New Roman" w:hAnsi="Times New Roman" w:eastAsia="宋体" w:cs="Times New Roman"/>
                <w:color w:val="000000"/>
                <w:sz w:val="21"/>
                <w:szCs w:val="21"/>
                <w:highlight w:val="none"/>
              </w:rPr>
            </w:pPr>
          </w:p>
        </w:tc>
        <w:tc>
          <w:tcPr>
            <w:tcW w:w="877" w:type="dxa"/>
            <w:tcBorders>
              <w:tl2br w:val="nil"/>
              <w:tr2bl w:val="nil"/>
            </w:tcBorders>
            <w:noWrap w:val="0"/>
            <w:vAlign w:val="top"/>
          </w:tcPr>
          <w:p w14:paraId="3D98661C">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天津博朗科技发展有限公司</w:t>
            </w:r>
          </w:p>
        </w:tc>
        <w:tc>
          <w:tcPr>
            <w:tcW w:w="878" w:type="dxa"/>
            <w:tcBorders>
              <w:tl2br w:val="nil"/>
              <w:tr2bl w:val="nil"/>
            </w:tcBorders>
            <w:noWrap w:val="0"/>
            <w:vAlign w:val="top"/>
          </w:tcPr>
          <w:p w14:paraId="4236D5A0">
            <w:pPr>
              <w:spacing w:line="240" w:lineRule="exact"/>
              <w:jc w:val="left"/>
              <w:rPr>
                <w:rFonts w:hint="default"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邢念增，齐梦超</w:t>
            </w:r>
          </w:p>
        </w:tc>
        <w:tc>
          <w:tcPr>
            <w:tcW w:w="1221" w:type="dxa"/>
            <w:tcBorders>
              <w:tl2br w:val="nil"/>
              <w:tr2bl w:val="nil"/>
            </w:tcBorders>
            <w:noWrap w:val="0"/>
            <w:vAlign w:val="top"/>
          </w:tcPr>
          <w:p w14:paraId="6E090541">
            <w:pPr>
              <w:spacing w:line="240" w:lineRule="exact"/>
              <w:jc w:val="left"/>
              <w:rPr>
                <w:rFonts w:hint="default" w:ascii="Times New Roman" w:hAnsi="Times New Roman" w:eastAsia="宋体" w:cs="Times New Roman"/>
                <w:color w:val="000000"/>
                <w:sz w:val="21"/>
                <w:szCs w:val="21"/>
                <w:highlight w:val="none"/>
              </w:rPr>
            </w:pPr>
          </w:p>
        </w:tc>
      </w:tr>
    </w:tbl>
    <w:p w14:paraId="35CBD47B">
      <w:pPr>
        <w:numPr>
          <w:ilvl w:val="0"/>
          <w:numId w:val="0"/>
        </w:numPr>
        <w:autoSpaceDE w:val="0"/>
        <w:autoSpaceDN w:val="0"/>
        <w:adjustRightInd w:val="0"/>
        <w:spacing w:line="400" w:lineRule="exact"/>
        <w:rPr>
          <w:rFonts w:hint="eastAsia" w:cs="(使用中文字体)" w:asciiTheme="minorEastAsia" w:hAnsiTheme="minorEastAsia" w:eastAsiaTheme="minorEastAsia"/>
          <w:kern w:val="0"/>
          <w:sz w:val="24"/>
          <w:highlight w:val="none"/>
          <w:lang w:eastAsia="zh-CN"/>
        </w:rPr>
      </w:pPr>
    </w:p>
    <w:p w14:paraId="349673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使用中文字体)">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40A6F"/>
    <w:multiLevelType w:val="singleLevel"/>
    <w:tmpl w:val="9B140A6F"/>
    <w:lvl w:ilvl="0" w:tentative="0">
      <w:start w:val="1"/>
      <w:numFmt w:val="decimal"/>
      <w:lvlText w:val="%1."/>
      <w:lvlJc w:val="left"/>
      <w:pPr>
        <w:ind w:left="425" w:hanging="425"/>
      </w:pPr>
      <w:rPr>
        <w:rFonts w:hint="default"/>
      </w:rPr>
    </w:lvl>
  </w:abstractNum>
  <w:abstractNum w:abstractNumId="1">
    <w:nsid w:val="A2F12645"/>
    <w:multiLevelType w:val="singleLevel"/>
    <w:tmpl w:val="A2F1264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B085745"/>
    <w:rsid w:val="5966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2433</Words>
  <Characters>3794</Characters>
  <Lines>0</Lines>
  <Paragraphs>0</Paragraphs>
  <TotalTime>1</TotalTime>
  <ScaleCrop>false</ScaleCrop>
  <LinksUpToDate>false</LinksUpToDate>
  <CharactersWithSpaces>3984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2025-03-24T03:09:00Z</dcterms:created>
  <dc:creator>cd900</dc:creator>
  <cp:lastModifiedBy>martin郝博知</cp:lastModifiedBy>
  <dcterms:modified xsi:type="dcterms:W3CDTF">2025-03-24T08:24:05Z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eyJoZGlkIjoiZGE2Mjg2YTZkZTMyMTYwY2M1OTQ5YzJlN2MyYmRjOGEiLCJ1c2VySWQiOiI0NjM0MjAwNzkifQ==</vt:lpwstr>
  </property>
  <property fmtid="{D5CDD505-2E9C-101B-9397-08002B2CF9AE}" pid="4" name="ICV">
    <vt:lpwstr>1F490E689262445AAAB8B6C4BA79E3F3_12</vt:lpwstr>
  </property>
</Properties>
</file>