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微软雅黑"/>
          <w:sz w:val="28"/>
          <w:szCs w:val="44"/>
        </w:rPr>
      </w:pPr>
    </w:p>
    <w:p>
      <w:pPr>
        <w:jc w:val="left"/>
        <w:rPr>
          <w:rFonts w:eastAsia="微软雅黑"/>
          <w:sz w:val="44"/>
          <w:szCs w:val="44"/>
        </w:rPr>
      </w:pPr>
    </w:p>
    <w:p>
      <w:pPr>
        <w:spacing w:line="360" w:lineRule="auto"/>
        <w:jc w:val="center"/>
        <w:rPr>
          <w:rFonts w:eastAsia="微软雅黑"/>
          <w:b/>
          <w:sz w:val="52"/>
          <w:szCs w:val="52"/>
        </w:rPr>
      </w:pPr>
    </w:p>
    <w:p>
      <w:pPr>
        <w:spacing w:line="360" w:lineRule="auto"/>
        <w:jc w:val="center"/>
        <w:rPr>
          <w:rFonts w:eastAsia="微软雅黑"/>
          <w:b/>
          <w:sz w:val="52"/>
          <w:szCs w:val="52"/>
        </w:rPr>
      </w:pPr>
    </w:p>
    <w:p>
      <w:pPr>
        <w:spacing w:line="360" w:lineRule="auto"/>
        <w:jc w:val="center"/>
        <w:rPr>
          <w:rFonts w:eastAsia="微软雅黑"/>
          <w:b/>
          <w:sz w:val="52"/>
          <w:szCs w:val="52"/>
        </w:rPr>
      </w:pPr>
    </w:p>
    <w:p>
      <w:pPr>
        <w:spacing w:line="360" w:lineRule="auto"/>
        <w:jc w:val="center"/>
        <w:rPr>
          <w:rFonts w:eastAsia="微软雅黑"/>
          <w:b/>
          <w:sz w:val="52"/>
          <w:szCs w:val="52"/>
        </w:rPr>
      </w:pPr>
    </w:p>
    <w:p>
      <w:pPr>
        <w:spacing w:line="360" w:lineRule="auto"/>
        <w:jc w:val="center"/>
        <w:rPr>
          <w:rFonts w:eastAsia="微软雅黑"/>
          <w:b/>
          <w:sz w:val="52"/>
          <w:szCs w:val="52"/>
        </w:rPr>
      </w:pPr>
    </w:p>
    <w:p>
      <w:pPr>
        <w:spacing w:line="360" w:lineRule="auto"/>
        <w:jc w:val="center"/>
        <w:rPr>
          <w:rFonts w:eastAsia="微软雅黑"/>
          <w:sz w:val="52"/>
          <w:szCs w:val="52"/>
        </w:rPr>
      </w:pPr>
      <w:r>
        <w:rPr>
          <w:rFonts w:eastAsia="微软雅黑"/>
          <w:sz w:val="52"/>
          <w:szCs w:val="52"/>
        </w:rPr>
        <w:t>新余市</w:t>
      </w:r>
      <w:r>
        <w:rPr>
          <w:rFonts w:ascii="宋体" w:hAnsi="宋体"/>
          <w:sz w:val="52"/>
          <w:szCs w:val="52"/>
        </w:rPr>
        <w:t>“</w:t>
      </w:r>
      <w:r>
        <w:rPr>
          <w:rFonts w:eastAsia="微软雅黑"/>
          <w:sz w:val="52"/>
          <w:szCs w:val="52"/>
        </w:rPr>
        <w:t>十四五</w:t>
      </w:r>
      <w:r>
        <w:rPr>
          <w:rFonts w:ascii="宋体" w:hAnsi="宋体"/>
          <w:sz w:val="52"/>
          <w:szCs w:val="52"/>
        </w:rPr>
        <w:t>”</w:t>
      </w:r>
      <w:r>
        <w:rPr>
          <w:rFonts w:eastAsia="微软雅黑"/>
          <w:sz w:val="52"/>
          <w:szCs w:val="52"/>
        </w:rPr>
        <w:t>能源发展规划</w:t>
      </w:r>
    </w:p>
    <w:p>
      <w:pPr>
        <w:spacing w:line="360" w:lineRule="auto"/>
        <w:jc w:val="center"/>
        <w:rPr>
          <w:rFonts w:eastAsia="微软雅黑"/>
          <w:b/>
          <w:sz w:val="52"/>
          <w:szCs w:val="52"/>
        </w:rPr>
      </w:pPr>
    </w:p>
    <w:p>
      <w:pPr>
        <w:spacing w:line="360" w:lineRule="auto"/>
        <w:jc w:val="center"/>
        <w:rPr>
          <w:rFonts w:eastAsia="微软雅黑"/>
          <w:b/>
          <w:sz w:val="52"/>
          <w:szCs w:val="52"/>
        </w:rPr>
      </w:pPr>
    </w:p>
    <w:p>
      <w:pPr>
        <w:rPr>
          <w:rFonts w:eastAsia="微软雅黑"/>
          <w:b/>
          <w:sz w:val="44"/>
          <w:szCs w:val="4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20" w:firstLineChars="150"/>
        <w:jc w:val="distribute"/>
        <w:rPr>
          <w:rFonts w:eastAsia="微软雅黑"/>
          <w:sz w:val="28"/>
          <w:szCs w:val="28"/>
        </w:rPr>
      </w:pPr>
    </w:p>
    <w:p>
      <w:pPr>
        <w:ind w:firstLine="420" w:firstLineChars="150"/>
        <w:jc w:val="distribute"/>
        <w:rPr>
          <w:rFonts w:eastAsia="微软雅黑"/>
          <w:sz w:val="28"/>
          <w:szCs w:val="28"/>
        </w:rPr>
      </w:pPr>
    </w:p>
    <w:p>
      <w:pPr>
        <w:ind w:firstLine="420" w:firstLineChars="150"/>
        <w:jc w:val="distribute"/>
        <w:rPr>
          <w:rFonts w:eastAsia="微软雅黑"/>
          <w:sz w:val="28"/>
          <w:szCs w:val="28"/>
        </w:rPr>
      </w:pPr>
    </w:p>
    <w:p>
      <w:pPr>
        <w:ind w:firstLine="420" w:firstLineChars="150"/>
        <w:jc w:val="distribute"/>
        <w:rPr>
          <w:rFonts w:eastAsia="微软雅黑"/>
          <w:sz w:val="28"/>
          <w:szCs w:val="28"/>
        </w:rPr>
      </w:pPr>
    </w:p>
    <w:p>
      <w:pPr>
        <w:ind w:firstLine="420" w:firstLineChars="150"/>
        <w:jc w:val="distribute"/>
        <w:rPr>
          <w:rFonts w:eastAsia="微软雅黑"/>
          <w:sz w:val="28"/>
          <w:szCs w:val="28"/>
        </w:rPr>
      </w:pPr>
    </w:p>
    <w:p>
      <w:pPr>
        <w:jc w:val="center"/>
        <w:rPr>
          <w:rFonts w:eastAsia="微软雅黑"/>
          <w:kern w:val="44"/>
          <w:sz w:val="28"/>
          <w:szCs w:val="28"/>
        </w:rPr>
      </w:pPr>
      <w:r>
        <w:rPr>
          <w:rFonts w:hint="eastAsia" w:eastAsia="微软雅黑"/>
          <w:kern w:val="44"/>
          <w:sz w:val="28"/>
          <w:szCs w:val="28"/>
        </w:rPr>
        <w:t>新余市发展和改革委员会</w:t>
      </w:r>
    </w:p>
    <w:p>
      <w:pPr>
        <w:jc w:val="center"/>
        <w:rPr>
          <w:rFonts w:eastAsia="微软雅黑"/>
          <w:kern w:val="44"/>
          <w:sz w:val="28"/>
          <w:szCs w:val="28"/>
        </w:rPr>
        <w:sectPr>
          <w:headerReference r:id="rId3" w:type="default"/>
          <w:pgSz w:w="11906" w:h="16838"/>
          <w:pgMar w:top="1440" w:right="1797" w:bottom="1440" w:left="1797" w:header="851" w:footer="851" w:gutter="0"/>
          <w:pgNumType w:start="1"/>
          <w:cols w:space="720" w:num="1"/>
          <w:docGrid w:linePitch="312" w:charSpace="0"/>
        </w:sectPr>
      </w:pPr>
      <w:r>
        <w:rPr>
          <w:rFonts w:eastAsia="微软雅黑"/>
          <w:kern w:val="44"/>
          <w:sz w:val="28"/>
          <w:szCs w:val="28"/>
        </w:rPr>
        <w:t>二〇二</w:t>
      </w:r>
      <w:r>
        <w:rPr>
          <w:rFonts w:hint="eastAsia" w:eastAsia="微软雅黑"/>
          <w:kern w:val="44"/>
          <w:sz w:val="28"/>
          <w:szCs w:val="28"/>
        </w:rPr>
        <w:t>一</w:t>
      </w:r>
      <w:r>
        <w:rPr>
          <w:rFonts w:eastAsia="微软雅黑"/>
          <w:kern w:val="44"/>
          <w:sz w:val="28"/>
          <w:szCs w:val="28"/>
        </w:rPr>
        <w:t>年</w:t>
      </w:r>
      <w:r>
        <w:rPr>
          <w:rFonts w:hint="eastAsia" w:eastAsia="微软雅黑"/>
          <w:kern w:val="44"/>
          <w:sz w:val="28"/>
          <w:szCs w:val="28"/>
        </w:rPr>
        <w:t xml:space="preserve">   八</w:t>
      </w:r>
      <w:r>
        <w:rPr>
          <w:rFonts w:eastAsia="微软雅黑"/>
          <w:kern w:val="44"/>
          <w:sz w:val="28"/>
          <w:szCs w:val="28"/>
        </w:rPr>
        <w:t>月</w:t>
      </w:r>
      <w:r>
        <w:rPr>
          <w:rFonts w:hint="eastAsia" w:eastAsia="微软雅黑"/>
          <w:kern w:val="44"/>
          <w:sz w:val="28"/>
          <w:szCs w:val="28"/>
        </w:rPr>
        <w:t xml:space="preserve">  </w:t>
      </w:r>
    </w:p>
    <w:sdt>
      <w:sdtPr>
        <w:rPr>
          <w:rFonts w:ascii="Times New Roman" w:hAnsi="Times New Roman" w:eastAsia="宋体" w:cs="Times New Roman"/>
          <w:color w:val="auto"/>
          <w:kern w:val="2"/>
          <w:sz w:val="21"/>
          <w:szCs w:val="24"/>
          <w:lang w:val="zh-CN"/>
        </w:rPr>
        <w:id w:val="-1616899342"/>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39"/>
            <w:jc w:val="center"/>
            <w:rPr>
              <w:rFonts w:ascii="黑体" w:hAnsi="黑体" w:eastAsia="黑体"/>
              <w:color w:val="auto"/>
            </w:rPr>
          </w:pPr>
          <w:bookmarkStart w:id="0" w:name="_Toc66178048"/>
          <w:bookmarkStart w:id="1" w:name="_Toc436857029"/>
          <w:bookmarkStart w:id="2" w:name="_Toc436857101"/>
          <w:bookmarkStart w:id="3" w:name="_Toc428798292"/>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8"/>
            <w:rPr>
              <w:rFonts w:asciiTheme="minorHAnsi" w:hAnsiTheme="minorHAnsi" w:eastAsiaTheme="minorEastAsia" w:cstheme="minorBidi"/>
              <w:sz w:val="28"/>
              <w:szCs w:val="32"/>
            </w:rPr>
          </w:pPr>
          <w:r>
            <w:rPr>
              <w:sz w:val="28"/>
              <w:szCs w:val="36"/>
            </w:rPr>
            <w:fldChar w:fldCharType="begin"/>
          </w:r>
          <w:r>
            <w:rPr>
              <w:sz w:val="28"/>
              <w:szCs w:val="36"/>
            </w:rPr>
            <w:instrText xml:space="preserve"> TOC \o "1-3" \h \z \u </w:instrText>
          </w:r>
          <w:r>
            <w:rPr>
              <w:sz w:val="28"/>
              <w:szCs w:val="36"/>
            </w:rPr>
            <w:fldChar w:fldCharType="separate"/>
          </w:r>
          <w:r>
            <w:fldChar w:fldCharType="begin"/>
          </w:r>
          <w:r>
            <w:instrText xml:space="preserve"> HYPERLINK \l "_Toc80657288" </w:instrText>
          </w:r>
          <w:r>
            <w:fldChar w:fldCharType="separate"/>
          </w:r>
          <w:r>
            <w:rPr>
              <w:rFonts w:eastAsia="黑体"/>
              <w:bCs/>
              <w:kern w:val="44"/>
              <w:sz w:val="28"/>
              <w:szCs w:val="36"/>
            </w:rPr>
            <w:t>前</w:t>
          </w:r>
          <w:r>
            <w:rPr>
              <w:rFonts w:hint="eastAsia" w:eastAsia="黑体"/>
              <w:bCs/>
              <w:kern w:val="44"/>
              <w:sz w:val="28"/>
              <w:szCs w:val="36"/>
            </w:rPr>
            <w:t xml:space="preserve"> </w:t>
          </w:r>
          <w:r>
            <w:rPr>
              <w:rFonts w:eastAsia="黑体"/>
              <w:bCs/>
              <w:kern w:val="44"/>
              <w:sz w:val="28"/>
              <w:szCs w:val="36"/>
            </w:rPr>
            <w:t xml:space="preserve"> 言</w:t>
          </w:r>
          <w:r>
            <w:rPr>
              <w:sz w:val="28"/>
              <w:szCs w:val="36"/>
            </w:rPr>
            <w:tab/>
          </w:r>
          <w:r>
            <w:rPr>
              <w:sz w:val="28"/>
              <w:szCs w:val="36"/>
            </w:rPr>
            <w:fldChar w:fldCharType="begin"/>
          </w:r>
          <w:r>
            <w:rPr>
              <w:sz w:val="28"/>
              <w:szCs w:val="36"/>
            </w:rPr>
            <w:instrText xml:space="preserve"> PAGEREF _Toc80657288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8"/>
            <w:rPr>
              <w:rFonts w:asciiTheme="minorHAnsi" w:hAnsiTheme="minorHAnsi" w:eastAsiaTheme="minorEastAsia" w:cstheme="minorBidi"/>
              <w:sz w:val="28"/>
              <w:szCs w:val="32"/>
            </w:rPr>
          </w:pPr>
          <w:r>
            <w:fldChar w:fldCharType="begin"/>
          </w:r>
          <w:r>
            <w:instrText xml:space="preserve"> HYPERLINK \l "_Toc80657289" </w:instrText>
          </w:r>
          <w:r>
            <w:fldChar w:fldCharType="separate"/>
          </w:r>
          <w:r>
            <w:rPr>
              <w:rFonts w:eastAsia="黑体"/>
              <w:bCs/>
              <w:kern w:val="44"/>
              <w:sz w:val="28"/>
              <w:szCs w:val="36"/>
            </w:rPr>
            <w:t>第一章  发展现状与形势</w:t>
          </w:r>
          <w:r>
            <w:rPr>
              <w:sz w:val="28"/>
              <w:szCs w:val="36"/>
            </w:rPr>
            <w:tab/>
          </w:r>
          <w:r>
            <w:rPr>
              <w:sz w:val="28"/>
              <w:szCs w:val="36"/>
            </w:rPr>
            <w:fldChar w:fldCharType="begin"/>
          </w:r>
          <w:r>
            <w:rPr>
              <w:sz w:val="28"/>
              <w:szCs w:val="36"/>
            </w:rPr>
            <w:instrText xml:space="preserve"> PAGEREF _Toc80657289 \h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8"/>
            <w:rPr>
              <w:rFonts w:asciiTheme="minorHAnsi" w:hAnsiTheme="minorHAnsi" w:eastAsiaTheme="minorEastAsia" w:cstheme="minorBidi"/>
              <w:sz w:val="28"/>
              <w:szCs w:val="32"/>
            </w:rPr>
          </w:pPr>
          <w:r>
            <w:fldChar w:fldCharType="begin"/>
          </w:r>
          <w:r>
            <w:instrText xml:space="preserve"> HYPERLINK \l "_Toc80657293" </w:instrText>
          </w:r>
          <w:r>
            <w:fldChar w:fldCharType="separate"/>
          </w:r>
          <w:r>
            <w:rPr>
              <w:rFonts w:eastAsia="黑体"/>
              <w:bCs/>
              <w:kern w:val="44"/>
              <w:sz w:val="28"/>
              <w:szCs w:val="36"/>
            </w:rPr>
            <w:t>第二章  指导方针和主要目标</w:t>
          </w:r>
          <w:r>
            <w:rPr>
              <w:sz w:val="28"/>
              <w:szCs w:val="36"/>
            </w:rPr>
            <w:tab/>
          </w:r>
          <w:r>
            <w:rPr>
              <w:sz w:val="28"/>
              <w:szCs w:val="36"/>
            </w:rPr>
            <w:fldChar w:fldCharType="begin"/>
          </w:r>
          <w:r>
            <w:rPr>
              <w:sz w:val="28"/>
              <w:szCs w:val="36"/>
            </w:rPr>
            <w:instrText xml:space="preserve"> PAGEREF _Toc80657293 \h </w:instrText>
          </w:r>
          <w:r>
            <w:rPr>
              <w:sz w:val="28"/>
              <w:szCs w:val="36"/>
            </w:rPr>
            <w:fldChar w:fldCharType="separate"/>
          </w:r>
          <w:r>
            <w:rPr>
              <w:sz w:val="28"/>
              <w:szCs w:val="36"/>
            </w:rPr>
            <w:t>10</w:t>
          </w:r>
          <w:r>
            <w:rPr>
              <w:sz w:val="28"/>
              <w:szCs w:val="36"/>
            </w:rPr>
            <w:fldChar w:fldCharType="end"/>
          </w:r>
          <w:r>
            <w:rPr>
              <w:sz w:val="28"/>
              <w:szCs w:val="36"/>
            </w:rPr>
            <w:fldChar w:fldCharType="end"/>
          </w:r>
        </w:p>
        <w:p>
          <w:pPr>
            <w:pStyle w:val="8"/>
            <w:rPr>
              <w:rFonts w:asciiTheme="minorHAnsi" w:hAnsiTheme="minorHAnsi" w:eastAsiaTheme="minorEastAsia" w:cstheme="minorBidi"/>
              <w:sz w:val="28"/>
              <w:szCs w:val="32"/>
            </w:rPr>
          </w:pPr>
          <w:r>
            <w:fldChar w:fldCharType="begin"/>
          </w:r>
          <w:r>
            <w:instrText xml:space="preserve"> HYPERLINK \l "_Toc80657297" </w:instrText>
          </w:r>
          <w:r>
            <w:fldChar w:fldCharType="separate"/>
          </w:r>
          <w:r>
            <w:rPr>
              <w:rFonts w:eastAsia="黑体"/>
              <w:bCs/>
              <w:kern w:val="44"/>
              <w:sz w:val="28"/>
              <w:szCs w:val="36"/>
            </w:rPr>
            <w:t>第三章  加快能源低碳转型</w:t>
          </w:r>
          <w:r>
            <w:rPr>
              <w:sz w:val="28"/>
              <w:szCs w:val="36"/>
            </w:rPr>
            <w:tab/>
          </w:r>
          <w:r>
            <w:rPr>
              <w:sz w:val="28"/>
              <w:szCs w:val="36"/>
            </w:rPr>
            <w:fldChar w:fldCharType="begin"/>
          </w:r>
          <w:r>
            <w:rPr>
              <w:sz w:val="28"/>
              <w:szCs w:val="36"/>
            </w:rPr>
            <w:instrText xml:space="preserve"> PAGEREF _Toc80657297 \h </w:instrText>
          </w:r>
          <w:r>
            <w:rPr>
              <w:sz w:val="28"/>
              <w:szCs w:val="36"/>
            </w:rPr>
            <w:fldChar w:fldCharType="separate"/>
          </w:r>
          <w:r>
            <w:rPr>
              <w:sz w:val="28"/>
              <w:szCs w:val="36"/>
            </w:rPr>
            <w:t>14</w:t>
          </w:r>
          <w:r>
            <w:rPr>
              <w:sz w:val="28"/>
              <w:szCs w:val="36"/>
            </w:rPr>
            <w:fldChar w:fldCharType="end"/>
          </w:r>
          <w:r>
            <w:rPr>
              <w:sz w:val="28"/>
              <w:szCs w:val="36"/>
            </w:rPr>
            <w:fldChar w:fldCharType="end"/>
          </w:r>
        </w:p>
        <w:p>
          <w:pPr>
            <w:pStyle w:val="8"/>
            <w:rPr>
              <w:rFonts w:asciiTheme="minorHAnsi" w:hAnsiTheme="minorHAnsi" w:eastAsiaTheme="minorEastAsia" w:cstheme="minorBidi"/>
              <w:sz w:val="28"/>
              <w:szCs w:val="32"/>
            </w:rPr>
          </w:pPr>
          <w:r>
            <w:fldChar w:fldCharType="begin"/>
          </w:r>
          <w:r>
            <w:instrText xml:space="preserve"> HYPERLINK \l "_Toc80657301" </w:instrText>
          </w:r>
          <w:r>
            <w:fldChar w:fldCharType="separate"/>
          </w:r>
          <w:r>
            <w:rPr>
              <w:rFonts w:eastAsia="黑体"/>
              <w:bCs/>
              <w:kern w:val="44"/>
              <w:sz w:val="28"/>
              <w:szCs w:val="36"/>
            </w:rPr>
            <w:t>第四章  增强能源供应保障</w:t>
          </w:r>
          <w:r>
            <w:rPr>
              <w:sz w:val="28"/>
              <w:szCs w:val="36"/>
            </w:rPr>
            <w:tab/>
          </w:r>
          <w:r>
            <w:rPr>
              <w:sz w:val="28"/>
              <w:szCs w:val="36"/>
            </w:rPr>
            <w:fldChar w:fldCharType="begin"/>
          </w:r>
          <w:r>
            <w:rPr>
              <w:sz w:val="28"/>
              <w:szCs w:val="36"/>
            </w:rPr>
            <w:instrText xml:space="preserve"> PAGEREF _Toc80657301 \h </w:instrText>
          </w:r>
          <w:r>
            <w:rPr>
              <w:sz w:val="28"/>
              <w:szCs w:val="36"/>
            </w:rPr>
            <w:fldChar w:fldCharType="separate"/>
          </w:r>
          <w:r>
            <w:rPr>
              <w:sz w:val="28"/>
              <w:szCs w:val="36"/>
            </w:rPr>
            <w:t>17</w:t>
          </w:r>
          <w:r>
            <w:rPr>
              <w:sz w:val="28"/>
              <w:szCs w:val="36"/>
            </w:rPr>
            <w:fldChar w:fldCharType="end"/>
          </w:r>
          <w:r>
            <w:rPr>
              <w:sz w:val="28"/>
              <w:szCs w:val="36"/>
            </w:rPr>
            <w:fldChar w:fldCharType="end"/>
          </w:r>
        </w:p>
        <w:p>
          <w:pPr>
            <w:pStyle w:val="8"/>
            <w:rPr>
              <w:rFonts w:asciiTheme="minorHAnsi" w:hAnsiTheme="minorHAnsi" w:eastAsiaTheme="minorEastAsia" w:cstheme="minorBidi"/>
              <w:sz w:val="28"/>
              <w:szCs w:val="32"/>
            </w:rPr>
          </w:pPr>
          <w:r>
            <w:fldChar w:fldCharType="begin"/>
          </w:r>
          <w:r>
            <w:instrText xml:space="preserve"> HYPERLINK \l "_Toc80657304" </w:instrText>
          </w:r>
          <w:r>
            <w:fldChar w:fldCharType="separate"/>
          </w:r>
          <w:r>
            <w:rPr>
              <w:rFonts w:eastAsia="黑体"/>
              <w:bCs/>
              <w:kern w:val="44"/>
              <w:sz w:val="28"/>
              <w:szCs w:val="36"/>
            </w:rPr>
            <w:t>第五章  强化能源系统安全</w:t>
          </w:r>
          <w:r>
            <w:rPr>
              <w:sz w:val="28"/>
              <w:szCs w:val="36"/>
            </w:rPr>
            <w:tab/>
          </w:r>
          <w:r>
            <w:rPr>
              <w:sz w:val="28"/>
              <w:szCs w:val="36"/>
            </w:rPr>
            <w:fldChar w:fldCharType="begin"/>
          </w:r>
          <w:r>
            <w:rPr>
              <w:sz w:val="28"/>
              <w:szCs w:val="36"/>
            </w:rPr>
            <w:instrText xml:space="preserve"> PAGEREF _Toc80657304 \h </w:instrText>
          </w:r>
          <w:r>
            <w:rPr>
              <w:sz w:val="28"/>
              <w:szCs w:val="36"/>
            </w:rPr>
            <w:fldChar w:fldCharType="separate"/>
          </w:r>
          <w:r>
            <w:rPr>
              <w:sz w:val="28"/>
              <w:szCs w:val="36"/>
            </w:rPr>
            <w:t>19</w:t>
          </w:r>
          <w:r>
            <w:rPr>
              <w:sz w:val="28"/>
              <w:szCs w:val="36"/>
            </w:rPr>
            <w:fldChar w:fldCharType="end"/>
          </w:r>
          <w:r>
            <w:rPr>
              <w:sz w:val="28"/>
              <w:szCs w:val="36"/>
            </w:rPr>
            <w:fldChar w:fldCharType="end"/>
          </w:r>
        </w:p>
        <w:p>
          <w:pPr>
            <w:pStyle w:val="8"/>
            <w:rPr>
              <w:rFonts w:asciiTheme="minorHAnsi" w:hAnsiTheme="minorHAnsi" w:eastAsiaTheme="minorEastAsia" w:cstheme="minorBidi"/>
              <w:sz w:val="28"/>
              <w:szCs w:val="32"/>
            </w:rPr>
          </w:pPr>
          <w:r>
            <w:fldChar w:fldCharType="begin"/>
          </w:r>
          <w:r>
            <w:instrText xml:space="preserve"> HYPERLINK \l "_Toc80657307" </w:instrText>
          </w:r>
          <w:r>
            <w:fldChar w:fldCharType="separate"/>
          </w:r>
          <w:r>
            <w:rPr>
              <w:rFonts w:eastAsia="黑体"/>
              <w:bCs/>
              <w:kern w:val="44"/>
              <w:sz w:val="28"/>
              <w:szCs w:val="36"/>
            </w:rPr>
            <w:t>第六章  深化能源系统改革</w:t>
          </w:r>
          <w:r>
            <w:rPr>
              <w:sz w:val="28"/>
              <w:szCs w:val="36"/>
            </w:rPr>
            <w:tab/>
          </w:r>
          <w:r>
            <w:rPr>
              <w:sz w:val="28"/>
              <w:szCs w:val="36"/>
            </w:rPr>
            <w:fldChar w:fldCharType="begin"/>
          </w:r>
          <w:r>
            <w:rPr>
              <w:sz w:val="28"/>
              <w:szCs w:val="36"/>
            </w:rPr>
            <w:instrText xml:space="preserve"> PAGEREF _Toc80657307 \h </w:instrText>
          </w:r>
          <w:r>
            <w:rPr>
              <w:sz w:val="28"/>
              <w:szCs w:val="36"/>
            </w:rPr>
            <w:fldChar w:fldCharType="separate"/>
          </w:r>
          <w:r>
            <w:rPr>
              <w:sz w:val="28"/>
              <w:szCs w:val="36"/>
            </w:rPr>
            <w:t>21</w:t>
          </w:r>
          <w:r>
            <w:rPr>
              <w:sz w:val="28"/>
              <w:szCs w:val="36"/>
            </w:rPr>
            <w:fldChar w:fldCharType="end"/>
          </w:r>
          <w:r>
            <w:rPr>
              <w:sz w:val="28"/>
              <w:szCs w:val="36"/>
            </w:rPr>
            <w:fldChar w:fldCharType="end"/>
          </w:r>
        </w:p>
        <w:p>
          <w:pPr>
            <w:pStyle w:val="8"/>
            <w:rPr>
              <w:rFonts w:asciiTheme="minorHAnsi" w:hAnsiTheme="minorHAnsi" w:eastAsiaTheme="minorEastAsia" w:cstheme="minorBidi"/>
              <w:sz w:val="28"/>
              <w:szCs w:val="32"/>
            </w:rPr>
          </w:pPr>
          <w:r>
            <w:fldChar w:fldCharType="begin"/>
          </w:r>
          <w:r>
            <w:instrText xml:space="preserve"> HYPERLINK \l "_Toc80657309" </w:instrText>
          </w:r>
          <w:r>
            <w:fldChar w:fldCharType="separate"/>
          </w:r>
          <w:r>
            <w:rPr>
              <w:rFonts w:eastAsia="黑体"/>
              <w:bCs/>
              <w:kern w:val="44"/>
              <w:sz w:val="28"/>
              <w:szCs w:val="36"/>
            </w:rPr>
            <w:t>第七章  加强能源科技创新</w:t>
          </w:r>
          <w:r>
            <w:rPr>
              <w:sz w:val="28"/>
              <w:szCs w:val="36"/>
            </w:rPr>
            <w:tab/>
          </w:r>
          <w:r>
            <w:rPr>
              <w:sz w:val="28"/>
              <w:szCs w:val="36"/>
            </w:rPr>
            <w:fldChar w:fldCharType="begin"/>
          </w:r>
          <w:r>
            <w:rPr>
              <w:sz w:val="28"/>
              <w:szCs w:val="36"/>
            </w:rPr>
            <w:instrText xml:space="preserve"> PAGEREF _Toc80657309 \h </w:instrText>
          </w:r>
          <w:r>
            <w:rPr>
              <w:sz w:val="28"/>
              <w:szCs w:val="36"/>
            </w:rPr>
            <w:fldChar w:fldCharType="separate"/>
          </w:r>
          <w:r>
            <w:rPr>
              <w:sz w:val="28"/>
              <w:szCs w:val="36"/>
            </w:rPr>
            <w:t>22</w:t>
          </w:r>
          <w:r>
            <w:rPr>
              <w:sz w:val="28"/>
              <w:szCs w:val="36"/>
            </w:rPr>
            <w:fldChar w:fldCharType="end"/>
          </w:r>
          <w:r>
            <w:rPr>
              <w:sz w:val="28"/>
              <w:szCs w:val="36"/>
            </w:rPr>
            <w:fldChar w:fldCharType="end"/>
          </w:r>
        </w:p>
        <w:p>
          <w:pPr>
            <w:pStyle w:val="8"/>
            <w:rPr>
              <w:rFonts w:asciiTheme="minorHAnsi" w:hAnsiTheme="minorHAnsi" w:eastAsiaTheme="minorEastAsia" w:cstheme="minorBidi"/>
              <w:sz w:val="28"/>
              <w:szCs w:val="32"/>
            </w:rPr>
          </w:pPr>
          <w:r>
            <w:fldChar w:fldCharType="begin"/>
          </w:r>
          <w:r>
            <w:instrText xml:space="preserve"> HYPERLINK \l "_Toc80657313" </w:instrText>
          </w:r>
          <w:r>
            <w:fldChar w:fldCharType="separate"/>
          </w:r>
          <w:r>
            <w:rPr>
              <w:rFonts w:eastAsia="黑体"/>
              <w:bCs/>
              <w:kern w:val="44"/>
              <w:sz w:val="28"/>
              <w:szCs w:val="36"/>
            </w:rPr>
            <w:t>第八章  加强规划实施和管理</w:t>
          </w:r>
          <w:r>
            <w:rPr>
              <w:sz w:val="28"/>
              <w:szCs w:val="36"/>
            </w:rPr>
            <w:tab/>
          </w:r>
          <w:r>
            <w:rPr>
              <w:sz w:val="28"/>
              <w:szCs w:val="36"/>
            </w:rPr>
            <w:fldChar w:fldCharType="begin"/>
          </w:r>
          <w:r>
            <w:rPr>
              <w:sz w:val="28"/>
              <w:szCs w:val="36"/>
            </w:rPr>
            <w:instrText xml:space="preserve"> PAGEREF _Toc80657313 \h </w:instrText>
          </w:r>
          <w:r>
            <w:rPr>
              <w:sz w:val="28"/>
              <w:szCs w:val="36"/>
            </w:rPr>
            <w:fldChar w:fldCharType="separate"/>
          </w:r>
          <w:r>
            <w:rPr>
              <w:sz w:val="28"/>
              <w:szCs w:val="36"/>
            </w:rPr>
            <w:t>23</w:t>
          </w:r>
          <w:r>
            <w:rPr>
              <w:sz w:val="28"/>
              <w:szCs w:val="36"/>
            </w:rPr>
            <w:fldChar w:fldCharType="end"/>
          </w:r>
          <w:r>
            <w:rPr>
              <w:sz w:val="28"/>
              <w:szCs w:val="36"/>
            </w:rPr>
            <w:fldChar w:fldCharType="end"/>
          </w:r>
        </w:p>
        <w:p>
          <w:pPr>
            <w:spacing w:line="360" w:lineRule="auto"/>
          </w:pPr>
          <w:r>
            <w:rPr>
              <w:b/>
              <w:bCs/>
              <w:sz w:val="28"/>
              <w:szCs w:val="36"/>
              <w:lang w:val="zh-CN"/>
            </w:rPr>
            <w:fldChar w:fldCharType="end"/>
          </w:r>
        </w:p>
      </w:sdtContent>
    </w:sdt>
    <w:p>
      <w:pPr>
        <w:keepNext/>
        <w:keepLines/>
        <w:spacing w:before="312" w:beforeLines="100" w:after="312" w:afterLines="100" w:line="360" w:lineRule="auto"/>
        <w:jc w:val="center"/>
        <w:outlineLvl w:val="0"/>
        <w:rPr>
          <w:rFonts w:eastAsia="黑体"/>
          <w:bCs/>
          <w:kern w:val="44"/>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bookmarkStart w:id="4" w:name="_Toc80657288"/>
    </w:p>
    <w:p>
      <w:pPr>
        <w:keepNext/>
        <w:keepLines/>
        <w:spacing w:before="312" w:beforeLines="100" w:after="312" w:afterLines="100" w:line="360" w:lineRule="auto"/>
        <w:jc w:val="center"/>
        <w:outlineLvl w:val="0"/>
        <w:rPr>
          <w:rFonts w:eastAsia="黑体"/>
          <w:bCs/>
          <w:kern w:val="44"/>
          <w:sz w:val="32"/>
          <w:szCs w:val="32"/>
        </w:rPr>
      </w:pPr>
      <w:r>
        <w:rPr>
          <w:rFonts w:eastAsia="黑体"/>
          <w:bCs/>
          <w:kern w:val="44"/>
          <w:sz w:val="32"/>
          <w:szCs w:val="32"/>
        </w:rPr>
        <w:t>前言</w:t>
      </w:r>
      <w:bookmarkEnd w:id="0"/>
      <w:bookmarkEnd w:id="4"/>
    </w:p>
    <w:p>
      <w:pPr>
        <w:spacing w:line="360" w:lineRule="auto"/>
        <w:ind w:firstLine="640" w:firstLineChars="200"/>
        <w:rPr>
          <w:rFonts w:eastAsia="仿宋_GB2312"/>
          <w:sz w:val="32"/>
          <w:szCs w:val="32"/>
        </w:rPr>
      </w:pPr>
      <w:r>
        <w:rPr>
          <w:rFonts w:eastAsia="仿宋_GB2312"/>
          <w:sz w:val="32"/>
          <w:szCs w:val="32"/>
        </w:rPr>
        <w:t>“十四五”时期是</w:t>
      </w:r>
      <w:r>
        <w:rPr>
          <w:rFonts w:hint="eastAsia" w:eastAsia="仿宋_GB2312"/>
          <w:sz w:val="32"/>
          <w:szCs w:val="32"/>
        </w:rPr>
        <w:t>新余</w:t>
      </w:r>
      <w:r>
        <w:rPr>
          <w:rFonts w:eastAsia="仿宋_GB2312"/>
          <w:sz w:val="32"/>
          <w:szCs w:val="32"/>
        </w:rPr>
        <w:t>与全国同步全面建设社会主义现代化的开局起步期，是再铸“工小美”新辉煌发展的</w:t>
      </w:r>
      <w:r>
        <w:rPr>
          <w:rFonts w:hint="eastAsia" w:eastAsia="仿宋_GB2312"/>
          <w:sz w:val="32"/>
          <w:szCs w:val="32"/>
        </w:rPr>
        <w:t>重要时期</w:t>
      </w:r>
      <w:r>
        <w:rPr>
          <w:rFonts w:eastAsia="仿宋_GB2312"/>
          <w:sz w:val="32"/>
          <w:szCs w:val="32"/>
        </w:rPr>
        <w:t>，也是</w:t>
      </w:r>
      <w:r>
        <w:rPr>
          <w:rFonts w:hint="eastAsia" w:eastAsia="仿宋_GB2312"/>
          <w:sz w:val="32"/>
          <w:szCs w:val="32"/>
        </w:rPr>
        <w:t>加快推进能源清洁转型，为实现</w:t>
      </w:r>
      <w:r>
        <w:rPr>
          <w:rFonts w:eastAsia="仿宋_GB2312"/>
          <w:sz w:val="32"/>
          <w:szCs w:val="32"/>
        </w:rPr>
        <w:t>“</w:t>
      </w:r>
      <w:r>
        <w:rPr>
          <w:rFonts w:hint="eastAsia" w:eastAsia="仿宋_GB2312"/>
          <w:sz w:val="32"/>
          <w:szCs w:val="32"/>
        </w:rPr>
        <w:t>碳达峰、碳中和</w:t>
      </w:r>
      <w:r>
        <w:rPr>
          <w:rFonts w:eastAsia="仿宋_GB2312"/>
          <w:sz w:val="32"/>
          <w:szCs w:val="32"/>
        </w:rPr>
        <w:t>”</w:t>
      </w:r>
      <w:r>
        <w:rPr>
          <w:rFonts w:hint="eastAsia" w:eastAsia="仿宋_GB2312"/>
          <w:sz w:val="32"/>
          <w:szCs w:val="32"/>
        </w:rPr>
        <w:t>目标夯实基础的攻坚期。</w:t>
      </w:r>
      <w:r>
        <w:rPr>
          <w:rFonts w:eastAsia="仿宋_GB2312"/>
          <w:sz w:val="32"/>
          <w:szCs w:val="32"/>
        </w:rPr>
        <w:t>为指导</w:t>
      </w:r>
      <w:r>
        <w:rPr>
          <w:rFonts w:hint="eastAsia" w:eastAsia="仿宋_GB2312"/>
          <w:sz w:val="32"/>
          <w:szCs w:val="32"/>
        </w:rPr>
        <w:t>全</w:t>
      </w:r>
      <w:r>
        <w:rPr>
          <w:rFonts w:eastAsia="仿宋_GB2312"/>
          <w:sz w:val="32"/>
          <w:szCs w:val="32"/>
        </w:rPr>
        <w:t>市“十四五”能源发展，</w:t>
      </w:r>
      <w:r>
        <w:rPr>
          <w:rFonts w:hint="eastAsia" w:eastAsia="仿宋_GB2312"/>
          <w:sz w:val="32"/>
          <w:szCs w:val="32"/>
        </w:rPr>
        <w:t>依</w:t>
      </w:r>
      <w:r>
        <w:rPr>
          <w:rFonts w:eastAsia="仿宋_GB2312"/>
          <w:sz w:val="32"/>
          <w:szCs w:val="32"/>
        </w:rPr>
        <w:t>据《江西省国民经济和社会发展第十四个五年规划和二〇三五年远景目标纲要》、《江西省“十四五”能源发展规划》</w:t>
      </w:r>
      <w:r>
        <w:rPr>
          <w:rFonts w:hint="eastAsia" w:eastAsia="仿宋_GB2312"/>
          <w:sz w:val="32"/>
          <w:szCs w:val="32"/>
        </w:rPr>
        <w:t>及</w:t>
      </w:r>
      <w:r>
        <w:rPr>
          <w:rFonts w:eastAsia="仿宋_GB2312"/>
          <w:sz w:val="32"/>
          <w:szCs w:val="32"/>
        </w:rPr>
        <w:t>《新余市国民经济和社会发展第十四个五年规划和二〇三五年远景目标纲要》，编制本规划。</w:t>
      </w:r>
    </w:p>
    <w:p>
      <w:pPr>
        <w:widowControl/>
        <w:jc w:val="left"/>
        <w:rPr>
          <w:rFonts w:eastAsia="仿宋_GB2312"/>
          <w:sz w:val="32"/>
          <w:szCs w:val="32"/>
        </w:rPr>
      </w:pPr>
      <w:r>
        <w:rPr>
          <w:rFonts w:eastAsia="仿宋_GB2312"/>
          <w:sz w:val="32"/>
          <w:szCs w:val="32"/>
        </w:rPr>
        <w:br w:type="page"/>
      </w:r>
    </w:p>
    <w:bookmarkEnd w:id="1"/>
    <w:bookmarkEnd w:id="2"/>
    <w:bookmarkEnd w:id="3"/>
    <w:p>
      <w:pPr>
        <w:keepNext/>
        <w:keepLines/>
        <w:spacing w:before="312" w:beforeLines="100" w:after="312" w:afterLines="100" w:line="360" w:lineRule="auto"/>
        <w:jc w:val="center"/>
        <w:outlineLvl w:val="0"/>
        <w:rPr>
          <w:rFonts w:eastAsia="黑体"/>
          <w:bCs/>
          <w:kern w:val="44"/>
          <w:sz w:val="32"/>
          <w:szCs w:val="32"/>
        </w:rPr>
      </w:pPr>
      <w:bookmarkStart w:id="5" w:name="_Toc503257870"/>
      <w:bookmarkStart w:id="6" w:name="_Toc66178049"/>
      <w:bookmarkStart w:id="7" w:name="_Toc480987923"/>
      <w:bookmarkStart w:id="8" w:name="_Toc80657289"/>
      <w:r>
        <w:rPr>
          <w:rFonts w:eastAsia="黑体"/>
          <w:bCs/>
          <w:kern w:val="44"/>
          <w:sz w:val="32"/>
          <w:szCs w:val="32"/>
        </w:rPr>
        <w:t>第一章</w:t>
      </w:r>
      <w:bookmarkEnd w:id="5"/>
      <w:bookmarkEnd w:id="6"/>
      <w:bookmarkEnd w:id="7"/>
      <w:r>
        <w:rPr>
          <w:rFonts w:hint="eastAsia" w:eastAsia="黑体"/>
          <w:bCs/>
          <w:kern w:val="44"/>
          <w:sz w:val="32"/>
          <w:szCs w:val="32"/>
        </w:rPr>
        <w:t xml:space="preserve">  发展现状与形势</w:t>
      </w:r>
      <w:bookmarkEnd w:id="8"/>
    </w:p>
    <w:p>
      <w:pPr>
        <w:keepNext/>
        <w:keepLines/>
        <w:spacing w:line="360" w:lineRule="auto"/>
        <w:ind w:firstLine="643" w:firstLineChars="200"/>
        <w:outlineLvl w:val="2"/>
        <w:rPr>
          <w:rFonts w:eastAsia="仿宋_GB2312"/>
          <w:b/>
          <w:bCs/>
          <w:sz w:val="32"/>
          <w:szCs w:val="32"/>
        </w:rPr>
      </w:pPr>
      <w:bookmarkStart w:id="9" w:name="_Toc80657290"/>
      <w:bookmarkStart w:id="10" w:name="_Toc66178050"/>
      <w:bookmarkStart w:id="11" w:name="_Toc66176956"/>
      <w:bookmarkStart w:id="12" w:name="_Toc61876555"/>
      <w:r>
        <w:rPr>
          <w:rFonts w:hint="eastAsia" w:eastAsia="仿宋_GB2312"/>
          <w:b/>
          <w:bCs/>
          <w:sz w:val="32"/>
          <w:szCs w:val="32"/>
        </w:rPr>
        <w:t>一、主要成效</w:t>
      </w:r>
      <w:bookmarkEnd w:id="9"/>
      <w:bookmarkEnd w:id="10"/>
      <w:bookmarkEnd w:id="11"/>
      <w:bookmarkEnd w:id="12"/>
    </w:p>
    <w:p>
      <w:pPr>
        <w:spacing w:line="360" w:lineRule="auto"/>
        <w:ind w:firstLine="640" w:firstLineChars="200"/>
        <w:rPr>
          <w:rFonts w:eastAsia="仿宋_GB2312"/>
          <w:sz w:val="32"/>
          <w:szCs w:val="32"/>
        </w:rPr>
      </w:pPr>
      <w:r>
        <w:rPr>
          <w:rFonts w:eastAsia="仿宋_GB2312"/>
          <w:sz w:val="32"/>
          <w:szCs w:val="32"/>
        </w:rPr>
        <w:t>“十三五”</w:t>
      </w:r>
      <w:r>
        <w:rPr>
          <w:rFonts w:hint="eastAsia" w:eastAsia="仿宋_GB2312"/>
          <w:sz w:val="32"/>
          <w:szCs w:val="32"/>
        </w:rPr>
        <w:t>时期</w:t>
      </w:r>
      <w:r>
        <w:rPr>
          <w:rFonts w:eastAsia="仿宋_GB2312"/>
          <w:sz w:val="32"/>
          <w:szCs w:val="32"/>
        </w:rPr>
        <w:t>，我市</w:t>
      </w:r>
      <w:r>
        <w:rPr>
          <w:rFonts w:hint="eastAsia" w:eastAsia="仿宋_GB2312"/>
          <w:sz w:val="32"/>
          <w:szCs w:val="32"/>
        </w:rPr>
        <w:t>能源供给能力稳步提升，结构调整持续</w:t>
      </w:r>
      <w:r>
        <w:rPr>
          <w:rFonts w:eastAsia="仿宋_GB2312"/>
          <w:sz w:val="32"/>
          <w:szCs w:val="32"/>
        </w:rPr>
        <w:t>优化</w:t>
      </w:r>
      <w:r>
        <w:rPr>
          <w:rFonts w:hint="eastAsia" w:eastAsia="仿宋_GB2312"/>
          <w:sz w:val="32"/>
          <w:szCs w:val="32"/>
        </w:rPr>
        <w:t>，节能减排成效显著，</w:t>
      </w:r>
      <w:r>
        <w:rPr>
          <w:rFonts w:eastAsia="仿宋_GB2312"/>
          <w:sz w:val="32"/>
          <w:szCs w:val="32"/>
        </w:rPr>
        <w:t>惠民力度</w:t>
      </w:r>
      <w:r>
        <w:rPr>
          <w:rFonts w:hint="eastAsia" w:eastAsia="仿宋_GB2312"/>
          <w:sz w:val="32"/>
          <w:szCs w:val="32"/>
        </w:rPr>
        <w:t>不断增强，清洁低碳、安全高效的现代能源体系加速形成，为全市经济社会持续健康发展和同步全面建成小康社会提供了坚实能源保障。</w:t>
      </w:r>
    </w:p>
    <w:p>
      <w:pPr>
        <w:spacing w:line="360" w:lineRule="auto"/>
        <w:ind w:firstLine="643" w:firstLineChars="200"/>
        <w:rPr>
          <w:rFonts w:eastAsia="仿宋_GB2312"/>
          <w:sz w:val="32"/>
          <w:szCs w:val="32"/>
        </w:rPr>
      </w:pPr>
      <w:r>
        <w:rPr>
          <w:rFonts w:hint="eastAsia" w:eastAsia="仿宋_GB2312"/>
          <w:b/>
          <w:bCs/>
          <w:sz w:val="32"/>
          <w:szCs w:val="32"/>
        </w:rPr>
        <w:t>供给能力稳步提升。</w:t>
      </w:r>
      <w:r>
        <w:rPr>
          <w:rFonts w:hint="eastAsia" w:eastAsia="仿宋_GB2312"/>
          <w:sz w:val="32"/>
          <w:szCs w:val="32"/>
        </w:rPr>
        <w:t>市内产能加速优化，能源供给保障基本充足。2020年能源产量合计42.4万吨标煤，其中：煤炭较2015年减少133.9万吨，非化石能源产量增加约</w:t>
      </w:r>
      <w:r>
        <w:rPr>
          <w:rFonts w:eastAsia="仿宋_GB2312"/>
          <w:sz w:val="32"/>
          <w:szCs w:val="32"/>
        </w:rPr>
        <w:t>25.4</w:t>
      </w:r>
      <w:r>
        <w:rPr>
          <w:rFonts w:hint="eastAsia" w:eastAsia="仿宋_GB2312"/>
          <w:sz w:val="32"/>
          <w:szCs w:val="32"/>
        </w:rPr>
        <w:t>万吨标煤，占比达</w:t>
      </w:r>
      <w:r>
        <w:rPr>
          <w:rFonts w:eastAsia="仿宋_GB2312"/>
          <w:sz w:val="32"/>
          <w:szCs w:val="32"/>
        </w:rPr>
        <w:t>61.3</w:t>
      </w:r>
      <w:r>
        <w:rPr>
          <w:rFonts w:hint="eastAsia" w:eastAsia="仿宋_GB2312"/>
          <w:sz w:val="32"/>
          <w:szCs w:val="32"/>
        </w:rPr>
        <w:t>%。2020年</w:t>
      </w:r>
      <w:r>
        <w:rPr>
          <w:rFonts w:eastAsia="仿宋_GB2312"/>
          <w:sz w:val="32"/>
          <w:szCs w:val="32"/>
        </w:rPr>
        <w:t>发电装机容量</w:t>
      </w:r>
      <w:r>
        <w:rPr>
          <w:rFonts w:hint="eastAsia" w:eastAsia="仿宋_GB2312"/>
          <w:sz w:val="32"/>
          <w:szCs w:val="32"/>
        </w:rPr>
        <w:t>322</w:t>
      </w:r>
      <w:r>
        <w:rPr>
          <w:rFonts w:eastAsia="仿宋_GB2312"/>
          <w:sz w:val="32"/>
          <w:szCs w:val="32"/>
        </w:rPr>
        <w:t>万千瓦，</w:t>
      </w:r>
      <w:r>
        <w:rPr>
          <w:rFonts w:hint="eastAsia" w:eastAsia="仿宋_GB2312"/>
          <w:sz w:val="32"/>
          <w:szCs w:val="32"/>
        </w:rPr>
        <w:t>较</w:t>
      </w:r>
      <w:r>
        <w:rPr>
          <w:rFonts w:eastAsia="仿宋_GB2312"/>
          <w:sz w:val="32"/>
          <w:szCs w:val="32"/>
        </w:rPr>
        <w:t>2015年</w:t>
      </w:r>
      <w:r>
        <w:rPr>
          <w:rFonts w:hint="eastAsia" w:eastAsia="仿宋_GB2312"/>
          <w:sz w:val="32"/>
          <w:szCs w:val="32"/>
        </w:rPr>
        <w:t>实现翻番，</w:t>
      </w:r>
      <w:r>
        <w:rPr>
          <w:rFonts w:eastAsia="仿宋_GB2312"/>
          <w:sz w:val="32"/>
          <w:szCs w:val="32"/>
        </w:rPr>
        <w:t>支撑性电源项目取得重大突破，</w:t>
      </w:r>
      <w:r>
        <w:rPr>
          <w:rFonts w:hint="eastAsia" w:eastAsia="仿宋_GB2312"/>
          <w:sz w:val="32"/>
          <w:szCs w:val="32"/>
        </w:rPr>
        <w:t>分宜电厂</w:t>
      </w:r>
      <w:r>
        <w:rPr>
          <w:rFonts w:eastAsia="仿宋_GB2312"/>
          <w:sz w:val="32"/>
          <w:szCs w:val="32"/>
        </w:rPr>
        <w:t>扩建工程</w:t>
      </w:r>
      <w:r>
        <w:rPr>
          <w:rFonts w:hint="eastAsia" w:eastAsia="仿宋_GB2312"/>
          <w:sz w:val="32"/>
          <w:szCs w:val="32"/>
        </w:rPr>
        <w:t>并网发电</w:t>
      </w:r>
      <w:r>
        <w:rPr>
          <w:rFonts w:eastAsia="仿宋_GB2312"/>
          <w:sz w:val="32"/>
          <w:szCs w:val="32"/>
        </w:rPr>
        <w:t>，</w:t>
      </w:r>
      <w:r>
        <w:rPr>
          <w:rFonts w:hint="eastAsia" w:eastAsia="仿宋_GB2312"/>
          <w:sz w:val="32"/>
          <w:szCs w:val="32"/>
        </w:rPr>
        <w:t>新余电厂异地扩建工程</w:t>
      </w:r>
      <w:r>
        <w:rPr>
          <w:rFonts w:eastAsia="仿宋_GB2312"/>
          <w:sz w:val="32"/>
          <w:szCs w:val="32"/>
        </w:rPr>
        <w:t>完成核准。</w:t>
      </w:r>
      <w:r>
        <w:rPr>
          <w:rFonts w:hint="eastAsia" w:eastAsia="仿宋_GB2312"/>
          <w:sz w:val="32"/>
          <w:szCs w:val="32"/>
        </w:rPr>
        <w:t>2020年35千伏及以上</w:t>
      </w:r>
      <w:r>
        <w:rPr>
          <w:rFonts w:eastAsia="仿宋_GB2312"/>
          <w:sz w:val="32"/>
          <w:szCs w:val="32"/>
        </w:rPr>
        <w:t>电网</w:t>
      </w:r>
      <w:r>
        <w:rPr>
          <w:rFonts w:hint="eastAsia" w:eastAsia="仿宋_GB2312"/>
          <w:sz w:val="32"/>
          <w:szCs w:val="32"/>
        </w:rPr>
        <w:t>变电容量862.5万千伏安、线路长度1506.4公里，较2</w:t>
      </w:r>
      <w:r>
        <w:rPr>
          <w:rFonts w:eastAsia="仿宋_GB2312"/>
          <w:sz w:val="32"/>
          <w:szCs w:val="32"/>
        </w:rPr>
        <w:t>015</w:t>
      </w:r>
      <w:r>
        <w:rPr>
          <w:rFonts w:hint="eastAsia" w:eastAsia="仿宋_GB2312"/>
          <w:sz w:val="32"/>
          <w:szCs w:val="32"/>
        </w:rPr>
        <w:t>年变电容量增加1</w:t>
      </w:r>
      <w:r>
        <w:rPr>
          <w:rFonts w:eastAsia="仿宋_GB2312"/>
          <w:sz w:val="32"/>
          <w:szCs w:val="32"/>
        </w:rPr>
        <w:t>16.4</w:t>
      </w:r>
      <w:r>
        <w:rPr>
          <w:rFonts w:hint="eastAsia" w:eastAsia="仿宋_GB2312"/>
          <w:sz w:val="32"/>
          <w:szCs w:val="32"/>
        </w:rPr>
        <w:t>万千伏安、线路长度增加2</w:t>
      </w:r>
      <w:r>
        <w:rPr>
          <w:rFonts w:eastAsia="仿宋_GB2312"/>
          <w:sz w:val="32"/>
          <w:szCs w:val="32"/>
        </w:rPr>
        <w:t>16.4</w:t>
      </w:r>
      <w:r>
        <w:rPr>
          <w:rFonts w:hint="eastAsia" w:eastAsia="仿宋_GB2312"/>
          <w:sz w:val="32"/>
          <w:szCs w:val="32"/>
        </w:rPr>
        <w:t>公里，</w:t>
      </w:r>
      <w:r>
        <w:rPr>
          <w:rFonts w:eastAsia="仿宋_GB2312"/>
          <w:sz w:val="32"/>
          <w:szCs w:val="32"/>
        </w:rPr>
        <w:t>形成以</w:t>
      </w:r>
      <w:r>
        <w:rPr>
          <w:rFonts w:hint="eastAsia" w:eastAsia="仿宋_GB2312"/>
          <w:sz w:val="32"/>
          <w:szCs w:val="32"/>
        </w:rPr>
        <w:t>50</w:t>
      </w:r>
      <w:r>
        <w:rPr>
          <w:rFonts w:eastAsia="仿宋_GB2312"/>
          <w:sz w:val="32"/>
          <w:szCs w:val="32"/>
        </w:rPr>
        <w:t>0千伏为骨干、220千伏为核心、110千伏为主干网、</w:t>
      </w:r>
      <w:r>
        <w:rPr>
          <w:rFonts w:hint="eastAsia" w:eastAsia="仿宋_GB2312"/>
          <w:sz w:val="32"/>
          <w:szCs w:val="32"/>
        </w:rPr>
        <w:t>35千伏及以下为基础的电网结构，供电可靠性及供电质量显著提升。天然气实现双气源供气，2020年供给量1</w:t>
      </w:r>
      <w:r>
        <w:rPr>
          <w:rFonts w:eastAsia="仿宋_GB2312"/>
          <w:sz w:val="32"/>
          <w:szCs w:val="32"/>
        </w:rPr>
        <w:t>.</w:t>
      </w:r>
      <w:r>
        <w:rPr>
          <w:rFonts w:hint="eastAsia" w:eastAsia="仿宋_GB2312"/>
          <w:sz w:val="32"/>
          <w:szCs w:val="32"/>
        </w:rPr>
        <w:t>28亿立方米，较</w:t>
      </w:r>
      <w:r>
        <w:rPr>
          <w:rFonts w:eastAsia="仿宋_GB2312"/>
          <w:sz w:val="32"/>
          <w:szCs w:val="32"/>
        </w:rPr>
        <w:t>2015年</w:t>
      </w:r>
      <w:r>
        <w:rPr>
          <w:rFonts w:hint="eastAsia" w:eastAsia="仿宋_GB2312"/>
          <w:sz w:val="32"/>
          <w:szCs w:val="32"/>
        </w:rPr>
        <w:t>增加0.6亿立方米，管道</w:t>
      </w:r>
      <w:r>
        <w:rPr>
          <w:rFonts w:eastAsia="仿宋_GB2312"/>
          <w:sz w:val="32"/>
          <w:szCs w:val="32"/>
        </w:rPr>
        <w:t>里程</w:t>
      </w:r>
      <w:r>
        <w:rPr>
          <w:rFonts w:hint="eastAsia" w:eastAsia="仿宋_GB2312"/>
          <w:sz w:val="32"/>
          <w:szCs w:val="32"/>
        </w:rPr>
        <w:t>89</w:t>
      </w:r>
      <w:r>
        <w:rPr>
          <w:rFonts w:eastAsia="仿宋_GB2312"/>
          <w:sz w:val="32"/>
          <w:szCs w:val="32"/>
        </w:rPr>
        <w:t>公里，储气能力</w:t>
      </w:r>
      <w:r>
        <w:rPr>
          <w:rFonts w:hint="eastAsia" w:eastAsia="仿宋_GB2312"/>
          <w:sz w:val="32"/>
          <w:szCs w:val="32"/>
        </w:rPr>
        <w:t>42</w:t>
      </w:r>
      <w:r>
        <w:rPr>
          <w:rFonts w:eastAsia="仿宋_GB2312"/>
          <w:sz w:val="32"/>
          <w:szCs w:val="32"/>
        </w:rPr>
        <w:t>万方</w:t>
      </w:r>
      <w:r>
        <w:rPr>
          <w:rFonts w:hint="eastAsia" w:eastAsia="仿宋_GB2312"/>
          <w:sz w:val="32"/>
          <w:szCs w:val="32"/>
        </w:rPr>
        <w:t>。</w:t>
      </w:r>
      <w:r>
        <w:rPr>
          <w:rFonts w:eastAsia="仿宋_GB2312"/>
          <w:sz w:val="32"/>
          <w:szCs w:val="32"/>
        </w:rPr>
        <w:t>成品油全部</w:t>
      </w:r>
      <w:r>
        <w:rPr>
          <w:rFonts w:hint="eastAsia" w:eastAsia="仿宋_GB2312"/>
          <w:sz w:val="32"/>
          <w:szCs w:val="32"/>
        </w:rPr>
        <w:t>由</w:t>
      </w:r>
      <w:r>
        <w:rPr>
          <w:rFonts w:eastAsia="仿宋_GB2312"/>
          <w:sz w:val="32"/>
          <w:szCs w:val="32"/>
        </w:rPr>
        <w:t>市外调入</w:t>
      </w:r>
      <w:r>
        <w:rPr>
          <w:rFonts w:hint="eastAsia" w:eastAsia="仿宋_GB2312"/>
          <w:sz w:val="32"/>
          <w:szCs w:val="32"/>
        </w:rPr>
        <w:t>，</w:t>
      </w:r>
      <w:r>
        <w:rPr>
          <w:rFonts w:eastAsia="仿宋_GB2312"/>
          <w:sz w:val="32"/>
          <w:szCs w:val="32"/>
        </w:rPr>
        <w:t>20</w:t>
      </w:r>
      <w:r>
        <w:rPr>
          <w:rFonts w:hint="eastAsia" w:eastAsia="仿宋_GB2312"/>
          <w:sz w:val="32"/>
          <w:szCs w:val="32"/>
        </w:rPr>
        <w:t>20</w:t>
      </w:r>
      <w:r>
        <w:rPr>
          <w:rFonts w:eastAsia="仿宋_GB2312"/>
          <w:sz w:val="32"/>
          <w:szCs w:val="32"/>
        </w:rPr>
        <w:t>年消费量</w:t>
      </w:r>
      <w:r>
        <w:rPr>
          <w:rFonts w:hint="eastAsia" w:eastAsia="仿宋_GB2312"/>
          <w:sz w:val="32"/>
          <w:szCs w:val="32"/>
        </w:rPr>
        <w:t>16.1</w:t>
      </w:r>
      <w:r>
        <w:rPr>
          <w:rFonts w:eastAsia="仿宋_GB2312"/>
          <w:sz w:val="32"/>
          <w:szCs w:val="32"/>
        </w:rPr>
        <w:t>万吨，</w:t>
      </w:r>
      <w:r>
        <w:rPr>
          <w:rFonts w:hint="eastAsia" w:eastAsia="仿宋_GB2312"/>
          <w:sz w:val="32"/>
          <w:szCs w:val="32"/>
        </w:rPr>
        <w:t>较2015年减少4.0万吨，</w:t>
      </w:r>
      <w:r>
        <w:rPr>
          <w:rFonts w:eastAsia="仿宋_GB2312"/>
          <w:sz w:val="32"/>
          <w:szCs w:val="32"/>
        </w:rPr>
        <w:t>储备能力</w:t>
      </w:r>
      <w:r>
        <w:rPr>
          <w:rFonts w:hint="eastAsia" w:eastAsia="仿宋_GB2312"/>
          <w:sz w:val="32"/>
          <w:szCs w:val="32"/>
        </w:rPr>
        <w:t>1.6</w:t>
      </w:r>
      <w:r>
        <w:rPr>
          <w:rFonts w:eastAsia="仿宋_GB2312"/>
          <w:sz w:val="32"/>
          <w:szCs w:val="32"/>
        </w:rPr>
        <w:t>万立方米。</w:t>
      </w:r>
    </w:p>
    <w:p>
      <w:pPr>
        <w:spacing w:line="360" w:lineRule="auto"/>
        <w:ind w:firstLine="643" w:firstLineChars="200"/>
        <w:rPr>
          <w:rFonts w:eastAsia="仿宋_GB2312"/>
          <w:sz w:val="32"/>
          <w:szCs w:val="32"/>
        </w:rPr>
      </w:pPr>
      <w:r>
        <w:rPr>
          <w:rFonts w:hint="eastAsia" w:eastAsia="仿宋_GB2312"/>
          <w:b/>
          <w:bCs/>
          <w:sz w:val="32"/>
          <w:szCs w:val="32"/>
        </w:rPr>
        <w:t>能源结构调整持续优化。</w:t>
      </w:r>
      <w:r>
        <w:rPr>
          <w:rFonts w:hint="eastAsia" w:eastAsia="仿宋_GB2312"/>
          <w:sz w:val="32"/>
          <w:szCs w:val="32"/>
        </w:rPr>
        <w:t>绿色生产生活方式初步形成，清洁低碳能源体系加速构建。“十三五”累计关闭煤矿48处，退出产能238万吨，仅剩花鼓山煤矿，2020年产能23万吨。2020年新能源装机容量达43.2万千瓦，规模为2015年3.9倍，占比由9.8%提高至13.4%，非水可再生能源发电量5.1亿千瓦时，占全社会用电量比例5.2%，较2015年提高4.9个百分点。煤炭消费比重从2015年的86.6%降至2020年的61.5%，非化石能源消费比重从</w:t>
      </w:r>
      <w:r>
        <w:rPr>
          <w:rFonts w:eastAsia="仿宋_GB2312"/>
          <w:sz w:val="32"/>
          <w:szCs w:val="32"/>
        </w:rPr>
        <w:t>0.7</w:t>
      </w:r>
      <w:r>
        <w:rPr>
          <w:rFonts w:hint="eastAsia" w:eastAsia="仿宋_GB2312"/>
          <w:sz w:val="32"/>
          <w:szCs w:val="32"/>
        </w:rPr>
        <w:t>%提高到</w:t>
      </w:r>
      <w:r>
        <w:rPr>
          <w:rFonts w:eastAsia="仿宋_GB2312"/>
          <w:sz w:val="32"/>
          <w:szCs w:val="32"/>
        </w:rPr>
        <w:t>2.7</w:t>
      </w:r>
      <w:r>
        <w:rPr>
          <w:rFonts w:hint="eastAsia" w:eastAsia="仿宋_GB2312"/>
          <w:sz w:val="32"/>
          <w:szCs w:val="32"/>
        </w:rPr>
        <w:t>%。天然气用量年均增长13.5%，消费比重提升至</w:t>
      </w:r>
      <w:r>
        <w:rPr>
          <w:rFonts w:eastAsia="仿宋_GB2312"/>
          <w:sz w:val="32"/>
          <w:szCs w:val="32"/>
        </w:rPr>
        <w:t>1.6</w:t>
      </w:r>
      <w:r>
        <w:rPr>
          <w:rFonts w:hint="eastAsia" w:eastAsia="仿宋_GB2312"/>
          <w:sz w:val="32"/>
          <w:szCs w:val="32"/>
        </w:rPr>
        <w:t>%。“十三五”全社会用电量累计增长12.3亿千瓦时，一产、二产、三产、居民用电量结构由2015年的0.4：88：5.7：5.8优化调整为0.4：83.2：8.5：7.9。</w:t>
      </w:r>
    </w:p>
    <w:p>
      <w:pPr>
        <w:spacing w:line="360" w:lineRule="auto"/>
        <w:ind w:firstLine="643" w:firstLineChars="200"/>
        <w:rPr>
          <w:rFonts w:eastAsia="仿宋_GB2312"/>
          <w:sz w:val="32"/>
          <w:szCs w:val="32"/>
        </w:rPr>
      </w:pPr>
      <w:r>
        <w:rPr>
          <w:rFonts w:hint="eastAsia" w:eastAsia="仿宋_GB2312"/>
          <w:b/>
          <w:bCs/>
          <w:sz w:val="32"/>
          <w:szCs w:val="32"/>
        </w:rPr>
        <w:t>节能减排成效显著。</w:t>
      </w:r>
      <w:r>
        <w:rPr>
          <w:rFonts w:hint="eastAsia" w:eastAsia="仿宋_GB2312"/>
          <w:sz w:val="32"/>
          <w:szCs w:val="32"/>
        </w:rPr>
        <w:t>优化调整区域产业布局，淘汰落后产能和压减过剩产能，经济社会发展能效水平不断提升。2020年全市能源消费总量为955.8万吨标煤，较2015年增加36.5万吨标煤。2020年单位地区生产总值能耗约0.95吨标准煤/万元，较201</w:t>
      </w:r>
      <w:r>
        <w:rPr>
          <w:rFonts w:eastAsia="仿宋_GB2312"/>
          <w:sz w:val="32"/>
          <w:szCs w:val="32"/>
        </w:rPr>
        <w:t>5</w:t>
      </w:r>
      <w:r>
        <w:rPr>
          <w:rFonts w:hint="eastAsia" w:eastAsia="仿宋_GB2312"/>
          <w:sz w:val="32"/>
          <w:szCs w:val="32"/>
        </w:rPr>
        <w:t>年降低30.</w:t>
      </w:r>
      <w:r>
        <w:rPr>
          <w:rFonts w:eastAsia="仿宋_GB2312"/>
          <w:sz w:val="32"/>
          <w:szCs w:val="32"/>
        </w:rPr>
        <w:t>9</w:t>
      </w:r>
      <w:r>
        <w:rPr>
          <w:rFonts w:hint="eastAsia" w:eastAsia="仿宋_GB2312"/>
          <w:sz w:val="32"/>
          <w:szCs w:val="32"/>
        </w:rPr>
        <w:t>%，单位G</w:t>
      </w:r>
      <w:r>
        <w:rPr>
          <w:rFonts w:eastAsia="仿宋_GB2312"/>
          <w:sz w:val="32"/>
          <w:szCs w:val="32"/>
        </w:rPr>
        <w:t>DP</w:t>
      </w:r>
      <w:r>
        <w:rPr>
          <w:rFonts w:hint="eastAsia" w:eastAsia="仿宋_GB2312"/>
          <w:sz w:val="32"/>
          <w:szCs w:val="32"/>
        </w:rPr>
        <w:t>能耗逐年减少，能源消费总量和能源消费强度在省控目标内，利用效率显著提高。“十三五”期间燃煤机组和燃煤热电机组超低排放改造全部完成，累计完成淘汰改造10蒸吨/小时及以下燃煤锅炉153台，燃煤锅（窑）炉淘汰改造任务超额完成，能源领域二氧化碳等排放均明显下降。全市重点监测的 35项主要耗能产品中，火电、钢铁、水泥等单位能耗水平处于国内先进水平。</w:t>
      </w:r>
    </w:p>
    <w:p>
      <w:pPr>
        <w:spacing w:line="360" w:lineRule="auto"/>
        <w:ind w:firstLine="643" w:firstLineChars="200"/>
        <w:rPr>
          <w:rFonts w:eastAsia="仿宋_GB2312"/>
          <w:sz w:val="32"/>
          <w:szCs w:val="32"/>
        </w:rPr>
      </w:pPr>
      <w:r>
        <w:rPr>
          <w:rFonts w:hint="eastAsia" w:eastAsia="仿宋_GB2312"/>
          <w:b/>
          <w:bCs/>
          <w:sz w:val="32"/>
          <w:szCs w:val="32"/>
        </w:rPr>
        <w:t>惠民力度不断增强。</w:t>
      </w:r>
      <w:r>
        <w:rPr>
          <w:rFonts w:hint="eastAsia" w:eastAsia="仿宋_GB2312"/>
          <w:sz w:val="32"/>
          <w:szCs w:val="32"/>
        </w:rPr>
        <w:t>加大惠民利民力度，增进能源民生福祉。抓住光伏扶贫政策机遇，“十三五”累计建成光伏扶贫电站1</w:t>
      </w:r>
      <w:r>
        <w:rPr>
          <w:rFonts w:eastAsia="仿宋_GB2312"/>
          <w:sz w:val="32"/>
          <w:szCs w:val="32"/>
        </w:rPr>
        <w:t>6.67</w:t>
      </w:r>
      <w:r>
        <w:rPr>
          <w:rFonts w:hint="eastAsia" w:eastAsia="仿宋_GB2312"/>
          <w:sz w:val="32"/>
          <w:szCs w:val="32"/>
        </w:rPr>
        <w:t>万千瓦，覆盖全市，惠及1</w:t>
      </w:r>
      <w:r>
        <w:rPr>
          <w:rFonts w:eastAsia="仿宋_GB2312"/>
          <w:sz w:val="32"/>
          <w:szCs w:val="32"/>
        </w:rPr>
        <w:t>7</w:t>
      </w:r>
      <w:r>
        <w:rPr>
          <w:rFonts w:hint="eastAsia" w:eastAsia="仿宋_GB2312"/>
          <w:sz w:val="32"/>
          <w:szCs w:val="32"/>
        </w:rPr>
        <w:t>个贫困村、2</w:t>
      </w:r>
      <w:r>
        <w:rPr>
          <w:rFonts w:eastAsia="仿宋_GB2312"/>
          <w:sz w:val="32"/>
          <w:szCs w:val="32"/>
        </w:rPr>
        <w:t>.08</w:t>
      </w:r>
      <w:r>
        <w:rPr>
          <w:rFonts w:hint="eastAsia" w:eastAsia="仿宋_GB2312"/>
          <w:sz w:val="32"/>
          <w:szCs w:val="32"/>
        </w:rPr>
        <w:t>万名贫困人口。通过农网升级改造，2019年底实现村村通“动力电”，至2020年底，农网供电可靠率、综合电压合格率、户均配变容量分别达到9</w:t>
      </w:r>
      <w:r>
        <w:rPr>
          <w:rFonts w:eastAsia="仿宋_GB2312"/>
          <w:sz w:val="32"/>
          <w:szCs w:val="32"/>
        </w:rPr>
        <w:t>9.81</w:t>
      </w:r>
      <w:r>
        <w:rPr>
          <w:rFonts w:hint="eastAsia" w:eastAsia="仿宋_GB2312"/>
          <w:sz w:val="32"/>
          <w:szCs w:val="32"/>
        </w:rPr>
        <w:t>%、9</w:t>
      </w:r>
      <w:r>
        <w:rPr>
          <w:rFonts w:eastAsia="仿宋_GB2312"/>
          <w:sz w:val="32"/>
          <w:szCs w:val="32"/>
        </w:rPr>
        <w:t>9.</w:t>
      </w:r>
      <w:r>
        <w:rPr>
          <w:rFonts w:hint="eastAsia" w:eastAsia="仿宋_GB2312"/>
          <w:sz w:val="32"/>
          <w:szCs w:val="32"/>
        </w:rPr>
        <w:t>87%和2.44千伏安，农村年均停电小时16.32小时。大力推进供给侧结构性改革，多策并举降低用能成本。多次降低一般工商业电价及大工业电价，疫情期间实行支持性两部制电价政策。2</w:t>
      </w:r>
      <w:r>
        <w:rPr>
          <w:rFonts w:eastAsia="仿宋_GB2312"/>
          <w:sz w:val="32"/>
          <w:szCs w:val="32"/>
        </w:rPr>
        <w:t>020</w:t>
      </w:r>
      <w:r>
        <w:rPr>
          <w:rFonts w:hint="eastAsia" w:eastAsia="仿宋_GB2312"/>
          <w:sz w:val="32"/>
          <w:szCs w:val="32"/>
        </w:rPr>
        <w:t>年天然气用户达31.6万人，较2015年增加52.7%，城镇居民天然气普及率大幅度提升。累计建成充电站23座、充电桩</w:t>
      </w:r>
      <w:r>
        <w:rPr>
          <w:rFonts w:eastAsia="仿宋_GB2312"/>
          <w:sz w:val="32"/>
          <w:szCs w:val="32"/>
        </w:rPr>
        <w:t>247</w:t>
      </w:r>
      <w:r>
        <w:rPr>
          <w:rFonts w:hint="eastAsia" w:eastAsia="仿宋_GB2312"/>
          <w:sz w:val="32"/>
          <w:szCs w:val="32"/>
        </w:rPr>
        <w:t>根、LNG和压缩天然气（C</w:t>
      </w:r>
      <w:r>
        <w:rPr>
          <w:rFonts w:eastAsia="仿宋_GB2312"/>
          <w:sz w:val="32"/>
          <w:szCs w:val="32"/>
        </w:rPr>
        <w:t>NG</w:t>
      </w:r>
      <w:r>
        <w:rPr>
          <w:rFonts w:hint="eastAsia" w:eastAsia="仿宋_GB2312"/>
          <w:sz w:val="32"/>
          <w:szCs w:val="32"/>
        </w:rPr>
        <w:t>）加注站5座，基本建成平均服务半径10公里的充电设施网络体系。切实推进民生用能经济化、清洁化和便利化。</w:t>
      </w:r>
    </w:p>
    <w:p>
      <w:pPr>
        <w:numPr>
          <w:ilvl w:val="255"/>
          <w:numId w:val="0"/>
        </w:numPr>
        <w:ind w:firstLine="643" w:firstLineChars="200"/>
        <w:rPr>
          <w:rFonts w:ascii="仿宋_GB2312" w:hAnsi="仿宋_GB2312" w:eastAsia="仿宋_GB2312" w:cs="仿宋_GB2312"/>
          <w:kern w:val="0"/>
          <w:sz w:val="32"/>
          <w:szCs w:val="32"/>
          <w:shd w:val="clear" w:color="auto" w:fill="FFFFFF"/>
        </w:rPr>
      </w:pPr>
      <w:r>
        <w:rPr>
          <w:rFonts w:hint="eastAsia" w:eastAsia="仿宋_GB2312"/>
          <w:b/>
          <w:bCs/>
          <w:sz w:val="32"/>
          <w:szCs w:val="32"/>
        </w:rPr>
        <w:t>能源科技创新取得突破。</w:t>
      </w:r>
      <w:r>
        <w:rPr>
          <w:rFonts w:hint="eastAsia" w:eastAsia="仿宋_GB2312"/>
          <w:sz w:val="32"/>
          <w:szCs w:val="32"/>
        </w:rPr>
        <w:t>“十三五”期间，我</w:t>
      </w:r>
      <w:r>
        <w:rPr>
          <w:rFonts w:ascii="仿宋_GB2312" w:hAnsi="仿宋_GB2312" w:eastAsia="仿宋_GB2312" w:cs="仿宋_GB2312"/>
          <w:sz w:val="32"/>
          <w:szCs w:val="22"/>
        </w:rPr>
        <w:t>市出台了</w:t>
      </w:r>
      <w:r>
        <w:rPr>
          <w:rFonts w:hint="eastAsia" w:ascii="仿宋_GB2312" w:hAnsi="仿宋_GB2312" w:eastAsia="仿宋_GB2312" w:cs="仿宋_GB2312"/>
          <w:sz w:val="32"/>
          <w:szCs w:val="22"/>
        </w:rPr>
        <w:t>《新余市推动工业高质量发展若干意见》和</w:t>
      </w:r>
      <w:r>
        <w:rPr>
          <w:rFonts w:hint="eastAsia" w:cs="仿宋_GB2312"/>
          <w:kern w:val="0"/>
          <w:sz w:val="32"/>
          <w:szCs w:val="32"/>
          <w:shd w:val="clear" w:color="auto" w:fill="FFFFFF"/>
        </w:rPr>
        <w:t>6</w:t>
      </w:r>
      <w:r>
        <w:rPr>
          <w:rFonts w:hint="eastAsia" w:ascii="仿宋_GB2312" w:hAnsi="仿宋_GB2312" w:eastAsia="仿宋_GB2312" w:cs="仿宋_GB2312"/>
          <w:sz w:val="32"/>
          <w:szCs w:val="22"/>
        </w:rPr>
        <w:t>个配套文件，</w:t>
      </w:r>
      <w:r>
        <w:rPr>
          <w:rFonts w:ascii="仿宋_GB2312" w:hAnsi="仿宋_GB2312" w:eastAsia="仿宋_GB2312" w:cs="仿宋_GB2312"/>
          <w:sz w:val="32"/>
          <w:szCs w:val="22"/>
        </w:rPr>
        <w:t>先后形成</w:t>
      </w:r>
      <w:r>
        <w:rPr>
          <w:rFonts w:hint="eastAsia" w:ascii="仿宋_GB2312" w:hAnsi="仿宋_GB2312" w:eastAsia="仿宋_GB2312" w:cs="仿宋_GB2312"/>
          <w:sz w:val="32"/>
          <w:szCs w:val="22"/>
        </w:rPr>
        <w:t>支持锂电、光伏产业等系列“三十条”措施，有效推动新能源等产业迈入高质量发展轨道</w:t>
      </w:r>
      <w:r>
        <w:rPr>
          <w:rFonts w:ascii="仿宋_GB2312" w:hAnsi="仿宋_GB2312" w:eastAsia="仿宋_GB2312" w:cs="仿宋_GB2312"/>
          <w:sz w:val="32"/>
          <w:szCs w:val="22"/>
        </w:rPr>
        <w:t>。我</w:t>
      </w:r>
      <w:r>
        <w:rPr>
          <w:rFonts w:hint="eastAsia" w:ascii="仿宋_GB2312" w:eastAsia="仿宋_GB2312"/>
          <w:sz w:val="32"/>
          <w:szCs w:val="32"/>
        </w:rPr>
        <w:t>市是全国唯一的国家新能源科技城</w:t>
      </w:r>
      <w:r>
        <w:rPr>
          <w:rFonts w:hint="eastAsia" w:ascii="仿宋_GB2312" w:hAnsi="仿宋_GB2312" w:eastAsia="仿宋_GB2312" w:cs="仿宋_GB2312"/>
          <w:kern w:val="0"/>
          <w:sz w:val="32"/>
          <w:szCs w:val="32"/>
          <w:shd w:val="clear" w:color="auto" w:fill="FFFFFF"/>
        </w:rPr>
        <w:t>，建有国家级研发平</w:t>
      </w:r>
      <w:r>
        <w:rPr>
          <w:rFonts w:hint="eastAsia" w:cs="仿宋_GB2312"/>
          <w:kern w:val="0"/>
          <w:sz w:val="32"/>
          <w:szCs w:val="32"/>
          <w:shd w:val="clear" w:color="auto" w:fill="FFFFFF"/>
        </w:rPr>
        <w:t>台18家</w:t>
      </w:r>
      <w:r>
        <w:rPr>
          <w:rFonts w:hint="eastAsia" w:ascii="仿宋_GB2312" w:hAnsi="仿宋_GB2312" w:eastAsia="仿宋_GB2312" w:cs="仿宋_GB2312"/>
          <w:kern w:val="0"/>
          <w:sz w:val="32"/>
          <w:szCs w:val="32"/>
          <w:shd w:val="clear" w:color="auto" w:fill="FFFFFF"/>
        </w:rPr>
        <w:t>，省级研发平台达到</w:t>
      </w:r>
      <w:r>
        <w:rPr>
          <w:rFonts w:hint="eastAsia" w:cs="仿宋_GB2312"/>
          <w:kern w:val="0"/>
          <w:sz w:val="32"/>
          <w:szCs w:val="32"/>
          <w:shd w:val="clear" w:color="auto" w:fill="FFFFFF"/>
        </w:rPr>
        <w:t>23</w:t>
      </w:r>
      <w:r>
        <w:rPr>
          <w:rFonts w:hint="eastAsia" w:ascii="仿宋_GB2312" w:hAnsi="仿宋_GB2312" w:eastAsia="仿宋_GB2312" w:cs="仿宋_GB2312"/>
          <w:kern w:val="0"/>
          <w:sz w:val="32"/>
          <w:szCs w:val="32"/>
          <w:shd w:val="clear" w:color="auto" w:fill="FFFFFF"/>
        </w:rPr>
        <w:t>家，高新技术企业1</w:t>
      </w:r>
      <w:r>
        <w:rPr>
          <w:rFonts w:hint="eastAsia" w:cs="仿宋_GB2312"/>
          <w:kern w:val="0"/>
          <w:sz w:val="32"/>
          <w:szCs w:val="32"/>
          <w:shd w:val="clear" w:color="auto" w:fill="FFFFFF"/>
        </w:rPr>
        <w:t>51</w:t>
      </w:r>
      <w:r>
        <w:rPr>
          <w:rFonts w:hint="eastAsia" w:ascii="仿宋_GB2312" w:hAnsi="仿宋_GB2312" w:eastAsia="仿宋_GB2312" w:cs="仿宋_GB2312"/>
          <w:kern w:val="0"/>
          <w:sz w:val="32"/>
          <w:szCs w:val="32"/>
          <w:shd w:val="clear" w:color="auto" w:fill="FFFFFF"/>
        </w:rPr>
        <w:t>家</w:t>
      </w:r>
      <w:r>
        <w:rPr>
          <w:rFonts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通过建立研发飞地合作模式，促成了赣锋循环科技与中国石油大学、沃格光电与中科院宁波所、汇亿新能源与江西理工大学、江西盛泰与清华大学深圳研究生院</w:t>
      </w:r>
      <w:r>
        <w:rPr>
          <w:rFonts w:hint="eastAsia"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英泰能与中国地质大学等五个产学研合作项目并签订</w:t>
      </w:r>
      <w:r>
        <w:rPr>
          <w:rFonts w:hint="eastAsia" w:ascii="仿宋_GB2312" w:hAnsi="仿宋_GB2312" w:eastAsia="仿宋_GB2312" w:cs="仿宋_GB2312"/>
          <w:sz w:val="32"/>
          <w:szCs w:val="22"/>
        </w:rPr>
        <w:t>技术</w:t>
      </w:r>
      <w:r>
        <w:rPr>
          <w:rFonts w:hint="eastAsia" w:ascii="仿宋_GB2312" w:hAnsi="仿宋_GB2312" w:eastAsia="仿宋_GB2312" w:cs="仿宋_GB2312"/>
          <w:kern w:val="0"/>
          <w:sz w:val="32"/>
          <w:szCs w:val="32"/>
          <w:shd w:val="clear" w:color="auto" w:fill="FFFFFF"/>
        </w:rPr>
        <w:t>人才合作协议，先后</w:t>
      </w:r>
      <w:r>
        <w:rPr>
          <w:rFonts w:hint="eastAsia"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个项目获批省重大研发专项，其中赣锋锂业的固态锂离子电池研发项目相关研究处于业内领先地位。</w:t>
      </w:r>
    </w:p>
    <w:tbl>
      <w:tblPr>
        <w:tblStyle w:val="14"/>
        <w:tblW w:w="8180" w:type="dxa"/>
        <w:jc w:val="center"/>
        <w:tblLayout w:type="fixed"/>
        <w:tblCellMar>
          <w:top w:w="0" w:type="dxa"/>
          <w:left w:w="108" w:type="dxa"/>
          <w:bottom w:w="0" w:type="dxa"/>
          <w:right w:w="108" w:type="dxa"/>
        </w:tblCellMar>
      </w:tblPr>
      <w:tblGrid>
        <w:gridCol w:w="3259"/>
        <w:gridCol w:w="1560"/>
        <w:gridCol w:w="1124"/>
        <w:gridCol w:w="1125"/>
        <w:gridCol w:w="1112"/>
      </w:tblGrid>
      <w:tr>
        <w:tblPrEx>
          <w:tblCellMar>
            <w:top w:w="0" w:type="dxa"/>
            <w:left w:w="108" w:type="dxa"/>
            <w:bottom w:w="0" w:type="dxa"/>
            <w:right w:w="108" w:type="dxa"/>
          </w:tblCellMar>
        </w:tblPrEx>
        <w:trPr>
          <w:trHeight w:val="322" w:hRule="atLeast"/>
          <w:jc w:val="center"/>
        </w:trPr>
        <w:tc>
          <w:tcPr>
            <w:tcW w:w="81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表1</w:t>
            </w:r>
            <w:r>
              <w:rPr>
                <w:rFonts w:eastAsia="仿宋_GB2312"/>
                <w:kern w:val="0"/>
                <w:szCs w:val="21"/>
              </w:rPr>
              <w:t xml:space="preserve">  </w:t>
            </w:r>
            <w:r>
              <w:rPr>
                <w:rFonts w:hint="eastAsia" w:eastAsia="仿宋_GB2312"/>
                <w:kern w:val="0"/>
                <w:szCs w:val="21"/>
              </w:rPr>
              <w:t>“十三五”能源发展主要成就</w:t>
            </w:r>
          </w:p>
        </w:tc>
      </w:tr>
      <w:tr>
        <w:tblPrEx>
          <w:tblCellMar>
            <w:top w:w="0" w:type="dxa"/>
            <w:left w:w="108" w:type="dxa"/>
            <w:bottom w:w="0" w:type="dxa"/>
            <w:right w:w="108" w:type="dxa"/>
          </w:tblCellMar>
        </w:tblPrEx>
        <w:trPr>
          <w:trHeight w:val="322" w:hRule="atLeast"/>
          <w:jc w:val="center"/>
        </w:trPr>
        <w:tc>
          <w:tcPr>
            <w:tcW w:w="32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单位</w:t>
            </w:r>
          </w:p>
        </w:tc>
        <w:tc>
          <w:tcPr>
            <w:tcW w:w="112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2015</w:t>
            </w:r>
            <w:r>
              <w:rPr>
                <w:rFonts w:hint="eastAsia" w:eastAsia="仿宋_GB2312"/>
                <w:kern w:val="0"/>
                <w:szCs w:val="21"/>
              </w:rPr>
              <w:t>年</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2020</w:t>
            </w:r>
            <w:r>
              <w:rPr>
                <w:rFonts w:hint="eastAsia" w:eastAsia="仿宋_GB2312"/>
                <w:kern w:val="0"/>
                <w:szCs w:val="21"/>
              </w:rPr>
              <w:t>年</w:t>
            </w:r>
          </w:p>
        </w:tc>
        <w:tc>
          <w:tcPr>
            <w:tcW w:w="111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年均增长</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eastAsia="仿宋_GB2312"/>
                <w:kern w:val="0"/>
                <w:szCs w:val="21"/>
              </w:rPr>
            </w:pPr>
            <w:r>
              <w:rPr>
                <w:rFonts w:hint="eastAsia" w:eastAsia="仿宋_GB2312"/>
                <w:kern w:val="0"/>
                <w:szCs w:val="21"/>
              </w:rPr>
              <w:t>一次能源生产总值</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万吨标煤</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112.7</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4</w:t>
            </w:r>
            <w:r>
              <w:rPr>
                <w:rFonts w:eastAsia="仿宋_GB2312"/>
                <w:kern w:val="0"/>
                <w:szCs w:val="21"/>
              </w:rPr>
              <w:t>2.4</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t>-17.8%</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right"/>
              <w:rPr>
                <w:rFonts w:eastAsia="仿宋_GB2312"/>
                <w:kern w:val="0"/>
                <w:szCs w:val="21"/>
              </w:rPr>
            </w:pPr>
            <w:r>
              <w:rPr>
                <w:rFonts w:hint="eastAsia" w:eastAsia="仿宋_GB2312"/>
                <w:kern w:val="0"/>
                <w:szCs w:val="21"/>
              </w:rPr>
              <w:t>其中</w:t>
            </w:r>
            <w:r>
              <w:rPr>
                <w:rFonts w:eastAsia="仿宋_GB2312"/>
                <w:kern w:val="0"/>
                <w:szCs w:val="21"/>
              </w:rPr>
              <w:t>:</w:t>
            </w:r>
            <w:r>
              <w:rPr>
                <w:rFonts w:hint="eastAsia" w:eastAsia="仿宋_GB2312"/>
                <w:kern w:val="0"/>
                <w:szCs w:val="21"/>
              </w:rPr>
              <w:t>煤炭</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万吨</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156.9</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23</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t>-31.9%</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right"/>
              <w:rPr>
                <w:rFonts w:eastAsia="仿宋_GB2312"/>
                <w:kern w:val="0"/>
                <w:szCs w:val="21"/>
              </w:rPr>
            </w:pPr>
            <w:r>
              <w:rPr>
                <w:rFonts w:hint="eastAsia" w:eastAsia="仿宋_GB2312"/>
                <w:kern w:val="0"/>
                <w:szCs w:val="21"/>
              </w:rPr>
              <w:t>非化石能源</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万吨标煤</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0</w:t>
            </w:r>
            <w:r>
              <w:rPr>
                <w:rFonts w:eastAsia="仿宋_GB2312"/>
                <w:kern w:val="0"/>
                <w:szCs w:val="21"/>
              </w:rPr>
              <w:t>.6</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2</w:t>
            </w:r>
            <w:r>
              <w:rPr>
                <w:rFonts w:eastAsia="仿宋_GB2312"/>
                <w:kern w:val="0"/>
                <w:szCs w:val="21"/>
              </w:rPr>
              <w:t>6</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t>112.5%</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eastAsia="仿宋_GB2312"/>
                <w:kern w:val="0"/>
                <w:szCs w:val="21"/>
              </w:rPr>
            </w:pPr>
            <w:r>
              <w:rPr>
                <w:rFonts w:hint="eastAsia" w:eastAsia="仿宋_GB2312"/>
                <w:kern w:val="0"/>
                <w:szCs w:val="21"/>
              </w:rPr>
              <w:t>电力装机规模</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万千瓦</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114.3</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322.3</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t>23.0%</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eastAsia="仿宋_GB2312"/>
                <w:kern w:val="0"/>
                <w:szCs w:val="21"/>
              </w:rPr>
            </w:pPr>
            <w:r>
              <w:rPr>
                <w:rFonts w:hint="eastAsia" w:eastAsia="仿宋_GB2312"/>
                <w:kern w:val="0"/>
                <w:szCs w:val="21"/>
              </w:rPr>
              <w:t>一次能源消费总量</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万吨标煤</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919.3</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955.8</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t>0.8%</w:t>
            </w:r>
          </w:p>
        </w:tc>
      </w:tr>
      <w:tr>
        <w:tblPrEx>
          <w:tblCellMar>
            <w:top w:w="0" w:type="dxa"/>
            <w:left w:w="108" w:type="dxa"/>
            <w:bottom w:w="0" w:type="dxa"/>
            <w:right w:w="108" w:type="dxa"/>
          </w:tblCellMar>
        </w:tblPrEx>
        <w:trPr>
          <w:trHeight w:val="633" w:hRule="atLeast"/>
          <w:jc w:val="center"/>
        </w:trPr>
        <w:tc>
          <w:tcPr>
            <w:tcW w:w="325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eastAsia="仿宋_GB2312"/>
                <w:kern w:val="0"/>
                <w:szCs w:val="21"/>
              </w:rPr>
            </w:pPr>
            <w:r>
              <w:rPr>
                <w:rFonts w:hint="eastAsia" w:eastAsia="仿宋_GB2312"/>
                <w:kern w:val="0"/>
                <w:szCs w:val="21"/>
              </w:rPr>
              <w:t>能源消费结构</w:t>
            </w:r>
          </w:p>
          <w:p>
            <w:pPr>
              <w:widowControl/>
              <w:spacing w:line="360" w:lineRule="auto"/>
              <w:jc w:val="left"/>
              <w:rPr>
                <w:rFonts w:eastAsia="仿宋_GB2312"/>
                <w:kern w:val="0"/>
                <w:szCs w:val="21"/>
              </w:rPr>
            </w:pPr>
            <w:r>
              <w:rPr>
                <w:rFonts w:hint="eastAsia" w:eastAsia="仿宋_GB2312"/>
                <w:kern w:val="0"/>
                <w:szCs w:val="21"/>
              </w:rPr>
              <w:t>其中</w:t>
            </w:r>
            <w:r>
              <w:rPr>
                <w:rFonts w:eastAsia="仿宋_GB2312"/>
                <w:kern w:val="0"/>
                <w:szCs w:val="21"/>
              </w:rPr>
              <w:t>:</w:t>
            </w:r>
            <w:r>
              <w:rPr>
                <w:rFonts w:hint="eastAsia" w:eastAsia="仿宋_GB2312"/>
                <w:kern w:val="0"/>
                <w:szCs w:val="21"/>
              </w:rPr>
              <w:t>煤炭</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71.1</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61.5</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pPr>
            <w:r>
              <w:t>[-</w:t>
            </w:r>
            <w:r>
              <w:rPr>
                <w:rFonts w:hint="eastAsia"/>
              </w:rPr>
              <w:t>9.6</w:t>
            </w:r>
            <w:r>
              <w:t>]</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石油</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3.1</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2.4</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pPr>
            <w:r>
              <w:t>[-0.7]</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天然气</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0.9</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1.6</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pPr>
            <w:r>
              <w:t>[0.7]</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非化石能源</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0.7</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2.</w:t>
            </w:r>
            <w:r>
              <w:rPr>
                <w:rFonts w:eastAsia="仿宋_GB2312"/>
                <w:kern w:val="0"/>
                <w:szCs w:val="21"/>
              </w:rPr>
              <w:t>7</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pPr>
            <w:r>
              <w:t>[2]</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单位地区生产总值能耗</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吨标煤</w:t>
            </w:r>
            <w:r>
              <w:rPr>
                <w:rFonts w:eastAsia="仿宋_GB2312"/>
                <w:kern w:val="0"/>
                <w:szCs w:val="21"/>
              </w:rPr>
              <w:t>/</w:t>
            </w:r>
            <w:r>
              <w:rPr>
                <w:rFonts w:hint="eastAsia" w:eastAsia="仿宋_GB2312"/>
                <w:kern w:val="0"/>
                <w:szCs w:val="21"/>
              </w:rPr>
              <w:t>万元</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1</w:t>
            </w:r>
            <w:r>
              <w:rPr>
                <w:rFonts w:eastAsia="仿宋_GB2312"/>
                <w:kern w:val="0"/>
                <w:szCs w:val="21"/>
              </w:rPr>
              <w:t>.38</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0.95</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t>[-31.2%]</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煤电供电煤耗</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克标煤</w:t>
            </w:r>
            <w:r>
              <w:rPr>
                <w:rFonts w:eastAsia="仿宋_GB2312"/>
                <w:kern w:val="0"/>
                <w:szCs w:val="21"/>
              </w:rPr>
              <w:t>/</w:t>
            </w:r>
            <w:r>
              <w:rPr>
                <w:rFonts w:hint="eastAsia" w:eastAsia="仿宋_GB2312"/>
                <w:kern w:val="0"/>
                <w:szCs w:val="21"/>
              </w:rPr>
              <w:t>千瓦时</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31</w:t>
            </w:r>
            <w:r>
              <w:rPr>
                <w:rFonts w:hint="eastAsia" w:eastAsia="仿宋_GB2312"/>
                <w:kern w:val="0"/>
                <w:szCs w:val="21"/>
              </w:rPr>
              <w:t>0.8</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299.4</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t>[-</w:t>
            </w:r>
            <w:r>
              <w:rPr>
                <w:rFonts w:hint="eastAsia"/>
              </w:rPr>
              <w:t>11.4</w:t>
            </w:r>
            <w:r>
              <w:t>]</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电网线损率</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eastAsia="仿宋_GB2312"/>
                <w:kern w:val="0"/>
                <w:szCs w:val="21"/>
              </w:rPr>
              <w:t>%</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4.9</w:t>
            </w:r>
            <w:r>
              <w:rPr>
                <w:rFonts w:eastAsia="仿宋_GB2312"/>
                <w:kern w:val="0"/>
                <w:szCs w:val="21"/>
              </w:rPr>
              <w:t>%</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3.0</w:t>
            </w:r>
            <w:r>
              <w:rPr>
                <w:rFonts w:eastAsia="仿宋_GB2312"/>
                <w:kern w:val="0"/>
                <w:szCs w:val="21"/>
              </w:rPr>
              <w:t>%</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t>[-1.9]</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单位地区生产总值二氧化碳排放</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吨</w:t>
            </w:r>
            <w:r>
              <w:rPr>
                <w:rFonts w:eastAsia="仿宋_GB2312"/>
                <w:kern w:val="0"/>
                <w:szCs w:val="21"/>
              </w:rPr>
              <w:t>/</w:t>
            </w:r>
            <w:r>
              <w:rPr>
                <w:rFonts w:hint="eastAsia" w:eastAsia="仿宋_GB2312"/>
                <w:kern w:val="0"/>
                <w:szCs w:val="21"/>
              </w:rPr>
              <w:t>万元</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2.55</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2.03</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t>[-20.3%]</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居民人均年生活用电量</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千瓦时</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423.6</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635.8</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rPr>
              <w:t>8.5</w:t>
            </w:r>
            <w:r>
              <w:t>%</w:t>
            </w: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城镇用户平均停电时间</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小时</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9.8</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7.5</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highlight w:val="yellow"/>
              </w:rPr>
            </w:pPr>
          </w:p>
        </w:tc>
      </w:tr>
      <w:tr>
        <w:tblPrEx>
          <w:tblCellMar>
            <w:top w:w="0" w:type="dxa"/>
            <w:left w:w="108" w:type="dxa"/>
            <w:bottom w:w="0" w:type="dxa"/>
            <w:right w:w="108" w:type="dxa"/>
          </w:tblCellMar>
        </w:tblPrEx>
        <w:trPr>
          <w:trHeight w:val="32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乡村户均配变容量</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千伏安</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highlight w:val="yellow"/>
              </w:rPr>
            </w:pPr>
            <w:r>
              <w:rPr>
                <w:rFonts w:eastAsia="仿宋_GB2312"/>
                <w:kern w:val="0"/>
                <w:szCs w:val="21"/>
              </w:rPr>
              <w:t>1.2</w:t>
            </w:r>
            <w:r>
              <w:rPr>
                <w:rFonts w:hint="eastAsia" w:eastAsia="仿宋_GB2312"/>
                <w:kern w:val="0"/>
                <w:szCs w:val="21"/>
              </w:rPr>
              <w:t>2</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highlight w:val="yellow"/>
              </w:rPr>
            </w:pPr>
            <w:r>
              <w:rPr>
                <w:rFonts w:eastAsia="仿宋_GB2312"/>
                <w:kern w:val="0"/>
                <w:szCs w:val="21"/>
              </w:rPr>
              <w:t>2.44</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highlight w:val="yellow"/>
              </w:rPr>
            </w:pPr>
          </w:p>
        </w:tc>
      </w:tr>
      <w:tr>
        <w:tblPrEx>
          <w:tblCellMar>
            <w:top w:w="0" w:type="dxa"/>
            <w:left w:w="108" w:type="dxa"/>
            <w:bottom w:w="0" w:type="dxa"/>
            <w:right w:w="108" w:type="dxa"/>
          </w:tblCellMar>
        </w:tblPrEx>
        <w:trPr>
          <w:trHeight w:val="332" w:hRule="atLeast"/>
          <w:jc w:val="center"/>
        </w:trPr>
        <w:tc>
          <w:tcPr>
            <w:tcW w:w="325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使用天然气人口</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万人</w:t>
            </w:r>
          </w:p>
        </w:tc>
        <w:tc>
          <w:tcPr>
            <w:tcW w:w="112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20.7</w:t>
            </w:r>
          </w:p>
        </w:tc>
        <w:tc>
          <w:tcPr>
            <w:tcW w:w="112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31.6</w:t>
            </w: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eastAsia="仿宋_GB2312"/>
                <w:kern w:val="0"/>
                <w:szCs w:val="21"/>
              </w:rPr>
            </w:pPr>
            <w:r>
              <w:rPr>
                <w:rFonts w:hint="eastAsia" w:eastAsia="仿宋_GB2312"/>
                <w:kern w:val="0"/>
                <w:szCs w:val="21"/>
              </w:rPr>
              <w:t>8.8</w:t>
            </w:r>
            <w:r>
              <w:rPr>
                <w:rFonts w:eastAsia="仿宋_GB2312"/>
                <w:kern w:val="0"/>
                <w:szCs w:val="21"/>
              </w:rPr>
              <w:t>%</w:t>
            </w:r>
          </w:p>
        </w:tc>
      </w:tr>
    </w:tbl>
    <w:p>
      <w:pPr>
        <w:widowControl/>
        <w:spacing w:line="360" w:lineRule="auto"/>
        <w:ind w:firstLine="420" w:firstLineChars="200"/>
        <w:rPr>
          <w:rFonts w:eastAsia="仿宋_GB2312"/>
          <w:bCs/>
          <w:kern w:val="44"/>
          <w:sz w:val="32"/>
          <w:szCs w:val="32"/>
        </w:rPr>
        <w:sectPr>
          <w:pgSz w:w="11906" w:h="16838"/>
          <w:pgMar w:top="1440" w:right="1800" w:bottom="1440" w:left="1800" w:header="851" w:footer="992" w:gutter="0"/>
          <w:pgNumType w:start="1"/>
          <w:cols w:space="425" w:num="1"/>
          <w:docGrid w:type="lines" w:linePitch="312" w:charSpace="0"/>
        </w:sectPr>
      </w:pPr>
      <w:r>
        <w:rPr>
          <w:rFonts w:hint="eastAsia" w:eastAsia="仿宋_GB2312"/>
          <w:szCs w:val="21"/>
        </w:rPr>
        <w:t>注：（1）</w:t>
      </w:r>
      <w:r>
        <w:rPr>
          <w:rFonts w:eastAsia="仿宋_GB2312"/>
          <w:szCs w:val="21"/>
        </w:rPr>
        <w:t>[ ]</w:t>
      </w:r>
      <w:r>
        <w:rPr>
          <w:rFonts w:hint="eastAsia" w:eastAsia="仿宋_GB2312"/>
          <w:szCs w:val="21"/>
        </w:rPr>
        <w:t>为累计值；（2）</w:t>
      </w:r>
      <w:r>
        <w:rPr>
          <w:rFonts w:eastAsia="仿宋_GB2312"/>
          <w:szCs w:val="21"/>
        </w:rPr>
        <w:t>GDP</w:t>
      </w:r>
      <w:r>
        <w:rPr>
          <w:rFonts w:hint="eastAsia" w:eastAsia="仿宋_GB2312"/>
          <w:szCs w:val="21"/>
        </w:rPr>
        <w:t>以</w:t>
      </w:r>
      <w:r>
        <w:rPr>
          <w:rFonts w:eastAsia="仿宋_GB2312"/>
          <w:szCs w:val="21"/>
        </w:rPr>
        <w:t>2015</w:t>
      </w:r>
      <w:r>
        <w:rPr>
          <w:rFonts w:hint="eastAsia" w:eastAsia="仿宋_GB2312"/>
          <w:szCs w:val="21"/>
        </w:rPr>
        <w:t>年可比价计算。</w:t>
      </w:r>
    </w:p>
    <w:p>
      <w:pPr>
        <w:keepNext/>
        <w:keepLines/>
        <w:spacing w:line="360" w:lineRule="auto"/>
        <w:ind w:firstLine="643" w:firstLineChars="200"/>
        <w:outlineLvl w:val="2"/>
        <w:rPr>
          <w:rFonts w:eastAsia="仿宋_GB2312"/>
          <w:b/>
          <w:bCs/>
          <w:sz w:val="32"/>
          <w:szCs w:val="32"/>
        </w:rPr>
      </w:pPr>
      <w:bookmarkStart w:id="13" w:name="_Toc66178059"/>
      <w:bookmarkStart w:id="14" w:name="_Toc66176965"/>
      <w:bookmarkStart w:id="15" w:name="_Toc80657291"/>
      <w:r>
        <w:rPr>
          <w:rFonts w:hint="eastAsia" w:eastAsia="仿宋_GB2312"/>
          <w:b/>
          <w:bCs/>
          <w:sz w:val="32"/>
          <w:szCs w:val="32"/>
        </w:rPr>
        <w:t>二、存在问题</w:t>
      </w:r>
      <w:bookmarkEnd w:id="13"/>
      <w:bookmarkEnd w:id="14"/>
      <w:bookmarkEnd w:id="15"/>
    </w:p>
    <w:p>
      <w:pPr>
        <w:spacing w:line="360" w:lineRule="auto"/>
        <w:ind w:firstLine="640" w:firstLineChars="200"/>
        <w:rPr>
          <w:rFonts w:eastAsia="仿宋_GB2312"/>
          <w:sz w:val="32"/>
          <w:szCs w:val="32"/>
        </w:rPr>
      </w:pPr>
      <w:r>
        <w:rPr>
          <w:rFonts w:hint="eastAsia" w:eastAsia="仿宋_GB2312"/>
          <w:sz w:val="32"/>
          <w:szCs w:val="32"/>
        </w:rPr>
        <w:t>我市经济发展快，能源需求旺盛，但市内能源资源匮乏，能源供给保障压力较大。</w:t>
      </w:r>
    </w:p>
    <w:p>
      <w:pPr>
        <w:spacing w:line="360" w:lineRule="auto"/>
        <w:ind w:firstLine="643" w:firstLineChars="200"/>
        <w:rPr>
          <w:rFonts w:eastAsia="仿宋_GB2312"/>
          <w:sz w:val="32"/>
          <w:szCs w:val="32"/>
        </w:rPr>
      </w:pPr>
      <w:r>
        <w:rPr>
          <w:rFonts w:hint="eastAsia" w:eastAsia="仿宋_GB2312"/>
          <w:b/>
          <w:sz w:val="32"/>
          <w:szCs w:val="32"/>
        </w:rPr>
        <w:t>能源自给能力不足，对外依存度持续攀升</w:t>
      </w:r>
      <w:r>
        <w:rPr>
          <w:rFonts w:eastAsia="仿宋_GB2312"/>
          <w:b/>
          <w:sz w:val="32"/>
          <w:szCs w:val="32"/>
        </w:rPr>
        <w:t>。</w:t>
      </w:r>
      <w:r>
        <w:rPr>
          <w:rFonts w:eastAsia="仿宋_GB2312"/>
          <w:sz w:val="32"/>
          <w:szCs w:val="32"/>
        </w:rPr>
        <w:t>我市属资源枯竭型城市，能源对外依存度</w:t>
      </w:r>
      <w:r>
        <w:rPr>
          <w:rFonts w:hint="eastAsia" w:eastAsia="仿宋_GB2312"/>
          <w:sz w:val="32"/>
          <w:szCs w:val="32"/>
        </w:rPr>
        <w:t>较</w:t>
      </w:r>
      <w:r>
        <w:rPr>
          <w:rFonts w:eastAsia="仿宋_GB2312"/>
          <w:sz w:val="32"/>
          <w:szCs w:val="32"/>
        </w:rPr>
        <w:t>高</w:t>
      </w:r>
      <w:r>
        <w:rPr>
          <w:rFonts w:hint="eastAsia" w:eastAsia="仿宋_GB2312"/>
          <w:sz w:val="32"/>
          <w:szCs w:val="32"/>
        </w:rPr>
        <w:t>：</w:t>
      </w:r>
      <w:r>
        <w:rPr>
          <w:rFonts w:eastAsia="仿宋_GB2312"/>
          <w:sz w:val="32"/>
          <w:szCs w:val="32"/>
        </w:rPr>
        <w:t>煤炭、生物质资源</w:t>
      </w:r>
      <w:r>
        <w:rPr>
          <w:rFonts w:hint="eastAsia" w:eastAsia="仿宋_GB2312"/>
          <w:sz w:val="32"/>
          <w:szCs w:val="32"/>
        </w:rPr>
        <w:t>丰富但开发难度大；</w:t>
      </w:r>
      <w:r>
        <w:rPr>
          <w:rFonts w:eastAsia="仿宋_GB2312"/>
          <w:sz w:val="32"/>
          <w:szCs w:val="32"/>
        </w:rPr>
        <w:t>无石油</w:t>
      </w:r>
      <w:r>
        <w:rPr>
          <w:rFonts w:hint="eastAsia" w:eastAsia="仿宋_GB2312"/>
          <w:sz w:val="32"/>
          <w:szCs w:val="32"/>
        </w:rPr>
        <w:t>、</w:t>
      </w:r>
      <w:r>
        <w:rPr>
          <w:rFonts w:eastAsia="仿宋_GB2312"/>
          <w:sz w:val="32"/>
          <w:szCs w:val="32"/>
        </w:rPr>
        <w:t>天然气资源</w:t>
      </w:r>
      <w:r>
        <w:rPr>
          <w:rFonts w:hint="eastAsia" w:eastAsia="仿宋_GB2312"/>
          <w:sz w:val="32"/>
          <w:szCs w:val="32"/>
        </w:rPr>
        <w:t>；</w:t>
      </w:r>
      <w:r>
        <w:rPr>
          <w:rFonts w:eastAsia="仿宋_GB2312"/>
          <w:sz w:val="32"/>
          <w:szCs w:val="32"/>
        </w:rPr>
        <w:t>水能资源一般且剩余可开发量少</w:t>
      </w:r>
      <w:r>
        <w:rPr>
          <w:rFonts w:hint="eastAsia" w:eastAsia="仿宋_GB2312"/>
          <w:sz w:val="32"/>
          <w:szCs w:val="32"/>
        </w:rPr>
        <w:t>；</w:t>
      </w:r>
      <w:r>
        <w:rPr>
          <w:rFonts w:eastAsia="仿宋_GB2312"/>
          <w:sz w:val="32"/>
          <w:szCs w:val="32"/>
        </w:rPr>
        <w:t>新能源资源一般。</w:t>
      </w:r>
      <w:r>
        <w:rPr>
          <w:rFonts w:hint="eastAsia" w:eastAsia="仿宋_GB2312"/>
          <w:sz w:val="32"/>
          <w:szCs w:val="32"/>
        </w:rPr>
        <w:t>随着近年来供给侧结构性改革的深入推进，煤炭产能大幅缩减，能源自给率由2015年的12.3</w:t>
      </w:r>
      <w:r>
        <w:rPr>
          <w:rFonts w:eastAsia="仿宋_GB2312"/>
          <w:sz w:val="32"/>
          <w:szCs w:val="32"/>
        </w:rPr>
        <w:t>%</w:t>
      </w:r>
      <w:r>
        <w:rPr>
          <w:rFonts w:hint="eastAsia" w:eastAsia="仿宋_GB2312"/>
          <w:sz w:val="32"/>
          <w:szCs w:val="32"/>
        </w:rPr>
        <w:t>降低至2020年的4.4</w:t>
      </w:r>
      <w:r>
        <w:rPr>
          <w:rFonts w:eastAsia="仿宋_GB2312"/>
          <w:sz w:val="32"/>
          <w:szCs w:val="32"/>
        </w:rPr>
        <w:t>%。</w:t>
      </w:r>
      <w:r>
        <w:rPr>
          <w:rFonts w:hint="eastAsia" w:eastAsia="仿宋_GB2312"/>
          <w:sz w:val="32"/>
          <w:szCs w:val="32"/>
        </w:rPr>
        <w:t>未来随着能源对外依存度不断攀升、可再生能源电源大量接入，以及需求侧峰谷差、季节差逐年加大，部分时段的电力、成品油、天然气等供应保障压力较大，能源保供形势较为严峻</w:t>
      </w:r>
      <w:r>
        <w:rPr>
          <w:rFonts w:eastAsia="仿宋_GB2312"/>
          <w:sz w:val="32"/>
          <w:szCs w:val="32"/>
        </w:rPr>
        <w:t>。</w:t>
      </w:r>
    </w:p>
    <w:p>
      <w:pPr>
        <w:spacing w:line="360" w:lineRule="auto"/>
        <w:ind w:firstLine="643" w:firstLineChars="200"/>
        <w:rPr>
          <w:rFonts w:eastAsia="仿宋_GB2312"/>
          <w:sz w:val="32"/>
          <w:szCs w:val="32"/>
        </w:rPr>
      </w:pPr>
      <w:r>
        <w:rPr>
          <w:rFonts w:hint="eastAsia" w:eastAsia="仿宋_GB2312"/>
          <w:b/>
          <w:sz w:val="32"/>
          <w:szCs w:val="32"/>
        </w:rPr>
        <w:t>能源基础设施存在短板，不能满足优质能源需求。</w:t>
      </w:r>
      <w:r>
        <w:rPr>
          <w:rFonts w:eastAsia="仿宋_GB2312"/>
          <w:sz w:val="32"/>
          <w:szCs w:val="32"/>
        </w:rPr>
        <w:t>电网方面，</w:t>
      </w:r>
      <w:r>
        <w:rPr>
          <w:rFonts w:hint="eastAsia" w:eastAsia="仿宋_GB2312"/>
          <w:sz w:val="32"/>
          <w:szCs w:val="32"/>
        </w:rPr>
        <w:t>由于地区经济发展不平衡导致局部负荷分布不均衡，局部供电能力不足与总体容载比偏高现象并存</w:t>
      </w:r>
      <w:r>
        <w:rPr>
          <w:rFonts w:eastAsia="仿宋_GB2312"/>
          <w:sz w:val="32"/>
          <w:szCs w:val="32"/>
        </w:rPr>
        <w:t>。可再生能源</w:t>
      </w:r>
      <w:r>
        <w:rPr>
          <w:rFonts w:hint="eastAsia" w:eastAsia="仿宋_GB2312"/>
          <w:sz w:val="32"/>
          <w:szCs w:val="32"/>
        </w:rPr>
        <w:t>电源</w:t>
      </w:r>
      <w:r>
        <w:rPr>
          <w:rFonts w:eastAsia="仿宋_GB2312"/>
          <w:sz w:val="32"/>
          <w:szCs w:val="32"/>
        </w:rPr>
        <w:t>大规模接入电网对调峰消纳、电能质量和电网运行等方面产生不利影响。</w:t>
      </w:r>
      <w:r>
        <w:rPr>
          <w:rFonts w:hint="eastAsia" w:eastAsia="仿宋_GB2312"/>
          <w:sz w:val="32"/>
          <w:szCs w:val="32"/>
        </w:rPr>
        <w:t>农村</w:t>
      </w:r>
      <w:r>
        <w:rPr>
          <w:rFonts w:eastAsia="仿宋_GB2312"/>
          <w:sz w:val="32"/>
          <w:szCs w:val="32"/>
        </w:rPr>
        <w:t>地区配电网抵御大面积自然灾害能力较弱，供电能力和供电可靠性有待进一步提升</w:t>
      </w:r>
      <w:r>
        <w:rPr>
          <w:rFonts w:hint="eastAsia" w:eastAsia="仿宋_GB2312"/>
          <w:sz w:val="32"/>
          <w:szCs w:val="32"/>
        </w:rPr>
        <w:t>。</w:t>
      </w:r>
      <w:r>
        <w:rPr>
          <w:rFonts w:eastAsia="仿宋_GB2312"/>
          <w:sz w:val="32"/>
          <w:szCs w:val="32"/>
        </w:rPr>
        <w:t>成品油方面，现有成品油渠道能够满足成品油消费需求，但成品油市场混乱，油零售体系尚不完善，部分加油站布局不尽合理、加油站竞争意识有待提升，无法满足远期市场发展需求。天然气方面，</w:t>
      </w:r>
      <w:r>
        <w:rPr>
          <w:rFonts w:hint="eastAsia" w:eastAsia="仿宋_GB2312"/>
          <w:sz w:val="32"/>
          <w:szCs w:val="32"/>
        </w:rPr>
        <w:t>天然气管网部分管段输送能力受限，新建管道选址困难，</w:t>
      </w:r>
      <w:r>
        <w:rPr>
          <w:rFonts w:eastAsia="仿宋_GB2312"/>
          <w:sz w:val="32"/>
          <w:szCs w:val="32"/>
        </w:rPr>
        <w:t>下游消费市场发展不足、天然气利用率不高，成本高</w:t>
      </w:r>
      <w:r>
        <w:rPr>
          <w:rFonts w:hint="eastAsia" w:eastAsia="仿宋_GB2312"/>
          <w:sz w:val="32"/>
          <w:szCs w:val="32"/>
        </w:rPr>
        <w:t>。</w:t>
      </w:r>
      <w:r>
        <w:rPr>
          <w:rFonts w:eastAsia="仿宋_GB2312"/>
          <w:sz w:val="32"/>
          <w:szCs w:val="32"/>
        </w:rPr>
        <w:t>燃气、液化气和天然气供应尚未能普及到所有乡镇</w:t>
      </w:r>
      <w:r>
        <w:rPr>
          <w:rFonts w:hint="eastAsia" w:eastAsia="仿宋_GB2312"/>
          <w:sz w:val="32"/>
          <w:szCs w:val="32"/>
        </w:rPr>
        <w:t>。现有能源设施水平不能充分满足人民群众日益增长的优质能源需求。</w:t>
      </w:r>
    </w:p>
    <w:p>
      <w:pPr>
        <w:spacing w:line="360" w:lineRule="auto"/>
        <w:ind w:firstLine="643" w:firstLineChars="200"/>
        <w:rPr>
          <w:rFonts w:eastAsia="仿宋_GB2312"/>
          <w:sz w:val="32"/>
          <w:szCs w:val="32"/>
        </w:rPr>
      </w:pPr>
      <w:r>
        <w:rPr>
          <w:rFonts w:hint="eastAsia" w:eastAsia="仿宋_GB2312"/>
          <w:b/>
          <w:sz w:val="32"/>
          <w:szCs w:val="32"/>
        </w:rPr>
        <w:t>能源结构矛盾突出，低碳转型发展乏力</w:t>
      </w:r>
      <w:r>
        <w:rPr>
          <w:rFonts w:eastAsia="仿宋_GB2312"/>
          <w:b/>
          <w:sz w:val="32"/>
          <w:szCs w:val="32"/>
        </w:rPr>
        <w:t>。</w:t>
      </w:r>
      <w:r>
        <w:rPr>
          <w:rFonts w:eastAsia="仿宋_GB2312"/>
          <w:sz w:val="32"/>
          <w:szCs w:val="32"/>
        </w:rPr>
        <w:t>我市</w:t>
      </w:r>
      <w:r>
        <w:rPr>
          <w:rFonts w:hint="eastAsia" w:eastAsia="仿宋_GB2312"/>
          <w:sz w:val="32"/>
          <w:szCs w:val="32"/>
        </w:rPr>
        <w:t>能源消费仍以煤炭为主，比重约62%，与全省平均水平持平，而天然气比重仅约</w:t>
      </w:r>
      <w:r>
        <w:rPr>
          <w:rFonts w:eastAsia="仿宋_GB2312"/>
          <w:sz w:val="32"/>
          <w:szCs w:val="32"/>
        </w:rPr>
        <w:t>1.6</w:t>
      </w:r>
      <w:r>
        <w:rPr>
          <w:rFonts w:hint="eastAsia" w:eastAsia="仿宋_GB2312"/>
          <w:sz w:val="32"/>
          <w:szCs w:val="32"/>
        </w:rPr>
        <w:t>%，低于全省平均水平一半。市内</w:t>
      </w:r>
      <w:r>
        <w:rPr>
          <w:rFonts w:eastAsia="仿宋_GB2312"/>
          <w:sz w:val="32"/>
          <w:szCs w:val="32"/>
        </w:rPr>
        <w:t>风电项目</w:t>
      </w:r>
      <w:r>
        <w:rPr>
          <w:rFonts w:hint="eastAsia" w:eastAsia="仿宋_GB2312"/>
          <w:sz w:val="32"/>
          <w:szCs w:val="32"/>
        </w:rPr>
        <w:t>尚未开发</w:t>
      </w:r>
      <w:r>
        <w:rPr>
          <w:rFonts w:eastAsia="仿宋_GB2312"/>
          <w:sz w:val="32"/>
          <w:szCs w:val="32"/>
        </w:rPr>
        <w:t>，</w:t>
      </w:r>
      <w:r>
        <w:rPr>
          <w:rFonts w:hint="eastAsia" w:eastAsia="仿宋_GB2312"/>
          <w:sz w:val="32"/>
          <w:szCs w:val="32"/>
        </w:rPr>
        <w:t>太阳能、生物质开发利用步伐较快，但电量占比小，替代能力弱，且后续发展潜力有限，</w:t>
      </w:r>
      <w:r>
        <w:rPr>
          <w:rFonts w:eastAsia="仿宋_GB2312"/>
          <w:sz w:val="32"/>
          <w:szCs w:val="32"/>
        </w:rPr>
        <w:t>水电技术剩余可开发量不多，且开发难度大、成本高。</w:t>
      </w:r>
      <w:r>
        <w:rPr>
          <w:rFonts w:hint="eastAsia" w:eastAsia="仿宋_GB2312"/>
          <w:sz w:val="32"/>
          <w:szCs w:val="32"/>
        </w:rPr>
        <w:t>整体来看，我市能源体系高碳特征明显，能源结构低碳转型任务十分艰巨。</w:t>
      </w:r>
    </w:p>
    <w:p>
      <w:pPr>
        <w:spacing w:line="360" w:lineRule="auto"/>
        <w:ind w:firstLine="643" w:firstLineChars="200"/>
        <w:rPr>
          <w:rFonts w:eastAsia="仿宋_GB2312"/>
          <w:b/>
          <w:bCs/>
          <w:sz w:val="32"/>
          <w:szCs w:val="32"/>
        </w:rPr>
      </w:pPr>
      <w:r>
        <w:rPr>
          <w:rFonts w:hint="eastAsia" w:eastAsia="仿宋_GB2312"/>
          <w:b/>
          <w:bCs/>
          <w:sz w:val="32"/>
          <w:szCs w:val="32"/>
        </w:rPr>
        <w:t>新技术、产业推广较慢，体制机制制约亟待破解。</w:t>
      </w:r>
      <w:r>
        <w:rPr>
          <w:rFonts w:hint="eastAsia" w:eastAsia="仿宋_GB2312"/>
          <w:sz w:val="32"/>
          <w:szCs w:val="32"/>
        </w:rPr>
        <w:t>面对新技术、新模式、新业态的不断涌现，能源发展现有的体制机制未能及时打破和重建，导致储能等新技术、产业推广和应用较慢，与人民群众对优质优价、智能便捷能源的需求存在差距。</w:t>
      </w:r>
    </w:p>
    <w:p>
      <w:pPr>
        <w:keepNext/>
        <w:keepLines/>
        <w:spacing w:line="360" w:lineRule="auto"/>
        <w:ind w:firstLine="643" w:firstLineChars="200"/>
        <w:outlineLvl w:val="2"/>
        <w:rPr>
          <w:rFonts w:eastAsia="仿宋_GB2312"/>
          <w:b/>
          <w:bCs/>
          <w:sz w:val="32"/>
          <w:szCs w:val="32"/>
        </w:rPr>
      </w:pPr>
      <w:bookmarkStart w:id="16" w:name="_Toc80657292"/>
      <w:bookmarkStart w:id="17" w:name="_Toc66176966"/>
      <w:bookmarkStart w:id="18" w:name="_Toc66178060"/>
      <w:r>
        <w:rPr>
          <w:rFonts w:hint="eastAsia" w:eastAsia="仿宋_GB2312"/>
          <w:b/>
          <w:bCs/>
          <w:sz w:val="32"/>
          <w:szCs w:val="32"/>
        </w:rPr>
        <w:t>三、</w:t>
      </w:r>
      <w:r>
        <w:rPr>
          <w:rFonts w:eastAsia="仿宋_GB2312"/>
          <w:b/>
          <w:bCs/>
          <w:sz w:val="32"/>
          <w:szCs w:val="32"/>
        </w:rPr>
        <w:t>面临形势</w:t>
      </w:r>
      <w:bookmarkEnd w:id="16"/>
      <w:bookmarkEnd w:id="17"/>
      <w:bookmarkEnd w:id="18"/>
    </w:p>
    <w:p>
      <w:pPr>
        <w:spacing w:line="360" w:lineRule="auto"/>
        <w:ind w:firstLine="640" w:firstLineChars="200"/>
        <w:rPr>
          <w:rFonts w:eastAsia="仿宋_GB2312"/>
          <w:sz w:val="32"/>
          <w:szCs w:val="32"/>
        </w:rPr>
      </w:pPr>
      <w:r>
        <w:rPr>
          <w:rFonts w:hint="eastAsia" w:eastAsia="仿宋_GB2312"/>
          <w:sz w:val="32"/>
          <w:szCs w:val="32"/>
        </w:rPr>
        <w:t>从国内看，“十四五”时期是实现2</w:t>
      </w:r>
      <w:r>
        <w:rPr>
          <w:rFonts w:eastAsia="仿宋_GB2312"/>
          <w:sz w:val="32"/>
          <w:szCs w:val="32"/>
        </w:rPr>
        <w:t>030</w:t>
      </w:r>
      <w:r>
        <w:rPr>
          <w:rFonts w:hint="eastAsia" w:eastAsia="仿宋_GB2312"/>
          <w:sz w:val="32"/>
          <w:szCs w:val="32"/>
        </w:rPr>
        <w:t>年碳达峰目标的关键奠基期，能源需求增长换挡减速，新能源发展和化石能源替代加速推荐，改革创新步伐不断加快，能源发展动力加快转换，国际合作进一步。从我省看，“十四五”时期是我省在加快革命老区高质量发展上作示范、在推动中部地区崛起上勇争先的关键跨越期，也是加快推动能源革命，加快建设清洁低碳、安全高效现代能源体系的关键时期。从我市看，</w:t>
      </w:r>
      <w:r>
        <w:rPr>
          <w:rFonts w:eastAsia="仿宋_GB2312"/>
          <w:sz w:val="32"/>
          <w:szCs w:val="32"/>
        </w:rPr>
        <w:t>“</w:t>
      </w:r>
      <w:r>
        <w:rPr>
          <w:rFonts w:hint="eastAsia" w:eastAsia="仿宋_GB2312"/>
          <w:sz w:val="32"/>
          <w:szCs w:val="32"/>
        </w:rPr>
        <w:t>十四五</w:t>
      </w:r>
      <w:r>
        <w:rPr>
          <w:rFonts w:eastAsia="仿宋_GB2312"/>
          <w:sz w:val="32"/>
          <w:szCs w:val="32"/>
        </w:rPr>
        <w:t>”</w:t>
      </w:r>
      <w:r>
        <w:rPr>
          <w:rFonts w:hint="eastAsia" w:eastAsia="仿宋_GB2312"/>
          <w:sz w:val="32"/>
          <w:szCs w:val="32"/>
        </w:rPr>
        <w:t>时期是我市</w:t>
      </w:r>
      <w:r>
        <w:rPr>
          <w:rFonts w:eastAsia="仿宋_GB2312"/>
          <w:sz w:val="32"/>
          <w:szCs w:val="32"/>
        </w:rPr>
        <w:t>与全国同步全面建设社会主义现代化的开局起步期，是再铸“工小美”新辉煌发展的</w:t>
      </w:r>
      <w:r>
        <w:rPr>
          <w:rFonts w:hint="eastAsia" w:eastAsia="仿宋_GB2312"/>
          <w:sz w:val="32"/>
          <w:szCs w:val="32"/>
        </w:rPr>
        <w:t>重要时期，</w:t>
      </w:r>
      <w:r>
        <w:rPr>
          <w:rFonts w:eastAsia="仿宋_GB2312"/>
          <w:sz w:val="32"/>
          <w:szCs w:val="32"/>
        </w:rPr>
        <w:t>也是</w:t>
      </w:r>
      <w:r>
        <w:rPr>
          <w:rFonts w:hint="eastAsia" w:eastAsia="仿宋_GB2312"/>
          <w:sz w:val="32"/>
          <w:szCs w:val="32"/>
        </w:rPr>
        <w:t>加快推进能源清洁转型，为实现</w:t>
      </w:r>
      <w:r>
        <w:rPr>
          <w:rFonts w:eastAsia="仿宋_GB2312"/>
          <w:sz w:val="32"/>
          <w:szCs w:val="32"/>
        </w:rPr>
        <w:t>“</w:t>
      </w:r>
      <w:r>
        <w:rPr>
          <w:rFonts w:hint="eastAsia" w:eastAsia="仿宋_GB2312"/>
          <w:sz w:val="32"/>
          <w:szCs w:val="32"/>
        </w:rPr>
        <w:t>碳达峰、碳中和</w:t>
      </w:r>
      <w:r>
        <w:rPr>
          <w:rFonts w:eastAsia="仿宋_GB2312"/>
          <w:sz w:val="32"/>
          <w:szCs w:val="32"/>
        </w:rPr>
        <w:t>”</w:t>
      </w:r>
      <w:r>
        <w:rPr>
          <w:rFonts w:hint="eastAsia" w:eastAsia="仿宋_GB2312"/>
          <w:sz w:val="32"/>
          <w:szCs w:val="32"/>
        </w:rPr>
        <w:t>目标夯实基础的攻坚期。</w:t>
      </w:r>
      <w:r>
        <w:rPr>
          <w:rFonts w:eastAsia="仿宋_GB2312"/>
          <w:sz w:val="32"/>
          <w:szCs w:val="32"/>
        </w:rPr>
        <w:t>能源发展进入结构优化、动力转换的新常态，孕育着新业态、新模式，将迎来新的机遇和挑战</w:t>
      </w:r>
      <w:r>
        <w:rPr>
          <w:rFonts w:hint="eastAsia" w:eastAsia="仿宋_GB2312"/>
          <w:sz w:val="32"/>
          <w:szCs w:val="32"/>
        </w:rPr>
        <w:t>。</w:t>
      </w:r>
    </w:p>
    <w:p>
      <w:pPr>
        <w:spacing w:line="360" w:lineRule="auto"/>
        <w:ind w:firstLine="643" w:firstLineChars="200"/>
        <w:rPr>
          <w:rFonts w:eastAsia="仿宋_GB2312"/>
          <w:sz w:val="32"/>
          <w:szCs w:val="32"/>
        </w:rPr>
      </w:pPr>
      <w:r>
        <w:rPr>
          <w:rFonts w:hint="eastAsia" w:eastAsia="仿宋_GB2312"/>
          <w:b/>
          <w:bCs/>
          <w:sz w:val="32"/>
          <w:szCs w:val="32"/>
        </w:rPr>
        <w:t>经济追赶势头强劲，能源需求刚性增长。</w:t>
      </w:r>
      <w:r>
        <w:rPr>
          <w:rFonts w:eastAsia="仿宋_GB2312"/>
          <w:sz w:val="32"/>
          <w:szCs w:val="32"/>
        </w:rPr>
        <w:t>“</w:t>
      </w:r>
      <w:r>
        <w:rPr>
          <w:rFonts w:hint="eastAsia" w:eastAsia="仿宋_GB2312"/>
          <w:sz w:val="32"/>
          <w:szCs w:val="32"/>
        </w:rPr>
        <w:t>十四五</w:t>
      </w:r>
      <w:r>
        <w:rPr>
          <w:rFonts w:eastAsia="仿宋_GB2312"/>
          <w:sz w:val="32"/>
          <w:szCs w:val="32"/>
        </w:rPr>
        <w:t>”</w:t>
      </w:r>
      <w:r>
        <w:rPr>
          <w:rFonts w:hint="eastAsia" w:eastAsia="仿宋_GB2312"/>
          <w:sz w:val="32"/>
          <w:szCs w:val="32"/>
        </w:rPr>
        <w:t>期间，我市着力</w:t>
      </w:r>
      <w:r>
        <w:rPr>
          <w:rFonts w:eastAsia="仿宋_GB2312"/>
          <w:sz w:val="32"/>
          <w:szCs w:val="32"/>
        </w:rPr>
        <w:t>构建具有新余特色的要素配置市场体系和社会治理现代化体系，</w:t>
      </w:r>
      <w:r>
        <w:rPr>
          <w:rFonts w:hint="eastAsia" w:eastAsia="仿宋_GB2312"/>
          <w:sz w:val="32"/>
          <w:szCs w:val="32"/>
        </w:rPr>
        <w:t>努力将新余打造成为中部新型工业强市、一体共享区域小市、宜居宜业山水美市、全国中小城市创新示范区，积极推进经济社会高质量发展。随着</w:t>
      </w:r>
      <w:r>
        <w:rPr>
          <w:rFonts w:eastAsia="仿宋_GB2312"/>
          <w:sz w:val="32"/>
          <w:szCs w:val="32"/>
        </w:rPr>
        <w:t>新型工业化、信息化、城镇化、农业现代化</w:t>
      </w:r>
      <w:r>
        <w:rPr>
          <w:rFonts w:hint="eastAsia" w:eastAsia="仿宋_GB2312"/>
          <w:sz w:val="32"/>
          <w:szCs w:val="32"/>
        </w:rPr>
        <w:t>的加速推进，预计未来一段时期内，我市能源需求将呈现刚性增长态势。</w:t>
      </w:r>
    </w:p>
    <w:p>
      <w:pPr>
        <w:spacing w:line="360" w:lineRule="auto"/>
        <w:ind w:firstLine="643" w:firstLineChars="200"/>
        <w:rPr>
          <w:rFonts w:eastAsia="仿宋_GB2312"/>
          <w:sz w:val="32"/>
          <w:szCs w:val="32"/>
        </w:rPr>
      </w:pPr>
      <w:r>
        <w:rPr>
          <w:rFonts w:hint="eastAsia" w:eastAsia="仿宋_GB2312"/>
          <w:b/>
          <w:bCs/>
          <w:sz w:val="32"/>
          <w:szCs w:val="32"/>
        </w:rPr>
        <w:t>能源供应对外依存度高，供应形势持续紧张。</w:t>
      </w:r>
      <w:r>
        <w:rPr>
          <w:rFonts w:hint="eastAsia" w:eastAsia="仿宋_GB2312"/>
          <w:sz w:val="32"/>
          <w:szCs w:val="32"/>
        </w:rPr>
        <w:t>我市</w:t>
      </w:r>
      <w:r>
        <w:rPr>
          <w:rFonts w:eastAsia="仿宋_GB2312"/>
          <w:sz w:val="32"/>
          <w:szCs w:val="32"/>
        </w:rPr>
        <w:t>属资源枯竭型城市，</w:t>
      </w:r>
      <w:r>
        <w:rPr>
          <w:rFonts w:hint="eastAsia" w:eastAsia="仿宋_GB2312"/>
          <w:sz w:val="32"/>
          <w:szCs w:val="32"/>
        </w:rPr>
        <w:t>煤炭产能低、无油气资源，新能源发展潜力一般，未来越来越多能源需从市外调入</w:t>
      </w:r>
      <w:r>
        <w:rPr>
          <w:rFonts w:eastAsia="仿宋_GB2312"/>
          <w:sz w:val="32"/>
          <w:szCs w:val="32"/>
        </w:rPr>
        <w:t>。</w:t>
      </w:r>
      <w:r>
        <w:rPr>
          <w:rFonts w:hint="eastAsia" w:eastAsia="仿宋_GB2312"/>
          <w:sz w:val="32"/>
          <w:szCs w:val="32"/>
        </w:rPr>
        <w:t>“十四五”时期，我市煤炭对外依存度进一步增加，油气需求进一步提高，我市能源供应形势将持续紧张，保供应难度不断增加。</w:t>
      </w:r>
    </w:p>
    <w:p>
      <w:pPr>
        <w:spacing w:line="360" w:lineRule="auto"/>
        <w:ind w:firstLine="643" w:firstLineChars="200"/>
        <w:rPr>
          <w:rFonts w:eastAsia="仿宋_GB2312"/>
          <w:sz w:val="32"/>
          <w:szCs w:val="32"/>
        </w:rPr>
      </w:pPr>
      <w:r>
        <w:rPr>
          <w:rFonts w:hint="eastAsia" w:eastAsia="仿宋_GB2312"/>
          <w:b/>
          <w:bCs/>
          <w:sz w:val="32"/>
          <w:szCs w:val="32"/>
        </w:rPr>
        <w:t>非化石能源发展难度增加，结构调整面临瓶颈。</w:t>
      </w:r>
      <w:r>
        <w:rPr>
          <w:rFonts w:hint="eastAsia" w:eastAsia="仿宋_GB2312"/>
          <w:sz w:val="32"/>
          <w:szCs w:val="32"/>
        </w:rPr>
        <w:t>我市非化石能源资源禀赋先天不足，水能资源已基本开发完毕，</w:t>
      </w:r>
      <w:r>
        <w:rPr>
          <w:rFonts w:eastAsia="仿宋_GB2312"/>
          <w:sz w:val="32"/>
          <w:szCs w:val="32"/>
        </w:rPr>
        <w:t>风能技术可开发量</w:t>
      </w:r>
      <w:r>
        <w:rPr>
          <w:rFonts w:hint="eastAsia" w:eastAsia="仿宋_GB2312"/>
          <w:sz w:val="32"/>
          <w:szCs w:val="32"/>
        </w:rPr>
        <w:t>不大</w:t>
      </w:r>
      <w:r>
        <w:rPr>
          <w:rFonts w:eastAsia="仿宋_GB2312"/>
          <w:sz w:val="32"/>
          <w:szCs w:val="32"/>
        </w:rPr>
        <w:t>，</w:t>
      </w:r>
      <w:r>
        <w:rPr>
          <w:rFonts w:hint="eastAsia" w:eastAsia="仿宋_GB2312"/>
          <w:sz w:val="32"/>
          <w:szCs w:val="32"/>
        </w:rPr>
        <w:t>太阳能资源条件一般且受国家补贴退坡、电网消纳、环保约束等因素影响，后续开发建设难度和不确定性增大。我市非化石能源后续发展空间有限，非化石能源消费比重达到全省平均目标困难较大，能源结构调整面临瓶颈</w:t>
      </w:r>
      <w:r>
        <w:rPr>
          <w:rFonts w:eastAsia="仿宋_GB2312"/>
          <w:sz w:val="32"/>
          <w:szCs w:val="32"/>
        </w:rPr>
        <w:t>。</w:t>
      </w:r>
    </w:p>
    <w:p>
      <w:pPr>
        <w:spacing w:line="360" w:lineRule="auto"/>
        <w:ind w:firstLine="640" w:firstLineChars="200"/>
        <w:rPr>
          <w:rFonts w:eastAsia="仿宋_GB2312"/>
          <w:sz w:val="32"/>
          <w:szCs w:val="32"/>
        </w:rPr>
      </w:pPr>
    </w:p>
    <w:p>
      <w:pPr>
        <w:keepNext/>
        <w:keepLines/>
        <w:spacing w:before="312" w:beforeLines="100" w:after="312" w:afterLines="100" w:line="360" w:lineRule="auto"/>
        <w:jc w:val="center"/>
        <w:outlineLvl w:val="0"/>
        <w:rPr>
          <w:rFonts w:eastAsia="黑体"/>
          <w:bCs/>
          <w:kern w:val="44"/>
          <w:sz w:val="32"/>
          <w:szCs w:val="32"/>
        </w:rPr>
        <w:sectPr>
          <w:footerReference r:id="rId5" w:type="default"/>
          <w:pgSz w:w="11906" w:h="16838"/>
          <w:pgMar w:top="1440" w:right="1800" w:bottom="1440" w:left="1800" w:header="851" w:footer="992" w:gutter="0"/>
          <w:cols w:space="425" w:num="1"/>
          <w:docGrid w:type="lines" w:linePitch="312" w:charSpace="0"/>
        </w:sectPr>
      </w:pPr>
      <w:bookmarkStart w:id="19" w:name="_Toc66178065"/>
      <w:bookmarkStart w:id="20" w:name="_Toc80657293"/>
    </w:p>
    <w:p>
      <w:pPr>
        <w:keepNext/>
        <w:keepLines/>
        <w:spacing w:before="312" w:beforeLines="100" w:after="312" w:afterLines="100" w:line="360" w:lineRule="auto"/>
        <w:jc w:val="center"/>
        <w:outlineLvl w:val="0"/>
        <w:rPr>
          <w:rFonts w:eastAsia="黑体"/>
          <w:bCs/>
          <w:kern w:val="44"/>
          <w:sz w:val="32"/>
          <w:szCs w:val="32"/>
        </w:rPr>
      </w:pPr>
      <w:r>
        <w:rPr>
          <w:rFonts w:eastAsia="黑体"/>
          <w:bCs/>
          <w:kern w:val="44"/>
          <w:sz w:val="32"/>
          <w:szCs w:val="32"/>
        </w:rPr>
        <w:t>第</w:t>
      </w:r>
      <w:r>
        <w:rPr>
          <w:rFonts w:hint="eastAsia" w:eastAsia="黑体"/>
          <w:bCs/>
          <w:kern w:val="44"/>
          <w:sz w:val="32"/>
          <w:szCs w:val="32"/>
        </w:rPr>
        <w:t>二</w:t>
      </w:r>
      <w:r>
        <w:rPr>
          <w:rFonts w:eastAsia="黑体"/>
          <w:bCs/>
          <w:kern w:val="44"/>
          <w:sz w:val="32"/>
          <w:szCs w:val="32"/>
        </w:rPr>
        <w:t>章</w:t>
      </w:r>
      <w:bookmarkEnd w:id="19"/>
      <w:r>
        <w:rPr>
          <w:rFonts w:hint="eastAsia" w:eastAsia="黑体"/>
          <w:bCs/>
          <w:kern w:val="44"/>
          <w:sz w:val="32"/>
          <w:szCs w:val="32"/>
        </w:rPr>
        <w:t xml:space="preserve"> </w:t>
      </w:r>
      <w:r>
        <w:rPr>
          <w:rFonts w:eastAsia="黑体"/>
          <w:bCs/>
          <w:kern w:val="44"/>
          <w:sz w:val="32"/>
          <w:szCs w:val="32"/>
        </w:rPr>
        <w:t xml:space="preserve"> </w:t>
      </w:r>
      <w:r>
        <w:rPr>
          <w:rFonts w:hint="eastAsia" w:eastAsia="黑体"/>
          <w:bCs/>
          <w:kern w:val="44"/>
          <w:sz w:val="32"/>
          <w:szCs w:val="32"/>
        </w:rPr>
        <w:t>指导方针和主要目标</w:t>
      </w:r>
      <w:bookmarkEnd w:id="20"/>
    </w:p>
    <w:p>
      <w:pPr>
        <w:keepNext/>
        <w:keepLines/>
        <w:spacing w:line="360" w:lineRule="auto"/>
        <w:ind w:firstLine="643" w:firstLineChars="200"/>
        <w:outlineLvl w:val="2"/>
        <w:rPr>
          <w:rFonts w:eastAsia="仿宋_GB2312"/>
          <w:b/>
          <w:bCs/>
          <w:sz w:val="32"/>
          <w:szCs w:val="32"/>
        </w:rPr>
      </w:pPr>
      <w:bookmarkStart w:id="21" w:name="_Toc66176972"/>
      <w:bookmarkStart w:id="22" w:name="_Toc80657294"/>
      <w:bookmarkStart w:id="23" w:name="_Toc66178066"/>
      <w:r>
        <w:rPr>
          <w:rFonts w:hint="eastAsia" w:eastAsia="仿宋_GB2312"/>
          <w:b/>
          <w:bCs/>
          <w:sz w:val="32"/>
          <w:szCs w:val="32"/>
        </w:rPr>
        <w:t>一、</w:t>
      </w:r>
      <w:r>
        <w:rPr>
          <w:rFonts w:eastAsia="仿宋_GB2312"/>
          <w:b/>
          <w:bCs/>
          <w:sz w:val="32"/>
          <w:szCs w:val="32"/>
        </w:rPr>
        <w:t>指导思想</w:t>
      </w:r>
      <w:bookmarkEnd w:id="21"/>
      <w:bookmarkEnd w:id="22"/>
      <w:bookmarkEnd w:id="23"/>
    </w:p>
    <w:p>
      <w:pPr>
        <w:spacing w:line="360" w:lineRule="auto"/>
        <w:ind w:firstLine="640" w:firstLineChars="200"/>
        <w:rPr>
          <w:rFonts w:eastAsia="仿宋_GB2312"/>
          <w:sz w:val="32"/>
          <w:szCs w:val="32"/>
        </w:rPr>
      </w:pPr>
      <w:r>
        <w:rPr>
          <w:rFonts w:hint="eastAsia" w:eastAsia="仿宋_GB2312"/>
          <w:sz w:val="32"/>
          <w:szCs w:val="32"/>
        </w:rPr>
        <w:t>高举中国特色社会主义伟大旗帜，坚持以习近平新时代中国特色社会主义思想为指导，深入贯彻党的十九大和十九届二中、三中、四中、五中全会精神，坚持贯彻习近平总书记视察江西重要讲话精神，聚焦“作示范、勇争先”目标定位和“五个推进”重要要求，准确把握新发展阶段，深入贯彻新发展理念，加快构建新发展格局，遵循“四个革命、一个合作”能源安全新战略，着力保障能源供应安全，着力提高能源发展质量，着力推动绿色转型发展，加快建设清洁低碳安全高效的现代能源体系，为</w:t>
      </w:r>
      <w:r>
        <w:rPr>
          <w:rFonts w:eastAsia="仿宋_GB2312"/>
          <w:sz w:val="32"/>
          <w:szCs w:val="32"/>
        </w:rPr>
        <w:t>新余</w:t>
      </w:r>
      <w:r>
        <w:rPr>
          <w:rFonts w:hint="eastAsia" w:eastAsia="仿宋_GB2312"/>
          <w:sz w:val="32"/>
          <w:szCs w:val="32"/>
        </w:rPr>
        <w:t>打造</w:t>
      </w:r>
      <w:r>
        <w:rPr>
          <w:rFonts w:eastAsia="仿宋_GB2312"/>
          <w:sz w:val="32"/>
          <w:szCs w:val="32"/>
        </w:rPr>
        <w:t>赣西能源中心提供坚实</w:t>
      </w:r>
      <w:r>
        <w:rPr>
          <w:rFonts w:hint="eastAsia" w:eastAsia="仿宋_GB2312"/>
          <w:sz w:val="32"/>
          <w:szCs w:val="32"/>
        </w:rPr>
        <w:t>可靠的能源</w:t>
      </w:r>
      <w:r>
        <w:rPr>
          <w:rFonts w:eastAsia="仿宋_GB2312"/>
          <w:sz w:val="32"/>
          <w:szCs w:val="32"/>
        </w:rPr>
        <w:t>保障。</w:t>
      </w:r>
    </w:p>
    <w:p>
      <w:pPr>
        <w:keepNext/>
        <w:keepLines/>
        <w:spacing w:line="360" w:lineRule="auto"/>
        <w:ind w:firstLine="643" w:firstLineChars="200"/>
        <w:outlineLvl w:val="2"/>
        <w:rPr>
          <w:rFonts w:eastAsia="仿宋_GB2312"/>
          <w:b/>
          <w:bCs/>
          <w:sz w:val="32"/>
          <w:szCs w:val="32"/>
        </w:rPr>
      </w:pPr>
      <w:bookmarkStart w:id="24" w:name="_Toc80657295"/>
      <w:bookmarkStart w:id="25" w:name="_Toc66178067"/>
      <w:bookmarkStart w:id="26" w:name="_Toc66176973"/>
      <w:r>
        <w:rPr>
          <w:rFonts w:hint="eastAsia" w:eastAsia="仿宋_GB2312"/>
          <w:b/>
          <w:bCs/>
          <w:sz w:val="32"/>
          <w:szCs w:val="32"/>
        </w:rPr>
        <w:t>二、</w:t>
      </w:r>
      <w:r>
        <w:rPr>
          <w:rFonts w:eastAsia="仿宋_GB2312"/>
          <w:b/>
          <w:bCs/>
          <w:sz w:val="32"/>
          <w:szCs w:val="32"/>
        </w:rPr>
        <w:t>基本原则</w:t>
      </w:r>
      <w:bookmarkEnd w:id="24"/>
      <w:bookmarkEnd w:id="25"/>
      <w:bookmarkEnd w:id="26"/>
    </w:p>
    <w:p>
      <w:pPr>
        <w:ind w:firstLine="560"/>
        <w:rPr>
          <w:rFonts w:eastAsia="仿宋_GB2312"/>
          <w:sz w:val="32"/>
          <w:szCs w:val="32"/>
        </w:rPr>
      </w:pPr>
      <w:r>
        <w:rPr>
          <w:rFonts w:hint="eastAsia" w:eastAsia="仿宋_GB2312"/>
          <w:b/>
          <w:bCs/>
          <w:sz w:val="32"/>
          <w:szCs w:val="32"/>
        </w:rPr>
        <w:t>坚持多元安全。</w:t>
      </w:r>
      <w:r>
        <w:rPr>
          <w:rFonts w:hint="eastAsia" w:eastAsia="仿宋_GB2312"/>
          <w:sz w:val="32"/>
          <w:szCs w:val="32"/>
        </w:rPr>
        <w:t>牢固树立能源安全底线思维，把保障能源安全作为首要任务，贯穿于能源发展各领域和全过程。优化存量资源配置，扩大优质增量供给，提高能源自给能力。增强应急储备能力，维护能源系统运行安全。</w:t>
      </w:r>
    </w:p>
    <w:p>
      <w:pPr>
        <w:ind w:firstLine="560"/>
        <w:rPr>
          <w:rFonts w:eastAsia="仿宋_GB2312"/>
          <w:sz w:val="32"/>
          <w:szCs w:val="32"/>
        </w:rPr>
      </w:pPr>
      <w:r>
        <w:rPr>
          <w:rFonts w:hint="eastAsia" w:eastAsia="仿宋_GB2312"/>
          <w:b/>
          <w:bCs/>
          <w:sz w:val="32"/>
          <w:szCs w:val="32"/>
        </w:rPr>
        <w:t>坚持绿色低碳。</w:t>
      </w:r>
      <w:r>
        <w:rPr>
          <w:rFonts w:hint="eastAsia" w:eastAsia="仿宋_GB2312"/>
          <w:sz w:val="32"/>
          <w:szCs w:val="32"/>
        </w:rPr>
        <w:t>大力发展非化石能源，持续提高非化石能源消费比重。清洁高效利用化石能源，优化煤炭消费结构，扩大天然气利用。持续降低碳排放强度和主要污染物排放总量，积极推进污染物深度治理，促进生态文明建设。</w:t>
      </w:r>
    </w:p>
    <w:p>
      <w:pPr>
        <w:ind w:firstLine="560"/>
        <w:rPr>
          <w:rFonts w:eastAsia="仿宋_GB2312"/>
          <w:sz w:val="32"/>
          <w:szCs w:val="32"/>
        </w:rPr>
      </w:pPr>
      <w:r>
        <w:rPr>
          <w:rFonts w:hint="eastAsia" w:eastAsia="仿宋_GB2312"/>
          <w:b/>
          <w:bCs/>
          <w:sz w:val="32"/>
          <w:szCs w:val="32"/>
        </w:rPr>
        <w:t>坚持创新驱动。</w:t>
      </w:r>
      <w:r>
        <w:rPr>
          <w:rFonts w:hint="eastAsia" w:eastAsia="仿宋_GB2312"/>
          <w:sz w:val="32"/>
          <w:szCs w:val="32"/>
        </w:rPr>
        <w:t>不断深化能源体制机制改革创新，加快推进电力等重点领域改革，加快构建有利于能源高质量发展的制度环境。深入实施科技创新战略，加快关键技术攻关，持续提高能源发展质量效益和核心竞争力。</w:t>
      </w:r>
    </w:p>
    <w:p>
      <w:pPr>
        <w:ind w:firstLine="560"/>
        <w:rPr>
          <w:rFonts w:eastAsia="仿宋_GB2312"/>
          <w:b/>
          <w:bCs/>
          <w:sz w:val="32"/>
          <w:szCs w:val="32"/>
        </w:rPr>
      </w:pPr>
      <w:r>
        <w:rPr>
          <w:rFonts w:hint="eastAsia" w:eastAsia="仿宋_GB2312"/>
          <w:b/>
          <w:bCs/>
          <w:sz w:val="32"/>
          <w:szCs w:val="32"/>
        </w:rPr>
        <w:t>坚持市场导向。</w:t>
      </w:r>
      <w:r>
        <w:rPr>
          <w:rFonts w:hint="eastAsia" w:eastAsia="仿宋_GB2312"/>
          <w:sz w:val="32"/>
          <w:szCs w:val="32"/>
        </w:rPr>
        <w:t>充分发挥市场配置资源的决定性作用，构建公平开放、充分竞争的能源市场体系。扩大市场准入，鼓励各类投资主体有序进入能源领域公平竞争。加强能源市场监管与服务，营造良好市场环境。</w:t>
      </w:r>
    </w:p>
    <w:p>
      <w:pPr>
        <w:ind w:firstLine="560"/>
        <w:rPr>
          <w:rFonts w:eastAsia="仿宋_GB2312"/>
          <w:sz w:val="32"/>
          <w:szCs w:val="32"/>
        </w:rPr>
      </w:pPr>
      <w:r>
        <w:rPr>
          <w:rFonts w:hint="eastAsia" w:eastAsia="仿宋_GB2312"/>
          <w:b/>
          <w:bCs/>
          <w:sz w:val="32"/>
          <w:szCs w:val="32"/>
        </w:rPr>
        <w:t>坚持服务民生。</w:t>
      </w:r>
      <w:r>
        <w:rPr>
          <w:rFonts w:hint="eastAsia" w:eastAsia="仿宋_GB2312"/>
          <w:sz w:val="32"/>
          <w:szCs w:val="32"/>
        </w:rPr>
        <w:t>把改善人民群众用能条件作为能源发展的根本出发点和落脚点，聚焦能源发展不平衡不充分问题，统筹城乡、区域能源发展，加强城乡能源基础设施建设。助力乡村振兴战略实施，持续提高能源普遍服务水平，满足人民群众追求美好生活的用能需求。</w:t>
      </w:r>
    </w:p>
    <w:p>
      <w:pPr>
        <w:keepNext/>
        <w:keepLines/>
        <w:spacing w:line="360" w:lineRule="auto"/>
        <w:ind w:firstLine="643" w:firstLineChars="200"/>
        <w:outlineLvl w:val="2"/>
        <w:rPr>
          <w:rFonts w:eastAsia="仿宋_GB2312"/>
          <w:b/>
          <w:bCs/>
          <w:sz w:val="32"/>
          <w:szCs w:val="32"/>
        </w:rPr>
      </w:pPr>
      <w:bookmarkStart w:id="27" w:name="_Toc80657296"/>
      <w:bookmarkStart w:id="28" w:name="_Toc66178069"/>
      <w:bookmarkStart w:id="29" w:name="_Toc66176975"/>
      <w:r>
        <w:rPr>
          <w:rFonts w:hint="eastAsia" w:eastAsia="仿宋_GB2312"/>
          <w:b/>
          <w:bCs/>
          <w:sz w:val="32"/>
          <w:szCs w:val="32"/>
        </w:rPr>
        <w:t>三、发展</w:t>
      </w:r>
      <w:r>
        <w:rPr>
          <w:rFonts w:eastAsia="仿宋_GB2312"/>
          <w:b/>
          <w:bCs/>
          <w:sz w:val="32"/>
          <w:szCs w:val="32"/>
        </w:rPr>
        <w:t>目标</w:t>
      </w:r>
      <w:bookmarkEnd w:id="27"/>
      <w:bookmarkEnd w:id="28"/>
      <w:bookmarkEnd w:id="29"/>
    </w:p>
    <w:p>
      <w:pPr>
        <w:ind w:firstLine="560"/>
        <w:rPr>
          <w:rFonts w:eastAsia="仿宋_GB2312"/>
          <w:sz w:val="32"/>
          <w:szCs w:val="32"/>
        </w:rPr>
      </w:pPr>
      <w:r>
        <w:rPr>
          <w:rFonts w:eastAsia="仿宋_GB2312"/>
          <w:sz w:val="32"/>
          <w:szCs w:val="32"/>
        </w:rPr>
        <w:t>根据《新余市国民经济和社会发展第十四个五年规划和二〇三五年远景目标纲要》总体要求，</w:t>
      </w:r>
      <w:r>
        <w:rPr>
          <w:rFonts w:hint="eastAsia" w:eastAsia="仿宋_GB2312"/>
          <w:sz w:val="32"/>
          <w:szCs w:val="32"/>
        </w:rPr>
        <w:t>综合考虑资源、环境、技术、经济等因素</w:t>
      </w:r>
      <w:r>
        <w:rPr>
          <w:rFonts w:eastAsia="仿宋_GB2312"/>
          <w:sz w:val="32"/>
          <w:szCs w:val="32"/>
        </w:rPr>
        <w:t>，充分衔接《江西省“十四五”能源发展规划》，2025年</w:t>
      </w:r>
      <w:r>
        <w:rPr>
          <w:rFonts w:hint="eastAsia" w:eastAsia="仿宋_GB2312"/>
          <w:sz w:val="32"/>
          <w:szCs w:val="32"/>
        </w:rPr>
        <w:t>我市</w:t>
      </w:r>
      <w:r>
        <w:rPr>
          <w:rFonts w:eastAsia="仿宋_GB2312"/>
          <w:sz w:val="32"/>
          <w:szCs w:val="32"/>
        </w:rPr>
        <w:t>能源发展主要目标为：</w:t>
      </w:r>
    </w:p>
    <w:p>
      <w:pPr>
        <w:ind w:firstLine="562"/>
        <w:rPr>
          <w:rFonts w:eastAsia="仿宋_GB2312"/>
          <w:sz w:val="32"/>
          <w:szCs w:val="32"/>
        </w:rPr>
      </w:pPr>
      <w:r>
        <w:rPr>
          <w:rFonts w:hint="eastAsia" w:eastAsia="仿宋_GB2312"/>
          <w:b/>
          <w:bCs/>
          <w:sz w:val="32"/>
          <w:szCs w:val="32"/>
        </w:rPr>
        <w:t>——</w:t>
      </w:r>
      <w:r>
        <w:rPr>
          <w:rFonts w:eastAsia="仿宋_GB2312"/>
          <w:b/>
          <w:bCs/>
          <w:sz w:val="32"/>
          <w:szCs w:val="32"/>
        </w:rPr>
        <w:t>总量目标：</w:t>
      </w:r>
      <w:r>
        <w:rPr>
          <w:rFonts w:eastAsia="仿宋_GB2312"/>
          <w:sz w:val="32"/>
          <w:szCs w:val="32"/>
        </w:rPr>
        <w:t>能源消费总量不超过</w:t>
      </w:r>
      <w:r>
        <w:rPr>
          <w:rFonts w:hint="eastAsia" w:eastAsia="仿宋_GB2312"/>
          <w:sz w:val="32"/>
          <w:szCs w:val="32"/>
        </w:rPr>
        <w:t>1</w:t>
      </w:r>
      <w:r>
        <w:rPr>
          <w:rFonts w:eastAsia="仿宋_GB2312"/>
          <w:sz w:val="32"/>
          <w:szCs w:val="32"/>
        </w:rPr>
        <w:t>1</w:t>
      </w:r>
      <w:r>
        <w:rPr>
          <w:rFonts w:hint="eastAsia" w:eastAsia="仿宋_GB2312"/>
          <w:sz w:val="32"/>
          <w:szCs w:val="32"/>
        </w:rPr>
        <w:t>00</w:t>
      </w:r>
      <w:r>
        <w:rPr>
          <w:rFonts w:eastAsia="仿宋_GB2312"/>
          <w:sz w:val="32"/>
          <w:szCs w:val="32"/>
        </w:rPr>
        <w:t>万吨标煤，一次能源生产总量力争达到100万吨标煤，全社会用电量</w:t>
      </w:r>
      <w:r>
        <w:rPr>
          <w:rFonts w:hint="eastAsia" w:eastAsia="仿宋_GB2312"/>
          <w:sz w:val="32"/>
          <w:szCs w:val="32"/>
        </w:rPr>
        <w:t>115</w:t>
      </w:r>
      <w:r>
        <w:rPr>
          <w:rFonts w:eastAsia="仿宋_GB2312"/>
          <w:sz w:val="32"/>
          <w:szCs w:val="32"/>
        </w:rPr>
        <w:t>亿千瓦时左右，电力装机规模575万千瓦左右。</w:t>
      </w:r>
    </w:p>
    <w:p>
      <w:pPr>
        <w:ind w:firstLine="562"/>
        <w:rPr>
          <w:rFonts w:eastAsia="仿宋_GB2312"/>
          <w:sz w:val="32"/>
          <w:szCs w:val="32"/>
        </w:rPr>
      </w:pPr>
      <w:r>
        <w:rPr>
          <w:rFonts w:hint="eastAsia" w:eastAsia="仿宋_GB2312"/>
          <w:b/>
          <w:bCs/>
          <w:sz w:val="32"/>
          <w:szCs w:val="32"/>
        </w:rPr>
        <w:t>——</w:t>
      </w:r>
      <w:r>
        <w:rPr>
          <w:rFonts w:eastAsia="仿宋_GB2312"/>
          <w:b/>
          <w:bCs/>
          <w:sz w:val="32"/>
          <w:szCs w:val="32"/>
        </w:rPr>
        <w:t>结构目标：</w:t>
      </w:r>
      <w:r>
        <w:rPr>
          <w:rFonts w:eastAsia="仿宋_GB2312"/>
          <w:sz w:val="32"/>
          <w:szCs w:val="32"/>
        </w:rPr>
        <w:t>非化石能源</w:t>
      </w:r>
      <w:r>
        <w:rPr>
          <w:rFonts w:hint="eastAsia" w:eastAsia="仿宋_GB2312"/>
          <w:sz w:val="32"/>
          <w:szCs w:val="32"/>
        </w:rPr>
        <w:t>消费比重力争提高到</w:t>
      </w:r>
      <w:r>
        <w:rPr>
          <w:rFonts w:eastAsia="仿宋_GB2312"/>
          <w:sz w:val="32"/>
          <w:szCs w:val="32"/>
        </w:rPr>
        <w:t>9</w:t>
      </w:r>
      <w:r>
        <w:rPr>
          <w:rFonts w:hint="eastAsia" w:eastAsia="仿宋_GB2312"/>
          <w:sz w:val="32"/>
          <w:szCs w:val="32"/>
        </w:rPr>
        <w:t>%以上，天然气消费比重提高到6</w:t>
      </w:r>
      <w:r>
        <w:rPr>
          <w:rFonts w:eastAsia="仿宋_GB2312"/>
          <w:sz w:val="32"/>
          <w:szCs w:val="32"/>
        </w:rPr>
        <w:t>.6</w:t>
      </w:r>
      <w:r>
        <w:rPr>
          <w:rFonts w:hint="eastAsia" w:eastAsia="仿宋_GB2312"/>
          <w:sz w:val="32"/>
          <w:szCs w:val="32"/>
        </w:rPr>
        <w:t>%，煤炭消费比重控制在</w:t>
      </w:r>
      <w:r>
        <w:rPr>
          <w:rFonts w:eastAsia="仿宋_GB2312"/>
          <w:sz w:val="32"/>
          <w:szCs w:val="32"/>
        </w:rPr>
        <w:t>85</w:t>
      </w:r>
      <w:r>
        <w:rPr>
          <w:rFonts w:hint="eastAsia" w:eastAsia="仿宋_GB2312"/>
          <w:sz w:val="32"/>
          <w:szCs w:val="32"/>
        </w:rPr>
        <w:t>%左右</w:t>
      </w:r>
      <w:r>
        <w:rPr>
          <w:rFonts w:eastAsia="仿宋_GB2312"/>
          <w:sz w:val="32"/>
          <w:szCs w:val="32"/>
        </w:rPr>
        <w:t>。</w:t>
      </w:r>
    </w:p>
    <w:p>
      <w:pPr>
        <w:ind w:firstLine="562"/>
        <w:rPr>
          <w:rFonts w:eastAsia="仿宋_GB2312"/>
          <w:sz w:val="32"/>
          <w:szCs w:val="32"/>
        </w:rPr>
      </w:pPr>
      <w:r>
        <w:rPr>
          <w:rFonts w:hint="eastAsia" w:eastAsia="仿宋_GB2312"/>
          <w:b/>
          <w:bCs/>
          <w:sz w:val="32"/>
          <w:szCs w:val="32"/>
        </w:rPr>
        <w:t>——</w:t>
      </w:r>
      <w:r>
        <w:rPr>
          <w:rFonts w:eastAsia="仿宋_GB2312"/>
          <w:b/>
          <w:bCs/>
          <w:sz w:val="32"/>
          <w:szCs w:val="32"/>
        </w:rPr>
        <w:t>效率目标：</w:t>
      </w:r>
      <w:r>
        <w:rPr>
          <w:rFonts w:eastAsia="仿宋_GB2312"/>
          <w:sz w:val="32"/>
          <w:szCs w:val="32"/>
        </w:rPr>
        <w:t>单位地区生产总值能耗</w:t>
      </w:r>
      <w:r>
        <w:rPr>
          <w:rFonts w:hint="eastAsia" w:eastAsia="仿宋_GB2312"/>
          <w:sz w:val="32"/>
          <w:szCs w:val="32"/>
        </w:rPr>
        <w:t>达到</w:t>
      </w:r>
      <w:r>
        <w:rPr>
          <w:rFonts w:eastAsia="仿宋_GB2312"/>
          <w:sz w:val="32"/>
          <w:szCs w:val="32"/>
        </w:rPr>
        <w:t>省</w:t>
      </w:r>
      <w:r>
        <w:rPr>
          <w:rFonts w:hint="eastAsia" w:eastAsia="仿宋_GB2312"/>
          <w:sz w:val="32"/>
          <w:szCs w:val="32"/>
        </w:rPr>
        <w:t>控目标</w:t>
      </w:r>
      <w:r>
        <w:rPr>
          <w:rFonts w:eastAsia="仿宋_GB2312"/>
          <w:sz w:val="32"/>
          <w:szCs w:val="32"/>
        </w:rPr>
        <w:t>；煤电平均供电煤耗降至297克标煤/千瓦时，电网线损力争下降到2.8%。</w:t>
      </w:r>
    </w:p>
    <w:p>
      <w:pPr>
        <w:ind w:firstLine="562"/>
        <w:rPr>
          <w:rFonts w:eastAsia="仿宋_GB2312"/>
          <w:sz w:val="32"/>
          <w:szCs w:val="32"/>
          <w:highlight w:val="yellow"/>
        </w:rPr>
      </w:pPr>
      <w:r>
        <w:rPr>
          <w:rFonts w:hint="eastAsia" w:eastAsia="仿宋_GB2312"/>
          <w:b/>
          <w:bCs/>
          <w:sz w:val="32"/>
          <w:szCs w:val="32"/>
        </w:rPr>
        <w:t>——</w:t>
      </w:r>
      <w:r>
        <w:rPr>
          <w:rFonts w:eastAsia="仿宋_GB2312"/>
          <w:b/>
          <w:bCs/>
          <w:sz w:val="32"/>
          <w:szCs w:val="32"/>
        </w:rPr>
        <w:t>环境目标：</w:t>
      </w:r>
      <w:r>
        <w:rPr>
          <w:rFonts w:eastAsia="仿宋_GB2312"/>
          <w:sz w:val="32"/>
          <w:szCs w:val="32"/>
        </w:rPr>
        <w:t>单位地区生产总值二氧化碳排放达到省控目标</w:t>
      </w:r>
      <w:r>
        <w:rPr>
          <w:rFonts w:hint="eastAsia" w:eastAsia="仿宋_GB2312"/>
          <w:sz w:val="32"/>
          <w:szCs w:val="32"/>
        </w:rPr>
        <w:t>，能源行业环保水平显著提高。</w:t>
      </w:r>
    </w:p>
    <w:p>
      <w:pPr>
        <w:ind w:firstLine="643" w:firstLineChars="200"/>
        <w:rPr>
          <w:rFonts w:eastAsia="仿宋_GB2312"/>
          <w:sz w:val="32"/>
          <w:szCs w:val="32"/>
        </w:rPr>
      </w:pPr>
      <w:r>
        <w:rPr>
          <w:rFonts w:hint="eastAsia" w:eastAsia="仿宋_GB2312"/>
          <w:b/>
          <w:bCs/>
          <w:sz w:val="32"/>
          <w:szCs w:val="32"/>
        </w:rPr>
        <w:t>——</w:t>
      </w:r>
      <w:r>
        <w:rPr>
          <w:rFonts w:eastAsia="仿宋_GB2312"/>
          <w:b/>
          <w:bCs/>
          <w:sz w:val="32"/>
          <w:szCs w:val="32"/>
        </w:rPr>
        <w:t>民生目标：</w:t>
      </w:r>
      <w:r>
        <w:rPr>
          <w:rFonts w:eastAsia="仿宋_GB2312"/>
          <w:sz w:val="32"/>
          <w:szCs w:val="32"/>
        </w:rPr>
        <w:t>人均居民年生活用电量达到741千瓦时，乡村户均配变容量达到</w:t>
      </w:r>
      <w:r>
        <w:rPr>
          <w:rFonts w:hint="eastAsia" w:eastAsia="仿宋_GB2312"/>
          <w:sz w:val="32"/>
          <w:szCs w:val="32"/>
        </w:rPr>
        <w:t>2.8</w:t>
      </w:r>
      <w:r>
        <w:rPr>
          <w:rFonts w:eastAsia="仿宋_GB2312"/>
          <w:sz w:val="32"/>
          <w:szCs w:val="32"/>
        </w:rPr>
        <w:t>千伏安，天然气使用人口达到</w:t>
      </w:r>
      <w:r>
        <w:rPr>
          <w:rFonts w:hint="eastAsia" w:eastAsia="仿宋_GB2312"/>
          <w:sz w:val="32"/>
          <w:szCs w:val="32"/>
        </w:rPr>
        <w:t>35</w:t>
      </w:r>
      <w:r>
        <w:rPr>
          <w:rFonts w:eastAsia="仿宋_GB2312"/>
          <w:sz w:val="32"/>
          <w:szCs w:val="32"/>
        </w:rPr>
        <w:t>万</w:t>
      </w:r>
      <w:r>
        <w:rPr>
          <w:rFonts w:hint="eastAsia" w:eastAsia="仿宋_GB2312"/>
          <w:sz w:val="32"/>
          <w:szCs w:val="32"/>
        </w:rPr>
        <w:t>户</w:t>
      </w:r>
      <w:r>
        <w:rPr>
          <w:rFonts w:eastAsia="仿宋_GB2312"/>
          <w:sz w:val="32"/>
          <w:szCs w:val="32"/>
        </w:rPr>
        <w:t>。</w:t>
      </w:r>
    </w:p>
    <w:tbl>
      <w:tblPr>
        <w:tblStyle w:val="14"/>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25"/>
        <w:gridCol w:w="2435"/>
        <w:gridCol w:w="1644"/>
        <w:gridCol w:w="955"/>
        <w:gridCol w:w="904"/>
        <w:gridCol w:w="111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2" w:type="dxa"/>
            <w:gridSpan w:val="8"/>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表2 “十四五”时期能源发展主要指标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3" w:type="dxa"/>
            <w:gridSpan w:val="2"/>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类别</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指标名称</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单位</w:t>
            </w:r>
          </w:p>
        </w:tc>
        <w:tc>
          <w:tcPr>
            <w:tcW w:w="95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2020年</w:t>
            </w:r>
          </w:p>
        </w:tc>
        <w:tc>
          <w:tcPr>
            <w:tcW w:w="90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2025年</w:t>
            </w:r>
          </w:p>
        </w:tc>
        <w:tc>
          <w:tcPr>
            <w:tcW w:w="1117"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年均增长</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总量目标</w:t>
            </w:r>
          </w:p>
        </w:tc>
        <w:tc>
          <w:tcPr>
            <w:tcW w:w="825"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能源总量</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一次能源生产量</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万吨标煤</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42.4</w:t>
            </w:r>
          </w:p>
        </w:tc>
        <w:tc>
          <w:tcPr>
            <w:tcW w:w="90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1</w:t>
            </w:r>
            <w:r>
              <w:rPr>
                <w:rFonts w:eastAsia="仿宋_GB2312"/>
                <w:kern w:val="0"/>
                <w:szCs w:val="21"/>
              </w:rPr>
              <w:t>00.4</w:t>
            </w:r>
          </w:p>
        </w:tc>
        <w:tc>
          <w:tcPr>
            <w:tcW w:w="1117"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1</w:t>
            </w:r>
            <w:r>
              <w:rPr>
                <w:rFonts w:eastAsia="仿宋_GB2312"/>
                <w:kern w:val="0"/>
                <w:szCs w:val="21"/>
              </w:rPr>
              <w:t>8.8</w:t>
            </w:r>
            <w:r>
              <w:rPr>
                <w:rFonts w:hint="eastAsia" w:eastAsia="仿宋_GB2312"/>
                <w:kern w:val="0"/>
                <w:szCs w:val="21"/>
              </w:rPr>
              <w:t>%</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spacing w:line="360" w:lineRule="auto"/>
              <w:jc w:val="center"/>
              <w:rPr>
                <w:rFonts w:eastAsia="仿宋_GB2312"/>
                <w:kern w:val="0"/>
                <w:szCs w:val="21"/>
              </w:rPr>
            </w:pPr>
          </w:p>
        </w:tc>
        <w:tc>
          <w:tcPr>
            <w:tcW w:w="825" w:type="dxa"/>
            <w:vMerge w:val="continue"/>
            <w:vAlign w:val="center"/>
          </w:tcPr>
          <w:p>
            <w:pPr>
              <w:widowControl/>
              <w:spacing w:line="360" w:lineRule="auto"/>
              <w:jc w:val="center"/>
              <w:rPr>
                <w:rFonts w:eastAsia="仿宋_GB2312"/>
                <w:kern w:val="0"/>
                <w:szCs w:val="21"/>
              </w:rPr>
            </w:pP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能源消费量</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万吨标煤</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955.8</w:t>
            </w:r>
          </w:p>
        </w:tc>
        <w:tc>
          <w:tcPr>
            <w:tcW w:w="90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1</w:t>
            </w:r>
            <w:r>
              <w:rPr>
                <w:rFonts w:eastAsia="仿宋_GB2312"/>
                <w:kern w:val="0"/>
                <w:szCs w:val="21"/>
              </w:rPr>
              <w:t>100</w:t>
            </w:r>
          </w:p>
        </w:tc>
        <w:tc>
          <w:tcPr>
            <w:tcW w:w="1117"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2</w:t>
            </w:r>
            <w:r>
              <w:rPr>
                <w:rFonts w:eastAsia="仿宋_GB2312"/>
                <w:kern w:val="0"/>
                <w:szCs w:val="21"/>
              </w:rPr>
              <w:t>.9</w:t>
            </w:r>
            <w:r>
              <w:rPr>
                <w:rFonts w:hint="eastAsia" w:eastAsia="仿宋_GB2312"/>
                <w:kern w:val="0"/>
                <w:szCs w:val="21"/>
              </w:rPr>
              <w:t>%</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约束性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spacing w:line="360" w:lineRule="auto"/>
              <w:jc w:val="center"/>
              <w:rPr>
                <w:rFonts w:eastAsia="仿宋_GB2312"/>
                <w:kern w:val="0"/>
                <w:szCs w:val="21"/>
              </w:rPr>
            </w:pPr>
          </w:p>
        </w:tc>
        <w:tc>
          <w:tcPr>
            <w:tcW w:w="825"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电力总量</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全社会用电量</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亿千瓦时</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97.3</w:t>
            </w:r>
          </w:p>
        </w:tc>
        <w:tc>
          <w:tcPr>
            <w:tcW w:w="90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1</w:t>
            </w:r>
            <w:r>
              <w:rPr>
                <w:rFonts w:eastAsia="仿宋_GB2312"/>
                <w:kern w:val="0"/>
                <w:szCs w:val="21"/>
              </w:rPr>
              <w:t>15</w:t>
            </w:r>
          </w:p>
        </w:tc>
        <w:tc>
          <w:tcPr>
            <w:tcW w:w="1117"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3</w:t>
            </w:r>
            <w:r>
              <w:rPr>
                <w:rFonts w:eastAsia="仿宋_GB2312"/>
                <w:kern w:val="0"/>
                <w:szCs w:val="21"/>
              </w:rPr>
              <w:t>.4</w:t>
            </w:r>
            <w:r>
              <w:rPr>
                <w:rFonts w:hint="eastAsia" w:eastAsia="仿宋_GB2312"/>
                <w:kern w:val="0"/>
                <w:szCs w:val="21"/>
              </w:rPr>
              <w:t>%</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spacing w:line="360" w:lineRule="auto"/>
              <w:jc w:val="center"/>
              <w:rPr>
                <w:rFonts w:eastAsia="仿宋_GB2312"/>
                <w:kern w:val="0"/>
                <w:szCs w:val="21"/>
              </w:rPr>
            </w:pPr>
          </w:p>
        </w:tc>
        <w:tc>
          <w:tcPr>
            <w:tcW w:w="825" w:type="dxa"/>
            <w:vMerge w:val="continue"/>
            <w:vAlign w:val="center"/>
          </w:tcPr>
          <w:p>
            <w:pPr>
              <w:widowControl/>
              <w:spacing w:line="360" w:lineRule="auto"/>
              <w:jc w:val="center"/>
              <w:rPr>
                <w:rFonts w:eastAsia="仿宋_GB2312"/>
                <w:kern w:val="0"/>
                <w:szCs w:val="21"/>
              </w:rPr>
            </w:pP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电力装机规模</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万千瓦</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322.3</w:t>
            </w:r>
          </w:p>
        </w:tc>
        <w:tc>
          <w:tcPr>
            <w:tcW w:w="90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5</w:t>
            </w:r>
            <w:r>
              <w:rPr>
                <w:rFonts w:eastAsia="仿宋_GB2312"/>
                <w:kern w:val="0"/>
                <w:szCs w:val="21"/>
              </w:rPr>
              <w:t>75</w:t>
            </w:r>
          </w:p>
        </w:tc>
        <w:tc>
          <w:tcPr>
            <w:tcW w:w="1117"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1</w:t>
            </w:r>
            <w:r>
              <w:rPr>
                <w:rFonts w:eastAsia="仿宋_GB2312"/>
                <w:kern w:val="0"/>
                <w:szCs w:val="21"/>
              </w:rPr>
              <w:t>2.3</w:t>
            </w:r>
            <w:r>
              <w:rPr>
                <w:rFonts w:hint="eastAsia" w:eastAsia="仿宋_GB2312"/>
                <w:kern w:val="0"/>
                <w:szCs w:val="21"/>
              </w:rPr>
              <w:t>%</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结构目标</w:t>
            </w:r>
          </w:p>
        </w:tc>
        <w:tc>
          <w:tcPr>
            <w:tcW w:w="825"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能源消费</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非化石能源消费比重</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　</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2.7%</w:t>
            </w:r>
          </w:p>
        </w:tc>
        <w:tc>
          <w:tcPr>
            <w:tcW w:w="90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9%</w:t>
            </w:r>
          </w:p>
        </w:tc>
        <w:tc>
          <w:tcPr>
            <w:tcW w:w="1117" w:type="dxa"/>
            <w:shd w:val="clear" w:color="auto" w:fill="auto"/>
            <w:vAlign w:val="center"/>
          </w:tcPr>
          <w:p>
            <w:pPr>
              <w:widowControl/>
              <w:spacing w:line="360" w:lineRule="auto"/>
              <w:jc w:val="center"/>
              <w:rPr>
                <w:rFonts w:eastAsia="仿宋_GB2312"/>
                <w:kern w:val="0"/>
                <w:szCs w:val="21"/>
              </w:rPr>
            </w:pPr>
            <w:r>
              <w:rPr>
                <w:rFonts w:eastAsia="仿宋_GB2312"/>
                <w:kern w:val="0"/>
                <w:szCs w:val="21"/>
              </w:rPr>
              <w:t>[6.3]</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spacing w:line="360" w:lineRule="auto"/>
              <w:jc w:val="center"/>
              <w:rPr>
                <w:rFonts w:eastAsia="仿宋_GB2312"/>
                <w:kern w:val="0"/>
                <w:szCs w:val="21"/>
              </w:rPr>
            </w:pPr>
          </w:p>
        </w:tc>
        <w:tc>
          <w:tcPr>
            <w:tcW w:w="825" w:type="dxa"/>
            <w:vMerge w:val="continue"/>
            <w:vAlign w:val="center"/>
          </w:tcPr>
          <w:p>
            <w:pPr>
              <w:widowControl/>
              <w:spacing w:line="360" w:lineRule="auto"/>
              <w:jc w:val="center"/>
              <w:rPr>
                <w:rFonts w:eastAsia="仿宋_GB2312"/>
                <w:kern w:val="0"/>
                <w:szCs w:val="21"/>
              </w:rPr>
            </w:pP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天然气消费比重</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　</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1.6%</w:t>
            </w:r>
          </w:p>
        </w:tc>
        <w:tc>
          <w:tcPr>
            <w:tcW w:w="90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6</w:t>
            </w:r>
            <w:r>
              <w:rPr>
                <w:rFonts w:eastAsia="仿宋_GB2312"/>
                <w:kern w:val="0"/>
                <w:szCs w:val="21"/>
              </w:rPr>
              <w:t>.6</w:t>
            </w:r>
            <w:r>
              <w:rPr>
                <w:rFonts w:hint="eastAsia" w:eastAsia="仿宋_GB2312"/>
                <w:kern w:val="0"/>
                <w:szCs w:val="21"/>
              </w:rPr>
              <w:t>%</w:t>
            </w:r>
          </w:p>
        </w:tc>
        <w:tc>
          <w:tcPr>
            <w:tcW w:w="1117" w:type="dxa"/>
            <w:shd w:val="clear" w:color="auto" w:fill="auto"/>
            <w:vAlign w:val="center"/>
          </w:tcPr>
          <w:p>
            <w:pPr>
              <w:widowControl/>
              <w:spacing w:line="360" w:lineRule="auto"/>
              <w:jc w:val="center"/>
              <w:rPr>
                <w:rFonts w:eastAsia="仿宋_GB2312"/>
                <w:kern w:val="0"/>
                <w:szCs w:val="21"/>
              </w:rPr>
            </w:pPr>
            <w:r>
              <w:rPr>
                <w:rFonts w:eastAsia="仿宋_GB2312"/>
                <w:kern w:val="0"/>
                <w:szCs w:val="21"/>
              </w:rPr>
              <w:t>[5]</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spacing w:line="360" w:lineRule="auto"/>
              <w:jc w:val="center"/>
              <w:rPr>
                <w:rFonts w:eastAsia="仿宋_GB2312"/>
                <w:kern w:val="0"/>
                <w:szCs w:val="21"/>
              </w:rPr>
            </w:pPr>
          </w:p>
        </w:tc>
        <w:tc>
          <w:tcPr>
            <w:tcW w:w="825" w:type="dxa"/>
            <w:vMerge w:val="continue"/>
            <w:vAlign w:val="center"/>
          </w:tcPr>
          <w:p>
            <w:pPr>
              <w:widowControl/>
              <w:spacing w:line="360" w:lineRule="auto"/>
              <w:jc w:val="center"/>
              <w:rPr>
                <w:rFonts w:eastAsia="仿宋_GB2312"/>
                <w:kern w:val="0"/>
                <w:szCs w:val="21"/>
              </w:rPr>
            </w:pP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煤炭消费比重</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　</w:t>
            </w:r>
          </w:p>
        </w:tc>
        <w:tc>
          <w:tcPr>
            <w:tcW w:w="955" w:type="dxa"/>
            <w:shd w:val="clear" w:color="auto" w:fill="auto"/>
            <w:vAlign w:val="center"/>
          </w:tcPr>
          <w:p>
            <w:pPr>
              <w:widowControl/>
              <w:jc w:val="center"/>
              <w:textAlignment w:val="center"/>
              <w:rPr>
                <w:rFonts w:eastAsia="仿宋_GB2312"/>
                <w:kern w:val="0"/>
                <w:szCs w:val="21"/>
              </w:rPr>
            </w:pPr>
            <w:r>
              <w:rPr>
                <w:rFonts w:hint="eastAsia" w:eastAsia="仿宋_GB2312"/>
                <w:kern w:val="0"/>
                <w:szCs w:val="21"/>
              </w:rPr>
              <w:t>61.5</w:t>
            </w:r>
            <w:r>
              <w:rPr>
                <w:rFonts w:eastAsia="等线"/>
                <w:color w:val="000000"/>
                <w:kern w:val="0"/>
                <w:szCs w:val="21"/>
                <w:lang w:bidi="ar"/>
              </w:rPr>
              <w:t>%</w:t>
            </w:r>
          </w:p>
        </w:tc>
        <w:tc>
          <w:tcPr>
            <w:tcW w:w="90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8</w:t>
            </w:r>
            <w:r>
              <w:rPr>
                <w:rFonts w:eastAsia="仿宋_GB2312"/>
                <w:kern w:val="0"/>
                <w:szCs w:val="21"/>
              </w:rPr>
              <w:t>6.1</w:t>
            </w:r>
            <w:r>
              <w:rPr>
                <w:rFonts w:hint="eastAsia" w:eastAsia="仿宋_GB2312"/>
                <w:kern w:val="0"/>
                <w:szCs w:val="21"/>
              </w:rPr>
              <w:t>%</w:t>
            </w:r>
          </w:p>
        </w:tc>
        <w:tc>
          <w:tcPr>
            <w:tcW w:w="1117" w:type="dxa"/>
            <w:shd w:val="clear" w:color="auto" w:fill="auto"/>
            <w:vAlign w:val="center"/>
          </w:tcPr>
          <w:p>
            <w:pPr>
              <w:widowControl/>
              <w:spacing w:line="360" w:lineRule="auto"/>
              <w:jc w:val="center"/>
              <w:rPr>
                <w:rFonts w:eastAsia="仿宋_GB2312"/>
                <w:kern w:val="0"/>
                <w:szCs w:val="21"/>
              </w:rPr>
            </w:pPr>
            <w:r>
              <w:rPr>
                <w:rFonts w:eastAsia="仿宋_GB2312"/>
                <w:kern w:val="0"/>
                <w:szCs w:val="21"/>
              </w:rPr>
              <w:t>[24.6]</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jc w:val="left"/>
              <w:rPr>
                <w:rFonts w:ascii="宋体" w:hAnsi="宋体" w:cs="宋体"/>
                <w:kern w:val="0"/>
                <w:szCs w:val="21"/>
              </w:rPr>
            </w:pPr>
          </w:p>
        </w:tc>
        <w:tc>
          <w:tcPr>
            <w:tcW w:w="825" w:type="dxa"/>
            <w:vMerge w:val="continue"/>
            <w:vAlign w:val="center"/>
          </w:tcPr>
          <w:p>
            <w:pPr>
              <w:widowControl/>
              <w:jc w:val="left"/>
              <w:rPr>
                <w:rFonts w:ascii="宋体" w:hAnsi="宋体" w:cs="宋体"/>
                <w:kern w:val="0"/>
                <w:szCs w:val="21"/>
              </w:rPr>
            </w:pP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石油消费比重</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　</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2.4%</w:t>
            </w:r>
          </w:p>
        </w:tc>
        <w:tc>
          <w:tcPr>
            <w:tcW w:w="90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3</w:t>
            </w:r>
            <w:r>
              <w:rPr>
                <w:rFonts w:eastAsia="仿宋_GB2312"/>
                <w:kern w:val="0"/>
                <w:szCs w:val="21"/>
              </w:rPr>
              <w:t>.9</w:t>
            </w:r>
            <w:r>
              <w:rPr>
                <w:rFonts w:hint="eastAsia" w:eastAsia="仿宋_GB2312"/>
                <w:kern w:val="0"/>
                <w:szCs w:val="21"/>
              </w:rPr>
              <w:t>%</w:t>
            </w:r>
          </w:p>
        </w:tc>
        <w:tc>
          <w:tcPr>
            <w:tcW w:w="1117" w:type="dxa"/>
            <w:shd w:val="clear" w:color="auto" w:fill="auto"/>
            <w:vAlign w:val="center"/>
          </w:tcPr>
          <w:p>
            <w:pPr>
              <w:widowControl/>
              <w:spacing w:line="360" w:lineRule="auto"/>
              <w:jc w:val="center"/>
              <w:rPr>
                <w:rFonts w:eastAsia="仿宋_GB2312"/>
                <w:kern w:val="0"/>
                <w:szCs w:val="21"/>
              </w:rPr>
            </w:pPr>
            <w:r>
              <w:rPr>
                <w:rFonts w:eastAsia="仿宋_GB2312"/>
                <w:kern w:val="0"/>
                <w:szCs w:val="21"/>
              </w:rPr>
              <w:t>[1.5]</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jc w:val="left"/>
              <w:rPr>
                <w:rFonts w:ascii="宋体" w:hAnsi="宋体" w:cs="宋体"/>
                <w:kern w:val="0"/>
                <w:szCs w:val="21"/>
              </w:rPr>
            </w:pPr>
          </w:p>
        </w:tc>
        <w:tc>
          <w:tcPr>
            <w:tcW w:w="825"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电力消纳</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可再生能源电力总量消纳责任权重</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　</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6.6%</w:t>
            </w:r>
          </w:p>
        </w:tc>
        <w:tc>
          <w:tcPr>
            <w:tcW w:w="904"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13.6%</w:t>
            </w:r>
          </w:p>
        </w:tc>
        <w:tc>
          <w:tcPr>
            <w:tcW w:w="1117" w:type="dxa"/>
            <w:shd w:val="clear" w:color="auto" w:fill="auto"/>
            <w:vAlign w:val="center"/>
          </w:tcPr>
          <w:p>
            <w:pPr>
              <w:widowControl/>
              <w:spacing w:line="360" w:lineRule="auto"/>
              <w:jc w:val="center"/>
              <w:rPr>
                <w:rFonts w:eastAsia="仿宋_GB2312"/>
                <w:kern w:val="0"/>
                <w:szCs w:val="21"/>
              </w:rPr>
            </w:pPr>
            <w:r>
              <w:rPr>
                <w:rFonts w:eastAsia="仿宋_GB2312"/>
                <w:kern w:val="0"/>
                <w:szCs w:val="21"/>
              </w:rPr>
              <w:t>[7]</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jc w:val="left"/>
              <w:rPr>
                <w:rFonts w:ascii="宋体" w:hAnsi="宋体" w:cs="宋体"/>
                <w:kern w:val="0"/>
                <w:szCs w:val="21"/>
              </w:rPr>
            </w:pPr>
          </w:p>
        </w:tc>
        <w:tc>
          <w:tcPr>
            <w:tcW w:w="825" w:type="dxa"/>
            <w:vMerge w:val="continue"/>
            <w:vAlign w:val="center"/>
          </w:tcPr>
          <w:p>
            <w:pPr>
              <w:widowControl/>
              <w:spacing w:line="360" w:lineRule="auto"/>
              <w:jc w:val="center"/>
              <w:rPr>
                <w:rFonts w:eastAsia="仿宋_GB2312"/>
                <w:kern w:val="0"/>
                <w:szCs w:val="21"/>
              </w:rPr>
            </w:pP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非水可再生能源电力总量消纳责任权重</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　</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5.2%</w:t>
            </w:r>
          </w:p>
        </w:tc>
        <w:tc>
          <w:tcPr>
            <w:tcW w:w="904"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12.4%</w:t>
            </w:r>
          </w:p>
        </w:tc>
        <w:tc>
          <w:tcPr>
            <w:tcW w:w="1117" w:type="dxa"/>
            <w:shd w:val="clear" w:color="auto" w:fill="auto"/>
            <w:vAlign w:val="center"/>
          </w:tcPr>
          <w:p>
            <w:pPr>
              <w:widowControl/>
              <w:spacing w:line="360" w:lineRule="auto"/>
              <w:jc w:val="center"/>
              <w:rPr>
                <w:rFonts w:eastAsia="仿宋_GB2312"/>
                <w:kern w:val="0"/>
                <w:szCs w:val="21"/>
              </w:rPr>
            </w:pPr>
            <w:r>
              <w:rPr>
                <w:rFonts w:eastAsia="仿宋_GB2312"/>
                <w:kern w:val="0"/>
                <w:szCs w:val="21"/>
              </w:rPr>
              <w:t>[7.2]</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r>
              <w:rPr>
                <w:rFonts w:hint="eastAsia" w:eastAsia="仿宋_GB2312"/>
                <w:kern w:val="0"/>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效率目标</w:t>
            </w:r>
          </w:p>
        </w:tc>
        <w:tc>
          <w:tcPr>
            <w:tcW w:w="82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能源效率</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单位生产总值能耗</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吨标煤/万元</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0.95</w:t>
            </w:r>
          </w:p>
        </w:tc>
        <w:tc>
          <w:tcPr>
            <w:tcW w:w="2021" w:type="dxa"/>
            <w:gridSpan w:val="2"/>
            <w:shd w:val="clear" w:color="auto" w:fill="auto"/>
            <w:vAlign w:val="center"/>
          </w:tcPr>
          <w:p>
            <w:pPr>
              <w:widowControl/>
              <w:spacing w:line="360" w:lineRule="auto"/>
              <w:jc w:val="center"/>
              <w:rPr>
                <w:rFonts w:eastAsia="仿宋_GB2312"/>
                <w:kern w:val="0"/>
                <w:szCs w:val="21"/>
              </w:rPr>
            </w:pPr>
            <w:r>
              <w:rPr>
                <w:rFonts w:eastAsia="仿宋_GB2312"/>
                <w:kern w:val="0"/>
                <w:szCs w:val="21"/>
              </w:rPr>
              <w:t>[省下达控制指标]</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spacing w:line="360" w:lineRule="auto"/>
              <w:jc w:val="center"/>
              <w:rPr>
                <w:rFonts w:eastAsia="仿宋_GB2312"/>
                <w:kern w:val="0"/>
                <w:szCs w:val="21"/>
              </w:rPr>
            </w:pPr>
          </w:p>
        </w:tc>
        <w:tc>
          <w:tcPr>
            <w:tcW w:w="825"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电力效率</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供电煤耗</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克标煤/千瓦时</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298</w:t>
            </w:r>
          </w:p>
        </w:tc>
        <w:tc>
          <w:tcPr>
            <w:tcW w:w="904"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297</w:t>
            </w:r>
          </w:p>
        </w:tc>
        <w:tc>
          <w:tcPr>
            <w:tcW w:w="1117" w:type="dxa"/>
            <w:shd w:val="clear" w:color="auto" w:fill="auto"/>
            <w:vAlign w:val="center"/>
          </w:tcPr>
          <w:p>
            <w:pPr>
              <w:widowControl/>
              <w:spacing w:line="360" w:lineRule="auto"/>
              <w:jc w:val="center"/>
              <w:rPr>
                <w:rFonts w:eastAsia="仿宋_GB2312"/>
                <w:kern w:val="0"/>
                <w:szCs w:val="21"/>
              </w:rPr>
            </w:pPr>
            <w:r>
              <w:rPr>
                <w:rFonts w:eastAsia="仿宋_GB2312"/>
                <w:kern w:val="0"/>
                <w:szCs w:val="21"/>
              </w:rPr>
              <w:t>[-0.3%]</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spacing w:line="360" w:lineRule="auto"/>
              <w:jc w:val="center"/>
              <w:rPr>
                <w:rFonts w:eastAsia="仿宋_GB2312"/>
                <w:kern w:val="0"/>
                <w:szCs w:val="21"/>
              </w:rPr>
            </w:pPr>
          </w:p>
        </w:tc>
        <w:tc>
          <w:tcPr>
            <w:tcW w:w="825" w:type="dxa"/>
            <w:vMerge w:val="continue"/>
            <w:vAlign w:val="center"/>
          </w:tcPr>
          <w:p>
            <w:pPr>
              <w:widowControl/>
              <w:spacing w:line="360" w:lineRule="auto"/>
              <w:jc w:val="center"/>
              <w:rPr>
                <w:rFonts w:eastAsia="仿宋_GB2312"/>
                <w:kern w:val="0"/>
                <w:szCs w:val="21"/>
              </w:rPr>
            </w:pP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网损率</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3.0%</w:t>
            </w:r>
          </w:p>
        </w:tc>
        <w:tc>
          <w:tcPr>
            <w:tcW w:w="904"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2.8%</w:t>
            </w:r>
          </w:p>
        </w:tc>
        <w:tc>
          <w:tcPr>
            <w:tcW w:w="1117" w:type="dxa"/>
            <w:shd w:val="clear" w:color="auto" w:fill="auto"/>
            <w:vAlign w:val="center"/>
          </w:tcPr>
          <w:p>
            <w:pPr>
              <w:widowControl/>
              <w:spacing w:line="360" w:lineRule="auto"/>
              <w:jc w:val="center"/>
              <w:rPr>
                <w:rFonts w:eastAsia="仿宋_GB2312"/>
                <w:kern w:val="0"/>
                <w:szCs w:val="21"/>
              </w:rPr>
            </w:pPr>
            <w:r>
              <w:rPr>
                <w:rFonts w:eastAsia="仿宋_GB2312"/>
                <w:kern w:val="0"/>
                <w:szCs w:val="21"/>
              </w:rPr>
              <w:t>[-0.2]</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环境目标</w:t>
            </w:r>
          </w:p>
        </w:tc>
        <w:tc>
          <w:tcPr>
            <w:tcW w:w="82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能源</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单位产值二氧化碳</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吨/万元</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2.03</w:t>
            </w:r>
          </w:p>
        </w:tc>
        <w:tc>
          <w:tcPr>
            <w:tcW w:w="2021" w:type="dxa"/>
            <w:gridSpan w:val="2"/>
            <w:shd w:val="clear" w:color="auto" w:fill="auto"/>
            <w:vAlign w:val="center"/>
          </w:tcPr>
          <w:p>
            <w:pPr>
              <w:widowControl/>
              <w:spacing w:line="360" w:lineRule="auto"/>
              <w:jc w:val="center"/>
              <w:rPr>
                <w:rFonts w:eastAsia="仿宋_GB2312"/>
                <w:kern w:val="0"/>
                <w:szCs w:val="21"/>
              </w:rPr>
            </w:pPr>
            <w:r>
              <w:rPr>
                <w:rFonts w:eastAsia="仿宋_GB2312"/>
                <w:kern w:val="0"/>
                <w:szCs w:val="21"/>
              </w:rPr>
              <w:t>[省下达控制指标]</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民生目标</w:t>
            </w:r>
          </w:p>
        </w:tc>
        <w:tc>
          <w:tcPr>
            <w:tcW w:w="825" w:type="dxa"/>
            <w:vMerge w:val="restart"/>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电力</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居民人均年生活用电量</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千瓦时</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635.8</w:t>
            </w:r>
          </w:p>
        </w:tc>
        <w:tc>
          <w:tcPr>
            <w:tcW w:w="904" w:type="dxa"/>
            <w:shd w:val="clear" w:color="auto" w:fill="auto"/>
            <w:vAlign w:val="center"/>
          </w:tcPr>
          <w:p>
            <w:pPr>
              <w:widowControl/>
              <w:jc w:val="center"/>
              <w:textAlignment w:val="center"/>
              <w:rPr>
                <w:rFonts w:eastAsia="仿宋_GB2312"/>
                <w:kern w:val="0"/>
                <w:szCs w:val="21"/>
              </w:rPr>
            </w:pPr>
            <w:r>
              <w:rPr>
                <w:rFonts w:hint="eastAsia" w:eastAsia="仿宋_GB2312"/>
                <w:kern w:val="0"/>
                <w:szCs w:val="21"/>
              </w:rPr>
              <w:t>741</w:t>
            </w:r>
          </w:p>
        </w:tc>
        <w:tc>
          <w:tcPr>
            <w:tcW w:w="1117"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3.1</w:t>
            </w:r>
            <w:r>
              <w:rPr>
                <w:rFonts w:eastAsia="仿宋_GB2312"/>
                <w:kern w:val="0"/>
                <w:szCs w:val="21"/>
              </w:rPr>
              <w:t>%</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jc w:val="left"/>
              <w:rPr>
                <w:rFonts w:ascii="宋体" w:hAnsi="宋体" w:cs="宋体"/>
                <w:kern w:val="0"/>
                <w:szCs w:val="21"/>
              </w:rPr>
            </w:pPr>
          </w:p>
        </w:tc>
        <w:tc>
          <w:tcPr>
            <w:tcW w:w="825" w:type="dxa"/>
            <w:vMerge w:val="continue"/>
            <w:vAlign w:val="center"/>
          </w:tcPr>
          <w:p>
            <w:pPr>
              <w:widowControl/>
              <w:spacing w:line="360" w:lineRule="auto"/>
              <w:jc w:val="center"/>
              <w:rPr>
                <w:rFonts w:eastAsia="仿宋_GB2312"/>
                <w:kern w:val="0"/>
                <w:szCs w:val="21"/>
              </w:rPr>
            </w:pP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乡村户均配变容量</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千伏安</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2.44</w:t>
            </w:r>
          </w:p>
        </w:tc>
        <w:tc>
          <w:tcPr>
            <w:tcW w:w="904"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2.8</w:t>
            </w:r>
          </w:p>
        </w:tc>
        <w:tc>
          <w:tcPr>
            <w:tcW w:w="1117" w:type="dxa"/>
            <w:shd w:val="clear" w:color="auto" w:fill="auto"/>
            <w:vAlign w:val="center"/>
          </w:tcPr>
          <w:p>
            <w:pPr>
              <w:widowControl/>
              <w:spacing w:line="360" w:lineRule="auto"/>
              <w:jc w:val="center"/>
              <w:rPr>
                <w:rFonts w:eastAsia="仿宋_GB2312"/>
                <w:kern w:val="0"/>
                <w:szCs w:val="21"/>
              </w:rPr>
            </w:pP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vAlign w:val="center"/>
          </w:tcPr>
          <w:p>
            <w:pPr>
              <w:widowControl/>
              <w:jc w:val="left"/>
              <w:rPr>
                <w:rFonts w:ascii="宋体" w:hAnsi="宋体" w:cs="宋体"/>
                <w:kern w:val="0"/>
                <w:szCs w:val="21"/>
              </w:rPr>
            </w:pPr>
          </w:p>
        </w:tc>
        <w:tc>
          <w:tcPr>
            <w:tcW w:w="82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天然气</w:t>
            </w:r>
          </w:p>
        </w:tc>
        <w:tc>
          <w:tcPr>
            <w:tcW w:w="2435"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使用天然气人口</w:t>
            </w:r>
          </w:p>
        </w:tc>
        <w:tc>
          <w:tcPr>
            <w:tcW w:w="164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万人</w:t>
            </w:r>
          </w:p>
        </w:tc>
        <w:tc>
          <w:tcPr>
            <w:tcW w:w="955"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31.6</w:t>
            </w:r>
          </w:p>
        </w:tc>
        <w:tc>
          <w:tcPr>
            <w:tcW w:w="904" w:type="dxa"/>
            <w:shd w:val="clear" w:color="auto" w:fill="auto"/>
            <w:vAlign w:val="center"/>
          </w:tcPr>
          <w:p>
            <w:pPr>
              <w:widowControl/>
              <w:jc w:val="center"/>
              <w:textAlignment w:val="center"/>
              <w:rPr>
                <w:rFonts w:eastAsia="仿宋_GB2312"/>
                <w:kern w:val="0"/>
                <w:szCs w:val="21"/>
              </w:rPr>
            </w:pPr>
            <w:r>
              <w:rPr>
                <w:rFonts w:eastAsia="等线"/>
                <w:color w:val="000000"/>
                <w:kern w:val="0"/>
                <w:szCs w:val="21"/>
                <w:lang w:bidi="ar"/>
              </w:rPr>
              <w:t>35</w:t>
            </w:r>
          </w:p>
        </w:tc>
        <w:tc>
          <w:tcPr>
            <w:tcW w:w="1117" w:type="dxa"/>
            <w:shd w:val="clear" w:color="auto" w:fill="auto"/>
            <w:vAlign w:val="center"/>
          </w:tcPr>
          <w:p>
            <w:pPr>
              <w:widowControl/>
              <w:spacing w:line="360" w:lineRule="auto"/>
              <w:jc w:val="center"/>
              <w:rPr>
                <w:rFonts w:eastAsia="仿宋_GB2312"/>
                <w:kern w:val="0"/>
                <w:szCs w:val="21"/>
              </w:rPr>
            </w:pPr>
            <w:r>
              <w:rPr>
                <w:rFonts w:eastAsia="仿宋_GB2312"/>
                <w:kern w:val="0"/>
                <w:szCs w:val="21"/>
              </w:rPr>
              <w:t>2.1%</w:t>
            </w:r>
          </w:p>
        </w:tc>
        <w:tc>
          <w:tcPr>
            <w:tcW w:w="964" w:type="dxa"/>
            <w:shd w:val="clear" w:color="auto" w:fill="auto"/>
            <w:vAlign w:val="center"/>
          </w:tcPr>
          <w:p>
            <w:pPr>
              <w:widowControl/>
              <w:spacing w:line="360" w:lineRule="auto"/>
              <w:jc w:val="center"/>
              <w:rPr>
                <w:rFonts w:eastAsia="仿宋_GB2312"/>
                <w:kern w:val="0"/>
                <w:szCs w:val="21"/>
              </w:rPr>
            </w:pPr>
            <w:r>
              <w:rPr>
                <w:rFonts w:hint="eastAsia" w:eastAsia="仿宋_GB2312"/>
                <w:kern w:val="0"/>
                <w:szCs w:val="21"/>
              </w:rPr>
              <w:t>预期性</w:t>
            </w:r>
          </w:p>
        </w:tc>
      </w:tr>
    </w:tbl>
    <w:p>
      <w:pPr>
        <w:widowControl/>
        <w:spacing w:line="360" w:lineRule="auto"/>
        <w:rPr>
          <w:rFonts w:eastAsia="仿宋_GB2312"/>
          <w:szCs w:val="21"/>
        </w:rPr>
      </w:pPr>
      <w:r>
        <w:rPr>
          <w:rFonts w:hint="eastAsia" w:eastAsia="仿宋_GB2312"/>
          <w:szCs w:val="21"/>
        </w:rPr>
        <w:t>注：（1）</w:t>
      </w:r>
      <w:r>
        <w:rPr>
          <w:rFonts w:eastAsia="仿宋_GB2312"/>
          <w:szCs w:val="21"/>
        </w:rPr>
        <w:t>[ ]</w:t>
      </w:r>
      <w:r>
        <w:rPr>
          <w:rFonts w:hint="eastAsia" w:eastAsia="仿宋_GB2312"/>
          <w:szCs w:val="21"/>
        </w:rPr>
        <w:t>为累计值；（2）国内生产总值以</w:t>
      </w:r>
      <w:r>
        <w:rPr>
          <w:rFonts w:eastAsia="仿宋_GB2312"/>
          <w:szCs w:val="21"/>
        </w:rPr>
        <w:t>2020</w:t>
      </w:r>
      <w:r>
        <w:rPr>
          <w:rFonts w:hint="eastAsia" w:eastAsia="仿宋_GB2312"/>
          <w:szCs w:val="21"/>
        </w:rPr>
        <w:t>年可比价计算；（3）表格中属性一栏带*号上标的数据均为初步测算值，具体以省批复意见为准。</w:t>
      </w:r>
    </w:p>
    <w:p>
      <w:pPr>
        <w:widowControl/>
        <w:spacing w:line="360" w:lineRule="auto"/>
        <w:rPr>
          <w:rFonts w:eastAsia="仿宋_GB2312"/>
          <w:szCs w:val="21"/>
        </w:rPr>
      </w:pPr>
    </w:p>
    <w:p>
      <w:pPr>
        <w:widowControl/>
        <w:spacing w:line="360" w:lineRule="auto"/>
        <w:rPr>
          <w:rFonts w:eastAsia="仿宋_GB2312"/>
          <w:szCs w:val="21"/>
        </w:rPr>
        <w:sectPr>
          <w:pgSz w:w="11906" w:h="16838"/>
          <w:pgMar w:top="1440" w:right="1800" w:bottom="1440" w:left="1800" w:header="851" w:footer="992" w:gutter="0"/>
          <w:cols w:space="425" w:num="1"/>
          <w:docGrid w:type="lines" w:linePitch="312" w:charSpace="0"/>
        </w:sectPr>
      </w:pPr>
    </w:p>
    <w:p>
      <w:pPr>
        <w:keepNext/>
        <w:keepLines/>
        <w:spacing w:before="312" w:beforeLines="100" w:after="312" w:afterLines="100" w:line="360" w:lineRule="auto"/>
        <w:jc w:val="center"/>
        <w:outlineLvl w:val="0"/>
        <w:rPr>
          <w:rFonts w:eastAsia="黑体"/>
          <w:bCs/>
          <w:kern w:val="44"/>
          <w:sz w:val="32"/>
          <w:szCs w:val="32"/>
        </w:rPr>
      </w:pPr>
      <w:bookmarkStart w:id="30" w:name="_Toc66178071"/>
      <w:bookmarkStart w:id="31" w:name="_Toc80657297"/>
      <w:r>
        <w:rPr>
          <w:rFonts w:hint="eastAsia" w:eastAsia="黑体"/>
          <w:bCs/>
          <w:kern w:val="44"/>
          <w:sz w:val="32"/>
          <w:szCs w:val="32"/>
        </w:rPr>
        <w:t>第三</w:t>
      </w:r>
      <w:r>
        <w:rPr>
          <w:rFonts w:eastAsia="黑体"/>
          <w:bCs/>
          <w:kern w:val="44"/>
          <w:sz w:val="32"/>
          <w:szCs w:val="32"/>
        </w:rPr>
        <w:t>章</w:t>
      </w:r>
      <w:bookmarkEnd w:id="30"/>
      <w:r>
        <w:rPr>
          <w:rFonts w:hint="eastAsia" w:eastAsia="黑体"/>
          <w:bCs/>
          <w:kern w:val="44"/>
          <w:sz w:val="32"/>
          <w:szCs w:val="32"/>
        </w:rPr>
        <w:t xml:space="preserve"> </w:t>
      </w:r>
      <w:r>
        <w:rPr>
          <w:rFonts w:eastAsia="黑体"/>
          <w:bCs/>
          <w:kern w:val="44"/>
          <w:sz w:val="32"/>
          <w:szCs w:val="32"/>
        </w:rPr>
        <w:t xml:space="preserve"> </w:t>
      </w:r>
      <w:r>
        <w:rPr>
          <w:rFonts w:hint="eastAsia" w:eastAsia="黑体"/>
          <w:bCs/>
          <w:kern w:val="44"/>
          <w:sz w:val="32"/>
          <w:szCs w:val="32"/>
        </w:rPr>
        <w:t>加快能源低碳转型</w:t>
      </w:r>
      <w:bookmarkEnd w:id="31"/>
    </w:p>
    <w:p>
      <w:pPr>
        <w:keepNext/>
        <w:keepLines/>
        <w:spacing w:line="360" w:lineRule="auto"/>
        <w:ind w:firstLine="643" w:firstLineChars="200"/>
        <w:outlineLvl w:val="2"/>
        <w:rPr>
          <w:rFonts w:eastAsia="仿宋_GB2312"/>
          <w:b/>
          <w:bCs/>
          <w:sz w:val="32"/>
          <w:szCs w:val="32"/>
        </w:rPr>
      </w:pPr>
      <w:bookmarkStart w:id="32" w:name="_Toc80657298"/>
      <w:r>
        <w:rPr>
          <w:rFonts w:hint="eastAsia" w:eastAsia="仿宋_GB2312"/>
          <w:b/>
          <w:bCs/>
          <w:sz w:val="32"/>
          <w:szCs w:val="32"/>
        </w:rPr>
        <w:t>一、持续优化能源结构</w:t>
      </w:r>
      <w:bookmarkEnd w:id="32"/>
    </w:p>
    <w:p>
      <w:pPr>
        <w:spacing w:line="360" w:lineRule="auto"/>
        <w:ind w:firstLine="640" w:firstLineChars="200"/>
        <w:rPr>
          <w:rFonts w:eastAsia="仿宋_GB2312"/>
          <w:sz w:val="32"/>
          <w:szCs w:val="32"/>
        </w:rPr>
      </w:pPr>
      <w:r>
        <w:rPr>
          <w:rFonts w:hint="eastAsia" w:eastAsia="仿宋_GB2312"/>
          <w:sz w:val="32"/>
          <w:szCs w:val="32"/>
        </w:rPr>
        <w:t>加大新能源开发利用力度，有序推进风电开发，大力推进光伏开发，因地制宜推动生物质和城镇生活垃圾发电发展，2025年市内风电、光伏、生物质发电装机容量分别达到</w:t>
      </w:r>
      <w:r>
        <w:rPr>
          <w:rFonts w:eastAsia="仿宋_GB2312"/>
          <w:sz w:val="32"/>
          <w:szCs w:val="32"/>
        </w:rPr>
        <w:t>3</w:t>
      </w:r>
      <w:r>
        <w:rPr>
          <w:rFonts w:hint="eastAsia" w:eastAsia="仿宋_GB2312"/>
          <w:sz w:val="32"/>
          <w:szCs w:val="32"/>
        </w:rPr>
        <w:t>0、1</w:t>
      </w:r>
      <w:r>
        <w:rPr>
          <w:rFonts w:eastAsia="仿宋_GB2312"/>
          <w:sz w:val="32"/>
          <w:szCs w:val="32"/>
        </w:rPr>
        <w:t>5</w:t>
      </w:r>
      <w:r>
        <w:rPr>
          <w:rFonts w:hint="eastAsia" w:eastAsia="仿宋_GB2312"/>
          <w:sz w:val="32"/>
          <w:szCs w:val="32"/>
        </w:rPr>
        <w:t>0、5万千瓦以上。风电方面，积极发展风电项目，合理开发靠近负荷中心及工业园区的风电项目。光伏方面，持续推进集中式和分布式光伏发电应用，高质量推广生态友好型“光伏+农渔业”和资源集约型“光伏+废弃矿山“开发模式，积极发展建筑一体化光伏发电系统（B</w:t>
      </w:r>
      <w:r>
        <w:rPr>
          <w:rFonts w:eastAsia="仿宋_GB2312"/>
          <w:sz w:val="32"/>
          <w:szCs w:val="32"/>
        </w:rPr>
        <w:t>IPV</w:t>
      </w:r>
      <w:r>
        <w:rPr>
          <w:rFonts w:hint="eastAsia" w:eastAsia="仿宋_GB2312"/>
          <w:sz w:val="32"/>
          <w:szCs w:val="32"/>
        </w:rPr>
        <w:t>），鼓励采用能源合同管理模式发展工业园区屋顶光伏等，促进光伏自发自用。生物质和城镇生活垃圾发电方面，加快生物质、城镇生活垃圾发电项目建设。我市农林生物质、垃圾发电项目均已开展前期工作，后期推动项目尽快建成投产，实现废物资源“减量化、资源化、无害化”处理，为打赢“蓝天、碧水、净土”保卫战提供重要支撑。</w:t>
      </w:r>
    </w:p>
    <w:p>
      <w:pPr>
        <w:spacing w:line="360" w:lineRule="auto"/>
        <w:ind w:firstLine="640" w:firstLineChars="200"/>
        <w:rPr>
          <w:rFonts w:eastAsia="仿宋_GB2312"/>
          <w:sz w:val="32"/>
          <w:szCs w:val="32"/>
        </w:rPr>
      </w:pPr>
      <w:r>
        <w:rPr>
          <w:rFonts w:hint="eastAsia" w:eastAsia="仿宋_GB2312"/>
          <w:sz w:val="32"/>
          <w:szCs w:val="32"/>
        </w:rPr>
        <w:t>深入推进煤炭清洁化利用，鼓励研究推广煤炭燃烧和转化相关技术的可行性，支持分宜电厂现役发电机组进行技术改造。</w:t>
      </w:r>
    </w:p>
    <w:p>
      <w:pPr>
        <w:spacing w:line="360" w:lineRule="auto"/>
        <w:ind w:firstLine="640" w:firstLineChars="200"/>
        <w:rPr>
          <w:rFonts w:eastAsia="仿宋_GB2312"/>
          <w:sz w:val="32"/>
          <w:szCs w:val="32"/>
        </w:rPr>
      </w:pPr>
      <w:r>
        <w:rPr>
          <w:rFonts w:hint="eastAsia" w:eastAsia="仿宋_GB2312"/>
          <w:sz w:val="32"/>
          <w:szCs w:val="32"/>
        </w:rPr>
        <w:t>积极扩大天然气利用范围，鼓励发展天然气分布式供能系统，探索推进天然气与光伏发电等可再生能源结合的多能互补分布式能源项目。在条件较为成熟地区适时开展天然气热电联产或天然气分布式能源系统替代燃煤供热机组及供热锅炉试点。加大民生用气保障力度，开展天然气下乡试点，鼓励多种主体参与，宜管则管、宜罐则罐，提高农村地区天然气通达能力，因地制宜使用天然气，在有条件的地方大力发展生物天然气。加大工业领域天然气用能替代力度，积极引导和督促工业企业加快利用天然气等清洁能源替代传统工业能源。大力推广交通运输领域天然气燃料置换，积极发展以天然气为燃料的汽车和船舶，努力提高天然气在交通运输领域的利用规模和能源消费比重。重点在公共交通、市政环卫、政府机关等领域推广使用天然气汽车。力争2025年天然气使用人口达到35万。</w:t>
      </w:r>
    </w:p>
    <w:p>
      <w:pPr>
        <w:spacing w:line="360" w:lineRule="auto"/>
        <w:ind w:firstLine="640" w:firstLineChars="200"/>
        <w:rPr>
          <w:rFonts w:eastAsia="仿宋_GB2312"/>
          <w:sz w:val="32"/>
          <w:szCs w:val="32"/>
        </w:rPr>
      </w:pPr>
      <w:r>
        <w:rPr>
          <w:rFonts w:hint="eastAsia" w:eastAsia="仿宋_GB2312"/>
          <w:sz w:val="32"/>
          <w:szCs w:val="32"/>
        </w:rPr>
        <w:t>加大电动汽车充电基础设施建设力度，加强统筹规划，统一标准规范，完善扶持政策，创新发展模式，加快建设适度超前、布局合理、功能完善的充电基础设施体系，有效增加公共产品和公共服务的投资和供给，积极培育电动汽车消费市场，完善充电服务体系。</w:t>
      </w:r>
    </w:p>
    <w:p>
      <w:pPr>
        <w:keepNext/>
        <w:keepLines/>
        <w:spacing w:line="360" w:lineRule="auto"/>
        <w:ind w:firstLine="643" w:firstLineChars="200"/>
        <w:outlineLvl w:val="2"/>
        <w:rPr>
          <w:rFonts w:eastAsia="仿宋_GB2312"/>
          <w:b/>
          <w:bCs/>
          <w:sz w:val="32"/>
          <w:szCs w:val="32"/>
        </w:rPr>
      </w:pPr>
      <w:bookmarkStart w:id="33" w:name="_Toc80657299"/>
      <w:r>
        <w:rPr>
          <w:rFonts w:hint="eastAsia" w:eastAsia="仿宋_GB2312"/>
          <w:b/>
          <w:bCs/>
          <w:sz w:val="32"/>
          <w:szCs w:val="32"/>
        </w:rPr>
        <w:t>二、积极构建新型电力系统</w:t>
      </w:r>
      <w:bookmarkEnd w:id="33"/>
    </w:p>
    <w:p>
      <w:pPr>
        <w:spacing w:line="360" w:lineRule="auto"/>
        <w:ind w:firstLine="640" w:firstLineChars="200"/>
        <w:rPr>
          <w:rFonts w:eastAsia="仿宋_GB2312"/>
          <w:sz w:val="32"/>
          <w:szCs w:val="32"/>
        </w:rPr>
      </w:pPr>
      <w:r>
        <w:rPr>
          <w:rFonts w:hint="eastAsia" w:eastAsia="仿宋_GB2312"/>
          <w:sz w:val="32"/>
          <w:szCs w:val="32"/>
        </w:rPr>
        <w:t>统筹新能源快速发展和电力安全稳定供应，重点推广</w:t>
      </w:r>
      <w:r>
        <w:rPr>
          <w:rFonts w:eastAsia="仿宋_GB2312"/>
          <w:sz w:val="32"/>
          <w:szCs w:val="32"/>
        </w:rPr>
        <w:t>锂电池储能电站等在新能源发电企业的应用，探索氢能等新型储能电池的应用，通过辅助服务市场的建立与完善助推储能设备参与电网调峰</w:t>
      </w:r>
      <w:r>
        <w:rPr>
          <w:rFonts w:hint="eastAsia" w:eastAsia="仿宋_GB2312"/>
          <w:sz w:val="32"/>
          <w:szCs w:val="32"/>
        </w:rPr>
        <w:t>，</w:t>
      </w:r>
      <w:r>
        <w:rPr>
          <w:rFonts w:eastAsia="仿宋_GB2312"/>
          <w:sz w:val="32"/>
          <w:szCs w:val="32"/>
        </w:rPr>
        <w:t>探索将</w:t>
      </w:r>
      <w:r>
        <w:rPr>
          <w:rFonts w:hint="eastAsia" w:eastAsia="仿宋_GB2312"/>
          <w:sz w:val="32"/>
          <w:szCs w:val="32"/>
        </w:rPr>
        <w:t>我市</w:t>
      </w:r>
      <w:r>
        <w:rPr>
          <w:rFonts w:eastAsia="仿宋_GB2312"/>
          <w:sz w:val="32"/>
          <w:szCs w:val="32"/>
        </w:rPr>
        <w:t>打造为江西电网储能项目应用试点。</w:t>
      </w:r>
    </w:p>
    <w:p>
      <w:pPr>
        <w:keepNext/>
        <w:keepLines/>
        <w:spacing w:line="360" w:lineRule="auto"/>
        <w:ind w:firstLine="643" w:firstLineChars="200"/>
        <w:outlineLvl w:val="2"/>
        <w:rPr>
          <w:rFonts w:eastAsia="仿宋_GB2312"/>
          <w:b/>
          <w:bCs/>
          <w:sz w:val="32"/>
          <w:szCs w:val="32"/>
        </w:rPr>
      </w:pPr>
      <w:bookmarkStart w:id="34" w:name="_Toc80657300"/>
      <w:r>
        <w:rPr>
          <w:rFonts w:hint="eastAsia" w:eastAsia="仿宋_GB2312"/>
          <w:b/>
          <w:bCs/>
          <w:sz w:val="32"/>
          <w:szCs w:val="32"/>
        </w:rPr>
        <w:t>三、持续提升系统能效</w:t>
      </w:r>
      <w:bookmarkEnd w:id="34"/>
    </w:p>
    <w:p>
      <w:pPr>
        <w:spacing w:line="360" w:lineRule="auto"/>
        <w:ind w:firstLine="640" w:firstLineChars="200"/>
        <w:rPr>
          <w:rFonts w:eastAsia="仿宋_GB2312"/>
          <w:sz w:val="32"/>
          <w:szCs w:val="32"/>
        </w:rPr>
      </w:pPr>
      <w:r>
        <w:rPr>
          <w:rFonts w:hint="eastAsia" w:eastAsia="仿宋_GB2312"/>
          <w:sz w:val="32"/>
          <w:szCs w:val="32"/>
        </w:rPr>
        <w:t>运用高新技术改造提升传统产业。充分挖掘生物质发电机组潜能，实现热电联产。探索天然气分布式能源高效利用项目，实现“冷、热、电”三联供。大力推进建筑节能，鼓励采用合同能源管理等市场化手段推进建筑节能，强化新建建筑节能标准约束，推进绿色建筑、绿色生态小区建设。探索建立能效评级制度，通过能效等级授牌等方式推动用户加强能效管理。</w:t>
      </w:r>
    </w:p>
    <w:p>
      <w:pPr>
        <w:keepNext/>
        <w:keepLines/>
        <w:spacing w:before="312" w:beforeLines="100" w:after="312" w:afterLines="100" w:line="360" w:lineRule="auto"/>
        <w:jc w:val="center"/>
        <w:outlineLvl w:val="0"/>
        <w:rPr>
          <w:rFonts w:eastAsia="黑体"/>
          <w:bCs/>
          <w:kern w:val="44"/>
          <w:sz w:val="32"/>
          <w:szCs w:val="32"/>
        </w:rPr>
        <w:sectPr>
          <w:pgSz w:w="11906" w:h="16838"/>
          <w:pgMar w:top="1440" w:right="1800" w:bottom="1440" w:left="1800" w:header="851" w:footer="992" w:gutter="0"/>
          <w:cols w:space="425" w:num="1"/>
          <w:docGrid w:type="lines" w:linePitch="312" w:charSpace="0"/>
        </w:sectPr>
      </w:pPr>
      <w:bookmarkStart w:id="35" w:name="_Toc80657301"/>
    </w:p>
    <w:p>
      <w:pPr>
        <w:keepNext/>
        <w:keepLines/>
        <w:spacing w:before="312" w:beforeLines="100" w:after="312" w:afterLines="100" w:line="360" w:lineRule="auto"/>
        <w:jc w:val="center"/>
        <w:outlineLvl w:val="0"/>
        <w:rPr>
          <w:rFonts w:eastAsia="黑体"/>
          <w:bCs/>
          <w:kern w:val="44"/>
          <w:sz w:val="32"/>
          <w:szCs w:val="32"/>
        </w:rPr>
      </w:pPr>
      <w:r>
        <w:rPr>
          <w:rFonts w:hint="eastAsia" w:eastAsia="黑体"/>
          <w:bCs/>
          <w:kern w:val="44"/>
          <w:sz w:val="32"/>
          <w:szCs w:val="32"/>
        </w:rPr>
        <w:t>第四</w:t>
      </w:r>
      <w:r>
        <w:rPr>
          <w:rFonts w:eastAsia="黑体"/>
          <w:bCs/>
          <w:kern w:val="44"/>
          <w:sz w:val="32"/>
          <w:szCs w:val="32"/>
        </w:rPr>
        <w:t>章</w:t>
      </w:r>
      <w:r>
        <w:rPr>
          <w:rFonts w:hint="eastAsia" w:eastAsia="黑体"/>
          <w:bCs/>
          <w:kern w:val="44"/>
          <w:sz w:val="32"/>
          <w:szCs w:val="32"/>
        </w:rPr>
        <w:t xml:space="preserve"> </w:t>
      </w:r>
      <w:r>
        <w:rPr>
          <w:rFonts w:eastAsia="黑体"/>
          <w:bCs/>
          <w:kern w:val="44"/>
          <w:sz w:val="32"/>
          <w:szCs w:val="32"/>
        </w:rPr>
        <w:t xml:space="preserve"> </w:t>
      </w:r>
      <w:r>
        <w:rPr>
          <w:rFonts w:hint="eastAsia" w:eastAsia="黑体"/>
          <w:bCs/>
          <w:kern w:val="44"/>
          <w:sz w:val="32"/>
          <w:szCs w:val="32"/>
        </w:rPr>
        <w:t>增强能源供应保障</w:t>
      </w:r>
      <w:bookmarkEnd w:id="35"/>
    </w:p>
    <w:p>
      <w:pPr>
        <w:keepNext/>
        <w:keepLines/>
        <w:spacing w:line="360" w:lineRule="auto"/>
        <w:ind w:firstLine="643" w:firstLineChars="200"/>
        <w:outlineLvl w:val="2"/>
        <w:rPr>
          <w:rFonts w:eastAsia="仿宋_GB2312"/>
          <w:b/>
          <w:bCs/>
          <w:sz w:val="32"/>
          <w:szCs w:val="32"/>
        </w:rPr>
      </w:pPr>
      <w:bookmarkStart w:id="36" w:name="_Toc80657302"/>
      <w:r>
        <w:rPr>
          <w:rFonts w:hint="eastAsia" w:eastAsia="仿宋_GB2312"/>
          <w:b/>
          <w:bCs/>
          <w:sz w:val="32"/>
          <w:szCs w:val="32"/>
        </w:rPr>
        <w:t>一、提高能源供应能力</w:t>
      </w:r>
      <w:bookmarkEnd w:id="36"/>
    </w:p>
    <w:p>
      <w:pPr>
        <w:spacing w:line="360" w:lineRule="auto"/>
        <w:ind w:firstLine="643" w:firstLineChars="200"/>
        <w:rPr>
          <w:rFonts w:eastAsia="仿宋_GB2312"/>
          <w:sz w:val="32"/>
          <w:szCs w:val="32"/>
        </w:rPr>
      </w:pPr>
      <w:r>
        <w:rPr>
          <w:rFonts w:hint="eastAsia" w:eastAsia="仿宋_GB2312"/>
          <w:b/>
          <w:bCs/>
          <w:sz w:val="32"/>
          <w:szCs w:val="32"/>
        </w:rPr>
        <w:t>电力方面。</w:t>
      </w:r>
      <w:r>
        <w:rPr>
          <w:rFonts w:hint="eastAsia" w:eastAsia="仿宋_GB2312"/>
          <w:sz w:val="32"/>
          <w:szCs w:val="32"/>
        </w:rPr>
        <w:t>有序推进</w:t>
      </w:r>
      <w:r>
        <w:rPr>
          <w:rFonts w:eastAsia="仿宋_GB2312"/>
          <w:sz w:val="32"/>
          <w:szCs w:val="32"/>
        </w:rPr>
        <w:t>核准</w:t>
      </w:r>
      <w:r>
        <w:rPr>
          <w:rFonts w:hint="eastAsia" w:eastAsia="仿宋_GB2312"/>
          <w:sz w:val="32"/>
          <w:szCs w:val="32"/>
        </w:rPr>
        <w:t>煤电建设</w:t>
      </w:r>
      <w:r>
        <w:rPr>
          <w:rFonts w:eastAsia="仿宋_GB2312"/>
          <w:sz w:val="32"/>
          <w:szCs w:val="32"/>
        </w:rPr>
        <w:t>。我市已核准的电源项目为</w:t>
      </w:r>
      <w:r>
        <w:rPr>
          <w:rFonts w:hint="eastAsia" w:eastAsia="仿宋_GB2312"/>
          <w:sz w:val="32"/>
          <w:szCs w:val="32"/>
        </w:rPr>
        <w:t>新余电厂异地扩建工程</w:t>
      </w:r>
      <w:r>
        <w:rPr>
          <w:rFonts w:eastAsia="仿宋_GB2312"/>
          <w:sz w:val="32"/>
          <w:szCs w:val="32"/>
        </w:rPr>
        <w:t>。</w:t>
      </w:r>
      <w:r>
        <w:rPr>
          <w:rFonts w:hint="eastAsia" w:eastAsia="仿宋_GB2312"/>
          <w:sz w:val="32"/>
          <w:szCs w:val="32"/>
        </w:rPr>
        <w:t>新余电厂异地扩建工程</w:t>
      </w:r>
      <w:r>
        <w:rPr>
          <w:rFonts w:eastAsia="仿宋_GB2312"/>
          <w:sz w:val="32"/>
          <w:szCs w:val="32"/>
        </w:rPr>
        <w:t>规划装机容量为2×100万千瓦，预计202</w:t>
      </w:r>
      <w:r>
        <w:rPr>
          <w:rFonts w:hint="eastAsia" w:eastAsia="仿宋_GB2312"/>
          <w:sz w:val="32"/>
          <w:szCs w:val="32"/>
        </w:rPr>
        <w:t>3</w:t>
      </w:r>
      <w:r>
        <w:rPr>
          <w:rFonts w:eastAsia="仿宋_GB2312"/>
          <w:sz w:val="32"/>
          <w:szCs w:val="32"/>
        </w:rPr>
        <w:t>年建成投运。积极推进支撑性电源项目实施，增强项目要素保障，积极跟进督促项目进度，确保如期投运，充分发挥大型电源项目对电力运行保障的支撑作用。争取储备性电源项目列入省和国家相关规划。</w:t>
      </w:r>
      <w:r>
        <w:rPr>
          <w:rFonts w:hint="eastAsia" w:eastAsia="仿宋_GB2312"/>
          <w:sz w:val="32"/>
          <w:szCs w:val="32"/>
        </w:rPr>
        <w:t>新余电厂异地扩建工程</w:t>
      </w:r>
      <w:r>
        <w:rPr>
          <w:rFonts w:eastAsia="仿宋_GB2312"/>
          <w:sz w:val="32"/>
          <w:szCs w:val="32"/>
        </w:rPr>
        <w:t>投运后，我市火电</w:t>
      </w:r>
      <w:bookmarkStart w:id="130" w:name="_GoBack"/>
      <w:bookmarkEnd w:id="130"/>
      <w:r>
        <w:rPr>
          <w:rFonts w:eastAsia="仿宋_GB2312"/>
          <w:sz w:val="32"/>
          <w:szCs w:val="32"/>
        </w:rPr>
        <w:t>装机容量达到</w:t>
      </w:r>
      <w:r>
        <w:rPr>
          <w:rFonts w:hint="eastAsia" w:eastAsia="仿宋_GB2312"/>
          <w:sz w:val="32"/>
          <w:szCs w:val="32"/>
        </w:rPr>
        <w:t>254</w:t>
      </w:r>
      <w:r>
        <w:rPr>
          <w:rFonts w:eastAsia="仿宋_GB2312"/>
          <w:sz w:val="32"/>
          <w:szCs w:val="32"/>
        </w:rPr>
        <w:t>万千瓦。随着远景年负荷增长，初步估计2030年最大负荷将达到</w:t>
      </w:r>
      <w:r>
        <w:rPr>
          <w:rFonts w:hint="eastAsia" w:eastAsia="仿宋_GB2312"/>
          <w:sz w:val="32"/>
          <w:szCs w:val="32"/>
        </w:rPr>
        <w:t>309</w:t>
      </w:r>
      <w:r>
        <w:rPr>
          <w:rFonts w:eastAsia="仿宋_GB2312"/>
          <w:sz w:val="32"/>
          <w:szCs w:val="32"/>
        </w:rPr>
        <w:t>万千瓦，加强支撑性电源的研究和建设仍然很有必要。全力开展储备性电源项目前期工作，争取</w:t>
      </w:r>
      <w:r>
        <w:rPr>
          <w:rFonts w:hint="eastAsia" w:eastAsia="仿宋_GB2312"/>
          <w:sz w:val="32"/>
          <w:szCs w:val="32"/>
        </w:rPr>
        <w:t>分宜电厂扩建工程二期</w:t>
      </w:r>
      <w:r>
        <w:rPr>
          <w:rFonts w:eastAsia="仿宋_GB2312"/>
          <w:sz w:val="32"/>
          <w:szCs w:val="32"/>
        </w:rPr>
        <w:t>等储备性电源项目列入省和国家相关规划，为我市后续电力供应提供强有力保障。</w:t>
      </w:r>
    </w:p>
    <w:p>
      <w:pPr>
        <w:spacing w:line="360" w:lineRule="auto"/>
        <w:ind w:firstLine="643" w:firstLineChars="200"/>
        <w:rPr>
          <w:rFonts w:eastAsia="仿宋_GB2312"/>
          <w:sz w:val="32"/>
          <w:szCs w:val="32"/>
        </w:rPr>
      </w:pPr>
      <w:r>
        <w:rPr>
          <w:rFonts w:hint="eastAsia" w:eastAsia="仿宋_GB2312"/>
          <w:b/>
          <w:bCs/>
          <w:sz w:val="32"/>
          <w:szCs w:val="32"/>
        </w:rPr>
        <w:t>油气方面</w:t>
      </w:r>
      <w:r>
        <w:rPr>
          <w:rFonts w:eastAsia="仿宋_GB2312"/>
          <w:b/>
          <w:bCs/>
          <w:sz w:val="32"/>
          <w:szCs w:val="32"/>
        </w:rPr>
        <w:t>。</w:t>
      </w:r>
      <w:r>
        <w:rPr>
          <w:rFonts w:eastAsia="仿宋_GB2312"/>
          <w:sz w:val="32"/>
          <w:szCs w:val="32"/>
        </w:rPr>
        <w:t>加强成品油基础设施建设，优化城镇加油站布局，确保农村乡镇加油站全覆盖。</w:t>
      </w:r>
      <w:r>
        <w:rPr>
          <w:rFonts w:hint="eastAsia" w:eastAsia="仿宋_GB2312"/>
          <w:sz w:val="32"/>
          <w:szCs w:val="32"/>
        </w:rPr>
        <w:t>健全城镇配套管网，加快天然气管网建设，</w:t>
      </w:r>
      <w:r>
        <w:rPr>
          <w:rFonts w:eastAsia="仿宋_GB2312"/>
          <w:sz w:val="32"/>
          <w:szCs w:val="32"/>
        </w:rPr>
        <w:t>引导工业用户使用天然气，</w:t>
      </w:r>
      <w:r>
        <w:rPr>
          <w:rFonts w:hint="eastAsia" w:eastAsia="仿宋_GB2312"/>
          <w:sz w:val="32"/>
          <w:szCs w:val="32"/>
        </w:rPr>
        <w:t>逐步向有条件的乡镇农村等地区延伸，</w:t>
      </w:r>
      <w:r>
        <w:rPr>
          <w:rFonts w:eastAsia="仿宋_GB2312"/>
          <w:sz w:val="32"/>
          <w:szCs w:val="32"/>
        </w:rPr>
        <w:t>推进燃气下乡。</w:t>
      </w:r>
    </w:p>
    <w:p>
      <w:pPr>
        <w:keepNext/>
        <w:keepLines/>
        <w:spacing w:line="360" w:lineRule="auto"/>
        <w:ind w:firstLine="643" w:firstLineChars="200"/>
        <w:outlineLvl w:val="2"/>
        <w:rPr>
          <w:rFonts w:eastAsia="仿宋_GB2312"/>
          <w:b/>
          <w:bCs/>
          <w:sz w:val="32"/>
          <w:szCs w:val="32"/>
        </w:rPr>
      </w:pPr>
      <w:bookmarkStart w:id="37" w:name="_Toc80657303"/>
      <w:r>
        <w:rPr>
          <w:rFonts w:hint="eastAsia" w:eastAsia="仿宋_GB2312"/>
          <w:b/>
          <w:bCs/>
          <w:sz w:val="32"/>
          <w:szCs w:val="32"/>
        </w:rPr>
        <w:t>二、完善能源储运网络</w:t>
      </w:r>
      <w:bookmarkEnd w:id="37"/>
    </w:p>
    <w:p>
      <w:pPr>
        <w:spacing w:line="360" w:lineRule="auto"/>
        <w:ind w:firstLine="643" w:firstLineChars="200"/>
        <w:rPr>
          <w:rFonts w:eastAsia="仿宋_GB2312"/>
          <w:sz w:val="32"/>
          <w:szCs w:val="32"/>
        </w:rPr>
      </w:pPr>
      <w:r>
        <w:rPr>
          <w:rFonts w:hint="eastAsia" w:eastAsia="仿宋_GB2312"/>
          <w:b/>
          <w:bCs/>
          <w:sz w:val="32"/>
          <w:szCs w:val="32"/>
        </w:rPr>
        <w:t>煤炭方面</w:t>
      </w:r>
      <w:r>
        <w:rPr>
          <w:rFonts w:eastAsia="仿宋_GB2312"/>
          <w:b/>
          <w:bCs/>
          <w:sz w:val="32"/>
          <w:szCs w:val="32"/>
        </w:rPr>
        <w:t>。</w:t>
      </w:r>
      <w:r>
        <w:rPr>
          <w:rFonts w:hint="eastAsia" w:eastAsia="仿宋_GB2312"/>
          <w:sz w:val="32"/>
          <w:szCs w:val="32"/>
        </w:rPr>
        <w:t>新余电厂异地扩建工程</w:t>
      </w:r>
      <w:r>
        <w:rPr>
          <w:rFonts w:eastAsia="仿宋_GB2312"/>
          <w:sz w:val="32"/>
          <w:szCs w:val="32"/>
        </w:rPr>
        <w:t>、</w:t>
      </w:r>
      <w:r>
        <w:rPr>
          <w:rFonts w:hint="eastAsia" w:eastAsia="仿宋_GB2312"/>
          <w:sz w:val="32"/>
          <w:szCs w:val="32"/>
        </w:rPr>
        <w:t>分宜电厂扩建工程二期建成</w:t>
      </w:r>
      <w:r>
        <w:rPr>
          <w:rFonts w:eastAsia="仿宋_GB2312"/>
          <w:sz w:val="32"/>
          <w:szCs w:val="32"/>
        </w:rPr>
        <w:t>投运后，我市电煤消耗将急剧增加，为保证电煤的充足供应，依托浩吉铁路，</w:t>
      </w:r>
      <w:r>
        <w:rPr>
          <w:rFonts w:hint="eastAsia" w:eastAsia="仿宋_GB2312"/>
          <w:sz w:val="32"/>
          <w:szCs w:val="32"/>
        </w:rPr>
        <w:t>加快</w:t>
      </w:r>
      <w:r>
        <w:rPr>
          <w:rFonts w:eastAsia="仿宋_GB2312"/>
          <w:sz w:val="32"/>
          <w:szCs w:val="32"/>
        </w:rPr>
        <w:t>建设煤炭储备基地，发挥“蓄水池”作用，</w:t>
      </w:r>
      <w:r>
        <w:rPr>
          <w:rFonts w:hint="eastAsia" w:eastAsia="仿宋_GB2312"/>
          <w:sz w:val="32"/>
          <w:szCs w:val="32"/>
        </w:rPr>
        <w:t>有效调节赣西南地区（包括新余、宜春、吉安及赣州等地区）煤炭运输紧张矛盾，破解经济发展中的能源瓶颈，提高江西省煤炭供应保障水平。</w:t>
      </w:r>
    </w:p>
    <w:p>
      <w:pPr>
        <w:spacing w:line="360" w:lineRule="auto"/>
        <w:ind w:firstLine="643" w:firstLineChars="200"/>
        <w:rPr>
          <w:rFonts w:eastAsia="仿宋_GB2312"/>
          <w:sz w:val="32"/>
          <w:szCs w:val="32"/>
        </w:rPr>
      </w:pPr>
      <w:r>
        <w:rPr>
          <w:rFonts w:hint="eastAsia" w:eastAsia="仿宋_GB2312"/>
          <w:b/>
          <w:bCs/>
          <w:sz w:val="32"/>
          <w:szCs w:val="32"/>
        </w:rPr>
        <w:t>油气方面</w:t>
      </w:r>
      <w:r>
        <w:rPr>
          <w:rFonts w:eastAsia="仿宋_GB2312"/>
          <w:b/>
          <w:bCs/>
          <w:sz w:val="32"/>
          <w:szCs w:val="32"/>
        </w:rPr>
        <w:t>。</w:t>
      </w:r>
      <w:r>
        <w:rPr>
          <w:rFonts w:eastAsia="仿宋_GB2312"/>
          <w:sz w:val="32"/>
          <w:szCs w:val="32"/>
        </w:rPr>
        <w:t>探索成品油应急储备基地建设，增强我市成品油储备应急能力。</w:t>
      </w:r>
      <w:r>
        <w:rPr>
          <w:rFonts w:hint="eastAsia" w:eastAsia="仿宋_GB2312"/>
          <w:sz w:val="32"/>
          <w:szCs w:val="32"/>
        </w:rPr>
        <w:t>推进天然气应急储备设施建设，提升输送管道储备能力，增强应急调峰能力，实现天然气管道互联互通。</w:t>
      </w:r>
    </w:p>
    <w:p>
      <w:pPr>
        <w:spacing w:line="360" w:lineRule="auto"/>
        <w:ind w:firstLine="643" w:firstLineChars="200"/>
        <w:rPr>
          <w:rFonts w:eastAsia="仿宋_GB2312"/>
          <w:sz w:val="32"/>
          <w:szCs w:val="32"/>
        </w:rPr>
      </w:pPr>
      <w:r>
        <w:rPr>
          <w:rFonts w:eastAsia="仿宋_GB2312"/>
          <w:b/>
          <w:bCs/>
          <w:sz w:val="32"/>
          <w:szCs w:val="32"/>
        </w:rPr>
        <w:t>电</w:t>
      </w:r>
      <w:r>
        <w:rPr>
          <w:rFonts w:hint="eastAsia" w:eastAsia="仿宋_GB2312"/>
          <w:b/>
          <w:bCs/>
          <w:sz w:val="32"/>
          <w:szCs w:val="32"/>
        </w:rPr>
        <w:t>力方面</w:t>
      </w:r>
      <w:r>
        <w:rPr>
          <w:rFonts w:eastAsia="仿宋_GB2312"/>
          <w:b/>
          <w:bCs/>
          <w:sz w:val="32"/>
          <w:szCs w:val="32"/>
        </w:rPr>
        <w:t>。</w:t>
      </w:r>
      <w:r>
        <w:rPr>
          <w:rFonts w:hint="eastAsia" w:eastAsia="仿宋_GB2312"/>
          <w:sz w:val="32"/>
          <w:szCs w:val="32"/>
        </w:rPr>
        <w:t>坚持网源统筹，协调发展，</w:t>
      </w:r>
      <w:r>
        <w:rPr>
          <w:rFonts w:eastAsia="仿宋_GB2312"/>
          <w:sz w:val="32"/>
          <w:szCs w:val="32"/>
        </w:rPr>
        <w:t>构建结构清晰、布局合理、坚强可靠、经济高效的电网体系，满足我市经济社会发展用电需求。</w:t>
      </w:r>
      <w:r>
        <w:rPr>
          <w:rFonts w:hint="eastAsia" w:eastAsia="仿宋_GB2312"/>
          <w:sz w:val="32"/>
          <w:szCs w:val="32"/>
        </w:rPr>
        <w:t>完善</w:t>
      </w:r>
      <w:r>
        <w:rPr>
          <w:rFonts w:eastAsia="仿宋_GB2312"/>
          <w:sz w:val="32"/>
          <w:szCs w:val="32"/>
        </w:rPr>
        <w:t>500</w:t>
      </w:r>
      <w:r>
        <w:rPr>
          <w:rFonts w:hint="eastAsia" w:eastAsia="仿宋_GB2312"/>
          <w:sz w:val="32"/>
          <w:szCs w:val="32"/>
        </w:rPr>
        <w:t>千伏骨干电网建设，持续优化</w:t>
      </w:r>
      <w:r>
        <w:rPr>
          <w:rFonts w:eastAsia="仿宋_GB2312"/>
          <w:sz w:val="32"/>
          <w:szCs w:val="32"/>
        </w:rPr>
        <w:t>22</w:t>
      </w:r>
      <w:r>
        <w:rPr>
          <w:rFonts w:hint="eastAsia" w:eastAsia="仿宋_GB2312"/>
          <w:sz w:val="32"/>
          <w:szCs w:val="32"/>
        </w:rPr>
        <w:t>0千伏电网结构，强化配电网建设，加快实施农网改造，持续提升供电能力和电能质量。消除电网发展障碍，减免前期流程，争取电网规划项目如期投运，确保规划项目库中新余电厂异地扩建工程500千伏送出工程、袁河220千伏输变电工程等重大工程如期投产。</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widowControl/>
        <w:jc w:val="left"/>
        <w:rPr>
          <w:rFonts w:eastAsia="黑体"/>
          <w:bCs/>
          <w:kern w:val="44"/>
          <w:sz w:val="32"/>
          <w:szCs w:val="32"/>
        </w:rPr>
      </w:pPr>
      <w:r>
        <w:rPr>
          <w:rFonts w:eastAsia="黑体"/>
          <w:bCs/>
          <w:kern w:val="44"/>
          <w:sz w:val="32"/>
          <w:szCs w:val="32"/>
        </w:rPr>
        <w:br w:type="page"/>
      </w:r>
    </w:p>
    <w:p>
      <w:pPr>
        <w:keepNext/>
        <w:keepLines/>
        <w:spacing w:before="312" w:beforeLines="100" w:after="312" w:afterLines="100" w:line="360" w:lineRule="auto"/>
        <w:jc w:val="center"/>
        <w:outlineLvl w:val="0"/>
        <w:rPr>
          <w:rFonts w:eastAsia="黑体"/>
          <w:bCs/>
          <w:kern w:val="44"/>
          <w:sz w:val="32"/>
          <w:szCs w:val="32"/>
        </w:rPr>
      </w:pPr>
      <w:bookmarkStart w:id="38" w:name="_Toc80657304"/>
      <w:r>
        <w:rPr>
          <w:rFonts w:hint="eastAsia" w:eastAsia="黑体"/>
          <w:bCs/>
          <w:kern w:val="44"/>
          <w:sz w:val="32"/>
          <w:szCs w:val="32"/>
        </w:rPr>
        <w:t>第五</w:t>
      </w:r>
      <w:r>
        <w:rPr>
          <w:rFonts w:eastAsia="黑体"/>
          <w:bCs/>
          <w:kern w:val="44"/>
          <w:sz w:val="32"/>
          <w:szCs w:val="32"/>
        </w:rPr>
        <w:t>章</w:t>
      </w:r>
      <w:r>
        <w:rPr>
          <w:rFonts w:hint="eastAsia" w:eastAsia="黑体"/>
          <w:bCs/>
          <w:kern w:val="44"/>
          <w:sz w:val="32"/>
          <w:szCs w:val="32"/>
        </w:rPr>
        <w:t xml:space="preserve"> </w:t>
      </w:r>
      <w:r>
        <w:rPr>
          <w:rFonts w:eastAsia="黑体"/>
          <w:bCs/>
          <w:kern w:val="44"/>
          <w:sz w:val="32"/>
          <w:szCs w:val="32"/>
        </w:rPr>
        <w:t xml:space="preserve"> </w:t>
      </w:r>
      <w:r>
        <w:rPr>
          <w:rFonts w:hint="eastAsia" w:eastAsia="黑体"/>
          <w:bCs/>
          <w:kern w:val="44"/>
          <w:sz w:val="32"/>
          <w:szCs w:val="32"/>
        </w:rPr>
        <w:t>强化能源系统安全</w:t>
      </w:r>
      <w:bookmarkEnd w:id="38"/>
    </w:p>
    <w:p>
      <w:pPr>
        <w:keepNext/>
        <w:keepLines/>
        <w:spacing w:line="360" w:lineRule="auto"/>
        <w:ind w:firstLine="643" w:firstLineChars="200"/>
        <w:outlineLvl w:val="2"/>
        <w:rPr>
          <w:rFonts w:eastAsia="仿宋_GB2312"/>
          <w:b/>
          <w:bCs/>
          <w:sz w:val="32"/>
          <w:szCs w:val="32"/>
        </w:rPr>
      </w:pPr>
      <w:bookmarkStart w:id="39" w:name="_Toc66176978"/>
      <w:bookmarkStart w:id="40" w:name="_Toc66178072"/>
      <w:bookmarkStart w:id="41" w:name="_Toc80657305"/>
      <w:r>
        <w:rPr>
          <w:rFonts w:hint="eastAsia" w:eastAsia="仿宋_GB2312"/>
          <w:b/>
          <w:bCs/>
          <w:sz w:val="32"/>
          <w:szCs w:val="32"/>
        </w:rPr>
        <w:t>一、</w:t>
      </w:r>
      <w:bookmarkEnd w:id="39"/>
      <w:bookmarkEnd w:id="40"/>
      <w:r>
        <w:rPr>
          <w:rFonts w:hint="eastAsia" w:eastAsia="仿宋_GB2312"/>
          <w:b/>
          <w:bCs/>
          <w:sz w:val="32"/>
          <w:szCs w:val="32"/>
        </w:rPr>
        <w:t>强化能源安全生产</w:t>
      </w:r>
      <w:bookmarkEnd w:id="41"/>
    </w:p>
    <w:p>
      <w:pPr>
        <w:spacing w:line="360" w:lineRule="auto"/>
        <w:ind w:firstLine="643" w:firstLineChars="200"/>
        <w:rPr>
          <w:rFonts w:eastAsia="仿宋_GB2312"/>
          <w:sz w:val="32"/>
          <w:szCs w:val="32"/>
        </w:rPr>
      </w:pPr>
      <w:r>
        <w:rPr>
          <w:rFonts w:hint="eastAsia" w:eastAsia="仿宋_GB2312"/>
          <w:b/>
          <w:bCs/>
          <w:sz w:val="32"/>
          <w:szCs w:val="32"/>
        </w:rPr>
        <w:t>完善管理责任体系</w:t>
      </w:r>
      <w:r>
        <w:rPr>
          <w:rFonts w:eastAsia="仿宋_GB2312"/>
          <w:b/>
          <w:bCs/>
          <w:sz w:val="32"/>
          <w:szCs w:val="32"/>
        </w:rPr>
        <w:t>。</w:t>
      </w:r>
      <w:r>
        <w:rPr>
          <w:rFonts w:hint="eastAsia" w:eastAsia="仿宋_GB2312"/>
          <w:sz w:val="32"/>
          <w:szCs w:val="32"/>
        </w:rPr>
        <w:t>坚守安全第一、预防为主、综合治理的方针，坚守安全发展红线，严格履行安全生产监管法定职责，全面落实行业管理安全生产工作要求，着重突出企业安全生产主体责任落实，推进企业健全完善全覆盖的风险辨识评估、全过程的隐患排查治理、全员的安全教育培训、全系统的安全规章制度等机制，持续提升能源行业安全生产管理水平，保障我市能源事业健康可持续发展。</w:t>
      </w:r>
    </w:p>
    <w:p>
      <w:pPr>
        <w:spacing w:line="360" w:lineRule="auto"/>
        <w:ind w:firstLine="643" w:firstLineChars="200"/>
        <w:rPr>
          <w:rFonts w:eastAsia="仿宋_GB2312"/>
          <w:sz w:val="32"/>
          <w:szCs w:val="32"/>
        </w:rPr>
      </w:pPr>
      <w:r>
        <w:rPr>
          <w:rFonts w:hint="eastAsia" w:eastAsia="仿宋_GB2312"/>
          <w:b/>
          <w:bCs/>
          <w:sz w:val="32"/>
          <w:szCs w:val="32"/>
        </w:rPr>
        <w:t>加强风险管控和隐患整治</w:t>
      </w:r>
      <w:r>
        <w:rPr>
          <w:rFonts w:eastAsia="仿宋_GB2312"/>
          <w:b/>
          <w:bCs/>
          <w:sz w:val="32"/>
          <w:szCs w:val="32"/>
        </w:rPr>
        <w:t>。</w:t>
      </w:r>
      <w:r>
        <w:rPr>
          <w:rFonts w:hint="eastAsia" w:eastAsia="仿宋_GB2312"/>
          <w:sz w:val="32"/>
          <w:szCs w:val="32"/>
        </w:rPr>
        <w:t>推进能源行业安全生产风险分级管控和隐患排查治理双重预防体系建设，严格落实安全风险管控责任，指导督促能源企业完善安全风险评估制度和事故隐患排查治理制度。开展经常性安全生产隐患排查治理，强化重大事故隐患治理全程督办，规范重大事故隐患治理档案管理，实现闭环管理。</w:t>
      </w:r>
    </w:p>
    <w:p>
      <w:pPr>
        <w:spacing w:line="360" w:lineRule="auto"/>
        <w:ind w:firstLine="643" w:firstLineChars="200"/>
        <w:rPr>
          <w:rFonts w:eastAsia="仿宋_GB2312"/>
          <w:sz w:val="32"/>
          <w:szCs w:val="32"/>
        </w:rPr>
      </w:pPr>
      <w:r>
        <w:rPr>
          <w:rFonts w:hint="eastAsia" w:eastAsia="仿宋_GB2312"/>
          <w:b/>
          <w:bCs/>
          <w:sz w:val="32"/>
          <w:szCs w:val="32"/>
        </w:rPr>
        <w:t>提升应急管理能力。</w:t>
      </w:r>
      <w:r>
        <w:rPr>
          <w:rFonts w:hint="eastAsia" w:eastAsia="仿宋_GB2312"/>
          <w:sz w:val="32"/>
          <w:szCs w:val="32"/>
        </w:rPr>
        <w:t>不断完善全市能源应急体系建设，健全应急联动和响应机制，强化政企之间及企业之间的纵向横向协调联动，推动实现资源和信息共享。开展管道保护政企联合应急演练，提高政企联合应急响应和处置能力。加强大面积停电时间应急能力建设，科学组织有序用电和需求响应。加强能源企业网络信息安全防控，提高设备安全管理可靠性。</w:t>
      </w:r>
    </w:p>
    <w:p>
      <w:pPr>
        <w:keepNext/>
        <w:keepLines/>
        <w:spacing w:line="360" w:lineRule="auto"/>
        <w:ind w:firstLine="643" w:firstLineChars="200"/>
        <w:outlineLvl w:val="2"/>
        <w:rPr>
          <w:rFonts w:eastAsia="仿宋_GB2312"/>
          <w:b/>
          <w:bCs/>
          <w:sz w:val="32"/>
          <w:szCs w:val="32"/>
        </w:rPr>
      </w:pPr>
      <w:bookmarkStart w:id="42" w:name="_Toc80657306"/>
      <w:r>
        <w:rPr>
          <w:rFonts w:hint="eastAsia" w:eastAsia="仿宋_GB2312"/>
          <w:b/>
          <w:bCs/>
          <w:sz w:val="32"/>
          <w:szCs w:val="32"/>
        </w:rPr>
        <w:t>二、强化电力安全保障</w:t>
      </w:r>
      <w:bookmarkEnd w:id="42"/>
    </w:p>
    <w:p>
      <w:pPr>
        <w:spacing w:line="360" w:lineRule="auto"/>
        <w:ind w:firstLine="643" w:firstLineChars="200"/>
        <w:rPr>
          <w:rFonts w:eastAsia="仿宋_GB2312"/>
          <w:sz w:val="32"/>
          <w:szCs w:val="32"/>
        </w:rPr>
      </w:pPr>
      <w:r>
        <w:rPr>
          <w:rFonts w:hint="eastAsia" w:eastAsia="仿宋_GB2312"/>
          <w:b/>
          <w:bCs/>
          <w:sz w:val="32"/>
          <w:szCs w:val="32"/>
        </w:rPr>
        <w:t>增强电力安全风险管控水平</w:t>
      </w:r>
      <w:r>
        <w:rPr>
          <w:rFonts w:eastAsia="仿宋_GB2312"/>
          <w:b/>
          <w:bCs/>
          <w:sz w:val="32"/>
          <w:szCs w:val="32"/>
        </w:rPr>
        <w:t>。</w:t>
      </w:r>
      <w:r>
        <w:rPr>
          <w:rFonts w:hint="eastAsia" w:eastAsia="仿宋_GB2312"/>
          <w:sz w:val="32"/>
          <w:szCs w:val="32"/>
        </w:rPr>
        <w:t>巩固加强电网安全稳定运行“三道防线”，消除电网不满足电力系统安全稳定导则要求的薄弱环节，全面提高电网调度运行水平。建立健全电力安全督查制度、电力设备定期检修制度，从源头防范电力运行安全风险。</w:t>
      </w:r>
    </w:p>
    <w:p>
      <w:pPr>
        <w:spacing w:line="360" w:lineRule="auto"/>
        <w:ind w:firstLine="643" w:firstLineChars="200"/>
        <w:rPr>
          <w:rFonts w:eastAsia="仿宋_GB2312"/>
          <w:sz w:val="32"/>
          <w:szCs w:val="32"/>
        </w:rPr>
      </w:pPr>
      <w:r>
        <w:rPr>
          <w:rFonts w:hint="eastAsia" w:eastAsia="仿宋_GB2312"/>
          <w:b/>
          <w:bCs/>
          <w:sz w:val="32"/>
          <w:szCs w:val="32"/>
        </w:rPr>
        <w:t>增强电力系统网络安全。</w:t>
      </w:r>
      <w:r>
        <w:rPr>
          <w:rFonts w:hint="eastAsia" w:eastAsia="仿宋_GB2312"/>
          <w:sz w:val="32"/>
          <w:szCs w:val="32"/>
        </w:rPr>
        <w:t>优化电网网架结构，着力解决电网送电能力不足、短路电流超标等提出问题，加强电网建设，提高电力供应保障能力。加强电网建设和运行方式优化，提高电网应对新能源规模化发展冲击的能力。</w:t>
      </w:r>
    </w:p>
    <w:p>
      <w:pPr>
        <w:widowControl/>
        <w:jc w:val="left"/>
        <w:rPr>
          <w:rFonts w:eastAsia="黑体"/>
          <w:bCs/>
          <w:kern w:val="44"/>
          <w:sz w:val="32"/>
          <w:szCs w:val="32"/>
        </w:rPr>
      </w:pPr>
      <w:r>
        <w:rPr>
          <w:rFonts w:eastAsia="黑体"/>
          <w:bCs/>
          <w:kern w:val="44"/>
          <w:sz w:val="32"/>
          <w:szCs w:val="32"/>
        </w:rPr>
        <w:br w:type="page"/>
      </w:r>
    </w:p>
    <w:p>
      <w:pPr>
        <w:keepNext/>
        <w:keepLines/>
        <w:spacing w:before="312" w:beforeLines="100" w:after="312" w:afterLines="100" w:line="360" w:lineRule="auto"/>
        <w:jc w:val="center"/>
        <w:outlineLvl w:val="0"/>
        <w:rPr>
          <w:rFonts w:eastAsia="黑体"/>
          <w:bCs/>
          <w:kern w:val="44"/>
          <w:sz w:val="32"/>
          <w:szCs w:val="32"/>
        </w:rPr>
      </w:pPr>
      <w:bookmarkStart w:id="43" w:name="_Toc80657307"/>
      <w:r>
        <w:rPr>
          <w:rFonts w:hint="eastAsia" w:eastAsia="黑体"/>
          <w:bCs/>
          <w:kern w:val="44"/>
          <w:sz w:val="32"/>
          <w:szCs w:val="32"/>
        </w:rPr>
        <w:t>第六</w:t>
      </w:r>
      <w:r>
        <w:rPr>
          <w:rFonts w:eastAsia="黑体"/>
          <w:bCs/>
          <w:kern w:val="44"/>
          <w:sz w:val="32"/>
          <w:szCs w:val="32"/>
        </w:rPr>
        <w:t>章</w:t>
      </w:r>
      <w:r>
        <w:rPr>
          <w:rFonts w:hint="eastAsia" w:eastAsia="黑体"/>
          <w:bCs/>
          <w:kern w:val="44"/>
          <w:sz w:val="32"/>
          <w:szCs w:val="32"/>
        </w:rPr>
        <w:t xml:space="preserve"> </w:t>
      </w:r>
      <w:r>
        <w:rPr>
          <w:rFonts w:eastAsia="黑体"/>
          <w:bCs/>
          <w:kern w:val="44"/>
          <w:sz w:val="32"/>
          <w:szCs w:val="32"/>
        </w:rPr>
        <w:t xml:space="preserve"> </w:t>
      </w:r>
      <w:r>
        <w:rPr>
          <w:rFonts w:hint="eastAsia" w:eastAsia="黑体"/>
          <w:bCs/>
          <w:kern w:val="44"/>
          <w:sz w:val="32"/>
          <w:szCs w:val="32"/>
        </w:rPr>
        <w:t>深化能源系统改革</w:t>
      </w:r>
      <w:bookmarkEnd w:id="43"/>
    </w:p>
    <w:p>
      <w:pPr>
        <w:keepNext/>
        <w:keepLines/>
        <w:spacing w:line="360" w:lineRule="auto"/>
        <w:ind w:firstLine="643" w:firstLineChars="200"/>
        <w:outlineLvl w:val="2"/>
        <w:rPr>
          <w:rFonts w:eastAsia="仿宋_GB2312"/>
          <w:b/>
          <w:bCs/>
          <w:sz w:val="32"/>
          <w:szCs w:val="32"/>
        </w:rPr>
      </w:pPr>
      <w:bookmarkStart w:id="44" w:name="_Toc80657308"/>
      <w:r>
        <w:rPr>
          <w:rFonts w:hint="eastAsia" w:eastAsia="仿宋_GB2312"/>
          <w:b/>
          <w:bCs/>
          <w:sz w:val="32"/>
          <w:szCs w:val="32"/>
        </w:rPr>
        <w:t>一、持续深化电力体制改革</w:t>
      </w:r>
      <w:bookmarkEnd w:id="44"/>
    </w:p>
    <w:p>
      <w:pPr>
        <w:spacing w:line="360" w:lineRule="auto"/>
        <w:ind w:firstLine="640" w:firstLineChars="200"/>
        <w:rPr>
          <w:rFonts w:eastAsia="仿宋_GB2312"/>
          <w:sz w:val="32"/>
          <w:szCs w:val="32"/>
        </w:rPr>
      </w:pPr>
      <w:r>
        <w:rPr>
          <w:rFonts w:hint="eastAsia" w:eastAsia="仿宋_GB2312"/>
          <w:sz w:val="32"/>
          <w:szCs w:val="32"/>
        </w:rPr>
        <w:t>持续深化电力体制改革，完善激励约束相容的输配电价形成机制，配合全省电力体制改革同步开展相关工作。有序推进增量配电业务改革试点项目，建设新钢220千伏输变电工程，进一步培养多元市场主体。加强和规范燃煤自备电厂监督管理，推动具备条件的并网自备电厂成为合格的发电市场主体。</w:t>
      </w:r>
    </w:p>
    <w:p>
      <w:pPr>
        <w:keepNext/>
        <w:keepLines/>
        <w:spacing w:line="360" w:lineRule="auto"/>
        <w:ind w:firstLine="643" w:firstLineChars="200"/>
        <w:outlineLvl w:val="2"/>
        <w:rPr>
          <w:rFonts w:eastAsia="仿宋_GB2312"/>
          <w:b/>
          <w:bCs/>
          <w:sz w:val="32"/>
          <w:szCs w:val="32"/>
        </w:rPr>
      </w:pPr>
      <w:r>
        <w:rPr>
          <w:rFonts w:hint="eastAsia" w:eastAsia="仿宋_GB2312"/>
          <w:b/>
          <w:bCs/>
          <w:sz w:val="32"/>
          <w:szCs w:val="32"/>
        </w:rPr>
        <w:t>二、有序推进天然气管网体制改革</w:t>
      </w:r>
    </w:p>
    <w:p>
      <w:pPr>
        <w:spacing w:line="360" w:lineRule="auto"/>
        <w:ind w:firstLine="640" w:firstLineChars="200"/>
        <w:rPr>
          <w:rFonts w:eastAsia="仿宋_GB2312"/>
          <w:sz w:val="32"/>
          <w:szCs w:val="32"/>
        </w:rPr>
      </w:pPr>
      <w:r>
        <w:rPr>
          <w:rFonts w:hint="eastAsia" w:eastAsia="仿宋_GB2312"/>
          <w:sz w:val="32"/>
          <w:szCs w:val="32"/>
        </w:rPr>
        <w:t>有序推进天然气管网体制改革，逐步理顺价格形成机制，推进天然气市场化改革，配合全省天然气管网体制改革同步开展相关工作。有序放开竞争性环价格，扩大直销供气规模，推动城镇燃气特许经营权改革，逐步建立法制健全、统一开放、竞争有序的现代能源发展体系。</w:t>
      </w:r>
    </w:p>
    <w:p>
      <w:pPr>
        <w:widowControl/>
        <w:jc w:val="left"/>
        <w:rPr>
          <w:rFonts w:eastAsia="黑体"/>
          <w:bCs/>
          <w:kern w:val="44"/>
          <w:sz w:val="32"/>
          <w:szCs w:val="32"/>
        </w:rPr>
      </w:pPr>
      <w:r>
        <w:rPr>
          <w:rFonts w:eastAsia="黑体"/>
          <w:bCs/>
          <w:kern w:val="44"/>
          <w:sz w:val="32"/>
          <w:szCs w:val="32"/>
        </w:rPr>
        <w:br w:type="page"/>
      </w:r>
    </w:p>
    <w:p>
      <w:pPr>
        <w:keepNext/>
        <w:keepLines/>
        <w:spacing w:before="312" w:beforeLines="100" w:after="312" w:afterLines="100" w:line="360" w:lineRule="auto"/>
        <w:jc w:val="center"/>
        <w:outlineLvl w:val="0"/>
        <w:rPr>
          <w:rFonts w:eastAsia="黑体"/>
          <w:bCs/>
          <w:kern w:val="44"/>
          <w:sz w:val="32"/>
          <w:szCs w:val="32"/>
        </w:rPr>
      </w:pPr>
      <w:bookmarkStart w:id="45" w:name="_Toc80657309"/>
      <w:r>
        <w:rPr>
          <w:rFonts w:hint="eastAsia" w:eastAsia="黑体"/>
          <w:bCs/>
          <w:kern w:val="44"/>
          <w:sz w:val="32"/>
          <w:szCs w:val="32"/>
        </w:rPr>
        <w:t>第七</w:t>
      </w:r>
      <w:r>
        <w:rPr>
          <w:rFonts w:eastAsia="黑体"/>
          <w:bCs/>
          <w:kern w:val="44"/>
          <w:sz w:val="32"/>
          <w:szCs w:val="32"/>
        </w:rPr>
        <w:t>章</w:t>
      </w:r>
      <w:r>
        <w:rPr>
          <w:rFonts w:hint="eastAsia" w:eastAsia="黑体"/>
          <w:bCs/>
          <w:kern w:val="44"/>
          <w:sz w:val="32"/>
          <w:szCs w:val="32"/>
        </w:rPr>
        <w:t xml:space="preserve"> </w:t>
      </w:r>
      <w:r>
        <w:rPr>
          <w:rFonts w:eastAsia="黑体"/>
          <w:bCs/>
          <w:kern w:val="44"/>
          <w:sz w:val="32"/>
          <w:szCs w:val="32"/>
        </w:rPr>
        <w:t xml:space="preserve"> </w:t>
      </w:r>
      <w:r>
        <w:rPr>
          <w:rFonts w:hint="eastAsia" w:eastAsia="黑体"/>
          <w:bCs/>
          <w:kern w:val="44"/>
          <w:sz w:val="32"/>
          <w:szCs w:val="32"/>
        </w:rPr>
        <w:t>加强能源科技创新</w:t>
      </w:r>
      <w:bookmarkEnd w:id="45"/>
    </w:p>
    <w:p>
      <w:pPr>
        <w:keepNext/>
        <w:keepLines/>
        <w:spacing w:line="360" w:lineRule="auto"/>
        <w:ind w:firstLine="643" w:firstLineChars="200"/>
        <w:outlineLvl w:val="2"/>
        <w:rPr>
          <w:rFonts w:eastAsia="仿宋_GB2312"/>
          <w:b/>
          <w:bCs/>
          <w:sz w:val="32"/>
          <w:szCs w:val="32"/>
        </w:rPr>
      </w:pPr>
      <w:bookmarkStart w:id="46" w:name="_Toc80657312"/>
      <w:r>
        <w:rPr>
          <w:rFonts w:hint="eastAsia" w:eastAsia="仿宋_GB2312"/>
          <w:b/>
          <w:bCs/>
          <w:sz w:val="32"/>
          <w:szCs w:val="32"/>
        </w:rPr>
        <w:t>一、开展智慧能源示范</w:t>
      </w:r>
      <w:bookmarkEnd w:id="46"/>
    </w:p>
    <w:p>
      <w:pPr>
        <w:spacing w:line="360" w:lineRule="auto"/>
        <w:ind w:firstLine="640" w:firstLineChars="200"/>
        <w:rPr>
          <w:rFonts w:eastAsia="仿宋_GB2312"/>
          <w:sz w:val="32"/>
          <w:szCs w:val="32"/>
        </w:rPr>
      </w:pPr>
      <w:r>
        <w:rPr>
          <w:rFonts w:hint="eastAsia" w:eastAsia="仿宋_GB2312"/>
          <w:sz w:val="32"/>
          <w:szCs w:val="32"/>
        </w:rPr>
        <w:t>加快大数据、人工智能、物联网、5G、区块链等技术在能源领域的融合应用，支持能源行业新模式新业态发展，打造智慧能源工程试点示范。推动分宜双林智慧能源小镇项目建设。</w:t>
      </w:r>
    </w:p>
    <w:p>
      <w:pPr>
        <w:spacing w:line="360" w:lineRule="auto"/>
        <w:ind w:firstLine="640" w:firstLineChars="200"/>
        <w:rPr>
          <w:rFonts w:eastAsia="仿宋_GB2312"/>
          <w:sz w:val="32"/>
          <w:szCs w:val="32"/>
        </w:rPr>
      </w:pPr>
      <w:r>
        <w:rPr>
          <w:rFonts w:hint="eastAsia" w:eastAsia="仿宋_GB2312"/>
          <w:sz w:val="32"/>
          <w:szCs w:val="32"/>
        </w:rPr>
        <w:t>紧密跟踪储能行业发展动态，结合我市新能源发展要求，以高端环保设备生产项目及工业垃圾无害消解制氢示范项目为依托，</w:t>
      </w:r>
      <w:bookmarkStart w:id="47" w:name="_Toc72346330"/>
      <w:r>
        <w:rPr>
          <w:rFonts w:hint="eastAsia" w:eastAsia="仿宋_GB2312"/>
          <w:sz w:val="32"/>
          <w:szCs w:val="32"/>
        </w:rPr>
        <w:t>初步在我市形成一套集技术研发、高端装备制造、垃圾无害处理、氢气生产及运输、新能源应用推广为一体的高端产业集群，并进一步带动下游氢能源商用车、乘用车推广应用。</w:t>
      </w:r>
    </w:p>
    <w:bookmarkEnd w:id="47"/>
    <w:p>
      <w:pPr>
        <w:spacing w:line="360" w:lineRule="auto"/>
        <w:ind w:firstLine="640" w:firstLineChars="200"/>
        <w:rPr>
          <w:rFonts w:eastAsia="仿宋_GB2312"/>
          <w:sz w:val="32"/>
          <w:szCs w:val="32"/>
        </w:rPr>
      </w:pPr>
    </w:p>
    <w:p>
      <w:pPr>
        <w:keepNext/>
        <w:keepLines/>
        <w:spacing w:before="312" w:beforeLines="100" w:after="312" w:afterLines="100" w:line="360" w:lineRule="auto"/>
        <w:jc w:val="center"/>
        <w:outlineLvl w:val="0"/>
        <w:rPr>
          <w:rFonts w:eastAsia="黑体"/>
          <w:bCs/>
          <w:kern w:val="44"/>
          <w:sz w:val="32"/>
          <w:szCs w:val="32"/>
        </w:rPr>
        <w:sectPr>
          <w:pgSz w:w="11906" w:h="16838"/>
          <w:pgMar w:top="1440" w:right="1800" w:bottom="1440" w:left="1800" w:header="851" w:footer="992" w:gutter="0"/>
          <w:cols w:space="425" w:num="1"/>
          <w:docGrid w:type="lines" w:linePitch="312" w:charSpace="0"/>
        </w:sectPr>
      </w:pPr>
      <w:bookmarkStart w:id="48" w:name="_Toc80657313"/>
    </w:p>
    <w:p>
      <w:pPr>
        <w:keepNext/>
        <w:keepLines/>
        <w:spacing w:before="312" w:beforeLines="100" w:after="312" w:afterLines="100" w:line="360" w:lineRule="auto"/>
        <w:jc w:val="center"/>
        <w:outlineLvl w:val="0"/>
        <w:rPr>
          <w:rFonts w:eastAsia="黑体"/>
          <w:bCs/>
          <w:kern w:val="44"/>
          <w:sz w:val="32"/>
          <w:szCs w:val="32"/>
        </w:rPr>
      </w:pPr>
      <w:r>
        <w:rPr>
          <w:rFonts w:hint="eastAsia" w:eastAsia="黑体"/>
          <w:bCs/>
          <w:kern w:val="44"/>
          <w:sz w:val="32"/>
          <w:szCs w:val="32"/>
        </w:rPr>
        <w:t>第八</w:t>
      </w:r>
      <w:r>
        <w:rPr>
          <w:rFonts w:eastAsia="黑体"/>
          <w:bCs/>
          <w:kern w:val="44"/>
          <w:sz w:val="32"/>
          <w:szCs w:val="32"/>
        </w:rPr>
        <w:t>章</w:t>
      </w:r>
      <w:r>
        <w:rPr>
          <w:rFonts w:hint="eastAsia" w:eastAsia="黑体"/>
          <w:bCs/>
          <w:kern w:val="44"/>
          <w:sz w:val="32"/>
          <w:szCs w:val="32"/>
        </w:rPr>
        <w:t xml:space="preserve"> </w:t>
      </w:r>
      <w:r>
        <w:rPr>
          <w:rFonts w:eastAsia="黑体"/>
          <w:bCs/>
          <w:kern w:val="44"/>
          <w:sz w:val="32"/>
          <w:szCs w:val="32"/>
        </w:rPr>
        <w:t xml:space="preserve"> </w:t>
      </w:r>
      <w:r>
        <w:rPr>
          <w:rFonts w:hint="eastAsia" w:eastAsia="黑体"/>
          <w:bCs/>
          <w:kern w:val="44"/>
          <w:sz w:val="32"/>
          <w:szCs w:val="32"/>
        </w:rPr>
        <w:t>加强规划实施和管理</w:t>
      </w:r>
      <w:bookmarkEnd w:id="48"/>
    </w:p>
    <w:p>
      <w:pPr>
        <w:keepNext/>
        <w:keepLines/>
        <w:spacing w:line="360" w:lineRule="auto"/>
        <w:ind w:firstLine="643" w:firstLineChars="200"/>
        <w:outlineLvl w:val="2"/>
        <w:rPr>
          <w:rFonts w:eastAsia="仿宋_GB2312"/>
          <w:b/>
          <w:bCs/>
          <w:sz w:val="32"/>
          <w:szCs w:val="32"/>
        </w:rPr>
      </w:pPr>
      <w:bookmarkStart w:id="49" w:name="_Toc80657314"/>
      <w:r>
        <w:rPr>
          <w:rFonts w:hint="eastAsia" w:eastAsia="仿宋_GB2312"/>
          <w:b/>
          <w:bCs/>
          <w:sz w:val="32"/>
          <w:szCs w:val="32"/>
        </w:rPr>
        <w:t>一、健全规划实施机制</w:t>
      </w:r>
      <w:bookmarkEnd w:id="49"/>
    </w:p>
    <w:p>
      <w:pPr>
        <w:spacing w:line="360" w:lineRule="auto"/>
        <w:ind w:firstLine="640" w:firstLineChars="200"/>
        <w:rPr>
          <w:rFonts w:eastAsia="仿宋_GB2312"/>
          <w:sz w:val="32"/>
          <w:szCs w:val="32"/>
        </w:rPr>
      </w:pPr>
      <w:r>
        <w:rPr>
          <w:rFonts w:hint="eastAsia" w:eastAsia="仿宋_GB2312"/>
          <w:sz w:val="32"/>
          <w:szCs w:val="32"/>
        </w:rPr>
        <w:t>增强能源规划的权威性、严肃性、约束性，建立健全能源主管部门牵头组织协调、其他有关部门按照职责分工配合推进、各级政府和能源企业细化落实的工作机制，形成推动规划实施的整体合力。加强能源发展战略规划、政策法规、规范标准等实施情况监管，建立监督检查、评估考核工作机制，保障规划有效落实。建立规划实施常态化监测机制，及时发展和解决规划实施中出现的问题。严格执行规划调整工作程序，及时向社会公开规划制定和调整情况，充分发挥社会舆论监督作用。</w:t>
      </w:r>
    </w:p>
    <w:p>
      <w:pPr>
        <w:keepNext/>
        <w:keepLines/>
        <w:spacing w:line="360" w:lineRule="auto"/>
        <w:ind w:firstLine="643" w:firstLineChars="200"/>
        <w:outlineLvl w:val="2"/>
        <w:rPr>
          <w:rFonts w:eastAsia="仿宋_GB2312"/>
          <w:b/>
          <w:bCs/>
          <w:sz w:val="32"/>
          <w:szCs w:val="32"/>
        </w:rPr>
      </w:pPr>
      <w:bookmarkStart w:id="50" w:name="_Toc80657315"/>
      <w:r>
        <w:rPr>
          <w:rFonts w:hint="eastAsia" w:eastAsia="仿宋_GB2312"/>
          <w:b/>
          <w:bCs/>
          <w:sz w:val="32"/>
          <w:szCs w:val="32"/>
        </w:rPr>
        <w:t>二、完善政策</w:t>
      </w:r>
      <w:bookmarkEnd w:id="50"/>
      <w:r>
        <w:rPr>
          <w:rFonts w:hint="eastAsia" w:eastAsia="仿宋_GB2312"/>
          <w:b/>
          <w:bCs/>
          <w:sz w:val="32"/>
          <w:szCs w:val="32"/>
        </w:rPr>
        <w:t>配套体系</w:t>
      </w:r>
    </w:p>
    <w:p>
      <w:pPr>
        <w:spacing w:line="360" w:lineRule="auto"/>
        <w:ind w:firstLine="640" w:firstLineChars="200"/>
        <w:rPr>
          <w:rFonts w:eastAsia="仿宋_GB2312"/>
          <w:sz w:val="32"/>
          <w:szCs w:val="32"/>
        </w:rPr>
      </w:pPr>
      <w:r>
        <w:rPr>
          <w:rFonts w:hint="eastAsia" w:eastAsia="仿宋_GB2312"/>
          <w:sz w:val="32"/>
          <w:szCs w:val="32"/>
        </w:rPr>
        <w:t>密切跟踪和落实国家、省级各项支持能源发展的相关政策，进一步健全和完善支持可再生能源发展、电动汽车充电基础设施建设等政策措施。</w:t>
      </w:r>
    </w:p>
    <w:p>
      <w:pPr>
        <w:keepNext/>
        <w:keepLines/>
        <w:spacing w:line="360" w:lineRule="auto"/>
        <w:ind w:firstLine="643" w:firstLineChars="200"/>
        <w:outlineLvl w:val="2"/>
        <w:rPr>
          <w:rFonts w:eastAsia="仿宋_GB2312"/>
          <w:b/>
          <w:bCs/>
          <w:sz w:val="32"/>
          <w:szCs w:val="32"/>
        </w:rPr>
      </w:pPr>
      <w:bookmarkStart w:id="51" w:name="_Toc80657316"/>
      <w:r>
        <w:rPr>
          <w:rFonts w:hint="eastAsia" w:eastAsia="仿宋_GB2312"/>
          <w:b/>
          <w:bCs/>
          <w:sz w:val="32"/>
          <w:szCs w:val="32"/>
        </w:rPr>
        <w:t>三、强化能源行业管理</w:t>
      </w:r>
      <w:bookmarkEnd w:id="51"/>
    </w:p>
    <w:p>
      <w:pPr>
        <w:spacing w:line="360" w:lineRule="auto"/>
        <w:ind w:firstLine="640" w:firstLineChars="200"/>
        <w:rPr>
          <w:rFonts w:eastAsia="仿宋_GB2312"/>
          <w:sz w:val="32"/>
          <w:szCs w:val="32"/>
        </w:rPr>
      </w:pPr>
      <w:r>
        <w:rPr>
          <w:rFonts w:hint="eastAsia" w:eastAsia="仿宋_GB2312"/>
          <w:sz w:val="32"/>
          <w:szCs w:val="32"/>
        </w:rPr>
        <w:t>加强能源行业准入管理，规范开发建设持续，促进能源产业集约高效发展。加强能源项目库管理，合理布局重大项目，实现有效储备、滚动调整、有序开发。加强能源市场监管，完善市场交易规则，建立健全监管机制，保障市场竞争规范、公正、透明。</w:t>
      </w:r>
    </w:p>
    <w:p>
      <w:pPr>
        <w:keepNext/>
        <w:keepLines/>
        <w:spacing w:line="360" w:lineRule="auto"/>
        <w:ind w:firstLine="643" w:firstLineChars="200"/>
        <w:outlineLvl w:val="2"/>
        <w:rPr>
          <w:rFonts w:eastAsia="仿宋_GB2312"/>
          <w:b/>
          <w:bCs/>
          <w:sz w:val="32"/>
          <w:szCs w:val="32"/>
        </w:rPr>
      </w:pPr>
      <w:bookmarkStart w:id="52" w:name="_Toc80657317"/>
      <w:r>
        <w:rPr>
          <w:rFonts w:hint="eastAsia" w:eastAsia="仿宋_GB2312"/>
          <w:b/>
          <w:bCs/>
          <w:sz w:val="32"/>
          <w:szCs w:val="32"/>
        </w:rPr>
        <w:t>四、加强能源安全监管</w:t>
      </w:r>
      <w:bookmarkEnd w:id="52"/>
    </w:p>
    <w:p>
      <w:pPr>
        <w:spacing w:line="360" w:lineRule="auto"/>
        <w:ind w:firstLine="640" w:firstLineChars="200"/>
        <w:rPr>
          <w:rFonts w:eastAsia="仿宋_GB2312"/>
          <w:sz w:val="32"/>
          <w:szCs w:val="32"/>
        </w:rPr>
      </w:pPr>
      <w:r>
        <w:rPr>
          <w:rFonts w:hint="eastAsia" w:eastAsia="仿宋_GB2312"/>
          <w:sz w:val="32"/>
          <w:szCs w:val="32"/>
        </w:rPr>
        <w:t>成立市级能源安全专业委员会，切实抓好能源安全管理各项工作。加强各级管道保护工作队伍建设，规范执法行为，强化执法监督，确保能源安全生产和平稳供应。督促企业落实安全生产主体责任，加大安全生产投入，提高风险管控和事故防范能力，坚决遏制重特大安全事故发生。</w:t>
      </w:r>
    </w:p>
    <w:p>
      <w:pPr>
        <w:keepNext/>
        <w:keepLines/>
        <w:spacing w:line="360" w:lineRule="auto"/>
        <w:ind w:firstLine="643" w:firstLineChars="200"/>
        <w:outlineLvl w:val="2"/>
        <w:rPr>
          <w:rFonts w:eastAsia="仿宋_GB2312"/>
          <w:b/>
          <w:bCs/>
          <w:sz w:val="32"/>
          <w:szCs w:val="32"/>
        </w:rPr>
      </w:pPr>
      <w:bookmarkStart w:id="53" w:name="_Toc80657318"/>
      <w:r>
        <w:rPr>
          <w:rFonts w:hint="eastAsia" w:eastAsia="仿宋_GB2312"/>
          <w:b/>
          <w:bCs/>
          <w:sz w:val="32"/>
          <w:szCs w:val="32"/>
        </w:rPr>
        <w:t>五、建立电力安全风险管控体系</w:t>
      </w:r>
      <w:bookmarkEnd w:id="53"/>
    </w:p>
    <w:p>
      <w:pPr>
        <w:spacing w:line="360" w:lineRule="auto"/>
        <w:ind w:firstLine="640" w:firstLineChars="200"/>
        <w:rPr>
          <w:rFonts w:eastAsia="仿宋_GB2312"/>
          <w:sz w:val="32"/>
          <w:szCs w:val="32"/>
        </w:rPr>
      </w:pPr>
      <w:r>
        <w:rPr>
          <w:rFonts w:hint="eastAsia" w:eastAsia="仿宋_GB2312"/>
          <w:sz w:val="32"/>
          <w:szCs w:val="32"/>
        </w:rPr>
        <w:t>建立完善应急物资、应急队伍双清单，建立市级电力安全应急专家库，完善疫情防控、大面积停电、两峰保供、有序用电等各项应急预案，定期开展预案演练。常态化开展“拉网式”“地毯式”隐患排查，严格落实隐患闭环整改制度。</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jc w:val="left"/>
        <w:rPr>
          <w:rFonts w:eastAsia="仿宋_GB2312"/>
          <w:b/>
          <w:bCs/>
          <w:sz w:val="32"/>
          <w:szCs w:val="32"/>
        </w:rPr>
      </w:pPr>
      <w:r>
        <w:rPr>
          <w:rFonts w:hint="eastAsia" w:eastAsia="仿宋_GB2312"/>
          <w:b/>
          <w:bCs/>
          <w:sz w:val="32"/>
          <w:szCs w:val="32"/>
        </w:rPr>
        <w:t>附件：</w:t>
      </w:r>
      <w:r>
        <w:rPr>
          <w:rFonts w:eastAsia="仿宋_GB2312"/>
          <w:b/>
          <w:bCs/>
          <w:sz w:val="32"/>
          <w:szCs w:val="32"/>
        </w:rPr>
        <w:t>新余市“十四五”能源供需平衡分析</w:t>
      </w:r>
    </w:p>
    <w:p>
      <w:pPr>
        <w:keepNext/>
        <w:keepLines/>
        <w:spacing w:line="360" w:lineRule="auto"/>
        <w:ind w:firstLine="643" w:firstLineChars="200"/>
        <w:outlineLvl w:val="1"/>
        <w:rPr>
          <w:rFonts w:eastAsia="楷体_GB2312"/>
          <w:b/>
          <w:bCs/>
          <w:sz w:val="32"/>
          <w:szCs w:val="32"/>
        </w:rPr>
      </w:pPr>
      <w:r>
        <w:rPr>
          <w:rFonts w:eastAsia="楷体_GB2312"/>
          <w:b/>
          <w:bCs/>
          <w:sz w:val="32"/>
          <w:szCs w:val="32"/>
        </w:rPr>
        <w:t>一、国民经济和社会发展分析</w:t>
      </w:r>
    </w:p>
    <w:p>
      <w:pPr>
        <w:spacing w:line="360" w:lineRule="auto"/>
        <w:ind w:firstLine="640" w:firstLineChars="200"/>
        <w:rPr>
          <w:rFonts w:eastAsia="仿宋_GB2312"/>
          <w:sz w:val="32"/>
          <w:szCs w:val="32"/>
        </w:rPr>
      </w:pPr>
      <w:r>
        <w:rPr>
          <w:rFonts w:eastAsia="仿宋_GB2312"/>
          <w:sz w:val="32"/>
          <w:szCs w:val="32"/>
        </w:rPr>
        <w:t>“十三五”期间，我市经济保持高速发展，GDP年均增长</w:t>
      </w:r>
      <w:r>
        <w:rPr>
          <w:rFonts w:hint="eastAsia" w:eastAsia="仿宋_GB2312"/>
          <w:sz w:val="32"/>
          <w:szCs w:val="32"/>
        </w:rPr>
        <w:t>8.50</w:t>
      </w:r>
      <w:r>
        <w:rPr>
          <w:rFonts w:eastAsia="仿宋_GB2312"/>
          <w:sz w:val="32"/>
          <w:szCs w:val="32"/>
        </w:rPr>
        <w:t>%。“十三五”规划主要目标和任务总体实现，为“十四五”发展奠定了坚实的基础。</w:t>
      </w:r>
    </w:p>
    <w:p>
      <w:pPr>
        <w:spacing w:line="360" w:lineRule="auto"/>
        <w:jc w:val="center"/>
        <w:rPr>
          <w:rFonts w:eastAsia="仿宋_GB2312"/>
          <w:szCs w:val="21"/>
        </w:rPr>
      </w:pPr>
      <w:r>
        <w:rPr>
          <w:rFonts w:eastAsia="仿宋_GB2312"/>
          <w:szCs w:val="21"/>
        </w:rPr>
        <w:t>表1-1：江西省</w:t>
      </w:r>
      <w:r>
        <w:rPr>
          <w:rFonts w:hint="eastAsia" w:eastAsia="仿宋_GB2312"/>
          <w:szCs w:val="21"/>
        </w:rPr>
        <w:t>、</w:t>
      </w:r>
      <w:r>
        <w:rPr>
          <w:rFonts w:eastAsia="仿宋_GB2312"/>
          <w:szCs w:val="21"/>
        </w:rPr>
        <w:t>新余市“十三五”国民经济情况表单位：亿元、万人、元/人</w:t>
      </w:r>
    </w:p>
    <w:tbl>
      <w:tblPr>
        <w:tblStyle w:val="14"/>
        <w:tblW w:w="54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091"/>
        <w:gridCol w:w="1006"/>
        <w:gridCol w:w="1006"/>
        <w:gridCol w:w="1006"/>
        <w:gridCol w:w="1006"/>
        <w:gridCol w:w="1007"/>
        <w:gridCol w:w="100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5" w:type="pct"/>
            <w:gridSpan w:val="2"/>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指标</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2015年</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2016年</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2017年</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2018年</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2019年</w:t>
            </w:r>
          </w:p>
        </w:tc>
        <w:tc>
          <w:tcPr>
            <w:tcW w:w="546" w:type="pct"/>
            <w:vAlign w:val="center"/>
          </w:tcPr>
          <w:p>
            <w:pPr>
              <w:widowControl/>
              <w:spacing w:line="360" w:lineRule="auto"/>
              <w:jc w:val="center"/>
              <w:rPr>
                <w:rFonts w:eastAsia="仿宋_GB2312"/>
                <w:color w:val="000000"/>
                <w:kern w:val="0"/>
                <w:szCs w:val="21"/>
              </w:rPr>
            </w:pPr>
            <w:r>
              <w:rPr>
                <w:rFonts w:hint="eastAsia" w:eastAsia="仿宋_GB2312"/>
                <w:color w:val="000000"/>
                <w:kern w:val="0"/>
                <w:szCs w:val="21"/>
              </w:rPr>
              <w:t>2020年</w:t>
            </w:r>
          </w:p>
        </w:tc>
        <w:tc>
          <w:tcPr>
            <w:tcW w:w="670"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3" w:type="pct"/>
            <w:vMerge w:val="restart"/>
            <w:shd w:val="clear" w:color="auto" w:fill="auto"/>
            <w:noWrap/>
            <w:vAlign w:val="center"/>
          </w:tcPr>
          <w:p>
            <w:pPr>
              <w:widowControl/>
              <w:spacing w:line="360" w:lineRule="auto"/>
              <w:jc w:val="center"/>
              <w:rPr>
                <w:rFonts w:eastAsia="仿宋_GB2312"/>
                <w:color w:val="000000"/>
                <w:kern w:val="0"/>
                <w:szCs w:val="21"/>
              </w:rPr>
            </w:pPr>
            <w:r>
              <w:rPr>
                <w:rFonts w:eastAsia="仿宋_GB2312"/>
                <w:color w:val="000000"/>
                <w:kern w:val="0"/>
                <w:szCs w:val="21"/>
              </w:rPr>
              <w:t>江西省</w:t>
            </w:r>
          </w:p>
        </w:tc>
        <w:tc>
          <w:tcPr>
            <w:tcW w:w="592"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GDP</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16780.89</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18388.59</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20210.78</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22716.51</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24757.5</w:t>
            </w:r>
          </w:p>
        </w:tc>
        <w:tc>
          <w:tcPr>
            <w:tcW w:w="546" w:type="pct"/>
            <w:vAlign w:val="center"/>
          </w:tcPr>
          <w:p>
            <w:pPr>
              <w:jc w:val="center"/>
              <w:rPr>
                <w:rFonts w:eastAsia="等线"/>
                <w:color w:val="000000"/>
                <w:szCs w:val="21"/>
              </w:rPr>
            </w:pPr>
            <w:r>
              <w:rPr>
                <w:rFonts w:eastAsia="等线"/>
                <w:color w:val="000000"/>
                <w:szCs w:val="21"/>
              </w:rPr>
              <w:t>25691.5</w:t>
            </w:r>
          </w:p>
        </w:tc>
        <w:tc>
          <w:tcPr>
            <w:tcW w:w="670" w:type="pct"/>
            <w:shd w:val="clear" w:color="auto" w:fill="auto"/>
            <w:vAlign w:val="center"/>
          </w:tcPr>
          <w:p>
            <w:pPr>
              <w:jc w:val="center"/>
              <w:rPr>
                <w:rFonts w:eastAsia="等线"/>
                <w:color w:val="000000"/>
                <w:szCs w:val="21"/>
              </w:rPr>
            </w:pPr>
            <w:r>
              <w:rPr>
                <w:rFonts w:eastAsia="等线"/>
                <w:color w:val="000000"/>
                <w:szCs w:val="21"/>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63" w:type="pct"/>
            <w:vMerge w:val="continue"/>
            <w:vAlign w:val="center"/>
          </w:tcPr>
          <w:p>
            <w:pPr>
              <w:widowControl/>
              <w:spacing w:line="360" w:lineRule="auto"/>
              <w:jc w:val="left"/>
              <w:rPr>
                <w:rFonts w:eastAsia="仿宋_GB2312"/>
                <w:color w:val="000000"/>
                <w:kern w:val="0"/>
                <w:szCs w:val="21"/>
              </w:rPr>
            </w:pPr>
          </w:p>
        </w:tc>
        <w:tc>
          <w:tcPr>
            <w:tcW w:w="592"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年末常住人口</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4565.63</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4592.26</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4622.06</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4647.57</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4666.13</w:t>
            </w:r>
          </w:p>
        </w:tc>
        <w:tc>
          <w:tcPr>
            <w:tcW w:w="546" w:type="pct"/>
            <w:vAlign w:val="center"/>
          </w:tcPr>
          <w:p>
            <w:pPr>
              <w:jc w:val="center"/>
              <w:rPr>
                <w:rFonts w:eastAsia="等线"/>
                <w:szCs w:val="21"/>
              </w:rPr>
            </w:pPr>
            <w:r>
              <w:rPr>
                <w:rFonts w:eastAsia="等线"/>
                <w:szCs w:val="21"/>
              </w:rPr>
              <w:t xml:space="preserve">4518.9 </w:t>
            </w:r>
          </w:p>
        </w:tc>
        <w:tc>
          <w:tcPr>
            <w:tcW w:w="670" w:type="pct"/>
            <w:shd w:val="clear" w:color="auto" w:fill="auto"/>
            <w:vAlign w:val="center"/>
          </w:tcPr>
          <w:p>
            <w:pPr>
              <w:jc w:val="center"/>
              <w:rPr>
                <w:rFonts w:eastAsia="等线"/>
                <w:color w:val="000000"/>
                <w:szCs w:val="21"/>
              </w:rPr>
            </w:pPr>
            <w:r>
              <w:rPr>
                <w:rFonts w:eastAsia="等线"/>
                <w:color w:val="000000"/>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3" w:type="pct"/>
            <w:vMerge w:val="continue"/>
            <w:vAlign w:val="center"/>
          </w:tcPr>
          <w:p>
            <w:pPr>
              <w:widowControl/>
              <w:spacing w:line="360" w:lineRule="auto"/>
              <w:jc w:val="left"/>
              <w:rPr>
                <w:rFonts w:eastAsia="仿宋_GB2312"/>
                <w:color w:val="000000"/>
                <w:kern w:val="0"/>
                <w:szCs w:val="21"/>
              </w:rPr>
            </w:pPr>
          </w:p>
        </w:tc>
        <w:tc>
          <w:tcPr>
            <w:tcW w:w="592"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人均GDP</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36755 </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40043 </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43727 </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48878 </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53058 </w:t>
            </w:r>
          </w:p>
        </w:tc>
        <w:tc>
          <w:tcPr>
            <w:tcW w:w="546" w:type="pct"/>
            <w:vAlign w:val="center"/>
          </w:tcPr>
          <w:p>
            <w:pPr>
              <w:jc w:val="center"/>
              <w:rPr>
                <w:rFonts w:eastAsia="等线"/>
                <w:szCs w:val="21"/>
              </w:rPr>
            </w:pPr>
            <w:r>
              <w:rPr>
                <w:rFonts w:eastAsia="等线"/>
                <w:szCs w:val="21"/>
              </w:rPr>
              <w:t xml:space="preserve">56854 </w:t>
            </w:r>
          </w:p>
        </w:tc>
        <w:tc>
          <w:tcPr>
            <w:tcW w:w="670" w:type="pct"/>
            <w:shd w:val="clear" w:color="auto" w:fill="auto"/>
            <w:vAlign w:val="center"/>
          </w:tcPr>
          <w:p>
            <w:pPr>
              <w:jc w:val="center"/>
              <w:rPr>
                <w:rFonts w:eastAsia="等线"/>
                <w:color w:val="000000"/>
                <w:szCs w:val="21"/>
              </w:rPr>
            </w:pPr>
            <w:r>
              <w:rPr>
                <w:rFonts w:eastAsia="等线"/>
                <w:color w:val="000000"/>
                <w:szCs w:val="21"/>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3" w:type="pct"/>
            <w:vMerge w:val="restart"/>
            <w:shd w:val="clear" w:color="auto" w:fill="auto"/>
            <w:noWrap/>
            <w:vAlign w:val="center"/>
          </w:tcPr>
          <w:p>
            <w:pPr>
              <w:widowControl/>
              <w:spacing w:line="360" w:lineRule="auto"/>
              <w:jc w:val="center"/>
              <w:rPr>
                <w:rFonts w:eastAsia="仿宋_GB2312"/>
                <w:color w:val="000000"/>
                <w:kern w:val="0"/>
                <w:szCs w:val="21"/>
              </w:rPr>
            </w:pPr>
            <w:r>
              <w:rPr>
                <w:rFonts w:eastAsia="仿宋_GB2312"/>
                <w:color w:val="000000"/>
                <w:kern w:val="0"/>
                <w:szCs w:val="21"/>
              </w:rPr>
              <w:t>新余市</w:t>
            </w:r>
          </w:p>
        </w:tc>
        <w:tc>
          <w:tcPr>
            <w:tcW w:w="592"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GDP</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665.91</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726.44</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794.78</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889.77</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971.58</w:t>
            </w:r>
          </w:p>
        </w:tc>
        <w:tc>
          <w:tcPr>
            <w:tcW w:w="546" w:type="pct"/>
            <w:vAlign w:val="center"/>
          </w:tcPr>
          <w:p>
            <w:pPr>
              <w:jc w:val="center"/>
              <w:rPr>
                <w:rFonts w:eastAsia="等线"/>
                <w:color w:val="000000"/>
                <w:szCs w:val="21"/>
              </w:rPr>
            </w:pPr>
            <w:r>
              <w:rPr>
                <w:rFonts w:eastAsia="等线"/>
                <w:color w:val="000000"/>
                <w:szCs w:val="21"/>
              </w:rPr>
              <w:t>1001.33</w:t>
            </w:r>
          </w:p>
        </w:tc>
        <w:tc>
          <w:tcPr>
            <w:tcW w:w="670" w:type="pct"/>
            <w:shd w:val="clear" w:color="auto" w:fill="auto"/>
            <w:vAlign w:val="center"/>
          </w:tcPr>
          <w:p>
            <w:pPr>
              <w:jc w:val="center"/>
              <w:rPr>
                <w:rFonts w:eastAsia="等线"/>
                <w:color w:val="000000"/>
                <w:szCs w:val="21"/>
              </w:rPr>
            </w:pPr>
            <w:r>
              <w:rPr>
                <w:rFonts w:eastAsia="等线"/>
                <w:color w:val="000000"/>
                <w:szCs w:val="21"/>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3" w:type="pct"/>
            <w:vMerge w:val="continue"/>
            <w:vAlign w:val="center"/>
          </w:tcPr>
          <w:p>
            <w:pPr>
              <w:widowControl/>
              <w:spacing w:line="360" w:lineRule="auto"/>
              <w:jc w:val="left"/>
              <w:rPr>
                <w:rFonts w:eastAsia="仿宋_GB2312"/>
                <w:color w:val="000000"/>
                <w:kern w:val="0"/>
                <w:szCs w:val="21"/>
              </w:rPr>
            </w:pPr>
          </w:p>
        </w:tc>
        <w:tc>
          <w:tcPr>
            <w:tcW w:w="592"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年末常住人口</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116.67</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117.37</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118.07</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118.67</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119.34</w:t>
            </w:r>
          </w:p>
        </w:tc>
        <w:tc>
          <w:tcPr>
            <w:tcW w:w="546" w:type="pct"/>
            <w:vAlign w:val="center"/>
          </w:tcPr>
          <w:p>
            <w:pPr>
              <w:jc w:val="center"/>
              <w:rPr>
                <w:rFonts w:eastAsia="等线"/>
                <w:color w:val="000000"/>
                <w:szCs w:val="21"/>
              </w:rPr>
            </w:pPr>
            <w:r>
              <w:rPr>
                <w:rFonts w:eastAsia="等线"/>
                <w:color w:val="000000"/>
                <w:szCs w:val="21"/>
              </w:rPr>
              <w:t>120.33</w:t>
            </w:r>
          </w:p>
        </w:tc>
        <w:tc>
          <w:tcPr>
            <w:tcW w:w="670" w:type="pct"/>
            <w:shd w:val="clear" w:color="auto" w:fill="auto"/>
            <w:vAlign w:val="center"/>
          </w:tcPr>
          <w:p>
            <w:pPr>
              <w:jc w:val="center"/>
              <w:rPr>
                <w:rFonts w:eastAsia="等线"/>
                <w:color w:val="000000"/>
                <w:szCs w:val="21"/>
              </w:rPr>
            </w:pPr>
            <w:r>
              <w:rPr>
                <w:rFonts w:eastAsia="等线"/>
                <w:color w:val="000000"/>
                <w:szCs w:val="21"/>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3" w:type="pct"/>
            <w:vMerge w:val="continue"/>
            <w:vAlign w:val="center"/>
          </w:tcPr>
          <w:p>
            <w:pPr>
              <w:widowControl/>
              <w:spacing w:line="360" w:lineRule="auto"/>
              <w:jc w:val="left"/>
              <w:rPr>
                <w:rFonts w:eastAsia="仿宋_GB2312"/>
                <w:color w:val="000000"/>
                <w:kern w:val="0"/>
                <w:szCs w:val="21"/>
              </w:rPr>
            </w:pPr>
          </w:p>
        </w:tc>
        <w:tc>
          <w:tcPr>
            <w:tcW w:w="592"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人均GDP</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57076 </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61893 </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67314 </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74979 </w:t>
            </w:r>
          </w:p>
        </w:tc>
        <w:tc>
          <w:tcPr>
            <w:tcW w:w="546" w:type="pct"/>
            <w:shd w:val="clear" w:color="auto" w:fill="auto"/>
            <w:vAlign w:val="center"/>
          </w:tcPr>
          <w:p>
            <w:pPr>
              <w:widowControl/>
              <w:spacing w:line="360" w:lineRule="auto"/>
              <w:jc w:val="center"/>
              <w:rPr>
                <w:rFonts w:eastAsia="仿宋_GB2312"/>
                <w:color w:val="000000"/>
                <w:kern w:val="0"/>
                <w:szCs w:val="21"/>
              </w:rPr>
            </w:pPr>
            <w:r>
              <w:rPr>
                <w:rFonts w:eastAsia="仿宋_GB2312"/>
                <w:color w:val="000000"/>
                <w:kern w:val="0"/>
                <w:szCs w:val="21"/>
              </w:rPr>
              <w:t xml:space="preserve">81413 </w:t>
            </w:r>
          </w:p>
        </w:tc>
        <w:tc>
          <w:tcPr>
            <w:tcW w:w="546" w:type="pct"/>
            <w:vAlign w:val="center"/>
          </w:tcPr>
          <w:p>
            <w:pPr>
              <w:jc w:val="center"/>
              <w:rPr>
                <w:rFonts w:eastAsia="等线"/>
                <w:szCs w:val="21"/>
              </w:rPr>
            </w:pPr>
            <w:r>
              <w:rPr>
                <w:rFonts w:eastAsia="等线"/>
                <w:szCs w:val="21"/>
              </w:rPr>
              <w:t xml:space="preserve">83215 </w:t>
            </w:r>
          </w:p>
        </w:tc>
        <w:tc>
          <w:tcPr>
            <w:tcW w:w="670" w:type="pct"/>
            <w:shd w:val="clear" w:color="auto" w:fill="auto"/>
            <w:vAlign w:val="center"/>
          </w:tcPr>
          <w:p>
            <w:pPr>
              <w:jc w:val="center"/>
              <w:rPr>
                <w:rFonts w:eastAsia="等线"/>
                <w:color w:val="000000"/>
                <w:szCs w:val="21"/>
              </w:rPr>
            </w:pPr>
            <w:r>
              <w:rPr>
                <w:rFonts w:eastAsia="等线"/>
                <w:color w:val="000000"/>
                <w:szCs w:val="21"/>
              </w:rPr>
              <w:t>7.83%</w:t>
            </w:r>
          </w:p>
        </w:tc>
      </w:tr>
    </w:tbl>
    <w:p>
      <w:pPr>
        <w:ind w:firstLine="640"/>
        <w:rPr>
          <w:rFonts w:eastAsia="仿宋_GB2312"/>
          <w:sz w:val="32"/>
          <w:szCs w:val="32"/>
        </w:rPr>
      </w:pPr>
      <w:r>
        <w:rPr>
          <w:rFonts w:eastAsia="仿宋_GB2312"/>
          <w:sz w:val="32"/>
          <w:szCs w:val="32"/>
        </w:rPr>
        <w:t>“十四五”时期，我市具备良好的经济发展基础和其潜力</w:t>
      </w:r>
      <w:r>
        <w:rPr>
          <w:rFonts w:hint="eastAsia" w:eastAsia="仿宋_GB2312"/>
          <w:sz w:val="32"/>
          <w:szCs w:val="32"/>
        </w:rPr>
        <w:t>：一、</w:t>
      </w:r>
      <w:r>
        <w:rPr>
          <w:rFonts w:eastAsia="仿宋_GB2312"/>
          <w:sz w:val="32"/>
          <w:szCs w:val="32"/>
        </w:rPr>
        <w:t>我国已经转向高质量发展阶段，综合国力日益强大，制度优势日益彰显，治理效能显著提升，发展长期向好的基本面没有改变，为我市保持经济社会平稳健康发展提供了总体有利的环境；二、新一轮科技革命和产业变革深入发展，国内大循环为主体、国际国内双循环相互促进的新发展格局逐渐形成，必将催生新一轮政策机遇、市场机遇和开放机遇，为我市推动高质量发展提供新动力；三、长江经济带、粤港澳大湾区、国家内陆开放型经济试验区等重大战略深入实施，生产力布局将向内陆腹地拓展，新宜吉六县转型合作加速推进，有利于我市全方位拓展新发展空间；四、创新驱动、扩大内需、深化市场体制改革、城乡融合发展等新一轮宏观发展政策的实施，有利于全面激发我市经济发展活力动力；五、习近平总书记对江西提出“作示范、勇争先”目标定位和“五个推进”重要要求，为做好新时代新余改革发展工作提供了根本遵循、注入了强劲动力。</w:t>
      </w:r>
    </w:p>
    <w:p>
      <w:pPr>
        <w:spacing w:line="360" w:lineRule="auto"/>
        <w:ind w:firstLine="640" w:firstLineChars="200"/>
        <w:rPr>
          <w:rFonts w:eastAsia="仿宋_GB2312"/>
          <w:sz w:val="32"/>
          <w:szCs w:val="32"/>
        </w:rPr>
      </w:pPr>
      <w:r>
        <w:rPr>
          <w:rFonts w:eastAsia="仿宋_GB2312"/>
          <w:sz w:val="32"/>
          <w:szCs w:val="32"/>
        </w:rPr>
        <w:t>根据《新余市国民经济和社会发展第十四个五年规划和二〇三五年远景目标纲要》，结合经济发展现状和“十四五”经济发展潜力分析，预计至</w:t>
      </w:r>
      <w:r>
        <w:rPr>
          <w:rFonts w:hint="eastAsia" w:eastAsia="仿宋_GB2312"/>
          <w:sz w:val="32"/>
          <w:szCs w:val="32"/>
        </w:rPr>
        <w:t>2025年GDP达到1500亿元左右，年均增长7%左右</w:t>
      </w:r>
      <w:r>
        <w:rPr>
          <w:rFonts w:eastAsia="仿宋_GB2312"/>
          <w:sz w:val="32"/>
          <w:szCs w:val="32"/>
        </w:rPr>
        <w:t>。</w:t>
      </w:r>
    </w:p>
    <w:p>
      <w:pPr>
        <w:keepNext/>
        <w:keepLines/>
        <w:spacing w:line="360" w:lineRule="auto"/>
        <w:ind w:firstLine="643" w:firstLineChars="200"/>
        <w:outlineLvl w:val="1"/>
        <w:rPr>
          <w:rFonts w:eastAsia="楷体_GB2312"/>
          <w:b/>
          <w:bCs/>
          <w:sz w:val="32"/>
          <w:szCs w:val="32"/>
        </w:rPr>
      </w:pPr>
      <w:bookmarkStart w:id="54" w:name="_Toc66178632"/>
      <w:bookmarkStart w:id="55" w:name="_Toc58335372"/>
      <w:bookmarkStart w:id="56" w:name="_Toc66178696"/>
      <w:r>
        <w:rPr>
          <w:rFonts w:eastAsia="楷体_GB2312"/>
          <w:b/>
          <w:bCs/>
          <w:sz w:val="32"/>
          <w:szCs w:val="32"/>
        </w:rPr>
        <w:t>二、能源产能预测</w:t>
      </w:r>
      <w:bookmarkEnd w:id="54"/>
      <w:bookmarkEnd w:id="55"/>
      <w:bookmarkEnd w:id="56"/>
    </w:p>
    <w:p>
      <w:pPr>
        <w:spacing w:line="360" w:lineRule="auto"/>
        <w:ind w:firstLine="640" w:firstLineChars="200"/>
        <w:rPr>
          <w:rFonts w:eastAsia="仿宋_GB2312"/>
          <w:sz w:val="32"/>
          <w:szCs w:val="32"/>
        </w:rPr>
      </w:pPr>
      <w:r>
        <w:rPr>
          <w:rFonts w:eastAsia="仿宋_GB2312"/>
          <w:sz w:val="32"/>
          <w:szCs w:val="32"/>
        </w:rPr>
        <w:t>一次能源生产主要包括煤炭及水电、光伏、风电、</w:t>
      </w:r>
      <w:r>
        <w:rPr>
          <w:rFonts w:hint="eastAsia" w:eastAsia="仿宋_GB2312"/>
          <w:sz w:val="32"/>
          <w:szCs w:val="32"/>
        </w:rPr>
        <w:t>生物质、垃圾电厂</w:t>
      </w:r>
      <w:r>
        <w:rPr>
          <w:rFonts w:eastAsia="仿宋_GB2312"/>
          <w:sz w:val="32"/>
          <w:szCs w:val="32"/>
        </w:rPr>
        <w:t>等非化石能源发电。</w:t>
      </w:r>
    </w:p>
    <w:p>
      <w:pPr>
        <w:ind w:firstLine="640"/>
        <w:rPr>
          <w:rFonts w:eastAsia="仿宋_GB2312"/>
          <w:sz w:val="32"/>
          <w:szCs w:val="32"/>
        </w:rPr>
      </w:pPr>
      <w:r>
        <w:rPr>
          <w:rFonts w:eastAsia="仿宋_GB2312"/>
          <w:sz w:val="32"/>
          <w:szCs w:val="32"/>
        </w:rPr>
        <w:t>我市年产能</w:t>
      </w:r>
      <w:r>
        <w:rPr>
          <w:rFonts w:hint="eastAsia" w:eastAsia="仿宋_GB2312"/>
          <w:sz w:val="32"/>
          <w:szCs w:val="32"/>
        </w:rPr>
        <w:t>9万吨及以下煤矿已全部关停，现状仅剩花鼓山煤矿，2020年</w:t>
      </w:r>
      <w:r>
        <w:rPr>
          <w:rFonts w:eastAsia="仿宋_GB2312"/>
          <w:sz w:val="32"/>
          <w:szCs w:val="32"/>
        </w:rPr>
        <w:t>产能23</w:t>
      </w:r>
      <w:r>
        <w:rPr>
          <w:rFonts w:hint="eastAsia" w:eastAsia="仿宋_GB2312"/>
          <w:sz w:val="32"/>
          <w:szCs w:val="32"/>
        </w:rPr>
        <w:t>万吨</w:t>
      </w:r>
      <w:r>
        <w:rPr>
          <w:rFonts w:eastAsia="仿宋_GB2312"/>
          <w:sz w:val="32"/>
          <w:szCs w:val="32"/>
        </w:rPr>
        <w:t>。</w:t>
      </w:r>
      <w:r>
        <w:rPr>
          <w:rFonts w:hint="eastAsia" w:eastAsia="仿宋_GB2312"/>
          <w:sz w:val="32"/>
          <w:szCs w:val="32"/>
        </w:rPr>
        <w:t>根据</w:t>
      </w:r>
      <w:r>
        <w:rPr>
          <w:rFonts w:eastAsia="仿宋_GB2312"/>
          <w:sz w:val="32"/>
          <w:szCs w:val="32"/>
        </w:rPr>
        <w:t>《江西省“十四五”</w:t>
      </w:r>
      <w:r>
        <w:rPr>
          <w:rFonts w:hint="eastAsia" w:eastAsia="仿宋_GB2312"/>
          <w:sz w:val="32"/>
          <w:szCs w:val="32"/>
        </w:rPr>
        <w:t>能源发展</w:t>
      </w:r>
      <w:r>
        <w:rPr>
          <w:rFonts w:eastAsia="仿宋_GB2312"/>
          <w:sz w:val="32"/>
          <w:szCs w:val="32"/>
        </w:rPr>
        <w:t>规划》</w:t>
      </w:r>
      <w:r>
        <w:rPr>
          <w:rFonts w:hint="eastAsia" w:eastAsia="仿宋_GB2312"/>
          <w:sz w:val="32"/>
          <w:szCs w:val="32"/>
        </w:rPr>
        <w:t>，有序推进行业供给侧结构性改革，省内煤炭产量控制在3</w:t>
      </w:r>
      <w:r>
        <w:rPr>
          <w:rFonts w:eastAsia="仿宋_GB2312"/>
          <w:sz w:val="32"/>
          <w:szCs w:val="32"/>
        </w:rPr>
        <w:t>00</w:t>
      </w:r>
      <w:r>
        <w:rPr>
          <w:rFonts w:hint="eastAsia" w:eastAsia="仿宋_GB2312"/>
          <w:sz w:val="32"/>
          <w:szCs w:val="32"/>
        </w:rPr>
        <w:t>万吨/年左右，花鼓山煤矿年产能较小，暂按2</w:t>
      </w:r>
      <w:r>
        <w:rPr>
          <w:rFonts w:eastAsia="仿宋_GB2312"/>
          <w:sz w:val="32"/>
          <w:szCs w:val="32"/>
        </w:rPr>
        <w:t>025</w:t>
      </w:r>
      <w:r>
        <w:rPr>
          <w:rFonts w:hint="eastAsia" w:eastAsia="仿宋_GB2312"/>
          <w:sz w:val="32"/>
          <w:szCs w:val="32"/>
        </w:rPr>
        <w:t>年关停考虑。</w:t>
      </w:r>
    </w:p>
    <w:p>
      <w:pPr>
        <w:spacing w:line="360" w:lineRule="auto"/>
        <w:ind w:firstLine="640" w:firstLineChars="200"/>
        <w:rPr>
          <w:rFonts w:eastAsia="仿宋_GB2312"/>
          <w:sz w:val="32"/>
          <w:szCs w:val="32"/>
        </w:rPr>
      </w:pPr>
      <w:r>
        <w:rPr>
          <w:rFonts w:eastAsia="仿宋_GB2312"/>
          <w:sz w:val="32"/>
          <w:szCs w:val="32"/>
        </w:rPr>
        <w:t>根据我市已有非化石能源电力装机及《江西省</w:t>
      </w:r>
      <w:r>
        <w:rPr>
          <w:rFonts w:hint="eastAsia" w:eastAsia="仿宋_GB2312"/>
          <w:sz w:val="32"/>
          <w:szCs w:val="32"/>
        </w:rPr>
        <w:t>电力发展</w:t>
      </w:r>
      <w:r>
        <w:rPr>
          <w:rFonts w:eastAsia="仿宋_GB2312"/>
          <w:sz w:val="32"/>
          <w:szCs w:val="32"/>
        </w:rPr>
        <w:t>“十四五”规划》最新成果，预计至2025年，水电装机5.1万千瓦，风电装机30万千瓦，光伏装机150万千瓦，</w:t>
      </w:r>
      <w:r>
        <w:rPr>
          <w:rFonts w:hint="eastAsia" w:eastAsia="仿宋_GB2312"/>
          <w:sz w:val="32"/>
          <w:szCs w:val="32"/>
        </w:rPr>
        <w:t>生物质发电装机3</w:t>
      </w:r>
      <w:r>
        <w:rPr>
          <w:rFonts w:eastAsia="仿宋_GB2312"/>
          <w:sz w:val="32"/>
          <w:szCs w:val="32"/>
        </w:rPr>
        <w:t>.3</w:t>
      </w:r>
      <w:r>
        <w:rPr>
          <w:rFonts w:hint="eastAsia" w:eastAsia="仿宋_GB2312"/>
          <w:sz w:val="32"/>
          <w:szCs w:val="32"/>
        </w:rPr>
        <w:t>万千瓦，垃圾</w:t>
      </w:r>
      <w:r>
        <w:rPr>
          <w:rFonts w:eastAsia="仿宋_GB2312"/>
          <w:sz w:val="32"/>
          <w:szCs w:val="32"/>
        </w:rPr>
        <w:t>发电装机</w:t>
      </w:r>
      <w:r>
        <w:rPr>
          <w:rFonts w:hint="eastAsia" w:eastAsia="仿宋_GB2312"/>
          <w:sz w:val="32"/>
          <w:szCs w:val="32"/>
        </w:rPr>
        <w:t>1.8</w:t>
      </w:r>
      <w:r>
        <w:rPr>
          <w:rFonts w:eastAsia="仿宋_GB2312"/>
          <w:sz w:val="32"/>
          <w:szCs w:val="32"/>
        </w:rPr>
        <w:t>万千瓦。结合能源资源利用条件，经测算，2025年非化石能源装机发电量约24.9亿千瓦时，折合约100.4万吨标煤。</w:t>
      </w:r>
    </w:p>
    <w:p>
      <w:pPr>
        <w:pStyle w:val="27"/>
        <w:jc w:val="center"/>
        <w:rPr>
          <w:rFonts w:eastAsia="仿宋_GB2312"/>
          <w:sz w:val="21"/>
          <w:szCs w:val="20"/>
        </w:rPr>
      </w:pPr>
      <w:r>
        <w:rPr>
          <w:rFonts w:eastAsia="仿宋_GB2312"/>
          <w:sz w:val="21"/>
          <w:szCs w:val="20"/>
        </w:rPr>
        <w:t>表2-1：非化石能源产量单位：万千瓦、亿千瓦时、万吨标煤</w:t>
      </w:r>
    </w:p>
    <w:tbl>
      <w:tblPr>
        <w:tblStyle w:val="14"/>
        <w:tblW w:w="5000" w:type="pct"/>
        <w:tblInd w:w="0" w:type="dxa"/>
        <w:tblLayout w:type="autofit"/>
        <w:tblCellMar>
          <w:top w:w="0" w:type="dxa"/>
          <w:left w:w="108" w:type="dxa"/>
          <w:bottom w:w="0" w:type="dxa"/>
          <w:right w:w="108" w:type="dxa"/>
        </w:tblCellMar>
      </w:tblPr>
      <w:tblGrid>
        <w:gridCol w:w="3359"/>
        <w:gridCol w:w="1372"/>
        <w:gridCol w:w="1686"/>
        <w:gridCol w:w="2105"/>
      </w:tblGrid>
      <w:tr>
        <w:tblPrEx>
          <w:tblCellMar>
            <w:top w:w="0" w:type="dxa"/>
            <w:left w:w="108" w:type="dxa"/>
            <w:bottom w:w="0" w:type="dxa"/>
            <w:right w:w="108" w:type="dxa"/>
          </w:tblCellMar>
        </w:tblPrEx>
        <w:trPr>
          <w:trHeight w:val="280" w:hRule="atLeast"/>
        </w:trPr>
        <w:tc>
          <w:tcPr>
            <w:tcW w:w="19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类型</w:t>
            </w:r>
          </w:p>
        </w:tc>
        <w:tc>
          <w:tcPr>
            <w:tcW w:w="8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装机</w:t>
            </w:r>
          </w:p>
        </w:tc>
        <w:tc>
          <w:tcPr>
            <w:tcW w:w="9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发电量</w:t>
            </w:r>
          </w:p>
        </w:tc>
        <w:tc>
          <w:tcPr>
            <w:tcW w:w="12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折标煤量</w:t>
            </w:r>
          </w:p>
        </w:tc>
      </w:tr>
      <w:tr>
        <w:tblPrEx>
          <w:tblCellMar>
            <w:top w:w="0" w:type="dxa"/>
            <w:left w:w="108" w:type="dxa"/>
            <w:bottom w:w="0" w:type="dxa"/>
            <w:right w:w="108" w:type="dxa"/>
          </w:tblCellMar>
        </w:tblPrEx>
        <w:trPr>
          <w:trHeight w:val="280" w:hRule="atLeast"/>
        </w:trPr>
        <w:tc>
          <w:tcPr>
            <w:tcW w:w="197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非化石能源产量</w:t>
            </w:r>
          </w:p>
        </w:tc>
        <w:tc>
          <w:tcPr>
            <w:tcW w:w="80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90.2</w:t>
            </w:r>
          </w:p>
        </w:tc>
        <w:tc>
          <w:tcPr>
            <w:tcW w:w="989"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eastAsia="等线"/>
                <w:color w:val="000000"/>
                <w:szCs w:val="21"/>
              </w:rPr>
              <w:t>24.9</w:t>
            </w:r>
          </w:p>
        </w:tc>
        <w:tc>
          <w:tcPr>
            <w:tcW w:w="123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eastAsia="等线"/>
                <w:color w:val="000000"/>
                <w:szCs w:val="21"/>
              </w:rPr>
              <w:t>100.4</w:t>
            </w:r>
          </w:p>
        </w:tc>
      </w:tr>
      <w:tr>
        <w:tblPrEx>
          <w:tblCellMar>
            <w:top w:w="0" w:type="dxa"/>
            <w:left w:w="108" w:type="dxa"/>
            <w:bottom w:w="0" w:type="dxa"/>
            <w:right w:w="108" w:type="dxa"/>
          </w:tblCellMar>
        </w:tblPrEx>
        <w:trPr>
          <w:trHeight w:val="280" w:hRule="atLeast"/>
        </w:trPr>
        <w:tc>
          <w:tcPr>
            <w:tcW w:w="1971"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color w:val="000000"/>
                <w:kern w:val="0"/>
                <w:szCs w:val="21"/>
              </w:rPr>
            </w:pPr>
            <w:r>
              <w:rPr>
                <w:rFonts w:eastAsia="仿宋_GB2312"/>
                <w:color w:val="000000"/>
                <w:kern w:val="0"/>
                <w:szCs w:val="21"/>
              </w:rPr>
              <w:t>其中：水电</w:t>
            </w:r>
          </w:p>
        </w:tc>
        <w:tc>
          <w:tcPr>
            <w:tcW w:w="80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5</w:t>
            </w:r>
            <w:r>
              <w:rPr>
                <w:rFonts w:eastAsia="等线"/>
                <w:color w:val="000000"/>
                <w:szCs w:val="21"/>
              </w:rPr>
              <w:t>.1</w:t>
            </w:r>
          </w:p>
        </w:tc>
        <w:tc>
          <w:tcPr>
            <w:tcW w:w="989"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.3</w:t>
            </w:r>
          </w:p>
        </w:tc>
        <w:tc>
          <w:tcPr>
            <w:tcW w:w="123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5</w:t>
            </w:r>
            <w:r>
              <w:rPr>
                <w:rFonts w:eastAsia="等线"/>
                <w:color w:val="000000"/>
                <w:szCs w:val="21"/>
              </w:rPr>
              <w:t>.3</w:t>
            </w:r>
          </w:p>
        </w:tc>
      </w:tr>
      <w:tr>
        <w:tblPrEx>
          <w:tblCellMar>
            <w:top w:w="0" w:type="dxa"/>
            <w:left w:w="108" w:type="dxa"/>
            <w:bottom w:w="0" w:type="dxa"/>
            <w:right w:w="108" w:type="dxa"/>
          </w:tblCellMar>
        </w:tblPrEx>
        <w:trPr>
          <w:trHeight w:val="280" w:hRule="atLeast"/>
        </w:trPr>
        <w:tc>
          <w:tcPr>
            <w:tcW w:w="1971"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color w:val="000000"/>
                <w:kern w:val="0"/>
                <w:szCs w:val="21"/>
              </w:rPr>
            </w:pPr>
            <w:r>
              <w:rPr>
                <w:rFonts w:eastAsia="仿宋_GB2312"/>
                <w:color w:val="000000"/>
                <w:kern w:val="0"/>
                <w:szCs w:val="21"/>
              </w:rPr>
              <w:t>风电</w:t>
            </w:r>
          </w:p>
        </w:tc>
        <w:tc>
          <w:tcPr>
            <w:tcW w:w="80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3</w:t>
            </w:r>
            <w:r>
              <w:rPr>
                <w:rFonts w:eastAsia="等线"/>
                <w:color w:val="000000"/>
                <w:szCs w:val="21"/>
              </w:rPr>
              <w:t>0</w:t>
            </w:r>
          </w:p>
        </w:tc>
        <w:tc>
          <w:tcPr>
            <w:tcW w:w="989"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4</w:t>
            </w:r>
            <w:r>
              <w:rPr>
                <w:rFonts w:eastAsia="等线"/>
                <w:color w:val="000000"/>
                <w:szCs w:val="21"/>
              </w:rPr>
              <w:t>.8</w:t>
            </w:r>
          </w:p>
        </w:tc>
        <w:tc>
          <w:tcPr>
            <w:tcW w:w="123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9.4</w:t>
            </w:r>
          </w:p>
        </w:tc>
      </w:tr>
      <w:tr>
        <w:tblPrEx>
          <w:tblCellMar>
            <w:top w:w="0" w:type="dxa"/>
            <w:left w:w="108" w:type="dxa"/>
            <w:bottom w:w="0" w:type="dxa"/>
            <w:right w:w="108" w:type="dxa"/>
          </w:tblCellMar>
        </w:tblPrEx>
        <w:trPr>
          <w:trHeight w:val="280" w:hRule="atLeast"/>
        </w:trPr>
        <w:tc>
          <w:tcPr>
            <w:tcW w:w="1971"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color w:val="000000"/>
                <w:kern w:val="0"/>
                <w:szCs w:val="21"/>
              </w:rPr>
            </w:pPr>
            <w:r>
              <w:rPr>
                <w:rFonts w:eastAsia="仿宋_GB2312"/>
                <w:color w:val="000000"/>
                <w:kern w:val="0"/>
                <w:szCs w:val="21"/>
              </w:rPr>
              <w:t>光伏</w:t>
            </w:r>
          </w:p>
        </w:tc>
        <w:tc>
          <w:tcPr>
            <w:tcW w:w="80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50</w:t>
            </w:r>
          </w:p>
        </w:tc>
        <w:tc>
          <w:tcPr>
            <w:tcW w:w="989"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eastAsia="等线"/>
                <w:color w:val="000000"/>
                <w:szCs w:val="21"/>
              </w:rPr>
              <w:t>15</w:t>
            </w:r>
          </w:p>
        </w:tc>
        <w:tc>
          <w:tcPr>
            <w:tcW w:w="123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eastAsia="等线"/>
                <w:color w:val="000000"/>
                <w:szCs w:val="21"/>
              </w:rPr>
              <w:t>60.6</w:t>
            </w:r>
          </w:p>
        </w:tc>
      </w:tr>
      <w:tr>
        <w:tblPrEx>
          <w:tblCellMar>
            <w:top w:w="0" w:type="dxa"/>
            <w:left w:w="108" w:type="dxa"/>
            <w:bottom w:w="0" w:type="dxa"/>
            <w:right w:w="108" w:type="dxa"/>
          </w:tblCellMar>
        </w:tblPrEx>
        <w:trPr>
          <w:trHeight w:val="280" w:hRule="atLeast"/>
        </w:trPr>
        <w:tc>
          <w:tcPr>
            <w:tcW w:w="1971"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color w:val="000000"/>
                <w:kern w:val="0"/>
                <w:szCs w:val="21"/>
              </w:rPr>
            </w:pPr>
            <w:r>
              <w:rPr>
                <w:rFonts w:hint="eastAsia" w:eastAsia="仿宋_GB2312"/>
                <w:color w:val="000000"/>
                <w:kern w:val="0"/>
                <w:szCs w:val="21"/>
              </w:rPr>
              <w:t>生物质发电</w:t>
            </w:r>
          </w:p>
        </w:tc>
        <w:tc>
          <w:tcPr>
            <w:tcW w:w="80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3</w:t>
            </w:r>
            <w:r>
              <w:rPr>
                <w:rFonts w:eastAsia="等线"/>
                <w:color w:val="000000"/>
                <w:szCs w:val="21"/>
              </w:rPr>
              <w:t>.3</w:t>
            </w:r>
          </w:p>
        </w:tc>
        <w:tc>
          <w:tcPr>
            <w:tcW w:w="989"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2</w:t>
            </w:r>
            <w:r>
              <w:rPr>
                <w:rFonts w:eastAsia="等线"/>
                <w:color w:val="000000"/>
                <w:szCs w:val="21"/>
              </w:rPr>
              <w:t>.3</w:t>
            </w:r>
          </w:p>
        </w:tc>
        <w:tc>
          <w:tcPr>
            <w:tcW w:w="123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9</w:t>
            </w:r>
            <w:r>
              <w:rPr>
                <w:rFonts w:eastAsia="等线"/>
                <w:color w:val="000000"/>
                <w:szCs w:val="21"/>
              </w:rPr>
              <w:t>.3</w:t>
            </w:r>
          </w:p>
        </w:tc>
      </w:tr>
      <w:tr>
        <w:tblPrEx>
          <w:tblCellMar>
            <w:top w:w="0" w:type="dxa"/>
            <w:left w:w="108" w:type="dxa"/>
            <w:bottom w:w="0" w:type="dxa"/>
            <w:right w:w="108" w:type="dxa"/>
          </w:tblCellMar>
        </w:tblPrEx>
        <w:trPr>
          <w:trHeight w:val="280" w:hRule="atLeast"/>
        </w:trPr>
        <w:tc>
          <w:tcPr>
            <w:tcW w:w="1971"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color w:val="000000"/>
                <w:kern w:val="0"/>
                <w:szCs w:val="21"/>
              </w:rPr>
            </w:pPr>
            <w:r>
              <w:rPr>
                <w:rFonts w:hint="eastAsia" w:eastAsia="仿宋_GB2312"/>
                <w:color w:val="000000"/>
                <w:kern w:val="0"/>
                <w:szCs w:val="21"/>
              </w:rPr>
              <w:t>垃圾发电</w:t>
            </w:r>
          </w:p>
        </w:tc>
        <w:tc>
          <w:tcPr>
            <w:tcW w:w="80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.8</w:t>
            </w:r>
          </w:p>
        </w:tc>
        <w:tc>
          <w:tcPr>
            <w:tcW w:w="989"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.4</w:t>
            </w:r>
          </w:p>
        </w:tc>
        <w:tc>
          <w:tcPr>
            <w:tcW w:w="1235"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5</w:t>
            </w:r>
            <w:r>
              <w:rPr>
                <w:rFonts w:eastAsia="等线"/>
                <w:color w:val="000000"/>
                <w:szCs w:val="21"/>
              </w:rPr>
              <w:t>.8</w:t>
            </w:r>
          </w:p>
        </w:tc>
      </w:tr>
    </w:tbl>
    <w:p>
      <w:pPr>
        <w:spacing w:line="360" w:lineRule="auto"/>
        <w:ind w:firstLine="640" w:firstLineChars="200"/>
        <w:rPr>
          <w:rFonts w:eastAsia="仿宋_GB2312"/>
          <w:sz w:val="32"/>
          <w:szCs w:val="32"/>
        </w:rPr>
      </w:pPr>
      <w:r>
        <w:rPr>
          <w:rFonts w:eastAsia="仿宋_GB2312"/>
          <w:sz w:val="32"/>
          <w:szCs w:val="32"/>
        </w:rPr>
        <w:t>综上分析，预计</w:t>
      </w:r>
      <w:r>
        <w:rPr>
          <w:rFonts w:hint="eastAsia" w:eastAsia="仿宋_GB2312"/>
          <w:sz w:val="32"/>
          <w:szCs w:val="32"/>
        </w:rPr>
        <w:t>至</w:t>
      </w:r>
      <w:r>
        <w:rPr>
          <w:rFonts w:eastAsia="仿宋_GB2312"/>
          <w:sz w:val="32"/>
          <w:szCs w:val="32"/>
        </w:rPr>
        <w:t>2025年，一次能源生产总量约为100.4万吨标煤，</w:t>
      </w:r>
      <w:r>
        <w:rPr>
          <w:rFonts w:hint="eastAsia" w:eastAsia="仿宋_GB2312"/>
          <w:sz w:val="32"/>
          <w:szCs w:val="32"/>
        </w:rPr>
        <w:t>均为</w:t>
      </w:r>
      <w:r>
        <w:rPr>
          <w:rFonts w:eastAsia="仿宋_GB2312"/>
          <w:sz w:val="32"/>
          <w:szCs w:val="32"/>
        </w:rPr>
        <w:t>非化石能源。</w:t>
      </w:r>
    </w:p>
    <w:p>
      <w:pPr>
        <w:pStyle w:val="27"/>
        <w:jc w:val="center"/>
        <w:rPr>
          <w:rFonts w:eastAsia="仿宋_GB2312"/>
          <w:sz w:val="21"/>
          <w:szCs w:val="20"/>
        </w:rPr>
      </w:pPr>
      <w:r>
        <w:rPr>
          <w:rFonts w:eastAsia="仿宋_GB2312"/>
          <w:sz w:val="21"/>
          <w:szCs w:val="20"/>
        </w:rPr>
        <w:t>表2-2：一次能源产量单位：万吨、</w:t>
      </w:r>
      <w:r>
        <w:rPr>
          <w:rFonts w:hint="eastAsia" w:eastAsia="仿宋_GB2312"/>
          <w:sz w:val="21"/>
          <w:szCs w:val="20"/>
        </w:rPr>
        <w:t>亿千瓦时、</w:t>
      </w:r>
      <w:r>
        <w:rPr>
          <w:rFonts w:eastAsia="仿宋_GB2312"/>
          <w:sz w:val="21"/>
          <w:szCs w:val="20"/>
        </w:rPr>
        <w:t>万吨标煤</w:t>
      </w:r>
    </w:p>
    <w:tbl>
      <w:tblPr>
        <w:tblStyle w:val="14"/>
        <w:tblW w:w="5000" w:type="pct"/>
        <w:tblInd w:w="0" w:type="dxa"/>
        <w:tblLayout w:type="autofit"/>
        <w:tblCellMar>
          <w:top w:w="0" w:type="dxa"/>
          <w:left w:w="108" w:type="dxa"/>
          <w:bottom w:w="0" w:type="dxa"/>
          <w:right w:w="108" w:type="dxa"/>
        </w:tblCellMar>
      </w:tblPr>
      <w:tblGrid>
        <w:gridCol w:w="4254"/>
        <w:gridCol w:w="1899"/>
        <w:gridCol w:w="2369"/>
      </w:tblGrid>
      <w:tr>
        <w:tblPrEx>
          <w:tblCellMar>
            <w:top w:w="0" w:type="dxa"/>
            <w:left w:w="108" w:type="dxa"/>
            <w:bottom w:w="0" w:type="dxa"/>
            <w:right w:w="108" w:type="dxa"/>
          </w:tblCellMar>
        </w:tblPrEx>
        <w:trPr>
          <w:trHeight w:val="280" w:hRule="atLeast"/>
        </w:trPr>
        <w:tc>
          <w:tcPr>
            <w:tcW w:w="24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w:t>
            </w:r>
          </w:p>
        </w:tc>
        <w:tc>
          <w:tcPr>
            <w:tcW w:w="11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实物量</w:t>
            </w:r>
          </w:p>
        </w:tc>
        <w:tc>
          <w:tcPr>
            <w:tcW w:w="139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折标煤量</w:t>
            </w:r>
          </w:p>
        </w:tc>
      </w:tr>
      <w:tr>
        <w:tblPrEx>
          <w:tblCellMar>
            <w:top w:w="0" w:type="dxa"/>
            <w:left w:w="108" w:type="dxa"/>
            <w:bottom w:w="0" w:type="dxa"/>
            <w:right w:w="108" w:type="dxa"/>
          </w:tblCellMar>
        </w:tblPrEx>
        <w:trPr>
          <w:trHeight w:val="280" w:hRule="atLeast"/>
        </w:trPr>
        <w:tc>
          <w:tcPr>
            <w:tcW w:w="24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一次能源生产总量</w:t>
            </w:r>
          </w:p>
        </w:tc>
        <w:tc>
          <w:tcPr>
            <w:tcW w:w="1114"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eastAsia="等线"/>
                <w:color w:val="000000"/>
                <w:szCs w:val="21"/>
              </w:rPr>
              <w:t>　</w:t>
            </w:r>
          </w:p>
        </w:tc>
        <w:tc>
          <w:tcPr>
            <w:tcW w:w="1390"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eastAsia="等线"/>
                <w:color w:val="000000"/>
                <w:szCs w:val="21"/>
              </w:rPr>
              <w:t>100.4</w:t>
            </w:r>
          </w:p>
        </w:tc>
      </w:tr>
      <w:tr>
        <w:tblPrEx>
          <w:tblCellMar>
            <w:top w:w="0" w:type="dxa"/>
            <w:left w:w="108" w:type="dxa"/>
            <w:bottom w:w="0" w:type="dxa"/>
            <w:right w:w="108" w:type="dxa"/>
          </w:tblCellMar>
        </w:tblPrEx>
        <w:trPr>
          <w:trHeight w:val="280" w:hRule="atLeast"/>
        </w:trPr>
        <w:tc>
          <w:tcPr>
            <w:tcW w:w="2496"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color w:val="000000"/>
                <w:kern w:val="0"/>
                <w:szCs w:val="21"/>
              </w:rPr>
            </w:pPr>
            <w:r>
              <w:rPr>
                <w:rFonts w:eastAsia="仿宋_GB2312"/>
                <w:color w:val="000000"/>
                <w:kern w:val="0"/>
                <w:szCs w:val="21"/>
              </w:rPr>
              <w:t>其中：煤炭产量</w:t>
            </w:r>
          </w:p>
        </w:tc>
        <w:tc>
          <w:tcPr>
            <w:tcW w:w="1114"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eastAsia="等线"/>
                <w:color w:val="000000"/>
                <w:szCs w:val="21"/>
              </w:rPr>
              <w:t>0</w:t>
            </w:r>
          </w:p>
        </w:tc>
        <w:tc>
          <w:tcPr>
            <w:tcW w:w="1390"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eastAsia="等线"/>
                <w:color w:val="000000"/>
                <w:szCs w:val="21"/>
              </w:rPr>
              <w:t>0</w:t>
            </w:r>
          </w:p>
        </w:tc>
      </w:tr>
      <w:tr>
        <w:tblPrEx>
          <w:tblCellMar>
            <w:top w:w="0" w:type="dxa"/>
            <w:left w:w="108" w:type="dxa"/>
            <w:bottom w:w="0" w:type="dxa"/>
            <w:right w:w="108" w:type="dxa"/>
          </w:tblCellMar>
        </w:tblPrEx>
        <w:trPr>
          <w:trHeight w:val="280" w:hRule="atLeast"/>
        </w:trPr>
        <w:tc>
          <w:tcPr>
            <w:tcW w:w="2496"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color w:val="000000"/>
                <w:kern w:val="0"/>
                <w:szCs w:val="21"/>
              </w:rPr>
            </w:pPr>
            <w:r>
              <w:rPr>
                <w:rFonts w:eastAsia="仿宋_GB2312"/>
                <w:color w:val="000000"/>
                <w:kern w:val="0"/>
                <w:szCs w:val="21"/>
              </w:rPr>
              <w:t>非化石能源产量</w:t>
            </w:r>
          </w:p>
        </w:tc>
        <w:tc>
          <w:tcPr>
            <w:tcW w:w="1114"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hint="eastAsia" w:eastAsia="等线"/>
                <w:color w:val="000000"/>
                <w:szCs w:val="21"/>
              </w:rPr>
              <w:t>2</w:t>
            </w:r>
            <w:r>
              <w:rPr>
                <w:rFonts w:eastAsia="等线"/>
                <w:color w:val="000000"/>
                <w:szCs w:val="21"/>
              </w:rPr>
              <w:t>4.9</w:t>
            </w:r>
          </w:p>
        </w:tc>
        <w:tc>
          <w:tcPr>
            <w:tcW w:w="1390" w:type="pct"/>
            <w:tcBorders>
              <w:top w:val="nil"/>
              <w:left w:val="nil"/>
              <w:bottom w:val="single" w:color="auto" w:sz="4" w:space="0"/>
              <w:right w:val="single" w:color="auto" w:sz="4" w:space="0"/>
            </w:tcBorders>
            <w:shd w:val="clear" w:color="auto" w:fill="auto"/>
            <w:vAlign w:val="center"/>
          </w:tcPr>
          <w:p>
            <w:pPr>
              <w:jc w:val="center"/>
              <w:rPr>
                <w:rFonts w:eastAsia="等线"/>
                <w:color w:val="000000"/>
                <w:szCs w:val="21"/>
              </w:rPr>
            </w:pPr>
            <w:r>
              <w:rPr>
                <w:rFonts w:eastAsia="等线"/>
                <w:color w:val="000000"/>
                <w:szCs w:val="21"/>
              </w:rPr>
              <w:t>100.4</w:t>
            </w:r>
          </w:p>
        </w:tc>
      </w:tr>
    </w:tbl>
    <w:p>
      <w:pPr>
        <w:keepNext/>
        <w:keepLines/>
        <w:spacing w:line="360" w:lineRule="auto"/>
        <w:ind w:firstLine="643" w:firstLineChars="200"/>
        <w:outlineLvl w:val="1"/>
        <w:rPr>
          <w:rFonts w:eastAsia="楷体_GB2312"/>
          <w:b/>
          <w:bCs/>
          <w:sz w:val="32"/>
          <w:szCs w:val="32"/>
        </w:rPr>
      </w:pPr>
      <w:bookmarkStart w:id="57" w:name="_Toc66178697"/>
      <w:bookmarkStart w:id="58" w:name="_Toc58335373"/>
      <w:bookmarkStart w:id="59" w:name="_Toc66178633"/>
      <w:r>
        <w:rPr>
          <w:rFonts w:eastAsia="楷体_GB2312"/>
          <w:b/>
          <w:bCs/>
          <w:sz w:val="32"/>
          <w:szCs w:val="32"/>
        </w:rPr>
        <w:t>三、能源消费量预测</w:t>
      </w:r>
      <w:bookmarkEnd w:id="57"/>
      <w:bookmarkEnd w:id="58"/>
      <w:bookmarkEnd w:id="59"/>
    </w:p>
    <w:p>
      <w:pPr>
        <w:keepNext/>
        <w:keepLines/>
        <w:spacing w:line="360" w:lineRule="auto"/>
        <w:ind w:firstLine="643" w:firstLineChars="200"/>
        <w:outlineLvl w:val="2"/>
        <w:rPr>
          <w:rFonts w:eastAsia="仿宋_GB2312"/>
          <w:b/>
          <w:bCs/>
          <w:sz w:val="32"/>
          <w:szCs w:val="32"/>
        </w:rPr>
      </w:pPr>
      <w:bookmarkStart w:id="60" w:name="_Toc66178634"/>
      <w:bookmarkStart w:id="61" w:name="_Toc58335374"/>
      <w:bookmarkStart w:id="62" w:name="_Toc66178698"/>
      <w:r>
        <w:rPr>
          <w:rFonts w:eastAsia="仿宋_GB2312"/>
          <w:b/>
          <w:bCs/>
          <w:sz w:val="32"/>
          <w:szCs w:val="32"/>
        </w:rPr>
        <w:t>（一）煤炭</w:t>
      </w:r>
      <w:bookmarkEnd w:id="60"/>
      <w:bookmarkEnd w:id="61"/>
      <w:bookmarkEnd w:id="62"/>
    </w:p>
    <w:p>
      <w:pPr>
        <w:spacing w:line="360" w:lineRule="auto"/>
        <w:ind w:firstLine="640" w:firstLineChars="200"/>
        <w:rPr>
          <w:rFonts w:eastAsia="仿宋_GB2312"/>
          <w:sz w:val="32"/>
          <w:szCs w:val="32"/>
        </w:rPr>
      </w:pPr>
      <w:r>
        <w:rPr>
          <w:rFonts w:eastAsia="仿宋_GB2312"/>
          <w:sz w:val="32"/>
          <w:szCs w:val="32"/>
        </w:rPr>
        <w:t>“十四五”期间，我市</w:t>
      </w:r>
      <w:r>
        <w:rPr>
          <w:rFonts w:hint="eastAsia" w:eastAsia="仿宋_GB2312"/>
          <w:sz w:val="32"/>
          <w:szCs w:val="32"/>
        </w:rPr>
        <w:t>将建设新余电厂异地扩建工程</w:t>
      </w:r>
      <w:r>
        <w:rPr>
          <w:rFonts w:eastAsia="仿宋_GB2312"/>
          <w:sz w:val="32"/>
          <w:szCs w:val="32"/>
        </w:rPr>
        <w:t>，</w:t>
      </w:r>
      <w:r>
        <w:rPr>
          <w:rFonts w:hint="eastAsia" w:eastAsia="仿宋_GB2312"/>
          <w:sz w:val="32"/>
          <w:szCs w:val="32"/>
        </w:rPr>
        <w:t>同步关停新余电厂，</w:t>
      </w:r>
      <w:r>
        <w:rPr>
          <w:rFonts w:eastAsia="仿宋_GB2312"/>
          <w:sz w:val="32"/>
          <w:szCs w:val="32"/>
        </w:rPr>
        <w:t>由于规划新增火电装机容量较大，煤炭消费量受火电厂耗煤影响很大，时间序列分析、回归分析及弹性系数法等预测方法已无法适用。结合《新余市国民经济和社会发展第十四个五年规划和二〇三五年远景目标纲要》，采用部门耗煤法预测“十</w:t>
      </w:r>
      <w:r>
        <w:rPr>
          <w:rFonts w:hint="eastAsia" w:eastAsia="仿宋_GB2312"/>
          <w:sz w:val="32"/>
          <w:szCs w:val="32"/>
        </w:rPr>
        <w:t>四</w:t>
      </w:r>
      <w:r>
        <w:rPr>
          <w:rFonts w:eastAsia="仿宋_GB2312"/>
          <w:sz w:val="32"/>
          <w:szCs w:val="32"/>
        </w:rPr>
        <w:t>五”期间煤炭消费。</w:t>
      </w:r>
    </w:p>
    <w:p>
      <w:pPr>
        <w:spacing w:line="360" w:lineRule="auto"/>
        <w:ind w:firstLine="640" w:firstLineChars="200"/>
        <w:rPr>
          <w:rFonts w:eastAsia="仿宋_GB2312"/>
          <w:sz w:val="32"/>
          <w:szCs w:val="32"/>
        </w:rPr>
      </w:pPr>
      <w:r>
        <w:rPr>
          <w:rFonts w:hint="eastAsia" w:eastAsia="仿宋_GB2312"/>
          <w:sz w:val="32"/>
          <w:szCs w:val="32"/>
        </w:rPr>
        <w:t>根据</w:t>
      </w:r>
      <w:r>
        <w:rPr>
          <w:rFonts w:eastAsia="仿宋_GB2312"/>
          <w:sz w:val="32"/>
          <w:szCs w:val="32"/>
        </w:rPr>
        <w:t>《江西省“十四五”</w:t>
      </w:r>
      <w:r>
        <w:rPr>
          <w:rFonts w:hint="eastAsia" w:eastAsia="仿宋_GB2312"/>
          <w:sz w:val="32"/>
          <w:szCs w:val="32"/>
        </w:rPr>
        <w:t>能源发展</w:t>
      </w:r>
      <w:r>
        <w:rPr>
          <w:rFonts w:eastAsia="仿宋_GB2312"/>
          <w:sz w:val="32"/>
          <w:szCs w:val="32"/>
        </w:rPr>
        <w:t>规划》</w:t>
      </w:r>
      <w:r>
        <w:rPr>
          <w:rFonts w:hint="eastAsia" w:eastAsia="仿宋_GB2312"/>
          <w:sz w:val="32"/>
          <w:szCs w:val="32"/>
        </w:rPr>
        <w:t>，“十四五”时期，深入推进煤炭清洁化利用，严格控制钢铁、化工、建材等高耗能行业煤炭消费，提高电煤占煤炭消费比重，支持鼓励非统调煤电机组实施超低排放改造</w:t>
      </w:r>
      <w:r>
        <w:rPr>
          <w:rFonts w:eastAsia="仿宋_GB2312"/>
          <w:sz w:val="32"/>
          <w:szCs w:val="32"/>
        </w:rPr>
        <w:t>。综合考虑，预计到2025年煤炭消费量约为</w:t>
      </w:r>
      <w:r>
        <w:rPr>
          <w:rFonts w:hint="eastAsia" w:eastAsia="仿宋_GB2312"/>
          <w:sz w:val="32"/>
          <w:szCs w:val="32"/>
        </w:rPr>
        <w:t>1288</w:t>
      </w:r>
      <w:r>
        <w:rPr>
          <w:rFonts w:eastAsia="仿宋_GB2312"/>
          <w:sz w:val="32"/>
          <w:szCs w:val="32"/>
        </w:rPr>
        <w:t>万吨。</w:t>
      </w:r>
    </w:p>
    <w:p>
      <w:pPr>
        <w:pStyle w:val="27"/>
        <w:jc w:val="center"/>
        <w:rPr>
          <w:rFonts w:eastAsia="仿宋_GB2312"/>
          <w:sz w:val="21"/>
          <w:szCs w:val="20"/>
        </w:rPr>
      </w:pPr>
      <w:r>
        <w:rPr>
          <w:rFonts w:eastAsia="仿宋_GB2312"/>
          <w:sz w:val="21"/>
          <w:szCs w:val="20"/>
        </w:rPr>
        <w:t>表3-1：“十四五”煤炭消费量预测表（部门耗煤法）单位：万吨</w:t>
      </w:r>
    </w:p>
    <w:tbl>
      <w:tblPr>
        <w:tblStyle w:val="14"/>
        <w:tblW w:w="8497" w:type="dxa"/>
        <w:tblInd w:w="0" w:type="dxa"/>
        <w:tblLayout w:type="fixed"/>
        <w:tblCellMar>
          <w:top w:w="0" w:type="dxa"/>
          <w:left w:w="108" w:type="dxa"/>
          <w:bottom w:w="0" w:type="dxa"/>
          <w:right w:w="108" w:type="dxa"/>
        </w:tblCellMar>
      </w:tblPr>
      <w:tblGrid>
        <w:gridCol w:w="2435"/>
        <w:gridCol w:w="1430"/>
        <w:gridCol w:w="1430"/>
        <w:gridCol w:w="1773"/>
        <w:gridCol w:w="1429"/>
      </w:tblGrid>
      <w:tr>
        <w:tblPrEx>
          <w:tblCellMar>
            <w:top w:w="0" w:type="dxa"/>
            <w:left w:w="108" w:type="dxa"/>
            <w:bottom w:w="0" w:type="dxa"/>
            <w:right w:w="108" w:type="dxa"/>
          </w:tblCellMar>
        </w:tblPrEx>
        <w:trPr>
          <w:trHeight w:val="244" w:hRule="atLeast"/>
        </w:trPr>
        <w:tc>
          <w:tcPr>
            <w:tcW w:w="243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143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电力</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钢铁</w:t>
            </w:r>
          </w:p>
        </w:tc>
        <w:tc>
          <w:tcPr>
            <w:tcW w:w="17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建材</w:t>
            </w:r>
          </w:p>
        </w:tc>
        <w:tc>
          <w:tcPr>
            <w:tcW w:w="142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合计</w:t>
            </w:r>
          </w:p>
        </w:tc>
      </w:tr>
      <w:tr>
        <w:tblPrEx>
          <w:tblCellMar>
            <w:top w:w="0" w:type="dxa"/>
            <w:left w:w="108" w:type="dxa"/>
            <w:bottom w:w="0" w:type="dxa"/>
            <w:right w:w="108" w:type="dxa"/>
          </w:tblCellMar>
        </w:tblPrEx>
        <w:trPr>
          <w:trHeight w:val="244" w:hRule="atLeast"/>
        </w:trPr>
        <w:tc>
          <w:tcPr>
            <w:tcW w:w="2435"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煤炭实物量</w:t>
            </w:r>
          </w:p>
        </w:tc>
        <w:tc>
          <w:tcPr>
            <w:tcW w:w="1430"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717</w:t>
            </w:r>
          </w:p>
        </w:tc>
        <w:tc>
          <w:tcPr>
            <w:tcW w:w="1430"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550</w:t>
            </w:r>
          </w:p>
        </w:tc>
        <w:tc>
          <w:tcPr>
            <w:tcW w:w="1773"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21</w:t>
            </w:r>
          </w:p>
        </w:tc>
        <w:tc>
          <w:tcPr>
            <w:tcW w:w="1429"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1288</w:t>
            </w:r>
          </w:p>
        </w:tc>
      </w:tr>
      <w:tr>
        <w:tblPrEx>
          <w:tblCellMar>
            <w:top w:w="0" w:type="dxa"/>
            <w:left w:w="108" w:type="dxa"/>
            <w:bottom w:w="0" w:type="dxa"/>
            <w:right w:w="108" w:type="dxa"/>
          </w:tblCellMar>
        </w:tblPrEx>
        <w:trPr>
          <w:trHeight w:val="244" w:hRule="atLeast"/>
        </w:trPr>
        <w:tc>
          <w:tcPr>
            <w:tcW w:w="2435"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“十四五”增速</w:t>
            </w:r>
          </w:p>
        </w:tc>
        <w:tc>
          <w:tcPr>
            <w:tcW w:w="1430"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21.8%</w:t>
            </w:r>
          </w:p>
        </w:tc>
        <w:tc>
          <w:tcPr>
            <w:tcW w:w="1430"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0.7%</w:t>
            </w:r>
          </w:p>
        </w:tc>
        <w:tc>
          <w:tcPr>
            <w:tcW w:w="1773"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-4.2%</w:t>
            </w:r>
          </w:p>
        </w:tc>
        <w:tc>
          <w:tcPr>
            <w:tcW w:w="1429" w:type="dxa"/>
            <w:tcBorders>
              <w:top w:val="nil"/>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9.4%</w:t>
            </w:r>
          </w:p>
        </w:tc>
      </w:tr>
    </w:tbl>
    <w:p>
      <w:pPr>
        <w:keepNext/>
        <w:keepLines/>
        <w:spacing w:line="360" w:lineRule="auto"/>
        <w:ind w:firstLine="643" w:firstLineChars="200"/>
        <w:outlineLvl w:val="2"/>
        <w:rPr>
          <w:rFonts w:eastAsia="仿宋_GB2312"/>
          <w:b/>
          <w:bCs/>
          <w:sz w:val="32"/>
          <w:szCs w:val="32"/>
        </w:rPr>
      </w:pPr>
      <w:bookmarkStart w:id="63" w:name="_Toc66178635"/>
      <w:bookmarkStart w:id="64" w:name="_Toc66178699"/>
      <w:bookmarkStart w:id="65" w:name="_Toc58335375"/>
      <w:r>
        <w:rPr>
          <w:rFonts w:eastAsia="仿宋_GB2312"/>
          <w:b/>
          <w:bCs/>
          <w:sz w:val="32"/>
          <w:szCs w:val="32"/>
        </w:rPr>
        <w:t>（二）电力</w:t>
      </w:r>
      <w:bookmarkEnd w:id="63"/>
      <w:bookmarkEnd w:id="64"/>
      <w:bookmarkEnd w:id="65"/>
    </w:p>
    <w:p>
      <w:pPr>
        <w:spacing w:line="360" w:lineRule="auto"/>
        <w:ind w:firstLine="640" w:firstLineChars="200"/>
        <w:rPr>
          <w:rFonts w:eastAsia="仿宋_GB2312"/>
          <w:sz w:val="32"/>
          <w:szCs w:val="32"/>
        </w:rPr>
      </w:pPr>
      <w:r>
        <w:rPr>
          <w:rFonts w:eastAsia="仿宋_GB2312"/>
          <w:sz w:val="32"/>
          <w:szCs w:val="32"/>
        </w:rPr>
        <w:t>1、全社会用电量</w:t>
      </w:r>
    </w:p>
    <w:p>
      <w:pPr>
        <w:spacing w:line="360" w:lineRule="auto"/>
        <w:ind w:firstLine="640" w:firstLineChars="200"/>
        <w:rPr>
          <w:rFonts w:eastAsia="仿宋_GB2312"/>
          <w:sz w:val="32"/>
          <w:szCs w:val="32"/>
        </w:rPr>
      </w:pPr>
      <w:r>
        <w:rPr>
          <w:rFonts w:eastAsia="仿宋_GB2312"/>
          <w:sz w:val="32"/>
          <w:szCs w:val="32"/>
        </w:rPr>
        <w:t>（1）时间序列分析法</w:t>
      </w:r>
    </w:p>
    <w:p>
      <w:pPr>
        <w:spacing w:line="360" w:lineRule="auto"/>
        <w:ind w:firstLine="640" w:firstLineChars="200"/>
        <w:rPr>
          <w:rFonts w:eastAsia="仿宋_GB2312"/>
          <w:sz w:val="32"/>
          <w:szCs w:val="32"/>
        </w:rPr>
      </w:pPr>
      <w:r>
        <w:rPr>
          <w:rFonts w:eastAsia="仿宋_GB2312"/>
          <w:sz w:val="32"/>
          <w:szCs w:val="32"/>
        </w:rPr>
        <w:t>根据历年电力消费总量数据，作线性拟合，得到预测模型y=</w:t>
      </w:r>
      <w:r>
        <w:rPr>
          <w:rFonts w:hint="eastAsia" w:eastAsia="仿宋_GB2312"/>
          <w:sz w:val="32"/>
          <w:szCs w:val="32"/>
        </w:rPr>
        <w:t>2.18</w:t>
      </w:r>
      <w:r>
        <w:rPr>
          <w:rFonts w:eastAsia="仿宋_GB2312"/>
          <w:sz w:val="32"/>
          <w:szCs w:val="32"/>
        </w:rPr>
        <w:t>x-</w:t>
      </w:r>
      <w:r>
        <w:rPr>
          <w:rFonts w:hint="eastAsia" w:eastAsia="仿宋_GB2312"/>
          <w:sz w:val="32"/>
          <w:szCs w:val="32"/>
        </w:rPr>
        <w:t>4300.32</w:t>
      </w:r>
      <w:r>
        <w:rPr>
          <w:rFonts w:eastAsia="仿宋_GB2312"/>
          <w:sz w:val="32"/>
          <w:szCs w:val="32"/>
        </w:rPr>
        <w:t>（相关系数R</w:t>
      </w:r>
      <w:r>
        <w:rPr>
          <w:rFonts w:eastAsia="仿宋_GB2312"/>
          <w:sz w:val="32"/>
          <w:szCs w:val="32"/>
          <w:vertAlign w:val="superscript"/>
        </w:rPr>
        <w:t>2</w:t>
      </w:r>
      <w:r>
        <w:rPr>
          <w:rFonts w:eastAsia="仿宋_GB2312"/>
          <w:sz w:val="32"/>
          <w:szCs w:val="32"/>
        </w:rPr>
        <w:t>=0.</w:t>
      </w:r>
      <w:r>
        <w:rPr>
          <w:rFonts w:hint="eastAsia" w:eastAsia="仿宋_GB2312"/>
          <w:sz w:val="32"/>
          <w:szCs w:val="32"/>
        </w:rPr>
        <w:t>77</w:t>
      </w:r>
      <w:r>
        <w:rPr>
          <w:rFonts w:eastAsia="仿宋_GB2312"/>
          <w:sz w:val="32"/>
          <w:szCs w:val="32"/>
        </w:rPr>
        <w:t>，见图3-1），将年份后推至2025年，预测得到2025年全社会用电量为</w:t>
      </w:r>
      <w:r>
        <w:rPr>
          <w:rFonts w:hint="eastAsia" w:eastAsia="仿宋_GB2312"/>
          <w:sz w:val="32"/>
          <w:szCs w:val="32"/>
        </w:rPr>
        <w:t>106.</w:t>
      </w:r>
      <w:r>
        <w:rPr>
          <w:rFonts w:eastAsia="仿宋_GB2312"/>
          <w:sz w:val="32"/>
          <w:szCs w:val="32"/>
        </w:rPr>
        <w:t>7亿千瓦时。根据历年电力消费总量数据，作多项式拟合，得到预测模型y=0.</w:t>
      </w:r>
      <w:r>
        <w:rPr>
          <w:rFonts w:hint="eastAsia" w:eastAsia="仿宋_GB2312"/>
          <w:sz w:val="32"/>
          <w:szCs w:val="32"/>
        </w:rPr>
        <w:t>17</w:t>
      </w:r>
      <w:r>
        <w:rPr>
          <w:rFonts w:eastAsia="仿宋_GB2312"/>
          <w:sz w:val="32"/>
          <w:szCs w:val="32"/>
        </w:rPr>
        <w:t>x</w:t>
      </w:r>
      <w:r>
        <w:rPr>
          <w:rFonts w:eastAsia="仿宋_GB2312"/>
          <w:sz w:val="32"/>
          <w:szCs w:val="32"/>
          <w:vertAlign w:val="superscript"/>
        </w:rPr>
        <w:t>2</w:t>
      </w:r>
      <w:r>
        <w:rPr>
          <w:rFonts w:eastAsia="仿宋_GB2312"/>
          <w:sz w:val="32"/>
          <w:szCs w:val="32"/>
        </w:rPr>
        <w:t>-</w:t>
      </w:r>
      <w:r>
        <w:rPr>
          <w:rFonts w:hint="eastAsia" w:eastAsia="仿宋_GB2312"/>
          <w:sz w:val="32"/>
          <w:szCs w:val="32"/>
        </w:rPr>
        <w:t>672.02</w:t>
      </w:r>
      <w:r>
        <w:rPr>
          <w:rFonts w:eastAsia="仿宋_GB2312"/>
          <w:sz w:val="32"/>
          <w:szCs w:val="32"/>
        </w:rPr>
        <w:t>x+</w:t>
      </w:r>
      <w:r>
        <w:rPr>
          <w:rFonts w:hint="eastAsia" w:eastAsia="仿宋_GB2312"/>
          <w:sz w:val="32"/>
          <w:szCs w:val="32"/>
        </w:rPr>
        <w:t>675163.53</w:t>
      </w:r>
      <w:r>
        <w:rPr>
          <w:rFonts w:eastAsia="仿宋_GB2312"/>
          <w:sz w:val="32"/>
          <w:szCs w:val="32"/>
        </w:rPr>
        <w:t>（相关系数R</w:t>
      </w:r>
      <w:r>
        <w:rPr>
          <w:rFonts w:eastAsia="仿宋_GB2312"/>
          <w:sz w:val="32"/>
          <w:szCs w:val="32"/>
          <w:vertAlign w:val="superscript"/>
        </w:rPr>
        <w:t>2</w:t>
      </w:r>
      <w:r>
        <w:rPr>
          <w:rFonts w:eastAsia="仿宋_GB2312"/>
          <w:sz w:val="32"/>
          <w:szCs w:val="32"/>
        </w:rPr>
        <w:t>=0.</w:t>
      </w:r>
      <w:r>
        <w:rPr>
          <w:rFonts w:hint="eastAsia" w:eastAsia="仿宋_GB2312"/>
          <w:sz w:val="32"/>
          <w:szCs w:val="32"/>
        </w:rPr>
        <w:t>87</w:t>
      </w:r>
      <w:r>
        <w:rPr>
          <w:rFonts w:eastAsia="仿宋_GB2312"/>
          <w:sz w:val="32"/>
          <w:szCs w:val="32"/>
        </w:rPr>
        <w:t>，见图3-2），将年份后推至2025年，预测得到2025年全社会用电量为</w:t>
      </w:r>
      <w:r>
        <w:rPr>
          <w:rFonts w:hint="eastAsia" w:eastAsia="仿宋_GB2312"/>
          <w:sz w:val="32"/>
          <w:szCs w:val="32"/>
        </w:rPr>
        <w:t>120.</w:t>
      </w:r>
      <w:r>
        <w:rPr>
          <w:rFonts w:eastAsia="仿宋_GB2312"/>
          <w:sz w:val="32"/>
          <w:szCs w:val="32"/>
        </w:rPr>
        <w:t>3亿千瓦时。详细预测结果见下表。</w:t>
      </w:r>
    </w:p>
    <w:p>
      <w:pPr>
        <w:pStyle w:val="27"/>
        <w:jc w:val="center"/>
        <w:rPr>
          <w:rFonts w:eastAsia="仿宋_GB2312"/>
          <w:sz w:val="21"/>
          <w:szCs w:val="20"/>
        </w:rPr>
      </w:pPr>
      <w:r>
        <w:rPr>
          <w:rFonts w:eastAsia="仿宋_GB2312"/>
          <w:sz w:val="21"/>
          <w:szCs w:val="20"/>
        </w:rPr>
        <w:t>表3-2：全社会用电量预测结果（时间序列分析法）单位：亿千瓦时</w:t>
      </w:r>
    </w:p>
    <w:tbl>
      <w:tblPr>
        <w:tblStyle w:val="1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947"/>
        <w:gridCol w:w="1096"/>
        <w:gridCol w:w="1096"/>
        <w:gridCol w:w="1096"/>
        <w:gridCol w:w="109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246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jc w:val="right"/>
              <w:rPr>
                <w:rFonts w:eastAsia="仿宋_GB2312"/>
                <w:color w:val="000000"/>
                <w:kern w:val="0"/>
                <w:szCs w:val="21"/>
              </w:rPr>
            </w:pPr>
            <w:r>
              <w:rPr>
                <w:rFonts w:hint="eastAsia" w:eastAsia="仿宋_GB2312"/>
                <w:color w:val="000000"/>
                <w:kern w:val="0"/>
                <w:szCs w:val="21"/>
              </w:rPr>
              <w:t>年份</w:t>
            </w:r>
          </w:p>
          <w:p>
            <w:pPr>
              <w:widowControl/>
              <w:rPr>
                <w:rFonts w:eastAsia="仿宋_GB2312"/>
                <w:color w:val="000000"/>
                <w:kern w:val="0"/>
                <w:szCs w:val="21"/>
              </w:rPr>
            </w:pPr>
            <w:r>
              <w:rPr>
                <w:rFonts w:eastAsia="仿宋_GB2312"/>
                <w:color w:val="000000"/>
                <w:kern w:val="0"/>
                <w:szCs w:val="21"/>
              </w:rPr>
              <w:t>全社会用电量</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2021</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2022</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2023</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2024</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2025</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线性拟合</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8.0</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100.1</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102.3</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104.</w:t>
            </w:r>
            <w:r>
              <w:rPr>
                <w:rFonts w:eastAsia="仿宋_GB2312"/>
                <w:color w:val="000000"/>
                <w:kern w:val="0"/>
                <w:szCs w:val="21"/>
              </w:rPr>
              <w:t>5</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106.</w:t>
            </w:r>
            <w:r>
              <w:rPr>
                <w:rFonts w:eastAsia="仿宋_GB2312"/>
                <w:color w:val="000000"/>
                <w:kern w:val="0"/>
                <w:szCs w:val="21"/>
              </w:rPr>
              <w:t>7</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9</w:t>
            </w:r>
            <w:r>
              <w:rPr>
                <w:rFonts w:hint="eastAsia" w:eastAsia="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多项式拟合</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101.7 </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105.</w:t>
            </w:r>
            <w:r>
              <w:rPr>
                <w:rFonts w:eastAsia="仿宋_GB2312"/>
                <w:color w:val="000000"/>
                <w:kern w:val="0"/>
                <w:szCs w:val="21"/>
              </w:rPr>
              <w:t>9</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110.3 </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115.1 </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120.</w:t>
            </w:r>
            <w:r>
              <w:rPr>
                <w:rFonts w:eastAsia="仿宋_GB2312"/>
                <w:color w:val="000000"/>
                <w:kern w:val="0"/>
                <w:szCs w:val="21"/>
              </w:rPr>
              <w:t>3</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4.3%</w:t>
            </w:r>
          </w:p>
        </w:tc>
      </w:tr>
    </w:tbl>
    <w:p>
      <w:pPr>
        <w:pStyle w:val="27"/>
        <w:ind w:left="1280" w:firstLine="560"/>
      </w:pPr>
    </w:p>
    <w:p>
      <w:pPr>
        <w:pStyle w:val="27"/>
      </w:pPr>
      <w:r>
        <w:drawing>
          <wp:inline distT="0" distB="0" distL="0" distR="0">
            <wp:extent cx="5186680" cy="3652520"/>
            <wp:effectExtent l="19050" t="0" r="13957" b="508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jc w:val="center"/>
        <w:rPr>
          <w:rFonts w:eastAsia="仿宋_GB2312"/>
          <w:sz w:val="21"/>
          <w:szCs w:val="20"/>
        </w:rPr>
      </w:pPr>
      <w:r>
        <w:rPr>
          <w:rFonts w:eastAsia="仿宋_GB2312"/>
          <w:sz w:val="21"/>
          <w:szCs w:val="20"/>
        </w:rPr>
        <w:t>图3-1：全社会用电量预测结果（时间序列分析法线性拟合）</w:t>
      </w:r>
    </w:p>
    <w:p>
      <w:pPr>
        <w:jc w:val="center"/>
      </w:pPr>
      <w:r>
        <w:drawing>
          <wp:inline distT="0" distB="0" distL="0" distR="0">
            <wp:extent cx="5307330" cy="3210560"/>
            <wp:effectExtent l="0" t="0" r="0"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jc w:val="center"/>
        <w:rPr>
          <w:rFonts w:eastAsia="仿宋_GB2312"/>
          <w:sz w:val="21"/>
          <w:szCs w:val="20"/>
        </w:rPr>
      </w:pPr>
      <w:r>
        <w:rPr>
          <w:rFonts w:eastAsia="仿宋_GB2312"/>
          <w:sz w:val="21"/>
          <w:szCs w:val="20"/>
        </w:rPr>
        <w:t>图3-2：全社会用电量预测结果（时间序列分析法多项式拟合）</w:t>
      </w:r>
    </w:p>
    <w:p>
      <w:pPr>
        <w:spacing w:line="360" w:lineRule="auto"/>
        <w:ind w:firstLine="640" w:firstLineChars="200"/>
        <w:rPr>
          <w:rFonts w:eastAsia="仿宋_GB2312"/>
          <w:sz w:val="32"/>
          <w:szCs w:val="32"/>
        </w:rPr>
      </w:pPr>
      <w:r>
        <w:rPr>
          <w:rFonts w:eastAsia="仿宋_GB2312"/>
          <w:sz w:val="32"/>
          <w:szCs w:val="32"/>
        </w:rPr>
        <w:t>（2）回归分析法</w:t>
      </w:r>
    </w:p>
    <w:p>
      <w:pPr>
        <w:spacing w:line="360" w:lineRule="auto"/>
        <w:ind w:firstLine="640" w:firstLineChars="200"/>
        <w:rPr>
          <w:rFonts w:eastAsia="仿宋_GB2312"/>
          <w:sz w:val="32"/>
          <w:szCs w:val="32"/>
        </w:rPr>
      </w:pPr>
      <w:r>
        <w:rPr>
          <w:rFonts w:eastAsia="仿宋_GB2312"/>
          <w:sz w:val="32"/>
          <w:szCs w:val="32"/>
        </w:rPr>
        <w:t>根据历年电力消费总量与人口总数的散布图，作线性拟合，得到模型y=</w:t>
      </w:r>
      <w:r>
        <w:rPr>
          <w:rFonts w:hint="eastAsia" w:eastAsia="仿宋_GB2312"/>
          <w:sz w:val="32"/>
          <w:szCs w:val="32"/>
        </w:rPr>
        <w:t>3.76</w:t>
      </w:r>
      <w:r>
        <w:rPr>
          <w:rFonts w:eastAsia="仿宋_GB2312"/>
          <w:sz w:val="32"/>
          <w:szCs w:val="32"/>
        </w:rPr>
        <w:t>x-</w:t>
      </w:r>
      <w:r>
        <w:rPr>
          <w:rFonts w:hint="eastAsia" w:eastAsia="仿宋_GB2312"/>
          <w:sz w:val="32"/>
          <w:szCs w:val="32"/>
        </w:rPr>
        <w:t>354.60</w:t>
      </w:r>
      <w:r>
        <w:rPr>
          <w:rFonts w:eastAsia="仿宋_GB2312"/>
          <w:sz w:val="32"/>
          <w:szCs w:val="32"/>
        </w:rPr>
        <w:t>（相关系数R</w:t>
      </w:r>
      <w:r>
        <w:rPr>
          <w:rFonts w:eastAsia="仿宋_GB2312"/>
          <w:sz w:val="32"/>
          <w:szCs w:val="32"/>
          <w:vertAlign w:val="superscript"/>
        </w:rPr>
        <w:t>2</w:t>
      </w:r>
      <w:r>
        <w:rPr>
          <w:rFonts w:eastAsia="仿宋_GB2312"/>
          <w:sz w:val="32"/>
          <w:szCs w:val="32"/>
        </w:rPr>
        <w:t>=0.</w:t>
      </w:r>
      <w:r>
        <w:rPr>
          <w:rFonts w:hint="eastAsia" w:eastAsia="仿宋_GB2312"/>
          <w:sz w:val="32"/>
          <w:szCs w:val="32"/>
        </w:rPr>
        <w:t>84</w:t>
      </w:r>
      <w:r>
        <w:rPr>
          <w:rFonts w:eastAsia="仿宋_GB2312"/>
          <w:sz w:val="32"/>
          <w:szCs w:val="32"/>
        </w:rPr>
        <w:t>，见图3-3）。根据预测，2025年人口总数将达到</w:t>
      </w:r>
      <w:r>
        <w:rPr>
          <w:rFonts w:hint="eastAsia" w:eastAsia="仿宋_GB2312"/>
          <w:sz w:val="32"/>
          <w:szCs w:val="32"/>
        </w:rPr>
        <w:t>124.23</w:t>
      </w:r>
      <w:r>
        <w:rPr>
          <w:rFonts w:eastAsia="仿宋_GB2312"/>
          <w:sz w:val="32"/>
          <w:szCs w:val="32"/>
        </w:rPr>
        <w:t>万人，推出相应的电力消费总量为</w:t>
      </w:r>
      <w:r>
        <w:rPr>
          <w:rFonts w:hint="eastAsia" w:eastAsia="仿宋_GB2312"/>
          <w:sz w:val="32"/>
          <w:szCs w:val="32"/>
        </w:rPr>
        <w:t>112.5</w:t>
      </w:r>
      <w:r>
        <w:rPr>
          <w:rFonts w:eastAsia="仿宋_GB2312"/>
          <w:sz w:val="32"/>
          <w:szCs w:val="32"/>
        </w:rPr>
        <w:t>亿千瓦时。</w:t>
      </w:r>
    </w:p>
    <w:p>
      <w:pPr>
        <w:pStyle w:val="27"/>
        <w:jc w:val="center"/>
        <w:rPr>
          <w:rFonts w:eastAsia="仿宋_GB2312"/>
          <w:sz w:val="21"/>
          <w:szCs w:val="20"/>
        </w:rPr>
      </w:pPr>
      <w:r>
        <w:rPr>
          <w:rFonts w:eastAsia="仿宋_GB2312"/>
          <w:sz w:val="21"/>
          <w:szCs w:val="20"/>
        </w:rPr>
        <w:t>表3-3：新余市全社会用电量预测结果（回归分析法）单位：亿千瓦时</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095"/>
        <w:gridCol w:w="1096"/>
        <w:gridCol w:w="1096"/>
        <w:gridCol w:w="1096"/>
        <w:gridCol w:w="109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年份</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2021</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2022</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2023</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2024</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2025</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全社会用电量</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100.7</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103.5</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106.4</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109.4</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112.5</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3.0</w:t>
            </w:r>
            <w:r>
              <w:rPr>
                <w:rFonts w:eastAsia="仿宋_GB2312"/>
                <w:color w:val="000000"/>
                <w:kern w:val="0"/>
                <w:szCs w:val="21"/>
              </w:rPr>
              <w:t>%</w:t>
            </w:r>
          </w:p>
        </w:tc>
      </w:tr>
    </w:tbl>
    <w:p>
      <w:pPr>
        <w:ind w:firstLine="560"/>
      </w:pPr>
    </w:p>
    <w:p>
      <w:pPr>
        <w:jc w:val="center"/>
      </w:pPr>
      <w:r>
        <w:drawing>
          <wp:inline distT="0" distB="0" distL="0" distR="0">
            <wp:extent cx="5191125" cy="3895725"/>
            <wp:effectExtent l="19050" t="0" r="9525"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7"/>
        <w:jc w:val="center"/>
        <w:rPr>
          <w:rFonts w:eastAsia="仿宋_GB2312"/>
          <w:sz w:val="21"/>
          <w:szCs w:val="20"/>
        </w:rPr>
      </w:pPr>
      <w:r>
        <w:rPr>
          <w:rFonts w:eastAsia="仿宋_GB2312"/>
          <w:sz w:val="21"/>
          <w:szCs w:val="20"/>
        </w:rPr>
        <w:t>图3-3：全社会用电量预测结果（回归分析法）</w:t>
      </w:r>
    </w:p>
    <w:p>
      <w:pPr>
        <w:spacing w:line="360" w:lineRule="auto"/>
        <w:ind w:firstLine="640" w:firstLineChars="200"/>
        <w:rPr>
          <w:rFonts w:eastAsia="仿宋_GB2312"/>
          <w:sz w:val="32"/>
          <w:szCs w:val="32"/>
        </w:rPr>
      </w:pPr>
      <w:r>
        <w:rPr>
          <w:rFonts w:eastAsia="仿宋_GB2312"/>
          <w:sz w:val="32"/>
          <w:szCs w:val="32"/>
        </w:rPr>
        <w:t>（3）弹性系数法</w:t>
      </w:r>
    </w:p>
    <w:p>
      <w:pPr>
        <w:spacing w:line="360" w:lineRule="auto"/>
        <w:ind w:firstLine="640" w:firstLineChars="200"/>
        <w:rPr>
          <w:rFonts w:eastAsia="仿宋_GB2312"/>
          <w:sz w:val="32"/>
          <w:szCs w:val="32"/>
        </w:rPr>
      </w:pPr>
      <w:r>
        <w:rPr>
          <w:rFonts w:eastAsia="仿宋_GB2312"/>
          <w:sz w:val="32"/>
          <w:szCs w:val="32"/>
        </w:rPr>
        <w:t>根据《江西省电力中长期发展规划》中全省电力消费量预测，2020-2030年全省电力弹性系数为0.8，我市“十四五”期间电力弹性系数</w:t>
      </w:r>
      <w:r>
        <w:rPr>
          <w:rFonts w:hint="eastAsia" w:eastAsia="仿宋_GB2312"/>
          <w:sz w:val="32"/>
          <w:szCs w:val="32"/>
        </w:rPr>
        <w:t>可参照全省电力弹性系数，取0.8。根据</w:t>
      </w:r>
      <w:r>
        <w:rPr>
          <w:rFonts w:eastAsia="仿宋_GB2312"/>
          <w:sz w:val="32"/>
          <w:szCs w:val="32"/>
        </w:rPr>
        <w:t>《新余市国民经济和社会发展第十四个五年规划和二〇三五年远景目标纲要》</w:t>
      </w:r>
      <w:r>
        <w:rPr>
          <w:rFonts w:hint="eastAsia" w:eastAsia="仿宋_GB2312"/>
          <w:sz w:val="32"/>
          <w:szCs w:val="32"/>
        </w:rPr>
        <w:t>，</w:t>
      </w:r>
      <w:r>
        <w:rPr>
          <w:rFonts w:eastAsia="仿宋_GB2312"/>
          <w:sz w:val="32"/>
          <w:szCs w:val="32"/>
        </w:rPr>
        <w:t>“十四五”期间GDP年均增速为</w:t>
      </w:r>
      <w:r>
        <w:rPr>
          <w:rFonts w:hint="eastAsia" w:eastAsia="仿宋_GB2312"/>
          <w:sz w:val="32"/>
          <w:szCs w:val="32"/>
        </w:rPr>
        <w:t>7</w:t>
      </w:r>
      <w:r>
        <w:rPr>
          <w:rFonts w:eastAsia="仿宋_GB2312"/>
          <w:sz w:val="32"/>
          <w:szCs w:val="32"/>
        </w:rPr>
        <w:t>%左右。由此计算得到“十四五”期间电力消费水平如下表所示。</w:t>
      </w:r>
    </w:p>
    <w:p>
      <w:pPr>
        <w:pStyle w:val="27"/>
        <w:jc w:val="center"/>
        <w:rPr>
          <w:rFonts w:eastAsia="仿宋_GB2312"/>
          <w:sz w:val="21"/>
          <w:szCs w:val="20"/>
        </w:rPr>
      </w:pPr>
      <w:r>
        <w:rPr>
          <w:rFonts w:eastAsia="仿宋_GB2312"/>
          <w:sz w:val="21"/>
          <w:szCs w:val="20"/>
        </w:rPr>
        <w:t>表3-4：全社会用电量预测结果（弹性系数法）单位：亿千瓦时</w:t>
      </w:r>
    </w:p>
    <w:tbl>
      <w:tblPr>
        <w:tblStyle w:val="14"/>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67"/>
        <w:gridCol w:w="1067"/>
        <w:gridCol w:w="1068"/>
        <w:gridCol w:w="1067"/>
        <w:gridCol w:w="1068"/>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指标</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2021</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2022</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2023</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2024</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2025</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全社会用电量</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等线"/>
                <w:color w:val="000000"/>
                <w:szCs w:val="21"/>
              </w:rPr>
              <w:t>10</w:t>
            </w:r>
            <w:r>
              <w:rPr>
                <w:rFonts w:hint="eastAsia" w:eastAsia="等线"/>
                <w:color w:val="000000"/>
                <w:szCs w:val="21"/>
              </w:rPr>
              <w:t>2.8</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等线"/>
                <w:color w:val="000000"/>
                <w:szCs w:val="21"/>
              </w:rPr>
              <w:t>108.5</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等线"/>
                <w:color w:val="000000"/>
                <w:szCs w:val="21"/>
              </w:rPr>
              <w:t>114.6</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等线"/>
                <w:color w:val="000000"/>
                <w:szCs w:val="21"/>
              </w:rPr>
              <w:t>121.0</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等线"/>
                <w:color w:val="000000"/>
                <w:szCs w:val="21"/>
              </w:rPr>
              <w:t>127.8</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等线"/>
                <w:color w:val="000000"/>
                <w:szCs w:val="21"/>
              </w:rPr>
              <w:t>5.6%</w:t>
            </w:r>
          </w:p>
        </w:tc>
      </w:tr>
    </w:tbl>
    <w:p>
      <w:pPr>
        <w:spacing w:line="360" w:lineRule="auto"/>
        <w:ind w:firstLine="640" w:firstLineChars="200"/>
        <w:rPr>
          <w:rFonts w:eastAsia="仿宋_GB2312"/>
          <w:sz w:val="32"/>
          <w:szCs w:val="32"/>
        </w:rPr>
      </w:pPr>
      <w:r>
        <w:rPr>
          <w:rFonts w:eastAsia="仿宋_GB2312"/>
          <w:sz w:val="32"/>
          <w:szCs w:val="32"/>
        </w:rPr>
        <w:t>综合上述预测方法所得结果，得到“十四五”期间全社会用电量的高、中、低三个方案，到2025年全社会用电量分别为</w:t>
      </w:r>
      <w:r>
        <w:rPr>
          <w:rFonts w:hint="eastAsia" w:eastAsia="仿宋_GB2312"/>
          <w:sz w:val="32"/>
          <w:szCs w:val="32"/>
        </w:rPr>
        <w:t>127.8</w:t>
      </w:r>
      <w:r>
        <w:rPr>
          <w:rFonts w:eastAsia="仿宋_GB2312"/>
          <w:sz w:val="32"/>
          <w:szCs w:val="32"/>
        </w:rPr>
        <w:t>亿千瓦时、</w:t>
      </w:r>
      <w:r>
        <w:rPr>
          <w:rFonts w:hint="eastAsia" w:eastAsia="仿宋_GB2312"/>
          <w:sz w:val="32"/>
          <w:szCs w:val="32"/>
        </w:rPr>
        <w:t>116.4</w:t>
      </w:r>
      <w:r>
        <w:rPr>
          <w:rFonts w:eastAsia="仿宋_GB2312"/>
          <w:sz w:val="32"/>
          <w:szCs w:val="32"/>
        </w:rPr>
        <w:t>亿千瓦时、</w:t>
      </w:r>
      <w:r>
        <w:rPr>
          <w:rFonts w:hint="eastAsia" w:eastAsia="仿宋_GB2312"/>
          <w:sz w:val="32"/>
          <w:szCs w:val="32"/>
        </w:rPr>
        <w:t>106.</w:t>
      </w:r>
      <w:r>
        <w:rPr>
          <w:rFonts w:eastAsia="仿宋_GB2312"/>
          <w:sz w:val="32"/>
          <w:szCs w:val="32"/>
        </w:rPr>
        <w:t>7亿千瓦时，年均增长</w:t>
      </w:r>
      <w:r>
        <w:rPr>
          <w:rFonts w:hint="eastAsia" w:eastAsia="仿宋_GB2312"/>
          <w:sz w:val="32"/>
          <w:szCs w:val="32"/>
        </w:rPr>
        <w:t>5.6</w:t>
      </w:r>
      <w:r>
        <w:rPr>
          <w:rFonts w:eastAsia="仿宋_GB2312"/>
          <w:sz w:val="32"/>
          <w:szCs w:val="32"/>
        </w:rPr>
        <w:t>%、</w:t>
      </w:r>
      <w:r>
        <w:rPr>
          <w:rFonts w:hint="eastAsia" w:eastAsia="仿宋_GB2312"/>
          <w:sz w:val="32"/>
          <w:szCs w:val="32"/>
        </w:rPr>
        <w:t>3.7</w:t>
      </w:r>
      <w:r>
        <w:rPr>
          <w:rFonts w:eastAsia="仿宋_GB2312"/>
          <w:sz w:val="32"/>
          <w:szCs w:val="32"/>
        </w:rPr>
        <w:t>%、</w:t>
      </w:r>
      <w:r>
        <w:rPr>
          <w:rFonts w:hint="eastAsia" w:eastAsia="仿宋_GB2312"/>
          <w:sz w:val="32"/>
          <w:szCs w:val="32"/>
        </w:rPr>
        <w:t>1.</w:t>
      </w:r>
      <w:r>
        <w:rPr>
          <w:rFonts w:eastAsia="仿宋_GB2312"/>
          <w:sz w:val="32"/>
          <w:szCs w:val="32"/>
        </w:rPr>
        <w:t>9%。“十四五”期间我市经济社会发展较快，且工业发展作为主攻方向，用电量增长空间较大，为满足经济社会发展需求，本报告以</w:t>
      </w:r>
      <w:r>
        <w:rPr>
          <w:rFonts w:hint="eastAsia" w:eastAsia="仿宋_GB2312"/>
          <w:sz w:val="32"/>
          <w:szCs w:val="32"/>
        </w:rPr>
        <w:t>中</w:t>
      </w:r>
      <w:r>
        <w:rPr>
          <w:rFonts w:eastAsia="仿宋_GB2312"/>
          <w:sz w:val="32"/>
          <w:szCs w:val="32"/>
        </w:rPr>
        <w:t>方案为推荐方案，即</w:t>
      </w:r>
      <w:r>
        <w:rPr>
          <w:rFonts w:hint="eastAsia" w:eastAsia="仿宋_GB2312"/>
          <w:sz w:val="32"/>
          <w:szCs w:val="32"/>
        </w:rPr>
        <w:t>至</w:t>
      </w:r>
      <w:r>
        <w:rPr>
          <w:rFonts w:eastAsia="仿宋_GB2312"/>
          <w:sz w:val="32"/>
          <w:szCs w:val="32"/>
        </w:rPr>
        <w:t>2025年，全社会用电量约为</w:t>
      </w:r>
      <w:r>
        <w:rPr>
          <w:rFonts w:hint="eastAsia" w:eastAsia="仿宋_GB2312"/>
          <w:sz w:val="32"/>
          <w:szCs w:val="32"/>
        </w:rPr>
        <w:t>116.4</w:t>
      </w:r>
      <w:r>
        <w:rPr>
          <w:rFonts w:eastAsia="仿宋_GB2312"/>
          <w:sz w:val="32"/>
          <w:szCs w:val="32"/>
        </w:rPr>
        <w:t>亿千瓦时，“十四五”年均增长约</w:t>
      </w:r>
      <w:r>
        <w:rPr>
          <w:rFonts w:hint="eastAsia" w:eastAsia="仿宋_GB2312"/>
          <w:sz w:val="32"/>
          <w:szCs w:val="32"/>
        </w:rPr>
        <w:t>3.7</w:t>
      </w:r>
      <w:r>
        <w:rPr>
          <w:rFonts w:eastAsia="仿宋_GB2312"/>
          <w:sz w:val="32"/>
          <w:szCs w:val="32"/>
        </w:rPr>
        <w:t>%。</w:t>
      </w:r>
    </w:p>
    <w:p>
      <w:pPr>
        <w:pStyle w:val="27"/>
        <w:jc w:val="center"/>
        <w:rPr>
          <w:rFonts w:eastAsia="仿宋_GB2312"/>
          <w:sz w:val="21"/>
          <w:szCs w:val="20"/>
        </w:rPr>
      </w:pPr>
      <w:r>
        <w:rPr>
          <w:rFonts w:eastAsia="仿宋_GB2312"/>
          <w:sz w:val="21"/>
          <w:szCs w:val="20"/>
        </w:rPr>
        <w:t>表3-5：全社会用电量预测结果汇总单位：亿千瓦时</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83"/>
        <w:gridCol w:w="1083"/>
        <w:gridCol w:w="1083"/>
        <w:gridCol w:w="1083"/>
        <w:gridCol w:w="108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vAlign w:val="center"/>
          </w:tcPr>
          <w:p>
            <w:pPr>
              <w:widowControl/>
              <w:jc w:val="center"/>
              <w:rPr>
                <w:rFonts w:eastAsia="仿宋_GB2312"/>
                <w:color w:val="000000"/>
                <w:kern w:val="0"/>
                <w:szCs w:val="21"/>
              </w:rPr>
            </w:pPr>
            <w:r>
              <w:rPr>
                <w:rFonts w:eastAsia="仿宋_GB2312"/>
                <w:color w:val="000000"/>
                <w:kern w:val="0"/>
                <w:szCs w:val="21"/>
              </w:rPr>
              <w:t>全社会用电量</w:t>
            </w:r>
          </w:p>
        </w:tc>
        <w:tc>
          <w:tcPr>
            <w:tcW w:w="1083" w:type="dxa"/>
            <w:vAlign w:val="center"/>
          </w:tcPr>
          <w:p>
            <w:pPr>
              <w:widowControl/>
              <w:jc w:val="center"/>
              <w:rPr>
                <w:rFonts w:eastAsia="仿宋_GB2312"/>
                <w:color w:val="000000"/>
                <w:kern w:val="0"/>
                <w:szCs w:val="21"/>
              </w:rPr>
            </w:pPr>
            <w:r>
              <w:rPr>
                <w:rFonts w:eastAsia="仿宋_GB2312"/>
                <w:color w:val="000000"/>
                <w:kern w:val="0"/>
                <w:szCs w:val="21"/>
              </w:rPr>
              <w:t>2021</w:t>
            </w:r>
          </w:p>
        </w:tc>
        <w:tc>
          <w:tcPr>
            <w:tcW w:w="1083" w:type="dxa"/>
            <w:vAlign w:val="center"/>
          </w:tcPr>
          <w:p>
            <w:pPr>
              <w:widowControl/>
              <w:jc w:val="center"/>
              <w:rPr>
                <w:rFonts w:eastAsia="仿宋_GB2312"/>
                <w:color w:val="000000"/>
                <w:kern w:val="0"/>
                <w:szCs w:val="21"/>
              </w:rPr>
            </w:pPr>
            <w:r>
              <w:rPr>
                <w:rFonts w:eastAsia="仿宋_GB2312"/>
                <w:color w:val="000000"/>
                <w:kern w:val="0"/>
                <w:szCs w:val="21"/>
              </w:rPr>
              <w:t>2022</w:t>
            </w:r>
          </w:p>
        </w:tc>
        <w:tc>
          <w:tcPr>
            <w:tcW w:w="1083" w:type="dxa"/>
            <w:vAlign w:val="center"/>
          </w:tcPr>
          <w:p>
            <w:pPr>
              <w:widowControl/>
              <w:jc w:val="center"/>
              <w:rPr>
                <w:rFonts w:eastAsia="仿宋_GB2312"/>
                <w:color w:val="000000"/>
                <w:kern w:val="0"/>
                <w:szCs w:val="21"/>
              </w:rPr>
            </w:pPr>
            <w:r>
              <w:rPr>
                <w:rFonts w:eastAsia="仿宋_GB2312"/>
                <w:color w:val="000000"/>
                <w:kern w:val="0"/>
                <w:szCs w:val="21"/>
              </w:rPr>
              <w:t>2023</w:t>
            </w:r>
          </w:p>
        </w:tc>
        <w:tc>
          <w:tcPr>
            <w:tcW w:w="1083" w:type="dxa"/>
            <w:vAlign w:val="center"/>
          </w:tcPr>
          <w:p>
            <w:pPr>
              <w:widowControl/>
              <w:jc w:val="center"/>
              <w:rPr>
                <w:rFonts w:eastAsia="仿宋_GB2312"/>
                <w:color w:val="000000"/>
                <w:kern w:val="0"/>
                <w:szCs w:val="21"/>
              </w:rPr>
            </w:pPr>
            <w:r>
              <w:rPr>
                <w:rFonts w:eastAsia="仿宋_GB2312"/>
                <w:color w:val="000000"/>
                <w:kern w:val="0"/>
                <w:szCs w:val="21"/>
              </w:rPr>
              <w:t>2024</w:t>
            </w:r>
          </w:p>
        </w:tc>
        <w:tc>
          <w:tcPr>
            <w:tcW w:w="1083" w:type="dxa"/>
            <w:vAlign w:val="center"/>
          </w:tcPr>
          <w:p>
            <w:pPr>
              <w:widowControl/>
              <w:jc w:val="center"/>
              <w:rPr>
                <w:rFonts w:eastAsia="仿宋_GB2312"/>
                <w:color w:val="000000"/>
                <w:kern w:val="0"/>
                <w:szCs w:val="21"/>
              </w:rPr>
            </w:pPr>
            <w:r>
              <w:rPr>
                <w:rFonts w:eastAsia="仿宋_GB2312"/>
                <w:color w:val="000000"/>
                <w:kern w:val="0"/>
                <w:szCs w:val="21"/>
              </w:rPr>
              <w:t>2025</w:t>
            </w:r>
          </w:p>
        </w:tc>
        <w:tc>
          <w:tcPr>
            <w:tcW w:w="1190" w:type="dxa"/>
            <w:vAlign w:val="center"/>
          </w:tcPr>
          <w:p>
            <w:pPr>
              <w:widowControl/>
              <w:jc w:val="center"/>
              <w:rPr>
                <w:rFonts w:eastAsia="仿宋_GB2312"/>
                <w:color w:val="000000"/>
                <w:kern w:val="0"/>
                <w:szCs w:val="21"/>
              </w:rPr>
            </w:pPr>
            <w:r>
              <w:rPr>
                <w:rFonts w:eastAsia="仿宋_GB2312"/>
                <w:color w:val="000000"/>
                <w:kern w:val="0"/>
                <w:szCs w:val="21"/>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vAlign w:val="center"/>
          </w:tcPr>
          <w:p>
            <w:pPr>
              <w:widowControl/>
              <w:jc w:val="center"/>
              <w:rPr>
                <w:rFonts w:eastAsia="仿宋_GB2312"/>
                <w:color w:val="000000"/>
                <w:kern w:val="0"/>
                <w:szCs w:val="21"/>
              </w:rPr>
            </w:pPr>
            <w:r>
              <w:rPr>
                <w:rFonts w:eastAsia="仿宋_GB2312"/>
                <w:color w:val="000000"/>
                <w:kern w:val="0"/>
                <w:szCs w:val="21"/>
              </w:rPr>
              <w:t>线性拟合</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8.0</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100.1</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102.3</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104.</w:t>
            </w:r>
            <w:r>
              <w:rPr>
                <w:rFonts w:eastAsia="仿宋_GB2312"/>
                <w:color w:val="000000"/>
                <w:kern w:val="0"/>
                <w:szCs w:val="21"/>
              </w:rPr>
              <w:t>5</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106.</w:t>
            </w:r>
            <w:r>
              <w:rPr>
                <w:rFonts w:eastAsia="仿宋_GB2312"/>
                <w:color w:val="000000"/>
                <w:kern w:val="0"/>
                <w:szCs w:val="21"/>
              </w:rPr>
              <w:t>7</w:t>
            </w:r>
          </w:p>
        </w:tc>
        <w:tc>
          <w:tcPr>
            <w:tcW w:w="1190" w:type="dxa"/>
            <w:vAlign w:val="center"/>
          </w:tcPr>
          <w:p>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9</w:t>
            </w:r>
            <w:r>
              <w:rPr>
                <w:rFonts w:hint="eastAsia" w:eastAsia="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vAlign w:val="center"/>
          </w:tcPr>
          <w:p>
            <w:pPr>
              <w:widowControl/>
              <w:jc w:val="center"/>
              <w:rPr>
                <w:rFonts w:eastAsia="仿宋_GB2312"/>
                <w:color w:val="000000"/>
                <w:kern w:val="0"/>
                <w:szCs w:val="21"/>
              </w:rPr>
            </w:pPr>
            <w:r>
              <w:rPr>
                <w:rFonts w:eastAsia="仿宋_GB2312"/>
                <w:color w:val="000000"/>
                <w:kern w:val="0"/>
                <w:szCs w:val="21"/>
              </w:rPr>
              <w:t>多项式拟合</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 xml:space="preserve">101.7 </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105.</w:t>
            </w:r>
            <w:r>
              <w:rPr>
                <w:rFonts w:eastAsia="仿宋_GB2312"/>
                <w:color w:val="000000"/>
                <w:kern w:val="0"/>
                <w:szCs w:val="21"/>
              </w:rPr>
              <w:t>9</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 xml:space="preserve">110.3 </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 xml:space="preserve">115.1 </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120.</w:t>
            </w:r>
            <w:r>
              <w:rPr>
                <w:rFonts w:eastAsia="仿宋_GB2312"/>
                <w:color w:val="000000"/>
                <w:kern w:val="0"/>
                <w:szCs w:val="21"/>
              </w:rPr>
              <w:t>3</w:t>
            </w:r>
          </w:p>
        </w:tc>
        <w:tc>
          <w:tcPr>
            <w:tcW w:w="1190" w:type="dxa"/>
            <w:vAlign w:val="center"/>
          </w:tcPr>
          <w:p>
            <w:pPr>
              <w:widowControl/>
              <w:jc w:val="center"/>
              <w:rPr>
                <w:rFonts w:eastAsia="仿宋_GB2312"/>
                <w:color w:val="000000"/>
                <w:kern w:val="0"/>
                <w:szCs w:val="21"/>
              </w:rPr>
            </w:pPr>
            <w:r>
              <w:rPr>
                <w:rFonts w:hint="eastAsia" w:eastAsia="仿宋_GB2312"/>
                <w:color w:val="000000"/>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vAlign w:val="center"/>
          </w:tcPr>
          <w:p>
            <w:pPr>
              <w:widowControl/>
              <w:jc w:val="center"/>
              <w:rPr>
                <w:rFonts w:eastAsia="仿宋_GB2312"/>
                <w:color w:val="000000"/>
                <w:kern w:val="0"/>
                <w:szCs w:val="21"/>
              </w:rPr>
            </w:pPr>
            <w:r>
              <w:rPr>
                <w:rFonts w:eastAsia="仿宋_GB2312"/>
                <w:color w:val="000000"/>
                <w:kern w:val="0"/>
                <w:szCs w:val="21"/>
              </w:rPr>
              <w:t>回归分析法</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100.7</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103.5</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106.4</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109.4</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112.5</w:t>
            </w:r>
          </w:p>
        </w:tc>
        <w:tc>
          <w:tcPr>
            <w:tcW w:w="1190" w:type="dxa"/>
            <w:vAlign w:val="center"/>
          </w:tcPr>
          <w:p>
            <w:pPr>
              <w:widowControl/>
              <w:jc w:val="center"/>
              <w:rPr>
                <w:rFonts w:eastAsia="仿宋_GB2312"/>
                <w:color w:val="000000"/>
                <w:kern w:val="0"/>
                <w:szCs w:val="21"/>
              </w:rPr>
            </w:pPr>
            <w:r>
              <w:rPr>
                <w:rFonts w:hint="eastAsia" w:eastAsia="仿宋_GB2312"/>
                <w:color w:val="000000"/>
                <w:kern w:val="0"/>
                <w:szCs w:val="21"/>
              </w:rPr>
              <w:t>3.0</w:t>
            </w:r>
            <w:r>
              <w:rPr>
                <w:rFonts w:eastAsia="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vAlign w:val="center"/>
          </w:tcPr>
          <w:p>
            <w:pPr>
              <w:widowControl/>
              <w:jc w:val="center"/>
              <w:rPr>
                <w:rFonts w:eastAsia="仿宋_GB2312"/>
                <w:color w:val="000000"/>
                <w:kern w:val="0"/>
                <w:szCs w:val="21"/>
              </w:rPr>
            </w:pPr>
            <w:r>
              <w:rPr>
                <w:rFonts w:eastAsia="仿宋_GB2312"/>
                <w:color w:val="000000"/>
                <w:kern w:val="0"/>
                <w:szCs w:val="21"/>
              </w:rPr>
              <w:t>弹性系数法</w:t>
            </w:r>
          </w:p>
        </w:tc>
        <w:tc>
          <w:tcPr>
            <w:tcW w:w="1083" w:type="dxa"/>
            <w:vAlign w:val="center"/>
          </w:tcPr>
          <w:p>
            <w:pPr>
              <w:widowControl/>
              <w:jc w:val="center"/>
              <w:rPr>
                <w:rFonts w:eastAsia="仿宋_GB2312"/>
                <w:color w:val="000000"/>
                <w:kern w:val="0"/>
                <w:szCs w:val="21"/>
              </w:rPr>
            </w:pPr>
            <w:r>
              <w:rPr>
                <w:rFonts w:eastAsia="等线"/>
                <w:color w:val="000000"/>
                <w:szCs w:val="21"/>
              </w:rPr>
              <w:t>10</w:t>
            </w:r>
            <w:r>
              <w:rPr>
                <w:rFonts w:hint="eastAsia" w:eastAsia="等线"/>
                <w:color w:val="000000"/>
                <w:szCs w:val="21"/>
              </w:rPr>
              <w:t>2.8</w:t>
            </w:r>
          </w:p>
        </w:tc>
        <w:tc>
          <w:tcPr>
            <w:tcW w:w="1083" w:type="dxa"/>
            <w:vAlign w:val="center"/>
          </w:tcPr>
          <w:p>
            <w:pPr>
              <w:widowControl/>
              <w:jc w:val="center"/>
              <w:rPr>
                <w:rFonts w:eastAsia="仿宋_GB2312"/>
                <w:color w:val="000000"/>
                <w:kern w:val="0"/>
                <w:szCs w:val="21"/>
              </w:rPr>
            </w:pPr>
            <w:r>
              <w:rPr>
                <w:rFonts w:hint="eastAsia" w:eastAsia="等线"/>
                <w:color w:val="000000"/>
                <w:szCs w:val="21"/>
              </w:rPr>
              <w:t>108.5</w:t>
            </w:r>
          </w:p>
        </w:tc>
        <w:tc>
          <w:tcPr>
            <w:tcW w:w="1083" w:type="dxa"/>
            <w:vAlign w:val="center"/>
          </w:tcPr>
          <w:p>
            <w:pPr>
              <w:widowControl/>
              <w:jc w:val="center"/>
              <w:rPr>
                <w:rFonts w:eastAsia="仿宋_GB2312"/>
                <w:color w:val="000000"/>
                <w:kern w:val="0"/>
                <w:szCs w:val="21"/>
              </w:rPr>
            </w:pPr>
            <w:r>
              <w:rPr>
                <w:rFonts w:hint="eastAsia" w:eastAsia="等线"/>
                <w:color w:val="000000"/>
                <w:szCs w:val="21"/>
              </w:rPr>
              <w:t>114.6</w:t>
            </w:r>
          </w:p>
        </w:tc>
        <w:tc>
          <w:tcPr>
            <w:tcW w:w="1083" w:type="dxa"/>
            <w:vAlign w:val="center"/>
          </w:tcPr>
          <w:p>
            <w:pPr>
              <w:widowControl/>
              <w:jc w:val="center"/>
              <w:rPr>
                <w:rFonts w:eastAsia="仿宋_GB2312"/>
                <w:color w:val="000000"/>
                <w:kern w:val="0"/>
                <w:szCs w:val="21"/>
              </w:rPr>
            </w:pPr>
            <w:r>
              <w:rPr>
                <w:rFonts w:hint="eastAsia" w:eastAsia="等线"/>
                <w:color w:val="000000"/>
                <w:szCs w:val="21"/>
              </w:rPr>
              <w:t>121.0</w:t>
            </w:r>
          </w:p>
        </w:tc>
        <w:tc>
          <w:tcPr>
            <w:tcW w:w="1083" w:type="dxa"/>
            <w:vAlign w:val="center"/>
          </w:tcPr>
          <w:p>
            <w:pPr>
              <w:widowControl/>
              <w:jc w:val="center"/>
              <w:rPr>
                <w:rFonts w:eastAsia="仿宋_GB2312"/>
                <w:color w:val="000000"/>
                <w:kern w:val="0"/>
                <w:szCs w:val="21"/>
              </w:rPr>
            </w:pPr>
            <w:r>
              <w:rPr>
                <w:rFonts w:hint="eastAsia" w:eastAsia="等线"/>
                <w:color w:val="000000"/>
                <w:szCs w:val="21"/>
              </w:rPr>
              <w:t>127.8</w:t>
            </w:r>
          </w:p>
        </w:tc>
        <w:tc>
          <w:tcPr>
            <w:tcW w:w="1190" w:type="dxa"/>
            <w:vAlign w:val="center"/>
          </w:tcPr>
          <w:p>
            <w:pPr>
              <w:widowControl/>
              <w:jc w:val="center"/>
              <w:rPr>
                <w:rFonts w:eastAsia="仿宋_GB2312"/>
                <w:color w:val="000000"/>
                <w:kern w:val="0"/>
                <w:szCs w:val="21"/>
              </w:rPr>
            </w:pPr>
            <w:r>
              <w:rPr>
                <w:rFonts w:hint="eastAsia" w:eastAsia="等线"/>
                <w:color w:val="00000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vAlign w:val="center"/>
          </w:tcPr>
          <w:p>
            <w:pPr>
              <w:widowControl/>
              <w:jc w:val="center"/>
              <w:rPr>
                <w:rFonts w:eastAsia="仿宋_GB2312"/>
                <w:color w:val="000000"/>
                <w:kern w:val="0"/>
                <w:szCs w:val="21"/>
              </w:rPr>
            </w:pPr>
            <w:r>
              <w:rPr>
                <w:rFonts w:eastAsia="仿宋_GB2312"/>
                <w:color w:val="000000"/>
                <w:kern w:val="0"/>
                <w:szCs w:val="21"/>
              </w:rPr>
              <w:t>高</w:t>
            </w:r>
          </w:p>
        </w:tc>
        <w:tc>
          <w:tcPr>
            <w:tcW w:w="1083" w:type="dxa"/>
            <w:vAlign w:val="center"/>
          </w:tcPr>
          <w:p>
            <w:pPr>
              <w:widowControl/>
              <w:jc w:val="center"/>
              <w:rPr>
                <w:rFonts w:eastAsia="仿宋_GB2312"/>
                <w:color w:val="000000"/>
                <w:kern w:val="0"/>
                <w:szCs w:val="21"/>
              </w:rPr>
            </w:pPr>
            <w:r>
              <w:rPr>
                <w:rFonts w:eastAsia="等线"/>
                <w:color w:val="000000"/>
                <w:szCs w:val="21"/>
              </w:rPr>
              <w:t>10</w:t>
            </w:r>
            <w:r>
              <w:rPr>
                <w:rFonts w:hint="eastAsia" w:eastAsia="等线"/>
                <w:color w:val="000000"/>
                <w:szCs w:val="21"/>
              </w:rPr>
              <w:t>2.8</w:t>
            </w:r>
          </w:p>
        </w:tc>
        <w:tc>
          <w:tcPr>
            <w:tcW w:w="1083" w:type="dxa"/>
            <w:vAlign w:val="center"/>
          </w:tcPr>
          <w:p>
            <w:pPr>
              <w:widowControl/>
              <w:jc w:val="center"/>
              <w:rPr>
                <w:rFonts w:eastAsia="仿宋_GB2312"/>
                <w:color w:val="000000"/>
                <w:kern w:val="0"/>
                <w:szCs w:val="21"/>
              </w:rPr>
            </w:pPr>
            <w:r>
              <w:rPr>
                <w:rFonts w:hint="eastAsia" w:eastAsia="等线"/>
                <w:color w:val="000000"/>
                <w:szCs w:val="21"/>
              </w:rPr>
              <w:t>108.5</w:t>
            </w:r>
          </w:p>
        </w:tc>
        <w:tc>
          <w:tcPr>
            <w:tcW w:w="1083" w:type="dxa"/>
            <w:vAlign w:val="center"/>
          </w:tcPr>
          <w:p>
            <w:pPr>
              <w:widowControl/>
              <w:jc w:val="center"/>
              <w:rPr>
                <w:rFonts w:eastAsia="仿宋_GB2312"/>
                <w:color w:val="000000"/>
                <w:kern w:val="0"/>
                <w:szCs w:val="21"/>
              </w:rPr>
            </w:pPr>
            <w:r>
              <w:rPr>
                <w:rFonts w:hint="eastAsia" w:eastAsia="等线"/>
                <w:color w:val="000000"/>
                <w:szCs w:val="21"/>
              </w:rPr>
              <w:t>114.6</w:t>
            </w:r>
          </w:p>
        </w:tc>
        <w:tc>
          <w:tcPr>
            <w:tcW w:w="1083" w:type="dxa"/>
            <w:vAlign w:val="center"/>
          </w:tcPr>
          <w:p>
            <w:pPr>
              <w:widowControl/>
              <w:jc w:val="center"/>
              <w:rPr>
                <w:rFonts w:eastAsia="仿宋_GB2312"/>
                <w:color w:val="000000"/>
                <w:kern w:val="0"/>
                <w:szCs w:val="21"/>
              </w:rPr>
            </w:pPr>
            <w:r>
              <w:rPr>
                <w:rFonts w:hint="eastAsia" w:eastAsia="等线"/>
                <w:color w:val="000000"/>
                <w:szCs w:val="21"/>
              </w:rPr>
              <w:t>121.0</w:t>
            </w:r>
          </w:p>
        </w:tc>
        <w:tc>
          <w:tcPr>
            <w:tcW w:w="1083" w:type="dxa"/>
            <w:vAlign w:val="center"/>
          </w:tcPr>
          <w:p>
            <w:pPr>
              <w:widowControl/>
              <w:jc w:val="center"/>
              <w:rPr>
                <w:rFonts w:eastAsia="仿宋_GB2312"/>
                <w:color w:val="000000"/>
                <w:kern w:val="0"/>
                <w:szCs w:val="21"/>
              </w:rPr>
            </w:pPr>
            <w:r>
              <w:rPr>
                <w:rFonts w:hint="eastAsia" w:eastAsia="等线"/>
                <w:color w:val="000000"/>
                <w:szCs w:val="21"/>
              </w:rPr>
              <w:t>127.8</w:t>
            </w:r>
          </w:p>
        </w:tc>
        <w:tc>
          <w:tcPr>
            <w:tcW w:w="1190" w:type="dxa"/>
            <w:vAlign w:val="center"/>
          </w:tcPr>
          <w:p>
            <w:pPr>
              <w:widowControl/>
              <w:jc w:val="center"/>
              <w:rPr>
                <w:rFonts w:eastAsia="仿宋_GB2312"/>
                <w:color w:val="000000"/>
                <w:kern w:val="0"/>
                <w:szCs w:val="21"/>
              </w:rPr>
            </w:pPr>
            <w:r>
              <w:rPr>
                <w:rFonts w:hint="eastAsia" w:eastAsia="等线"/>
                <w:color w:val="00000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vAlign w:val="center"/>
          </w:tcPr>
          <w:p>
            <w:pPr>
              <w:widowControl/>
              <w:jc w:val="center"/>
              <w:rPr>
                <w:rFonts w:eastAsia="仿宋_GB2312"/>
                <w:color w:val="000000"/>
                <w:kern w:val="0"/>
                <w:szCs w:val="21"/>
              </w:rPr>
            </w:pPr>
            <w:r>
              <w:rPr>
                <w:rFonts w:hint="eastAsia" w:eastAsia="仿宋_GB2312"/>
                <w:color w:val="000000"/>
                <w:kern w:val="0"/>
                <w:szCs w:val="21"/>
              </w:rPr>
              <w:t>中</w:t>
            </w:r>
          </w:p>
        </w:tc>
        <w:tc>
          <w:tcPr>
            <w:tcW w:w="1083" w:type="dxa"/>
            <w:vAlign w:val="center"/>
          </w:tcPr>
          <w:p>
            <w:pPr>
              <w:widowControl/>
              <w:jc w:val="center"/>
              <w:rPr>
                <w:rFonts w:eastAsia="等线"/>
                <w:color w:val="000000"/>
                <w:szCs w:val="21"/>
              </w:rPr>
            </w:pPr>
            <w:r>
              <w:rPr>
                <w:rFonts w:eastAsia="等线"/>
                <w:color w:val="000000"/>
                <w:szCs w:val="21"/>
              </w:rPr>
              <w:t>101.20</w:t>
            </w:r>
          </w:p>
        </w:tc>
        <w:tc>
          <w:tcPr>
            <w:tcW w:w="1083" w:type="dxa"/>
            <w:vAlign w:val="center"/>
          </w:tcPr>
          <w:p>
            <w:pPr>
              <w:widowControl/>
              <w:jc w:val="center"/>
              <w:rPr>
                <w:rFonts w:eastAsia="等线"/>
                <w:color w:val="000000"/>
                <w:szCs w:val="21"/>
              </w:rPr>
            </w:pPr>
            <w:r>
              <w:rPr>
                <w:rFonts w:eastAsia="等线"/>
                <w:color w:val="000000"/>
                <w:szCs w:val="21"/>
              </w:rPr>
              <w:t>104.7</w:t>
            </w:r>
          </w:p>
        </w:tc>
        <w:tc>
          <w:tcPr>
            <w:tcW w:w="1083" w:type="dxa"/>
            <w:vAlign w:val="center"/>
          </w:tcPr>
          <w:p>
            <w:pPr>
              <w:widowControl/>
              <w:jc w:val="center"/>
              <w:rPr>
                <w:rFonts w:eastAsia="等线"/>
                <w:color w:val="000000"/>
                <w:szCs w:val="21"/>
              </w:rPr>
            </w:pPr>
            <w:r>
              <w:rPr>
                <w:rFonts w:eastAsia="等线"/>
                <w:color w:val="000000"/>
                <w:szCs w:val="21"/>
              </w:rPr>
              <w:t>108.</w:t>
            </w:r>
            <w:r>
              <w:rPr>
                <w:rFonts w:hint="eastAsia" w:eastAsia="等线"/>
                <w:color w:val="000000"/>
                <w:szCs w:val="21"/>
              </w:rPr>
              <w:t>4</w:t>
            </w:r>
          </w:p>
        </w:tc>
        <w:tc>
          <w:tcPr>
            <w:tcW w:w="1083" w:type="dxa"/>
            <w:vAlign w:val="center"/>
          </w:tcPr>
          <w:p>
            <w:pPr>
              <w:widowControl/>
              <w:jc w:val="center"/>
              <w:rPr>
                <w:rFonts w:eastAsia="等线"/>
                <w:color w:val="000000"/>
                <w:szCs w:val="21"/>
              </w:rPr>
            </w:pPr>
            <w:r>
              <w:rPr>
                <w:rFonts w:eastAsia="等线"/>
                <w:color w:val="000000"/>
                <w:szCs w:val="21"/>
              </w:rPr>
              <w:t>112.</w:t>
            </w:r>
            <w:r>
              <w:rPr>
                <w:rFonts w:hint="eastAsia" w:eastAsia="等线"/>
                <w:color w:val="000000"/>
                <w:szCs w:val="21"/>
              </w:rPr>
              <w:t>3</w:t>
            </w:r>
          </w:p>
        </w:tc>
        <w:tc>
          <w:tcPr>
            <w:tcW w:w="1083" w:type="dxa"/>
            <w:vAlign w:val="center"/>
          </w:tcPr>
          <w:p>
            <w:pPr>
              <w:widowControl/>
              <w:jc w:val="center"/>
              <w:rPr>
                <w:rFonts w:eastAsia="等线"/>
                <w:color w:val="000000"/>
                <w:szCs w:val="21"/>
              </w:rPr>
            </w:pPr>
            <w:r>
              <w:rPr>
                <w:rFonts w:eastAsia="等线"/>
                <w:color w:val="000000"/>
                <w:szCs w:val="21"/>
              </w:rPr>
              <w:t>116.4</w:t>
            </w:r>
          </w:p>
        </w:tc>
        <w:tc>
          <w:tcPr>
            <w:tcW w:w="1190" w:type="dxa"/>
            <w:vAlign w:val="center"/>
          </w:tcPr>
          <w:p>
            <w:pPr>
              <w:widowControl/>
              <w:jc w:val="center"/>
              <w:rPr>
                <w:rFonts w:eastAsia="等线"/>
                <w:color w:val="000000"/>
                <w:szCs w:val="21"/>
              </w:rPr>
            </w:pPr>
            <w:r>
              <w:rPr>
                <w:rFonts w:eastAsia="等线"/>
                <w:color w:val="000000"/>
                <w:szCs w:val="21"/>
              </w:rPr>
              <w:t>3.</w:t>
            </w:r>
            <w:r>
              <w:rPr>
                <w:rFonts w:hint="eastAsia" w:eastAsia="等线"/>
                <w:color w:val="000000"/>
                <w:szCs w:val="21"/>
              </w:rPr>
              <w:t>7</w:t>
            </w:r>
            <w:r>
              <w:rPr>
                <w:rFonts w:eastAsia="等线"/>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3" w:type="dxa"/>
            <w:vAlign w:val="center"/>
          </w:tcPr>
          <w:p>
            <w:pPr>
              <w:widowControl/>
              <w:jc w:val="center"/>
              <w:rPr>
                <w:rFonts w:eastAsia="仿宋_GB2312"/>
                <w:color w:val="000000"/>
                <w:kern w:val="0"/>
                <w:szCs w:val="21"/>
              </w:rPr>
            </w:pPr>
            <w:r>
              <w:rPr>
                <w:rFonts w:eastAsia="仿宋_GB2312"/>
                <w:color w:val="000000"/>
                <w:kern w:val="0"/>
                <w:szCs w:val="21"/>
              </w:rPr>
              <w:t>低</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8.0</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100.1</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102.3</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104.</w:t>
            </w:r>
            <w:r>
              <w:rPr>
                <w:rFonts w:eastAsia="仿宋_GB2312"/>
                <w:color w:val="000000"/>
                <w:kern w:val="0"/>
                <w:szCs w:val="21"/>
              </w:rPr>
              <w:t>5</w:t>
            </w:r>
          </w:p>
        </w:tc>
        <w:tc>
          <w:tcPr>
            <w:tcW w:w="1083" w:type="dxa"/>
            <w:vAlign w:val="center"/>
          </w:tcPr>
          <w:p>
            <w:pPr>
              <w:widowControl/>
              <w:jc w:val="center"/>
              <w:rPr>
                <w:rFonts w:eastAsia="仿宋_GB2312"/>
                <w:color w:val="000000"/>
                <w:kern w:val="0"/>
                <w:szCs w:val="21"/>
              </w:rPr>
            </w:pPr>
            <w:r>
              <w:rPr>
                <w:rFonts w:hint="eastAsia" w:eastAsia="仿宋_GB2312"/>
                <w:color w:val="000000"/>
                <w:kern w:val="0"/>
                <w:szCs w:val="21"/>
              </w:rPr>
              <w:t>106.</w:t>
            </w:r>
            <w:r>
              <w:rPr>
                <w:rFonts w:eastAsia="仿宋_GB2312"/>
                <w:color w:val="000000"/>
                <w:kern w:val="0"/>
                <w:szCs w:val="21"/>
              </w:rPr>
              <w:t>7</w:t>
            </w:r>
          </w:p>
        </w:tc>
        <w:tc>
          <w:tcPr>
            <w:tcW w:w="1190" w:type="dxa"/>
            <w:vAlign w:val="center"/>
          </w:tcPr>
          <w:p>
            <w:pPr>
              <w:widowControl/>
              <w:jc w:val="center"/>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9</w:t>
            </w:r>
            <w:r>
              <w:rPr>
                <w:rFonts w:hint="eastAsia" w:eastAsia="仿宋_GB2312"/>
                <w:color w:val="000000"/>
                <w:kern w:val="0"/>
                <w:szCs w:val="21"/>
              </w:rPr>
              <w:t>%</w:t>
            </w:r>
          </w:p>
        </w:tc>
      </w:tr>
    </w:tbl>
    <w:p>
      <w:pPr>
        <w:spacing w:line="360" w:lineRule="auto"/>
        <w:ind w:firstLine="640" w:firstLineChars="200"/>
        <w:rPr>
          <w:rFonts w:eastAsia="仿宋_GB2312"/>
          <w:sz w:val="32"/>
          <w:szCs w:val="32"/>
        </w:rPr>
      </w:pPr>
      <w:r>
        <w:rPr>
          <w:rFonts w:eastAsia="仿宋_GB2312"/>
          <w:sz w:val="32"/>
          <w:szCs w:val="32"/>
        </w:rPr>
        <w:t>2、最大负荷预测</w:t>
      </w:r>
    </w:p>
    <w:p>
      <w:pPr>
        <w:spacing w:line="360" w:lineRule="auto"/>
        <w:ind w:firstLine="640" w:firstLineChars="200"/>
        <w:rPr>
          <w:rFonts w:eastAsia="仿宋_GB2312"/>
          <w:sz w:val="32"/>
          <w:szCs w:val="32"/>
        </w:rPr>
      </w:pPr>
      <w:r>
        <w:rPr>
          <w:rFonts w:eastAsia="仿宋_GB2312"/>
          <w:sz w:val="32"/>
          <w:szCs w:val="32"/>
        </w:rPr>
        <w:t>根据历年最大负荷实际数据，分别作线性拟合、多项式拟合，得到预测模型</w:t>
      </w:r>
      <w:r>
        <w:rPr>
          <w:rFonts w:hint="eastAsia" w:eastAsia="仿宋_GB2312"/>
          <w:sz w:val="32"/>
          <w:szCs w:val="32"/>
        </w:rPr>
        <w:t>y=7.24x-14446.1</w:t>
      </w:r>
      <w:r>
        <w:rPr>
          <w:rFonts w:eastAsia="仿宋_GB2312"/>
          <w:sz w:val="32"/>
          <w:szCs w:val="32"/>
        </w:rPr>
        <w:t>（相关系数R</w:t>
      </w:r>
      <w:r>
        <w:rPr>
          <w:rFonts w:eastAsia="仿宋_GB2312"/>
          <w:sz w:val="32"/>
          <w:szCs w:val="32"/>
          <w:vertAlign w:val="superscript"/>
        </w:rPr>
        <w:t>2</w:t>
      </w:r>
      <w:r>
        <w:rPr>
          <w:rFonts w:eastAsia="仿宋_GB2312"/>
          <w:sz w:val="32"/>
          <w:szCs w:val="32"/>
        </w:rPr>
        <w:t>=0.</w:t>
      </w:r>
      <w:r>
        <w:rPr>
          <w:rFonts w:hint="eastAsia" w:eastAsia="仿宋_GB2312"/>
          <w:sz w:val="32"/>
          <w:szCs w:val="32"/>
        </w:rPr>
        <w:t>89</w:t>
      </w:r>
      <w:r>
        <w:rPr>
          <w:rFonts w:eastAsia="仿宋_GB2312"/>
          <w:sz w:val="32"/>
          <w:szCs w:val="32"/>
        </w:rPr>
        <w:t>，见图3-4）、</w:t>
      </w:r>
      <w:r>
        <w:rPr>
          <w:rFonts w:hint="eastAsia" w:eastAsia="仿宋_GB2312"/>
          <w:sz w:val="32"/>
          <w:szCs w:val="32"/>
        </w:rPr>
        <w:t>y = 1.07 x</w:t>
      </w:r>
      <w:r>
        <w:rPr>
          <w:rFonts w:hint="eastAsia" w:eastAsia="仿宋_GB2312"/>
          <w:sz w:val="32"/>
          <w:szCs w:val="32"/>
          <w:vertAlign w:val="superscript"/>
        </w:rPr>
        <w:t>2</w:t>
      </w:r>
      <w:r>
        <w:rPr>
          <w:rFonts w:hint="eastAsia" w:eastAsia="仿宋_GB2312"/>
          <w:sz w:val="32"/>
          <w:szCs w:val="32"/>
        </w:rPr>
        <w:t xml:space="preserve"> - 4302.04x + 4329110.38</w:t>
      </w:r>
      <w:r>
        <w:rPr>
          <w:rFonts w:eastAsia="仿宋_GB2312"/>
          <w:sz w:val="32"/>
          <w:szCs w:val="32"/>
        </w:rPr>
        <w:t>（相关系数R</w:t>
      </w:r>
      <w:r>
        <w:rPr>
          <w:rFonts w:eastAsia="仿宋_GB2312"/>
          <w:sz w:val="32"/>
          <w:szCs w:val="32"/>
          <w:vertAlign w:val="superscript"/>
        </w:rPr>
        <w:t>2</w:t>
      </w:r>
      <w:r>
        <w:rPr>
          <w:rFonts w:eastAsia="仿宋_GB2312"/>
          <w:sz w:val="32"/>
          <w:szCs w:val="32"/>
        </w:rPr>
        <w:t>=0.9</w:t>
      </w:r>
      <w:r>
        <w:rPr>
          <w:rFonts w:hint="eastAsia" w:eastAsia="仿宋_GB2312"/>
          <w:sz w:val="32"/>
          <w:szCs w:val="32"/>
        </w:rPr>
        <w:t>9</w:t>
      </w:r>
      <w:r>
        <w:rPr>
          <w:rFonts w:eastAsia="仿宋_GB2312"/>
          <w:sz w:val="32"/>
          <w:szCs w:val="32"/>
        </w:rPr>
        <w:t>，见图3-5），将年份后推至2025年，预测得到2025年最大负荷约为</w:t>
      </w:r>
      <w:r>
        <w:rPr>
          <w:rFonts w:hint="eastAsia" w:eastAsia="仿宋_GB2312"/>
          <w:sz w:val="32"/>
          <w:szCs w:val="32"/>
        </w:rPr>
        <w:t>22</w:t>
      </w:r>
      <w:r>
        <w:rPr>
          <w:rFonts w:eastAsia="仿宋_GB2312"/>
          <w:sz w:val="32"/>
          <w:szCs w:val="32"/>
        </w:rPr>
        <w:t>4万千瓦、</w:t>
      </w:r>
      <w:r>
        <w:rPr>
          <w:rFonts w:hint="eastAsia" w:eastAsia="仿宋_GB2312"/>
          <w:sz w:val="32"/>
          <w:szCs w:val="32"/>
        </w:rPr>
        <w:t>291</w:t>
      </w:r>
      <w:r>
        <w:rPr>
          <w:rFonts w:eastAsia="仿宋_GB2312"/>
          <w:sz w:val="32"/>
          <w:szCs w:val="32"/>
        </w:rPr>
        <w:t>万千瓦。根据历年最大负荷实际数据，“十四五”时期最大负荷年均增长率取</w:t>
      </w:r>
      <w:r>
        <w:rPr>
          <w:rFonts w:hint="eastAsia" w:eastAsia="仿宋_GB2312"/>
          <w:sz w:val="32"/>
          <w:szCs w:val="32"/>
        </w:rPr>
        <w:t>6</w:t>
      </w:r>
      <w:r>
        <w:rPr>
          <w:rFonts w:eastAsia="仿宋_GB2312"/>
          <w:sz w:val="32"/>
          <w:szCs w:val="32"/>
        </w:rPr>
        <w:t>%，预测得到2025年最大负荷约为</w:t>
      </w:r>
      <w:r>
        <w:rPr>
          <w:rFonts w:hint="eastAsia" w:eastAsia="仿宋_GB2312"/>
          <w:sz w:val="32"/>
          <w:szCs w:val="32"/>
        </w:rPr>
        <w:t>254</w:t>
      </w:r>
      <w:r>
        <w:rPr>
          <w:rFonts w:eastAsia="仿宋_GB2312"/>
          <w:sz w:val="32"/>
          <w:szCs w:val="32"/>
        </w:rPr>
        <w:t>万千瓦。详细预测结果见下表。</w:t>
      </w:r>
    </w:p>
    <w:p>
      <w:pPr>
        <w:pStyle w:val="27"/>
        <w:jc w:val="center"/>
        <w:rPr>
          <w:rFonts w:eastAsia="仿宋_GB2312"/>
          <w:sz w:val="21"/>
          <w:szCs w:val="20"/>
        </w:rPr>
      </w:pPr>
      <w:r>
        <w:rPr>
          <w:rFonts w:eastAsia="仿宋_GB2312"/>
          <w:sz w:val="21"/>
          <w:szCs w:val="20"/>
        </w:rPr>
        <w:t>表3-6：“十四五”最大负荷预测结果单位：万千瓦</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8"/>
        <w:gridCol w:w="915"/>
        <w:gridCol w:w="916"/>
        <w:gridCol w:w="916"/>
        <w:gridCol w:w="916"/>
        <w:gridCol w:w="91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1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全社会最大负荷</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2021</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2022</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2023</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2024</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2025</w:t>
            </w:r>
          </w:p>
        </w:tc>
        <w:tc>
          <w:tcPr>
            <w:tcW w:w="69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1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高方案（多项式拟合法）</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201 </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220 </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242 </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265 </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291 </w:t>
            </w:r>
          </w:p>
        </w:tc>
        <w:tc>
          <w:tcPr>
            <w:tcW w:w="69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1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中方案（平均增长率法</w:t>
            </w:r>
            <w:r>
              <w:rPr>
                <w:rFonts w:hint="eastAsia" w:eastAsia="仿宋_GB2312"/>
                <w:color w:val="000000"/>
                <w:kern w:val="0"/>
                <w:szCs w:val="21"/>
              </w:rPr>
              <w:t>）</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201 </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213 </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226 </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240 </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 xml:space="preserve">254 </w:t>
            </w:r>
          </w:p>
        </w:tc>
        <w:tc>
          <w:tcPr>
            <w:tcW w:w="69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6</w:t>
            </w:r>
            <w:r>
              <w:rPr>
                <w:rFonts w:eastAsia="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1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低方案（线性拟合法)</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196</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210</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216</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221</w:t>
            </w:r>
          </w:p>
        </w:tc>
        <w:tc>
          <w:tcPr>
            <w:tcW w:w="53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224</w:t>
            </w:r>
          </w:p>
        </w:tc>
        <w:tc>
          <w:tcPr>
            <w:tcW w:w="69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3</w:t>
            </w:r>
            <w:r>
              <w:rPr>
                <w:rFonts w:eastAsia="仿宋_GB2312"/>
                <w:color w:val="000000"/>
                <w:kern w:val="0"/>
                <w:szCs w:val="21"/>
              </w:rPr>
              <w:t>%</w:t>
            </w:r>
          </w:p>
        </w:tc>
      </w:tr>
    </w:tbl>
    <w:p>
      <w:pPr>
        <w:pStyle w:val="27"/>
      </w:pPr>
    </w:p>
    <w:p>
      <w:pPr>
        <w:pStyle w:val="27"/>
      </w:pPr>
      <w:r>
        <w:drawing>
          <wp:inline distT="0" distB="0" distL="0" distR="0">
            <wp:extent cx="5214620" cy="350964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7"/>
        <w:jc w:val="center"/>
        <w:rPr>
          <w:rFonts w:eastAsia="仿宋_GB2312"/>
          <w:sz w:val="21"/>
          <w:szCs w:val="20"/>
        </w:rPr>
      </w:pPr>
      <w:r>
        <w:rPr>
          <w:rFonts w:eastAsia="仿宋_GB2312"/>
          <w:sz w:val="21"/>
          <w:szCs w:val="20"/>
        </w:rPr>
        <w:t>图3-4：最大负荷预测结果（线性拟合法）</w:t>
      </w:r>
    </w:p>
    <w:p>
      <w:pPr>
        <w:pStyle w:val="27"/>
      </w:pPr>
      <w:r>
        <w:drawing>
          <wp:inline distT="0" distB="0" distL="0" distR="0">
            <wp:extent cx="5168900" cy="410337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7"/>
        <w:jc w:val="center"/>
        <w:rPr>
          <w:rFonts w:eastAsia="仿宋_GB2312"/>
          <w:sz w:val="21"/>
          <w:szCs w:val="20"/>
        </w:rPr>
      </w:pPr>
      <w:r>
        <w:rPr>
          <w:rFonts w:eastAsia="仿宋_GB2312"/>
          <w:sz w:val="21"/>
          <w:szCs w:val="20"/>
        </w:rPr>
        <w:t>图3-5：最大负荷预测结果（多项式拟合法）</w:t>
      </w:r>
    </w:p>
    <w:p>
      <w:pPr>
        <w:spacing w:line="360" w:lineRule="auto"/>
        <w:ind w:firstLine="640" w:firstLineChars="200"/>
        <w:rPr>
          <w:rFonts w:eastAsia="仿宋_GB2312"/>
          <w:sz w:val="32"/>
          <w:szCs w:val="32"/>
        </w:rPr>
      </w:pPr>
      <w:r>
        <w:rPr>
          <w:rFonts w:eastAsia="仿宋_GB2312"/>
          <w:sz w:val="32"/>
          <w:szCs w:val="32"/>
        </w:rPr>
        <w:t>综合上述预测方法所得结果，得到“十四五”期间最大负荷的高、中、低三个方案，到2025年最大负荷分别为</w:t>
      </w:r>
      <w:r>
        <w:rPr>
          <w:rFonts w:hint="eastAsia" w:eastAsia="仿宋_GB2312"/>
          <w:sz w:val="32"/>
          <w:szCs w:val="32"/>
        </w:rPr>
        <w:t>291</w:t>
      </w:r>
      <w:r>
        <w:rPr>
          <w:rFonts w:eastAsia="仿宋_GB2312"/>
          <w:sz w:val="32"/>
          <w:szCs w:val="32"/>
        </w:rPr>
        <w:t>万千瓦、</w:t>
      </w:r>
      <w:r>
        <w:rPr>
          <w:rFonts w:hint="eastAsia" w:eastAsia="仿宋_GB2312"/>
          <w:sz w:val="32"/>
          <w:szCs w:val="32"/>
        </w:rPr>
        <w:t>254</w:t>
      </w:r>
      <w:r>
        <w:rPr>
          <w:rFonts w:eastAsia="仿宋_GB2312"/>
          <w:sz w:val="32"/>
          <w:szCs w:val="32"/>
        </w:rPr>
        <w:t>万千瓦、</w:t>
      </w:r>
      <w:r>
        <w:rPr>
          <w:rFonts w:hint="eastAsia" w:eastAsia="仿宋_GB2312"/>
          <w:sz w:val="32"/>
          <w:szCs w:val="32"/>
        </w:rPr>
        <w:t>224</w:t>
      </w:r>
      <w:r>
        <w:rPr>
          <w:rFonts w:eastAsia="仿宋_GB2312"/>
          <w:sz w:val="32"/>
          <w:szCs w:val="32"/>
        </w:rPr>
        <w:t>万千瓦，年均增长9%、</w:t>
      </w:r>
      <w:r>
        <w:rPr>
          <w:rFonts w:hint="eastAsia" w:eastAsia="仿宋_GB2312"/>
          <w:sz w:val="32"/>
          <w:szCs w:val="32"/>
        </w:rPr>
        <w:t>6</w:t>
      </w:r>
      <w:r>
        <w:rPr>
          <w:rFonts w:eastAsia="仿宋_GB2312"/>
          <w:sz w:val="32"/>
          <w:szCs w:val="32"/>
        </w:rPr>
        <w:t>%、</w:t>
      </w:r>
      <w:r>
        <w:rPr>
          <w:rFonts w:hint="eastAsia" w:eastAsia="仿宋_GB2312"/>
          <w:sz w:val="32"/>
          <w:szCs w:val="32"/>
        </w:rPr>
        <w:t>3</w:t>
      </w:r>
      <w:r>
        <w:rPr>
          <w:rFonts w:eastAsia="仿宋_GB2312"/>
          <w:sz w:val="32"/>
          <w:szCs w:val="32"/>
        </w:rPr>
        <w:t>%。“十四五”期间我市经济社会发展较快，且工业发展作为主攻方向，电力负荷增长空间较大，本报告以</w:t>
      </w:r>
      <w:r>
        <w:rPr>
          <w:rFonts w:hint="eastAsia" w:eastAsia="仿宋_GB2312"/>
          <w:sz w:val="32"/>
          <w:szCs w:val="32"/>
        </w:rPr>
        <w:t>中</w:t>
      </w:r>
      <w:r>
        <w:rPr>
          <w:rFonts w:eastAsia="仿宋_GB2312"/>
          <w:sz w:val="32"/>
          <w:szCs w:val="32"/>
        </w:rPr>
        <w:t>方案为推荐方案，即到2025年，最大负荷约为</w:t>
      </w:r>
      <w:r>
        <w:rPr>
          <w:rFonts w:hint="eastAsia" w:eastAsia="仿宋_GB2312"/>
          <w:sz w:val="32"/>
          <w:szCs w:val="32"/>
        </w:rPr>
        <w:t>254</w:t>
      </w:r>
      <w:r>
        <w:rPr>
          <w:rFonts w:eastAsia="仿宋_GB2312"/>
          <w:sz w:val="32"/>
          <w:szCs w:val="32"/>
        </w:rPr>
        <w:t>万千瓦，“十四五”年均增长约</w:t>
      </w:r>
      <w:r>
        <w:rPr>
          <w:rFonts w:hint="eastAsia" w:eastAsia="仿宋_GB2312"/>
          <w:sz w:val="32"/>
          <w:szCs w:val="32"/>
        </w:rPr>
        <w:t>6</w:t>
      </w:r>
      <w:r>
        <w:rPr>
          <w:rFonts w:eastAsia="仿宋_GB2312"/>
          <w:sz w:val="32"/>
          <w:szCs w:val="32"/>
        </w:rPr>
        <w:t>%。</w:t>
      </w:r>
    </w:p>
    <w:p>
      <w:pPr>
        <w:keepNext/>
        <w:keepLines/>
        <w:spacing w:line="360" w:lineRule="auto"/>
        <w:ind w:firstLine="643" w:firstLineChars="200"/>
        <w:outlineLvl w:val="2"/>
        <w:rPr>
          <w:rFonts w:eastAsia="仿宋_GB2312"/>
          <w:b/>
          <w:bCs/>
          <w:sz w:val="32"/>
          <w:szCs w:val="32"/>
        </w:rPr>
      </w:pPr>
      <w:bookmarkStart w:id="66" w:name="_Toc66178636"/>
      <w:bookmarkStart w:id="67" w:name="_Toc66178700"/>
      <w:bookmarkStart w:id="68" w:name="_Toc58335376"/>
      <w:r>
        <w:rPr>
          <w:rFonts w:eastAsia="仿宋_GB2312"/>
          <w:b/>
          <w:bCs/>
          <w:sz w:val="32"/>
          <w:szCs w:val="32"/>
        </w:rPr>
        <w:t>（三）天然气</w:t>
      </w:r>
      <w:bookmarkEnd w:id="66"/>
      <w:bookmarkEnd w:id="67"/>
      <w:bookmarkEnd w:id="68"/>
    </w:p>
    <w:p>
      <w:pPr>
        <w:spacing w:line="360" w:lineRule="auto"/>
        <w:ind w:firstLine="640" w:firstLineChars="200"/>
        <w:rPr>
          <w:rFonts w:eastAsia="仿宋_GB2312"/>
          <w:sz w:val="32"/>
          <w:szCs w:val="32"/>
        </w:rPr>
      </w:pPr>
      <w:r>
        <w:rPr>
          <w:rFonts w:eastAsia="仿宋_GB2312"/>
          <w:sz w:val="32"/>
          <w:szCs w:val="32"/>
        </w:rPr>
        <w:t>我市天然气消费全部为城市燃气</w:t>
      </w:r>
      <w:r>
        <w:rPr>
          <w:rFonts w:hint="eastAsia" w:eastAsia="仿宋_GB2312"/>
          <w:sz w:val="32"/>
          <w:szCs w:val="32"/>
        </w:rPr>
        <w:t>。</w:t>
      </w:r>
      <w:r>
        <w:rPr>
          <w:rFonts w:eastAsia="仿宋_GB2312"/>
          <w:sz w:val="32"/>
          <w:szCs w:val="32"/>
        </w:rPr>
        <w:t>20</w:t>
      </w:r>
      <w:r>
        <w:rPr>
          <w:rFonts w:hint="eastAsia" w:eastAsia="仿宋_GB2312"/>
          <w:sz w:val="32"/>
          <w:szCs w:val="32"/>
        </w:rPr>
        <w:t>20</w:t>
      </w:r>
      <w:r>
        <w:rPr>
          <w:rFonts w:eastAsia="仿宋_GB2312"/>
          <w:sz w:val="32"/>
          <w:szCs w:val="32"/>
        </w:rPr>
        <w:t>年天然气消费量达1.</w:t>
      </w:r>
      <w:r>
        <w:rPr>
          <w:rFonts w:hint="eastAsia" w:eastAsia="仿宋_GB2312"/>
          <w:sz w:val="32"/>
          <w:szCs w:val="32"/>
        </w:rPr>
        <w:t>28亿</w:t>
      </w:r>
      <w:r>
        <w:rPr>
          <w:rFonts w:eastAsia="仿宋_GB2312"/>
          <w:sz w:val="32"/>
          <w:szCs w:val="32"/>
        </w:rPr>
        <w:t>立方米，“十三五”年均增长</w:t>
      </w:r>
      <w:r>
        <w:rPr>
          <w:rFonts w:hint="eastAsia" w:eastAsia="仿宋_GB2312"/>
          <w:sz w:val="32"/>
          <w:szCs w:val="32"/>
        </w:rPr>
        <w:t>13.5</w:t>
      </w:r>
      <w:r>
        <w:rPr>
          <w:rFonts w:eastAsia="仿宋_GB2312"/>
          <w:sz w:val="32"/>
          <w:szCs w:val="32"/>
        </w:rPr>
        <w:t>%。根据《新余市燃气专项规划(2015-2030)》，结合国民经济与社会发展现状、天然气综合利用和管网建设及发展情况，预计2025年天然气消费量为</w:t>
      </w:r>
      <w:r>
        <w:rPr>
          <w:rFonts w:hint="eastAsia" w:eastAsia="仿宋_GB2312"/>
          <w:sz w:val="32"/>
          <w:szCs w:val="32"/>
        </w:rPr>
        <w:t>1.76</w:t>
      </w:r>
      <w:r>
        <w:rPr>
          <w:rFonts w:eastAsia="仿宋_GB2312"/>
          <w:sz w:val="32"/>
          <w:szCs w:val="32"/>
        </w:rPr>
        <w:t>亿立方米，“十四五”年均增长</w:t>
      </w:r>
      <w:r>
        <w:rPr>
          <w:rFonts w:hint="eastAsia" w:eastAsia="仿宋_GB2312"/>
          <w:sz w:val="32"/>
          <w:szCs w:val="32"/>
        </w:rPr>
        <w:t>6.6</w:t>
      </w:r>
      <w:r>
        <w:rPr>
          <w:rFonts w:eastAsia="仿宋_GB2312"/>
          <w:sz w:val="32"/>
          <w:szCs w:val="32"/>
        </w:rPr>
        <w:t>%。</w:t>
      </w:r>
    </w:p>
    <w:p>
      <w:pPr>
        <w:pStyle w:val="27"/>
        <w:jc w:val="center"/>
        <w:rPr>
          <w:rFonts w:eastAsia="仿宋_GB2312"/>
          <w:sz w:val="21"/>
          <w:szCs w:val="20"/>
        </w:rPr>
      </w:pPr>
      <w:r>
        <w:rPr>
          <w:rFonts w:eastAsia="仿宋_GB2312"/>
          <w:sz w:val="21"/>
          <w:szCs w:val="20"/>
        </w:rPr>
        <w:t>表3-7：“十四五”天然气消费量预测结果单位：亿立方米</w:t>
      </w:r>
    </w:p>
    <w:tbl>
      <w:tblPr>
        <w:tblStyle w:val="14"/>
        <w:tblW w:w="5000" w:type="pct"/>
        <w:tblInd w:w="0" w:type="dxa"/>
        <w:tblLayout w:type="autofit"/>
        <w:tblCellMar>
          <w:top w:w="0" w:type="dxa"/>
          <w:left w:w="108" w:type="dxa"/>
          <w:bottom w:w="0" w:type="dxa"/>
          <w:right w:w="108" w:type="dxa"/>
        </w:tblCellMar>
      </w:tblPr>
      <w:tblGrid>
        <w:gridCol w:w="2234"/>
        <w:gridCol w:w="878"/>
        <w:gridCol w:w="879"/>
        <w:gridCol w:w="878"/>
        <w:gridCol w:w="879"/>
        <w:gridCol w:w="879"/>
        <w:gridCol w:w="1895"/>
      </w:tblGrid>
      <w:tr>
        <w:tblPrEx>
          <w:tblCellMar>
            <w:top w:w="0" w:type="dxa"/>
            <w:left w:w="108" w:type="dxa"/>
            <w:bottom w:w="0" w:type="dxa"/>
            <w:right w:w="108" w:type="dxa"/>
          </w:tblCellMar>
        </w:tblPrEx>
        <w:trPr>
          <w:trHeight w:val="550" w:hRule="atLeast"/>
        </w:trPr>
        <w:tc>
          <w:tcPr>
            <w:tcW w:w="1311" w:type="pct"/>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天然气使用量</w:t>
            </w:r>
          </w:p>
        </w:tc>
        <w:tc>
          <w:tcPr>
            <w:tcW w:w="515"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2021</w:t>
            </w:r>
          </w:p>
        </w:tc>
        <w:tc>
          <w:tcPr>
            <w:tcW w:w="51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2022</w:t>
            </w:r>
          </w:p>
        </w:tc>
        <w:tc>
          <w:tcPr>
            <w:tcW w:w="515"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2023</w:t>
            </w:r>
          </w:p>
        </w:tc>
        <w:tc>
          <w:tcPr>
            <w:tcW w:w="51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2024</w:t>
            </w:r>
          </w:p>
        </w:tc>
        <w:tc>
          <w:tcPr>
            <w:tcW w:w="51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2025</w:t>
            </w:r>
          </w:p>
        </w:tc>
        <w:tc>
          <w:tcPr>
            <w:tcW w:w="111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“十四五”年均增长</w:t>
            </w:r>
          </w:p>
        </w:tc>
      </w:tr>
      <w:tr>
        <w:tblPrEx>
          <w:tblCellMar>
            <w:top w:w="0" w:type="dxa"/>
            <w:left w:w="108" w:type="dxa"/>
            <w:bottom w:w="0" w:type="dxa"/>
            <w:right w:w="108" w:type="dxa"/>
          </w:tblCellMar>
        </w:tblPrEx>
        <w:trPr>
          <w:trHeight w:val="280" w:hRule="atLeast"/>
        </w:trPr>
        <w:tc>
          <w:tcPr>
            <w:tcW w:w="1311" w:type="pct"/>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高方案（多项式拟合）</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1.58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1.91 </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2.30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2.75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3.25 </w:t>
            </w:r>
          </w:p>
        </w:tc>
        <w:tc>
          <w:tcPr>
            <w:tcW w:w="1111" w:type="pct"/>
            <w:tcBorders>
              <w:top w:val="nil"/>
              <w:left w:val="nil"/>
              <w:bottom w:val="single" w:color="auto" w:sz="4" w:space="0"/>
              <w:right w:val="single" w:color="auto" w:sz="4" w:space="0"/>
            </w:tcBorders>
            <w:shd w:val="clear" w:color="000000" w:fill="FFFFFF"/>
            <w:vAlign w:val="center"/>
          </w:tcPr>
          <w:p>
            <w:pPr>
              <w:widowControl/>
              <w:jc w:val="center"/>
              <w:rPr>
                <w:rFonts w:eastAsia="仿宋_GB2312"/>
                <w:color w:val="000000"/>
                <w:kern w:val="0"/>
                <w:szCs w:val="21"/>
              </w:rPr>
            </w:pPr>
            <w:r>
              <w:rPr>
                <w:rFonts w:hint="eastAsia" w:eastAsia="仿宋_GB2312"/>
                <w:color w:val="000000"/>
                <w:kern w:val="0"/>
                <w:szCs w:val="21"/>
              </w:rPr>
              <w:t>20.4%</w:t>
            </w:r>
          </w:p>
        </w:tc>
      </w:tr>
      <w:tr>
        <w:trPr>
          <w:trHeight w:val="280" w:hRule="atLeast"/>
        </w:trPr>
        <w:tc>
          <w:tcPr>
            <w:tcW w:w="1311" w:type="pct"/>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中方案（增长率法）</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1.41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1.55 </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1.70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1.87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2.06 </w:t>
            </w:r>
          </w:p>
        </w:tc>
        <w:tc>
          <w:tcPr>
            <w:tcW w:w="1111" w:type="pct"/>
            <w:tcBorders>
              <w:top w:val="nil"/>
              <w:left w:val="nil"/>
              <w:bottom w:val="single" w:color="auto" w:sz="4" w:space="0"/>
              <w:right w:val="single" w:color="auto" w:sz="4" w:space="0"/>
            </w:tcBorders>
            <w:shd w:val="clear" w:color="000000" w:fill="FFFFFF"/>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CellMar>
            <w:top w:w="0" w:type="dxa"/>
            <w:left w:w="108" w:type="dxa"/>
            <w:bottom w:w="0" w:type="dxa"/>
            <w:right w:w="108" w:type="dxa"/>
          </w:tblCellMar>
        </w:tblPrEx>
        <w:trPr>
          <w:trHeight w:val="280" w:hRule="atLeast"/>
        </w:trPr>
        <w:tc>
          <w:tcPr>
            <w:tcW w:w="1311" w:type="pct"/>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低方案（线性拟合）</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1.32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1.43 </w:t>
            </w:r>
          </w:p>
        </w:tc>
        <w:tc>
          <w:tcPr>
            <w:tcW w:w="515"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1.54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1.65 </w:t>
            </w:r>
          </w:p>
        </w:tc>
        <w:tc>
          <w:tcPr>
            <w:tcW w:w="516"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1.76 </w:t>
            </w:r>
          </w:p>
        </w:tc>
        <w:tc>
          <w:tcPr>
            <w:tcW w:w="1111" w:type="pct"/>
            <w:tcBorders>
              <w:top w:val="nil"/>
              <w:left w:val="nil"/>
              <w:bottom w:val="single" w:color="auto" w:sz="4" w:space="0"/>
              <w:right w:val="single" w:color="auto" w:sz="4" w:space="0"/>
            </w:tcBorders>
            <w:shd w:val="clear" w:color="000000" w:fill="FFFFFF"/>
            <w:vAlign w:val="center"/>
          </w:tcPr>
          <w:p>
            <w:pPr>
              <w:widowControl/>
              <w:jc w:val="center"/>
              <w:rPr>
                <w:rFonts w:eastAsia="仿宋_GB2312"/>
                <w:color w:val="000000"/>
                <w:kern w:val="0"/>
                <w:szCs w:val="21"/>
              </w:rPr>
            </w:pPr>
            <w:r>
              <w:rPr>
                <w:rFonts w:hint="eastAsia" w:eastAsia="仿宋_GB2312"/>
                <w:color w:val="000000"/>
                <w:kern w:val="0"/>
                <w:szCs w:val="21"/>
              </w:rPr>
              <w:t>6.6%</w:t>
            </w:r>
          </w:p>
        </w:tc>
      </w:tr>
    </w:tbl>
    <w:p>
      <w:pPr>
        <w:keepNext/>
        <w:keepLines/>
        <w:spacing w:line="360" w:lineRule="auto"/>
        <w:ind w:firstLine="643" w:firstLineChars="200"/>
        <w:outlineLvl w:val="2"/>
        <w:rPr>
          <w:rFonts w:eastAsia="仿宋_GB2312"/>
          <w:b/>
          <w:bCs/>
          <w:sz w:val="32"/>
          <w:szCs w:val="32"/>
        </w:rPr>
      </w:pPr>
      <w:bookmarkStart w:id="69" w:name="_Toc66178701"/>
      <w:bookmarkStart w:id="70" w:name="_Toc58335377"/>
      <w:bookmarkStart w:id="71" w:name="_Toc66178637"/>
      <w:r>
        <w:rPr>
          <w:rFonts w:eastAsia="仿宋_GB2312"/>
          <w:b/>
          <w:bCs/>
          <w:sz w:val="32"/>
          <w:szCs w:val="32"/>
        </w:rPr>
        <w:t>（四）成品油</w:t>
      </w:r>
      <w:bookmarkEnd w:id="69"/>
      <w:bookmarkEnd w:id="70"/>
      <w:bookmarkEnd w:id="71"/>
    </w:p>
    <w:p>
      <w:pPr>
        <w:spacing w:line="360" w:lineRule="auto"/>
        <w:ind w:firstLine="640" w:firstLineChars="200"/>
        <w:rPr>
          <w:rFonts w:eastAsia="仿宋_GB2312"/>
          <w:sz w:val="32"/>
          <w:szCs w:val="32"/>
        </w:rPr>
      </w:pPr>
      <w:r>
        <w:rPr>
          <w:rFonts w:eastAsia="仿宋_GB2312"/>
          <w:sz w:val="32"/>
          <w:szCs w:val="32"/>
        </w:rPr>
        <w:t>成品油品类包括柴油和汽油，主要用于交通运输。</w:t>
      </w:r>
      <w:r>
        <w:rPr>
          <w:rFonts w:hint="eastAsia" w:eastAsia="仿宋_GB2312"/>
          <w:sz w:val="32"/>
          <w:szCs w:val="32"/>
        </w:rPr>
        <w:t>随着新能源汽车的普及和节能减排政策的实施，“十三五”我市成品油销售量逐年递减，</w:t>
      </w:r>
      <w:r>
        <w:rPr>
          <w:rFonts w:eastAsia="仿宋_GB2312"/>
          <w:sz w:val="32"/>
          <w:szCs w:val="32"/>
        </w:rPr>
        <w:t>20</w:t>
      </w:r>
      <w:r>
        <w:rPr>
          <w:rFonts w:hint="eastAsia" w:eastAsia="仿宋_GB2312"/>
          <w:sz w:val="32"/>
          <w:szCs w:val="32"/>
        </w:rPr>
        <w:t>20</w:t>
      </w:r>
      <w:r>
        <w:rPr>
          <w:rFonts w:eastAsia="仿宋_GB2312"/>
          <w:sz w:val="32"/>
          <w:szCs w:val="32"/>
        </w:rPr>
        <w:t>年成品油消费量达</w:t>
      </w:r>
      <w:r>
        <w:rPr>
          <w:rFonts w:hint="eastAsia" w:eastAsia="仿宋_GB2312"/>
          <w:sz w:val="32"/>
          <w:szCs w:val="32"/>
        </w:rPr>
        <w:t>16.08</w:t>
      </w:r>
      <w:r>
        <w:rPr>
          <w:rFonts w:eastAsia="仿宋_GB2312"/>
          <w:sz w:val="32"/>
          <w:szCs w:val="32"/>
        </w:rPr>
        <w:t>万吨，年均减少</w:t>
      </w:r>
      <w:r>
        <w:rPr>
          <w:rFonts w:hint="eastAsia" w:eastAsia="仿宋_GB2312"/>
          <w:sz w:val="32"/>
          <w:szCs w:val="32"/>
        </w:rPr>
        <w:t>4.3</w:t>
      </w:r>
      <w:r>
        <w:rPr>
          <w:rFonts w:eastAsia="仿宋_GB2312"/>
          <w:sz w:val="32"/>
          <w:szCs w:val="32"/>
        </w:rPr>
        <w:t>%。“十四五”时期，</w:t>
      </w:r>
      <w:r>
        <w:rPr>
          <w:rFonts w:hint="eastAsia" w:eastAsia="仿宋_GB2312"/>
          <w:sz w:val="32"/>
          <w:szCs w:val="32"/>
        </w:rPr>
        <w:t>我</w:t>
      </w:r>
      <w:r>
        <w:rPr>
          <w:rFonts w:eastAsia="仿宋_GB2312"/>
          <w:sz w:val="32"/>
          <w:szCs w:val="32"/>
        </w:rPr>
        <w:t>市将不断完善交通基础设施，</w:t>
      </w:r>
      <w:r>
        <w:rPr>
          <w:rFonts w:hint="eastAsia" w:eastAsia="仿宋_GB2312"/>
          <w:sz w:val="32"/>
          <w:szCs w:val="32"/>
        </w:rPr>
        <w:t>对接省“三同</w:t>
      </w:r>
      <w:r>
        <w:rPr>
          <w:rFonts w:eastAsia="仿宋_GB2312"/>
          <w:sz w:val="32"/>
          <w:szCs w:val="32"/>
        </w:rPr>
        <w:t>”</w:t>
      </w:r>
      <w:r>
        <w:rPr>
          <w:rFonts w:hint="eastAsia" w:eastAsia="仿宋_GB2312"/>
          <w:sz w:val="32"/>
          <w:szCs w:val="32"/>
        </w:rPr>
        <w:t>试点，推进新建国际通关物流中心建设，</w:t>
      </w:r>
      <w:r>
        <w:rPr>
          <w:rFonts w:eastAsia="仿宋_GB2312"/>
          <w:sz w:val="32"/>
          <w:szCs w:val="32"/>
        </w:rPr>
        <w:t>努力打造成赣西物流</w:t>
      </w:r>
      <w:r>
        <w:rPr>
          <w:rFonts w:hint="eastAsia" w:eastAsia="仿宋_GB2312"/>
          <w:sz w:val="32"/>
          <w:szCs w:val="32"/>
        </w:rPr>
        <w:t>枢纽区域中心城市</w:t>
      </w:r>
      <w:r>
        <w:rPr>
          <w:rFonts w:eastAsia="仿宋_GB2312"/>
          <w:sz w:val="32"/>
          <w:szCs w:val="32"/>
        </w:rPr>
        <w:t>和国际集装箱集散地，公路、铁路通车里程和机动车保有量将持续增加，成品油行业也将随之稳步发展。综合各方面因素，预计到2025年成品油年消费量将达到约</w:t>
      </w:r>
      <w:r>
        <w:rPr>
          <w:rFonts w:hint="eastAsia" w:eastAsia="仿宋_GB2312"/>
          <w:sz w:val="32"/>
          <w:szCs w:val="32"/>
        </w:rPr>
        <w:t>19.44</w:t>
      </w:r>
      <w:r>
        <w:rPr>
          <w:rFonts w:eastAsia="仿宋_GB2312"/>
          <w:sz w:val="32"/>
          <w:szCs w:val="32"/>
        </w:rPr>
        <w:t>万吨，“十四五”年均增长</w:t>
      </w:r>
      <w:r>
        <w:rPr>
          <w:rFonts w:hint="eastAsia" w:eastAsia="仿宋_GB2312"/>
          <w:sz w:val="32"/>
          <w:szCs w:val="32"/>
        </w:rPr>
        <w:t>3.9</w:t>
      </w:r>
      <w:r>
        <w:rPr>
          <w:rFonts w:eastAsia="仿宋_GB2312"/>
          <w:sz w:val="32"/>
          <w:szCs w:val="32"/>
        </w:rPr>
        <w:t>%。</w:t>
      </w:r>
    </w:p>
    <w:p>
      <w:pPr>
        <w:pStyle w:val="27"/>
        <w:jc w:val="center"/>
        <w:rPr>
          <w:rFonts w:eastAsia="仿宋_GB2312"/>
          <w:sz w:val="21"/>
          <w:szCs w:val="20"/>
        </w:rPr>
      </w:pPr>
      <w:r>
        <w:rPr>
          <w:rFonts w:eastAsia="仿宋_GB2312"/>
          <w:sz w:val="21"/>
          <w:szCs w:val="20"/>
        </w:rPr>
        <w:t>表3-8：“十四五”成品油消费量预测结果单位：万吨</w:t>
      </w:r>
    </w:p>
    <w:tbl>
      <w:tblPr>
        <w:tblStyle w:val="14"/>
        <w:tblW w:w="5000" w:type="pct"/>
        <w:tblInd w:w="0" w:type="dxa"/>
        <w:tblLayout w:type="autofit"/>
        <w:tblCellMar>
          <w:top w:w="0" w:type="dxa"/>
          <w:left w:w="108" w:type="dxa"/>
          <w:bottom w:w="0" w:type="dxa"/>
          <w:right w:w="108" w:type="dxa"/>
        </w:tblCellMar>
      </w:tblPr>
      <w:tblGrid>
        <w:gridCol w:w="2664"/>
        <w:gridCol w:w="786"/>
        <w:gridCol w:w="786"/>
        <w:gridCol w:w="786"/>
        <w:gridCol w:w="786"/>
        <w:gridCol w:w="786"/>
        <w:gridCol w:w="1928"/>
      </w:tblGrid>
      <w:tr>
        <w:tblPrEx>
          <w:tblCellMar>
            <w:top w:w="0" w:type="dxa"/>
            <w:left w:w="108" w:type="dxa"/>
            <w:bottom w:w="0" w:type="dxa"/>
            <w:right w:w="108" w:type="dxa"/>
          </w:tblCellMar>
        </w:tblPrEx>
        <w:trPr>
          <w:trHeight w:val="550" w:hRule="atLeast"/>
        </w:trPr>
        <w:tc>
          <w:tcPr>
            <w:tcW w:w="1563" w:type="pct"/>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成品油销售量</w:t>
            </w:r>
          </w:p>
        </w:tc>
        <w:tc>
          <w:tcPr>
            <w:tcW w:w="46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2021</w:t>
            </w:r>
          </w:p>
        </w:tc>
        <w:tc>
          <w:tcPr>
            <w:tcW w:w="46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2022</w:t>
            </w:r>
          </w:p>
        </w:tc>
        <w:tc>
          <w:tcPr>
            <w:tcW w:w="46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2023</w:t>
            </w:r>
          </w:p>
        </w:tc>
        <w:tc>
          <w:tcPr>
            <w:tcW w:w="46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2024</w:t>
            </w:r>
          </w:p>
        </w:tc>
        <w:tc>
          <w:tcPr>
            <w:tcW w:w="46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eastAsia="仿宋_GB2312"/>
                <w:color w:val="000000"/>
                <w:kern w:val="0"/>
                <w:szCs w:val="21"/>
              </w:rPr>
              <w:t>2025</w:t>
            </w:r>
          </w:p>
        </w:tc>
        <w:tc>
          <w:tcPr>
            <w:tcW w:w="113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“十四五”年均增长</w:t>
            </w:r>
          </w:p>
        </w:tc>
      </w:tr>
      <w:tr>
        <w:tblPrEx>
          <w:tblCellMar>
            <w:top w:w="0" w:type="dxa"/>
            <w:left w:w="108" w:type="dxa"/>
            <w:bottom w:w="0" w:type="dxa"/>
            <w:right w:w="108" w:type="dxa"/>
          </w:tblCellMar>
        </w:tblPrEx>
        <w:trPr>
          <w:trHeight w:val="280" w:hRule="atLeast"/>
        </w:trPr>
        <w:tc>
          <w:tcPr>
            <w:tcW w:w="1563" w:type="pct"/>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高方案（增长率法）</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16.88 </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17.73 </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18.61 </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19.54 </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20.52 </w:t>
            </w:r>
          </w:p>
        </w:tc>
        <w:tc>
          <w:tcPr>
            <w:tcW w:w="1131" w:type="pct"/>
            <w:tcBorders>
              <w:top w:val="nil"/>
              <w:left w:val="nil"/>
              <w:bottom w:val="single" w:color="auto" w:sz="4" w:space="0"/>
              <w:right w:val="single" w:color="auto"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5.0%</w:t>
            </w:r>
          </w:p>
        </w:tc>
      </w:tr>
      <w:tr>
        <w:tblPrEx>
          <w:tblCellMar>
            <w:top w:w="0" w:type="dxa"/>
            <w:left w:w="108" w:type="dxa"/>
            <w:bottom w:w="0" w:type="dxa"/>
            <w:right w:w="108" w:type="dxa"/>
          </w:tblCellMar>
        </w:tblPrEx>
        <w:trPr>
          <w:trHeight w:val="290" w:hRule="atLeast"/>
        </w:trPr>
        <w:tc>
          <w:tcPr>
            <w:tcW w:w="1563" w:type="pct"/>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低方案（多项式拟合法）</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16.10 </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16.55 </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17.26 </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18.23 </w:t>
            </w:r>
          </w:p>
        </w:tc>
        <w:tc>
          <w:tcPr>
            <w:tcW w:w="461" w:type="pct"/>
            <w:tcBorders>
              <w:top w:val="nil"/>
              <w:left w:val="nil"/>
              <w:bottom w:val="single" w:color="auto" w:sz="4" w:space="0"/>
              <w:right w:val="single" w:color="auto" w:sz="4" w:space="0"/>
            </w:tcBorders>
            <w:shd w:val="clear" w:color="000000" w:fill="FFFFFF"/>
            <w:noWrap/>
            <w:vAlign w:val="center"/>
          </w:tcPr>
          <w:p>
            <w:pPr>
              <w:widowControl/>
              <w:jc w:val="center"/>
              <w:rPr>
                <w:rFonts w:eastAsia="仿宋_GB2312"/>
                <w:color w:val="000000"/>
                <w:kern w:val="0"/>
                <w:szCs w:val="21"/>
              </w:rPr>
            </w:pPr>
            <w:r>
              <w:rPr>
                <w:rFonts w:hint="eastAsia" w:eastAsia="仿宋_GB2312"/>
                <w:color w:val="000000"/>
                <w:kern w:val="0"/>
                <w:szCs w:val="21"/>
              </w:rPr>
              <w:t xml:space="preserve">19.44 </w:t>
            </w:r>
          </w:p>
        </w:tc>
        <w:tc>
          <w:tcPr>
            <w:tcW w:w="1131" w:type="pct"/>
            <w:tcBorders>
              <w:top w:val="nil"/>
              <w:left w:val="nil"/>
              <w:bottom w:val="single" w:color="auto" w:sz="4" w:space="0"/>
              <w:right w:val="single" w:color="auto" w:sz="4" w:space="0"/>
            </w:tcBorders>
            <w:shd w:val="clear" w:color="000000" w:fill="FFFFFF"/>
            <w:vAlign w:val="center"/>
          </w:tcPr>
          <w:p>
            <w:pPr>
              <w:widowControl/>
              <w:jc w:val="center"/>
              <w:rPr>
                <w:rFonts w:eastAsia="仿宋_GB2312"/>
                <w:color w:val="000000"/>
                <w:kern w:val="0"/>
                <w:szCs w:val="21"/>
              </w:rPr>
            </w:pPr>
            <w:r>
              <w:rPr>
                <w:rFonts w:eastAsia="仿宋_GB2312"/>
                <w:color w:val="000000"/>
                <w:kern w:val="0"/>
                <w:szCs w:val="21"/>
              </w:rPr>
              <w:t>3.</w:t>
            </w:r>
            <w:r>
              <w:rPr>
                <w:rFonts w:hint="eastAsia" w:eastAsia="仿宋_GB2312"/>
                <w:color w:val="000000"/>
                <w:kern w:val="0"/>
                <w:szCs w:val="21"/>
              </w:rPr>
              <w:t>9</w:t>
            </w:r>
            <w:r>
              <w:rPr>
                <w:rFonts w:eastAsia="仿宋_GB2312"/>
                <w:color w:val="000000"/>
                <w:kern w:val="0"/>
                <w:szCs w:val="21"/>
              </w:rPr>
              <w:t>%</w:t>
            </w:r>
          </w:p>
        </w:tc>
      </w:tr>
    </w:tbl>
    <w:p>
      <w:pPr>
        <w:keepNext/>
        <w:keepLines/>
        <w:spacing w:line="360" w:lineRule="auto"/>
        <w:ind w:firstLine="643" w:firstLineChars="200"/>
        <w:outlineLvl w:val="2"/>
        <w:rPr>
          <w:rFonts w:eastAsia="仿宋_GB2312"/>
          <w:b/>
          <w:bCs/>
          <w:sz w:val="32"/>
          <w:szCs w:val="32"/>
        </w:rPr>
      </w:pPr>
      <w:bookmarkStart w:id="72" w:name="_Toc66178702"/>
      <w:bookmarkStart w:id="73" w:name="_Toc66178638"/>
      <w:bookmarkStart w:id="74" w:name="_Toc58335378"/>
      <w:r>
        <w:rPr>
          <w:rFonts w:eastAsia="仿宋_GB2312"/>
          <w:b/>
          <w:bCs/>
          <w:sz w:val="32"/>
          <w:szCs w:val="32"/>
        </w:rPr>
        <w:t>（五）非化石能源</w:t>
      </w:r>
      <w:bookmarkEnd w:id="72"/>
      <w:bookmarkEnd w:id="73"/>
      <w:bookmarkEnd w:id="74"/>
    </w:p>
    <w:p>
      <w:pPr>
        <w:spacing w:line="360" w:lineRule="auto"/>
        <w:ind w:firstLine="640" w:firstLineChars="200"/>
        <w:rPr>
          <w:rFonts w:eastAsia="仿宋_GB2312"/>
          <w:sz w:val="32"/>
          <w:szCs w:val="32"/>
        </w:rPr>
      </w:pPr>
      <w:r>
        <w:rPr>
          <w:rFonts w:hint="eastAsia" w:eastAsia="仿宋_GB2312"/>
          <w:sz w:val="32"/>
          <w:szCs w:val="32"/>
        </w:rPr>
        <w:t>我</w:t>
      </w:r>
      <w:r>
        <w:rPr>
          <w:rFonts w:eastAsia="仿宋_GB2312"/>
          <w:sz w:val="32"/>
          <w:szCs w:val="32"/>
        </w:rPr>
        <w:t>市非化石能源消费主要是水电、风电、光伏、生物质</w:t>
      </w:r>
      <w:r>
        <w:rPr>
          <w:rFonts w:hint="eastAsia" w:eastAsia="仿宋_GB2312"/>
          <w:sz w:val="32"/>
          <w:szCs w:val="32"/>
        </w:rPr>
        <w:t>及垃圾</w:t>
      </w:r>
      <w:r>
        <w:rPr>
          <w:rFonts w:eastAsia="仿宋_GB2312"/>
          <w:sz w:val="32"/>
          <w:szCs w:val="32"/>
        </w:rPr>
        <w:t>发电等电力消费。经测算，2025年非化石能源装机发电量约24.9亿千瓦时，折合约100.4万吨标煤，“十四五”年均增长31.2%。</w:t>
      </w:r>
    </w:p>
    <w:p>
      <w:pPr>
        <w:pStyle w:val="27"/>
        <w:jc w:val="center"/>
        <w:rPr>
          <w:rFonts w:eastAsia="仿宋_GB2312"/>
          <w:sz w:val="21"/>
          <w:szCs w:val="20"/>
        </w:rPr>
      </w:pPr>
      <w:r>
        <w:rPr>
          <w:rFonts w:eastAsia="仿宋_GB2312"/>
          <w:sz w:val="21"/>
          <w:szCs w:val="20"/>
        </w:rPr>
        <w:t>表3-9：非化石能源消费（供应）量单位：万千瓦、亿千瓦时、万吨标煤</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1465"/>
        <w:gridCol w:w="1617"/>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类型</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装机</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发电量</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折标煤量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水电</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5</w:t>
            </w:r>
            <w:r>
              <w:rPr>
                <w:rFonts w:eastAsia="等线"/>
                <w:color w:val="000000"/>
                <w:szCs w:val="21"/>
              </w:rPr>
              <w:t>.1</w:t>
            </w: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.3</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5</w:t>
            </w:r>
            <w:r>
              <w:rPr>
                <w:rFonts w:eastAsia="等线"/>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风电</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3</w:t>
            </w:r>
            <w:r>
              <w:rPr>
                <w:rFonts w:eastAsia="等线"/>
                <w:color w:val="000000"/>
                <w:szCs w:val="21"/>
              </w:rPr>
              <w:t>0</w:t>
            </w: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4</w:t>
            </w:r>
            <w:r>
              <w:rPr>
                <w:rFonts w:eastAsia="等线"/>
                <w:color w:val="000000"/>
                <w:szCs w:val="21"/>
              </w:rPr>
              <w:t>.8</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光伏</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50</w:t>
            </w: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eastAsia="等线"/>
                <w:color w:val="000000"/>
                <w:szCs w:val="21"/>
              </w:rPr>
              <w:t>15</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eastAsia="等线"/>
                <w:color w:val="000000"/>
                <w:szCs w:val="21"/>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生物质</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3</w:t>
            </w:r>
            <w:r>
              <w:rPr>
                <w:rFonts w:eastAsia="等线"/>
                <w:color w:val="000000"/>
                <w:szCs w:val="21"/>
              </w:rPr>
              <w:t>.3</w:t>
            </w: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2</w:t>
            </w:r>
            <w:r>
              <w:rPr>
                <w:rFonts w:eastAsia="等线"/>
                <w:color w:val="000000"/>
                <w:szCs w:val="21"/>
              </w:rPr>
              <w:t>.3</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9</w:t>
            </w:r>
            <w:r>
              <w:rPr>
                <w:rFonts w:eastAsia="等线"/>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hint="eastAsia" w:ascii="仿宋_GB2312" w:hAnsi="等线" w:eastAsia="仿宋_GB2312"/>
                <w:color w:val="000000"/>
                <w:szCs w:val="21"/>
              </w:rPr>
              <w:t>垃圾发电</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.8</w:t>
            </w: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1</w:t>
            </w:r>
            <w:r>
              <w:rPr>
                <w:rFonts w:eastAsia="等线"/>
                <w:color w:val="000000"/>
                <w:szCs w:val="21"/>
              </w:rPr>
              <w:t>.4</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Cs w:val="21"/>
              </w:rPr>
            </w:pPr>
            <w:r>
              <w:rPr>
                <w:rFonts w:hint="eastAsia" w:eastAsia="等线"/>
                <w:color w:val="000000"/>
                <w:szCs w:val="21"/>
              </w:rPr>
              <w:t>5</w:t>
            </w:r>
            <w:r>
              <w:rPr>
                <w:rFonts w:eastAsia="等线"/>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olor w:val="000000"/>
                <w:szCs w:val="21"/>
              </w:rPr>
            </w:pPr>
            <w:r>
              <w:rPr>
                <w:rFonts w:hint="eastAsia" w:ascii="仿宋_GB2312" w:hAnsi="等线" w:eastAsia="仿宋_GB2312"/>
                <w:color w:val="000000"/>
                <w:szCs w:val="21"/>
              </w:rPr>
              <w:t>合计</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等线"/>
                <w:color w:val="000000"/>
                <w:szCs w:val="21"/>
              </w:rPr>
              <w:t>1</w:t>
            </w:r>
            <w:r>
              <w:rPr>
                <w:rFonts w:eastAsia="等线"/>
                <w:color w:val="000000"/>
                <w:szCs w:val="21"/>
              </w:rPr>
              <w:t>90.2</w:t>
            </w: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等线"/>
                <w:color w:val="000000"/>
                <w:szCs w:val="21"/>
              </w:rPr>
              <w:t>24.9</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eastAsia="等线"/>
                <w:color w:val="000000"/>
                <w:szCs w:val="21"/>
              </w:rPr>
              <w:t>100.4</w:t>
            </w:r>
          </w:p>
        </w:tc>
      </w:tr>
    </w:tbl>
    <w:p>
      <w:pPr>
        <w:keepNext/>
        <w:keepLines/>
        <w:spacing w:line="360" w:lineRule="auto"/>
        <w:ind w:firstLine="643" w:firstLineChars="200"/>
        <w:outlineLvl w:val="2"/>
        <w:rPr>
          <w:rFonts w:eastAsia="仿宋_GB2312"/>
          <w:b/>
          <w:bCs/>
          <w:sz w:val="32"/>
          <w:szCs w:val="32"/>
        </w:rPr>
      </w:pPr>
      <w:bookmarkStart w:id="75" w:name="_Toc66178639"/>
      <w:bookmarkStart w:id="76" w:name="_Toc66178703"/>
      <w:bookmarkStart w:id="77" w:name="_Toc58335379"/>
      <w:r>
        <w:rPr>
          <w:rFonts w:eastAsia="仿宋_GB2312"/>
          <w:b/>
          <w:bCs/>
          <w:sz w:val="32"/>
          <w:szCs w:val="32"/>
        </w:rPr>
        <w:t>（六）能源消费总量</w:t>
      </w:r>
      <w:bookmarkEnd w:id="75"/>
      <w:bookmarkEnd w:id="76"/>
      <w:bookmarkEnd w:id="77"/>
    </w:p>
    <w:p>
      <w:pPr>
        <w:spacing w:line="360" w:lineRule="auto"/>
        <w:ind w:firstLine="640" w:firstLineChars="200"/>
        <w:rPr>
          <w:rFonts w:eastAsia="仿宋_GB2312"/>
          <w:sz w:val="32"/>
          <w:szCs w:val="32"/>
        </w:rPr>
      </w:pPr>
      <w:r>
        <w:rPr>
          <w:rFonts w:eastAsia="仿宋_GB2312"/>
          <w:sz w:val="32"/>
          <w:szCs w:val="32"/>
        </w:rPr>
        <w:t>根据能源消费的历史数据和经济发展的主要指标，分别采用时间序列分析、回归分析、分类预测法预测“十四五”期间能源消费总量。</w:t>
      </w:r>
    </w:p>
    <w:p>
      <w:pPr>
        <w:spacing w:line="360" w:lineRule="auto"/>
        <w:ind w:firstLine="640" w:firstLineChars="200"/>
        <w:rPr>
          <w:rFonts w:eastAsia="仿宋_GB2312"/>
          <w:sz w:val="32"/>
          <w:szCs w:val="32"/>
        </w:rPr>
      </w:pPr>
      <w:r>
        <w:rPr>
          <w:rFonts w:eastAsia="仿宋_GB2312"/>
          <w:sz w:val="32"/>
          <w:szCs w:val="32"/>
        </w:rPr>
        <w:t>（1）时间序列分析</w:t>
      </w:r>
    </w:p>
    <w:p>
      <w:pPr>
        <w:spacing w:line="360" w:lineRule="auto"/>
        <w:ind w:firstLine="640" w:firstLineChars="200"/>
        <w:rPr>
          <w:rFonts w:eastAsia="仿宋_GB2312"/>
          <w:sz w:val="32"/>
          <w:szCs w:val="32"/>
        </w:rPr>
      </w:pPr>
      <w:r>
        <w:rPr>
          <w:rFonts w:eastAsia="仿宋_GB2312"/>
          <w:sz w:val="32"/>
          <w:szCs w:val="32"/>
        </w:rPr>
        <w:t>根据历年能源消费总量数据，作线性拟合，得到预测模型y=</w:t>
      </w:r>
      <w:r>
        <w:rPr>
          <w:rFonts w:hint="eastAsia" w:eastAsia="仿宋_GB2312"/>
          <w:sz w:val="32"/>
          <w:szCs w:val="32"/>
        </w:rPr>
        <w:t>1</w:t>
      </w:r>
      <w:r>
        <w:rPr>
          <w:rFonts w:eastAsia="仿宋_GB2312"/>
          <w:sz w:val="32"/>
          <w:szCs w:val="32"/>
        </w:rPr>
        <w:t>3.5</w:t>
      </w:r>
      <w:r>
        <w:rPr>
          <w:rFonts w:hint="eastAsia" w:eastAsia="仿宋_GB2312"/>
          <w:sz w:val="32"/>
          <w:szCs w:val="32"/>
        </w:rPr>
        <w:t>3</w:t>
      </w:r>
      <w:r>
        <w:rPr>
          <w:rFonts w:eastAsia="仿宋_GB2312"/>
          <w:sz w:val="32"/>
          <w:szCs w:val="32"/>
        </w:rPr>
        <w:t>x-</w:t>
      </w:r>
      <w:r>
        <w:rPr>
          <w:rFonts w:hint="eastAsia" w:eastAsia="仿宋_GB2312"/>
          <w:sz w:val="32"/>
          <w:szCs w:val="32"/>
        </w:rPr>
        <w:t>2636</w:t>
      </w:r>
      <w:r>
        <w:rPr>
          <w:rFonts w:eastAsia="仿宋_GB2312"/>
          <w:sz w:val="32"/>
          <w:szCs w:val="32"/>
        </w:rPr>
        <w:t>6</w:t>
      </w:r>
      <w:r>
        <w:rPr>
          <w:rFonts w:hint="eastAsia" w:eastAsia="仿宋_GB2312"/>
          <w:sz w:val="32"/>
          <w:szCs w:val="32"/>
        </w:rPr>
        <w:t>.</w:t>
      </w:r>
      <w:r>
        <w:rPr>
          <w:rFonts w:eastAsia="仿宋_GB2312"/>
          <w:sz w:val="32"/>
          <w:szCs w:val="32"/>
        </w:rPr>
        <w:t>0</w:t>
      </w:r>
      <w:r>
        <w:rPr>
          <w:rFonts w:hint="eastAsia" w:eastAsia="仿宋_GB2312"/>
          <w:sz w:val="32"/>
          <w:szCs w:val="32"/>
        </w:rPr>
        <w:t>5</w:t>
      </w:r>
      <w:r>
        <w:rPr>
          <w:rFonts w:eastAsia="仿宋_GB2312"/>
          <w:sz w:val="32"/>
          <w:szCs w:val="32"/>
        </w:rPr>
        <w:t>（相关系数R</w:t>
      </w:r>
      <w:r>
        <w:rPr>
          <w:rFonts w:eastAsia="仿宋_GB2312"/>
          <w:sz w:val="32"/>
          <w:szCs w:val="32"/>
          <w:vertAlign w:val="superscript"/>
        </w:rPr>
        <w:t>2</w:t>
      </w:r>
      <w:r>
        <w:rPr>
          <w:rFonts w:eastAsia="仿宋_GB2312"/>
          <w:sz w:val="32"/>
          <w:szCs w:val="32"/>
        </w:rPr>
        <w:t>=0.97，见图3-6），将年份后推至2025年，预测得到2025年能源消费总量为</w:t>
      </w:r>
      <w:r>
        <w:rPr>
          <w:rFonts w:hint="eastAsia" w:eastAsia="仿宋_GB2312"/>
          <w:sz w:val="32"/>
          <w:szCs w:val="32"/>
        </w:rPr>
        <w:t>104</w:t>
      </w:r>
      <w:r>
        <w:rPr>
          <w:rFonts w:eastAsia="仿宋_GB2312"/>
          <w:sz w:val="32"/>
          <w:szCs w:val="32"/>
        </w:rPr>
        <w:t>1万吨标煤，“十四五”年均增长</w:t>
      </w:r>
      <w:r>
        <w:rPr>
          <w:rFonts w:hint="eastAsia" w:eastAsia="仿宋_GB2312"/>
          <w:sz w:val="32"/>
          <w:szCs w:val="32"/>
        </w:rPr>
        <w:t>1.</w:t>
      </w:r>
      <w:r>
        <w:rPr>
          <w:rFonts w:eastAsia="仿宋_GB2312"/>
          <w:sz w:val="32"/>
          <w:szCs w:val="32"/>
        </w:rPr>
        <w:t>7%。</w:t>
      </w:r>
    </w:p>
    <w:p>
      <w:pPr>
        <w:pStyle w:val="27"/>
        <w:jc w:val="center"/>
        <w:rPr>
          <w:rFonts w:eastAsia="仿宋_GB2312"/>
          <w:sz w:val="21"/>
          <w:szCs w:val="20"/>
        </w:rPr>
      </w:pPr>
      <w:r>
        <w:rPr>
          <w:rFonts w:eastAsia="仿宋_GB2312"/>
          <w:sz w:val="21"/>
          <w:szCs w:val="20"/>
        </w:rPr>
        <w:t>表3-10：能源消费总量时间序列分析法预测单位：万吨标准煤</w:t>
      </w:r>
    </w:p>
    <w:tbl>
      <w:tblPr>
        <w:tblStyle w:val="14"/>
        <w:tblW w:w="8528" w:type="dxa"/>
        <w:tblInd w:w="0" w:type="dxa"/>
        <w:tblLayout w:type="fixed"/>
        <w:tblCellMar>
          <w:top w:w="0" w:type="dxa"/>
          <w:left w:w="108" w:type="dxa"/>
          <w:bottom w:w="0" w:type="dxa"/>
          <w:right w:w="108" w:type="dxa"/>
        </w:tblCellMar>
      </w:tblPr>
      <w:tblGrid>
        <w:gridCol w:w="1922"/>
        <w:gridCol w:w="1083"/>
        <w:gridCol w:w="1083"/>
        <w:gridCol w:w="1083"/>
        <w:gridCol w:w="1083"/>
        <w:gridCol w:w="1084"/>
        <w:gridCol w:w="1190"/>
      </w:tblGrid>
      <w:tr>
        <w:trPr>
          <w:trHeight w:val="397" w:hRule="atLeast"/>
          <w:tblHeader/>
        </w:trPr>
        <w:tc>
          <w:tcPr>
            <w:tcW w:w="1922"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rPr>
            </w:pPr>
            <w:r>
              <w:rPr>
                <w:rFonts w:eastAsia="仿宋_GB2312"/>
                <w:kern w:val="0"/>
              </w:rPr>
              <w:t>能源消费总量</w:t>
            </w:r>
          </w:p>
        </w:tc>
        <w:tc>
          <w:tcPr>
            <w:tcW w:w="1083"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rPr>
            </w:pPr>
            <w:r>
              <w:rPr>
                <w:rFonts w:eastAsia="仿宋_GB2312"/>
              </w:rPr>
              <w:t>2021</w:t>
            </w:r>
          </w:p>
        </w:tc>
        <w:tc>
          <w:tcPr>
            <w:tcW w:w="1083"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rPr>
            </w:pPr>
            <w:r>
              <w:rPr>
                <w:rFonts w:eastAsia="仿宋_GB2312"/>
              </w:rPr>
              <w:t>2022</w:t>
            </w:r>
          </w:p>
        </w:tc>
        <w:tc>
          <w:tcPr>
            <w:tcW w:w="1083"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rPr>
            </w:pPr>
            <w:r>
              <w:rPr>
                <w:rFonts w:eastAsia="仿宋_GB2312"/>
              </w:rPr>
              <w:t>2023</w:t>
            </w:r>
          </w:p>
        </w:tc>
        <w:tc>
          <w:tcPr>
            <w:tcW w:w="1083"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rPr>
            </w:pPr>
            <w:r>
              <w:rPr>
                <w:rFonts w:eastAsia="仿宋_GB2312"/>
              </w:rPr>
              <w:t>2024</w:t>
            </w:r>
          </w:p>
        </w:tc>
        <w:tc>
          <w:tcPr>
            <w:tcW w:w="1084"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rPr>
            </w:pPr>
            <w:r>
              <w:rPr>
                <w:rFonts w:eastAsia="仿宋_GB2312"/>
              </w:rPr>
              <w:t>2025</w:t>
            </w:r>
          </w:p>
        </w:tc>
        <w:tc>
          <w:tcPr>
            <w:tcW w:w="1190"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rPr>
            </w:pPr>
            <w:r>
              <w:rPr>
                <w:rFonts w:eastAsia="仿宋_GB2312"/>
                <w:kern w:val="0"/>
              </w:rPr>
              <w:t>年均增长</w:t>
            </w:r>
          </w:p>
        </w:tc>
      </w:tr>
      <w:tr>
        <w:tblPrEx>
          <w:tblCellMar>
            <w:top w:w="0" w:type="dxa"/>
            <w:left w:w="108" w:type="dxa"/>
            <w:bottom w:w="0" w:type="dxa"/>
            <w:right w:w="108" w:type="dxa"/>
          </w:tblCellMar>
        </w:tblPrEx>
        <w:trPr>
          <w:trHeight w:val="397" w:hRule="atLeast"/>
          <w:tblHeader/>
        </w:trPr>
        <w:tc>
          <w:tcPr>
            <w:tcW w:w="1922" w:type="dxa"/>
            <w:tcBorders>
              <w:top w:val="nil"/>
              <w:left w:val="single" w:color="auto" w:sz="8" w:space="0"/>
              <w:bottom w:val="single" w:color="auto" w:sz="8" w:space="0"/>
              <w:right w:val="single" w:color="auto" w:sz="8" w:space="0"/>
            </w:tcBorders>
            <w:vAlign w:val="center"/>
          </w:tcPr>
          <w:p>
            <w:pPr>
              <w:widowControl/>
              <w:jc w:val="center"/>
              <w:rPr>
                <w:rFonts w:eastAsia="仿宋_GB2312"/>
                <w:kern w:val="0"/>
              </w:rPr>
            </w:pPr>
            <w:r>
              <w:rPr>
                <w:rFonts w:eastAsia="仿宋_GB2312"/>
                <w:kern w:val="0"/>
              </w:rPr>
              <w:t>线性拟合</w:t>
            </w:r>
          </w:p>
        </w:tc>
        <w:tc>
          <w:tcPr>
            <w:tcW w:w="1083" w:type="dxa"/>
            <w:tcBorders>
              <w:top w:val="nil"/>
              <w:left w:val="nil"/>
              <w:bottom w:val="single" w:color="auto" w:sz="8" w:space="0"/>
              <w:right w:val="single" w:color="auto" w:sz="8" w:space="0"/>
            </w:tcBorders>
            <w:vAlign w:val="center"/>
          </w:tcPr>
          <w:p>
            <w:pPr>
              <w:widowControl/>
              <w:jc w:val="center"/>
              <w:rPr>
                <w:rFonts w:eastAsia="仿宋_GB2312"/>
              </w:rPr>
            </w:pPr>
            <w:r>
              <w:rPr>
                <w:rFonts w:hint="eastAsia" w:eastAsia="仿宋_GB2312"/>
              </w:rPr>
              <w:t xml:space="preserve">987 </w:t>
            </w:r>
          </w:p>
        </w:tc>
        <w:tc>
          <w:tcPr>
            <w:tcW w:w="1083" w:type="dxa"/>
            <w:tcBorders>
              <w:top w:val="nil"/>
              <w:left w:val="nil"/>
              <w:bottom w:val="single" w:color="auto" w:sz="8" w:space="0"/>
              <w:right w:val="single" w:color="auto" w:sz="8" w:space="0"/>
            </w:tcBorders>
            <w:vAlign w:val="center"/>
          </w:tcPr>
          <w:p>
            <w:pPr>
              <w:widowControl/>
              <w:jc w:val="center"/>
              <w:rPr>
                <w:rFonts w:eastAsia="仿宋_GB2312"/>
              </w:rPr>
            </w:pPr>
            <w:r>
              <w:rPr>
                <w:rFonts w:hint="eastAsia" w:eastAsia="仿宋_GB2312"/>
              </w:rPr>
              <w:t xml:space="preserve">1000 </w:t>
            </w:r>
          </w:p>
        </w:tc>
        <w:tc>
          <w:tcPr>
            <w:tcW w:w="1083" w:type="dxa"/>
            <w:tcBorders>
              <w:top w:val="nil"/>
              <w:left w:val="nil"/>
              <w:bottom w:val="single" w:color="auto" w:sz="8" w:space="0"/>
              <w:right w:val="single" w:color="auto" w:sz="8" w:space="0"/>
            </w:tcBorders>
            <w:vAlign w:val="center"/>
          </w:tcPr>
          <w:p>
            <w:pPr>
              <w:widowControl/>
              <w:jc w:val="center"/>
              <w:rPr>
                <w:rFonts w:eastAsia="仿宋_GB2312"/>
              </w:rPr>
            </w:pPr>
            <w:r>
              <w:rPr>
                <w:rFonts w:hint="eastAsia" w:eastAsia="仿宋_GB2312"/>
              </w:rPr>
              <w:t xml:space="preserve">1014 </w:t>
            </w:r>
          </w:p>
        </w:tc>
        <w:tc>
          <w:tcPr>
            <w:tcW w:w="1083" w:type="dxa"/>
            <w:tcBorders>
              <w:top w:val="nil"/>
              <w:left w:val="nil"/>
              <w:bottom w:val="single" w:color="auto" w:sz="8" w:space="0"/>
              <w:right w:val="single" w:color="auto" w:sz="8" w:space="0"/>
            </w:tcBorders>
            <w:vAlign w:val="center"/>
          </w:tcPr>
          <w:p>
            <w:pPr>
              <w:widowControl/>
              <w:jc w:val="center"/>
              <w:rPr>
                <w:rFonts w:eastAsia="仿宋_GB2312"/>
              </w:rPr>
            </w:pPr>
            <w:r>
              <w:rPr>
                <w:rFonts w:hint="eastAsia" w:eastAsia="仿宋_GB2312"/>
              </w:rPr>
              <w:t xml:space="preserve">1027 </w:t>
            </w:r>
          </w:p>
        </w:tc>
        <w:tc>
          <w:tcPr>
            <w:tcW w:w="1084" w:type="dxa"/>
            <w:tcBorders>
              <w:top w:val="nil"/>
              <w:left w:val="nil"/>
              <w:bottom w:val="single" w:color="auto" w:sz="8" w:space="0"/>
              <w:right w:val="single" w:color="auto" w:sz="8" w:space="0"/>
            </w:tcBorders>
            <w:vAlign w:val="center"/>
          </w:tcPr>
          <w:p>
            <w:pPr>
              <w:widowControl/>
              <w:jc w:val="center"/>
              <w:rPr>
                <w:rFonts w:eastAsia="仿宋_GB2312"/>
              </w:rPr>
            </w:pPr>
            <w:r>
              <w:rPr>
                <w:rFonts w:hint="eastAsia" w:eastAsia="仿宋_GB2312"/>
              </w:rPr>
              <w:t xml:space="preserve">1041 </w:t>
            </w:r>
          </w:p>
        </w:tc>
        <w:tc>
          <w:tcPr>
            <w:tcW w:w="1190" w:type="dxa"/>
            <w:tcBorders>
              <w:top w:val="nil"/>
              <w:left w:val="nil"/>
              <w:bottom w:val="single" w:color="auto" w:sz="8" w:space="0"/>
              <w:right w:val="single" w:color="auto" w:sz="8" w:space="0"/>
            </w:tcBorders>
            <w:vAlign w:val="center"/>
          </w:tcPr>
          <w:p>
            <w:pPr>
              <w:widowControl/>
              <w:jc w:val="center"/>
              <w:rPr>
                <w:rFonts w:eastAsia="仿宋_GB2312"/>
              </w:rPr>
            </w:pPr>
            <w:r>
              <w:rPr>
                <w:rFonts w:hint="eastAsia" w:eastAsia="仿宋_GB2312"/>
              </w:rPr>
              <w:t>1.</w:t>
            </w:r>
            <w:r>
              <w:rPr>
                <w:rFonts w:eastAsia="仿宋_GB2312"/>
              </w:rPr>
              <w:t>7%</w:t>
            </w:r>
          </w:p>
        </w:tc>
      </w:tr>
    </w:tbl>
    <w:p>
      <w:pPr>
        <w:pStyle w:val="27"/>
        <w:ind w:firstLine="561"/>
      </w:pPr>
    </w:p>
    <w:p>
      <w:pPr>
        <w:pStyle w:val="27"/>
      </w:pPr>
      <w:r>
        <w:drawing>
          <wp:inline distT="0" distB="0" distL="0" distR="0">
            <wp:extent cx="5200650" cy="335978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7"/>
        <w:jc w:val="center"/>
        <w:rPr>
          <w:rFonts w:eastAsia="仿宋_GB2312"/>
          <w:sz w:val="21"/>
          <w:szCs w:val="20"/>
        </w:rPr>
      </w:pPr>
      <w:r>
        <w:rPr>
          <w:rFonts w:eastAsia="仿宋_GB2312"/>
          <w:sz w:val="21"/>
          <w:szCs w:val="20"/>
        </w:rPr>
        <w:t>图3-6：能源消费总量时间序列线性拟合预测结果图</w:t>
      </w:r>
    </w:p>
    <w:p>
      <w:pPr>
        <w:spacing w:line="360" w:lineRule="auto"/>
        <w:ind w:firstLine="640" w:firstLineChars="200"/>
        <w:rPr>
          <w:rFonts w:eastAsia="仿宋_GB2312"/>
          <w:sz w:val="32"/>
          <w:szCs w:val="32"/>
        </w:rPr>
      </w:pPr>
      <w:r>
        <w:rPr>
          <w:rFonts w:eastAsia="仿宋_GB2312"/>
          <w:sz w:val="32"/>
          <w:szCs w:val="32"/>
        </w:rPr>
        <w:t>（2）回归分析</w:t>
      </w:r>
    </w:p>
    <w:p>
      <w:pPr>
        <w:spacing w:line="360" w:lineRule="auto"/>
        <w:ind w:firstLine="640" w:firstLineChars="200"/>
        <w:rPr>
          <w:rFonts w:eastAsia="仿宋_GB2312"/>
          <w:sz w:val="32"/>
          <w:szCs w:val="32"/>
        </w:rPr>
      </w:pPr>
      <w:r>
        <w:rPr>
          <w:rFonts w:eastAsia="仿宋_GB2312"/>
          <w:sz w:val="32"/>
          <w:szCs w:val="32"/>
        </w:rPr>
        <w:t>根据历年GDP与能源消费总量的散布图，作线性拟合，得到模型y=</w:t>
      </w:r>
      <w:r>
        <w:rPr>
          <w:rFonts w:hint="eastAsia" w:eastAsia="仿宋_GB2312"/>
          <w:sz w:val="32"/>
          <w:szCs w:val="32"/>
        </w:rPr>
        <w:t>0.0003</w:t>
      </w:r>
      <w:r>
        <w:rPr>
          <w:rFonts w:eastAsia="仿宋_GB2312"/>
          <w:sz w:val="32"/>
          <w:szCs w:val="32"/>
        </w:rPr>
        <w:t>x</w:t>
      </w:r>
      <w:r>
        <w:rPr>
          <w:rFonts w:hint="eastAsia" w:eastAsia="仿宋_GB2312"/>
          <w:sz w:val="32"/>
          <w:szCs w:val="32"/>
          <w:vertAlign w:val="superscript"/>
        </w:rPr>
        <w:t>2</w:t>
      </w:r>
      <w:r>
        <w:rPr>
          <w:rFonts w:hint="eastAsia" w:eastAsia="仿宋_GB2312"/>
          <w:sz w:val="32"/>
          <w:szCs w:val="32"/>
        </w:rPr>
        <w:t>-0.</w:t>
      </w:r>
      <w:r>
        <w:rPr>
          <w:rFonts w:eastAsia="仿宋_GB2312"/>
          <w:sz w:val="32"/>
          <w:szCs w:val="32"/>
        </w:rPr>
        <w:t>48</w:t>
      </w:r>
      <w:r>
        <w:rPr>
          <w:rFonts w:hint="eastAsia" w:eastAsia="仿宋_GB2312"/>
          <w:sz w:val="32"/>
          <w:szCs w:val="32"/>
        </w:rPr>
        <w:t>x</w:t>
      </w:r>
      <w:r>
        <w:rPr>
          <w:rFonts w:eastAsia="仿宋_GB2312"/>
          <w:sz w:val="32"/>
          <w:szCs w:val="32"/>
        </w:rPr>
        <w:t>+1060.84（相关系数R</w:t>
      </w:r>
      <w:r>
        <w:rPr>
          <w:rFonts w:eastAsia="仿宋_GB2312"/>
          <w:sz w:val="32"/>
          <w:szCs w:val="32"/>
          <w:vertAlign w:val="superscript"/>
        </w:rPr>
        <w:t>2</w:t>
      </w:r>
      <w:r>
        <w:rPr>
          <w:rFonts w:eastAsia="仿宋_GB2312"/>
          <w:sz w:val="32"/>
          <w:szCs w:val="32"/>
        </w:rPr>
        <w:t>=0.992，见图3-7）。根据预测，2025</w:t>
      </w:r>
      <w:r>
        <w:rPr>
          <w:rFonts w:hint="eastAsia" w:eastAsia="仿宋_GB2312"/>
          <w:sz w:val="32"/>
          <w:szCs w:val="32"/>
        </w:rPr>
        <w:t>年</w:t>
      </w:r>
      <w:r>
        <w:rPr>
          <w:rFonts w:eastAsia="仿宋_GB2312"/>
          <w:sz w:val="32"/>
          <w:szCs w:val="32"/>
        </w:rPr>
        <w:t>能源消费总量为</w:t>
      </w:r>
      <w:r>
        <w:rPr>
          <w:rFonts w:hint="eastAsia" w:eastAsia="仿宋_GB2312"/>
          <w:sz w:val="32"/>
          <w:szCs w:val="32"/>
        </w:rPr>
        <w:t>118</w:t>
      </w:r>
      <w:r>
        <w:rPr>
          <w:rFonts w:eastAsia="仿宋_GB2312"/>
          <w:sz w:val="32"/>
          <w:szCs w:val="32"/>
        </w:rPr>
        <w:t>5万吨标煤，“十四五”年均增长4.4%。</w:t>
      </w:r>
    </w:p>
    <w:p>
      <w:pPr>
        <w:pStyle w:val="27"/>
        <w:jc w:val="center"/>
        <w:rPr>
          <w:rFonts w:eastAsia="仿宋_GB2312"/>
          <w:sz w:val="21"/>
          <w:szCs w:val="20"/>
        </w:rPr>
      </w:pPr>
      <w:r>
        <w:rPr>
          <w:rFonts w:eastAsia="仿宋_GB2312"/>
          <w:sz w:val="21"/>
          <w:szCs w:val="20"/>
        </w:rPr>
        <w:t>表3-11：能源消费总量回归分析线性拟合预测单位：亿元、万吨标煤</w:t>
      </w:r>
    </w:p>
    <w:tbl>
      <w:tblPr>
        <w:tblStyle w:val="14"/>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015"/>
        <w:gridCol w:w="1016"/>
        <w:gridCol w:w="1015"/>
        <w:gridCol w:w="1016"/>
        <w:gridCol w:w="101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指标</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rPr>
              <w:t>2021</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rPr>
              <w:t>2022</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rPr>
              <w:t>2023</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rPr>
              <w:t>2024</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rPr>
              <w:t>2025</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能源消费总量预测</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hint="eastAsia" w:eastAsia="仿宋_GB2312"/>
              </w:rPr>
              <w:t xml:space="preserve">1000 </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hint="eastAsia" w:eastAsia="仿宋_GB2312"/>
              </w:rPr>
              <w:t xml:space="preserve">1032 </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hint="eastAsia" w:eastAsia="仿宋_GB2312"/>
              </w:rPr>
              <w:t xml:space="preserve">1073 </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hint="eastAsia" w:eastAsia="仿宋_GB2312"/>
              </w:rPr>
              <w:t xml:space="preserve">1123 </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hint="eastAsia" w:eastAsia="仿宋_GB2312"/>
              </w:rPr>
              <w:t xml:space="preserve">1185 </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eastAsia="仿宋_GB2312"/>
              </w:rPr>
              <w:t>4.4%</w:t>
            </w:r>
          </w:p>
        </w:tc>
      </w:tr>
    </w:tbl>
    <w:p>
      <w:pPr>
        <w:jc w:val="center"/>
      </w:pPr>
    </w:p>
    <w:p>
      <w:pPr>
        <w:jc w:val="center"/>
      </w:pPr>
      <w:r>
        <w:drawing>
          <wp:inline distT="0" distB="0" distL="0" distR="0">
            <wp:extent cx="5172075" cy="343154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7"/>
        <w:jc w:val="center"/>
        <w:rPr>
          <w:rFonts w:eastAsia="仿宋_GB2312"/>
          <w:sz w:val="21"/>
          <w:szCs w:val="20"/>
        </w:rPr>
      </w:pPr>
      <w:r>
        <w:rPr>
          <w:rFonts w:eastAsia="仿宋_GB2312"/>
          <w:sz w:val="21"/>
          <w:szCs w:val="20"/>
        </w:rPr>
        <w:t>图3-7：历年GDP与能源消费总量关系（回归分析）</w:t>
      </w:r>
    </w:p>
    <w:p>
      <w:pPr>
        <w:spacing w:line="360" w:lineRule="auto"/>
        <w:ind w:firstLine="640" w:firstLineChars="200"/>
        <w:rPr>
          <w:rFonts w:eastAsia="仿宋_GB2312"/>
          <w:sz w:val="32"/>
          <w:szCs w:val="32"/>
        </w:rPr>
      </w:pPr>
      <w:r>
        <w:rPr>
          <w:rFonts w:eastAsia="仿宋_GB2312"/>
          <w:sz w:val="32"/>
          <w:szCs w:val="32"/>
        </w:rPr>
        <w:t>（3）分类预测法</w:t>
      </w:r>
    </w:p>
    <w:p>
      <w:pPr>
        <w:spacing w:line="360" w:lineRule="auto"/>
        <w:ind w:firstLine="640" w:firstLineChars="200"/>
        <w:rPr>
          <w:rFonts w:eastAsia="仿宋_GB2312"/>
          <w:sz w:val="32"/>
          <w:szCs w:val="32"/>
        </w:rPr>
      </w:pPr>
      <w:r>
        <w:rPr>
          <w:rFonts w:hint="eastAsia" w:eastAsia="仿宋_GB2312"/>
          <w:sz w:val="32"/>
          <w:szCs w:val="32"/>
        </w:rPr>
        <w:t>我</w:t>
      </w:r>
      <w:r>
        <w:rPr>
          <w:rFonts w:eastAsia="仿宋_GB2312"/>
          <w:sz w:val="32"/>
          <w:szCs w:val="32"/>
        </w:rPr>
        <w:t>市能源消费主要由煤炭、成品油、天然气、非化石能源构成，通过对“十四五”期间这四种能源消费量的分类预测可得能源消费总量的预测结果如下表。到2025年</w:t>
      </w:r>
      <w:r>
        <w:rPr>
          <w:rFonts w:hint="eastAsia" w:eastAsia="仿宋_GB2312"/>
          <w:sz w:val="32"/>
          <w:szCs w:val="32"/>
        </w:rPr>
        <w:t>我</w:t>
      </w:r>
      <w:r>
        <w:rPr>
          <w:rFonts w:eastAsia="仿宋_GB2312"/>
          <w:sz w:val="32"/>
          <w:szCs w:val="32"/>
        </w:rPr>
        <w:t>市能源消费总量约为</w:t>
      </w:r>
      <w:r>
        <w:rPr>
          <w:rFonts w:hint="eastAsia" w:eastAsia="仿宋_GB2312"/>
          <w:sz w:val="32"/>
          <w:szCs w:val="32"/>
        </w:rPr>
        <w:t>10</w:t>
      </w:r>
      <w:r>
        <w:rPr>
          <w:rFonts w:eastAsia="仿宋_GB2312"/>
          <w:sz w:val="32"/>
          <w:szCs w:val="32"/>
        </w:rPr>
        <w:t>69万吨标准煤，“十四五”年均增长</w:t>
      </w:r>
      <w:r>
        <w:rPr>
          <w:rFonts w:hint="eastAsia" w:eastAsia="仿宋_GB2312"/>
          <w:sz w:val="32"/>
          <w:szCs w:val="32"/>
        </w:rPr>
        <w:t>2.</w:t>
      </w:r>
      <w:r>
        <w:rPr>
          <w:rFonts w:eastAsia="仿宋_GB2312"/>
          <w:sz w:val="32"/>
          <w:szCs w:val="32"/>
        </w:rPr>
        <w:t>3%。</w:t>
      </w:r>
    </w:p>
    <w:p>
      <w:pPr>
        <w:pStyle w:val="27"/>
        <w:jc w:val="center"/>
        <w:rPr>
          <w:rFonts w:eastAsia="仿宋_GB2312"/>
          <w:sz w:val="21"/>
          <w:szCs w:val="20"/>
        </w:rPr>
      </w:pPr>
      <w:r>
        <w:rPr>
          <w:rFonts w:eastAsia="仿宋_GB2312"/>
          <w:sz w:val="21"/>
          <w:szCs w:val="20"/>
        </w:rPr>
        <w:t>表3-12：2025年能源消费总量（分类预测法）</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1591"/>
        <w:gridCol w:w="170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项目</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实物量</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折标煤量</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“十</w:t>
            </w:r>
            <w:r>
              <w:rPr>
                <w:rFonts w:hint="eastAsia" w:eastAsia="仿宋_GB2312"/>
                <w:kern w:val="0"/>
              </w:rPr>
              <w:t>四</w:t>
            </w:r>
            <w:r>
              <w:rPr>
                <w:rFonts w:eastAsia="仿宋_GB2312"/>
                <w:kern w:val="0"/>
              </w:rPr>
              <w:t>五”年均增长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能源消费总量</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10</w:t>
            </w:r>
            <w:r>
              <w:rPr>
                <w:rFonts w:eastAsia="仿宋_GB2312"/>
                <w:kern w:val="0"/>
              </w:rPr>
              <w:t>69</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rPr>
              <w:t>2.</w:t>
            </w:r>
            <w:r>
              <w:rPr>
                <w:rFonts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煤炭（万吨）</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rPr>
              <w:t>1288</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920</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color w:val="000000"/>
                <w:kern w:val="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成品油（万吨）</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rPr>
              <w:t>19.44</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27.2</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color w:val="000000"/>
                <w:kern w:val="0"/>
                <w:szCs w:val="21"/>
              </w:rPr>
              <w:t>3.</w:t>
            </w:r>
            <w:r>
              <w:rPr>
                <w:rFonts w:hint="eastAsia" w:eastAsia="仿宋_GB2312"/>
                <w:color w:val="000000"/>
                <w:kern w:val="0"/>
                <w:szCs w:val="21"/>
              </w:rPr>
              <w:t>9</w:t>
            </w:r>
            <w:r>
              <w:rPr>
                <w:rFonts w:eastAsia="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天然气（亿立方米）</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rPr>
              <w:t>1.76</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21.1</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color w:val="000000"/>
                <w:kern w:val="0"/>
                <w:szCs w:val="21"/>
              </w:rPr>
              <w:t>6.6</w:t>
            </w:r>
            <w:r>
              <w:rPr>
                <w:rFonts w:eastAsia="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非化石能源（万吨标煤）</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rPr>
              <w:t>100.4</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31.2</w:t>
            </w:r>
            <w:r>
              <w:rPr>
                <w:rFonts w:eastAsia="仿宋_GB2312"/>
                <w:color w:val="000000"/>
                <w:kern w:val="0"/>
                <w:szCs w:val="21"/>
              </w:rPr>
              <w:t>%</w:t>
            </w:r>
          </w:p>
        </w:tc>
      </w:tr>
    </w:tbl>
    <w:p>
      <w:pPr>
        <w:keepNext/>
        <w:keepLines/>
        <w:spacing w:line="360" w:lineRule="auto"/>
        <w:ind w:firstLine="643" w:firstLineChars="200"/>
        <w:outlineLvl w:val="2"/>
        <w:rPr>
          <w:rFonts w:eastAsia="仿宋_GB2312"/>
          <w:b/>
          <w:bCs/>
          <w:sz w:val="32"/>
          <w:szCs w:val="32"/>
        </w:rPr>
      </w:pPr>
      <w:bookmarkStart w:id="78" w:name="_Toc66178640"/>
      <w:bookmarkStart w:id="79" w:name="_Toc66178704"/>
      <w:bookmarkStart w:id="80" w:name="_Toc58335380"/>
      <w:r>
        <w:rPr>
          <w:rFonts w:eastAsia="仿宋_GB2312"/>
          <w:b/>
          <w:bCs/>
          <w:sz w:val="32"/>
          <w:szCs w:val="32"/>
        </w:rPr>
        <w:t>（七）综合推荐</w:t>
      </w:r>
      <w:bookmarkEnd w:id="78"/>
      <w:bookmarkEnd w:id="79"/>
      <w:bookmarkEnd w:id="80"/>
    </w:p>
    <w:p>
      <w:pPr>
        <w:spacing w:line="360" w:lineRule="auto"/>
        <w:ind w:firstLine="640" w:firstLineChars="200"/>
        <w:rPr>
          <w:rFonts w:eastAsia="仿宋_GB2312"/>
          <w:sz w:val="32"/>
          <w:szCs w:val="32"/>
        </w:rPr>
      </w:pPr>
      <w:r>
        <w:rPr>
          <w:rFonts w:eastAsia="仿宋_GB2312"/>
          <w:sz w:val="32"/>
          <w:szCs w:val="32"/>
        </w:rPr>
        <w:t>综合以上各种方法预测结果，得到高中低三种方案如下：高方案2025年能源消费总量约为</w:t>
      </w:r>
      <w:r>
        <w:rPr>
          <w:rFonts w:hint="eastAsia" w:eastAsia="仿宋_GB2312"/>
          <w:sz w:val="32"/>
          <w:szCs w:val="32"/>
        </w:rPr>
        <w:t>1185</w:t>
      </w:r>
      <w:r>
        <w:rPr>
          <w:rFonts w:eastAsia="仿宋_GB2312"/>
          <w:sz w:val="32"/>
          <w:szCs w:val="32"/>
        </w:rPr>
        <w:t>万吨标准煤，中方案2025年能源消费总量约为1</w:t>
      </w:r>
      <w:r>
        <w:rPr>
          <w:rFonts w:hint="eastAsia" w:eastAsia="仿宋_GB2312"/>
          <w:sz w:val="32"/>
          <w:szCs w:val="32"/>
        </w:rPr>
        <w:t>0</w:t>
      </w:r>
      <w:r>
        <w:rPr>
          <w:rFonts w:eastAsia="仿宋_GB2312"/>
          <w:sz w:val="32"/>
          <w:szCs w:val="32"/>
        </w:rPr>
        <w:t>69万吨标煤，低方案2025年能源消费总量约为</w:t>
      </w:r>
      <w:r>
        <w:rPr>
          <w:rFonts w:hint="eastAsia" w:eastAsia="仿宋_GB2312"/>
          <w:sz w:val="32"/>
          <w:szCs w:val="32"/>
        </w:rPr>
        <w:t>1041</w:t>
      </w:r>
      <w:r>
        <w:rPr>
          <w:rFonts w:eastAsia="仿宋_GB2312"/>
          <w:sz w:val="32"/>
          <w:szCs w:val="32"/>
        </w:rPr>
        <w:t>万吨标煤。推荐采用中方案为能源消费总量控制目标。</w:t>
      </w:r>
    </w:p>
    <w:p>
      <w:pPr>
        <w:spacing w:line="360" w:lineRule="auto"/>
        <w:ind w:firstLine="640" w:firstLineChars="200"/>
        <w:rPr>
          <w:rFonts w:eastAsia="仿宋_GB2312"/>
          <w:sz w:val="32"/>
          <w:szCs w:val="32"/>
        </w:rPr>
      </w:pPr>
      <w:r>
        <w:rPr>
          <w:rFonts w:eastAsia="仿宋_GB2312"/>
          <w:sz w:val="32"/>
          <w:szCs w:val="32"/>
        </w:rPr>
        <w:t>中方案（推荐方案），2025年能源消费总量约为</w:t>
      </w:r>
      <w:r>
        <w:rPr>
          <w:rFonts w:hint="eastAsia" w:eastAsia="仿宋_GB2312"/>
          <w:sz w:val="32"/>
          <w:szCs w:val="32"/>
        </w:rPr>
        <w:t>10</w:t>
      </w:r>
      <w:r>
        <w:rPr>
          <w:rFonts w:eastAsia="仿宋_GB2312"/>
          <w:sz w:val="32"/>
          <w:szCs w:val="32"/>
        </w:rPr>
        <w:t>69万吨标煤，“十四五”年均增长</w:t>
      </w:r>
      <w:r>
        <w:rPr>
          <w:rFonts w:hint="eastAsia" w:eastAsia="仿宋_GB2312"/>
          <w:sz w:val="32"/>
          <w:szCs w:val="32"/>
        </w:rPr>
        <w:t>2.</w:t>
      </w:r>
      <w:r>
        <w:rPr>
          <w:rFonts w:eastAsia="仿宋_GB2312"/>
          <w:sz w:val="32"/>
          <w:szCs w:val="32"/>
        </w:rPr>
        <w:t>3%，其中：煤炭消费约</w:t>
      </w:r>
      <w:r>
        <w:rPr>
          <w:rFonts w:hint="eastAsia" w:eastAsia="仿宋_GB2312"/>
          <w:sz w:val="32"/>
          <w:szCs w:val="32"/>
        </w:rPr>
        <w:t>1288</w:t>
      </w:r>
      <w:r>
        <w:rPr>
          <w:rFonts w:eastAsia="仿宋_GB2312"/>
          <w:sz w:val="32"/>
          <w:szCs w:val="32"/>
        </w:rPr>
        <w:t>万吨，天然气消费量约</w:t>
      </w:r>
      <w:r>
        <w:rPr>
          <w:rFonts w:hint="eastAsia" w:eastAsia="仿宋_GB2312"/>
          <w:sz w:val="32"/>
          <w:szCs w:val="32"/>
        </w:rPr>
        <w:t>1.76</w:t>
      </w:r>
      <w:r>
        <w:rPr>
          <w:rFonts w:eastAsia="仿宋_GB2312"/>
          <w:sz w:val="32"/>
          <w:szCs w:val="32"/>
        </w:rPr>
        <w:t>亿立方米，成品油消费量约</w:t>
      </w:r>
      <w:r>
        <w:rPr>
          <w:rFonts w:hint="eastAsia" w:eastAsia="仿宋_GB2312"/>
          <w:sz w:val="32"/>
          <w:szCs w:val="32"/>
        </w:rPr>
        <w:t>19.44</w:t>
      </w:r>
      <w:r>
        <w:rPr>
          <w:rFonts w:eastAsia="仿宋_GB2312"/>
          <w:sz w:val="32"/>
          <w:szCs w:val="32"/>
        </w:rPr>
        <w:t>万吨，非化石能源消费量约100.4万吨标煤。</w:t>
      </w:r>
    </w:p>
    <w:p>
      <w:pPr>
        <w:pStyle w:val="27"/>
        <w:jc w:val="center"/>
        <w:rPr>
          <w:rFonts w:eastAsia="仿宋_GB2312"/>
          <w:sz w:val="21"/>
          <w:szCs w:val="20"/>
        </w:rPr>
      </w:pPr>
      <w:r>
        <w:rPr>
          <w:rFonts w:eastAsia="仿宋_GB2312"/>
          <w:sz w:val="21"/>
          <w:szCs w:val="20"/>
        </w:rPr>
        <w:t>表3-13：能源消费总量预测（高中低方案）单位：万吨标煤</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99"/>
        <w:gridCol w:w="1037"/>
        <w:gridCol w:w="1038"/>
        <w:gridCol w:w="1038"/>
        <w:gridCol w:w="1038"/>
        <w:gridCol w:w="1038"/>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5" w:type="dxa"/>
            <w:gridSpan w:val="2"/>
            <w:vAlign w:val="center"/>
          </w:tcPr>
          <w:p>
            <w:pPr>
              <w:widowControl/>
              <w:ind w:firstLine="420"/>
              <w:jc w:val="center"/>
              <w:rPr>
                <w:rFonts w:eastAsia="仿宋_GB2312"/>
                <w:kern w:val="0"/>
              </w:rPr>
            </w:pPr>
            <w:r>
              <w:rPr>
                <w:rFonts w:eastAsia="仿宋_GB2312"/>
                <w:kern w:val="0"/>
              </w:rPr>
              <w:t>能源消费总量</w:t>
            </w:r>
          </w:p>
        </w:tc>
        <w:tc>
          <w:tcPr>
            <w:tcW w:w="1037" w:type="dxa"/>
            <w:vAlign w:val="center"/>
          </w:tcPr>
          <w:p>
            <w:pPr>
              <w:widowControl/>
              <w:jc w:val="center"/>
              <w:rPr>
                <w:rFonts w:eastAsia="仿宋_GB2312"/>
              </w:rPr>
            </w:pPr>
            <w:r>
              <w:rPr>
                <w:rFonts w:eastAsia="仿宋_GB2312"/>
              </w:rPr>
              <w:t>2021</w:t>
            </w:r>
          </w:p>
        </w:tc>
        <w:tc>
          <w:tcPr>
            <w:tcW w:w="1038" w:type="dxa"/>
            <w:vAlign w:val="center"/>
          </w:tcPr>
          <w:p>
            <w:pPr>
              <w:widowControl/>
              <w:jc w:val="center"/>
              <w:rPr>
                <w:rFonts w:eastAsia="仿宋_GB2312"/>
              </w:rPr>
            </w:pPr>
            <w:r>
              <w:rPr>
                <w:rFonts w:eastAsia="仿宋_GB2312"/>
              </w:rPr>
              <w:t>2022</w:t>
            </w:r>
          </w:p>
        </w:tc>
        <w:tc>
          <w:tcPr>
            <w:tcW w:w="1038" w:type="dxa"/>
            <w:vAlign w:val="center"/>
          </w:tcPr>
          <w:p>
            <w:pPr>
              <w:widowControl/>
              <w:jc w:val="center"/>
              <w:rPr>
                <w:rFonts w:eastAsia="仿宋_GB2312"/>
              </w:rPr>
            </w:pPr>
            <w:r>
              <w:rPr>
                <w:rFonts w:eastAsia="仿宋_GB2312"/>
              </w:rPr>
              <w:t>2023</w:t>
            </w:r>
          </w:p>
        </w:tc>
        <w:tc>
          <w:tcPr>
            <w:tcW w:w="1038" w:type="dxa"/>
            <w:vAlign w:val="center"/>
          </w:tcPr>
          <w:p>
            <w:pPr>
              <w:widowControl/>
              <w:jc w:val="center"/>
              <w:rPr>
                <w:rFonts w:eastAsia="仿宋_GB2312"/>
              </w:rPr>
            </w:pPr>
            <w:r>
              <w:rPr>
                <w:rFonts w:eastAsia="仿宋_GB2312"/>
              </w:rPr>
              <w:t>2024</w:t>
            </w:r>
          </w:p>
        </w:tc>
        <w:tc>
          <w:tcPr>
            <w:tcW w:w="1038" w:type="dxa"/>
            <w:vAlign w:val="center"/>
          </w:tcPr>
          <w:p>
            <w:pPr>
              <w:widowControl/>
              <w:jc w:val="center"/>
              <w:rPr>
                <w:rFonts w:eastAsia="仿宋_GB2312"/>
              </w:rPr>
            </w:pPr>
            <w:r>
              <w:rPr>
                <w:rFonts w:eastAsia="仿宋_GB2312"/>
              </w:rPr>
              <w:t>2025</w:t>
            </w:r>
          </w:p>
        </w:tc>
        <w:tc>
          <w:tcPr>
            <w:tcW w:w="1204" w:type="dxa"/>
            <w:vAlign w:val="center"/>
          </w:tcPr>
          <w:p>
            <w:pPr>
              <w:widowControl/>
              <w:jc w:val="center"/>
              <w:rPr>
                <w:rFonts w:eastAsia="仿宋_GB2312"/>
              </w:rPr>
            </w:pPr>
            <w:r>
              <w:rPr>
                <w:rFonts w:eastAsia="仿宋_GB2312"/>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restart"/>
            <w:vAlign w:val="center"/>
          </w:tcPr>
          <w:p>
            <w:pPr>
              <w:widowControl/>
              <w:jc w:val="center"/>
              <w:rPr>
                <w:rFonts w:eastAsia="仿宋_GB2312"/>
                <w:kern w:val="0"/>
              </w:rPr>
            </w:pPr>
            <w:r>
              <w:rPr>
                <w:rFonts w:eastAsia="仿宋_GB2312"/>
                <w:kern w:val="0"/>
              </w:rPr>
              <w:t>推荐</w:t>
            </w:r>
          </w:p>
        </w:tc>
        <w:tc>
          <w:tcPr>
            <w:tcW w:w="1499" w:type="dxa"/>
            <w:vAlign w:val="center"/>
          </w:tcPr>
          <w:p>
            <w:pPr>
              <w:widowControl/>
              <w:jc w:val="center"/>
              <w:rPr>
                <w:rFonts w:eastAsia="仿宋_GB2312"/>
                <w:kern w:val="0"/>
              </w:rPr>
            </w:pPr>
            <w:r>
              <w:rPr>
                <w:rFonts w:eastAsia="仿宋_GB2312"/>
                <w:kern w:val="0"/>
              </w:rPr>
              <w:t>低方案</w:t>
            </w:r>
          </w:p>
        </w:tc>
        <w:tc>
          <w:tcPr>
            <w:tcW w:w="1037" w:type="dxa"/>
            <w:vAlign w:val="center"/>
          </w:tcPr>
          <w:p>
            <w:pPr>
              <w:widowControl/>
              <w:jc w:val="center"/>
              <w:rPr>
                <w:rFonts w:eastAsia="仿宋_GB2312"/>
              </w:rPr>
            </w:pPr>
            <w:r>
              <w:rPr>
                <w:rFonts w:hint="eastAsia" w:eastAsia="仿宋_GB2312"/>
              </w:rPr>
              <w:t xml:space="preserve">987 </w:t>
            </w:r>
          </w:p>
        </w:tc>
        <w:tc>
          <w:tcPr>
            <w:tcW w:w="1038" w:type="dxa"/>
            <w:vAlign w:val="center"/>
          </w:tcPr>
          <w:p>
            <w:pPr>
              <w:widowControl/>
              <w:jc w:val="center"/>
              <w:rPr>
                <w:rFonts w:eastAsia="仿宋_GB2312"/>
              </w:rPr>
            </w:pPr>
            <w:r>
              <w:rPr>
                <w:rFonts w:hint="eastAsia" w:eastAsia="仿宋_GB2312"/>
              </w:rPr>
              <w:t xml:space="preserve">1000 </w:t>
            </w:r>
          </w:p>
        </w:tc>
        <w:tc>
          <w:tcPr>
            <w:tcW w:w="1038" w:type="dxa"/>
            <w:vAlign w:val="center"/>
          </w:tcPr>
          <w:p>
            <w:pPr>
              <w:widowControl/>
              <w:jc w:val="center"/>
              <w:rPr>
                <w:rFonts w:eastAsia="仿宋_GB2312"/>
              </w:rPr>
            </w:pPr>
            <w:r>
              <w:rPr>
                <w:rFonts w:hint="eastAsia" w:eastAsia="仿宋_GB2312"/>
              </w:rPr>
              <w:t xml:space="preserve">1014 </w:t>
            </w:r>
          </w:p>
        </w:tc>
        <w:tc>
          <w:tcPr>
            <w:tcW w:w="1038" w:type="dxa"/>
            <w:vAlign w:val="center"/>
          </w:tcPr>
          <w:p>
            <w:pPr>
              <w:widowControl/>
              <w:jc w:val="center"/>
              <w:rPr>
                <w:rFonts w:eastAsia="仿宋_GB2312"/>
              </w:rPr>
            </w:pPr>
            <w:r>
              <w:rPr>
                <w:rFonts w:hint="eastAsia" w:eastAsia="仿宋_GB2312"/>
              </w:rPr>
              <w:t xml:space="preserve">1027 </w:t>
            </w:r>
          </w:p>
        </w:tc>
        <w:tc>
          <w:tcPr>
            <w:tcW w:w="1038" w:type="dxa"/>
            <w:vAlign w:val="center"/>
          </w:tcPr>
          <w:p>
            <w:pPr>
              <w:widowControl/>
              <w:jc w:val="center"/>
              <w:rPr>
                <w:rFonts w:eastAsia="仿宋_GB2312"/>
              </w:rPr>
            </w:pPr>
            <w:r>
              <w:rPr>
                <w:rFonts w:hint="eastAsia" w:eastAsia="仿宋_GB2312"/>
              </w:rPr>
              <w:t xml:space="preserve">1041 </w:t>
            </w:r>
          </w:p>
        </w:tc>
        <w:tc>
          <w:tcPr>
            <w:tcW w:w="1204" w:type="dxa"/>
            <w:vAlign w:val="center"/>
          </w:tcPr>
          <w:p>
            <w:pPr>
              <w:widowControl/>
              <w:jc w:val="center"/>
              <w:rPr>
                <w:rFonts w:eastAsia="仿宋_GB2312"/>
              </w:rPr>
            </w:pPr>
            <w:r>
              <w:rPr>
                <w:rFonts w:hint="eastAsia" w:eastAsia="仿宋_GB2312"/>
              </w:rPr>
              <w:t>1.</w:t>
            </w:r>
            <w:r>
              <w:rPr>
                <w:rFonts w:eastAsia="仿宋_GB231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vAlign w:val="center"/>
          </w:tcPr>
          <w:p>
            <w:pPr>
              <w:widowControl/>
              <w:jc w:val="left"/>
              <w:rPr>
                <w:rFonts w:eastAsia="仿宋_GB2312"/>
                <w:kern w:val="0"/>
              </w:rPr>
            </w:pPr>
          </w:p>
        </w:tc>
        <w:tc>
          <w:tcPr>
            <w:tcW w:w="1499" w:type="dxa"/>
            <w:vAlign w:val="center"/>
          </w:tcPr>
          <w:p>
            <w:pPr>
              <w:widowControl/>
              <w:jc w:val="center"/>
              <w:rPr>
                <w:rFonts w:eastAsia="仿宋_GB2312"/>
                <w:b/>
                <w:bCs/>
                <w:kern w:val="0"/>
              </w:rPr>
            </w:pPr>
            <w:r>
              <w:rPr>
                <w:rFonts w:eastAsia="仿宋_GB2312"/>
                <w:kern w:val="0"/>
              </w:rPr>
              <w:t>中方案</w:t>
            </w:r>
          </w:p>
        </w:tc>
        <w:tc>
          <w:tcPr>
            <w:tcW w:w="1037" w:type="dxa"/>
            <w:vAlign w:val="center"/>
          </w:tcPr>
          <w:p>
            <w:pPr>
              <w:widowControl/>
              <w:jc w:val="center"/>
              <w:rPr>
                <w:rFonts w:eastAsia="仿宋_GB2312"/>
              </w:rPr>
            </w:pPr>
            <w:r>
              <w:rPr>
                <w:rFonts w:eastAsia="仿宋_GB2312"/>
              </w:rPr>
              <w:t>978</w:t>
            </w:r>
          </w:p>
        </w:tc>
        <w:tc>
          <w:tcPr>
            <w:tcW w:w="1038" w:type="dxa"/>
            <w:vAlign w:val="center"/>
          </w:tcPr>
          <w:p>
            <w:pPr>
              <w:widowControl/>
              <w:jc w:val="center"/>
              <w:rPr>
                <w:rFonts w:eastAsia="仿宋_GB2312"/>
              </w:rPr>
            </w:pPr>
            <w:r>
              <w:rPr>
                <w:rFonts w:hint="eastAsia" w:eastAsia="仿宋_GB2312"/>
              </w:rPr>
              <w:t>10</w:t>
            </w:r>
            <w:r>
              <w:rPr>
                <w:rFonts w:eastAsia="仿宋_GB2312"/>
              </w:rPr>
              <w:t>00</w:t>
            </w:r>
          </w:p>
        </w:tc>
        <w:tc>
          <w:tcPr>
            <w:tcW w:w="1038" w:type="dxa"/>
            <w:vAlign w:val="center"/>
          </w:tcPr>
          <w:p>
            <w:pPr>
              <w:widowControl/>
              <w:jc w:val="center"/>
              <w:rPr>
                <w:rFonts w:eastAsia="仿宋_GB2312"/>
              </w:rPr>
            </w:pPr>
            <w:r>
              <w:rPr>
                <w:rFonts w:hint="eastAsia" w:eastAsia="仿宋_GB2312"/>
              </w:rPr>
              <w:t>10</w:t>
            </w:r>
            <w:r>
              <w:rPr>
                <w:rFonts w:eastAsia="仿宋_GB2312"/>
              </w:rPr>
              <w:t>2</w:t>
            </w:r>
            <w:r>
              <w:rPr>
                <w:rFonts w:hint="eastAsia" w:eastAsia="仿宋_GB2312"/>
              </w:rPr>
              <w:t>3</w:t>
            </w:r>
          </w:p>
        </w:tc>
        <w:tc>
          <w:tcPr>
            <w:tcW w:w="1038" w:type="dxa"/>
            <w:vAlign w:val="center"/>
          </w:tcPr>
          <w:p>
            <w:pPr>
              <w:widowControl/>
              <w:jc w:val="center"/>
              <w:rPr>
                <w:rFonts w:eastAsia="仿宋_GB2312"/>
              </w:rPr>
            </w:pPr>
            <w:r>
              <w:rPr>
                <w:rFonts w:hint="eastAsia" w:eastAsia="仿宋_GB2312"/>
              </w:rPr>
              <w:t>10</w:t>
            </w:r>
            <w:r>
              <w:rPr>
                <w:rFonts w:eastAsia="仿宋_GB2312"/>
              </w:rPr>
              <w:t>47</w:t>
            </w:r>
          </w:p>
        </w:tc>
        <w:tc>
          <w:tcPr>
            <w:tcW w:w="1038" w:type="dxa"/>
            <w:vAlign w:val="center"/>
          </w:tcPr>
          <w:p>
            <w:pPr>
              <w:widowControl/>
              <w:jc w:val="center"/>
              <w:rPr>
                <w:rFonts w:eastAsia="仿宋_GB2312"/>
              </w:rPr>
            </w:pPr>
            <w:r>
              <w:rPr>
                <w:rFonts w:eastAsia="仿宋_GB2312"/>
              </w:rPr>
              <w:t>1069</w:t>
            </w:r>
          </w:p>
        </w:tc>
        <w:tc>
          <w:tcPr>
            <w:tcW w:w="1204" w:type="dxa"/>
            <w:vAlign w:val="center"/>
          </w:tcPr>
          <w:p>
            <w:pPr>
              <w:widowControl/>
              <w:jc w:val="center"/>
              <w:rPr>
                <w:rFonts w:eastAsia="仿宋_GB2312"/>
              </w:rPr>
            </w:pPr>
            <w:r>
              <w:rPr>
                <w:rFonts w:hint="eastAsia" w:eastAsia="仿宋_GB2312"/>
              </w:rPr>
              <w:t>2.</w:t>
            </w:r>
            <w:r>
              <w:rPr>
                <w:rFonts w:eastAsia="仿宋_GB2312"/>
              </w:rPr>
              <w:t>3</w:t>
            </w:r>
            <w:r>
              <w:rPr>
                <w:rFonts w:hint="eastAsia"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vAlign w:val="center"/>
          </w:tcPr>
          <w:p>
            <w:pPr>
              <w:widowControl/>
              <w:jc w:val="left"/>
              <w:rPr>
                <w:rFonts w:eastAsia="仿宋_GB2312"/>
                <w:kern w:val="0"/>
              </w:rPr>
            </w:pPr>
          </w:p>
        </w:tc>
        <w:tc>
          <w:tcPr>
            <w:tcW w:w="1499" w:type="dxa"/>
            <w:vAlign w:val="center"/>
          </w:tcPr>
          <w:p>
            <w:pPr>
              <w:widowControl/>
              <w:jc w:val="center"/>
              <w:rPr>
                <w:rFonts w:eastAsia="仿宋_GB2312"/>
                <w:kern w:val="0"/>
              </w:rPr>
            </w:pPr>
            <w:r>
              <w:rPr>
                <w:rFonts w:eastAsia="仿宋_GB2312"/>
                <w:kern w:val="0"/>
              </w:rPr>
              <w:t>高方案</w:t>
            </w:r>
          </w:p>
        </w:tc>
        <w:tc>
          <w:tcPr>
            <w:tcW w:w="1037" w:type="dxa"/>
            <w:vAlign w:val="center"/>
          </w:tcPr>
          <w:p>
            <w:pPr>
              <w:widowControl/>
              <w:jc w:val="center"/>
              <w:rPr>
                <w:rFonts w:eastAsia="仿宋_GB2312"/>
              </w:rPr>
            </w:pPr>
            <w:r>
              <w:rPr>
                <w:rFonts w:hint="eastAsia" w:eastAsia="仿宋_GB2312"/>
              </w:rPr>
              <w:t xml:space="preserve">1000 </w:t>
            </w:r>
          </w:p>
        </w:tc>
        <w:tc>
          <w:tcPr>
            <w:tcW w:w="1038" w:type="dxa"/>
            <w:vAlign w:val="center"/>
          </w:tcPr>
          <w:p>
            <w:pPr>
              <w:widowControl/>
              <w:jc w:val="center"/>
              <w:rPr>
                <w:rFonts w:eastAsia="仿宋_GB2312"/>
              </w:rPr>
            </w:pPr>
            <w:r>
              <w:rPr>
                <w:rFonts w:hint="eastAsia" w:eastAsia="仿宋_GB2312"/>
              </w:rPr>
              <w:t xml:space="preserve">1032 </w:t>
            </w:r>
          </w:p>
        </w:tc>
        <w:tc>
          <w:tcPr>
            <w:tcW w:w="1038" w:type="dxa"/>
            <w:vAlign w:val="center"/>
          </w:tcPr>
          <w:p>
            <w:pPr>
              <w:widowControl/>
              <w:jc w:val="center"/>
              <w:rPr>
                <w:rFonts w:eastAsia="仿宋_GB2312"/>
              </w:rPr>
            </w:pPr>
            <w:r>
              <w:rPr>
                <w:rFonts w:hint="eastAsia" w:eastAsia="仿宋_GB2312"/>
              </w:rPr>
              <w:t xml:space="preserve">1073 </w:t>
            </w:r>
          </w:p>
        </w:tc>
        <w:tc>
          <w:tcPr>
            <w:tcW w:w="1038" w:type="dxa"/>
            <w:vAlign w:val="center"/>
          </w:tcPr>
          <w:p>
            <w:pPr>
              <w:widowControl/>
              <w:jc w:val="center"/>
              <w:rPr>
                <w:rFonts w:eastAsia="仿宋_GB2312"/>
              </w:rPr>
            </w:pPr>
            <w:r>
              <w:rPr>
                <w:rFonts w:hint="eastAsia" w:eastAsia="仿宋_GB2312"/>
              </w:rPr>
              <w:t xml:space="preserve">1123 </w:t>
            </w:r>
          </w:p>
        </w:tc>
        <w:tc>
          <w:tcPr>
            <w:tcW w:w="1038" w:type="dxa"/>
            <w:vAlign w:val="center"/>
          </w:tcPr>
          <w:p>
            <w:pPr>
              <w:widowControl/>
              <w:jc w:val="center"/>
              <w:rPr>
                <w:rFonts w:eastAsia="仿宋_GB2312"/>
              </w:rPr>
            </w:pPr>
            <w:r>
              <w:rPr>
                <w:rFonts w:hint="eastAsia" w:eastAsia="仿宋_GB2312"/>
              </w:rPr>
              <w:t xml:space="preserve">1185 </w:t>
            </w:r>
          </w:p>
        </w:tc>
        <w:tc>
          <w:tcPr>
            <w:tcW w:w="1204" w:type="dxa"/>
            <w:vAlign w:val="center"/>
          </w:tcPr>
          <w:p>
            <w:pPr>
              <w:widowControl/>
              <w:jc w:val="center"/>
              <w:rPr>
                <w:rFonts w:eastAsia="仿宋_GB2312"/>
              </w:rPr>
            </w:pPr>
            <w:r>
              <w:rPr>
                <w:rFonts w:eastAsia="仿宋_GB2312"/>
              </w:rPr>
              <w:t>4.4%</w:t>
            </w:r>
          </w:p>
        </w:tc>
      </w:tr>
    </w:tbl>
    <w:p>
      <w:pPr>
        <w:pStyle w:val="27"/>
        <w:ind w:firstLine="560"/>
      </w:pPr>
    </w:p>
    <w:p>
      <w:pPr>
        <w:pStyle w:val="27"/>
        <w:jc w:val="center"/>
        <w:rPr>
          <w:rFonts w:eastAsia="仿宋_GB2312"/>
          <w:sz w:val="21"/>
          <w:szCs w:val="20"/>
        </w:rPr>
      </w:pPr>
      <w:r>
        <w:rPr>
          <w:rFonts w:eastAsia="仿宋_GB2312"/>
          <w:sz w:val="21"/>
          <w:szCs w:val="20"/>
        </w:rPr>
        <w:t>表3-14：2025年能源消费总量预测推荐方案单位：万吨、亿立方米、万吨标煤</w:t>
      </w:r>
    </w:p>
    <w:tbl>
      <w:tblPr>
        <w:tblStyle w:val="14"/>
        <w:tblW w:w="5000" w:type="pct"/>
        <w:jc w:val="center"/>
        <w:tblLayout w:type="autofit"/>
        <w:tblCellMar>
          <w:top w:w="0" w:type="dxa"/>
          <w:left w:w="108" w:type="dxa"/>
          <w:bottom w:w="0" w:type="dxa"/>
          <w:right w:w="108" w:type="dxa"/>
        </w:tblCellMar>
      </w:tblPr>
      <w:tblGrid>
        <w:gridCol w:w="2540"/>
        <w:gridCol w:w="1868"/>
        <w:gridCol w:w="2057"/>
        <w:gridCol w:w="2057"/>
      </w:tblGrid>
      <w:tr>
        <w:tblPrEx>
          <w:tblCellMar>
            <w:top w:w="0" w:type="dxa"/>
            <w:left w:w="108" w:type="dxa"/>
            <w:bottom w:w="0" w:type="dxa"/>
            <w:right w:w="108" w:type="dxa"/>
          </w:tblCellMar>
        </w:tblPrEx>
        <w:trPr>
          <w:trHeight w:val="397" w:hRule="atLeast"/>
          <w:tblHeader/>
          <w:jc w:val="center"/>
        </w:trPr>
        <w:tc>
          <w:tcPr>
            <w:tcW w:w="1490" w:type="pc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rPr>
            </w:pPr>
            <w:r>
              <w:rPr>
                <w:rFonts w:eastAsia="仿宋_GB2312"/>
                <w:kern w:val="0"/>
              </w:rPr>
              <w:t>类型</w:t>
            </w:r>
          </w:p>
        </w:tc>
        <w:tc>
          <w:tcPr>
            <w:tcW w:w="1096" w:type="pct"/>
            <w:tcBorders>
              <w:top w:val="single" w:color="auto" w:sz="8" w:space="0"/>
              <w:left w:val="nil"/>
              <w:bottom w:val="single" w:color="auto" w:sz="8" w:space="0"/>
              <w:right w:val="single" w:color="auto" w:sz="8" w:space="0"/>
            </w:tcBorders>
            <w:vAlign w:val="center"/>
          </w:tcPr>
          <w:p>
            <w:pPr>
              <w:widowControl/>
              <w:jc w:val="center"/>
              <w:rPr>
                <w:rFonts w:eastAsia="仿宋_GB2312"/>
                <w:kern w:val="0"/>
              </w:rPr>
            </w:pPr>
            <w:r>
              <w:rPr>
                <w:rFonts w:eastAsia="仿宋_GB2312"/>
                <w:kern w:val="0"/>
              </w:rPr>
              <w:t>实物量</w:t>
            </w:r>
          </w:p>
        </w:tc>
        <w:tc>
          <w:tcPr>
            <w:tcW w:w="1207" w:type="pct"/>
            <w:tcBorders>
              <w:top w:val="single" w:color="auto" w:sz="8" w:space="0"/>
              <w:left w:val="nil"/>
              <w:bottom w:val="single" w:color="auto" w:sz="8" w:space="0"/>
              <w:right w:val="single" w:color="auto" w:sz="8" w:space="0"/>
            </w:tcBorders>
            <w:vAlign w:val="center"/>
          </w:tcPr>
          <w:p>
            <w:pPr>
              <w:widowControl/>
              <w:jc w:val="center"/>
              <w:rPr>
                <w:rFonts w:eastAsia="仿宋_GB2312"/>
                <w:kern w:val="0"/>
              </w:rPr>
            </w:pPr>
            <w:r>
              <w:rPr>
                <w:rFonts w:eastAsia="仿宋_GB2312"/>
                <w:kern w:val="0"/>
              </w:rPr>
              <w:t>折标煤量</w:t>
            </w:r>
          </w:p>
        </w:tc>
        <w:tc>
          <w:tcPr>
            <w:tcW w:w="1207" w:type="pct"/>
            <w:tcBorders>
              <w:top w:val="single" w:color="auto" w:sz="8" w:space="0"/>
              <w:left w:val="nil"/>
              <w:bottom w:val="single" w:color="auto" w:sz="8" w:space="0"/>
              <w:right w:val="single" w:color="auto" w:sz="8" w:space="0"/>
            </w:tcBorders>
            <w:vAlign w:val="center"/>
          </w:tcPr>
          <w:p>
            <w:pPr>
              <w:widowControl/>
              <w:jc w:val="center"/>
              <w:rPr>
                <w:rFonts w:eastAsia="仿宋_GB2312"/>
                <w:kern w:val="0"/>
              </w:rPr>
            </w:pPr>
            <w:r>
              <w:rPr>
                <w:rFonts w:eastAsia="仿宋_GB2312"/>
                <w:kern w:val="0"/>
              </w:rPr>
              <w:t>比重</w:t>
            </w:r>
          </w:p>
        </w:tc>
      </w:tr>
      <w:tr>
        <w:tblPrEx>
          <w:tblCellMar>
            <w:top w:w="0" w:type="dxa"/>
            <w:left w:w="108" w:type="dxa"/>
            <w:bottom w:w="0" w:type="dxa"/>
            <w:right w:w="108" w:type="dxa"/>
          </w:tblCellMar>
        </w:tblPrEx>
        <w:trPr>
          <w:trHeight w:val="397" w:hRule="atLeast"/>
          <w:jc w:val="center"/>
        </w:trPr>
        <w:tc>
          <w:tcPr>
            <w:tcW w:w="1490" w:type="pct"/>
            <w:tcBorders>
              <w:top w:val="nil"/>
              <w:left w:val="single" w:color="auto" w:sz="8" w:space="0"/>
              <w:bottom w:val="single" w:color="auto" w:sz="8" w:space="0"/>
              <w:right w:val="single" w:color="auto" w:sz="8" w:space="0"/>
            </w:tcBorders>
            <w:vAlign w:val="center"/>
          </w:tcPr>
          <w:p>
            <w:pPr>
              <w:widowControl/>
              <w:jc w:val="center"/>
              <w:rPr>
                <w:rFonts w:eastAsia="仿宋_GB2312"/>
                <w:kern w:val="0"/>
              </w:rPr>
            </w:pPr>
            <w:r>
              <w:rPr>
                <w:rFonts w:eastAsia="仿宋_GB2312"/>
                <w:kern w:val="0"/>
              </w:rPr>
              <w:t>能源消费总量</w:t>
            </w:r>
          </w:p>
        </w:tc>
        <w:tc>
          <w:tcPr>
            <w:tcW w:w="1096" w:type="pct"/>
            <w:tcBorders>
              <w:top w:val="nil"/>
              <w:left w:val="nil"/>
              <w:bottom w:val="single" w:color="auto" w:sz="8" w:space="0"/>
              <w:right w:val="single" w:color="auto" w:sz="8" w:space="0"/>
            </w:tcBorders>
            <w:vAlign w:val="center"/>
          </w:tcPr>
          <w:p>
            <w:pPr>
              <w:widowControl/>
              <w:jc w:val="center"/>
              <w:rPr>
                <w:rFonts w:eastAsia="仿宋_GB2312"/>
                <w:kern w:val="0"/>
              </w:rPr>
            </w:pP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hint="eastAsia" w:eastAsia="仿宋_GB2312"/>
                <w:kern w:val="0"/>
              </w:rPr>
              <w:t>1</w:t>
            </w:r>
            <w:r>
              <w:rPr>
                <w:rFonts w:eastAsia="仿宋_GB2312"/>
                <w:kern w:val="0"/>
              </w:rPr>
              <w:t>069</w:t>
            </w: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p>
        </w:tc>
      </w:tr>
      <w:tr>
        <w:tblPrEx>
          <w:tblCellMar>
            <w:top w:w="0" w:type="dxa"/>
            <w:left w:w="108" w:type="dxa"/>
            <w:bottom w:w="0" w:type="dxa"/>
            <w:right w:w="108" w:type="dxa"/>
          </w:tblCellMar>
        </w:tblPrEx>
        <w:trPr>
          <w:trHeight w:val="397" w:hRule="atLeast"/>
          <w:jc w:val="center"/>
        </w:trPr>
        <w:tc>
          <w:tcPr>
            <w:tcW w:w="1490" w:type="pct"/>
            <w:tcBorders>
              <w:top w:val="nil"/>
              <w:left w:val="single" w:color="auto" w:sz="8" w:space="0"/>
              <w:bottom w:val="single" w:color="auto" w:sz="8" w:space="0"/>
              <w:right w:val="single" w:color="auto" w:sz="8" w:space="0"/>
            </w:tcBorders>
            <w:vAlign w:val="center"/>
          </w:tcPr>
          <w:p>
            <w:pPr>
              <w:widowControl/>
              <w:ind w:firstLine="210" w:firstLineChars="100"/>
              <w:jc w:val="right"/>
              <w:rPr>
                <w:rFonts w:eastAsia="仿宋_GB2312"/>
                <w:kern w:val="0"/>
              </w:rPr>
            </w:pPr>
            <w:r>
              <w:rPr>
                <w:rFonts w:eastAsia="仿宋_GB2312"/>
                <w:kern w:val="0"/>
              </w:rPr>
              <w:t>其中：煤炭</w:t>
            </w:r>
          </w:p>
        </w:tc>
        <w:tc>
          <w:tcPr>
            <w:tcW w:w="1096"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hint="eastAsia" w:eastAsia="仿宋_GB2312"/>
              </w:rPr>
              <w:t>1288</w:t>
            </w: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hint="eastAsia" w:eastAsia="仿宋_GB2312"/>
                <w:kern w:val="0"/>
              </w:rPr>
              <w:t>920</w:t>
            </w: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hint="eastAsia" w:eastAsia="仿宋_GB2312"/>
                <w:kern w:val="0"/>
              </w:rPr>
              <w:t>8</w:t>
            </w:r>
            <w:r>
              <w:rPr>
                <w:rFonts w:eastAsia="仿宋_GB2312"/>
                <w:kern w:val="0"/>
              </w:rPr>
              <w:t>6.6</w:t>
            </w:r>
            <w:r>
              <w:rPr>
                <w:rFonts w:hint="eastAsia" w:eastAsia="仿宋_GB2312"/>
                <w:kern w:val="0"/>
              </w:rPr>
              <w:t>%</w:t>
            </w:r>
          </w:p>
        </w:tc>
      </w:tr>
      <w:tr>
        <w:tblPrEx>
          <w:tblCellMar>
            <w:top w:w="0" w:type="dxa"/>
            <w:left w:w="108" w:type="dxa"/>
            <w:bottom w:w="0" w:type="dxa"/>
            <w:right w:w="108" w:type="dxa"/>
          </w:tblCellMar>
        </w:tblPrEx>
        <w:trPr>
          <w:trHeight w:val="397" w:hRule="atLeast"/>
          <w:jc w:val="center"/>
        </w:trPr>
        <w:tc>
          <w:tcPr>
            <w:tcW w:w="1490" w:type="pct"/>
            <w:tcBorders>
              <w:top w:val="nil"/>
              <w:left w:val="single" w:color="auto" w:sz="8" w:space="0"/>
              <w:bottom w:val="single" w:color="auto" w:sz="8" w:space="0"/>
              <w:right w:val="single" w:color="auto" w:sz="8" w:space="0"/>
            </w:tcBorders>
            <w:vAlign w:val="center"/>
          </w:tcPr>
          <w:p>
            <w:pPr>
              <w:widowControl/>
              <w:jc w:val="right"/>
              <w:rPr>
                <w:rFonts w:eastAsia="仿宋_GB2312"/>
                <w:kern w:val="0"/>
              </w:rPr>
            </w:pPr>
            <w:r>
              <w:rPr>
                <w:rFonts w:eastAsia="仿宋_GB2312"/>
                <w:kern w:val="0"/>
              </w:rPr>
              <w:t>成品油</w:t>
            </w:r>
          </w:p>
        </w:tc>
        <w:tc>
          <w:tcPr>
            <w:tcW w:w="1096"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hint="eastAsia" w:eastAsia="仿宋_GB2312"/>
              </w:rPr>
              <w:t>19.44</w:t>
            </w: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hint="eastAsia" w:eastAsia="仿宋_GB2312"/>
                <w:kern w:val="0"/>
              </w:rPr>
              <w:t>27.2</w:t>
            </w: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hint="eastAsia" w:eastAsia="仿宋_GB2312"/>
                <w:kern w:val="0"/>
              </w:rPr>
              <w:t>2.5%</w:t>
            </w:r>
          </w:p>
        </w:tc>
      </w:tr>
      <w:tr>
        <w:tblPrEx>
          <w:tblCellMar>
            <w:top w:w="0" w:type="dxa"/>
            <w:left w:w="108" w:type="dxa"/>
            <w:bottom w:w="0" w:type="dxa"/>
            <w:right w:w="108" w:type="dxa"/>
          </w:tblCellMar>
        </w:tblPrEx>
        <w:trPr>
          <w:trHeight w:val="397" w:hRule="atLeast"/>
          <w:jc w:val="center"/>
        </w:trPr>
        <w:tc>
          <w:tcPr>
            <w:tcW w:w="1490" w:type="pct"/>
            <w:tcBorders>
              <w:top w:val="nil"/>
              <w:left w:val="single" w:color="auto" w:sz="8" w:space="0"/>
              <w:bottom w:val="single" w:color="auto" w:sz="8" w:space="0"/>
              <w:right w:val="single" w:color="auto" w:sz="8" w:space="0"/>
            </w:tcBorders>
            <w:vAlign w:val="center"/>
          </w:tcPr>
          <w:p>
            <w:pPr>
              <w:widowControl/>
              <w:jc w:val="right"/>
              <w:rPr>
                <w:rFonts w:eastAsia="仿宋_GB2312"/>
                <w:kern w:val="0"/>
              </w:rPr>
            </w:pPr>
            <w:r>
              <w:rPr>
                <w:rFonts w:eastAsia="仿宋_GB2312"/>
                <w:kern w:val="0"/>
              </w:rPr>
              <w:t>天然气</w:t>
            </w:r>
          </w:p>
        </w:tc>
        <w:tc>
          <w:tcPr>
            <w:tcW w:w="1096"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eastAsia="仿宋_GB2312"/>
              </w:rPr>
              <w:t>1.76</w:t>
            </w: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eastAsia="仿宋_GB2312"/>
                <w:kern w:val="0"/>
              </w:rPr>
              <w:t>21.1</w:t>
            </w: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eastAsia="仿宋_GB2312"/>
                <w:kern w:val="0"/>
              </w:rPr>
              <w:t>2.0</w:t>
            </w:r>
            <w:r>
              <w:rPr>
                <w:rFonts w:hint="eastAsia" w:eastAsia="仿宋_GB2312"/>
                <w:kern w:val="0"/>
              </w:rPr>
              <w:t>%</w:t>
            </w:r>
          </w:p>
        </w:tc>
      </w:tr>
      <w:tr>
        <w:tblPrEx>
          <w:tblCellMar>
            <w:top w:w="0" w:type="dxa"/>
            <w:left w:w="108" w:type="dxa"/>
            <w:bottom w:w="0" w:type="dxa"/>
            <w:right w:w="108" w:type="dxa"/>
          </w:tblCellMar>
        </w:tblPrEx>
        <w:trPr>
          <w:trHeight w:val="397" w:hRule="atLeast"/>
          <w:jc w:val="center"/>
        </w:trPr>
        <w:tc>
          <w:tcPr>
            <w:tcW w:w="1490" w:type="pct"/>
            <w:tcBorders>
              <w:top w:val="nil"/>
              <w:left w:val="single" w:color="auto" w:sz="8" w:space="0"/>
              <w:bottom w:val="single" w:color="auto" w:sz="8" w:space="0"/>
              <w:right w:val="single" w:color="auto" w:sz="8" w:space="0"/>
            </w:tcBorders>
            <w:vAlign w:val="center"/>
          </w:tcPr>
          <w:p>
            <w:pPr>
              <w:widowControl/>
              <w:jc w:val="right"/>
              <w:rPr>
                <w:rFonts w:eastAsia="仿宋_GB2312"/>
                <w:kern w:val="0"/>
              </w:rPr>
            </w:pPr>
            <w:r>
              <w:rPr>
                <w:rFonts w:eastAsia="仿宋_GB2312"/>
                <w:kern w:val="0"/>
              </w:rPr>
              <w:t>非化石能源</w:t>
            </w:r>
          </w:p>
        </w:tc>
        <w:tc>
          <w:tcPr>
            <w:tcW w:w="1096" w:type="pct"/>
            <w:tcBorders>
              <w:top w:val="nil"/>
              <w:left w:val="nil"/>
              <w:bottom w:val="single" w:color="auto" w:sz="8" w:space="0"/>
              <w:right w:val="single" w:color="auto" w:sz="8" w:space="0"/>
            </w:tcBorders>
            <w:vAlign w:val="center"/>
          </w:tcPr>
          <w:p>
            <w:pPr>
              <w:widowControl/>
              <w:jc w:val="center"/>
              <w:rPr>
                <w:rFonts w:eastAsia="仿宋_GB2312"/>
                <w:kern w:val="0"/>
              </w:rPr>
            </w:pP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eastAsia="仿宋_GB2312"/>
              </w:rPr>
              <w:t>100.4</w:t>
            </w:r>
          </w:p>
        </w:tc>
        <w:tc>
          <w:tcPr>
            <w:tcW w:w="1207" w:type="pct"/>
            <w:tcBorders>
              <w:top w:val="nil"/>
              <w:left w:val="nil"/>
              <w:bottom w:val="single" w:color="auto" w:sz="8" w:space="0"/>
              <w:right w:val="single" w:color="auto" w:sz="8" w:space="0"/>
            </w:tcBorders>
            <w:vAlign w:val="center"/>
          </w:tcPr>
          <w:p>
            <w:pPr>
              <w:widowControl/>
              <w:jc w:val="center"/>
              <w:rPr>
                <w:rFonts w:eastAsia="仿宋_GB2312"/>
                <w:kern w:val="0"/>
              </w:rPr>
            </w:pPr>
            <w:r>
              <w:rPr>
                <w:rFonts w:eastAsia="仿宋_GB2312"/>
                <w:kern w:val="0"/>
              </w:rPr>
              <w:t>9.4</w:t>
            </w:r>
            <w:r>
              <w:rPr>
                <w:rFonts w:hint="eastAsia" w:eastAsia="仿宋_GB2312"/>
                <w:kern w:val="0"/>
              </w:rPr>
              <w:t>%</w:t>
            </w:r>
          </w:p>
        </w:tc>
      </w:tr>
    </w:tbl>
    <w:p>
      <w:pPr>
        <w:keepNext/>
        <w:keepLines/>
        <w:spacing w:line="360" w:lineRule="auto"/>
        <w:ind w:firstLine="643" w:firstLineChars="200"/>
        <w:outlineLvl w:val="1"/>
        <w:rPr>
          <w:rFonts w:eastAsia="楷体_GB2312"/>
          <w:b/>
          <w:bCs/>
          <w:sz w:val="32"/>
          <w:szCs w:val="32"/>
        </w:rPr>
      </w:pPr>
      <w:bookmarkStart w:id="81" w:name="_Toc466404530"/>
      <w:bookmarkStart w:id="82" w:name="_Toc455605478"/>
      <w:bookmarkStart w:id="83" w:name="_Toc480987920"/>
      <w:bookmarkStart w:id="84" w:name="_Toc458611621"/>
      <w:bookmarkStart w:id="85" w:name="_Toc459296361"/>
      <w:bookmarkStart w:id="86" w:name="_Toc466387304"/>
      <w:bookmarkStart w:id="87" w:name="_Toc458546373"/>
      <w:bookmarkStart w:id="88" w:name="_Toc466886041"/>
      <w:bookmarkStart w:id="89" w:name="_Toc466901682"/>
      <w:bookmarkStart w:id="90" w:name="_Toc469781242"/>
      <w:bookmarkStart w:id="91" w:name="_Toc466897020"/>
      <w:bookmarkStart w:id="92" w:name="_Toc469933049"/>
      <w:bookmarkStart w:id="93" w:name="_Toc466532732"/>
      <w:bookmarkStart w:id="94" w:name="_Toc472532115"/>
      <w:bookmarkStart w:id="95" w:name="_Toc487638922"/>
      <w:bookmarkStart w:id="96" w:name="_Toc503255407"/>
      <w:bookmarkStart w:id="97" w:name="_Toc58335381"/>
      <w:bookmarkStart w:id="98" w:name="_Toc66178641"/>
      <w:bookmarkStart w:id="99" w:name="_Toc66178705"/>
      <w:r>
        <w:rPr>
          <w:rFonts w:eastAsia="楷体_GB2312"/>
          <w:b/>
          <w:bCs/>
          <w:sz w:val="32"/>
          <w:szCs w:val="32"/>
        </w:rPr>
        <w:t>四、能源供需平衡分析</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keepNext/>
        <w:keepLines/>
        <w:spacing w:line="360" w:lineRule="auto"/>
        <w:ind w:firstLine="643" w:firstLineChars="200"/>
        <w:outlineLvl w:val="2"/>
        <w:rPr>
          <w:rFonts w:eastAsia="仿宋_GB2312"/>
          <w:b/>
          <w:bCs/>
          <w:sz w:val="32"/>
          <w:szCs w:val="32"/>
        </w:rPr>
      </w:pPr>
      <w:bookmarkStart w:id="100" w:name="_Toc455605479"/>
      <w:bookmarkStart w:id="101" w:name="_Toc458611622"/>
      <w:bookmarkStart w:id="102" w:name="_Toc458546374"/>
      <w:bookmarkStart w:id="103" w:name="_Toc459296362"/>
      <w:bookmarkStart w:id="104" w:name="_Toc466387305"/>
      <w:bookmarkStart w:id="105" w:name="_Toc466404531"/>
      <w:bookmarkStart w:id="106" w:name="_Toc466532733"/>
      <w:bookmarkStart w:id="107" w:name="_Toc58335382"/>
      <w:bookmarkStart w:id="108" w:name="_Toc66178642"/>
      <w:bookmarkStart w:id="109" w:name="_Toc66178706"/>
      <w:r>
        <w:rPr>
          <w:rFonts w:eastAsia="仿宋_GB2312"/>
          <w:b/>
          <w:bCs/>
          <w:sz w:val="32"/>
          <w:szCs w:val="32"/>
        </w:rPr>
        <w:t>（一）电力电量平衡分析</w:t>
      </w:r>
      <w:bookmarkEnd w:id="100"/>
      <w:bookmarkEnd w:id="101"/>
      <w:bookmarkEnd w:id="102"/>
      <w:bookmarkEnd w:id="103"/>
      <w:bookmarkEnd w:id="104"/>
      <w:bookmarkEnd w:id="105"/>
      <w:bookmarkEnd w:id="106"/>
      <w:bookmarkEnd w:id="107"/>
      <w:bookmarkEnd w:id="108"/>
      <w:bookmarkEnd w:id="109"/>
    </w:p>
    <w:p>
      <w:pPr>
        <w:spacing w:line="360" w:lineRule="auto"/>
        <w:ind w:firstLine="640" w:firstLineChars="200"/>
        <w:rPr>
          <w:rFonts w:eastAsia="仿宋_GB2312"/>
          <w:sz w:val="32"/>
          <w:szCs w:val="32"/>
        </w:rPr>
      </w:pPr>
      <w:r>
        <w:rPr>
          <w:rFonts w:eastAsia="仿宋_GB2312"/>
          <w:sz w:val="32"/>
          <w:szCs w:val="32"/>
        </w:rPr>
        <w:t>（1）平衡原则</w:t>
      </w:r>
    </w:p>
    <w:p>
      <w:pPr>
        <w:spacing w:line="360" w:lineRule="auto"/>
        <w:ind w:firstLine="640" w:firstLineChars="200"/>
        <w:rPr>
          <w:rFonts w:eastAsia="仿宋_GB2312"/>
          <w:sz w:val="32"/>
          <w:szCs w:val="32"/>
        </w:rPr>
      </w:pPr>
      <w:r>
        <w:rPr>
          <w:rFonts w:eastAsia="仿宋_GB2312"/>
          <w:sz w:val="32"/>
          <w:szCs w:val="32"/>
        </w:rPr>
        <w:t>a）系统综合备用率按1</w:t>
      </w:r>
      <w:r>
        <w:rPr>
          <w:rFonts w:hint="eastAsia" w:eastAsia="仿宋_GB2312"/>
          <w:sz w:val="32"/>
          <w:szCs w:val="32"/>
        </w:rPr>
        <w:t>5</w:t>
      </w:r>
      <w:r>
        <w:rPr>
          <w:rFonts w:eastAsia="仿宋_GB2312"/>
          <w:sz w:val="32"/>
          <w:szCs w:val="32"/>
        </w:rPr>
        <w:t>%考虑。</w:t>
      </w:r>
    </w:p>
    <w:p>
      <w:pPr>
        <w:spacing w:line="360" w:lineRule="auto"/>
        <w:ind w:firstLine="640" w:firstLineChars="200"/>
        <w:rPr>
          <w:rFonts w:eastAsia="仿宋_GB2312"/>
          <w:sz w:val="32"/>
          <w:szCs w:val="32"/>
        </w:rPr>
      </w:pPr>
      <w:r>
        <w:rPr>
          <w:rFonts w:eastAsia="仿宋_GB2312"/>
          <w:sz w:val="32"/>
          <w:szCs w:val="32"/>
        </w:rPr>
        <w:t>b）计入平衡计算的煤电包括现役、规划2025年建成投产煤电机组。</w:t>
      </w:r>
    </w:p>
    <w:p>
      <w:pPr>
        <w:spacing w:line="360" w:lineRule="auto"/>
        <w:ind w:firstLine="640" w:firstLineChars="200"/>
        <w:rPr>
          <w:rFonts w:eastAsia="仿宋_GB2312"/>
          <w:sz w:val="32"/>
          <w:szCs w:val="32"/>
        </w:rPr>
      </w:pPr>
      <w:r>
        <w:rPr>
          <w:rFonts w:eastAsia="仿宋_GB2312"/>
          <w:sz w:val="32"/>
          <w:szCs w:val="32"/>
        </w:rPr>
        <w:t>c）考虑丰大、枯大两种运行方式。</w:t>
      </w:r>
    </w:p>
    <w:p>
      <w:pPr>
        <w:spacing w:line="360" w:lineRule="auto"/>
        <w:ind w:firstLine="640" w:firstLineChars="200"/>
        <w:rPr>
          <w:rFonts w:eastAsia="仿宋_GB2312"/>
          <w:sz w:val="32"/>
          <w:szCs w:val="32"/>
        </w:rPr>
      </w:pPr>
      <w:r>
        <w:rPr>
          <w:rFonts w:eastAsia="仿宋_GB2312"/>
          <w:sz w:val="32"/>
          <w:szCs w:val="32"/>
        </w:rPr>
        <w:t>（2）电力平衡</w:t>
      </w:r>
    </w:p>
    <w:p>
      <w:pPr>
        <w:spacing w:line="360" w:lineRule="auto"/>
        <w:ind w:firstLine="640" w:firstLineChars="200"/>
      </w:pPr>
      <w:r>
        <w:rPr>
          <w:rFonts w:eastAsia="仿宋_GB2312"/>
          <w:sz w:val="32"/>
          <w:szCs w:val="32"/>
        </w:rPr>
        <w:t>根据电源</w:t>
      </w:r>
      <w:r>
        <w:rPr>
          <w:rFonts w:hint="eastAsia" w:eastAsia="仿宋_GB2312"/>
          <w:sz w:val="32"/>
          <w:szCs w:val="32"/>
        </w:rPr>
        <w:t>发展</w:t>
      </w:r>
      <w:r>
        <w:rPr>
          <w:rFonts w:eastAsia="仿宋_GB2312"/>
          <w:sz w:val="32"/>
          <w:szCs w:val="32"/>
        </w:rPr>
        <w:t>规划</w:t>
      </w:r>
      <w:r>
        <w:rPr>
          <w:rFonts w:hint="eastAsia" w:eastAsia="仿宋_GB2312"/>
          <w:sz w:val="32"/>
          <w:szCs w:val="32"/>
        </w:rPr>
        <w:t>与电力需求预测结果</w:t>
      </w:r>
      <w:r>
        <w:rPr>
          <w:rFonts w:eastAsia="仿宋_GB2312"/>
          <w:sz w:val="32"/>
          <w:szCs w:val="32"/>
        </w:rPr>
        <w:t>，2025年，枯大方式下电力</w:t>
      </w:r>
      <w:r>
        <w:rPr>
          <w:rFonts w:hint="eastAsia" w:eastAsia="仿宋_GB2312"/>
          <w:sz w:val="32"/>
          <w:szCs w:val="32"/>
        </w:rPr>
        <w:t>盈余</w:t>
      </w:r>
      <w:r>
        <w:rPr>
          <w:rFonts w:eastAsia="仿宋_GB2312"/>
          <w:sz w:val="32"/>
          <w:szCs w:val="32"/>
        </w:rPr>
        <w:t>约为</w:t>
      </w:r>
      <w:r>
        <w:rPr>
          <w:rFonts w:hint="eastAsia" w:eastAsia="仿宋_GB2312"/>
          <w:sz w:val="32"/>
          <w:szCs w:val="32"/>
        </w:rPr>
        <w:t>2</w:t>
      </w:r>
      <w:r>
        <w:rPr>
          <w:rFonts w:eastAsia="仿宋_GB2312"/>
          <w:sz w:val="32"/>
          <w:szCs w:val="32"/>
        </w:rPr>
        <w:t>20万千瓦；丰大方式下电力</w:t>
      </w:r>
      <w:r>
        <w:rPr>
          <w:rFonts w:hint="eastAsia" w:eastAsia="仿宋_GB2312"/>
          <w:sz w:val="32"/>
          <w:szCs w:val="32"/>
        </w:rPr>
        <w:t>盈余</w:t>
      </w:r>
      <w:r>
        <w:rPr>
          <w:rFonts w:eastAsia="仿宋_GB2312"/>
          <w:sz w:val="32"/>
          <w:szCs w:val="32"/>
        </w:rPr>
        <w:t>约为252万千瓦。</w:t>
      </w:r>
    </w:p>
    <w:p>
      <w:pPr>
        <w:pStyle w:val="27"/>
        <w:jc w:val="center"/>
        <w:rPr>
          <w:rFonts w:eastAsia="仿宋_GB2312"/>
          <w:sz w:val="21"/>
          <w:szCs w:val="20"/>
        </w:rPr>
      </w:pPr>
      <w:r>
        <w:rPr>
          <w:rFonts w:eastAsia="仿宋_GB2312"/>
          <w:sz w:val="21"/>
          <w:szCs w:val="20"/>
        </w:rPr>
        <w:t>表4-1：2025年电力平衡计算表单位：万千瓦</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7"/>
        <w:gridCol w:w="151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037" w:type="dxa"/>
            <w:shd w:val="clear" w:color="auto" w:fill="auto"/>
            <w:noWrap/>
            <w:vAlign w:val="center"/>
          </w:tcPr>
          <w:p>
            <w:pPr>
              <w:widowControl/>
              <w:jc w:val="center"/>
              <w:rPr>
                <w:rFonts w:eastAsia="仿宋_GB2312"/>
                <w:color w:val="000000"/>
                <w:kern w:val="0"/>
                <w:sz w:val="24"/>
              </w:rPr>
            </w:pPr>
            <w:r>
              <w:rPr>
                <w:rFonts w:eastAsia="仿宋_GB2312"/>
                <w:color w:val="000000"/>
                <w:kern w:val="0"/>
                <w:sz w:val="24"/>
              </w:rPr>
              <w:t>2025年</w:t>
            </w:r>
          </w:p>
        </w:tc>
        <w:tc>
          <w:tcPr>
            <w:tcW w:w="1510" w:type="dxa"/>
            <w:shd w:val="clear" w:color="auto" w:fill="auto"/>
            <w:noWrap/>
            <w:vAlign w:val="center"/>
          </w:tcPr>
          <w:p>
            <w:pPr>
              <w:widowControl/>
              <w:jc w:val="center"/>
              <w:rPr>
                <w:rFonts w:eastAsia="仿宋_GB2312"/>
                <w:color w:val="000000"/>
                <w:kern w:val="0"/>
                <w:sz w:val="24"/>
              </w:rPr>
            </w:pPr>
            <w:r>
              <w:rPr>
                <w:rFonts w:eastAsia="仿宋_GB2312"/>
                <w:color w:val="000000"/>
                <w:kern w:val="0"/>
                <w:sz w:val="24"/>
              </w:rPr>
              <w:t>枯大方式</w:t>
            </w:r>
          </w:p>
        </w:tc>
        <w:tc>
          <w:tcPr>
            <w:tcW w:w="1698" w:type="dxa"/>
            <w:vAlign w:val="center"/>
          </w:tcPr>
          <w:p>
            <w:pPr>
              <w:widowControl/>
              <w:jc w:val="center"/>
              <w:rPr>
                <w:rFonts w:eastAsia="仿宋_GB2312"/>
                <w:color w:val="000000"/>
                <w:kern w:val="0"/>
                <w:sz w:val="24"/>
              </w:rPr>
            </w:pPr>
            <w:r>
              <w:rPr>
                <w:rFonts w:eastAsia="仿宋_GB2312"/>
                <w:color w:val="000000"/>
                <w:kern w:val="0"/>
                <w:sz w:val="24"/>
              </w:rPr>
              <w:t>丰大方式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left"/>
              <w:rPr>
                <w:rFonts w:eastAsia="仿宋_GB2312"/>
                <w:color w:val="000000"/>
                <w:kern w:val="0"/>
                <w:sz w:val="24"/>
              </w:rPr>
            </w:pPr>
            <w:r>
              <w:rPr>
                <w:rFonts w:eastAsia="仿宋_GB2312"/>
                <w:color w:val="000000"/>
                <w:kern w:val="0"/>
                <w:sz w:val="24"/>
              </w:rPr>
              <w:t>一、系统总需求</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292 </w:t>
            </w:r>
          </w:p>
        </w:tc>
        <w:tc>
          <w:tcPr>
            <w:tcW w:w="1698" w:type="dxa"/>
            <w:vAlign w:val="center"/>
          </w:tcPr>
          <w:p>
            <w:pPr>
              <w:widowControl/>
              <w:jc w:val="center"/>
              <w:rPr>
                <w:rFonts w:eastAsia="仿宋_GB2312"/>
                <w:kern w:val="0"/>
              </w:rPr>
            </w:pPr>
            <w:r>
              <w:rPr>
                <w:rFonts w:hint="eastAsia" w:eastAsia="仿宋_GB2312"/>
                <w:kern w:val="0"/>
              </w:rPr>
              <w:t xml:space="preserve">261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（1）最大负荷</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254 </w:t>
            </w:r>
          </w:p>
        </w:tc>
        <w:tc>
          <w:tcPr>
            <w:tcW w:w="1698" w:type="dxa"/>
            <w:vAlign w:val="center"/>
          </w:tcPr>
          <w:p>
            <w:pPr>
              <w:widowControl/>
              <w:jc w:val="center"/>
              <w:rPr>
                <w:rFonts w:eastAsia="仿宋_GB2312"/>
                <w:kern w:val="0"/>
              </w:rPr>
            </w:pPr>
            <w:r>
              <w:rPr>
                <w:rFonts w:hint="eastAsia" w:eastAsia="仿宋_GB2312"/>
                <w:kern w:val="0"/>
              </w:rPr>
              <w:t xml:space="preserve">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（2）备用容量</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38 </w:t>
            </w:r>
          </w:p>
        </w:tc>
        <w:tc>
          <w:tcPr>
            <w:tcW w:w="1698" w:type="dxa"/>
            <w:vAlign w:val="center"/>
          </w:tcPr>
          <w:p>
            <w:pPr>
              <w:widowControl/>
              <w:jc w:val="center"/>
              <w:rPr>
                <w:rFonts w:eastAsia="仿宋_GB2312"/>
                <w:kern w:val="0"/>
              </w:rPr>
            </w:pPr>
            <w:r>
              <w:rPr>
                <w:rFonts w:hint="eastAsia" w:eastAsia="仿宋_GB2312"/>
                <w:kern w:val="0"/>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left"/>
              <w:rPr>
                <w:rFonts w:eastAsia="仿宋_GB2312"/>
                <w:color w:val="000000"/>
                <w:kern w:val="0"/>
                <w:sz w:val="24"/>
              </w:rPr>
            </w:pPr>
            <w:r>
              <w:rPr>
                <w:rFonts w:eastAsia="仿宋_GB2312"/>
                <w:color w:val="000000"/>
                <w:kern w:val="0"/>
                <w:sz w:val="24"/>
              </w:rPr>
              <w:t>二、电源装机</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576 </w:t>
            </w:r>
          </w:p>
        </w:tc>
        <w:tc>
          <w:tcPr>
            <w:tcW w:w="1698" w:type="dxa"/>
            <w:vAlign w:val="center"/>
          </w:tcPr>
          <w:p>
            <w:pPr>
              <w:widowControl/>
              <w:jc w:val="center"/>
              <w:rPr>
                <w:rFonts w:eastAsia="仿宋_GB2312"/>
                <w:kern w:val="0"/>
              </w:rPr>
            </w:pPr>
            <w:r>
              <w:rPr>
                <w:rFonts w:hint="eastAsia" w:eastAsia="仿宋_GB2312"/>
                <w:kern w:val="0"/>
              </w:rPr>
              <w:t xml:space="preserve">576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（1）火电</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386 </w:t>
            </w:r>
          </w:p>
        </w:tc>
        <w:tc>
          <w:tcPr>
            <w:tcW w:w="1698" w:type="dxa"/>
            <w:vAlign w:val="center"/>
          </w:tcPr>
          <w:p>
            <w:pPr>
              <w:widowControl/>
              <w:jc w:val="center"/>
              <w:rPr>
                <w:rFonts w:eastAsia="仿宋_GB2312"/>
                <w:kern w:val="0"/>
              </w:rPr>
            </w:pPr>
            <w:r>
              <w:rPr>
                <w:rFonts w:hint="eastAsia" w:eastAsia="仿宋_GB2312"/>
                <w:kern w:val="0"/>
              </w:rPr>
              <w:t xml:space="preserve">386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（2）水电</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5 </w:t>
            </w:r>
          </w:p>
        </w:tc>
        <w:tc>
          <w:tcPr>
            <w:tcW w:w="1698" w:type="dxa"/>
            <w:vAlign w:val="center"/>
          </w:tcPr>
          <w:p>
            <w:pPr>
              <w:widowControl/>
              <w:jc w:val="center"/>
              <w:rPr>
                <w:rFonts w:eastAsia="仿宋_GB2312"/>
                <w:kern w:val="0"/>
              </w:rPr>
            </w:pPr>
            <w:r>
              <w:rPr>
                <w:rFonts w:hint="eastAsia" w:eastAsia="仿宋_GB2312"/>
                <w:kern w:val="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（3）风电</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30 </w:t>
            </w:r>
          </w:p>
        </w:tc>
        <w:tc>
          <w:tcPr>
            <w:tcW w:w="1698" w:type="dxa"/>
            <w:vAlign w:val="center"/>
          </w:tcPr>
          <w:p>
            <w:pPr>
              <w:widowControl/>
              <w:jc w:val="center"/>
              <w:rPr>
                <w:rFonts w:eastAsia="仿宋_GB2312"/>
                <w:kern w:val="0"/>
              </w:rPr>
            </w:pPr>
            <w:r>
              <w:rPr>
                <w:rFonts w:hint="eastAsia" w:eastAsia="仿宋_GB2312"/>
                <w:kern w:val="0"/>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（4）光伏</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150 </w:t>
            </w:r>
          </w:p>
        </w:tc>
        <w:tc>
          <w:tcPr>
            <w:tcW w:w="1698" w:type="dxa"/>
            <w:vAlign w:val="center"/>
          </w:tcPr>
          <w:p>
            <w:pPr>
              <w:widowControl/>
              <w:jc w:val="center"/>
              <w:rPr>
                <w:rFonts w:eastAsia="仿宋_GB2312"/>
                <w:kern w:val="0"/>
              </w:rPr>
            </w:pPr>
            <w:r>
              <w:rPr>
                <w:rFonts w:hint="eastAsia" w:eastAsia="仿宋_GB2312"/>
                <w:kern w:val="0"/>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（5）生物质</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3 </w:t>
            </w:r>
          </w:p>
        </w:tc>
        <w:tc>
          <w:tcPr>
            <w:tcW w:w="1698" w:type="dxa"/>
            <w:vAlign w:val="center"/>
          </w:tcPr>
          <w:p>
            <w:pPr>
              <w:widowControl/>
              <w:jc w:val="center"/>
              <w:rPr>
                <w:rFonts w:eastAsia="仿宋_GB2312"/>
                <w:kern w:val="0"/>
              </w:rPr>
            </w:pPr>
            <w:r>
              <w:rPr>
                <w:rFonts w:hint="eastAsia" w:eastAsia="仿宋_GB2312"/>
                <w:kern w:val="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（6）</w:t>
            </w:r>
            <w:r>
              <w:rPr>
                <w:rFonts w:hint="eastAsia" w:eastAsia="仿宋_GB2312"/>
                <w:color w:val="000000"/>
                <w:kern w:val="0"/>
                <w:sz w:val="24"/>
              </w:rPr>
              <w:t>垃圾发电</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2 </w:t>
            </w:r>
          </w:p>
        </w:tc>
        <w:tc>
          <w:tcPr>
            <w:tcW w:w="1698" w:type="dxa"/>
            <w:vAlign w:val="center"/>
          </w:tcPr>
          <w:p>
            <w:pPr>
              <w:widowControl/>
              <w:jc w:val="center"/>
              <w:rPr>
                <w:rFonts w:eastAsia="仿宋_GB2312"/>
                <w:kern w:val="0"/>
              </w:rPr>
            </w:pPr>
            <w:r>
              <w:rPr>
                <w:rFonts w:hint="eastAsia" w:eastAsia="仿宋_GB2312"/>
                <w:kern w:val="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left"/>
              <w:rPr>
                <w:rFonts w:eastAsia="仿宋_GB2312"/>
                <w:color w:val="000000"/>
                <w:kern w:val="0"/>
                <w:sz w:val="24"/>
              </w:rPr>
            </w:pPr>
            <w:r>
              <w:rPr>
                <w:rFonts w:eastAsia="仿宋_GB2312"/>
                <w:color w:val="000000"/>
                <w:kern w:val="0"/>
                <w:sz w:val="24"/>
              </w:rPr>
              <w:t>三、可用出力</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512 </w:t>
            </w:r>
          </w:p>
        </w:tc>
        <w:tc>
          <w:tcPr>
            <w:tcW w:w="1698" w:type="dxa"/>
            <w:vAlign w:val="center"/>
          </w:tcPr>
          <w:p>
            <w:pPr>
              <w:widowControl/>
              <w:jc w:val="center"/>
              <w:rPr>
                <w:rFonts w:eastAsia="仿宋_GB2312"/>
                <w:kern w:val="0"/>
              </w:rPr>
            </w:pPr>
            <w:r>
              <w:rPr>
                <w:rFonts w:hint="eastAsia" w:eastAsia="仿宋_GB2312"/>
                <w:kern w:val="0"/>
              </w:rPr>
              <w:t xml:space="preserve">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（1）火电</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371 </w:t>
            </w:r>
          </w:p>
        </w:tc>
        <w:tc>
          <w:tcPr>
            <w:tcW w:w="1698" w:type="dxa"/>
            <w:vAlign w:val="center"/>
          </w:tcPr>
          <w:p>
            <w:pPr>
              <w:widowControl/>
              <w:jc w:val="center"/>
              <w:rPr>
                <w:rFonts w:eastAsia="仿宋_GB2312"/>
                <w:kern w:val="0"/>
              </w:rPr>
            </w:pPr>
            <w:r>
              <w:rPr>
                <w:rFonts w:hint="eastAsia" w:eastAsia="仿宋_GB2312"/>
                <w:kern w:val="0"/>
              </w:rPr>
              <w:t xml:space="preserve">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（2）水电</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1 </w:t>
            </w:r>
          </w:p>
        </w:tc>
        <w:tc>
          <w:tcPr>
            <w:tcW w:w="1698" w:type="dxa"/>
            <w:vAlign w:val="center"/>
          </w:tcPr>
          <w:p>
            <w:pPr>
              <w:widowControl/>
              <w:jc w:val="center"/>
              <w:rPr>
                <w:rFonts w:eastAsia="仿宋_GB2312"/>
                <w:kern w:val="0"/>
              </w:rPr>
            </w:pPr>
            <w:r>
              <w:rPr>
                <w:rFonts w:hint="eastAsia" w:eastAsia="仿宋_GB2312"/>
                <w:kern w:val="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（3）风电</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9 </w:t>
            </w:r>
          </w:p>
        </w:tc>
        <w:tc>
          <w:tcPr>
            <w:tcW w:w="1698" w:type="dxa"/>
            <w:vAlign w:val="center"/>
          </w:tcPr>
          <w:p>
            <w:pPr>
              <w:widowControl/>
              <w:jc w:val="center"/>
              <w:rPr>
                <w:rFonts w:eastAsia="仿宋_GB2312"/>
                <w:kern w:val="0"/>
              </w:rPr>
            </w:pPr>
            <w:r>
              <w:rPr>
                <w:rFonts w:hint="eastAsia" w:eastAsia="仿宋_GB2312"/>
                <w:kern w:val="0"/>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（4）光伏</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128 </w:t>
            </w:r>
          </w:p>
        </w:tc>
        <w:tc>
          <w:tcPr>
            <w:tcW w:w="1698" w:type="dxa"/>
            <w:vAlign w:val="center"/>
          </w:tcPr>
          <w:p>
            <w:pPr>
              <w:widowControl/>
              <w:jc w:val="center"/>
              <w:rPr>
                <w:rFonts w:eastAsia="仿宋_GB2312"/>
                <w:kern w:val="0"/>
              </w:rPr>
            </w:pPr>
            <w:r>
              <w:rPr>
                <w:rFonts w:hint="eastAsia" w:eastAsia="仿宋_GB2312"/>
                <w:kern w:val="0"/>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（5）生物质</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3 </w:t>
            </w:r>
          </w:p>
        </w:tc>
        <w:tc>
          <w:tcPr>
            <w:tcW w:w="1698" w:type="dxa"/>
            <w:vAlign w:val="center"/>
          </w:tcPr>
          <w:p>
            <w:pPr>
              <w:widowControl/>
              <w:jc w:val="center"/>
              <w:rPr>
                <w:rFonts w:eastAsia="仿宋_GB2312"/>
                <w:kern w:val="0"/>
              </w:rPr>
            </w:pPr>
            <w:r>
              <w:rPr>
                <w:rFonts w:hint="eastAsia" w:eastAsia="仿宋_GB2312"/>
                <w:kern w:val="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right"/>
              <w:rPr>
                <w:rFonts w:eastAsia="仿宋_GB2312"/>
                <w:color w:val="000000"/>
                <w:kern w:val="0"/>
                <w:sz w:val="24"/>
              </w:rPr>
            </w:pPr>
            <w:r>
              <w:rPr>
                <w:rFonts w:eastAsia="仿宋_GB2312"/>
                <w:color w:val="000000"/>
                <w:kern w:val="0"/>
                <w:sz w:val="24"/>
              </w:rPr>
              <w:t>（6）</w:t>
            </w:r>
            <w:r>
              <w:rPr>
                <w:rFonts w:hint="eastAsia" w:eastAsia="仿宋_GB2312"/>
                <w:color w:val="000000"/>
                <w:kern w:val="0"/>
                <w:sz w:val="24"/>
              </w:rPr>
              <w:t>垃圾发电</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2 </w:t>
            </w:r>
          </w:p>
        </w:tc>
        <w:tc>
          <w:tcPr>
            <w:tcW w:w="1698" w:type="dxa"/>
            <w:vAlign w:val="center"/>
          </w:tcPr>
          <w:p>
            <w:pPr>
              <w:widowControl/>
              <w:jc w:val="center"/>
              <w:rPr>
                <w:rFonts w:eastAsia="仿宋_GB2312"/>
                <w:kern w:val="0"/>
              </w:rPr>
            </w:pPr>
            <w:r>
              <w:rPr>
                <w:rFonts w:hint="eastAsia" w:eastAsia="仿宋_GB2312"/>
                <w:kern w:val="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7" w:type="dxa"/>
            <w:shd w:val="clear" w:color="auto" w:fill="auto"/>
            <w:noWrap/>
            <w:vAlign w:val="center"/>
          </w:tcPr>
          <w:p>
            <w:pPr>
              <w:widowControl/>
              <w:jc w:val="left"/>
              <w:rPr>
                <w:rFonts w:eastAsia="仿宋_GB2312"/>
                <w:color w:val="000000"/>
                <w:kern w:val="0"/>
                <w:sz w:val="24"/>
              </w:rPr>
            </w:pPr>
            <w:r>
              <w:rPr>
                <w:rFonts w:eastAsia="仿宋_GB2312"/>
                <w:color w:val="000000"/>
                <w:kern w:val="0"/>
                <w:sz w:val="24"/>
              </w:rPr>
              <w:t>四、电力盈亏</w:t>
            </w:r>
          </w:p>
        </w:tc>
        <w:tc>
          <w:tcPr>
            <w:tcW w:w="1510" w:type="dxa"/>
            <w:shd w:val="clear" w:color="auto" w:fill="auto"/>
            <w:noWrap/>
            <w:vAlign w:val="center"/>
          </w:tcPr>
          <w:p>
            <w:pPr>
              <w:widowControl/>
              <w:jc w:val="center"/>
              <w:rPr>
                <w:rFonts w:eastAsia="仿宋_GB2312"/>
                <w:kern w:val="0"/>
              </w:rPr>
            </w:pPr>
            <w:r>
              <w:rPr>
                <w:rFonts w:hint="eastAsia" w:eastAsia="仿宋_GB2312"/>
                <w:kern w:val="0"/>
              </w:rPr>
              <w:t xml:space="preserve">220 </w:t>
            </w:r>
          </w:p>
        </w:tc>
        <w:tc>
          <w:tcPr>
            <w:tcW w:w="1698" w:type="dxa"/>
            <w:vAlign w:val="center"/>
          </w:tcPr>
          <w:p>
            <w:pPr>
              <w:widowControl/>
              <w:jc w:val="center"/>
              <w:rPr>
                <w:rFonts w:eastAsia="仿宋_GB2312"/>
                <w:kern w:val="0"/>
              </w:rPr>
            </w:pPr>
            <w:r>
              <w:rPr>
                <w:rFonts w:hint="eastAsia" w:eastAsia="仿宋_GB2312"/>
                <w:kern w:val="0"/>
              </w:rPr>
              <w:t xml:space="preserve">252 </w:t>
            </w:r>
          </w:p>
        </w:tc>
      </w:tr>
    </w:tbl>
    <w:p>
      <w:pPr>
        <w:spacing w:line="360" w:lineRule="auto"/>
        <w:ind w:firstLine="640" w:firstLineChars="200"/>
        <w:rPr>
          <w:rFonts w:eastAsia="仿宋_GB2312"/>
          <w:sz w:val="32"/>
          <w:szCs w:val="32"/>
        </w:rPr>
      </w:pPr>
      <w:r>
        <w:rPr>
          <w:rFonts w:eastAsia="仿宋_GB2312"/>
          <w:sz w:val="32"/>
          <w:szCs w:val="32"/>
        </w:rPr>
        <w:t>（3）电量平衡</w:t>
      </w:r>
    </w:p>
    <w:p>
      <w:pPr>
        <w:spacing w:line="360" w:lineRule="auto"/>
        <w:ind w:firstLine="640" w:firstLineChars="200"/>
        <w:rPr>
          <w:rFonts w:eastAsia="仿宋_GB2312"/>
          <w:sz w:val="32"/>
          <w:szCs w:val="32"/>
        </w:rPr>
      </w:pPr>
      <w:r>
        <w:rPr>
          <w:rFonts w:eastAsia="仿宋_GB2312"/>
          <w:sz w:val="32"/>
          <w:szCs w:val="32"/>
        </w:rPr>
        <w:t>按规划装机容量，到2025年，电量</w:t>
      </w:r>
      <w:r>
        <w:rPr>
          <w:rFonts w:hint="eastAsia" w:eastAsia="仿宋_GB2312"/>
          <w:sz w:val="32"/>
          <w:szCs w:val="32"/>
        </w:rPr>
        <w:t>盈余</w:t>
      </w:r>
      <w:r>
        <w:rPr>
          <w:rFonts w:eastAsia="仿宋_GB2312"/>
          <w:sz w:val="32"/>
          <w:szCs w:val="32"/>
        </w:rPr>
        <w:t>约102.4亿千瓦时，电源装机能够满足经济社会发展用电量需求。</w:t>
      </w:r>
    </w:p>
    <w:p>
      <w:pPr>
        <w:pStyle w:val="27"/>
        <w:jc w:val="center"/>
        <w:rPr>
          <w:rFonts w:eastAsia="仿宋_GB2312"/>
          <w:sz w:val="21"/>
          <w:szCs w:val="20"/>
        </w:rPr>
      </w:pPr>
      <w:r>
        <w:rPr>
          <w:rFonts w:eastAsia="仿宋_GB2312"/>
          <w:sz w:val="21"/>
          <w:szCs w:val="20"/>
        </w:rPr>
        <w:t>表4-2：2025年电量平衡计算表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0"/>
        <w:gridCol w:w="2192"/>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429" w:type="pct"/>
            <w:shd w:val="clear" w:color="auto" w:fill="auto"/>
            <w:noWrap/>
            <w:vAlign w:val="center"/>
          </w:tcPr>
          <w:p>
            <w:pPr>
              <w:widowControl/>
              <w:jc w:val="center"/>
              <w:rPr>
                <w:rFonts w:eastAsia="仿宋_GB2312"/>
                <w:color w:val="000000"/>
                <w:kern w:val="0"/>
              </w:rPr>
            </w:pPr>
            <w:r>
              <w:rPr>
                <w:rFonts w:eastAsia="仿宋_GB2312"/>
                <w:color w:val="000000"/>
                <w:kern w:val="0"/>
              </w:rPr>
              <w:t>项目</w:t>
            </w:r>
          </w:p>
        </w:tc>
        <w:tc>
          <w:tcPr>
            <w:tcW w:w="1286" w:type="pct"/>
            <w:shd w:val="clear" w:color="auto" w:fill="auto"/>
            <w:noWrap/>
            <w:vAlign w:val="center"/>
          </w:tcPr>
          <w:p>
            <w:pPr>
              <w:widowControl/>
              <w:jc w:val="center"/>
              <w:rPr>
                <w:rFonts w:eastAsia="仿宋_GB2312"/>
                <w:color w:val="000000"/>
                <w:kern w:val="0"/>
              </w:rPr>
            </w:pPr>
            <w:r>
              <w:rPr>
                <w:rFonts w:eastAsia="仿宋_GB2312"/>
                <w:color w:val="000000"/>
                <w:kern w:val="0"/>
              </w:rPr>
              <w:t>装机容量</w:t>
            </w:r>
            <w:r>
              <w:rPr>
                <w:rFonts w:eastAsia="仿宋_GB2312"/>
                <w:kern w:val="0"/>
              </w:rPr>
              <w:t>（万千瓦）</w:t>
            </w:r>
          </w:p>
        </w:tc>
        <w:tc>
          <w:tcPr>
            <w:tcW w:w="1285" w:type="pct"/>
            <w:shd w:val="clear" w:color="auto" w:fill="auto"/>
            <w:noWrap/>
            <w:vAlign w:val="center"/>
          </w:tcPr>
          <w:p>
            <w:pPr>
              <w:widowControl/>
              <w:jc w:val="center"/>
              <w:rPr>
                <w:rFonts w:eastAsia="仿宋_GB2312"/>
                <w:color w:val="000000"/>
                <w:kern w:val="0"/>
              </w:rPr>
            </w:pPr>
            <w:r>
              <w:rPr>
                <w:rFonts w:eastAsia="仿宋_GB2312"/>
                <w:color w:val="000000"/>
                <w:kern w:val="0"/>
              </w:rPr>
              <w:t>发电量</w:t>
            </w:r>
            <w:r>
              <w:rPr>
                <w:rFonts w:eastAsia="仿宋_GB2312"/>
                <w:kern w:val="0"/>
              </w:rPr>
              <w:t>（亿千瓦时）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9" w:type="pct"/>
            <w:shd w:val="clear" w:color="auto" w:fill="auto"/>
            <w:noWrap/>
            <w:vAlign w:val="center"/>
          </w:tcPr>
          <w:p>
            <w:pPr>
              <w:widowControl/>
              <w:jc w:val="left"/>
              <w:rPr>
                <w:rFonts w:eastAsia="仿宋_GB2312"/>
                <w:color w:val="000000"/>
                <w:kern w:val="0"/>
              </w:rPr>
            </w:pPr>
            <w:r>
              <w:rPr>
                <w:rFonts w:eastAsia="仿宋_GB2312"/>
                <w:color w:val="000000"/>
                <w:kern w:val="0"/>
              </w:rPr>
              <w:t>一、全社会用电量</w:t>
            </w:r>
          </w:p>
        </w:tc>
        <w:tc>
          <w:tcPr>
            <w:tcW w:w="1286" w:type="pct"/>
            <w:shd w:val="clear" w:color="auto" w:fill="auto"/>
            <w:noWrap/>
          </w:tcPr>
          <w:p>
            <w:pPr>
              <w:jc w:val="center"/>
              <w:rPr>
                <w:rFonts w:eastAsia="等线"/>
                <w:color w:val="000000"/>
                <w:szCs w:val="21"/>
              </w:rPr>
            </w:pPr>
            <w:r>
              <w:rPr>
                <w:rFonts w:hint="eastAsia" w:eastAsia="等线"/>
                <w:color w:val="000000"/>
                <w:szCs w:val="21"/>
              </w:rPr>
              <w:t>　</w:t>
            </w:r>
          </w:p>
        </w:tc>
        <w:tc>
          <w:tcPr>
            <w:tcW w:w="1285" w:type="pct"/>
            <w:shd w:val="clear" w:color="auto" w:fill="auto"/>
            <w:noWrap/>
            <w:vAlign w:val="center"/>
          </w:tcPr>
          <w:p>
            <w:pPr>
              <w:jc w:val="center"/>
              <w:rPr>
                <w:rFonts w:eastAsia="等线"/>
                <w:color w:val="000000"/>
                <w:szCs w:val="21"/>
              </w:rPr>
            </w:pPr>
            <w:r>
              <w:rPr>
                <w:rFonts w:eastAsia="等线"/>
                <w:color w:val="000000"/>
                <w:szCs w:val="21"/>
              </w:rPr>
              <w:t xml:space="preserve">115.4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9" w:type="pct"/>
            <w:shd w:val="clear" w:color="auto" w:fill="auto"/>
            <w:noWrap/>
            <w:vAlign w:val="center"/>
          </w:tcPr>
          <w:p>
            <w:pPr>
              <w:widowControl/>
              <w:jc w:val="left"/>
              <w:rPr>
                <w:rFonts w:eastAsia="仿宋_GB2312"/>
                <w:color w:val="000000"/>
                <w:kern w:val="0"/>
              </w:rPr>
            </w:pPr>
            <w:r>
              <w:rPr>
                <w:rFonts w:eastAsia="仿宋_GB2312"/>
                <w:color w:val="000000"/>
                <w:kern w:val="0"/>
              </w:rPr>
              <w:t>二、发电量</w:t>
            </w:r>
          </w:p>
        </w:tc>
        <w:tc>
          <w:tcPr>
            <w:tcW w:w="1286" w:type="pct"/>
            <w:shd w:val="clear" w:color="auto" w:fill="auto"/>
            <w:noWrap/>
            <w:vAlign w:val="center"/>
          </w:tcPr>
          <w:p>
            <w:pPr>
              <w:jc w:val="center"/>
              <w:rPr>
                <w:rFonts w:eastAsia="等线"/>
                <w:color w:val="000000"/>
                <w:szCs w:val="21"/>
              </w:rPr>
            </w:pPr>
            <w:r>
              <w:rPr>
                <w:rFonts w:eastAsia="等线"/>
                <w:color w:val="000000"/>
                <w:szCs w:val="21"/>
              </w:rPr>
              <w:t>576.2</w:t>
            </w:r>
          </w:p>
        </w:tc>
        <w:tc>
          <w:tcPr>
            <w:tcW w:w="1285" w:type="pct"/>
            <w:shd w:val="clear" w:color="auto" w:fill="auto"/>
            <w:noWrap/>
            <w:vAlign w:val="center"/>
          </w:tcPr>
          <w:p>
            <w:pPr>
              <w:jc w:val="center"/>
              <w:rPr>
                <w:rFonts w:eastAsia="等线"/>
                <w:color w:val="000000"/>
                <w:szCs w:val="21"/>
              </w:rPr>
            </w:pPr>
            <w:r>
              <w:rPr>
                <w:rFonts w:eastAsia="等线"/>
                <w:color w:val="000000"/>
                <w:szCs w:val="21"/>
              </w:rPr>
              <w:t>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9" w:type="pct"/>
            <w:shd w:val="clear" w:color="auto" w:fill="auto"/>
            <w:noWrap/>
            <w:vAlign w:val="center"/>
          </w:tcPr>
          <w:p>
            <w:pPr>
              <w:widowControl/>
              <w:jc w:val="right"/>
              <w:rPr>
                <w:rFonts w:eastAsia="仿宋_GB2312"/>
                <w:color w:val="000000"/>
                <w:kern w:val="0"/>
              </w:rPr>
            </w:pPr>
            <w:r>
              <w:rPr>
                <w:rFonts w:eastAsia="仿宋_GB2312"/>
                <w:color w:val="000000"/>
                <w:kern w:val="0"/>
              </w:rPr>
              <w:t>其中：火电</w:t>
            </w:r>
          </w:p>
        </w:tc>
        <w:tc>
          <w:tcPr>
            <w:tcW w:w="1286" w:type="pct"/>
            <w:shd w:val="clear" w:color="auto" w:fill="auto"/>
            <w:noWrap/>
            <w:vAlign w:val="center"/>
          </w:tcPr>
          <w:p>
            <w:pPr>
              <w:jc w:val="center"/>
              <w:rPr>
                <w:rFonts w:eastAsia="等线"/>
                <w:color w:val="000000"/>
                <w:szCs w:val="21"/>
              </w:rPr>
            </w:pPr>
            <w:r>
              <w:rPr>
                <w:rFonts w:hint="eastAsia" w:eastAsia="等线"/>
                <w:color w:val="000000"/>
                <w:szCs w:val="21"/>
              </w:rPr>
              <w:t xml:space="preserve">386 </w:t>
            </w:r>
          </w:p>
        </w:tc>
        <w:tc>
          <w:tcPr>
            <w:tcW w:w="1285" w:type="pct"/>
            <w:shd w:val="clear" w:color="auto" w:fill="auto"/>
            <w:noWrap/>
            <w:vAlign w:val="center"/>
          </w:tcPr>
          <w:p>
            <w:pPr>
              <w:jc w:val="center"/>
              <w:rPr>
                <w:rFonts w:eastAsia="等线"/>
                <w:color w:val="000000"/>
                <w:szCs w:val="21"/>
              </w:rPr>
            </w:pPr>
            <w:r>
              <w:rPr>
                <w:rFonts w:eastAsia="等线"/>
                <w:color w:val="000000"/>
                <w:szCs w:val="21"/>
              </w:rPr>
              <w:t xml:space="preserve">193.0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9" w:type="pct"/>
            <w:shd w:val="clear" w:color="auto" w:fill="auto"/>
            <w:noWrap/>
            <w:vAlign w:val="center"/>
          </w:tcPr>
          <w:p>
            <w:pPr>
              <w:widowControl/>
              <w:jc w:val="right"/>
              <w:rPr>
                <w:rFonts w:eastAsia="仿宋_GB2312"/>
                <w:color w:val="000000"/>
                <w:kern w:val="0"/>
              </w:rPr>
            </w:pPr>
            <w:r>
              <w:rPr>
                <w:rFonts w:eastAsia="仿宋_GB2312"/>
                <w:color w:val="000000"/>
                <w:kern w:val="0"/>
              </w:rPr>
              <w:t>水电</w:t>
            </w:r>
          </w:p>
        </w:tc>
        <w:tc>
          <w:tcPr>
            <w:tcW w:w="1286" w:type="pct"/>
            <w:shd w:val="clear" w:color="auto" w:fill="auto"/>
            <w:noWrap/>
            <w:vAlign w:val="center"/>
          </w:tcPr>
          <w:p>
            <w:pPr>
              <w:jc w:val="center"/>
              <w:rPr>
                <w:rFonts w:eastAsia="等线"/>
                <w:color w:val="000000"/>
                <w:szCs w:val="21"/>
              </w:rPr>
            </w:pPr>
            <w:r>
              <w:rPr>
                <w:rFonts w:eastAsia="等线"/>
                <w:color w:val="000000"/>
                <w:szCs w:val="21"/>
              </w:rPr>
              <w:t>5.1</w:t>
            </w:r>
          </w:p>
        </w:tc>
        <w:tc>
          <w:tcPr>
            <w:tcW w:w="1285" w:type="pct"/>
            <w:shd w:val="clear" w:color="auto" w:fill="auto"/>
            <w:noWrap/>
            <w:vAlign w:val="center"/>
          </w:tcPr>
          <w:p>
            <w:pPr>
              <w:jc w:val="center"/>
              <w:rPr>
                <w:rFonts w:eastAsia="等线"/>
                <w:color w:val="000000"/>
                <w:szCs w:val="21"/>
              </w:rPr>
            </w:pPr>
            <w:r>
              <w:rPr>
                <w:rFonts w:eastAsia="等线"/>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9" w:type="pct"/>
            <w:shd w:val="clear" w:color="auto" w:fill="auto"/>
            <w:noWrap/>
            <w:vAlign w:val="center"/>
          </w:tcPr>
          <w:p>
            <w:pPr>
              <w:widowControl/>
              <w:jc w:val="right"/>
              <w:rPr>
                <w:rFonts w:eastAsia="仿宋_GB2312"/>
                <w:color w:val="000000"/>
                <w:kern w:val="0"/>
              </w:rPr>
            </w:pPr>
            <w:r>
              <w:rPr>
                <w:rFonts w:eastAsia="仿宋_GB2312"/>
                <w:color w:val="000000"/>
                <w:kern w:val="0"/>
              </w:rPr>
              <w:t>风电</w:t>
            </w:r>
          </w:p>
        </w:tc>
        <w:tc>
          <w:tcPr>
            <w:tcW w:w="1286" w:type="pct"/>
            <w:shd w:val="clear" w:color="auto" w:fill="auto"/>
            <w:noWrap/>
            <w:vAlign w:val="center"/>
          </w:tcPr>
          <w:p>
            <w:pPr>
              <w:jc w:val="center"/>
              <w:rPr>
                <w:rFonts w:eastAsia="等线"/>
                <w:color w:val="000000"/>
                <w:szCs w:val="21"/>
              </w:rPr>
            </w:pPr>
            <w:r>
              <w:rPr>
                <w:rFonts w:eastAsia="等线"/>
                <w:color w:val="000000"/>
                <w:szCs w:val="21"/>
              </w:rPr>
              <w:t>30</w:t>
            </w:r>
          </w:p>
        </w:tc>
        <w:tc>
          <w:tcPr>
            <w:tcW w:w="1285" w:type="pct"/>
            <w:shd w:val="clear" w:color="auto" w:fill="auto"/>
            <w:noWrap/>
            <w:vAlign w:val="center"/>
          </w:tcPr>
          <w:p>
            <w:pPr>
              <w:jc w:val="center"/>
              <w:rPr>
                <w:rFonts w:eastAsia="等线"/>
                <w:color w:val="000000"/>
                <w:szCs w:val="21"/>
              </w:rPr>
            </w:pPr>
            <w:r>
              <w:rPr>
                <w:rFonts w:eastAsia="等线"/>
                <w:color w:val="000000"/>
                <w:szCs w:val="21"/>
              </w:rPr>
              <w:t>4.8</w:t>
            </w:r>
            <w:r>
              <w:rPr>
                <w:rFonts w:hint="eastAsia" w:eastAsia="等线"/>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9" w:type="pct"/>
            <w:shd w:val="clear" w:color="auto" w:fill="auto"/>
            <w:noWrap/>
            <w:vAlign w:val="center"/>
          </w:tcPr>
          <w:p>
            <w:pPr>
              <w:widowControl/>
              <w:jc w:val="right"/>
              <w:rPr>
                <w:rFonts w:eastAsia="仿宋_GB2312"/>
                <w:color w:val="000000"/>
                <w:kern w:val="0"/>
              </w:rPr>
            </w:pPr>
            <w:r>
              <w:rPr>
                <w:rFonts w:eastAsia="仿宋_GB2312"/>
                <w:color w:val="000000"/>
                <w:kern w:val="0"/>
              </w:rPr>
              <w:t>光伏</w:t>
            </w:r>
          </w:p>
        </w:tc>
        <w:tc>
          <w:tcPr>
            <w:tcW w:w="1286" w:type="pct"/>
            <w:shd w:val="clear" w:color="auto" w:fill="auto"/>
            <w:noWrap/>
            <w:vAlign w:val="center"/>
          </w:tcPr>
          <w:p>
            <w:pPr>
              <w:jc w:val="center"/>
              <w:rPr>
                <w:rFonts w:eastAsia="等线"/>
                <w:color w:val="000000"/>
                <w:szCs w:val="21"/>
              </w:rPr>
            </w:pPr>
            <w:r>
              <w:rPr>
                <w:rFonts w:eastAsia="等线"/>
                <w:color w:val="000000"/>
                <w:szCs w:val="21"/>
              </w:rPr>
              <w:t>150</w:t>
            </w:r>
          </w:p>
        </w:tc>
        <w:tc>
          <w:tcPr>
            <w:tcW w:w="1285" w:type="pct"/>
            <w:shd w:val="clear" w:color="auto" w:fill="auto"/>
            <w:noWrap/>
            <w:vAlign w:val="center"/>
          </w:tcPr>
          <w:p>
            <w:pPr>
              <w:jc w:val="center"/>
              <w:rPr>
                <w:rFonts w:eastAsia="等线"/>
                <w:color w:val="000000"/>
                <w:szCs w:val="21"/>
              </w:rPr>
            </w:pPr>
            <w:r>
              <w:rPr>
                <w:rFonts w:eastAsia="等线"/>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9" w:type="pct"/>
            <w:shd w:val="clear" w:color="auto" w:fill="auto"/>
            <w:noWrap/>
            <w:vAlign w:val="center"/>
          </w:tcPr>
          <w:p>
            <w:pPr>
              <w:widowControl/>
              <w:jc w:val="right"/>
              <w:rPr>
                <w:rFonts w:eastAsia="仿宋_GB2312"/>
                <w:color w:val="000000"/>
                <w:kern w:val="0"/>
              </w:rPr>
            </w:pPr>
            <w:r>
              <w:rPr>
                <w:rFonts w:eastAsia="仿宋_GB2312"/>
                <w:color w:val="000000"/>
                <w:kern w:val="0"/>
              </w:rPr>
              <w:t>生物质</w:t>
            </w:r>
          </w:p>
        </w:tc>
        <w:tc>
          <w:tcPr>
            <w:tcW w:w="1286" w:type="pct"/>
            <w:shd w:val="clear" w:color="auto" w:fill="auto"/>
            <w:noWrap/>
            <w:vAlign w:val="center"/>
          </w:tcPr>
          <w:p>
            <w:pPr>
              <w:jc w:val="center"/>
              <w:rPr>
                <w:rFonts w:eastAsia="等线"/>
                <w:color w:val="000000"/>
                <w:szCs w:val="21"/>
              </w:rPr>
            </w:pPr>
            <w:r>
              <w:rPr>
                <w:rFonts w:hint="eastAsia" w:eastAsia="等线"/>
                <w:color w:val="000000"/>
                <w:szCs w:val="21"/>
              </w:rPr>
              <w:t>3</w:t>
            </w:r>
            <w:r>
              <w:rPr>
                <w:rFonts w:eastAsia="等线"/>
                <w:color w:val="000000"/>
                <w:szCs w:val="21"/>
              </w:rPr>
              <w:t>.3</w:t>
            </w:r>
          </w:p>
        </w:tc>
        <w:tc>
          <w:tcPr>
            <w:tcW w:w="1285" w:type="pct"/>
            <w:shd w:val="clear" w:color="auto" w:fill="auto"/>
            <w:noWrap/>
            <w:vAlign w:val="center"/>
          </w:tcPr>
          <w:p>
            <w:pPr>
              <w:jc w:val="center"/>
              <w:rPr>
                <w:rFonts w:eastAsia="等线"/>
                <w:color w:val="000000"/>
                <w:szCs w:val="21"/>
              </w:rPr>
            </w:pPr>
            <w:r>
              <w:rPr>
                <w:rFonts w:eastAsia="等线"/>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9" w:type="pct"/>
            <w:shd w:val="clear" w:color="auto" w:fill="auto"/>
            <w:noWrap/>
            <w:vAlign w:val="center"/>
          </w:tcPr>
          <w:p>
            <w:pPr>
              <w:widowControl/>
              <w:jc w:val="right"/>
              <w:rPr>
                <w:rFonts w:eastAsia="仿宋_GB2312"/>
                <w:color w:val="000000"/>
                <w:kern w:val="0"/>
              </w:rPr>
            </w:pPr>
            <w:r>
              <w:rPr>
                <w:rFonts w:eastAsia="仿宋_GB2312"/>
                <w:color w:val="000000"/>
                <w:kern w:val="0"/>
              </w:rPr>
              <w:t>垃圾发电</w:t>
            </w:r>
          </w:p>
        </w:tc>
        <w:tc>
          <w:tcPr>
            <w:tcW w:w="1286" w:type="pct"/>
            <w:shd w:val="clear" w:color="auto" w:fill="auto"/>
            <w:noWrap/>
            <w:vAlign w:val="center"/>
          </w:tcPr>
          <w:p>
            <w:pPr>
              <w:jc w:val="center"/>
              <w:rPr>
                <w:rFonts w:eastAsia="等线"/>
                <w:color w:val="000000"/>
                <w:szCs w:val="21"/>
              </w:rPr>
            </w:pPr>
            <w:r>
              <w:rPr>
                <w:rFonts w:eastAsia="等线"/>
                <w:color w:val="000000"/>
                <w:szCs w:val="21"/>
              </w:rPr>
              <w:t>1.8</w:t>
            </w:r>
          </w:p>
        </w:tc>
        <w:tc>
          <w:tcPr>
            <w:tcW w:w="1285" w:type="pct"/>
            <w:shd w:val="clear" w:color="auto" w:fill="auto"/>
            <w:noWrap/>
            <w:vAlign w:val="center"/>
          </w:tcPr>
          <w:p>
            <w:pPr>
              <w:jc w:val="center"/>
              <w:rPr>
                <w:rFonts w:eastAsia="等线"/>
                <w:color w:val="000000"/>
                <w:szCs w:val="21"/>
              </w:rPr>
            </w:pPr>
            <w:r>
              <w:rPr>
                <w:rFonts w:eastAsia="等线"/>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9" w:type="pct"/>
            <w:shd w:val="clear" w:color="auto" w:fill="auto"/>
            <w:noWrap/>
            <w:vAlign w:val="center"/>
          </w:tcPr>
          <w:p>
            <w:pPr>
              <w:widowControl/>
              <w:jc w:val="left"/>
              <w:rPr>
                <w:rFonts w:eastAsia="仿宋_GB2312"/>
                <w:color w:val="000000"/>
                <w:kern w:val="0"/>
              </w:rPr>
            </w:pPr>
            <w:r>
              <w:rPr>
                <w:rFonts w:eastAsia="仿宋_GB2312"/>
                <w:color w:val="000000"/>
                <w:kern w:val="0"/>
              </w:rPr>
              <w:t>三、电量盈亏</w:t>
            </w:r>
          </w:p>
        </w:tc>
        <w:tc>
          <w:tcPr>
            <w:tcW w:w="1286" w:type="pct"/>
            <w:shd w:val="clear" w:color="auto" w:fill="auto"/>
            <w:noWrap/>
          </w:tcPr>
          <w:p>
            <w:pPr>
              <w:jc w:val="center"/>
              <w:rPr>
                <w:rFonts w:eastAsia="等线"/>
                <w:color w:val="000000"/>
                <w:szCs w:val="21"/>
              </w:rPr>
            </w:pPr>
            <w:r>
              <w:rPr>
                <w:rFonts w:hint="eastAsia" w:eastAsia="等线"/>
                <w:color w:val="000000"/>
                <w:szCs w:val="21"/>
              </w:rPr>
              <w:t>　</w:t>
            </w:r>
          </w:p>
        </w:tc>
        <w:tc>
          <w:tcPr>
            <w:tcW w:w="1285" w:type="pct"/>
            <w:shd w:val="clear" w:color="auto" w:fill="auto"/>
            <w:noWrap/>
            <w:vAlign w:val="center"/>
          </w:tcPr>
          <w:p>
            <w:pPr>
              <w:jc w:val="center"/>
              <w:rPr>
                <w:rFonts w:eastAsia="等线"/>
                <w:color w:val="000000"/>
                <w:szCs w:val="21"/>
              </w:rPr>
            </w:pPr>
            <w:r>
              <w:rPr>
                <w:rFonts w:eastAsia="等线"/>
                <w:color w:val="000000"/>
                <w:szCs w:val="21"/>
              </w:rPr>
              <w:t>102.4</w:t>
            </w:r>
          </w:p>
        </w:tc>
      </w:tr>
    </w:tbl>
    <w:p>
      <w:pPr>
        <w:pStyle w:val="27"/>
        <w:ind w:firstLine="560"/>
      </w:pPr>
    </w:p>
    <w:p>
      <w:pPr>
        <w:keepNext/>
        <w:keepLines/>
        <w:spacing w:line="360" w:lineRule="auto"/>
        <w:ind w:firstLine="643" w:firstLineChars="200"/>
        <w:outlineLvl w:val="2"/>
        <w:rPr>
          <w:rFonts w:eastAsia="仿宋_GB2312"/>
          <w:b/>
          <w:bCs/>
          <w:sz w:val="32"/>
          <w:szCs w:val="32"/>
        </w:rPr>
      </w:pPr>
      <w:bookmarkStart w:id="110" w:name="_Toc466404532"/>
      <w:bookmarkStart w:id="111" w:name="_Toc458611623"/>
      <w:bookmarkStart w:id="112" w:name="_Toc458546375"/>
      <w:bookmarkStart w:id="113" w:name="_Toc455605480"/>
      <w:bookmarkStart w:id="114" w:name="_Toc466387306"/>
      <w:bookmarkStart w:id="115" w:name="_Toc459296363"/>
      <w:bookmarkStart w:id="116" w:name="_Toc66178707"/>
      <w:bookmarkStart w:id="117" w:name="_Toc466532734"/>
      <w:bookmarkStart w:id="118" w:name="_Toc58335383"/>
      <w:bookmarkStart w:id="119" w:name="_Toc66178643"/>
      <w:r>
        <w:rPr>
          <w:rFonts w:eastAsia="仿宋_GB2312"/>
          <w:b/>
          <w:bCs/>
          <w:sz w:val="32"/>
          <w:szCs w:val="32"/>
        </w:rPr>
        <w:t>（二）能源供需分析</w:t>
      </w:r>
      <w:bookmarkEnd w:id="110"/>
      <w:bookmarkEnd w:id="111"/>
      <w:bookmarkEnd w:id="112"/>
      <w:bookmarkEnd w:id="113"/>
      <w:bookmarkEnd w:id="114"/>
      <w:bookmarkEnd w:id="115"/>
      <w:bookmarkEnd w:id="116"/>
      <w:bookmarkEnd w:id="117"/>
      <w:bookmarkEnd w:id="118"/>
      <w:bookmarkEnd w:id="119"/>
    </w:p>
    <w:p>
      <w:pPr>
        <w:spacing w:line="360" w:lineRule="auto"/>
        <w:ind w:firstLine="640" w:firstLineChars="200"/>
        <w:rPr>
          <w:rFonts w:eastAsia="仿宋_GB2312"/>
          <w:sz w:val="32"/>
          <w:szCs w:val="32"/>
        </w:rPr>
      </w:pPr>
      <w:r>
        <w:rPr>
          <w:rFonts w:eastAsia="仿宋_GB2312"/>
          <w:sz w:val="32"/>
          <w:szCs w:val="32"/>
        </w:rPr>
        <w:t>2025年能源消费总量合计约</w:t>
      </w:r>
      <w:r>
        <w:rPr>
          <w:rFonts w:hint="eastAsia" w:eastAsia="仿宋_GB2312"/>
          <w:sz w:val="32"/>
          <w:szCs w:val="32"/>
        </w:rPr>
        <w:t>10</w:t>
      </w:r>
      <w:r>
        <w:rPr>
          <w:rFonts w:eastAsia="仿宋_GB2312"/>
          <w:sz w:val="32"/>
          <w:szCs w:val="32"/>
        </w:rPr>
        <w:t>69万吨标煤，能源生产总量合计约</w:t>
      </w:r>
      <w:r>
        <w:rPr>
          <w:rFonts w:hint="eastAsia" w:eastAsia="仿宋_GB2312"/>
          <w:sz w:val="32"/>
          <w:szCs w:val="32"/>
        </w:rPr>
        <w:t>1</w:t>
      </w:r>
      <w:r>
        <w:rPr>
          <w:rFonts w:eastAsia="仿宋_GB2312"/>
          <w:sz w:val="32"/>
          <w:szCs w:val="32"/>
        </w:rPr>
        <w:t>00.4万吨标煤，需从市外调入能源总量约</w:t>
      </w:r>
      <w:r>
        <w:rPr>
          <w:rFonts w:hint="eastAsia" w:eastAsia="仿宋_GB2312"/>
          <w:sz w:val="32"/>
          <w:szCs w:val="32"/>
        </w:rPr>
        <w:t>9</w:t>
      </w:r>
      <w:r>
        <w:rPr>
          <w:rFonts w:eastAsia="仿宋_GB2312"/>
          <w:sz w:val="32"/>
          <w:szCs w:val="32"/>
        </w:rPr>
        <w:t>68.6万吨标煤，其中需调入煤炭约1288万吨、成品油约</w:t>
      </w:r>
      <w:r>
        <w:rPr>
          <w:rFonts w:hint="eastAsia" w:eastAsia="仿宋_GB2312"/>
          <w:sz w:val="32"/>
          <w:szCs w:val="32"/>
        </w:rPr>
        <w:t>19.44</w:t>
      </w:r>
      <w:r>
        <w:rPr>
          <w:rFonts w:eastAsia="仿宋_GB2312"/>
          <w:sz w:val="32"/>
          <w:szCs w:val="32"/>
        </w:rPr>
        <w:t>万吨、天然气约</w:t>
      </w:r>
      <w:r>
        <w:rPr>
          <w:rFonts w:hint="eastAsia" w:eastAsia="仿宋_GB2312"/>
          <w:sz w:val="32"/>
          <w:szCs w:val="32"/>
        </w:rPr>
        <w:t>1.76</w:t>
      </w:r>
      <w:r>
        <w:rPr>
          <w:rFonts w:eastAsia="仿宋_GB2312"/>
          <w:sz w:val="32"/>
          <w:szCs w:val="32"/>
        </w:rPr>
        <w:t>亿立方。2025年</w:t>
      </w:r>
      <w:r>
        <w:rPr>
          <w:rFonts w:hint="eastAsia" w:eastAsia="仿宋_GB2312"/>
          <w:sz w:val="32"/>
          <w:szCs w:val="32"/>
        </w:rPr>
        <w:t>我</w:t>
      </w:r>
      <w:r>
        <w:rPr>
          <w:rFonts w:eastAsia="仿宋_GB2312"/>
          <w:sz w:val="32"/>
          <w:szCs w:val="32"/>
        </w:rPr>
        <w:t>市一次能源自给率约为9.4%，</w:t>
      </w:r>
      <w:r>
        <w:rPr>
          <w:rFonts w:hint="eastAsia" w:eastAsia="仿宋_GB2312"/>
          <w:sz w:val="32"/>
          <w:szCs w:val="32"/>
        </w:rPr>
        <w:t>较</w:t>
      </w:r>
      <w:r>
        <w:rPr>
          <w:rFonts w:eastAsia="仿宋_GB2312"/>
          <w:sz w:val="32"/>
          <w:szCs w:val="32"/>
        </w:rPr>
        <w:t>20</w:t>
      </w:r>
      <w:r>
        <w:rPr>
          <w:rFonts w:hint="eastAsia" w:eastAsia="仿宋_GB2312"/>
          <w:sz w:val="32"/>
          <w:szCs w:val="32"/>
        </w:rPr>
        <w:t>20</w:t>
      </w:r>
      <w:r>
        <w:rPr>
          <w:rFonts w:eastAsia="仿宋_GB2312"/>
          <w:sz w:val="32"/>
          <w:szCs w:val="32"/>
        </w:rPr>
        <w:t>年提高约7.4个百分点。</w:t>
      </w:r>
    </w:p>
    <w:p>
      <w:pPr>
        <w:pStyle w:val="27"/>
        <w:jc w:val="center"/>
        <w:rPr>
          <w:rFonts w:eastAsia="仿宋_GB2312"/>
          <w:sz w:val="21"/>
          <w:szCs w:val="20"/>
        </w:rPr>
      </w:pPr>
      <w:r>
        <w:rPr>
          <w:rFonts w:eastAsia="仿宋_GB2312"/>
          <w:sz w:val="21"/>
          <w:szCs w:val="20"/>
        </w:rPr>
        <w:t>表4-3：2025年能源供需平衡表</w:t>
      </w:r>
    </w:p>
    <w:tbl>
      <w:tblPr>
        <w:tblStyle w:val="14"/>
        <w:tblW w:w="5353" w:type="pct"/>
        <w:tblInd w:w="-601" w:type="dxa"/>
        <w:tblLayout w:type="autofit"/>
        <w:tblCellMar>
          <w:top w:w="0" w:type="dxa"/>
          <w:left w:w="108" w:type="dxa"/>
          <w:bottom w:w="0" w:type="dxa"/>
          <w:right w:w="108" w:type="dxa"/>
        </w:tblCellMar>
      </w:tblPr>
      <w:tblGrid>
        <w:gridCol w:w="1547"/>
        <w:gridCol w:w="1162"/>
        <w:gridCol w:w="1286"/>
        <w:gridCol w:w="1542"/>
        <w:gridCol w:w="1794"/>
        <w:gridCol w:w="1793"/>
      </w:tblGrid>
      <w:tr>
        <w:tblPrEx>
          <w:tblCellMar>
            <w:top w:w="0" w:type="dxa"/>
            <w:left w:w="108" w:type="dxa"/>
            <w:bottom w:w="0" w:type="dxa"/>
            <w:right w:w="108" w:type="dxa"/>
          </w:tblCellMar>
        </w:tblPrEx>
        <w:trPr>
          <w:trHeight w:val="520" w:hRule="atLeast"/>
        </w:trPr>
        <w:tc>
          <w:tcPr>
            <w:tcW w:w="84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eastAsia="仿宋_GB2312"/>
                <w:color w:val="000000"/>
                <w:kern w:val="0"/>
                <w:szCs w:val="21"/>
              </w:rPr>
            </w:pPr>
            <w:r>
              <w:rPr>
                <w:rFonts w:eastAsia="仿宋_GB2312"/>
                <w:color w:val="000000"/>
                <w:kern w:val="0"/>
                <w:szCs w:val="21"/>
              </w:rPr>
              <w:t>能源品类</w:t>
            </w:r>
          </w:p>
        </w:tc>
        <w:tc>
          <w:tcPr>
            <w:tcW w:w="63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煤炭（万吨）</w:t>
            </w:r>
          </w:p>
        </w:tc>
        <w:tc>
          <w:tcPr>
            <w:tcW w:w="70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成品油（万吨）</w:t>
            </w:r>
          </w:p>
        </w:tc>
        <w:tc>
          <w:tcPr>
            <w:tcW w:w="84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天然气（亿立方米）</w:t>
            </w:r>
          </w:p>
        </w:tc>
        <w:tc>
          <w:tcPr>
            <w:tcW w:w="98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非化石能源（万吨标煤）</w:t>
            </w:r>
          </w:p>
        </w:tc>
        <w:tc>
          <w:tcPr>
            <w:tcW w:w="98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合计折标煤（万吨标煤）</w:t>
            </w:r>
          </w:p>
        </w:tc>
      </w:tr>
      <w:tr>
        <w:tblPrEx>
          <w:tblCellMar>
            <w:top w:w="0" w:type="dxa"/>
            <w:left w:w="108" w:type="dxa"/>
            <w:bottom w:w="0" w:type="dxa"/>
            <w:right w:w="108" w:type="dxa"/>
          </w:tblCellMar>
        </w:tblPrEx>
        <w:trPr>
          <w:trHeight w:val="312" w:hRule="atLeast"/>
        </w:trPr>
        <w:tc>
          <w:tcPr>
            <w:tcW w:w="84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color w:val="000000"/>
                <w:kern w:val="0"/>
                <w:szCs w:val="21"/>
              </w:rPr>
            </w:pPr>
          </w:p>
        </w:tc>
        <w:tc>
          <w:tcPr>
            <w:tcW w:w="637"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color w:val="000000"/>
                <w:kern w:val="0"/>
                <w:szCs w:val="21"/>
              </w:rPr>
            </w:pPr>
          </w:p>
        </w:tc>
        <w:tc>
          <w:tcPr>
            <w:tcW w:w="70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color w:val="000000"/>
                <w:kern w:val="0"/>
                <w:szCs w:val="21"/>
              </w:rPr>
            </w:pPr>
          </w:p>
        </w:tc>
        <w:tc>
          <w:tcPr>
            <w:tcW w:w="84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color w:val="000000"/>
                <w:kern w:val="0"/>
                <w:szCs w:val="21"/>
              </w:rPr>
            </w:pPr>
          </w:p>
        </w:tc>
        <w:tc>
          <w:tcPr>
            <w:tcW w:w="983"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color w:val="000000"/>
                <w:kern w:val="0"/>
                <w:szCs w:val="21"/>
              </w:rPr>
            </w:pPr>
          </w:p>
        </w:tc>
        <w:tc>
          <w:tcPr>
            <w:tcW w:w="983"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trHeight w:val="290" w:hRule="atLeast"/>
        </w:trPr>
        <w:tc>
          <w:tcPr>
            <w:tcW w:w="8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消费量</w:t>
            </w:r>
          </w:p>
        </w:tc>
        <w:tc>
          <w:tcPr>
            <w:tcW w:w="637"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12</w:t>
            </w:r>
            <w:r>
              <w:rPr>
                <w:rFonts w:hint="eastAsia" w:eastAsia="等线"/>
                <w:color w:val="000000"/>
                <w:szCs w:val="21"/>
              </w:rPr>
              <w:t>88</w:t>
            </w:r>
          </w:p>
        </w:tc>
        <w:tc>
          <w:tcPr>
            <w:tcW w:w="705"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hint="eastAsia" w:eastAsia="等线"/>
                <w:color w:val="000000"/>
                <w:szCs w:val="21"/>
              </w:rPr>
              <w:t>19.44</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hint="eastAsia" w:eastAsia="等线"/>
                <w:color w:val="000000"/>
                <w:szCs w:val="21"/>
              </w:rPr>
              <w:t>1.76</w:t>
            </w:r>
          </w:p>
        </w:tc>
        <w:tc>
          <w:tcPr>
            <w:tcW w:w="983"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100.4</w:t>
            </w:r>
          </w:p>
        </w:tc>
        <w:tc>
          <w:tcPr>
            <w:tcW w:w="983"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1069</w:t>
            </w:r>
          </w:p>
        </w:tc>
      </w:tr>
      <w:tr>
        <w:tblPrEx>
          <w:tblCellMar>
            <w:top w:w="0" w:type="dxa"/>
            <w:left w:w="108" w:type="dxa"/>
            <w:bottom w:w="0" w:type="dxa"/>
            <w:right w:w="108" w:type="dxa"/>
          </w:tblCellMar>
        </w:tblPrEx>
        <w:trPr>
          <w:trHeight w:val="290" w:hRule="atLeast"/>
        </w:trPr>
        <w:tc>
          <w:tcPr>
            <w:tcW w:w="8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生产量</w:t>
            </w:r>
          </w:p>
        </w:tc>
        <w:tc>
          <w:tcPr>
            <w:tcW w:w="637"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0</w:t>
            </w:r>
          </w:p>
        </w:tc>
        <w:tc>
          <w:tcPr>
            <w:tcW w:w="705"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0</w:t>
            </w:r>
          </w:p>
        </w:tc>
        <w:tc>
          <w:tcPr>
            <w:tcW w:w="983"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100.4</w:t>
            </w:r>
          </w:p>
        </w:tc>
        <w:tc>
          <w:tcPr>
            <w:tcW w:w="983"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100.4</w:t>
            </w:r>
          </w:p>
        </w:tc>
      </w:tr>
      <w:tr>
        <w:tblPrEx>
          <w:tblCellMar>
            <w:top w:w="0" w:type="dxa"/>
            <w:left w:w="108" w:type="dxa"/>
            <w:bottom w:w="0" w:type="dxa"/>
            <w:right w:w="108" w:type="dxa"/>
          </w:tblCellMar>
        </w:tblPrEx>
        <w:trPr>
          <w:trHeight w:val="60" w:hRule="atLeast"/>
        </w:trPr>
        <w:tc>
          <w:tcPr>
            <w:tcW w:w="8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所需调入量</w:t>
            </w:r>
          </w:p>
        </w:tc>
        <w:tc>
          <w:tcPr>
            <w:tcW w:w="637"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12</w:t>
            </w:r>
            <w:r>
              <w:rPr>
                <w:rFonts w:eastAsia="仿宋_GB2312"/>
                <w:color w:val="000000"/>
                <w:kern w:val="0"/>
                <w:szCs w:val="21"/>
              </w:rPr>
              <w:t>88</w:t>
            </w:r>
          </w:p>
        </w:tc>
        <w:tc>
          <w:tcPr>
            <w:tcW w:w="705"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hint="eastAsia" w:eastAsia="等线"/>
                <w:color w:val="000000"/>
                <w:szCs w:val="21"/>
              </w:rPr>
              <w:t>19.44</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hint="eastAsia" w:eastAsia="等线"/>
                <w:color w:val="000000"/>
                <w:szCs w:val="21"/>
              </w:rPr>
              <w:t>1.76</w:t>
            </w:r>
          </w:p>
        </w:tc>
        <w:tc>
          <w:tcPr>
            <w:tcW w:w="983"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 xml:space="preserve">0 </w:t>
            </w:r>
          </w:p>
        </w:tc>
        <w:tc>
          <w:tcPr>
            <w:tcW w:w="983"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等线"/>
                <w:color w:val="000000"/>
                <w:szCs w:val="21"/>
              </w:rPr>
              <w:t>968.6</w:t>
            </w:r>
          </w:p>
        </w:tc>
      </w:tr>
    </w:tbl>
    <w:p>
      <w:pPr>
        <w:ind w:firstLine="560"/>
      </w:pPr>
    </w:p>
    <w:p>
      <w:pPr>
        <w:keepNext/>
        <w:keepLines/>
        <w:spacing w:line="360" w:lineRule="auto"/>
        <w:ind w:firstLine="643" w:firstLineChars="200"/>
        <w:outlineLvl w:val="2"/>
        <w:rPr>
          <w:rFonts w:eastAsia="仿宋_GB2312"/>
          <w:b/>
          <w:bCs/>
          <w:sz w:val="32"/>
          <w:szCs w:val="32"/>
        </w:rPr>
      </w:pPr>
      <w:bookmarkStart w:id="120" w:name="_Toc66178708"/>
      <w:bookmarkStart w:id="121" w:name="_Toc66178644"/>
      <w:bookmarkStart w:id="122" w:name="_Toc466532735"/>
      <w:bookmarkStart w:id="123" w:name="_Toc58335384"/>
      <w:bookmarkStart w:id="124" w:name="_Toc466404533"/>
      <w:bookmarkStart w:id="125" w:name="_Toc459296364"/>
      <w:bookmarkStart w:id="126" w:name="_Toc466387307"/>
      <w:bookmarkStart w:id="127" w:name="_Toc458611624"/>
      <w:bookmarkStart w:id="128" w:name="_Toc458546376"/>
      <w:r>
        <w:rPr>
          <w:rFonts w:eastAsia="仿宋_GB2312"/>
          <w:b/>
          <w:bCs/>
          <w:sz w:val="32"/>
          <w:szCs w:val="32"/>
        </w:rPr>
        <w:t>（三）小结</w:t>
      </w:r>
      <w:bookmarkEnd w:id="120"/>
      <w:bookmarkEnd w:id="121"/>
      <w:bookmarkEnd w:id="122"/>
      <w:bookmarkEnd w:id="123"/>
      <w:bookmarkEnd w:id="124"/>
      <w:bookmarkEnd w:id="125"/>
      <w:bookmarkEnd w:id="126"/>
      <w:bookmarkEnd w:id="127"/>
      <w:bookmarkEnd w:id="128"/>
    </w:p>
    <w:p>
      <w:pPr>
        <w:spacing w:line="360" w:lineRule="auto"/>
        <w:ind w:firstLine="640" w:firstLineChars="200"/>
        <w:rPr>
          <w:rFonts w:eastAsia="仿宋_GB2312"/>
          <w:sz w:val="32"/>
          <w:szCs w:val="32"/>
        </w:rPr>
      </w:pPr>
      <w:r>
        <w:rPr>
          <w:rFonts w:eastAsia="仿宋_GB2312"/>
          <w:sz w:val="32"/>
          <w:szCs w:val="32"/>
        </w:rPr>
        <w:t>根据能源供需分析结果，我市“十四五”期间通过大力推广新能源应用，提高非化石能源对能源需求的补充力度，能源自给率相比2020年提高约7.4个百分点，但仍有约92%的能源需要依靠外调。</w:t>
      </w:r>
    </w:p>
    <w:p>
      <w:pPr>
        <w:spacing w:line="360" w:lineRule="auto"/>
        <w:ind w:firstLine="640" w:firstLineChars="200"/>
        <w:rPr>
          <w:rFonts w:eastAsia="仿宋_GB2312"/>
          <w:sz w:val="32"/>
          <w:szCs w:val="32"/>
        </w:rPr>
      </w:pPr>
      <w:r>
        <w:rPr>
          <w:rFonts w:eastAsia="仿宋_GB2312"/>
          <w:sz w:val="32"/>
          <w:szCs w:val="32"/>
        </w:rPr>
        <w:t>因此，“十四五”时期，我市保障能源供应充足的工作重点一方面是抓住时机，着力重大能源项目的建设，保障</w:t>
      </w:r>
      <w:r>
        <w:rPr>
          <w:rFonts w:hint="eastAsia" w:eastAsia="仿宋_GB2312"/>
          <w:sz w:val="32"/>
          <w:szCs w:val="32"/>
        </w:rPr>
        <w:t>能源</w:t>
      </w:r>
      <w:r>
        <w:rPr>
          <w:rFonts w:eastAsia="仿宋_GB2312"/>
          <w:sz w:val="32"/>
          <w:szCs w:val="32"/>
        </w:rPr>
        <w:t>供应；另一方面是全面完善能源储运体系，加强煤运通道、电力输送、成品油和天然气管网及储能设施的建设，保障外调能源通道畅通。</w:t>
      </w:r>
    </w:p>
    <w:p>
      <w:pPr>
        <w:rPr>
          <w:rFonts w:eastAsia="仿宋_GB2312"/>
          <w:sz w:val="32"/>
          <w:szCs w:val="32"/>
        </w:rPr>
        <w:sectPr>
          <w:pgSz w:w="11906" w:h="16838"/>
          <w:pgMar w:top="1440" w:right="1800" w:bottom="1440" w:left="1800" w:header="851" w:footer="992" w:gutter="0"/>
          <w:cols w:space="425" w:num="1"/>
          <w:docGrid w:type="lines" w:linePitch="312" w:charSpace="0"/>
        </w:sectPr>
      </w:pPr>
    </w:p>
    <w:p>
      <w:pPr>
        <w:keepNext/>
        <w:keepLines/>
        <w:spacing w:beforeLines="100" w:afterLines="100" w:line="360" w:lineRule="auto"/>
        <w:jc w:val="left"/>
        <w:outlineLvl w:val="0"/>
        <w:rPr>
          <w:rFonts w:eastAsia="黑体"/>
          <w:bCs/>
          <w:kern w:val="44"/>
          <w:sz w:val="32"/>
          <w:szCs w:val="32"/>
        </w:rPr>
      </w:pPr>
      <w:bookmarkStart w:id="129" w:name="_Toc66178084"/>
      <w:r>
        <w:rPr>
          <w:rFonts w:eastAsia="黑体"/>
          <w:bCs/>
          <w:kern w:val="44"/>
          <w:sz w:val="32"/>
          <w:szCs w:val="32"/>
        </w:rPr>
        <w:t>附表1：“十四五”时期新余市能源建设重点项目</w:t>
      </w:r>
      <w:bookmarkEnd w:id="129"/>
    </w:p>
    <w:tbl>
      <w:tblPr>
        <w:tblStyle w:val="14"/>
        <w:tblW w:w="14061" w:type="dxa"/>
        <w:tblInd w:w="113" w:type="dxa"/>
        <w:tblLayout w:type="autofit"/>
        <w:tblCellMar>
          <w:top w:w="0" w:type="dxa"/>
          <w:left w:w="108" w:type="dxa"/>
          <w:bottom w:w="0" w:type="dxa"/>
          <w:right w:w="108" w:type="dxa"/>
        </w:tblCellMar>
      </w:tblPr>
      <w:tblGrid>
        <w:gridCol w:w="1041"/>
        <w:gridCol w:w="7425"/>
        <w:gridCol w:w="4145"/>
        <w:gridCol w:w="1450"/>
      </w:tblGrid>
      <w:tr>
        <w:tblPrEx>
          <w:tblCellMar>
            <w:top w:w="0" w:type="dxa"/>
            <w:left w:w="108" w:type="dxa"/>
            <w:bottom w:w="0" w:type="dxa"/>
            <w:right w:w="108" w:type="dxa"/>
          </w:tblCellMar>
        </w:tblPrEx>
        <w:trPr>
          <w:trHeight w:val="107" w:hRule="atLeast"/>
        </w:trPr>
        <w:tc>
          <w:tcPr>
            <w:tcW w:w="10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742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414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建设内容及规模</w:t>
            </w:r>
          </w:p>
        </w:tc>
        <w:tc>
          <w:tcPr>
            <w:tcW w:w="145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建设年限</w:t>
            </w:r>
          </w:p>
        </w:tc>
      </w:tr>
      <w:tr>
        <w:tblPrEx>
          <w:tblCellMar>
            <w:top w:w="0" w:type="dxa"/>
            <w:left w:w="108" w:type="dxa"/>
            <w:bottom w:w="0" w:type="dxa"/>
            <w:right w:w="108" w:type="dxa"/>
          </w:tblCellMar>
        </w:tblPrEx>
        <w:trPr>
          <w:trHeight w:val="121"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一</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规划项目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（一）</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电源项目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新余电厂异地扩建</w:t>
            </w:r>
            <w:r>
              <w:rPr>
                <w:rFonts w:hint="eastAsia" w:ascii="仿宋" w:hAnsi="仿宋" w:eastAsia="仿宋"/>
                <w:color w:val="000000"/>
                <w:kern w:val="0"/>
                <w:szCs w:val="21"/>
              </w:rPr>
              <w:t>工程</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新建2×100</w:t>
            </w:r>
            <w:r>
              <w:rPr>
                <w:rFonts w:hint="eastAsia" w:ascii="仿宋" w:hAnsi="仿宋" w:eastAsia="仿宋"/>
                <w:color w:val="000000"/>
                <w:kern w:val="0"/>
                <w:szCs w:val="21"/>
              </w:rPr>
              <w:t>万千瓦超超临界燃煤发电机组</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渝水区江口一期分散式风电项目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渝水区良山分散式风电项目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4.75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分宜县双洞分散式风电项目</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10.5万千瓦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仙女湖区九龙山分散式风电项目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4.75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16"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6</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国电投新余</w:t>
            </w:r>
            <w:r>
              <w:rPr>
                <w:rFonts w:hint="eastAsia" w:ascii="仿宋" w:hAnsi="仿宋" w:eastAsia="仿宋"/>
                <w:color w:val="333333"/>
                <w:kern w:val="0"/>
                <w:szCs w:val="21"/>
              </w:rPr>
              <w:t>100Mwp光储一</w:t>
            </w:r>
            <w:r>
              <w:rPr>
                <w:rFonts w:ascii="Calibri" w:hAnsi="Calibri" w:eastAsia="仿宋" w:cs="Calibri"/>
                <w:color w:val="333333"/>
                <w:kern w:val="0"/>
                <w:szCs w:val="21"/>
              </w:rPr>
              <w:t> </w:t>
            </w:r>
            <w:r>
              <w:rPr>
                <w:rFonts w:hint="eastAsia" w:ascii="仿宋" w:hAnsi="仿宋" w:eastAsia="仿宋"/>
                <w:color w:val="333333"/>
                <w:kern w:val="0"/>
                <w:szCs w:val="21"/>
              </w:rPr>
              <w:t>体化发电项目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16"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7</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大唐新余</w:t>
            </w:r>
            <w:r>
              <w:rPr>
                <w:rFonts w:ascii="仿宋" w:hAnsi="仿宋" w:eastAsia="仿宋" w:cs="Calibri"/>
                <w:color w:val="000000"/>
                <w:kern w:val="0"/>
                <w:szCs w:val="21"/>
              </w:rPr>
              <w:t>250</w:t>
            </w:r>
            <w:r>
              <w:rPr>
                <w:rFonts w:hint="eastAsia" w:ascii="仿宋" w:hAnsi="仿宋" w:eastAsia="仿宋"/>
                <w:color w:val="000000"/>
                <w:kern w:val="0"/>
                <w:szCs w:val="21"/>
              </w:rPr>
              <w:t>兆瓦光伏发电项目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12"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8</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渝水区下村镇桥上水库</w:t>
            </w:r>
            <w:r>
              <w:rPr>
                <w:rFonts w:hint="eastAsia" w:ascii="仿宋" w:hAnsi="仿宋" w:eastAsia="仿宋"/>
                <w:color w:val="333333"/>
                <w:kern w:val="0"/>
                <w:szCs w:val="21"/>
              </w:rPr>
              <w:t>50MW渔光互补光储一体化发电项目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9</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分宜县第三孵化园4兆瓦分布式光伏发电项目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0.4</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分宜县杨桥镇林光互补光伏发电项目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大唐江西朱家庙水库渔光互补光伏发电项目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12</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分宜县农林生物质发电项目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13</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新余市城市生活垃圾焚烧发电项目（二期）</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0.9</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14</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分宜海螺新能源有限公司8MW分布式光伏发电项目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0.8</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15</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分宜县晶航新能源有限公司8.4MW农光互补太阳能光伏发电项目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0.84</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16</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通讯基站屋顶分布式光伏发电项目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1.03</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17</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新余维图光伏科技有限公司10兆瓦分布式光伏发电项目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18</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鹄山水面光伏电站项目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6</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19</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华东新华能源投资有限公司罗坊镇100MWp农光互补光伏发电项目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袁河经开区企业孵化园2.9兆瓦屋顶项目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0.29</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袁河经开区设备装备制造园3兆瓦屋顶项目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0.3</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22</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江西赣锋锂业股份有限公司150MWp光伏发电项目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23</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青春康源立祥医药屋面分布式光伏</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0.4</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24</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工业地产4期屋面分布式光伏发电</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25</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国家电投分宜电厂塘边50MWp光伏发电项目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26</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分宜县陆辉光伏发电有限公司二期20MWp“渔光互补”光伏发电项目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27</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分宜县长风120MWp渔光互补光伏电站项目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12</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28</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分宜县石湖塘100MWp渔光互补光伏电站项目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29</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分宜县芦塘取水泵房3MW分布式光伏发电项目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0.3</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30</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分宜吉电杨桥35MW林光互补光伏发电项目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分宜海螺新能源有限公司新余市渝水区水北镇梅山水库80兆瓦渔光互补项目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8</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32</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江西联合能源有限公司罗坊镇130MWp渔光互补水面光伏电站项目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13</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33</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狮子口泵房5.8兆瓦分布式光伏发电项目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0.58</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34</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新余市江口电厂3.5MW光伏发电项目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0.35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35</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新余三华新能源科技有限公司30兆瓦渔光互补光伏发电项目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36</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大唐分宜县彰湖水库70MWp渔光互补光伏发电项目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7</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37</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分宜县池塘村35兆瓦光伏发电项目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3.5</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38</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渝水区珠山镇洋津村40MWp光伏发电项目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39</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大唐江西渝水罗坊光伏发电项目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40</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渝水区罗坊镇新和村200MWp光伏发电项目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w:t>
            </w:r>
            <w:r>
              <w:rPr>
                <w:rFonts w:hint="eastAsia" w:ascii="仿宋" w:hAnsi="仿宋" w:eastAsia="仿宋"/>
                <w:color w:val="000000"/>
                <w:kern w:val="0"/>
                <w:szCs w:val="21"/>
              </w:rPr>
              <w:t>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分宜县双林风电项目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lang w:val="en-US" w:eastAsia="zh-CN"/>
              </w:rPr>
              <w:t>10.5万千瓦</w:t>
            </w:r>
            <w:r>
              <w:rPr>
                <w:rFonts w:ascii="仿宋" w:hAnsi="仿宋" w:eastAsia="仿宋"/>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42</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渝水区罗坊风电项目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20万千瓦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43</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渝水区珠珊风电项目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15万千瓦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44</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新余市高新区天然气分布式能源项目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（二）</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电网项目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CellMar>
            <w:top w:w="0" w:type="dxa"/>
            <w:left w:w="108" w:type="dxa"/>
            <w:bottom w:w="0" w:type="dxa"/>
            <w:right w:w="108" w:type="dxa"/>
          </w:tblCellMar>
        </w:tblPrEx>
        <w:trPr>
          <w:trHeight w:val="234"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500</w:t>
            </w:r>
            <w:r>
              <w:rPr>
                <w:rFonts w:hint="eastAsia" w:ascii="仿宋" w:hAnsi="仿宋" w:eastAsia="仿宋"/>
                <w:color w:val="000000"/>
                <w:kern w:val="0"/>
                <w:szCs w:val="21"/>
              </w:rPr>
              <w:t>千伏电网工程</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增容改造罗坊变电站，新增变电容量</w:t>
            </w:r>
            <w:r>
              <w:rPr>
                <w:rFonts w:ascii="仿宋" w:hAnsi="仿宋" w:eastAsia="仿宋"/>
                <w:color w:val="000000"/>
                <w:kern w:val="0"/>
                <w:szCs w:val="21"/>
              </w:rPr>
              <w:t>50</w:t>
            </w:r>
            <w:r>
              <w:rPr>
                <w:rFonts w:hint="eastAsia" w:ascii="仿宋" w:hAnsi="仿宋" w:eastAsia="仿宋" w:cs="宋体"/>
                <w:color w:val="000000"/>
                <w:kern w:val="0"/>
                <w:szCs w:val="21"/>
              </w:rPr>
              <w:t>万千伏安，新增线路长度</w:t>
            </w:r>
            <w:r>
              <w:rPr>
                <w:rFonts w:ascii="仿宋" w:hAnsi="仿宋" w:eastAsia="仿宋"/>
                <w:color w:val="000000"/>
                <w:kern w:val="0"/>
                <w:szCs w:val="21"/>
              </w:rPr>
              <w:t>8</w:t>
            </w:r>
            <w:r>
              <w:rPr>
                <w:rFonts w:hint="eastAsia" w:ascii="仿宋" w:hAnsi="仿宋" w:eastAsia="仿宋" w:cs="宋体"/>
                <w:color w:val="000000"/>
                <w:kern w:val="0"/>
                <w:szCs w:val="21"/>
              </w:rPr>
              <w:t>0公里</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352"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220</w:t>
            </w:r>
            <w:r>
              <w:rPr>
                <w:rFonts w:hint="eastAsia" w:ascii="仿宋" w:hAnsi="仿宋" w:eastAsia="仿宋"/>
                <w:color w:val="000000"/>
                <w:kern w:val="0"/>
                <w:szCs w:val="21"/>
              </w:rPr>
              <w:t>千伏电网工程</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新建袁河、仰天岗、水西等4座变电站，改造珠珊变电站，新增主变7台，新增变电容量168万千伏安，新增线路长度</w:t>
            </w:r>
            <w:r>
              <w:rPr>
                <w:rFonts w:ascii="仿宋" w:hAnsi="仿宋" w:eastAsia="仿宋"/>
                <w:color w:val="000000"/>
                <w:kern w:val="0"/>
                <w:szCs w:val="21"/>
              </w:rPr>
              <w:t>174</w:t>
            </w:r>
            <w:r>
              <w:rPr>
                <w:rFonts w:hint="eastAsia" w:ascii="仿宋" w:hAnsi="仿宋" w:eastAsia="仿宋" w:cs="宋体"/>
                <w:color w:val="000000"/>
                <w:kern w:val="0"/>
                <w:szCs w:val="21"/>
              </w:rPr>
              <w:t>公里。</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452"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110</w:t>
            </w:r>
            <w:r>
              <w:rPr>
                <w:rFonts w:hint="eastAsia" w:ascii="仿宋" w:hAnsi="仿宋" w:eastAsia="仿宋"/>
                <w:color w:val="000000"/>
                <w:kern w:val="0"/>
                <w:szCs w:val="21"/>
              </w:rPr>
              <w:t>千伏电网工程</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新建茶山、水东、新下田等15座变电站，扩建桂子山、望城、松山等</w:t>
            </w:r>
            <w:r>
              <w:rPr>
                <w:rFonts w:ascii="仿宋" w:hAnsi="仿宋" w:eastAsia="仿宋" w:cs="Calibri"/>
                <w:color w:val="000000"/>
                <w:kern w:val="0"/>
                <w:szCs w:val="21"/>
              </w:rPr>
              <w:t>4</w:t>
            </w:r>
            <w:r>
              <w:rPr>
                <w:rFonts w:hint="eastAsia" w:ascii="仿宋" w:hAnsi="仿宋" w:eastAsia="仿宋" w:cs="宋体"/>
                <w:color w:val="000000"/>
                <w:kern w:val="0"/>
                <w:szCs w:val="21"/>
              </w:rPr>
              <w:t>座变电站，改造沙土变电站，新增主变</w:t>
            </w:r>
            <w:r>
              <w:rPr>
                <w:rFonts w:ascii="仿宋" w:hAnsi="仿宋" w:eastAsia="仿宋"/>
                <w:color w:val="000000"/>
                <w:kern w:val="0"/>
                <w:szCs w:val="21"/>
              </w:rPr>
              <w:t>26</w:t>
            </w:r>
            <w:r>
              <w:rPr>
                <w:rFonts w:hint="eastAsia" w:ascii="仿宋" w:hAnsi="仿宋" w:eastAsia="仿宋" w:cs="宋体"/>
                <w:color w:val="000000"/>
                <w:kern w:val="0"/>
                <w:szCs w:val="21"/>
              </w:rPr>
              <w:t>台，新增变电容量</w:t>
            </w:r>
            <w:r>
              <w:rPr>
                <w:rFonts w:ascii="仿宋" w:hAnsi="仿宋" w:eastAsia="仿宋"/>
                <w:color w:val="000000"/>
                <w:kern w:val="0"/>
                <w:szCs w:val="21"/>
              </w:rPr>
              <w:t>154.25</w:t>
            </w:r>
            <w:r>
              <w:rPr>
                <w:rFonts w:hint="eastAsia" w:ascii="仿宋" w:hAnsi="仿宋" w:eastAsia="仿宋" w:cs="宋体"/>
                <w:color w:val="000000"/>
                <w:kern w:val="0"/>
                <w:szCs w:val="21"/>
              </w:rPr>
              <w:t>万千伏安，新增线路长度</w:t>
            </w:r>
            <w:r>
              <w:rPr>
                <w:rFonts w:ascii="仿宋" w:hAnsi="仿宋" w:eastAsia="仿宋"/>
                <w:color w:val="000000"/>
                <w:kern w:val="0"/>
                <w:szCs w:val="21"/>
              </w:rPr>
              <w:t>311.5</w:t>
            </w:r>
            <w:r>
              <w:rPr>
                <w:rFonts w:hint="eastAsia" w:ascii="仿宋" w:hAnsi="仿宋" w:eastAsia="仿宋" w:cs="宋体"/>
                <w:color w:val="000000"/>
                <w:kern w:val="0"/>
                <w:szCs w:val="21"/>
              </w:rPr>
              <w:t>公里。</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334"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35</w:t>
            </w:r>
            <w:r>
              <w:rPr>
                <w:rFonts w:hint="eastAsia" w:ascii="仿宋" w:hAnsi="仿宋" w:eastAsia="仿宋"/>
                <w:color w:val="000000"/>
                <w:kern w:val="0"/>
                <w:szCs w:val="21"/>
              </w:rPr>
              <w:t>千伏电网工程</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新建洋江变电站，扩建贺田变电站，改造新祉、姚圩等</w:t>
            </w:r>
            <w:r>
              <w:rPr>
                <w:rFonts w:ascii="仿宋" w:hAnsi="仿宋" w:eastAsia="仿宋" w:cs="Calibri"/>
                <w:color w:val="000000"/>
                <w:kern w:val="0"/>
                <w:szCs w:val="21"/>
              </w:rPr>
              <w:t>3</w:t>
            </w:r>
            <w:r>
              <w:rPr>
                <w:rFonts w:hint="eastAsia" w:ascii="仿宋" w:hAnsi="仿宋" w:eastAsia="仿宋" w:cs="宋体"/>
                <w:color w:val="000000"/>
                <w:kern w:val="0"/>
                <w:szCs w:val="21"/>
              </w:rPr>
              <w:t>座变电站，新增主变</w:t>
            </w:r>
            <w:r>
              <w:rPr>
                <w:rFonts w:ascii="仿宋" w:hAnsi="仿宋" w:eastAsia="仿宋"/>
                <w:color w:val="000000"/>
                <w:kern w:val="0"/>
                <w:szCs w:val="21"/>
              </w:rPr>
              <w:t>2</w:t>
            </w:r>
            <w:r>
              <w:rPr>
                <w:rFonts w:hint="eastAsia" w:ascii="仿宋" w:hAnsi="仿宋" w:eastAsia="仿宋" w:cs="宋体"/>
                <w:color w:val="000000"/>
                <w:kern w:val="0"/>
                <w:szCs w:val="21"/>
              </w:rPr>
              <w:t>台，新增变电容量</w:t>
            </w:r>
            <w:r>
              <w:rPr>
                <w:rFonts w:ascii="仿宋" w:hAnsi="仿宋" w:eastAsia="仿宋"/>
                <w:color w:val="000000"/>
                <w:kern w:val="0"/>
                <w:szCs w:val="21"/>
              </w:rPr>
              <w:t>3.27</w:t>
            </w:r>
            <w:r>
              <w:rPr>
                <w:rFonts w:hint="eastAsia" w:ascii="仿宋" w:hAnsi="仿宋" w:eastAsia="仿宋" w:cs="宋体"/>
                <w:color w:val="000000"/>
                <w:kern w:val="0"/>
                <w:szCs w:val="21"/>
              </w:rPr>
              <w:t>万千伏安，新增线路长度</w:t>
            </w:r>
            <w:r>
              <w:rPr>
                <w:rFonts w:ascii="仿宋" w:hAnsi="仿宋" w:eastAsia="仿宋"/>
                <w:color w:val="000000"/>
                <w:kern w:val="0"/>
                <w:szCs w:val="21"/>
              </w:rPr>
              <w:t>81.5</w:t>
            </w:r>
            <w:r>
              <w:rPr>
                <w:rFonts w:hint="eastAsia" w:ascii="仿宋" w:hAnsi="仿宋" w:eastAsia="仿宋" w:cs="宋体"/>
                <w:color w:val="000000"/>
                <w:kern w:val="0"/>
                <w:szCs w:val="21"/>
              </w:rPr>
              <w:t>公里。</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16"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w:t>
            </w:r>
            <w:r>
              <w:rPr>
                <w:rFonts w:hint="eastAsia" w:ascii="仿宋" w:hAnsi="仿宋" w:eastAsia="仿宋"/>
                <w:color w:val="000000"/>
                <w:kern w:val="0"/>
                <w:szCs w:val="21"/>
              </w:rPr>
              <w:t>千伏电网工程</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新增配变容量</w:t>
            </w:r>
            <w:r>
              <w:rPr>
                <w:rFonts w:ascii="仿宋" w:hAnsi="仿宋" w:eastAsia="仿宋"/>
                <w:color w:val="000000"/>
                <w:kern w:val="0"/>
                <w:szCs w:val="21"/>
              </w:rPr>
              <w:t>166.77</w:t>
            </w:r>
            <w:r>
              <w:rPr>
                <w:rFonts w:hint="eastAsia" w:ascii="仿宋" w:hAnsi="仿宋" w:eastAsia="仿宋" w:cs="宋体"/>
                <w:color w:val="000000"/>
                <w:kern w:val="0"/>
                <w:szCs w:val="21"/>
              </w:rPr>
              <w:t>万千伏安；新增线路长度</w:t>
            </w:r>
            <w:r>
              <w:rPr>
                <w:rFonts w:ascii="仿宋" w:hAnsi="仿宋" w:eastAsia="仿宋"/>
                <w:color w:val="000000"/>
                <w:kern w:val="0"/>
                <w:szCs w:val="21"/>
              </w:rPr>
              <w:t>301</w:t>
            </w:r>
            <w:r>
              <w:rPr>
                <w:rFonts w:hint="eastAsia" w:ascii="仿宋" w:hAnsi="仿宋" w:eastAsia="仿宋" w:cs="宋体"/>
                <w:color w:val="000000"/>
                <w:kern w:val="0"/>
                <w:szCs w:val="21"/>
              </w:rPr>
              <w:t>公里。</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（三）</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成品油项目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成品油基础设施项目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新增加油站</w:t>
            </w:r>
            <w:r>
              <w:rPr>
                <w:rFonts w:ascii="仿宋" w:hAnsi="仿宋" w:eastAsia="仿宋"/>
                <w:color w:val="000000"/>
                <w:kern w:val="0"/>
                <w:szCs w:val="21"/>
              </w:rPr>
              <w:t>140</w:t>
            </w:r>
            <w:r>
              <w:rPr>
                <w:rFonts w:hint="eastAsia" w:ascii="仿宋" w:hAnsi="仿宋" w:eastAsia="仿宋" w:cs="宋体"/>
                <w:color w:val="000000"/>
                <w:kern w:val="0"/>
                <w:szCs w:val="21"/>
              </w:rPr>
              <w:t>座、新增油库座</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（四）</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天然气项目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新余联通工程</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长度5公里，设计输量20亿方/年</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（五）</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综合智慧能源项目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　</w:t>
            </w:r>
          </w:p>
        </w:tc>
      </w:tr>
      <w:tr>
        <w:tblPrEx>
          <w:tblCellMar>
            <w:top w:w="0" w:type="dxa"/>
            <w:left w:w="108" w:type="dxa"/>
            <w:bottom w:w="0" w:type="dxa"/>
            <w:right w:w="108" w:type="dxa"/>
          </w:tblCellMar>
        </w:tblPrEx>
        <w:trPr>
          <w:trHeight w:val="216"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分宜双林智慧能源小镇</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利用分宜电厂2×660MW燃煤发电机组供热、电、冷、蒸汽等资源建设综合智慧能源小镇。</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（六）</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新能源汽车充电设施项目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充电站</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25座</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充电桩</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400根</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21"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储备项目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　</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（一）</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电源项目</w:t>
            </w:r>
          </w:p>
        </w:tc>
        <w:tc>
          <w:tcPr>
            <w:tcW w:w="414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国家电投江西新余市渝水区南安200兆瓦农光互补地面光伏电站项目</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20万千瓦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Times New Roman"/>
                <w:color w:val="000000"/>
                <w:kern w:val="0"/>
                <w:sz w:val="21"/>
                <w:szCs w:val="21"/>
                <w:lang w:val="en-US" w:eastAsia="zh-CN" w:bidi="ar-SA"/>
              </w:rPr>
            </w:pPr>
            <w:r>
              <w:rPr>
                <w:rFonts w:ascii="仿宋" w:hAnsi="仿宋" w:eastAsia="仿宋"/>
                <w:color w:val="000000"/>
                <w:kern w:val="0"/>
                <w:szCs w:val="21"/>
              </w:rPr>
              <w:t>2021-2025</w:t>
            </w:r>
          </w:p>
        </w:tc>
      </w:tr>
      <w:tr>
        <w:tblPrEx>
          <w:tblCellMar>
            <w:top w:w="0" w:type="dxa"/>
            <w:left w:w="108" w:type="dxa"/>
            <w:bottom w:w="0" w:type="dxa"/>
            <w:right w:w="108" w:type="dxa"/>
          </w:tblCellMar>
        </w:tblPrEx>
        <w:trPr>
          <w:trHeight w:val="107" w:hRule="atLeast"/>
        </w:trPr>
        <w:tc>
          <w:tcPr>
            <w:tcW w:w="104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w:t>
            </w:r>
          </w:p>
        </w:tc>
        <w:tc>
          <w:tcPr>
            <w:tcW w:w="742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新余市仙女湖区观巢镇300MW农光互补光伏发电项目</w:t>
            </w:r>
          </w:p>
        </w:tc>
        <w:tc>
          <w:tcPr>
            <w:tcW w:w="414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1"/>
                <w:szCs w:val="21"/>
                <w:lang w:val="en-US" w:eastAsia="zh-CN" w:bidi="ar-SA"/>
              </w:rPr>
            </w:pPr>
            <w:r>
              <w:rPr>
                <w:rFonts w:hint="eastAsia" w:ascii="仿宋" w:hAnsi="仿宋" w:eastAsia="仿宋" w:cs="宋体"/>
                <w:color w:val="000000"/>
                <w:kern w:val="0"/>
                <w:szCs w:val="21"/>
              </w:rPr>
              <w:t>30万千瓦</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Times New Roman"/>
                <w:color w:val="000000"/>
                <w:kern w:val="0"/>
                <w:sz w:val="21"/>
                <w:szCs w:val="21"/>
                <w:lang w:val="en-US" w:eastAsia="zh-CN" w:bidi="ar-SA"/>
              </w:rPr>
            </w:pPr>
            <w:r>
              <w:rPr>
                <w:rFonts w:ascii="仿宋" w:hAnsi="仿宋" w:eastAsia="仿宋"/>
                <w:color w:val="000000"/>
                <w:kern w:val="0"/>
                <w:szCs w:val="21"/>
              </w:rPr>
              <w:t>2021-2025</w:t>
            </w:r>
          </w:p>
        </w:tc>
      </w:tr>
    </w:tbl>
    <w:p>
      <w:pPr>
        <w:keepNext/>
        <w:keepLines/>
        <w:spacing w:beforeLines="100" w:afterLines="100" w:line="360" w:lineRule="auto"/>
        <w:outlineLvl w:val="0"/>
        <w:rPr>
          <w:rFonts w:eastAsia="仿宋_GB2312"/>
          <w:sz w:val="32"/>
          <w:szCs w:val="32"/>
        </w:rPr>
      </w:pPr>
    </w:p>
    <w:p>
      <w:pPr>
        <w:rPr>
          <w:rFonts w:eastAsia="仿宋_GB2312"/>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290060"/>
    </w:sdtPr>
    <w:sdtContent>
      <w:p>
        <w:pPr>
          <w:jc w:val="center"/>
        </w:pPr>
        <w:r>
          <w:fldChar w:fldCharType="begin"/>
        </w:r>
        <w:r>
          <w:instrText xml:space="preserve">PAGE   \* MERGEFORMAT</w:instrText>
        </w:r>
        <w:r>
          <w:fldChar w:fldCharType="separate"/>
        </w:r>
        <w:r>
          <w:rPr>
            <w:lang w:val="zh-CN"/>
          </w:rPr>
          <w:t>2</w:t>
        </w:r>
        <w:r>
          <w:fldChar w:fldCharType="end"/>
        </w:r>
      </w:p>
    </w:sdtContent>
  </w:sdt>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90091"/>
    </w:sdtPr>
    <w:sdtEndPr>
      <w:rPr>
        <w:sz w:val="24"/>
      </w:rPr>
    </w:sdtEndPr>
    <w:sdtContent>
      <w:p>
        <w:pPr>
          <w:jc w:val="center"/>
          <w:rPr>
            <w:sz w:val="24"/>
          </w:rPr>
        </w:pPr>
        <w:r>
          <w:rPr>
            <w:sz w:val="24"/>
          </w:rPr>
          <w:fldChar w:fldCharType="begin"/>
        </w:r>
        <w:r>
          <w:rPr>
            <w:sz w:val="24"/>
          </w:rPr>
          <w:instrText xml:space="preserve">PAGE   \* MERGEFORMAT</w:instrText>
        </w:r>
        <w:r>
          <w:rPr>
            <w:sz w:val="24"/>
          </w:rPr>
          <w:fldChar w:fldCharType="separate"/>
        </w:r>
        <w:r>
          <w:rPr>
            <w:sz w:val="24"/>
            <w:lang w:val="zh-CN"/>
          </w:rPr>
          <w:t>32</w:t>
        </w:r>
        <w:r>
          <w:rPr>
            <w:sz w:val="24"/>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296F"/>
    <w:rsid w:val="000055D0"/>
    <w:rsid w:val="0000564C"/>
    <w:rsid w:val="000101FF"/>
    <w:rsid w:val="000113D6"/>
    <w:rsid w:val="000115D7"/>
    <w:rsid w:val="00011826"/>
    <w:rsid w:val="00012EA9"/>
    <w:rsid w:val="00013E27"/>
    <w:rsid w:val="00015A30"/>
    <w:rsid w:val="0001677D"/>
    <w:rsid w:val="00020127"/>
    <w:rsid w:val="00020639"/>
    <w:rsid w:val="00023219"/>
    <w:rsid w:val="000255FD"/>
    <w:rsid w:val="000320FC"/>
    <w:rsid w:val="00032723"/>
    <w:rsid w:val="00041C6E"/>
    <w:rsid w:val="000440F1"/>
    <w:rsid w:val="00046083"/>
    <w:rsid w:val="00047197"/>
    <w:rsid w:val="000478AD"/>
    <w:rsid w:val="00051952"/>
    <w:rsid w:val="000526A4"/>
    <w:rsid w:val="00053A00"/>
    <w:rsid w:val="00054B34"/>
    <w:rsid w:val="00057286"/>
    <w:rsid w:val="00063336"/>
    <w:rsid w:val="000651D4"/>
    <w:rsid w:val="000716C5"/>
    <w:rsid w:val="00071987"/>
    <w:rsid w:val="00080A9C"/>
    <w:rsid w:val="000816A5"/>
    <w:rsid w:val="000823B6"/>
    <w:rsid w:val="000828EE"/>
    <w:rsid w:val="00086BA6"/>
    <w:rsid w:val="00087E0B"/>
    <w:rsid w:val="00090851"/>
    <w:rsid w:val="00091D96"/>
    <w:rsid w:val="00091E66"/>
    <w:rsid w:val="00092520"/>
    <w:rsid w:val="00092C26"/>
    <w:rsid w:val="00092E5E"/>
    <w:rsid w:val="00093DCC"/>
    <w:rsid w:val="0009526D"/>
    <w:rsid w:val="00095417"/>
    <w:rsid w:val="000A4668"/>
    <w:rsid w:val="000A689C"/>
    <w:rsid w:val="000B130A"/>
    <w:rsid w:val="000B2E8C"/>
    <w:rsid w:val="000B4302"/>
    <w:rsid w:val="000B5540"/>
    <w:rsid w:val="000C5629"/>
    <w:rsid w:val="000C6A4E"/>
    <w:rsid w:val="000D3E98"/>
    <w:rsid w:val="000D5CA7"/>
    <w:rsid w:val="000D779D"/>
    <w:rsid w:val="000E2E90"/>
    <w:rsid w:val="000E3E1F"/>
    <w:rsid w:val="000F0BE5"/>
    <w:rsid w:val="000F4582"/>
    <w:rsid w:val="000F6FF9"/>
    <w:rsid w:val="0010116A"/>
    <w:rsid w:val="00104ADB"/>
    <w:rsid w:val="001056F9"/>
    <w:rsid w:val="00107FA8"/>
    <w:rsid w:val="00114228"/>
    <w:rsid w:val="00116969"/>
    <w:rsid w:val="00121764"/>
    <w:rsid w:val="00122922"/>
    <w:rsid w:val="001233AE"/>
    <w:rsid w:val="001242EC"/>
    <w:rsid w:val="00124A5E"/>
    <w:rsid w:val="0012574C"/>
    <w:rsid w:val="001266B5"/>
    <w:rsid w:val="001267B4"/>
    <w:rsid w:val="00127EE5"/>
    <w:rsid w:val="0013094A"/>
    <w:rsid w:val="00131FE3"/>
    <w:rsid w:val="0013265A"/>
    <w:rsid w:val="00132D8C"/>
    <w:rsid w:val="0013360A"/>
    <w:rsid w:val="00134779"/>
    <w:rsid w:val="001373AE"/>
    <w:rsid w:val="00137E7B"/>
    <w:rsid w:val="0014433E"/>
    <w:rsid w:val="001525A1"/>
    <w:rsid w:val="00161B32"/>
    <w:rsid w:val="00161C32"/>
    <w:rsid w:val="0016412B"/>
    <w:rsid w:val="00165B97"/>
    <w:rsid w:val="001669A8"/>
    <w:rsid w:val="0017113C"/>
    <w:rsid w:val="001720B2"/>
    <w:rsid w:val="00172D38"/>
    <w:rsid w:val="0017619A"/>
    <w:rsid w:val="0018047F"/>
    <w:rsid w:val="00182223"/>
    <w:rsid w:val="00187D8E"/>
    <w:rsid w:val="001915DD"/>
    <w:rsid w:val="0019290A"/>
    <w:rsid w:val="0019527D"/>
    <w:rsid w:val="0019581D"/>
    <w:rsid w:val="00195AF3"/>
    <w:rsid w:val="00197350"/>
    <w:rsid w:val="001A16F3"/>
    <w:rsid w:val="001A2D98"/>
    <w:rsid w:val="001A4289"/>
    <w:rsid w:val="001A4DEB"/>
    <w:rsid w:val="001B2605"/>
    <w:rsid w:val="001B3738"/>
    <w:rsid w:val="001B3BCE"/>
    <w:rsid w:val="001B464D"/>
    <w:rsid w:val="001B4791"/>
    <w:rsid w:val="001B62A8"/>
    <w:rsid w:val="001B6DE8"/>
    <w:rsid w:val="001B7CD1"/>
    <w:rsid w:val="001C0472"/>
    <w:rsid w:val="001C1686"/>
    <w:rsid w:val="001C1E4A"/>
    <w:rsid w:val="001C45A0"/>
    <w:rsid w:val="001C7DA7"/>
    <w:rsid w:val="001C7FF5"/>
    <w:rsid w:val="001D2AF6"/>
    <w:rsid w:val="001D2B79"/>
    <w:rsid w:val="001D3B90"/>
    <w:rsid w:val="001D7E53"/>
    <w:rsid w:val="001E0953"/>
    <w:rsid w:val="001E4F8B"/>
    <w:rsid w:val="001E59D8"/>
    <w:rsid w:val="001E6B58"/>
    <w:rsid w:val="001E7A16"/>
    <w:rsid w:val="001F066E"/>
    <w:rsid w:val="001F138A"/>
    <w:rsid w:val="001F4C51"/>
    <w:rsid w:val="001F561F"/>
    <w:rsid w:val="001F5B9A"/>
    <w:rsid w:val="0020116B"/>
    <w:rsid w:val="00201D44"/>
    <w:rsid w:val="002026B2"/>
    <w:rsid w:val="00207581"/>
    <w:rsid w:val="0021167F"/>
    <w:rsid w:val="00213AC8"/>
    <w:rsid w:val="00213E62"/>
    <w:rsid w:val="002161E8"/>
    <w:rsid w:val="00220666"/>
    <w:rsid w:val="00220A5E"/>
    <w:rsid w:val="0022122F"/>
    <w:rsid w:val="002245A0"/>
    <w:rsid w:val="00224896"/>
    <w:rsid w:val="002262F6"/>
    <w:rsid w:val="00227E33"/>
    <w:rsid w:val="00233140"/>
    <w:rsid w:val="0023565E"/>
    <w:rsid w:val="002359B0"/>
    <w:rsid w:val="00235EF5"/>
    <w:rsid w:val="00236440"/>
    <w:rsid w:val="00237CD3"/>
    <w:rsid w:val="00242DCA"/>
    <w:rsid w:val="0024335F"/>
    <w:rsid w:val="002437DA"/>
    <w:rsid w:val="0024384F"/>
    <w:rsid w:val="002440E6"/>
    <w:rsid w:val="002446AE"/>
    <w:rsid w:val="00245DFE"/>
    <w:rsid w:val="00246890"/>
    <w:rsid w:val="00250EED"/>
    <w:rsid w:val="0025754E"/>
    <w:rsid w:val="00257A2F"/>
    <w:rsid w:val="0026032B"/>
    <w:rsid w:val="00261965"/>
    <w:rsid w:val="00262A08"/>
    <w:rsid w:val="00264CFF"/>
    <w:rsid w:val="002655A3"/>
    <w:rsid w:val="00266F6E"/>
    <w:rsid w:val="002673FE"/>
    <w:rsid w:val="00270324"/>
    <w:rsid w:val="00272C3C"/>
    <w:rsid w:val="002740AC"/>
    <w:rsid w:val="00274150"/>
    <w:rsid w:val="0027492A"/>
    <w:rsid w:val="00274982"/>
    <w:rsid w:val="002760B7"/>
    <w:rsid w:val="002772B8"/>
    <w:rsid w:val="00277AD8"/>
    <w:rsid w:val="002809D3"/>
    <w:rsid w:val="00280C21"/>
    <w:rsid w:val="002815C9"/>
    <w:rsid w:val="00281FB5"/>
    <w:rsid w:val="0028266C"/>
    <w:rsid w:val="00283E15"/>
    <w:rsid w:val="00285480"/>
    <w:rsid w:val="002854A7"/>
    <w:rsid w:val="00285FE4"/>
    <w:rsid w:val="0029198E"/>
    <w:rsid w:val="002935C7"/>
    <w:rsid w:val="002974FA"/>
    <w:rsid w:val="002A3B0D"/>
    <w:rsid w:val="002A4FAE"/>
    <w:rsid w:val="002A5738"/>
    <w:rsid w:val="002A57F0"/>
    <w:rsid w:val="002A6826"/>
    <w:rsid w:val="002B166E"/>
    <w:rsid w:val="002B41ED"/>
    <w:rsid w:val="002B7CAB"/>
    <w:rsid w:val="002C036C"/>
    <w:rsid w:val="002C7AEC"/>
    <w:rsid w:val="002D172A"/>
    <w:rsid w:val="002D30AD"/>
    <w:rsid w:val="002D3ECB"/>
    <w:rsid w:val="002D63BD"/>
    <w:rsid w:val="002D72CC"/>
    <w:rsid w:val="002E1513"/>
    <w:rsid w:val="002E52A8"/>
    <w:rsid w:val="002E5405"/>
    <w:rsid w:val="002E77F6"/>
    <w:rsid w:val="002F4C2B"/>
    <w:rsid w:val="002F6A78"/>
    <w:rsid w:val="002F7C88"/>
    <w:rsid w:val="00301159"/>
    <w:rsid w:val="00303F00"/>
    <w:rsid w:val="00305B36"/>
    <w:rsid w:val="003103F1"/>
    <w:rsid w:val="0031100B"/>
    <w:rsid w:val="00321C28"/>
    <w:rsid w:val="00321E7D"/>
    <w:rsid w:val="00324918"/>
    <w:rsid w:val="003255BC"/>
    <w:rsid w:val="00331172"/>
    <w:rsid w:val="003324EF"/>
    <w:rsid w:val="0033310B"/>
    <w:rsid w:val="003374C5"/>
    <w:rsid w:val="00337C75"/>
    <w:rsid w:val="00344AB3"/>
    <w:rsid w:val="00344E2C"/>
    <w:rsid w:val="00344EE9"/>
    <w:rsid w:val="0034519A"/>
    <w:rsid w:val="00345D64"/>
    <w:rsid w:val="003530CA"/>
    <w:rsid w:val="003540B6"/>
    <w:rsid w:val="00354455"/>
    <w:rsid w:val="00354BEB"/>
    <w:rsid w:val="003559F4"/>
    <w:rsid w:val="00356E9B"/>
    <w:rsid w:val="00361496"/>
    <w:rsid w:val="00361E3C"/>
    <w:rsid w:val="003628CE"/>
    <w:rsid w:val="003635A4"/>
    <w:rsid w:val="00371EB6"/>
    <w:rsid w:val="003725E5"/>
    <w:rsid w:val="0037447B"/>
    <w:rsid w:val="00374A2F"/>
    <w:rsid w:val="00376A6E"/>
    <w:rsid w:val="00376F8F"/>
    <w:rsid w:val="00380024"/>
    <w:rsid w:val="0038182E"/>
    <w:rsid w:val="00385494"/>
    <w:rsid w:val="00386662"/>
    <w:rsid w:val="00386BF9"/>
    <w:rsid w:val="003934E9"/>
    <w:rsid w:val="0039584C"/>
    <w:rsid w:val="0039617D"/>
    <w:rsid w:val="00397030"/>
    <w:rsid w:val="003A423E"/>
    <w:rsid w:val="003A4F8D"/>
    <w:rsid w:val="003A5574"/>
    <w:rsid w:val="003B0071"/>
    <w:rsid w:val="003B520B"/>
    <w:rsid w:val="003C1927"/>
    <w:rsid w:val="003C2BA8"/>
    <w:rsid w:val="003C478B"/>
    <w:rsid w:val="003C65DD"/>
    <w:rsid w:val="003C6AF5"/>
    <w:rsid w:val="003D0E72"/>
    <w:rsid w:val="003D1C1A"/>
    <w:rsid w:val="003D578C"/>
    <w:rsid w:val="003E3B4B"/>
    <w:rsid w:val="003E6434"/>
    <w:rsid w:val="003F1C3F"/>
    <w:rsid w:val="003F4DCF"/>
    <w:rsid w:val="003F5964"/>
    <w:rsid w:val="003F75C8"/>
    <w:rsid w:val="004002C4"/>
    <w:rsid w:val="00402953"/>
    <w:rsid w:val="004053B0"/>
    <w:rsid w:val="004066A8"/>
    <w:rsid w:val="00407068"/>
    <w:rsid w:val="00410945"/>
    <w:rsid w:val="00411F5D"/>
    <w:rsid w:val="004125F3"/>
    <w:rsid w:val="00412B4B"/>
    <w:rsid w:val="00413DCB"/>
    <w:rsid w:val="00414153"/>
    <w:rsid w:val="0041457E"/>
    <w:rsid w:val="00415C0C"/>
    <w:rsid w:val="00416E90"/>
    <w:rsid w:val="0041765C"/>
    <w:rsid w:val="0042228D"/>
    <w:rsid w:val="00422F94"/>
    <w:rsid w:val="004233A2"/>
    <w:rsid w:val="004252FD"/>
    <w:rsid w:val="00425D7F"/>
    <w:rsid w:val="00426773"/>
    <w:rsid w:val="00430330"/>
    <w:rsid w:val="00433802"/>
    <w:rsid w:val="004339F6"/>
    <w:rsid w:val="00434287"/>
    <w:rsid w:val="00434B41"/>
    <w:rsid w:val="0043798E"/>
    <w:rsid w:val="00444884"/>
    <w:rsid w:val="004466D4"/>
    <w:rsid w:val="0045375B"/>
    <w:rsid w:val="00456EB5"/>
    <w:rsid w:val="00473050"/>
    <w:rsid w:val="00473429"/>
    <w:rsid w:val="00482B88"/>
    <w:rsid w:val="0048424D"/>
    <w:rsid w:val="004865FA"/>
    <w:rsid w:val="00490625"/>
    <w:rsid w:val="00491C0A"/>
    <w:rsid w:val="00491FFE"/>
    <w:rsid w:val="004924E6"/>
    <w:rsid w:val="00494D69"/>
    <w:rsid w:val="00495B48"/>
    <w:rsid w:val="00495BC5"/>
    <w:rsid w:val="00495D70"/>
    <w:rsid w:val="004A255F"/>
    <w:rsid w:val="004A53F9"/>
    <w:rsid w:val="004A5680"/>
    <w:rsid w:val="004B556D"/>
    <w:rsid w:val="004C027B"/>
    <w:rsid w:val="004C08B1"/>
    <w:rsid w:val="004C1070"/>
    <w:rsid w:val="004C1155"/>
    <w:rsid w:val="004C1889"/>
    <w:rsid w:val="004C1DF2"/>
    <w:rsid w:val="004C3042"/>
    <w:rsid w:val="004C40D9"/>
    <w:rsid w:val="004C5BF3"/>
    <w:rsid w:val="004C68CF"/>
    <w:rsid w:val="004D00E3"/>
    <w:rsid w:val="004D0799"/>
    <w:rsid w:val="004D0EA6"/>
    <w:rsid w:val="004D1433"/>
    <w:rsid w:val="004D359E"/>
    <w:rsid w:val="004D4A7C"/>
    <w:rsid w:val="004D66AF"/>
    <w:rsid w:val="004D695A"/>
    <w:rsid w:val="004D6BDF"/>
    <w:rsid w:val="004D7664"/>
    <w:rsid w:val="004D7952"/>
    <w:rsid w:val="004E17A5"/>
    <w:rsid w:val="004E1AA6"/>
    <w:rsid w:val="004E3AF0"/>
    <w:rsid w:val="004E4F3C"/>
    <w:rsid w:val="004F1255"/>
    <w:rsid w:val="004F1D98"/>
    <w:rsid w:val="004F3B51"/>
    <w:rsid w:val="004F4195"/>
    <w:rsid w:val="004F4F41"/>
    <w:rsid w:val="004F6AA9"/>
    <w:rsid w:val="00501967"/>
    <w:rsid w:val="005023B8"/>
    <w:rsid w:val="0050247C"/>
    <w:rsid w:val="00502A3B"/>
    <w:rsid w:val="00504006"/>
    <w:rsid w:val="0050760B"/>
    <w:rsid w:val="005106B2"/>
    <w:rsid w:val="005108DE"/>
    <w:rsid w:val="005158E8"/>
    <w:rsid w:val="00517948"/>
    <w:rsid w:val="00523229"/>
    <w:rsid w:val="00524CAC"/>
    <w:rsid w:val="00525A45"/>
    <w:rsid w:val="00525D76"/>
    <w:rsid w:val="005273C4"/>
    <w:rsid w:val="00530320"/>
    <w:rsid w:val="00532146"/>
    <w:rsid w:val="005354B3"/>
    <w:rsid w:val="005362CE"/>
    <w:rsid w:val="00537056"/>
    <w:rsid w:val="00541947"/>
    <w:rsid w:val="00542088"/>
    <w:rsid w:val="005466A6"/>
    <w:rsid w:val="005469C6"/>
    <w:rsid w:val="00553109"/>
    <w:rsid w:val="00553ABB"/>
    <w:rsid w:val="005571DC"/>
    <w:rsid w:val="00562842"/>
    <w:rsid w:val="00565C91"/>
    <w:rsid w:val="00565E9A"/>
    <w:rsid w:val="00567176"/>
    <w:rsid w:val="0057022D"/>
    <w:rsid w:val="00571736"/>
    <w:rsid w:val="00572535"/>
    <w:rsid w:val="0057551B"/>
    <w:rsid w:val="00580340"/>
    <w:rsid w:val="0058176A"/>
    <w:rsid w:val="00581E4A"/>
    <w:rsid w:val="00586032"/>
    <w:rsid w:val="00587BF0"/>
    <w:rsid w:val="005906AE"/>
    <w:rsid w:val="00591CAC"/>
    <w:rsid w:val="00592591"/>
    <w:rsid w:val="00594DA9"/>
    <w:rsid w:val="00596534"/>
    <w:rsid w:val="005A0328"/>
    <w:rsid w:val="005A0A54"/>
    <w:rsid w:val="005A189B"/>
    <w:rsid w:val="005A3A96"/>
    <w:rsid w:val="005A50AA"/>
    <w:rsid w:val="005A7DD6"/>
    <w:rsid w:val="005B0A88"/>
    <w:rsid w:val="005B1695"/>
    <w:rsid w:val="005B1DF4"/>
    <w:rsid w:val="005B3804"/>
    <w:rsid w:val="005B3F73"/>
    <w:rsid w:val="005B63C1"/>
    <w:rsid w:val="005C1F7B"/>
    <w:rsid w:val="005C2CD4"/>
    <w:rsid w:val="005D084F"/>
    <w:rsid w:val="005D238F"/>
    <w:rsid w:val="005D62FD"/>
    <w:rsid w:val="005D6336"/>
    <w:rsid w:val="005D7FEF"/>
    <w:rsid w:val="005E6572"/>
    <w:rsid w:val="005E70C3"/>
    <w:rsid w:val="005F23DA"/>
    <w:rsid w:val="005F509B"/>
    <w:rsid w:val="005F6F8A"/>
    <w:rsid w:val="005F7312"/>
    <w:rsid w:val="005F7760"/>
    <w:rsid w:val="005F7EBC"/>
    <w:rsid w:val="00602AC6"/>
    <w:rsid w:val="006044C0"/>
    <w:rsid w:val="00607837"/>
    <w:rsid w:val="00610372"/>
    <w:rsid w:val="00611201"/>
    <w:rsid w:val="00612287"/>
    <w:rsid w:val="006146DC"/>
    <w:rsid w:val="006152C8"/>
    <w:rsid w:val="00617542"/>
    <w:rsid w:val="006223AA"/>
    <w:rsid w:val="0062253A"/>
    <w:rsid w:val="00623E9C"/>
    <w:rsid w:val="00624690"/>
    <w:rsid w:val="00625E5F"/>
    <w:rsid w:val="0063024F"/>
    <w:rsid w:val="00632BA4"/>
    <w:rsid w:val="00634528"/>
    <w:rsid w:val="00635F69"/>
    <w:rsid w:val="00636055"/>
    <w:rsid w:val="00636AA5"/>
    <w:rsid w:val="0063744C"/>
    <w:rsid w:val="00640404"/>
    <w:rsid w:val="00640FDA"/>
    <w:rsid w:val="006417EB"/>
    <w:rsid w:val="0064444D"/>
    <w:rsid w:val="0064692F"/>
    <w:rsid w:val="00646E29"/>
    <w:rsid w:val="00650450"/>
    <w:rsid w:val="00651583"/>
    <w:rsid w:val="00652362"/>
    <w:rsid w:val="00653CB3"/>
    <w:rsid w:val="00654267"/>
    <w:rsid w:val="00655F1F"/>
    <w:rsid w:val="006577B9"/>
    <w:rsid w:val="00662DFF"/>
    <w:rsid w:val="006650C9"/>
    <w:rsid w:val="006652A7"/>
    <w:rsid w:val="006660B3"/>
    <w:rsid w:val="006661A6"/>
    <w:rsid w:val="00667C58"/>
    <w:rsid w:val="006709DB"/>
    <w:rsid w:val="006723C9"/>
    <w:rsid w:val="0067469B"/>
    <w:rsid w:val="00676153"/>
    <w:rsid w:val="00677970"/>
    <w:rsid w:val="0068094E"/>
    <w:rsid w:val="00683217"/>
    <w:rsid w:val="006834BF"/>
    <w:rsid w:val="00683B7F"/>
    <w:rsid w:val="006851A8"/>
    <w:rsid w:val="006908C9"/>
    <w:rsid w:val="006909D0"/>
    <w:rsid w:val="00690B09"/>
    <w:rsid w:val="00690CED"/>
    <w:rsid w:val="0069145E"/>
    <w:rsid w:val="0069169E"/>
    <w:rsid w:val="00692B6C"/>
    <w:rsid w:val="00693898"/>
    <w:rsid w:val="006A17C2"/>
    <w:rsid w:val="006A68C4"/>
    <w:rsid w:val="006B02FC"/>
    <w:rsid w:val="006B0C06"/>
    <w:rsid w:val="006B2E95"/>
    <w:rsid w:val="006B4F0A"/>
    <w:rsid w:val="006B52A1"/>
    <w:rsid w:val="006B6AC5"/>
    <w:rsid w:val="006B71D5"/>
    <w:rsid w:val="006C21E7"/>
    <w:rsid w:val="006C33D5"/>
    <w:rsid w:val="006C3416"/>
    <w:rsid w:val="006C3F75"/>
    <w:rsid w:val="006C41BE"/>
    <w:rsid w:val="006C4B6C"/>
    <w:rsid w:val="006C5892"/>
    <w:rsid w:val="006C63B3"/>
    <w:rsid w:val="006C6D16"/>
    <w:rsid w:val="006D0BBA"/>
    <w:rsid w:val="006D22BF"/>
    <w:rsid w:val="006E0131"/>
    <w:rsid w:val="006E053C"/>
    <w:rsid w:val="006E19C7"/>
    <w:rsid w:val="006E2A01"/>
    <w:rsid w:val="006E6705"/>
    <w:rsid w:val="006F0097"/>
    <w:rsid w:val="006F28E6"/>
    <w:rsid w:val="006F2EE1"/>
    <w:rsid w:val="006F3488"/>
    <w:rsid w:val="006F517C"/>
    <w:rsid w:val="007028C3"/>
    <w:rsid w:val="00702CC3"/>
    <w:rsid w:val="00702EAC"/>
    <w:rsid w:val="007039C6"/>
    <w:rsid w:val="00707E91"/>
    <w:rsid w:val="007100EF"/>
    <w:rsid w:val="00710D2A"/>
    <w:rsid w:val="007161B0"/>
    <w:rsid w:val="00724FAF"/>
    <w:rsid w:val="00725466"/>
    <w:rsid w:val="00725A60"/>
    <w:rsid w:val="00730CF1"/>
    <w:rsid w:val="00731728"/>
    <w:rsid w:val="00733801"/>
    <w:rsid w:val="007347A2"/>
    <w:rsid w:val="00735F07"/>
    <w:rsid w:val="00741851"/>
    <w:rsid w:val="00741A72"/>
    <w:rsid w:val="00742B32"/>
    <w:rsid w:val="00743327"/>
    <w:rsid w:val="007439D1"/>
    <w:rsid w:val="00743C06"/>
    <w:rsid w:val="00755732"/>
    <w:rsid w:val="00757A3D"/>
    <w:rsid w:val="00762CE3"/>
    <w:rsid w:val="00763337"/>
    <w:rsid w:val="00763FB5"/>
    <w:rsid w:val="007671EF"/>
    <w:rsid w:val="0077062F"/>
    <w:rsid w:val="00770FB2"/>
    <w:rsid w:val="007726C0"/>
    <w:rsid w:val="00772EBC"/>
    <w:rsid w:val="00774450"/>
    <w:rsid w:val="00775C72"/>
    <w:rsid w:val="0077628F"/>
    <w:rsid w:val="00776446"/>
    <w:rsid w:val="00780620"/>
    <w:rsid w:val="007829F3"/>
    <w:rsid w:val="00784B53"/>
    <w:rsid w:val="0078704F"/>
    <w:rsid w:val="00787488"/>
    <w:rsid w:val="00787594"/>
    <w:rsid w:val="00793276"/>
    <w:rsid w:val="0079452C"/>
    <w:rsid w:val="00795384"/>
    <w:rsid w:val="00796AF2"/>
    <w:rsid w:val="007A0FCD"/>
    <w:rsid w:val="007A1B61"/>
    <w:rsid w:val="007A2F1A"/>
    <w:rsid w:val="007A3E75"/>
    <w:rsid w:val="007A3F8C"/>
    <w:rsid w:val="007A678C"/>
    <w:rsid w:val="007B1CD3"/>
    <w:rsid w:val="007B2994"/>
    <w:rsid w:val="007B563D"/>
    <w:rsid w:val="007B6ED4"/>
    <w:rsid w:val="007C7EC6"/>
    <w:rsid w:val="007D0388"/>
    <w:rsid w:val="007D2C4A"/>
    <w:rsid w:val="007D3271"/>
    <w:rsid w:val="007D4222"/>
    <w:rsid w:val="007D55A9"/>
    <w:rsid w:val="007D6642"/>
    <w:rsid w:val="007E0256"/>
    <w:rsid w:val="007E0988"/>
    <w:rsid w:val="007E1C21"/>
    <w:rsid w:val="007E3C3D"/>
    <w:rsid w:val="007E46E5"/>
    <w:rsid w:val="007E619A"/>
    <w:rsid w:val="007E72CE"/>
    <w:rsid w:val="007F0527"/>
    <w:rsid w:val="007F053C"/>
    <w:rsid w:val="007F22D2"/>
    <w:rsid w:val="007F2DDC"/>
    <w:rsid w:val="007F62E8"/>
    <w:rsid w:val="008007B2"/>
    <w:rsid w:val="00802390"/>
    <w:rsid w:val="008025E2"/>
    <w:rsid w:val="008046DF"/>
    <w:rsid w:val="00806EE0"/>
    <w:rsid w:val="00807EEF"/>
    <w:rsid w:val="008129EF"/>
    <w:rsid w:val="008175CC"/>
    <w:rsid w:val="008204F1"/>
    <w:rsid w:val="00823196"/>
    <w:rsid w:val="00823B10"/>
    <w:rsid w:val="00824704"/>
    <w:rsid w:val="00824A05"/>
    <w:rsid w:val="00827D2A"/>
    <w:rsid w:val="00830A5A"/>
    <w:rsid w:val="00835012"/>
    <w:rsid w:val="008406DD"/>
    <w:rsid w:val="00842A93"/>
    <w:rsid w:val="00843927"/>
    <w:rsid w:val="00843930"/>
    <w:rsid w:val="008441E3"/>
    <w:rsid w:val="0084537D"/>
    <w:rsid w:val="008464A8"/>
    <w:rsid w:val="00850253"/>
    <w:rsid w:val="00856E9D"/>
    <w:rsid w:val="00860773"/>
    <w:rsid w:val="008615BF"/>
    <w:rsid w:val="008621EA"/>
    <w:rsid w:val="00862722"/>
    <w:rsid w:val="008644BD"/>
    <w:rsid w:val="00864648"/>
    <w:rsid w:val="00864904"/>
    <w:rsid w:val="008659B3"/>
    <w:rsid w:val="00867725"/>
    <w:rsid w:val="00867760"/>
    <w:rsid w:val="00867FE0"/>
    <w:rsid w:val="0087012B"/>
    <w:rsid w:val="00874FFD"/>
    <w:rsid w:val="00875EB8"/>
    <w:rsid w:val="008810E7"/>
    <w:rsid w:val="00882C5A"/>
    <w:rsid w:val="00882D2E"/>
    <w:rsid w:val="00884F33"/>
    <w:rsid w:val="00890557"/>
    <w:rsid w:val="00891B31"/>
    <w:rsid w:val="00893787"/>
    <w:rsid w:val="008946C0"/>
    <w:rsid w:val="00895A0C"/>
    <w:rsid w:val="00897280"/>
    <w:rsid w:val="0089745C"/>
    <w:rsid w:val="008A4598"/>
    <w:rsid w:val="008A472A"/>
    <w:rsid w:val="008A4ECF"/>
    <w:rsid w:val="008A5C3D"/>
    <w:rsid w:val="008A635B"/>
    <w:rsid w:val="008B2903"/>
    <w:rsid w:val="008B2E9D"/>
    <w:rsid w:val="008B6823"/>
    <w:rsid w:val="008B6CBB"/>
    <w:rsid w:val="008C147A"/>
    <w:rsid w:val="008C1711"/>
    <w:rsid w:val="008C1F10"/>
    <w:rsid w:val="008C2B9A"/>
    <w:rsid w:val="008D16A0"/>
    <w:rsid w:val="008D1BF9"/>
    <w:rsid w:val="008D3B3C"/>
    <w:rsid w:val="008E4E7F"/>
    <w:rsid w:val="008F1BA3"/>
    <w:rsid w:val="008F29A2"/>
    <w:rsid w:val="008F437E"/>
    <w:rsid w:val="008F449E"/>
    <w:rsid w:val="008F5D99"/>
    <w:rsid w:val="008F60B0"/>
    <w:rsid w:val="008F76F8"/>
    <w:rsid w:val="009007DD"/>
    <w:rsid w:val="00907B51"/>
    <w:rsid w:val="00911390"/>
    <w:rsid w:val="009135E2"/>
    <w:rsid w:val="00914F4C"/>
    <w:rsid w:val="00924C1F"/>
    <w:rsid w:val="00926529"/>
    <w:rsid w:val="009266E2"/>
    <w:rsid w:val="00926A93"/>
    <w:rsid w:val="00927FAC"/>
    <w:rsid w:val="00930FDC"/>
    <w:rsid w:val="00931B96"/>
    <w:rsid w:val="00932C63"/>
    <w:rsid w:val="0093522B"/>
    <w:rsid w:val="00937FE7"/>
    <w:rsid w:val="00941BAD"/>
    <w:rsid w:val="00941D1E"/>
    <w:rsid w:val="00942119"/>
    <w:rsid w:val="009429CC"/>
    <w:rsid w:val="00943540"/>
    <w:rsid w:val="00945655"/>
    <w:rsid w:val="009536F4"/>
    <w:rsid w:val="00956020"/>
    <w:rsid w:val="00956641"/>
    <w:rsid w:val="00957BD1"/>
    <w:rsid w:val="0096003C"/>
    <w:rsid w:val="00960BA0"/>
    <w:rsid w:val="00967166"/>
    <w:rsid w:val="00971E3F"/>
    <w:rsid w:val="009745A3"/>
    <w:rsid w:val="00975B0E"/>
    <w:rsid w:val="00976321"/>
    <w:rsid w:val="00976882"/>
    <w:rsid w:val="009815A7"/>
    <w:rsid w:val="009836C6"/>
    <w:rsid w:val="00985603"/>
    <w:rsid w:val="0098594B"/>
    <w:rsid w:val="009905C5"/>
    <w:rsid w:val="0099156E"/>
    <w:rsid w:val="0099468B"/>
    <w:rsid w:val="00994B65"/>
    <w:rsid w:val="009A0376"/>
    <w:rsid w:val="009A773C"/>
    <w:rsid w:val="009A7FEB"/>
    <w:rsid w:val="009B2D83"/>
    <w:rsid w:val="009B482F"/>
    <w:rsid w:val="009B4B4B"/>
    <w:rsid w:val="009B6906"/>
    <w:rsid w:val="009C507D"/>
    <w:rsid w:val="009C6748"/>
    <w:rsid w:val="009D1172"/>
    <w:rsid w:val="009D22D8"/>
    <w:rsid w:val="009D31EE"/>
    <w:rsid w:val="009D4F19"/>
    <w:rsid w:val="009E01CF"/>
    <w:rsid w:val="009E2287"/>
    <w:rsid w:val="009E23F8"/>
    <w:rsid w:val="009E72AE"/>
    <w:rsid w:val="009F38C2"/>
    <w:rsid w:val="009F40A8"/>
    <w:rsid w:val="009F42F3"/>
    <w:rsid w:val="00A00377"/>
    <w:rsid w:val="00A0186B"/>
    <w:rsid w:val="00A0434A"/>
    <w:rsid w:val="00A10FA2"/>
    <w:rsid w:val="00A112C1"/>
    <w:rsid w:val="00A11DFD"/>
    <w:rsid w:val="00A11EC3"/>
    <w:rsid w:val="00A12FE2"/>
    <w:rsid w:val="00A16673"/>
    <w:rsid w:val="00A1773E"/>
    <w:rsid w:val="00A1784D"/>
    <w:rsid w:val="00A231F2"/>
    <w:rsid w:val="00A246E0"/>
    <w:rsid w:val="00A2795E"/>
    <w:rsid w:val="00A3388F"/>
    <w:rsid w:val="00A33F63"/>
    <w:rsid w:val="00A35637"/>
    <w:rsid w:val="00A35BB2"/>
    <w:rsid w:val="00A36E0A"/>
    <w:rsid w:val="00A41059"/>
    <w:rsid w:val="00A416A1"/>
    <w:rsid w:val="00A550BA"/>
    <w:rsid w:val="00A56D25"/>
    <w:rsid w:val="00A60E4D"/>
    <w:rsid w:val="00A655EA"/>
    <w:rsid w:val="00A65EFA"/>
    <w:rsid w:val="00A70492"/>
    <w:rsid w:val="00A71195"/>
    <w:rsid w:val="00A71ED3"/>
    <w:rsid w:val="00A736F7"/>
    <w:rsid w:val="00A74B98"/>
    <w:rsid w:val="00A74C04"/>
    <w:rsid w:val="00A76534"/>
    <w:rsid w:val="00A76618"/>
    <w:rsid w:val="00A773F6"/>
    <w:rsid w:val="00A77655"/>
    <w:rsid w:val="00A81375"/>
    <w:rsid w:val="00A81B75"/>
    <w:rsid w:val="00A8341D"/>
    <w:rsid w:val="00A83F59"/>
    <w:rsid w:val="00A8505C"/>
    <w:rsid w:val="00A85830"/>
    <w:rsid w:val="00A85A17"/>
    <w:rsid w:val="00A8702F"/>
    <w:rsid w:val="00A900FA"/>
    <w:rsid w:val="00A90BAC"/>
    <w:rsid w:val="00A9189C"/>
    <w:rsid w:val="00A94664"/>
    <w:rsid w:val="00A94C8B"/>
    <w:rsid w:val="00A97C6B"/>
    <w:rsid w:val="00AA044B"/>
    <w:rsid w:val="00AA060C"/>
    <w:rsid w:val="00AA1471"/>
    <w:rsid w:val="00AA57E9"/>
    <w:rsid w:val="00AA5A54"/>
    <w:rsid w:val="00AA5C23"/>
    <w:rsid w:val="00AA739B"/>
    <w:rsid w:val="00AB0AD5"/>
    <w:rsid w:val="00AB2EC0"/>
    <w:rsid w:val="00AC106A"/>
    <w:rsid w:val="00AC2511"/>
    <w:rsid w:val="00AC4132"/>
    <w:rsid w:val="00AC4BD9"/>
    <w:rsid w:val="00AC4C92"/>
    <w:rsid w:val="00AD04C0"/>
    <w:rsid w:val="00AD04EE"/>
    <w:rsid w:val="00AD21CF"/>
    <w:rsid w:val="00AD2484"/>
    <w:rsid w:val="00AD26DD"/>
    <w:rsid w:val="00AD5A63"/>
    <w:rsid w:val="00AE0DFC"/>
    <w:rsid w:val="00AE0EAA"/>
    <w:rsid w:val="00AE2331"/>
    <w:rsid w:val="00AE2769"/>
    <w:rsid w:val="00AE418D"/>
    <w:rsid w:val="00AE5777"/>
    <w:rsid w:val="00AE7B28"/>
    <w:rsid w:val="00AF5B74"/>
    <w:rsid w:val="00AF64A6"/>
    <w:rsid w:val="00B0009C"/>
    <w:rsid w:val="00B0239C"/>
    <w:rsid w:val="00B02475"/>
    <w:rsid w:val="00B035D5"/>
    <w:rsid w:val="00B03602"/>
    <w:rsid w:val="00B0533F"/>
    <w:rsid w:val="00B054F3"/>
    <w:rsid w:val="00B060E2"/>
    <w:rsid w:val="00B067B1"/>
    <w:rsid w:val="00B06814"/>
    <w:rsid w:val="00B06A5C"/>
    <w:rsid w:val="00B1420D"/>
    <w:rsid w:val="00B144F2"/>
    <w:rsid w:val="00B15E6D"/>
    <w:rsid w:val="00B16426"/>
    <w:rsid w:val="00B165F2"/>
    <w:rsid w:val="00B17BB2"/>
    <w:rsid w:val="00B203B5"/>
    <w:rsid w:val="00B20941"/>
    <w:rsid w:val="00B20F69"/>
    <w:rsid w:val="00B22D41"/>
    <w:rsid w:val="00B23BB6"/>
    <w:rsid w:val="00B258E1"/>
    <w:rsid w:val="00B26CC0"/>
    <w:rsid w:val="00B278C3"/>
    <w:rsid w:val="00B314E5"/>
    <w:rsid w:val="00B31A35"/>
    <w:rsid w:val="00B353D6"/>
    <w:rsid w:val="00B4417B"/>
    <w:rsid w:val="00B46C8C"/>
    <w:rsid w:val="00B46E9D"/>
    <w:rsid w:val="00B500F6"/>
    <w:rsid w:val="00B50EBE"/>
    <w:rsid w:val="00B51724"/>
    <w:rsid w:val="00B519D2"/>
    <w:rsid w:val="00B51E60"/>
    <w:rsid w:val="00B5745F"/>
    <w:rsid w:val="00B616C7"/>
    <w:rsid w:val="00B62288"/>
    <w:rsid w:val="00B633D7"/>
    <w:rsid w:val="00B656C2"/>
    <w:rsid w:val="00B662A9"/>
    <w:rsid w:val="00B66394"/>
    <w:rsid w:val="00B7562A"/>
    <w:rsid w:val="00B80CFD"/>
    <w:rsid w:val="00B81C9C"/>
    <w:rsid w:val="00B81DE5"/>
    <w:rsid w:val="00B8298D"/>
    <w:rsid w:val="00B852BD"/>
    <w:rsid w:val="00B90183"/>
    <w:rsid w:val="00B9214F"/>
    <w:rsid w:val="00B93F9A"/>
    <w:rsid w:val="00B95B44"/>
    <w:rsid w:val="00B96707"/>
    <w:rsid w:val="00BA0DEE"/>
    <w:rsid w:val="00BA150F"/>
    <w:rsid w:val="00BA1FF9"/>
    <w:rsid w:val="00BA44B8"/>
    <w:rsid w:val="00BA4F7F"/>
    <w:rsid w:val="00BA56D5"/>
    <w:rsid w:val="00BA6B38"/>
    <w:rsid w:val="00BA7892"/>
    <w:rsid w:val="00BB042B"/>
    <w:rsid w:val="00BB0763"/>
    <w:rsid w:val="00BB0CD1"/>
    <w:rsid w:val="00BB36A3"/>
    <w:rsid w:val="00BC3562"/>
    <w:rsid w:val="00BC397B"/>
    <w:rsid w:val="00BC496E"/>
    <w:rsid w:val="00BC5AE2"/>
    <w:rsid w:val="00BC5BB0"/>
    <w:rsid w:val="00BD2166"/>
    <w:rsid w:val="00BD3678"/>
    <w:rsid w:val="00BD5A1D"/>
    <w:rsid w:val="00BD6F49"/>
    <w:rsid w:val="00BE163C"/>
    <w:rsid w:val="00BE245C"/>
    <w:rsid w:val="00BE2D89"/>
    <w:rsid w:val="00BE4300"/>
    <w:rsid w:val="00BE43C6"/>
    <w:rsid w:val="00BF46F0"/>
    <w:rsid w:val="00BF4B29"/>
    <w:rsid w:val="00BF51EA"/>
    <w:rsid w:val="00BF723D"/>
    <w:rsid w:val="00C017CE"/>
    <w:rsid w:val="00C02E2B"/>
    <w:rsid w:val="00C0306C"/>
    <w:rsid w:val="00C11C93"/>
    <w:rsid w:val="00C14AA7"/>
    <w:rsid w:val="00C2081B"/>
    <w:rsid w:val="00C22C27"/>
    <w:rsid w:val="00C23A2B"/>
    <w:rsid w:val="00C259DB"/>
    <w:rsid w:val="00C26DB2"/>
    <w:rsid w:val="00C271DA"/>
    <w:rsid w:val="00C273BC"/>
    <w:rsid w:val="00C324D1"/>
    <w:rsid w:val="00C352C7"/>
    <w:rsid w:val="00C36C44"/>
    <w:rsid w:val="00C414D6"/>
    <w:rsid w:val="00C42A27"/>
    <w:rsid w:val="00C44C67"/>
    <w:rsid w:val="00C44CE9"/>
    <w:rsid w:val="00C51EC4"/>
    <w:rsid w:val="00C5268E"/>
    <w:rsid w:val="00C52BC4"/>
    <w:rsid w:val="00C54FCB"/>
    <w:rsid w:val="00C55008"/>
    <w:rsid w:val="00C5586C"/>
    <w:rsid w:val="00C55EA8"/>
    <w:rsid w:val="00C60770"/>
    <w:rsid w:val="00C60EC4"/>
    <w:rsid w:val="00C633FB"/>
    <w:rsid w:val="00C661D7"/>
    <w:rsid w:val="00C67645"/>
    <w:rsid w:val="00C70E91"/>
    <w:rsid w:val="00C72FB3"/>
    <w:rsid w:val="00C74EAD"/>
    <w:rsid w:val="00C753A6"/>
    <w:rsid w:val="00C83655"/>
    <w:rsid w:val="00C931C2"/>
    <w:rsid w:val="00C93BBA"/>
    <w:rsid w:val="00C948F1"/>
    <w:rsid w:val="00C94ADE"/>
    <w:rsid w:val="00C94F1E"/>
    <w:rsid w:val="00C96F9F"/>
    <w:rsid w:val="00CA012B"/>
    <w:rsid w:val="00CA11D3"/>
    <w:rsid w:val="00CA2A19"/>
    <w:rsid w:val="00CA2B9B"/>
    <w:rsid w:val="00CA306F"/>
    <w:rsid w:val="00CA311D"/>
    <w:rsid w:val="00CA691C"/>
    <w:rsid w:val="00CB00CC"/>
    <w:rsid w:val="00CB461E"/>
    <w:rsid w:val="00CB4F1F"/>
    <w:rsid w:val="00CB6269"/>
    <w:rsid w:val="00CB6C4C"/>
    <w:rsid w:val="00CC382A"/>
    <w:rsid w:val="00CC3AE0"/>
    <w:rsid w:val="00CC6DD0"/>
    <w:rsid w:val="00CC7DF2"/>
    <w:rsid w:val="00CD098F"/>
    <w:rsid w:val="00CD7D52"/>
    <w:rsid w:val="00CE196B"/>
    <w:rsid w:val="00CE4699"/>
    <w:rsid w:val="00CE4EBB"/>
    <w:rsid w:val="00CE7C92"/>
    <w:rsid w:val="00CF0B27"/>
    <w:rsid w:val="00CF377D"/>
    <w:rsid w:val="00CF4255"/>
    <w:rsid w:val="00CF5158"/>
    <w:rsid w:val="00CF5BE8"/>
    <w:rsid w:val="00CF62AA"/>
    <w:rsid w:val="00CF6544"/>
    <w:rsid w:val="00D0049F"/>
    <w:rsid w:val="00D00B1F"/>
    <w:rsid w:val="00D012EE"/>
    <w:rsid w:val="00D02E9E"/>
    <w:rsid w:val="00D030DC"/>
    <w:rsid w:val="00D04CFA"/>
    <w:rsid w:val="00D0559C"/>
    <w:rsid w:val="00D06127"/>
    <w:rsid w:val="00D10C5C"/>
    <w:rsid w:val="00D123D3"/>
    <w:rsid w:val="00D12656"/>
    <w:rsid w:val="00D14EF1"/>
    <w:rsid w:val="00D15975"/>
    <w:rsid w:val="00D172B8"/>
    <w:rsid w:val="00D244D0"/>
    <w:rsid w:val="00D247F3"/>
    <w:rsid w:val="00D24A22"/>
    <w:rsid w:val="00D31952"/>
    <w:rsid w:val="00D31FE4"/>
    <w:rsid w:val="00D33080"/>
    <w:rsid w:val="00D40CE1"/>
    <w:rsid w:val="00D43400"/>
    <w:rsid w:val="00D4423B"/>
    <w:rsid w:val="00D45C26"/>
    <w:rsid w:val="00D516A1"/>
    <w:rsid w:val="00D536DB"/>
    <w:rsid w:val="00D54026"/>
    <w:rsid w:val="00D544C7"/>
    <w:rsid w:val="00D54AF8"/>
    <w:rsid w:val="00D61D1B"/>
    <w:rsid w:val="00D621E7"/>
    <w:rsid w:val="00D62349"/>
    <w:rsid w:val="00D630AC"/>
    <w:rsid w:val="00D65B49"/>
    <w:rsid w:val="00D66B6E"/>
    <w:rsid w:val="00D74C10"/>
    <w:rsid w:val="00D750C3"/>
    <w:rsid w:val="00D75E14"/>
    <w:rsid w:val="00D7750B"/>
    <w:rsid w:val="00D835CF"/>
    <w:rsid w:val="00D95BA3"/>
    <w:rsid w:val="00D976E8"/>
    <w:rsid w:val="00DA5DB6"/>
    <w:rsid w:val="00DA64B7"/>
    <w:rsid w:val="00DA7DBA"/>
    <w:rsid w:val="00DB0BCD"/>
    <w:rsid w:val="00DB0D51"/>
    <w:rsid w:val="00DB2C69"/>
    <w:rsid w:val="00DB2CBB"/>
    <w:rsid w:val="00DB44B9"/>
    <w:rsid w:val="00DB6F7D"/>
    <w:rsid w:val="00DC0A6B"/>
    <w:rsid w:val="00DC1CEA"/>
    <w:rsid w:val="00DC4459"/>
    <w:rsid w:val="00DC600D"/>
    <w:rsid w:val="00DC6B78"/>
    <w:rsid w:val="00DD4DD5"/>
    <w:rsid w:val="00DD5B6A"/>
    <w:rsid w:val="00DD7547"/>
    <w:rsid w:val="00DE4E4E"/>
    <w:rsid w:val="00DE6899"/>
    <w:rsid w:val="00DE6EB2"/>
    <w:rsid w:val="00DE75D1"/>
    <w:rsid w:val="00DE787F"/>
    <w:rsid w:val="00DF03AF"/>
    <w:rsid w:val="00DF3632"/>
    <w:rsid w:val="00DF5AF1"/>
    <w:rsid w:val="00DF75B4"/>
    <w:rsid w:val="00E02D71"/>
    <w:rsid w:val="00E02F1C"/>
    <w:rsid w:val="00E03DBD"/>
    <w:rsid w:val="00E049A7"/>
    <w:rsid w:val="00E075CB"/>
    <w:rsid w:val="00E118F5"/>
    <w:rsid w:val="00E11B01"/>
    <w:rsid w:val="00E1318D"/>
    <w:rsid w:val="00E13AC9"/>
    <w:rsid w:val="00E1411B"/>
    <w:rsid w:val="00E15C46"/>
    <w:rsid w:val="00E169CC"/>
    <w:rsid w:val="00E20172"/>
    <w:rsid w:val="00E20E89"/>
    <w:rsid w:val="00E26B1C"/>
    <w:rsid w:val="00E31002"/>
    <w:rsid w:val="00E3275E"/>
    <w:rsid w:val="00E3448B"/>
    <w:rsid w:val="00E35602"/>
    <w:rsid w:val="00E37A06"/>
    <w:rsid w:val="00E40574"/>
    <w:rsid w:val="00E51A23"/>
    <w:rsid w:val="00E52210"/>
    <w:rsid w:val="00E52246"/>
    <w:rsid w:val="00E524F0"/>
    <w:rsid w:val="00E574DF"/>
    <w:rsid w:val="00E60E10"/>
    <w:rsid w:val="00E62243"/>
    <w:rsid w:val="00E62F2A"/>
    <w:rsid w:val="00E639E4"/>
    <w:rsid w:val="00E66959"/>
    <w:rsid w:val="00E71939"/>
    <w:rsid w:val="00E71D87"/>
    <w:rsid w:val="00E7296F"/>
    <w:rsid w:val="00E75604"/>
    <w:rsid w:val="00E7659D"/>
    <w:rsid w:val="00E7702A"/>
    <w:rsid w:val="00E8030B"/>
    <w:rsid w:val="00E8124F"/>
    <w:rsid w:val="00E813F4"/>
    <w:rsid w:val="00E83046"/>
    <w:rsid w:val="00E83CCC"/>
    <w:rsid w:val="00E8584C"/>
    <w:rsid w:val="00E9054F"/>
    <w:rsid w:val="00E90FD5"/>
    <w:rsid w:val="00E92392"/>
    <w:rsid w:val="00E928A3"/>
    <w:rsid w:val="00E94C1D"/>
    <w:rsid w:val="00E97D15"/>
    <w:rsid w:val="00EA0839"/>
    <w:rsid w:val="00EA3C72"/>
    <w:rsid w:val="00EA5C42"/>
    <w:rsid w:val="00EA6D2B"/>
    <w:rsid w:val="00EB0814"/>
    <w:rsid w:val="00EB2882"/>
    <w:rsid w:val="00EB28FA"/>
    <w:rsid w:val="00EB498B"/>
    <w:rsid w:val="00EB5696"/>
    <w:rsid w:val="00EB6097"/>
    <w:rsid w:val="00EC1AB9"/>
    <w:rsid w:val="00EC1C7F"/>
    <w:rsid w:val="00EC2369"/>
    <w:rsid w:val="00EC73B0"/>
    <w:rsid w:val="00ED63A5"/>
    <w:rsid w:val="00EE0C79"/>
    <w:rsid w:val="00EE0F7A"/>
    <w:rsid w:val="00EE17F0"/>
    <w:rsid w:val="00EE18E6"/>
    <w:rsid w:val="00EE237E"/>
    <w:rsid w:val="00EE302F"/>
    <w:rsid w:val="00EE4BB7"/>
    <w:rsid w:val="00EE7EEB"/>
    <w:rsid w:val="00EF5E39"/>
    <w:rsid w:val="00EF6ED2"/>
    <w:rsid w:val="00EF6F2B"/>
    <w:rsid w:val="00EF7758"/>
    <w:rsid w:val="00F0063E"/>
    <w:rsid w:val="00F00782"/>
    <w:rsid w:val="00F066BA"/>
    <w:rsid w:val="00F077E4"/>
    <w:rsid w:val="00F110C0"/>
    <w:rsid w:val="00F112C9"/>
    <w:rsid w:val="00F1190E"/>
    <w:rsid w:val="00F12893"/>
    <w:rsid w:val="00F12CB0"/>
    <w:rsid w:val="00F17E3B"/>
    <w:rsid w:val="00F2025C"/>
    <w:rsid w:val="00F20F9F"/>
    <w:rsid w:val="00F216D7"/>
    <w:rsid w:val="00F23E40"/>
    <w:rsid w:val="00F240B0"/>
    <w:rsid w:val="00F24630"/>
    <w:rsid w:val="00F264ED"/>
    <w:rsid w:val="00F31BE4"/>
    <w:rsid w:val="00F33CAD"/>
    <w:rsid w:val="00F34A8B"/>
    <w:rsid w:val="00F36DA7"/>
    <w:rsid w:val="00F44832"/>
    <w:rsid w:val="00F44F9C"/>
    <w:rsid w:val="00F4603F"/>
    <w:rsid w:val="00F50F9A"/>
    <w:rsid w:val="00F55D60"/>
    <w:rsid w:val="00F62500"/>
    <w:rsid w:val="00F62EBB"/>
    <w:rsid w:val="00F64268"/>
    <w:rsid w:val="00F64990"/>
    <w:rsid w:val="00F6571A"/>
    <w:rsid w:val="00F67DF8"/>
    <w:rsid w:val="00F70066"/>
    <w:rsid w:val="00F7008F"/>
    <w:rsid w:val="00F73FBB"/>
    <w:rsid w:val="00F7599B"/>
    <w:rsid w:val="00F7748F"/>
    <w:rsid w:val="00F8060D"/>
    <w:rsid w:val="00F83367"/>
    <w:rsid w:val="00F84500"/>
    <w:rsid w:val="00F86C44"/>
    <w:rsid w:val="00F90DDF"/>
    <w:rsid w:val="00F930B6"/>
    <w:rsid w:val="00F9663D"/>
    <w:rsid w:val="00F97851"/>
    <w:rsid w:val="00FA05FD"/>
    <w:rsid w:val="00FA3524"/>
    <w:rsid w:val="00FA4446"/>
    <w:rsid w:val="00FA4F29"/>
    <w:rsid w:val="00FA62FB"/>
    <w:rsid w:val="00FB06AB"/>
    <w:rsid w:val="00FB2E87"/>
    <w:rsid w:val="00FC0315"/>
    <w:rsid w:val="00FC24AD"/>
    <w:rsid w:val="00FC3930"/>
    <w:rsid w:val="00FC3F3F"/>
    <w:rsid w:val="00FD2A3F"/>
    <w:rsid w:val="00FD305B"/>
    <w:rsid w:val="00FD3B92"/>
    <w:rsid w:val="00FD4862"/>
    <w:rsid w:val="00FD72B0"/>
    <w:rsid w:val="00FD7A05"/>
    <w:rsid w:val="00FE05B5"/>
    <w:rsid w:val="00FE7973"/>
    <w:rsid w:val="00FF05A7"/>
    <w:rsid w:val="00FF1096"/>
    <w:rsid w:val="00FF39CF"/>
    <w:rsid w:val="00FF56D6"/>
    <w:rsid w:val="0165668B"/>
    <w:rsid w:val="02F76E2C"/>
    <w:rsid w:val="080B02F8"/>
    <w:rsid w:val="08FB28BE"/>
    <w:rsid w:val="09985A2A"/>
    <w:rsid w:val="09CD4A15"/>
    <w:rsid w:val="0BD96D12"/>
    <w:rsid w:val="0C104CE7"/>
    <w:rsid w:val="0FB31159"/>
    <w:rsid w:val="11026B86"/>
    <w:rsid w:val="11C4626C"/>
    <w:rsid w:val="12205B9B"/>
    <w:rsid w:val="132F0F00"/>
    <w:rsid w:val="14554279"/>
    <w:rsid w:val="19661CEE"/>
    <w:rsid w:val="1C5C4EC2"/>
    <w:rsid w:val="1C923D7A"/>
    <w:rsid w:val="1E2F788B"/>
    <w:rsid w:val="220769F0"/>
    <w:rsid w:val="2B1459FD"/>
    <w:rsid w:val="2CB95D16"/>
    <w:rsid w:val="2FCF7EA0"/>
    <w:rsid w:val="30E4386E"/>
    <w:rsid w:val="32D20FF2"/>
    <w:rsid w:val="36CB55AB"/>
    <w:rsid w:val="396B5049"/>
    <w:rsid w:val="3AA824CA"/>
    <w:rsid w:val="3ABD7EAA"/>
    <w:rsid w:val="3C864E4B"/>
    <w:rsid w:val="3D16701D"/>
    <w:rsid w:val="3FFD9C0D"/>
    <w:rsid w:val="4045524E"/>
    <w:rsid w:val="428E6A88"/>
    <w:rsid w:val="446371BD"/>
    <w:rsid w:val="4A4D488C"/>
    <w:rsid w:val="4A5B087C"/>
    <w:rsid w:val="4BEF2115"/>
    <w:rsid w:val="4C534035"/>
    <w:rsid w:val="518A11AB"/>
    <w:rsid w:val="52FF2BE3"/>
    <w:rsid w:val="562F23A7"/>
    <w:rsid w:val="568E7CE6"/>
    <w:rsid w:val="58AD768B"/>
    <w:rsid w:val="58E630A4"/>
    <w:rsid w:val="5BFF3FA4"/>
    <w:rsid w:val="5E683501"/>
    <w:rsid w:val="5EF65252"/>
    <w:rsid w:val="65D20BFB"/>
    <w:rsid w:val="67FF073F"/>
    <w:rsid w:val="698B382F"/>
    <w:rsid w:val="69CF87D1"/>
    <w:rsid w:val="6B146A1E"/>
    <w:rsid w:val="6E910A21"/>
    <w:rsid w:val="6F576212"/>
    <w:rsid w:val="72BF54DD"/>
    <w:rsid w:val="74F634FF"/>
    <w:rsid w:val="7A2361C9"/>
    <w:rsid w:val="7DCD51CD"/>
    <w:rsid w:val="7F6F6AD2"/>
    <w:rsid w:val="FDFF86D5"/>
    <w:rsid w:val="FFD7A6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ind w:firstLine="200" w:firstLineChars="200"/>
      <w:outlineLvl w:val="1"/>
    </w:pPr>
    <w:rPr>
      <w:rFonts w:eastAsia="黑体"/>
      <w:bCs/>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qFormat/>
    <w:uiPriority w:val="0"/>
    <w:pPr>
      <w:keepNext/>
      <w:keepLines/>
      <w:adjustRightInd w:val="0"/>
      <w:snapToGrid w:val="0"/>
      <w:spacing w:line="360" w:lineRule="auto"/>
      <w:ind w:firstLine="200" w:firstLineChars="200"/>
      <w:outlineLvl w:val="3"/>
    </w:pPr>
    <w:rPr>
      <w:rFonts w:eastAsia="黑体"/>
      <w:kern w:val="0"/>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1"/>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toc 3"/>
    <w:basedOn w:val="1"/>
    <w:next w:val="1"/>
    <w:unhideWhenUsed/>
    <w:qFormat/>
    <w:uiPriority w:val="39"/>
    <w:pPr>
      <w:tabs>
        <w:tab w:val="right" w:leader="dot" w:pos="8296"/>
      </w:tabs>
      <w:spacing w:line="360" w:lineRule="auto"/>
      <w:ind w:left="840" w:leftChars="400"/>
    </w:pPr>
  </w:style>
  <w:style w:type="paragraph" w:styleId="9">
    <w:name w:val="Balloon Text"/>
    <w:basedOn w:val="1"/>
    <w:link w:val="22"/>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character" w:styleId="16">
    <w:name w:val="Emphasis"/>
    <w:basedOn w:val="15"/>
    <w:qFormat/>
    <w:uiPriority w:val="20"/>
    <w:rPr>
      <w:i/>
      <w:iCs/>
    </w:rPr>
  </w:style>
  <w:style w:type="character" w:styleId="17">
    <w:name w:val="Hyperlink"/>
    <w:basedOn w:val="15"/>
    <w:unhideWhenUsed/>
    <w:qFormat/>
    <w:uiPriority w:val="99"/>
    <w:rPr>
      <w:color w:val="0563C1" w:themeColor="hyperlink"/>
      <w:u w:val="single"/>
    </w:rPr>
  </w:style>
  <w:style w:type="character" w:customStyle="1" w:styleId="18">
    <w:name w:val="标题 1 字符"/>
    <w:basedOn w:val="15"/>
    <w:link w:val="2"/>
    <w:qFormat/>
    <w:uiPriority w:val="9"/>
    <w:rPr>
      <w:rFonts w:ascii="Times New Roman" w:hAnsi="Times New Roman" w:eastAsia="宋体" w:cs="Times New Roman"/>
      <w:b/>
      <w:bCs/>
      <w:kern w:val="44"/>
      <w:sz w:val="44"/>
      <w:szCs w:val="44"/>
    </w:rPr>
  </w:style>
  <w:style w:type="character" w:customStyle="1" w:styleId="19">
    <w:name w:val="标题 3 字符"/>
    <w:basedOn w:val="15"/>
    <w:link w:val="4"/>
    <w:semiHidden/>
    <w:qFormat/>
    <w:uiPriority w:val="9"/>
    <w:rPr>
      <w:rFonts w:ascii="Times New Roman" w:hAnsi="Times New Roman" w:eastAsia="宋体" w:cs="Times New Roman"/>
      <w:b/>
      <w:bCs/>
      <w:sz w:val="32"/>
      <w:szCs w:val="32"/>
    </w:rPr>
  </w:style>
  <w:style w:type="character" w:customStyle="1" w:styleId="20">
    <w:name w:val="标题 4 字符1"/>
    <w:link w:val="5"/>
    <w:qFormat/>
    <w:uiPriority w:val="0"/>
    <w:rPr>
      <w:rFonts w:ascii="Times New Roman" w:hAnsi="Times New Roman" w:eastAsia="黑体" w:cs="Times New Roman"/>
      <w:kern w:val="0"/>
      <w:sz w:val="28"/>
      <w:szCs w:val="20"/>
    </w:rPr>
  </w:style>
  <w:style w:type="character" w:customStyle="1" w:styleId="21">
    <w:name w:val="文档结构图 字符"/>
    <w:basedOn w:val="15"/>
    <w:link w:val="6"/>
    <w:semiHidden/>
    <w:qFormat/>
    <w:uiPriority w:val="99"/>
    <w:rPr>
      <w:rFonts w:ascii="宋体" w:hAnsi="Times New Roman" w:eastAsia="宋体" w:cs="Times New Roman"/>
      <w:sz w:val="18"/>
      <w:szCs w:val="18"/>
    </w:rPr>
  </w:style>
  <w:style w:type="character" w:customStyle="1" w:styleId="22">
    <w:name w:val="批注框文本 字符"/>
    <w:basedOn w:val="15"/>
    <w:link w:val="9"/>
    <w:semiHidden/>
    <w:qFormat/>
    <w:uiPriority w:val="99"/>
    <w:rPr>
      <w:rFonts w:ascii="Times New Roman" w:hAnsi="Times New Roman" w:eastAsia="宋体" w:cs="Times New Roman"/>
      <w:sz w:val="18"/>
      <w:szCs w:val="18"/>
    </w:rPr>
  </w:style>
  <w:style w:type="character" w:customStyle="1" w:styleId="23">
    <w:name w:val="页脚 字符"/>
    <w:link w:val="10"/>
    <w:qFormat/>
    <w:uiPriority w:val="99"/>
    <w:rPr>
      <w:sz w:val="18"/>
      <w:szCs w:val="18"/>
    </w:rPr>
  </w:style>
  <w:style w:type="character" w:customStyle="1" w:styleId="24">
    <w:name w:val="页眉 字符"/>
    <w:link w:val="11"/>
    <w:qFormat/>
    <w:uiPriority w:val="0"/>
    <w:rPr>
      <w:sz w:val="18"/>
      <w:szCs w:val="18"/>
    </w:rPr>
  </w:style>
  <w:style w:type="paragraph" w:customStyle="1" w:styleId="25">
    <w:name w:val="样式1"/>
    <w:basedOn w:val="1"/>
    <w:next w:val="1"/>
    <w:link w:val="26"/>
    <w:qFormat/>
    <w:uiPriority w:val="0"/>
    <w:pPr>
      <w:jc w:val="center"/>
    </w:pPr>
    <w:rPr>
      <w:sz w:val="28"/>
    </w:rPr>
  </w:style>
  <w:style w:type="character" w:customStyle="1" w:styleId="26">
    <w:name w:val="样式1 字符"/>
    <w:basedOn w:val="15"/>
    <w:link w:val="25"/>
    <w:qFormat/>
    <w:uiPriority w:val="0"/>
    <w:rPr>
      <w:rFonts w:ascii="Times New Roman" w:hAnsi="Times New Roman" w:eastAsia="宋体"/>
      <w:sz w:val="28"/>
    </w:rPr>
  </w:style>
  <w:style w:type="paragraph" w:customStyle="1" w:styleId="27">
    <w:name w:val="宋体四号"/>
    <w:basedOn w:val="1"/>
    <w:link w:val="28"/>
    <w:qFormat/>
    <w:uiPriority w:val="0"/>
    <w:rPr>
      <w:sz w:val="28"/>
    </w:rPr>
  </w:style>
  <w:style w:type="character" w:customStyle="1" w:styleId="28">
    <w:name w:val="宋体四号 字符"/>
    <w:basedOn w:val="15"/>
    <w:link w:val="27"/>
    <w:qFormat/>
    <w:uiPriority w:val="0"/>
    <w:rPr>
      <w:rFonts w:ascii="Times New Roman" w:hAnsi="Times New Roman" w:eastAsia="宋体"/>
      <w:sz w:val="28"/>
    </w:rPr>
  </w:style>
  <w:style w:type="character" w:customStyle="1" w:styleId="29">
    <w:name w:val="页脚 字符1"/>
    <w:basedOn w:val="15"/>
    <w:semiHidden/>
    <w:qFormat/>
    <w:uiPriority w:val="99"/>
    <w:rPr>
      <w:rFonts w:ascii="Times New Roman" w:hAnsi="Times New Roman" w:eastAsia="宋体" w:cs="Times New Roman"/>
      <w:sz w:val="18"/>
      <w:szCs w:val="18"/>
    </w:rPr>
  </w:style>
  <w:style w:type="character" w:customStyle="1" w:styleId="30">
    <w:name w:val="页眉 字符1"/>
    <w:basedOn w:val="15"/>
    <w:semiHidden/>
    <w:qFormat/>
    <w:uiPriority w:val="99"/>
    <w:rPr>
      <w:rFonts w:ascii="Times New Roman" w:hAnsi="Times New Roman" w:eastAsia="宋体" w:cs="Times New Roman"/>
      <w:sz w:val="18"/>
      <w:szCs w:val="18"/>
    </w:rPr>
  </w:style>
  <w:style w:type="paragraph" w:styleId="31">
    <w:name w:val="List Paragraph"/>
    <w:basedOn w:val="1"/>
    <w:qFormat/>
    <w:uiPriority w:val="99"/>
    <w:pPr>
      <w:ind w:firstLine="420" w:firstLineChars="200"/>
    </w:pPr>
  </w:style>
  <w:style w:type="paragraph" w:customStyle="1" w:styleId="32">
    <w:name w:val="列出段落1"/>
    <w:basedOn w:val="1"/>
    <w:link w:val="33"/>
    <w:qFormat/>
    <w:uiPriority w:val="0"/>
    <w:pPr>
      <w:adjustRightInd w:val="0"/>
      <w:snapToGrid w:val="0"/>
      <w:spacing w:line="360" w:lineRule="auto"/>
      <w:jc w:val="center"/>
    </w:pPr>
    <w:rPr>
      <w:szCs w:val="21"/>
    </w:rPr>
  </w:style>
  <w:style w:type="character" w:customStyle="1" w:styleId="33">
    <w:name w:val="列出段落1 Char"/>
    <w:link w:val="32"/>
    <w:qFormat/>
    <w:uiPriority w:val="0"/>
    <w:rPr>
      <w:rFonts w:ascii="Times New Roman" w:hAnsi="Times New Roman" w:eastAsia="宋体" w:cs="Times New Roman"/>
      <w:szCs w:val="21"/>
    </w:rPr>
  </w:style>
  <w:style w:type="character" w:customStyle="1" w:styleId="34">
    <w:name w:val="标题 4 字符"/>
    <w:basedOn w:val="15"/>
    <w:semiHidden/>
    <w:qFormat/>
    <w:uiPriority w:val="9"/>
    <w:rPr>
      <w:rFonts w:asciiTheme="majorHAnsi" w:hAnsiTheme="majorHAnsi" w:eastAsiaTheme="majorEastAsia" w:cstheme="majorBidi"/>
      <w:b/>
      <w:bCs/>
      <w:sz w:val="28"/>
      <w:szCs w:val="28"/>
    </w:rPr>
  </w:style>
  <w:style w:type="paragraph" w:customStyle="1" w:styleId="35">
    <w:name w:val="图名"/>
    <w:basedOn w:val="1"/>
    <w:link w:val="36"/>
    <w:qFormat/>
    <w:uiPriority w:val="0"/>
    <w:pPr>
      <w:adjustRightInd w:val="0"/>
      <w:snapToGrid w:val="0"/>
      <w:spacing w:afterLines="50"/>
      <w:jc w:val="center"/>
    </w:pPr>
    <w:rPr>
      <w:szCs w:val="21"/>
    </w:rPr>
  </w:style>
  <w:style w:type="character" w:customStyle="1" w:styleId="36">
    <w:name w:val="图名 Char"/>
    <w:basedOn w:val="15"/>
    <w:link w:val="35"/>
    <w:qFormat/>
    <w:uiPriority w:val="0"/>
    <w:rPr>
      <w:rFonts w:ascii="Times New Roman" w:hAnsi="Times New Roman" w:eastAsia="宋体" w:cs="Times New Roman"/>
      <w:szCs w:val="21"/>
    </w:r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38">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paragraph" w:customStyle="1" w:styleId="3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40">
    <w:name w:val="font51"/>
    <w:basedOn w:val="15"/>
    <w:qFormat/>
    <w:uiPriority w:val="0"/>
    <w:rPr>
      <w:rFonts w:hint="default" w:ascii="Times New Roman" w:hAnsi="Times New Roman" w:cs="Times New Roman"/>
      <w:b/>
      <w:color w:val="000000"/>
      <w:sz w:val="21"/>
      <w:szCs w:val="21"/>
      <w:u w:val="none"/>
    </w:rPr>
  </w:style>
  <w:style w:type="character" w:customStyle="1" w:styleId="41">
    <w:name w:val="font41"/>
    <w:basedOn w:val="15"/>
    <w:qFormat/>
    <w:uiPriority w:val="0"/>
    <w:rPr>
      <w:rFonts w:hint="default" w:ascii="仿宋_GB2312" w:eastAsia="仿宋_GB2312" w:cs="仿宋_GB2312"/>
      <w:b/>
      <w:color w:val="000000"/>
      <w:sz w:val="21"/>
      <w:szCs w:val="21"/>
      <w:u w:val="none"/>
    </w:rPr>
  </w:style>
  <w:style w:type="character" w:customStyle="1" w:styleId="42">
    <w:name w:val="font21"/>
    <w:basedOn w:val="15"/>
    <w:qFormat/>
    <w:uiPriority w:val="0"/>
    <w:rPr>
      <w:rFonts w:hint="default" w:ascii="仿宋_GB2312" w:eastAsia="仿宋_GB2312" w:cs="仿宋_GB2312"/>
      <w:color w:val="000000"/>
      <w:sz w:val="21"/>
      <w:szCs w:val="21"/>
      <w:u w:val="none"/>
    </w:rPr>
  </w:style>
  <w:style w:type="character" w:customStyle="1" w:styleId="43">
    <w:name w:val="font11"/>
    <w:basedOn w:val="15"/>
    <w:qFormat/>
    <w:uiPriority w:val="0"/>
    <w:rPr>
      <w:rFonts w:hint="eastAsia" w:ascii="宋体" w:hAnsi="宋体" w:eastAsia="宋体" w:cs="宋体"/>
      <w:color w:val="000000"/>
      <w:sz w:val="21"/>
      <w:szCs w:val="21"/>
      <w:u w:val="none"/>
    </w:rPr>
  </w:style>
  <w:style w:type="character" w:customStyle="1" w:styleId="44">
    <w:name w:val="font31"/>
    <w:basedOn w:val="15"/>
    <w:qFormat/>
    <w:uiPriority w:val="0"/>
    <w:rPr>
      <w:rFonts w:hint="default" w:ascii="Times New Roman" w:hAnsi="Times New Roman" w:cs="Times New Roman"/>
      <w:color w:val="000000"/>
      <w:sz w:val="21"/>
      <w:szCs w:val="21"/>
      <w:u w:val="none"/>
    </w:rPr>
  </w:style>
  <w:style w:type="paragraph" w:customStyle="1" w:styleId="4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4037;&#31243;\2021&#24180;&#24037;&#31243;\&#26032;&#20313;&#24066;&#33021;&#28304;&#21457;&#23637;&#35268;&#21010;\&#21021;&#31295;\&#26032;&#20313;&#21313;&#22235;&#20116;&#35268;&#210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037;&#31243;\2021&#24180;&#24037;&#31243;\&#26032;&#20313;&#24066;&#33021;&#28304;&#21457;&#23637;&#35268;&#21010;\&#21021;&#31295;\&#26032;&#20313;&#21313;&#22235;&#20116;&#35268;&#210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31243;\2021&#24180;&#24037;&#31243;\&#26032;&#20313;&#24066;&#33021;&#28304;&#21457;&#23637;&#35268;&#21010;\&#22806;&#23457;&#31295;\&#26032;&#20313;&#21313;&#22235;&#20116;&#35268;&#21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hink\Desktop\&#26032;&#20313;&#24066;&#33021;&#28304;&#21457;&#23637;&#35268;&#21010;\&#21021;&#31295;\&#26032;&#20313;&#21313;&#22235;&#20116;&#35268;&#210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hink\Desktop\&#26032;&#20313;&#24066;&#33021;&#28304;&#21457;&#23637;&#35268;&#21010;\&#21021;&#31295;\&#26032;&#20313;&#21313;&#22235;&#20116;&#35268;&#2101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35268;&#21010;&#24037;&#31243;\2021&#24180;\&#26032;&#20313;&#24066;&#21313;&#22235;&#20116;&#33021;&#28304;&#21457;&#23637;&#35268;&#21010;\&#22806;&#23457;&#31295;\&#22806;&#23457;&#31295;\&#26032;&#20313;&#21313;&#22235;&#20116;&#35268;&#2101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35268;&#21010;&#24037;&#31243;\2021&#24180;\&#26032;&#20313;&#24066;&#21313;&#22235;&#20116;&#33021;&#28304;&#21457;&#23637;&#35268;&#21010;\&#22806;&#23457;&#31295;\&#22806;&#23457;&#31295;\&#26032;&#20313;&#21313;&#22235;&#20116;&#35268;&#21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全社会用电量</a:t>
            </a:r>
            <a:r>
              <a:rPr lang="en-US" altLang="zh-CN"/>
              <a:t>/</a:t>
            </a:r>
            <a:r>
              <a:rPr lang="zh-CN" altLang="en-US"/>
              <a:t>亿千瓦时</a:t>
            </a:r>
            <a:endParaRPr lang="zh-CN" altLang="en-US"/>
          </a:p>
        </c:rich>
      </c:tx>
      <c:layout/>
      <c:overlay val="0"/>
      <c:spPr>
        <a:noFill/>
        <a:ln>
          <a:noFill/>
        </a:ln>
        <a:effectLst/>
      </c:spPr>
    </c:title>
    <c:autoTitleDeleted val="0"/>
    <c:plotArea>
      <c:layout/>
      <c:scatterChart>
        <c:scatterStyle val="line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rgbClr val="000000"/>
                </a:solidFill>
                <a:prstDash val="solid"/>
                <a:round/>
              </a:ln>
              <a:effectLst/>
            </c:spPr>
            <c:trendlineType val="linear"/>
            <c:dispRSqr val="1"/>
            <c:dispEq val="1"/>
            <c:trendlineLbl>
              <c:layout>
                <c:manualLayout>
                  <c:x val="-0.142674321959753"/>
                  <c:y val="-0.00446777486147565"/>
                </c:manualLayout>
              </c:layout>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en-US" baseline="0"/>
                      <a:t>y = 2.18x - 4300.32
R² = 0.77</a:t>
                    </a:r>
                    <a:endParaRPr lang="en-US" altLang="en-US"/>
                  </a:p>
                </c:rich>
              </c:tx>
              <c:numFmt formatCode="#,##0.00000000_);[Red]\(#,##0.00000000\)"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电力消费预测!$E$1:$S$1</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xVal>
          <c:yVal>
            <c:numRef>
              <c:f>电力消费预测!$E$2:$S$2</c:f>
              <c:numCache>
                <c:formatCode>0.00_ </c:formatCode>
                <c:ptCount val="15"/>
                <c:pt idx="0">
                  <c:v>89.71</c:v>
                </c:pt>
                <c:pt idx="1">
                  <c:v>70.65</c:v>
                </c:pt>
                <c:pt idx="2">
                  <c:v>69.56</c:v>
                </c:pt>
                <c:pt idx="3">
                  <c:v>81.13</c:v>
                </c:pt>
                <c:pt idx="4">
                  <c:v>85.0578</c:v>
                </c:pt>
                <c:pt idx="5">
                  <c:v>90.7531</c:v>
                </c:pt>
                <c:pt idx="6">
                  <c:v>91.7549</c:v>
                </c:pt>
                <c:pt idx="7">
                  <c:v>93.547</c:v>
                </c:pt>
                <c:pt idx="8">
                  <c:v>90.9252</c:v>
                </c:pt>
                <c:pt idx="9">
                  <c:v>97.3</c:v>
                </c:pt>
                <c:pt idx="10">
                  <c:v>97.8669073499996</c:v>
                </c:pt>
                <c:pt idx="11">
                  <c:v>100.03000921</c:v>
                </c:pt>
                <c:pt idx="12">
                  <c:v>102.19311107</c:v>
                </c:pt>
                <c:pt idx="13">
                  <c:v>104.35621293</c:v>
                </c:pt>
                <c:pt idx="14">
                  <c:v>106.519314789999</c:v>
                </c:pt>
              </c:numCache>
            </c:numRef>
          </c:yVal>
          <c:smooth val="0"/>
        </c:ser>
        <c:dLbls>
          <c:showLegendKey val="0"/>
          <c:showVal val="0"/>
          <c:showCatName val="0"/>
          <c:showSerName val="0"/>
          <c:showPercent val="0"/>
          <c:showBubbleSize val="0"/>
        </c:dLbls>
        <c:axId val="230242560"/>
        <c:axId val="230260736"/>
      </c:scatterChart>
      <c:valAx>
        <c:axId val="23024256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260736"/>
        <c:crosses val="autoZero"/>
        <c:crossBetween val="midCat"/>
      </c:valAx>
      <c:valAx>
        <c:axId val="2302607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2425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全社会用电量</a:t>
            </a:r>
            <a:r>
              <a:rPr lang="en-US" altLang="zh-CN"/>
              <a:t>/</a:t>
            </a:r>
            <a:r>
              <a:rPr lang="zh-CN" altLang="en-US"/>
              <a:t>亿千瓦时</a:t>
            </a:r>
            <a:endParaRPr lang="zh-CN" altLang="en-US"/>
          </a:p>
        </c:rich>
      </c:tx>
      <c:layout/>
      <c:overlay val="0"/>
      <c:spPr>
        <a:noFill/>
        <a:ln>
          <a:noFill/>
        </a:ln>
        <a:effectLst/>
      </c:spPr>
    </c:title>
    <c:autoTitleDeleted val="0"/>
    <c:plotArea>
      <c:layout>
        <c:manualLayout>
          <c:layoutTarget val="inner"/>
          <c:xMode val="edge"/>
          <c:yMode val="edge"/>
          <c:x val="0.117467183678811"/>
          <c:y val="0.181563218896877"/>
          <c:w val="0.837797521683119"/>
          <c:h val="0.710341107967992"/>
        </c:manualLayout>
      </c:layout>
      <c:scatterChart>
        <c:scatterStyle val="line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rgbClr val="000000"/>
                </a:solidFill>
                <a:prstDash val="solid"/>
                <a:round/>
              </a:ln>
              <a:effectLst/>
            </c:spPr>
            <c:trendlineType val="poly"/>
            <c:order val="2"/>
            <c:dispRSqr val="1"/>
            <c:dispEq val="1"/>
            <c:trendlineLbl>
              <c:layout>
                <c:manualLayout>
                  <c:x val="-0.129982993459332"/>
                  <c:y val="-0.0223319926558213"/>
                </c:manualLayout>
              </c:layout>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en-US" baseline="0"/>
                      <a:t>y = 0.17x</a:t>
                    </a:r>
                    <a:r>
                      <a:rPr lang="en-US" altLang="en-US" baseline="30000"/>
                      <a:t>2</a:t>
                    </a:r>
                    <a:r>
                      <a:rPr lang="en-US" altLang="en-US" baseline="0"/>
                      <a:t> - 672.02x + 675163.53
R² = 0.87</a:t>
                    </a:r>
                    <a:endParaRPr lang="en-US" altLang="en-US"/>
                  </a:p>
                </c:rich>
              </c:tx>
              <c:numFmt formatCode="#,##0.000000_);[Red]\(#,##0.000000\)"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电力消费预测!$E$6:$S$6</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xVal>
          <c:yVal>
            <c:numRef>
              <c:f>电力消费预测!$E$7:$S$7</c:f>
              <c:numCache>
                <c:formatCode>0.00_ </c:formatCode>
                <c:ptCount val="15"/>
                <c:pt idx="0">
                  <c:v>89.71</c:v>
                </c:pt>
                <c:pt idx="1">
                  <c:v>70.65</c:v>
                </c:pt>
                <c:pt idx="2">
                  <c:v>69.56</c:v>
                </c:pt>
                <c:pt idx="3">
                  <c:v>81.13</c:v>
                </c:pt>
                <c:pt idx="4">
                  <c:v>85.0578</c:v>
                </c:pt>
                <c:pt idx="5">
                  <c:v>90.7531</c:v>
                </c:pt>
                <c:pt idx="6">
                  <c:v>91.7549</c:v>
                </c:pt>
                <c:pt idx="7">
                  <c:v>93.547</c:v>
                </c:pt>
                <c:pt idx="8">
                  <c:v>90.9252</c:v>
                </c:pt>
                <c:pt idx="9">
                  <c:v>97.3</c:v>
                </c:pt>
                <c:pt idx="10">
                  <c:v>100.659871999989</c:v>
                </c:pt>
                <c:pt idx="11">
                  <c:v>104.982556999894</c:v>
                </c:pt>
                <c:pt idx="12">
                  <c:v>109.667973999982</c:v>
                </c:pt>
                <c:pt idx="13">
                  <c:v>114.716122999904</c:v>
                </c:pt>
                <c:pt idx="14">
                  <c:v>120.127004000009</c:v>
                </c:pt>
              </c:numCache>
            </c:numRef>
          </c:yVal>
          <c:smooth val="0"/>
        </c:ser>
        <c:dLbls>
          <c:showLegendKey val="0"/>
          <c:showVal val="0"/>
          <c:showCatName val="0"/>
          <c:showSerName val="0"/>
          <c:showPercent val="0"/>
          <c:showBubbleSize val="0"/>
        </c:dLbls>
        <c:axId val="230363136"/>
        <c:axId val="230364672"/>
      </c:scatterChart>
      <c:valAx>
        <c:axId val="230363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364672"/>
        <c:crosses val="autoZero"/>
        <c:crossBetween val="midCat"/>
      </c:valAx>
      <c:valAx>
        <c:axId val="2303646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3631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全社会用电量</a:t>
            </a:r>
            <a:r>
              <a:rPr lang="en-US" altLang="zh-CN"/>
              <a:t>/</a:t>
            </a:r>
            <a:r>
              <a:rPr lang="zh-CN" altLang="en-US"/>
              <a:t>亿千瓦时</a:t>
            </a:r>
            <a:endParaRPr lang="zh-CN" altLang="en-US"/>
          </a:p>
        </c:rich>
      </c:tx>
      <c:layout/>
      <c:overlay val="0"/>
      <c:spPr>
        <a:noFill/>
        <a:ln>
          <a:noFill/>
        </a:ln>
        <a:effectLst/>
      </c:spPr>
    </c:title>
    <c:autoTitleDeleted val="0"/>
    <c:plotArea>
      <c:layout>
        <c:manualLayout>
          <c:layoutTarget val="inner"/>
          <c:xMode val="edge"/>
          <c:yMode val="edge"/>
          <c:x val="0.154436553155193"/>
          <c:y val="0.159802918284299"/>
          <c:w val="0.779893028474447"/>
          <c:h val="0.698654147773886"/>
        </c:manualLayout>
      </c:layout>
      <c:scatterChart>
        <c:scatterStyle val="lineMarker"/>
        <c:varyColors val="0"/>
        <c:ser>
          <c:idx val="0"/>
          <c:order val="0"/>
          <c:spPr>
            <a:ln w="1905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chemeClr val="tx1"/>
                </a:solidFill>
                <a:prstDash val="solid"/>
                <a:round/>
              </a:ln>
              <a:effectLst/>
            </c:spPr>
            <c:trendlineType val="linear"/>
            <c:dispRSqr val="1"/>
            <c:dispEq val="1"/>
            <c:trendlineLbl>
              <c:layout>
                <c:manualLayout>
                  <c:x val="-0.00459294096914359"/>
                  <c:y val="0.291028377064598"/>
                </c:manualLayout>
              </c:layout>
              <c:numFmt formatCode="0.00_);[Red]\(0.00\)"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电力消费预测!$D$32:$R$32</c:f>
              <c:numCache>
                <c:formatCode>General</c:formatCode>
                <c:ptCount val="15"/>
                <c:pt idx="0">
                  <c:v>114.7</c:v>
                </c:pt>
                <c:pt idx="1">
                  <c:v>115.1</c:v>
                </c:pt>
                <c:pt idx="2">
                  <c:v>115.56</c:v>
                </c:pt>
                <c:pt idx="3">
                  <c:v>116.08</c:v>
                </c:pt>
                <c:pt idx="4">
                  <c:v>116.67</c:v>
                </c:pt>
                <c:pt idx="5">
                  <c:v>117.37</c:v>
                </c:pt>
                <c:pt idx="6">
                  <c:v>118.07</c:v>
                </c:pt>
                <c:pt idx="7">
                  <c:v>118.67</c:v>
                </c:pt>
                <c:pt idx="8">
                  <c:v>119.34</c:v>
                </c:pt>
                <c:pt idx="9">
                  <c:v>120.33</c:v>
                </c:pt>
                <c:pt idx="10" c:formatCode="0.00_ ">
                  <c:v>121.075664277829</c:v>
                </c:pt>
                <c:pt idx="11" c:formatCode="0.00_ ">
                  <c:v>121.830720229266</c:v>
                </c:pt>
                <c:pt idx="12" c:formatCode="0.00_ ">
                  <c:v>122.597118105123</c:v>
                </c:pt>
                <c:pt idx="13" c:formatCode="0.00_ ">
                  <c:v>123.398001218046</c:v>
                </c:pt>
                <c:pt idx="14" c:formatCode="0.00_ ">
                  <c:v>124.226012015419</c:v>
                </c:pt>
              </c:numCache>
            </c:numRef>
          </c:xVal>
          <c:yVal>
            <c:numRef>
              <c:f>电力消费预测!$D$33:$R$33</c:f>
              <c:numCache>
                <c:formatCode>0.00_ </c:formatCode>
                <c:ptCount val="15"/>
                <c:pt idx="0">
                  <c:v>89.71</c:v>
                </c:pt>
                <c:pt idx="1">
                  <c:v>70.65</c:v>
                </c:pt>
                <c:pt idx="2">
                  <c:v>69.56</c:v>
                </c:pt>
                <c:pt idx="3">
                  <c:v>81.13</c:v>
                </c:pt>
                <c:pt idx="4">
                  <c:v>85.0578</c:v>
                </c:pt>
                <c:pt idx="5">
                  <c:v>90.7531</c:v>
                </c:pt>
                <c:pt idx="6">
                  <c:v>91.7549</c:v>
                </c:pt>
                <c:pt idx="7">
                  <c:v>93.547</c:v>
                </c:pt>
                <c:pt idx="8">
                  <c:v>90.9252</c:v>
                </c:pt>
                <c:pt idx="9">
                  <c:v>97.3</c:v>
                </c:pt>
                <c:pt idx="10">
                  <c:v>100.772526740432</c:v>
                </c:pt>
                <c:pt idx="11">
                  <c:v>103.617985424022</c:v>
                </c:pt>
                <c:pt idx="12">
                  <c:v>106.506186605391</c:v>
                </c:pt>
                <c:pt idx="13">
                  <c:v>109.524346787915</c:v>
                </c:pt>
                <c:pt idx="14">
                  <c:v>112.644738739011</c:v>
                </c:pt>
              </c:numCache>
            </c:numRef>
          </c:yVal>
          <c:smooth val="0"/>
        </c:ser>
        <c:dLbls>
          <c:showLegendKey val="0"/>
          <c:showVal val="0"/>
          <c:showCatName val="0"/>
          <c:showSerName val="0"/>
          <c:showPercent val="0"/>
          <c:showBubbleSize val="0"/>
        </c:dLbls>
        <c:axId val="230495744"/>
        <c:axId val="230497280"/>
      </c:scatterChart>
      <c:valAx>
        <c:axId val="230495744"/>
        <c:scaling>
          <c:orientation val="minMax"/>
          <c:max val="125"/>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497280"/>
        <c:crosses val="autoZero"/>
        <c:crossBetween val="midCat"/>
      </c:valAx>
      <c:valAx>
        <c:axId val="230497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495744"/>
        <c:crosses val="autoZero"/>
        <c:crossBetween val="midCat"/>
      </c:valAx>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全社会最大负荷</a:t>
            </a:r>
            <a:r>
              <a:rPr lang="en-US" altLang="zh-CN"/>
              <a:t>/</a:t>
            </a:r>
            <a:r>
              <a:rPr lang="zh-CN" altLang="en-US"/>
              <a:t>万千瓦</a:t>
            </a:r>
            <a:endParaRPr lang="zh-CN" altLang="en-US"/>
          </a:p>
        </c:rich>
      </c:tx>
      <c:layout/>
      <c:overlay val="0"/>
      <c:spPr>
        <a:noFill/>
        <a:ln>
          <a:noFill/>
        </a:ln>
        <a:effectLst/>
      </c:spPr>
    </c:title>
    <c:autoTitleDeleted val="0"/>
    <c:plotArea>
      <c:layout>
        <c:manualLayout>
          <c:layoutTarget val="inner"/>
          <c:xMode val="edge"/>
          <c:yMode val="edge"/>
          <c:x val="0.0656552739979453"/>
          <c:y val="0.201717187846595"/>
          <c:w val="0.864250327595253"/>
          <c:h val="0.714786847176351"/>
        </c:manualLayout>
      </c:layout>
      <c:scatterChart>
        <c:scatterStyle val="smooth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chemeClr val="tx1"/>
                </a:solidFill>
                <a:prstDash val="solid"/>
                <a:round/>
              </a:ln>
              <a:effectLst/>
            </c:spPr>
            <c:trendlineType val="linear"/>
            <c:dispRSqr val="1"/>
            <c:dispEq val="1"/>
            <c:trendlineLbl>
              <c:layout>
                <c:manualLayout>
                  <c:x val="-0.0997923146844837"/>
                  <c:y val="-0.0232855459740233"/>
                </c:manualLayout>
              </c:layout>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baseline="0"/>
                      <a:t>y = 7.24x - 14446.1</a:t>
                    </a:r>
                    <a:endParaRPr lang="en-US" altLang="zh-CN" baseline="0"/>
                  </a:p>
                  <a:p>
                    <a:pPr>
                      <a:defRPr lang="zh-CN" sz="900" b="0" i="0" u="none" strike="noStrike" kern="1200" baseline="0">
                        <a:solidFill>
                          <a:schemeClr val="tx1">
                            <a:lumMod val="65000"/>
                            <a:lumOff val="35000"/>
                          </a:schemeClr>
                        </a:solidFill>
                        <a:latin typeface="+mn-lt"/>
                        <a:ea typeface="+mn-ea"/>
                        <a:cs typeface="+mn-cs"/>
                      </a:defRPr>
                    </a:pPr>
                    <a:r>
                      <a:rPr lang="en-US" altLang="zh-CN" baseline="0"/>
                      <a:t>R² = 0.89</a:t>
                    </a:r>
                    <a:endParaRPr lang="en-US" altLang="zh-CN"/>
                  </a:p>
                </c:rich>
              </c:tx>
              <c:numFmt formatCode="#,##0.00000000_);[Red]\(#,##0.00000000\)"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电力消费预测!$B$75:$Q$75</c:f>
              <c:numCache>
                <c:formatCode>General</c:formatCode>
                <c:ptCount val="16"/>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numCache>
            </c:numRef>
          </c:xVal>
          <c:yVal>
            <c:numRef>
              <c:f>电力消费预测!$B$76:$Q$76</c:f>
              <c:numCache>
                <c:formatCode>General</c:formatCode>
                <c:ptCount val="16"/>
                <c:pt idx="0">
                  <c:v>123</c:v>
                </c:pt>
                <c:pt idx="1">
                  <c:v>140</c:v>
                </c:pt>
                <c:pt idx="2">
                  <c:v>122</c:v>
                </c:pt>
                <c:pt idx="3">
                  <c:v>120</c:v>
                </c:pt>
                <c:pt idx="4">
                  <c:v>131</c:v>
                </c:pt>
                <c:pt idx="5">
                  <c:v>132</c:v>
                </c:pt>
                <c:pt idx="6">
                  <c:v>137</c:v>
                </c:pt>
                <c:pt idx="7">
                  <c:v>150</c:v>
                </c:pt>
                <c:pt idx="8">
                  <c:v>146</c:v>
                </c:pt>
                <c:pt idx="9">
                  <c:v>167</c:v>
                </c:pt>
                <c:pt idx="10">
                  <c:v>190</c:v>
                </c:pt>
                <c:pt idx="11" c:formatCode="0_ ">
                  <c:v>195.7</c:v>
                </c:pt>
                <c:pt idx="12" c:formatCode="0_ ">
                  <c:v>201.571</c:v>
                </c:pt>
                <c:pt idx="13" c:formatCode="0_ ">
                  <c:v>207.61813</c:v>
                </c:pt>
                <c:pt idx="14" c:formatCode="0_ ">
                  <c:v>213.8466739</c:v>
                </c:pt>
                <c:pt idx="15" c:formatCode="0_ ">
                  <c:v>220.262074117</c:v>
                </c:pt>
              </c:numCache>
            </c:numRef>
          </c:yVal>
          <c:smooth val="1"/>
        </c:ser>
        <c:dLbls>
          <c:showLegendKey val="0"/>
          <c:showVal val="0"/>
          <c:showCatName val="0"/>
          <c:showSerName val="0"/>
          <c:showPercent val="0"/>
          <c:showBubbleSize val="0"/>
        </c:dLbls>
        <c:axId val="230550528"/>
        <c:axId val="233870080"/>
      </c:scatterChart>
      <c:valAx>
        <c:axId val="2305505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870080"/>
        <c:crosses val="autoZero"/>
        <c:crossBetween val="midCat"/>
      </c:valAx>
      <c:valAx>
        <c:axId val="2338700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5505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全社会最大负荷</a:t>
            </a:r>
            <a:r>
              <a:rPr lang="en-US" altLang="zh-CN"/>
              <a:t>/</a:t>
            </a:r>
            <a:r>
              <a:rPr lang="zh-CN" altLang="en-US"/>
              <a:t>万千瓦</a:t>
            </a:r>
            <a:endParaRPr lang="zh-CN" altLang="en-US"/>
          </a:p>
        </c:rich>
      </c:tx>
      <c:layout/>
      <c:overlay val="0"/>
      <c:spPr>
        <a:noFill/>
        <a:ln>
          <a:noFill/>
        </a:ln>
        <a:effectLst/>
      </c:spPr>
    </c:title>
    <c:autoTitleDeleted val="0"/>
    <c:plotArea>
      <c:layout/>
      <c:scatterChart>
        <c:scatterStyle val="smooth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chemeClr val="tx1"/>
                </a:solidFill>
                <a:prstDash val="solid"/>
                <a:round/>
              </a:ln>
              <a:effectLst/>
            </c:spPr>
            <c:trendlineType val="poly"/>
            <c:order val="2"/>
            <c:dispRSqr val="1"/>
            <c:dispEq val="1"/>
            <c:trendlineLbl>
              <c:layout>
                <c:manualLayout>
                  <c:x val="0.00404612199887791"/>
                  <c:y val="-0.071016505945114"/>
                </c:manualLayout>
              </c:layout>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baseline="0"/>
                      <a:t>y = 1.07 x</a:t>
                    </a:r>
                    <a:r>
                      <a:rPr lang="en-US" altLang="zh-CN" baseline="30000"/>
                      <a:t>2</a:t>
                    </a:r>
                    <a:r>
                      <a:rPr lang="en-US" altLang="zh-CN" baseline="0"/>
                      <a:t> - 4302.04x + 4329110.38</a:t>
                    </a:r>
                    <a:endParaRPr lang="en-US" altLang="zh-CN" baseline="0"/>
                  </a:p>
                  <a:p>
                    <a:pPr>
                      <a:defRPr lang="zh-CN" sz="900" b="0" i="0" u="none" strike="noStrike" kern="1200" baseline="0">
                        <a:solidFill>
                          <a:schemeClr val="tx1">
                            <a:lumMod val="65000"/>
                            <a:lumOff val="35000"/>
                          </a:schemeClr>
                        </a:solidFill>
                        <a:latin typeface="+mn-lt"/>
                        <a:ea typeface="+mn-ea"/>
                        <a:cs typeface="+mn-cs"/>
                      </a:defRPr>
                    </a:pPr>
                    <a:r>
                      <a:rPr lang="en-US" altLang="zh-CN" baseline="0"/>
                      <a:t>R² = 0.99</a:t>
                    </a:r>
                    <a:endParaRPr lang="en-US" altLang="zh-CN"/>
                  </a:p>
                </c:rich>
              </c:tx>
              <c:numFmt formatCode="#,##0.00000000_);[Red]\(#,##0.00000000\)"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电力消费预测!$B$84:$Q$84</c:f>
              <c:numCache>
                <c:formatCode>General</c:formatCode>
                <c:ptCount val="16"/>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numCache>
            </c:numRef>
          </c:xVal>
          <c:yVal>
            <c:numRef>
              <c:f>电力消费预测!$B$85:$Q$85</c:f>
              <c:numCache>
                <c:formatCode>General</c:formatCode>
                <c:ptCount val="16"/>
                <c:pt idx="0">
                  <c:v>123</c:v>
                </c:pt>
                <c:pt idx="1">
                  <c:v>140</c:v>
                </c:pt>
                <c:pt idx="2">
                  <c:v>122</c:v>
                </c:pt>
                <c:pt idx="3">
                  <c:v>120</c:v>
                </c:pt>
                <c:pt idx="4">
                  <c:v>131</c:v>
                </c:pt>
                <c:pt idx="5">
                  <c:v>132</c:v>
                </c:pt>
                <c:pt idx="6">
                  <c:v>137</c:v>
                </c:pt>
                <c:pt idx="7">
                  <c:v>150</c:v>
                </c:pt>
                <c:pt idx="8">
                  <c:v>146</c:v>
                </c:pt>
                <c:pt idx="9">
                  <c:v>167</c:v>
                </c:pt>
                <c:pt idx="10">
                  <c:v>190</c:v>
                </c:pt>
                <c:pt idx="11" c:formatCode="0_ ">
                  <c:v>201.120196370409</c:v>
                </c:pt>
                <c:pt idx="12" c:formatCode="0_ ">
                  <c:v>220.295958938077</c:v>
                </c:pt>
                <c:pt idx="13" c:formatCode="0_ ">
                  <c:v>241.609250648877</c:v>
                </c:pt>
                <c:pt idx="14" c:formatCode="0_ ">
                  <c:v>265.060071499087</c:v>
                </c:pt>
                <c:pt idx="15" c:formatCode="0_ ">
                  <c:v>290.648421488702</c:v>
                </c:pt>
              </c:numCache>
            </c:numRef>
          </c:yVal>
          <c:smooth val="1"/>
        </c:ser>
        <c:dLbls>
          <c:showLegendKey val="0"/>
          <c:showVal val="0"/>
          <c:showCatName val="0"/>
          <c:showSerName val="0"/>
          <c:showPercent val="0"/>
          <c:showBubbleSize val="0"/>
        </c:dLbls>
        <c:axId val="233890560"/>
        <c:axId val="233892096"/>
      </c:scatterChart>
      <c:valAx>
        <c:axId val="23389056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892096"/>
        <c:crosses val="autoZero"/>
        <c:crossBetween val="midCat"/>
      </c:valAx>
      <c:valAx>
        <c:axId val="233892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8905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能源消费总量</a:t>
            </a:r>
            <a:r>
              <a:rPr lang="en-US" altLang="zh-CN"/>
              <a:t>/</a:t>
            </a:r>
            <a:r>
              <a:rPr lang="zh-CN" altLang="en-US"/>
              <a:t>万吨标煤</a:t>
            </a:r>
            <a:endParaRPr lang="zh-CN" altLang="en-US"/>
          </a:p>
        </c:rich>
      </c:tx>
      <c:layout/>
      <c:overlay val="0"/>
      <c:spPr>
        <a:noFill/>
        <a:ln>
          <a:noFill/>
        </a:ln>
        <a:effectLst/>
      </c:spPr>
    </c:title>
    <c:autoTitleDeleted val="0"/>
    <c:plotArea>
      <c:layout/>
      <c:scatterChart>
        <c:scatterStyle val="smooth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chemeClr val="tx1"/>
                </a:solidFill>
                <a:prstDash val="solid"/>
                <a:round/>
              </a:ln>
              <a:effectLst/>
            </c:spPr>
            <c:trendlineType val="linear"/>
            <c:dispRSqr val="1"/>
            <c:dispEq val="1"/>
            <c:trendlineLbl>
              <c:layout>
                <c:manualLayout>
                  <c:x val="-0.0490391513560805"/>
                  <c:y val="-0.0223552785068538"/>
                </c:manualLayout>
              </c:layout>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baseline="0"/>
                      <a:t>y = 13.53x - 26366.05</a:t>
                    </a:r>
                    <a:endParaRPr lang="en-US" altLang="zh-CN" baseline="0"/>
                  </a:p>
                  <a:p>
                    <a:pPr>
                      <a:defRPr lang="zh-CN" sz="900" b="0" i="0" u="none" strike="noStrike" kern="1200" baseline="0">
                        <a:solidFill>
                          <a:schemeClr val="tx1">
                            <a:lumMod val="65000"/>
                            <a:lumOff val="35000"/>
                          </a:schemeClr>
                        </a:solidFill>
                        <a:latin typeface="+mn-lt"/>
                        <a:ea typeface="+mn-ea"/>
                        <a:cs typeface="+mn-cs"/>
                      </a:defRPr>
                    </a:pPr>
                    <a:r>
                      <a:rPr lang="en-US" altLang="zh-CN" baseline="0"/>
                      <a:t>R² = 0.97</a:t>
                    </a:r>
                    <a:endParaRPr lang="en-US" altLang="zh-CN"/>
                  </a:p>
                </c:rich>
              </c:tx>
              <c:numFmt formatCode="#,##0.0000000000000_);[Red]\(#,##0.0000000000000\)"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能源消费总量预测!$D$12:$N$12</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xVal>
          <c:yVal>
            <c:numRef>
              <c:f>能源消费总量预测!$D$13:$N$13</c:f>
              <c:numCache>
                <c:formatCode>General</c:formatCode>
                <c:ptCount val="11"/>
                <c:pt idx="0">
                  <c:v>919.329999999999</c:v>
                </c:pt>
                <c:pt idx="1" c:formatCode="0.00;[Red]0.00">
                  <c:v>910.55</c:v>
                </c:pt>
                <c:pt idx="2" c:formatCode="0.00;[Red]0.00">
                  <c:v>933.15</c:v>
                </c:pt>
                <c:pt idx="3" c:formatCode="0.00;[Red]0.00">
                  <c:v>939.829999999999</c:v>
                </c:pt>
                <c:pt idx="4" c:formatCode="0.00;[Red]0.00">
                  <c:v>965.280000000001</c:v>
                </c:pt>
                <c:pt idx="5">
                  <c:v>955.8</c:v>
                </c:pt>
                <c:pt idx="6">
                  <c:v>989</c:v>
                </c:pt>
                <c:pt idx="7">
                  <c:v>1002</c:v>
                </c:pt>
                <c:pt idx="8">
                  <c:v>1016</c:v>
                </c:pt>
                <c:pt idx="9">
                  <c:v>1029</c:v>
                </c:pt>
                <c:pt idx="10">
                  <c:v>1043</c:v>
                </c:pt>
              </c:numCache>
            </c:numRef>
          </c:yVal>
          <c:smooth val="1"/>
        </c:ser>
        <c:dLbls>
          <c:showLegendKey val="0"/>
          <c:showVal val="0"/>
          <c:showCatName val="0"/>
          <c:showSerName val="0"/>
          <c:showPercent val="0"/>
          <c:showBubbleSize val="0"/>
        </c:dLbls>
        <c:axId val="238201088"/>
        <c:axId val="238206976"/>
      </c:scatterChart>
      <c:valAx>
        <c:axId val="23820108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8206976"/>
        <c:crosses val="autoZero"/>
        <c:crossBetween val="midCat"/>
      </c:valAx>
      <c:valAx>
        <c:axId val="2382069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82010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800" b="0" i="0" baseline="0">
                <a:effectLst/>
              </a:rPr>
              <a:t>能源消费总量</a:t>
            </a:r>
            <a:r>
              <a:rPr lang="en-US" altLang="zh-CN" sz="1800" b="0" i="0" baseline="0">
                <a:effectLst/>
              </a:rPr>
              <a:t>/</a:t>
            </a:r>
            <a:r>
              <a:rPr lang="zh-CN" altLang="zh-CN" sz="1800" b="0" i="0" baseline="0">
                <a:effectLst/>
              </a:rPr>
              <a:t>万吨标煤</a:t>
            </a:r>
            <a:endParaRPr lang="zh-CN" altLang="zh-CN" sz="1800" b="0" i="0" baseline="0">
              <a:effectLst/>
            </a:endParaRPr>
          </a:p>
        </c:rich>
      </c:tx>
      <c:layout/>
      <c:overlay val="0"/>
      <c:spPr>
        <a:noFill/>
        <a:ln>
          <a:noFill/>
        </a:ln>
        <a:effectLst/>
      </c:spPr>
    </c:title>
    <c:autoTitleDeleted val="0"/>
    <c:plotArea>
      <c:layout/>
      <c:scatterChart>
        <c:scatterStyle val="smooth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chemeClr val="accent1"/>
                </a:solidFill>
                <a:prstDash val="sysDot"/>
                <a:round/>
              </a:ln>
              <a:effectLst/>
            </c:spPr>
            <c:trendlineType val="poly"/>
            <c:order val="2"/>
            <c:dispRSqr val="1"/>
            <c:dispEq val="1"/>
            <c:trendlineLbl>
              <c:layout/>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baseline="0"/>
                      <a:t>y = 0.0004 x</a:t>
                    </a:r>
                    <a:r>
                      <a:rPr lang="en-US" altLang="zh-CN" baseline="30000"/>
                      <a:t>2</a:t>
                    </a:r>
                    <a:r>
                      <a:rPr lang="en-US" altLang="zh-CN" baseline="0"/>
                      <a:t> - 0.48 x + 1060.84</a:t>
                    </a:r>
                    <a:endParaRPr lang="en-US" altLang="zh-CN" baseline="0"/>
                  </a:p>
                  <a:p>
                    <a:pPr>
                      <a:defRPr lang="zh-CN" sz="900" b="0" i="0" u="none" strike="noStrike" kern="1200" baseline="0">
                        <a:solidFill>
                          <a:schemeClr val="tx1">
                            <a:lumMod val="65000"/>
                            <a:lumOff val="35000"/>
                          </a:schemeClr>
                        </a:solidFill>
                        <a:latin typeface="+mn-lt"/>
                        <a:ea typeface="+mn-ea"/>
                        <a:cs typeface="+mn-cs"/>
                      </a:defRPr>
                    </a:pPr>
                    <a:r>
                      <a:rPr lang="en-US" altLang="zh-CN" baseline="0"/>
                      <a:t>R² = 0.992</a:t>
                    </a:r>
                    <a:endParaRPr lang="en-US" altLang="zh-CN"/>
                  </a:p>
                </c:rich>
              </c:tx>
              <c:numFmt formatCode="0.000000000_);[Red]\(0.000000000\)"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能源消费总量预测!$D$23:$N$23</c:f>
              <c:numCache>
                <c:formatCode>General</c:formatCode>
                <c:ptCount val="11"/>
                <c:pt idx="0">
                  <c:v>665.91</c:v>
                </c:pt>
                <c:pt idx="1">
                  <c:v>726.439999999999</c:v>
                </c:pt>
                <c:pt idx="2">
                  <c:v>794.780000000001</c:v>
                </c:pt>
                <c:pt idx="3">
                  <c:v>889.770000000001</c:v>
                </c:pt>
                <c:pt idx="4">
                  <c:v>971.58</c:v>
                </c:pt>
                <c:pt idx="5">
                  <c:v>1011.33</c:v>
                </c:pt>
                <c:pt idx="6" c:formatCode="0_ ">
                  <c:v>1087.17975</c:v>
                </c:pt>
                <c:pt idx="7" c:formatCode="0_ ">
                  <c:v>1168.71823125</c:v>
                </c:pt>
                <c:pt idx="8" c:formatCode="0_ ">
                  <c:v>1256.37209859375</c:v>
                </c:pt>
                <c:pt idx="9" c:formatCode="0_ ">
                  <c:v>1350.60000598828</c:v>
                </c:pt>
                <c:pt idx="10" c:formatCode="0_ ">
                  <c:v>1451.8950064374</c:v>
                </c:pt>
              </c:numCache>
            </c:numRef>
          </c:xVal>
          <c:yVal>
            <c:numRef>
              <c:f>能源消费总量预测!$D$24:$N$24</c:f>
              <c:numCache>
                <c:formatCode>General</c:formatCode>
                <c:ptCount val="11"/>
                <c:pt idx="0">
                  <c:v>919.329999999999</c:v>
                </c:pt>
                <c:pt idx="1" c:formatCode="0.00;[Red]0.00">
                  <c:v>910.55</c:v>
                </c:pt>
                <c:pt idx="2" c:formatCode="0.00;[Red]0.00">
                  <c:v>933.15</c:v>
                </c:pt>
                <c:pt idx="3" c:formatCode="0.00;[Red]0.00">
                  <c:v>939.829999999999</c:v>
                </c:pt>
                <c:pt idx="4" c:formatCode="0.00;[Red]0.00">
                  <c:v>965.280000000001</c:v>
                </c:pt>
                <c:pt idx="5">
                  <c:v>955.8</c:v>
                </c:pt>
                <c:pt idx="6" c:formatCode="0_ ">
                  <c:v>1007</c:v>
                </c:pt>
                <c:pt idx="7" c:formatCode="0_ ">
                  <c:v>1038</c:v>
                </c:pt>
                <c:pt idx="8" c:formatCode="0_ ">
                  <c:v>1077</c:v>
                </c:pt>
                <c:pt idx="9" c:formatCode="0_ ">
                  <c:v>1124</c:v>
                </c:pt>
                <c:pt idx="10" c:formatCode="0_ ">
                  <c:v>1181</c:v>
                </c:pt>
              </c:numCache>
            </c:numRef>
          </c:yVal>
          <c:smooth val="1"/>
        </c:ser>
        <c:dLbls>
          <c:showLegendKey val="0"/>
          <c:showVal val="0"/>
          <c:showCatName val="0"/>
          <c:showSerName val="0"/>
          <c:showPercent val="0"/>
          <c:showBubbleSize val="0"/>
        </c:dLbls>
        <c:axId val="243879936"/>
        <c:axId val="243881472"/>
      </c:scatterChart>
      <c:valAx>
        <c:axId val="2438799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881472"/>
        <c:crosses val="autoZero"/>
        <c:crossBetween val="midCat"/>
      </c:valAx>
      <c:valAx>
        <c:axId val="2438814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8799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2855</Words>
  <Characters>16274</Characters>
  <Lines>135</Lines>
  <Paragraphs>38</Paragraphs>
  <TotalTime>0</TotalTime>
  <ScaleCrop>false</ScaleCrop>
  <LinksUpToDate>false</LinksUpToDate>
  <CharactersWithSpaces>19091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2020-12-07T14:30:00Z</dcterms:created>
  <dc:creator>L</dc:creator>
  <cp:lastModifiedBy>金鹏飞</cp:lastModifiedBy>
  <dcterms:modified xsi:type="dcterms:W3CDTF">2022-07-14T10:03:58Z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2B49394EE5B449EDA81F967177F5D228</vt:lpwstr>
  </property>
</Properties>
</file>