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347B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处理乱账是每个会计最头疼的问题，尤其是新人，一不小心就要花数月的时间。而</w:t>
      </w:r>
      <w:proofErr w:type="gramStart"/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处理完乱账</w:t>
      </w:r>
      <w:proofErr w:type="gramEnd"/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后建立新账，更是让人头疼。</w:t>
      </w:r>
    </w:p>
    <w:p w14:paraId="76250568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054D65DD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今天就给大家介绍一份完整的建账流程：小企业经营一段时间后中途建账，有两种建账方法：一是财产清查分散完成，按期初余额为零建账；二是财产清查期初集中完成，根据清查结果进</w:t>
      </w:r>
      <w:proofErr w:type="gramStart"/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行期初</w:t>
      </w:r>
      <w:proofErr w:type="gramEnd"/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建账。</w:t>
      </w:r>
    </w:p>
    <w:p w14:paraId="0549852A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7086405F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我们今天主要介绍第二种方法，也是小企业常用的一种。</w:t>
      </w:r>
    </w:p>
    <w:p w14:paraId="69606B7A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330827F9" w14:textId="77777777" w:rsidR="00965DE1" w:rsidRDefault="00F245AD">
      <w:pPr>
        <w:widowControl/>
        <w:jc w:val="left"/>
        <w:rPr>
          <w:sz w:val="30"/>
          <w:szCs w:val="30"/>
        </w:rPr>
      </w:pPr>
      <w:r>
        <w:rPr>
          <w:rStyle w:val="a4"/>
          <w:rFonts w:ascii="宋体" w:eastAsia="宋体" w:hAnsi="宋体" w:cs="宋体"/>
          <w:kern w:val="0"/>
          <w:sz w:val="30"/>
          <w:szCs w:val="30"/>
          <w:lang w:bidi="ar"/>
        </w:rPr>
        <w:t>一、乱账梳理前的准备工作</w:t>
      </w:r>
    </w:p>
    <w:p w14:paraId="5AF25093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1D09FE6E" w14:textId="77777777" w:rsidR="00965DE1" w:rsidRDefault="00F245AD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7"/>
          <w:sz w:val="30"/>
          <w:szCs w:val="30"/>
        </w:rPr>
        <w:drawing>
          <wp:inline distT="0" distB="0" distL="114300" distR="114300" wp14:anchorId="20F06F48" wp14:editId="42E9D368">
            <wp:extent cx="4877435" cy="2811780"/>
            <wp:effectExtent l="0" t="0" r="14605" b="7620"/>
            <wp:docPr id="3" name="图片 3" descr="微信图片_20200617101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6171019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29270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7D68894F" w14:textId="77777777" w:rsidR="00965DE1" w:rsidRDefault="00F245AD">
      <w:pPr>
        <w:widowControl/>
        <w:jc w:val="left"/>
        <w:rPr>
          <w:sz w:val="30"/>
          <w:szCs w:val="30"/>
        </w:rPr>
      </w:pPr>
      <w:r>
        <w:rPr>
          <w:rStyle w:val="a4"/>
          <w:rFonts w:ascii="宋体" w:eastAsia="宋体" w:hAnsi="宋体" w:cs="宋体"/>
          <w:kern w:val="0"/>
          <w:sz w:val="30"/>
          <w:szCs w:val="30"/>
          <w:lang w:bidi="ar"/>
        </w:rPr>
        <w:t>二、乱账的处理内容</w:t>
      </w:r>
    </w:p>
    <w:p w14:paraId="2E688580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7AD64541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center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18"/>
          <w:sz w:val="30"/>
          <w:szCs w:val="30"/>
        </w:rPr>
        <w:drawing>
          <wp:inline distT="0" distB="0" distL="114300" distR="114300" wp14:anchorId="1F6003BE" wp14:editId="417C4406">
            <wp:extent cx="4877435" cy="3238500"/>
            <wp:effectExtent l="0" t="0" r="14605" b="7620"/>
            <wp:docPr id="4" name="图片 4" descr="微信图片_20200617101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6171019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BD2F1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714812A2" w14:textId="77777777" w:rsidR="00965DE1" w:rsidRDefault="00965DE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30"/>
          <w:szCs w:val="30"/>
        </w:rPr>
      </w:pPr>
    </w:p>
    <w:p w14:paraId="74FFBBB2" w14:textId="77777777" w:rsidR="00965DE1" w:rsidRDefault="00F245AD">
      <w:pPr>
        <w:widowControl/>
        <w:jc w:val="left"/>
        <w:rPr>
          <w:sz w:val="30"/>
          <w:szCs w:val="30"/>
        </w:rPr>
      </w:pPr>
      <w:r>
        <w:rPr>
          <w:rStyle w:val="a4"/>
          <w:rFonts w:ascii="宋体" w:eastAsia="宋体" w:hAnsi="宋体" w:cs="宋体"/>
          <w:kern w:val="0"/>
          <w:sz w:val="30"/>
          <w:szCs w:val="30"/>
          <w:lang w:bidi="ar"/>
        </w:rPr>
        <w:t>三、清产核资</w:t>
      </w:r>
    </w:p>
    <w:p w14:paraId="11D09CC5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0B1AE3D9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18"/>
          <w:sz w:val="30"/>
          <w:szCs w:val="30"/>
          <w:shd w:val="clear" w:color="auto" w:fill="FFFFFF"/>
        </w:rPr>
        <w:t>清产核资简单说就是盘点，盘点公司全部资产与负债。会计混乱的公司，往往资产管理混乱、产权不清，理清资产产权是重中之重。主要步骤如下：</w:t>
      </w:r>
    </w:p>
    <w:p w14:paraId="21A3AABD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1ED9E343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1.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时点归属</w:t>
      </w:r>
    </w:p>
    <w:p w14:paraId="27F04993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484343C6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lastRenderedPageBreak/>
        <w:t>如果定在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1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月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1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日，当然比较好。但就算在全年的其它时点，重新建账也是可以的。</w:t>
      </w:r>
    </w:p>
    <w:p w14:paraId="578BE5AF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2CF753DA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2.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资产归属</w:t>
      </w:r>
    </w:p>
    <w:p w14:paraId="27588D8A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0B3ABB95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形式上，要确保所有资产都得到盘点人、复盘人、领导签字。对产权不清的资产，做一个待处理文件，推动公司高层确定全部资产归属。尤其关联企业之间、股东与企业之间、母子公司之间，产权清晰这一步不能完成，则难以成功建账。如果是确有争议的资产，就先斩掉不要，反正与财务部利益没有太大关系。</w:t>
      </w:r>
    </w:p>
    <w:p w14:paraId="673AEB70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5A671D40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3.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确定成本</w:t>
      </w:r>
    </w:p>
    <w:p w14:paraId="40D9F9DD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0553766B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理清资产产权后，是确定资产成本。这是一个技术活。有发票、白条、合同、付款凭证等能够证明东西属于公司的，那就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进资产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和实收资本；没有发票，价值不明的，就当作借用股东的资产，以后是付租金使用费还是直接从股东手里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买断那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得另说。</w:t>
      </w:r>
    </w:p>
    <w:p w14:paraId="6DF2A642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10E12572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lastRenderedPageBreak/>
        <w:t>固定资产的盘点，找发票、找合同，尽量确认到原值。没有发票，计提折旧就不得在税前扣除，在所得税汇算清缴时作纳税调整。</w:t>
      </w:r>
    </w:p>
    <w:p w14:paraId="28663672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74437772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存货盘点，有发票的，当然按发票金额确认；没有发票的，按近期采购价格确认，以防止与后批次存货成本差异过大。</w:t>
      </w:r>
    </w:p>
    <w:p w14:paraId="5B4A4DEB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4C9C13CD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在产品、产成品，如果数量多、金额大，最好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把估计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的过程与计算依据书面化。</w:t>
      </w:r>
    </w:p>
    <w:p w14:paraId="1AB07ABD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7F616146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其它物料、周转材料、低值易耗品，凡是旧的或者金额小，就可以不用管了，即费用化。凡是新的、金额大的，可以计入。</w:t>
      </w:r>
    </w:p>
    <w:p w14:paraId="55DDB89C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36000E04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4.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债权债务</w:t>
      </w:r>
    </w:p>
    <w:p w14:paraId="3B268506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4FC9FB4A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所有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有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记录的债权，全部制成表格，宁多勿漏，每笔债权要确定责任部门或人员，形成领导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签字批准的债权表。领导也不能确定的债权就先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不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装进来，单独放在一个表里面，以后再说。债务方面，所有债务包括金额最好发函询证，领导签字。</w:t>
      </w:r>
    </w:p>
    <w:p w14:paraId="12BA23FF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0A03A683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5.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试算平衡</w:t>
      </w:r>
    </w:p>
    <w:p w14:paraId="49179DE5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2A113DC6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完成相关清查后，就进行试算平衡的工作。</w:t>
      </w:r>
    </w:p>
    <w:p w14:paraId="727B97C3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0A7A14F2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上述盘点表的资产与负债归集入相关科目制作平衡表，资产与负债的差额，就是所有者权益。所有者权益中，除非有确凿依据，否则尽量不要确认资本公积。</w:t>
      </w:r>
    </w:p>
    <w:p w14:paraId="08823A32" w14:textId="77777777" w:rsidR="00965DE1" w:rsidRDefault="00965DE1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</w:p>
    <w:p w14:paraId="06FF3F13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用科目汇总表中资产与负债的差额，减去实收资本和资本公积，差额就是未分配利润。这么一来，理论上讲，清产核资的成果——资产负债表也就出来了。</w:t>
      </w:r>
    </w:p>
    <w:p w14:paraId="09236424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1D1E3215" w14:textId="297271B2" w:rsidR="00965DE1" w:rsidRDefault="00F245AD" w:rsidP="00E36A03">
      <w:pPr>
        <w:pStyle w:val="a3"/>
        <w:widowControl/>
        <w:spacing w:beforeAutospacing="0" w:afterAutospacing="0" w:line="368" w:lineRule="atLeast"/>
        <w:ind w:left="240" w:right="240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财产清查期初集中完成，根据清查结果进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行期初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建账。</w:t>
      </w:r>
    </w:p>
    <w:p w14:paraId="2A74128B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41F819D7" w14:textId="77777777" w:rsidR="00965DE1" w:rsidRDefault="00F245AD">
      <w:pPr>
        <w:widowControl/>
        <w:jc w:val="left"/>
        <w:rPr>
          <w:sz w:val="30"/>
          <w:szCs w:val="30"/>
        </w:rPr>
      </w:pPr>
      <w:r>
        <w:rPr>
          <w:rStyle w:val="a4"/>
          <w:rFonts w:ascii="宋体" w:eastAsia="宋体" w:hAnsi="宋体" w:cs="宋体"/>
          <w:kern w:val="0"/>
          <w:sz w:val="30"/>
          <w:szCs w:val="30"/>
          <w:lang w:bidi="ar"/>
        </w:rPr>
        <w:t>四、乱账梳理后续工作</w:t>
      </w:r>
    </w:p>
    <w:p w14:paraId="6604218C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both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4787ECE6" w14:textId="77777777" w:rsidR="00965DE1" w:rsidRDefault="00F245AD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center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18"/>
          <w:sz w:val="30"/>
          <w:szCs w:val="30"/>
        </w:rPr>
        <w:lastRenderedPageBreak/>
        <w:drawing>
          <wp:inline distT="0" distB="0" distL="114300" distR="114300" wp14:anchorId="6BECBE84" wp14:editId="7455CDC7">
            <wp:extent cx="4298315" cy="2628900"/>
            <wp:effectExtent l="0" t="0" r="14605" b="7620"/>
            <wp:docPr id="5" name="图片 5" descr="微信图片_20200617101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6171019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831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802C1" w14:textId="77777777" w:rsidR="00965DE1" w:rsidRDefault="00965DE1">
      <w:pPr>
        <w:pStyle w:val="a3"/>
        <w:widowControl/>
        <w:shd w:val="clear" w:color="auto" w:fill="FFFFFF"/>
        <w:spacing w:beforeAutospacing="0" w:afterAutospacing="0" w:line="368" w:lineRule="atLeast"/>
        <w:ind w:left="240" w:right="240"/>
        <w:jc w:val="center"/>
        <w:rPr>
          <w:rFonts w:ascii="Microsoft YaHei UI" w:eastAsia="Microsoft YaHei UI" w:hAnsi="Microsoft YaHei UI" w:cs="Microsoft YaHei UI"/>
          <w:color w:val="333333"/>
          <w:spacing w:val="18"/>
          <w:sz w:val="30"/>
          <w:szCs w:val="30"/>
        </w:rPr>
      </w:pPr>
    </w:p>
    <w:p w14:paraId="16AE7FBB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1.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后续调整</w:t>
      </w:r>
    </w:p>
    <w:p w14:paraId="3F66E5B3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6986E9C7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就像雕刻一样，以上两步只是雕像的初步模型，要想账表大致符合公司的经营状况，我们还要加以打磨。以上两步虽然可以做出资产负债表，但数据很可能还有问题，比如，如果实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收资本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当初是虚的，这就可能导致巨额亏损，报表极不正常。利用新建账的机会，可以进行调整。调整时，重点考虑利润或亏损的金额和资产负债率，结合公司情况，应该可以大致判断是否正常。如果不正常，尽可能找到原因。一旦公司领导批准了新资产负债表，则相当于形成了全新的账务资料。</w:t>
      </w:r>
    </w:p>
    <w:p w14:paraId="77C36AC1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1EE36ACC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2.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期初余额</w:t>
      </w:r>
    </w:p>
    <w:p w14:paraId="1584D12E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2359869D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上面形成的各项表格，就可以作为建账的基础。新设账套，选择适合自己公司的会计准则，继而按照需要下设二级科目和辅助核算，将各项数据登记入相关的科目期初余额，这样建账就完成了。</w:t>
      </w:r>
    </w:p>
    <w:p w14:paraId="3C8DF1A7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2C7C6B7C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有些公司之前并非没有账，而是有账但非常混乱，并不愿意直接重新登记期初余额，此时，应该按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新账与老账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的各科目金额差异，计算出差额，然后统一做一笔多借多贷的调整分录，就完成了老、新账的过渡。</w:t>
      </w:r>
    </w:p>
    <w:p w14:paraId="3C344964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3CF056E6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有时事情往往没三言两语中那么顺利，不然墨菲定律就白发表了。万一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设完期初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余额才发现还有一大笔资产、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负债计漏了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，或者某些计入的资产要调出来。遇上这类事当然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是倒霉。所以，前期工作一定要细致，以减少不必要的调整。</w:t>
      </w:r>
    </w:p>
    <w:p w14:paraId="6B4279AA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70424CDD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那遇到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这种情况怎么解决呢？首先，把这些资产负债的情况整理成表格，交给领导签字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,</w:t>
      </w: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同时应把相关权属资料整理归档备查。然后，重新制作新的试算平衡表，相当于把前面的工作用新数据重做一遍，形成新的平衡表。</w:t>
      </w:r>
    </w:p>
    <w:p w14:paraId="3A8BBFE2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1E4D15D9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对于新表所导致的各科目的差额，做一笔</w:t>
      </w:r>
      <w:proofErr w:type="gramStart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分录结平即</w:t>
      </w:r>
      <w:proofErr w:type="gramEnd"/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可。</w:t>
      </w:r>
    </w:p>
    <w:p w14:paraId="0E4BEA05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115D8089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3.</w:t>
      </w:r>
      <w:r>
        <w:rPr>
          <w:rStyle w:val="a4"/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建立会计核算制度</w:t>
      </w:r>
    </w:p>
    <w:p w14:paraId="4B18BC85" w14:textId="77777777" w:rsidR="00965DE1" w:rsidRDefault="00965DE1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30"/>
          <w:szCs w:val="30"/>
        </w:rPr>
      </w:pPr>
    </w:p>
    <w:p w14:paraId="0F050F5D" w14:textId="77777777" w:rsidR="00965DE1" w:rsidRDefault="00F245AD">
      <w:pPr>
        <w:pStyle w:val="a3"/>
        <w:widowControl/>
        <w:spacing w:beforeAutospacing="0" w:afterAutospacing="0" w:line="368" w:lineRule="atLeast"/>
        <w:ind w:left="240" w:right="240"/>
        <w:rPr>
          <w:rFonts w:ascii="微软雅黑" w:eastAsia="微软雅黑" w:hAnsi="微软雅黑" w:cs="微软雅黑"/>
          <w:color w:val="000000"/>
          <w:spacing w:val="18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F3F3F"/>
          <w:spacing w:val="18"/>
          <w:sz w:val="30"/>
          <w:szCs w:val="30"/>
        </w:rPr>
        <w:t>所谓法不溯及既往，凡事都有先后因果，既然以前没有解决，形成了历史遗留问题，那么延续到现在了就按现在的规矩来办事吧。规章制度包括但不限于下列几条：现金管理制度、发票管理制度、合同管理制度、财务报销制度、采购制度和成本核算制度。</w:t>
      </w:r>
    </w:p>
    <w:p w14:paraId="502B1C7B" w14:textId="77777777" w:rsidR="00965DE1" w:rsidRDefault="00965DE1">
      <w:pPr>
        <w:rPr>
          <w:sz w:val="30"/>
          <w:szCs w:val="30"/>
        </w:rPr>
      </w:pPr>
    </w:p>
    <w:sectPr w:rsidR="00965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DE1"/>
    <w:rsid w:val="00965DE1"/>
    <w:rsid w:val="00E36A03"/>
    <w:rsid w:val="00F245AD"/>
    <w:rsid w:val="208C588C"/>
    <w:rsid w:val="4D84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4A0A4"/>
  <w15:docId w15:val="{9E0CC68E-156B-44B4-A3FD-07617AF4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2</cp:revision>
  <dcterms:created xsi:type="dcterms:W3CDTF">2014-10-29T12:08:00Z</dcterms:created>
  <dcterms:modified xsi:type="dcterms:W3CDTF">2022-03-01T06:48:00Z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