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EE204">
      <w:pPr>
        <w:spacing w:line="480" w:lineRule="auto"/>
        <w:rPr>
          <w:rFonts w:ascii="仿宋_GB2312" w:hAnsi="仿宋_GB2312" w:eastAsia="仿宋_GB2312" w:cs="仿宋_GB2312"/>
          <w:bCs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14:ligatures w14:val="standardContextual"/>
        </w:rPr>
        <w:t>附件</w:t>
      </w:r>
      <w:r>
        <w:rPr>
          <w:rFonts w:hint="eastAsia" w:ascii="Times New Roman" w:hAnsi="Times New Roman" w:eastAsia="Times New Roman" w:cs="Times New Roman"/>
          <w:bCs/>
          <w:color w:val="auto"/>
          <w:sz w:val="28"/>
          <w:szCs w:val="28"/>
          <w14:ligatures w14:val="standardContextual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14:ligatures w14:val="standardContextual"/>
        </w:rPr>
        <w:t>：</w:t>
      </w:r>
    </w:p>
    <w:p w14:paraId="4BD8C1D6">
      <w:pPr>
        <w:spacing w:line="480" w:lineRule="auto"/>
        <w:rPr>
          <w:rFonts w:ascii="黑体" w:hAnsi="黑体" w:eastAsia="黑体" w:cs="Times New Roman"/>
          <w:b/>
          <w:color w:val="auto"/>
          <w:sz w:val="52"/>
          <w:szCs w:val="52"/>
          <w14:ligatures w14:val="standardContextual"/>
        </w:rPr>
      </w:pPr>
    </w:p>
    <w:p w14:paraId="7270BA25">
      <w:pPr>
        <w:spacing w:line="480" w:lineRule="auto"/>
        <w:jc w:val="center"/>
        <w:rPr>
          <w:rFonts w:ascii="黑体" w:hAnsi="黑体" w:eastAsia="黑体" w:cs="Times New Roman"/>
          <w:b/>
          <w:color w:val="auto"/>
          <w:sz w:val="52"/>
          <w:szCs w:val="52"/>
          <w14:ligatures w14:val="standardContextual"/>
        </w:rPr>
      </w:pPr>
    </w:p>
    <w:p w14:paraId="2B5F077B">
      <w:pPr>
        <w:spacing w:line="480" w:lineRule="auto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14:ligatures w14:val="standardContextual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14:ligatures w14:val="standardContextual"/>
        </w:rPr>
        <w:t>中国勘察设计协会团体标准</w:t>
      </w:r>
    </w:p>
    <w:p w14:paraId="35F8E260">
      <w:pPr>
        <w:spacing w:line="480" w:lineRule="auto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  <w14:ligatures w14:val="standardContextual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14:ligatures w14:val="standardContextual"/>
        </w:rPr>
        <w:t>《</w:t>
      </w:r>
      <w:r>
        <w:rPr>
          <w:rFonts w:ascii="Times New Roman" w:hAnsi="Times New Roman" w:eastAsia="宋体" w:cs="Times New Roman"/>
          <w:bCs/>
          <w:color w:val="auto"/>
          <w:sz w:val="44"/>
          <w:szCs w:val="44"/>
          <w14:ligatures w14:val="standardContextual"/>
        </w:rPr>
        <w:t>******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14:ligatures w14:val="standardContextual"/>
        </w:rPr>
        <w:t>》前期工作报告</w:t>
      </w:r>
    </w:p>
    <w:p w14:paraId="51954F23">
      <w:pPr>
        <w:jc w:val="center"/>
        <w:rPr>
          <w:rFonts w:ascii="黑体" w:hAnsi="黑体" w:eastAsia="黑体" w:cs="Times New Roman"/>
          <w:color w:val="auto"/>
          <w:sz w:val="32"/>
          <w:szCs w:val="28"/>
          <w14:ligatures w14:val="standardContextual"/>
        </w:rPr>
      </w:pPr>
    </w:p>
    <w:p w14:paraId="3055A772">
      <w:pPr>
        <w:jc w:val="center"/>
        <w:rPr>
          <w:rFonts w:ascii="黑体" w:hAnsi="黑体" w:eastAsia="黑体" w:cs="Times New Roman"/>
          <w:color w:val="auto"/>
          <w:sz w:val="32"/>
          <w:szCs w:val="28"/>
          <w14:ligatures w14:val="standardContextual"/>
        </w:rPr>
      </w:pPr>
    </w:p>
    <w:p w14:paraId="3CB63F86">
      <w:pPr>
        <w:jc w:val="center"/>
        <w:rPr>
          <w:rFonts w:ascii="黑体" w:hAnsi="黑体" w:eastAsia="黑体" w:cs="Times New Roman"/>
          <w:color w:val="auto"/>
          <w:sz w:val="32"/>
          <w:szCs w:val="28"/>
          <w14:ligatures w14:val="standardContextual"/>
        </w:rPr>
      </w:pPr>
    </w:p>
    <w:p w14:paraId="675CDA5C">
      <w:pPr>
        <w:jc w:val="center"/>
        <w:rPr>
          <w:rFonts w:ascii="黑体" w:hAnsi="黑体" w:eastAsia="黑体" w:cs="Times New Roman"/>
          <w:color w:val="auto"/>
          <w:sz w:val="32"/>
          <w:szCs w:val="28"/>
          <w14:ligatures w14:val="standardContextual"/>
        </w:rPr>
      </w:pPr>
    </w:p>
    <w:p w14:paraId="7058A31E">
      <w:pPr>
        <w:jc w:val="center"/>
        <w:rPr>
          <w:rFonts w:ascii="黑体" w:hAnsi="黑体" w:eastAsia="黑体" w:cs="Times New Roman"/>
          <w:b/>
          <w:bCs/>
          <w:color w:val="auto"/>
          <w:sz w:val="40"/>
          <w:szCs w:val="36"/>
          <w14:ligatures w14:val="standardContextual"/>
        </w:rPr>
      </w:pPr>
    </w:p>
    <w:p w14:paraId="35DA6C03">
      <w:pPr>
        <w:jc w:val="center"/>
        <w:rPr>
          <w:rFonts w:ascii="黑体" w:hAnsi="黑体" w:eastAsia="黑体" w:cs="Times New Roman"/>
          <w:b/>
          <w:bCs/>
          <w:color w:val="auto"/>
          <w:sz w:val="32"/>
          <w:szCs w:val="28"/>
          <w14:ligatures w14:val="standardContextual"/>
        </w:rPr>
      </w:pPr>
    </w:p>
    <w:p w14:paraId="54254D2D">
      <w:pPr>
        <w:jc w:val="center"/>
        <w:rPr>
          <w:rFonts w:ascii="黑体" w:hAnsi="黑体" w:eastAsia="黑体" w:cs="Times New Roman"/>
          <w:b/>
          <w:bCs/>
          <w:color w:val="auto"/>
          <w:sz w:val="32"/>
          <w:szCs w:val="28"/>
          <w14:ligatures w14:val="standardContextual"/>
        </w:rPr>
      </w:pPr>
    </w:p>
    <w:p w14:paraId="7FC1BA81">
      <w:pPr>
        <w:jc w:val="center"/>
        <w:rPr>
          <w:rFonts w:ascii="黑体" w:hAnsi="黑体" w:eastAsia="黑体" w:cs="Times New Roman"/>
          <w:b/>
          <w:bCs/>
          <w:color w:val="auto"/>
          <w:sz w:val="32"/>
          <w:szCs w:val="28"/>
          <w14:ligatures w14:val="standardContextual"/>
        </w:rPr>
      </w:pPr>
    </w:p>
    <w:p w14:paraId="0445E5C4">
      <w:pPr>
        <w:jc w:val="center"/>
        <w:rPr>
          <w:rFonts w:ascii="黑体" w:hAnsi="黑体" w:eastAsia="黑体" w:cs="Times New Roman"/>
          <w:b/>
          <w:bCs/>
          <w:color w:val="auto"/>
          <w:sz w:val="32"/>
          <w:szCs w:val="28"/>
          <w14:ligatures w14:val="standardContextual"/>
        </w:rPr>
      </w:pPr>
    </w:p>
    <w:p w14:paraId="7A085331">
      <w:pPr>
        <w:jc w:val="center"/>
        <w:rPr>
          <w:rFonts w:ascii="黑体" w:hAnsi="黑体" w:eastAsia="黑体" w:cs="Times New Roman"/>
          <w:b/>
          <w:bCs/>
          <w:color w:val="auto"/>
          <w:sz w:val="32"/>
          <w:szCs w:val="28"/>
          <w14:ligatures w14:val="standardContextual"/>
        </w:rPr>
      </w:pPr>
    </w:p>
    <w:p w14:paraId="6A2B778A">
      <w:pPr>
        <w:jc w:val="center"/>
        <w:rPr>
          <w:rFonts w:ascii="黑体" w:hAnsi="黑体" w:eastAsia="黑体" w:cs="Times New Roman"/>
          <w:b/>
          <w:bCs/>
          <w:color w:val="auto"/>
          <w:sz w:val="32"/>
          <w:szCs w:val="28"/>
          <w14:ligatures w14:val="standardContextual"/>
        </w:rPr>
      </w:pPr>
    </w:p>
    <w:p w14:paraId="162AD291">
      <w:pPr>
        <w:jc w:val="center"/>
        <w:rPr>
          <w:rFonts w:ascii="Times New Roman" w:hAnsi="Times New Roman" w:eastAsia="等线" w:cs="Times New Roman"/>
          <w:b/>
          <w:bCs/>
          <w:color w:val="auto"/>
          <w:sz w:val="32"/>
          <w:szCs w:val="32"/>
          <w14:ligatures w14:val="standardContextual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  <w14:ligatures w14:val="standardContextual"/>
        </w:rPr>
        <w:t>202</w:t>
      </w:r>
      <w:r>
        <w:rPr>
          <w:rFonts w:ascii="黑体" w:hAnsi="黑体" w:eastAsia="黑体" w:cs="Times New Roman"/>
          <w:b/>
          <w:bCs/>
          <w:color w:val="auto"/>
          <w:sz w:val="32"/>
          <w:szCs w:val="32"/>
          <w14:ligatures w14:val="standardContextual"/>
        </w:rPr>
        <w:t>*</w:t>
      </w:r>
      <w:r>
        <w:rPr>
          <w:rFonts w:hint="eastAsia" w:ascii="黑体" w:hAnsi="黑体" w:eastAsia="黑体" w:cs="Times New Roman"/>
          <w:b/>
          <w:bCs/>
          <w:color w:val="auto"/>
          <w:sz w:val="32"/>
          <w:szCs w:val="32"/>
          <w14:ligatures w14:val="standardContextual"/>
        </w:rPr>
        <w:t>年</w:t>
      </w:r>
      <w:r>
        <w:rPr>
          <w:rFonts w:ascii="黑体" w:hAnsi="黑体" w:eastAsia="黑体" w:cs="Times New Roman"/>
          <w:b/>
          <w:bCs/>
          <w:color w:val="auto"/>
          <w:sz w:val="32"/>
          <w:szCs w:val="32"/>
          <w14:ligatures w14:val="standardContextual"/>
        </w:rPr>
        <w:t>*</w:t>
      </w:r>
      <w:r>
        <w:rPr>
          <w:rFonts w:hint="eastAsia" w:ascii="黑体" w:hAnsi="黑体" w:eastAsia="黑体" w:cs="Times New Roman"/>
          <w:b/>
          <w:bCs/>
          <w:color w:val="auto"/>
          <w:sz w:val="32"/>
          <w:szCs w:val="32"/>
          <w14:ligatures w14:val="standardContextual"/>
        </w:rPr>
        <w:t>月</w:t>
      </w:r>
    </w:p>
    <w:p w14:paraId="7CACD490">
      <w:pPr>
        <w:spacing w:line="560" w:lineRule="exact"/>
        <w:rPr>
          <w:rFonts w:ascii="黑体" w:hAnsi="黑体" w:eastAsia="黑体" w:cs="黑体"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14:ligatures w14:val="standardContextual"/>
        </w:rPr>
        <w:t xml:space="preserve">    </w:t>
      </w:r>
      <w:r>
        <w:rPr>
          <w:rFonts w:hint="eastAsia" w:ascii="黑体" w:hAnsi="黑体" w:eastAsia="黑体" w:cs="黑体"/>
          <w:color w:val="auto"/>
          <w:sz w:val="28"/>
          <w:szCs w:val="28"/>
          <w14:ligatures w14:val="standardContextual"/>
        </w:rPr>
        <w:t>一、标准名称</w:t>
      </w:r>
    </w:p>
    <w:p w14:paraId="5C2AB308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本标准名称为《</w:t>
      </w:r>
      <w:r>
        <w:rPr>
          <w:rFonts w:ascii="Times New Roman" w:hAnsi="Times New Roman" w:eastAsia="宋体" w:cs="Times New Roman"/>
          <w:color w:val="auto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》。</w:t>
      </w:r>
    </w:p>
    <w:p w14:paraId="11E595D1">
      <w:pPr>
        <w:spacing w:line="560" w:lineRule="exact"/>
        <w:ind w:firstLine="560" w:firstLineChars="200"/>
        <w:rPr>
          <w:rFonts w:ascii="黑体" w:hAnsi="黑体" w:eastAsia="黑体" w:cs="黑体"/>
          <w:color w:val="auto"/>
          <w:sz w:val="28"/>
          <w:szCs w:val="28"/>
          <w14:ligatures w14:val="standardContextual"/>
        </w:rPr>
      </w:pPr>
      <w:r>
        <w:rPr>
          <w:rFonts w:hint="eastAsia" w:ascii="黑体" w:hAnsi="黑体" w:eastAsia="黑体" w:cs="黑体"/>
          <w:color w:val="auto"/>
          <w:sz w:val="28"/>
          <w:szCs w:val="28"/>
          <w14:ligatures w14:val="standardContextual"/>
        </w:rPr>
        <w:t>二、标准目的和作用（可依据选题拓展细分以下要点，仅供参考模式，明确ICS、CCS的分类编码及标准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  <w14:ligatures w14:val="standardContextual"/>
        </w:rPr>
        <w:t>分类</w:t>
      </w:r>
      <w:r>
        <w:rPr>
          <w:rFonts w:hint="eastAsia" w:ascii="黑体" w:hAnsi="黑体" w:eastAsia="黑体" w:cs="黑体"/>
          <w:color w:val="auto"/>
          <w:sz w:val="28"/>
          <w:szCs w:val="28"/>
          <w14:ligatures w14:val="standardContextual"/>
        </w:rPr>
        <w:t>）</w:t>
      </w:r>
    </w:p>
    <w:p w14:paraId="30B22104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（一）填补</w:t>
      </w:r>
      <w:r>
        <w:rPr>
          <w:rFonts w:ascii="Times New Roman" w:hAnsi="Times New Roman" w:eastAsia="宋体" w:cs="Times New Roman"/>
          <w:color w:val="auto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方面的标准空白</w:t>
      </w:r>
    </w:p>
    <w:p w14:paraId="44973A05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目前国内实际技术情况，仍缺乏相应的标准。</w:t>
      </w:r>
    </w:p>
    <w:p w14:paraId="33ACA15F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（二）为</w:t>
      </w:r>
      <w:r>
        <w:rPr>
          <w:rFonts w:ascii="Times New Roman" w:hAnsi="Times New Roman" w:eastAsia="宋体" w:cs="Times New Roman"/>
          <w:color w:val="auto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提供技术支撑</w:t>
      </w:r>
    </w:p>
    <w:p w14:paraId="015081D0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本技术领域的现状，需求迫切性、必要性等等，《</w:t>
      </w:r>
      <w:r>
        <w:rPr>
          <w:rFonts w:ascii="Times New Roman" w:hAnsi="Times New Roman" w:eastAsia="宋体" w:cs="Times New Roman"/>
          <w:color w:val="auto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》的编制将为</w:t>
      </w:r>
      <w:r>
        <w:rPr>
          <w:rFonts w:ascii="Times New Roman" w:hAnsi="Times New Roman" w:eastAsia="宋体" w:cs="Times New Roman"/>
          <w:color w:val="auto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提供技术支撑。</w:t>
      </w:r>
    </w:p>
    <w:p w14:paraId="7552A296">
      <w:pPr>
        <w:spacing w:line="560" w:lineRule="exact"/>
        <w:ind w:firstLine="560" w:firstLineChars="200"/>
        <w:rPr>
          <w:rFonts w:ascii="仿宋_GB2312" w:hAnsi="仿宋_GB2312" w:eastAsia="宋体" w:cs="仿宋_GB2312"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（三）全面、系统地考虑</w:t>
      </w:r>
      <w:r>
        <w:rPr>
          <w:rFonts w:ascii="Times New Roman" w:hAnsi="Times New Roman" w:eastAsia="宋体" w:cs="Times New Roman"/>
          <w:color w:val="auto"/>
          <w:sz w:val="28"/>
          <w:szCs w:val="28"/>
          <w14:ligatures w14:val="standardContextual"/>
        </w:rPr>
        <w:t>******</w:t>
      </w:r>
    </w:p>
    <w:p w14:paraId="28C87EB8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目前研究方向和成果。</w:t>
      </w:r>
    </w:p>
    <w:p w14:paraId="4DAD8210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通过标准制定，实现</w:t>
      </w:r>
      <w:r>
        <w:rPr>
          <w:rFonts w:ascii="Times New Roman" w:hAnsi="Times New Roman" w:eastAsia="宋体" w:cs="Times New Roman"/>
          <w:color w:val="auto"/>
          <w:sz w:val="28"/>
          <w:szCs w:val="28"/>
          <w14:ligatures w14:val="standardContextual"/>
        </w:rPr>
        <w:t>*******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的目标。</w:t>
      </w:r>
    </w:p>
    <w:p w14:paraId="4FFE461E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（四）为</w:t>
      </w:r>
      <w:r>
        <w:rPr>
          <w:rFonts w:ascii="Times New Roman" w:hAnsi="Times New Roman" w:eastAsia="宋体" w:cs="Times New Roman"/>
          <w:color w:val="auto"/>
          <w:sz w:val="28"/>
          <w:szCs w:val="28"/>
          <w14:ligatures w14:val="standardContextual"/>
        </w:rPr>
        <w:t>*******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提供可操作性的技术指导</w:t>
      </w:r>
    </w:p>
    <w:p w14:paraId="27FAD86D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《</w:t>
      </w:r>
      <w:r>
        <w:rPr>
          <w:rFonts w:ascii="Times New Roman" w:hAnsi="Times New Roman" w:eastAsia="宋体" w:cs="Times New Roman"/>
          <w:color w:val="auto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》的编制为</w:t>
      </w:r>
      <w:r>
        <w:rPr>
          <w:rFonts w:ascii="Times New Roman" w:hAnsi="Times New Roman" w:eastAsia="宋体" w:cs="Times New Roman"/>
          <w:color w:val="auto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提供可操作性的技术指导。</w:t>
      </w:r>
    </w:p>
    <w:p w14:paraId="54BF8815">
      <w:pPr>
        <w:spacing w:line="560" w:lineRule="exact"/>
        <w:ind w:firstLine="560" w:firstLineChars="200"/>
        <w:rPr>
          <w:rFonts w:ascii="黑体" w:hAnsi="黑体" w:eastAsia="黑体" w:cs="黑体"/>
          <w:color w:val="auto"/>
          <w:sz w:val="28"/>
          <w:szCs w:val="28"/>
          <w14:ligatures w14:val="standardContextual"/>
        </w:rPr>
      </w:pPr>
      <w:r>
        <w:rPr>
          <w:rFonts w:hint="eastAsia" w:ascii="黑体" w:hAnsi="黑体" w:eastAsia="黑体" w:cs="黑体"/>
          <w:color w:val="auto"/>
          <w:sz w:val="28"/>
          <w:szCs w:val="28"/>
          <w14:ligatures w14:val="standardContextual"/>
        </w:rPr>
        <w:t>三、技术条件和成熟程度</w:t>
      </w:r>
    </w:p>
    <w:p w14:paraId="3A6FE5C6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（一）技术团队能力条件</w:t>
      </w:r>
    </w:p>
    <w:p w14:paraId="356D8BF4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主编单位——（主编单位简介）前世今生，行业地位，所在地区地位。荣获奖项等荣誉。拥有自主知识产权</w:t>
      </w:r>
      <w:r>
        <w:rPr>
          <w:rFonts w:ascii="Times New Roman" w:hAnsi="Times New Roman" w:eastAsia="宋体" w:cs="Times New Roman"/>
          <w:color w:val="auto"/>
          <w:sz w:val="28"/>
          <w:szCs w:val="28"/>
          <w14:ligatures w14:val="standardContextual"/>
        </w:rPr>
        <w:t>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项，自主研发科技成果</w:t>
      </w:r>
      <w:r>
        <w:rPr>
          <w:rFonts w:ascii="Times New Roman" w:hAnsi="Times New Roman" w:eastAsia="宋体" w:cs="Times New Roman"/>
          <w:color w:val="auto"/>
          <w:sz w:val="28"/>
          <w:szCs w:val="28"/>
          <w14:ligatures w14:val="standardContextual"/>
        </w:rPr>
        <w:t>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项，主编（参编）国家、省级技术规范（标准）</w:t>
      </w:r>
      <w:r>
        <w:rPr>
          <w:rFonts w:ascii="Times New Roman" w:hAnsi="Times New Roman" w:eastAsia="宋体" w:cs="Times New Roman"/>
          <w:color w:val="auto"/>
          <w:sz w:val="28"/>
          <w:szCs w:val="28"/>
          <w14:ligatures w14:val="standardContextual"/>
        </w:rPr>
        <w:t>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项，具有工程勘察、工程测量、工程设计、城乡规划、工程咨询、建筑工程监理、建筑工程施工总承包等</w:t>
      </w:r>
      <w:r>
        <w:rPr>
          <w:rFonts w:ascii="Times New Roman" w:hAnsi="Times New Roman" w:eastAsia="宋体" w:cs="Times New Roman"/>
          <w:color w:val="auto"/>
          <w:sz w:val="28"/>
          <w:szCs w:val="28"/>
          <w14:ligatures w14:val="standardContextual"/>
        </w:rPr>
        <w:t>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项甲级（一级）资质、市政工程（给水排水、环境卫生、道路、桥梁）一类施工图审查资格等资质。</w:t>
      </w:r>
    </w:p>
    <w:p w14:paraId="5F4B93FB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（二）成熟的项目设计经验</w:t>
      </w:r>
    </w:p>
    <w:p w14:paraId="2CA97B44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作为</w:t>
      </w:r>
      <w:r>
        <w:rPr>
          <w:rFonts w:ascii="Times New Roman" w:hAnsi="Times New Roman" w:eastAsia="宋体" w:cs="Times New Roman"/>
          <w:color w:val="auto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行业发展方向和技术创新的引领者，完成的与立项相关的示范项目及亮点。</w:t>
      </w:r>
    </w:p>
    <w:p w14:paraId="5C81D3AC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（三）良好的相关研究基础</w:t>
      </w:r>
    </w:p>
    <w:p w14:paraId="08292E19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进行中或已完成的与立项相关的研究成果。</w:t>
      </w:r>
    </w:p>
    <w:p w14:paraId="095F0935">
      <w:pPr>
        <w:spacing w:line="560" w:lineRule="exact"/>
        <w:ind w:firstLine="560" w:firstLineChars="200"/>
        <w:rPr>
          <w:rFonts w:ascii="黑体" w:hAnsi="黑体" w:eastAsia="黑体" w:cs="黑体"/>
          <w:color w:val="auto"/>
          <w:sz w:val="28"/>
          <w:szCs w:val="28"/>
          <w14:ligatures w14:val="standardContextual"/>
        </w:rPr>
      </w:pPr>
      <w:r>
        <w:rPr>
          <w:rFonts w:hint="eastAsia" w:ascii="黑体" w:hAnsi="黑体" w:eastAsia="黑体" w:cs="黑体"/>
          <w:color w:val="auto"/>
          <w:sz w:val="28"/>
          <w:szCs w:val="28"/>
          <w14:ligatures w14:val="standardContextual"/>
        </w:rPr>
        <w:t>四、与现行各类国家、行业标准的关系</w:t>
      </w:r>
    </w:p>
    <w:p w14:paraId="3DD439D9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《</w:t>
      </w:r>
      <w:r>
        <w:rPr>
          <w:rFonts w:ascii="Times New Roman" w:hAnsi="Times New Roman" w:eastAsia="宋体" w:cs="Times New Roman"/>
          <w:color w:val="auto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》引用密切相关的现行国家标准、行业标准等的相关规定和技术要求，作为本标准的一部分，主要包括以下内容：</w:t>
      </w:r>
    </w:p>
    <w:p w14:paraId="4E822047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（一）在满足</w:t>
      </w:r>
      <w:r>
        <w:rPr>
          <w:rFonts w:ascii="Times New Roman" w:hAnsi="Times New Roman" w:eastAsia="宋体" w:cs="Times New Roman"/>
          <w:color w:val="auto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等强制性标准的要求下进行编制；</w:t>
      </w:r>
    </w:p>
    <w:p w14:paraId="1D2B1930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（二）</w:t>
      </w:r>
      <w:r>
        <w:rPr>
          <w:rFonts w:ascii="Times New Roman" w:hAnsi="Times New Roman" w:eastAsia="宋体" w:cs="Times New Roman"/>
          <w:color w:val="auto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将根据《》《》《》《》等进行分析；</w:t>
      </w:r>
    </w:p>
    <w:p w14:paraId="2D64B972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（三）相关技术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standardContextual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基于《》等要求；</w:t>
      </w:r>
    </w:p>
    <w:p w14:paraId="7386E096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（四）相关技术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14:ligatures w14:val="standardContextual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基于《》《》《》等要求。</w:t>
      </w:r>
    </w:p>
    <w:p w14:paraId="533DB0C9">
      <w:pPr>
        <w:spacing w:line="560" w:lineRule="exact"/>
        <w:ind w:firstLine="560" w:firstLineChars="200"/>
        <w:rPr>
          <w:rFonts w:ascii="黑体" w:hAnsi="黑体" w:eastAsia="黑体" w:cs="黑体"/>
          <w:color w:val="auto"/>
          <w:sz w:val="28"/>
          <w:szCs w:val="28"/>
          <w14:ligatures w14:val="standardContextual"/>
        </w:rPr>
      </w:pPr>
      <w:r>
        <w:rPr>
          <w:rFonts w:hint="eastAsia" w:ascii="黑体" w:hAnsi="黑体" w:eastAsia="黑体" w:cs="黑体"/>
          <w:color w:val="auto"/>
          <w:sz w:val="28"/>
          <w:szCs w:val="28"/>
          <w14:ligatures w14:val="standardContextual"/>
        </w:rPr>
        <w:t>五、预期工程建设技术市场需求或技术创新成果应用趋势</w:t>
      </w:r>
    </w:p>
    <w:p w14:paraId="6DDD05F2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（一）在</w:t>
      </w:r>
      <w:r>
        <w:rPr>
          <w:rFonts w:ascii="Times New Roman" w:hAnsi="Times New Roman" w:eastAsia="宋体" w:cs="Times New Roman"/>
          <w:color w:val="auto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的背景下，</w:t>
      </w:r>
      <w:r>
        <w:rPr>
          <w:rFonts w:ascii="Times New Roman" w:hAnsi="Times New Roman" w:eastAsia="宋体" w:cs="Times New Roman"/>
          <w:color w:val="auto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转型将成为未来的市场需求。</w:t>
      </w:r>
    </w:p>
    <w:p w14:paraId="567CF7B9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（二）</w:t>
      </w:r>
      <w:r>
        <w:rPr>
          <w:rFonts w:ascii="Times New Roman" w:hAnsi="Times New Roman" w:eastAsia="宋体" w:cs="Times New Roman"/>
          <w:color w:val="auto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具有</w:t>
      </w:r>
      <w:r>
        <w:rPr>
          <w:rFonts w:ascii="Times New Roman" w:hAnsi="Times New Roman" w:eastAsia="宋体" w:cs="Times New Roman"/>
          <w:color w:val="auto"/>
          <w:sz w:val="28"/>
          <w:szCs w:val="28"/>
          <w14:ligatures w14:val="standardContextual"/>
        </w:rPr>
        <w:t>******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行业特点，减排潜力大，是协同推进减污降碳的重要切入点。</w:t>
      </w:r>
    </w:p>
    <w:p w14:paraId="66D9F141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（三）可研报告编制已落实“双碳”要求，未来规划、设计阶段也将落实“双碳”要求。</w:t>
      </w:r>
    </w:p>
    <w:p w14:paraId="236E4A6C">
      <w:pPr>
        <w:spacing w:line="560" w:lineRule="exact"/>
        <w:ind w:firstLine="560" w:firstLineChars="200"/>
        <w:rPr>
          <w:rFonts w:ascii="黑体" w:hAnsi="黑体" w:eastAsia="黑体" w:cs="黑体"/>
          <w:color w:val="auto"/>
          <w:sz w:val="28"/>
          <w:szCs w:val="28"/>
          <w14:ligatures w14:val="standardContextual"/>
        </w:rPr>
      </w:pPr>
      <w:r>
        <w:rPr>
          <w:rFonts w:hint="eastAsia" w:ascii="黑体" w:hAnsi="黑体" w:eastAsia="黑体" w:cs="黑体"/>
          <w:color w:val="auto"/>
          <w:sz w:val="28"/>
          <w:szCs w:val="28"/>
          <w14:ligatures w14:val="standardContextual"/>
        </w:rPr>
        <w:t>六、建议参编单位和起止年限</w:t>
      </w:r>
    </w:p>
    <w:p w14:paraId="27CD32EA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建议参编单位：</w:t>
      </w:r>
    </w:p>
    <w:p w14:paraId="36C6F1EC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起止年限：</w:t>
      </w:r>
      <w:r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  <w:t>****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年</w:t>
      </w:r>
      <w:r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  <w:t>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月至</w:t>
      </w:r>
      <w:r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  <w:t>****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年</w:t>
      </w:r>
      <w:r>
        <w:rPr>
          <w:rFonts w:ascii="仿宋_GB2312" w:hAnsi="仿宋_GB2312" w:eastAsia="仿宋_GB2312" w:cs="仿宋_GB2312"/>
          <w:color w:val="auto"/>
          <w:sz w:val="28"/>
          <w:szCs w:val="28"/>
          <w14:ligatures w14:val="standardContextual"/>
        </w:rPr>
        <w:t>*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14:ligatures w14:val="standardContextual"/>
        </w:rPr>
        <w:t>月。</w:t>
      </w:r>
    </w:p>
    <w:p w14:paraId="7C6E01A1">
      <w:pPr>
        <w:widowControl/>
        <w:spacing w:line="560" w:lineRule="exact"/>
        <w:jc w:val="left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</w:rPr>
      </w:pPr>
    </w:p>
    <w:p w14:paraId="188E4E9D">
      <w:pPr>
        <w:spacing w:line="560" w:lineRule="exact"/>
        <w:jc w:val="left"/>
        <w:rPr>
          <w:rFonts w:ascii="仿宋_GB2312" w:hAnsi="宋体" w:eastAsia="仿宋_GB2312" w:cs="Times New Roman"/>
          <w:color w:val="auto"/>
          <w:sz w:val="28"/>
          <w:szCs w:val="28"/>
          <w14:ligatures w14:val="standardContextual"/>
        </w:rPr>
      </w:pPr>
    </w:p>
    <w:p w14:paraId="6D61832D">
      <w:pPr>
        <w:spacing w:line="560" w:lineRule="exact"/>
        <w:jc w:val="left"/>
        <w:rPr>
          <w:rFonts w:ascii="仿宋_GB2312" w:hAnsi="宋体" w:eastAsia="仿宋_GB2312" w:cs="Times New Roman"/>
          <w:color w:val="auto"/>
          <w:sz w:val="28"/>
          <w:szCs w:val="28"/>
          <w14:ligatures w14:val="standardContextual"/>
        </w:rPr>
      </w:pPr>
    </w:p>
    <w:p w14:paraId="3B8A4F24"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440" w:right="1800" w:bottom="1440" w:left="1800" w:header="737" w:footer="737" w:gutter="0"/>
      <w:cols w:space="425" w:num="1"/>
      <w:docGrid w:type="lines" w:linePitch="473" w:charSpace="-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C1B8D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018E9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K5b8y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JgrlvzICAABl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018E9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26A928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4295687"/>
      <w:docPartObj>
        <w:docPartGallery w:val="autotext"/>
      </w:docPartObj>
    </w:sdtPr>
    <w:sdtContent>
      <w:p w14:paraId="7283390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051B7D8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F2819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6FEBC92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E6043"/>
    <w:rsid w:val="11DE6043"/>
    <w:rsid w:val="5E47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2025-04-30T03:14:00Z</dcterms:created>
  <dc:creator>魏海艳</dc:creator>
  <cp:lastModifiedBy>魏海艳</cp:lastModifiedBy>
  <dcterms:modified xsi:type="dcterms:W3CDTF">2025-04-30T03:14:41Z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5645D218FDB446ABB8E1D6FF1F606C08_13</vt:lpwstr>
  </property>
  <property fmtid="{D5CDD505-2E9C-101B-9397-08002B2CF9AE}" pid="4" name="KSOTemplateDocerSaveRecord">
    <vt:lpwstr>eyJoZGlkIjoiNDYzM2E1MzBlNjEyZWQ4NWY0YzE5YmVmZmNiYzMzMzEiLCJ1c2VySWQiOiI0NTI3MzQ5NTUifQ==</vt:lpwstr>
  </property>
</Properties>
</file>