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74833">
      <w:pPr>
        <w:keepNext w:val="0"/>
        <w:keepLines w:val="0"/>
        <w:pageBreakBefore w:val="0"/>
        <w:widowControl w:val="0"/>
        <w:kinsoku/>
        <w:wordWrap/>
        <w:overflowPunct/>
        <w:topLinePunct w:val="0"/>
        <w:autoSpaceDE/>
        <w:autoSpaceDN/>
        <w:bidi w:val="0"/>
        <w:adjustRightInd w:val="0"/>
        <w:snapToGrid w:val="0"/>
        <w:spacing w:before="91" w:beforeLines="25" w:after="91" w:afterLines="25" w:line="30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附件二：</w:t>
      </w:r>
    </w:p>
    <w:p w14:paraId="0FF6450B">
      <w:pPr>
        <w:spacing w:line="360" w:lineRule="auto"/>
        <w:ind w:firstLine="2301" w:firstLineChars="1096"/>
        <w:rPr>
          <w:rFonts w:hint="default" w:ascii="Times New Roman" w:hAnsi="Times New Roman" w:eastAsia="宋体" w:cs="Times New Roman"/>
          <w:b/>
          <w:bCs/>
          <w:kern w:val="0"/>
          <w:sz w:val="24"/>
          <w:szCs w:val="24"/>
        </w:rPr>
      </w:pPr>
      <w:r>
        <w:rPr>
          <w:rFonts w:hint="eastAsia" w:ascii="宋体" w:hAnsi="宋体" w:eastAsia="宋体" w:cs="宋体"/>
          <w:color w:val="000000"/>
          <w:sz w:val="21"/>
          <w:szCs w:val="21"/>
          <w:highlight w:val="none"/>
        </w:rPr>
        <w:t xml:space="preserve">   </w:t>
      </w:r>
      <w:r>
        <w:rPr>
          <w:rFonts w:hint="default"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b/>
          <w:bCs/>
          <w:kern w:val="0"/>
          <w:sz w:val="24"/>
          <w:szCs w:val="24"/>
        </w:rPr>
        <w:t>废旧物资销售合同</w:t>
      </w:r>
    </w:p>
    <w:p w14:paraId="3E4E9537">
      <w:pPr>
        <w:wordWrap w:val="0"/>
        <w:spacing w:line="360" w:lineRule="auto"/>
        <w:ind w:firstLine="6987" w:firstLineChars="2900"/>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合同编号：</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p>
    <w:p w14:paraId="48B89C36">
      <w:pPr>
        <w:spacing w:line="276" w:lineRule="auto"/>
        <w:jc w:val="left"/>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rPr>
        <w:t>甲方</w:t>
      </w:r>
      <w:bookmarkStart w:id="0" w:name="firstParty"/>
      <w:r>
        <w:rPr>
          <w:rFonts w:hint="default" w:ascii="Times New Roman" w:hAnsi="Times New Roman" w:eastAsia="宋体" w:cs="Times New Roman"/>
          <w:b/>
          <w:bCs/>
          <w:kern w:val="0"/>
          <w:sz w:val="24"/>
          <w:szCs w:val="24"/>
          <w:lang w:eastAsia="zh-CN"/>
        </w:rPr>
        <w:t>：</w:t>
      </w:r>
      <w:bookmarkEnd w:id="0"/>
      <w:r>
        <w:rPr>
          <w:rFonts w:hint="default" w:ascii="Times New Roman" w:hAnsi="Times New Roman" w:eastAsia="宋体" w:cs="Times New Roman"/>
          <w:b/>
          <w:bCs/>
          <w:kern w:val="0"/>
          <w:sz w:val="24"/>
          <w:szCs w:val="24"/>
        </w:rPr>
        <w:t xml:space="preserve"> </w:t>
      </w:r>
      <w:r>
        <w:rPr>
          <w:rFonts w:hint="default" w:ascii="Times New Roman" w:hAnsi="Times New Roman" w:eastAsia="宋体" w:cs="Times New Roman"/>
          <w:b/>
          <w:sz w:val="24"/>
          <w:szCs w:val="24"/>
        </w:rPr>
        <w:t>（本合同简称甲方）</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安徽金太阳生化药业有限公司</w:t>
      </w:r>
      <w:r>
        <w:rPr>
          <w:rFonts w:hint="default" w:ascii="Times New Roman" w:hAnsi="Times New Roman" w:eastAsia="宋体" w:cs="Times New Roman"/>
          <w:b/>
          <w:sz w:val="24"/>
          <w:szCs w:val="24"/>
          <w:lang w:val="en-US" w:eastAsia="zh-CN"/>
        </w:rPr>
        <w:t xml:space="preserve">  </w:t>
      </w:r>
    </w:p>
    <w:p w14:paraId="51D1D400">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注册地址：</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安徽省阜阳市颍上县工业开发区</w:t>
      </w:r>
      <w:r>
        <w:rPr>
          <w:rFonts w:hint="default" w:ascii="Times New Roman" w:hAnsi="Times New Roman" w:eastAsia="宋体" w:cs="Times New Roman"/>
          <w:sz w:val="24"/>
          <w:szCs w:val="24"/>
          <w:lang w:val="en-US" w:eastAsia="zh-CN"/>
        </w:rPr>
        <w:t xml:space="preserve"> </w:t>
      </w:r>
    </w:p>
    <w:p w14:paraId="276BE49D">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业务经办</w:t>
      </w:r>
      <w:r>
        <w:rPr>
          <w:rFonts w:hint="default" w:ascii="Times New Roman" w:hAnsi="Times New Roman" w:eastAsia="宋体" w:cs="Times New Roman"/>
          <w:sz w:val="24"/>
          <w:szCs w:val="24"/>
        </w:rPr>
        <w:t>人：</w:t>
      </w:r>
      <w:r>
        <w:rPr>
          <w:rFonts w:hint="default" w:ascii="Times New Roman" w:hAnsi="Times New Roman" w:eastAsia="宋体" w:cs="Times New Roman"/>
          <w:sz w:val="24"/>
          <w:szCs w:val="24"/>
          <w:lang w:val="en-US" w:eastAsia="zh-CN"/>
        </w:rPr>
        <w:t xml:space="preserve">      刘    强                 </w:t>
      </w:r>
    </w:p>
    <w:p w14:paraId="1F83D440">
      <w:pP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rPr>
        <w:t>联系电</w:t>
      </w:r>
      <w:r>
        <w:rPr>
          <w:rFonts w:hint="default" w:ascii="Times New Roman" w:hAnsi="Times New Roman" w:eastAsia="宋体" w:cs="Times New Roman"/>
          <w:kern w:val="0"/>
          <w:sz w:val="24"/>
          <w:szCs w:val="24"/>
        </w:rPr>
        <w:t>话：</w:t>
      </w:r>
      <w:r>
        <w:rPr>
          <w:rFonts w:hint="default" w:ascii="Times New Roman" w:hAnsi="Times New Roman" w:eastAsia="宋体" w:cs="Times New Roman"/>
          <w:kern w:val="0"/>
          <w:sz w:val="24"/>
          <w:szCs w:val="24"/>
          <w:lang w:val="en-US" w:eastAsia="zh-CN"/>
        </w:rPr>
        <w:t xml:space="preserve">     18755886679           </w:t>
      </w:r>
    </w:p>
    <w:p w14:paraId="712A0DA4">
      <w:pPr>
        <w:spacing w:line="276" w:lineRule="auto"/>
        <w:jc w:val="left"/>
        <w:rPr>
          <w:rFonts w:hint="default" w:ascii="Times New Roman" w:hAnsi="Times New Roman" w:eastAsia="宋体" w:cs="Times New Roman"/>
          <w:sz w:val="24"/>
          <w:szCs w:val="24"/>
        </w:rPr>
      </w:pPr>
    </w:p>
    <w:p w14:paraId="4F8641F1">
      <w:pPr>
        <w:spacing w:line="276" w:lineRule="auto"/>
        <w:jc w:val="left"/>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rPr>
        <w:t>乙方：</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b/>
          <w:sz w:val="24"/>
          <w:szCs w:val="24"/>
        </w:rPr>
        <w:t>（本合同简称</w:t>
      </w:r>
      <w:r>
        <w:rPr>
          <w:rFonts w:hint="default" w:ascii="Times New Roman" w:hAnsi="Times New Roman" w:eastAsia="宋体" w:cs="Times New Roman"/>
          <w:b/>
          <w:sz w:val="24"/>
          <w:szCs w:val="24"/>
          <w:lang w:val="en-US" w:eastAsia="zh-CN"/>
        </w:rPr>
        <w:t>乙方</w:t>
      </w: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p>
    <w:p w14:paraId="7BDA9535">
      <w:pPr>
        <w:spacing w:line="276"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注册地址：</w:t>
      </w:r>
      <w:bookmarkStart w:id="1" w:name="secondRegisteredAddress"/>
      <w:bookmarkEnd w:id="1"/>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r>
        <w:rPr>
          <w:rFonts w:hint="default" w:ascii="Times New Roman" w:hAnsi="Times New Roman" w:eastAsia="宋体" w:cs="Times New Roman"/>
          <w:kern w:val="0"/>
          <w:sz w:val="24"/>
          <w:szCs w:val="24"/>
          <w:lang w:val="en-US" w:eastAsia="zh-CN"/>
        </w:rPr>
        <w:t xml:space="preserve"> </w:t>
      </w:r>
    </w:p>
    <w:p w14:paraId="008D71A6">
      <w:pPr>
        <w:spacing w:line="276"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业务经办人：   </w:t>
      </w:r>
      <w:bookmarkStart w:id="2" w:name="linkman"/>
      <w:bookmarkEnd w:id="2"/>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r>
        <w:rPr>
          <w:rFonts w:hint="default" w:ascii="Times New Roman" w:hAnsi="Times New Roman" w:eastAsia="宋体" w:cs="Times New Roman"/>
          <w:kern w:val="0"/>
          <w:sz w:val="24"/>
          <w:szCs w:val="24"/>
          <w:lang w:val="en-US" w:eastAsia="zh-CN"/>
        </w:rPr>
        <w:t xml:space="preserve"> </w:t>
      </w:r>
    </w:p>
    <w:p w14:paraId="776DAE4D">
      <w:pPr>
        <w:spacing w:line="276"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电话：</w:t>
      </w:r>
      <w:bookmarkStart w:id="3" w:name="telephone"/>
      <w:bookmarkEnd w:id="3"/>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r>
        <w:rPr>
          <w:rFonts w:hint="default" w:ascii="Times New Roman" w:hAnsi="Times New Roman" w:eastAsia="宋体" w:cs="Times New Roman"/>
          <w:kern w:val="0"/>
          <w:sz w:val="24"/>
          <w:szCs w:val="24"/>
          <w:lang w:val="en-US" w:eastAsia="zh-CN"/>
        </w:rPr>
        <w:t xml:space="preserve">   </w:t>
      </w:r>
    </w:p>
    <w:p w14:paraId="179FD50D">
      <w:pPr>
        <w:spacing w:line="276"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开户</w:t>
      </w:r>
      <w:r>
        <w:rPr>
          <w:rFonts w:hint="default" w:ascii="Times New Roman" w:hAnsi="Times New Roman" w:eastAsia="宋体" w:cs="Times New Roman"/>
          <w:kern w:val="0"/>
          <w:sz w:val="24"/>
          <w:szCs w:val="24"/>
        </w:rPr>
        <w:t>银行：</w:t>
      </w:r>
      <w:bookmarkStart w:id="4" w:name="bankName"/>
      <w:bookmarkEnd w:id="4"/>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r>
        <w:rPr>
          <w:rFonts w:hint="default" w:ascii="Times New Roman" w:hAnsi="Times New Roman" w:eastAsia="宋体" w:cs="Times New Roman"/>
          <w:kern w:val="0"/>
          <w:sz w:val="24"/>
          <w:szCs w:val="24"/>
          <w:lang w:val="en-US" w:eastAsia="zh-CN"/>
        </w:rPr>
        <w:t xml:space="preserve">  </w:t>
      </w:r>
    </w:p>
    <w:p w14:paraId="316A57E3">
      <w:pPr>
        <w:spacing w:line="276" w:lineRule="auto"/>
        <w:jc w:val="left"/>
        <w:rPr>
          <w:rFonts w:hint="default" w:ascii="Times New Roman" w:hAnsi="Times New Roman" w:eastAsia="宋体" w:cs="Times New Roman"/>
          <w:b/>
          <w:bCs/>
          <w:sz w:val="24"/>
          <w:szCs w:val="24"/>
          <w:highlight w:val="yellow"/>
        </w:rPr>
      </w:pPr>
      <w:r>
        <w:rPr>
          <w:rFonts w:hint="default" w:ascii="Times New Roman" w:hAnsi="Times New Roman" w:eastAsia="宋体" w:cs="Times New Roman"/>
          <w:kern w:val="0"/>
          <w:sz w:val="24"/>
          <w:szCs w:val="24"/>
        </w:rPr>
        <w:t>账号：</w:t>
      </w:r>
      <w:bookmarkStart w:id="5" w:name="bankAccount"/>
      <w:bookmarkEnd w:id="5"/>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p>
    <w:p w14:paraId="530A9BAC">
      <w:pPr>
        <w:spacing w:line="276"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统一社会信用代码：</w:t>
      </w:r>
      <w:bookmarkStart w:id="6" w:name="identityNo"/>
      <w:bookmarkEnd w:id="6"/>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b/>
          <w:bCs/>
          <w:sz w:val="24"/>
          <w:szCs w:val="24"/>
          <w:highlight w:val="yellow"/>
          <w:lang w:val="en-US" w:eastAsia="zh-CN"/>
        </w:rPr>
        <w:t xml:space="preserve">          </w:t>
      </w:r>
      <w:r>
        <w:rPr>
          <w:rFonts w:hint="default" w:ascii="Times New Roman" w:hAnsi="Times New Roman" w:eastAsia="宋体" w:cs="Times New Roman"/>
          <w:b/>
          <w:bCs/>
          <w:sz w:val="24"/>
          <w:szCs w:val="24"/>
          <w:highlight w:val="yellow"/>
        </w:rPr>
        <w:t xml:space="preserve"> </w:t>
      </w:r>
      <w:r>
        <w:rPr>
          <w:rFonts w:hint="default" w:ascii="Times New Roman" w:hAnsi="Times New Roman" w:eastAsia="宋体" w:cs="Times New Roman"/>
          <w:kern w:val="0"/>
          <w:sz w:val="24"/>
          <w:szCs w:val="24"/>
          <w:lang w:val="en-US" w:eastAsia="zh-CN"/>
        </w:rPr>
        <w:t xml:space="preserve">  </w:t>
      </w:r>
    </w:p>
    <w:p w14:paraId="4A2F90FD">
      <w:pPr>
        <w:spacing w:line="276"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甲乙双方依据《中华人民共和国民法典》，就甲方向乙方出售，乙方向甲方购买本合同项下废旧物资事宜，通过平等协商达成一致，签订本合同。</w:t>
      </w:r>
    </w:p>
    <w:p w14:paraId="353C360B">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1、废旧物资的名称、计量单位、数量、单价</w:t>
      </w:r>
    </w:p>
    <w:p w14:paraId="21DE902B">
      <w:pPr>
        <w:spacing w:line="276" w:lineRule="auto"/>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1.1本合同项下, 废旧物资的名称、计量单位、数量、单价为：</w:t>
      </w:r>
    </w:p>
    <w:tbl>
      <w:tblPr>
        <w:tblStyle w:val="3"/>
        <w:tblW w:w="97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027"/>
        <w:gridCol w:w="827"/>
        <w:gridCol w:w="1732"/>
        <w:gridCol w:w="1713"/>
        <w:gridCol w:w="1619"/>
      </w:tblGrid>
      <w:tr w14:paraId="4179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9" w:type="dxa"/>
            <w:vAlign w:val="center"/>
          </w:tcPr>
          <w:p w14:paraId="2FE9FCFD">
            <w:pPr>
              <w:spacing w:line="276"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序号</w:t>
            </w:r>
          </w:p>
        </w:tc>
        <w:tc>
          <w:tcPr>
            <w:tcW w:w="3027" w:type="dxa"/>
            <w:vAlign w:val="center"/>
          </w:tcPr>
          <w:p w14:paraId="3FC78E07">
            <w:pPr>
              <w:spacing w:line="276"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名称</w:t>
            </w:r>
          </w:p>
        </w:tc>
        <w:tc>
          <w:tcPr>
            <w:tcW w:w="827" w:type="dxa"/>
            <w:vAlign w:val="center"/>
          </w:tcPr>
          <w:p w14:paraId="2A1E1C61">
            <w:pPr>
              <w:spacing w:line="276"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计量单位</w:t>
            </w:r>
          </w:p>
        </w:tc>
        <w:tc>
          <w:tcPr>
            <w:tcW w:w="1732" w:type="dxa"/>
            <w:vAlign w:val="center"/>
          </w:tcPr>
          <w:p w14:paraId="19954123">
            <w:pPr>
              <w:spacing w:line="276" w:lineRule="auto"/>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单价</w:t>
            </w:r>
            <w:r>
              <w:rPr>
                <w:rFonts w:hint="default" w:ascii="Times New Roman" w:hAnsi="Times New Roman" w:eastAsia="宋体" w:cs="Times New Roman"/>
                <w:bCs/>
                <w:sz w:val="24"/>
                <w:szCs w:val="24"/>
                <w:lang w:eastAsia="zh-CN"/>
              </w:rPr>
              <w:t>：</w:t>
            </w:r>
          </w:p>
          <w:p w14:paraId="04161DAC">
            <w:pPr>
              <w:spacing w:line="276"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val="en-US" w:eastAsia="zh-CN"/>
              </w:rPr>
              <w:t>元</w:t>
            </w:r>
            <w:r>
              <w:rPr>
                <w:rFonts w:hint="default" w:ascii="Times New Roman" w:hAnsi="Times New Roman" w:eastAsia="宋体" w:cs="Times New Roman"/>
                <w:bCs/>
                <w:sz w:val="24"/>
                <w:szCs w:val="24"/>
              </w:rPr>
              <w:t>（不含税）</w:t>
            </w:r>
          </w:p>
        </w:tc>
        <w:tc>
          <w:tcPr>
            <w:tcW w:w="1713" w:type="dxa"/>
            <w:vAlign w:val="center"/>
          </w:tcPr>
          <w:p w14:paraId="2E8061BF">
            <w:pPr>
              <w:spacing w:line="276" w:lineRule="auto"/>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税额</w:t>
            </w:r>
            <w:r>
              <w:rPr>
                <w:rFonts w:hint="default" w:ascii="Times New Roman" w:hAnsi="Times New Roman" w:eastAsia="宋体" w:cs="Times New Roman"/>
                <w:bCs/>
                <w:sz w:val="24"/>
                <w:szCs w:val="24"/>
                <w:lang w:eastAsia="zh-CN"/>
              </w:rPr>
              <w:t>：</w:t>
            </w:r>
          </w:p>
          <w:p w14:paraId="38A42646">
            <w:pPr>
              <w:spacing w:line="276"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val="en-US" w:eastAsia="zh-CN"/>
              </w:rPr>
              <w:t>元</w:t>
            </w:r>
            <w:r>
              <w:rPr>
                <w:rFonts w:hint="default" w:ascii="Times New Roman" w:hAnsi="Times New Roman" w:eastAsia="宋体" w:cs="Times New Roman"/>
                <w:bCs/>
                <w:sz w:val="24"/>
                <w:szCs w:val="24"/>
              </w:rPr>
              <w:t>（税率 %）</w:t>
            </w:r>
          </w:p>
        </w:tc>
        <w:tc>
          <w:tcPr>
            <w:tcW w:w="1619" w:type="dxa"/>
            <w:vAlign w:val="center"/>
          </w:tcPr>
          <w:p w14:paraId="6C722C5C">
            <w:pPr>
              <w:spacing w:line="276" w:lineRule="auto"/>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单价</w:t>
            </w:r>
            <w:r>
              <w:rPr>
                <w:rFonts w:hint="default" w:ascii="Times New Roman" w:hAnsi="Times New Roman" w:eastAsia="宋体" w:cs="Times New Roman"/>
                <w:bCs/>
                <w:sz w:val="24"/>
                <w:szCs w:val="24"/>
                <w:lang w:val="en-US" w:eastAsia="zh-CN"/>
              </w:rPr>
              <w:t>：</w:t>
            </w:r>
          </w:p>
          <w:p w14:paraId="03E07B00">
            <w:pPr>
              <w:spacing w:line="276"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val="en-US" w:eastAsia="zh-CN"/>
              </w:rPr>
              <w:t>元</w:t>
            </w:r>
            <w:r>
              <w:rPr>
                <w:rFonts w:hint="default" w:ascii="Times New Roman" w:hAnsi="Times New Roman" w:eastAsia="宋体" w:cs="Times New Roman"/>
                <w:bCs/>
                <w:sz w:val="24"/>
                <w:szCs w:val="24"/>
              </w:rPr>
              <w:t>（含税）</w:t>
            </w:r>
          </w:p>
        </w:tc>
      </w:tr>
      <w:tr w14:paraId="2BBD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70C2AC1A">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6A3BF3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0FEE6D50">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29F02396">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0675A421">
            <w:pPr>
              <w:spacing w:line="276" w:lineRule="auto"/>
              <w:jc w:val="both"/>
              <w:rPr>
                <w:rFonts w:hint="default" w:ascii="Times New Roman" w:hAnsi="Times New Roman" w:eastAsia="宋体" w:cs="Times New Roman"/>
                <w:sz w:val="24"/>
                <w:szCs w:val="24"/>
                <w:lang w:val="en-US" w:eastAsia="zh-CN"/>
              </w:rPr>
            </w:pPr>
          </w:p>
        </w:tc>
        <w:tc>
          <w:tcPr>
            <w:tcW w:w="1619" w:type="dxa"/>
            <w:vAlign w:val="center"/>
          </w:tcPr>
          <w:p w14:paraId="58EB3E26">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1ED7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047BDC0A">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636B73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00994C11">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1A7F92EB">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0F207207">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3BBBAD96">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5941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185C2F71">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088DDE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0CA7C1A4">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3286E8BE">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65A94ACA">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24F07634">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7E64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40CB032D">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2A801D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0823FBD2">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4C481C98">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38FB3A3E">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7342C0BA">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0AFD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7BDD8DFB">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0B8494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2AC24085">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30327B8C">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4086D47C">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14BE0812">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2AE2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120F8804">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106FC9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7A527BBD">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4B24A7E3">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768AAC3B">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76ED734D">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5E1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146D2847">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32104A8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3CD191C4">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044A4E83">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7590CBCB">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01B65DE6">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03EC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Align w:val="center"/>
          </w:tcPr>
          <w:p w14:paraId="5270E70A">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529BE1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25A75B41">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3E246858">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599FA50A">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0BC28B20">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7FFC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28E122F2">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22B799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789F9A84">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6935E095">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6175949E">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6F43F73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r w14:paraId="20A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9" w:type="dxa"/>
            <w:vAlign w:val="center"/>
          </w:tcPr>
          <w:p w14:paraId="0E908664">
            <w:pPr>
              <w:spacing w:line="276" w:lineRule="auto"/>
              <w:jc w:val="center"/>
              <w:rPr>
                <w:rFonts w:hint="default" w:ascii="Times New Roman" w:hAnsi="Times New Roman" w:eastAsia="宋体" w:cs="Times New Roman"/>
                <w:sz w:val="24"/>
                <w:szCs w:val="24"/>
                <w:lang w:val="en-US" w:eastAsia="zh-CN"/>
              </w:rPr>
            </w:pPr>
          </w:p>
        </w:tc>
        <w:tc>
          <w:tcPr>
            <w:tcW w:w="3027" w:type="dxa"/>
            <w:vAlign w:val="center"/>
          </w:tcPr>
          <w:p w14:paraId="5E5C8C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827" w:type="dxa"/>
            <w:vAlign w:val="center"/>
          </w:tcPr>
          <w:p w14:paraId="6C596604">
            <w:pPr>
              <w:spacing w:line="276" w:lineRule="auto"/>
              <w:jc w:val="center"/>
              <w:rPr>
                <w:rFonts w:hint="default" w:ascii="Times New Roman" w:hAnsi="Times New Roman" w:eastAsia="宋体" w:cs="Times New Roman"/>
                <w:sz w:val="24"/>
                <w:szCs w:val="24"/>
                <w:lang w:val="en-US" w:eastAsia="zh-CN"/>
              </w:rPr>
            </w:pPr>
          </w:p>
        </w:tc>
        <w:tc>
          <w:tcPr>
            <w:tcW w:w="1732" w:type="dxa"/>
            <w:vAlign w:val="center"/>
          </w:tcPr>
          <w:p w14:paraId="3798870C">
            <w:pPr>
              <w:spacing w:line="276" w:lineRule="auto"/>
              <w:jc w:val="center"/>
              <w:rPr>
                <w:rFonts w:hint="default" w:ascii="Times New Roman" w:hAnsi="Times New Roman" w:eastAsia="宋体" w:cs="Times New Roman"/>
                <w:sz w:val="24"/>
                <w:szCs w:val="24"/>
                <w:lang w:val="en-US" w:eastAsia="zh-CN"/>
              </w:rPr>
            </w:pPr>
          </w:p>
        </w:tc>
        <w:tc>
          <w:tcPr>
            <w:tcW w:w="1713" w:type="dxa"/>
            <w:vAlign w:val="center"/>
          </w:tcPr>
          <w:p w14:paraId="301CED26">
            <w:pPr>
              <w:spacing w:line="276" w:lineRule="auto"/>
              <w:jc w:val="center"/>
              <w:rPr>
                <w:rFonts w:hint="default" w:ascii="Times New Roman" w:hAnsi="Times New Roman" w:eastAsia="宋体" w:cs="Times New Roman"/>
                <w:sz w:val="24"/>
                <w:szCs w:val="24"/>
                <w:lang w:val="en-US" w:eastAsia="zh-CN"/>
              </w:rPr>
            </w:pPr>
          </w:p>
        </w:tc>
        <w:tc>
          <w:tcPr>
            <w:tcW w:w="1619" w:type="dxa"/>
            <w:vAlign w:val="center"/>
          </w:tcPr>
          <w:p w14:paraId="184E4FA7">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sz w:val="24"/>
                <w:szCs w:val="24"/>
                <w:lang w:val="en-US" w:eastAsia="zh-CN"/>
              </w:rPr>
            </w:pPr>
          </w:p>
        </w:tc>
      </w:tr>
    </w:tbl>
    <w:p w14:paraId="345F6305">
      <w:pPr>
        <w:spacing w:line="276" w:lineRule="auto"/>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注：上述不含税单价及税额的小数位，受税控系统开具限制可能略有差异，以实际发票为准</w:t>
      </w:r>
    </w:p>
    <w:p w14:paraId="35996D01">
      <w:pPr>
        <w:spacing w:line="276" w:lineRule="auto"/>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highlight w:val="none"/>
        </w:rPr>
        <w:t>2发票税率</w:t>
      </w:r>
      <w:r>
        <w:rPr>
          <w:rFonts w:hint="default" w:ascii="Times New Roman" w:hAnsi="Times New Roman" w:eastAsia="宋体" w:cs="Times New Roman"/>
          <w:color w:val="000000"/>
          <w:sz w:val="24"/>
          <w:szCs w:val="24"/>
          <w:highlight w:val="none"/>
          <w:lang w:val="en-US" w:eastAsia="zh-CN"/>
        </w:rPr>
        <w:t xml:space="preserve">  13   </w:t>
      </w:r>
      <w:r>
        <w:rPr>
          <w:rFonts w:hint="default" w:ascii="Times New Roman" w:hAnsi="Times New Roman" w:eastAsia="宋体" w:cs="Times New Roman"/>
          <w:color w:val="000000"/>
          <w:sz w:val="24"/>
          <w:szCs w:val="24"/>
          <w:highlight w:val="none"/>
        </w:rPr>
        <w:t>%，如</w:t>
      </w:r>
      <w:r>
        <w:rPr>
          <w:rFonts w:hint="default" w:ascii="Times New Roman" w:hAnsi="Times New Roman" w:eastAsia="宋体" w:cs="Times New Roman"/>
          <w:color w:val="000000"/>
          <w:sz w:val="24"/>
          <w:szCs w:val="24"/>
        </w:rPr>
        <w:t>遇国家税率调整，含税金额不变，不含税金额按新税率计算相应调整。</w:t>
      </w:r>
    </w:p>
    <w:p w14:paraId="3C64624E">
      <w:pPr>
        <w:spacing w:line="276" w:lineRule="auto"/>
        <w:jc w:val="left"/>
        <w:rPr>
          <w:rFonts w:hint="default" w:ascii="Times New Roman" w:hAnsi="Times New Roman" w:eastAsia="宋体" w:cs="Times New Roman"/>
          <w:color w:val="000000"/>
          <w:sz w:val="24"/>
          <w:szCs w:val="24"/>
        </w:rPr>
      </w:pPr>
    </w:p>
    <w:p w14:paraId="28820DA1">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2、验收</w:t>
      </w:r>
    </w:p>
    <w:p w14:paraId="65BC1AE1">
      <w:pPr>
        <w:adjustRightInd w:val="0"/>
        <w:snapToGrid w:val="0"/>
        <w:spacing w:line="276"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由于甲方所售废旧物资无材质单、质量保证书、使用说明书等相关资料文件，甲方对所售废旧物资不承担任何质量方面的保证，鉴于乙方已经了解甲方废旧物资的状况，并同意购买，故在本合同项下甲方向乙方出售的废旧物资乙方不再进行验收，也不得在受让后对废旧物资提出任何异议。乙方在使用、销售或其他方式处置过程中，产生的质量、安全等问题，甲方不承担任何责任。</w:t>
      </w:r>
    </w:p>
    <w:p w14:paraId="4F04DAA0">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3、交付、运输</w:t>
      </w:r>
    </w:p>
    <w:p w14:paraId="0372B411">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3.1交付方式为：</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highlight w:val="yellow"/>
          <w:lang w:val="en-US" w:eastAsia="zh-CN"/>
        </w:rPr>
        <w:t xml:space="preserve"> </w:t>
      </w:r>
      <w:r>
        <w:rPr>
          <w:rFonts w:hint="default" w:ascii="Times New Roman" w:hAnsi="Times New Roman" w:eastAsia="宋体" w:cs="Times New Roman"/>
          <w:sz w:val="24"/>
          <w:szCs w:val="24"/>
          <w:highlight w:val="yellow"/>
        </w:rPr>
        <w:t>乙方自提</w:t>
      </w:r>
      <w:r>
        <w:rPr>
          <w:rFonts w:hint="default" w:ascii="Times New Roman" w:hAnsi="Times New Roman" w:eastAsia="宋体" w:cs="Times New Roman"/>
          <w:color w:val="000000"/>
          <w:sz w:val="24"/>
          <w:szCs w:val="24"/>
          <w:highlight w:val="yellow"/>
          <w:lang w:val="en-US" w:eastAsia="zh-CN"/>
        </w:rPr>
        <w:t xml:space="preserve">   </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w:t>
      </w:r>
    </w:p>
    <w:p w14:paraId="1F0E030E">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3.2交付地点为：</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highlight w:val="yellow"/>
          <w:lang w:val="en-US" w:eastAsia="zh-CN"/>
        </w:rPr>
        <w:t xml:space="preserve"> </w:t>
      </w:r>
      <w:r>
        <w:rPr>
          <w:rFonts w:hint="default" w:ascii="Times New Roman" w:hAnsi="Times New Roman" w:eastAsia="宋体" w:cs="Times New Roman"/>
          <w:sz w:val="24"/>
          <w:szCs w:val="24"/>
          <w:highlight w:val="yellow"/>
        </w:rPr>
        <w:t>甲方指定地点</w:t>
      </w:r>
      <w:r>
        <w:rPr>
          <w:rFonts w:hint="default" w:ascii="Times New Roman" w:hAnsi="Times New Roman" w:eastAsia="宋体" w:cs="Times New Roman"/>
          <w:color w:val="000000"/>
          <w:sz w:val="24"/>
          <w:szCs w:val="24"/>
          <w:highlight w:val="yellow"/>
          <w:lang w:val="en-US" w:eastAsia="zh-CN"/>
        </w:rPr>
        <w:t xml:space="preserve"> </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w:t>
      </w:r>
    </w:p>
    <w:p w14:paraId="0A083656">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3.3风险转移时间：乙方对废旧物资进行清点/称重后，即完成交付，交付后废旧物资毁损灭失的风险由乙方承担。</w:t>
      </w:r>
    </w:p>
    <w:p w14:paraId="534EA59A">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3.4乙方自行负责运输，乙方承诺在本合同项下用于运载废旧物资的车辆须为性能良好的车辆，以满足运载性能要求；</w:t>
      </w:r>
    </w:p>
    <w:p w14:paraId="37B18EBA">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3.5乙方应根据运输废旧物资的性质以及运输安全需要，自行确定防护、捆绑方式，确保安全、防滴漏、防扬撒、防掉落等。</w:t>
      </w:r>
    </w:p>
    <w:p w14:paraId="2BA8DEAD">
      <w:pPr>
        <w:pStyle w:val="7"/>
        <w:rPr>
          <w:rFonts w:hint="default" w:ascii="Times New Roman" w:hAnsi="Times New Roman" w:eastAsia="宋体" w:cs="Times New Roman"/>
          <w:sz w:val="24"/>
          <w:szCs w:val="24"/>
        </w:rPr>
      </w:pPr>
      <w:r>
        <w:rPr>
          <w:rFonts w:hint="default" w:ascii="Times New Roman" w:hAnsi="Times New Roman" w:eastAsia="宋体" w:cs="Times New Roman"/>
          <w:b w:val="0"/>
          <w:bCs w:val="0"/>
          <w:color w:val="000000"/>
          <w:kern w:val="2"/>
          <w:sz w:val="24"/>
          <w:szCs w:val="24"/>
          <w:lang w:val="en-US" w:eastAsia="zh-CN" w:bidi="ar-SA"/>
        </w:rPr>
        <w:t>3.6 凡是需要用编织袋装的废旧物资，需由乙方提供编织袋。</w:t>
      </w:r>
    </w:p>
    <w:p w14:paraId="194C72D6">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4、甲方义务</w:t>
      </w:r>
    </w:p>
    <w:p w14:paraId="60B81BC3">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甲方除了履行本合同其他条款约定的义务以外，还应履行以下义务：</w:t>
      </w:r>
    </w:p>
    <w:p w14:paraId="5283F500">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4.1甲方不得无故将废旧物资出售给第三方；</w:t>
      </w:r>
    </w:p>
    <w:p w14:paraId="0297BD93">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4.2甲方应将废旧物资集中存放在特定位置；</w:t>
      </w:r>
    </w:p>
    <w:p w14:paraId="2E7398F4">
      <w:pPr>
        <w:adjustRightInd w:val="0"/>
        <w:snapToGrid w:val="0"/>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4.3乙方履行合同如需使用水、电的，应与甲方协商，由甲方提供出口</w:t>
      </w:r>
      <w:r>
        <w:rPr>
          <w:rFonts w:hint="default" w:ascii="Times New Roman" w:hAnsi="Times New Roman" w:eastAsia="宋体" w:cs="Times New Roman"/>
          <w:color w:val="000000"/>
          <w:sz w:val="24"/>
          <w:szCs w:val="24"/>
          <w:highlight w:val="yellow"/>
          <w:lang w:eastAsia="zh-CN"/>
        </w:rPr>
        <w:t>，</w:t>
      </w:r>
      <w:r>
        <w:rPr>
          <w:rFonts w:hint="default" w:ascii="Times New Roman" w:hAnsi="Times New Roman" w:eastAsia="宋体" w:cs="Times New Roman"/>
          <w:color w:val="000000"/>
          <w:sz w:val="24"/>
          <w:szCs w:val="24"/>
          <w:highlight w:val="yellow"/>
          <w:lang w:val="en-US" w:eastAsia="zh-CN"/>
        </w:rPr>
        <w:t>水费单价1.5元/吨，电1</w:t>
      </w:r>
      <w:r>
        <w:rPr>
          <w:rFonts w:hint="eastAsia" w:eastAsia="宋体" w:cs="Times New Roman"/>
          <w:color w:val="000000"/>
          <w:sz w:val="24"/>
          <w:szCs w:val="24"/>
          <w:highlight w:val="yellow"/>
          <w:lang w:val="en-US" w:eastAsia="zh-CN"/>
        </w:rPr>
        <w:t>.2</w:t>
      </w:r>
      <w:r>
        <w:rPr>
          <w:rFonts w:hint="default" w:ascii="Times New Roman" w:hAnsi="Times New Roman" w:eastAsia="宋体" w:cs="Times New Roman"/>
          <w:color w:val="000000"/>
          <w:sz w:val="24"/>
          <w:szCs w:val="24"/>
          <w:highlight w:val="yellow"/>
          <w:lang w:val="en-US" w:eastAsia="zh-CN"/>
        </w:rPr>
        <w:t>元/度</w:t>
      </w:r>
      <w:r>
        <w:rPr>
          <w:rFonts w:hint="default" w:ascii="Times New Roman" w:hAnsi="Times New Roman" w:eastAsia="宋体" w:cs="Times New Roman"/>
          <w:color w:val="000000"/>
          <w:sz w:val="24"/>
          <w:szCs w:val="24"/>
        </w:rPr>
        <w:t>。</w:t>
      </w:r>
    </w:p>
    <w:p w14:paraId="3DC5E172">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5、乙方义务</w:t>
      </w:r>
    </w:p>
    <w:p w14:paraId="1E1B36EE">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乙方除了履行本合同其他条款约定的义务以外，还应履行以下义务：</w:t>
      </w:r>
    </w:p>
    <w:p w14:paraId="460CD1A0">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5.1乙方应参加甲方组织的安全培训，并严格遵守培训内容。在合同有效期内，乙方如有违反，甲方有权按照培训告知内容要求乙方承担相应的违约责任</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乙方无论是否参加甲方安全培训，如发生安全事故的责任由乙方承担。</w:t>
      </w:r>
    </w:p>
    <w:p w14:paraId="77CF7400">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5.2乙方授权的提货人为：</w:t>
      </w:r>
      <w:r>
        <w:rPr>
          <w:rFonts w:hint="default" w:ascii="Times New Roman" w:hAnsi="Times New Roman" w:eastAsia="宋体" w:cs="Times New Roman"/>
          <w:color w:val="000000"/>
          <w:sz w:val="24"/>
          <w:szCs w:val="24"/>
          <w:highlight w:val="yellow"/>
          <w:lang w:val="en-US" w:eastAsia="zh-CN"/>
        </w:rPr>
        <w:t xml:space="preserve">  </w:t>
      </w:r>
      <w:r>
        <w:rPr>
          <w:rFonts w:hint="default" w:ascii="Times New Roman" w:hAnsi="Times New Roman" w:eastAsia="宋体" w:cs="Times New Roman"/>
          <w:kern w:val="0"/>
          <w:sz w:val="24"/>
          <w:szCs w:val="24"/>
          <w:highlight w:val="yellow"/>
          <w:lang w:val="en-US" w:eastAsia="zh-CN"/>
        </w:rPr>
        <w:t xml:space="preserve">     </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 xml:space="preserve"> 联系方式：</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highlight w:val="yellow"/>
          <w:lang w:val="en-US" w:eastAsia="zh-CN"/>
        </w:rPr>
        <w:t xml:space="preserve">  </w:t>
      </w:r>
      <w:r>
        <w:rPr>
          <w:rFonts w:hint="default" w:ascii="Times New Roman" w:hAnsi="Times New Roman" w:eastAsia="宋体" w:cs="Times New Roman"/>
          <w:kern w:val="0"/>
          <w:sz w:val="24"/>
          <w:szCs w:val="24"/>
          <w:highlight w:val="yellow"/>
          <w:lang w:val="en-US" w:eastAsia="zh-CN"/>
        </w:rPr>
        <w:t xml:space="preserve">     </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，如有变化，乙方应提前向甲方提供新的授权证明文件。乙方的提货人员提货时应持有乙方的授权证明文件，否则，甲方有权拒绝乙方提货，由此造成的一切后果均由乙方承担；</w:t>
      </w:r>
    </w:p>
    <w:p w14:paraId="63A22D38">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5.3乙方自行负责管理、提货、装运所需的人员、工具、设备等，并在甲方划定的作业区域内对废旧物资进行拆解、切割、提货和装运等，并不得影响甲方的正常生产经营秩序，并接受甲方提出的整改意见；若废旧物资需在装运前进行拆解的，乙方应按照有关规定</w:t>
      </w:r>
      <w:r>
        <w:rPr>
          <w:rFonts w:hint="default" w:ascii="Times New Roman" w:hAnsi="Times New Roman" w:eastAsia="宋体" w:cs="Times New Roman"/>
          <w:color w:val="000000"/>
          <w:sz w:val="24"/>
          <w:szCs w:val="24"/>
          <w:lang w:val="en-US" w:eastAsia="zh-CN"/>
        </w:rPr>
        <w:t>请具有相应资质的公司确保安全的情况下进行拆解处理</w:t>
      </w:r>
      <w:r>
        <w:rPr>
          <w:rFonts w:hint="default" w:ascii="Times New Roman" w:hAnsi="Times New Roman" w:eastAsia="宋体" w:cs="Times New Roman"/>
          <w:color w:val="000000"/>
          <w:sz w:val="24"/>
          <w:szCs w:val="24"/>
        </w:rPr>
        <w:t>，并承担相应费用；</w:t>
      </w:r>
    </w:p>
    <w:p w14:paraId="4F8A8FAD">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5.4甲方不负责废旧物资的包装，必要时乙方可对废旧物资进行适当包装，以满足运输、存储和保管的需要，因未进行包装或包装不当造成环境污染、废旧物资损毁、丢失或给甲方或第三方造成损害的，应由乙方承担责任；</w:t>
      </w:r>
    </w:p>
    <w:p w14:paraId="1E734A50">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5.5乙方应安排专人在甲方进行现场管理，保证提货地点周围及在甲方厂区内提货车辆所经场地的干净整洁，并自行承担费用；</w:t>
      </w:r>
    </w:p>
    <w:p w14:paraId="1A3C7CBD">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5.6乙方提货必须及时，须在接到甲方通知之日起</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FF"/>
          <w:sz w:val="24"/>
          <w:szCs w:val="24"/>
          <w:lang w:val="en-US" w:eastAsia="zh-CN"/>
        </w:rPr>
        <w:t>7</w:t>
      </w:r>
      <w:r>
        <w:rPr>
          <w:rFonts w:hint="default" w:ascii="Times New Roman" w:hAnsi="Times New Roman" w:eastAsia="宋体" w:cs="Times New Roman"/>
          <w:color w:val="000000"/>
          <w:sz w:val="24"/>
          <w:szCs w:val="24"/>
        </w:rPr>
        <w:t>日内或按照甲方要求完成提货，不得因废旧物资累积过多而影响甲方正常生产、经营活动甚至造成安全隐患</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否则，赔偿因此给甲方造成的损失</w:t>
      </w:r>
      <w:r>
        <w:rPr>
          <w:rFonts w:hint="default" w:ascii="Times New Roman" w:hAnsi="Times New Roman" w:eastAsia="宋体" w:cs="Times New Roman"/>
          <w:color w:val="000000"/>
          <w:sz w:val="24"/>
          <w:szCs w:val="24"/>
        </w:rPr>
        <w:t>；</w:t>
      </w:r>
    </w:p>
    <w:p w14:paraId="7656C595">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5.7在合同履行的过程中，乙方不得夹带甲方或第三方的任何物资；</w:t>
      </w:r>
    </w:p>
    <w:p w14:paraId="2774138B">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5.8乙方应遵守安全生产有关管理规定，严格按安全标准履行合同，并随时接受行业安全监督检查，采取必要的安全措施，消除事故隐患。在本合同履行过程中发生的工伤事故及安全事故，由乙方负责。乙方与甲方签订《</w:t>
      </w:r>
      <w:r>
        <w:rPr>
          <w:rFonts w:hint="default" w:ascii="Times New Roman" w:hAnsi="Times New Roman" w:eastAsia="宋体" w:cs="Times New Roman"/>
          <w:color w:val="000000"/>
          <w:sz w:val="24"/>
          <w:szCs w:val="24"/>
          <w:lang w:val="en-US" w:eastAsia="zh-CN"/>
        </w:rPr>
        <w:t>安全责任协议</w:t>
      </w:r>
      <w:r>
        <w:rPr>
          <w:rFonts w:hint="default" w:ascii="Times New Roman" w:hAnsi="Times New Roman" w:eastAsia="宋体" w:cs="Times New Roman"/>
          <w:color w:val="000000"/>
          <w:sz w:val="24"/>
          <w:szCs w:val="24"/>
        </w:rPr>
        <w:t xml:space="preserve">》（详见合同附件2）；  </w:t>
      </w:r>
    </w:p>
    <w:p w14:paraId="3E305DC9">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5.9乙方不得擅自倾倒、堆放、丢弃、遗撒废旧物资，否则，因此造成的一切纠纷、处罚和损失等，均由乙方负责；</w:t>
      </w:r>
    </w:p>
    <w:p w14:paraId="07A853D0">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5.10乙方如需在甲方厂区内将废旧物资拆解、切割的，设备由乙方自备并负责保管。本合同有效期满或提前终止后</w:t>
      </w:r>
      <w:r>
        <w:rPr>
          <w:rFonts w:hint="default" w:ascii="Times New Roman" w:hAnsi="Times New Roman" w:eastAsia="宋体" w:cs="Times New Roman"/>
          <w:color w:val="000000"/>
          <w:sz w:val="24"/>
          <w:szCs w:val="24"/>
          <w:lang w:val="en-US" w:eastAsia="zh-CN"/>
        </w:rPr>
        <w:t xml:space="preserve"> 5 </w:t>
      </w:r>
      <w:r>
        <w:rPr>
          <w:rFonts w:hint="default" w:ascii="Times New Roman" w:hAnsi="Times New Roman" w:eastAsia="宋体" w:cs="Times New Roman"/>
          <w:color w:val="000000"/>
          <w:sz w:val="24"/>
          <w:szCs w:val="24"/>
        </w:rPr>
        <w:t>日内，乙方负责将上述设备拆除并运离甲方，否则视为乙方放弃对上述设备的所有权，甲方有权任意处置；</w:t>
      </w:r>
    </w:p>
    <w:p w14:paraId="73572014">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5.11如废旧物资上有甲方商标、专利、图片、甲方企业名称等一切与甲方有关的标识，乙方不得擅自使用或直接转让给第三人，乙方再次转让前应确保上述标识已经销毁并确保废旧物资在外观上不能被辨认为甲方产品；</w:t>
      </w:r>
    </w:p>
    <w:p w14:paraId="3FC8906E">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5.12</w:t>
      </w:r>
      <w:r>
        <w:rPr>
          <w:rFonts w:hint="default" w:ascii="Times New Roman" w:hAnsi="Times New Roman" w:eastAsia="宋体" w:cs="Times New Roman"/>
          <w:color w:val="000000"/>
          <w:sz w:val="24"/>
          <w:szCs w:val="24"/>
          <w:lang w:val="en-US" w:eastAsia="zh-CN"/>
        </w:rPr>
        <w:t>乙方</w:t>
      </w:r>
      <w:r>
        <w:rPr>
          <w:rFonts w:hint="default" w:ascii="Times New Roman" w:hAnsi="Times New Roman" w:eastAsia="宋体" w:cs="Times New Roman"/>
          <w:color w:val="000000"/>
          <w:sz w:val="24"/>
          <w:szCs w:val="24"/>
        </w:rPr>
        <w:t>凡使用</w:t>
      </w:r>
      <w:r>
        <w:rPr>
          <w:rFonts w:hint="default" w:ascii="Times New Roman" w:hAnsi="Times New Roman" w:eastAsia="宋体" w:cs="Times New Roman"/>
          <w:color w:val="000000"/>
          <w:sz w:val="24"/>
          <w:szCs w:val="24"/>
          <w:lang w:val="en-US" w:eastAsia="zh-CN"/>
        </w:rPr>
        <w:t>甲方</w:t>
      </w:r>
      <w:r>
        <w:rPr>
          <w:rFonts w:hint="default" w:ascii="Times New Roman" w:hAnsi="Times New Roman" w:eastAsia="宋体" w:cs="Times New Roman"/>
          <w:color w:val="000000"/>
          <w:sz w:val="24"/>
          <w:szCs w:val="24"/>
        </w:rPr>
        <w:t>水、电、</w:t>
      </w:r>
      <w:r>
        <w:rPr>
          <w:rFonts w:hint="default" w:ascii="Times New Roman" w:hAnsi="Times New Roman" w:eastAsia="宋体" w:cs="Times New Roman"/>
          <w:color w:val="000000"/>
          <w:sz w:val="24"/>
          <w:szCs w:val="24"/>
          <w:lang w:val="en-US" w:eastAsia="zh-CN"/>
        </w:rPr>
        <w:t>气</w:t>
      </w:r>
      <w:r>
        <w:rPr>
          <w:rFonts w:hint="default" w:ascii="Times New Roman" w:hAnsi="Times New Roman" w:eastAsia="宋体" w:cs="Times New Roman"/>
          <w:color w:val="000000"/>
          <w:sz w:val="24"/>
          <w:szCs w:val="24"/>
        </w:rPr>
        <w:t>等能源的，按表计量；按量</w:t>
      </w:r>
      <w:r>
        <w:rPr>
          <w:rFonts w:hint="default" w:ascii="Times New Roman" w:hAnsi="Times New Roman" w:eastAsia="宋体" w:cs="Times New Roman"/>
          <w:color w:val="000000"/>
          <w:sz w:val="24"/>
          <w:szCs w:val="24"/>
          <w:lang w:eastAsia="zh-CN"/>
        </w:rPr>
        <w:t>、按酿酒分公司制定的价格缴费，</w:t>
      </w:r>
      <w:r>
        <w:rPr>
          <w:rFonts w:hint="default" w:ascii="Times New Roman" w:hAnsi="Times New Roman" w:eastAsia="宋体" w:cs="Times New Roman"/>
          <w:color w:val="000000"/>
          <w:sz w:val="24"/>
          <w:szCs w:val="24"/>
        </w:rPr>
        <w:t>与货款一同结算；</w:t>
      </w:r>
    </w:p>
    <w:p w14:paraId="60392EB7">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5.13乙方应遵守甲方的相关规章制度若出现违反甲方规章制度的行为，视为乙方的违约行为，甲方有权按相关规章制度规定追究乙方违约责任；</w:t>
      </w:r>
    </w:p>
    <w:p w14:paraId="54C70C0A">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5.14</w:t>
      </w:r>
      <w:r>
        <w:rPr>
          <w:rFonts w:hint="default" w:ascii="Times New Roman" w:hAnsi="Times New Roman" w:eastAsia="宋体" w:cs="Times New Roman"/>
          <w:sz w:val="24"/>
          <w:szCs w:val="24"/>
        </w:rPr>
        <w:t>乙方如需使用甲方本合同未尽的有偿服务（如叉车等），需提出申请，收费标准及计量方式需双方共同协商或遵照甲方制定的标准执行；</w:t>
      </w:r>
    </w:p>
    <w:p w14:paraId="4A1A9F81">
      <w:pPr>
        <w:adjustRightInd w:val="0"/>
        <w:snapToGrid w:val="0"/>
        <w:spacing w:line="276" w:lineRule="auto"/>
        <w:ind w:left="420" w:hanging="480" w:hangingChars="200"/>
        <w:jc w:val="left"/>
        <w:rPr>
          <w:rFonts w:hint="default" w:ascii="Times New Roman" w:hAnsi="Times New Roman" w:eastAsia="宋体" w:cs="Times New Roman"/>
          <w:b/>
          <w:bCs/>
          <w:sz w:val="24"/>
          <w:szCs w:val="24"/>
        </w:rPr>
      </w:pPr>
      <w:r>
        <w:rPr>
          <w:rFonts w:hint="default" w:ascii="Times New Roman" w:hAnsi="Times New Roman" w:eastAsia="宋体" w:cs="Times New Roman"/>
          <w:color w:val="000000"/>
          <w:sz w:val="24"/>
          <w:szCs w:val="24"/>
        </w:rPr>
        <w:t>5.1</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sz w:val="24"/>
          <w:szCs w:val="24"/>
        </w:rPr>
        <w:t>乙方现场管理及作业人员应出具书面委托书，年龄18-55周岁，身体健康，无高血压、心脏病等妨碍相应工种作业的疾病和生理缺陷；乙方必须为授权人员缴</w:t>
      </w:r>
      <w:r>
        <w:rPr>
          <w:rFonts w:hint="default" w:ascii="Times New Roman" w:hAnsi="Times New Roman" w:eastAsia="宋体" w:cs="Times New Roman"/>
          <w:sz w:val="24"/>
          <w:szCs w:val="24"/>
          <w:highlight w:val="none"/>
        </w:rPr>
        <w:t>纳工伤保险或意外保险</w:t>
      </w:r>
      <w:r>
        <w:rPr>
          <w:rFonts w:hint="default" w:ascii="Times New Roman" w:hAnsi="Times New Roman" w:eastAsia="宋体" w:cs="Times New Roman"/>
          <w:sz w:val="24"/>
          <w:szCs w:val="24"/>
        </w:rPr>
        <w:t>，保险有效保期需涵盖其在甲方作业时间；</w:t>
      </w:r>
    </w:p>
    <w:p w14:paraId="324DF66B">
      <w:pPr>
        <w:spacing w:line="276" w:lineRule="auto"/>
        <w:jc w:val="left"/>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6、价款结算</w:t>
      </w:r>
    </w:p>
    <w:p w14:paraId="08DF84B4">
      <w:pPr>
        <w:adjustRightInd w:val="0"/>
        <w:snapToGrid w:val="0"/>
        <w:spacing w:line="276" w:lineRule="auto"/>
        <w:ind w:left="420" w:hanging="480" w:hangingChars="200"/>
        <w:jc w:val="left"/>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eastAsia="宋体" w:cs="Times New Roman"/>
          <w:color w:val="000000"/>
          <w:sz w:val="24"/>
          <w:szCs w:val="24"/>
          <w:highlight w:val="none"/>
        </w:rPr>
        <w:t>6.1价款结算方式：</w:t>
      </w:r>
      <w:r>
        <w:rPr>
          <w:rFonts w:hint="default" w:ascii="Times New Roman" w:hAnsi="Times New Roman" w:eastAsia="宋体" w:cs="Times New Roman"/>
          <w:color w:val="000000"/>
          <w:sz w:val="24"/>
          <w:szCs w:val="24"/>
          <w:highlight w:val="none"/>
          <w:lang w:val="en-US" w:eastAsia="zh-CN"/>
        </w:rPr>
        <w:t xml:space="preserve"> 先付款后提货 </w:t>
      </w:r>
    </w:p>
    <w:p w14:paraId="7A3D8BE0">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6.2付款方式为：</w:t>
      </w:r>
      <w:r>
        <w:rPr>
          <w:rFonts w:hint="default" w:ascii="Times New Roman" w:hAnsi="Times New Roman" w:eastAsia="宋体" w:cs="Times New Roman"/>
          <w:color w:val="000000"/>
          <w:sz w:val="24"/>
          <w:szCs w:val="24"/>
          <w:highlight w:val="none"/>
          <w:lang w:val="en-US" w:eastAsia="zh-CN"/>
        </w:rPr>
        <w:t xml:space="preserve">  对公付款 </w:t>
      </w:r>
      <w:r>
        <w:rPr>
          <w:rFonts w:hint="default" w:ascii="Times New Roman" w:hAnsi="Times New Roman" w:eastAsia="宋体" w:cs="Times New Roman"/>
          <w:color w:val="000000"/>
          <w:sz w:val="24"/>
          <w:szCs w:val="24"/>
          <w:highlight w:val="none"/>
        </w:rPr>
        <w:t>；</w:t>
      </w:r>
    </w:p>
    <w:p w14:paraId="730A2FDE">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6.3开票信息：</w:t>
      </w:r>
    </w:p>
    <w:tbl>
      <w:tblPr>
        <w:tblStyle w:val="3"/>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765"/>
        <w:gridCol w:w="1777"/>
        <w:gridCol w:w="2604"/>
      </w:tblGrid>
      <w:tr w14:paraId="51F1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6" w:type="dxa"/>
            <w:gridSpan w:val="4"/>
            <w:vAlign w:val="center"/>
          </w:tcPr>
          <w:p w14:paraId="69B05D9E">
            <w:pPr>
              <w:adjustRightInd w:val="0"/>
              <w:snapToGrid w:val="0"/>
              <w:spacing w:line="276" w:lineRule="auto"/>
              <w:ind w:left="478" w:leftChars="-1"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开票内容：</w:t>
            </w:r>
            <w:r>
              <w:rPr>
                <w:rFonts w:hint="default" w:ascii="Times New Roman" w:hAnsi="Times New Roman" w:eastAsia="宋体" w:cs="Times New Roman"/>
                <w:sz w:val="24"/>
                <w:szCs w:val="24"/>
                <w:lang w:val="en-US" w:eastAsia="zh-CN"/>
              </w:rPr>
              <w:t>废旧物资</w:t>
            </w:r>
            <w:r>
              <w:rPr>
                <w:rFonts w:hint="default" w:ascii="Times New Roman" w:hAnsi="Times New Roman" w:eastAsia="宋体" w:cs="Times New Roman"/>
                <w:sz w:val="24"/>
                <w:szCs w:val="24"/>
              </w:rPr>
              <w:t xml:space="preserve">    </w:t>
            </w:r>
          </w:p>
        </w:tc>
      </w:tr>
      <w:tr w14:paraId="64F5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86" w:type="dxa"/>
            <w:gridSpan w:val="4"/>
            <w:vAlign w:val="center"/>
          </w:tcPr>
          <w:p w14:paraId="479C26A6">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购买方</w:t>
            </w:r>
          </w:p>
        </w:tc>
      </w:tr>
      <w:tr w14:paraId="2DC1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3F9D5E98">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公司名称</w:t>
            </w:r>
          </w:p>
        </w:tc>
        <w:tc>
          <w:tcPr>
            <w:tcW w:w="3765" w:type="dxa"/>
            <w:vAlign w:val="center"/>
          </w:tcPr>
          <w:p w14:paraId="167D8050">
            <w:pPr>
              <w:adjustRightInd w:val="0"/>
              <w:snapToGrid w:val="0"/>
              <w:spacing w:line="276" w:lineRule="auto"/>
              <w:ind w:right="-288" w:rightChars="-137"/>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yellow"/>
                <w:lang w:val="en-US" w:eastAsia="zh-CN"/>
              </w:rPr>
              <w:t xml:space="preserve">                </w:t>
            </w:r>
          </w:p>
        </w:tc>
        <w:tc>
          <w:tcPr>
            <w:tcW w:w="1777" w:type="dxa"/>
            <w:vAlign w:val="center"/>
          </w:tcPr>
          <w:p w14:paraId="73113D69">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c>
          <w:tcPr>
            <w:tcW w:w="2604" w:type="dxa"/>
            <w:vAlign w:val="center"/>
          </w:tcPr>
          <w:p w14:paraId="1DCB1B7F">
            <w:pPr>
              <w:adjustRightInd w:val="0"/>
              <w:snapToGrid w:val="0"/>
              <w:spacing w:line="276" w:lineRule="auto"/>
              <w:ind w:left="478" w:leftChars="-1" w:hanging="480" w:hanging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highlight w:val="yellow"/>
                <w:lang w:val="en-US" w:eastAsia="zh-CN"/>
              </w:rPr>
              <w:t xml:space="preserve">                </w:t>
            </w:r>
          </w:p>
        </w:tc>
      </w:tr>
      <w:tr w14:paraId="5EAA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440" w:type="dxa"/>
            <w:vAlign w:val="center"/>
          </w:tcPr>
          <w:p w14:paraId="4F09BE79">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c>
          <w:tcPr>
            <w:tcW w:w="8146" w:type="dxa"/>
            <w:gridSpan w:val="3"/>
            <w:vAlign w:val="center"/>
          </w:tcPr>
          <w:p w14:paraId="2C7CE9A0">
            <w:pPr>
              <w:adjustRightInd w:val="0"/>
              <w:snapToGrid w:val="0"/>
              <w:spacing w:line="276" w:lineRule="auto"/>
              <w:ind w:right="-288" w:rightChars="-137"/>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sz w:val="24"/>
                <w:szCs w:val="24"/>
                <w:highlight w:val="yellow"/>
                <w:lang w:val="en-US" w:eastAsia="zh-CN"/>
              </w:rPr>
              <w:t xml:space="preserve">                </w:t>
            </w:r>
          </w:p>
        </w:tc>
      </w:tr>
      <w:tr w14:paraId="52F6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056083C3">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开户行</w:t>
            </w:r>
          </w:p>
        </w:tc>
        <w:tc>
          <w:tcPr>
            <w:tcW w:w="3765" w:type="dxa"/>
            <w:vAlign w:val="center"/>
          </w:tcPr>
          <w:p w14:paraId="475D8390">
            <w:pPr>
              <w:adjustRightInd w:val="0"/>
              <w:snapToGrid w:val="0"/>
              <w:spacing w:line="276" w:lineRule="auto"/>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yellow"/>
                <w:lang w:val="en-US" w:eastAsia="zh-CN"/>
              </w:rPr>
              <w:t xml:space="preserve">                </w:t>
            </w:r>
            <w:r>
              <w:rPr>
                <w:rFonts w:hint="default" w:ascii="Times New Roman" w:hAnsi="Times New Roman" w:eastAsia="宋体" w:cs="Times New Roman"/>
                <w:sz w:val="24"/>
                <w:szCs w:val="24"/>
                <w:lang w:val="en-US" w:eastAsia="zh-CN"/>
              </w:rPr>
              <w:t xml:space="preserve"> </w:t>
            </w:r>
          </w:p>
        </w:tc>
        <w:tc>
          <w:tcPr>
            <w:tcW w:w="1777" w:type="dxa"/>
            <w:vAlign w:val="center"/>
          </w:tcPr>
          <w:p w14:paraId="0F5C6121">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tc>
        <w:tc>
          <w:tcPr>
            <w:tcW w:w="2604" w:type="dxa"/>
            <w:vAlign w:val="center"/>
          </w:tcPr>
          <w:p w14:paraId="0A2CD428">
            <w:pPr>
              <w:adjustRightInd w:val="0"/>
              <w:snapToGrid w:val="0"/>
              <w:spacing w:line="276" w:lineRule="auto"/>
              <w:ind w:left="478" w:leftChars="-1" w:hanging="480" w:hanging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yellow"/>
                <w:lang w:val="en-US" w:eastAsia="zh-CN"/>
              </w:rPr>
              <w:t xml:space="preserve">                </w:t>
            </w:r>
          </w:p>
        </w:tc>
      </w:tr>
      <w:tr w14:paraId="0323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6" w:type="dxa"/>
            <w:gridSpan w:val="4"/>
            <w:vAlign w:val="center"/>
          </w:tcPr>
          <w:p w14:paraId="7F331E54">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销售方（开票方）</w:t>
            </w:r>
          </w:p>
        </w:tc>
      </w:tr>
      <w:tr w14:paraId="51AA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131338B1">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公司名称</w:t>
            </w:r>
          </w:p>
        </w:tc>
        <w:tc>
          <w:tcPr>
            <w:tcW w:w="3765" w:type="dxa"/>
            <w:vAlign w:val="center"/>
          </w:tcPr>
          <w:p w14:paraId="37CBC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安徽金太阳生化药业有限公司  </w:t>
            </w:r>
            <w:r>
              <w:rPr>
                <w:rFonts w:hint="default" w:ascii="Times New Roman" w:hAnsi="Times New Roman" w:eastAsia="宋体" w:cs="Times New Roman"/>
                <w:sz w:val="24"/>
                <w:szCs w:val="24"/>
              </w:rPr>
              <w:t xml:space="preserve"> </w:t>
            </w:r>
          </w:p>
        </w:tc>
        <w:tc>
          <w:tcPr>
            <w:tcW w:w="1777" w:type="dxa"/>
            <w:vAlign w:val="center"/>
          </w:tcPr>
          <w:p w14:paraId="6F4B9D08">
            <w:pPr>
              <w:adjustRightInd w:val="0"/>
              <w:snapToGrid w:val="0"/>
              <w:spacing w:line="276" w:lineRule="auto"/>
              <w:ind w:left="478" w:leftChars="-1" w:hanging="480" w:hangingChars="2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c>
          <w:tcPr>
            <w:tcW w:w="2604" w:type="dxa"/>
            <w:vAlign w:val="center"/>
          </w:tcPr>
          <w:p w14:paraId="7938CD28">
            <w:pPr>
              <w:adjustRightInd w:val="0"/>
              <w:snapToGrid w:val="0"/>
              <w:spacing w:line="276" w:lineRule="auto"/>
              <w:ind w:left="478" w:leftChars="-1" w:hanging="480" w:hanging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91341226738907020P  </w:t>
            </w:r>
            <w:r>
              <w:rPr>
                <w:rFonts w:hint="default" w:ascii="Times New Roman" w:hAnsi="Times New Roman" w:eastAsia="宋体" w:cs="Times New Roman"/>
                <w:sz w:val="24"/>
                <w:szCs w:val="24"/>
              </w:rPr>
              <w:t xml:space="preserve">  </w:t>
            </w:r>
          </w:p>
        </w:tc>
      </w:tr>
      <w:tr w14:paraId="49D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40" w:type="dxa"/>
            <w:vAlign w:val="center"/>
          </w:tcPr>
          <w:p w14:paraId="6E4336C7">
            <w:pPr>
              <w:adjustRightInd w:val="0"/>
              <w:snapToGrid w:val="0"/>
              <w:spacing w:line="276" w:lineRule="auto"/>
              <w:ind w:left="478" w:leftChars="-1" w:hanging="480" w:hangingChars="20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开户行</w:t>
            </w:r>
          </w:p>
        </w:tc>
        <w:tc>
          <w:tcPr>
            <w:tcW w:w="3765" w:type="dxa"/>
            <w:vAlign w:val="center"/>
          </w:tcPr>
          <w:p w14:paraId="6683CEA7">
            <w:pPr>
              <w:adjustRightInd w:val="0"/>
              <w:snapToGrid w:val="0"/>
              <w:spacing w:line="276" w:lineRule="auto"/>
              <w:ind w:left="0" w:leftChars="0" w:right="-716" w:rightChars="-341" w:firstLine="0" w:firstLineChars="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中国农业银行股份有限公司颍上县支行                   </w:t>
            </w:r>
          </w:p>
        </w:tc>
        <w:tc>
          <w:tcPr>
            <w:tcW w:w="1777" w:type="dxa"/>
            <w:vAlign w:val="center"/>
          </w:tcPr>
          <w:p w14:paraId="116A8E7D">
            <w:pPr>
              <w:adjustRightInd w:val="0"/>
              <w:snapToGrid w:val="0"/>
              <w:spacing w:line="276" w:lineRule="auto"/>
              <w:ind w:left="478" w:leftChars="-1" w:hanging="480" w:hangingChars="20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账号</w:t>
            </w:r>
          </w:p>
        </w:tc>
        <w:tc>
          <w:tcPr>
            <w:tcW w:w="2604" w:type="dxa"/>
            <w:vAlign w:val="center"/>
          </w:tcPr>
          <w:p w14:paraId="308D39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12-315001040003749                     </w:t>
            </w:r>
          </w:p>
        </w:tc>
      </w:tr>
    </w:tbl>
    <w:p w14:paraId="5DB569DF">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7、履约保证金</w:t>
      </w:r>
    </w:p>
    <w:p w14:paraId="70AF6E11">
      <w:pPr>
        <w:adjustRightInd w:val="0"/>
        <w:snapToGrid w:val="0"/>
        <w:spacing w:line="276" w:lineRule="auto"/>
        <w:ind w:left="420" w:hanging="480" w:hanging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7.1本合同生效前乙方已交纳人民币</w:t>
      </w:r>
      <w:r>
        <w:rPr>
          <w:rFonts w:hint="default" w:ascii="Times New Roman" w:hAnsi="Times New Roman" w:eastAsia="宋体" w:cs="Times New Roman"/>
          <w:b w:val="0"/>
          <w:bCs w:val="0"/>
          <w:color w:val="000000"/>
          <w:sz w:val="24"/>
          <w:szCs w:val="24"/>
          <w:lang w:val="en-US" w:eastAsia="zh-CN"/>
        </w:rPr>
        <w:t xml:space="preserve">  </w:t>
      </w:r>
      <w:r>
        <w:rPr>
          <w:rFonts w:hint="eastAsia" w:eastAsia="宋体" w:cs="Times New Roman"/>
          <w:b w:val="0"/>
          <w:bCs w:val="0"/>
          <w:color w:val="000000"/>
          <w:sz w:val="24"/>
          <w:szCs w:val="24"/>
          <w:lang w:val="en-US" w:eastAsia="zh-CN"/>
        </w:rPr>
        <w:t>6</w:t>
      </w:r>
      <w:r>
        <w:rPr>
          <w:rFonts w:hint="default" w:ascii="Times New Roman" w:hAnsi="Times New Roman" w:eastAsia="宋体" w:cs="Times New Roman"/>
          <w:b w:val="0"/>
          <w:bCs w:val="0"/>
          <w:color w:val="000000"/>
          <w:sz w:val="24"/>
          <w:szCs w:val="24"/>
          <w:lang w:val="en-US" w:eastAsia="zh-CN"/>
        </w:rPr>
        <w:t xml:space="preserve">000.00 </w:t>
      </w:r>
      <w:r>
        <w:rPr>
          <w:rFonts w:hint="default" w:ascii="Times New Roman" w:hAnsi="Times New Roman" w:eastAsia="宋体" w:cs="Times New Roman"/>
          <w:b w:val="0"/>
          <w:bCs w:val="0"/>
          <w:color w:val="000000"/>
          <w:sz w:val="24"/>
          <w:szCs w:val="24"/>
        </w:rPr>
        <w:t>作为合同履约保证金；</w:t>
      </w:r>
    </w:p>
    <w:p w14:paraId="349CD047">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7.2本合同有效期满，在扣除违约金、损失赔偿金及其他应扣款项后，履约保证金若有剩余的，甲方于本合同有效期满且收到乙方的履约保证金返还申请后</w:t>
      </w:r>
      <w:r>
        <w:rPr>
          <w:rFonts w:hint="default" w:ascii="Times New Roman" w:hAnsi="Times New Roman" w:eastAsia="宋体" w:cs="Times New Roman"/>
          <w:color w:val="000000"/>
          <w:sz w:val="24"/>
          <w:szCs w:val="24"/>
          <w:lang w:val="en-US" w:eastAsia="zh-CN"/>
        </w:rPr>
        <w:t>30</w:t>
      </w:r>
      <w:r>
        <w:rPr>
          <w:rFonts w:hint="default" w:ascii="Times New Roman" w:hAnsi="Times New Roman" w:eastAsia="宋体" w:cs="Times New Roman"/>
          <w:color w:val="000000"/>
          <w:sz w:val="24"/>
          <w:szCs w:val="24"/>
        </w:rPr>
        <w:t>日内一次性不计利息返还给乙方；</w:t>
      </w:r>
    </w:p>
    <w:p w14:paraId="209CBBBC">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7.3甲方有权从履约保证金中扣除乙方应支付的违约金和损失赔偿金，当甲方从履约保证金中扣除保证金、损失赔偿金或其他应扣款项后5日内，乙方应补足履约保证金数额。乙方自愿同意甲方扣除未付货款补足履约保证金差额部分。</w:t>
      </w:r>
    </w:p>
    <w:p w14:paraId="713E3CC4">
      <w:pPr>
        <w:spacing w:line="276" w:lineRule="auto"/>
        <w:ind w:firstLine="480" w:firstLineChars="200"/>
        <w:jc w:val="left"/>
        <w:rPr>
          <w:rFonts w:hint="default" w:ascii="Times New Roman" w:hAnsi="Times New Roman" w:eastAsia="宋体" w:cs="Times New Roman"/>
          <w:sz w:val="24"/>
          <w:szCs w:val="24"/>
        </w:rPr>
      </w:pPr>
    </w:p>
    <w:p w14:paraId="61842B39">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8、甲方违约责任</w:t>
      </w:r>
    </w:p>
    <w:p w14:paraId="6E95AB65">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8.1在本合同生效后，甲方不履行本合同的，由甲方赔偿乙方因此而致的直接损失；</w:t>
      </w:r>
    </w:p>
    <w:p w14:paraId="61475119">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8.2甲方无故将废旧物资出售给第三方的，由甲方赔偿乙方因此而致的直接损失。</w:t>
      </w:r>
    </w:p>
    <w:p w14:paraId="1946E2C8">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p>
    <w:p w14:paraId="23A5DEB2">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9、乙方违约责任</w:t>
      </w:r>
    </w:p>
    <w:p w14:paraId="5E586487">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9.1乙方与甲方相关人员应保持正常、健康的工作关系，乙方不得向甲方有关人员进行行贿或变相行贿，如有发生，乙方应承担人民币</w:t>
      </w:r>
      <w:r>
        <w:rPr>
          <w:rFonts w:hint="default" w:ascii="Times New Roman" w:hAnsi="Times New Roman" w:eastAsia="宋体" w:cs="Times New Roman"/>
          <w:color w:val="0000FF"/>
          <w:sz w:val="24"/>
          <w:szCs w:val="24"/>
          <w:lang w:val="en-US" w:eastAsia="zh-CN"/>
        </w:rPr>
        <w:t xml:space="preserve"> </w:t>
      </w:r>
      <w:r>
        <w:rPr>
          <w:rFonts w:hint="eastAsia" w:eastAsia="宋体" w:cs="Times New Roman"/>
          <w:color w:val="0000FF"/>
          <w:sz w:val="24"/>
          <w:szCs w:val="24"/>
          <w:highlight w:val="none"/>
          <w:lang w:val="en-US" w:eastAsia="zh-CN"/>
        </w:rPr>
        <w:t>6000.00</w:t>
      </w:r>
      <w:r>
        <w:rPr>
          <w:rFonts w:hint="default" w:ascii="Times New Roman" w:hAnsi="Times New Roman" w:eastAsia="宋体" w:cs="Times New Roman"/>
          <w:color w:val="0000FF"/>
          <w:sz w:val="24"/>
          <w:szCs w:val="24"/>
          <w:lang w:val="en-US" w:eastAsia="zh-CN"/>
        </w:rPr>
        <w:t xml:space="preserve"> </w:t>
      </w:r>
      <w:r>
        <w:rPr>
          <w:rFonts w:hint="default" w:ascii="Times New Roman" w:hAnsi="Times New Roman" w:eastAsia="宋体" w:cs="Times New Roman"/>
          <w:color w:val="000000"/>
          <w:sz w:val="24"/>
          <w:szCs w:val="24"/>
        </w:rPr>
        <w:t>的违约金，且甲方有权单方解除本合同；</w:t>
      </w:r>
    </w:p>
    <w:p w14:paraId="39B6AA87">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9.2乙方如违反本合同第5.3款或5.5款约定，每出现一次，须向甲方支付人民币</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FF"/>
          <w:sz w:val="24"/>
          <w:szCs w:val="24"/>
          <w:lang w:val="en-US" w:eastAsia="zh-CN"/>
        </w:rPr>
        <w:t xml:space="preserve">500.00 </w:t>
      </w:r>
      <w:r>
        <w:rPr>
          <w:rFonts w:hint="default" w:ascii="Times New Roman" w:hAnsi="Times New Roman" w:eastAsia="宋体" w:cs="Times New Roman"/>
          <w:color w:val="000000"/>
          <w:sz w:val="24"/>
          <w:szCs w:val="24"/>
        </w:rPr>
        <w:t>元的违约金，本合同有效期内累计出现</w:t>
      </w:r>
      <w:r>
        <w:rPr>
          <w:rFonts w:hint="default" w:ascii="Times New Roman" w:hAnsi="Times New Roman" w:eastAsia="宋体" w:cs="Times New Roman"/>
          <w:color w:val="000000"/>
          <w:sz w:val="24"/>
          <w:szCs w:val="24"/>
          <w:lang w:val="en-US" w:eastAsia="zh-CN"/>
        </w:rPr>
        <w:t xml:space="preserve"> 3 </w:t>
      </w:r>
      <w:r>
        <w:rPr>
          <w:rFonts w:hint="default" w:ascii="Times New Roman" w:hAnsi="Times New Roman" w:eastAsia="宋体" w:cs="Times New Roman"/>
          <w:color w:val="000000"/>
          <w:sz w:val="24"/>
          <w:szCs w:val="24"/>
        </w:rPr>
        <w:t>次，视为乙方不能履行本合同，由乙方按本条第9.7款约定承担违约责任；</w:t>
      </w:r>
    </w:p>
    <w:p w14:paraId="1B7D597F">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9.3乙方如违反本合同第5.6款约定，经甲方催告后</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日内仍不执行的，则自甲方催告之日起每延迟一日，向甲方支付人民币</w:t>
      </w:r>
      <w:r>
        <w:rPr>
          <w:rFonts w:hint="default" w:ascii="Times New Roman" w:hAnsi="Times New Roman" w:eastAsia="宋体" w:cs="Times New Roman"/>
          <w:color w:val="0000FF"/>
          <w:sz w:val="24"/>
          <w:szCs w:val="24"/>
          <w:lang w:val="en-US" w:eastAsia="zh-CN"/>
        </w:rPr>
        <w:t xml:space="preserve">  500.00 </w:t>
      </w:r>
      <w:r>
        <w:rPr>
          <w:rFonts w:hint="default" w:ascii="Times New Roman" w:hAnsi="Times New Roman" w:eastAsia="宋体" w:cs="Times New Roman"/>
          <w:color w:val="000000"/>
          <w:sz w:val="24"/>
          <w:szCs w:val="24"/>
        </w:rPr>
        <w:t>元的违约金，延迟达</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日时，或合同有效期内甲方累计催告</w:t>
      </w:r>
      <w:r>
        <w:rPr>
          <w:rFonts w:hint="default" w:ascii="Times New Roman" w:hAnsi="Times New Roman" w:eastAsia="宋体" w:cs="Times New Roman"/>
          <w:color w:val="000000"/>
          <w:sz w:val="24"/>
          <w:szCs w:val="24"/>
          <w:lang w:val="en-US" w:eastAsia="zh-CN"/>
        </w:rPr>
        <w:t xml:space="preserve">  3  </w:t>
      </w:r>
      <w:r>
        <w:rPr>
          <w:rFonts w:hint="default" w:ascii="Times New Roman" w:hAnsi="Times New Roman" w:eastAsia="宋体" w:cs="Times New Roman"/>
          <w:color w:val="000000"/>
          <w:sz w:val="24"/>
          <w:szCs w:val="24"/>
        </w:rPr>
        <w:t>次时，视为乙方不能履行本合同，由乙方按本条第9.7款约定承担违约责任；如乙方不能及时提货影响甲方正常生产的，甲方有权自行处理，给甲方造成的全部损失，均由乙方承担；</w:t>
      </w:r>
    </w:p>
    <w:p w14:paraId="2298500B">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9.4乙方如违反本合同第7.3款约定，每逾期一日，由乙方按照第7.3款约定的应补足的履约保证金数额的</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FF"/>
          <w:sz w:val="24"/>
          <w:szCs w:val="24"/>
          <w:lang w:val="en-US" w:eastAsia="zh-CN"/>
        </w:rPr>
        <w:t xml:space="preserve">10  </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%向甲方支付违约金，且甲方有权单方解除本合同；如果甲方解除合同，乙方仍应承担前述约定的违约金；</w:t>
      </w:r>
    </w:p>
    <w:p w14:paraId="38806F10">
      <w:pPr>
        <w:shd w:val="clear" w:color="auto" w:fill="FFFFFF"/>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9.5乙方如违反本合同第5.7款约定，乙方除须返还夹带物资外，还应向甲方支付人民币</w:t>
      </w:r>
      <w:r>
        <w:rPr>
          <w:rFonts w:hint="default" w:ascii="Times New Roman" w:hAnsi="Times New Roman" w:eastAsia="宋体" w:cs="Times New Roman"/>
          <w:color w:val="0000FF"/>
          <w:sz w:val="24"/>
          <w:szCs w:val="24"/>
          <w:lang w:val="en-US" w:eastAsia="zh-CN"/>
        </w:rPr>
        <w:t>500.00</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元的违约金，同时，甲方有权单方解除本合同并扣留全部履约保证金；</w:t>
      </w:r>
    </w:p>
    <w:p w14:paraId="5E60A382">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9.6乙方违反本合同第5.11款约定的，须向甲方支付违约金</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FF"/>
          <w:sz w:val="24"/>
          <w:szCs w:val="24"/>
          <w:lang w:val="en-US" w:eastAsia="zh-CN"/>
        </w:rPr>
        <w:t xml:space="preserve"> </w:t>
      </w:r>
      <w:r>
        <w:rPr>
          <w:rFonts w:hint="eastAsia" w:eastAsia="宋体" w:cs="Times New Roman"/>
          <w:color w:val="0000FF"/>
          <w:sz w:val="24"/>
          <w:szCs w:val="24"/>
          <w:lang w:val="en-US" w:eastAsia="zh-CN"/>
        </w:rPr>
        <w:t>6000.00</w:t>
      </w:r>
      <w:r>
        <w:rPr>
          <w:rFonts w:hint="default" w:ascii="Times New Roman" w:hAnsi="Times New Roman" w:eastAsia="宋体" w:cs="Times New Roman"/>
          <w:color w:val="0000FF"/>
          <w:sz w:val="24"/>
          <w:szCs w:val="24"/>
          <w:lang w:val="en-US" w:eastAsia="zh-CN"/>
        </w:rPr>
        <w:t xml:space="preserve"> </w:t>
      </w:r>
      <w:r>
        <w:rPr>
          <w:rFonts w:hint="default" w:ascii="Times New Roman" w:hAnsi="Times New Roman" w:eastAsia="宋体" w:cs="Times New Roman"/>
          <w:color w:val="000000"/>
          <w:sz w:val="24"/>
          <w:szCs w:val="24"/>
        </w:rPr>
        <w:t>元；</w:t>
      </w:r>
    </w:p>
    <w:p w14:paraId="514C82DF">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9.7乙方单方解除本合同或不能履行本合同的，甲方扣留全部履约保证金，乙方须另行赔偿给甲方造成的全部损失；</w:t>
      </w:r>
    </w:p>
    <w:p w14:paraId="471C2531">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9.8乙方须签署“</w:t>
      </w:r>
      <w:r>
        <w:rPr>
          <w:rFonts w:hint="default" w:ascii="Times New Roman" w:hAnsi="Times New Roman" w:eastAsia="宋体" w:cs="Times New Roman"/>
          <w:color w:val="0000FF"/>
          <w:sz w:val="24"/>
          <w:szCs w:val="24"/>
          <w:lang w:val="en-US" w:eastAsia="zh-CN"/>
        </w:rPr>
        <w:t>廉洁合规承诺书</w:t>
      </w:r>
      <w:r>
        <w:rPr>
          <w:rFonts w:hint="default" w:ascii="Times New Roman" w:hAnsi="Times New Roman" w:eastAsia="宋体" w:cs="Times New Roman"/>
          <w:color w:val="000000"/>
          <w:sz w:val="24"/>
          <w:szCs w:val="24"/>
        </w:rPr>
        <w:t>”（详见合同附件1）并严格遵守，在本合同订立、合作过程中如有违反</w:t>
      </w:r>
      <w:r>
        <w:rPr>
          <w:rFonts w:hint="default" w:ascii="Times New Roman" w:hAnsi="Times New Roman" w:eastAsia="宋体" w:cs="Times New Roman"/>
          <w:color w:val="0000FF"/>
          <w:sz w:val="24"/>
          <w:szCs w:val="24"/>
          <w:lang w:val="en-US" w:eastAsia="zh-CN"/>
        </w:rPr>
        <w:t>廉洁合规承诺书</w:t>
      </w:r>
      <w:r>
        <w:rPr>
          <w:rFonts w:hint="default" w:ascii="Times New Roman" w:hAnsi="Times New Roman" w:eastAsia="宋体" w:cs="Times New Roman"/>
          <w:color w:val="000000"/>
          <w:sz w:val="24"/>
          <w:szCs w:val="24"/>
        </w:rPr>
        <w:t>行为或甲方根据有关资料认为乙方可能存在上述情形的，甲方有权单方解除本合同且无需承担任何责任，并将乙方列入不合作</w:t>
      </w:r>
      <w:r>
        <w:rPr>
          <w:rFonts w:hint="default" w:ascii="Times New Roman" w:hAnsi="Times New Roman" w:eastAsia="宋体" w:cs="Times New Roman"/>
          <w:color w:val="000000"/>
          <w:sz w:val="24"/>
          <w:szCs w:val="24"/>
          <w:lang w:eastAsia="zh-CN"/>
        </w:rPr>
        <w:t>承销商</w:t>
      </w:r>
      <w:r>
        <w:rPr>
          <w:rFonts w:hint="default" w:ascii="Times New Roman" w:hAnsi="Times New Roman" w:eastAsia="宋体" w:cs="Times New Roman"/>
          <w:color w:val="000000"/>
          <w:sz w:val="24"/>
          <w:szCs w:val="24"/>
        </w:rPr>
        <w:t>；</w:t>
      </w:r>
    </w:p>
    <w:p w14:paraId="7B225A95">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9.9除上述约定外，乙方违反本合同其他约定的，应当向甲方支付人民币</w:t>
      </w:r>
      <w:r>
        <w:rPr>
          <w:rFonts w:hint="default" w:ascii="Times New Roman" w:hAnsi="Times New Roman" w:eastAsia="宋体" w:cs="Times New Roman"/>
          <w:color w:val="0000FF"/>
          <w:sz w:val="24"/>
          <w:szCs w:val="24"/>
          <w:lang w:val="en-US" w:eastAsia="zh-CN"/>
        </w:rPr>
        <w:t xml:space="preserve"> </w:t>
      </w:r>
      <w:r>
        <w:rPr>
          <w:rFonts w:hint="eastAsia" w:eastAsia="宋体" w:cs="Times New Roman"/>
          <w:color w:val="0000FF"/>
          <w:sz w:val="24"/>
          <w:szCs w:val="24"/>
          <w:lang w:val="en-US" w:eastAsia="zh-CN"/>
        </w:rPr>
        <w:t>6</w:t>
      </w:r>
      <w:r>
        <w:rPr>
          <w:rFonts w:hint="default" w:ascii="Times New Roman" w:hAnsi="Times New Roman" w:eastAsia="宋体" w:cs="Times New Roman"/>
          <w:color w:val="0000FF"/>
          <w:sz w:val="24"/>
          <w:szCs w:val="24"/>
          <w:lang w:val="en-US" w:eastAsia="zh-CN"/>
        </w:rPr>
        <w:t xml:space="preserve">000.00 </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元的违约金；</w:t>
      </w:r>
    </w:p>
    <w:p w14:paraId="463F8D81">
      <w:pPr>
        <w:adjustRightInd w:val="0"/>
        <w:snapToGrid w:val="0"/>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9.10若本合同约定的违约金不足以补偿甲方遭受的损失的，对于甲方遭受的损失（包括但不限于由此造成的诉讼费、差旅费、律师费、保全费、保全担保费、鉴定费、公证费），甲方有权进一步向乙方追偿。</w:t>
      </w:r>
    </w:p>
    <w:p w14:paraId="4C748154">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10、不可抗力</w:t>
      </w:r>
    </w:p>
    <w:p w14:paraId="33437C12">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10.1本合同约定的不可抗力指甲乙双方任何一方在签订本合同时不可预见的、遭受影响的一方不能克服和不能避免的，并对本合同的履行产生影响的事件；</w:t>
      </w:r>
    </w:p>
    <w:p w14:paraId="536EE25F">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10.2如果发生不可抗力事件,甲乙双方受该事件影响下的合同义务在不可抗力影响引起的延误期内将暂停履行；</w:t>
      </w:r>
    </w:p>
    <w:p w14:paraId="2F0C15AE">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10.3甲乙双方任何一方遭受不可抗力时应及时通知另一方，解释其需要提出发生不可抗力的理由，并且应在其后十五天内对该不可抗力事件的发生及其持续时间提供适当证明；</w:t>
      </w:r>
    </w:p>
    <w:p w14:paraId="6FAB23D1">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10.4若发生不可抗力，甲乙双方应就履行本合同或变更终止本合同达成协议。</w:t>
      </w:r>
    </w:p>
    <w:p w14:paraId="592A48DC">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p>
    <w:p w14:paraId="12A3BDDD">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11、争议解决</w:t>
      </w:r>
    </w:p>
    <w:p w14:paraId="145783C6">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11.1本合同约定的条款，双方当事人应当共同遵守。如果在履行过程中发生争议，应本着友好协商的原则予以解决，如果对合同有关条款的理解发生争议，应根据合同的目的、交易习惯以及诚实信用原则，确定该条款的真实意思；</w:t>
      </w:r>
    </w:p>
    <w:p w14:paraId="59D3FD82">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p>
    <w:p w14:paraId="068BBB8A">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11.2凡有关本合同或执行本合同时发生的争议由双方协商解决，协商不成时任何一方均有权诉至法院，无论哪一方起诉，均由甲方所在地法院管辖。</w:t>
      </w:r>
    </w:p>
    <w:p w14:paraId="32018C6A">
      <w:pPr>
        <w:spacing w:line="276" w:lineRule="auto"/>
        <w:ind w:firstLine="480" w:firstLineChars="200"/>
        <w:jc w:val="left"/>
        <w:rPr>
          <w:rFonts w:hint="default" w:ascii="Times New Roman" w:hAnsi="Times New Roman" w:eastAsia="宋体" w:cs="Times New Roman"/>
          <w:sz w:val="24"/>
          <w:szCs w:val="24"/>
        </w:rPr>
      </w:pPr>
    </w:p>
    <w:p w14:paraId="18C86E1F">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12、合同变更与转让</w:t>
      </w:r>
    </w:p>
    <w:p w14:paraId="0F639B89">
      <w:pPr>
        <w:adjustRightInd w:val="0"/>
        <w:snapToGrid w:val="0"/>
        <w:spacing w:line="276" w:lineRule="auto"/>
        <w:ind w:left="422" w:hanging="480" w:hangingChars="200"/>
        <w:jc w:val="left"/>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12.1未经甲方书面同意乙方不得擅自转让本合同，不得将本合同的应收账款全部或者部分转让或质押给第三人；</w:t>
      </w:r>
    </w:p>
    <w:p w14:paraId="42FE88A0">
      <w:pPr>
        <w:adjustRightInd w:val="0"/>
        <w:snapToGrid w:val="0"/>
        <w:spacing w:line="276" w:lineRule="auto"/>
        <w:ind w:left="422" w:hanging="480" w:hangingChars="200"/>
        <w:jc w:val="left"/>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12.2乙方发生合并、分立、改组、转让、经营权变更等变更情况的，必须事先通知甲方，甲方有权决定是否终止本合同。</w:t>
      </w:r>
    </w:p>
    <w:p w14:paraId="1A76F410">
      <w:pPr>
        <w:spacing w:line="276" w:lineRule="auto"/>
        <w:ind w:firstLine="480" w:firstLineChars="200"/>
        <w:jc w:val="left"/>
        <w:rPr>
          <w:rFonts w:hint="default" w:ascii="Times New Roman" w:hAnsi="Times New Roman" w:eastAsia="宋体" w:cs="Times New Roman"/>
          <w:sz w:val="24"/>
          <w:szCs w:val="24"/>
        </w:rPr>
      </w:pPr>
    </w:p>
    <w:p w14:paraId="6D78ACBD">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13、合同有效期</w:t>
      </w:r>
    </w:p>
    <w:p w14:paraId="09DCA452">
      <w:pPr>
        <w:adjustRightInd w:val="0"/>
        <w:snapToGrid w:val="0"/>
        <w:spacing w:line="276" w:lineRule="auto"/>
        <w:ind w:left="478" w:leftChars="-1" w:hanging="480" w:hanging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.1本合同须经双方</w:t>
      </w:r>
      <w:r>
        <w:rPr>
          <w:rFonts w:hint="default" w:ascii="Times New Roman" w:hAnsi="Times New Roman" w:eastAsia="宋体" w:cs="Times New Roman"/>
          <w:color w:val="auto"/>
          <w:sz w:val="24"/>
          <w:szCs w:val="24"/>
          <w:highlight w:val="none"/>
          <w:lang w:val="en-US" w:eastAsia="zh-CN"/>
        </w:rPr>
        <w:t>签字并</w:t>
      </w:r>
      <w:r>
        <w:rPr>
          <w:rFonts w:hint="default" w:ascii="Times New Roman" w:hAnsi="Times New Roman" w:eastAsia="宋体" w:cs="Times New Roman"/>
          <w:color w:val="auto"/>
          <w:sz w:val="24"/>
          <w:szCs w:val="24"/>
          <w:highlight w:val="none"/>
        </w:rPr>
        <w:t>盖章，自</w:t>
      </w:r>
      <w:r>
        <w:rPr>
          <w:rFonts w:hint="default" w:ascii="Times New Roman" w:hAnsi="Times New Roman" w:eastAsia="宋体" w:cs="Times New Roman"/>
          <w:color w:val="auto"/>
          <w:sz w:val="24"/>
          <w:szCs w:val="24"/>
          <w:highlight w:val="none"/>
          <w:lang w:val="en-US" w:eastAsia="zh-CN"/>
        </w:rPr>
        <w:t>本合同签订之日</w:t>
      </w:r>
      <w:r>
        <w:rPr>
          <w:rFonts w:hint="default" w:ascii="Times New Roman" w:hAnsi="Times New Roman" w:eastAsia="宋体" w:cs="Times New Roman"/>
          <w:color w:val="auto"/>
          <w:sz w:val="24"/>
          <w:szCs w:val="24"/>
          <w:highlight w:val="none"/>
        </w:rPr>
        <w:t>起生效；</w:t>
      </w:r>
    </w:p>
    <w:p w14:paraId="4AC15D07">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kern w:val="0"/>
          <w:sz w:val="24"/>
          <w:szCs w:val="24"/>
          <w:highlight w:val="none"/>
        </w:rPr>
        <w:t>本合同有效期为自本</w:t>
      </w:r>
      <w:r>
        <w:rPr>
          <w:rFonts w:hint="default" w:ascii="Times New Roman" w:hAnsi="Times New Roman" w:eastAsia="宋体" w:cs="Times New Roman"/>
          <w:color w:val="auto"/>
          <w:sz w:val="24"/>
          <w:szCs w:val="24"/>
          <w:highlight w:val="none"/>
          <w:lang w:val="en-US" w:eastAsia="zh-CN"/>
        </w:rPr>
        <w:t>合同生效之日起</w:t>
      </w:r>
      <w:r>
        <w:rPr>
          <w:rFonts w:hint="default" w:ascii="Times New Roman" w:hAnsi="Times New Roman" w:eastAsia="宋体" w:cs="Times New Roman"/>
          <w:color w:val="auto"/>
          <w:sz w:val="24"/>
          <w:szCs w:val="24"/>
          <w:highlight w:val="none"/>
        </w:rPr>
        <w:t>至</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0000FF"/>
          <w:sz w:val="24"/>
          <w:szCs w:val="24"/>
          <w:highlight w:val="none"/>
          <w:lang w:val="en-US" w:eastAsia="zh-CN"/>
        </w:rPr>
        <w:t xml:space="preserve"> </w:t>
      </w:r>
      <w:r>
        <w:rPr>
          <w:rFonts w:hint="eastAsia" w:eastAsia="宋体" w:cs="Times New Roman"/>
          <w:color w:val="0000FF"/>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 xml:space="preserve"> </w:t>
      </w:r>
      <w:r>
        <w:rPr>
          <w:rFonts w:hint="eastAsia" w:eastAsia="宋体" w:cs="Times New Roman"/>
          <w:color w:val="0000FF"/>
          <w:sz w:val="24"/>
          <w:szCs w:val="24"/>
          <w:highlight w:val="none"/>
          <w:lang w:val="en-US" w:eastAsia="zh-CN"/>
        </w:rPr>
        <w:t xml:space="preserve">   </w:t>
      </w:r>
      <w:r>
        <w:rPr>
          <w:rFonts w:hint="default" w:ascii="Times New Roman" w:hAnsi="Times New Roman" w:eastAsia="宋体" w:cs="Times New Roman"/>
          <w:color w:val="0000FF"/>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月</w:t>
      </w:r>
      <w:r>
        <w:rPr>
          <w:rFonts w:hint="eastAsia" w:eastAsia="宋体" w:cs="Times New Roman"/>
          <w:color w:val="0000FF"/>
          <w:sz w:val="24"/>
          <w:szCs w:val="24"/>
          <w:highlight w:val="none"/>
          <w:lang w:val="en-US" w:eastAsia="zh-CN"/>
        </w:rPr>
        <w:t xml:space="preserve">     </w:t>
      </w:r>
      <w:r>
        <w:rPr>
          <w:rFonts w:hint="default" w:ascii="Times New Roman" w:hAnsi="Times New Roman" w:eastAsia="宋体" w:cs="Times New Roman"/>
          <w:color w:val="0000FF"/>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kern w:val="0"/>
          <w:sz w:val="24"/>
          <w:szCs w:val="24"/>
          <w:highlight w:val="none"/>
        </w:rPr>
        <w:t>止。</w:t>
      </w:r>
      <w:r>
        <w:rPr>
          <w:rFonts w:hint="default" w:ascii="Times New Roman" w:hAnsi="Times New Roman" w:eastAsia="宋体" w:cs="Times New Roman"/>
          <w:b/>
          <w:bCs/>
          <w:color w:val="000000"/>
          <w:sz w:val="24"/>
          <w:szCs w:val="24"/>
        </w:rPr>
        <w:t xml:space="preserve"> </w:t>
      </w:r>
    </w:p>
    <w:p w14:paraId="10D37DD7">
      <w:pPr>
        <w:adjustRightInd w:val="0"/>
        <w:snapToGrid w:val="0"/>
        <w:spacing w:line="276" w:lineRule="auto"/>
        <w:ind w:left="420" w:hanging="480" w:hangingChars="200"/>
        <w:jc w:val="left"/>
        <w:rPr>
          <w:rFonts w:hint="default" w:ascii="Times New Roman" w:hAnsi="Times New Roman" w:eastAsia="宋体" w:cs="Times New Roman"/>
          <w:color w:val="000000"/>
          <w:sz w:val="24"/>
          <w:szCs w:val="24"/>
        </w:rPr>
      </w:pPr>
    </w:p>
    <w:p w14:paraId="679E356D">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14、通知条款</w:t>
      </w:r>
    </w:p>
    <w:p w14:paraId="0A8681AF">
      <w:pPr>
        <w:adjustRightInd w:val="0"/>
        <w:snapToGrid w:val="0"/>
        <w:spacing w:line="276" w:lineRule="auto"/>
        <w:ind w:left="630" w:hanging="720" w:hangingChars="3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14.1</w:t>
      </w:r>
      <w:r>
        <w:rPr>
          <w:rFonts w:hint="default" w:ascii="Times New Roman" w:hAnsi="Times New Roman" w:eastAsia="宋体" w:cs="Times New Roman"/>
          <w:sz w:val="24"/>
          <w:szCs w:val="24"/>
        </w:rPr>
        <w:t>甲乙双方就合同中涉及各类通知、协议等文件以及就合同发生纠纷时相关文件和法律文书送达时的送达地址及法律后果作如下约定：</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7237"/>
      </w:tblGrid>
      <w:tr w14:paraId="689F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0A469583">
            <w:pPr>
              <w:adjustRightInd w:val="0"/>
              <w:snapToGrid w:val="0"/>
              <w:spacing w:line="276" w:lineRule="auto"/>
              <w:ind w:left="478" w:leftChars="-1" w:hanging="480" w:hanging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w:t>
            </w:r>
          </w:p>
        </w:tc>
        <w:tc>
          <w:tcPr>
            <w:tcW w:w="7237" w:type="dxa"/>
          </w:tcPr>
          <w:p w14:paraId="191EC923">
            <w:pPr>
              <w:adjustRightInd w:val="0"/>
              <w:snapToGrid w:val="0"/>
              <w:spacing w:line="276" w:lineRule="auto"/>
              <w:ind w:left="478" w:leftChars="-1" w:hanging="480" w:hangingChars="200"/>
              <w:jc w:val="left"/>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auto"/>
                <w:sz w:val="24"/>
                <w:szCs w:val="24"/>
                <w:highlight w:val="none"/>
              </w:rPr>
              <w:t>收件人：</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0000FF"/>
                <w:sz w:val="24"/>
                <w:szCs w:val="24"/>
                <w:highlight w:val="none"/>
                <w:lang w:val="en-US" w:eastAsia="zh-CN"/>
              </w:rPr>
              <w:t xml:space="preserve">刘强      </w:t>
            </w:r>
          </w:p>
          <w:p w14:paraId="3A51BD7A">
            <w:pPr>
              <w:adjustRightInd w:val="0"/>
              <w:snapToGrid w:val="0"/>
              <w:spacing w:line="276" w:lineRule="auto"/>
              <w:ind w:left="478" w:leftChars="-1" w:hanging="480" w:hangingChars="200"/>
              <w:jc w:val="left"/>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highlight w:val="none"/>
              </w:rPr>
              <w:t>邮寄地址：</w:t>
            </w:r>
            <w:r>
              <w:rPr>
                <w:rFonts w:hint="default" w:ascii="Times New Roman" w:hAnsi="Times New Roman" w:eastAsia="宋体" w:cs="Times New Roman"/>
                <w:color w:val="0000FF"/>
                <w:sz w:val="24"/>
                <w:szCs w:val="24"/>
                <w:highlight w:val="none"/>
                <w:lang w:val="en-US" w:eastAsia="zh-CN"/>
              </w:rPr>
              <w:t xml:space="preserve"> 安徽省颍上县工业园区金太阳生化药业有限公司                                 </w:t>
            </w:r>
            <w:r>
              <w:rPr>
                <w:rFonts w:hint="default" w:ascii="Times New Roman" w:hAnsi="Times New Roman" w:eastAsia="宋体" w:cs="Times New Roman"/>
                <w:color w:val="0000FF"/>
                <w:sz w:val="24"/>
                <w:szCs w:val="24"/>
                <w:highlight w:val="none"/>
              </w:rPr>
              <w:t xml:space="preserve"> </w:t>
            </w:r>
          </w:p>
          <w:p w14:paraId="21140C25">
            <w:pPr>
              <w:adjustRightInd w:val="0"/>
              <w:snapToGrid w:val="0"/>
              <w:spacing w:line="276" w:lineRule="auto"/>
              <w:ind w:left="478" w:leftChars="-1" w:hanging="480" w:hanging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FF"/>
                <w:sz w:val="24"/>
                <w:szCs w:val="24"/>
                <w:highlight w:val="none"/>
              </w:rPr>
              <w:t>电子邮件：</w:t>
            </w:r>
            <w:r>
              <w:rPr>
                <w:rFonts w:hint="default" w:ascii="Times New Roman" w:hAnsi="Times New Roman" w:eastAsia="宋体" w:cs="Times New Roman"/>
                <w:color w:val="0000FF"/>
                <w:sz w:val="24"/>
                <w:szCs w:val="24"/>
                <w:highlight w:val="none"/>
                <w:lang w:val="en-US" w:eastAsia="zh-CN"/>
              </w:rPr>
              <w:t xml:space="preserve"> 1320065369@qq.com  </w:t>
            </w:r>
            <w:r>
              <w:rPr>
                <w:rFonts w:hint="default" w:ascii="Times New Roman" w:hAnsi="Times New Roman" w:eastAsia="宋体" w:cs="Times New Roman"/>
                <w:color w:val="auto"/>
                <w:sz w:val="24"/>
                <w:szCs w:val="24"/>
                <w:highlight w:val="none"/>
                <w:lang w:val="en-US" w:eastAsia="zh-CN"/>
              </w:rPr>
              <w:t xml:space="preserve">                                 </w:t>
            </w:r>
          </w:p>
        </w:tc>
      </w:tr>
      <w:tr w14:paraId="1EC7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1948213B">
            <w:pPr>
              <w:adjustRightInd w:val="0"/>
              <w:snapToGrid w:val="0"/>
              <w:spacing w:line="276" w:lineRule="auto"/>
              <w:ind w:left="478" w:leftChars="-1" w:hanging="480" w:hanging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w:t>
            </w:r>
          </w:p>
        </w:tc>
        <w:tc>
          <w:tcPr>
            <w:tcW w:w="7237" w:type="dxa"/>
          </w:tcPr>
          <w:p w14:paraId="5A12B875">
            <w:pPr>
              <w:adjustRightInd w:val="0"/>
              <w:snapToGrid w:val="0"/>
              <w:spacing w:line="276" w:lineRule="auto"/>
              <w:ind w:left="478" w:leftChars="-1" w:hanging="480" w:hangingChars="200"/>
              <w:jc w:val="lef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收件人：</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yellow"/>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w:t>
            </w:r>
          </w:p>
          <w:p w14:paraId="50CDA883">
            <w:pPr>
              <w:adjustRightInd w:val="0"/>
              <w:snapToGrid w:val="0"/>
              <w:spacing w:line="276" w:lineRule="auto"/>
              <w:ind w:left="478" w:leftChars="-1" w:hanging="480" w:hanging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邮寄地址： </w:t>
            </w:r>
            <w:r>
              <w:rPr>
                <w:rFonts w:hint="default" w:ascii="Times New Roman" w:hAnsi="Times New Roman" w:eastAsia="宋体" w:cs="Times New Roman"/>
                <w:color w:val="auto"/>
                <w:sz w:val="24"/>
                <w:szCs w:val="24"/>
                <w:highlight w:val="yellow"/>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w:t>
            </w:r>
          </w:p>
          <w:p w14:paraId="05ECBCEE">
            <w:pPr>
              <w:adjustRightInd w:val="0"/>
              <w:snapToGrid w:val="0"/>
              <w:spacing w:line="276" w:lineRule="auto"/>
              <w:ind w:left="478" w:leftChars="-1" w:hanging="480" w:hanging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电子邮件：                       </w:t>
            </w:r>
          </w:p>
        </w:tc>
      </w:tr>
    </w:tbl>
    <w:p w14:paraId="514006D0">
      <w:pPr>
        <w:adjustRightInd w:val="0"/>
        <w:snapToGrid w:val="0"/>
        <w:spacing w:line="276" w:lineRule="auto"/>
        <w:ind w:left="478" w:leftChars="-1"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.2</w:t>
      </w:r>
      <w:r>
        <w:rPr>
          <w:rFonts w:hint="default" w:ascii="Times New Roman" w:hAnsi="Times New Roman" w:eastAsia="宋体" w:cs="Times New Roman"/>
          <w:color w:val="auto"/>
          <w:sz w:val="24"/>
          <w:szCs w:val="24"/>
          <w:highlight w:val="none"/>
        </w:rPr>
        <w:t>各方送达地址适用范围包括合同签订及履行过程中的合同及相关文件、合同纠纷处理往来文件及诉讼过程中法律文书的送达；</w:t>
      </w:r>
    </w:p>
    <w:p w14:paraId="47D96B42">
      <w:pPr>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w:t>
      </w:r>
      <w:r>
        <w:rPr>
          <w:rFonts w:hint="default" w:ascii="Times New Roman" w:hAnsi="Times New Roman" w:eastAsia="宋体" w:cs="Times New Roman"/>
          <w:color w:val="auto"/>
          <w:sz w:val="24"/>
          <w:szCs w:val="24"/>
          <w:highlight w:val="none"/>
        </w:rPr>
        <w:t>一方的送达地址需要变更时应当书面通知对方，如果一方未履行通知义务，双方所确认的送达地址仍视为有效送达地址。如果当事人提供或者确认的送达地址不准确、送达地址变更后未及时依程序告知对方和法院、当事人或指定的接收人拒绝签收，导致文件未能被当事人实际接收的，邮寄送达的，以文件退回之日视为送达之日。</w:t>
      </w:r>
    </w:p>
    <w:p w14:paraId="14ACCD2A">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15、其它约定</w:t>
      </w:r>
    </w:p>
    <w:p w14:paraId="6603070E">
      <w:pPr>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15.1甲方任何员工的言论和书面文件在经甲方书面确认之前均不代表甲方，甲方的任何书面文件均需加盖甲方公章方为有效；</w:t>
      </w:r>
    </w:p>
    <w:p w14:paraId="3ADE0554">
      <w:pPr>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15.2合同一方因与对方员工发生的私人经济往来而产生的任何损失，由该方自行承担，合同对方不负任何责任；</w:t>
      </w:r>
    </w:p>
    <w:p w14:paraId="3AAABCA9">
      <w:pPr>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15.3本合同有效期内，以及在其解除或期满后的任何时候，乙方不得向任何第三方披露在履行合同过程中所获得的甲方的任何经营信息；</w:t>
      </w:r>
    </w:p>
    <w:p w14:paraId="52C737F0">
      <w:pPr>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15.4本合同有效期内，如甲方决定提前解散、注销或长期停产停业的，甲方应当书面通知乙方，自通知送达之日起满15日时，本合同自动终止，双方互不因此承担违约或赔偿责任；</w:t>
      </w:r>
    </w:p>
    <w:p w14:paraId="5BB35CAE">
      <w:pPr>
        <w:spacing w:line="276" w:lineRule="auto"/>
        <w:ind w:left="420"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15.5本合同主文中和/或附件中就同一事项或同一违约行为约定不一致的，甲方有权选择适用；</w:t>
      </w:r>
    </w:p>
    <w:p w14:paraId="4BE80274">
      <w:pPr>
        <w:spacing w:line="276" w:lineRule="auto"/>
        <w:ind w:left="478" w:leftChars="-1"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本合同附件是合同的组成部分，与合同具有同等的法律效力：</w:t>
      </w:r>
    </w:p>
    <w:p w14:paraId="7A2D8A68">
      <w:pPr>
        <w:spacing w:line="276"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合同附件1《</w:t>
      </w:r>
      <w:r>
        <w:rPr>
          <w:rFonts w:hint="default" w:ascii="Times New Roman" w:hAnsi="Times New Roman" w:eastAsia="宋体" w:cs="Times New Roman"/>
          <w:color w:val="0000FF"/>
          <w:sz w:val="24"/>
          <w:szCs w:val="24"/>
          <w:lang w:val="en-US" w:eastAsia="zh-CN"/>
        </w:rPr>
        <w:t>廉洁合规承诺书</w:t>
      </w:r>
      <w:r>
        <w:rPr>
          <w:rFonts w:hint="default" w:ascii="Times New Roman" w:hAnsi="Times New Roman" w:eastAsia="宋体" w:cs="Times New Roman"/>
          <w:sz w:val="24"/>
          <w:szCs w:val="24"/>
        </w:rPr>
        <w:t>》；</w:t>
      </w:r>
    </w:p>
    <w:p w14:paraId="07FE2B21">
      <w:pPr>
        <w:adjustRightInd w:val="0"/>
        <w:snapToGrid w:val="0"/>
        <w:spacing w:line="42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合同附件2《</w:t>
      </w:r>
      <w:r>
        <w:rPr>
          <w:rFonts w:hint="default" w:ascii="Times New Roman" w:hAnsi="Times New Roman" w:eastAsia="宋体" w:cs="Times New Roman"/>
          <w:color w:val="0000FF"/>
          <w:sz w:val="24"/>
          <w:szCs w:val="24"/>
          <w:lang w:val="en-US" w:eastAsia="zh-CN"/>
        </w:rPr>
        <w:t>安徽金太阳生化药业有限公司 承包商安全协议</w:t>
      </w:r>
      <w:r>
        <w:rPr>
          <w:rFonts w:hint="default" w:ascii="Times New Roman" w:hAnsi="Times New Roman" w:eastAsia="宋体" w:cs="Times New Roman"/>
          <w:sz w:val="24"/>
          <w:szCs w:val="24"/>
        </w:rPr>
        <w:t>》；</w:t>
      </w:r>
    </w:p>
    <w:p w14:paraId="040959A2">
      <w:pPr>
        <w:spacing w:line="276" w:lineRule="auto"/>
        <w:ind w:left="418" w:leftChars="199" w:firstLine="240" w:firstLineChars="1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p>
    <w:p w14:paraId="4E44A618">
      <w:pPr>
        <w:spacing w:line="276" w:lineRule="auto"/>
        <w:ind w:left="478" w:leftChars="-1"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本合同未尽事宜，双方应友好协商，签订补充协议，补充协议与本合同具有同等的法律效力；</w:t>
      </w:r>
    </w:p>
    <w:p w14:paraId="71AF0371">
      <w:pPr>
        <w:spacing w:line="276" w:lineRule="auto"/>
        <w:ind w:left="478" w:leftChars="-1" w:hanging="480" w:hanging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lang w:val="en-US" w:eastAsia="zh-CN"/>
        </w:rPr>
        <w:t>叁</w:t>
      </w:r>
      <w:r>
        <w:rPr>
          <w:rFonts w:hint="default" w:ascii="Times New Roman" w:hAnsi="Times New Roman" w:eastAsia="宋体" w:cs="Times New Roman"/>
          <w:sz w:val="24"/>
          <w:szCs w:val="24"/>
        </w:rPr>
        <w:t>份，甲方执</w:t>
      </w:r>
      <w:r>
        <w:rPr>
          <w:rFonts w:hint="default" w:ascii="Times New Roman" w:hAnsi="Times New Roman" w:eastAsia="宋体" w:cs="Times New Roman"/>
          <w:sz w:val="24"/>
          <w:szCs w:val="24"/>
          <w:lang w:val="en-US" w:eastAsia="zh-CN"/>
        </w:rPr>
        <w:t>贰</w:t>
      </w:r>
      <w:r>
        <w:rPr>
          <w:rFonts w:hint="default" w:ascii="Times New Roman" w:hAnsi="Times New Roman" w:eastAsia="宋体" w:cs="Times New Roman"/>
          <w:sz w:val="24"/>
          <w:szCs w:val="24"/>
        </w:rPr>
        <w:t>份，乙方执</w:t>
      </w:r>
      <w:r>
        <w:rPr>
          <w:rFonts w:hint="default" w:ascii="Times New Roman" w:hAnsi="Times New Roman" w:eastAsia="宋体" w:cs="Times New Roman"/>
          <w:sz w:val="24"/>
          <w:szCs w:val="24"/>
          <w:lang w:val="en-US" w:eastAsia="zh-CN"/>
        </w:rPr>
        <w:t>壹</w:t>
      </w:r>
      <w:r>
        <w:rPr>
          <w:rFonts w:hint="default" w:ascii="Times New Roman" w:hAnsi="Times New Roman" w:eastAsia="宋体" w:cs="Times New Roman"/>
          <w:sz w:val="24"/>
          <w:szCs w:val="24"/>
        </w:rPr>
        <w:t>份，均具有同等法律效力。</w:t>
      </w:r>
    </w:p>
    <w:p w14:paraId="09477818">
      <w:pPr>
        <w:spacing w:line="276" w:lineRule="auto"/>
        <w:ind w:firstLine="480" w:firstLineChars="200"/>
        <w:jc w:val="left"/>
        <w:rPr>
          <w:rFonts w:hint="default" w:ascii="Times New Roman" w:hAnsi="Times New Roman" w:eastAsia="宋体" w:cs="Times New Roman"/>
          <w:sz w:val="24"/>
          <w:szCs w:val="24"/>
        </w:rPr>
      </w:pPr>
    </w:p>
    <w:p w14:paraId="5C530DF1">
      <w:pPr>
        <w:spacing w:line="276" w:lineRule="auto"/>
        <w:jc w:val="left"/>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甲方:  （盖章</w:t>
      </w:r>
      <w:r>
        <w:rPr>
          <w:rFonts w:hint="default" w:ascii="Times New Roman" w:hAnsi="Times New Roman" w:eastAsia="宋体" w:cs="Times New Roman"/>
          <w:b/>
          <w:color w:val="000000"/>
          <w:sz w:val="24"/>
          <w:szCs w:val="24"/>
          <w:lang w:val="en-US" w:eastAsia="zh-CN"/>
        </w:rPr>
        <w:t>/签字</w:t>
      </w:r>
      <w:r>
        <w:rPr>
          <w:rFonts w:hint="default" w:ascii="Times New Roman" w:hAnsi="Times New Roman" w:eastAsia="宋体" w:cs="Times New Roman"/>
          <w:b/>
          <w:color w:val="000000"/>
          <w:sz w:val="24"/>
          <w:szCs w:val="24"/>
        </w:rPr>
        <w:t xml:space="preserve">）   </w:t>
      </w:r>
    </w:p>
    <w:p w14:paraId="7A8AAAC3">
      <w:pPr>
        <w:spacing w:line="276" w:lineRule="auto"/>
        <w:jc w:val="left"/>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 xml:space="preserve">   </w:t>
      </w:r>
    </w:p>
    <w:p w14:paraId="202B1EA9">
      <w:pPr>
        <w:spacing w:line="276" w:lineRule="auto"/>
        <w:jc w:val="left"/>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 xml:space="preserve">                                            年   月   日</w:t>
      </w:r>
    </w:p>
    <w:p w14:paraId="4D8FF817">
      <w:pPr>
        <w:pStyle w:val="7"/>
        <w:rPr>
          <w:rFonts w:hint="default" w:ascii="Times New Roman" w:hAnsi="Times New Roman" w:eastAsia="宋体" w:cs="Times New Roman"/>
          <w:sz w:val="24"/>
          <w:szCs w:val="24"/>
        </w:rPr>
      </w:pPr>
    </w:p>
    <w:p w14:paraId="0552B618">
      <w:pPr>
        <w:spacing w:line="276" w:lineRule="auto"/>
        <w:jc w:val="left"/>
        <w:rPr>
          <w:rFonts w:hint="default" w:ascii="Times New Roman" w:hAnsi="Times New Roman" w:eastAsia="宋体" w:cs="Times New Roman"/>
          <w:b/>
          <w:color w:val="000000"/>
          <w:sz w:val="24"/>
          <w:szCs w:val="24"/>
        </w:rPr>
      </w:pPr>
    </w:p>
    <w:p w14:paraId="523C16B3">
      <w:pPr>
        <w:adjustRightInd w:val="0"/>
        <w:snapToGrid w:val="0"/>
        <w:spacing w:line="276" w:lineRule="auto"/>
        <w:ind w:left="480" w:leftChars="-1" w:right="-288" w:rightChars="-137" w:hanging="482" w:hangingChars="200"/>
        <w:jc w:val="left"/>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乙方:</w:t>
      </w:r>
      <w:r>
        <w:rPr>
          <w:rFonts w:hint="default" w:ascii="Times New Roman" w:hAnsi="Times New Roman" w:eastAsia="宋体" w:cs="Times New Roman"/>
          <w:b/>
          <w:color w:val="000000"/>
          <w:sz w:val="24"/>
          <w:szCs w:val="24"/>
          <w:lang w:val="en-US" w:eastAsia="zh-CN"/>
        </w:rPr>
        <w:t xml:space="preserve">  </w:t>
      </w:r>
      <w:r>
        <w:rPr>
          <w:rFonts w:hint="default" w:ascii="Times New Roman" w:hAnsi="Times New Roman" w:eastAsia="宋体" w:cs="Times New Roman"/>
          <w:b/>
          <w:color w:val="000000"/>
          <w:sz w:val="24"/>
          <w:szCs w:val="24"/>
        </w:rPr>
        <w:t>（盖章/签字）</w:t>
      </w:r>
    </w:p>
    <w:p w14:paraId="6983308F">
      <w:pPr>
        <w:spacing w:line="276" w:lineRule="auto"/>
        <w:jc w:val="left"/>
        <w:rPr>
          <w:rFonts w:hint="default" w:ascii="Times New Roman" w:hAnsi="Times New Roman" w:eastAsia="宋体" w:cs="Times New Roman"/>
          <w:b/>
          <w:color w:val="000000"/>
          <w:sz w:val="24"/>
          <w:szCs w:val="24"/>
        </w:rPr>
      </w:pPr>
    </w:p>
    <w:p w14:paraId="3A2EF5CE">
      <w:pPr>
        <w:spacing w:line="276" w:lineRule="auto"/>
        <w:jc w:val="left"/>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 xml:space="preserve">                                            年   月   日</w:t>
      </w:r>
    </w:p>
    <w:p w14:paraId="02367382">
      <w:pPr>
        <w:rPr>
          <w:rFonts w:hint="eastAsia" w:ascii="宋体" w:hAnsi="宋体" w:eastAsia="宋体" w:cs="宋体"/>
        </w:rPr>
      </w:pPr>
      <w:r>
        <w:rPr>
          <w:rFonts w:hint="eastAsia" w:ascii="宋体" w:hAnsi="宋体" w:eastAsia="宋体" w:cs="宋体"/>
        </w:rPr>
        <w:br w:type="page"/>
      </w:r>
    </w:p>
    <w:p w14:paraId="1933FB3D">
      <w:pPr>
        <w:spacing w:line="440" w:lineRule="exact"/>
        <w:outlineLvl w:val="0"/>
        <w:rPr>
          <w:rFonts w:hint="eastAsia" w:ascii="宋体" w:hAnsi="宋体" w:eastAsia="宋体" w:cs="宋体"/>
          <w:b/>
          <w:sz w:val="24"/>
          <w:szCs w:val="24"/>
        </w:rPr>
      </w:pPr>
      <w:r>
        <w:rPr>
          <w:rFonts w:hint="default" w:ascii="宋体" w:hAnsi="宋体" w:eastAsia="宋体" w:cs="宋体"/>
          <w:b/>
          <w:sz w:val="24"/>
          <w:szCs w:val="24"/>
          <w:lang w:val="en-US" w:eastAsia="zh-CN"/>
        </w:rPr>
        <w:t>合同</w:t>
      </w:r>
      <w:r>
        <w:rPr>
          <w:rFonts w:hint="eastAsia" w:ascii="宋体" w:hAnsi="宋体" w:eastAsia="宋体" w:cs="宋体"/>
          <w:b/>
          <w:sz w:val="24"/>
          <w:szCs w:val="24"/>
        </w:rPr>
        <w:t>附件</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p>
    <w:p w14:paraId="10A19BAA">
      <w:pPr>
        <w:pStyle w:val="8"/>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rPr>
        <w:t>廉洁合规承诺书</w:t>
      </w:r>
    </w:p>
    <w:p w14:paraId="38356F26">
      <w:pPr>
        <w:pStyle w:val="8"/>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val="0"/>
          <w:color w:val="auto"/>
          <w:kern w:val="2"/>
          <w:sz w:val="32"/>
          <w:szCs w:val="32"/>
          <w:highlight w:val="none"/>
        </w:rPr>
      </w:pPr>
    </w:p>
    <w:p w14:paraId="005C6523">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一、不向</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员工及其亲属和其他特定关系人赠送礼品、礼金、消费卡（券）、有价证券、股权、其他金融产品等财物。</w:t>
      </w:r>
    </w:p>
    <w:p w14:paraId="629D8D23">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二、不向</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员工及其亲属和其他特定关系人出借钱款、住房、车辆等财物。</w:t>
      </w:r>
    </w:p>
    <w:p w14:paraId="36B5FB52">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三、不向</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员工及其亲属和其他特定关系人提供可能影响公正履职的宴请或者旅游、健身、娱乐等活动安排。</w:t>
      </w:r>
    </w:p>
    <w:p w14:paraId="3C323ABD">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四、不替</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员工及其亲属和其他特定关系人支付或报销任何费用。</w:t>
      </w:r>
    </w:p>
    <w:p w14:paraId="0EB4ED68">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五、不替</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员工及其亲属和其他特定关系人代持股份。</w:t>
      </w:r>
    </w:p>
    <w:p w14:paraId="045A0848">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六、不与</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员工或者其他单位和个人串通投标或者串通报价，不采取恶性竞争等不正当手段竞争业务。</w:t>
      </w:r>
    </w:p>
    <w:p w14:paraId="39761BD0">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七、不与</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员工就标底、其他供应商的响应文件等商业秘密及合同中的条款进行私下商谈或者达成默契。</w:t>
      </w:r>
    </w:p>
    <w:p w14:paraId="0F6C37BC">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八、不违法转包、分包项目。</w:t>
      </w:r>
    </w:p>
    <w:p w14:paraId="1D125233">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九、严格执行合同约定，不弄虚作假。</w:t>
      </w:r>
    </w:p>
    <w:p w14:paraId="6C037EED">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十、如实向</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方通报本单位股东和员工与</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方存在亲属或者其他特定关系的情况。</w:t>
      </w:r>
    </w:p>
    <w:p w14:paraId="02F79A6B">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发现本单位人员有违反上述行为的，及时制止、批评教育；发现</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员工有索贿、受贿行为的，坚决拒绝，并向</w:t>
      </w: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相关领导或纪检监察部门举报。</w:t>
      </w:r>
    </w:p>
    <w:p w14:paraId="5C6C03CF">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金太阳药业</w:t>
      </w:r>
      <w:r>
        <w:rPr>
          <w:rFonts w:hint="eastAsia" w:ascii="宋体" w:hAnsi="宋体" w:eastAsia="宋体" w:cs="宋体"/>
          <w:b w:val="0"/>
          <w:bCs w:val="0"/>
          <w:color w:val="auto"/>
          <w:kern w:val="2"/>
          <w:sz w:val="24"/>
          <w:szCs w:val="24"/>
          <w:highlight w:val="none"/>
        </w:rPr>
        <w:t>纪委办公室受理廉洁投诉及举报途径：</w:t>
      </w:r>
    </w:p>
    <w:p w14:paraId="744E4D32">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举报电话：0558-2210510</w:t>
      </w:r>
    </w:p>
    <w:p w14:paraId="0B95B4FD">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举报邮箱：crb_jzz_jwbgs@jzz.cn</w:t>
      </w:r>
    </w:p>
    <w:p w14:paraId="0153010F">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p>
    <w:p w14:paraId="747F5B66">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单位名称（盖章）：</w:t>
      </w:r>
    </w:p>
    <w:p w14:paraId="7E354F8E">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p>
    <w:p w14:paraId="219C4047">
      <w:pPr>
        <w:pStyle w:val="8"/>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法定代表人或授权代表（签字）：</w:t>
      </w:r>
    </w:p>
    <w:p w14:paraId="4258E7AE">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7528581C">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3CAF10A1">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32C6E7D3">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285514C2">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21BCA877">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22563800">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56C149E7">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60CD5FC7">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73B4ECB3">
      <w:pPr>
        <w:pStyle w:val="8"/>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b w:val="0"/>
          <w:bCs w:val="0"/>
          <w:color w:val="auto"/>
          <w:kern w:val="2"/>
          <w:sz w:val="21"/>
          <w:szCs w:val="21"/>
          <w:highlight w:val="none"/>
        </w:rPr>
      </w:pPr>
    </w:p>
    <w:p w14:paraId="469615E0">
      <w:pPr>
        <w:adjustRightInd/>
        <w:snapToGrid/>
        <w:spacing w:line="440" w:lineRule="exact"/>
        <w:jc w:val="left"/>
        <w:outlineLvl w:val="0"/>
        <w:rPr>
          <w:rFonts w:hint="eastAsia" w:ascii="宋体" w:hAnsi="宋体" w:eastAsia="宋体" w:cs="宋体"/>
          <w:b/>
          <w:bCs w:val="0"/>
          <w:sz w:val="24"/>
          <w:szCs w:val="24"/>
          <w:highlight w:val="none"/>
          <w:lang w:val="en-US" w:eastAsia="zh-CN"/>
        </w:rPr>
      </w:pPr>
      <w:r>
        <w:rPr>
          <w:rFonts w:hint="eastAsia" w:ascii="宋体" w:hAnsi="宋体" w:eastAsia="宋体" w:cs="宋体"/>
          <w:b/>
          <w:bCs w:val="0"/>
          <w:color w:val="auto"/>
          <w:sz w:val="24"/>
          <w:szCs w:val="24"/>
          <w:lang w:eastAsia="zh-CN"/>
        </w:rPr>
        <w:t>合同</w:t>
      </w:r>
      <w:r>
        <w:rPr>
          <w:rFonts w:hint="eastAsia" w:ascii="宋体" w:hAnsi="宋体" w:eastAsia="宋体" w:cs="宋体"/>
          <w:b/>
          <w:bCs w:val="0"/>
          <w:sz w:val="24"/>
          <w:szCs w:val="24"/>
          <w:highlight w:val="none"/>
          <w:lang w:val="en-US" w:eastAsia="zh-CN"/>
        </w:rPr>
        <w:t>附件2</w:t>
      </w:r>
    </w:p>
    <w:p w14:paraId="40801E35">
      <w:pPr>
        <w:adjustRightInd w:val="0"/>
        <w:snapToGrid w:val="0"/>
        <w:spacing w:line="420" w:lineRule="exact"/>
        <w:jc w:val="center"/>
        <w:rPr>
          <w:rFonts w:hint="eastAsia" w:ascii="宋体" w:hAnsi="宋体" w:eastAsia="宋体" w:cs="宋体"/>
          <w:b/>
          <w:bCs/>
          <w:sz w:val="30"/>
          <w:szCs w:val="30"/>
          <w:highlight w:val="none"/>
          <w:u w:val="single"/>
        </w:rPr>
      </w:pPr>
      <w:r>
        <w:rPr>
          <w:rFonts w:hint="eastAsia" w:ascii="宋体" w:hAnsi="宋体" w:eastAsia="宋体" w:cs="宋体"/>
          <w:b/>
          <w:bCs/>
          <w:sz w:val="30"/>
          <w:szCs w:val="30"/>
          <w:highlight w:val="none"/>
          <w:u w:val="single"/>
          <w:lang w:val="en-US" w:eastAsia="zh-CN"/>
        </w:rPr>
        <w:t>安徽金太阳生化药业有限公司</w:t>
      </w:r>
      <w:r>
        <w:rPr>
          <w:rFonts w:hint="eastAsia" w:ascii="宋体" w:hAnsi="宋体" w:eastAsia="宋体" w:cs="宋体"/>
          <w:b/>
          <w:bCs/>
          <w:sz w:val="30"/>
          <w:szCs w:val="30"/>
          <w:highlight w:val="none"/>
          <w:u w:val="single"/>
        </w:rPr>
        <w:t>承包商安全协议</w:t>
      </w:r>
    </w:p>
    <w:p w14:paraId="011563BC">
      <w:pPr>
        <w:adjustRightInd w:val="0"/>
        <w:snapToGrid w:val="0"/>
        <w:spacing w:before="312" w:beforeLines="100"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乙方作为甲方的合作承包商（包括各类货物、服务、施工的提供方），为防止在施工和作业（以下统称“作业”） 中发生环境、健康和安全相关的事故事件，保障安全生产、人身健康、环境保护和财产安全，必须遵守国家和地方有关安全生产、职业健康、环境保护和劳动用工等方面的法律法规、国家标准，以及甲方及其关联公司有关环境、健康和安全管理要求、标准及预防措施，自愿承诺严格遵守和执行本协议约定。</w:t>
      </w:r>
    </w:p>
    <w:p w14:paraId="4B1F25E0">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甲方的权利和义务</w:t>
      </w:r>
    </w:p>
    <w:p w14:paraId="712791A1">
      <w:pPr>
        <w:numPr>
          <w:ilvl w:val="0"/>
          <w:numId w:val="2"/>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向乙方提供符合安全要求的作业环境和条件。</w:t>
      </w:r>
    </w:p>
    <w:p w14:paraId="62E38F76">
      <w:pPr>
        <w:numPr>
          <w:ilvl w:val="0"/>
          <w:numId w:val="2"/>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向乙方进行危险有害因素及安全风险告知，开展安全技术交底。</w:t>
      </w:r>
    </w:p>
    <w:p w14:paraId="349CCCE6">
      <w:pPr>
        <w:numPr>
          <w:ilvl w:val="0"/>
          <w:numId w:val="2"/>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对乙方工作现场及作业过程进行安全检查及督导工作，对发现事故隐患和违章行为进行纠正和处理。</w:t>
      </w:r>
    </w:p>
    <w:p w14:paraId="450DC17D">
      <w:pPr>
        <w:numPr>
          <w:ilvl w:val="0"/>
          <w:numId w:val="2"/>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发生事故后积极组织抢险，防止事故扩大，并按有关规定进行报告。</w:t>
      </w:r>
    </w:p>
    <w:p w14:paraId="39DD616E">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承包商安全管理基本要求</w:t>
      </w:r>
    </w:p>
    <w:p w14:paraId="57EC7147">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依据合作合同作业内容的风险因素、人员配置、服务时长，甲方将对承包商进行必要的分类管理；乙方应遵守甲方分类管理的要求；</w:t>
      </w:r>
    </w:p>
    <w:p w14:paraId="46C28608">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有纳入高风险分类的承包商，甲方将进行安全资格审查。其中，安全资格审查的主要因素包括：全员安全生产责任制、安全生产规章制度；岗位安全操作规程、安全生产教育和培训计划；从业人员保险；特种作业人员资格证（如涉及须提供）；生产安全事故应急救援预案；近三年来的安全业绩，事故事件管理及安全管理相关违约情况等；</w:t>
      </w:r>
    </w:p>
    <w:p w14:paraId="706AEE37">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未获得《承包商安全卡》前，须严格遵守访客安全要求；承包商所有人员（包括但不限于乙方雇佣、聘用、聘请等）均将熟知甲方提供的安全告知或通过甲方组织的安全考试并提供个人基本信息，用于制作《承包商安全卡》；《承包商安全卡》必须随身携带，用于厂（场）地的进出并随时接受检查；</w:t>
      </w:r>
    </w:p>
    <w:p w14:paraId="4F33B204">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物资应统计、登记并标识，用于物资进出厂（场）管理；承包商所有工具均应接受甲方必要的安全检查并张贴合格标识；</w:t>
      </w:r>
    </w:p>
    <w:p w14:paraId="04659E3A">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开工前应接受安全沟通审查，并配合甲方或同甲方共同完成相关开工许可；承包商应知悉并同意任何偏离原定计划的项目或作业程序的变更，都将可能导致甲方重新进行安全评估、沟通及审查，并重新作出是否继续作业的许可；</w:t>
      </w:r>
    </w:p>
    <w:p w14:paraId="5D4B26AF">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对项目周期≥6个月的驻厂承包商，无论高低风险均应纳入到甲方的日常环境、健康和安全管理范畴中；高风险承包商须额外遵守每日安全例会、每日安全检查、每周安全沟通等要求；</w:t>
      </w:r>
    </w:p>
    <w:p w14:paraId="393FFAED">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过程中应严格遵守甲方关于工作安全分析、安全工作许可、节假日管理、奖励、奖惩及黑名单等要求；甲方有权暂停或终止纳入黑名单的承包商在甲方及其关联公司已经进行中或未来招标采购项目的参与资格；</w:t>
      </w:r>
    </w:p>
    <w:p w14:paraId="769641E8">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项目完工之前，甲方将进行验收工作，承包商针对验收过程中发现的安全隐患和问题应形成记录，按照要求进行整改并将整改结果反馈甲方；</w:t>
      </w:r>
    </w:p>
    <w:p w14:paraId="3F376067">
      <w:pPr>
        <w:numPr>
          <w:ilvl w:val="0"/>
          <w:numId w:val="3"/>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对于项目周期≥6个月的高风险承包商，甲方将每半年进行一次安全表现评估，并在项目结束时再进行一次，承包商将会被告知表现评估结果。</w:t>
      </w:r>
    </w:p>
    <w:p w14:paraId="70F47C16">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0"/>
        </w:tabs>
        <w:adjustRightInd w:val="0"/>
        <w:snapToGrid w:val="0"/>
        <w:spacing w:before="0" w:beforeAutospacing="0" w:after="0" w:afterAutospacing="0" w:line="320" w:lineRule="exact"/>
        <w:ind w:right="0" w:rightChars="0"/>
        <w:jc w:val="both"/>
        <w:rPr>
          <w:rFonts w:hint="eastAsia" w:ascii="宋体" w:hAnsi="宋体" w:eastAsia="宋体" w:cs="宋体"/>
          <w:sz w:val="24"/>
          <w:szCs w:val="24"/>
          <w:highlight w:val="none"/>
        </w:rPr>
      </w:pPr>
    </w:p>
    <w:p w14:paraId="3693DC03">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0"/>
        </w:tabs>
        <w:adjustRightInd w:val="0"/>
        <w:snapToGrid w:val="0"/>
        <w:spacing w:before="0" w:beforeAutospacing="0" w:after="0" w:afterAutospacing="0" w:line="320" w:lineRule="exact"/>
        <w:ind w:right="0" w:rightChars="0"/>
        <w:jc w:val="both"/>
        <w:rPr>
          <w:rFonts w:hint="eastAsia" w:ascii="宋体" w:hAnsi="宋体" w:eastAsia="宋体" w:cs="宋体"/>
          <w:sz w:val="24"/>
          <w:szCs w:val="24"/>
          <w:highlight w:val="none"/>
        </w:rPr>
      </w:pPr>
    </w:p>
    <w:p w14:paraId="6D4E9803">
      <w:pPr>
        <w:numPr>
          <w:ilvl w:val="0"/>
          <w:numId w:val="1"/>
        </w:numPr>
        <w:adjustRightInd w:val="0"/>
        <w:snapToGrid w:val="0"/>
        <w:spacing w:line="320" w:lineRule="exact"/>
        <w:ind w:left="274" w:hanging="27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w:t>
      </w:r>
      <w:r>
        <w:rPr>
          <w:rFonts w:hint="eastAsia" w:ascii="宋体" w:hAnsi="宋体" w:eastAsia="宋体" w:cs="宋体"/>
          <w:b/>
          <w:sz w:val="24"/>
          <w:szCs w:val="24"/>
          <w:highlight w:val="none"/>
        </w:rPr>
        <w:t>承包商</w:t>
      </w:r>
      <w:r>
        <w:rPr>
          <w:rFonts w:hint="eastAsia" w:ascii="宋体" w:hAnsi="宋体" w:eastAsia="宋体" w:cs="宋体"/>
          <w:b/>
          <w:bCs/>
          <w:sz w:val="24"/>
          <w:szCs w:val="24"/>
          <w:highlight w:val="none"/>
        </w:rPr>
        <w:t>安全作业</w:t>
      </w:r>
    </w:p>
    <w:p w14:paraId="00720319">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须指定专人或兼职人员负责日常安全巡查，并定期向直线经理及相关方管理负责人通报；</w:t>
      </w:r>
    </w:p>
    <w:p w14:paraId="644EF40D">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须知悉作业中存在或可能存在的影响人身安全和财产安全的危险有害因素，并进行相关的防范和防护，负责作业区域内的安全管理，全面落实安全生产责任制并承担安全管理责任；建立相关的安全生产管理规章制度，建立健全安全风险分级管控和隐患排查治理工作机制，采取技术、管理措施，及时发现并消除事故隐患；事故隐患排查治理情况应当如实记录并向从业人员通报；</w:t>
      </w:r>
    </w:p>
    <w:p w14:paraId="7CB6B748">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应在进厂（场）作业前对其从业人员进行安全生产教育和培训（包括但不限于三级安全教育），保证从业人员具备必要的安全生产知识，熟悉有关的安全生产规章制度和安全操作规程，掌握本岗位的安全操作技能，了解事故应急处理措施，知悉自身在安全生产方面的权利和义务；确保对作业人员进行100%的培训，对于经过培训并考核合格的从业人员，由甲方发放《承包商安全卡》；未经安全生产教育和培训合格的从业人员，不得上岗作业；否则，甲方有权拒绝该从业人员进厂（场），或要求该从业人员停止作业；</w:t>
      </w:r>
    </w:p>
    <w:p w14:paraId="155CE109">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作业前，应该成立一个合格的安全管理团队，委派一名负责EHS和质量的现场管理人员，负责进行作业现场的日常管理；同时，组织作业人员体检，为作业人员购买保险，向甲方报备现场安全管理人员和作业人员清单（如发生变动时应及时更新）；</w:t>
      </w:r>
    </w:p>
    <w:p w14:paraId="42335AB2">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在作业前，承包商有责任为其作业人员提供作业所需的工具、设备和个人防护用品；</w:t>
      </w:r>
    </w:p>
    <w:p w14:paraId="338B62CD">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在作业期间，须向甲方提供：工作描述、风险和危险的性质、作业人员资格和培训情况、设备和物资情况、个人防护设备情况、作业安全完成情况等；</w:t>
      </w:r>
    </w:p>
    <w:p w14:paraId="244E2E9B">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出于对作业人员身体素质和身体健康的考虑，承包商不得使用年龄超过60岁的男性和50岁的女性人员作为承包商的作业人员在甲方厂（场）地内作业；</w:t>
      </w:r>
    </w:p>
    <w:p w14:paraId="100EEA2A">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不得在作业区域内设置厨房和饭堂；</w:t>
      </w:r>
    </w:p>
    <w:p w14:paraId="3CA4F64F">
      <w:pPr>
        <w:numPr>
          <w:ilvl w:val="0"/>
          <w:numId w:val="4"/>
        </w:num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作业过程须时刻保持高标准的清洁卫生，确保施工原料和设备设施的有序存放，及时清理处置施工垃圾并保证清洁工作符合甲方要求；</w:t>
      </w:r>
    </w:p>
    <w:p w14:paraId="1BAD959A">
      <w:pPr>
        <w:numPr>
          <w:ilvl w:val="0"/>
          <w:numId w:val="4"/>
        </w:numPr>
        <w:tabs>
          <w:tab w:val="left" w:pos="567"/>
        </w:tabs>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须及时上报作业过程中存在的问题和发生的一切不安全行为、事件和事故；</w:t>
      </w:r>
    </w:p>
    <w:p w14:paraId="1431459E">
      <w:pPr>
        <w:numPr>
          <w:ilvl w:val="0"/>
          <w:numId w:val="4"/>
        </w:numPr>
        <w:tabs>
          <w:tab w:val="left" w:pos="567"/>
        </w:tabs>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须及时按照合同约定购买相关保险，未购买保险的作业人员严禁入厂。</w:t>
      </w:r>
    </w:p>
    <w:p w14:paraId="7913257E">
      <w:pPr>
        <w:numPr>
          <w:ilvl w:val="0"/>
          <w:numId w:val="1"/>
        </w:numPr>
        <w:adjustRightInd w:val="0"/>
        <w:snapToGrid w:val="0"/>
        <w:spacing w:line="320" w:lineRule="exact"/>
        <w:ind w:left="274" w:hanging="27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关于承包商禁止行为</w:t>
      </w:r>
    </w:p>
    <w:p w14:paraId="0B658D86">
      <w:pPr>
        <w:tabs>
          <w:tab w:val="left" w:pos="0"/>
        </w:tabs>
        <w:adjustRightInd w:val="0"/>
        <w:snapToGrid w:val="0"/>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承包商及其作业人员须知悉和避免在甲方厂（场）内出现以下“禁止行为”，否则，甲方有权追究相关责任并拒绝承包商及相关人员进厂（场）作业；</w:t>
      </w:r>
    </w:p>
    <w:p w14:paraId="65B4220D">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厂（场）区内严禁喝酒或饮用任何含酒精类的饮料及服用精神药物或毒品；</w:t>
      </w:r>
    </w:p>
    <w:p w14:paraId="0D1E1B46">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厂（场）内除吸烟区外，严禁在其它地方吸烟，未经允许严禁动用明火；</w:t>
      </w:r>
    </w:p>
    <w:p w14:paraId="1813FC7B">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厂（场）内严禁追逐、打闹、嬉戏、打架、辱骂、伤害他人等行为；</w:t>
      </w:r>
    </w:p>
    <w:p w14:paraId="33988EB8">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严禁偷盗和故意破坏任何设施，严禁随意挪用消防器材和应急物资；</w:t>
      </w:r>
    </w:p>
    <w:p w14:paraId="22A54B7E">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严禁将废物、化学品和其他未经允许的物质排放至污水处理系统、雨水沟、下水道、地面、绿化带、大气环境等区域，严禁污染土壤、空气、环境和地表径流；</w:t>
      </w:r>
    </w:p>
    <w:p w14:paraId="0AB37C38">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严禁掩埋、燃烧及生产各类废物，或采用不恰当的材料管理和废物处理；</w:t>
      </w:r>
    </w:p>
    <w:p w14:paraId="53BDC27F">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严禁乱扔废弃物，不得污染工作场所及周围区域，不得损坏绿化区域；</w:t>
      </w:r>
    </w:p>
    <w:p w14:paraId="6F9B6098">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严禁使用超过校准日期或有缺陷的设备及控制装置；</w:t>
      </w:r>
    </w:p>
    <w:p w14:paraId="20F8DDC7">
      <w:pPr>
        <w:numPr>
          <w:ilvl w:val="0"/>
          <w:numId w:val="5"/>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严禁私自携带、储存和使用爆炸物和有毒有害物质；</w:t>
      </w:r>
    </w:p>
    <w:p w14:paraId="3963BD73">
      <w:pPr>
        <w:numPr>
          <w:ilvl w:val="0"/>
          <w:numId w:val="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严禁在非特定区域饮食，吸引鸟类和动物，开展未经允许的活动；</w:t>
      </w:r>
    </w:p>
    <w:p w14:paraId="68712C31">
      <w:pPr>
        <w:numPr>
          <w:ilvl w:val="0"/>
          <w:numId w:val="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严禁无证进行特种作业和其他违章作业；</w:t>
      </w:r>
    </w:p>
    <w:p w14:paraId="584CC4D5">
      <w:pPr>
        <w:numPr>
          <w:ilvl w:val="0"/>
          <w:numId w:val="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严禁任何无礼、亵渎和不尊重甲方或甲方关联公司及其员工的行为；</w:t>
      </w:r>
    </w:p>
    <w:p w14:paraId="43829511">
      <w:pPr>
        <w:numPr>
          <w:ilvl w:val="0"/>
          <w:numId w:val="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严禁着装不整齐、衣服不扣好、穿无袖衫或其它不正规服装入厂（场）（如短裤，拖鞋等）或进入甲方及甲方关联公司；</w:t>
      </w:r>
    </w:p>
    <w:p w14:paraId="7CDA4959">
      <w:pPr>
        <w:numPr>
          <w:ilvl w:val="0"/>
          <w:numId w:val="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严禁从事其他违法违规行为或损害甲方或甲方关联公司及其员工利益的行为。</w:t>
      </w:r>
    </w:p>
    <w:p w14:paraId="58DAE38D">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bookmarkStart w:id="7" w:name="OLE_LINK3"/>
      <w:bookmarkStart w:id="8" w:name="OLE_LINK4"/>
      <w:r>
        <w:rPr>
          <w:rFonts w:hint="eastAsia" w:ascii="宋体" w:hAnsi="宋体" w:eastAsia="宋体" w:cs="宋体"/>
          <w:b/>
          <w:bCs/>
          <w:sz w:val="24"/>
          <w:szCs w:val="24"/>
          <w:highlight w:val="none"/>
        </w:rPr>
        <w:t>关于危险评估</w:t>
      </w:r>
    </w:p>
    <w:bookmarkEnd w:id="7"/>
    <w:bookmarkEnd w:id="8"/>
    <w:p w14:paraId="36A9F20F">
      <w:pPr>
        <w:numPr>
          <w:ilvl w:val="0"/>
          <w:numId w:val="6"/>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开始前，甲方联络人应同承包商一同沟通并告知潜在危害，包括使用的化学品、登记的限制区域、有潜在危险的设备和操作等，并将此列入限制性要求内，放置于现场明显位置；甲方主要危险有害因素包括（但不限于）： 物体打击、车辆伤害、机械伤害、触电、淹溺、灼烫、火灾、高处坠落、坍塌、爆炸、中毒和窒息、粉尘、噪声、中暑等。同样，承包商也有责任告知在甲方作业中可能出现的任何潜在危险；承包商并对可能出现的火灾、化学品接触、高危作业等潜在危险做好预防；</w:t>
      </w:r>
    </w:p>
    <w:p w14:paraId="14F9280D">
      <w:pPr>
        <w:numPr>
          <w:ilvl w:val="0"/>
          <w:numId w:val="6"/>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在作业开始之前，承包商须要完成风险评估，制定和提供标准作业程序，制定和提供安全施工方案，配备相应的安全设施，预防和管控作业过程中的风险；</w:t>
      </w:r>
    </w:p>
    <w:p w14:paraId="10F1D516">
      <w:pPr>
        <w:numPr>
          <w:ilvl w:val="0"/>
          <w:numId w:val="6"/>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上述风险评估包括但不限于相关的环境风险评估（如向地表水，雨水收集管网，土壤和空气排放，或者产生环境噪声排放等）。</w:t>
      </w:r>
    </w:p>
    <w:p w14:paraId="084C3307">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关于承包商作业人员资质和培训</w:t>
      </w:r>
    </w:p>
    <w:p w14:paraId="6FA01733">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根据法律、法规、规章和甲方的要求，指派专业的安全管理人员（健康安全人员）在作业现场进行管理；同时，承包商应确保指派的健康安全人员必须符合当地法律法规和甲方的要求（如安全管理人员职业资质是否与工作类型及现场人数相匹配）；</w:t>
      </w:r>
    </w:p>
    <w:p w14:paraId="052CFC1D">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必须建立健康安全管理计划，并获得甲方认可，管理计划必须包含对分包商的管理（如有）；</w:t>
      </w:r>
    </w:p>
    <w:p w14:paraId="24952CF9">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如果总承包商计划使用分包商，则总承包商负责将甲方的健康安全要求传达给分包商并确保其能够执行其中的要求；</w:t>
      </w:r>
    </w:p>
    <w:p w14:paraId="65C1427D">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总承包必须提前告知甲方其使用分包商的情况，包括分包商公司情况及分包的工作内容；如果有迹象表明分包商的健康安全表现不佳或者能力不足，甲方有权拒绝使用该分包商；</w:t>
      </w:r>
    </w:p>
    <w:p w14:paraId="713D8142">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建立健康安全管理架构，并获得甲方认可；对于低风险作业承包商，如作业时间超过4周并且作业人员超过20人的，应至少指派一名专职的安全管理人员在工作现场；如作业人员少于20人的，可指派一名兼职现场安全管理人员；对于高风险作业承包商，无论作业时间长短，作业人数超过10人的，作业期间必须指派一名专职的安全管理人员；</w:t>
      </w:r>
    </w:p>
    <w:p w14:paraId="5438CF89">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承包商的作业人员依法需具备与作业业务相适应的合法有效资质（包括但不限于特殊设备操作许可证，例如电气作业、起重设备、重型车辆和叉车操作作业、其他类型的车辆驾驶作业、压力容器作业、锅炉作业等），承包商有责任确保上述作业人员和作业设备具备与作业业务相适应的合法资质，并在作业前接受了健康安全风险培训，了解风险控制及要求后方可进行作业；特种作业人员必须持有与作业业务相适应的合法有效资质，经培训考核合格后上岗，并按规定定期审（换）证；</w:t>
      </w:r>
    </w:p>
    <w:p w14:paraId="430FA5AB">
      <w:pPr>
        <w:numPr>
          <w:ilvl w:val="0"/>
          <w:numId w:val="7"/>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必须建立安全生产责任制，并获得甲方认可，安全责任制必须涵盖各级人员安全责任；承包商应建立各作业岗位和工种的安全操作规程，并负责定期安全检查和安全教育等。</w:t>
      </w:r>
    </w:p>
    <w:p w14:paraId="3133384B">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0"/>
        </w:tabs>
        <w:adjustRightInd w:val="0"/>
        <w:snapToGrid w:val="0"/>
        <w:spacing w:before="0" w:beforeAutospacing="0" w:after="0" w:afterAutospacing="0" w:line="320" w:lineRule="exact"/>
        <w:ind w:right="0" w:rightChars="0"/>
        <w:jc w:val="both"/>
        <w:rPr>
          <w:rFonts w:hint="eastAsia" w:ascii="宋体" w:hAnsi="宋体" w:eastAsia="宋体" w:cs="宋体"/>
          <w:sz w:val="24"/>
          <w:szCs w:val="24"/>
          <w:highlight w:val="none"/>
        </w:rPr>
      </w:pPr>
    </w:p>
    <w:p w14:paraId="1D993589">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0"/>
        </w:tabs>
        <w:adjustRightInd w:val="0"/>
        <w:snapToGrid w:val="0"/>
        <w:spacing w:before="0" w:beforeAutospacing="0" w:after="0" w:afterAutospacing="0" w:line="320" w:lineRule="exact"/>
        <w:ind w:right="0" w:rightChars="0"/>
        <w:jc w:val="both"/>
        <w:rPr>
          <w:rFonts w:hint="eastAsia" w:ascii="宋体" w:hAnsi="宋体" w:eastAsia="宋体" w:cs="宋体"/>
          <w:sz w:val="24"/>
          <w:szCs w:val="24"/>
          <w:highlight w:val="none"/>
        </w:rPr>
      </w:pPr>
    </w:p>
    <w:p w14:paraId="2034D795">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关于承包商作业方案与实施</w:t>
      </w:r>
    </w:p>
    <w:p w14:paraId="062FC4B4">
      <w:pPr>
        <w:numPr>
          <w:ilvl w:val="0"/>
          <w:numId w:val="8"/>
        </w:numPr>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在作业前，及时与甲方确定安全作业/施工方案，严格按照该安全作业/施工方案实施；如发现任何的违规行为，应及时整改到位；</w:t>
      </w:r>
    </w:p>
    <w:p w14:paraId="13FC8CA0">
      <w:pPr>
        <w:numPr>
          <w:ilvl w:val="0"/>
          <w:numId w:val="8"/>
        </w:numPr>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与其他承包商或甲方在作业上存在交叉或冲突的，必须在制定作业/施工方案阶段明确提出，按照达成一致的安全作业/施工方案执行；如作业中作业/施工方案发生变更，必须提前告知；因作业/施工方案变化产生新的风险或发生事故的，必须立即停止作业并通报甲方。</w:t>
      </w:r>
    </w:p>
    <w:p w14:paraId="3B8E0182">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关于作业工具和设备设施</w:t>
      </w:r>
    </w:p>
    <w:p w14:paraId="06864132">
      <w:pPr>
        <w:numPr>
          <w:ilvl w:val="0"/>
          <w:numId w:val="9"/>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的作业工具和设备设施如依据国家相关法律、法规、规章和甲方要求需要具备相关资质的，应满足国家相关法律、法规、规章和甲方的要求，具备相关资质，并提供作业工具、设备清单和相关安全信息，经过甲方检查合格并张贴“允许使用”标签后方可进入作业区域，进行相关的作业；</w:t>
      </w:r>
    </w:p>
    <w:p w14:paraId="55B092A8">
      <w:pPr>
        <w:numPr>
          <w:ilvl w:val="0"/>
          <w:numId w:val="9"/>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不允许承包商借用合同约定之外的甲方工具和设备；</w:t>
      </w:r>
    </w:p>
    <w:p w14:paraId="263D2DAF">
      <w:pPr>
        <w:numPr>
          <w:ilvl w:val="0"/>
          <w:numId w:val="9"/>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雇佣或合作的车辆和人员及其所使用的设备和工具，由承包商审查是否具有合法的资质、是否持有与驾驶车型相匹配的合法有效驾驶证、操作证、资格证、健康证等原件，并审查设备或工具是否具有检验合格证明；甲方有权对乙方雇佣或合作的车辆、人员和所使用工具设备等状况进行形式审查；</w:t>
      </w:r>
    </w:p>
    <w:p w14:paraId="321E2E53">
      <w:pPr>
        <w:numPr>
          <w:ilvl w:val="0"/>
          <w:numId w:val="9"/>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须始终确保作业工具和设备状态良好，符合国家相关法律、法规、规章和甲方的要求，有序停放在指定的区域；始终高效使用作业设备，爱护工具，高效节约使用原材料、能源、燃料等；</w:t>
      </w:r>
    </w:p>
    <w:p w14:paraId="5E016FE3">
      <w:pPr>
        <w:numPr>
          <w:ilvl w:val="0"/>
          <w:numId w:val="9"/>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承包商的电离辐射设备和工具不允许存放在甲方场所内，如需进入甲方场所内，须提前经甲方批准并在使用过程中满足安全距离、安全警戒、标识牌、有效告知、专人监护等规定及甲方安全要求；</w:t>
      </w:r>
    </w:p>
    <w:p w14:paraId="78AB184F">
      <w:pPr>
        <w:numPr>
          <w:ilvl w:val="0"/>
          <w:numId w:val="9"/>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必须配备相应的安全设备设施（包括但不限于额外的灭火器、跌落防护装备、空气供给系统、通风和气体监测设备等）。</w:t>
      </w:r>
    </w:p>
    <w:p w14:paraId="2230E49D">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关于承包商用电安全规定</w:t>
      </w:r>
    </w:p>
    <w:p w14:paraId="6222C083">
      <w:pPr>
        <w:numPr>
          <w:ilvl w:val="0"/>
          <w:numId w:val="10"/>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应始终遵循安全用电原则和用电操作规程，确保所使用的电缆不能有接头，不得使用破损的电缆，不得敷设在通道上，不得随意穿越门窗，不得无序杂乱布置电缆，不能使用与用电设备不匹配的电缆，不能使用不合格的电缆；电缆不得私自单独接电，应由甲方电工协助；</w:t>
      </w:r>
    </w:p>
    <w:p w14:paraId="17459C1D">
      <w:pPr>
        <w:numPr>
          <w:ilvl w:val="0"/>
          <w:numId w:val="10"/>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作业使用配电箱，必须采用满足用电载荷的电缆，并有合格的接地措施； </w:t>
      </w:r>
    </w:p>
    <w:p w14:paraId="4755CA2B">
      <w:pPr>
        <w:numPr>
          <w:ilvl w:val="0"/>
          <w:numId w:val="10"/>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必须使用安全的插头、插座，不得直接把电线插入插座；必须确保插头、插座等电源接入处的电缆内外绝缘层完好；</w:t>
      </w:r>
    </w:p>
    <w:p w14:paraId="75C1F939">
      <w:pPr>
        <w:numPr>
          <w:ilvl w:val="0"/>
          <w:numId w:val="10"/>
        </w:numPr>
        <w:tabs>
          <w:tab w:val="left" w:pos="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不得使用有电源接头外露的设备。</w:t>
      </w:r>
    </w:p>
    <w:p w14:paraId="6D3185FA">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关于承包商安全作业许可证</w:t>
      </w:r>
    </w:p>
    <w:p w14:paraId="6A28B85A">
      <w:pPr>
        <w:numPr>
          <w:ilvl w:val="0"/>
          <w:numId w:val="11"/>
        </w:numPr>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进行交叉、高处、动火、临时用电、进入有限空间、挖掘/动土、吊装作业、盲板抽堵等危险作业前，必须向甲方申请并获得“安全作业许可”；未获得该项作业的许可前，不得进行前述作业；该许可仅在许可时间范围内有效，逾期失效；</w:t>
      </w:r>
    </w:p>
    <w:p w14:paraId="467E0F22">
      <w:pPr>
        <w:numPr>
          <w:ilvl w:val="0"/>
          <w:numId w:val="11"/>
        </w:numPr>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当作业条件发生变化时，均应重新申请上述作业许可；在申请获准前，必须严格完成上锁挂牌程序；作业过程中必须满足上述作业许可中所要求的全部事宜。</w:t>
      </w:r>
    </w:p>
    <w:p w14:paraId="5F4D6959">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关于上锁挂牌规定</w:t>
      </w:r>
    </w:p>
    <w:p w14:paraId="6158CEF4">
      <w:pPr>
        <w:numPr>
          <w:ilvl w:val="0"/>
          <w:numId w:val="1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承包商必须遵守甲方上锁挂牌要求；</w:t>
      </w:r>
    </w:p>
    <w:p w14:paraId="3886EC3A">
      <w:pPr>
        <w:numPr>
          <w:ilvl w:val="0"/>
          <w:numId w:val="1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为保护作业人员和其他人员不被意外启动的设备导致伤害，在作业前应锁定、隔离有关设备的能量，并挂牌警告；具体要求请与甲方联络人联系并获取；</w:t>
      </w:r>
    </w:p>
    <w:p w14:paraId="3E861C45">
      <w:pPr>
        <w:numPr>
          <w:ilvl w:val="0"/>
          <w:numId w:val="1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对机器的防护装置维修，待维修完成后应把拆下的防护装置（如皮带罩、联锁装置等）和防护开关恢复原位和原有功能。</w:t>
      </w:r>
    </w:p>
    <w:p w14:paraId="5F9AAEA4">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关于个人防护用品</w:t>
      </w:r>
    </w:p>
    <w:p w14:paraId="3902EB5B">
      <w:pPr>
        <w:numPr>
          <w:ilvl w:val="0"/>
          <w:numId w:val="1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如作业过程中可能接触危险有害因素，承包商应依法或根据甲方的要求为其从业人员配置个人防护用品，进行相应的培训并确保从业人员始终在作业过程中佩戴相应的个人防护用品；承包商配置的个人防护用品必须经甲方检查合格后才可使用；</w:t>
      </w:r>
    </w:p>
    <w:p w14:paraId="563D7DB7">
      <w:pPr>
        <w:numPr>
          <w:ilvl w:val="0"/>
          <w:numId w:val="1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承包商应确保其从业人员在进入甲方场所时必须穿戴合格的工服、安全鞋，在特定区域和从事特殊业务时应佩戴相应的个人防护用品；</w:t>
      </w:r>
    </w:p>
    <w:p w14:paraId="5981AADB">
      <w:pPr>
        <w:numPr>
          <w:ilvl w:val="0"/>
          <w:numId w:val="1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承包商应为本单位员工提供符合甲方标准的个人防护用品，承包商的工作服（反光背心）或安全帽应当有明显的标示以区别于甲方员工及其他承包商。</w:t>
      </w:r>
    </w:p>
    <w:p w14:paraId="43A6E9BD">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关于消防安全规定</w:t>
      </w:r>
    </w:p>
    <w:p w14:paraId="0F451E4F">
      <w:pPr>
        <w:numPr>
          <w:ilvl w:val="0"/>
          <w:numId w:val="1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在实施作业前以及作业过程中，承包商应确保其设备设施、工具、物料、栏杆等存放有序，不得堵塞消防通道（包括逃生出口、道路），不得阻挡消防设施；</w:t>
      </w:r>
    </w:p>
    <w:p w14:paraId="1F5B6965">
      <w:pPr>
        <w:numPr>
          <w:ilvl w:val="0"/>
          <w:numId w:val="1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在作业前，承包商应熟悉作业现厂（场）周围的环境，熟悉报警器，灭火器，消防栓、甲方所贴的逃生图（厂（场）区各处）、紧急疏散通道和逃生门的位置，如有疑问须及时向甲方负责人询问；</w:t>
      </w:r>
    </w:p>
    <w:p w14:paraId="58264E46">
      <w:pPr>
        <w:numPr>
          <w:ilvl w:val="0"/>
          <w:numId w:val="1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在作业过程中，承包商应在作业现场配备必要的消防器材、应急救援设备和急救箱等； </w:t>
      </w:r>
    </w:p>
    <w:p w14:paraId="55E1B29E">
      <w:pPr>
        <w:numPr>
          <w:ilvl w:val="0"/>
          <w:numId w:val="1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在未得到甲方EHS部门许可前，不得擅自改动、更换、取消或动用消防设备设施（如灭火器、消火栓、感烟探测器等）；如因作业需要紧急使用的，或经许可改动或更换的，应在完成作业后恢复。</w:t>
      </w:r>
    </w:p>
    <w:p w14:paraId="0B6CCE63">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关于承包商易燃液体的使用与管理规定</w:t>
      </w:r>
    </w:p>
    <w:p w14:paraId="688F0259">
      <w:pPr>
        <w:numPr>
          <w:ilvl w:val="0"/>
          <w:numId w:val="15"/>
        </w:numPr>
        <w:tabs>
          <w:tab w:val="left" w:pos="567"/>
        </w:tabs>
        <w:adjustRightInd w:val="0"/>
        <w:snapToGrid w:val="0"/>
        <w:spacing w:line="320" w:lineRule="exact"/>
        <w:ind w:left="0" w:firstLine="0"/>
        <w:rPr>
          <w:rFonts w:hint="eastAsia" w:ascii="宋体" w:hAnsi="宋体" w:eastAsia="宋体" w:cs="宋体"/>
          <w:sz w:val="24"/>
          <w:szCs w:val="24"/>
          <w:highlight w:val="none"/>
        </w:rPr>
      </w:pPr>
      <w:bookmarkStart w:id="9" w:name="_Hlk5180704"/>
      <w:r>
        <w:rPr>
          <w:rFonts w:hint="eastAsia" w:ascii="宋体" w:hAnsi="宋体" w:eastAsia="宋体" w:cs="宋体"/>
          <w:sz w:val="24"/>
          <w:szCs w:val="24"/>
          <w:highlight w:val="none"/>
        </w:rPr>
        <w:t>未获甲方同意前，</w:t>
      </w:r>
      <w:bookmarkEnd w:id="9"/>
      <w:r>
        <w:rPr>
          <w:rFonts w:hint="eastAsia" w:ascii="宋体" w:hAnsi="宋体" w:eastAsia="宋体" w:cs="宋体"/>
          <w:sz w:val="24"/>
          <w:szCs w:val="24"/>
          <w:highlight w:val="none"/>
        </w:rPr>
        <w:t>不得将易燃物（包括但不限于酒精、稀释液（松节水）、油漆和汽油等）擅自带入甲方厂（场）所内、使用，不得用汽油、酒精和稀释液作清洁用途；</w:t>
      </w:r>
    </w:p>
    <w:p w14:paraId="3CC6B8C7">
      <w:pPr>
        <w:numPr>
          <w:ilvl w:val="0"/>
          <w:numId w:val="1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易燃液体应妥善保存和密封，存放在甲方指定地方并配备满足要求的消防设施。</w:t>
      </w:r>
    </w:p>
    <w:p w14:paraId="5F89C0B0">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关于压缩气体的使用与管理</w:t>
      </w:r>
    </w:p>
    <w:p w14:paraId="2F4FEEA2">
      <w:pPr>
        <w:numPr>
          <w:ilvl w:val="0"/>
          <w:numId w:val="16"/>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未获得甲方同意，承包商不得将压缩气体擅自带入甲方厂（场）内、使用；</w:t>
      </w:r>
    </w:p>
    <w:p w14:paraId="7FD87CDF">
      <w:pPr>
        <w:numPr>
          <w:ilvl w:val="0"/>
          <w:numId w:val="16"/>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承包商应当依法使用合格的压缩气瓶储存压缩气体，同时，压缩气瓶应标明名称和压力指示，并做好以下预防措施：</w:t>
      </w:r>
    </w:p>
    <w:p w14:paraId="7A079D27">
      <w:pPr>
        <w:numPr>
          <w:ilvl w:val="0"/>
          <w:numId w:val="17"/>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使用可靠措施紧固气瓶，固定位置在瓶上部2/3处，不能捆绑瓶口；保持气瓶垂直向上放置；</w:t>
      </w:r>
    </w:p>
    <w:p w14:paraId="4F1F5788">
      <w:pPr>
        <w:numPr>
          <w:ilvl w:val="0"/>
          <w:numId w:val="17"/>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易燃气体（乙炔，煤气）与氧气瓶隔开，间距应大于5米；</w:t>
      </w:r>
    </w:p>
    <w:p w14:paraId="6101C1E1">
      <w:pPr>
        <w:numPr>
          <w:ilvl w:val="0"/>
          <w:numId w:val="17"/>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不使用的气瓶应保护好阀门，盖上钢瓶盖，标示空瓶；</w:t>
      </w:r>
    </w:p>
    <w:p w14:paraId="37C1C1FE">
      <w:pPr>
        <w:numPr>
          <w:ilvl w:val="0"/>
          <w:numId w:val="17"/>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气瓶与热源分隔开，使用合格阀门、气管和相关设备；</w:t>
      </w:r>
    </w:p>
    <w:p w14:paraId="5638D6EF">
      <w:pPr>
        <w:numPr>
          <w:ilvl w:val="0"/>
          <w:numId w:val="17"/>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法律法规规章规定的其他注意事项和预防措施。</w:t>
      </w:r>
    </w:p>
    <w:p w14:paraId="7572CD7C">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关于化学品的使用与管理</w:t>
      </w:r>
    </w:p>
    <w:p w14:paraId="23E5F197">
      <w:pPr>
        <w:numPr>
          <w:ilvl w:val="0"/>
          <w:numId w:val="1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承包商未获甲方同意前，不得将化学品擅自带入甲方厂（场）内、使用；在向甲方申请时，应提供所使用的化学品清单、安全数据资料、风险评估及使用方法说明；不得使用国家明令禁止的危险化学品；</w:t>
      </w:r>
    </w:p>
    <w:p w14:paraId="463F437E">
      <w:pPr>
        <w:numPr>
          <w:ilvl w:val="0"/>
          <w:numId w:val="18"/>
        </w:numPr>
        <w:tabs>
          <w:tab w:val="left" w:pos="567"/>
          <w:tab w:val="left" w:pos="81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承包商应正确储存和使用化学品（如溶剂，清洗液，胶水，酸，碱等），并采取有效的预防措施，预防措施包括但不限于以下内容：</w:t>
      </w:r>
    </w:p>
    <w:p w14:paraId="48F84F8E">
      <w:pPr>
        <w:numPr>
          <w:ilvl w:val="0"/>
          <w:numId w:val="19"/>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使用工业化学品之前必须提供MSDS及风险评估，化学品必须存放在二级围堰中（如围堰、收集盘、表面防渗漏处理的房间内）；</w:t>
      </w:r>
    </w:p>
    <w:p w14:paraId="62061740">
      <w:pPr>
        <w:numPr>
          <w:ilvl w:val="0"/>
          <w:numId w:val="19"/>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查看标签和安全数据资料，了解使用化学品的有害性；</w:t>
      </w:r>
    </w:p>
    <w:p w14:paraId="5B70DEAA">
      <w:pPr>
        <w:numPr>
          <w:ilvl w:val="0"/>
          <w:numId w:val="19"/>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所有容器应正确贴有标签（包括名称、浓度、有害性等）；</w:t>
      </w:r>
    </w:p>
    <w:p w14:paraId="0500CDC6">
      <w:pPr>
        <w:numPr>
          <w:ilvl w:val="0"/>
          <w:numId w:val="19"/>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对使用处理和操作化学品的人员进行有害性的培训；</w:t>
      </w:r>
    </w:p>
    <w:p w14:paraId="3A29515C">
      <w:pPr>
        <w:numPr>
          <w:ilvl w:val="0"/>
          <w:numId w:val="19"/>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为使用处理和操作化学品的人员提供个人保护用品，如有必要应提供现场通风装置；</w:t>
      </w:r>
    </w:p>
    <w:p w14:paraId="10B66ECC">
      <w:pPr>
        <w:numPr>
          <w:ilvl w:val="0"/>
          <w:numId w:val="18"/>
        </w:numPr>
        <w:tabs>
          <w:tab w:val="left" w:pos="567"/>
          <w:tab w:val="left" w:pos="709"/>
          <w:tab w:val="left" w:pos="810"/>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不得使用石棉制品。</w:t>
      </w:r>
    </w:p>
    <w:p w14:paraId="27BD4367">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关于高处作业/厂（场）区天面作业规定 </w:t>
      </w:r>
    </w:p>
    <w:p w14:paraId="711280A1">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在作业前，必须对作业人员进行必要的培训；</w:t>
      </w:r>
    </w:p>
    <w:p w14:paraId="4ACE8BBC">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作业时应有防止工具和材料高空坠落的措施；</w:t>
      </w:r>
    </w:p>
    <w:p w14:paraId="14C69FC7">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高空作业的区域应采用分离、围拦安全措施，并设置警告标牌；作业时，作业人员应规范佩戴安全帽、安全带等个人防护用品；如有违反，相关人员将被甲方拒绝进入厂（场）区、或停止现场作业，并对承包商按照相关规定行处理；</w:t>
      </w:r>
    </w:p>
    <w:p w14:paraId="51BEC2B0">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搭设脚手架时，应符合国家相关安全标准；不得用竹子搭建，应在主结构中使用标准钢制脚手架（每隔3米应设钢制脚手架)，脚手架与地面应稳固支撑；有斜撑、拉杆，确保脚手架不会跌落；脚手架外方应设防护网，以防止人员、工具和材料高空坠落；同时，应设有防止防护网着火的消防设施；</w:t>
      </w:r>
    </w:p>
    <w:p w14:paraId="3096BDB9">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所有梯子都应该标记载荷、批准使用用途及合格证；梯子在使用前应进行检查，如发现裂痕，腐蚀或其它缺陷，该梯子应标记为禁止使用；</w:t>
      </w:r>
    </w:p>
    <w:p w14:paraId="46C51E7C">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不得擅自拆除、更改和移动施工现场脚手架、各类安全防护设施、安全标志和警告牌；如需拆除、更改和移动，必须经施工负责人和指派的安全管理人员同意，并采取必要、可靠的安全措施后方可拆除、更改和移动；未经批准擅自拆除、更改或移动所造成的一切后果，由承包商承担；</w:t>
      </w:r>
    </w:p>
    <w:p w14:paraId="4653A717">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脆弱屋面或表面进行作业时必须提前制定安全方案，安全方案包含进出该区域的方式、脆弱屋面/表面强度信息、跌落防护和作业等内容；保持天面清洁，每天做好废物的清理，并固定好材料和有关设备，保持下水道畅通；在厂（场）区天面作业时应与各类通风装置保持安全距离；</w:t>
      </w:r>
    </w:p>
    <w:p w14:paraId="46153B4B">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禁止承包商使用叉车载人吊篮；</w:t>
      </w:r>
    </w:p>
    <w:p w14:paraId="7A63CF74">
      <w:pPr>
        <w:numPr>
          <w:ilvl w:val="0"/>
          <w:numId w:val="2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可移动的升降平台（MEWP）必须安装标准的栏杆系统、个人跌落防护锚点、开车警报、底盘和平台控制系统，包括紧急制动；所有可移动升降平台必须清楚标明载荷，以及使用用途和合格证。</w:t>
      </w:r>
    </w:p>
    <w:p w14:paraId="57038217">
      <w:pPr>
        <w:numPr>
          <w:ilvl w:val="0"/>
          <w:numId w:val="0"/>
        </w:numPr>
        <w:tabs>
          <w:tab w:val="left" w:pos="567"/>
        </w:tabs>
        <w:adjustRightInd w:val="0"/>
        <w:snapToGrid w:val="0"/>
        <w:spacing w:line="320" w:lineRule="exact"/>
        <w:ind w:leftChars="0"/>
        <w:rPr>
          <w:rFonts w:hint="eastAsia" w:ascii="宋体" w:hAnsi="宋体" w:eastAsia="宋体" w:cs="宋体"/>
          <w:sz w:val="24"/>
          <w:szCs w:val="24"/>
          <w:highlight w:val="none"/>
        </w:rPr>
      </w:pPr>
    </w:p>
    <w:p w14:paraId="5DCEF94B">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关于动火作业规定</w:t>
      </w:r>
    </w:p>
    <w:p w14:paraId="3B64D07A">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所谓的“动火作业”是指涉及到焊接、火焰切割、砂轮切割、打磨或任何产生潜在火花及热量的作业，并且可能点燃周围可燃物或者引其周围爆炸性环境爆炸的作业；</w:t>
      </w:r>
    </w:p>
    <w:p w14:paraId="3278B739">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承包商应在取得甲方许可后方可从事动火作业；</w:t>
      </w:r>
    </w:p>
    <w:p w14:paraId="3A693E3B">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如动火作业存在妨碍或影响消防系统使用的情形（如探头，警报，消防喷淋），必须专门进行批准（工作许可证一部分或单独申请）；</w:t>
      </w:r>
    </w:p>
    <w:p w14:paraId="31C7D849">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根据甲方的要求设置现场监护人（包括在动火过程中以及动火结束后1小时内）；</w:t>
      </w:r>
    </w:p>
    <w:p w14:paraId="1BC7C99C">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所有动火作业现场均应配置灭火器和消防设施，满足应急要求；</w:t>
      </w:r>
    </w:p>
    <w:p w14:paraId="19D3D10E">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气焊和气割系统必须配备单向阀（止回阀）；如焊枪在有限空间内已不再使用，必须关闭并从有限空间内移出；</w:t>
      </w:r>
    </w:p>
    <w:p w14:paraId="45AB373A">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电弧焊和电弧切割作业现场必须进行遮蔽，防止工作现场附近其他人员受到电弧辐射；</w:t>
      </w:r>
    </w:p>
    <w:p w14:paraId="1D348ED0">
      <w:pPr>
        <w:numPr>
          <w:ilvl w:val="0"/>
          <w:numId w:val="2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在存在爆炸性气体环境中进行动火作业时，必须在作业前进行气体检测；如有必要，应使用防爆设备。</w:t>
      </w:r>
    </w:p>
    <w:p w14:paraId="54A3D49D">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关于复杂吊装作业（非例行吊装）规定</w:t>
      </w:r>
    </w:p>
    <w:p w14:paraId="4D88A8E0">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谓“复杂吊装作业（非例行吊装）”是指对载荷＞10吨的吊装作业或者风险因素复杂的吊装作业（使用多台吊车协同吊装，载荷达到额定安全吊装载荷的75%，载荷不稳，附近有输电线路/其它服务线缆/建筑物或工艺装置）；</w:t>
      </w:r>
    </w:p>
    <w:p w14:paraId="54BDABD9">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承包商应在取得甲方许可后方可从事吊装作业；</w:t>
      </w:r>
    </w:p>
    <w:p w14:paraId="6508105D">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必须安排具备资质和能力的操作人员按照设备使用说明，操作吊车以及起重设备；</w:t>
      </w:r>
    </w:p>
    <w:p w14:paraId="38C1F293">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吊车、曲臂车、汽车或者其它有支腿用于提升和吊装的设备，在使用时都必须在支腿下放置垫块；</w:t>
      </w:r>
    </w:p>
    <w:p w14:paraId="27031CDB">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必须制定复杂吊装作业方案并提交甲方专业人员批准；</w:t>
      </w:r>
    </w:p>
    <w:p w14:paraId="7E5180F1">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吊链、钢丝绳和吊钩必须保持良好的物理状态；</w:t>
      </w:r>
    </w:p>
    <w:p w14:paraId="20E664A0">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所有与吊装相关的设备和附件都应该定期检查，并且标记最近的检查日期；</w:t>
      </w:r>
    </w:p>
    <w:p w14:paraId="574C52D4">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吊装过程中，吊装工作区域内无关人员不得停留或通过，在伸臂及吊物的下方严禁任何人员通过或逗留；</w:t>
      </w:r>
    </w:p>
    <w:p w14:paraId="12096582">
      <w:pPr>
        <w:numPr>
          <w:ilvl w:val="0"/>
          <w:numId w:val="2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当多人吊挂同一吊物时，须由专人负责指挥，指挥人员须站在使操作人员能看清指挥信号的安全位置上进行。</w:t>
      </w:r>
    </w:p>
    <w:p w14:paraId="3478C440">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关于有限空间进入的规定</w:t>
      </w:r>
    </w:p>
    <w:p w14:paraId="57E36293">
      <w:pPr>
        <w:numPr>
          <w:ilvl w:val="0"/>
          <w:numId w:val="2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在有限空间作业前必须向甲方申请许可证，对作业人员进行医疗评估且确认适合有限空间作业，并制定救援方案；</w:t>
      </w:r>
    </w:p>
    <w:p w14:paraId="7C6C929D">
      <w:pPr>
        <w:numPr>
          <w:ilvl w:val="0"/>
          <w:numId w:val="2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有限空间进入氧气含量必须为19.5～23.5%，在进入前和进入后都必须分别进行气体检测；</w:t>
      </w:r>
    </w:p>
    <w:p w14:paraId="130BC7BC">
      <w:pPr>
        <w:numPr>
          <w:ilvl w:val="0"/>
          <w:numId w:val="2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如发现有其它有害物质，必须在进入前和进入后参照该有害气体的允许接触浓度进行测量（可燃气体，有毒气体）；</w:t>
      </w:r>
    </w:p>
    <w:p w14:paraId="0C3B3D88">
      <w:pPr>
        <w:numPr>
          <w:ilvl w:val="0"/>
          <w:numId w:val="2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承包商必须提供有限空间现场监护人，并对现场进行全程监护；</w:t>
      </w:r>
    </w:p>
    <w:p w14:paraId="193C367A">
      <w:pPr>
        <w:numPr>
          <w:ilvl w:val="0"/>
          <w:numId w:val="2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作业过程中承包商须采取通风措施，保持空气流通，作业出入口不得有障碍物，要保证其畅通无阻；</w:t>
      </w:r>
    </w:p>
    <w:p w14:paraId="0C1EB310">
      <w:pPr>
        <w:numPr>
          <w:ilvl w:val="0"/>
          <w:numId w:val="2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须要提供额外的有限空间作业设备（如空气自主供应设备、通风设备等），并确保这些设备都有相应的合格证明/证书；在实际使用前，必须经甲方必要的检查（包括查看是否均有清晰的检查日期标志），提供设备检验合格证书。</w:t>
      </w:r>
    </w:p>
    <w:p w14:paraId="64C35E70">
      <w:pPr>
        <w:numPr>
          <w:ilvl w:val="0"/>
          <w:numId w:val="0"/>
        </w:numPr>
        <w:tabs>
          <w:tab w:val="left" w:pos="567"/>
        </w:tabs>
        <w:adjustRightInd w:val="0"/>
        <w:snapToGrid w:val="0"/>
        <w:spacing w:line="320" w:lineRule="exact"/>
        <w:ind w:leftChars="0"/>
        <w:rPr>
          <w:rFonts w:hint="eastAsia" w:ascii="宋体" w:hAnsi="宋体" w:eastAsia="宋体" w:cs="宋体"/>
          <w:sz w:val="24"/>
          <w:szCs w:val="24"/>
          <w:highlight w:val="none"/>
        </w:rPr>
      </w:pPr>
    </w:p>
    <w:p w14:paraId="08F196DD">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关于告示牌设立规定</w:t>
      </w:r>
    </w:p>
    <w:p w14:paraId="5A16F914">
      <w:pPr>
        <w:numPr>
          <w:ilvl w:val="0"/>
          <w:numId w:val="2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在作业前，应充分了解甲方内的告示牌并遵照执行；未经甲方许可，不得进入标有“封闭空间”“有限空间”“机房重地”等限制区域；</w:t>
      </w:r>
    </w:p>
    <w:p w14:paraId="0D86C616">
      <w:pPr>
        <w:numPr>
          <w:ilvl w:val="0"/>
          <w:numId w:val="2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承包商在作业前，承包商应放置告示牌（“当心坠物”“戴安全帽”“逃生通道”等警示牌），提示危害风险；</w:t>
      </w:r>
    </w:p>
    <w:p w14:paraId="66B5C3D4">
      <w:pPr>
        <w:numPr>
          <w:ilvl w:val="0"/>
          <w:numId w:val="24"/>
        </w:numPr>
        <w:tabs>
          <w:tab w:val="left" w:pos="567"/>
        </w:tabs>
        <w:adjustRightInd w:val="0"/>
        <w:snapToGrid w:val="0"/>
        <w:spacing w:line="320" w:lineRule="exact"/>
        <w:ind w:left="0" w:firstLine="0"/>
        <w:rPr>
          <w:rFonts w:hint="eastAsia" w:ascii="宋体" w:hAnsi="宋体" w:eastAsia="宋体" w:cs="宋体"/>
          <w:sz w:val="24"/>
          <w:szCs w:val="24"/>
          <w:highlight w:val="none"/>
        </w:rPr>
      </w:pPr>
      <w:bookmarkStart w:id="10" w:name="_Hlk4146783"/>
      <w:r>
        <w:rPr>
          <w:rFonts w:hint="eastAsia" w:ascii="宋体" w:hAnsi="宋体" w:eastAsia="宋体" w:cs="宋体"/>
          <w:sz w:val="24"/>
          <w:szCs w:val="24"/>
          <w:highlight w:val="none"/>
        </w:rPr>
        <w:t>所有进行高风险作业的区域必须围闭并张贴警示标志，非授权人员和车辆不得进入。</w:t>
      </w:r>
      <w:bookmarkEnd w:id="10"/>
    </w:p>
    <w:p w14:paraId="74EEF13B">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关于废弃物的储存和处置规定</w:t>
      </w:r>
    </w:p>
    <w:p w14:paraId="0F91A117">
      <w:pPr>
        <w:numPr>
          <w:ilvl w:val="0"/>
          <w:numId w:val="2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从事与危险废弃物、一般废弃物及工程碎料相关的处置工作时，应确保定期利用特殊车辆清理出甲方，确保安全处置和存放；</w:t>
      </w:r>
    </w:p>
    <w:p w14:paraId="2962CDD8">
      <w:pPr>
        <w:numPr>
          <w:ilvl w:val="0"/>
          <w:numId w:val="2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对于作业时产生的有害废弃物，承包商应负责向甲方报告废弃物种类及性质，进行妥善安全地收集和贮存，并保留文件说明、清运转移和处理方法以备查；</w:t>
      </w:r>
    </w:p>
    <w:p w14:paraId="3FB45567">
      <w:pPr>
        <w:numPr>
          <w:ilvl w:val="0"/>
          <w:numId w:val="2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在户外储存废物时（非有害物质，有害废物不得储存于户外），应采取必要的防护措施，必须存放于离下水道口至少3米的位置并妥善遮盖下水道口，避免流入下水道污染水源；</w:t>
      </w:r>
    </w:p>
    <w:p w14:paraId="0610415D">
      <w:pPr>
        <w:numPr>
          <w:ilvl w:val="0"/>
          <w:numId w:val="25"/>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承包商应对废弃物储存和处置的合法性负责，若造成周边环境污染被有关部门行政处罚或被其他民事主体要求承担损害赔偿责任的，由承包商承担违规处罚费用及相应责任。</w:t>
      </w:r>
    </w:p>
    <w:p w14:paraId="58DD4209">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关于化学品防泄漏规定</w:t>
      </w:r>
    </w:p>
    <w:p w14:paraId="16E65BAD">
      <w:pPr>
        <w:numPr>
          <w:ilvl w:val="0"/>
          <w:numId w:val="26"/>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承包商必须使用认证的化学物品，并采取预防措施储存酸性或腐蚀性液体、石油产品、油漆和清漆材料等；</w:t>
      </w:r>
    </w:p>
    <w:p w14:paraId="49276ECE">
      <w:pPr>
        <w:numPr>
          <w:ilvl w:val="0"/>
          <w:numId w:val="26"/>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承包商必须准备适当的泄漏清洁工具，建立泄漏应急反应程序。</w:t>
      </w:r>
    </w:p>
    <w:p w14:paraId="07CBFAA0">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关于排水系统的规定</w:t>
      </w:r>
    </w:p>
    <w:p w14:paraId="4A7DF58F">
      <w:pPr>
        <w:numPr>
          <w:ilvl w:val="0"/>
          <w:numId w:val="27"/>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未经甲方允许严禁承包商向甲方排水系统倾倒任何液体或固体废弃物；</w:t>
      </w:r>
    </w:p>
    <w:p w14:paraId="1C78CDF6">
      <w:pPr>
        <w:numPr>
          <w:ilvl w:val="0"/>
          <w:numId w:val="27"/>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任何与甲方生活污水、生产污水和雨水系统相连接的工程必须得到甲方的批准。</w:t>
      </w:r>
    </w:p>
    <w:p w14:paraId="1229DD63">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关于设备和车辆的安全管理规定</w:t>
      </w:r>
    </w:p>
    <w:p w14:paraId="5C7DD4D0">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承包商应使用符合废气和有害物质排放标准的设备和车辆；</w:t>
      </w:r>
    </w:p>
    <w:p w14:paraId="7574B7FD">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承包商须在甲方指定区域储存设备、材料和物资；</w:t>
      </w:r>
    </w:p>
    <w:p w14:paraId="56F9BE7D">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除特殊约定外，承包商不得在甲方厂（场）地清洗设备或车辆；即便允许，设备或车辆也应在指定区域清洗，并节约能源和水；</w:t>
      </w:r>
    </w:p>
    <w:p w14:paraId="20830C4B">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车辆应停放于指定区域并锁好，进入厂（场）内车辆应按指示牌限速行驶；</w:t>
      </w:r>
    </w:p>
    <w:p w14:paraId="3BAF4A50">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原辅料、成品酒运输车辆应保持干净卫生，符合食品安全要求；</w:t>
      </w:r>
    </w:p>
    <w:p w14:paraId="3A51C912">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危险化学品运输车辆须使用符合危险化学品管理要求的专用车辆，运输车辆各项安全附件有效；</w:t>
      </w:r>
    </w:p>
    <w:p w14:paraId="188972E4">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承包商应承担运输车辆、送货人员以及来甲方进行现场售后服务人员的一切安全行为、安全事故、安全罚款等安全责任，但因甲方原因造成的除外；</w:t>
      </w:r>
    </w:p>
    <w:p w14:paraId="00B78825">
      <w:pPr>
        <w:numPr>
          <w:ilvl w:val="0"/>
          <w:numId w:val="28"/>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在作业过程中，必须确保设备和车辆运行安全；如发生各类人身和财产损害事件，均由承包商自行负责并承担责任，但因甲方原因造成的除外。</w:t>
      </w:r>
    </w:p>
    <w:p w14:paraId="31215279">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关于循环利用的规定</w:t>
      </w:r>
    </w:p>
    <w:p w14:paraId="1DD9393A">
      <w:pPr>
        <w:adjustRightInd w:val="0"/>
        <w:snapToGrid w:val="0"/>
        <w:spacing w:line="320" w:lineRule="exact"/>
        <w:ind w:firstLine="489" w:firstLineChars="204"/>
        <w:rPr>
          <w:rFonts w:hint="eastAsia" w:ascii="宋体" w:hAnsi="宋体" w:eastAsia="宋体" w:cs="宋体"/>
          <w:sz w:val="24"/>
          <w:szCs w:val="24"/>
          <w:highlight w:val="none"/>
        </w:rPr>
      </w:pPr>
      <w:r>
        <w:rPr>
          <w:rFonts w:hint="eastAsia" w:ascii="宋体" w:hAnsi="宋体" w:eastAsia="宋体" w:cs="宋体"/>
          <w:sz w:val="24"/>
          <w:szCs w:val="24"/>
          <w:highlight w:val="none"/>
        </w:rPr>
        <w:t>循环利用是甲方的一项标准化操作要求，甲方工作联系人指导承包商把废弃物分类收集于相应的垃圾桶或集中存放；承包商承诺对土壤和绿化区域的危害降低到最小。</w:t>
      </w:r>
    </w:p>
    <w:p w14:paraId="154F420E">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关于在甲方生产现场作业安全规定</w:t>
      </w:r>
    </w:p>
    <w:p w14:paraId="1A39558E">
      <w:pPr>
        <w:numPr>
          <w:ilvl w:val="0"/>
          <w:numId w:val="29"/>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在作业之前，承包商应确认其作业人员已经充分知悉卫生管理要求；如作业人员需要处理食品时，须严格遵守国家和甲方的卫生安全标准；</w:t>
      </w:r>
    </w:p>
    <w:p w14:paraId="6F41D4FB">
      <w:pPr>
        <w:numPr>
          <w:ilvl w:val="0"/>
          <w:numId w:val="29"/>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如作业人员具有伤寒、副伤寒、痢疾、肠道疾病、传染性肝炎、骨疾病、肺结核、性病、皮肤病、耳朵/鼻子/眼睛有分泌物、心绞痛、高热等情形之一的，不得开展作业； </w:t>
      </w:r>
    </w:p>
    <w:p w14:paraId="61DD6DEF">
      <w:pPr>
        <w:numPr>
          <w:ilvl w:val="0"/>
          <w:numId w:val="29"/>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为确保生产车间卫生要求，不允许在箱柜里存储食物、脏衣、产品、工具和设备等易导致污染环境的物品；</w:t>
      </w:r>
    </w:p>
    <w:p w14:paraId="7086A5A6">
      <w:pPr>
        <w:numPr>
          <w:ilvl w:val="0"/>
          <w:numId w:val="29"/>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在选用洗涤剂、化学消毒剂和使用设备工作时，必须具有合格证书，可用于食品工业，防腐蚀，能够与产品、清洗和其他消毒剂等兼容。</w:t>
      </w:r>
    </w:p>
    <w:p w14:paraId="6F893EAA">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567"/>
        </w:tabs>
        <w:adjustRightInd w:val="0"/>
        <w:snapToGrid w:val="0"/>
        <w:spacing w:before="0" w:beforeAutospacing="0" w:after="0" w:afterAutospacing="0" w:line="320" w:lineRule="exact"/>
        <w:ind w:right="0" w:rightChars="0"/>
        <w:jc w:val="both"/>
        <w:rPr>
          <w:rFonts w:hint="eastAsia" w:ascii="宋体" w:hAnsi="宋体" w:eastAsia="宋体" w:cs="宋体"/>
          <w:sz w:val="24"/>
          <w:szCs w:val="24"/>
          <w:highlight w:val="none"/>
        </w:rPr>
      </w:pPr>
    </w:p>
    <w:p w14:paraId="09E87B63">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567"/>
        </w:tabs>
        <w:adjustRightInd w:val="0"/>
        <w:snapToGrid w:val="0"/>
        <w:spacing w:before="0" w:beforeAutospacing="0" w:after="0" w:afterAutospacing="0" w:line="320" w:lineRule="exact"/>
        <w:ind w:right="0" w:rightChars="0"/>
        <w:jc w:val="both"/>
        <w:rPr>
          <w:rFonts w:hint="eastAsia" w:ascii="宋体" w:hAnsi="宋体" w:eastAsia="宋体" w:cs="宋体"/>
          <w:sz w:val="24"/>
          <w:szCs w:val="24"/>
          <w:highlight w:val="none"/>
        </w:rPr>
      </w:pPr>
    </w:p>
    <w:p w14:paraId="03B48FBE">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关于清洁卫生(5S)的规定</w:t>
      </w:r>
    </w:p>
    <w:p w14:paraId="3E3B4946">
      <w:pPr>
        <w:numPr>
          <w:ilvl w:val="0"/>
          <w:numId w:val="3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承包商负责作业区域内清洁卫生工作，定时清扫工作区域，每日清运作业产生的碎料、垃圾、废物及淤泥，保持厂（场）区整洁；</w:t>
      </w:r>
    </w:p>
    <w:p w14:paraId="64074554">
      <w:pPr>
        <w:numPr>
          <w:ilvl w:val="0"/>
          <w:numId w:val="30"/>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保持所有作业用品整洁并存放于指定区域，不得阻塞走道、出口和应急通道。</w:t>
      </w:r>
    </w:p>
    <w:p w14:paraId="38A7E10B">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关于承包商使用厂（场）区设施的规定</w:t>
      </w:r>
    </w:p>
    <w:p w14:paraId="1132A362">
      <w:pPr>
        <w:numPr>
          <w:ilvl w:val="0"/>
          <w:numId w:val="3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如需使用甲方的设施必须事先获得甲方同意（包括水，电，压缩空气，排污系统及消防系统）；</w:t>
      </w:r>
    </w:p>
    <w:p w14:paraId="3C3F6C44">
      <w:pPr>
        <w:numPr>
          <w:ilvl w:val="0"/>
          <w:numId w:val="31"/>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如需关闭任何甲方设施必须事先获得甲方同意。</w:t>
      </w:r>
    </w:p>
    <w:p w14:paraId="00991A20">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关于出入厂（场）区及安全保卫规定</w:t>
      </w:r>
    </w:p>
    <w:p w14:paraId="0C97E820">
      <w:pPr>
        <w:numPr>
          <w:ilvl w:val="0"/>
          <w:numId w:val="3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承包商的人员在进入厂（场）区之前应在甲方门卫处登记，领取出入证，凭证从指定通道进出厂（场）区；出入证应全程佩戴、妥善进保管，防止丢失或被盗，不得转让他人或授予他人代替出入厂（场）；</w:t>
      </w:r>
    </w:p>
    <w:p w14:paraId="49C0A607">
      <w:pPr>
        <w:numPr>
          <w:ilvl w:val="0"/>
          <w:numId w:val="3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在厂（场）内作业或行走时应注意来往车辆，注意安全并采取保护措施；</w:t>
      </w:r>
    </w:p>
    <w:p w14:paraId="7F932307">
      <w:pPr>
        <w:numPr>
          <w:ilvl w:val="0"/>
          <w:numId w:val="3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承包商人员只能在指定区域活动，不得进入其他区域；</w:t>
      </w:r>
    </w:p>
    <w:p w14:paraId="0979C3DF">
      <w:pPr>
        <w:numPr>
          <w:ilvl w:val="0"/>
          <w:numId w:val="32"/>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甲方根据安保需要可以对承包商携带的工具和物品进行必要的检查后放行。</w:t>
      </w:r>
    </w:p>
    <w:p w14:paraId="76B8B1BE">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关于事故事件报告的规定</w:t>
      </w:r>
    </w:p>
    <w:p w14:paraId="727D7EFB">
      <w:pPr>
        <w:tabs>
          <w:tab w:val="left" w:pos="567"/>
          <w:tab w:val="left" w:pos="993"/>
        </w:tabs>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在作业过程中发生任何的环境、健康、安全、财产事故事件（包括但不限于环境污染、火灾、盗窃、人身损害、财产损失等），承包商应立即通报甲方指定的联络人并依据相关法律法规和甲方的要求进行调查，根据政府有关部门调查责任划分，甲乙双方分别承担相应的事故责任。</w:t>
      </w:r>
    </w:p>
    <w:p w14:paraId="0E65DCD2">
      <w:pPr>
        <w:tabs>
          <w:tab w:val="left" w:pos="567"/>
          <w:tab w:val="left" w:pos="993"/>
        </w:tabs>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作业过程中发生事故事件的，应严格遵守甲方要求开展事故事件的报告、处置、调查、分析等；如造成达到甲方“一事一报事故事件”等级的，或发生事故事件迟报、漏报、谎报和瞒报情况的，甲方有权立即单方解除合同并要求其承担因此造成的相应责任，同时立即划入承包商黑名单。</w:t>
      </w:r>
    </w:p>
    <w:p w14:paraId="401ED971">
      <w:pPr>
        <w:tabs>
          <w:tab w:val="left" w:pos="567"/>
          <w:tab w:val="left" w:pos="993"/>
        </w:tabs>
        <w:adjustRightInd w:val="0"/>
        <w:snapToGrid w:val="0"/>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事一报事故事件”清单乙方可随时向甲方获取，“一事一报事故事件”包含（但不限于）：生产安全事故、交通事故造成1人及以上死亡或重伤；生产安全事故、交通事故造成3人及以上轻伤；生产安全事故、交通事故造成直接经济损失50万元及以上；火灾、爆炸、坍塌事故事件造成停产停业，或直接经济损失50万元及以上，或过火面积100平方米及以上；被主流媒体报道的负面舆情事件；环境污染、生态破坏事件造成直接经济损失20万元及以上；被政府部门责令停产停业或处罚金额达到10万元及以上，或地市级及以上政府部门通报批评；污染物排放事件造成直接经济损失10万元及以上；工作厂（场）所或工作时间突发疾病、自杀等原因致人死亡或重伤；工作厂（场）所或工作时间同时出现3人以上身体不适需住院治疗等。</w:t>
      </w:r>
    </w:p>
    <w:p w14:paraId="642E0F6E">
      <w:pPr>
        <w:tabs>
          <w:tab w:val="left" w:pos="567"/>
          <w:tab w:val="left" w:pos="993"/>
        </w:tabs>
        <w:adjustRightInd w:val="0"/>
        <w:snapToGrid w:val="0"/>
        <w:spacing w:line="320" w:lineRule="exact"/>
        <w:ind w:firstLine="480" w:firstLineChars="200"/>
        <w:rPr>
          <w:rFonts w:hint="eastAsia" w:ascii="宋体" w:hAnsi="宋体" w:eastAsia="宋体" w:cs="宋体"/>
          <w:sz w:val="24"/>
          <w:szCs w:val="24"/>
          <w:highlight w:val="none"/>
        </w:rPr>
      </w:pPr>
    </w:p>
    <w:p w14:paraId="6A723E1A">
      <w:pPr>
        <w:numPr>
          <w:ilvl w:val="0"/>
          <w:numId w:val="1"/>
        </w:numPr>
        <w:adjustRightInd w:val="0"/>
        <w:snapToGrid w:val="0"/>
        <w:spacing w:line="320" w:lineRule="exact"/>
        <w:ind w:left="0"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申明与保证</w:t>
      </w:r>
    </w:p>
    <w:p w14:paraId="60F9AA14">
      <w:pPr>
        <w:numPr>
          <w:ilvl w:val="0"/>
          <w:numId w:val="3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承包商承诺在合作中严格执行相关法律法规规章、相关国家标准、本协议约定和甲方的合理要求，且承包商应确保其作业人员严格遵守本协议（</w:t>
      </w:r>
      <w:r>
        <w:rPr>
          <w:rFonts w:hint="eastAsia" w:ascii="宋体" w:hAnsi="宋体" w:eastAsia="宋体" w:cs="宋体"/>
          <w:sz w:val="24"/>
          <w:szCs w:val="24"/>
          <w:highlight w:val="none"/>
          <w:u w:val="single"/>
        </w:rPr>
        <w:t>甲方根据业务需要或属地政府特殊要求的，双方另行签订补充协议</w:t>
      </w:r>
      <w:r>
        <w:rPr>
          <w:rFonts w:hint="eastAsia" w:ascii="宋体" w:hAnsi="宋体" w:eastAsia="宋体" w:cs="宋体"/>
          <w:sz w:val="24"/>
          <w:szCs w:val="24"/>
          <w:highlight w:val="none"/>
        </w:rPr>
        <w:t>），作业人员的行为视同承包商的行为，承包商对作业人员的行为负责并承担法律责任，不得以履行本安全协议为理由违反各方就合作主协议约定的主要义务；甲方发现承包商及其作业人员存在任何的违规或违约情形，承包商同意并接受甲方提出的限期整改要求；如承包商违反本安全协议约定或发生安全生产、环境保护、人身健康和财产安全相关的事故事件，由此产生的一切纠纷、后果和责任均由乙方承担；</w:t>
      </w:r>
    </w:p>
    <w:p w14:paraId="7D799833">
      <w:pPr>
        <w:numPr>
          <w:ilvl w:val="0"/>
          <w:numId w:val="3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承包商及其作业人员有责任维护作业区域和/或厂（场）内设备、设施等甲方或</w:t>
      </w:r>
      <w:r>
        <w:rPr>
          <w:rFonts w:hint="eastAsia" w:ascii="宋体" w:hAnsi="宋体" w:eastAsia="宋体" w:cs="宋体"/>
          <w:sz w:val="24"/>
          <w:szCs w:val="24"/>
          <w:highlight w:val="none"/>
          <w:u w:val="single"/>
        </w:rPr>
        <w:t>甲方关联公司</w:t>
      </w:r>
      <w:r>
        <w:rPr>
          <w:rFonts w:hint="eastAsia" w:ascii="宋体" w:hAnsi="宋体" w:eastAsia="宋体" w:cs="宋体"/>
          <w:sz w:val="24"/>
          <w:szCs w:val="24"/>
          <w:highlight w:val="none"/>
        </w:rPr>
        <w:t>物品的安全，因承包商或其作业人员原因造成甲方或第三方物品的损坏、灭失或他人人身伤亡的，承包商应承担赔偿责任；</w:t>
      </w:r>
    </w:p>
    <w:p w14:paraId="34706B8F">
      <w:pPr>
        <w:widowControl/>
        <w:numPr>
          <w:ilvl w:val="0"/>
          <w:numId w:val="33"/>
        </w:numPr>
        <w:tabs>
          <w:tab w:val="left" w:pos="567"/>
        </w:tabs>
        <w:adjustRightInd w:val="0"/>
        <w:snapToGrid w:val="0"/>
        <w:spacing w:line="320" w:lineRule="exact"/>
        <w:ind w:left="0"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商作业人员在作业过程中发生伤亡事故的，承包商应负责处理（包含但不限于工伤报告、工伤鉴定、协商、仲裁、诉讼等事项），相关的医疗费、误工费、工伤待遇、伤亡补偿费等相关赔偿费用由承包商承担，如造成甲方或第三方损失或对外承担责任的，承包商应向甲方或第三方承担赔偿责任。</w:t>
      </w:r>
    </w:p>
    <w:p w14:paraId="7E847466">
      <w:pPr>
        <w:widowControl/>
        <w:numPr>
          <w:ilvl w:val="0"/>
          <w:numId w:val="33"/>
        </w:numPr>
        <w:tabs>
          <w:tab w:val="left" w:pos="567"/>
        </w:tabs>
        <w:adjustRightInd w:val="0"/>
        <w:snapToGrid w:val="0"/>
        <w:spacing w:line="320" w:lineRule="exact"/>
        <w:ind w:left="0"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有权依据约定在承包商的合同应付款项或履约保证金（如有）中扣收承包商应当支付的违约金、赔偿金等；如出现多次违规或严重违规、违约情形，甲方有权根据自行判断完成违规调查处理报告。承包商同一人员违反甲方安全规定的行为，承包商应当给予相应的处理，且甲方有权监督：第一次为口头警告；第二次为书面警告，并要求承包商对其作业人员重新培训和重新获取《承包商安全卡》；第三次发生，承包商应要求其作业人员立即离厂（场）并永久禁止进入甲方厂（场）所。承包商作业人员违反甲方安全规定的违约行为，视严重程度将违约行为分为A/B/C/D四类，承包商应当承担的违约金分别为A类（严重违约）:2000元，如脱岗、睡岗和酒后上岗等；B类（较重违约）：1000元，如用手代替工具进行作业，用手部/足部等身体部位碰触旋转部位等；C类（一般违约）：400元，如未正确佩戴、使用劳动防护用品进入生产作业场所等；D类（其他违约）：200元，如进入厂区不佩戴安全卡或伪造安全卡等。同时，高风险承包商公司以违约金A/B类总额的1%进行累积计分（C/D类不累计积分），低风险承包商公司以A/B类违约金总额的3%进行累积计分（C/D类不累计积分），当计分累积到30分，承包商应停工进行全面的培训及安全检查；当计分累积到60分，承包商应配合甲方制定停工安全整改计划；当计分累积到100分，承包商将被纳入黑名单管理。对于提供辅助业务服务、叉车/装卸业务服务的，则该辅助业务服务、叉车/装卸业务服务独立计分。承包商的违约金缴纳可以延迟3个月（如果项目结束期在3个月内，则延迟至项目结束），在延迟缴纳期内如果该承包商没有重复发生同一违规行为的，可以经甲方同意后，免除相应的违约金，但累积的计分不予取消。对同一违规行为反复发生且情节严重的（甲方以实际情况自行判断），甲方有权取消承包商参加甲方及关联公司正在进行中或未来的招标采购项目的参与资格并划入承包商黑名单；同时，甲方有权按照本协议项下承包商违规或违约情形，选择是否单方解除相应合作合同；</w:t>
      </w:r>
    </w:p>
    <w:p w14:paraId="33BAF06F">
      <w:pPr>
        <w:numPr>
          <w:ilvl w:val="0"/>
          <w:numId w:val="3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若前述口头/书面警告、违约金等处理不足以补偿甲方遭受的全部损失的，对于甲方和/或甲方关联公司遭受的损失（包括但不限于由此造成的诉讼费、差旅费、律师费、保全费、保全担保费、鉴定费、公证费等），甲方有权进一步向乙方追偿；</w:t>
      </w:r>
    </w:p>
    <w:p w14:paraId="226B9B01">
      <w:pPr>
        <w:numPr>
          <w:ilvl w:val="0"/>
          <w:numId w:val="33"/>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因乙方违反本协议约定或发生事故事件，甲方和/或甲方关联公司被当地政府有关管理部门进行处罚的，乙方除按本条前述承担违约金外，还应承担当地政府有关管理部门对甲方和/或甲方关联公司的罚款。</w:t>
      </w:r>
    </w:p>
    <w:p w14:paraId="045DEB21">
      <w:pPr>
        <w:numPr>
          <w:ilvl w:val="0"/>
          <w:numId w:val="0"/>
        </w:numPr>
        <w:tabs>
          <w:tab w:val="left" w:pos="567"/>
        </w:tabs>
        <w:adjustRightInd w:val="0"/>
        <w:snapToGrid w:val="0"/>
        <w:spacing w:line="320" w:lineRule="exact"/>
        <w:ind w:leftChars="0"/>
        <w:rPr>
          <w:rFonts w:hint="eastAsia" w:ascii="宋体" w:hAnsi="宋体" w:eastAsia="宋体" w:cs="宋体"/>
          <w:sz w:val="24"/>
          <w:szCs w:val="24"/>
          <w:highlight w:val="none"/>
        </w:rPr>
      </w:pPr>
    </w:p>
    <w:p w14:paraId="6A2BEA80">
      <w:pPr>
        <w:numPr>
          <w:ilvl w:val="0"/>
          <w:numId w:val="1"/>
        </w:numPr>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b/>
          <w:bCs/>
          <w:sz w:val="24"/>
          <w:szCs w:val="24"/>
          <w:highlight w:val="none"/>
        </w:rPr>
        <w:t>名词解释</w:t>
      </w:r>
    </w:p>
    <w:p w14:paraId="6FEFC17C">
      <w:pPr>
        <w:numPr>
          <w:ilvl w:val="0"/>
          <w:numId w:val="3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厂（场）内高风险承包商：所有从事高风险作业的承包商，无论人数、时长均划定为高风险承包商；从事低风险作业但同时满足人数≥20人且时长≥4周的承包商也划定为高风险承包商；</w:t>
      </w:r>
    </w:p>
    <w:p w14:paraId="6D9CD6C5">
      <w:pPr>
        <w:numPr>
          <w:ilvl w:val="0"/>
          <w:numId w:val="35"/>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高风险作业（包括但不限于）：土建工程、设备安装、高处作业、动火作业、有害物质管线断开、电气作业、上锁挂牌、危险化学品操作、拆除作业、挖掘作业、有限空间进入、复杂吊装、特种设备使用等；</w:t>
      </w:r>
    </w:p>
    <w:p w14:paraId="4D4FA631">
      <w:pPr>
        <w:numPr>
          <w:ilvl w:val="0"/>
          <w:numId w:val="35"/>
        </w:numPr>
        <w:tabs>
          <w:tab w:val="left" w:pos="709"/>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低风险作业（包括但不限于）：保卫、保洁、食堂、绿化、手工处理一些较轻质材料、手工打包/贴标签等。</w:t>
      </w:r>
    </w:p>
    <w:p w14:paraId="4A7CBB37">
      <w:pPr>
        <w:numPr>
          <w:ilvl w:val="0"/>
          <w:numId w:val="34"/>
        </w:numPr>
        <w:tabs>
          <w:tab w:val="left" w:pos="567"/>
        </w:tabs>
        <w:adjustRightInd w:val="0"/>
        <w:snapToGrid w:val="0"/>
        <w:spacing w:line="320" w:lineRule="exact"/>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厂（场 ）内低风险承包商：从事低风险作业不同时满足人数≥20人且时长≥4周的承包商。</w:t>
      </w:r>
    </w:p>
    <w:p w14:paraId="683D4148">
      <w:pPr>
        <w:numPr>
          <w:ilvl w:val="0"/>
          <w:numId w:val="0"/>
        </w:numPr>
        <w:tabs>
          <w:tab w:val="left" w:pos="567"/>
        </w:tabs>
        <w:adjustRightInd w:val="0"/>
        <w:snapToGrid w:val="0"/>
        <w:spacing w:line="320" w:lineRule="exact"/>
        <w:ind w:leftChars="0"/>
        <w:rPr>
          <w:rFonts w:hint="eastAsia" w:ascii="宋体" w:hAnsi="宋体" w:eastAsia="宋体" w:cs="宋体"/>
          <w:sz w:val="24"/>
          <w:szCs w:val="24"/>
          <w:highlight w:val="none"/>
        </w:rPr>
      </w:pPr>
    </w:p>
    <w:p w14:paraId="54AC4D6A">
      <w:pPr>
        <w:pStyle w:val="9"/>
        <w:keepNext w:val="0"/>
        <w:keepLines w:val="0"/>
        <w:pageBreakBefore w:val="0"/>
        <w:widowControl/>
        <w:numPr>
          <w:ilvl w:val="0"/>
          <w:numId w:val="1"/>
        </w:numPr>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争议解决 </w:t>
      </w:r>
    </w:p>
    <w:p w14:paraId="27224EB4">
      <w:pPr>
        <w:pStyle w:val="9"/>
        <w:keepNext w:val="0"/>
        <w:keepLines w:val="0"/>
        <w:pageBreakBefore w:val="0"/>
        <w:widowControl/>
        <w:kinsoku/>
        <w:wordWrap/>
        <w:overflowPunct/>
        <w:topLinePunct w:val="0"/>
        <w:autoSpaceDE/>
        <w:autoSpaceDN/>
        <w:bidi w:val="0"/>
        <w:spacing w:line="320" w:lineRule="exact"/>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因履行协议而发生争议纠纷，双方应协商解决，协商不成的，提请甲方所在地法院诉讼。</w:t>
      </w:r>
    </w:p>
    <w:p w14:paraId="25EB7FFC">
      <w:pPr>
        <w:pStyle w:val="9"/>
        <w:keepNext w:val="0"/>
        <w:keepLines w:val="0"/>
        <w:pageBreakBefore w:val="0"/>
        <w:widowControl/>
        <w:kinsoku/>
        <w:wordWrap/>
        <w:overflowPunct/>
        <w:topLinePunct w:val="0"/>
        <w:autoSpaceDE/>
        <w:autoSpaceDN/>
        <w:bidi w:val="0"/>
        <w:spacing w:line="320" w:lineRule="exact"/>
        <w:ind w:left="420" w:leftChars="200"/>
        <w:textAlignment w:val="auto"/>
        <w:rPr>
          <w:rFonts w:hint="eastAsia" w:ascii="宋体" w:hAnsi="宋体" w:eastAsia="宋体" w:cs="宋体"/>
          <w:sz w:val="24"/>
          <w:szCs w:val="24"/>
          <w:highlight w:val="none"/>
        </w:rPr>
      </w:pPr>
    </w:p>
    <w:p w14:paraId="7A2F6935">
      <w:pPr>
        <w:pStyle w:val="9"/>
        <w:keepNext w:val="0"/>
        <w:keepLines w:val="0"/>
        <w:pageBreakBefore w:val="0"/>
        <w:widowControl/>
        <w:numPr>
          <w:ilvl w:val="0"/>
          <w:numId w:val="1"/>
        </w:numPr>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其他</w:t>
      </w:r>
    </w:p>
    <w:p w14:paraId="013F0FB8">
      <w:pPr>
        <w:pStyle w:val="9"/>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35.1</w:t>
      </w:r>
      <w:r>
        <w:rPr>
          <w:rFonts w:hint="eastAsia" w:ascii="宋体" w:hAnsi="宋体" w:eastAsia="宋体" w:cs="宋体"/>
          <w:sz w:val="24"/>
          <w:szCs w:val="24"/>
          <w:highlight w:val="none"/>
        </w:rPr>
        <w:t>本协议作为合同的附件；</w:t>
      </w:r>
    </w:p>
    <w:p w14:paraId="05C00DE9">
      <w:pPr>
        <w:pStyle w:val="9"/>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35.2</w:t>
      </w:r>
      <w:r>
        <w:rPr>
          <w:rFonts w:hint="eastAsia" w:ascii="宋体" w:hAnsi="宋体" w:eastAsia="宋体" w:cs="宋体"/>
          <w:color w:val="auto"/>
          <w:sz w:val="24"/>
          <w:szCs w:val="24"/>
          <w:highlight w:val="none"/>
        </w:rPr>
        <w:t>本协议未尽事宜，按国家和地方有关政策规定办理。</w:t>
      </w:r>
    </w:p>
    <w:p w14:paraId="3ECFC341">
      <w:pPr>
        <w:pStyle w:val="9"/>
        <w:rPr>
          <w:rFonts w:hint="eastAsia" w:ascii="宋体" w:hAnsi="宋体" w:eastAsia="宋体" w:cs="宋体"/>
          <w:sz w:val="24"/>
          <w:szCs w:val="24"/>
          <w:highlight w:val="none"/>
        </w:rPr>
      </w:pPr>
    </w:p>
    <w:p w14:paraId="438CDD84">
      <w:pPr>
        <w:pStyle w:val="9"/>
        <w:rPr>
          <w:rFonts w:hint="eastAsia" w:ascii="宋体" w:hAnsi="宋体" w:eastAsia="宋体" w:cs="宋体"/>
          <w:sz w:val="24"/>
          <w:szCs w:val="24"/>
          <w:highlight w:val="none"/>
        </w:rPr>
      </w:pPr>
    </w:p>
    <w:p w14:paraId="05934DCD">
      <w:pPr>
        <w:pStyle w:val="9"/>
        <w:ind w:firstLine="240" w:firstLineChars="1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甲方：（盖章）                                  乙方：（盖章）</w:t>
      </w:r>
    </w:p>
    <w:p w14:paraId="056D2D9A">
      <w:pPr>
        <w:pStyle w:val="9"/>
        <w:adjustRightInd w:val="0"/>
        <w:snapToGrid w:val="0"/>
        <w:spacing w:line="360" w:lineRule="auto"/>
        <w:ind w:left="630" w:hanging="720" w:hangingChars="300"/>
        <w:rPr>
          <w:rFonts w:hint="eastAsia" w:ascii="宋体" w:hAnsi="宋体" w:eastAsia="宋体" w:cs="宋体"/>
          <w:color w:val="000000"/>
          <w:sz w:val="24"/>
          <w:szCs w:val="24"/>
          <w:highlight w:val="none"/>
        </w:rPr>
      </w:pPr>
    </w:p>
    <w:p w14:paraId="3211CEBB">
      <w:pPr>
        <w:pStyle w:val="9"/>
        <w:adjustRightInd w:val="0"/>
        <w:snapToGrid w:val="0"/>
        <w:spacing w:line="360" w:lineRule="auto"/>
        <w:ind w:left="630" w:leftChars="300" w:firstLine="1440" w:firstLineChars="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2CA6A6C1">
      <w:pPr>
        <w:pStyle w:val="9"/>
        <w:adjustRightInd w:val="0"/>
        <w:snapToGrid w:val="0"/>
        <w:spacing w:line="360" w:lineRule="auto"/>
        <w:ind w:left="630" w:leftChars="300" w:firstLine="2160" w:firstLineChars="9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签订时间：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年    月    日</w:t>
      </w:r>
    </w:p>
    <w:p w14:paraId="41BB67DA">
      <w:pPr>
        <w:pStyle w:val="7"/>
        <w:rPr>
          <w:rFonts w:hint="eastAsia" w:ascii="宋体" w:hAnsi="宋体" w:cs="宋体"/>
          <w:b/>
          <w:color w:val="0000FF"/>
          <w:sz w:val="24"/>
          <w:szCs w:val="24"/>
          <w:highlight w:val="none"/>
        </w:rPr>
      </w:pPr>
    </w:p>
    <w:p w14:paraId="19AE3E05">
      <w:pPr>
        <w:pStyle w:val="7"/>
        <w:rPr>
          <w:rFonts w:hint="eastAsia" w:ascii="宋体" w:hAnsi="宋体" w:cs="宋体"/>
          <w:b/>
          <w:sz w:val="24"/>
          <w:szCs w:val="24"/>
          <w:highlight w:val="none"/>
        </w:rPr>
      </w:pPr>
    </w:p>
    <w:p w14:paraId="6EA5DA40">
      <w:pPr>
        <w:pStyle w:val="9"/>
        <w:adjustRightInd w:val="0"/>
        <w:snapToGrid w:val="0"/>
        <w:spacing w:line="360" w:lineRule="auto"/>
        <w:ind w:left="630" w:leftChars="300" w:firstLine="2160" w:firstLineChars="900"/>
        <w:rPr>
          <w:rFonts w:hint="eastAsia" w:ascii="宋体" w:hAnsi="宋体" w:eastAsia="宋体" w:cs="宋体"/>
          <w:color w:val="000000"/>
          <w:sz w:val="24"/>
          <w:szCs w:val="24"/>
          <w:highlight w:val="none"/>
        </w:rPr>
      </w:pPr>
    </w:p>
    <w:p w14:paraId="7DF7A56B">
      <w:pPr>
        <w:pStyle w:val="7"/>
        <w:rPr>
          <w:rFonts w:hint="eastAsia" w:ascii="宋体" w:hAnsi="宋体" w:cs="宋体"/>
          <w:b/>
          <w:color w:val="0000FF"/>
          <w:sz w:val="24"/>
          <w:szCs w:val="24"/>
          <w:highlight w:val="none"/>
        </w:rPr>
      </w:pPr>
    </w:p>
    <w:p w14:paraId="2FFF3A26">
      <w:pPr>
        <w:keepNext w:val="0"/>
        <w:keepLines w:val="0"/>
        <w:pageBreakBefore w:val="0"/>
        <w:widowControl w:val="0"/>
        <w:kinsoku/>
        <w:wordWrap/>
        <w:overflowPunct/>
        <w:topLinePunct w:val="0"/>
        <w:autoSpaceDE/>
        <w:autoSpaceDN/>
        <w:bidi w:val="0"/>
        <w:adjustRightInd w:val="0"/>
        <w:snapToGrid w:val="0"/>
        <w:spacing w:before="91" w:beforeLines="25" w:after="91" w:afterLines="25" w:line="300" w:lineRule="auto"/>
        <w:textAlignment w:val="auto"/>
        <w:rPr>
          <w:rFonts w:hint="eastAsia" w:ascii="宋体" w:hAnsi="宋体" w:eastAsia="宋体" w:cs="宋体"/>
          <w:sz w:val="24"/>
          <w:szCs w:val="24"/>
          <w:lang w:val="en-US" w:eastAsia="zh-CN"/>
        </w:rPr>
      </w:pPr>
    </w:p>
    <w:p w14:paraId="4709CEAF">
      <w:bookmarkStart w:id="11" w:name="_GoBack"/>
      <w:bookmarkEnd w:id="11"/>
    </w:p>
    <w:sectPr>
      <w:footerReference r:id="rId5" w:type="default"/>
      <w:pgSz w:w="11906" w:h="16838"/>
      <w:pgMar w:top="567" w:right="1474" w:bottom="1985" w:left="1588"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9A52">
    <w:pPr>
      <w:pStyle w:val="2"/>
      <w:framePr w:wrap="around" w:vAnchor="text" w:hAnchor="margin" w:xAlign="right" w:y="1"/>
      <w:jc w:val="right"/>
      <w:rPr>
        <w:rStyle w:val="6"/>
      </w:rPr>
    </w:pPr>
  </w:p>
  <w:p w14:paraId="6177BD64">
    <w:pPr>
      <w:pStyle w:val="2"/>
      <w:ind w:right="360"/>
      <w:jc w:val="center"/>
    </w:pPr>
    <w:r>
      <w:rPr>
        <w:rStyle w:val="6"/>
      </w:rPr>
      <w:fldChar w:fldCharType="begin"/>
    </w:r>
    <w:r>
      <w:rPr>
        <w:rStyle w:val="6"/>
      </w:rPr>
      <w:instrText xml:space="preserve"> PAGE </w:instrText>
    </w:r>
    <w:r>
      <w:rPr>
        <w:rStyle w:val="6"/>
      </w:rPr>
      <w:fldChar w:fldCharType="separate"/>
    </w:r>
    <w:r>
      <w:rPr>
        <w:rStyle w:val="6"/>
      </w:rPr>
      <w:t>2</w:t>
    </w:r>
    <w:r>
      <w:rPr>
        <w:rStyle w:val="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94E7A"/>
    <w:multiLevelType w:val="multilevel"/>
    <w:tmpl w:val="02E94E7A"/>
    <w:lvl w:ilvl="0" w:tentative="0">
      <w:start w:val="1"/>
      <w:numFmt w:val="decimal"/>
      <w:lvlText w:val="1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ED5B0E"/>
    <w:multiLevelType w:val="multilevel"/>
    <w:tmpl w:val="03ED5B0E"/>
    <w:lvl w:ilvl="0" w:tentative="0">
      <w:start w:val="1"/>
      <w:numFmt w:val="decimal"/>
      <w:lvlText w:val="1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64306A"/>
    <w:multiLevelType w:val="multilevel"/>
    <w:tmpl w:val="0764306A"/>
    <w:lvl w:ilvl="0" w:tentative="0">
      <w:start w:val="1"/>
      <w:numFmt w:val="decimal"/>
      <w:lvlText w:val="2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724BF7"/>
    <w:multiLevelType w:val="multilevel"/>
    <w:tmpl w:val="07724BF7"/>
    <w:lvl w:ilvl="0" w:tentative="0">
      <w:start w:val="1"/>
      <w:numFmt w:val="decimal"/>
      <w:lvlText w:val="1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C234050"/>
    <w:multiLevelType w:val="multilevel"/>
    <w:tmpl w:val="0C234050"/>
    <w:lvl w:ilvl="0" w:tentative="0">
      <w:start w:val="1"/>
      <w:numFmt w:val="decimal"/>
      <w:lvlText w:val="1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FAB5377"/>
    <w:multiLevelType w:val="multilevel"/>
    <w:tmpl w:val="0FAB5377"/>
    <w:lvl w:ilvl="0" w:tentative="0">
      <w:start w:val="1"/>
      <w:numFmt w:val="decimal"/>
      <w:lvlText w:val="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0F83833"/>
    <w:multiLevelType w:val="multilevel"/>
    <w:tmpl w:val="10F83833"/>
    <w:lvl w:ilvl="0" w:tentative="0">
      <w:start w:val="1"/>
      <w:numFmt w:val="decimal"/>
      <w:lvlText w:val="1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236648B"/>
    <w:multiLevelType w:val="multilevel"/>
    <w:tmpl w:val="1236648B"/>
    <w:lvl w:ilvl="0" w:tentative="0">
      <w:start w:val="1"/>
      <w:numFmt w:val="decimal"/>
      <w:lvlText w:val="2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3DC20B4"/>
    <w:multiLevelType w:val="multilevel"/>
    <w:tmpl w:val="13DC20B4"/>
    <w:lvl w:ilvl="0" w:tentative="0">
      <w:start w:val="1"/>
      <w:numFmt w:val="decimal"/>
      <w:lvlText w:val="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B234FEF"/>
    <w:multiLevelType w:val="multilevel"/>
    <w:tmpl w:val="1B234FEF"/>
    <w:lvl w:ilvl="0" w:tentative="0">
      <w:start w:val="1"/>
      <w:numFmt w:val="decimal"/>
      <w:lvlText w:val="3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D767533"/>
    <w:multiLevelType w:val="multilevel"/>
    <w:tmpl w:val="1D767533"/>
    <w:lvl w:ilvl="0" w:tentative="0">
      <w:start w:val="1"/>
      <w:numFmt w:val="decimal"/>
      <w:lvlText w:val="16.2.%1"/>
      <w:lvlJc w:val="left"/>
      <w:pPr>
        <w:ind w:left="1215" w:hanging="360"/>
      </w:pPr>
      <w:rPr>
        <w:rFonts w:hint="eastAsia"/>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rPr>
    </w:lvl>
    <w:lvl w:ilvl="3" w:tentative="0">
      <w:start w:val="1"/>
      <w:numFmt w:val="bullet"/>
      <w:lvlText w:val=""/>
      <w:lvlJc w:val="left"/>
      <w:pPr>
        <w:ind w:left="3375" w:hanging="360"/>
      </w:pPr>
      <w:rPr>
        <w:rFonts w:hint="default" w:ascii="Symbol" w:hAnsi="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rPr>
    </w:lvl>
    <w:lvl w:ilvl="6" w:tentative="0">
      <w:start w:val="1"/>
      <w:numFmt w:val="bullet"/>
      <w:lvlText w:val=""/>
      <w:lvlJc w:val="left"/>
      <w:pPr>
        <w:ind w:left="5535" w:hanging="360"/>
      </w:pPr>
      <w:rPr>
        <w:rFonts w:hint="default" w:ascii="Symbol" w:hAnsi="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rPr>
    </w:lvl>
  </w:abstractNum>
  <w:abstractNum w:abstractNumId="11">
    <w:nsid w:val="220B307B"/>
    <w:multiLevelType w:val="multilevel"/>
    <w:tmpl w:val="220B307B"/>
    <w:lvl w:ilvl="0" w:tentative="0">
      <w:start w:val="1"/>
      <w:numFmt w:val="decimal"/>
      <w:lvlText w:val="1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74E2263"/>
    <w:multiLevelType w:val="multilevel"/>
    <w:tmpl w:val="274E2263"/>
    <w:lvl w:ilvl="0" w:tentative="0">
      <w:start w:val="1"/>
      <w:numFmt w:val="decimal"/>
      <w:lvlText w:val="21.%1"/>
      <w:lvlJc w:val="left"/>
      <w:pPr>
        <w:ind w:left="2486" w:hanging="360"/>
      </w:pPr>
      <w:rPr>
        <w:rFonts w:hint="eastAsia"/>
        <w:b w:val="0"/>
      </w:rPr>
    </w:lvl>
    <w:lvl w:ilvl="1" w:tentative="0">
      <w:start w:val="1"/>
      <w:numFmt w:val="lowerLetter"/>
      <w:lvlText w:val="%2."/>
      <w:lvlJc w:val="left"/>
      <w:pPr>
        <w:ind w:left="3206" w:hanging="360"/>
      </w:pPr>
    </w:lvl>
    <w:lvl w:ilvl="2" w:tentative="0">
      <w:start w:val="1"/>
      <w:numFmt w:val="lowerRoman"/>
      <w:lvlText w:val="%3."/>
      <w:lvlJc w:val="right"/>
      <w:pPr>
        <w:ind w:left="3926" w:hanging="180"/>
      </w:pPr>
    </w:lvl>
    <w:lvl w:ilvl="3" w:tentative="0">
      <w:start w:val="1"/>
      <w:numFmt w:val="decimal"/>
      <w:lvlText w:val="%4."/>
      <w:lvlJc w:val="left"/>
      <w:pPr>
        <w:ind w:left="4646" w:hanging="360"/>
      </w:pPr>
    </w:lvl>
    <w:lvl w:ilvl="4" w:tentative="0">
      <w:start w:val="1"/>
      <w:numFmt w:val="lowerLetter"/>
      <w:lvlText w:val="%5."/>
      <w:lvlJc w:val="left"/>
      <w:pPr>
        <w:ind w:left="5366" w:hanging="360"/>
      </w:pPr>
    </w:lvl>
    <w:lvl w:ilvl="5" w:tentative="0">
      <w:start w:val="1"/>
      <w:numFmt w:val="lowerRoman"/>
      <w:lvlText w:val="%6."/>
      <w:lvlJc w:val="right"/>
      <w:pPr>
        <w:ind w:left="6086" w:hanging="180"/>
      </w:pPr>
    </w:lvl>
    <w:lvl w:ilvl="6" w:tentative="0">
      <w:start w:val="1"/>
      <w:numFmt w:val="decimal"/>
      <w:lvlText w:val="%7."/>
      <w:lvlJc w:val="left"/>
      <w:pPr>
        <w:ind w:left="6806" w:hanging="360"/>
      </w:pPr>
    </w:lvl>
    <w:lvl w:ilvl="7" w:tentative="0">
      <w:start w:val="1"/>
      <w:numFmt w:val="lowerLetter"/>
      <w:lvlText w:val="%8."/>
      <w:lvlJc w:val="left"/>
      <w:pPr>
        <w:ind w:left="7526" w:hanging="360"/>
      </w:pPr>
    </w:lvl>
    <w:lvl w:ilvl="8" w:tentative="0">
      <w:start w:val="1"/>
      <w:numFmt w:val="lowerRoman"/>
      <w:lvlText w:val="%9."/>
      <w:lvlJc w:val="right"/>
      <w:pPr>
        <w:ind w:left="8246" w:hanging="180"/>
      </w:pPr>
    </w:lvl>
  </w:abstractNum>
  <w:abstractNum w:abstractNumId="13">
    <w:nsid w:val="290C7A95"/>
    <w:multiLevelType w:val="multilevel"/>
    <w:tmpl w:val="290C7A95"/>
    <w:lvl w:ilvl="0" w:tentative="0">
      <w:start w:val="1"/>
      <w:numFmt w:val="decimal"/>
      <w:lvlText w:val="33.1.%1"/>
      <w:lvlJc w:val="left"/>
      <w:pPr>
        <w:ind w:left="1215" w:hanging="360"/>
      </w:pPr>
      <w:rPr>
        <w:rFonts w:hint="eastAsia"/>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rPr>
    </w:lvl>
    <w:lvl w:ilvl="3" w:tentative="0">
      <w:start w:val="1"/>
      <w:numFmt w:val="bullet"/>
      <w:lvlText w:val=""/>
      <w:lvlJc w:val="left"/>
      <w:pPr>
        <w:ind w:left="3375" w:hanging="360"/>
      </w:pPr>
      <w:rPr>
        <w:rFonts w:hint="default" w:ascii="Symbol" w:hAnsi="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rPr>
    </w:lvl>
    <w:lvl w:ilvl="6" w:tentative="0">
      <w:start w:val="1"/>
      <w:numFmt w:val="bullet"/>
      <w:lvlText w:val=""/>
      <w:lvlJc w:val="left"/>
      <w:pPr>
        <w:ind w:left="5535" w:hanging="360"/>
      </w:pPr>
      <w:rPr>
        <w:rFonts w:hint="default" w:ascii="Symbol" w:hAnsi="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rPr>
    </w:lvl>
  </w:abstractNum>
  <w:abstractNum w:abstractNumId="14">
    <w:nsid w:val="2BD53AC9"/>
    <w:multiLevelType w:val="multilevel"/>
    <w:tmpl w:val="2BD53AC9"/>
    <w:lvl w:ilvl="0" w:tentative="0">
      <w:start w:val="1"/>
      <w:numFmt w:val="decimal"/>
      <w:lvlText w:val="2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D740339"/>
    <w:multiLevelType w:val="multilevel"/>
    <w:tmpl w:val="2D740339"/>
    <w:lvl w:ilvl="0" w:tentative="0">
      <w:start w:val="1"/>
      <w:numFmt w:val="decimal"/>
      <w:lvlText w:val="3.%1"/>
      <w:lvlJc w:val="left"/>
      <w:pPr>
        <w:ind w:left="0" w:firstLine="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FFD493F"/>
    <w:multiLevelType w:val="multilevel"/>
    <w:tmpl w:val="2FFD493F"/>
    <w:lvl w:ilvl="0" w:tentative="0">
      <w:start w:val="1"/>
      <w:numFmt w:val="decimal"/>
      <w:lvlText w:val="%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0F1495B"/>
    <w:multiLevelType w:val="multilevel"/>
    <w:tmpl w:val="30F1495B"/>
    <w:lvl w:ilvl="0" w:tentative="0">
      <w:start w:val="1"/>
      <w:numFmt w:val="decimal"/>
      <w:lvlText w:val="2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1C762CC"/>
    <w:multiLevelType w:val="multilevel"/>
    <w:tmpl w:val="31C762CC"/>
    <w:lvl w:ilvl="0" w:tentative="0">
      <w:start w:val="1"/>
      <w:numFmt w:val="decimal"/>
      <w:lvlText w:val="2.%1"/>
      <w:lvlJc w:val="left"/>
      <w:pPr>
        <w:ind w:left="644"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1F95F0F"/>
    <w:multiLevelType w:val="multilevel"/>
    <w:tmpl w:val="31F95F0F"/>
    <w:lvl w:ilvl="0" w:tentative="0">
      <w:start w:val="1"/>
      <w:numFmt w:val="decimal"/>
      <w:lvlText w:val="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564755D"/>
    <w:multiLevelType w:val="multilevel"/>
    <w:tmpl w:val="3564755D"/>
    <w:lvl w:ilvl="0" w:tentative="0">
      <w:start w:val="1"/>
      <w:numFmt w:val="decimal"/>
      <w:lvlText w:val="2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BBE2FDD"/>
    <w:multiLevelType w:val="multilevel"/>
    <w:tmpl w:val="3BBE2FDD"/>
    <w:lvl w:ilvl="0" w:tentative="0">
      <w:start w:val="1"/>
      <w:numFmt w:val="decimal"/>
      <w:lvlText w:val="2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05C4D66"/>
    <w:multiLevelType w:val="multilevel"/>
    <w:tmpl w:val="405C4D66"/>
    <w:lvl w:ilvl="0" w:tentative="0">
      <w:start w:val="1"/>
      <w:numFmt w:val="decimal"/>
      <w:lvlText w:val="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DA10BF"/>
    <w:multiLevelType w:val="multilevel"/>
    <w:tmpl w:val="45DA10BF"/>
    <w:lvl w:ilvl="0" w:tentative="0">
      <w:start w:val="1"/>
      <w:numFmt w:val="decimal"/>
      <w:lvlText w:val="15.2.%1"/>
      <w:lvlJc w:val="left"/>
      <w:pPr>
        <w:ind w:left="2346" w:hanging="360"/>
      </w:pPr>
      <w:rPr>
        <w:rFonts w:hint="eastAsia"/>
        <w:b w:val="0"/>
      </w:rPr>
    </w:lvl>
    <w:lvl w:ilvl="1" w:tentative="0">
      <w:start w:val="1"/>
      <w:numFmt w:val="bullet"/>
      <w:lvlText w:val="o"/>
      <w:lvlJc w:val="left"/>
      <w:pPr>
        <w:ind w:left="3066" w:hanging="360"/>
      </w:pPr>
      <w:rPr>
        <w:rFonts w:hint="default" w:ascii="Courier New" w:hAnsi="Courier New" w:cs="Courier New"/>
      </w:rPr>
    </w:lvl>
    <w:lvl w:ilvl="2" w:tentative="0">
      <w:start w:val="1"/>
      <w:numFmt w:val="bullet"/>
      <w:lvlText w:val=""/>
      <w:lvlJc w:val="left"/>
      <w:pPr>
        <w:ind w:left="3786" w:hanging="360"/>
      </w:pPr>
      <w:rPr>
        <w:rFonts w:hint="default" w:ascii="Wingdings" w:hAnsi="Wingdings"/>
      </w:rPr>
    </w:lvl>
    <w:lvl w:ilvl="3" w:tentative="0">
      <w:start w:val="1"/>
      <w:numFmt w:val="bullet"/>
      <w:lvlText w:val=""/>
      <w:lvlJc w:val="left"/>
      <w:pPr>
        <w:ind w:left="4506" w:hanging="360"/>
      </w:pPr>
      <w:rPr>
        <w:rFonts w:hint="default" w:ascii="Symbol" w:hAnsi="Symbol"/>
      </w:rPr>
    </w:lvl>
    <w:lvl w:ilvl="4" w:tentative="0">
      <w:start w:val="1"/>
      <w:numFmt w:val="bullet"/>
      <w:lvlText w:val="o"/>
      <w:lvlJc w:val="left"/>
      <w:pPr>
        <w:ind w:left="5226" w:hanging="360"/>
      </w:pPr>
      <w:rPr>
        <w:rFonts w:hint="default" w:ascii="Courier New" w:hAnsi="Courier New" w:cs="Courier New"/>
      </w:rPr>
    </w:lvl>
    <w:lvl w:ilvl="5" w:tentative="0">
      <w:start w:val="1"/>
      <w:numFmt w:val="bullet"/>
      <w:lvlText w:val=""/>
      <w:lvlJc w:val="left"/>
      <w:pPr>
        <w:ind w:left="5946" w:hanging="360"/>
      </w:pPr>
      <w:rPr>
        <w:rFonts w:hint="default" w:ascii="Wingdings" w:hAnsi="Wingdings"/>
      </w:rPr>
    </w:lvl>
    <w:lvl w:ilvl="6" w:tentative="0">
      <w:start w:val="1"/>
      <w:numFmt w:val="bullet"/>
      <w:lvlText w:val=""/>
      <w:lvlJc w:val="left"/>
      <w:pPr>
        <w:ind w:left="6666" w:hanging="360"/>
      </w:pPr>
      <w:rPr>
        <w:rFonts w:hint="default" w:ascii="Symbol" w:hAnsi="Symbol"/>
      </w:rPr>
    </w:lvl>
    <w:lvl w:ilvl="7" w:tentative="0">
      <w:start w:val="1"/>
      <w:numFmt w:val="bullet"/>
      <w:lvlText w:val="o"/>
      <w:lvlJc w:val="left"/>
      <w:pPr>
        <w:ind w:left="7386" w:hanging="360"/>
      </w:pPr>
      <w:rPr>
        <w:rFonts w:hint="default" w:ascii="Courier New" w:hAnsi="Courier New" w:cs="Courier New"/>
      </w:rPr>
    </w:lvl>
    <w:lvl w:ilvl="8" w:tentative="0">
      <w:start w:val="1"/>
      <w:numFmt w:val="bullet"/>
      <w:lvlText w:val=""/>
      <w:lvlJc w:val="left"/>
      <w:pPr>
        <w:ind w:left="8106" w:hanging="360"/>
      </w:pPr>
      <w:rPr>
        <w:rFonts w:hint="default" w:ascii="Wingdings" w:hAnsi="Wingdings"/>
      </w:rPr>
    </w:lvl>
  </w:abstractNum>
  <w:abstractNum w:abstractNumId="24">
    <w:nsid w:val="49051B0C"/>
    <w:multiLevelType w:val="multilevel"/>
    <w:tmpl w:val="49051B0C"/>
    <w:lvl w:ilvl="0" w:tentative="0">
      <w:start w:val="1"/>
      <w:numFmt w:val="decimal"/>
      <w:lvlText w:val="1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4B2E72FA"/>
    <w:multiLevelType w:val="multilevel"/>
    <w:tmpl w:val="4B2E72FA"/>
    <w:lvl w:ilvl="0" w:tentative="0">
      <w:start w:val="1"/>
      <w:numFmt w:val="decimal"/>
      <w:lvlText w:val="3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40E529C"/>
    <w:multiLevelType w:val="multilevel"/>
    <w:tmpl w:val="540E529C"/>
    <w:lvl w:ilvl="0" w:tentative="0">
      <w:start w:val="1"/>
      <w:numFmt w:val="decimal"/>
      <w:suff w:val="space"/>
      <w:lvlText w:val="1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BF8156B"/>
    <w:multiLevelType w:val="multilevel"/>
    <w:tmpl w:val="5BF8156B"/>
    <w:lvl w:ilvl="0" w:tentative="0">
      <w:start w:val="1"/>
      <w:numFmt w:val="decimal"/>
      <w:lvlText w:val="1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C24279D"/>
    <w:multiLevelType w:val="multilevel"/>
    <w:tmpl w:val="5C24279D"/>
    <w:lvl w:ilvl="0" w:tentative="0">
      <w:start w:val="1"/>
      <w:numFmt w:val="decimal"/>
      <w:lvlText w:val="2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AB85F94"/>
    <w:multiLevelType w:val="multilevel"/>
    <w:tmpl w:val="6AB85F94"/>
    <w:lvl w:ilvl="0" w:tentative="0">
      <w:start w:val="1"/>
      <w:numFmt w:val="decimal"/>
      <w:lvlText w:val="1.%1"/>
      <w:lvlJc w:val="left"/>
      <w:pPr>
        <w:ind w:left="644"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6E0EEC"/>
    <w:multiLevelType w:val="multilevel"/>
    <w:tmpl w:val="6C6E0EEC"/>
    <w:lvl w:ilvl="0" w:tentative="0">
      <w:start w:val="1"/>
      <w:numFmt w:val="decimal"/>
      <w:lvlText w:val="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2F148E9"/>
    <w:multiLevelType w:val="multilevel"/>
    <w:tmpl w:val="72F148E9"/>
    <w:lvl w:ilvl="0" w:tentative="0">
      <w:start w:val="1"/>
      <w:numFmt w:val="decimal"/>
      <w:lvlText w:val="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627188E"/>
    <w:multiLevelType w:val="multilevel"/>
    <w:tmpl w:val="7627188E"/>
    <w:lvl w:ilvl="0" w:tentative="0">
      <w:start w:val="1"/>
      <w:numFmt w:val="decimal"/>
      <w:lvlText w:val="29.%1"/>
      <w:lvlJc w:val="left"/>
      <w:pPr>
        <w:ind w:left="786" w:hanging="360"/>
      </w:pPr>
      <w:rPr>
        <w:rFonts w:hint="eastAsia"/>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3">
    <w:nsid w:val="7AD220A8"/>
    <w:multiLevelType w:val="multilevel"/>
    <w:tmpl w:val="7AD220A8"/>
    <w:lvl w:ilvl="0" w:tentative="0">
      <w:start w:val="1"/>
      <w:numFmt w:val="decimal"/>
      <w:lvlText w:val="11.%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BB35608"/>
    <w:multiLevelType w:val="multilevel"/>
    <w:tmpl w:val="7BB35608"/>
    <w:lvl w:ilvl="0" w:tentative="0">
      <w:start w:val="1"/>
      <w:numFmt w:val="decimal"/>
      <w:lvlText w:val="3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29"/>
  </w:num>
  <w:num w:numId="3">
    <w:abstractNumId w:val="18"/>
  </w:num>
  <w:num w:numId="4">
    <w:abstractNumId w:val="15"/>
  </w:num>
  <w:num w:numId="5">
    <w:abstractNumId w:val="31"/>
  </w:num>
  <w:num w:numId="6">
    <w:abstractNumId w:val="22"/>
  </w:num>
  <w:num w:numId="7">
    <w:abstractNumId w:val="30"/>
  </w:num>
  <w:num w:numId="8">
    <w:abstractNumId w:val="5"/>
  </w:num>
  <w:num w:numId="9">
    <w:abstractNumId w:val="19"/>
  </w:num>
  <w:num w:numId="10">
    <w:abstractNumId w:val="8"/>
  </w:num>
  <w:num w:numId="11">
    <w:abstractNumId w:val="26"/>
  </w:num>
  <w:num w:numId="12">
    <w:abstractNumId w:val="33"/>
  </w:num>
  <w:num w:numId="13">
    <w:abstractNumId w:val="3"/>
  </w:num>
  <w:num w:numId="14">
    <w:abstractNumId w:val="0"/>
  </w:num>
  <w:num w:numId="15">
    <w:abstractNumId w:val="11"/>
  </w:num>
  <w:num w:numId="16">
    <w:abstractNumId w:val="4"/>
  </w:num>
  <w:num w:numId="17">
    <w:abstractNumId w:val="23"/>
  </w:num>
  <w:num w:numId="18">
    <w:abstractNumId w:val="1"/>
  </w:num>
  <w:num w:numId="19">
    <w:abstractNumId w:val="10"/>
  </w:num>
  <w:num w:numId="20">
    <w:abstractNumId w:val="24"/>
  </w:num>
  <w:num w:numId="21">
    <w:abstractNumId w:val="6"/>
  </w:num>
  <w:num w:numId="22">
    <w:abstractNumId w:val="27"/>
  </w:num>
  <w:num w:numId="23">
    <w:abstractNumId w:val="17"/>
  </w:num>
  <w:num w:numId="24">
    <w:abstractNumId w:val="12"/>
  </w:num>
  <w:num w:numId="25">
    <w:abstractNumId w:val="21"/>
  </w:num>
  <w:num w:numId="26">
    <w:abstractNumId w:val="20"/>
  </w:num>
  <w:num w:numId="27">
    <w:abstractNumId w:val="14"/>
  </w:num>
  <w:num w:numId="28">
    <w:abstractNumId w:val="28"/>
  </w:num>
  <w:num w:numId="29">
    <w:abstractNumId w:val="7"/>
  </w:num>
  <w:num w:numId="30">
    <w:abstractNumId w:val="2"/>
  </w:num>
  <w:num w:numId="31">
    <w:abstractNumId w:val="32"/>
  </w:num>
  <w:num w:numId="32">
    <w:abstractNumId w:val="34"/>
  </w:num>
  <w:num w:numId="33">
    <w:abstractNumId w:val="9"/>
  </w:num>
  <w:num w:numId="34">
    <w:abstractNumId w:val="2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377CB"/>
    <w:rsid w:val="2CF3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ascii="Times New Roman" w:hAnsi="Times New Roman" w:eastAsia="等线" w:cs="Times New Roman"/>
      <w:color w:val="auto"/>
      <w:spacing w:val="0"/>
      <w:position w:val="0"/>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8">
    <w:name w:val="Normal_4_0"/>
    <w:qFormat/>
    <w:uiPriority w:val="0"/>
    <w:rPr>
      <w:rFonts w:ascii="黑体" w:hAnsi="黑体" w:eastAsia="黑体" w:cs="Times New Roman"/>
      <w:b/>
      <w:sz w:val="32"/>
      <w:szCs w:val="24"/>
      <w:lang w:val="en-US" w:eastAsia="zh-CN" w:bidi="ar-SA"/>
    </w:rPr>
  </w:style>
  <w:style w:type="paragraph" w:customStyle="1" w:styleId="9">
    <w:name w:val="Normal_4"/>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2025-08-13T07:31:00Z</dcterms:created>
  <dc:creator>金太阳药业张亚辉</dc:creator>
  <cp:lastModifiedBy>金太阳药业张亚辉</cp:lastModifiedBy>
  <dcterms:modified xsi:type="dcterms:W3CDTF">2025-08-13T07:32:31Z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A84027E34BEA4F5F969B98CF50584404_11</vt:lpwstr>
  </property>
  <property fmtid="{D5CDD505-2E9C-101B-9397-08002B2CF9AE}" pid="4" name="KSOTemplateDocerSaveRecord">
    <vt:lpwstr>eyJoZGlkIjoiNTE3MTNkNDkwMTI5MzM0ZThkODcwMGU4Y2M1MTRkOTciLCJ1c2VySWQiOiIzODMwMzk5MjUifQ==</vt:lpwstr>
  </property>
</Properties>
</file>