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0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before="100" w:beforeAutospacing="1" w:after="100" w:afterAutospacing="1" w:line="560" w:lineRule="exact"/>
        <w:jc w:val="center"/>
        <w:rPr>
          <w:rFonts w:hint="default" w:ascii="Times New Roman" w:hAnsi="Times New Roman" w:eastAsia="华文中宋" w:cs="Times New Roman"/>
          <w:b/>
          <w:color w:val="000000"/>
          <w:sz w:val="44"/>
          <w:szCs w:val="44"/>
        </w:rPr>
      </w:pPr>
    </w:p>
    <w:p>
      <w:pPr>
        <w:spacing w:before="100" w:beforeAutospacing="1" w:after="100" w:afterAutospacing="1" w:line="560" w:lineRule="exact"/>
        <w:jc w:val="center"/>
        <w:rPr>
          <w:rFonts w:hint="default" w:ascii="Times New Roman" w:hAnsi="Times New Roman" w:eastAsia="华文中宋" w:cs="Times New Roman"/>
          <w:b/>
          <w:color w:val="000000"/>
          <w:sz w:val="44"/>
          <w:szCs w:val="44"/>
        </w:rPr>
      </w:pPr>
    </w:p>
    <w:p>
      <w:pPr>
        <w:spacing w:line="560" w:lineRule="exact"/>
        <w:jc w:val="center"/>
        <w:outlineLvl w:val="9"/>
        <w:rPr>
          <w:rFonts w:hint="eastAsia" w:ascii="微软雅黑" w:hAnsi="微软雅黑" w:eastAsia="微软雅黑" w:cs="微软雅黑"/>
          <w:b/>
          <w:color w:val="000000"/>
          <w:sz w:val="44"/>
          <w:szCs w:val="44"/>
          <w:lang w:val="en-AU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44"/>
          <w:szCs w:val="44"/>
          <w:lang w:val="en-AU" w:eastAsia="zh-CN"/>
        </w:rPr>
        <w:t>2022年度广东省装配式一体化隔墙安装工</w:t>
      </w:r>
    </w:p>
    <w:p>
      <w:pPr>
        <w:spacing w:line="560" w:lineRule="exact"/>
        <w:jc w:val="center"/>
        <w:outlineLvl w:val="9"/>
        <w:rPr>
          <w:rFonts w:hint="default" w:ascii="微软雅黑" w:hAnsi="微软雅黑" w:eastAsia="微软雅黑" w:cs="微软雅黑"/>
          <w:b/>
          <w:color w:val="000000"/>
          <w:sz w:val="44"/>
          <w:szCs w:val="44"/>
          <w:lang w:val="en-AU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44"/>
          <w:szCs w:val="44"/>
          <w:lang w:val="en-AU" w:eastAsia="zh-CN"/>
        </w:rPr>
        <w:t>职业技能竞赛</w:t>
      </w:r>
      <w:r>
        <w:rPr>
          <w:rFonts w:hint="default" w:ascii="微软雅黑" w:hAnsi="微软雅黑" w:eastAsia="微软雅黑" w:cs="微软雅黑"/>
          <w:b/>
          <w:color w:val="000000"/>
          <w:sz w:val="44"/>
          <w:szCs w:val="44"/>
          <w:lang w:val="en-AU" w:eastAsia="zh-CN"/>
        </w:rPr>
        <w:t>技术工作文件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2"/>
          <w:szCs w:val="32"/>
          <w:lang w:val="en-AU"/>
        </w:rPr>
      </w:pPr>
    </w:p>
    <w:p>
      <w:pPr>
        <w:pStyle w:val="7"/>
        <w:rPr>
          <w:rFonts w:hint="default"/>
          <w:lang w:val="en-AU"/>
        </w:rPr>
      </w:pPr>
    </w:p>
    <w:p>
      <w:pPr>
        <w:pStyle w:val="11"/>
        <w:rPr>
          <w:rFonts w:hint="default" w:ascii="Times New Roman" w:hAnsi="Times New Roman" w:eastAsia="微软雅黑" w:cs="Times New Roman"/>
          <w:lang w:eastAsia="zh-CN"/>
        </w:rPr>
      </w:pPr>
    </w:p>
    <w:p>
      <w:pPr>
        <w:spacing w:line="560" w:lineRule="exact"/>
        <w:rPr>
          <w:rFonts w:hint="default" w:ascii="Times New Roman" w:hAnsi="Times New Roman" w:cs="Times New Roman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lang w:val="en-AU"/>
        </w:rPr>
      </w:pPr>
    </w:p>
    <w:p>
      <w:pPr>
        <w:pStyle w:val="12"/>
        <w:ind w:firstLine="640"/>
        <w:rPr>
          <w:rFonts w:hint="default" w:ascii="Times New Roman" w:hAnsi="Times New Roman" w:cs="Times New Roman"/>
          <w:lang w:val="en-AU"/>
        </w:rPr>
      </w:pPr>
    </w:p>
    <w:p>
      <w:pPr>
        <w:pStyle w:val="12"/>
        <w:ind w:firstLine="0" w:firstLineChars="0"/>
        <w:rPr>
          <w:rFonts w:hint="default" w:ascii="Times New Roman" w:hAnsi="Times New Roman" w:cs="Times New Roman"/>
          <w:lang w:val="en-AU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2022年度广东省装配式一体化隔墙安装工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职业技能竞赛组委会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  <w:lang w:val="en-AU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AU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AU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AU"/>
        </w:rPr>
        <w:t>月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5692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仿宋" w:cs="Times New Roman"/>
          <w:b/>
          <w:kern w:val="2"/>
          <w:sz w:val="32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36"/>
              <w:szCs w:val="36"/>
            </w:rPr>
          </w:pPr>
          <w:r>
            <w:rPr>
              <w:rFonts w:hint="eastAsia" w:ascii="仿宋" w:hAnsi="仿宋" w:eastAsia="仿宋" w:cs="仿宋"/>
              <w:b/>
              <w:bCs/>
              <w:sz w:val="36"/>
              <w:szCs w:val="36"/>
            </w:rPr>
            <w:t>目</w:t>
          </w:r>
          <w:r>
            <w:rPr>
              <w:rFonts w:hint="eastAsia" w:ascii="仿宋" w:hAnsi="仿宋" w:eastAsia="仿宋" w:cs="仿宋"/>
              <w:b/>
              <w:bCs/>
              <w:sz w:val="36"/>
              <w:szCs w:val="36"/>
              <w:lang w:val="en-US" w:eastAsia="zh-CN"/>
            </w:rPr>
            <w:t xml:space="preserve">   </w:t>
          </w:r>
          <w:r>
            <w:rPr>
              <w:rFonts w:hint="eastAsia" w:ascii="仿宋" w:hAnsi="仿宋" w:eastAsia="仿宋" w:cs="仿宋"/>
              <w:b/>
              <w:bCs/>
              <w:sz w:val="36"/>
              <w:szCs w:val="36"/>
            </w:rPr>
            <w:t>录</w:t>
          </w:r>
        </w:p>
        <w:p>
          <w:pPr>
            <w:pStyle w:val="9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 w:val="32"/>
              <w:szCs w:val="32"/>
            </w:rPr>
            <w:instrText xml:space="preserve">TOC \o "1-2" \h \u </w:instrText>
          </w:r>
          <w:r>
            <w:rPr>
              <w:rFonts w:hint="default" w:ascii="Times New Roman" w:hAnsi="Times New Roman" w:eastAsia="仿宋" w:cs="Times New Roman"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szCs w:val="32"/>
            </w:rPr>
            <w:instrText xml:space="preserve"> HYPERLINK \l _Toc5315 </w:instrText>
          </w:r>
          <w:r>
            <w:rPr>
              <w:rFonts w:hint="eastAsia" w:ascii="仿宋" w:hAnsi="仿宋" w:eastAsia="仿宋" w:cs="仿宋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32"/>
            </w:rPr>
            <w:t>一、技术描述</w:t>
          </w:r>
          <w: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_Toc5315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1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_Toc10507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szCs w:val="32"/>
            </w:rPr>
            <w:t>（一）项目概要</w:t>
          </w:r>
          <w:r>
            <w:tab/>
          </w:r>
          <w:r>
            <w:fldChar w:fldCharType="begin"/>
          </w:r>
          <w:r>
            <w:instrText xml:space="preserve"> PAGEREF _Toc10507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_Toc22443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Times New Roman" w:hAnsi="Times New Roman" w:eastAsia="楷体" w:cs="Times New Roman"/>
              <w:szCs w:val="32"/>
            </w:rPr>
            <w:t>（二）竞赛内容与方式</w:t>
          </w:r>
          <w:r>
            <w:tab/>
          </w:r>
          <w:r>
            <w:fldChar w:fldCharType="begin"/>
          </w:r>
          <w:r>
            <w:instrText xml:space="preserve"> PAGEREF _Toc22443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_Toc19604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szCs w:val="32"/>
            </w:rPr>
            <w:t>（</w:t>
          </w:r>
          <w:r>
            <w:rPr>
              <w:rFonts w:hint="eastAsia" w:eastAsia="楷体" w:cs="Times New Roman"/>
              <w:szCs w:val="32"/>
              <w:lang w:val="en-US" w:eastAsia="zh-CN"/>
            </w:rPr>
            <w:t>三</w:t>
          </w:r>
          <w:r>
            <w:rPr>
              <w:rFonts w:hint="default" w:ascii="Times New Roman" w:hAnsi="Times New Roman" w:eastAsia="楷体" w:cs="Times New Roman"/>
              <w:szCs w:val="32"/>
            </w:rPr>
            <w:t>）基本知识与能力要求</w:t>
          </w:r>
          <w:r>
            <w:tab/>
          </w:r>
          <w:r>
            <w:fldChar w:fldCharType="begin"/>
          </w:r>
          <w:r>
            <w:instrText xml:space="preserve"> PAGEREF _Toc19604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_Toc25065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32"/>
            </w:rPr>
            <w:t>二、试题与评判标准</w:t>
          </w:r>
          <w:r>
            <w:tab/>
          </w:r>
          <w:r>
            <w:fldChar w:fldCharType="begin"/>
          </w:r>
          <w:r>
            <w:instrText xml:space="preserve"> PAGEREF _Toc25065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_Toc8813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szCs w:val="32"/>
            </w:rPr>
            <w:t>（一）试题（样题）</w:t>
          </w:r>
          <w:r>
            <w:tab/>
          </w:r>
          <w:r>
            <w:fldChar w:fldCharType="begin"/>
          </w:r>
          <w:r>
            <w:instrText xml:space="preserve"> PAGEREF _Toc8813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_Toc2378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szCs w:val="32"/>
            </w:rPr>
            <w:t>（二）比赛时间及试题具体内容</w:t>
          </w:r>
          <w:r>
            <w:tab/>
          </w:r>
          <w:r>
            <w:fldChar w:fldCharType="begin"/>
          </w:r>
          <w:r>
            <w:instrText xml:space="preserve"> PAGEREF _Toc2378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_Toc7587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szCs w:val="32"/>
            </w:rPr>
            <w:t>（三）</w:t>
          </w:r>
          <w:r>
            <w:rPr>
              <w:rFonts w:hint="default" w:ascii="Times New Roman" w:hAnsi="Times New Roman" w:eastAsia="楷体" w:cs="Times New Roman"/>
              <w:szCs w:val="32"/>
              <w:highlight w:val="none"/>
            </w:rPr>
            <w:t>评判标准</w:t>
          </w:r>
          <w:r>
            <w:tab/>
          </w:r>
          <w:r>
            <w:fldChar w:fldCharType="begin"/>
          </w:r>
          <w:r>
            <w:instrText xml:space="preserve"> PAGEREF _Toc7587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_Toc32569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32"/>
              <w:highlight w:val="none"/>
            </w:rPr>
            <w:t>三、</w:t>
          </w:r>
          <w:r>
            <w:rPr>
              <w:rFonts w:hint="eastAsia" w:ascii="仿宋" w:hAnsi="仿宋" w:eastAsia="仿宋" w:cs="仿宋"/>
              <w:bCs/>
              <w:szCs w:val="32"/>
              <w:highlight w:val="none"/>
              <w:lang w:val="en-US" w:eastAsia="zh-CN"/>
            </w:rPr>
            <w:t>评分流程及考核</w:t>
          </w:r>
          <w:r>
            <w:rPr>
              <w:rFonts w:hint="eastAsia" w:ascii="仿宋" w:hAnsi="仿宋" w:eastAsia="仿宋" w:cs="仿宋"/>
              <w:bCs/>
              <w:szCs w:val="32"/>
              <w:highlight w:val="none"/>
            </w:rPr>
            <w:t>细则</w:t>
          </w:r>
          <w:r>
            <w:tab/>
          </w:r>
          <w:r>
            <w:fldChar w:fldCharType="begin"/>
          </w:r>
          <w:r>
            <w:instrText xml:space="preserve"> PAGEREF _Toc32569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_Toc21059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szCs w:val="32"/>
            </w:rPr>
            <w:t>（一）</w:t>
          </w:r>
          <w:r>
            <w:rPr>
              <w:rFonts w:hint="eastAsia" w:ascii="楷体" w:hAnsi="楷体" w:eastAsia="楷体" w:cs="楷体"/>
              <w:bCs/>
              <w:szCs w:val="32"/>
              <w:highlight w:val="none"/>
              <w:lang w:val="en-US" w:eastAsia="zh-CN"/>
            </w:rPr>
            <w:t>评判流程</w:t>
          </w:r>
          <w:r>
            <w:tab/>
          </w:r>
          <w:r>
            <w:fldChar w:fldCharType="begin"/>
          </w:r>
          <w:r>
            <w:instrText xml:space="preserve"> PAGEREF _Toc21059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_Toc14000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zCs w:val="32"/>
              <w:highlight w:val="none"/>
              <w:lang w:val="en-US" w:eastAsia="zh-CN"/>
            </w:rPr>
            <w:t>（二）评判方法</w:t>
          </w:r>
          <w:r>
            <w:tab/>
          </w:r>
          <w:r>
            <w:fldChar w:fldCharType="begin"/>
          </w:r>
          <w:r>
            <w:instrText xml:space="preserve"> PAGEREF _Toc14000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_Toc25082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zCs w:val="32"/>
              <w:highlight w:val="none"/>
              <w:lang w:val="en-US" w:eastAsia="zh-CN"/>
            </w:rPr>
            <w:t>（三）考核细则</w:t>
          </w:r>
          <w:r>
            <w:tab/>
          </w:r>
          <w:r>
            <w:fldChar w:fldCharType="begin"/>
          </w:r>
          <w:r>
            <w:instrText xml:space="preserve"> PAGEREF _Toc25082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_Toc17115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Cs w:val="32"/>
              <w:highlight w:val="none"/>
            </w:rPr>
            <w:t>四、竞赛场地、设施设备安排</w:t>
          </w:r>
          <w:r>
            <w:tab/>
          </w:r>
          <w:r>
            <w:fldChar w:fldCharType="begin"/>
          </w:r>
          <w:r>
            <w:instrText xml:space="preserve"> PAGEREF _Toc17115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_Toc29355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zCs w:val="32"/>
            </w:rPr>
            <w:t>（一）赛场规格要求</w:t>
          </w:r>
          <w:r>
            <w:tab/>
          </w:r>
          <w:r>
            <w:fldChar w:fldCharType="begin"/>
          </w:r>
          <w:r>
            <w:instrText xml:space="preserve"> PAGEREF _Toc29355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_Toc15314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zCs w:val="32"/>
            </w:rPr>
            <w:t>（二）场地布局图</w:t>
          </w:r>
          <w:r>
            <w:tab/>
          </w:r>
          <w:r>
            <w:fldChar w:fldCharType="begin"/>
          </w:r>
          <w:r>
            <w:instrText xml:space="preserve"> PAGEREF _Toc15314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_Toc9930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zCs w:val="32"/>
              <w:highlight w:val="none"/>
              <w:lang w:val="en-US" w:eastAsia="zh-CN"/>
            </w:rPr>
            <w:t>（三）</w:t>
          </w:r>
          <w:r>
            <w:rPr>
              <w:rFonts w:hint="eastAsia" w:ascii="楷体" w:hAnsi="楷体" w:eastAsia="楷体" w:cs="楷体"/>
              <w:bCs/>
              <w:szCs w:val="32"/>
              <w:lang w:val="en-US" w:eastAsia="zh-CN"/>
            </w:rPr>
            <w:t>场地消防和逃生要求</w:t>
          </w:r>
          <w:r>
            <w:tab/>
          </w:r>
          <w:r>
            <w:fldChar w:fldCharType="begin"/>
          </w:r>
          <w:r>
            <w:instrText xml:space="preserve"> PAGEREF _Toc9930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_Toc25099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zCs w:val="32"/>
            </w:rPr>
            <w:t>（</w:t>
          </w:r>
          <w:r>
            <w:rPr>
              <w:rFonts w:hint="eastAsia" w:ascii="楷体" w:hAnsi="楷体" w:eastAsia="楷体" w:cs="楷体"/>
              <w:bCs/>
              <w:szCs w:val="32"/>
              <w:lang w:val="en-US" w:eastAsia="zh-CN"/>
            </w:rPr>
            <w:t>四</w:t>
          </w:r>
          <w:r>
            <w:rPr>
              <w:rFonts w:hint="eastAsia" w:ascii="楷体" w:hAnsi="楷体" w:eastAsia="楷体" w:cs="楷体"/>
              <w:bCs/>
              <w:szCs w:val="32"/>
            </w:rPr>
            <w:t>）基础设施清单</w:t>
          </w:r>
          <w:r>
            <w:tab/>
          </w:r>
          <w:r>
            <w:fldChar w:fldCharType="begin"/>
          </w:r>
          <w:r>
            <w:instrText xml:space="preserve"> PAGEREF _Toc25099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rFonts w:hint="eastAsia" w:eastAsia="仿宋"/>
              <w:lang w:val="en-US" w:eastAsia="zh-CN"/>
            </w:rPr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_Toc15990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32"/>
              <w:highlight w:val="none"/>
              <w:lang w:val="en-US" w:eastAsia="zh-CN"/>
            </w:rPr>
            <w:t>五、</w:t>
          </w:r>
          <w:r>
            <w:rPr>
              <w:rFonts w:hint="default" w:ascii="仿宋" w:hAnsi="仿宋" w:eastAsia="仿宋" w:cs="仿宋"/>
              <w:bCs/>
              <w:szCs w:val="32"/>
              <w:highlight w:val="none"/>
              <w:lang w:val="en-US" w:eastAsia="zh-CN"/>
            </w:rPr>
            <w:t>项目特殊说明</w:t>
          </w:r>
          <w:r>
            <w:tab/>
          </w:r>
          <w:r>
            <w:fldChar w:fldCharType="begin"/>
          </w:r>
          <w:r>
            <w:instrText xml:space="preserve"> PAGEREF _Toc28880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_Toc28880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lang w:val="en-US" w:eastAsia="zh-CN"/>
            </w:rPr>
            <w:t>（</w:t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一) 赛场纪律</w:t>
          </w:r>
          <w:r>
            <w:tab/>
          </w:r>
          <w:r>
            <w:fldChar w:fldCharType="begin"/>
          </w:r>
          <w:r>
            <w:instrText xml:space="preserve"> PAGEREF _Toc28880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_Toc11362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（二）参赛选手须知</w:t>
          </w:r>
          <w:r>
            <w:tab/>
          </w:r>
          <w:r>
            <w:fldChar w:fldCharType="begin"/>
          </w:r>
          <w:r>
            <w:instrText xml:space="preserve"> PAGEREF _Toc11362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_Toc23168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2"/>
              <w:lang w:val="en-US" w:eastAsia="zh-CN" w:bidi="ar"/>
            </w:rPr>
            <w:t>（三）工作人员须知</w:t>
          </w:r>
          <w:r>
            <w:tab/>
          </w:r>
          <w:r>
            <w:fldChar w:fldCharType="begin"/>
          </w:r>
          <w:r>
            <w:instrText xml:space="preserve"> PAGEREF _Toc23168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_Toc25496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32"/>
              <w:highlight w:val="none"/>
              <w:lang w:val="en-US" w:eastAsia="zh-CN"/>
            </w:rPr>
            <w:t>六</w:t>
          </w:r>
          <w:r>
            <w:rPr>
              <w:rFonts w:hint="default" w:ascii="仿宋" w:hAnsi="仿宋" w:eastAsia="仿宋" w:cs="仿宋"/>
              <w:bCs/>
              <w:szCs w:val="32"/>
              <w:highlight w:val="none"/>
              <w:lang w:val="en-US" w:eastAsia="zh-CN"/>
            </w:rPr>
            <w:t>、安全健康和防疫要求</w:t>
          </w:r>
          <w:r>
            <w:tab/>
          </w:r>
          <w:r>
            <w:fldChar w:fldCharType="begin"/>
          </w:r>
          <w:r>
            <w:instrText xml:space="preserve"> PAGEREF _Toc25496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_Toc11305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1"/>
              <w:lang w:val="en-US" w:eastAsia="zh-CN" w:bidi="ar"/>
            </w:rPr>
            <w:t>(一) 安全健康保障</w:t>
          </w:r>
          <w:r>
            <w:tab/>
          </w:r>
          <w:r>
            <w:fldChar w:fldCharType="begin"/>
          </w:r>
          <w:r>
            <w:instrText xml:space="preserve"> PAGEREF _Toc11305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32"/>
            </w:rPr>
            <w:instrText xml:space="preserve"> HYPERLINK \l _Toc3159 </w:instrText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Cs w:val="31"/>
              <w:lang w:val="en-US" w:eastAsia="zh-CN" w:bidi="ar"/>
            </w:rPr>
            <w:t>(二) 防疫要求</w:t>
          </w:r>
          <w:r>
            <w:tab/>
          </w:r>
          <w:r>
            <w:fldChar w:fldCharType="begin"/>
          </w:r>
          <w:r>
            <w:instrText xml:space="preserve"> PAGEREF _Toc3159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  <w:p>
          <w:pPr>
            <w:spacing w:after="160" w:line="560" w:lineRule="exact"/>
            <w:ind w:firstLine="640" w:firstLineChars="200"/>
            <w:rPr>
              <w:rFonts w:hint="default" w:ascii="Times New Roman" w:hAnsi="Times New Roman" w:eastAsia="仿宋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" w:cs="Times New Roman"/>
              <w:szCs w:val="32"/>
            </w:rPr>
            <w:fldChar w:fldCharType="end"/>
          </w:r>
        </w:p>
      </w:sdtContent>
    </w:sdt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Toc27983_WPSOffice_Level1"/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1" w:name="_Toc5315"/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一、技术描述</w:t>
      </w:r>
      <w:bookmarkEnd w:id="0"/>
      <w:bookmarkEnd w:id="1"/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bookmarkStart w:id="2" w:name="_Toc10507"/>
      <w:r>
        <w:rPr>
          <w:rFonts w:hint="default" w:ascii="Times New Roman" w:hAnsi="Times New Roman" w:eastAsia="楷体" w:cs="Times New Roman"/>
          <w:sz w:val="32"/>
          <w:szCs w:val="32"/>
        </w:rPr>
        <w:t>（一）项目概要</w:t>
      </w:r>
      <w:bookmarkEnd w:id="2"/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竞赛项目为：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一体化隔墙安装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，设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职工组</w:t>
      </w:r>
      <w:r>
        <w:rPr>
          <w:rFonts w:hint="eastAsia" w:eastAsia="仿宋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一体化隔墙安装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项目是指使用手工工具、机具，按设计要求对装配式装饰一体化墙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安装施工。比赛中对选手的技能要求主要包括：识读装饰施工图；正确选择、组装和使用工具或设备；材料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配备与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质量检验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建筑物原结构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基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处理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；放线；板材切割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装板；管线预埋板的安装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板缝处理与养护；接通预埋的管线；接通预埋的冷热水管管路；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施工质量检查</w:t>
      </w:r>
      <w:r>
        <w:rPr>
          <w:rFonts w:hint="default" w:eastAsia="仿宋" w:cs="Times New Roman"/>
          <w:sz w:val="32"/>
          <w:szCs w:val="32"/>
          <w:highlight w:val="none"/>
          <w:lang w:eastAsia="zh-CN"/>
        </w:rPr>
        <w:t>。</w:t>
      </w:r>
    </w:p>
    <w:p>
      <w:pPr>
        <w:pStyle w:val="12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选手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以分组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项目的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方式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outlineLvl w:val="1"/>
        <w:rPr>
          <w:rFonts w:hint="eastAsia" w:ascii="Times New Roman" w:hAnsi="Times New Roman" w:eastAsia="楷体" w:cs="Times New Roman"/>
          <w:sz w:val="32"/>
          <w:szCs w:val="32"/>
          <w:highlight w:val="none"/>
        </w:rPr>
      </w:pPr>
      <w:bookmarkStart w:id="3" w:name="_Toc22443"/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（二）竞赛内容与方式</w:t>
      </w:r>
      <w:bookmarkEnd w:id="3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竞赛内容包括理论知识和操作技能两部分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理论知识占总分数的30%，操作技能占总分数的70%。按总分数排名择优奖励。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1. 理论知识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一体化隔墙安装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专业基础理论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技术原理及相关知识等。采取笔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方式进行，竞赛时间为1个小时。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2. 操作技能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一体化隔墙安装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。以现场实际操作的方式进行，按要求完成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操作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项目任务，竞赛时间为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小时。</w:t>
      </w:r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bookmarkStart w:id="4" w:name="_Toc19604"/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</w:t>
      </w:r>
      <w:r>
        <w:rPr>
          <w:rFonts w:hint="eastAsia" w:eastAsia="楷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）基本知识与能力要求</w:t>
      </w:r>
      <w:bookmarkEnd w:id="4"/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竞赛标准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装配式一体墙安装工职业技能标准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行业规范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如</w:t>
      </w:r>
      <w:r>
        <w:rPr>
          <w:rFonts w:hint="eastAsia" w:cs="Times New Roman"/>
          <w:sz w:val="32"/>
          <w:szCs w:val="32"/>
          <w:highlight w:val="none"/>
          <w:lang w:eastAsia="zh-CN"/>
        </w:rPr>
        <w:t>JGJT 157-2014《建筑轻质条板隔墙技术规程》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为依据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适当增加新知识、新技术、新设备、新技能等相关内容。相关要求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如下：</w:t>
      </w:r>
    </w:p>
    <w:p>
      <w:pPr>
        <w:ind w:firstLine="630" w:firstLineChars="196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基本要求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(1)遵守国家法律法规和有关规定。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(2)热爱本职工作，自觉履行装配式一体化墙安装工工作职责。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(3)认真领会设计意图，精心操作，严格按图施工。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(4)互相协作，密切配合，共同完成任务。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(5)听从指挥，服从分配，遵守劳动纪律。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(6)做到安全、文明施工，杜绝事故，防患未然。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(7)树立质量第一的思想，做到精益求精，确保工程质量。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(8)工作认真负责，严于律已，不骄不躁，吃苦耐劳。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(9)钻研业务，努力提高专业技能。</w:t>
      </w:r>
    </w:p>
    <w:p>
      <w:pPr>
        <w:ind w:firstLine="643" w:firstLineChars="20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  <w:t>理论知识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2.1相关法律、法规知识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劳动法、建筑法、消防法、合同法等相关条款。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2.2装配式一体化墙安装工须知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(1)装饰行业发展简史。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(2)装配式一体化墙安装工程质量标准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依据</w:t>
      </w:r>
      <w:r>
        <w:rPr>
          <w:rFonts w:hint="eastAsia" w:cs="Times New Roman"/>
          <w:sz w:val="32"/>
          <w:szCs w:val="32"/>
          <w:highlight w:val="none"/>
          <w:lang w:eastAsia="zh-CN"/>
        </w:rPr>
        <w:t>JGJT 157-2014《建筑轻质条板隔墙技术规程》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(3)岗位责任制和规范要求。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(4)室内外装饰装修注意事项。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(5)文明施工及环境保护意识。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(6)安全防范意识。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2.3装配式一体化墙安装专业基础知识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(1)装配式一体化墙安装基本概念、施工规范和质量要求。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(2)装配式一体化墙施工图识图。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(3)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管线连接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构造。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(4)装饰材料的基本知识：填缝料材料基本知识、填缝料配制知识、复合夹芯条板的材料知识、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金属连接件及锚固件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知识。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(5)安装工具知识。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(6)安装工艺知识。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(7)施工环境要求。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(8)一般装配式一体化墙安装常出现的质量问题，包括复合夹芯条板墙开裂现象、松动现象、墙体垂直度偏差问题、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管线错位等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预防措施。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(9)复合夹芯条板墙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安装位置基面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处理质量要求。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(10)复合夹芯条板安装的质量标准及允许偏差；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管线连接工艺及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允许偏差。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(11)装配式一体化墙安装常出现的问题，包括开裂现象、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松动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现象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管线错位等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及其预防措施。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(12)测量放线、排版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与接管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知识。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(13)安全施工知识。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(14)施工操作、验收规范。</w:t>
      </w:r>
    </w:p>
    <w:p>
      <w:pPr>
        <w:ind w:firstLine="643" w:firstLineChars="200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技能要求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41"/>
        <w:gridCol w:w="2005"/>
        <w:gridCol w:w="4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职业功能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工作内容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技能要求</w:t>
            </w:r>
          </w:p>
        </w:tc>
        <w:tc>
          <w:tcPr>
            <w:tcW w:w="46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5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施工准备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（一）识图</w:t>
            </w: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1、能够识读一体化墙体施工图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能正确识读出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施工图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内容，包括图线名称、尺寸标识、符号种类、附图说明等，不会出现偏差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2.能正确领会设计要求及效果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(二)工具准备</w:t>
            </w: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能够正确选用工具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正确辩别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工具的种类及用途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2.工具的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正确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(三)材料准备</w:t>
            </w: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能够按施工用量的需要，准确配备材料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1.填缝料的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调制，确保正确配比与调制效果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2.板材的堆叠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搬运与分拣，确保板材完整无缺损，正确分拣各规格与品类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05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复合夹芯条板施工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(一)基层检查处理</w:t>
            </w: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1.能够运用工具将地面表面的浮灰、污垢油渍等清除干净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并对基层进行酒水湿润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1.地面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清理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方法与干净程度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.施工部位基层面的洒水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处理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（二）放线</w:t>
            </w: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1.能够对施工现场进行放线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1.根据图纸勘察现场情况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2.根据现场的轴线放出隔墙的位置线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3.放出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预留管线点位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的位置线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（三）复合夹芯条板安装</w:t>
            </w: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1．板材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裁切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1.现场尺寸测量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2.板材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预留套管的位置加工及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优化利用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3.使用电动切割工具切割板材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切口平顺整齐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4.现场扬尘控制，避免尘粉飞扬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2．装板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1.靠柱子端，柱子接触面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采用抗震卡件固定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使用灰刀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给板材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上浆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.用辅助工具装板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安装到位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.装板后，板材校正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.板材固定，方法与技巧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.板材安装的顺序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3.管线预埋板的安装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1.能按照图纸标示准确识别管线预埋板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编号、安装位置、点位位置、正反面及上下端朝向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对需要连接套管部位开工艺槽口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3.把预埋管线板材的线管与主体预埋线管接通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4.板缝处理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1.板面缝隙的外观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板缝及连接位置的压缝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勾缝处理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（四）检查与修复</w:t>
            </w: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1.复核图纸与现场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1.图纸与现场施工复核，确保无错漏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2.水电点位复核，确认无错漏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0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20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2.整改修复</w:t>
            </w:r>
          </w:p>
        </w:tc>
        <w:tc>
          <w:tcPr>
            <w:tcW w:w="46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1.检查有错的地方进行整改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2.墙体接缝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及槽口，以及施工过程崩缺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 xml:space="preserve">地方进行修复 </w:t>
            </w:r>
          </w:p>
        </w:tc>
      </w:tr>
    </w:tbl>
    <w:p>
      <w:pPr>
        <w:pStyle w:val="7"/>
        <w:ind w:firstLine="643" w:firstLineChars="200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</w:pPr>
    </w:p>
    <w:p>
      <w:pPr>
        <w:pStyle w:val="7"/>
        <w:ind w:firstLine="643" w:firstLineChars="200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  <w:t>4.各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-SA"/>
        </w:rPr>
        <w:t>要求权重比例如下表：</w:t>
      </w:r>
    </w:p>
    <w:tbl>
      <w:tblPr>
        <w:tblStyle w:val="13"/>
        <w:tblW w:w="4825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597"/>
        <w:gridCol w:w="3544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39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理论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考试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权重比例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(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基本要求</w:t>
            </w:r>
          </w:p>
        </w:tc>
        <w:tc>
          <w:tcPr>
            <w:tcW w:w="30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墙板施工规程基础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安装要求、安全文明要求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30%分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39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技能操作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权重比例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(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技能要求</w:t>
            </w:r>
          </w:p>
        </w:tc>
        <w:tc>
          <w:tcPr>
            <w:tcW w:w="9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施工准备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识图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工具准备与维修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材料准备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制浆、板材分拣正确）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复合夹芯条板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施工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基层处理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板材裁切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装板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管线预埋板安装连接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板缝处理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39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扣分项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按每项扣分，累计最多20分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安全文明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安全措施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未正确佩戴安全帽；未正确使用脚手架；以危险方式使用工具设备；墙体搬运和立板过程出现重大失误和危险行为等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每出现一项，扣罚1-2分，累计最多扣罚5分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粉尘和固废控制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未有效控制粉尘飞扬，严重污染现场环境；未合理裁切和控制板材损耗，造成大量废料；其它对周这环境严重影响行为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每出现一项，扣罚1-2分，累计最多扣罚5分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考场纪律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出现考试作弊行为；不服从考场纪律和工作人员要求等行为；其它严重影响考场纪律行为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每出现一项，扣罚10分，累计最多扣罚20分。情节严重者，经裁判委员会认定可直接取消其参赛资格和考试成绩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39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分</w:t>
            </w:r>
          </w:p>
        </w:tc>
      </w:tr>
    </w:tbl>
    <w:p>
      <w:pPr>
        <w:pStyle w:val="4"/>
        <w:rPr>
          <w:rFonts w:hint="default"/>
        </w:rPr>
      </w:pP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5" w:name="_Toc27970_WPSOffice_Level1"/>
      <w:bookmarkStart w:id="6" w:name="_Toc25065"/>
      <w:r>
        <w:rPr>
          <w:rFonts w:hint="default" w:ascii="Times New Roman" w:hAnsi="Times New Roman" w:eastAsia="黑体" w:cs="Times New Roman"/>
          <w:bCs/>
          <w:sz w:val="32"/>
          <w:szCs w:val="32"/>
        </w:rPr>
        <w:t>二、试题与评判标准</w:t>
      </w:r>
      <w:bookmarkEnd w:id="5"/>
      <w:bookmarkEnd w:id="6"/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bookmarkStart w:id="7" w:name="_Toc8813"/>
      <w:r>
        <w:rPr>
          <w:rFonts w:hint="default" w:ascii="Times New Roman" w:hAnsi="Times New Roman" w:eastAsia="楷体" w:cs="Times New Roman"/>
          <w:sz w:val="32"/>
          <w:szCs w:val="32"/>
        </w:rPr>
        <w:t>（一）试题（样题）</w:t>
      </w:r>
      <w:bookmarkEnd w:id="7"/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理论考试有单选题、多选题、判断题三种题型。</w:t>
      </w:r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bookmarkStart w:id="8" w:name="_Toc2378"/>
      <w:r>
        <w:rPr>
          <w:rFonts w:hint="default" w:ascii="Times New Roman" w:hAnsi="Times New Roman" w:eastAsia="楷体" w:cs="Times New Roman"/>
          <w:sz w:val="32"/>
          <w:szCs w:val="32"/>
        </w:rPr>
        <w:t>（二）比赛时间及试题具体内容</w:t>
      </w:r>
      <w:bookmarkEnd w:id="8"/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比赛时间安排：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理论考试 60 分钟，实操 </w:t>
      </w:r>
      <w:r>
        <w:rPr>
          <w:rFonts w:hint="eastAsia" w:eastAsia="仿宋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分钟。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试题：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根据能公开尽量公开的原则，理论</w:t>
      </w:r>
      <w:r>
        <w:rPr>
          <w:rFonts w:hint="eastAsia" w:eastAsia="仿宋" w:cs="Times New Roman"/>
          <w:sz w:val="32"/>
          <w:szCs w:val="32"/>
          <w:lang w:val="en-US" w:eastAsia="zh-CN"/>
        </w:rPr>
        <w:t>试题在理论培训过程都基本会涉及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，正式赛题由专家组对公布的赛题的内容进行30%以内的修改命制。</w:t>
      </w:r>
    </w:p>
    <w:p>
      <w:pPr>
        <w:spacing w:line="560" w:lineRule="exact"/>
        <w:ind w:firstLine="640" w:firstLineChars="200"/>
        <w:rPr>
          <w:rFonts w:hint="default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理论赛题抽取是在大赛组委会监督仲裁组的监督下，在专家组提供的题库中，随机抽取。</w:t>
      </w:r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bookmarkStart w:id="9" w:name="_Toc7587"/>
      <w:r>
        <w:rPr>
          <w:rFonts w:hint="default" w:ascii="Times New Roman" w:hAnsi="Times New Roman" w:eastAsia="楷体" w:cs="Times New Roman"/>
          <w:sz w:val="32"/>
          <w:szCs w:val="32"/>
        </w:rPr>
        <w:t>（三）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评判标准</w:t>
      </w:r>
      <w:bookmarkEnd w:id="9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分数权重：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理论：卷面分值100分，占总分值 30%。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实操：卷面分值100分，占总分值 70%。 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竞赛总成绩 = 理论成绩</w:t>
      </w:r>
      <w:r>
        <w:rPr>
          <w:rFonts w:hint="default" w:ascii="Arial" w:hAnsi="Arial" w:eastAsia="仿宋" w:cs="Arial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30%+实操成绩</w:t>
      </w:r>
      <w:r>
        <w:rPr>
          <w:rFonts w:hint="default" w:ascii="Arial" w:hAnsi="Arial" w:eastAsia="仿宋" w:cs="Arial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70%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成绩并列：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名次的排序根据选手竞赛总成绩从高到低依次排定。若出现成绩并列的情况，以实操任务得分高者优先。若实操得分相同，以实操用时少者优先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bookmarkStart w:id="10" w:name="_Toc32569"/>
      <w:bookmarkStart w:id="11" w:name="_Toc21803_WPSOffice_Level1"/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评分流程及考核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细则</w:t>
      </w:r>
      <w:bookmarkEnd w:id="10"/>
      <w:bookmarkEnd w:id="11"/>
    </w:p>
    <w:p>
      <w:pPr>
        <w:spacing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2" w:name="_Toc21059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(一)评判流程</w:t>
      </w:r>
      <w:bookmarkEnd w:id="1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实际操作竞赛评分由结果评分、违规扣分两部分组成。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1.结果评分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结果评分由评分裁判根据评分细则，对选手提交的成果进行评分，并记录评分结果；若评分裁判对选手的评分有分歧时，由裁判长裁决。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2.违规扣分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选手比赛中有下列情形者将予以扣分：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(1)安全文明措施。表现不规范、不达标，包括安全用具的佩戴和使用、操作步骤、操作方法、操作规范性等，累计扣总分5%以内。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(2)对粉尘、固废等环境影响。在完成工作任务的过程中，因操作不当导致严重影响现场环境行为，如扬尘、固废等，累计扣总分5%以内。如情况严重者经裁判委员会认定取消比赛资格。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(3)违反赛场纪律行为。如考试作弊、不服从工作人员安排、故意损坏赛场设施设备严重不符合职业规范的行为，视情节扣总分10%，情况严重者经裁判委员会认定取消比赛资格。 </w:t>
      </w:r>
    </w:p>
    <w:p>
      <w:pPr>
        <w:spacing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13" w:name="_Toc1400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（二）评判方法</w:t>
      </w:r>
      <w:bookmarkEnd w:id="13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采用结果评分的任务，将根据任务书要求的内容，对选手完成的成果进行评判。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2.评判方法规范、统一、标准，保证对所有选手一致。</w:t>
      </w:r>
    </w:p>
    <w:p>
      <w:pPr>
        <w:spacing w:line="560" w:lineRule="exact"/>
        <w:ind w:firstLine="643" w:firstLineChars="200"/>
        <w:outlineLvl w:val="1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bookmarkStart w:id="14" w:name="_Toc25082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考核细则</w:t>
      </w:r>
      <w:bookmarkEnd w:id="14"/>
    </w:p>
    <w:tbl>
      <w:tblPr>
        <w:tblStyle w:val="13"/>
        <w:tblpPr w:leftFromText="180" w:rightFromText="180" w:vertAnchor="text" w:horzAnchor="page" w:tblpXSpec="center" w:tblpY="461"/>
        <w:tblOverlap w:val="never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967"/>
        <w:gridCol w:w="1545"/>
        <w:gridCol w:w="1038"/>
        <w:gridCol w:w="4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项目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2583" w:type="dxa"/>
            <w:gridSpan w:val="2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评分标准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545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评分细则</w:t>
            </w:r>
          </w:p>
        </w:tc>
        <w:tc>
          <w:tcPr>
            <w:tcW w:w="1038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469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施工操作</w:t>
            </w:r>
          </w:p>
        </w:tc>
        <w:tc>
          <w:tcPr>
            <w:tcW w:w="967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识图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0-5分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对图纸正确识别，无出现偏差和不符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工具准备与维修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0-5分</w:t>
            </w:r>
          </w:p>
        </w:tc>
        <w:tc>
          <w:tcPr>
            <w:tcW w:w="46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能正确识别和使用各种工具，未出现明显违规和失误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材料准备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制浆、板材分拣正确）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0-5分</w:t>
            </w:r>
          </w:p>
        </w:tc>
        <w:tc>
          <w:tcPr>
            <w:tcW w:w="46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1.填缝料的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调制，确保正确配比与调制效果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2.板材的堆叠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搬运与分拣，确保板材完整无缺损，正确分拣各规格与品类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基层处理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0-10分</w:t>
            </w:r>
          </w:p>
        </w:tc>
        <w:tc>
          <w:tcPr>
            <w:tcW w:w="469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1.地面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方法与干净程度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.施工部位基层面的洒水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restar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施工厚度</w:t>
            </w:r>
          </w:p>
        </w:tc>
        <w:tc>
          <w:tcPr>
            <w:tcW w:w="967" w:type="dxa"/>
            <w:vMerge w:val="restar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545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板材裁切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0-15分</w:t>
            </w:r>
          </w:p>
        </w:tc>
        <w:tc>
          <w:tcPr>
            <w:tcW w:w="469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1.使用电动切割工具切割板材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切口平顺整齐，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4.现场扬尘控制，避免尘粉飞扬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545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装板</w:t>
            </w:r>
          </w:p>
        </w:tc>
        <w:tc>
          <w:tcPr>
            <w:tcW w:w="1038" w:type="dxa"/>
            <w:tcBorders>
              <w:bottom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0-25分</w:t>
            </w:r>
          </w:p>
        </w:tc>
        <w:tc>
          <w:tcPr>
            <w:tcW w:w="469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使用自钻螺栓将抗震卡件牢固固定在钢构件上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2.聚合物砂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浆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涂抹均匀，所有接逢处均无漏涂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条板安装到位，无明显偏差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表面平整度和垂直度均控制在3mm/2米范围（采用靠尺和楔型塞尽测量）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5.安装后用手推，无松动、摇晃及不稳情况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restar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缝宽均匀</w:t>
            </w:r>
          </w:p>
        </w:tc>
        <w:tc>
          <w:tcPr>
            <w:tcW w:w="967" w:type="dxa"/>
            <w:vMerge w:val="restar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1545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管线预埋板安装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0-20分</w:t>
            </w:r>
          </w:p>
        </w:tc>
        <w:tc>
          <w:tcPr>
            <w:tcW w:w="469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安装正确，对接精准，无出现明显偏离或无法对接情况每出现一项扣罚2.5分，直到累计最多扣罚5分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545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板缝处理</w:t>
            </w:r>
          </w:p>
        </w:tc>
        <w:tc>
          <w:tcPr>
            <w:tcW w:w="1038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0-15分</w:t>
            </w:r>
          </w:p>
        </w:tc>
        <w:tc>
          <w:tcPr>
            <w:tcW w:w="469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检测缝宽度控制在5-8mm内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所有接缝均进行压缝勾缝处理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15" w:type="dxa"/>
            <w:gridSpan w:val="4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总分</w:t>
            </w:r>
          </w:p>
        </w:tc>
        <w:tc>
          <w:tcPr>
            <w:tcW w:w="469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100分</w:t>
            </w:r>
          </w:p>
        </w:tc>
      </w:tr>
    </w:tbl>
    <w:p>
      <w:pP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15" w:name="_Toc17115"/>
      <w:bookmarkStart w:id="16" w:name="_Toc6807_WPSOffice_Level1"/>
      <w:r>
        <w:rPr>
          <w:rFonts w:hint="default" w:ascii="Times New Roman" w:hAnsi="Times New Roman" w:eastAsia="黑体" w:cs="Times New Roman"/>
          <w:bCs/>
          <w:sz w:val="32"/>
          <w:szCs w:val="32"/>
        </w:rPr>
        <w:t>四、竞赛场地、设施设备安排</w:t>
      </w:r>
      <w:bookmarkEnd w:id="15"/>
      <w:bookmarkEnd w:id="16"/>
    </w:p>
    <w:p>
      <w:pPr>
        <w:spacing w:line="560" w:lineRule="exact"/>
        <w:ind w:firstLine="643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17" w:name="_Toc29355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（一）赛场规格要求</w:t>
      </w:r>
      <w:bookmarkEnd w:id="17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本项目场地总体面积（总长度47米、总宽度30米），工位数量21个，每个工位的面积27平方米（长度6.0米、宽度4.5 米）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4"/>
        </w:numPr>
        <w:spacing w:line="560" w:lineRule="exact"/>
        <w:ind w:firstLine="643" w:firstLineChars="200"/>
        <w:outlineLvl w:val="1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</w:rPr>
      </w:pPr>
      <w:bookmarkStart w:id="18" w:name="_Toc15314"/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</w:rPr>
        <w:t>场地布局图</w:t>
      </w:r>
      <w:bookmarkEnd w:id="18"/>
    </w:p>
    <w:p>
      <w:pPr>
        <w:pStyle w:val="2"/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eastAsia="黑体"/>
          <w:lang w:eastAsia="zh-CN"/>
        </w:rPr>
        <w:drawing>
          <wp:inline distT="0" distB="0" distL="114300" distR="114300">
            <wp:extent cx="4885690" cy="5948045"/>
            <wp:effectExtent l="0" t="0" r="6350" b="10795"/>
            <wp:docPr id="2" name="图片 2" descr="5fcf6226226fe7ff99fd34d14aec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cf6226226fe7ff99fd34d14aec8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594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cap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bookmarkStart w:id="19" w:name="_Toc9930"/>
      <w:r>
        <w:rPr>
          <w:rFonts w:hint="eastAsia" w:ascii="楷体_GB2312" w:hAnsi="楷体_GB2312" w:eastAsia="楷体_GB2312" w:cs="楷体_GB2312"/>
          <w:b/>
          <w:bCs/>
          <w:caps w:val="0"/>
          <w:color w:val="auto"/>
          <w:kern w:val="2"/>
          <w:sz w:val="32"/>
          <w:szCs w:val="32"/>
          <w:lang w:val="en-US" w:eastAsia="zh-CN" w:bidi="ar-SA"/>
        </w:rPr>
        <w:t>(三) 场地消防和逃生要求</w:t>
      </w:r>
      <w:bookmarkEnd w:id="19"/>
      <w:r>
        <w:rPr>
          <w:rFonts w:hint="eastAsia" w:ascii="楷体_GB2312" w:hAnsi="楷体_GB2312" w:eastAsia="楷体_GB2312" w:cs="楷体_GB2312"/>
          <w:b/>
          <w:bCs/>
          <w:cap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1.赛场必须留有安全通道。竞赛前必须明确告诉选手和裁判员安全通道和安全门位置。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2.赛场必须配备灭火设备，并置于显著位置。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3.赛场应具备良好的通风、照明和操作空间的条件。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4.组委会应做好竞赛安全、健康和公共卫生及突发事件预防与应急处理等工作。 </w:t>
      </w:r>
    </w:p>
    <w:p>
      <w:pPr>
        <w:spacing w:line="560" w:lineRule="exact"/>
        <w:ind w:firstLine="643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20" w:name="_Toc25099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）基础设施清单</w:t>
      </w:r>
      <w:bookmarkEnd w:id="20"/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1.实操</w:t>
      </w:r>
      <w:r>
        <w:rPr>
          <w:rFonts w:hint="eastAsia" w:ascii="仿宋" w:hAnsi="仿宋" w:eastAsia="仿宋" w:cs="仿宋"/>
          <w:sz w:val="32"/>
          <w:szCs w:val="32"/>
        </w:rPr>
        <w:t>赛场提供竞赛相关的设施、设备（无需选手自带）。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实操</w:t>
      </w:r>
      <w:r>
        <w:rPr>
          <w:rFonts w:hint="eastAsia" w:ascii="仿宋" w:hAnsi="仿宋" w:eastAsia="仿宋" w:cs="仿宋"/>
          <w:sz w:val="32"/>
          <w:szCs w:val="32"/>
        </w:rPr>
        <w:t>赛场提供设施、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清单表</w:t>
      </w:r>
    </w:p>
    <w:tbl>
      <w:tblPr>
        <w:tblStyle w:val="13"/>
        <w:tblW w:w="8679" w:type="dxa"/>
        <w:jc w:val="center"/>
        <w:tblBorders>
          <w:top w:val="single" w:color="003764" w:sz="8" w:space="0"/>
          <w:left w:val="single" w:color="003764" w:sz="8" w:space="0"/>
          <w:bottom w:val="single" w:color="003764" w:sz="8" w:space="0"/>
          <w:right w:val="single" w:color="003764" w:sz="8" w:space="0"/>
          <w:insideH w:val="single" w:color="003764" w:sz="8" w:space="0"/>
          <w:insideV w:val="single" w:color="003764" w:sz="8" w:space="0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</w:tblPr>
      <w:tblGrid>
        <w:gridCol w:w="993"/>
        <w:gridCol w:w="2600"/>
        <w:gridCol w:w="2739"/>
        <w:gridCol w:w="2347"/>
      </w:tblGrid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blHeader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2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2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2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规格和说明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2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  <w:t>1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安装钢框架及支撑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3.000*2.440，每个框架1个工位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bookmarkStart w:id="21" w:name="_Toc30087_WPSOffice_Level1"/>
            <w:bookmarkStart w:id="22" w:name="_Toc345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复合夹芯条板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2440*610*100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3张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复合夹芯条板（线管预埋）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2440*610*100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1张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复合夹芯条板（水管预埋）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2440*610*100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1张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镀锌U型固定卡件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101*35*100*1.5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10个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木楔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15个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聚合物砂浆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25㎏/包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2包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外六角自钻螺丝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5.5*25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20颗</w:t>
            </w:r>
          </w:p>
        </w:tc>
      </w:tr>
      <w:bookmarkEnd w:id="21"/>
      <w:bookmarkEnd w:id="22"/>
    </w:tbl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23" w:name="_Toc15112_WPSOffice_Level1"/>
      <w:bookmarkStart w:id="24" w:name="_Toc1599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2.实操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赛场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提供需选手自带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工具清单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选手自带工具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清单表</w:t>
      </w:r>
    </w:p>
    <w:tbl>
      <w:tblPr>
        <w:tblStyle w:val="13"/>
        <w:tblW w:w="8679" w:type="dxa"/>
        <w:jc w:val="center"/>
        <w:tblBorders>
          <w:top w:val="single" w:color="003764" w:sz="8" w:space="0"/>
          <w:left w:val="single" w:color="003764" w:sz="8" w:space="0"/>
          <w:bottom w:val="single" w:color="003764" w:sz="8" w:space="0"/>
          <w:right w:val="single" w:color="003764" w:sz="8" w:space="0"/>
          <w:insideH w:val="single" w:color="003764" w:sz="8" w:space="0"/>
          <w:insideV w:val="single" w:color="003764" w:sz="8" w:space="0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</w:tblPr>
      <w:tblGrid>
        <w:gridCol w:w="993"/>
        <w:gridCol w:w="2600"/>
        <w:gridCol w:w="2739"/>
        <w:gridCol w:w="2347"/>
      </w:tblGrid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blHeader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2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2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2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规格和说明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2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工具名称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每组需要的数量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撬棍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手提切割机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切割100mm墙板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激光水平仪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橡胶锤子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墨斗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浆桶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拌浆机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手提冲击电钻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配Φ8钻头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灰刀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2米靠尺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喷水壸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记号笔/铅笔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外六角批头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拖把线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现场提供电箱到工位附近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安全帽与反光衣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手套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口罩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outlineLvl w:val="0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项目特殊说明</w:t>
      </w:r>
      <w:bookmarkEnd w:id="23"/>
      <w:bookmarkEnd w:id="24"/>
    </w:p>
    <w:p>
      <w:pPr>
        <w:keepNext w:val="0"/>
        <w:keepLines w:val="0"/>
        <w:widowControl/>
        <w:suppressLineNumbers w:val="0"/>
        <w:jc w:val="left"/>
        <w:outlineLvl w:val="1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</w:t>
      </w:r>
      <w:bookmarkStart w:id="25" w:name="_Toc28880"/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一) 赛场纪律</w:t>
      </w:r>
      <w:bookmarkEnd w:id="25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1.选手按组委会安排通过抽签决定比赛的场次和工位。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2.比赛日选手工具（自带工具用品除外）以及赛场提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供的物品、资料一律不准带离竞赛工位。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3.选手禁止将移动电话带入比赛工位，禁止比赛时使用手机、照相机、录像机等设备，禁止携带和使用自带的任何存储设备。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4.比赛时，除裁判长和现场裁判外任何人员不得主动接近选手及其工作区域，选手有问题只能向裁判长和现场裁判反映。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5.比赛结束哨声响起以后，选手应立即停止工作，并将比赛试题和评分表放在工作台上，走出自己的工位。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6.未经裁判长允许，选手不得延长比赛时间。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7.参赛选手只允许在自己的工位内工作。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8.参赛选手只允许使用自己工位上的工具、材料，除裁判长同意才可向他人借用。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9.参赛选手在完成自己比赛题目后，举手示意现场裁判，并退出比赛工位，经和现场裁判确认比赛耗时后，退至现场讨论区等候评分。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10.在比赛期间参赛选手不准离开比赛工位，如果有特殊重要原因，必须通知现场裁判并在事件记录表中签字。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11.在竞赛过程中如发现问题（如设备故障等），选手应立即向现场裁判反映。得到同意后，选手退出到工作区外等候，等待故障处理完后方可继续比赛。如属于设备故障，补时时间为从选手示意到故障处理结束这段时间，否则不予补时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12.评分期间，选手按裁判人员的指令要求操作设备，不允许更改、调整比赛设备及相关控制程序。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26" w:name="_Toc11362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（二）参赛选手须知</w:t>
      </w:r>
      <w:bookmarkEnd w:id="26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1.参赛选手应严格遵守赛场规章、操作规程，保证人身及设备安全，接受裁判员的监督和警示，文明竞赛。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2.选手在赛场内应始终佩戴参赛凭证。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3.参赛队员应自觉遵守赛场纪律，服从裁判、听从指挥、文明竞赛。禁止将通讯工具带入赛场。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4.竞赛准备阶段，各参赛队自行决定分工、工作程序和时间安排，在指定赛位上完成竞赛准备工作。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5.竞赛过程中，因严重操作失误或安全事故不能进行竞赛的，现场裁判员有权中止该队竞赛。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6.在竞赛过程中，参赛选手不得故意干扰其他队的竞赛。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7.参赛选手按竞赛规定进行观测、记录的轮换。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8.选手在收到开赛信号前不得开始操作，上交成果时，裁判停表，裁判长应与分项裁判共同在任务完成确认表上签字，竞赛计时结束。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9.检录后的选手，应在工作人员的引进下，提前 15 分钟到达竞赛现场，从竞赛计时开始，比赛开始 15 分钟后，选手未到即取消该项目的参赛资格。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27" w:name="_Toc23168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（三）工作人员须知</w:t>
      </w:r>
      <w:bookmarkEnd w:id="27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1.树立服务观念，一切为选手着想，以高度负责的精神、严肃认真的态度和严谨细致的作风，积极完成本职任务。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2.注意文明礼貌，保持良好形象，熟悉竞赛指南。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3.于赛前 30 分钟到达赛场，严守工作岗位，不迟到，不早退，不无故离岗，特殊情况需向赛会请假。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4.熟悉竞赛规程，严格按照工作程序和有关规定办事，遇突发事件，按照安全工作预案，组织指挥人员疏散，确保人员安全。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5.保持通信畅通，服从统一领导，严格遵守竞赛纪律，加强协作配合，提高工作效率。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6.严格遵守相关保密制度。</w:t>
      </w:r>
    </w:p>
    <w:p>
      <w:pPr>
        <w:pStyle w:val="11"/>
        <w:ind w:firstLine="600" w:firstLineChars="200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bookmarkStart w:id="28" w:name="_Toc25496"/>
      <w:bookmarkStart w:id="29" w:name="_Toc8133_WPSOffice_Level1"/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、安全健康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和防疫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要求</w:t>
      </w:r>
      <w:bookmarkEnd w:id="28"/>
      <w:bookmarkEnd w:id="29"/>
    </w:p>
    <w:p>
      <w:pPr>
        <w:keepNext w:val="0"/>
        <w:keepLines w:val="0"/>
        <w:widowControl/>
        <w:suppressLineNumbers w:val="0"/>
        <w:ind w:firstLine="622" w:firstLineChars="200"/>
        <w:jc w:val="left"/>
        <w:outlineLvl w:val="1"/>
      </w:pPr>
      <w:bookmarkStart w:id="30" w:name="_Toc11305"/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(一) 安全健康保障</w:t>
      </w:r>
      <w:bookmarkEnd w:id="30"/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赛场应准备下表所列的常规医疗物品，并配备一名医务人员随时准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备处理现场突发伤害事故。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酒精棉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1盒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纱布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1卷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创可贴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1盒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保心丸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1瓶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医用剪刀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1把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622" w:firstLineChars="200"/>
        <w:jc w:val="left"/>
        <w:outlineLvl w:val="1"/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</w:pPr>
      <w:bookmarkStart w:id="31" w:name="_Toc3159"/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(二) 防疫要求</w:t>
      </w:r>
      <w:bookmarkEnd w:id="31"/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确保比赛工作安全有序进行，所有参赛人员务必做好参赛期间及往返途中安全及个人防护工作</w:t>
      </w:r>
      <w:bookmarkStart w:id="32" w:name="_GoBack"/>
      <w:bookmarkEnd w:id="32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。大赛期间，所有人员均须佩戴口罩，并配合赛项承办方做好安全稳定及疫情防控相关工作。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Inria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Frutiger LT Com 45 Light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00000003"/>
    <w:multiLevelType w:val="multilevel"/>
    <w:tmpl w:val="00000003"/>
    <w:lvl w:ilvl="0" w:tentative="0">
      <w:start w:val="4"/>
      <w:numFmt w:val="japaneseCounting"/>
      <w:pStyle w:val="23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48AA6EE"/>
    <w:multiLevelType w:val="singleLevel"/>
    <w:tmpl w:val="348AA6E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EBD49D2"/>
    <w:multiLevelType w:val="multilevel"/>
    <w:tmpl w:val="7EBD49D2"/>
    <w:lvl w:ilvl="0" w:tentative="0">
      <w:start w:val="1"/>
      <w:numFmt w:val="upperLetter"/>
      <w:pStyle w:val="16"/>
      <w:suff w:val="nothing"/>
      <w:lvlText w:val="附录%1"/>
      <w:lvlJc w:val="left"/>
      <w:pPr>
        <w:tabs>
          <w:tab w:val="left" w:pos="0"/>
        </w:tabs>
        <w:ind w:left="0" w:firstLine="0"/>
      </w:pPr>
      <w:rPr>
        <w:rFonts w:hint="default"/>
        <w:spacing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DdjYWU5N2JjNjI3ZDhkMDMwZWJjZjQyNTYyZWEifQ=="/>
  </w:docVars>
  <w:rsids>
    <w:rsidRoot w:val="43DE6BED"/>
    <w:rsid w:val="05FF60F2"/>
    <w:rsid w:val="06DA6078"/>
    <w:rsid w:val="081971AF"/>
    <w:rsid w:val="09FC6C3A"/>
    <w:rsid w:val="0A4811CA"/>
    <w:rsid w:val="0A7854C1"/>
    <w:rsid w:val="0BE9755F"/>
    <w:rsid w:val="0F5713F4"/>
    <w:rsid w:val="12ED1816"/>
    <w:rsid w:val="1C7168AE"/>
    <w:rsid w:val="25733DFD"/>
    <w:rsid w:val="26E87EFC"/>
    <w:rsid w:val="2BE74B22"/>
    <w:rsid w:val="2D937F30"/>
    <w:rsid w:val="2E0322DE"/>
    <w:rsid w:val="312E0252"/>
    <w:rsid w:val="334543A6"/>
    <w:rsid w:val="34A25ABE"/>
    <w:rsid w:val="3BDB4052"/>
    <w:rsid w:val="3D0C29F7"/>
    <w:rsid w:val="43AE09CA"/>
    <w:rsid w:val="43DE6BED"/>
    <w:rsid w:val="44637A4A"/>
    <w:rsid w:val="4A5948DD"/>
    <w:rsid w:val="50574928"/>
    <w:rsid w:val="505C3EB2"/>
    <w:rsid w:val="56514935"/>
    <w:rsid w:val="56CA7AA0"/>
    <w:rsid w:val="58C916A0"/>
    <w:rsid w:val="59883613"/>
    <w:rsid w:val="5C1E0247"/>
    <w:rsid w:val="5F955A3E"/>
    <w:rsid w:val="68FD083B"/>
    <w:rsid w:val="6B234F4A"/>
    <w:rsid w:val="6C1F1AB4"/>
    <w:rsid w:val="735A0B16"/>
    <w:rsid w:val="745E5245"/>
    <w:rsid w:val="752802BC"/>
    <w:rsid w:val="763B5477"/>
    <w:rsid w:val="7AE41F65"/>
    <w:rsid w:val="7BB468E8"/>
    <w:rsid w:val="7DAC384D"/>
    <w:rsid w:val="7E1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Lines="100" w:after="100" w:afterLines="100"/>
      <w:outlineLvl w:val="2"/>
    </w:pPr>
    <w:rPr>
      <w:rFonts w:ascii="Calibri" w:hAnsi="Calibri" w:eastAsia="黑体" w:cs="Arial"/>
      <w:caps/>
      <w:color w:val="0070C0"/>
      <w:sz w:val="24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5">
    <w:name w:val="Body Text"/>
    <w:basedOn w:val="1"/>
    <w:qFormat/>
    <w:uiPriority w:val="0"/>
    <w:rPr>
      <w:rFonts w:ascii="仿宋_GB2312" w:hAnsi="Calibri" w:eastAsia="仿宋_GB2312" w:cs="Times New Roman"/>
      <w:sz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Title"/>
    <w:basedOn w:val="1"/>
    <w:next w:val="1"/>
    <w:qFormat/>
    <w:uiPriority w:val="0"/>
    <w:pPr>
      <w:widowControl/>
      <w:spacing w:line="560" w:lineRule="exact"/>
      <w:contextualSpacing/>
    </w:pPr>
    <w:rPr>
      <w:rFonts w:ascii="Inria Serif" w:hAnsi="Inria Serif" w:eastAsia="宋体" w:cs="Times New Roman (Headings CS)"/>
      <w:b/>
      <w:color w:val="0084AD"/>
      <w:spacing w:val="-10"/>
      <w:kern w:val="28"/>
      <w:sz w:val="50"/>
      <w:szCs w:val="56"/>
      <w:lang w:val="en-AU" w:eastAsia="en-US"/>
    </w:rPr>
  </w:style>
  <w:style w:type="paragraph" w:styleId="12">
    <w:name w:val="Body Text First Indent"/>
    <w:basedOn w:val="5"/>
    <w:qFormat/>
    <w:uiPriority w:val="0"/>
    <w:pPr>
      <w:spacing w:line="560" w:lineRule="exact"/>
      <w:ind w:firstLine="721" w:firstLineChars="200"/>
    </w:pPr>
    <w:rPr>
      <w:rFonts w:ascii="Calibri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标准文件_附录标识2"/>
    <w:qFormat/>
    <w:uiPriority w:val="0"/>
    <w:pPr>
      <w:numPr>
        <w:ilvl w:val="0"/>
        <w:numId w:val="2"/>
      </w:numPr>
      <w:shd w:val="clear" w:color="auto" w:fill="FFFFFF"/>
      <w:tabs>
        <w:tab w:val="left" w:pos="6406"/>
        <w:tab w:val="clear" w:pos="0"/>
      </w:tabs>
      <w:spacing w:before="25" w:beforeLines="25" w:after="50" w:afterLines="50"/>
      <w:jc w:val="center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17">
    <w:name w:val="标准文件_附录一级条标题"/>
    <w:basedOn w:val="1"/>
    <w:qFormat/>
    <w:uiPriority w:val="0"/>
    <w:pPr>
      <w:numPr>
        <w:ilvl w:val="1"/>
        <w:numId w:val="2"/>
      </w:numPr>
    </w:pPr>
  </w:style>
  <w:style w:type="paragraph" w:customStyle="1" w:styleId="18">
    <w:name w:val="标准文件_附录二级条标题"/>
    <w:basedOn w:val="1"/>
    <w:qFormat/>
    <w:uiPriority w:val="0"/>
    <w:pPr>
      <w:numPr>
        <w:ilvl w:val="2"/>
        <w:numId w:val="2"/>
      </w:numPr>
    </w:pPr>
  </w:style>
  <w:style w:type="paragraph" w:customStyle="1" w:styleId="19">
    <w:name w:val="标准文件_附录三级条标题"/>
    <w:basedOn w:val="1"/>
    <w:qFormat/>
    <w:uiPriority w:val="0"/>
    <w:pPr>
      <w:numPr>
        <w:ilvl w:val="3"/>
        <w:numId w:val="2"/>
      </w:numPr>
    </w:pPr>
  </w:style>
  <w:style w:type="paragraph" w:customStyle="1" w:styleId="20">
    <w:name w:val="标准文件_附录四级条标题"/>
    <w:basedOn w:val="1"/>
    <w:qFormat/>
    <w:uiPriority w:val="0"/>
    <w:pPr>
      <w:numPr>
        <w:ilvl w:val="4"/>
        <w:numId w:val="2"/>
      </w:numPr>
    </w:pPr>
  </w:style>
  <w:style w:type="paragraph" w:customStyle="1" w:styleId="21">
    <w:name w:val="标准文件_附录五级条标题"/>
    <w:basedOn w:val="1"/>
    <w:qFormat/>
    <w:uiPriority w:val="0"/>
    <w:pPr>
      <w:numPr>
        <w:ilvl w:val="5"/>
        <w:numId w:val="2"/>
      </w:numPr>
    </w:pPr>
  </w:style>
  <w:style w:type="paragraph" w:customStyle="1" w:styleId="22">
    <w:name w:val="Editable table text"/>
    <w:basedOn w:val="1"/>
    <w:qFormat/>
    <w:uiPriority w:val="0"/>
    <w:pPr>
      <w:widowControl/>
    </w:pPr>
    <w:rPr>
      <w:rFonts w:ascii="Frutiger LT Com 45 Light" w:hAnsi="Frutiger LT Com 45 Light" w:eastAsia="宋体" w:cs="Times New Roman"/>
      <w:color w:val="62B5E5"/>
      <w:kern w:val="0"/>
      <w:sz w:val="20"/>
      <w:lang w:val="en-GB" w:eastAsia="en-US"/>
    </w:rPr>
  </w:style>
  <w:style w:type="paragraph" w:customStyle="1" w:styleId="23">
    <w:name w:val="Table Bullet"/>
    <w:basedOn w:val="1"/>
    <w:qFormat/>
    <w:uiPriority w:val="0"/>
    <w:pPr>
      <w:widowControl/>
      <w:numPr>
        <w:ilvl w:val="0"/>
        <w:numId w:val="3"/>
      </w:numPr>
      <w:spacing w:after="120"/>
      <w:ind w:left="284" w:hanging="284"/>
      <w:contextualSpacing/>
    </w:pPr>
    <w:rPr>
      <w:rFonts w:ascii="Frutiger LT Com 45 Light" w:hAnsi="Frutiger LT Com 45 Light" w:eastAsia="宋体" w:cs="Times New Roman"/>
      <w:kern w:val="0"/>
      <w:sz w:val="20"/>
      <w:szCs w:val="22"/>
      <w:lang w:val="en-GB" w:eastAsia="en-US"/>
    </w:rPr>
  </w:style>
  <w:style w:type="character" w:customStyle="1" w:styleId="24">
    <w:name w:val="Editable"/>
    <w:qFormat/>
    <w:uiPriority w:val="0"/>
    <w:rPr>
      <w:rFonts w:hint="default" w:ascii="Times New Roman" w:hAnsi="Times New Roman" w:eastAsia="宋体" w:cs="Times New Roman"/>
      <w:color w:val="62B5E5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customStyle="1" w:styleId="26">
    <w:name w:val="网格型1"/>
    <w:qFormat/>
    <w:uiPriority w:val="59"/>
    <w:rPr>
      <w:rFonts w:ascii="Calibri" w:hAnsi="Calibri" w:eastAsia="微软雅黑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9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5972</Words>
  <Characters>6379</Characters>
  <Lines>0</Lines>
  <Paragraphs>0</Paragraphs>
  <TotalTime>4</TotalTime>
  <ScaleCrop>false</ScaleCrop>
  <LinksUpToDate>false</LinksUpToDate>
  <CharactersWithSpaces>6592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2022-09-27T06:37:00Z</dcterms:created>
  <dc:creator>王主任</dc:creator>
  <cp:lastModifiedBy>陈泽</cp:lastModifiedBy>
  <cp:lastPrinted>2023-02-09T06:01:52Z</cp:lastPrinted>
  <dcterms:modified xsi:type="dcterms:W3CDTF">2023-02-09T06:06:46Z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4D78FBC6DA3B49278E75FF99B2104215</vt:lpwstr>
  </property>
</Properties>
</file>