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麻醉科专用监护仪</w:t>
      </w:r>
    </w:p>
    <w:tbl>
      <w:tblPr>
        <w:tblStyle w:val="4"/>
        <w:tblW w:w="8668" w:type="dxa"/>
        <w:tblInd w:w="0" w:type="dxa"/>
        <w:tblLayout w:type="fixed"/>
        <w:tblCellMar>
          <w:top w:w="15" w:type="dxa"/>
          <w:left w:w="15" w:type="dxa"/>
          <w:bottom w:w="0" w:type="dxa"/>
          <w:right w:w="15" w:type="dxa"/>
        </w:tblCellMar>
      </w:tblPr>
      <w:tblGrid>
        <w:gridCol w:w="1149"/>
        <w:gridCol w:w="3865"/>
        <w:gridCol w:w="3654"/>
      </w:tblGrid>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设备名称</w:t>
            </w:r>
          </w:p>
        </w:tc>
        <w:tc>
          <w:tcPr>
            <w:tcW w:w="3865"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数量</w:t>
            </w:r>
          </w:p>
        </w:tc>
        <w:tc>
          <w:tcPr>
            <w:tcW w:w="3654"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单位</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监护仪</w:t>
            </w:r>
          </w:p>
        </w:tc>
        <w:tc>
          <w:tcPr>
            <w:tcW w:w="3865"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p>
        </w:tc>
        <w:tc>
          <w:tcPr>
            <w:tcW w:w="3654"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台</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sz w:val="24"/>
              </w:rPr>
            </w:pPr>
            <w:r>
              <w:rPr>
                <w:rFonts w:hint="eastAsia" w:ascii="宋体" w:hAnsi="宋体"/>
                <w:color w:val="000000"/>
                <w:sz w:val="24"/>
              </w:rPr>
              <w:t>1</w:t>
            </w:r>
          </w:p>
        </w:tc>
        <w:tc>
          <w:tcPr>
            <w:tcW w:w="7519" w:type="dxa"/>
            <w:gridSpan w:val="2"/>
            <w:tcBorders>
              <w:top w:val="single" w:color="auto" w:sz="4" w:space="0"/>
              <w:left w:val="nil"/>
              <w:bottom w:val="single" w:color="auto" w:sz="4" w:space="0"/>
              <w:right w:val="single" w:color="auto" w:sz="4" w:space="0"/>
            </w:tcBorders>
            <w:vAlign w:val="center"/>
          </w:tcPr>
          <w:p>
            <w:pPr>
              <w:jc w:val="left"/>
              <w:rPr>
                <w:rFonts w:hint="default" w:ascii="宋体" w:hAnsi="宋体" w:eastAsia="宋体"/>
                <w:b/>
                <w:bCs/>
                <w:sz w:val="24"/>
                <w:lang w:val="en-US" w:eastAsia="zh-CN"/>
              </w:rPr>
            </w:pPr>
            <w:r>
              <w:rPr>
                <w:rFonts w:hint="eastAsia" w:ascii="宋体" w:hAnsi="宋体"/>
                <w:b/>
                <w:bCs/>
                <w:sz w:val="24"/>
              </w:rPr>
              <w:t>配置要求：</w:t>
            </w:r>
            <w:r>
              <w:rPr>
                <w:rFonts w:hint="eastAsia" w:ascii="宋体" w:hAnsi="宋体"/>
                <w:b/>
                <w:color w:val="000000"/>
                <w:sz w:val="24"/>
              </w:rPr>
              <w:t>心电、血氧、血压、呼吸、脉搏、体温、双有创、呼末二氧化碳</w:t>
            </w:r>
            <w:r>
              <w:rPr>
                <w:rFonts w:hint="eastAsia" w:ascii="宋体" w:hAnsi="宋体"/>
                <w:b/>
                <w:color w:val="000000"/>
                <w:sz w:val="24"/>
                <w:lang w:eastAsia="zh-CN"/>
              </w:rPr>
              <w:t>，</w:t>
            </w:r>
            <w:r>
              <w:rPr>
                <w:rFonts w:hint="eastAsia" w:ascii="宋体" w:hAnsi="宋体"/>
                <w:b/>
                <w:color w:val="000000"/>
                <w:sz w:val="24"/>
                <w:lang w:val="en-US" w:eastAsia="zh-CN"/>
              </w:rPr>
              <w:t>肌松监测。</w:t>
            </w:r>
            <w:bookmarkStart w:id="0" w:name="_GoBack"/>
            <w:bookmarkEnd w:id="0"/>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sz w:val="24"/>
              </w:rPr>
            </w:pPr>
            <w:r>
              <w:rPr>
                <w:rFonts w:hint="eastAsia" w:ascii="宋体" w:hAnsi="宋体"/>
                <w:color w:val="000000"/>
                <w:sz w:val="24"/>
              </w:rPr>
              <w:t>2</w:t>
            </w:r>
          </w:p>
        </w:tc>
        <w:tc>
          <w:tcPr>
            <w:tcW w:w="7519" w:type="dxa"/>
            <w:gridSpan w:val="2"/>
            <w:tcBorders>
              <w:top w:val="single" w:color="auto" w:sz="4" w:space="0"/>
              <w:left w:val="nil"/>
              <w:bottom w:val="single" w:color="auto" w:sz="4" w:space="0"/>
              <w:right w:val="single" w:color="auto" w:sz="4" w:space="0"/>
            </w:tcBorders>
            <w:vAlign w:val="center"/>
          </w:tcPr>
          <w:p>
            <w:pPr>
              <w:jc w:val="left"/>
              <w:rPr>
                <w:rFonts w:ascii="宋体" w:hAnsi="宋体"/>
                <w:b/>
                <w:bCs/>
                <w:sz w:val="24"/>
              </w:rPr>
            </w:pPr>
            <w:r>
              <w:rPr>
                <w:rFonts w:hint="eastAsia" w:ascii="宋体" w:hAnsi="宋体"/>
                <w:color w:val="000000"/>
                <w:sz w:val="24"/>
              </w:rPr>
              <w:t>显示要求</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sz w:val="24"/>
              </w:rPr>
            </w:pPr>
            <w:r>
              <w:rPr>
                <w:rFonts w:hint="eastAsia" w:ascii="宋体" w:hAnsi="宋体"/>
                <w:color w:val="000000"/>
                <w:sz w:val="24"/>
              </w:rPr>
              <w:t>★3</w:t>
            </w:r>
          </w:p>
        </w:tc>
        <w:tc>
          <w:tcPr>
            <w:tcW w:w="7519" w:type="dxa"/>
            <w:gridSpan w:val="2"/>
            <w:tcBorders>
              <w:top w:val="single" w:color="auto" w:sz="4" w:space="0"/>
              <w:left w:val="nil"/>
              <w:bottom w:val="single" w:color="auto" w:sz="4" w:space="0"/>
              <w:right w:val="single" w:color="auto" w:sz="4" w:space="0"/>
            </w:tcBorders>
            <w:vAlign w:val="center"/>
          </w:tcPr>
          <w:p>
            <w:pPr>
              <w:widowControl/>
              <w:adjustRightInd w:val="0"/>
              <w:rPr>
                <w:rFonts w:ascii="宋体" w:hAnsi="宋体"/>
                <w:b/>
                <w:bCs/>
                <w:sz w:val="24"/>
              </w:rPr>
            </w:pPr>
            <w:r>
              <w:rPr>
                <w:rFonts w:hint="eastAsia" w:ascii="宋体" w:hAnsi="宋体"/>
                <w:color w:val="000000"/>
                <w:sz w:val="24"/>
              </w:rPr>
              <w:t>≥15.5寸彩色TFT显示，采用具有光学胶技术的电容触摸屏、彩色高分辨率达1920 x 1080，10道波形显示，模块化、插件式麻醉监护仪</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sz w:val="24"/>
              </w:rPr>
            </w:pPr>
            <w:r>
              <w:rPr>
                <w:rFonts w:hint="eastAsia" w:ascii="宋体" w:hAnsi="宋体"/>
                <w:color w:val="000000"/>
                <w:sz w:val="24"/>
              </w:rPr>
              <w:t>4</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无边框显示屏设计，易于清洁</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color w:val="000000"/>
                <w:sz w:val="24"/>
              </w:rPr>
            </w:pPr>
            <w:r>
              <w:rPr>
                <w:rFonts w:hint="eastAsia" w:ascii="宋体" w:hAnsi="宋体"/>
                <w:color w:val="000000"/>
                <w:sz w:val="24"/>
              </w:rPr>
              <w:t>5</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支持报警灯亮度可调节</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6</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用户能够根据自己的使用需要定义快捷键。界面至少能够提供20个快捷键的同时显示</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7</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当测量值不可靠时，提供镂空值显示。例如，NIBP测量值超过有效时间，不能表征当前病人的血压情况；血氧灌注指数PI值小于0.3，SpO2值不够可信</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8</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具有屏幕锁屏功能，避免在某些使用中误操作。用户通过点击按键进入锁屏状态。用于也可以定义锁屏持续时间10秒到1分钟，或者持续锁屏，在时间到后，系统自动退出锁屏状态</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sz w:val="24"/>
              </w:rPr>
              <w:t>9</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配置要求</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★10</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标配心电、呼吸、血氧饱和度、无创血压、有创血压、脉搏、体温、呼末二氧化碳监测</w:t>
            </w:r>
            <w:r>
              <w:rPr>
                <w:rFonts w:hint="eastAsia" w:ascii="宋体" w:hAnsi="宋体"/>
                <w:color w:val="000000"/>
                <w:sz w:val="24"/>
                <w:lang w:eastAsia="zh-CN"/>
              </w:rPr>
              <w:t>，</w:t>
            </w:r>
            <w:r>
              <w:rPr>
                <w:rFonts w:hint="eastAsia" w:ascii="宋体" w:hAnsi="宋体"/>
                <w:color w:val="000000"/>
                <w:sz w:val="24"/>
              </w:rPr>
              <w:t>肌松监测，可选配脑电监测、麻醉深度监测、麻醉气体监测功能，且模块在所有监护通用。</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11</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提供3/5/6/12导心电监护，具有监护、诊断、手术滤波模式，抗手术室电刀、除颤等干扰能力强，具备专利认证的ECG多导同步心律失常分析，在部分导联脱落、干扰时仍能准确监测心率；提升心律失常识别准确率；支持实时连续心律失常分析及支持ST模板，通过图形化的方式动态实时观察ST段变化，心律失常分析种类不少于22种。具备起搏自动分析功能，同时心电附件具备缆线疏通管理功能；</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12</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波速提供50mm/s，25 mm/s、12.5 mm/s、6.25 mm/s可选</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13</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具有QT/QTc测量功能，提供QT，QTc和ΔQTc参数值，提供QT和QTc模板显示</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14</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滤波模式提供诊断模式（0.05 -150Hz），监护模式（0.5 -40Hz），ST模式（0.05 - 40Hz），手术模式（1-20Hz）</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★15</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支持ICP和CPP测量、支持实时PPV测量，支持PAWP手动或自动测量</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16</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提供起搏信号智能识别。在尚不清楚病人是否佩戴有起搏器的情况下，能够进行自动起搏分析检测</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★17</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后期升级麻醉深度监测采用双侧电极片监测病人意识深度和镇静程度</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18</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选配肌松监测采用三轴加速度方向识别技术测量肌松参数，能够360度识别运动，提高监测稳定性和准确性</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19</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可选配脑电监测，能够进行4通道脑电测量、提供CSA和DSA显示</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20</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报警功能</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21</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应该具有报警复位功能，在报警触发后能够通过报警复位消除报警声音</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22</w:t>
            </w:r>
          </w:p>
        </w:tc>
        <w:tc>
          <w:tcPr>
            <w:tcW w:w="7519" w:type="dxa"/>
            <w:gridSpan w:val="2"/>
            <w:tcBorders>
              <w:top w:val="single" w:color="auto" w:sz="4" w:space="0"/>
              <w:left w:val="single" w:color="auto" w:sz="4" w:space="0"/>
              <w:bottom w:val="single" w:color="auto" w:sz="4" w:space="0"/>
              <w:right w:val="single" w:color="auto" w:sz="4" w:space="0"/>
            </w:tcBorders>
          </w:tcPr>
          <w:p>
            <w:pPr>
              <w:widowControl/>
              <w:adjustRightInd w:val="0"/>
              <w:rPr>
                <w:rFonts w:ascii="宋体" w:hAnsi="宋体"/>
                <w:color w:val="000000"/>
                <w:sz w:val="24"/>
              </w:rPr>
            </w:pPr>
            <w:r>
              <w:rPr>
                <w:rFonts w:hint="eastAsia" w:ascii="宋体" w:hAnsi="宋体"/>
                <w:color w:val="000000"/>
                <w:sz w:val="24"/>
              </w:rPr>
              <w:t>具有图形化报警指示功能，看报警信息更容易。</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23</w:t>
            </w:r>
          </w:p>
        </w:tc>
        <w:tc>
          <w:tcPr>
            <w:tcW w:w="7519" w:type="dxa"/>
            <w:gridSpan w:val="2"/>
            <w:tcBorders>
              <w:top w:val="single" w:color="auto" w:sz="4" w:space="0"/>
              <w:left w:val="single" w:color="auto" w:sz="4" w:space="0"/>
              <w:bottom w:val="single" w:color="auto" w:sz="4" w:space="0"/>
              <w:right w:val="single" w:color="auto" w:sz="4" w:space="0"/>
            </w:tcBorders>
          </w:tcPr>
          <w:p>
            <w:pPr>
              <w:widowControl/>
              <w:adjustRightInd w:val="0"/>
              <w:rPr>
                <w:rFonts w:ascii="宋体" w:hAnsi="宋体"/>
                <w:color w:val="000000"/>
                <w:sz w:val="24"/>
              </w:rPr>
            </w:pPr>
            <w:r>
              <w:rPr>
                <w:rFonts w:hint="eastAsia" w:ascii="宋体" w:hAnsi="宋体"/>
                <w:color w:val="000000"/>
                <w:sz w:val="24"/>
              </w:rPr>
              <w:t>具有报警升级功能。当某报警持续触发一段时间时，能够提高报警音量。报警升级功可以用户定义</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sz w:val="24"/>
              </w:rPr>
              <w:t>24</w:t>
            </w:r>
          </w:p>
        </w:tc>
        <w:tc>
          <w:tcPr>
            <w:tcW w:w="7519" w:type="dxa"/>
            <w:gridSpan w:val="2"/>
            <w:tcBorders>
              <w:top w:val="single" w:color="auto" w:sz="4" w:space="0"/>
              <w:left w:val="single" w:color="auto" w:sz="4" w:space="0"/>
              <w:bottom w:val="single" w:color="auto" w:sz="4" w:space="0"/>
              <w:right w:val="single" w:color="auto" w:sz="4" w:space="0"/>
            </w:tcBorders>
          </w:tcPr>
          <w:p>
            <w:pPr>
              <w:widowControl/>
              <w:adjustRightInd w:val="0"/>
              <w:rPr>
                <w:rFonts w:ascii="宋体" w:hAnsi="宋体"/>
                <w:color w:val="000000"/>
                <w:sz w:val="24"/>
              </w:rPr>
            </w:pPr>
            <w:r>
              <w:rPr>
                <w:rFonts w:hint="eastAsia" w:ascii="宋体" w:hAnsi="宋体"/>
                <w:color w:val="000000"/>
                <w:sz w:val="24"/>
              </w:rPr>
              <w:t>回顾与数据存储</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25</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40个及以上参数的120小时（分辨率1分钟）趋势表、趋势图回顾，4小时（分辨率5秒）趋势表、趋势图回顾</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26</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48小时全息波形回顾。全息波形至少能存储所有测量值，以及至少3道波形。监护仪存储48小时全息波形，不需要额外连接外部存储介质</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27</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120小时（分辨率5分钟）ST模板回顾</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28</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提供24小时心律失常统计</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29</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提供对比回顾功能，能够在同一个页面显示两种不同类型的回顾，并根据时间关联进行比较。例如，全息波形与事件回顾同页显示，趋势图与事件回顾同业显示等</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★30</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系统功能</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31</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具有高级参数指导功能，能够指导用户掌握高级参数的使用方法</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32</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工作模式提供：监护模式、待机模式、体外循环模式模式、插管模式，夜间模式、隐私模式、演示模式</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★33</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临床辅助应用</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34</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具有专业的血流动力学辅助应用，能够图形化显示监测参数，体现参数之间的关系，提供目标治疗决策建议，提供抬腿试验辅助工具，提供心功能图指示，提供蛛网图参数跟踪</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35</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可选配心肌缺血评估工具，可以快速查看ST值的变化</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36</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标配具有专业的围术期辅助应用，能够优化诱导期、维持期和复苏期的工作流程，提供脱机评分工具</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37</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可选配早期预警评分功能，并提供用户自定义评分协议的能力</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sz w:val="24"/>
              </w:rPr>
              <w:t>38</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床旁设备集成</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39</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通过设备集成能够，集成呼吸机、麻醉机、单机监护设备</w:t>
            </w:r>
          </w:p>
        </w:tc>
      </w:tr>
      <w:tr>
        <w:tblPrEx>
          <w:tblCellMar>
            <w:top w:w="15" w:type="dxa"/>
            <w:left w:w="15" w:type="dxa"/>
            <w:bottom w:w="0" w:type="dxa"/>
            <w:right w:w="15" w:type="dxa"/>
          </w:tblCellMar>
        </w:tblPrEx>
        <w:trPr>
          <w:trHeight w:val="33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bCs/>
                <w:sz w:val="24"/>
              </w:rPr>
            </w:pPr>
            <w:r>
              <w:rPr>
                <w:rFonts w:hint="eastAsia" w:ascii="宋体" w:hAnsi="宋体"/>
                <w:color w:val="000000"/>
                <w:sz w:val="24"/>
              </w:rPr>
              <w:t>40</w:t>
            </w:r>
          </w:p>
        </w:tc>
        <w:tc>
          <w:tcPr>
            <w:tcW w:w="75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000000"/>
                <w:sz w:val="24"/>
              </w:rPr>
            </w:pPr>
            <w:r>
              <w:rPr>
                <w:rFonts w:hint="eastAsia" w:ascii="宋体" w:hAnsi="宋体"/>
                <w:color w:val="000000"/>
                <w:sz w:val="24"/>
              </w:rPr>
              <w:t>1个设备集成模块能够同时连接4种设备，性价比更高，更节约插槽位置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35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267</Words>
  <Characters>1527</Characters>
  <Lines>12</Lines>
  <Paragraphs>3</Paragraphs>
  <TotalTime>1</TotalTime>
  <ScaleCrop>false</ScaleCrop>
  <LinksUpToDate>false</LinksUpToDate>
  <CharactersWithSpaces>1791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2017-12-06T18:09:00Z</dcterms:created>
  <dc:creator>50228888</dc:creator>
  <cp:lastModifiedBy>Archangel</cp:lastModifiedBy>
  <dcterms:modified xsi:type="dcterms:W3CDTF">2020-10-19T03:24:51Z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