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宋体" w:hAnsi="宋体" w:eastAsia="宋体"/>
          <w:b/>
          <w:bCs/>
          <w:sz w:val="30"/>
          <w:szCs w:val="30"/>
        </w:rPr>
      </w:pPr>
      <w:r>
        <w:rPr>
          <w:rFonts w:hint="eastAsia" w:ascii="宋体" w:hAnsi="宋体" w:eastAsia="宋体"/>
          <w:b/>
          <w:bCs/>
          <w:sz w:val="40"/>
          <w:szCs w:val="40"/>
        </w:rPr>
        <w:t>烟台市疫情防控期间工资报酬计发清单及依据</w:t>
      </w:r>
      <w:r>
        <w:rPr>
          <w:rFonts w:hint="eastAsia" w:ascii="宋体" w:hAnsi="宋体" w:eastAsia="宋体"/>
          <w:b/>
          <w:bCs/>
          <w:sz w:val="30"/>
          <w:szCs w:val="30"/>
        </w:rPr>
        <w:t>（</w:t>
      </w:r>
      <w:r>
        <w:rPr>
          <w:rFonts w:ascii="宋体" w:hAnsi="宋体" w:eastAsia="宋体"/>
          <w:b/>
          <w:bCs/>
          <w:sz w:val="30"/>
          <w:szCs w:val="30"/>
        </w:rPr>
        <w:t>2020年2月12日</w:t>
      </w:r>
      <w:r>
        <w:rPr>
          <w:rFonts w:hint="eastAsia" w:ascii="宋体" w:hAnsi="宋体" w:eastAsia="宋体"/>
          <w:b/>
          <w:bCs/>
          <w:sz w:val="30"/>
          <w:szCs w:val="30"/>
        </w:rPr>
        <w:t>）</w:t>
      </w:r>
    </w:p>
    <w:p>
      <w:pPr>
        <w:jc w:val="center"/>
        <w:rPr>
          <w:b/>
          <w:bCs/>
        </w:rPr>
      </w:pPr>
    </w:p>
    <w:tbl>
      <w:tblPr>
        <w:tblStyle w:val="4"/>
        <w:tblW w:w="15030" w:type="dxa"/>
        <w:tblInd w:w="15" w:type="dxa"/>
        <w:tblLayout w:type="autofit"/>
        <w:tblCellMar>
          <w:top w:w="0" w:type="dxa"/>
          <w:left w:w="108" w:type="dxa"/>
          <w:bottom w:w="0" w:type="dxa"/>
          <w:right w:w="108" w:type="dxa"/>
        </w:tblCellMar>
      </w:tblPr>
      <w:tblGrid>
        <w:gridCol w:w="1277"/>
        <w:gridCol w:w="1417"/>
        <w:gridCol w:w="2552"/>
        <w:gridCol w:w="5528"/>
        <w:gridCol w:w="4256"/>
      </w:tblGrid>
      <w:tr>
        <w:tblPrEx>
          <w:tblCellMar>
            <w:top w:w="0" w:type="dxa"/>
            <w:left w:w="108" w:type="dxa"/>
            <w:bottom w:w="0" w:type="dxa"/>
            <w:right w:w="108" w:type="dxa"/>
          </w:tblCellMar>
        </w:tblPrEx>
        <w:trPr>
          <w:cantSplit/>
          <w:trHeight w:val="567" w:hRule="atLeast"/>
        </w:trPr>
        <w:tc>
          <w:tcPr>
            <w:tcW w:w="1277" w:type="dxa"/>
            <w:tcBorders>
              <w:top w:val="single" w:color="auto" w:sz="8" w:space="0"/>
              <w:left w:val="single" w:color="auto" w:sz="4" w:space="0"/>
              <w:bottom w:val="nil"/>
              <w:right w:val="single" w:color="auto" w:sz="4" w:space="0"/>
            </w:tcBorders>
            <w:shd w:val="clear" w:color="000000" w:fill="B4C6E7"/>
            <w:vAlign w:val="center"/>
          </w:tcPr>
          <w:p>
            <w:r>
              <w:rPr>
                <w:rFonts w:hint="eastAsia"/>
              </w:rPr>
              <w:t>日期</w:t>
            </w:r>
          </w:p>
        </w:tc>
        <w:tc>
          <w:tcPr>
            <w:tcW w:w="1417" w:type="dxa"/>
            <w:tcBorders>
              <w:top w:val="single" w:color="auto" w:sz="8" w:space="0"/>
              <w:left w:val="nil"/>
              <w:bottom w:val="nil"/>
              <w:right w:val="single" w:color="auto" w:sz="4" w:space="0"/>
            </w:tcBorders>
            <w:shd w:val="clear" w:color="000000" w:fill="B4C6E7"/>
            <w:vAlign w:val="center"/>
          </w:tcPr>
          <w:p>
            <w:r>
              <w:rPr>
                <w:rFonts w:hint="eastAsia"/>
              </w:rPr>
              <w:t>性  质</w:t>
            </w:r>
          </w:p>
        </w:tc>
        <w:tc>
          <w:tcPr>
            <w:tcW w:w="2552" w:type="dxa"/>
            <w:tcBorders>
              <w:top w:val="single" w:color="auto" w:sz="8" w:space="0"/>
              <w:left w:val="nil"/>
              <w:bottom w:val="nil"/>
              <w:right w:val="single" w:color="auto" w:sz="4" w:space="0"/>
            </w:tcBorders>
            <w:shd w:val="clear" w:color="000000" w:fill="B4C6E7"/>
            <w:vAlign w:val="center"/>
          </w:tcPr>
          <w:p>
            <w:r>
              <w:rPr>
                <w:rFonts w:hint="eastAsia"/>
              </w:rPr>
              <w:t>依  据</w:t>
            </w:r>
          </w:p>
        </w:tc>
        <w:tc>
          <w:tcPr>
            <w:tcW w:w="5528" w:type="dxa"/>
            <w:tcBorders>
              <w:top w:val="single" w:color="auto" w:sz="8" w:space="0"/>
              <w:left w:val="nil"/>
              <w:bottom w:val="nil"/>
              <w:right w:val="single" w:color="auto" w:sz="4" w:space="0"/>
            </w:tcBorders>
            <w:shd w:val="clear" w:color="000000" w:fill="B4C6E7"/>
            <w:vAlign w:val="center"/>
          </w:tcPr>
          <w:p>
            <w:r>
              <w:rPr>
                <w:rFonts w:hint="eastAsia"/>
              </w:rPr>
              <w:t>待遇支付</w:t>
            </w:r>
          </w:p>
        </w:tc>
        <w:tc>
          <w:tcPr>
            <w:tcW w:w="4256" w:type="dxa"/>
            <w:tcBorders>
              <w:top w:val="single" w:color="auto" w:sz="8" w:space="0"/>
              <w:left w:val="nil"/>
              <w:bottom w:val="nil"/>
              <w:right w:val="single" w:color="auto" w:sz="8" w:space="0"/>
            </w:tcBorders>
            <w:shd w:val="clear" w:color="000000" w:fill="B4C6E7"/>
            <w:vAlign w:val="center"/>
          </w:tcPr>
          <w:p>
            <w:r>
              <w:rPr>
                <w:rFonts w:hint="eastAsia"/>
              </w:rPr>
              <w:t>灵活处理措施</w:t>
            </w:r>
          </w:p>
        </w:tc>
      </w:tr>
      <w:tr>
        <w:tblPrEx>
          <w:tblCellMar>
            <w:top w:w="0" w:type="dxa"/>
            <w:left w:w="108" w:type="dxa"/>
            <w:bottom w:w="0" w:type="dxa"/>
            <w:right w:w="108" w:type="dxa"/>
          </w:tblCellMar>
        </w:tblPrEx>
        <w:trPr>
          <w:cantSplit/>
          <w:trHeight w:val="684"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1.24</w:t>
            </w:r>
          </w:p>
        </w:tc>
        <w:tc>
          <w:tcPr>
            <w:tcW w:w="1417" w:type="dxa"/>
            <w:tcBorders>
              <w:top w:val="single" w:color="auto" w:sz="4" w:space="0"/>
              <w:left w:val="nil"/>
              <w:bottom w:val="single" w:color="auto" w:sz="4" w:space="0"/>
              <w:right w:val="single" w:color="auto" w:sz="4" w:space="0"/>
            </w:tcBorders>
            <w:shd w:val="clear" w:color="auto" w:fill="auto"/>
            <w:vAlign w:val="center"/>
          </w:tcPr>
          <w:p>
            <w:r>
              <w:rPr>
                <w:rFonts w:hint="eastAsia"/>
              </w:rPr>
              <w:t>休息日</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国办发明电【2019】16号</w:t>
            </w:r>
          </w:p>
        </w:tc>
        <w:tc>
          <w:tcPr>
            <w:tcW w:w="5528" w:type="dxa"/>
            <w:tcBorders>
              <w:top w:val="single" w:color="auto" w:sz="4" w:space="0"/>
              <w:left w:val="nil"/>
              <w:bottom w:val="single" w:color="auto" w:sz="4" w:space="0"/>
              <w:right w:val="single" w:color="auto" w:sz="4" w:space="0"/>
            </w:tcBorders>
            <w:shd w:val="clear" w:color="auto" w:fill="auto"/>
            <w:vAlign w:val="center"/>
          </w:tcPr>
          <w:p>
            <w:r>
              <w:rPr>
                <w:rFonts w:hint="eastAsia"/>
              </w:rPr>
              <w:t>安排职工工作，不能安排补休的支付200%工资</w:t>
            </w:r>
          </w:p>
        </w:tc>
        <w:tc>
          <w:tcPr>
            <w:tcW w:w="4256" w:type="dxa"/>
            <w:tcBorders>
              <w:top w:val="single" w:color="auto" w:sz="4" w:space="0"/>
              <w:left w:val="nil"/>
              <w:bottom w:val="single" w:color="auto" w:sz="4" w:space="0"/>
              <w:right w:val="single" w:color="auto" w:sz="8" w:space="0"/>
            </w:tcBorders>
            <w:shd w:val="clear" w:color="auto" w:fill="auto"/>
            <w:vAlign w:val="center"/>
          </w:tcPr>
          <w:p>
            <w:r>
              <w:rPr>
                <w:rFonts w:hint="eastAsia"/>
              </w:rPr>
              <w:t>可补休，不可安排年休假</w:t>
            </w:r>
          </w:p>
        </w:tc>
      </w:tr>
      <w:tr>
        <w:tblPrEx>
          <w:tblCellMar>
            <w:top w:w="0" w:type="dxa"/>
            <w:left w:w="108" w:type="dxa"/>
            <w:bottom w:w="0" w:type="dxa"/>
            <w:right w:w="108" w:type="dxa"/>
          </w:tblCellMar>
        </w:tblPrEx>
        <w:trPr>
          <w:cantSplit/>
          <w:trHeight w:val="708" w:hRule="atLeast"/>
        </w:trPr>
        <w:tc>
          <w:tcPr>
            <w:tcW w:w="1277" w:type="dxa"/>
            <w:tcBorders>
              <w:top w:val="nil"/>
              <w:left w:val="single" w:color="auto" w:sz="4" w:space="0"/>
              <w:bottom w:val="single" w:color="auto" w:sz="4" w:space="0"/>
              <w:right w:val="single" w:color="auto" w:sz="4" w:space="0"/>
            </w:tcBorders>
            <w:shd w:val="clear" w:color="auto" w:fill="auto"/>
            <w:vAlign w:val="center"/>
          </w:tcPr>
          <w:p>
            <w:r>
              <w:rPr>
                <w:rFonts w:hint="eastAsia"/>
              </w:rPr>
              <w:t>1.25-1.27</w:t>
            </w:r>
          </w:p>
        </w:tc>
        <w:tc>
          <w:tcPr>
            <w:tcW w:w="1417" w:type="dxa"/>
            <w:tcBorders>
              <w:top w:val="nil"/>
              <w:left w:val="nil"/>
              <w:bottom w:val="single" w:color="auto" w:sz="4" w:space="0"/>
              <w:right w:val="single" w:color="auto" w:sz="4" w:space="0"/>
            </w:tcBorders>
            <w:shd w:val="clear" w:color="auto" w:fill="auto"/>
            <w:vAlign w:val="center"/>
          </w:tcPr>
          <w:p>
            <w:r>
              <w:rPr>
                <w:rFonts w:hint="eastAsia"/>
              </w:rPr>
              <w:t>法定节假日</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tc>
        <w:tc>
          <w:tcPr>
            <w:tcW w:w="5528" w:type="dxa"/>
            <w:tcBorders>
              <w:top w:val="nil"/>
              <w:left w:val="nil"/>
              <w:bottom w:val="single" w:color="auto" w:sz="4" w:space="0"/>
              <w:right w:val="single" w:color="auto" w:sz="4" w:space="0"/>
            </w:tcBorders>
            <w:shd w:val="clear" w:color="auto" w:fill="auto"/>
            <w:vAlign w:val="center"/>
          </w:tcPr>
          <w:p>
            <w:r>
              <w:rPr>
                <w:rFonts w:hint="eastAsia"/>
              </w:rPr>
              <w:t>安排职工工作，原工资正常发放，支付300%工资报酬</w:t>
            </w:r>
          </w:p>
        </w:tc>
        <w:tc>
          <w:tcPr>
            <w:tcW w:w="4256" w:type="dxa"/>
            <w:tcBorders>
              <w:top w:val="nil"/>
              <w:left w:val="nil"/>
              <w:bottom w:val="single" w:color="auto" w:sz="4" w:space="0"/>
              <w:right w:val="single" w:color="auto" w:sz="8" w:space="0"/>
            </w:tcBorders>
            <w:shd w:val="clear" w:color="auto" w:fill="auto"/>
            <w:vAlign w:val="center"/>
          </w:tcPr>
          <w:p>
            <w:r>
              <w:rPr>
                <w:rFonts w:hint="eastAsia"/>
              </w:rPr>
              <w:t>不可补休，不可安排年休假</w:t>
            </w:r>
          </w:p>
        </w:tc>
      </w:tr>
      <w:tr>
        <w:tblPrEx>
          <w:tblCellMar>
            <w:top w:w="0" w:type="dxa"/>
            <w:left w:w="108" w:type="dxa"/>
            <w:bottom w:w="0" w:type="dxa"/>
            <w:right w:w="108" w:type="dxa"/>
          </w:tblCellMar>
        </w:tblPrEx>
        <w:trPr>
          <w:cantSplit/>
          <w:trHeight w:val="705" w:hRule="atLeast"/>
        </w:trPr>
        <w:tc>
          <w:tcPr>
            <w:tcW w:w="1277" w:type="dxa"/>
            <w:tcBorders>
              <w:top w:val="nil"/>
              <w:left w:val="single" w:color="auto" w:sz="4" w:space="0"/>
              <w:bottom w:val="single" w:color="auto" w:sz="4" w:space="0"/>
              <w:right w:val="single" w:color="auto" w:sz="4" w:space="0"/>
            </w:tcBorders>
            <w:shd w:val="clear" w:color="auto" w:fill="auto"/>
            <w:vAlign w:val="center"/>
          </w:tcPr>
          <w:p>
            <w:r>
              <w:rPr>
                <w:rFonts w:hint="eastAsia"/>
              </w:rPr>
              <w:t>1</w:t>
            </w:r>
            <w:r>
              <w:t>.28</w:t>
            </w:r>
            <w:r>
              <w:rPr>
                <w:rFonts w:hint="eastAsia"/>
              </w:rPr>
              <w:t>-</w:t>
            </w:r>
            <w:r>
              <w:t>1.30</w:t>
            </w:r>
          </w:p>
        </w:tc>
        <w:tc>
          <w:tcPr>
            <w:tcW w:w="1417" w:type="dxa"/>
            <w:tcBorders>
              <w:top w:val="nil"/>
              <w:left w:val="nil"/>
              <w:bottom w:val="single" w:color="auto" w:sz="4" w:space="0"/>
              <w:right w:val="single" w:color="auto" w:sz="4" w:space="0"/>
            </w:tcBorders>
            <w:shd w:val="clear" w:color="auto" w:fill="auto"/>
            <w:vAlign w:val="center"/>
          </w:tcPr>
          <w:p>
            <w:r>
              <w:rPr>
                <w:rFonts w:hint="eastAsia"/>
              </w:rPr>
              <w:t>休息日</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tc>
        <w:tc>
          <w:tcPr>
            <w:tcW w:w="5528" w:type="dxa"/>
            <w:tcBorders>
              <w:top w:val="nil"/>
              <w:left w:val="nil"/>
              <w:bottom w:val="single" w:color="auto" w:sz="4" w:space="0"/>
              <w:right w:val="single" w:color="auto" w:sz="4" w:space="0"/>
            </w:tcBorders>
            <w:shd w:val="clear" w:color="auto" w:fill="auto"/>
            <w:vAlign w:val="center"/>
          </w:tcPr>
          <w:p>
            <w:r>
              <w:rPr>
                <w:rFonts w:hint="eastAsia"/>
              </w:rPr>
              <w:t>安排职工工作，不能安排补休的支付200%工资</w:t>
            </w:r>
          </w:p>
        </w:tc>
        <w:tc>
          <w:tcPr>
            <w:tcW w:w="4256" w:type="dxa"/>
            <w:tcBorders>
              <w:top w:val="nil"/>
              <w:left w:val="nil"/>
              <w:bottom w:val="single" w:color="auto" w:sz="4" w:space="0"/>
              <w:right w:val="single" w:color="auto" w:sz="8" w:space="0"/>
            </w:tcBorders>
            <w:shd w:val="clear" w:color="auto" w:fill="auto"/>
            <w:vAlign w:val="center"/>
          </w:tcPr>
          <w:p>
            <w:r>
              <w:rPr>
                <w:rFonts w:hint="eastAsia"/>
              </w:rPr>
              <w:t>可补休，不可安排年休假</w:t>
            </w:r>
          </w:p>
        </w:tc>
      </w:tr>
      <w:tr>
        <w:tblPrEx>
          <w:tblCellMar>
            <w:top w:w="0" w:type="dxa"/>
            <w:left w:w="108" w:type="dxa"/>
            <w:bottom w:w="0" w:type="dxa"/>
            <w:right w:w="108" w:type="dxa"/>
          </w:tblCellMar>
        </w:tblPrEx>
        <w:trPr>
          <w:cantSplit/>
          <w:trHeight w:val="1701" w:hRule="atLeast"/>
        </w:trPr>
        <w:tc>
          <w:tcPr>
            <w:tcW w:w="1277" w:type="dxa"/>
            <w:tcBorders>
              <w:top w:val="nil"/>
              <w:left w:val="single" w:color="auto" w:sz="4" w:space="0"/>
              <w:bottom w:val="single" w:color="auto" w:sz="4" w:space="0"/>
              <w:right w:val="single" w:color="auto" w:sz="4" w:space="0"/>
            </w:tcBorders>
            <w:shd w:val="clear" w:color="auto" w:fill="auto"/>
            <w:vAlign w:val="center"/>
          </w:tcPr>
          <w:p>
            <w:r>
              <w:t>1.31</w:t>
            </w:r>
            <w:r>
              <w:rPr>
                <w:rFonts w:hint="eastAsia"/>
              </w:rPr>
              <w:t>-</w:t>
            </w:r>
            <w:r>
              <w:t>2.2</w:t>
            </w:r>
          </w:p>
        </w:tc>
        <w:tc>
          <w:tcPr>
            <w:tcW w:w="1417" w:type="dxa"/>
            <w:tcBorders>
              <w:top w:val="nil"/>
              <w:left w:val="nil"/>
              <w:bottom w:val="single" w:color="auto" w:sz="4" w:space="0"/>
              <w:right w:val="single" w:color="auto" w:sz="4" w:space="0"/>
            </w:tcBorders>
            <w:shd w:val="clear" w:color="auto" w:fill="auto"/>
            <w:vAlign w:val="center"/>
          </w:tcPr>
          <w:p>
            <w:r>
              <w:rPr>
                <w:rFonts w:hint="eastAsia"/>
              </w:rPr>
              <w:t>休息日</w:t>
            </w:r>
          </w:p>
        </w:tc>
        <w:tc>
          <w:tcPr>
            <w:tcW w:w="2552" w:type="dxa"/>
            <w:tcBorders>
              <w:top w:val="nil"/>
              <w:left w:val="nil"/>
              <w:bottom w:val="single" w:color="auto" w:sz="4" w:space="0"/>
              <w:right w:val="single" w:color="auto" w:sz="4" w:space="0"/>
            </w:tcBorders>
            <w:shd w:val="clear" w:color="auto" w:fill="auto"/>
            <w:vAlign w:val="center"/>
          </w:tcPr>
          <w:p>
            <w:r>
              <w:rPr>
                <w:rFonts w:hint="eastAsia"/>
              </w:rPr>
              <w:t>国办发明电【2020】1号</w:t>
            </w:r>
          </w:p>
        </w:tc>
        <w:tc>
          <w:tcPr>
            <w:tcW w:w="5528" w:type="dxa"/>
            <w:tcBorders>
              <w:top w:val="nil"/>
              <w:left w:val="nil"/>
              <w:bottom w:val="single" w:color="auto" w:sz="4" w:space="0"/>
              <w:right w:val="single" w:color="auto" w:sz="4" w:space="0"/>
            </w:tcBorders>
            <w:shd w:val="clear" w:color="auto" w:fill="auto"/>
            <w:vAlign w:val="center"/>
          </w:tcPr>
          <w:p>
            <w:r>
              <w:rPr>
                <w:rFonts w:hint="eastAsia"/>
              </w:rPr>
              <w:t>1月31日、2月1日属于原春节假期的补休，属于工作日，该二日工资已经包含在正常的月工资内。现因疫情，国务院将该2日调整为休息日，若职工上班不能安排补休的，应额外支付200%的工资报酬；2月2日本来就是休息日，无工资，若职工上班不能安排补休的，应支付200%的工资报酬。</w:t>
            </w:r>
          </w:p>
        </w:tc>
        <w:tc>
          <w:tcPr>
            <w:tcW w:w="4256" w:type="dxa"/>
            <w:tcBorders>
              <w:top w:val="nil"/>
              <w:left w:val="nil"/>
              <w:bottom w:val="single" w:color="auto" w:sz="4" w:space="0"/>
              <w:right w:val="single" w:color="auto" w:sz="8" w:space="0"/>
            </w:tcBorders>
            <w:shd w:val="clear" w:color="auto" w:fill="auto"/>
            <w:vAlign w:val="center"/>
          </w:tcPr>
          <w:p>
            <w:r>
              <w:rPr>
                <w:rFonts w:hint="eastAsia"/>
              </w:rPr>
              <w:t>可补休，不可安排年休假</w:t>
            </w:r>
          </w:p>
        </w:tc>
      </w:tr>
      <w:tr>
        <w:tblPrEx>
          <w:tblCellMar>
            <w:top w:w="0" w:type="dxa"/>
            <w:left w:w="108" w:type="dxa"/>
            <w:bottom w:w="0" w:type="dxa"/>
            <w:right w:w="108" w:type="dxa"/>
          </w:tblCellMar>
        </w:tblPrEx>
        <w:trPr>
          <w:cantSplit/>
          <w:trHeight w:val="1229" w:hRule="atLeast"/>
        </w:trPr>
        <w:tc>
          <w:tcPr>
            <w:tcW w:w="1277" w:type="dxa"/>
            <w:tcBorders>
              <w:top w:val="nil"/>
              <w:left w:val="single" w:color="auto" w:sz="4" w:space="0"/>
              <w:bottom w:val="single" w:color="auto" w:sz="4" w:space="0"/>
              <w:right w:val="single" w:color="auto" w:sz="4" w:space="0"/>
            </w:tcBorders>
            <w:shd w:val="clear" w:color="auto" w:fill="auto"/>
            <w:vAlign w:val="center"/>
          </w:tcPr>
          <w:p>
            <w:r>
              <w:t>2.3</w:t>
            </w:r>
            <w:r>
              <w:rPr>
                <w:rFonts w:hint="eastAsia"/>
              </w:rPr>
              <w:t>-</w:t>
            </w:r>
            <w:r>
              <w:t>2.7</w:t>
            </w:r>
          </w:p>
        </w:tc>
        <w:tc>
          <w:tcPr>
            <w:tcW w:w="1417" w:type="dxa"/>
            <w:tcBorders>
              <w:top w:val="nil"/>
              <w:left w:val="nil"/>
              <w:bottom w:val="single" w:color="auto" w:sz="4" w:space="0"/>
              <w:right w:val="single" w:color="auto" w:sz="4" w:space="0"/>
            </w:tcBorders>
            <w:shd w:val="clear" w:color="auto" w:fill="auto"/>
            <w:vAlign w:val="center"/>
          </w:tcPr>
          <w:p>
            <w:r>
              <w:rPr>
                <w:rFonts w:hint="eastAsia"/>
              </w:rPr>
              <w:t>山东省政府规定的停工日</w:t>
            </w:r>
          </w:p>
        </w:tc>
        <w:tc>
          <w:tcPr>
            <w:tcW w:w="2552" w:type="dxa"/>
            <w:vMerge w:val="restart"/>
            <w:tcBorders>
              <w:top w:val="nil"/>
              <w:left w:val="single" w:color="auto" w:sz="4" w:space="0"/>
              <w:right w:val="single" w:color="auto" w:sz="4" w:space="0"/>
            </w:tcBorders>
            <w:shd w:val="clear" w:color="auto" w:fill="auto"/>
            <w:vAlign w:val="center"/>
          </w:tcPr>
          <w:p>
            <w:r>
              <w:rPr>
                <w:rFonts w:hint="eastAsia"/>
              </w:rPr>
              <w:t>鲁人社字【2020】10号</w:t>
            </w:r>
          </w:p>
          <w:p>
            <w:bookmarkStart w:id="0" w:name="_GoBack"/>
            <w:bookmarkEnd w:id="0"/>
          </w:p>
        </w:tc>
        <w:tc>
          <w:tcPr>
            <w:tcW w:w="5528" w:type="dxa"/>
            <w:tcBorders>
              <w:top w:val="nil"/>
              <w:left w:val="nil"/>
              <w:bottom w:val="single" w:color="auto" w:sz="4" w:space="0"/>
              <w:right w:val="single" w:color="auto" w:sz="4" w:space="0"/>
            </w:tcBorders>
            <w:shd w:val="clear" w:color="auto" w:fill="auto"/>
            <w:vAlign w:val="center"/>
          </w:tcPr>
          <w:p>
            <w:r>
              <w:rPr>
                <w:rFonts w:hint="eastAsia"/>
              </w:rPr>
              <w:t>上班的，工资正常支付；休息的，按停工处理，停工第一个工资支付周期内，视同出勤，正常支付工资。此后支付生活费：不低于当地最低工资（开发区1910元/月）的70%。</w:t>
            </w:r>
          </w:p>
        </w:tc>
        <w:tc>
          <w:tcPr>
            <w:tcW w:w="4256" w:type="dxa"/>
            <w:tcBorders>
              <w:top w:val="nil"/>
              <w:left w:val="nil"/>
              <w:bottom w:val="single" w:color="auto" w:sz="4" w:space="0"/>
              <w:right w:val="single" w:color="auto" w:sz="8" w:space="0"/>
            </w:tcBorders>
            <w:shd w:val="clear" w:color="auto" w:fill="auto"/>
            <w:vAlign w:val="center"/>
          </w:tcPr>
          <w:p>
            <w:r>
              <w:rPr>
                <w:rFonts w:hint="eastAsia"/>
              </w:rPr>
              <w:t>原则上不可补休，也不可安排年休假。</w:t>
            </w:r>
          </w:p>
          <w:p>
            <w:r>
              <w:rPr>
                <w:rFonts w:hint="eastAsia"/>
              </w:rPr>
              <w:t>另外：若单位考虑经营压力，拟安排年休假，则建议向职工发通知时作出声明：暂时安排年休假，届时政策明朗后再予以调整。</w:t>
            </w:r>
          </w:p>
        </w:tc>
      </w:tr>
      <w:tr>
        <w:tblPrEx>
          <w:tblCellMar>
            <w:top w:w="0" w:type="dxa"/>
            <w:left w:w="108" w:type="dxa"/>
            <w:bottom w:w="0" w:type="dxa"/>
            <w:right w:w="108" w:type="dxa"/>
          </w:tblCellMar>
        </w:tblPrEx>
        <w:trPr>
          <w:cantSplit/>
          <w:trHeight w:val="978" w:hRule="atLeast"/>
        </w:trPr>
        <w:tc>
          <w:tcPr>
            <w:tcW w:w="1277" w:type="dxa"/>
            <w:tcBorders>
              <w:top w:val="nil"/>
              <w:left w:val="single" w:color="auto" w:sz="4" w:space="0"/>
              <w:bottom w:val="single" w:color="auto" w:sz="4" w:space="0"/>
              <w:right w:val="single" w:color="auto" w:sz="4" w:space="0"/>
            </w:tcBorders>
            <w:shd w:val="clear" w:color="auto" w:fill="auto"/>
            <w:vAlign w:val="center"/>
          </w:tcPr>
          <w:p>
            <w:r>
              <w:t>2.8</w:t>
            </w:r>
            <w:r>
              <w:rPr>
                <w:rFonts w:hint="eastAsia"/>
              </w:rPr>
              <w:t>-</w:t>
            </w:r>
            <w:r>
              <w:t>2.9</w:t>
            </w:r>
          </w:p>
        </w:tc>
        <w:tc>
          <w:tcPr>
            <w:tcW w:w="1417" w:type="dxa"/>
            <w:tcBorders>
              <w:top w:val="nil"/>
              <w:left w:val="nil"/>
              <w:bottom w:val="single" w:color="auto" w:sz="4" w:space="0"/>
              <w:right w:val="single" w:color="auto" w:sz="4" w:space="0"/>
            </w:tcBorders>
            <w:shd w:val="clear" w:color="auto" w:fill="auto"/>
            <w:vAlign w:val="center"/>
          </w:tcPr>
          <w:p>
            <w:r>
              <w:rPr>
                <w:rFonts w:hint="eastAsia"/>
              </w:rPr>
              <w:t>休息日</w:t>
            </w:r>
          </w:p>
        </w:tc>
        <w:tc>
          <w:tcPr>
            <w:tcW w:w="2552" w:type="dxa"/>
            <w:vMerge w:val="continue"/>
            <w:tcBorders>
              <w:left w:val="single" w:color="auto" w:sz="4" w:space="0"/>
              <w:bottom w:val="single" w:color="auto" w:sz="4" w:space="0"/>
              <w:right w:val="single" w:color="auto" w:sz="4" w:space="0"/>
            </w:tcBorders>
            <w:shd w:val="clear" w:color="auto" w:fill="auto"/>
            <w:vAlign w:val="center"/>
          </w:tcPr>
          <w:p/>
        </w:tc>
        <w:tc>
          <w:tcPr>
            <w:tcW w:w="5528" w:type="dxa"/>
            <w:tcBorders>
              <w:top w:val="nil"/>
              <w:left w:val="nil"/>
              <w:bottom w:val="single" w:color="auto" w:sz="4" w:space="0"/>
              <w:right w:val="single" w:color="auto" w:sz="4" w:space="0"/>
            </w:tcBorders>
            <w:shd w:val="clear" w:color="auto" w:fill="auto"/>
            <w:vAlign w:val="center"/>
          </w:tcPr>
          <w:p>
            <w:r>
              <w:rPr>
                <w:rFonts w:hint="eastAsia"/>
              </w:rPr>
              <w:t>若职工上班又不能安排补休的，应支付200%的工资报酬。</w:t>
            </w:r>
          </w:p>
        </w:tc>
        <w:tc>
          <w:tcPr>
            <w:tcW w:w="4256" w:type="dxa"/>
            <w:tcBorders>
              <w:top w:val="nil"/>
              <w:left w:val="nil"/>
              <w:bottom w:val="single" w:color="auto" w:sz="4" w:space="0"/>
              <w:right w:val="single" w:color="auto" w:sz="8" w:space="0"/>
            </w:tcBorders>
            <w:shd w:val="clear" w:color="auto" w:fill="auto"/>
            <w:vAlign w:val="center"/>
          </w:tcPr>
          <w:p>
            <w:r>
              <w:rPr>
                <w:rFonts w:hint="eastAsia"/>
              </w:rPr>
              <w:t>可补休，不可安排年休假</w:t>
            </w:r>
          </w:p>
        </w:tc>
      </w:tr>
      <w:tr>
        <w:tblPrEx>
          <w:tblCellMar>
            <w:top w:w="0" w:type="dxa"/>
            <w:left w:w="108" w:type="dxa"/>
            <w:bottom w:w="0" w:type="dxa"/>
            <w:right w:w="108" w:type="dxa"/>
          </w:tblCellMar>
        </w:tblPrEx>
        <w:trPr>
          <w:cantSplit/>
          <w:trHeight w:val="567" w:hRule="atLeast"/>
        </w:trPr>
        <w:tc>
          <w:tcPr>
            <w:tcW w:w="1277" w:type="dxa"/>
            <w:tcBorders>
              <w:top w:val="single" w:color="auto" w:sz="8" w:space="0"/>
              <w:left w:val="single" w:color="auto" w:sz="4" w:space="0"/>
              <w:bottom w:val="nil"/>
              <w:right w:val="single" w:color="auto" w:sz="4" w:space="0"/>
            </w:tcBorders>
            <w:shd w:val="clear" w:color="000000" w:fill="B4C6E7"/>
            <w:vAlign w:val="center"/>
          </w:tcPr>
          <w:p>
            <w:r>
              <w:rPr>
                <w:rFonts w:hint="eastAsia"/>
              </w:rPr>
              <w:t>日期</w:t>
            </w:r>
          </w:p>
        </w:tc>
        <w:tc>
          <w:tcPr>
            <w:tcW w:w="1417" w:type="dxa"/>
            <w:tcBorders>
              <w:top w:val="single" w:color="auto" w:sz="4" w:space="0"/>
              <w:left w:val="nil"/>
              <w:bottom w:val="nil"/>
              <w:right w:val="single" w:color="auto" w:sz="4" w:space="0"/>
            </w:tcBorders>
            <w:shd w:val="clear" w:color="000000" w:fill="B4C6E7"/>
            <w:vAlign w:val="center"/>
          </w:tcPr>
          <w:p>
            <w:r>
              <w:rPr>
                <w:rFonts w:hint="eastAsia"/>
              </w:rPr>
              <w:t>性  质</w:t>
            </w:r>
          </w:p>
        </w:tc>
        <w:tc>
          <w:tcPr>
            <w:tcW w:w="2552" w:type="dxa"/>
            <w:tcBorders>
              <w:top w:val="single" w:color="auto" w:sz="4" w:space="0"/>
              <w:left w:val="nil"/>
              <w:bottom w:val="nil"/>
              <w:right w:val="single" w:color="auto" w:sz="4" w:space="0"/>
            </w:tcBorders>
            <w:shd w:val="clear" w:color="000000" w:fill="B4C6E7"/>
            <w:vAlign w:val="center"/>
          </w:tcPr>
          <w:p>
            <w:r>
              <w:rPr>
                <w:rFonts w:hint="eastAsia"/>
              </w:rPr>
              <w:t>依  据</w:t>
            </w:r>
          </w:p>
        </w:tc>
        <w:tc>
          <w:tcPr>
            <w:tcW w:w="5528" w:type="dxa"/>
            <w:tcBorders>
              <w:top w:val="single" w:color="auto" w:sz="4" w:space="0"/>
              <w:left w:val="nil"/>
              <w:bottom w:val="nil"/>
              <w:right w:val="single" w:color="auto" w:sz="4" w:space="0"/>
            </w:tcBorders>
            <w:shd w:val="clear" w:color="000000" w:fill="B4C6E7"/>
            <w:vAlign w:val="center"/>
          </w:tcPr>
          <w:p>
            <w:r>
              <w:rPr>
                <w:rFonts w:hint="eastAsia"/>
              </w:rPr>
              <w:t>待遇支付</w:t>
            </w:r>
          </w:p>
        </w:tc>
        <w:tc>
          <w:tcPr>
            <w:tcW w:w="4256" w:type="dxa"/>
            <w:tcBorders>
              <w:top w:val="single" w:color="auto" w:sz="8" w:space="0"/>
              <w:left w:val="nil"/>
              <w:bottom w:val="single" w:color="auto" w:sz="4" w:space="0"/>
              <w:right w:val="single" w:color="auto" w:sz="8" w:space="0"/>
            </w:tcBorders>
            <w:shd w:val="clear" w:color="000000" w:fill="B4C6E7"/>
            <w:vAlign w:val="center"/>
          </w:tcPr>
          <w:p>
            <w:r>
              <w:rPr>
                <w:rFonts w:hint="eastAsia"/>
              </w:rPr>
              <w:t>灵活处理措施</w:t>
            </w:r>
          </w:p>
        </w:tc>
      </w:tr>
      <w:tr>
        <w:tblPrEx>
          <w:tblCellMar>
            <w:top w:w="0" w:type="dxa"/>
            <w:left w:w="108" w:type="dxa"/>
            <w:bottom w:w="0" w:type="dxa"/>
            <w:right w:w="108" w:type="dxa"/>
          </w:tblCellMar>
        </w:tblPrEx>
        <w:trPr>
          <w:cantSplit/>
          <w:trHeight w:val="384"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r>
              <w:t>2.10</w:t>
            </w:r>
            <w:r>
              <w:rPr>
                <w:rFonts w:hint="eastAsia"/>
              </w:rPr>
              <w:t>及以后</w:t>
            </w:r>
          </w:p>
        </w:tc>
        <w:tc>
          <w:tcPr>
            <w:tcW w:w="1417" w:type="dxa"/>
            <w:vMerge w:val="restart"/>
            <w:tcBorders>
              <w:top w:val="single" w:color="auto" w:sz="4" w:space="0"/>
              <w:left w:val="single" w:color="auto" w:sz="4" w:space="0"/>
              <w:right w:val="single" w:color="auto" w:sz="4" w:space="0"/>
            </w:tcBorders>
            <w:shd w:val="clear" w:color="auto" w:fill="auto"/>
            <w:vAlign w:val="center"/>
          </w:tcPr>
          <w:p>
            <w:r>
              <w:rPr>
                <w:rFonts w:hint="eastAsia"/>
              </w:rPr>
              <w:t>恢复正常</w:t>
            </w:r>
          </w:p>
        </w:tc>
        <w:tc>
          <w:tcPr>
            <w:tcW w:w="2552" w:type="dxa"/>
            <w:vMerge w:val="restart"/>
            <w:tcBorders>
              <w:top w:val="single" w:color="auto" w:sz="4" w:space="0"/>
              <w:left w:val="single" w:color="auto" w:sz="4" w:space="0"/>
              <w:right w:val="single" w:color="auto" w:sz="4" w:space="0"/>
            </w:tcBorders>
            <w:shd w:val="clear" w:color="auto" w:fill="auto"/>
            <w:vAlign w:val="center"/>
          </w:tcPr>
          <w:p>
            <w:r>
              <w:rPr>
                <w:rFonts w:hint="eastAsia"/>
              </w:rPr>
              <w:t>鲁人社字【2020】10号</w:t>
            </w:r>
            <w:r>
              <w:br w:type="textWrapping"/>
            </w:r>
            <w:r>
              <w:rPr>
                <w:rFonts w:hint="eastAsia"/>
              </w:rPr>
              <w:t>鲁发改办【</w:t>
            </w:r>
            <w:r>
              <w:t>2020</w:t>
            </w:r>
            <w:r>
              <w:rPr>
                <w:rFonts w:hint="eastAsia"/>
              </w:rPr>
              <w:t>】</w:t>
            </w:r>
            <w:r>
              <w:t>81号</w:t>
            </w:r>
          </w:p>
          <w:p>
            <w:r>
              <w:t>鲁人社函</w:t>
            </w:r>
            <w:r>
              <w:rPr>
                <w:rFonts w:hint="eastAsia"/>
              </w:rPr>
              <w:t>【</w:t>
            </w:r>
            <w:r>
              <w:t>2020</w:t>
            </w:r>
            <w:r>
              <w:rPr>
                <w:rFonts w:hint="eastAsia"/>
              </w:rPr>
              <w:t>】</w:t>
            </w:r>
            <w:r>
              <w:t>5号</w:t>
            </w:r>
          </w:p>
          <w:p>
            <w:r>
              <w:rPr>
                <w:rFonts w:hint="eastAsia"/>
              </w:rPr>
              <w:t>烟政办发电【</w:t>
            </w:r>
            <w:r>
              <w:t>2020】1号</w:t>
            </w:r>
          </w:p>
        </w:tc>
        <w:tc>
          <w:tcPr>
            <w:tcW w:w="5528" w:type="dxa"/>
            <w:tcBorders>
              <w:top w:val="single" w:color="auto" w:sz="4" w:space="0"/>
              <w:left w:val="nil"/>
              <w:bottom w:val="single" w:color="auto" w:sz="4" w:space="0"/>
              <w:right w:val="single" w:color="auto" w:sz="4" w:space="0"/>
            </w:tcBorders>
            <w:shd w:val="clear" w:color="auto" w:fill="auto"/>
            <w:vAlign w:val="center"/>
          </w:tcPr>
          <w:p>
            <w:r>
              <w:rPr>
                <w:rFonts w:hint="eastAsia"/>
              </w:rPr>
              <w:t>正常上班职工：工资正常发放。</w:t>
            </w:r>
          </w:p>
        </w:tc>
        <w:tc>
          <w:tcPr>
            <w:tcW w:w="4256" w:type="dxa"/>
            <w:tcBorders>
              <w:top w:val="single" w:color="auto" w:sz="4" w:space="0"/>
              <w:left w:val="nil"/>
              <w:bottom w:val="single" w:color="auto" w:sz="4" w:space="0"/>
              <w:right w:val="single" w:color="auto" w:sz="8" w:space="0"/>
            </w:tcBorders>
            <w:shd w:val="clear" w:color="auto" w:fill="auto"/>
            <w:vAlign w:val="center"/>
          </w:tcPr>
          <w:p>
            <w:r>
              <w:rPr>
                <w:rFonts w:hint="eastAsia"/>
              </w:rPr>
              <w:t>/</w:t>
            </w:r>
          </w:p>
        </w:tc>
      </w:tr>
      <w:tr>
        <w:tblPrEx>
          <w:tblCellMar>
            <w:top w:w="0" w:type="dxa"/>
            <w:left w:w="108" w:type="dxa"/>
            <w:bottom w:w="0" w:type="dxa"/>
            <w:right w:w="108" w:type="dxa"/>
          </w:tblCellMar>
        </w:tblPrEx>
        <w:trPr>
          <w:cantSplit/>
          <w:trHeight w:val="1280" w:hRule="atLeast"/>
        </w:trPr>
        <w:tc>
          <w:tcPr>
            <w:tcW w:w="1277" w:type="dxa"/>
            <w:vMerge w:val="continue"/>
            <w:tcBorders>
              <w:left w:val="single" w:color="auto" w:sz="4" w:space="0"/>
              <w:right w:val="single" w:color="auto" w:sz="4" w:space="0"/>
            </w:tcBorders>
            <w:shd w:val="clear" w:color="auto" w:fill="auto"/>
            <w:vAlign w:val="center"/>
          </w:tcPr>
          <w:p/>
        </w:tc>
        <w:tc>
          <w:tcPr>
            <w:tcW w:w="1417" w:type="dxa"/>
            <w:vMerge w:val="continue"/>
            <w:tcBorders>
              <w:left w:val="single" w:color="auto" w:sz="4" w:space="0"/>
              <w:right w:val="single" w:color="auto" w:sz="4" w:space="0"/>
            </w:tcBorders>
            <w:shd w:val="clear" w:color="auto" w:fill="auto"/>
            <w:vAlign w:val="center"/>
          </w:tcPr>
          <w:p/>
        </w:tc>
        <w:tc>
          <w:tcPr>
            <w:tcW w:w="2552" w:type="dxa"/>
            <w:vMerge w:val="continue"/>
            <w:tcBorders>
              <w:left w:val="single" w:color="auto" w:sz="4" w:space="0"/>
              <w:bottom w:val="single" w:color="auto" w:sz="4" w:space="0"/>
              <w:right w:val="single" w:color="auto" w:sz="4" w:space="0"/>
            </w:tcBorders>
            <w:shd w:val="clear" w:color="auto" w:fill="auto"/>
            <w:vAlign w:val="center"/>
          </w:tcPr>
          <w:p/>
        </w:tc>
        <w:tc>
          <w:tcPr>
            <w:tcW w:w="5528" w:type="dxa"/>
            <w:tcBorders>
              <w:top w:val="single" w:color="auto" w:sz="4" w:space="0"/>
              <w:left w:val="nil"/>
              <w:bottom w:val="single" w:color="auto" w:sz="4" w:space="0"/>
              <w:right w:val="single" w:color="auto" w:sz="4" w:space="0"/>
            </w:tcBorders>
            <w:shd w:val="clear" w:color="auto" w:fill="auto"/>
            <w:vAlign w:val="center"/>
          </w:tcPr>
          <w:p>
            <w:r>
              <w:rPr>
                <w:rFonts w:hint="eastAsia"/>
              </w:rPr>
              <w:t>因疫情未及时返工的职工（包括按烟台市地方性规定，外省返烟职工自行隔离14天情形）：安排年休假的正常发放工资。年休假期满后，可协商调休，调休期间不发放工资。协商不成，可按烟政办发电【</w:t>
            </w:r>
            <w:r>
              <w:t>2020】1号</w:t>
            </w:r>
            <w:r>
              <w:rPr>
                <w:rFonts w:hint="eastAsia"/>
              </w:rPr>
              <w:t>文件规定，由单位通知调休。在通知中须声明：暂时按调休处理，届时政策明朗后再予以调整。</w:t>
            </w:r>
          </w:p>
        </w:tc>
        <w:tc>
          <w:tcPr>
            <w:tcW w:w="4256" w:type="dxa"/>
            <w:tcBorders>
              <w:top w:val="single" w:color="auto" w:sz="4" w:space="0"/>
              <w:left w:val="nil"/>
              <w:bottom w:val="single" w:color="auto" w:sz="4" w:space="0"/>
              <w:right w:val="single" w:color="auto" w:sz="8" w:space="0"/>
            </w:tcBorders>
            <w:shd w:val="clear" w:color="auto" w:fill="auto"/>
            <w:vAlign w:val="center"/>
          </w:tcPr>
          <w:p>
            <w:r>
              <w:rPr>
                <w:rFonts w:hint="eastAsia"/>
              </w:rPr>
              <w:t>1、可安排年休假。</w:t>
            </w:r>
          </w:p>
          <w:p>
            <w:r>
              <w:rPr>
                <w:rFonts w:hint="eastAsia"/>
              </w:rPr>
              <w:t>2、年休假期满的，可协商调休。协商不成，可按烟政办发电【</w:t>
            </w:r>
            <w:r>
              <w:t>2020】1号</w:t>
            </w:r>
            <w:r>
              <w:rPr>
                <w:rFonts w:hint="eastAsia"/>
              </w:rPr>
              <w:t>文件规定，由单位通知调休。在通知中须声明：暂时按调休处理，届时政策明朗后再予以调整。</w:t>
            </w:r>
          </w:p>
        </w:tc>
      </w:tr>
      <w:tr>
        <w:tblPrEx>
          <w:tblCellMar>
            <w:top w:w="0" w:type="dxa"/>
            <w:left w:w="108" w:type="dxa"/>
            <w:bottom w:w="0" w:type="dxa"/>
            <w:right w:w="108" w:type="dxa"/>
          </w:tblCellMar>
        </w:tblPrEx>
        <w:trPr>
          <w:cantSplit/>
          <w:trHeight w:val="1130" w:hRule="atLeast"/>
        </w:trPr>
        <w:tc>
          <w:tcPr>
            <w:tcW w:w="1277" w:type="dxa"/>
            <w:vMerge w:val="continue"/>
            <w:tcBorders>
              <w:left w:val="single" w:color="auto" w:sz="4" w:space="0"/>
              <w:right w:val="single" w:color="auto" w:sz="4" w:space="0"/>
            </w:tcBorders>
            <w:shd w:val="clear" w:color="auto" w:fill="auto"/>
            <w:vAlign w:val="center"/>
          </w:tcPr>
          <w:p/>
        </w:tc>
        <w:tc>
          <w:tcPr>
            <w:tcW w:w="1417" w:type="dxa"/>
            <w:vMerge w:val="continue"/>
            <w:tcBorders>
              <w:left w:val="single" w:color="auto" w:sz="4" w:space="0"/>
              <w:bottom w:val="single" w:color="auto" w:sz="4" w:space="0"/>
              <w:right w:val="single" w:color="auto" w:sz="4" w:space="0"/>
            </w:tcBorders>
            <w:shd w:val="clear" w:color="auto" w:fill="auto"/>
            <w:vAlign w:val="center"/>
          </w:tc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鲁人社函【</w:t>
            </w:r>
            <w:r>
              <w:t>2020</w:t>
            </w:r>
            <w:r>
              <w:rPr>
                <w:rFonts w:hint="eastAsia"/>
              </w:rPr>
              <w:t>】</w:t>
            </w:r>
            <w:r>
              <w:t>5号</w:t>
            </w:r>
          </w:p>
          <w:p>
            <w:r>
              <w:rPr>
                <w:rFonts w:hint="eastAsia"/>
              </w:rPr>
              <w:t>《传染病防治法》第41条</w:t>
            </w:r>
            <w:r>
              <w:br w:type="textWrapping"/>
            </w:r>
            <w:r>
              <w:rPr>
                <w:rFonts w:hint="eastAsia"/>
              </w:rPr>
              <w:t>《山东省企业工资支付规定》第26条</w:t>
            </w:r>
          </w:p>
        </w:tc>
        <w:tc>
          <w:tcPr>
            <w:tcW w:w="5528" w:type="dxa"/>
            <w:tcBorders>
              <w:top w:val="single" w:color="auto" w:sz="4" w:space="0"/>
              <w:left w:val="nil"/>
              <w:bottom w:val="single" w:color="auto" w:sz="4" w:space="0"/>
              <w:right w:val="single" w:color="auto" w:sz="4" w:space="0"/>
            </w:tcBorders>
            <w:shd w:val="clear" w:color="auto" w:fill="auto"/>
            <w:vAlign w:val="center"/>
          </w:tcPr>
          <w:p>
            <w:r>
              <w:rPr>
                <w:rFonts w:hint="eastAsia"/>
              </w:rPr>
              <w:t>被采取隔离措施的职工：</w:t>
            </w:r>
          </w:p>
          <w:p>
            <w:r>
              <w:rPr>
                <w:rFonts w:hint="eastAsia"/>
              </w:rPr>
              <w:t>对新型冠状病毒感染的肺炎患者、疑似病人、密切接触者在其隔离治疗期间或医学观察期间以及因政府实施隔离措施或采取其他紧急措施导致不能提供正常劳动的企业职工，隔离治疗和医学观察期间应按照正常出勤计发工资。</w:t>
            </w:r>
            <w:r>
              <w:br w:type="textWrapping"/>
            </w:r>
            <w:r>
              <w:rPr>
                <w:rFonts w:hint="eastAsia"/>
              </w:rPr>
              <w:t xml:space="preserve"> </w:t>
            </w:r>
            <w:r>
              <w:t xml:space="preserve"> </w:t>
            </w:r>
            <w:r>
              <w:rPr>
                <w:rFonts w:hint="eastAsia"/>
              </w:rPr>
              <w:t>隔离期结束，仍需治疗的按医疗期规定执行。</w:t>
            </w:r>
          </w:p>
        </w:tc>
        <w:tc>
          <w:tcPr>
            <w:tcW w:w="4256" w:type="dxa"/>
            <w:tcBorders>
              <w:top w:val="single" w:color="auto" w:sz="4" w:space="0"/>
              <w:left w:val="nil"/>
              <w:bottom w:val="single" w:color="auto" w:sz="4" w:space="0"/>
              <w:right w:val="single" w:color="auto" w:sz="8" w:space="0"/>
            </w:tcBorders>
            <w:shd w:val="clear" w:color="auto" w:fill="auto"/>
            <w:vAlign w:val="center"/>
          </w:tcPr>
          <w:p>
            <w:r>
              <w:rPr>
                <w:rFonts w:hint="eastAsia"/>
              </w:rPr>
              <w:t>不可补休，不可安排年休假</w:t>
            </w:r>
          </w:p>
        </w:tc>
      </w:tr>
      <w:tr>
        <w:tblPrEx>
          <w:tblCellMar>
            <w:top w:w="0" w:type="dxa"/>
            <w:left w:w="108" w:type="dxa"/>
            <w:bottom w:w="0" w:type="dxa"/>
            <w:right w:w="108" w:type="dxa"/>
          </w:tblCellMar>
        </w:tblPrEx>
        <w:trPr>
          <w:cantSplit/>
          <w:trHeight w:val="3458"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企业未取得开工许可、未能复工</w:t>
            </w:r>
          </w:p>
        </w:tc>
        <w:tc>
          <w:tcPr>
            <w:tcW w:w="2552" w:type="dxa"/>
            <w:tcBorders>
              <w:top w:val="single" w:color="auto" w:sz="4" w:space="0"/>
              <w:left w:val="nil"/>
              <w:bottom w:val="single" w:color="auto" w:sz="4" w:space="0"/>
              <w:right w:val="single" w:color="auto" w:sz="4" w:space="0"/>
            </w:tcBorders>
            <w:shd w:val="clear" w:color="auto" w:fill="auto"/>
            <w:vAlign w:val="center"/>
          </w:tcPr>
          <w:p>
            <w:r>
              <w:rPr>
                <w:rFonts w:hint="eastAsia"/>
              </w:rPr>
              <w:t>人社部发【</w:t>
            </w:r>
            <w:r>
              <w:t>2020】8号</w:t>
            </w:r>
          </w:p>
          <w:p>
            <w:r>
              <w:t>鲁人社函</w:t>
            </w:r>
            <w:r>
              <w:rPr>
                <w:rFonts w:hint="eastAsia"/>
              </w:rPr>
              <w:t>【</w:t>
            </w:r>
            <w:r>
              <w:t>2020</w:t>
            </w:r>
            <w:r>
              <w:rPr>
                <w:rFonts w:hint="eastAsia"/>
              </w:rPr>
              <w:t>】</w:t>
            </w:r>
            <w:r>
              <w:t>5号</w:t>
            </w:r>
            <w:r>
              <w:br w:type="textWrapping"/>
            </w:r>
            <w:r>
              <w:t xml:space="preserve">山东省省人力资源社会保障厅《关于延迟省内企业复工的紧急通知》以及省内企业延迟复工劳动关系政策解读               </w:t>
            </w:r>
            <w:r>
              <w:br w:type="textWrapping"/>
            </w:r>
            <w:r>
              <w:t>《山东省企业工资支付规定》</w:t>
            </w:r>
          </w:p>
        </w:tc>
        <w:tc>
          <w:tcPr>
            <w:tcW w:w="5528" w:type="dxa"/>
            <w:tcBorders>
              <w:top w:val="single" w:color="auto" w:sz="4" w:space="0"/>
              <w:left w:val="nil"/>
              <w:bottom w:val="single" w:color="auto" w:sz="4" w:space="0"/>
              <w:right w:val="single" w:color="auto" w:sz="4" w:space="0"/>
            </w:tcBorders>
            <w:shd w:val="clear" w:color="auto" w:fill="auto"/>
            <w:vAlign w:val="center"/>
          </w:tcPr>
          <w:p>
            <w:r>
              <w:rPr>
                <w:rFonts w:hint="eastAsia"/>
              </w:rPr>
              <w:t>1、可协商支付相应待遇；</w:t>
            </w:r>
            <w:r>
              <w:t xml:space="preserve">  </w:t>
            </w:r>
            <w:r>
              <w:br w:type="textWrapping"/>
            </w:r>
            <w:r>
              <w:t>2</w:t>
            </w:r>
            <w:r>
              <w:rPr>
                <w:rFonts w:hint="eastAsia"/>
              </w:rPr>
              <w:t>、可安排年休假；</w:t>
            </w:r>
            <w:r>
              <w:br w:type="textWrapping"/>
            </w:r>
            <w:r>
              <w:t>3</w:t>
            </w:r>
            <w:r>
              <w:rPr>
                <w:rFonts w:hint="eastAsia"/>
              </w:rPr>
              <w:t>、年休假期满、也</w:t>
            </w:r>
            <w:r>
              <w:t>未能协商一致</w:t>
            </w:r>
            <w:r>
              <w:rPr>
                <w:rFonts w:hint="eastAsia"/>
              </w:rPr>
              <w:t>的</w:t>
            </w:r>
            <w:r>
              <w:t>，</w:t>
            </w:r>
            <w:r>
              <w:rPr>
                <w:rFonts w:hint="eastAsia"/>
              </w:rPr>
              <w:t>参照停工处理，停工第一个工资支付周期内，视同出勤，正常支付工资。此后支付生活费：不低于当地最低工资（开发区1910元/月）的70%。</w:t>
            </w:r>
          </w:p>
        </w:tc>
        <w:tc>
          <w:tcPr>
            <w:tcW w:w="4256" w:type="dxa"/>
            <w:tcBorders>
              <w:top w:val="single" w:color="auto" w:sz="4" w:space="0"/>
              <w:left w:val="nil"/>
              <w:bottom w:val="single" w:color="auto" w:sz="4" w:space="0"/>
              <w:right w:val="single" w:color="auto" w:sz="8" w:space="0"/>
            </w:tcBorders>
            <w:shd w:val="clear" w:color="auto" w:fill="auto"/>
            <w:vAlign w:val="center"/>
          </w:tcPr>
          <w:p>
            <w:r>
              <w:rPr>
                <w:rFonts w:hint="eastAsia"/>
              </w:rPr>
              <w:t>1、可协商待遇。</w:t>
            </w:r>
          </w:p>
          <w:p>
            <w:r>
              <w:rPr>
                <w:rFonts w:hint="eastAsia"/>
              </w:rPr>
              <w:t>2、安排年休假，原则上不可安排调休。</w:t>
            </w:r>
          </w:p>
          <w:p>
            <w:r>
              <w:rPr>
                <w:rFonts w:hint="eastAsia"/>
              </w:rPr>
              <w:t>3、若单位考虑经营压力，拟安排调休，须在通知中声明：暂时按调休处理，届时政策明朗后再予以调整。</w:t>
            </w:r>
          </w:p>
        </w:tc>
      </w:tr>
    </w:tbl>
    <w:p>
      <w:pPr>
        <w:spacing w:line="20" w:lineRule="exact"/>
        <w:jc w:val="center"/>
      </w:pPr>
    </w:p>
    <w:sectPr>
      <w:headerReference r:id="rId5" w:type="first"/>
      <w:headerReference r:id="rId3" w:type="default"/>
      <w:footerReference r:id="rId6" w:type="default"/>
      <w:headerReference r:id="rId4" w:type="even"/>
      <w:pgSz w:w="16838" w:h="11906" w:orient="landscape"/>
      <w:pgMar w:top="1304" w:right="1440" w:bottom="119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943507"/>
      <w:docPartObj>
        <w:docPartGallery w:val="AutoText"/>
      </w:docPartObj>
    </w:sdtPr>
    <w:sdtContent>
      <w:sdt>
        <w:sdtPr>
          <w:id w:val="-1705238520"/>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132715</wp:posOffset>
              </wp:positionV>
              <wp:extent cx="2260600" cy="3683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260600" cy="368300"/>
                      </a:xfrm>
                      <a:prstGeom prst="rect">
                        <a:avLst/>
                      </a:prstGeom>
                      <a:solidFill>
                        <a:schemeClr val="lt1"/>
                      </a:solidFill>
                      <a:ln w="6350">
                        <a:noFill/>
                      </a:ln>
                    </wps:spPr>
                    <wps:txbx>
                      <w:txbxContent>
                        <w:p>
                          <w:pPr>
                            <w:rPr>
                              <w:rFonts w:ascii="楷体" w:hAnsi="楷体" w:eastAsia="楷体"/>
                              <w:b/>
                              <w:bCs/>
                              <w:sz w:val="28"/>
                              <w:szCs w:val="32"/>
                            </w:rPr>
                          </w:pPr>
                          <w:r>
                            <w:rPr>
                              <w:rFonts w:hint="eastAsia" w:ascii="楷体" w:hAnsi="楷体" w:eastAsia="楷体"/>
                              <w:b/>
                              <w:bCs/>
                              <w:sz w:val="28"/>
                              <w:szCs w:val="32"/>
                            </w:rPr>
                            <w:t>山东星河泰律师事务所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0.45pt;height:29pt;width:178pt;mso-position-horizontal:right;mso-position-horizontal-relative:margin;z-index:251659264;mso-width-relative:page;mso-height-relative:page;" fillcolor="#FFFFFF [3201]" filled="t" stroked="f" coordsize="21600,21600" o:gfxdata="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uLdXLSAAAABgEAAA8AAAAAAAAAAQAgAAAAIgAAAGRycy9kb3ducmV2LnhtbFBLAQIU&#10;ABQAAAAIAIdO4kCUf2wlMgIAAEEEAAAOAAAAAAAAAAEAIAAAACEBAABkcnMvZTJvRG9jLnhtbFBL&#10;BQYAAAAABgAGAFkBAADFBQAAAAA=&#10;">
              <v:fill on="t" focussize="0,0"/>
              <v:stroke on="f" weight="0.5pt"/>
              <v:imagedata o:title=""/>
              <o:lock v:ext="edit" aspectratio="f"/>
              <v:textbox>
                <w:txbxContent>
                  <w:p>
                    <w:pPr>
                      <w:rPr>
                        <w:rFonts w:ascii="楷体" w:hAnsi="楷体" w:eastAsia="楷体"/>
                        <w:b/>
                        <w:bCs/>
                        <w:sz w:val="28"/>
                        <w:szCs w:val="32"/>
                      </w:rPr>
                    </w:pPr>
                    <w:r>
                      <w:rPr>
                        <w:rFonts w:hint="eastAsia" w:ascii="楷体" w:hAnsi="楷体" w:eastAsia="楷体"/>
                        <w:b/>
                        <w:bCs/>
                        <w:sz w:val="28"/>
                        <w:szCs w:val="32"/>
                      </w:rPr>
                      <w:t>山东星河泰律师事务所</w:t>
                    </w:r>
                  </w:p>
                </w:txbxContent>
              </v:textbox>
            </v:shape>
          </w:pict>
        </mc:Fallback>
      </mc:AlternateContent>
    </w:r>
    <w:r>
      <w:drawing>
        <wp:inline distT="0" distB="0" distL="0" distR="0">
          <wp:extent cx="647700" cy="53848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700" cy="5387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E4"/>
    <w:rsid w:val="000075CA"/>
    <w:rsid w:val="0004310E"/>
    <w:rsid w:val="000D0096"/>
    <w:rsid w:val="00113CA3"/>
    <w:rsid w:val="00262762"/>
    <w:rsid w:val="002D0E0D"/>
    <w:rsid w:val="002F61DA"/>
    <w:rsid w:val="00325C47"/>
    <w:rsid w:val="0037228E"/>
    <w:rsid w:val="003E49E0"/>
    <w:rsid w:val="00405C53"/>
    <w:rsid w:val="00446F04"/>
    <w:rsid w:val="004606DE"/>
    <w:rsid w:val="00466345"/>
    <w:rsid w:val="004A2A92"/>
    <w:rsid w:val="004E3DE9"/>
    <w:rsid w:val="004F5C10"/>
    <w:rsid w:val="004F7C05"/>
    <w:rsid w:val="005503C2"/>
    <w:rsid w:val="005517F0"/>
    <w:rsid w:val="00561D03"/>
    <w:rsid w:val="0065079A"/>
    <w:rsid w:val="00654685"/>
    <w:rsid w:val="00667FD6"/>
    <w:rsid w:val="00700713"/>
    <w:rsid w:val="0072398B"/>
    <w:rsid w:val="007377FC"/>
    <w:rsid w:val="007809B6"/>
    <w:rsid w:val="00793F34"/>
    <w:rsid w:val="007C416C"/>
    <w:rsid w:val="00826B03"/>
    <w:rsid w:val="008748AE"/>
    <w:rsid w:val="008847A1"/>
    <w:rsid w:val="008A6AB7"/>
    <w:rsid w:val="008D726F"/>
    <w:rsid w:val="008F269A"/>
    <w:rsid w:val="009117E2"/>
    <w:rsid w:val="00951346"/>
    <w:rsid w:val="00976D65"/>
    <w:rsid w:val="009907DA"/>
    <w:rsid w:val="009B01DC"/>
    <w:rsid w:val="00A5547A"/>
    <w:rsid w:val="00A61799"/>
    <w:rsid w:val="00AC563B"/>
    <w:rsid w:val="00B14A02"/>
    <w:rsid w:val="00B32FCB"/>
    <w:rsid w:val="00B47C9C"/>
    <w:rsid w:val="00B57304"/>
    <w:rsid w:val="00B973D3"/>
    <w:rsid w:val="00BD1352"/>
    <w:rsid w:val="00BE4A6B"/>
    <w:rsid w:val="00BE5F20"/>
    <w:rsid w:val="00C171D7"/>
    <w:rsid w:val="00C218E4"/>
    <w:rsid w:val="00C23C49"/>
    <w:rsid w:val="00C24E59"/>
    <w:rsid w:val="00C24F0D"/>
    <w:rsid w:val="00C37823"/>
    <w:rsid w:val="00C73534"/>
    <w:rsid w:val="00D539D4"/>
    <w:rsid w:val="00E42982"/>
    <w:rsid w:val="00E60477"/>
    <w:rsid w:val="00E9631C"/>
    <w:rsid w:val="00F44CA4"/>
    <w:rsid w:val="00F7422D"/>
    <w:rsid w:val="00F74BA9"/>
    <w:rsid w:val="00FB3841"/>
    <w:rsid w:val="00FB57ED"/>
    <w:rsid w:val="00FE51C7"/>
    <w:rsid w:val="0EA873FA"/>
    <w:rsid w:val="18725361"/>
    <w:rsid w:val="570D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104BC-0F57-4537-86EB-E7C3CD2D30FD}">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1273</Characters>
  <Lines>10</Lines>
  <Paragraphs>2</Paragraphs>
  <TotalTime>44</TotalTime>
  <ScaleCrop>false</ScaleCrop>
  <LinksUpToDate>false</LinksUpToDate>
  <CharactersWithSpaces>1494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2020-02-12T12:49:00Z</dcterms:created>
  <dc:creator>高 平</dc:creator>
  <cp:lastModifiedBy>愿像空气一样 如影随形</cp:lastModifiedBy>
  <cp:lastPrinted>2020-02-12T13:33:00Z</cp:lastPrinted>
  <dcterms:modified xsi:type="dcterms:W3CDTF">2020-02-28T16:54:32Z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