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Theme="minorEastAsia" w:hAnsiTheme="minorEastAsia" w:eastAsiaTheme="minorEastAsia"/>
          <w:strike/>
          <w:color w:val="000000"/>
          <w:sz w:val="28"/>
        </w:rPr>
      </w:pPr>
    </w:p>
    <w:p>
      <w:pPr>
        <w:tabs>
          <w:tab w:val="left" w:pos="3012"/>
        </w:tabs>
        <w:jc w:val="right"/>
        <w:rPr>
          <w:rFonts w:asciiTheme="minorEastAsia" w:hAnsiTheme="minorEastAsia" w:eastAsiaTheme="minorEastAsia"/>
          <w:b/>
          <w:sz w:val="30"/>
          <w:szCs w:val="30"/>
        </w:rPr>
      </w:pPr>
      <w:r>
        <w:rPr>
          <w:rFonts w:hint="eastAsia" w:asciiTheme="minorEastAsia" w:hAnsiTheme="minorEastAsia" w:eastAsiaTheme="minorEastAsia"/>
          <w:b/>
          <w:sz w:val="30"/>
          <w:szCs w:val="30"/>
        </w:rPr>
        <w:t>版本号：</w:t>
      </w:r>
      <w:r>
        <w:rPr>
          <w:rFonts w:asciiTheme="minorEastAsia" w:hAnsiTheme="minorEastAsia" w:eastAsiaTheme="minorEastAsia"/>
          <w:b/>
          <w:sz w:val="30"/>
          <w:szCs w:val="30"/>
        </w:rPr>
        <w:t>2017</w:t>
      </w:r>
      <w:r>
        <w:rPr>
          <w:rFonts w:hint="eastAsia" w:asciiTheme="minorEastAsia" w:hAnsiTheme="minorEastAsia" w:eastAsiaTheme="minorEastAsia"/>
          <w:b/>
          <w:sz w:val="30"/>
          <w:szCs w:val="30"/>
        </w:rPr>
        <w:t>版</w:t>
      </w:r>
    </w:p>
    <w:p>
      <w:pPr>
        <w:pStyle w:val="30"/>
        <w:tabs>
          <w:tab w:val="right" w:leader="dot" w:pos="8296"/>
          <w:tab w:val="clear" w:pos="9174"/>
        </w:tabs>
        <w:rPr>
          <w:rFonts w:asciiTheme="minorEastAsia" w:hAnsiTheme="minorEastAsia" w:eastAsiaTheme="minorEastAsia"/>
          <w:b/>
          <w:sz w:val="44"/>
          <w:szCs w:val="44"/>
        </w:rPr>
      </w:pPr>
    </w:p>
    <w:p>
      <w:pPr>
        <w:autoSpaceDE w:val="0"/>
        <w:autoSpaceDN w:val="0"/>
        <w:adjustRightInd w:val="0"/>
        <w:jc w:val="center"/>
        <w:rPr>
          <w:rFonts w:asciiTheme="minorEastAsia" w:hAnsiTheme="minorEastAsia" w:eastAsiaTheme="minorEastAsia"/>
          <w:b/>
          <w:bCs/>
          <w:spacing w:val="-20"/>
          <w:sz w:val="52"/>
          <w:szCs w:val="52"/>
        </w:rPr>
      </w:pPr>
      <w:r>
        <w:rPr>
          <w:rFonts w:hint="eastAsia" w:cs="宋体" w:asciiTheme="minorEastAsia" w:hAnsiTheme="minorEastAsia" w:eastAsiaTheme="minorEastAsia"/>
          <w:b/>
          <w:bCs/>
          <w:spacing w:val="-20"/>
          <w:sz w:val="52"/>
          <w:szCs w:val="52"/>
          <w:lang w:val="zh-CN"/>
        </w:rPr>
        <w:t>重庆市涪陵区拓源污水治理有限公司</w:t>
      </w:r>
    </w:p>
    <w:p>
      <w:pPr>
        <w:pStyle w:val="415"/>
        <w:rPr>
          <w:rFonts w:asciiTheme="minorEastAsia" w:hAnsiTheme="minorEastAsia" w:eastAsiaTheme="minorEastAsia"/>
          <w:b/>
        </w:rPr>
      </w:pPr>
      <w:r>
        <w:rPr>
          <w:rFonts w:hint="eastAsia" w:asciiTheme="minorEastAsia" w:hAnsiTheme="minorEastAsia" w:eastAsiaTheme="minorEastAsia"/>
          <w:b/>
        </w:rPr>
        <w:t>龙桥污水处理厂</w:t>
      </w:r>
    </w:p>
    <w:p>
      <w:pPr>
        <w:pStyle w:val="415"/>
        <w:jc w:val="left"/>
        <w:rPr>
          <w:rFonts w:asciiTheme="minorEastAsia" w:hAnsiTheme="minorEastAsia" w:eastAsiaTheme="minorEastAsia"/>
        </w:rPr>
      </w:pPr>
    </w:p>
    <w:p>
      <w:pPr>
        <w:adjustRightInd w:val="0"/>
        <w:snapToGrid w:val="0"/>
        <w:spacing w:line="480" w:lineRule="auto"/>
        <w:jc w:val="center"/>
        <w:rPr>
          <w:rFonts w:asciiTheme="minorEastAsia" w:hAnsiTheme="minorEastAsia" w:eastAsiaTheme="minorEastAsia"/>
          <w:b/>
          <w:sz w:val="52"/>
        </w:rPr>
      </w:pPr>
      <w:r>
        <w:rPr>
          <w:rFonts w:hint="eastAsia" w:asciiTheme="minorEastAsia" w:hAnsiTheme="minorEastAsia" w:eastAsiaTheme="minorEastAsia"/>
          <w:b/>
          <w:sz w:val="52"/>
        </w:rPr>
        <w:t>突发环境事件应急预案</w:t>
      </w:r>
    </w:p>
    <w:p>
      <w:pPr>
        <w:adjustRightInd w:val="0"/>
        <w:snapToGrid w:val="0"/>
        <w:spacing w:line="360" w:lineRule="auto"/>
        <w:ind w:firstLine="883" w:firstLineChars="200"/>
        <w:jc w:val="left"/>
        <w:rPr>
          <w:rFonts w:asciiTheme="minorEastAsia" w:hAnsiTheme="minorEastAsia" w:eastAsiaTheme="minorEastAsia"/>
          <w:b/>
          <w:sz w:val="44"/>
          <w:szCs w:val="44"/>
        </w:rPr>
      </w:pPr>
    </w:p>
    <w:p>
      <w:pPr>
        <w:adjustRightInd w:val="0"/>
        <w:snapToGrid w:val="0"/>
        <w:spacing w:line="360" w:lineRule="auto"/>
        <w:ind w:firstLine="883" w:firstLineChars="200"/>
        <w:jc w:val="left"/>
        <w:rPr>
          <w:rFonts w:asciiTheme="minorEastAsia" w:hAnsiTheme="minorEastAsia" w:eastAsiaTheme="minorEastAsia"/>
          <w:b/>
          <w:sz w:val="44"/>
          <w:szCs w:val="44"/>
        </w:rPr>
      </w:pPr>
    </w:p>
    <w:p>
      <w:pPr>
        <w:adjustRightInd w:val="0"/>
        <w:snapToGrid w:val="0"/>
        <w:spacing w:line="360" w:lineRule="auto"/>
        <w:ind w:firstLine="883" w:firstLineChars="200"/>
        <w:jc w:val="left"/>
        <w:rPr>
          <w:rFonts w:asciiTheme="minorEastAsia" w:hAnsiTheme="minorEastAsia" w:eastAsiaTheme="minorEastAsia"/>
          <w:b/>
          <w:sz w:val="44"/>
          <w:szCs w:val="44"/>
        </w:rPr>
      </w:pPr>
    </w:p>
    <w:p>
      <w:pPr>
        <w:adjustRightInd w:val="0"/>
        <w:snapToGrid w:val="0"/>
        <w:spacing w:line="360" w:lineRule="auto"/>
        <w:ind w:firstLine="883" w:firstLineChars="200"/>
        <w:jc w:val="left"/>
        <w:rPr>
          <w:rFonts w:asciiTheme="minorEastAsia" w:hAnsiTheme="minorEastAsia" w:eastAsiaTheme="minorEastAsia"/>
          <w:b/>
          <w:sz w:val="44"/>
          <w:szCs w:val="44"/>
        </w:rPr>
      </w:pPr>
    </w:p>
    <w:p>
      <w:pPr>
        <w:adjustRightInd w:val="0"/>
        <w:snapToGrid w:val="0"/>
        <w:spacing w:line="360" w:lineRule="auto"/>
        <w:ind w:firstLine="883" w:firstLineChars="200"/>
        <w:jc w:val="left"/>
        <w:rPr>
          <w:rFonts w:asciiTheme="minorEastAsia" w:hAnsiTheme="minorEastAsia" w:eastAsiaTheme="minorEastAsia"/>
          <w:b/>
          <w:sz w:val="44"/>
          <w:szCs w:val="44"/>
        </w:rPr>
      </w:pPr>
    </w:p>
    <w:p>
      <w:pPr>
        <w:adjustRightInd w:val="0"/>
        <w:snapToGrid w:val="0"/>
        <w:spacing w:line="360" w:lineRule="auto"/>
        <w:ind w:firstLine="883" w:firstLineChars="200"/>
        <w:jc w:val="left"/>
        <w:rPr>
          <w:rFonts w:asciiTheme="minorEastAsia" w:hAnsiTheme="minorEastAsia" w:eastAsiaTheme="minorEastAsia"/>
          <w:b/>
          <w:sz w:val="44"/>
          <w:szCs w:val="44"/>
        </w:rPr>
      </w:pPr>
    </w:p>
    <w:p>
      <w:pPr>
        <w:adjustRightInd w:val="0"/>
        <w:snapToGrid w:val="0"/>
        <w:spacing w:line="360" w:lineRule="auto"/>
        <w:ind w:firstLine="883" w:firstLineChars="200"/>
        <w:jc w:val="left"/>
        <w:rPr>
          <w:rFonts w:asciiTheme="minorEastAsia" w:hAnsiTheme="minorEastAsia" w:eastAsiaTheme="minorEastAsia"/>
          <w:b/>
          <w:sz w:val="44"/>
          <w:szCs w:val="44"/>
        </w:rPr>
      </w:pPr>
    </w:p>
    <w:p>
      <w:pPr>
        <w:adjustRightInd w:val="0"/>
        <w:snapToGrid w:val="0"/>
        <w:spacing w:line="360" w:lineRule="auto"/>
        <w:jc w:val="left"/>
        <w:rPr>
          <w:rFonts w:asciiTheme="minorEastAsia" w:hAnsiTheme="minorEastAsia" w:eastAsiaTheme="minorEastAsia"/>
          <w:b/>
          <w:sz w:val="44"/>
          <w:szCs w:val="44"/>
        </w:rPr>
      </w:pPr>
    </w:p>
    <w:p>
      <w:pPr>
        <w:autoSpaceDE w:val="0"/>
        <w:autoSpaceDN w:val="0"/>
        <w:adjustRightInd w:val="0"/>
        <w:jc w:val="center"/>
        <w:rPr>
          <w:rFonts w:asciiTheme="minorEastAsia" w:hAnsiTheme="minorEastAsia" w:eastAsiaTheme="minorEastAsia"/>
          <w:b/>
          <w:bCs/>
          <w:spacing w:val="-20"/>
          <w:sz w:val="32"/>
          <w:szCs w:val="32"/>
        </w:rPr>
      </w:pPr>
      <w:r>
        <w:rPr>
          <w:rFonts w:hint="eastAsia" w:asciiTheme="minorEastAsia" w:hAnsiTheme="minorEastAsia" w:eastAsiaTheme="minorEastAsia"/>
          <w:b/>
          <w:bCs/>
          <w:sz w:val="32"/>
          <w:szCs w:val="32"/>
        </w:rPr>
        <w:t>评价单位：</w:t>
      </w:r>
      <w:r>
        <w:rPr>
          <w:rFonts w:hint="eastAsia" w:cs="宋体" w:asciiTheme="minorEastAsia" w:hAnsiTheme="minorEastAsia" w:eastAsiaTheme="minorEastAsia"/>
          <w:b/>
          <w:bCs/>
          <w:spacing w:val="-20"/>
          <w:sz w:val="32"/>
          <w:szCs w:val="32"/>
          <w:lang w:val="zh-CN"/>
        </w:rPr>
        <w:t>重庆市涪陵区拓源污水治理有限公司</w:t>
      </w:r>
      <w:r>
        <w:rPr>
          <w:rFonts w:hint="eastAsia" w:asciiTheme="minorEastAsia" w:hAnsiTheme="minorEastAsia" w:eastAsiaTheme="minorEastAsia"/>
          <w:b/>
          <w:sz w:val="32"/>
          <w:szCs w:val="32"/>
        </w:rPr>
        <w:t>龙桥污水处理厂</w:t>
      </w:r>
    </w:p>
    <w:p>
      <w:pPr>
        <w:jc w:val="center"/>
        <w:rPr>
          <w:rFonts w:asciiTheme="minorEastAsia" w:hAnsiTheme="minorEastAsia" w:eastAsiaTheme="minorEastAsia"/>
          <w:b/>
          <w:bCs/>
          <w:sz w:val="32"/>
          <w:szCs w:val="32"/>
        </w:rPr>
      </w:pPr>
    </w:p>
    <w:p>
      <w:pPr>
        <w:jc w:val="center"/>
        <w:rPr>
          <w:rFonts w:asciiTheme="minorEastAsia" w:hAnsiTheme="minorEastAsia" w:eastAsiaTheme="minorEastAsia"/>
        </w:rPr>
      </w:pPr>
      <w:r>
        <w:rPr>
          <w:rFonts w:hint="eastAsia" w:asciiTheme="minorEastAsia" w:hAnsiTheme="minorEastAsia" w:eastAsiaTheme="minorEastAsia"/>
          <w:b/>
          <w:bCs/>
          <w:sz w:val="32"/>
          <w:szCs w:val="32"/>
        </w:rPr>
        <w:t>编制日期：二</w:t>
      </w:r>
      <w:r>
        <w:rPr>
          <w:rFonts w:hint="eastAsia" w:asciiTheme="minorEastAsia" w:hAnsiTheme="minorEastAsia" w:eastAsiaTheme="minorEastAsia"/>
          <w:b/>
          <w:sz w:val="32"/>
          <w:szCs w:val="32"/>
        </w:rPr>
        <w:t>○</w:t>
      </w:r>
      <w:r>
        <w:rPr>
          <w:rFonts w:hint="eastAsia" w:asciiTheme="minorEastAsia" w:hAnsiTheme="minorEastAsia" w:eastAsiaTheme="minorEastAsia"/>
          <w:b/>
          <w:bCs/>
          <w:sz w:val="32"/>
          <w:szCs w:val="32"/>
        </w:rPr>
        <w:t>一七年五月</w:t>
      </w:r>
    </w:p>
    <w:p>
      <w:pPr>
        <w:spacing w:line="360" w:lineRule="auto"/>
        <w:jc w:val="center"/>
        <w:rPr>
          <w:rFonts w:asciiTheme="minorEastAsia" w:hAnsiTheme="minorEastAsia" w:eastAsiaTheme="minorEastAsia"/>
          <w:b/>
          <w:bCs/>
          <w:color w:val="FF0000"/>
          <w:spacing w:val="8"/>
          <w:sz w:val="44"/>
          <w:szCs w:val="44"/>
        </w:rPr>
        <w:sectPr>
          <w:headerReference r:id="rId4" w:type="first"/>
          <w:headerReference r:id="rId3" w:type="default"/>
          <w:pgSz w:w="11906" w:h="16838"/>
          <w:pgMar w:top="1440" w:right="1797" w:bottom="1440" w:left="1797" w:header="851" w:footer="510" w:gutter="0"/>
          <w:cols w:space="720" w:num="1"/>
          <w:titlePg/>
          <w:docGrid w:linePitch="381" w:charSpace="0"/>
        </w:sectPr>
      </w:pPr>
    </w:p>
    <w:p>
      <w:pPr>
        <w:spacing w:line="360" w:lineRule="auto"/>
        <w:jc w:val="center"/>
        <w:rPr>
          <w:rFonts w:cs="宋体" w:asciiTheme="minorEastAsia" w:hAnsiTheme="minorEastAsia" w:eastAsiaTheme="minorEastAsia"/>
          <w:b/>
          <w:bCs/>
          <w:color w:val="FF0000"/>
          <w:spacing w:val="-20"/>
          <w:sz w:val="44"/>
          <w:szCs w:val="44"/>
          <w:lang w:val="zh-CN"/>
        </w:rPr>
      </w:pPr>
      <w:r>
        <w:rPr>
          <w:rFonts w:hint="eastAsia" w:asciiTheme="minorEastAsia" w:hAnsiTheme="minorEastAsia" w:eastAsiaTheme="minorEastAsia"/>
          <w:b/>
          <w:bCs/>
          <w:color w:val="FF0000"/>
          <w:spacing w:val="8"/>
          <w:sz w:val="44"/>
          <w:szCs w:val="44"/>
        </w:rPr>
        <w:t>关于</w:t>
      </w:r>
      <w:r>
        <w:rPr>
          <w:rFonts w:hint="eastAsia" w:cs="宋体" w:asciiTheme="minorEastAsia" w:hAnsiTheme="minorEastAsia" w:eastAsiaTheme="minorEastAsia"/>
          <w:b/>
          <w:bCs/>
          <w:color w:val="FF0000"/>
          <w:spacing w:val="-20"/>
          <w:sz w:val="44"/>
          <w:szCs w:val="44"/>
          <w:lang w:val="zh-CN"/>
        </w:rPr>
        <w:t>重庆市涪陵区拓源污水治理有限公司</w:t>
      </w:r>
    </w:p>
    <w:p>
      <w:pPr>
        <w:spacing w:line="360" w:lineRule="auto"/>
        <w:jc w:val="center"/>
        <w:rPr>
          <w:rFonts w:asciiTheme="minorEastAsia" w:hAnsiTheme="minorEastAsia" w:eastAsiaTheme="minorEastAsia"/>
          <w:b/>
          <w:bCs/>
          <w:color w:val="FF0000"/>
          <w:spacing w:val="8"/>
          <w:sz w:val="44"/>
          <w:szCs w:val="44"/>
        </w:rPr>
      </w:pPr>
      <w:r>
        <w:rPr>
          <w:rFonts w:hint="eastAsia" w:asciiTheme="minorEastAsia" w:hAnsiTheme="minorEastAsia" w:eastAsiaTheme="minorEastAsia"/>
          <w:b/>
          <w:bCs/>
          <w:color w:val="FF0000"/>
          <w:spacing w:val="8"/>
          <w:sz w:val="44"/>
          <w:szCs w:val="44"/>
        </w:rPr>
        <w:t>龙桥污水处理厂</w:t>
      </w:r>
    </w:p>
    <w:p>
      <w:pPr>
        <w:spacing w:line="360" w:lineRule="auto"/>
        <w:jc w:val="center"/>
        <w:rPr>
          <w:rFonts w:asciiTheme="minorEastAsia" w:hAnsiTheme="minorEastAsia" w:eastAsiaTheme="minorEastAsia"/>
        </w:rPr>
      </w:pPr>
      <w:r>
        <w:rPr>
          <w:rFonts w:hint="eastAsia" w:asciiTheme="minorEastAsia" w:hAnsiTheme="minorEastAsia" w:eastAsiaTheme="minorEastAsia"/>
          <w:b/>
          <w:bCs/>
          <w:color w:val="FF0000"/>
          <w:spacing w:val="8"/>
          <w:sz w:val="44"/>
          <w:szCs w:val="44"/>
          <w:u w:val="double"/>
        </w:rPr>
        <w:t>《突发环境事件应急预案》实行的通知</w:t>
      </w:r>
    </w:p>
    <w:p>
      <w:pPr>
        <w:spacing w:line="370" w:lineRule="exact"/>
        <w:jc w:val="left"/>
        <w:rPr>
          <w:rFonts w:asciiTheme="minorEastAsia" w:hAnsiTheme="minorEastAsia" w:eastAsiaTheme="minorEastAsia"/>
          <w:sz w:val="30"/>
        </w:rPr>
      </w:pPr>
    </w:p>
    <w:p>
      <w:pPr>
        <w:spacing w:line="360" w:lineRule="auto"/>
        <w:ind w:firstLine="600" w:firstLineChars="200"/>
        <w:jc w:val="left"/>
        <w:rPr>
          <w:rFonts w:asciiTheme="minorEastAsia" w:hAnsiTheme="minorEastAsia" w:eastAsiaTheme="minorEastAsia"/>
          <w:sz w:val="30"/>
        </w:rPr>
      </w:pPr>
      <w:r>
        <w:rPr>
          <w:rFonts w:hint="eastAsia" w:asciiTheme="minorEastAsia" w:hAnsiTheme="minorEastAsia" w:eastAsiaTheme="minorEastAsia"/>
          <w:sz w:val="30"/>
        </w:rPr>
        <w:t>为贯彻《中华人民共和国环境保护法》及其他国家法律、法规及有关文件的要求，有效防范应对突发环境事件，减少单位财产损失，使本公司全体员工了解、熟悉本公司在发生突发环境事件时的应急处置程序，最大限度的减少发生突发环境事件造成的环境污染和生态损失。本单位委托相关部门和机构编制了《</w:t>
      </w:r>
      <w:r>
        <w:rPr>
          <w:rFonts w:hint="eastAsia" w:cs="宋体" w:asciiTheme="minorEastAsia" w:hAnsiTheme="minorEastAsia" w:eastAsiaTheme="minorEastAsia"/>
          <w:bCs/>
          <w:spacing w:val="-20"/>
          <w:sz w:val="30"/>
          <w:szCs w:val="30"/>
          <w:lang w:val="zh-CN"/>
        </w:rPr>
        <w:t>重庆市涪陵区拓源污水治理有限公司</w:t>
      </w:r>
      <w:r>
        <w:rPr>
          <w:rFonts w:hint="eastAsia" w:asciiTheme="minorEastAsia" w:hAnsiTheme="minorEastAsia" w:eastAsiaTheme="minorEastAsia"/>
          <w:sz w:val="30"/>
          <w:szCs w:val="30"/>
        </w:rPr>
        <w:t>龙桥污水处理厂</w:t>
      </w:r>
      <w:r>
        <w:rPr>
          <w:rFonts w:hint="eastAsia" w:asciiTheme="minorEastAsia" w:hAnsiTheme="minorEastAsia" w:eastAsiaTheme="minorEastAsia"/>
          <w:sz w:val="30"/>
        </w:rPr>
        <w:t>突发环境事件应急预案》。该预案是本单位实施应急救援的规范性文件，用于指导本单位突发环境事故的应急救援行动。</w:t>
      </w:r>
    </w:p>
    <w:p>
      <w:pPr>
        <w:spacing w:line="360" w:lineRule="auto"/>
        <w:ind w:firstLine="600" w:firstLineChars="200"/>
        <w:jc w:val="left"/>
        <w:rPr>
          <w:rFonts w:asciiTheme="minorEastAsia" w:hAnsiTheme="minorEastAsia" w:eastAsiaTheme="minorEastAsia"/>
          <w:sz w:val="30"/>
        </w:rPr>
      </w:pPr>
      <w:r>
        <w:rPr>
          <w:rFonts w:hint="eastAsia" w:asciiTheme="minorEastAsia" w:hAnsiTheme="minorEastAsia" w:eastAsiaTheme="minorEastAsia"/>
          <w:sz w:val="30"/>
        </w:rPr>
        <w:t>本应急预案于</w:t>
      </w:r>
      <w:r>
        <w:rPr>
          <w:rFonts w:asciiTheme="minorEastAsia" w:hAnsiTheme="minorEastAsia" w:eastAsiaTheme="minorEastAsia"/>
          <w:sz w:val="30"/>
        </w:rPr>
        <w:t xml:space="preserve">2017 </w:t>
      </w:r>
      <w:r>
        <w:rPr>
          <w:rFonts w:hint="eastAsia" w:asciiTheme="minorEastAsia" w:hAnsiTheme="minorEastAsia" w:eastAsiaTheme="minorEastAsia"/>
          <w:sz w:val="30"/>
        </w:rPr>
        <w:t>年</w:t>
      </w:r>
      <w:r>
        <w:rPr>
          <w:rFonts w:asciiTheme="minorEastAsia" w:hAnsiTheme="minorEastAsia" w:eastAsiaTheme="minorEastAsia"/>
          <w:sz w:val="30"/>
        </w:rPr>
        <w:t xml:space="preserve">  </w:t>
      </w:r>
      <w:r>
        <w:rPr>
          <w:rFonts w:hint="eastAsia" w:asciiTheme="minorEastAsia" w:hAnsiTheme="minorEastAsia" w:eastAsiaTheme="minorEastAsia"/>
          <w:sz w:val="30"/>
        </w:rPr>
        <w:t>月</w:t>
      </w:r>
      <w:r>
        <w:rPr>
          <w:rFonts w:asciiTheme="minorEastAsia" w:hAnsiTheme="minorEastAsia" w:eastAsiaTheme="minorEastAsia"/>
          <w:sz w:val="30"/>
        </w:rPr>
        <w:t xml:space="preserve">  </w:t>
      </w:r>
      <w:r>
        <w:rPr>
          <w:rFonts w:hint="eastAsia" w:asciiTheme="minorEastAsia" w:hAnsiTheme="minorEastAsia" w:eastAsiaTheme="minorEastAsia"/>
          <w:sz w:val="30"/>
        </w:rPr>
        <w:t>日批准发布，</w:t>
      </w:r>
      <w:r>
        <w:rPr>
          <w:rFonts w:asciiTheme="minorEastAsia" w:hAnsiTheme="minorEastAsia" w:eastAsiaTheme="minorEastAsia"/>
          <w:sz w:val="30"/>
        </w:rPr>
        <w:t xml:space="preserve">2017 </w:t>
      </w:r>
      <w:r>
        <w:rPr>
          <w:rFonts w:hint="eastAsia" w:asciiTheme="minorEastAsia" w:hAnsiTheme="minorEastAsia" w:eastAsiaTheme="minorEastAsia"/>
          <w:sz w:val="30"/>
        </w:rPr>
        <w:t>年</w:t>
      </w:r>
      <w:r>
        <w:rPr>
          <w:rFonts w:asciiTheme="minorEastAsia" w:hAnsiTheme="minorEastAsia" w:eastAsiaTheme="minorEastAsia"/>
          <w:sz w:val="30"/>
        </w:rPr>
        <w:t xml:space="preserve">  </w:t>
      </w:r>
      <w:r>
        <w:rPr>
          <w:rFonts w:hint="eastAsia" w:asciiTheme="minorEastAsia" w:hAnsiTheme="minorEastAsia" w:eastAsiaTheme="minorEastAsia"/>
          <w:sz w:val="30"/>
        </w:rPr>
        <w:t>月</w:t>
      </w:r>
      <w:r>
        <w:rPr>
          <w:rFonts w:asciiTheme="minorEastAsia" w:hAnsiTheme="minorEastAsia" w:eastAsiaTheme="minorEastAsia"/>
          <w:sz w:val="30"/>
        </w:rPr>
        <w:t xml:space="preserve">  </w:t>
      </w:r>
      <w:r>
        <w:rPr>
          <w:rFonts w:hint="eastAsia" w:asciiTheme="minorEastAsia" w:hAnsiTheme="minorEastAsia" w:eastAsiaTheme="minorEastAsia"/>
          <w:sz w:val="30"/>
        </w:rPr>
        <w:t>日正式实施。</w:t>
      </w:r>
    </w:p>
    <w:p>
      <w:pPr>
        <w:spacing w:line="370" w:lineRule="exact"/>
        <w:jc w:val="left"/>
        <w:rPr>
          <w:rFonts w:asciiTheme="minorEastAsia" w:hAnsiTheme="minorEastAsia" w:eastAsiaTheme="minorEastAsia"/>
          <w:sz w:val="30"/>
        </w:rPr>
      </w:pPr>
    </w:p>
    <w:p>
      <w:pPr>
        <w:spacing w:line="370" w:lineRule="exact"/>
        <w:jc w:val="left"/>
        <w:rPr>
          <w:rFonts w:asciiTheme="minorEastAsia" w:hAnsiTheme="minorEastAsia" w:eastAsiaTheme="minorEastAsia"/>
          <w:sz w:val="30"/>
        </w:rPr>
      </w:pPr>
    </w:p>
    <w:p>
      <w:pPr>
        <w:spacing w:line="370" w:lineRule="exact"/>
        <w:jc w:val="left"/>
        <w:rPr>
          <w:rFonts w:asciiTheme="minorEastAsia" w:hAnsiTheme="minorEastAsia" w:eastAsiaTheme="minorEastAsia"/>
          <w:sz w:val="30"/>
        </w:rPr>
      </w:pPr>
    </w:p>
    <w:p>
      <w:pPr>
        <w:spacing w:line="370" w:lineRule="exact"/>
        <w:jc w:val="left"/>
        <w:rPr>
          <w:rFonts w:asciiTheme="minorEastAsia" w:hAnsiTheme="minorEastAsia" w:eastAsiaTheme="minorEastAsia"/>
          <w:sz w:val="30"/>
        </w:rPr>
      </w:pPr>
    </w:p>
    <w:p>
      <w:pPr>
        <w:spacing w:line="370" w:lineRule="exact"/>
        <w:jc w:val="left"/>
        <w:rPr>
          <w:rFonts w:asciiTheme="minorEastAsia" w:hAnsiTheme="minorEastAsia" w:eastAsiaTheme="minorEastAsia"/>
          <w:sz w:val="30"/>
        </w:rPr>
      </w:pPr>
    </w:p>
    <w:p>
      <w:pPr>
        <w:spacing w:line="370" w:lineRule="exact"/>
        <w:jc w:val="left"/>
        <w:rPr>
          <w:rFonts w:asciiTheme="minorEastAsia" w:hAnsiTheme="minorEastAsia" w:eastAsiaTheme="minorEastAsia"/>
          <w:sz w:val="30"/>
        </w:rPr>
      </w:pPr>
    </w:p>
    <w:p>
      <w:pPr>
        <w:spacing w:line="370" w:lineRule="exact"/>
        <w:jc w:val="left"/>
        <w:rPr>
          <w:rFonts w:asciiTheme="minorEastAsia" w:hAnsiTheme="minorEastAsia" w:eastAsiaTheme="minorEastAsia"/>
          <w:sz w:val="30"/>
        </w:rPr>
      </w:pPr>
    </w:p>
    <w:p>
      <w:pPr>
        <w:spacing w:line="370" w:lineRule="exact"/>
        <w:jc w:val="left"/>
        <w:rPr>
          <w:rFonts w:asciiTheme="minorEastAsia" w:hAnsiTheme="minorEastAsia" w:eastAsiaTheme="minorEastAsia"/>
          <w:sz w:val="30"/>
        </w:rPr>
      </w:pPr>
    </w:p>
    <w:p>
      <w:pPr>
        <w:spacing w:line="370" w:lineRule="exact"/>
        <w:jc w:val="left"/>
        <w:rPr>
          <w:rFonts w:asciiTheme="minorEastAsia" w:hAnsiTheme="minorEastAsia" w:eastAsiaTheme="minorEastAsia"/>
          <w:sz w:val="30"/>
        </w:rPr>
      </w:pPr>
    </w:p>
    <w:p>
      <w:pPr>
        <w:spacing w:line="370" w:lineRule="exact"/>
        <w:jc w:val="left"/>
        <w:rPr>
          <w:rFonts w:asciiTheme="minorEastAsia" w:hAnsiTheme="minorEastAsia" w:eastAsiaTheme="minorEastAsia"/>
          <w:sz w:val="30"/>
        </w:rPr>
      </w:pPr>
    </w:p>
    <w:p>
      <w:pPr>
        <w:spacing w:line="370" w:lineRule="exact"/>
        <w:jc w:val="left"/>
        <w:rPr>
          <w:rFonts w:asciiTheme="minorEastAsia" w:hAnsiTheme="minorEastAsia" w:eastAsiaTheme="minorEastAsia"/>
          <w:sz w:val="30"/>
        </w:rPr>
      </w:pPr>
    </w:p>
    <w:p>
      <w:pPr>
        <w:spacing w:line="370" w:lineRule="exact"/>
        <w:jc w:val="right"/>
        <w:rPr>
          <w:rFonts w:cs="宋体" w:asciiTheme="minorEastAsia" w:hAnsiTheme="minorEastAsia" w:eastAsiaTheme="minorEastAsia"/>
          <w:bCs/>
          <w:spacing w:val="-20"/>
          <w:sz w:val="30"/>
          <w:szCs w:val="30"/>
          <w:lang w:val="zh-CN"/>
        </w:rPr>
      </w:pPr>
      <w:r>
        <w:rPr>
          <w:rFonts w:hint="eastAsia" w:cs="宋体" w:asciiTheme="minorEastAsia" w:hAnsiTheme="minorEastAsia" w:eastAsiaTheme="minorEastAsia"/>
          <w:bCs/>
          <w:spacing w:val="-20"/>
          <w:sz w:val="30"/>
          <w:szCs w:val="30"/>
          <w:lang w:val="zh-CN"/>
        </w:rPr>
        <w:t>重庆市涪陵区拓源污水治理有限公司</w:t>
      </w:r>
    </w:p>
    <w:p>
      <w:pPr>
        <w:spacing w:line="370" w:lineRule="exact"/>
        <w:ind w:right="600"/>
        <w:jc w:val="right"/>
        <w:rPr>
          <w:rFonts w:asciiTheme="minorEastAsia" w:hAnsiTheme="minorEastAsia" w:eastAsiaTheme="minorEastAsia"/>
          <w:sz w:val="30"/>
          <w:szCs w:val="30"/>
        </w:rPr>
      </w:pPr>
      <w:r>
        <w:rPr>
          <w:rFonts w:hint="eastAsia" w:asciiTheme="minorEastAsia" w:hAnsiTheme="minorEastAsia" w:eastAsiaTheme="minorEastAsia"/>
          <w:sz w:val="30"/>
          <w:szCs w:val="30"/>
        </w:rPr>
        <w:t>龙桥污水处理厂</w:t>
      </w:r>
    </w:p>
    <w:p>
      <w:pPr>
        <w:spacing w:line="370" w:lineRule="exact"/>
        <w:jc w:val="right"/>
        <w:rPr>
          <w:rFonts w:asciiTheme="minorEastAsia" w:hAnsiTheme="minorEastAsia" w:eastAsiaTheme="minorEastAsia"/>
          <w:sz w:val="30"/>
        </w:rPr>
      </w:pPr>
    </w:p>
    <w:p>
      <w:pPr>
        <w:spacing w:line="240" w:lineRule="atLeast"/>
        <w:jc w:val="right"/>
        <w:rPr>
          <w:rFonts w:asciiTheme="minorEastAsia" w:hAnsiTheme="minorEastAsia" w:eastAsiaTheme="minorEastAsia"/>
          <w:color w:val="FF0000"/>
          <w:spacing w:val="-40"/>
          <w:w w:val="50"/>
          <w:sz w:val="144"/>
        </w:rPr>
      </w:pPr>
      <w:r>
        <w:rPr>
          <w:rFonts w:asciiTheme="minorEastAsia" w:hAnsiTheme="minorEastAsia" w:eastAsiaTheme="minorEastAsia"/>
          <w:sz w:val="28"/>
        </w:rPr>
        <w:t>2017</w:t>
      </w:r>
      <w:r>
        <w:rPr>
          <w:rFonts w:hint="eastAsia" w:asciiTheme="minorEastAsia" w:hAnsiTheme="minorEastAsia" w:eastAsiaTheme="minorEastAsia"/>
          <w:sz w:val="28"/>
        </w:rPr>
        <w:t>年</w:t>
      </w:r>
      <w:r>
        <w:rPr>
          <w:rFonts w:asciiTheme="minorEastAsia" w:hAnsiTheme="minorEastAsia" w:eastAsiaTheme="minorEastAsia"/>
          <w:sz w:val="28"/>
        </w:rPr>
        <w:t xml:space="preserve">   </w:t>
      </w:r>
      <w:r>
        <w:rPr>
          <w:rFonts w:hint="eastAsia" w:asciiTheme="minorEastAsia" w:hAnsiTheme="minorEastAsia" w:eastAsiaTheme="minorEastAsia"/>
          <w:sz w:val="28"/>
        </w:rPr>
        <w:t>月</w:t>
      </w:r>
      <w:r>
        <w:rPr>
          <w:rFonts w:asciiTheme="minorEastAsia" w:hAnsiTheme="minorEastAsia" w:eastAsiaTheme="minorEastAsia"/>
          <w:sz w:val="28"/>
        </w:rPr>
        <w:t xml:space="preserve">   </w:t>
      </w:r>
      <w:r>
        <w:rPr>
          <w:rFonts w:hint="eastAsia" w:asciiTheme="minorEastAsia" w:hAnsiTheme="minorEastAsia" w:eastAsiaTheme="minorEastAsia"/>
          <w:sz w:val="28"/>
        </w:rPr>
        <w:t>日</w:t>
      </w:r>
    </w:p>
    <w:p>
      <w:pPr>
        <w:pageBreakBefore/>
        <w:spacing w:line="360" w:lineRule="auto"/>
        <w:jc w:val="center"/>
        <w:rPr>
          <w:rFonts w:asciiTheme="minorEastAsia" w:hAnsiTheme="minorEastAsia" w:eastAsiaTheme="minorEastAsia"/>
          <w:b/>
          <w:color w:val="000000"/>
          <w:sz w:val="36"/>
          <w:szCs w:val="36"/>
        </w:rPr>
      </w:pPr>
      <w:r>
        <w:rPr>
          <w:rFonts w:hint="eastAsia" w:asciiTheme="minorEastAsia" w:hAnsiTheme="minorEastAsia" w:eastAsiaTheme="minorEastAsia"/>
          <w:b/>
          <w:color w:val="000000"/>
          <w:sz w:val="36"/>
          <w:szCs w:val="36"/>
        </w:rPr>
        <w:t>目  录</w:t>
      </w:r>
    </w:p>
    <w:p>
      <w:pPr>
        <w:pStyle w:val="30"/>
        <w:tabs>
          <w:tab w:val="right" w:leader="dot" w:pos="9014"/>
          <w:tab w:val="clear" w:pos="9174"/>
        </w:tabs>
      </w:pPr>
      <w:r>
        <w:rPr>
          <w:rFonts w:hint="eastAsia" w:asciiTheme="minorEastAsia" w:hAnsiTheme="minorEastAsia" w:eastAsiaTheme="minorEastAsia"/>
          <w:color w:val="000000"/>
          <w:sz w:val="24"/>
          <w:szCs w:val="24"/>
        </w:rPr>
        <w:fldChar w:fldCharType="begin"/>
      </w:r>
      <w:r>
        <w:rPr>
          <w:rFonts w:hint="eastAsia" w:asciiTheme="minorEastAsia" w:hAnsiTheme="minorEastAsia" w:eastAsiaTheme="minorEastAsia"/>
          <w:color w:val="000000"/>
          <w:sz w:val="24"/>
          <w:szCs w:val="24"/>
        </w:rPr>
        <w:instrText xml:space="preserve">TOC \o "1-2" \h \u </w:instrText>
      </w:r>
      <w:r>
        <w:rPr>
          <w:rFonts w:hint="eastAsia" w:asciiTheme="minorEastAsia" w:hAnsiTheme="minorEastAsia" w:eastAsiaTheme="minorEastAsia"/>
          <w:color w:val="000000"/>
          <w:sz w:val="24"/>
          <w:szCs w:val="24"/>
        </w:rPr>
        <w:fldChar w:fldCharType="separate"/>
      </w: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_Toc9822 </w:instrText>
      </w:r>
      <w:r>
        <w:rPr>
          <w:rFonts w:hint="eastAsia" w:asciiTheme="minorEastAsia" w:hAnsiTheme="minorEastAsia" w:eastAsiaTheme="minorEastAsia"/>
          <w:szCs w:val="24"/>
        </w:rPr>
        <w:fldChar w:fldCharType="separate"/>
      </w:r>
      <w:r>
        <w:rPr>
          <w:rFonts w:hint="eastAsia" w:asciiTheme="minorEastAsia" w:hAnsiTheme="minorEastAsia" w:eastAsiaTheme="minorEastAsia"/>
          <w:b/>
        </w:rPr>
        <w:t>1总则</w:t>
      </w:r>
      <w:r>
        <w:tab/>
      </w:r>
      <w:r>
        <w:fldChar w:fldCharType="begin"/>
      </w:r>
      <w:r>
        <w:instrText xml:space="preserve"> PAGEREF _Toc9822 </w:instrText>
      </w:r>
      <w:r>
        <w:fldChar w:fldCharType="separate"/>
      </w:r>
      <w:r>
        <w:t>5</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_Toc13191 </w:instrText>
      </w:r>
      <w:r>
        <w:rPr>
          <w:rFonts w:hint="eastAsia" w:asciiTheme="minorEastAsia" w:hAnsiTheme="minorEastAsia" w:eastAsiaTheme="minorEastAsia"/>
          <w:szCs w:val="24"/>
        </w:rPr>
        <w:fldChar w:fldCharType="separate"/>
      </w:r>
      <w:r>
        <w:rPr>
          <w:rFonts w:hint="eastAsia" w:asciiTheme="minorEastAsia" w:hAnsiTheme="minorEastAsia" w:eastAsiaTheme="minorEastAsia"/>
          <w:b/>
          <w:szCs w:val="26"/>
        </w:rPr>
        <w:t>1.1编制目的</w:t>
      </w:r>
      <w:r>
        <w:tab/>
      </w:r>
      <w:r>
        <w:fldChar w:fldCharType="begin"/>
      </w:r>
      <w:r>
        <w:instrText xml:space="preserve"> PAGEREF _Toc13191 </w:instrText>
      </w:r>
      <w:r>
        <w:fldChar w:fldCharType="separate"/>
      </w:r>
      <w:r>
        <w:t>5</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_Toc29556 </w:instrText>
      </w:r>
      <w:r>
        <w:rPr>
          <w:rFonts w:hint="eastAsia" w:asciiTheme="minorEastAsia" w:hAnsiTheme="minorEastAsia" w:eastAsiaTheme="minorEastAsia"/>
          <w:szCs w:val="24"/>
        </w:rPr>
        <w:fldChar w:fldCharType="separate"/>
      </w:r>
      <w:r>
        <w:rPr>
          <w:rFonts w:hint="eastAsia" w:asciiTheme="minorEastAsia" w:hAnsiTheme="minorEastAsia" w:eastAsiaTheme="minorEastAsia"/>
          <w:b/>
          <w:szCs w:val="26"/>
        </w:rPr>
        <w:t>1.2编制依据</w:t>
      </w:r>
      <w:r>
        <w:tab/>
      </w:r>
      <w:r>
        <w:fldChar w:fldCharType="begin"/>
      </w:r>
      <w:r>
        <w:instrText xml:space="preserve"> PAGEREF _Toc29556 </w:instrText>
      </w:r>
      <w:r>
        <w:fldChar w:fldCharType="separate"/>
      </w:r>
      <w:r>
        <w:t>5</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_Toc23589 </w:instrText>
      </w:r>
      <w:r>
        <w:rPr>
          <w:rFonts w:hint="eastAsia" w:asciiTheme="minorEastAsia" w:hAnsiTheme="minorEastAsia" w:eastAsiaTheme="minorEastAsia"/>
          <w:szCs w:val="24"/>
        </w:rPr>
        <w:fldChar w:fldCharType="separate"/>
      </w:r>
      <w:r>
        <w:rPr>
          <w:rFonts w:hint="eastAsia" w:asciiTheme="minorEastAsia" w:hAnsiTheme="minorEastAsia" w:eastAsiaTheme="minorEastAsia"/>
          <w:b/>
          <w:szCs w:val="26"/>
        </w:rPr>
        <w:t>1.3 适用范围</w:t>
      </w:r>
      <w:r>
        <w:tab/>
      </w:r>
      <w:r>
        <w:fldChar w:fldCharType="begin"/>
      </w:r>
      <w:r>
        <w:instrText xml:space="preserve"> PAGEREF _Toc23589 </w:instrText>
      </w:r>
      <w:r>
        <w:fldChar w:fldCharType="separate"/>
      </w:r>
      <w:r>
        <w:t>6</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_Toc19608 </w:instrText>
      </w:r>
      <w:r>
        <w:rPr>
          <w:rFonts w:hint="eastAsia" w:asciiTheme="minorEastAsia" w:hAnsiTheme="minorEastAsia" w:eastAsiaTheme="minorEastAsia"/>
          <w:szCs w:val="24"/>
        </w:rPr>
        <w:fldChar w:fldCharType="separate"/>
      </w:r>
      <w:r>
        <w:rPr>
          <w:rFonts w:hint="eastAsia" w:asciiTheme="minorEastAsia" w:hAnsiTheme="minorEastAsia" w:eastAsiaTheme="minorEastAsia"/>
          <w:b/>
          <w:szCs w:val="26"/>
        </w:rPr>
        <w:t>1.4应急预案体系</w:t>
      </w:r>
      <w:r>
        <w:tab/>
      </w:r>
      <w:r>
        <w:fldChar w:fldCharType="begin"/>
      </w:r>
      <w:r>
        <w:instrText xml:space="preserve"> PAGEREF _Toc19608 </w:instrText>
      </w:r>
      <w:r>
        <w:fldChar w:fldCharType="separate"/>
      </w:r>
      <w:r>
        <w:t>6</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_Toc20442 </w:instrText>
      </w:r>
      <w:r>
        <w:rPr>
          <w:rFonts w:hint="eastAsia" w:asciiTheme="minorEastAsia" w:hAnsiTheme="minorEastAsia" w:eastAsiaTheme="minorEastAsia"/>
          <w:szCs w:val="24"/>
        </w:rPr>
        <w:fldChar w:fldCharType="separate"/>
      </w:r>
      <w:r>
        <w:rPr>
          <w:rFonts w:hint="eastAsia" w:asciiTheme="minorEastAsia" w:hAnsiTheme="minorEastAsia" w:eastAsiaTheme="minorEastAsia"/>
          <w:b/>
          <w:szCs w:val="26"/>
        </w:rPr>
        <w:t>1.5应急工作原则</w:t>
      </w:r>
      <w:r>
        <w:tab/>
      </w:r>
      <w:r>
        <w:fldChar w:fldCharType="begin"/>
      </w:r>
      <w:r>
        <w:instrText xml:space="preserve"> PAGEREF _Toc20442 </w:instrText>
      </w:r>
      <w:r>
        <w:fldChar w:fldCharType="separate"/>
      </w:r>
      <w:r>
        <w:t>7</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_Toc2998 </w:instrText>
      </w:r>
      <w:r>
        <w:rPr>
          <w:rFonts w:hint="eastAsia" w:asciiTheme="minorEastAsia" w:hAnsiTheme="minorEastAsia" w:eastAsiaTheme="minorEastAsia"/>
          <w:szCs w:val="24"/>
        </w:rPr>
        <w:fldChar w:fldCharType="separate"/>
      </w:r>
      <w:r>
        <w:rPr>
          <w:rFonts w:asciiTheme="minorEastAsia" w:hAnsiTheme="minorEastAsia" w:eastAsiaTheme="minorEastAsia"/>
          <w:b/>
          <w:szCs w:val="26"/>
        </w:rPr>
        <w:t>1.</w:t>
      </w:r>
      <w:r>
        <w:rPr>
          <w:rFonts w:hint="eastAsia" w:asciiTheme="minorEastAsia" w:hAnsiTheme="minorEastAsia" w:eastAsiaTheme="minorEastAsia"/>
          <w:b/>
          <w:szCs w:val="26"/>
        </w:rPr>
        <w:t>6</w:t>
      </w:r>
      <w:r>
        <w:rPr>
          <w:rFonts w:asciiTheme="minorEastAsia" w:hAnsiTheme="minorEastAsia" w:eastAsiaTheme="minorEastAsia"/>
          <w:b/>
          <w:szCs w:val="26"/>
        </w:rPr>
        <w:t xml:space="preserve"> 事故分级</w:t>
      </w:r>
      <w:r>
        <w:tab/>
      </w:r>
      <w:r>
        <w:fldChar w:fldCharType="begin"/>
      </w:r>
      <w:r>
        <w:instrText xml:space="preserve"> PAGEREF _Toc2998 </w:instrText>
      </w:r>
      <w:r>
        <w:fldChar w:fldCharType="separate"/>
      </w:r>
      <w:r>
        <w:t>8</w:t>
      </w:r>
      <w:r>
        <w:fldChar w:fldCharType="end"/>
      </w:r>
      <w:r>
        <w:rPr>
          <w:rFonts w:hint="eastAsia" w:asciiTheme="minorEastAsia" w:hAnsiTheme="minorEastAsia" w:eastAsiaTheme="minorEastAsia"/>
          <w:color w:val="000000"/>
          <w:szCs w:val="24"/>
        </w:rPr>
        <w:fldChar w:fldCharType="end"/>
      </w:r>
    </w:p>
    <w:p>
      <w:pPr>
        <w:pStyle w:val="30"/>
        <w:tabs>
          <w:tab w:val="right" w:leader="dot" w:pos="9014"/>
          <w:tab w:val="clear" w:pos="917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_Toc31980 </w:instrText>
      </w:r>
      <w:r>
        <w:rPr>
          <w:rFonts w:hint="eastAsia" w:asciiTheme="minorEastAsia" w:hAnsiTheme="minorEastAsia" w:eastAsiaTheme="minorEastAsia"/>
          <w:szCs w:val="24"/>
        </w:rPr>
        <w:fldChar w:fldCharType="separate"/>
      </w:r>
      <w:r>
        <w:rPr>
          <w:rFonts w:hint="eastAsia" w:asciiTheme="minorEastAsia" w:hAnsiTheme="minorEastAsia" w:eastAsiaTheme="minorEastAsia"/>
          <w:b/>
          <w:lang w:val="zh-CN"/>
        </w:rPr>
        <w:t>2企业基休信息</w:t>
      </w:r>
      <w:r>
        <w:tab/>
      </w:r>
      <w:r>
        <w:fldChar w:fldCharType="begin"/>
      </w:r>
      <w:r>
        <w:instrText xml:space="preserve"> PAGEREF _Toc31980 </w:instrText>
      </w:r>
      <w:r>
        <w:fldChar w:fldCharType="separate"/>
      </w:r>
      <w:r>
        <w:t>10</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_Toc6617 </w:instrText>
      </w:r>
      <w:r>
        <w:rPr>
          <w:rFonts w:hint="eastAsia" w:asciiTheme="minorEastAsia" w:hAnsiTheme="minorEastAsia" w:eastAsiaTheme="minorEastAsia"/>
          <w:szCs w:val="24"/>
        </w:rPr>
        <w:fldChar w:fldCharType="separate"/>
      </w:r>
      <w:r>
        <w:rPr>
          <w:b/>
          <w:szCs w:val="28"/>
          <w:lang w:val="zh-CN"/>
        </w:rPr>
        <w:t>2.1</w:t>
      </w:r>
      <w:r>
        <w:rPr>
          <w:rFonts w:hint="eastAsia"/>
          <w:b/>
          <w:szCs w:val="28"/>
          <w:lang w:val="zh-CN"/>
        </w:rPr>
        <w:t>企业基休信息</w:t>
      </w:r>
      <w:r>
        <w:tab/>
      </w:r>
      <w:r>
        <w:fldChar w:fldCharType="begin"/>
      </w:r>
      <w:r>
        <w:instrText xml:space="preserve"> PAGEREF _Toc6617 </w:instrText>
      </w:r>
      <w:r>
        <w:fldChar w:fldCharType="separate"/>
      </w:r>
      <w:r>
        <w:t>10</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_Toc5268 </w:instrText>
      </w:r>
      <w:r>
        <w:rPr>
          <w:rFonts w:hint="eastAsia" w:asciiTheme="minorEastAsia" w:hAnsiTheme="minorEastAsia" w:eastAsiaTheme="minorEastAsia"/>
          <w:szCs w:val="24"/>
        </w:rPr>
        <w:fldChar w:fldCharType="separate"/>
      </w:r>
      <w:r>
        <w:rPr>
          <w:b/>
          <w:szCs w:val="28"/>
          <w:lang w:val="zh-CN"/>
        </w:rPr>
        <w:t xml:space="preserve">2.2 </w:t>
      </w:r>
      <w:r>
        <w:rPr>
          <w:rFonts w:hint="eastAsia"/>
          <w:b/>
          <w:szCs w:val="28"/>
          <w:lang w:val="zh-CN"/>
        </w:rPr>
        <w:t>周边环境概况</w:t>
      </w:r>
      <w:r>
        <w:tab/>
      </w:r>
      <w:r>
        <w:fldChar w:fldCharType="begin"/>
      </w:r>
      <w:r>
        <w:instrText xml:space="preserve"> PAGEREF _Toc5268 </w:instrText>
      </w:r>
      <w:r>
        <w:fldChar w:fldCharType="separate"/>
      </w:r>
      <w:r>
        <w:t>10</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_Toc1612 </w:instrText>
      </w:r>
      <w:r>
        <w:rPr>
          <w:rFonts w:hint="eastAsia" w:asciiTheme="minorEastAsia" w:hAnsiTheme="minorEastAsia" w:eastAsiaTheme="minorEastAsia"/>
          <w:szCs w:val="24"/>
        </w:rPr>
        <w:fldChar w:fldCharType="separate"/>
      </w:r>
      <w:r>
        <w:rPr>
          <w:b/>
          <w:szCs w:val="28"/>
        </w:rPr>
        <w:t>2.3</w:t>
      </w:r>
      <w:r>
        <w:rPr>
          <w:rFonts w:hint="eastAsia"/>
          <w:b/>
          <w:szCs w:val="28"/>
        </w:rPr>
        <w:t>周边环境关系</w:t>
      </w:r>
      <w:r>
        <w:tab/>
      </w:r>
      <w:r>
        <w:fldChar w:fldCharType="begin"/>
      </w:r>
      <w:r>
        <w:instrText xml:space="preserve"> PAGEREF _Toc1612 </w:instrText>
      </w:r>
      <w:r>
        <w:fldChar w:fldCharType="separate"/>
      </w:r>
      <w:r>
        <w:t>12</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_Toc18462 </w:instrText>
      </w:r>
      <w:r>
        <w:rPr>
          <w:rFonts w:hint="eastAsia" w:asciiTheme="minorEastAsia" w:hAnsiTheme="minorEastAsia" w:eastAsiaTheme="minorEastAsia"/>
          <w:szCs w:val="24"/>
        </w:rPr>
        <w:fldChar w:fldCharType="separate"/>
      </w:r>
      <w:r>
        <w:rPr>
          <w:b/>
          <w:szCs w:val="28"/>
        </w:rPr>
        <w:t>2.4</w:t>
      </w:r>
      <w:r>
        <w:rPr>
          <w:rFonts w:hint="eastAsia"/>
          <w:b/>
          <w:szCs w:val="28"/>
        </w:rPr>
        <w:t>企业现有污染物及排放标准</w:t>
      </w:r>
      <w:r>
        <w:tab/>
      </w:r>
      <w:r>
        <w:fldChar w:fldCharType="begin"/>
      </w:r>
      <w:r>
        <w:instrText xml:space="preserve"> PAGEREF _Toc18462 </w:instrText>
      </w:r>
      <w:r>
        <w:fldChar w:fldCharType="separate"/>
      </w:r>
      <w:r>
        <w:t>12</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_Toc18345 </w:instrText>
      </w:r>
      <w:r>
        <w:rPr>
          <w:rFonts w:hint="eastAsia" w:asciiTheme="minorEastAsia" w:hAnsiTheme="minorEastAsia" w:eastAsiaTheme="minorEastAsia"/>
          <w:szCs w:val="24"/>
        </w:rPr>
        <w:fldChar w:fldCharType="separate"/>
      </w:r>
      <w:r>
        <w:rPr>
          <w:b/>
          <w:szCs w:val="28"/>
        </w:rPr>
        <w:t>2.</w:t>
      </w:r>
      <w:r>
        <w:rPr>
          <w:rFonts w:hint="eastAsia"/>
          <w:b/>
          <w:szCs w:val="28"/>
        </w:rPr>
        <w:t>5</w:t>
      </w:r>
      <w:r>
        <w:rPr>
          <w:b/>
          <w:szCs w:val="28"/>
        </w:rPr>
        <w:t>环境保护目标</w:t>
      </w:r>
      <w:r>
        <w:tab/>
      </w:r>
      <w:r>
        <w:fldChar w:fldCharType="begin"/>
      </w:r>
      <w:r>
        <w:instrText xml:space="preserve"> PAGEREF _Toc18345 </w:instrText>
      </w:r>
      <w:r>
        <w:fldChar w:fldCharType="separate"/>
      </w:r>
      <w:r>
        <w:t>13</w:t>
      </w:r>
      <w:r>
        <w:fldChar w:fldCharType="end"/>
      </w:r>
      <w:r>
        <w:rPr>
          <w:rFonts w:hint="eastAsia" w:asciiTheme="minorEastAsia" w:hAnsiTheme="minorEastAsia" w:eastAsiaTheme="minorEastAsia"/>
          <w:color w:val="000000"/>
          <w:szCs w:val="24"/>
        </w:rPr>
        <w:fldChar w:fldCharType="end"/>
      </w:r>
    </w:p>
    <w:p>
      <w:pPr>
        <w:pStyle w:val="30"/>
        <w:tabs>
          <w:tab w:val="right" w:leader="dot" w:pos="9014"/>
          <w:tab w:val="clear" w:pos="917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_Toc7218 </w:instrText>
      </w:r>
      <w:r>
        <w:rPr>
          <w:rFonts w:hint="eastAsia" w:asciiTheme="minorEastAsia" w:hAnsiTheme="minorEastAsia" w:eastAsiaTheme="minorEastAsia"/>
          <w:szCs w:val="24"/>
        </w:rPr>
        <w:fldChar w:fldCharType="separate"/>
      </w:r>
      <w:r>
        <w:rPr>
          <w:rFonts w:asciiTheme="minorEastAsia" w:hAnsiTheme="minorEastAsia" w:eastAsiaTheme="minorEastAsia"/>
          <w:b/>
        </w:rPr>
        <w:t>3</w:t>
      </w:r>
      <w:r>
        <w:rPr>
          <w:rFonts w:hint="eastAsia" w:asciiTheme="minorEastAsia" w:hAnsiTheme="minorEastAsia" w:eastAsiaTheme="minorEastAsia"/>
          <w:b/>
          <w:lang w:val="zh-TW"/>
        </w:rPr>
        <w:t>环境风险源与环境风险评价</w:t>
      </w:r>
      <w:r>
        <w:tab/>
      </w:r>
      <w:r>
        <w:fldChar w:fldCharType="begin"/>
      </w:r>
      <w:r>
        <w:instrText xml:space="preserve"> PAGEREF _Toc7218 </w:instrText>
      </w:r>
      <w:r>
        <w:fldChar w:fldCharType="separate"/>
      </w:r>
      <w:r>
        <w:t>14</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_Toc32399 </w:instrText>
      </w:r>
      <w:r>
        <w:rPr>
          <w:rFonts w:hint="eastAsia" w:asciiTheme="minorEastAsia" w:hAnsiTheme="minorEastAsia" w:eastAsiaTheme="minorEastAsia"/>
          <w:szCs w:val="24"/>
        </w:rPr>
        <w:fldChar w:fldCharType="separate"/>
      </w:r>
      <w:r>
        <w:rPr>
          <w:rFonts w:hint="eastAsia"/>
          <w:b/>
          <w:szCs w:val="28"/>
        </w:rPr>
        <w:t>3.1生产工艺简介（CAST污水处理工艺流程）</w:t>
      </w:r>
      <w:r>
        <w:tab/>
      </w:r>
      <w:r>
        <w:fldChar w:fldCharType="begin"/>
      </w:r>
      <w:r>
        <w:instrText xml:space="preserve"> PAGEREF _Toc32399 </w:instrText>
      </w:r>
      <w:r>
        <w:fldChar w:fldCharType="separate"/>
      </w:r>
      <w:r>
        <w:t>14</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_Toc27453 </w:instrText>
      </w:r>
      <w:r>
        <w:rPr>
          <w:rFonts w:hint="eastAsia" w:asciiTheme="minorEastAsia" w:hAnsiTheme="minorEastAsia" w:eastAsiaTheme="minorEastAsia"/>
          <w:szCs w:val="24"/>
        </w:rPr>
        <w:fldChar w:fldCharType="separate"/>
      </w:r>
      <w:r>
        <w:rPr>
          <w:rFonts w:hint="eastAsia"/>
          <w:b/>
          <w:szCs w:val="28"/>
        </w:rPr>
        <w:t>3</w:t>
      </w:r>
      <w:r>
        <w:rPr>
          <w:b/>
          <w:szCs w:val="28"/>
        </w:rPr>
        <w:t>.2</w:t>
      </w:r>
      <w:r>
        <w:rPr>
          <w:rFonts w:hint="eastAsia"/>
          <w:b/>
          <w:szCs w:val="28"/>
        </w:rPr>
        <w:t>企业</w:t>
      </w:r>
      <w:r>
        <w:rPr>
          <w:b/>
          <w:szCs w:val="28"/>
        </w:rPr>
        <w:t>三废产生及排放处置情况</w:t>
      </w:r>
      <w:r>
        <w:tab/>
      </w:r>
      <w:r>
        <w:fldChar w:fldCharType="begin"/>
      </w:r>
      <w:r>
        <w:instrText xml:space="preserve"> PAGEREF _Toc27453 </w:instrText>
      </w:r>
      <w:r>
        <w:fldChar w:fldCharType="separate"/>
      </w:r>
      <w:r>
        <w:t>14</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_Toc3797 </w:instrText>
      </w:r>
      <w:r>
        <w:rPr>
          <w:rFonts w:hint="eastAsia" w:asciiTheme="minorEastAsia" w:hAnsiTheme="minorEastAsia" w:eastAsiaTheme="minorEastAsia"/>
          <w:szCs w:val="24"/>
        </w:rPr>
        <w:fldChar w:fldCharType="separate"/>
      </w:r>
      <w:r>
        <w:rPr>
          <w:rFonts w:hint="eastAsia"/>
          <w:b/>
          <w:szCs w:val="28"/>
        </w:rPr>
        <w:t>3</w:t>
      </w:r>
      <w:r>
        <w:rPr>
          <w:b/>
          <w:szCs w:val="28"/>
        </w:rPr>
        <w:t>.3环境风险源识别</w:t>
      </w:r>
      <w:r>
        <w:tab/>
      </w:r>
      <w:r>
        <w:fldChar w:fldCharType="begin"/>
      </w:r>
      <w:r>
        <w:instrText xml:space="preserve"> PAGEREF _Toc3797 </w:instrText>
      </w:r>
      <w:r>
        <w:fldChar w:fldCharType="separate"/>
      </w:r>
      <w:r>
        <w:t>16</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_Toc14420 </w:instrText>
      </w:r>
      <w:r>
        <w:rPr>
          <w:rFonts w:hint="eastAsia" w:asciiTheme="minorEastAsia" w:hAnsiTheme="minorEastAsia" w:eastAsiaTheme="minorEastAsia"/>
          <w:szCs w:val="24"/>
        </w:rPr>
        <w:fldChar w:fldCharType="separate"/>
      </w:r>
      <w:r>
        <w:rPr>
          <w:rFonts w:hint="eastAsia"/>
          <w:b/>
          <w:szCs w:val="26"/>
        </w:rPr>
        <w:t>3</w:t>
      </w:r>
      <w:r>
        <w:rPr>
          <w:b/>
          <w:szCs w:val="26"/>
        </w:rPr>
        <w:t>.4重大危险源识别</w:t>
      </w:r>
      <w:r>
        <w:tab/>
      </w:r>
      <w:r>
        <w:fldChar w:fldCharType="begin"/>
      </w:r>
      <w:r>
        <w:instrText xml:space="preserve"> PAGEREF _Toc14420 </w:instrText>
      </w:r>
      <w:r>
        <w:fldChar w:fldCharType="separate"/>
      </w:r>
      <w:r>
        <w:t>17</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_Toc19310 </w:instrText>
      </w:r>
      <w:r>
        <w:rPr>
          <w:rFonts w:hint="eastAsia" w:asciiTheme="minorEastAsia" w:hAnsiTheme="minorEastAsia" w:eastAsiaTheme="minorEastAsia"/>
          <w:szCs w:val="24"/>
        </w:rPr>
        <w:fldChar w:fldCharType="separate"/>
      </w:r>
      <w:r>
        <w:rPr>
          <w:rFonts w:hint="eastAsia"/>
          <w:b/>
          <w:szCs w:val="28"/>
        </w:rPr>
        <w:t>3</w:t>
      </w:r>
      <w:r>
        <w:rPr>
          <w:b/>
          <w:szCs w:val="28"/>
        </w:rPr>
        <w:t>.5企业突发环境事件影响分析</w:t>
      </w:r>
      <w:r>
        <w:tab/>
      </w:r>
      <w:r>
        <w:fldChar w:fldCharType="begin"/>
      </w:r>
      <w:r>
        <w:instrText xml:space="preserve"> PAGEREF _Toc19310 </w:instrText>
      </w:r>
      <w:r>
        <w:fldChar w:fldCharType="separate"/>
      </w:r>
      <w:r>
        <w:t>20</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_Toc15885 </w:instrText>
      </w:r>
      <w:r>
        <w:rPr>
          <w:rFonts w:hint="eastAsia" w:asciiTheme="minorEastAsia" w:hAnsiTheme="minorEastAsia" w:eastAsiaTheme="minorEastAsia"/>
          <w:szCs w:val="24"/>
        </w:rPr>
        <w:fldChar w:fldCharType="separate"/>
      </w:r>
      <w:r>
        <w:rPr>
          <w:rFonts w:hint="eastAsia"/>
          <w:b/>
          <w:szCs w:val="28"/>
        </w:rPr>
        <w:t>3</w:t>
      </w:r>
      <w:r>
        <w:rPr>
          <w:b/>
          <w:szCs w:val="28"/>
        </w:rPr>
        <w:t>.</w:t>
      </w:r>
      <w:r>
        <w:rPr>
          <w:rFonts w:hint="eastAsia"/>
          <w:b/>
          <w:szCs w:val="28"/>
        </w:rPr>
        <w:t>5</w:t>
      </w:r>
      <w:r>
        <w:rPr>
          <w:b/>
          <w:szCs w:val="28"/>
        </w:rPr>
        <w:t>.</w:t>
      </w:r>
      <w:r>
        <w:rPr>
          <w:rFonts w:hint="eastAsia"/>
          <w:b/>
          <w:szCs w:val="28"/>
        </w:rPr>
        <w:t>1盐酸泄漏影响分析</w:t>
      </w:r>
      <w:r>
        <w:tab/>
      </w:r>
      <w:r>
        <w:fldChar w:fldCharType="begin"/>
      </w:r>
      <w:r>
        <w:instrText xml:space="preserve"> PAGEREF _Toc15885 </w:instrText>
      </w:r>
      <w:r>
        <w:fldChar w:fldCharType="separate"/>
      </w:r>
      <w:r>
        <w:t>20</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_Toc4700 </w:instrText>
      </w:r>
      <w:r>
        <w:rPr>
          <w:rFonts w:hint="eastAsia" w:asciiTheme="minorEastAsia" w:hAnsiTheme="minorEastAsia" w:eastAsiaTheme="minorEastAsia"/>
          <w:szCs w:val="24"/>
        </w:rPr>
        <w:fldChar w:fldCharType="separate"/>
      </w:r>
      <w:r>
        <w:rPr>
          <w:rFonts w:hint="eastAsia"/>
          <w:b/>
          <w:szCs w:val="28"/>
        </w:rPr>
        <w:t>3</w:t>
      </w:r>
      <w:r>
        <w:rPr>
          <w:b/>
          <w:szCs w:val="28"/>
        </w:rPr>
        <w:t>.</w:t>
      </w:r>
      <w:r>
        <w:rPr>
          <w:rFonts w:hint="eastAsia"/>
          <w:b/>
          <w:szCs w:val="28"/>
        </w:rPr>
        <w:t>5</w:t>
      </w:r>
      <w:r>
        <w:rPr>
          <w:b/>
          <w:szCs w:val="28"/>
        </w:rPr>
        <w:t>.</w:t>
      </w:r>
      <w:r>
        <w:rPr>
          <w:rFonts w:hint="eastAsia"/>
          <w:b/>
          <w:szCs w:val="28"/>
        </w:rPr>
        <w:t>2污水直接排放影响分析</w:t>
      </w:r>
      <w:r>
        <w:tab/>
      </w:r>
      <w:r>
        <w:fldChar w:fldCharType="begin"/>
      </w:r>
      <w:r>
        <w:instrText xml:space="preserve"> PAGEREF _Toc4700 </w:instrText>
      </w:r>
      <w:r>
        <w:fldChar w:fldCharType="separate"/>
      </w:r>
      <w:r>
        <w:t>20</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_Toc16660 </w:instrText>
      </w:r>
      <w:r>
        <w:rPr>
          <w:rFonts w:hint="eastAsia" w:asciiTheme="minorEastAsia" w:hAnsiTheme="minorEastAsia" w:eastAsiaTheme="minorEastAsia"/>
          <w:szCs w:val="24"/>
        </w:rPr>
        <w:fldChar w:fldCharType="separate"/>
      </w:r>
      <w:r>
        <w:rPr>
          <w:rFonts w:hint="eastAsia"/>
          <w:b/>
          <w:szCs w:val="28"/>
        </w:rPr>
        <w:t>3</w:t>
      </w:r>
      <w:r>
        <w:rPr>
          <w:b/>
          <w:szCs w:val="28"/>
        </w:rPr>
        <w:t>.</w:t>
      </w:r>
      <w:r>
        <w:rPr>
          <w:rFonts w:hint="eastAsia"/>
          <w:b/>
          <w:szCs w:val="28"/>
        </w:rPr>
        <w:t>5</w:t>
      </w:r>
      <w:r>
        <w:rPr>
          <w:b/>
          <w:szCs w:val="28"/>
        </w:rPr>
        <w:t>.</w:t>
      </w:r>
      <w:r>
        <w:rPr>
          <w:rFonts w:hint="eastAsia"/>
          <w:b/>
          <w:szCs w:val="28"/>
        </w:rPr>
        <w:t>3污水经处理后未达标排放影响分析</w:t>
      </w:r>
      <w:r>
        <w:tab/>
      </w:r>
      <w:r>
        <w:fldChar w:fldCharType="begin"/>
      </w:r>
      <w:r>
        <w:instrText xml:space="preserve"> PAGEREF _Toc16660 </w:instrText>
      </w:r>
      <w:r>
        <w:fldChar w:fldCharType="separate"/>
      </w:r>
      <w:r>
        <w:t>21</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_Toc24941 </w:instrText>
      </w:r>
      <w:r>
        <w:rPr>
          <w:rFonts w:hint="eastAsia" w:asciiTheme="minorEastAsia" w:hAnsiTheme="minorEastAsia" w:eastAsiaTheme="minorEastAsia"/>
          <w:szCs w:val="24"/>
        </w:rPr>
        <w:fldChar w:fldCharType="separate"/>
      </w:r>
      <w:r>
        <w:rPr>
          <w:rFonts w:hint="eastAsia"/>
          <w:b/>
          <w:szCs w:val="28"/>
        </w:rPr>
        <w:t>3</w:t>
      </w:r>
      <w:r>
        <w:rPr>
          <w:b/>
          <w:szCs w:val="28"/>
        </w:rPr>
        <w:t>.</w:t>
      </w:r>
      <w:r>
        <w:rPr>
          <w:rFonts w:hint="eastAsia"/>
          <w:b/>
          <w:szCs w:val="28"/>
        </w:rPr>
        <w:t>6</w:t>
      </w:r>
      <w:r>
        <w:rPr>
          <w:b/>
          <w:szCs w:val="28"/>
        </w:rPr>
        <w:t>现有风险防范措施</w:t>
      </w:r>
      <w:r>
        <w:tab/>
      </w:r>
      <w:r>
        <w:fldChar w:fldCharType="begin"/>
      </w:r>
      <w:r>
        <w:instrText xml:space="preserve"> PAGEREF _Toc24941 </w:instrText>
      </w:r>
      <w:r>
        <w:fldChar w:fldCharType="separate"/>
      </w:r>
      <w:r>
        <w:t>22</w:t>
      </w:r>
      <w:r>
        <w:fldChar w:fldCharType="end"/>
      </w:r>
      <w:r>
        <w:rPr>
          <w:rFonts w:hint="eastAsia" w:asciiTheme="minorEastAsia" w:hAnsiTheme="minorEastAsia" w:eastAsiaTheme="minorEastAsia"/>
          <w:color w:val="000000"/>
          <w:szCs w:val="24"/>
        </w:rPr>
        <w:fldChar w:fldCharType="end"/>
      </w:r>
    </w:p>
    <w:p>
      <w:pPr>
        <w:pStyle w:val="30"/>
        <w:tabs>
          <w:tab w:val="right" w:leader="dot" w:pos="9014"/>
          <w:tab w:val="clear" w:pos="917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_Toc11409 </w:instrText>
      </w:r>
      <w:r>
        <w:rPr>
          <w:rFonts w:hint="eastAsia" w:asciiTheme="minorEastAsia" w:hAnsiTheme="minorEastAsia" w:eastAsiaTheme="minorEastAsia"/>
          <w:szCs w:val="24"/>
        </w:rPr>
        <w:fldChar w:fldCharType="separate"/>
      </w:r>
      <w:r>
        <w:rPr>
          <w:rFonts w:asciiTheme="minorEastAsia" w:hAnsiTheme="minorEastAsia" w:eastAsiaTheme="minorEastAsia"/>
          <w:b/>
        </w:rPr>
        <w:t>4</w:t>
      </w:r>
      <w:r>
        <w:rPr>
          <w:rFonts w:hint="eastAsia" w:asciiTheme="minorEastAsia" w:hAnsiTheme="minorEastAsia" w:eastAsiaTheme="minorEastAsia"/>
          <w:b/>
        </w:rPr>
        <w:t>应急组织及职责</w:t>
      </w:r>
      <w:r>
        <w:tab/>
      </w:r>
      <w:r>
        <w:fldChar w:fldCharType="begin"/>
      </w:r>
      <w:r>
        <w:instrText xml:space="preserve"> PAGEREF _Toc11409 </w:instrText>
      </w:r>
      <w:r>
        <w:fldChar w:fldCharType="separate"/>
      </w:r>
      <w:r>
        <w:t>24</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_Toc29068 </w:instrText>
      </w:r>
      <w:r>
        <w:rPr>
          <w:rFonts w:hint="eastAsia" w:asciiTheme="minorEastAsia" w:hAnsiTheme="minorEastAsia" w:eastAsiaTheme="minorEastAsia"/>
          <w:szCs w:val="24"/>
        </w:rPr>
        <w:fldChar w:fldCharType="separate"/>
      </w:r>
      <w:r>
        <w:rPr>
          <w:rFonts w:hint="eastAsia"/>
          <w:b/>
          <w:szCs w:val="28"/>
        </w:rPr>
        <w:t>4.1应急组织机构图</w:t>
      </w:r>
      <w:r>
        <w:tab/>
      </w:r>
      <w:r>
        <w:fldChar w:fldCharType="begin"/>
      </w:r>
      <w:r>
        <w:instrText xml:space="preserve"> PAGEREF _Toc29068 </w:instrText>
      </w:r>
      <w:r>
        <w:fldChar w:fldCharType="separate"/>
      </w:r>
      <w:r>
        <w:t>24</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_Toc28311 </w:instrText>
      </w:r>
      <w:r>
        <w:rPr>
          <w:rFonts w:hint="eastAsia" w:asciiTheme="minorEastAsia" w:hAnsiTheme="minorEastAsia" w:eastAsiaTheme="minorEastAsia"/>
          <w:szCs w:val="24"/>
        </w:rPr>
        <w:fldChar w:fldCharType="separate"/>
      </w:r>
      <w:r>
        <w:rPr>
          <w:rFonts w:hint="eastAsia"/>
          <w:b/>
          <w:szCs w:val="28"/>
        </w:rPr>
        <w:t>4.2组织机构成员名单</w:t>
      </w:r>
      <w:r>
        <w:tab/>
      </w:r>
      <w:r>
        <w:fldChar w:fldCharType="begin"/>
      </w:r>
      <w:r>
        <w:instrText xml:space="preserve"> PAGEREF _Toc28311 </w:instrText>
      </w:r>
      <w:r>
        <w:fldChar w:fldCharType="separate"/>
      </w:r>
      <w:r>
        <w:t>24</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_Toc5614 </w:instrText>
      </w:r>
      <w:r>
        <w:rPr>
          <w:rFonts w:hint="eastAsia" w:asciiTheme="minorEastAsia" w:hAnsiTheme="minorEastAsia" w:eastAsiaTheme="minorEastAsia"/>
          <w:szCs w:val="24"/>
        </w:rPr>
        <w:fldChar w:fldCharType="separate"/>
      </w:r>
      <w:r>
        <w:rPr>
          <w:rFonts w:hint="eastAsia"/>
          <w:b/>
          <w:szCs w:val="28"/>
        </w:rPr>
        <w:t>4.3应急组织职责</w:t>
      </w:r>
      <w:r>
        <w:tab/>
      </w:r>
      <w:r>
        <w:fldChar w:fldCharType="begin"/>
      </w:r>
      <w:r>
        <w:instrText xml:space="preserve"> PAGEREF _Toc5614 </w:instrText>
      </w:r>
      <w:r>
        <w:fldChar w:fldCharType="separate"/>
      </w:r>
      <w:r>
        <w:t>26</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_Toc32053 </w:instrText>
      </w:r>
      <w:r>
        <w:rPr>
          <w:rFonts w:hint="eastAsia" w:asciiTheme="minorEastAsia" w:hAnsiTheme="minorEastAsia" w:eastAsiaTheme="minorEastAsia"/>
          <w:szCs w:val="24"/>
        </w:rPr>
        <w:fldChar w:fldCharType="separate"/>
      </w:r>
      <w:r>
        <w:rPr>
          <w:rFonts w:hint="eastAsia"/>
          <w:b/>
          <w:szCs w:val="28"/>
        </w:rPr>
        <w:t>4.4应急</w:t>
      </w:r>
      <w:r>
        <w:rPr>
          <w:b/>
          <w:szCs w:val="28"/>
        </w:rPr>
        <w:t>预案</w:t>
      </w:r>
      <w:r>
        <w:rPr>
          <w:rFonts w:hint="eastAsia"/>
          <w:b/>
          <w:szCs w:val="28"/>
        </w:rPr>
        <w:t>体系转换</w:t>
      </w:r>
      <w:r>
        <w:rPr>
          <w:b/>
          <w:szCs w:val="28"/>
        </w:rPr>
        <w:t>与</w:t>
      </w:r>
      <w:r>
        <w:rPr>
          <w:rFonts w:hint="eastAsia"/>
          <w:b/>
          <w:szCs w:val="28"/>
        </w:rPr>
        <w:t>衔接条件</w:t>
      </w:r>
      <w:r>
        <w:tab/>
      </w:r>
      <w:r>
        <w:fldChar w:fldCharType="begin"/>
      </w:r>
      <w:r>
        <w:instrText xml:space="preserve"> PAGEREF _Toc32053 </w:instrText>
      </w:r>
      <w:r>
        <w:fldChar w:fldCharType="separate"/>
      </w:r>
      <w:r>
        <w:t>27</w:t>
      </w:r>
      <w:r>
        <w:fldChar w:fldCharType="end"/>
      </w:r>
      <w:r>
        <w:rPr>
          <w:rFonts w:hint="eastAsia" w:asciiTheme="minorEastAsia" w:hAnsiTheme="minorEastAsia" w:eastAsiaTheme="minorEastAsia"/>
          <w:color w:val="000000"/>
          <w:szCs w:val="24"/>
        </w:rPr>
        <w:fldChar w:fldCharType="end"/>
      </w:r>
    </w:p>
    <w:p>
      <w:pPr>
        <w:pStyle w:val="30"/>
        <w:tabs>
          <w:tab w:val="right" w:leader="dot" w:pos="9014"/>
          <w:tab w:val="clear" w:pos="917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_Toc17769 </w:instrText>
      </w:r>
      <w:r>
        <w:rPr>
          <w:rFonts w:hint="eastAsia" w:asciiTheme="minorEastAsia" w:hAnsiTheme="minorEastAsia" w:eastAsiaTheme="minorEastAsia"/>
          <w:szCs w:val="24"/>
        </w:rPr>
        <w:fldChar w:fldCharType="separate"/>
      </w:r>
      <w:r>
        <w:rPr>
          <w:rFonts w:asciiTheme="minorEastAsia" w:hAnsiTheme="minorEastAsia" w:eastAsiaTheme="minorEastAsia"/>
          <w:b/>
        </w:rPr>
        <w:t>5</w:t>
      </w:r>
      <w:r>
        <w:rPr>
          <w:rFonts w:hint="eastAsia" w:asciiTheme="minorEastAsia" w:hAnsiTheme="minorEastAsia" w:eastAsiaTheme="minorEastAsia"/>
          <w:b/>
        </w:rPr>
        <w:t>预警及信息报告</w:t>
      </w:r>
      <w:r>
        <w:tab/>
      </w:r>
      <w:r>
        <w:fldChar w:fldCharType="begin"/>
      </w:r>
      <w:r>
        <w:instrText xml:space="preserve"> PAGEREF _Toc17769 </w:instrText>
      </w:r>
      <w:r>
        <w:fldChar w:fldCharType="separate"/>
      </w:r>
      <w:r>
        <w:t>28</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_Toc28897 </w:instrText>
      </w:r>
      <w:r>
        <w:rPr>
          <w:rFonts w:hint="eastAsia" w:asciiTheme="minorEastAsia" w:hAnsiTheme="minorEastAsia" w:eastAsiaTheme="minorEastAsia"/>
          <w:szCs w:val="24"/>
        </w:rPr>
        <w:fldChar w:fldCharType="separate"/>
      </w:r>
      <w:r>
        <w:rPr>
          <w:rFonts w:hint="eastAsia"/>
          <w:b/>
          <w:szCs w:val="28"/>
        </w:rPr>
        <w:t>5.1预防措施</w:t>
      </w:r>
      <w:r>
        <w:tab/>
      </w:r>
      <w:r>
        <w:fldChar w:fldCharType="begin"/>
      </w:r>
      <w:r>
        <w:instrText xml:space="preserve"> PAGEREF _Toc28897 </w:instrText>
      </w:r>
      <w:r>
        <w:fldChar w:fldCharType="separate"/>
      </w:r>
      <w:r>
        <w:t>28</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_Toc10159 </w:instrText>
      </w:r>
      <w:r>
        <w:rPr>
          <w:rFonts w:hint="eastAsia" w:asciiTheme="minorEastAsia" w:hAnsiTheme="minorEastAsia" w:eastAsiaTheme="minorEastAsia"/>
          <w:szCs w:val="24"/>
        </w:rPr>
        <w:fldChar w:fldCharType="separate"/>
      </w:r>
      <w:r>
        <w:rPr>
          <w:rFonts w:hint="eastAsia"/>
          <w:b/>
          <w:szCs w:val="28"/>
        </w:rPr>
        <w:t>5.2预警措施</w:t>
      </w:r>
      <w:r>
        <w:tab/>
      </w:r>
      <w:r>
        <w:fldChar w:fldCharType="begin"/>
      </w:r>
      <w:r>
        <w:instrText xml:space="preserve"> PAGEREF _Toc10159 </w:instrText>
      </w:r>
      <w:r>
        <w:fldChar w:fldCharType="separate"/>
      </w:r>
      <w:r>
        <w:t>29</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_Toc18253 </w:instrText>
      </w:r>
      <w:r>
        <w:rPr>
          <w:rFonts w:hint="eastAsia" w:asciiTheme="minorEastAsia" w:hAnsiTheme="minorEastAsia" w:eastAsiaTheme="minorEastAsia"/>
          <w:szCs w:val="24"/>
        </w:rPr>
        <w:fldChar w:fldCharType="separate"/>
      </w:r>
      <w:r>
        <w:rPr>
          <w:rFonts w:hint="eastAsia"/>
          <w:b/>
          <w:szCs w:val="28"/>
        </w:rPr>
        <w:t>5.3有效报警方式</w:t>
      </w:r>
      <w:r>
        <w:tab/>
      </w:r>
      <w:r>
        <w:fldChar w:fldCharType="begin"/>
      </w:r>
      <w:r>
        <w:instrText xml:space="preserve"> PAGEREF _Toc18253 </w:instrText>
      </w:r>
      <w:r>
        <w:fldChar w:fldCharType="separate"/>
      </w:r>
      <w:r>
        <w:t>31</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_Toc3406 </w:instrText>
      </w:r>
      <w:r>
        <w:rPr>
          <w:rFonts w:hint="eastAsia" w:asciiTheme="minorEastAsia" w:hAnsiTheme="minorEastAsia" w:eastAsiaTheme="minorEastAsia"/>
          <w:szCs w:val="24"/>
        </w:rPr>
        <w:fldChar w:fldCharType="separate"/>
      </w:r>
      <w:r>
        <w:rPr>
          <w:rFonts w:hint="eastAsia"/>
          <w:b/>
          <w:szCs w:val="28"/>
        </w:rPr>
        <w:t>5.4</w:t>
      </w:r>
      <w:r>
        <w:rPr>
          <w:b/>
          <w:szCs w:val="28"/>
        </w:rPr>
        <w:t>信息报告与通报</w:t>
      </w:r>
      <w:r>
        <w:tab/>
      </w:r>
      <w:r>
        <w:fldChar w:fldCharType="begin"/>
      </w:r>
      <w:r>
        <w:instrText xml:space="preserve"> PAGEREF _Toc3406 </w:instrText>
      </w:r>
      <w:r>
        <w:fldChar w:fldCharType="separate"/>
      </w:r>
      <w:r>
        <w:t>31</w:t>
      </w:r>
      <w:r>
        <w:fldChar w:fldCharType="end"/>
      </w:r>
      <w:r>
        <w:rPr>
          <w:rFonts w:hint="eastAsia" w:asciiTheme="minorEastAsia" w:hAnsiTheme="minorEastAsia" w:eastAsiaTheme="minorEastAsia"/>
          <w:color w:val="000000"/>
          <w:szCs w:val="24"/>
        </w:rPr>
        <w:fldChar w:fldCharType="end"/>
      </w:r>
    </w:p>
    <w:p>
      <w:pPr>
        <w:pStyle w:val="30"/>
        <w:tabs>
          <w:tab w:val="right" w:leader="dot" w:pos="9014"/>
          <w:tab w:val="clear" w:pos="917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_Toc14830 </w:instrText>
      </w:r>
      <w:r>
        <w:rPr>
          <w:rFonts w:hint="eastAsia" w:asciiTheme="minorEastAsia" w:hAnsiTheme="minorEastAsia" w:eastAsiaTheme="minorEastAsia"/>
          <w:szCs w:val="24"/>
        </w:rPr>
        <w:fldChar w:fldCharType="separate"/>
      </w:r>
      <w:r>
        <w:rPr>
          <w:rFonts w:asciiTheme="minorEastAsia" w:hAnsiTheme="minorEastAsia" w:eastAsiaTheme="minorEastAsia"/>
          <w:b/>
        </w:rPr>
        <w:t>6</w:t>
      </w:r>
      <w:r>
        <w:rPr>
          <w:rFonts w:hint="eastAsia" w:asciiTheme="minorEastAsia" w:hAnsiTheme="minorEastAsia" w:eastAsiaTheme="minorEastAsia"/>
          <w:b/>
        </w:rPr>
        <w:t>应急响应</w:t>
      </w:r>
      <w:r>
        <w:tab/>
      </w:r>
      <w:r>
        <w:fldChar w:fldCharType="begin"/>
      </w:r>
      <w:r>
        <w:instrText xml:space="preserve"> PAGEREF _Toc14830 </w:instrText>
      </w:r>
      <w:r>
        <w:fldChar w:fldCharType="separate"/>
      </w:r>
      <w:r>
        <w:t>33</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_Toc12437 </w:instrText>
      </w:r>
      <w:r>
        <w:rPr>
          <w:rFonts w:hint="eastAsia" w:asciiTheme="minorEastAsia" w:hAnsiTheme="minorEastAsia" w:eastAsiaTheme="minorEastAsia"/>
          <w:szCs w:val="24"/>
        </w:rPr>
        <w:fldChar w:fldCharType="separate"/>
      </w:r>
      <w:r>
        <w:rPr>
          <w:rFonts w:hint="eastAsia" w:asciiTheme="minorEastAsia" w:hAnsiTheme="minorEastAsia" w:eastAsiaTheme="minorEastAsia"/>
          <w:b/>
          <w:szCs w:val="28"/>
          <w:lang w:val="zh-CN"/>
        </w:rPr>
        <w:t>6.1响应分级</w:t>
      </w:r>
      <w:r>
        <w:tab/>
      </w:r>
      <w:r>
        <w:fldChar w:fldCharType="begin"/>
      </w:r>
      <w:r>
        <w:instrText xml:space="preserve"> PAGEREF _Toc12437 </w:instrText>
      </w:r>
      <w:r>
        <w:fldChar w:fldCharType="separate"/>
      </w:r>
      <w:r>
        <w:t>33</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_Toc11710 </w:instrText>
      </w:r>
      <w:r>
        <w:rPr>
          <w:rFonts w:hint="eastAsia" w:asciiTheme="minorEastAsia" w:hAnsiTheme="minorEastAsia" w:eastAsiaTheme="minorEastAsia"/>
          <w:szCs w:val="24"/>
        </w:rPr>
        <w:fldChar w:fldCharType="separate"/>
      </w:r>
      <w:r>
        <w:rPr>
          <w:rFonts w:hint="eastAsia" w:asciiTheme="minorEastAsia" w:hAnsiTheme="minorEastAsia" w:eastAsiaTheme="minorEastAsia"/>
          <w:b/>
          <w:szCs w:val="28"/>
          <w:lang w:val="zh-CN"/>
        </w:rPr>
        <w:t>6.2响应程序</w:t>
      </w:r>
      <w:r>
        <w:tab/>
      </w:r>
      <w:r>
        <w:fldChar w:fldCharType="begin"/>
      </w:r>
      <w:r>
        <w:instrText xml:space="preserve"> PAGEREF _Toc11710 </w:instrText>
      </w:r>
      <w:r>
        <w:fldChar w:fldCharType="separate"/>
      </w:r>
      <w:r>
        <w:t>33</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_Toc20183 </w:instrText>
      </w:r>
      <w:r>
        <w:rPr>
          <w:rFonts w:hint="eastAsia" w:asciiTheme="minorEastAsia" w:hAnsiTheme="minorEastAsia" w:eastAsiaTheme="minorEastAsia"/>
          <w:szCs w:val="24"/>
        </w:rPr>
        <w:fldChar w:fldCharType="separate"/>
      </w:r>
      <w:r>
        <w:rPr>
          <w:rFonts w:hint="eastAsia" w:asciiTheme="minorEastAsia" w:hAnsiTheme="minorEastAsia" w:eastAsiaTheme="minorEastAsia"/>
          <w:b/>
          <w:szCs w:val="28"/>
          <w:lang w:val="zh-CN"/>
        </w:rPr>
        <w:t>6</w:t>
      </w:r>
      <w:r>
        <w:rPr>
          <w:rFonts w:asciiTheme="minorEastAsia" w:hAnsiTheme="minorEastAsia" w:eastAsiaTheme="minorEastAsia"/>
          <w:b/>
          <w:szCs w:val="28"/>
          <w:lang w:val="zh-CN"/>
        </w:rPr>
        <w:t>.</w:t>
      </w:r>
      <w:r>
        <w:rPr>
          <w:rFonts w:hint="eastAsia" w:asciiTheme="minorEastAsia" w:hAnsiTheme="minorEastAsia" w:eastAsiaTheme="minorEastAsia"/>
          <w:b/>
          <w:szCs w:val="28"/>
          <w:lang w:val="zh-CN"/>
        </w:rPr>
        <w:t>3</w:t>
      </w:r>
      <w:r>
        <w:rPr>
          <w:rFonts w:asciiTheme="minorEastAsia" w:hAnsiTheme="minorEastAsia" w:eastAsiaTheme="minorEastAsia"/>
          <w:b/>
          <w:szCs w:val="28"/>
          <w:lang w:val="zh-CN"/>
        </w:rPr>
        <w:t xml:space="preserve"> 抢险、救援及控制措施</w:t>
      </w:r>
      <w:r>
        <w:tab/>
      </w:r>
      <w:r>
        <w:fldChar w:fldCharType="begin"/>
      </w:r>
      <w:r>
        <w:instrText xml:space="preserve"> PAGEREF _Toc20183 </w:instrText>
      </w:r>
      <w:r>
        <w:fldChar w:fldCharType="separate"/>
      </w:r>
      <w:r>
        <w:t>33</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_Toc11774 </w:instrText>
      </w:r>
      <w:r>
        <w:rPr>
          <w:rFonts w:hint="eastAsia" w:asciiTheme="minorEastAsia" w:hAnsiTheme="minorEastAsia" w:eastAsiaTheme="minorEastAsia"/>
          <w:szCs w:val="24"/>
        </w:rPr>
        <w:fldChar w:fldCharType="separate"/>
      </w:r>
      <w:r>
        <w:rPr>
          <w:rFonts w:hint="eastAsia"/>
          <w:b/>
          <w:szCs w:val="28"/>
        </w:rPr>
        <w:t>6.4应急处置措施</w:t>
      </w:r>
      <w:r>
        <w:tab/>
      </w:r>
      <w:r>
        <w:fldChar w:fldCharType="begin"/>
      </w:r>
      <w:r>
        <w:instrText xml:space="preserve"> PAGEREF _Toc11774 </w:instrText>
      </w:r>
      <w:r>
        <w:fldChar w:fldCharType="separate"/>
      </w:r>
      <w:r>
        <w:t>36</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_Toc25768 </w:instrText>
      </w:r>
      <w:r>
        <w:rPr>
          <w:rFonts w:hint="eastAsia" w:asciiTheme="minorEastAsia" w:hAnsiTheme="minorEastAsia" w:eastAsiaTheme="minorEastAsia"/>
          <w:szCs w:val="24"/>
        </w:rPr>
        <w:fldChar w:fldCharType="separate"/>
      </w:r>
      <w:r>
        <w:rPr>
          <w:rFonts w:hint="eastAsia"/>
          <w:b/>
          <w:szCs w:val="24"/>
        </w:rPr>
        <w:t>6.4.1处置原则</w:t>
      </w:r>
      <w:r>
        <w:tab/>
      </w:r>
      <w:r>
        <w:fldChar w:fldCharType="begin"/>
      </w:r>
      <w:r>
        <w:instrText xml:space="preserve"> PAGEREF _Toc25768 </w:instrText>
      </w:r>
      <w:r>
        <w:fldChar w:fldCharType="separate"/>
      </w:r>
      <w:r>
        <w:t>36</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_Toc12795 </w:instrText>
      </w:r>
      <w:r>
        <w:rPr>
          <w:rFonts w:hint="eastAsia" w:asciiTheme="minorEastAsia" w:hAnsiTheme="minorEastAsia" w:eastAsiaTheme="minorEastAsia"/>
          <w:szCs w:val="24"/>
        </w:rPr>
        <w:fldChar w:fldCharType="separate"/>
      </w:r>
      <w:r>
        <w:rPr>
          <w:rFonts w:hint="eastAsia"/>
          <w:b/>
          <w:szCs w:val="24"/>
        </w:rPr>
        <w:t>6</w:t>
      </w:r>
      <w:r>
        <w:rPr>
          <w:b/>
          <w:szCs w:val="24"/>
        </w:rPr>
        <w:t>.</w:t>
      </w:r>
      <w:r>
        <w:rPr>
          <w:rFonts w:hint="eastAsia"/>
          <w:b/>
          <w:szCs w:val="24"/>
        </w:rPr>
        <w:t>4</w:t>
      </w:r>
      <w:r>
        <w:rPr>
          <w:b/>
          <w:szCs w:val="24"/>
        </w:rPr>
        <w:t>.</w:t>
      </w:r>
      <w:r>
        <w:rPr>
          <w:rFonts w:hint="eastAsia"/>
          <w:b/>
          <w:szCs w:val="24"/>
        </w:rPr>
        <w:t>2</w:t>
      </w:r>
      <w:r>
        <w:rPr>
          <w:b/>
          <w:szCs w:val="24"/>
        </w:rPr>
        <w:t xml:space="preserve"> </w:t>
      </w:r>
      <w:r>
        <w:rPr>
          <w:rFonts w:hint="eastAsia"/>
          <w:b/>
          <w:szCs w:val="24"/>
        </w:rPr>
        <w:t>应急</w:t>
      </w:r>
      <w:r>
        <w:rPr>
          <w:b/>
          <w:szCs w:val="24"/>
        </w:rPr>
        <w:t>流程</w:t>
      </w:r>
      <w:r>
        <w:tab/>
      </w:r>
      <w:r>
        <w:fldChar w:fldCharType="begin"/>
      </w:r>
      <w:r>
        <w:instrText xml:space="preserve"> PAGEREF _Toc12795 </w:instrText>
      </w:r>
      <w:r>
        <w:fldChar w:fldCharType="separate"/>
      </w:r>
      <w:r>
        <w:t>36</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_Toc27901 </w:instrText>
      </w:r>
      <w:r>
        <w:rPr>
          <w:rFonts w:hint="eastAsia" w:asciiTheme="minorEastAsia" w:hAnsiTheme="minorEastAsia" w:eastAsiaTheme="minorEastAsia"/>
          <w:szCs w:val="24"/>
        </w:rPr>
        <w:fldChar w:fldCharType="separate"/>
      </w:r>
      <w:r>
        <w:rPr>
          <w:rFonts w:hint="eastAsia"/>
          <w:b/>
          <w:szCs w:val="28"/>
        </w:rPr>
        <w:t>6.4.3</w:t>
      </w:r>
      <w:r>
        <w:rPr>
          <w:b/>
          <w:szCs w:val="28"/>
        </w:rPr>
        <w:t>一源一案</w:t>
      </w:r>
      <w:r>
        <w:tab/>
      </w:r>
      <w:r>
        <w:fldChar w:fldCharType="begin"/>
      </w:r>
      <w:r>
        <w:instrText xml:space="preserve"> PAGEREF _Toc27901 </w:instrText>
      </w:r>
      <w:r>
        <w:fldChar w:fldCharType="separate"/>
      </w:r>
      <w:r>
        <w:t>38</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_Toc11824 </w:instrText>
      </w:r>
      <w:r>
        <w:rPr>
          <w:rFonts w:hint="eastAsia" w:asciiTheme="minorEastAsia" w:hAnsiTheme="minorEastAsia" w:eastAsiaTheme="minorEastAsia"/>
          <w:szCs w:val="24"/>
        </w:rPr>
        <w:fldChar w:fldCharType="separate"/>
      </w:r>
      <w:r>
        <w:rPr>
          <w:rFonts w:hint="eastAsia"/>
          <w:b/>
          <w:szCs w:val="28"/>
        </w:rPr>
        <w:t>6.5应急监测</w:t>
      </w:r>
      <w:r>
        <w:tab/>
      </w:r>
      <w:r>
        <w:fldChar w:fldCharType="begin"/>
      </w:r>
      <w:r>
        <w:instrText xml:space="preserve"> PAGEREF _Toc11824 </w:instrText>
      </w:r>
      <w:r>
        <w:fldChar w:fldCharType="separate"/>
      </w:r>
      <w:r>
        <w:t>44</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_Toc16990 </w:instrText>
      </w:r>
      <w:r>
        <w:rPr>
          <w:rFonts w:hint="eastAsia" w:asciiTheme="minorEastAsia" w:hAnsiTheme="minorEastAsia" w:eastAsiaTheme="minorEastAsia"/>
          <w:szCs w:val="24"/>
        </w:rPr>
        <w:fldChar w:fldCharType="separate"/>
      </w:r>
      <w:r>
        <w:rPr>
          <w:rFonts w:hint="eastAsia"/>
          <w:b/>
          <w:szCs w:val="28"/>
        </w:rPr>
        <w:t>6.6应急终止</w:t>
      </w:r>
      <w:r>
        <w:tab/>
      </w:r>
      <w:r>
        <w:fldChar w:fldCharType="begin"/>
      </w:r>
      <w:r>
        <w:instrText xml:space="preserve"> PAGEREF _Toc16990 </w:instrText>
      </w:r>
      <w:r>
        <w:fldChar w:fldCharType="separate"/>
      </w:r>
      <w:r>
        <w:t>45</w:t>
      </w:r>
      <w:r>
        <w:fldChar w:fldCharType="end"/>
      </w:r>
      <w:r>
        <w:rPr>
          <w:rFonts w:hint="eastAsia" w:asciiTheme="minorEastAsia" w:hAnsiTheme="minorEastAsia" w:eastAsiaTheme="minorEastAsia"/>
          <w:color w:val="000000"/>
          <w:szCs w:val="24"/>
        </w:rPr>
        <w:fldChar w:fldCharType="end"/>
      </w:r>
    </w:p>
    <w:p>
      <w:pPr>
        <w:pStyle w:val="30"/>
        <w:tabs>
          <w:tab w:val="right" w:leader="dot" w:pos="9014"/>
          <w:tab w:val="clear" w:pos="917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_Toc13108 </w:instrText>
      </w:r>
      <w:r>
        <w:rPr>
          <w:rFonts w:hint="eastAsia" w:asciiTheme="minorEastAsia" w:hAnsiTheme="minorEastAsia" w:eastAsiaTheme="minorEastAsia"/>
          <w:szCs w:val="24"/>
        </w:rPr>
        <w:fldChar w:fldCharType="separate"/>
      </w:r>
      <w:r>
        <w:rPr>
          <w:rFonts w:asciiTheme="minorEastAsia" w:hAnsiTheme="minorEastAsia" w:eastAsiaTheme="minorEastAsia"/>
          <w:b/>
        </w:rPr>
        <w:t>7</w:t>
      </w:r>
      <w:r>
        <w:rPr>
          <w:rFonts w:hint="eastAsia" w:asciiTheme="minorEastAsia" w:hAnsiTheme="minorEastAsia" w:eastAsiaTheme="minorEastAsia"/>
          <w:b/>
        </w:rPr>
        <w:t>后期处置</w:t>
      </w:r>
      <w:r>
        <w:tab/>
      </w:r>
      <w:r>
        <w:fldChar w:fldCharType="begin"/>
      </w:r>
      <w:r>
        <w:instrText xml:space="preserve"> PAGEREF _Toc13108 </w:instrText>
      </w:r>
      <w:r>
        <w:fldChar w:fldCharType="separate"/>
      </w:r>
      <w:r>
        <w:t>46</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_Toc31363 </w:instrText>
      </w:r>
      <w:r>
        <w:rPr>
          <w:rFonts w:hint="eastAsia" w:asciiTheme="minorEastAsia" w:hAnsiTheme="minorEastAsia" w:eastAsiaTheme="minorEastAsia"/>
          <w:szCs w:val="24"/>
        </w:rPr>
        <w:fldChar w:fldCharType="separate"/>
      </w:r>
      <w:r>
        <w:rPr>
          <w:rFonts w:hint="eastAsia"/>
          <w:b/>
          <w:szCs w:val="28"/>
        </w:rPr>
        <w:t>7.1 污染物处理</w:t>
      </w:r>
      <w:r>
        <w:tab/>
      </w:r>
      <w:r>
        <w:fldChar w:fldCharType="begin"/>
      </w:r>
      <w:r>
        <w:instrText xml:space="preserve"> PAGEREF _Toc31363 </w:instrText>
      </w:r>
      <w:r>
        <w:fldChar w:fldCharType="separate"/>
      </w:r>
      <w:r>
        <w:t>46</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_Toc12626 </w:instrText>
      </w:r>
      <w:r>
        <w:rPr>
          <w:rFonts w:hint="eastAsia" w:asciiTheme="minorEastAsia" w:hAnsiTheme="minorEastAsia" w:eastAsiaTheme="minorEastAsia"/>
          <w:szCs w:val="24"/>
        </w:rPr>
        <w:fldChar w:fldCharType="separate"/>
      </w:r>
      <w:r>
        <w:rPr>
          <w:rFonts w:hint="eastAsia"/>
          <w:b/>
          <w:szCs w:val="28"/>
        </w:rPr>
        <w:t>7.2生产秩序恢复</w:t>
      </w:r>
      <w:r>
        <w:tab/>
      </w:r>
      <w:r>
        <w:fldChar w:fldCharType="begin"/>
      </w:r>
      <w:r>
        <w:instrText xml:space="preserve"> PAGEREF _Toc12626 </w:instrText>
      </w:r>
      <w:r>
        <w:fldChar w:fldCharType="separate"/>
      </w:r>
      <w:r>
        <w:t>46</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_Toc6172 </w:instrText>
      </w:r>
      <w:r>
        <w:rPr>
          <w:rFonts w:hint="eastAsia" w:asciiTheme="minorEastAsia" w:hAnsiTheme="minorEastAsia" w:eastAsiaTheme="minorEastAsia"/>
          <w:szCs w:val="24"/>
        </w:rPr>
        <w:fldChar w:fldCharType="separate"/>
      </w:r>
      <w:r>
        <w:rPr>
          <w:rFonts w:hint="eastAsia"/>
          <w:b/>
          <w:szCs w:val="28"/>
        </w:rPr>
        <w:t>7.3善后处置（医疗救治、人员安置、善后赔偿）</w:t>
      </w:r>
      <w:r>
        <w:tab/>
      </w:r>
      <w:r>
        <w:fldChar w:fldCharType="begin"/>
      </w:r>
      <w:r>
        <w:instrText xml:space="preserve"> PAGEREF _Toc6172 </w:instrText>
      </w:r>
      <w:r>
        <w:fldChar w:fldCharType="separate"/>
      </w:r>
      <w:r>
        <w:t>46</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_Toc28106 </w:instrText>
      </w:r>
      <w:r>
        <w:rPr>
          <w:rFonts w:hint="eastAsia" w:asciiTheme="minorEastAsia" w:hAnsiTheme="minorEastAsia" w:eastAsiaTheme="minorEastAsia"/>
          <w:szCs w:val="24"/>
        </w:rPr>
        <w:fldChar w:fldCharType="separate"/>
      </w:r>
      <w:r>
        <w:rPr>
          <w:rFonts w:hint="eastAsia"/>
          <w:b/>
          <w:szCs w:val="28"/>
        </w:rPr>
        <w:t>7.4应急救援能力评估</w:t>
      </w:r>
      <w:r>
        <w:tab/>
      </w:r>
      <w:r>
        <w:fldChar w:fldCharType="begin"/>
      </w:r>
      <w:r>
        <w:instrText xml:space="preserve"> PAGEREF _Toc28106 </w:instrText>
      </w:r>
      <w:r>
        <w:fldChar w:fldCharType="separate"/>
      </w:r>
      <w:r>
        <w:t>47</w:t>
      </w:r>
      <w:r>
        <w:fldChar w:fldCharType="end"/>
      </w:r>
      <w:r>
        <w:rPr>
          <w:rFonts w:hint="eastAsia" w:asciiTheme="minorEastAsia" w:hAnsiTheme="minorEastAsia" w:eastAsiaTheme="minorEastAsia"/>
          <w:color w:val="000000"/>
          <w:szCs w:val="24"/>
        </w:rPr>
        <w:fldChar w:fldCharType="end"/>
      </w:r>
    </w:p>
    <w:p>
      <w:pPr>
        <w:pStyle w:val="30"/>
        <w:tabs>
          <w:tab w:val="right" w:leader="dot" w:pos="9014"/>
          <w:tab w:val="clear" w:pos="917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_Toc2962 </w:instrText>
      </w:r>
      <w:r>
        <w:rPr>
          <w:rFonts w:hint="eastAsia" w:asciiTheme="minorEastAsia" w:hAnsiTheme="minorEastAsia" w:eastAsiaTheme="minorEastAsia"/>
          <w:szCs w:val="24"/>
        </w:rPr>
        <w:fldChar w:fldCharType="separate"/>
      </w:r>
      <w:r>
        <w:rPr>
          <w:rFonts w:asciiTheme="minorEastAsia" w:hAnsiTheme="minorEastAsia" w:eastAsiaTheme="minorEastAsia"/>
          <w:b/>
        </w:rPr>
        <w:t>8</w:t>
      </w:r>
      <w:r>
        <w:rPr>
          <w:rFonts w:hint="eastAsia" w:asciiTheme="minorEastAsia" w:hAnsiTheme="minorEastAsia" w:eastAsiaTheme="minorEastAsia"/>
          <w:b/>
        </w:rPr>
        <w:t>保障措施</w:t>
      </w:r>
      <w:r>
        <w:tab/>
      </w:r>
      <w:r>
        <w:fldChar w:fldCharType="begin"/>
      </w:r>
      <w:r>
        <w:instrText xml:space="preserve"> PAGEREF _Toc2962 </w:instrText>
      </w:r>
      <w:r>
        <w:fldChar w:fldCharType="separate"/>
      </w:r>
      <w:r>
        <w:t>47</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_Toc24312 </w:instrText>
      </w:r>
      <w:r>
        <w:rPr>
          <w:rFonts w:hint="eastAsia" w:asciiTheme="minorEastAsia" w:hAnsiTheme="minorEastAsia" w:eastAsiaTheme="minorEastAsia"/>
          <w:szCs w:val="24"/>
        </w:rPr>
        <w:fldChar w:fldCharType="separate"/>
      </w:r>
      <w:r>
        <w:rPr>
          <w:rFonts w:hint="eastAsia"/>
          <w:b/>
          <w:szCs w:val="28"/>
        </w:rPr>
        <w:t>8.1通信与信息保障</w:t>
      </w:r>
      <w:r>
        <w:tab/>
      </w:r>
      <w:r>
        <w:fldChar w:fldCharType="begin"/>
      </w:r>
      <w:r>
        <w:instrText xml:space="preserve"> PAGEREF _Toc24312 </w:instrText>
      </w:r>
      <w:r>
        <w:fldChar w:fldCharType="separate"/>
      </w:r>
      <w:r>
        <w:t>47</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_Toc762 </w:instrText>
      </w:r>
      <w:r>
        <w:rPr>
          <w:rFonts w:hint="eastAsia" w:asciiTheme="minorEastAsia" w:hAnsiTheme="minorEastAsia" w:eastAsiaTheme="minorEastAsia"/>
          <w:szCs w:val="24"/>
        </w:rPr>
        <w:fldChar w:fldCharType="separate"/>
      </w:r>
      <w:r>
        <w:rPr>
          <w:rFonts w:hint="eastAsia"/>
          <w:b/>
          <w:szCs w:val="28"/>
        </w:rPr>
        <w:t>8.2应急队伍保障</w:t>
      </w:r>
      <w:r>
        <w:tab/>
      </w:r>
      <w:r>
        <w:fldChar w:fldCharType="begin"/>
      </w:r>
      <w:r>
        <w:instrText xml:space="preserve"> PAGEREF _Toc762 </w:instrText>
      </w:r>
      <w:r>
        <w:fldChar w:fldCharType="separate"/>
      </w:r>
      <w:r>
        <w:t>47</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_Toc3845 </w:instrText>
      </w:r>
      <w:r>
        <w:rPr>
          <w:rFonts w:hint="eastAsia" w:asciiTheme="minorEastAsia" w:hAnsiTheme="minorEastAsia" w:eastAsiaTheme="minorEastAsia"/>
          <w:szCs w:val="24"/>
        </w:rPr>
        <w:fldChar w:fldCharType="separate"/>
      </w:r>
      <w:r>
        <w:rPr>
          <w:rFonts w:hint="eastAsia"/>
          <w:b/>
          <w:szCs w:val="28"/>
        </w:rPr>
        <w:t>8.3物资装备保障</w:t>
      </w:r>
      <w:r>
        <w:tab/>
      </w:r>
      <w:r>
        <w:fldChar w:fldCharType="begin"/>
      </w:r>
      <w:r>
        <w:instrText xml:space="preserve"> PAGEREF _Toc3845 </w:instrText>
      </w:r>
      <w:r>
        <w:fldChar w:fldCharType="separate"/>
      </w:r>
      <w:r>
        <w:t>47</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_Toc19104 </w:instrText>
      </w:r>
      <w:r>
        <w:rPr>
          <w:rFonts w:hint="eastAsia" w:asciiTheme="minorEastAsia" w:hAnsiTheme="minorEastAsia" w:eastAsiaTheme="minorEastAsia"/>
          <w:szCs w:val="24"/>
        </w:rPr>
        <w:fldChar w:fldCharType="separate"/>
      </w:r>
      <w:r>
        <w:rPr>
          <w:rFonts w:hint="eastAsia"/>
          <w:b/>
          <w:szCs w:val="28"/>
        </w:rPr>
        <w:t>8.4其他保障</w:t>
      </w:r>
      <w:r>
        <w:tab/>
      </w:r>
      <w:r>
        <w:fldChar w:fldCharType="begin"/>
      </w:r>
      <w:r>
        <w:instrText xml:space="preserve"> PAGEREF _Toc19104 </w:instrText>
      </w:r>
      <w:r>
        <w:fldChar w:fldCharType="separate"/>
      </w:r>
      <w:r>
        <w:t>48</w:t>
      </w:r>
      <w:r>
        <w:fldChar w:fldCharType="end"/>
      </w:r>
      <w:r>
        <w:rPr>
          <w:rFonts w:hint="eastAsia" w:asciiTheme="minorEastAsia" w:hAnsiTheme="minorEastAsia" w:eastAsiaTheme="minorEastAsia"/>
          <w:color w:val="000000"/>
          <w:szCs w:val="24"/>
        </w:rPr>
        <w:fldChar w:fldCharType="end"/>
      </w:r>
    </w:p>
    <w:p>
      <w:pPr>
        <w:pStyle w:val="30"/>
        <w:tabs>
          <w:tab w:val="right" w:leader="dot" w:pos="9014"/>
          <w:tab w:val="clear" w:pos="917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_Toc24779 </w:instrText>
      </w:r>
      <w:r>
        <w:rPr>
          <w:rFonts w:hint="eastAsia" w:asciiTheme="minorEastAsia" w:hAnsiTheme="minorEastAsia" w:eastAsiaTheme="minorEastAsia"/>
          <w:szCs w:val="24"/>
        </w:rPr>
        <w:fldChar w:fldCharType="separate"/>
      </w:r>
      <w:r>
        <w:rPr>
          <w:rFonts w:hint="eastAsia" w:asciiTheme="minorEastAsia" w:hAnsiTheme="minorEastAsia" w:eastAsiaTheme="minorEastAsia"/>
          <w:b/>
        </w:rPr>
        <w:t>9</w:t>
      </w:r>
      <w:r>
        <w:rPr>
          <w:rFonts w:asciiTheme="minorEastAsia" w:hAnsiTheme="minorEastAsia" w:eastAsiaTheme="minorEastAsia"/>
          <w:b/>
        </w:rPr>
        <w:t>奖励与责任追究</w:t>
      </w:r>
      <w:r>
        <w:tab/>
      </w:r>
      <w:r>
        <w:fldChar w:fldCharType="begin"/>
      </w:r>
      <w:r>
        <w:instrText xml:space="preserve"> PAGEREF _Toc24779 </w:instrText>
      </w:r>
      <w:r>
        <w:fldChar w:fldCharType="separate"/>
      </w:r>
      <w:r>
        <w:t>48</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_Toc19143 </w:instrText>
      </w:r>
      <w:r>
        <w:rPr>
          <w:rFonts w:hint="eastAsia" w:asciiTheme="minorEastAsia" w:hAnsiTheme="minorEastAsia" w:eastAsiaTheme="minorEastAsia"/>
          <w:szCs w:val="24"/>
        </w:rPr>
        <w:fldChar w:fldCharType="separate"/>
      </w:r>
      <w:r>
        <w:rPr>
          <w:rFonts w:hint="eastAsia"/>
          <w:b/>
          <w:szCs w:val="28"/>
        </w:rPr>
        <w:t>9.1奖励</w:t>
      </w:r>
      <w:r>
        <w:tab/>
      </w:r>
      <w:r>
        <w:fldChar w:fldCharType="begin"/>
      </w:r>
      <w:r>
        <w:instrText xml:space="preserve"> PAGEREF _Toc19143 </w:instrText>
      </w:r>
      <w:r>
        <w:fldChar w:fldCharType="separate"/>
      </w:r>
      <w:r>
        <w:t>48</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_Toc12553 </w:instrText>
      </w:r>
      <w:r>
        <w:rPr>
          <w:rFonts w:hint="eastAsia" w:asciiTheme="minorEastAsia" w:hAnsiTheme="minorEastAsia" w:eastAsiaTheme="minorEastAsia"/>
          <w:szCs w:val="24"/>
        </w:rPr>
        <w:fldChar w:fldCharType="separate"/>
      </w:r>
      <w:r>
        <w:rPr>
          <w:rFonts w:hint="eastAsia"/>
          <w:b/>
          <w:szCs w:val="28"/>
        </w:rPr>
        <w:t>9.2责任追究</w:t>
      </w:r>
      <w:r>
        <w:tab/>
      </w:r>
      <w:r>
        <w:fldChar w:fldCharType="begin"/>
      </w:r>
      <w:r>
        <w:instrText xml:space="preserve"> PAGEREF _Toc12553 </w:instrText>
      </w:r>
      <w:r>
        <w:fldChar w:fldCharType="separate"/>
      </w:r>
      <w:r>
        <w:t>48</w:t>
      </w:r>
      <w:r>
        <w:fldChar w:fldCharType="end"/>
      </w:r>
      <w:r>
        <w:rPr>
          <w:rFonts w:hint="eastAsia" w:asciiTheme="minorEastAsia" w:hAnsiTheme="minorEastAsia" w:eastAsiaTheme="minorEastAsia"/>
          <w:color w:val="000000"/>
          <w:szCs w:val="24"/>
        </w:rPr>
        <w:fldChar w:fldCharType="end"/>
      </w:r>
    </w:p>
    <w:p>
      <w:pPr>
        <w:pStyle w:val="30"/>
        <w:tabs>
          <w:tab w:val="right" w:leader="dot" w:pos="9014"/>
          <w:tab w:val="clear" w:pos="917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_Toc21654 </w:instrText>
      </w:r>
      <w:r>
        <w:rPr>
          <w:rFonts w:hint="eastAsia" w:asciiTheme="minorEastAsia" w:hAnsiTheme="minorEastAsia" w:eastAsiaTheme="minorEastAsia"/>
          <w:szCs w:val="24"/>
        </w:rPr>
        <w:fldChar w:fldCharType="separate"/>
      </w:r>
      <w:r>
        <w:rPr>
          <w:rFonts w:hint="eastAsia" w:asciiTheme="minorEastAsia" w:hAnsiTheme="minorEastAsia" w:eastAsiaTheme="minorEastAsia"/>
          <w:b/>
        </w:rPr>
        <w:t>10应急预案管理</w:t>
      </w:r>
      <w:r>
        <w:tab/>
      </w:r>
      <w:r>
        <w:fldChar w:fldCharType="begin"/>
      </w:r>
      <w:r>
        <w:instrText xml:space="preserve"> PAGEREF _Toc21654 </w:instrText>
      </w:r>
      <w:r>
        <w:fldChar w:fldCharType="separate"/>
      </w:r>
      <w:r>
        <w:t>49</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_Toc24100 </w:instrText>
      </w:r>
      <w:r>
        <w:rPr>
          <w:rFonts w:hint="eastAsia" w:asciiTheme="minorEastAsia" w:hAnsiTheme="minorEastAsia" w:eastAsiaTheme="minorEastAsia"/>
          <w:szCs w:val="24"/>
        </w:rPr>
        <w:fldChar w:fldCharType="separate"/>
      </w:r>
      <w:r>
        <w:rPr>
          <w:rFonts w:hint="eastAsia"/>
          <w:b/>
          <w:szCs w:val="28"/>
          <w:lang w:val="en-US" w:eastAsia="zh-CN"/>
        </w:rPr>
        <w:t>10</w:t>
      </w:r>
      <w:r>
        <w:rPr>
          <w:rFonts w:hint="eastAsia"/>
          <w:b/>
          <w:szCs w:val="28"/>
        </w:rPr>
        <w:t>.1应急预案培训</w:t>
      </w:r>
      <w:r>
        <w:tab/>
      </w:r>
      <w:r>
        <w:fldChar w:fldCharType="begin"/>
      </w:r>
      <w:r>
        <w:instrText xml:space="preserve"> PAGEREF _Toc24100 </w:instrText>
      </w:r>
      <w:r>
        <w:fldChar w:fldCharType="separate"/>
      </w:r>
      <w:r>
        <w:t>49</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_Toc16205 </w:instrText>
      </w:r>
      <w:r>
        <w:rPr>
          <w:rFonts w:hint="eastAsia" w:asciiTheme="minorEastAsia" w:hAnsiTheme="minorEastAsia" w:eastAsiaTheme="minorEastAsia"/>
          <w:szCs w:val="24"/>
        </w:rPr>
        <w:fldChar w:fldCharType="separate"/>
      </w:r>
      <w:r>
        <w:rPr>
          <w:rFonts w:hint="eastAsia"/>
          <w:b/>
          <w:szCs w:val="28"/>
          <w:lang w:val="en-US" w:eastAsia="zh-CN"/>
        </w:rPr>
        <w:t>10.2应急预案演练</w:t>
      </w:r>
      <w:r>
        <w:tab/>
      </w:r>
      <w:r>
        <w:fldChar w:fldCharType="begin"/>
      </w:r>
      <w:r>
        <w:instrText xml:space="preserve"> PAGEREF _Toc16205 </w:instrText>
      </w:r>
      <w:r>
        <w:fldChar w:fldCharType="separate"/>
      </w:r>
      <w:r>
        <w:t>49</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_Toc21254 </w:instrText>
      </w:r>
      <w:r>
        <w:rPr>
          <w:rFonts w:hint="eastAsia" w:asciiTheme="minorEastAsia" w:hAnsiTheme="minorEastAsia" w:eastAsiaTheme="minorEastAsia"/>
          <w:szCs w:val="24"/>
        </w:rPr>
        <w:fldChar w:fldCharType="separate"/>
      </w:r>
      <w:r>
        <w:rPr>
          <w:rFonts w:hint="eastAsia"/>
          <w:b/>
          <w:szCs w:val="28"/>
          <w:lang w:val="en-US" w:eastAsia="zh-CN"/>
        </w:rPr>
        <w:t>10.3应急预案修订</w:t>
      </w:r>
      <w:r>
        <w:tab/>
      </w:r>
      <w:r>
        <w:fldChar w:fldCharType="begin"/>
      </w:r>
      <w:r>
        <w:instrText xml:space="preserve"> PAGEREF _Toc21254 </w:instrText>
      </w:r>
      <w:r>
        <w:fldChar w:fldCharType="separate"/>
      </w:r>
      <w:r>
        <w:t>50</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_Toc8241 </w:instrText>
      </w:r>
      <w:r>
        <w:rPr>
          <w:rFonts w:hint="eastAsia" w:asciiTheme="minorEastAsia" w:hAnsiTheme="minorEastAsia" w:eastAsiaTheme="minorEastAsia"/>
          <w:szCs w:val="24"/>
        </w:rPr>
        <w:fldChar w:fldCharType="separate"/>
      </w:r>
      <w:r>
        <w:rPr>
          <w:rFonts w:hint="eastAsia"/>
          <w:b/>
          <w:szCs w:val="28"/>
          <w:lang w:val="en-US" w:eastAsia="zh-CN"/>
        </w:rPr>
        <w:t>10.4应急预案备案</w:t>
      </w:r>
      <w:r>
        <w:tab/>
      </w:r>
      <w:r>
        <w:fldChar w:fldCharType="begin"/>
      </w:r>
      <w:r>
        <w:instrText xml:space="preserve"> PAGEREF _Toc8241 </w:instrText>
      </w:r>
      <w:r>
        <w:fldChar w:fldCharType="separate"/>
      </w:r>
      <w:r>
        <w:t>50</w:t>
      </w:r>
      <w:r>
        <w:fldChar w:fldCharType="end"/>
      </w:r>
      <w:r>
        <w:rPr>
          <w:rFonts w:hint="eastAsia" w:asciiTheme="minorEastAsia" w:hAnsiTheme="minorEastAsia" w:eastAsiaTheme="minorEastAsia"/>
          <w:color w:val="000000"/>
          <w:szCs w:val="24"/>
        </w:rPr>
        <w:fldChar w:fldCharType="end"/>
      </w:r>
    </w:p>
    <w:p>
      <w:pPr>
        <w:pStyle w:val="39"/>
        <w:tabs>
          <w:tab w:val="right" w:leader="dot" w:pos="901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_Toc21978 </w:instrText>
      </w:r>
      <w:r>
        <w:rPr>
          <w:rFonts w:hint="eastAsia" w:asciiTheme="minorEastAsia" w:hAnsiTheme="minorEastAsia" w:eastAsiaTheme="minorEastAsia"/>
          <w:szCs w:val="24"/>
        </w:rPr>
        <w:fldChar w:fldCharType="separate"/>
      </w:r>
      <w:r>
        <w:rPr>
          <w:rFonts w:hint="eastAsia"/>
          <w:b/>
          <w:szCs w:val="28"/>
          <w:lang w:val="en-US" w:eastAsia="zh-CN"/>
        </w:rPr>
        <w:t>10.5应急预案实施</w:t>
      </w:r>
      <w:r>
        <w:tab/>
      </w:r>
      <w:r>
        <w:fldChar w:fldCharType="begin"/>
      </w:r>
      <w:r>
        <w:instrText xml:space="preserve"> PAGEREF _Toc21978 </w:instrText>
      </w:r>
      <w:r>
        <w:fldChar w:fldCharType="separate"/>
      </w:r>
      <w:r>
        <w:t>50</w:t>
      </w:r>
      <w:r>
        <w:fldChar w:fldCharType="end"/>
      </w:r>
      <w:r>
        <w:rPr>
          <w:rFonts w:hint="eastAsia" w:asciiTheme="minorEastAsia" w:hAnsiTheme="minorEastAsia" w:eastAsiaTheme="minorEastAsia"/>
          <w:color w:val="000000"/>
          <w:szCs w:val="24"/>
        </w:rPr>
        <w:fldChar w:fldCharType="end"/>
      </w:r>
    </w:p>
    <w:p>
      <w:pPr>
        <w:pStyle w:val="30"/>
        <w:tabs>
          <w:tab w:val="right" w:leader="dot" w:pos="9014"/>
          <w:tab w:val="clear" w:pos="9174"/>
        </w:tabs>
      </w:pPr>
      <w:r>
        <w:rPr>
          <w:rFonts w:hint="eastAsia" w:asciiTheme="minorEastAsia" w:hAnsiTheme="minorEastAsia" w:eastAsiaTheme="minorEastAsia"/>
          <w:color w:val="000000"/>
          <w:szCs w:val="24"/>
        </w:rPr>
        <w:fldChar w:fldCharType="begin"/>
      </w:r>
      <w:r>
        <w:rPr>
          <w:rFonts w:hint="eastAsia" w:asciiTheme="minorEastAsia" w:hAnsiTheme="minorEastAsia" w:eastAsiaTheme="minorEastAsia"/>
          <w:szCs w:val="24"/>
        </w:rPr>
        <w:instrText xml:space="preserve"> HYPERLINK \l _Toc31445 </w:instrText>
      </w:r>
      <w:r>
        <w:rPr>
          <w:rFonts w:hint="eastAsia" w:asciiTheme="minorEastAsia" w:hAnsiTheme="minorEastAsia" w:eastAsiaTheme="minorEastAsia"/>
          <w:szCs w:val="24"/>
        </w:rPr>
        <w:fldChar w:fldCharType="separate"/>
      </w:r>
      <w:r>
        <w:rPr>
          <w:rFonts w:asciiTheme="minorEastAsia" w:hAnsiTheme="minorEastAsia" w:eastAsiaTheme="minorEastAsia"/>
          <w:b/>
        </w:rPr>
        <w:t>1</w:t>
      </w:r>
      <w:r>
        <w:rPr>
          <w:rFonts w:hint="eastAsia" w:asciiTheme="minorEastAsia" w:hAnsiTheme="minorEastAsia" w:eastAsiaTheme="minorEastAsia"/>
          <w:b/>
        </w:rPr>
        <w:t>1</w:t>
      </w:r>
      <w:r>
        <w:rPr>
          <w:rFonts w:asciiTheme="minorEastAsia" w:hAnsiTheme="minorEastAsia" w:eastAsiaTheme="minorEastAsia"/>
          <w:b/>
        </w:rPr>
        <w:t xml:space="preserve"> </w:t>
      </w:r>
      <w:r>
        <w:rPr>
          <w:rFonts w:hint="eastAsia" w:asciiTheme="minorEastAsia" w:hAnsiTheme="minorEastAsia" w:eastAsiaTheme="minorEastAsia"/>
          <w:b/>
        </w:rPr>
        <w:t>附件</w:t>
      </w:r>
      <w:r>
        <w:tab/>
      </w:r>
      <w:r>
        <w:fldChar w:fldCharType="begin"/>
      </w:r>
      <w:r>
        <w:instrText xml:space="preserve"> PAGEREF _Toc31445 </w:instrText>
      </w:r>
      <w:r>
        <w:fldChar w:fldCharType="separate"/>
      </w:r>
      <w:r>
        <w:t>51</w:t>
      </w:r>
      <w:r>
        <w:fldChar w:fldCharType="end"/>
      </w:r>
      <w:r>
        <w:rPr>
          <w:rFonts w:hint="eastAsia" w:asciiTheme="minorEastAsia" w:hAnsiTheme="minorEastAsia" w:eastAsiaTheme="minorEastAsia"/>
          <w:color w:val="000000"/>
          <w:szCs w:val="24"/>
        </w:rPr>
        <w:fldChar w:fldCharType="end"/>
      </w:r>
    </w:p>
    <w:p>
      <w:pPr>
        <w:pageBreakBefore/>
        <w:spacing w:line="360" w:lineRule="auto"/>
        <w:jc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Cs w:val="24"/>
        </w:rPr>
        <w:fldChar w:fldCharType="end"/>
      </w:r>
      <w:bookmarkStart w:id="0" w:name="_Toc197251327"/>
      <w:bookmarkStart w:id="1" w:name="_Toc262050852"/>
      <w:bookmarkStart w:id="2" w:name="_Toc198007322"/>
      <w:bookmarkStart w:id="3" w:name="_Toc183339485"/>
      <w:bookmarkStart w:id="4" w:name="_Toc184808749"/>
      <w:bookmarkStart w:id="5" w:name="_Toc179794530"/>
      <w:bookmarkStart w:id="6" w:name="_Toc262051523"/>
      <w:bookmarkStart w:id="7" w:name="_Toc262051102"/>
      <w:bookmarkStart w:id="8" w:name="_Toc262040262"/>
      <w:bookmarkStart w:id="9" w:name="_Toc184809536"/>
      <w:bookmarkStart w:id="10" w:name="_Toc304833219"/>
      <w:bookmarkStart w:id="11" w:name="_Toc196018623"/>
      <w:bookmarkStart w:id="12" w:name="_Toc185670969"/>
      <w:bookmarkStart w:id="13" w:name="_Toc196018527"/>
      <w:bookmarkStart w:id="14" w:name="_Toc196018418"/>
      <w:bookmarkStart w:id="15" w:name="_Toc229283958"/>
      <w:bookmarkStart w:id="16" w:name="_Toc198355307"/>
      <w:bookmarkStart w:id="17" w:name="_Toc183339209"/>
      <w:r>
        <w:rPr>
          <w:rFonts w:hint="eastAsia" w:asciiTheme="minorEastAsia" w:hAnsiTheme="minorEastAsia" w:eastAsiaTheme="minorEastAsia"/>
          <w:b/>
          <w:kern w:val="0"/>
          <w:sz w:val="32"/>
          <w:szCs w:val="32"/>
        </w:rPr>
        <w:t>应急预案编制小组</w:t>
      </w:r>
    </w:p>
    <w:tbl>
      <w:tblPr>
        <w:tblStyle w:val="54"/>
        <w:tblpPr w:leftFromText="180" w:rightFromText="180" w:vertAnchor="text" w:tblpY="1"/>
        <w:tblOverlap w:val="never"/>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0"/>
        <w:gridCol w:w="2745"/>
        <w:gridCol w:w="1984"/>
        <w:gridCol w:w="3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3" w:hRule="atLeast"/>
        </w:trPr>
        <w:tc>
          <w:tcPr>
            <w:tcW w:w="1440" w:type="dxa"/>
            <w:vAlign w:val="center"/>
          </w:tcPr>
          <w:p>
            <w:pPr>
              <w:tabs>
                <w:tab w:val="left" w:pos="7395"/>
              </w:tabs>
              <w:spacing w:beforeLines="50" w:after="120" w:line="600" w:lineRule="exact"/>
              <w:jc w:val="left"/>
              <w:rPr>
                <w:rFonts w:asciiTheme="minorEastAsia" w:hAnsiTheme="minorEastAsia" w:eastAsiaTheme="minorEastAsia"/>
                <w:b/>
                <w:color w:val="000000"/>
                <w:sz w:val="28"/>
                <w:szCs w:val="28"/>
              </w:rPr>
            </w:pPr>
            <w:r>
              <w:rPr>
                <w:rFonts w:hint="eastAsia" w:asciiTheme="minorEastAsia" w:hAnsiTheme="minorEastAsia" w:eastAsiaTheme="minorEastAsia"/>
                <w:b/>
                <w:color w:val="000000"/>
                <w:sz w:val="28"/>
                <w:szCs w:val="28"/>
              </w:rPr>
              <w:t>姓</w:t>
            </w:r>
            <w:r>
              <w:rPr>
                <w:rFonts w:asciiTheme="minorEastAsia" w:hAnsiTheme="minorEastAsia" w:eastAsiaTheme="minorEastAsia"/>
                <w:b/>
                <w:color w:val="000000"/>
                <w:sz w:val="28"/>
                <w:szCs w:val="28"/>
              </w:rPr>
              <w:t xml:space="preserve">  </w:t>
            </w:r>
            <w:r>
              <w:rPr>
                <w:rFonts w:hint="eastAsia" w:asciiTheme="minorEastAsia" w:hAnsiTheme="minorEastAsia" w:eastAsiaTheme="minorEastAsia"/>
                <w:b/>
                <w:color w:val="000000"/>
                <w:sz w:val="28"/>
                <w:szCs w:val="28"/>
              </w:rPr>
              <w:t>名</w:t>
            </w:r>
          </w:p>
        </w:tc>
        <w:tc>
          <w:tcPr>
            <w:tcW w:w="2745" w:type="dxa"/>
            <w:vAlign w:val="center"/>
          </w:tcPr>
          <w:p>
            <w:pPr>
              <w:tabs>
                <w:tab w:val="left" w:pos="7395"/>
              </w:tabs>
              <w:spacing w:beforeLines="50" w:after="120" w:line="600" w:lineRule="exact"/>
              <w:jc w:val="left"/>
              <w:rPr>
                <w:rFonts w:asciiTheme="minorEastAsia" w:hAnsiTheme="minorEastAsia" w:eastAsiaTheme="minorEastAsia"/>
                <w:b/>
                <w:color w:val="000000"/>
                <w:sz w:val="28"/>
                <w:szCs w:val="28"/>
              </w:rPr>
            </w:pPr>
            <w:r>
              <w:rPr>
                <w:rFonts w:hint="eastAsia" w:asciiTheme="minorEastAsia" w:hAnsiTheme="minorEastAsia" w:eastAsiaTheme="minorEastAsia"/>
                <w:b/>
                <w:color w:val="000000"/>
                <w:sz w:val="28"/>
                <w:szCs w:val="28"/>
              </w:rPr>
              <w:t>职务</w:t>
            </w:r>
          </w:p>
        </w:tc>
        <w:tc>
          <w:tcPr>
            <w:tcW w:w="1984" w:type="dxa"/>
            <w:vAlign w:val="center"/>
          </w:tcPr>
          <w:p>
            <w:pPr>
              <w:tabs>
                <w:tab w:val="left" w:pos="7395"/>
              </w:tabs>
              <w:spacing w:beforeLines="50" w:after="120" w:line="600" w:lineRule="exact"/>
              <w:jc w:val="left"/>
              <w:rPr>
                <w:rFonts w:asciiTheme="minorEastAsia" w:hAnsiTheme="minorEastAsia" w:eastAsiaTheme="minorEastAsia"/>
                <w:b/>
                <w:color w:val="000000"/>
                <w:sz w:val="28"/>
                <w:szCs w:val="28"/>
              </w:rPr>
            </w:pPr>
            <w:r>
              <w:rPr>
                <w:rFonts w:hint="eastAsia" w:asciiTheme="minorEastAsia" w:hAnsiTheme="minorEastAsia" w:eastAsiaTheme="minorEastAsia"/>
                <w:b/>
                <w:color w:val="000000"/>
                <w:sz w:val="28"/>
                <w:szCs w:val="28"/>
              </w:rPr>
              <w:t>工作职责</w:t>
            </w:r>
          </w:p>
        </w:tc>
        <w:tc>
          <w:tcPr>
            <w:tcW w:w="3011" w:type="dxa"/>
            <w:vAlign w:val="center"/>
          </w:tcPr>
          <w:p>
            <w:pPr>
              <w:tabs>
                <w:tab w:val="left" w:pos="7395"/>
              </w:tabs>
              <w:spacing w:beforeLines="50" w:after="120" w:line="600" w:lineRule="exact"/>
              <w:jc w:val="left"/>
              <w:rPr>
                <w:rFonts w:asciiTheme="minorEastAsia" w:hAnsiTheme="minorEastAsia" w:eastAsiaTheme="minorEastAsia"/>
                <w:b/>
                <w:color w:val="000000"/>
                <w:sz w:val="28"/>
                <w:szCs w:val="28"/>
              </w:rPr>
            </w:pPr>
            <w:r>
              <w:rPr>
                <w:rFonts w:hint="eastAsia" w:asciiTheme="minorEastAsia" w:hAnsiTheme="minorEastAsia" w:eastAsiaTheme="minorEastAsia"/>
                <w:b/>
                <w:color w:val="000000"/>
                <w:sz w:val="28"/>
                <w:szCs w:val="28"/>
              </w:rPr>
              <w:t>签</w:t>
            </w:r>
            <w:r>
              <w:rPr>
                <w:rFonts w:asciiTheme="minorEastAsia" w:hAnsiTheme="minorEastAsia" w:eastAsiaTheme="minorEastAsia"/>
                <w:b/>
                <w:color w:val="000000"/>
                <w:sz w:val="28"/>
                <w:szCs w:val="28"/>
              </w:rPr>
              <w:t xml:space="preserve">  </w:t>
            </w:r>
            <w:r>
              <w:rPr>
                <w:rFonts w:hint="eastAsia" w:asciiTheme="minorEastAsia" w:hAnsiTheme="minorEastAsia" w:eastAsiaTheme="minorEastAsia"/>
                <w:b/>
                <w:color w:val="000000"/>
                <w:sz w:val="28"/>
                <w:szCs w:val="28"/>
              </w:rPr>
              <w:t>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440" w:type="dxa"/>
            <w:vAlign w:val="center"/>
          </w:tcPr>
          <w:p>
            <w:pPr>
              <w:tabs>
                <w:tab w:val="left" w:pos="7395"/>
              </w:tabs>
              <w:spacing w:beforeLines="50" w:after="120" w:line="600" w:lineRule="exact"/>
              <w:jc w:val="left"/>
              <w:rPr>
                <w:rFonts w:asciiTheme="minorEastAsia" w:hAnsiTheme="minorEastAsia" w:eastAsiaTheme="minorEastAsia"/>
                <w:color w:val="000000"/>
                <w:sz w:val="28"/>
                <w:szCs w:val="28"/>
              </w:rPr>
            </w:pPr>
            <w:r>
              <w:rPr>
                <w:rFonts w:hint="eastAsia" w:asciiTheme="minorEastAsia" w:hAnsiTheme="minorEastAsia" w:eastAsiaTheme="minorEastAsia"/>
                <w:sz w:val="28"/>
                <w:szCs w:val="28"/>
              </w:rPr>
              <w:t>秦廷伟</w:t>
            </w:r>
          </w:p>
        </w:tc>
        <w:tc>
          <w:tcPr>
            <w:tcW w:w="2745" w:type="dxa"/>
            <w:vAlign w:val="center"/>
          </w:tcPr>
          <w:p>
            <w:pPr>
              <w:tabs>
                <w:tab w:val="left" w:pos="7395"/>
              </w:tabs>
              <w:spacing w:beforeLines="50" w:after="120" w:line="600" w:lineRule="exact"/>
              <w:jc w:val="left"/>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组长</w:t>
            </w:r>
          </w:p>
        </w:tc>
        <w:tc>
          <w:tcPr>
            <w:tcW w:w="1984" w:type="dxa"/>
          </w:tcPr>
          <w:p>
            <w:pPr>
              <w:tabs>
                <w:tab w:val="left" w:pos="7395"/>
              </w:tabs>
              <w:spacing w:beforeLines="50" w:after="120" w:line="600" w:lineRule="exact"/>
              <w:jc w:val="left"/>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校验</w:t>
            </w:r>
          </w:p>
        </w:tc>
        <w:tc>
          <w:tcPr>
            <w:tcW w:w="3011" w:type="dxa"/>
            <w:vAlign w:val="center"/>
          </w:tcPr>
          <w:p>
            <w:pPr>
              <w:tabs>
                <w:tab w:val="left" w:pos="7395"/>
              </w:tabs>
              <w:spacing w:beforeLines="50" w:after="120" w:line="600" w:lineRule="exact"/>
              <w:jc w:val="left"/>
              <w:rPr>
                <w:rFonts w:asciiTheme="minorEastAsia" w:hAnsiTheme="minorEastAsia" w:eastAsiaTheme="minorEastAsia"/>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440" w:type="dxa"/>
            <w:vAlign w:val="center"/>
          </w:tcPr>
          <w:p>
            <w:pPr>
              <w:tabs>
                <w:tab w:val="left" w:pos="7395"/>
              </w:tabs>
              <w:spacing w:beforeLines="50" w:after="120" w:line="600" w:lineRule="exact"/>
              <w:jc w:val="left"/>
              <w:rPr>
                <w:rFonts w:asciiTheme="minorEastAsia" w:hAnsiTheme="minorEastAsia" w:eastAsiaTheme="minorEastAsia"/>
                <w:color w:val="000000"/>
                <w:sz w:val="28"/>
                <w:szCs w:val="28"/>
              </w:rPr>
            </w:pPr>
            <w:r>
              <w:rPr>
                <w:rFonts w:hint="eastAsia" w:asciiTheme="minorEastAsia" w:hAnsiTheme="minorEastAsia" w:eastAsiaTheme="minorEastAsia"/>
                <w:sz w:val="28"/>
                <w:szCs w:val="28"/>
              </w:rPr>
              <w:t>操</w:t>
            </w:r>
            <w:r>
              <w:rPr>
                <w:rFonts w:asciiTheme="minorEastAsia" w:hAnsiTheme="minorEastAsia" w:eastAsiaTheme="minorEastAsia"/>
                <w:sz w:val="28"/>
                <w:szCs w:val="28"/>
              </w:rPr>
              <w:t xml:space="preserve"> </w:t>
            </w:r>
            <w:r>
              <w:rPr>
                <w:rFonts w:hint="eastAsia" w:asciiTheme="minorEastAsia" w:hAnsiTheme="minorEastAsia" w:eastAsiaTheme="minorEastAsia"/>
                <w:sz w:val="28"/>
                <w:szCs w:val="28"/>
              </w:rPr>
              <w:t>准</w:t>
            </w:r>
          </w:p>
        </w:tc>
        <w:tc>
          <w:tcPr>
            <w:tcW w:w="2745" w:type="dxa"/>
            <w:vAlign w:val="center"/>
          </w:tcPr>
          <w:p>
            <w:pPr>
              <w:tabs>
                <w:tab w:val="left" w:pos="7395"/>
              </w:tabs>
              <w:spacing w:beforeLines="50" w:after="120" w:line="600" w:lineRule="exact"/>
              <w:jc w:val="left"/>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组员</w:t>
            </w:r>
          </w:p>
        </w:tc>
        <w:tc>
          <w:tcPr>
            <w:tcW w:w="1984" w:type="dxa"/>
          </w:tcPr>
          <w:p>
            <w:pPr>
              <w:tabs>
                <w:tab w:val="left" w:pos="7395"/>
              </w:tabs>
              <w:spacing w:beforeLines="50" w:after="120" w:line="600" w:lineRule="exact"/>
              <w:jc w:val="left"/>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预案编制</w:t>
            </w:r>
          </w:p>
        </w:tc>
        <w:tc>
          <w:tcPr>
            <w:tcW w:w="3011" w:type="dxa"/>
            <w:vAlign w:val="center"/>
          </w:tcPr>
          <w:p>
            <w:pPr>
              <w:tabs>
                <w:tab w:val="left" w:pos="7395"/>
              </w:tabs>
              <w:spacing w:beforeLines="50" w:after="120" w:line="600" w:lineRule="exact"/>
              <w:jc w:val="left"/>
              <w:rPr>
                <w:rFonts w:asciiTheme="minorEastAsia" w:hAnsiTheme="minorEastAsia" w:eastAsiaTheme="minorEastAsia"/>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440" w:type="dxa"/>
            <w:vAlign w:val="center"/>
          </w:tcPr>
          <w:p>
            <w:pPr>
              <w:tabs>
                <w:tab w:val="left" w:pos="7395"/>
              </w:tabs>
              <w:spacing w:beforeLines="50" w:after="120" w:line="600" w:lineRule="exact"/>
              <w:jc w:val="left"/>
              <w:rPr>
                <w:rFonts w:asciiTheme="minorEastAsia" w:hAnsiTheme="minorEastAsia" w:eastAsiaTheme="minorEastAsia"/>
                <w:color w:val="000000"/>
                <w:sz w:val="28"/>
                <w:szCs w:val="28"/>
              </w:rPr>
            </w:pPr>
            <w:r>
              <w:rPr>
                <w:rFonts w:hint="eastAsia" w:cs="??_GB2312" w:asciiTheme="minorEastAsia" w:hAnsiTheme="minorEastAsia" w:eastAsiaTheme="minorEastAsia"/>
                <w:sz w:val="28"/>
                <w:szCs w:val="28"/>
              </w:rPr>
              <w:t>梅杰</w:t>
            </w:r>
          </w:p>
        </w:tc>
        <w:tc>
          <w:tcPr>
            <w:tcW w:w="2745" w:type="dxa"/>
            <w:vAlign w:val="center"/>
          </w:tcPr>
          <w:p>
            <w:pPr>
              <w:tabs>
                <w:tab w:val="left" w:pos="7395"/>
              </w:tabs>
              <w:spacing w:beforeLines="50" w:after="120" w:line="600" w:lineRule="exact"/>
              <w:jc w:val="left"/>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组员</w:t>
            </w:r>
          </w:p>
        </w:tc>
        <w:tc>
          <w:tcPr>
            <w:tcW w:w="1984" w:type="dxa"/>
          </w:tcPr>
          <w:p>
            <w:pPr>
              <w:tabs>
                <w:tab w:val="left" w:pos="7395"/>
              </w:tabs>
              <w:spacing w:beforeLines="50" w:after="120" w:line="600" w:lineRule="exact"/>
              <w:jc w:val="left"/>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风险分析</w:t>
            </w:r>
          </w:p>
        </w:tc>
        <w:tc>
          <w:tcPr>
            <w:tcW w:w="3011" w:type="dxa"/>
            <w:vAlign w:val="center"/>
          </w:tcPr>
          <w:p>
            <w:pPr>
              <w:tabs>
                <w:tab w:val="left" w:pos="7395"/>
              </w:tabs>
              <w:spacing w:beforeLines="50" w:after="120" w:line="600" w:lineRule="exact"/>
              <w:jc w:val="left"/>
              <w:rPr>
                <w:rFonts w:asciiTheme="minorEastAsia" w:hAnsiTheme="minorEastAsia" w:eastAsiaTheme="minorEastAsia"/>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5" w:hRule="atLeast"/>
        </w:trPr>
        <w:tc>
          <w:tcPr>
            <w:tcW w:w="1440" w:type="dxa"/>
            <w:vAlign w:val="center"/>
          </w:tcPr>
          <w:p>
            <w:pPr>
              <w:tabs>
                <w:tab w:val="left" w:pos="7395"/>
              </w:tabs>
              <w:spacing w:beforeLines="50" w:after="120" w:line="600" w:lineRule="exact"/>
              <w:jc w:val="left"/>
              <w:rPr>
                <w:rFonts w:asciiTheme="minorEastAsia" w:hAnsiTheme="minorEastAsia" w:eastAsiaTheme="minorEastAsia"/>
                <w:color w:val="000000"/>
                <w:sz w:val="28"/>
                <w:szCs w:val="28"/>
              </w:rPr>
            </w:pPr>
            <w:r>
              <w:rPr>
                <w:rFonts w:hint="eastAsia" w:asciiTheme="minorEastAsia" w:hAnsiTheme="minorEastAsia" w:eastAsiaTheme="minorEastAsia"/>
                <w:sz w:val="28"/>
                <w:szCs w:val="28"/>
              </w:rPr>
              <w:t>向广川</w:t>
            </w:r>
          </w:p>
        </w:tc>
        <w:tc>
          <w:tcPr>
            <w:tcW w:w="2745" w:type="dxa"/>
            <w:vAlign w:val="center"/>
          </w:tcPr>
          <w:p>
            <w:pPr>
              <w:tabs>
                <w:tab w:val="left" w:pos="7395"/>
              </w:tabs>
              <w:spacing w:beforeLines="50" w:after="120" w:line="600" w:lineRule="exact"/>
              <w:jc w:val="left"/>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组员</w:t>
            </w:r>
          </w:p>
        </w:tc>
        <w:tc>
          <w:tcPr>
            <w:tcW w:w="1984" w:type="dxa"/>
          </w:tcPr>
          <w:p>
            <w:pPr>
              <w:tabs>
                <w:tab w:val="left" w:pos="7395"/>
              </w:tabs>
              <w:spacing w:beforeLines="50" w:after="120" w:line="600" w:lineRule="exact"/>
              <w:jc w:val="left"/>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风险分析</w:t>
            </w:r>
          </w:p>
        </w:tc>
        <w:tc>
          <w:tcPr>
            <w:tcW w:w="3011" w:type="dxa"/>
            <w:vAlign w:val="center"/>
          </w:tcPr>
          <w:p>
            <w:pPr>
              <w:tabs>
                <w:tab w:val="left" w:pos="7395"/>
              </w:tabs>
              <w:spacing w:beforeLines="50" w:after="120" w:line="600" w:lineRule="exact"/>
              <w:jc w:val="left"/>
              <w:rPr>
                <w:rFonts w:asciiTheme="minorEastAsia" w:hAnsiTheme="minorEastAsia" w:eastAsiaTheme="minorEastAsia"/>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440" w:type="dxa"/>
            <w:vAlign w:val="center"/>
          </w:tcPr>
          <w:p>
            <w:pPr>
              <w:tabs>
                <w:tab w:val="left" w:pos="7395"/>
              </w:tabs>
              <w:spacing w:beforeLines="50" w:after="120" w:line="600" w:lineRule="exact"/>
              <w:jc w:val="left"/>
              <w:rPr>
                <w:rFonts w:asciiTheme="minorEastAsia" w:hAnsiTheme="minorEastAsia" w:eastAsiaTheme="minorEastAsia"/>
                <w:color w:val="000000"/>
                <w:sz w:val="28"/>
                <w:szCs w:val="28"/>
              </w:rPr>
            </w:pPr>
            <w:r>
              <w:rPr>
                <w:rFonts w:hint="eastAsia" w:asciiTheme="minorEastAsia" w:hAnsiTheme="minorEastAsia" w:eastAsiaTheme="minorEastAsia"/>
                <w:sz w:val="28"/>
                <w:szCs w:val="28"/>
              </w:rPr>
              <w:t>陶建华</w:t>
            </w:r>
          </w:p>
        </w:tc>
        <w:tc>
          <w:tcPr>
            <w:tcW w:w="2745" w:type="dxa"/>
            <w:vAlign w:val="center"/>
          </w:tcPr>
          <w:p>
            <w:pPr>
              <w:tabs>
                <w:tab w:val="left" w:pos="7395"/>
              </w:tabs>
              <w:spacing w:beforeLines="50" w:after="120" w:line="600" w:lineRule="exact"/>
              <w:jc w:val="left"/>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组员</w:t>
            </w:r>
          </w:p>
        </w:tc>
        <w:tc>
          <w:tcPr>
            <w:tcW w:w="1984" w:type="dxa"/>
          </w:tcPr>
          <w:p>
            <w:pPr>
              <w:tabs>
                <w:tab w:val="left" w:pos="7395"/>
              </w:tabs>
              <w:spacing w:beforeLines="50" w:after="120" w:line="600" w:lineRule="exact"/>
              <w:jc w:val="left"/>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预案整理收集</w:t>
            </w:r>
          </w:p>
        </w:tc>
        <w:tc>
          <w:tcPr>
            <w:tcW w:w="3011" w:type="dxa"/>
            <w:vAlign w:val="center"/>
          </w:tcPr>
          <w:p>
            <w:pPr>
              <w:tabs>
                <w:tab w:val="left" w:pos="7395"/>
              </w:tabs>
              <w:spacing w:beforeLines="50" w:after="120" w:line="600" w:lineRule="exact"/>
              <w:jc w:val="left"/>
              <w:rPr>
                <w:rFonts w:asciiTheme="minorEastAsia" w:hAnsiTheme="minorEastAsia" w:eastAsiaTheme="minorEastAsia"/>
                <w:color w:val="000000"/>
                <w:sz w:val="28"/>
                <w:szCs w:val="28"/>
              </w:rPr>
            </w:pPr>
          </w:p>
        </w:tc>
      </w:tr>
    </w:tbl>
    <w:p>
      <w:pPr>
        <w:adjustRightInd w:val="0"/>
        <w:snapToGrid w:val="0"/>
        <w:spacing w:line="500" w:lineRule="exact"/>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应急预案审议小组</w:t>
      </w:r>
    </w:p>
    <w:tbl>
      <w:tblPr>
        <w:tblStyle w:val="54"/>
        <w:tblW w:w="9264" w:type="dxa"/>
        <w:tblInd w:w="-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560"/>
        <w:gridCol w:w="2693"/>
        <w:gridCol w:w="2126"/>
        <w:gridCol w:w="28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560" w:type="dxa"/>
            <w:vAlign w:val="center"/>
          </w:tcPr>
          <w:p>
            <w:pPr>
              <w:adjustRightInd w:val="0"/>
              <w:snapToGrid w:val="0"/>
              <w:spacing w:line="500" w:lineRule="exact"/>
              <w:jc w:val="left"/>
              <w:rPr>
                <w:rFonts w:asciiTheme="minorEastAsia" w:hAnsiTheme="minorEastAsia" w:eastAsiaTheme="minorEastAsia"/>
                <w:b/>
                <w:sz w:val="28"/>
                <w:szCs w:val="28"/>
              </w:rPr>
            </w:pPr>
            <w:r>
              <w:rPr>
                <w:rFonts w:hint="eastAsia" w:asciiTheme="minorEastAsia" w:hAnsiTheme="minorEastAsia" w:eastAsiaTheme="minorEastAsia"/>
                <w:b/>
                <w:sz w:val="28"/>
                <w:szCs w:val="28"/>
              </w:rPr>
              <w:t>姓名</w:t>
            </w:r>
          </w:p>
        </w:tc>
        <w:tc>
          <w:tcPr>
            <w:tcW w:w="2693" w:type="dxa"/>
            <w:vAlign w:val="center"/>
          </w:tcPr>
          <w:p>
            <w:pPr>
              <w:adjustRightInd w:val="0"/>
              <w:snapToGrid w:val="0"/>
              <w:spacing w:line="500" w:lineRule="exact"/>
              <w:jc w:val="left"/>
              <w:rPr>
                <w:rFonts w:asciiTheme="minorEastAsia" w:hAnsiTheme="minorEastAsia" w:eastAsiaTheme="minorEastAsia"/>
                <w:b/>
                <w:sz w:val="28"/>
                <w:szCs w:val="28"/>
              </w:rPr>
            </w:pPr>
            <w:r>
              <w:rPr>
                <w:rFonts w:hint="eastAsia" w:asciiTheme="minorEastAsia" w:hAnsiTheme="minorEastAsia" w:eastAsiaTheme="minorEastAsia"/>
                <w:b/>
                <w:sz w:val="28"/>
                <w:szCs w:val="28"/>
              </w:rPr>
              <w:t>职务</w:t>
            </w:r>
          </w:p>
        </w:tc>
        <w:tc>
          <w:tcPr>
            <w:tcW w:w="2126" w:type="dxa"/>
          </w:tcPr>
          <w:p>
            <w:pPr>
              <w:adjustRightInd w:val="0"/>
              <w:snapToGrid w:val="0"/>
              <w:spacing w:line="500" w:lineRule="exact"/>
              <w:jc w:val="left"/>
              <w:rPr>
                <w:rFonts w:asciiTheme="minorEastAsia" w:hAnsiTheme="minorEastAsia" w:eastAsiaTheme="minorEastAsia"/>
                <w:b/>
                <w:sz w:val="28"/>
                <w:szCs w:val="28"/>
              </w:rPr>
            </w:pPr>
            <w:r>
              <w:rPr>
                <w:rFonts w:hint="eastAsia" w:asciiTheme="minorEastAsia" w:hAnsiTheme="minorEastAsia" w:eastAsiaTheme="minorEastAsia"/>
                <w:b/>
                <w:sz w:val="28"/>
                <w:szCs w:val="28"/>
              </w:rPr>
              <w:t>工作职责</w:t>
            </w:r>
          </w:p>
        </w:tc>
        <w:tc>
          <w:tcPr>
            <w:tcW w:w="2885" w:type="dxa"/>
            <w:vAlign w:val="center"/>
          </w:tcPr>
          <w:p>
            <w:pPr>
              <w:adjustRightInd w:val="0"/>
              <w:snapToGrid w:val="0"/>
              <w:spacing w:line="500" w:lineRule="exact"/>
              <w:jc w:val="left"/>
              <w:rPr>
                <w:rFonts w:asciiTheme="minorEastAsia" w:hAnsiTheme="minorEastAsia" w:eastAsiaTheme="minorEastAsia"/>
                <w:b/>
                <w:sz w:val="28"/>
                <w:szCs w:val="28"/>
              </w:rPr>
            </w:pPr>
            <w:r>
              <w:rPr>
                <w:rFonts w:hint="eastAsia" w:asciiTheme="minorEastAsia" w:hAnsiTheme="minorEastAsia" w:eastAsiaTheme="minorEastAsia"/>
                <w:b/>
                <w:sz w:val="28"/>
                <w:szCs w:val="28"/>
              </w:rPr>
              <w:t>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24" w:hRule="exact"/>
        </w:trPr>
        <w:tc>
          <w:tcPr>
            <w:tcW w:w="1560" w:type="dxa"/>
            <w:vAlign w:val="center"/>
          </w:tcPr>
          <w:p>
            <w:pPr>
              <w:adjustRightInd w:val="0"/>
              <w:snapToGrid w:val="0"/>
              <w:spacing w:line="500" w:lineRule="exact"/>
              <w:jc w:val="left"/>
              <w:rPr>
                <w:rFonts w:asciiTheme="minorEastAsia" w:hAnsiTheme="minorEastAsia" w:eastAsiaTheme="minorEastAsia"/>
                <w:b/>
                <w:sz w:val="28"/>
                <w:szCs w:val="28"/>
              </w:rPr>
            </w:pPr>
            <w:r>
              <w:rPr>
                <w:rFonts w:hint="eastAsia" w:asciiTheme="minorEastAsia" w:hAnsiTheme="minorEastAsia" w:eastAsiaTheme="minorEastAsia"/>
                <w:sz w:val="28"/>
                <w:szCs w:val="28"/>
              </w:rPr>
              <w:t>况敬良</w:t>
            </w:r>
          </w:p>
        </w:tc>
        <w:tc>
          <w:tcPr>
            <w:tcW w:w="2693" w:type="dxa"/>
            <w:vAlign w:val="center"/>
          </w:tcPr>
          <w:p>
            <w:pPr>
              <w:adjustRightInd w:val="0"/>
              <w:snapToGrid w:val="0"/>
              <w:spacing w:line="500" w:lineRule="exact"/>
              <w:jc w:val="left"/>
              <w:rPr>
                <w:rFonts w:asciiTheme="minorEastAsia" w:hAnsiTheme="minorEastAsia" w:eastAsiaTheme="minorEastAsia"/>
                <w:sz w:val="28"/>
                <w:szCs w:val="28"/>
              </w:rPr>
            </w:pPr>
            <w:r>
              <w:rPr>
                <w:rFonts w:hint="eastAsia" w:asciiTheme="minorEastAsia" w:hAnsiTheme="minorEastAsia" w:eastAsiaTheme="minorEastAsia"/>
                <w:sz w:val="28"/>
                <w:szCs w:val="28"/>
              </w:rPr>
              <w:t>组长</w:t>
            </w:r>
          </w:p>
        </w:tc>
        <w:tc>
          <w:tcPr>
            <w:tcW w:w="2126" w:type="dxa"/>
          </w:tcPr>
          <w:p>
            <w:pPr>
              <w:adjustRightInd w:val="0"/>
              <w:snapToGrid w:val="0"/>
              <w:spacing w:line="500" w:lineRule="exact"/>
              <w:jc w:val="left"/>
              <w:rPr>
                <w:rFonts w:asciiTheme="minorEastAsia" w:hAnsiTheme="minorEastAsia" w:eastAsiaTheme="minorEastAsia"/>
                <w:sz w:val="28"/>
                <w:szCs w:val="28"/>
              </w:rPr>
            </w:pPr>
            <w:r>
              <w:rPr>
                <w:rFonts w:hint="eastAsia" w:asciiTheme="minorEastAsia" w:hAnsiTheme="minorEastAsia" w:eastAsiaTheme="minorEastAsia"/>
                <w:sz w:val="28"/>
                <w:szCs w:val="28"/>
              </w:rPr>
              <w:t>批准</w:t>
            </w:r>
          </w:p>
        </w:tc>
        <w:tc>
          <w:tcPr>
            <w:tcW w:w="2885" w:type="dxa"/>
            <w:vAlign w:val="center"/>
          </w:tcPr>
          <w:p>
            <w:pPr>
              <w:adjustRightInd w:val="0"/>
              <w:snapToGrid w:val="0"/>
              <w:spacing w:line="500" w:lineRule="exact"/>
              <w:jc w:val="left"/>
              <w:rPr>
                <w:rFonts w:asciiTheme="minorEastAsia" w:hAnsiTheme="minorEastAsia" w:eastAsiaTheme="minorEastAsia"/>
                <w:b/>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24" w:hRule="exact"/>
        </w:trPr>
        <w:tc>
          <w:tcPr>
            <w:tcW w:w="1560" w:type="dxa"/>
            <w:vAlign w:val="center"/>
          </w:tcPr>
          <w:p>
            <w:pPr>
              <w:adjustRightInd w:val="0"/>
              <w:snapToGrid w:val="0"/>
              <w:spacing w:line="500" w:lineRule="exact"/>
              <w:jc w:val="left"/>
              <w:rPr>
                <w:rFonts w:asciiTheme="minorEastAsia" w:hAnsiTheme="minorEastAsia" w:eastAsiaTheme="minorEastAsia"/>
                <w:b/>
                <w:sz w:val="28"/>
                <w:szCs w:val="28"/>
              </w:rPr>
            </w:pPr>
            <w:r>
              <w:rPr>
                <w:rFonts w:hint="eastAsia" w:cs="??_GB2312" w:asciiTheme="minorEastAsia" w:hAnsiTheme="minorEastAsia" w:eastAsiaTheme="minorEastAsia"/>
                <w:sz w:val="28"/>
                <w:szCs w:val="28"/>
              </w:rPr>
              <w:t>张平生</w:t>
            </w:r>
          </w:p>
        </w:tc>
        <w:tc>
          <w:tcPr>
            <w:tcW w:w="2693" w:type="dxa"/>
            <w:vAlign w:val="center"/>
          </w:tcPr>
          <w:p>
            <w:pPr>
              <w:adjustRightInd w:val="0"/>
              <w:snapToGrid w:val="0"/>
              <w:spacing w:line="500" w:lineRule="exact"/>
              <w:jc w:val="left"/>
              <w:rPr>
                <w:rFonts w:asciiTheme="minorEastAsia" w:hAnsiTheme="minorEastAsia" w:eastAsiaTheme="minorEastAsia"/>
                <w:sz w:val="28"/>
                <w:szCs w:val="28"/>
              </w:rPr>
            </w:pPr>
            <w:r>
              <w:rPr>
                <w:rFonts w:hint="eastAsia" w:asciiTheme="minorEastAsia" w:hAnsiTheme="minorEastAsia" w:eastAsiaTheme="minorEastAsia"/>
                <w:sz w:val="28"/>
                <w:szCs w:val="28"/>
              </w:rPr>
              <w:t>组员</w:t>
            </w:r>
          </w:p>
        </w:tc>
        <w:tc>
          <w:tcPr>
            <w:tcW w:w="2126" w:type="dxa"/>
            <w:vAlign w:val="center"/>
          </w:tcPr>
          <w:p>
            <w:pPr>
              <w:adjustRightInd w:val="0"/>
              <w:snapToGrid w:val="0"/>
              <w:spacing w:line="500" w:lineRule="exact"/>
              <w:jc w:val="left"/>
              <w:rPr>
                <w:rFonts w:asciiTheme="minorEastAsia" w:hAnsiTheme="minorEastAsia" w:eastAsiaTheme="minorEastAsia"/>
                <w:sz w:val="28"/>
                <w:szCs w:val="28"/>
              </w:rPr>
            </w:pPr>
            <w:r>
              <w:rPr>
                <w:rFonts w:hint="eastAsia" w:asciiTheme="minorEastAsia" w:hAnsiTheme="minorEastAsia" w:eastAsiaTheme="minorEastAsia"/>
                <w:sz w:val="28"/>
                <w:szCs w:val="28"/>
              </w:rPr>
              <w:t>可行性审核</w:t>
            </w:r>
          </w:p>
        </w:tc>
        <w:tc>
          <w:tcPr>
            <w:tcW w:w="2885" w:type="dxa"/>
            <w:vAlign w:val="center"/>
          </w:tcPr>
          <w:p>
            <w:pPr>
              <w:adjustRightInd w:val="0"/>
              <w:snapToGrid w:val="0"/>
              <w:spacing w:line="500" w:lineRule="exact"/>
              <w:jc w:val="left"/>
              <w:rPr>
                <w:rFonts w:asciiTheme="minorEastAsia" w:hAnsiTheme="minorEastAsia" w:eastAsiaTheme="minorEastAsia"/>
                <w:b/>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24" w:hRule="exact"/>
        </w:trPr>
        <w:tc>
          <w:tcPr>
            <w:tcW w:w="1560" w:type="dxa"/>
            <w:vAlign w:val="center"/>
          </w:tcPr>
          <w:p>
            <w:pPr>
              <w:adjustRightInd w:val="0"/>
              <w:snapToGrid w:val="0"/>
              <w:spacing w:line="500" w:lineRule="exact"/>
              <w:jc w:val="left"/>
              <w:rPr>
                <w:rFonts w:asciiTheme="minorEastAsia" w:hAnsiTheme="minorEastAsia" w:eastAsiaTheme="minorEastAsia"/>
                <w:b/>
                <w:sz w:val="28"/>
                <w:szCs w:val="28"/>
              </w:rPr>
            </w:pPr>
            <w:r>
              <w:rPr>
                <w:rFonts w:hint="eastAsia" w:cs="??_GB2312" w:asciiTheme="minorEastAsia" w:hAnsiTheme="minorEastAsia" w:eastAsiaTheme="minorEastAsia"/>
                <w:sz w:val="28"/>
                <w:szCs w:val="28"/>
              </w:rPr>
              <w:t>刘江义</w:t>
            </w:r>
          </w:p>
        </w:tc>
        <w:tc>
          <w:tcPr>
            <w:tcW w:w="2693" w:type="dxa"/>
            <w:vAlign w:val="center"/>
          </w:tcPr>
          <w:p>
            <w:pPr>
              <w:adjustRightInd w:val="0"/>
              <w:snapToGrid w:val="0"/>
              <w:spacing w:line="500" w:lineRule="exact"/>
              <w:jc w:val="left"/>
              <w:rPr>
                <w:rFonts w:asciiTheme="minorEastAsia" w:hAnsiTheme="minorEastAsia" w:eastAsiaTheme="minorEastAsia"/>
                <w:sz w:val="28"/>
                <w:szCs w:val="28"/>
              </w:rPr>
            </w:pPr>
            <w:r>
              <w:rPr>
                <w:rFonts w:hint="eastAsia" w:asciiTheme="minorEastAsia" w:hAnsiTheme="minorEastAsia" w:eastAsiaTheme="minorEastAsia"/>
                <w:sz w:val="28"/>
                <w:szCs w:val="28"/>
              </w:rPr>
              <w:t>组员</w:t>
            </w:r>
          </w:p>
        </w:tc>
        <w:tc>
          <w:tcPr>
            <w:tcW w:w="2126" w:type="dxa"/>
            <w:vAlign w:val="center"/>
          </w:tcPr>
          <w:p>
            <w:pPr>
              <w:adjustRightInd w:val="0"/>
              <w:snapToGrid w:val="0"/>
              <w:spacing w:line="500" w:lineRule="exact"/>
              <w:jc w:val="left"/>
              <w:rPr>
                <w:rFonts w:asciiTheme="minorEastAsia" w:hAnsiTheme="minorEastAsia" w:eastAsiaTheme="minorEastAsia"/>
                <w:sz w:val="28"/>
                <w:szCs w:val="28"/>
              </w:rPr>
            </w:pPr>
            <w:r>
              <w:rPr>
                <w:rFonts w:hint="eastAsia" w:asciiTheme="minorEastAsia" w:hAnsiTheme="minorEastAsia" w:eastAsiaTheme="minorEastAsia"/>
                <w:sz w:val="28"/>
                <w:szCs w:val="28"/>
              </w:rPr>
              <w:t>规范性审核</w:t>
            </w:r>
          </w:p>
        </w:tc>
        <w:tc>
          <w:tcPr>
            <w:tcW w:w="2885" w:type="dxa"/>
            <w:vAlign w:val="center"/>
          </w:tcPr>
          <w:p>
            <w:pPr>
              <w:adjustRightInd w:val="0"/>
              <w:snapToGrid w:val="0"/>
              <w:spacing w:line="500" w:lineRule="exact"/>
              <w:jc w:val="left"/>
              <w:rPr>
                <w:rFonts w:asciiTheme="minorEastAsia" w:hAnsiTheme="minorEastAsia" w:eastAsiaTheme="minorEastAsia"/>
                <w:b/>
                <w:sz w:val="28"/>
                <w:szCs w:val="28"/>
              </w:rPr>
            </w:pPr>
          </w:p>
        </w:tc>
      </w:tr>
    </w:tbl>
    <w:p>
      <w:pPr>
        <w:jc w:val="left"/>
        <w:rPr>
          <w:rFonts w:asciiTheme="minorEastAsia" w:hAnsiTheme="minorEastAsia" w:eastAsiaTheme="minorEastAsia"/>
          <w:color w:val="000000"/>
          <w:sz w:val="24"/>
          <w:szCs w:val="24"/>
        </w:rPr>
        <w:sectPr>
          <w:pgSz w:w="11906" w:h="16838"/>
          <w:pgMar w:top="1418" w:right="1418" w:bottom="1418" w:left="1474" w:header="709" w:footer="680" w:gutter="0"/>
          <w:pgNumType w:start="1"/>
          <w:cols w:space="720" w:num="1"/>
          <w:docGrid w:linePitch="312" w:charSpace="0"/>
        </w:sectPr>
      </w:pPr>
    </w:p>
    <w:p>
      <w:pPr>
        <w:pStyle w:val="2"/>
        <w:spacing w:before="120" w:after="120" w:line="360" w:lineRule="auto"/>
        <w:jc w:val="center"/>
        <w:rPr>
          <w:rFonts w:asciiTheme="minorEastAsia" w:hAnsiTheme="minorEastAsia" w:eastAsiaTheme="minorEastAsia"/>
          <w:b/>
          <w:color w:val="000000"/>
          <w:sz w:val="32"/>
          <w:szCs w:val="28"/>
        </w:rPr>
      </w:pPr>
      <w:bookmarkStart w:id="18" w:name="_Toc9822"/>
      <w:bookmarkStart w:id="19" w:name="_Toc336326836"/>
      <w:bookmarkStart w:id="20" w:name="_Toc387131744"/>
      <w:bookmarkStart w:id="21" w:name="_Toc336327114"/>
      <w:bookmarkStart w:id="22" w:name="_Toc24393"/>
      <w:bookmarkStart w:id="23" w:name="_Toc387131487"/>
      <w:bookmarkStart w:id="24" w:name="_Toc415254529"/>
      <w:bookmarkStart w:id="25" w:name="_Toc304964429"/>
      <w:r>
        <w:rPr>
          <w:rFonts w:hint="eastAsia" w:asciiTheme="minorEastAsia" w:hAnsiTheme="minorEastAsia" w:eastAsiaTheme="minorEastAsia"/>
          <w:b/>
          <w:color w:val="000000"/>
          <w:sz w:val="32"/>
        </w:rPr>
        <w:t>1总则</w:t>
      </w:r>
      <w:bookmarkEnd w:id="18"/>
    </w:p>
    <w:p>
      <w:pPr>
        <w:adjustRightInd w:val="0"/>
        <w:snapToGrid w:val="0"/>
        <w:spacing w:line="460" w:lineRule="exact"/>
        <w:jc w:val="left"/>
        <w:outlineLvl w:val="1"/>
        <w:rPr>
          <w:rFonts w:asciiTheme="minorEastAsia" w:hAnsiTheme="minorEastAsia" w:eastAsiaTheme="minorEastAsia"/>
          <w:b/>
          <w:color w:val="000000"/>
          <w:sz w:val="26"/>
          <w:szCs w:val="26"/>
        </w:rPr>
      </w:pPr>
      <w:bookmarkStart w:id="26" w:name="_Toc13191"/>
      <w:r>
        <w:rPr>
          <w:rFonts w:hint="eastAsia" w:asciiTheme="minorEastAsia" w:hAnsiTheme="minorEastAsia" w:eastAsiaTheme="minorEastAsia"/>
          <w:b/>
          <w:color w:val="000000"/>
          <w:sz w:val="26"/>
          <w:szCs w:val="26"/>
        </w:rPr>
        <w:t>1.1编制目的</w:t>
      </w:r>
      <w:bookmarkEnd w:id="26"/>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为进一步增强应对和防范事故风险和事故灾难的能力，在事故、事件发生时，能以最快的速度、最大的效能，有序地实施救援，最大限度地减少事故灾难造成的人员伤亡和财产损失。本着“预防为先、自救为主、统一指挥、分工负责”的原则，根据《中华人民共和国安全生产法》、《中华人民共和国突发事件应对法》、《生产安全事故应急预案管理办法》等有关法律、法规相关要求，结合我公司实际情况，特制订本预案。</w:t>
      </w:r>
    </w:p>
    <w:p>
      <w:pPr>
        <w:adjustRightInd w:val="0"/>
        <w:snapToGrid w:val="0"/>
        <w:spacing w:line="460" w:lineRule="exact"/>
        <w:jc w:val="left"/>
        <w:outlineLvl w:val="1"/>
        <w:rPr>
          <w:rFonts w:asciiTheme="minorEastAsia" w:hAnsiTheme="minorEastAsia" w:eastAsiaTheme="minorEastAsia"/>
          <w:b/>
          <w:color w:val="000000"/>
          <w:sz w:val="26"/>
          <w:szCs w:val="26"/>
        </w:rPr>
      </w:pPr>
      <w:bookmarkStart w:id="27" w:name="_Toc29556"/>
      <w:r>
        <w:rPr>
          <w:rFonts w:hint="eastAsia" w:asciiTheme="minorEastAsia" w:hAnsiTheme="minorEastAsia" w:eastAsiaTheme="minorEastAsia"/>
          <w:b/>
          <w:color w:val="000000"/>
          <w:sz w:val="26"/>
          <w:szCs w:val="26"/>
        </w:rPr>
        <w:t>1.2编制依据</w:t>
      </w:r>
      <w:bookmarkEnd w:id="27"/>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（1）《中华人民共和国环境保护法》（中华人民共和国主席令第9号）；</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（2）《中华人民共和国大气污染防治法》（中华人民共和国主席令第32号）；</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（3）《中华人民共和国水污染防治法》（中华人民共和国主席令第87号）；</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（4）《中华人民共和国固体废物污染环境防治法》（中华人民共和国主席令第5号2005年4月1日）；</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（5）《中华人民共和国安全生产法》（中华人民共和国主席令第13号）；</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（6）《中华人民共和国消防法》（中华人民共和国主席令第6号）；</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（7）《中华人民共和国职业病防治法》（中华人民共和国主席令第52号）；</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（8）《国务院办公厅转发安全监管总局等部门关于加强企业应急管理工作意见的通知》（国办发〔2007〕13号）；</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（9）《国务院办公厅关于加强基层应急管理工作意见》（国办发〔2007〕52号）；</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（10）《国务院办公厅关于加强基层应急管理工作意见》(AQ/T9002-2006)</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（11）《国家突发公共事件总体应急预案》；</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（12）《国家突发环境事件应急预案》；</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（13）《关于防范环境风险加强环境影响评价管理的通知》（环发〔2005〕152号）；</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（14）《关于督促化工企业切实做好几项安全环保重点工作的紧急通知》（安监总危化〔2006〕10号）；</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（15）《危险化学品名录》（2016版）；</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（16）《剧毒化学品名录》（国家安全生产监督管理局等8部门公告2003第2号）；</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（17）《国家危险废物名录》（环境保护部令 第39号 ）；</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（18）《石油化工企业环境应急预案编制指南》（环办[2010]10号）</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（19）《危险化学品重大危险源辨识》（GB18218-2014）；</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（20）《建设项目环境风险评价技术导则》（HJ/T169-2004）；</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（21）《建设项目环境影响评价分类管理名录》（中华人民共和国环境保护部令第33号）；</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（22）《地表水环境质量标准》（GB3838-2002）；</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（23）《环境空气质量标准》（GB3095-2012）；</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（24）《重庆市大气污染物综合排放标准》（DB 50/418-2016）；</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（25）《污水综合排放标准》（GB8978-1996）；</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（26）《工作场所有害因素职业接触限值化学有害因素》（GBZ2.1-2007）；</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（27）《工作场所有害因素职业接触限值物理因素》（GBZ2.2-2007）；</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（28）《恶臭污染物排放标准》（GB14554－93）；</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（29）《工业企业设计卫生标准》（GBZ1-2010）；</w:t>
      </w:r>
    </w:p>
    <w:p>
      <w:pPr>
        <w:adjustRightInd w:val="0"/>
        <w:snapToGrid w:val="0"/>
        <w:spacing w:line="460" w:lineRule="exact"/>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（30）《重庆三峡库区流域水环境突发公共事件应急预案》；</w:t>
      </w:r>
    </w:p>
    <w:p>
      <w:pPr>
        <w:adjustRightInd w:val="0"/>
        <w:snapToGrid w:val="0"/>
        <w:spacing w:line="460" w:lineRule="exact"/>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（31）《重庆市环境保护系统突发环境事件应急处理暂行办法》；</w:t>
      </w:r>
    </w:p>
    <w:p>
      <w:pPr>
        <w:adjustRightInd w:val="0"/>
        <w:snapToGrid w:val="0"/>
        <w:spacing w:line="460" w:lineRule="exact"/>
        <w:ind w:firstLine="480" w:firstLineChars="200"/>
        <w:jc w:val="left"/>
        <w:textAlignment w:val="center"/>
        <w:rPr>
          <w:rFonts w:asciiTheme="minorEastAsia" w:hAnsiTheme="minorEastAsia" w:eastAsiaTheme="minorEastAsia"/>
          <w:b/>
          <w:bCs/>
          <w:sz w:val="32"/>
          <w:szCs w:val="32"/>
        </w:rPr>
      </w:pPr>
      <w:r>
        <w:rPr>
          <w:rFonts w:hint="eastAsia" w:asciiTheme="minorEastAsia" w:hAnsiTheme="minorEastAsia" w:eastAsiaTheme="minorEastAsia"/>
          <w:color w:val="000000"/>
          <w:sz w:val="24"/>
          <w:szCs w:val="24"/>
        </w:rPr>
        <w:t xml:space="preserve">其他相关的法律、法规、规章及公司相关的安评、环评报告等。    </w:t>
      </w:r>
      <w:r>
        <w:rPr>
          <w:rFonts w:hint="eastAsia" w:asciiTheme="minorEastAsia" w:hAnsiTheme="minorEastAsia" w:eastAsiaTheme="minorEastAsia"/>
          <w:b/>
          <w:bCs/>
          <w:sz w:val="32"/>
          <w:szCs w:val="32"/>
        </w:rPr>
        <w:t xml:space="preserve">   </w:t>
      </w:r>
    </w:p>
    <w:p>
      <w:pPr>
        <w:adjustRightInd w:val="0"/>
        <w:snapToGrid w:val="0"/>
        <w:spacing w:line="460" w:lineRule="exact"/>
        <w:jc w:val="left"/>
        <w:outlineLvl w:val="1"/>
        <w:rPr>
          <w:rFonts w:asciiTheme="minorEastAsia" w:hAnsiTheme="minorEastAsia" w:eastAsiaTheme="minorEastAsia"/>
          <w:b/>
          <w:color w:val="000000"/>
          <w:sz w:val="26"/>
          <w:szCs w:val="26"/>
        </w:rPr>
      </w:pPr>
      <w:bookmarkStart w:id="28" w:name="_Toc23589"/>
      <w:r>
        <w:rPr>
          <w:rFonts w:hint="eastAsia" w:asciiTheme="minorEastAsia" w:hAnsiTheme="minorEastAsia" w:eastAsiaTheme="minorEastAsia"/>
          <w:b/>
          <w:color w:val="000000"/>
          <w:sz w:val="26"/>
          <w:szCs w:val="26"/>
        </w:rPr>
        <w:t>1.3 适用范围</w:t>
      </w:r>
      <w:bookmarkEnd w:id="28"/>
    </w:p>
    <w:p>
      <w:pPr>
        <w:spacing w:line="460" w:lineRule="exact"/>
        <w:ind w:firstLine="360" w:firstLineChars="150"/>
        <w:jc w:val="left"/>
        <w:rPr>
          <w:rFonts w:cs="仿宋_GB2312" w:asciiTheme="minorEastAsia" w:hAnsiTheme="minorEastAsia" w:eastAsiaTheme="minorEastAsia"/>
        </w:rPr>
      </w:pPr>
      <w:r>
        <w:rPr>
          <w:rFonts w:hint="eastAsia" w:asciiTheme="minorEastAsia" w:hAnsiTheme="minorEastAsia" w:eastAsiaTheme="minorEastAsia"/>
          <w:color w:val="000000"/>
          <w:sz w:val="24"/>
          <w:szCs w:val="24"/>
        </w:rPr>
        <w:t>本预案适用于</w:t>
      </w:r>
      <w:r>
        <w:rPr>
          <w:rFonts w:hint="eastAsia" w:cs="仿宋_GB2312" w:asciiTheme="minorEastAsia" w:hAnsiTheme="minorEastAsia" w:eastAsiaTheme="minorEastAsia"/>
          <w:sz w:val="24"/>
          <w:szCs w:val="24"/>
        </w:rPr>
        <w:t>重庆市涪陵区拓源污水治理有限公司</w:t>
      </w:r>
      <w:r>
        <w:rPr>
          <w:rFonts w:hint="eastAsia" w:cs="宋体" w:asciiTheme="minorEastAsia" w:hAnsiTheme="minorEastAsia" w:eastAsiaTheme="minorEastAsia"/>
          <w:bCs/>
          <w:spacing w:val="-20"/>
          <w:sz w:val="24"/>
          <w:szCs w:val="24"/>
          <w:lang w:val="zh-CN"/>
        </w:rPr>
        <w:t>龙桥</w:t>
      </w:r>
      <w:r>
        <w:rPr>
          <w:rFonts w:hint="eastAsia" w:asciiTheme="minorEastAsia" w:hAnsiTheme="minorEastAsia" w:eastAsiaTheme="minorEastAsia"/>
          <w:sz w:val="24"/>
          <w:szCs w:val="24"/>
        </w:rPr>
        <w:t>污水处理厂范围内所发生的突发环境事件的</w:t>
      </w:r>
      <w:r>
        <w:rPr>
          <w:rFonts w:hint="eastAsia" w:asciiTheme="minorEastAsia" w:hAnsiTheme="minorEastAsia" w:eastAsiaTheme="minorEastAsia"/>
          <w:bCs/>
          <w:color w:val="000000"/>
          <w:sz w:val="24"/>
          <w:szCs w:val="24"/>
        </w:rPr>
        <w:t>预</w:t>
      </w:r>
      <w:r>
        <w:rPr>
          <w:rFonts w:hint="eastAsia" w:asciiTheme="minorEastAsia" w:hAnsiTheme="minorEastAsia" w:eastAsiaTheme="minorEastAsia"/>
          <w:color w:val="000000"/>
          <w:sz w:val="24"/>
          <w:szCs w:val="24"/>
        </w:rPr>
        <w:t>警、应急处置和救援工作，包括污染物超标排放或者自然灾害、生产安全事故因素，导致有毒有害物质进入大气、土壤、水体等环境介质突然造成或者可能造成环境质量下降，危及公众身体健康和财产安全，或造成生态环境破坏，或者重大社会影响，需要采取紧急措施予以应对的事件。</w:t>
      </w:r>
    </w:p>
    <w:p>
      <w:pPr>
        <w:adjustRightInd w:val="0"/>
        <w:snapToGrid w:val="0"/>
        <w:spacing w:line="460" w:lineRule="exact"/>
        <w:jc w:val="left"/>
        <w:outlineLvl w:val="1"/>
        <w:rPr>
          <w:rFonts w:asciiTheme="minorEastAsia" w:hAnsiTheme="minorEastAsia" w:eastAsiaTheme="minorEastAsia"/>
          <w:b/>
          <w:color w:val="000000"/>
          <w:sz w:val="26"/>
          <w:szCs w:val="26"/>
        </w:rPr>
      </w:pPr>
      <w:bookmarkStart w:id="29" w:name="_Toc19608"/>
      <w:r>
        <w:rPr>
          <w:rFonts w:hint="eastAsia" w:asciiTheme="minorEastAsia" w:hAnsiTheme="minorEastAsia" w:eastAsiaTheme="minorEastAsia"/>
          <w:b/>
          <w:color w:val="000000"/>
          <w:sz w:val="26"/>
          <w:szCs w:val="26"/>
        </w:rPr>
        <w:t>1.4应急预案体系</w:t>
      </w:r>
      <w:bookmarkEnd w:id="29"/>
    </w:p>
    <w:p>
      <w:pPr>
        <w:spacing w:line="460" w:lineRule="exact"/>
        <w:ind w:firstLine="360" w:firstLineChars="150"/>
        <w:jc w:val="left"/>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当厂区风险事故不涉及企业大范围及单位周边，车间能控制事态及有效进行应急处置，按本公司现场处置方案进行处理；当厂区风险已蔓延到事故车间无法控制但未波及单位周边，此时按重庆市涪陵区拓源污水治理有限公司龙桥污水处理厂综合预案进行处理；当厂区风险波及单位周边，超出本预案处置范围的立即报告上级政府部门启动相应预案</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9"/>
      <w:bookmarkEnd w:id="20"/>
      <w:bookmarkEnd w:id="21"/>
      <w:bookmarkEnd w:id="22"/>
      <w:bookmarkEnd w:id="23"/>
      <w:bookmarkEnd w:id="24"/>
      <w:bookmarkEnd w:id="25"/>
      <w:r>
        <w:rPr>
          <w:rFonts w:hint="eastAsia" w:asciiTheme="minorEastAsia" w:hAnsiTheme="minorEastAsia" w:eastAsiaTheme="minorEastAsia"/>
          <w:sz w:val="24"/>
          <w:szCs w:val="24"/>
          <w:lang w:val="en-US" w:eastAsia="zh-CN"/>
        </w:rPr>
        <w:t>。</w:t>
      </w:r>
    </w:p>
    <w:p>
      <w:pPr>
        <w:spacing w:afterLines="150" w:line="560" w:lineRule="exact"/>
        <w:jc w:val="left"/>
        <w:rPr>
          <w:rFonts w:asciiTheme="minorEastAsia" w:hAnsiTheme="minorEastAsia" w:eastAsiaTheme="minorEastAsia"/>
          <w:color w:val="000000"/>
          <w:sz w:val="24"/>
          <w:szCs w:val="24"/>
        </w:rPr>
      </w:pPr>
      <w:r>
        <w:rPr>
          <w:rFonts w:asciiTheme="minorEastAsia" w:hAnsiTheme="minorEastAsia" w:eastAsiaTheme="minorEastAsia"/>
        </w:rPr>
        <w:pict>
          <v:rect id="Rectangle 606" o:spid="_x0000_s1027" o:spt="1" style="position:absolute;left:0pt;margin-left:80.95pt;margin-top:21.95pt;height:34pt;width:270pt;z-index:1024;mso-width-relative:page;mso-height-relative:page;" coordsize="21600,21600">
            <v:path/>
            <v:fill focussize="0,0"/>
            <v:stroke/>
            <v:imagedata o:title=""/>
            <o:lock v:ext="edit"/>
            <v:textbox>
              <w:txbxContent>
                <w:p>
                  <w:pPr>
                    <w:jc w:val="center"/>
                    <w:rPr>
                      <w:rFonts w:ascii="宋体"/>
                      <w:sz w:val="24"/>
                      <w:szCs w:val="24"/>
                    </w:rPr>
                  </w:pPr>
                  <w:r>
                    <w:rPr>
                      <w:rFonts w:hint="eastAsia" w:ascii="宋体" w:hAnsi="宋体"/>
                      <w:sz w:val="24"/>
                      <w:szCs w:val="24"/>
                    </w:rPr>
                    <w:t>涪陵区生产安全事故应急处理预案</w:t>
                  </w:r>
                </w:p>
              </w:txbxContent>
            </v:textbox>
          </v:rect>
        </w:pict>
      </w:r>
    </w:p>
    <w:p>
      <w:pPr>
        <w:spacing w:afterLines="150" w:line="560" w:lineRule="exact"/>
        <w:ind w:firstLine="420" w:firstLineChars="200"/>
        <w:jc w:val="left"/>
        <w:rPr>
          <w:rFonts w:asciiTheme="minorEastAsia" w:hAnsiTheme="minorEastAsia" w:eastAsiaTheme="minorEastAsia"/>
          <w:color w:val="000000"/>
          <w:sz w:val="24"/>
          <w:szCs w:val="24"/>
        </w:rPr>
      </w:pPr>
      <w:r>
        <w:rPr>
          <w:rFonts w:asciiTheme="minorEastAsia" w:hAnsiTheme="minorEastAsia" w:eastAsiaTheme="minorEastAsia"/>
        </w:rPr>
        <w:pict>
          <v:line id="Line 607" o:spid="_x0000_s1028" o:spt="20" style="position:absolute;left:0pt;flip:x y;margin-left:215.35pt;margin-top:9.95pt;height:39pt;width:0pt;z-index:1024;mso-width-relative:page;mso-height-relative:page;" coordsize="21600,21600">
            <v:path arrowok="t"/>
            <v:fill focussize="0,0"/>
            <v:stroke endarrow="block"/>
            <v:imagedata o:title=""/>
            <o:lock v:ext="edit"/>
          </v:line>
        </w:pict>
      </w:r>
    </w:p>
    <w:p>
      <w:pPr>
        <w:spacing w:line="600" w:lineRule="exact"/>
        <w:jc w:val="left"/>
        <w:rPr>
          <w:rFonts w:asciiTheme="minorEastAsia" w:hAnsiTheme="minorEastAsia" w:eastAsiaTheme="minorEastAsia"/>
          <w:color w:val="000000"/>
          <w:sz w:val="24"/>
          <w:szCs w:val="24"/>
        </w:rPr>
      </w:pPr>
      <w:r>
        <w:rPr>
          <w:rFonts w:asciiTheme="minorEastAsia" w:hAnsiTheme="minorEastAsia" w:eastAsiaTheme="minorEastAsia"/>
        </w:rPr>
        <w:pict>
          <v:rect id="Rectangle 605" o:spid="_x0000_s1029" o:spt="1" style="position:absolute;left:0pt;margin-left:69.5pt;margin-top:2.95pt;height:30.15pt;width:291.95pt;z-index:1024;mso-width-relative:page;mso-height-relative:page;" coordsize="21600,21600">
            <v:path/>
            <v:fill focussize="0,0"/>
            <v:stroke/>
            <v:imagedata o:title=""/>
            <o:lock v:ext="edit"/>
            <v:textbox>
              <w:txbxContent>
                <w:p>
                  <w:pPr>
                    <w:jc w:val="center"/>
                    <w:rPr>
                      <w:rFonts w:ascii="宋体"/>
                      <w:sz w:val="24"/>
                      <w:szCs w:val="24"/>
                    </w:rPr>
                  </w:pPr>
                  <w:r>
                    <w:rPr>
                      <w:rFonts w:hint="eastAsia" w:ascii="宋体" w:hAnsi="宋体" w:cs="Arial"/>
                      <w:sz w:val="24"/>
                      <w:szCs w:val="24"/>
                    </w:rPr>
                    <w:t>涪陵龙桥工业园区</w:t>
                  </w:r>
                  <w:r>
                    <w:rPr>
                      <w:rFonts w:hint="eastAsia" w:ascii="宋体" w:hAnsi="宋体"/>
                      <w:sz w:val="24"/>
                      <w:szCs w:val="24"/>
                    </w:rPr>
                    <w:t>生产安全事故综合应急预案</w:t>
                  </w:r>
                </w:p>
              </w:txbxContent>
            </v:textbox>
          </v:rect>
        </w:pict>
      </w:r>
    </w:p>
    <w:p>
      <w:pPr>
        <w:spacing w:line="600" w:lineRule="exact"/>
        <w:jc w:val="left"/>
        <w:rPr>
          <w:rFonts w:asciiTheme="minorEastAsia" w:hAnsiTheme="minorEastAsia" w:eastAsiaTheme="minorEastAsia"/>
          <w:color w:val="000000"/>
          <w:sz w:val="24"/>
          <w:szCs w:val="24"/>
        </w:rPr>
      </w:pPr>
      <w:r>
        <w:rPr>
          <w:rFonts w:asciiTheme="minorEastAsia" w:hAnsiTheme="minorEastAsia" w:eastAsiaTheme="minorEastAsia"/>
        </w:rPr>
        <w:pict>
          <v:line id="Line 609" o:spid="_x0000_s1030" o:spt="20" style="position:absolute;left:0pt;flip:y;margin-left:215.35pt;margin-top:3.1pt;height:42.25pt;width:0pt;z-index:1024;mso-width-relative:page;mso-height-relative:page;" coordsize="21600,21600">
            <v:path arrowok="t"/>
            <v:fill focussize="0,0"/>
            <v:stroke endarrow="block"/>
            <v:imagedata o:title=""/>
            <o:lock v:ext="edit"/>
          </v:line>
        </w:pict>
      </w:r>
    </w:p>
    <w:p>
      <w:pPr>
        <w:spacing w:line="600" w:lineRule="exact"/>
        <w:jc w:val="left"/>
        <w:rPr>
          <w:rFonts w:asciiTheme="minorEastAsia" w:hAnsiTheme="minorEastAsia" w:eastAsiaTheme="minorEastAsia"/>
          <w:color w:val="000000"/>
          <w:sz w:val="24"/>
          <w:szCs w:val="24"/>
        </w:rPr>
      </w:pPr>
      <w:r>
        <w:rPr>
          <w:rFonts w:asciiTheme="minorEastAsia" w:hAnsiTheme="minorEastAsia" w:eastAsiaTheme="minorEastAsia"/>
        </w:rPr>
        <w:pict>
          <v:shape id="AutoShape 602" o:spid="_x0000_s1031" o:spt="109" type="#_x0000_t109" style="position:absolute;left:0pt;margin-left:80.6pt;margin-top:20.1pt;height:37.3pt;width:270pt;z-index:1024;mso-width-relative:page;mso-height-relative:page;" coordsize="21600,21600">
            <v:path/>
            <v:fill focussize="0,0"/>
            <v:stroke joinstyle="miter"/>
            <v:imagedata o:title=""/>
            <o:lock v:ext="edit"/>
            <v:textbox>
              <w:txbxContent>
                <w:p>
                  <w:pPr>
                    <w:rPr>
                      <w:rFonts w:ascii="宋体" w:cs="Arial"/>
                      <w:sz w:val="24"/>
                      <w:szCs w:val="24"/>
                    </w:rPr>
                  </w:pPr>
                  <w:r>
                    <w:rPr>
                      <w:rFonts w:hint="eastAsia" w:ascii="??_GB2312" w:hAnsi="宋体" w:cs="??_GB2312"/>
                      <w:sz w:val="24"/>
                      <w:szCs w:val="24"/>
                    </w:rPr>
                    <w:t>重庆市涪陵区拓源污水治理有限公司</w:t>
                  </w:r>
                  <w:r>
                    <w:rPr>
                      <w:rFonts w:hint="eastAsia" w:ascii="宋体" w:hAnsi="宋体"/>
                      <w:sz w:val="24"/>
                      <w:szCs w:val="24"/>
                    </w:rPr>
                    <w:t>龙桥污水处理厂</w:t>
                  </w:r>
                  <w:r>
                    <w:rPr>
                      <w:rFonts w:hint="eastAsia" w:ascii="宋体" w:hAnsi="宋体" w:cs="Arial"/>
                      <w:sz w:val="24"/>
                      <w:szCs w:val="24"/>
                    </w:rPr>
                    <w:t>突发环境事件应急预案</w:t>
                  </w:r>
                </w:p>
              </w:txbxContent>
            </v:textbox>
          </v:shape>
        </w:pict>
      </w:r>
    </w:p>
    <w:p>
      <w:pPr>
        <w:spacing w:beforeLines="50" w:afterLines="50" w:line="560" w:lineRule="exact"/>
        <w:jc w:val="left"/>
        <w:rPr>
          <w:rFonts w:asciiTheme="minorEastAsia" w:hAnsiTheme="minorEastAsia" w:eastAsiaTheme="minorEastAsia"/>
          <w:color w:val="000000"/>
          <w:sz w:val="24"/>
          <w:szCs w:val="24"/>
        </w:rPr>
      </w:pPr>
      <w:r>
        <w:rPr>
          <w:rFonts w:asciiTheme="minorEastAsia" w:hAnsiTheme="minorEastAsia" w:eastAsiaTheme="minorEastAsia"/>
        </w:rPr>
        <w:pict>
          <v:line id="Line 952" o:spid="_x0000_s1032" o:spt="20" style="position:absolute;left:0pt;flip:x y;margin-left:215.35pt;margin-top:26.6pt;height:42.5pt;width:0pt;z-index:1024;mso-width-relative:page;mso-height-relative:page;" coordsize="21600,21600">
            <v:path arrowok="t"/>
            <v:fill focussize="0,0"/>
            <v:stroke endarrow="block"/>
            <v:imagedata o:title=""/>
            <o:lock v:ext="edit"/>
          </v:line>
        </w:pict>
      </w:r>
    </w:p>
    <w:p>
      <w:pPr>
        <w:spacing w:beforeLines="50" w:afterLines="50" w:line="560" w:lineRule="exact"/>
        <w:jc w:val="left"/>
        <w:rPr>
          <w:rFonts w:asciiTheme="minorEastAsia" w:hAnsiTheme="minorEastAsia" w:eastAsiaTheme="minorEastAsia"/>
          <w:color w:val="000000"/>
          <w:sz w:val="24"/>
          <w:szCs w:val="24"/>
        </w:rPr>
      </w:pPr>
      <w:r>
        <w:rPr>
          <w:rFonts w:asciiTheme="minorEastAsia" w:hAnsiTheme="minorEastAsia" w:eastAsiaTheme="minorEastAsia"/>
        </w:rPr>
        <w:pict>
          <v:shape id="AutoShape 951" o:spid="_x0000_s1033" o:spt="109" type="#_x0000_t109" style="position:absolute;left:0pt;margin-left:199.7pt;margin-top:-66.35pt;height:219.75pt;width:29.75pt;rotation:5898240f;z-index:1024;mso-width-relative:page;mso-height-relative:page;" coordsize="21600,21600">
            <v:path/>
            <v:fill focussize="0,0"/>
            <v:stroke joinstyle="miter"/>
            <v:imagedata o:title=""/>
            <o:lock v:ext="edit"/>
            <v:textbox>
              <w:txbxContent>
                <w:p>
                  <w:pPr>
                    <w:jc w:val="center"/>
                    <w:rPr>
                      <w:rFonts w:ascii="宋体"/>
                      <w:sz w:val="24"/>
                      <w:szCs w:val="24"/>
                    </w:rPr>
                  </w:pPr>
                  <w:r>
                    <w:rPr>
                      <w:rFonts w:hint="eastAsia" w:ascii="宋体" w:hAnsi="宋体"/>
                      <w:sz w:val="24"/>
                      <w:szCs w:val="24"/>
                    </w:rPr>
                    <w:t>现场处置方案</w:t>
                  </w:r>
                </w:p>
              </w:txbxContent>
            </v:textbox>
          </v:shape>
        </w:pict>
      </w:r>
    </w:p>
    <w:p>
      <w:pPr>
        <w:spacing w:beforeLines="50" w:afterLines="50" w:line="560" w:lineRule="exact"/>
        <w:jc w:val="left"/>
        <w:rPr>
          <w:rFonts w:asciiTheme="minorEastAsia" w:hAnsiTheme="minorEastAsia" w:eastAsiaTheme="minorEastAsia"/>
          <w:color w:val="000000"/>
          <w:sz w:val="24"/>
          <w:szCs w:val="24"/>
        </w:rPr>
      </w:pPr>
    </w:p>
    <w:p>
      <w:pPr>
        <w:adjustRightInd w:val="0"/>
        <w:snapToGrid w:val="0"/>
        <w:spacing w:line="440" w:lineRule="exact"/>
        <w:jc w:val="center"/>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图</w:t>
      </w:r>
      <w:r>
        <w:rPr>
          <w:rFonts w:asciiTheme="minorEastAsia" w:hAnsiTheme="minorEastAsia" w:eastAsiaTheme="minorEastAsia"/>
          <w:color w:val="000000"/>
          <w:sz w:val="24"/>
          <w:szCs w:val="24"/>
        </w:rPr>
        <w:t xml:space="preserve">1-1 </w:t>
      </w:r>
      <w:r>
        <w:rPr>
          <w:rFonts w:hint="eastAsia" w:asciiTheme="minorEastAsia" w:hAnsiTheme="minorEastAsia" w:eastAsiaTheme="minorEastAsia"/>
          <w:color w:val="000000"/>
          <w:sz w:val="24"/>
          <w:szCs w:val="24"/>
        </w:rPr>
        <w:t>应急预案体系图</w:t>
      </w:r>
    </w:p>
    <w:p>
      <w:pPr>
        <w:adjustRightInd w:val="0"/>
        <w:snapToGrid w:val="0"/>
        <w:spacing w:line="460" w:lineRule="exact"/>
        <w:jc w:val="left"/>
        <w:outlineLvl w:val="1"/>
        <w:rPr>
          <w:rFonts w:asciiTheme="minorEastAsia" w:hAnsiTheme="minorEastAsia" w:eastAsiaTheme="minorEastAsia"/>
          <w:b/>
          <w:color w:val="000000"/>
          <w:sz w:val="26"/>
          <w:szCs w:val="26"/>
        </w:rPr>
      </w:pPr>
      <w:bookmarkStart w:id="30" w:name="_Toc20442"/>
      <w:bookmarkStart w:id="31" w:name="_Toc304833224"/>
      <w:bookmarkStart w:id="32" w:name="_Toc185670974"/>
      <w:bookmarkStart w:id="33" w:name="_Toc304962947"/>
      <w:bookmarkStart w:id="34" w:name="_Toc387131749"/>
      <w:bookmarkStart w:id="35" w:name="_Toc198007327"/>
      <w:bookmarkStart w:id="36" w:name="_Toc262051107"/>
      <w:bookmarkStart w:id="37" w:name="_Toc262050857"/>
      <w:bookmarkStart w:id="38" w:name="_Toc184809541"/>
      <w:bookmarkStart w:id="39" w:name="_Toc229283963"/>
      <w:bookmarkStart w:id="40" w:name="_Toc387131492"/>
      <w:bookmarkStart w:id="41" w:name="_Toc179794535"/>
      <w:bookmarkStart w:id="42" w:name="_Toc183339214"/>
      <w:bookmarkStart w:id="43" w:name="_Toc196018533"/>
      <w:bookmarkStart w:id="44" w:name="_Toc6123"/>
      <w:bookmarkStart w:id="45" w:name="_Toc197251332"/>
      <w:bookmarkStart w:id="46" w:name="_Toc304964434"/>
      <w:bookmarkStart w:id="47" w:name="_Toc387131418"/>
      <w:bookmarkStart w:id="48" w:name="_Toc196018424"/>
      <w:bookmarkStart w:id="49" w:name="_Toc262051528"/>
      <w:bookmarkStart w:id="50" w:name="_Toc184808754"/>
      <w:bookmarkStart w:id="51" w:name="_Toc262040267"/>
      <w:bookmarkStart w:id="52" w:name="_Toc304963591"/>
      <w:bookmarkStart w:id="53" w:name="_Toc196018628"/>
      <w:bookmarkStart w:id="54" w:name="_Toc336326841"/>
      <w:bookmarkStart w:id="55" w:name="_Toc408274426"/>
      <w:bookmarkStart w:id="56" w:name="_Toc198355312"/>
      <w:bookmarkStart w:id="57" w:name="_Toc336327119"/>
      <w:bookmarkStart w:id="58" w:name="_Toc415254533"/>
      <w:bookmarkStart w:id="59" w:name="_Toc183339490"/>
      <w:r>
        <w:rPr>
          <w:rFonts w:hint="eastAsia" w:asciiTheme="minorEastAsia" w:hAnsiTheme="minorEastAsia" w:eastAsiaTheme="minorEastAsia"/>
          <w:b/>
          <w:color w:val="000000"/>
          <w:sz w:val="26"/>
          <w:szCs w:val="26"/>
        </w:rPr>
        <w:t>1.5应急工作原则</w:t>
      </w:r>
      <w:bookmarkEnd w:id="30"/>
    </w:p>
    <w:p>
      <w:pPr>
        <w:spacing w:line="276" w:lineRule="auto"/>
        <w:ind w:firstLine="560"/>
        <w:jc w:val="left"/>
        <w:rPr>
          <w:rFonts w:asciiTheme="minorEastAsia" w:hAnsiTheme="minorEastAsia" w:eastAsiaTheme="minorEastAsia"/>
          <w:sz w:val="24"/>
          <w:szCs w:val="24"/>
        </w:rPr>
      </w:pPr>
      <w:r>
        <w:rPr>
          <w:rFonts w:hint="eastAsia" w:asciiTheme="minorEastAsia" w:hAnsiTheme="minorEastAsia" w:eastAsiaTheme="minorEastAsia"/>
          <w:sz w:val="24"/>
          <w:szCs w:val="24"/>
        </w:rPr>
        <w:t>本着实事求是、切实可行的方针，始终贯彻如下原则：</w:t>
      </w:r>
    </w:p>
    <w:p>
      <w:pPr>
        <w:spacing w:line="276" w:lineRule="auto"/>
        <w:ind w:firstLine="560"/>
        <w:jc w:val="left"/>
        <w:rPr>
          <w:rFonts w:asciiTheme="minorEastAsia" w:hAnsiTheme="minorEastAsia" w:eastAsiaTheme="minorEastAsia"/>
          <w:sz w:val="24"/>
          <w:szCs w:val="24"/>
        </w:rPr>
      </w:pPr>
      <w:r>
        <w:rPr>
          <w:rFonts w:hint="eastAsia" w:asciiTheme="minorEastAsia" w:hAnsiTheme="minorEastAsia" w:eastAsiaTheme="minorEastAsia"/>
          <w:sz w:val="24"/>
          <w:szCs w:val="24"/>
        </w:rPr>
        <w:t>（1）以人为本、安全第一。</w:t>
      </w:r>
    </w:p>
    <w:p>
      <w:pPr>
        <w:spacing w:line="276" w:lineRule="auto"/>
        <w:ind w:firstLine="600" w:firstLineChars="250"/>
        <w:jc w:val="left"/>
        <w:rPr>
          <w:rFonts w:asciiTheme="minorEastAsia" w:hAnsiTheme="minorEastAsia" w:eastAsiaTheme="minorEastAsia"/>
          <w:sz w:val="24"/>
          <w:szCs w:val="24"/>
        </w:rPr>
      </w:pPr>
      <w:r>
        <w:rPr>
          <w:rFonts w:hint="eastAsia" w:asciiTheme="minorEastAsia" w:hAnsiTheme="minorEastAsia" w:eastAsiaTheme="minorEastAsia"/>
          <w:sz w:val="24"/>
          <w:szCs w:val="24"/>
        </w:rPr>
        <w:t>把保障员工的身体健康、生命安全作为首要任务。切实加强应急救援人员的安全防护，充分发挥专业救援力量的骨干作用。</w:t>
      </w:r>
    </w:p>
    <w:p>
      <w:pPr>
        <w:spacing w:line="276" w:lineRule="auto"/>
        <w:ind w:firstLine="560"/>
        <w:jc w:val="left"/>
        <w:rPr>
          <w:rFonts w:asciiTheme="minorEastAsia" w:hAnsiTheme="minorEastAsia" w:eastAsiaTheme="minorEastAsia"/>
          <w:sz w:val="24"/>
          <w:szCs w:val="24"/>
        </w:rPr>
      </w:pPr>
      <w:r>
        <w:rPr>
          <w:rFonts w:hint="eastAsia" w:asciiTheme="minorEastAsia" w:hAnsiTheme="minorEastAsia" w:eastAsiaTheme="minorEastAsia"/>
          <w:sz w:val="24"/>
          <w:szCs w:val="24"/>
        </w:rPr>
        <w:t>（2）环境优先原则。</w:t>
      </w:r>
    </w:p>
    <w:p>
      <w:pPr>
        <w:spacing w:line="276" w:lineRule="auto"/>
        <w:ind w:firstLine="560"/>
        <w:jc w:val="left"/>
        <w:rPr>
          <w:rFonts w:asciiTheme="minorEastAsia" w:hAnsiTheme="minorEastAsia" w:eastAsiaTheme="minorEastAsia"/>
          <w:sz w:val="24"/>
          <w:szCs w:val="24"/>
        </w:rPr>
      </w:pPr>
      <w:r>
        <w:rPr>
          <w:rFonts w:hint="eastAsia" w:asciiTheme="minorEastAsia" w:hAnsiTheme="minorEastAsia" w:eastAsiaTheme="minorEastAsia"/>
          <w:sz w:val="24"/>
          <w:szCs w:val="24"/>
        </w:rPr>
        <w:t>发生突发环境事件后，采取的应急措施行动中要体现环境重于财务的原则，优先考虑对环境的保护和减少环境影响的紧急措施。</w:t>
      </w:r>
    </w:p>
    <w:p>
      <w:pPr>
        <w:spacing w:line="276" w:lineRule="auto"/>
        <w:ind w:firstLine="560"/>
        <w:jc w:val="left"/>
        <w:rPr>
          <w:rFonts w:asciiTheme="minorEastAsia" w:hAnsiTheme="minorEastAsia" w:eastAsiaTheme="minorEastAsia"/>
          <w:sz w:val="24"/>
          <w:szCs w:val="24"/>
        </w:rPr>
      </w:pPr>
      <w:r>
        <w:rPr>
          <w:rFonts w:hint="eastAsia" w:asciiTheme="minorEastAsia" w:hAnsiTheme="minorEastAsia" w:eastAsiaTheme="minorEastAsia"/>
          <w:sz w:val="24"/>
          <w:szCs w:val="24"/>
        </w:rPr>
        <w:t>（3）先期处置原则。</w:t>
      </w:r>
    </w:p>
    <w:p>
      <w:pPr>
        <w:spacing w:line="276" w:lineRule="auto"/>
        <w:ind w:firstLine="360" w:firstLineChars="150"/>
        <w:jc w:val="left"/>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一旦发生事故，事故单位应立即启动先期处置应急预案，迅速采取有效措施，尽可能的控制事态发展，以减少人员伤亡和财产损失。</w:t>
      </w:r>
    </w:p>
    <w:p>
      <w:pPr>
        <w:spacing w:line="276" w:lineRule="auto"/>
        <w:ind w:firstLine="560"/>
        <w:jc w:val="left"/>
        <w:rPr>
          <w:rFonts w:hint="eastAsia" w:asciiTheme="minorEastAsia" w:hAnsiTheme="minorEastAsia" w:eastAsiaTheme="minorEastAsia"/>
          <w:sz w:val="24"/>
          <w:szCs w:val="24"/>
        </w:rPr>
      </w:pPr>
      <w:r>
        <w:rPr>
          <w:rFonts w:hint="eastAsia" w:asciiTheme="minorEastAsia" w:hAnsiTheme="minorEastAsia" w:eastAsiaTheme="minorEastAsia"/>
          <w:sz w:val="24"/>
          <w:szCs w:val="24"/>
        </w:rPr>
        <w:t>（4）快速响应、科学应急。</w:t>
      </w:r>
    </w:p>
    <w:p>
      <w:pPr>
        <w:spacing w:line="276" w:lineRule="auto"/>
        <w:ind w:firstLine="560"/>
        <w:jc w:val="left"/>
        <w:rPr>
          <w:rFonts w:asciiTheme="minorEastAsia" w:hAnsiTheme="minorEastAsia" w:eastAsiaTheme="minorEastAsia"/>
          <w:sz w:val="24"/>
          <w:szCs w:val="24"/>
        </w:rPr>
      </w:pPr>
      <w:r>
        <w:rPr>
          <w:rFonts w:hint="eastAsia" w:asciiTheme="minorEastAsia" w:hAnsiTheme="minorEastAsia" w:eastAsiaTheme="minorEastAsia"/>
          <w:sz w:val="24"/>
          <w:szCs w:val="24"/>
        </w:rPr>
        <w:t>发生突发环境事件后，有应急指挥中心全面负责内部的统一指挥、统一调度，按照事故内型进行针对性的处置，并配合、服从上级有关部门的统一指挥，按照各自职责，密切协作，保证处置工作的科学性、统一性和高效性。</w:t>
      </w:r>
    </w:p>
    <w:p>
      <w:pPr>
        <w:spacing w:line="276" w:lineRule="auto"/>
        <w:ind w:firstLine="560"/>
        <w:jc w:val="left"/>
        <w:rPr>
          <w:rFonts w:hint="eastAsia" w:asciiTheme="minorEastAsia" w:hAnsiTheme="minorEastAsia" w:eastAsiaTheme="minorEastAsia"/>
          <w:sz w:val="24"/>
          <w:szCs w:val="24"/>
        </w:rPr>
      </w:pPr>
      <w:r>
        <w:rPr>
          <w:rFonts w:hint="eastAsia" w:asciiTheme="minorEastAsia" w:hAnsiTheme="minorEastAsia" w:eastAsiaTheme="minorEastAsia"/>
          <w:sz w:val="24"/>
          <w:szCs w:val="24"/>
        </w:rPr>
        <w:t>（5）预防为主，平战结合。</w:t>
      </w:r>
    </w:p>
    <w:p>
      <w:pPr>
        <w:spacing w:line="276" w:lineRule="auto"/>
        <w:ind w:firstLine="560"/>
        <w:jc w:val="left"/>
        <w:rPr>
          <w:rFonts w:asciiTheme="minorEastAsia" w:hAnsiTheme="minorEastAsia" w:eastAsiaTheme="minorEastAsia"/>
          <w:sz w:val="24"/>
          <w:szCs w:val="24"/>
        </w:rPr>
      </w:pPr>
      <w:r>
        <w:rPr>
          <w:rFonts w:hint="eastAsia" w:asciiTheme="minorEastAsia" w:hAnsiTheme="minorEastAsia" w:eastAsiaTheme="minorEastAsia"/>
          <w:sz w:val="24"/>
          <w:szCs w:val="24"/>
        </w:rPr>
        <w:t>贯彻落实“安全第一，预防为主，综合治理”的方针，坚持事故应急与预防工作相结合。做好预防、预测、预警和预报工作。加强对环境危险源的监控，实施长效监督管理机制。</w:t>
      </w:r>
    </w:p>
    <w:p>
      <w:pPr>
        <w:adjustRightInd w:val="0"/>
        <w:snapToGrid w:val="0"/>
        <w:spacing w:line="460" w:lineRule="exact"/>
        <w:jc w:val="left"/>
        <w:outlineLvl w:val="1"/>
        <w:rPr>
          <w:rFonts w:asciiTheme="minorEastAsia" w:hAnsiTheme="minorEastAsia" w:eastAsiaTheme="minorEastAsia"/>
          <w:b/>
          <w:color w:val="000000"/>
          <w:sz w:val="26"/>
          <w:szCs w:val="26"/>
        </w:rPr>
      </w:pPr>
      <w:bookmarkStart w:id="60" w:name="_Toc346872531"/>
      <w:bookmarkStart w:id="61" w:name="_Toc2998"/>
      <w:bookmarkStart w:id="62" w:name="_Toc458674230"/>
      <w:r>
        <w:rPr>
          <w:rFonts w:asciiTheme="minorEastAsia" w:hAnsiTheme="minorEastAsia" w:eastAsiaTheme="minorEastAsia"/>
          <w:b/>
          <w:color w:val="000000"/>
          <w:sz w:val="26"/>
          <w:szCs w:val="26"/>
        </w:rPr>
        <w:t>1.</w:t>
      </w:r>
      <w:r>
        <w:rPr>
          <w:rFonts w:hint="eastAsia" w:asciiTheme="minorEastAsia" w:hAnsiTheme="minorEastAsia" w:eastAsiaTheme="minorEastAsia"/>
          <w:b/>
          <w:color w:val="000000"/>
          <w:sz w:val="26"/>
          <w:szCs w:val="26"/>
        </w:rPr>
        <w:t>6</w:t>
      </w:r>
      <w:r>
        <w:rPr>
          <w:rFonts w:asciiTheme="minorEastAsia" w:hAnsiTheme="minorEastAsia" w:eastAsiaTheme="minorEastAsia"/>
          <w:b/>
          <w:color w:val="000000"/>
          <w:sz w:val="26"/>
          <w:szCs w:val="26"/>
        </w:rPr>
        <w:t xml:space="preserve"> 事故分级</w:t>
      </w:r>
      <w:bookmarkEnd w:id="60"/>
      <w:bookmarkEnd w:id="61"/>
      <w:bookmarkEnd w:id="62"/>
    </w:p>
    <w:p>
      <w:pPr>
        <w:spacing w:line="460" w:lineRule="exact"/>
        <w:ind w:firstLine="480" w:firstLineChars="200"/>
        <w:jc w:val="left"/>
        <w:rPr>
          <w:rFonts w:asciiTheme="minorEastAsia" w:hAnsiTheme="minorEastAsia" w:eastAsiaTheme="minorEastAsia"/>
          <w:color w:val="000000"/>
          <w:sz w:val="26"/>
          <w:szCs w:val="26"/>
        </w:rPr>
      </w:pPr>
      <w:r>
        <w:rPr>
          <w:rFonts w:asciiTheme="minorEastAsia" w:hAnsiTheme="minorEastAsia" w:eastAsiaTheme="minorEastAsia"/>
          <w:sz w:val="24"/>
          <w:szCs w:val="24"/>
        </w:rPr>
        <w:t>按照突发事件严重性和紧急程度，突发环境事件分为特别重大环境事件(Ⅰ级)、重大环境事件(Ⅱ级)、较大环境事件(Ⅲ级)和一般环境事件(Ⅳ级)四级</w:t>
      </w:r>
      <w:r>
        <w:rPr>
          <w:rFonts w:asciiTheme="minorEastAsia" w:hAnsiTheme="minorEastAsia" w:eastAsiaTheme="minorEastAsia"/>
          <w:color w:val="000000"/>
          <w:sz w:val="26"/>
          <w:szCs w:val="26"/>
        </w:rPr>
        <w:t>。</w:t>
      </w:r>
    </w:p>
    <w:p>
      <w:pPr>
        <w:pStyle w:val="120"/>
        <w:ind w:firstLine="0" w:firstLineChars="0"/>
        <w:rPr>
          <w:rFonts w:asciiTheme="minorEastAsia" w:hAnsiTheme="minorEastAsia" w:eastAsiaTheme="minorEastAsia"/>
          <w:b/>
        </w:rPr>
      </w:pPr>
      <w:bookmarkStart w:id="63" w:name="_Toc346872532"/>
      <w:bookmarkStart w:id="64" w:name="_Toc458674231"/>
      <w:r>
        <w:rPr>
          <w:rFonts w:asciiTheme="minorEastAsia" w:hAnsiTheme="minorEastAsia" w:eastAsiaTheme="minorEastAsia"/>
          <w:b/>
        </w:rPr>
        <w:t>l.</w:t>
      </w:r>
      <w:r>
        <w:rPr>
          <w:rFonts w:hint="eastAsia" w:asciiTheme="minorEastAsia" w:hAnsiTheme="minorEastAsia" w:eastAsiaTheme="minorEastAsia"/>
          <w:b/>
        </w:rPr>
        <w:t>6</w:t>
      </w:r>
      <w:r>
        <w:rPr>
          <w:rFonts w:asciiTheme="minorEastAsia" w:hAnsiTheme="minorEastAsia" w:eastAsiaTheme="minorEastAsia"/>
          <w:b/>
        </w:rPr>
        <w:t>.1 特别重大环境事件(Ⅰ级)</w:t>
      </w:r>
      <w:bookmarkEnd w:id="63"/>
      <w:bookmarkEnd w:id="64"/>
    </w:p>
    <w:p>
      <w:pPr>
        <w:spacing w:line="460" w:lineRule="exact"/>
        <w:ind w:firstLine="480" w:firstLineChars="200"/>
        <w:jc w:val="left"/>
        <w:rPr>
          <w:rFonts w:asciiTheme="minorEastAsia" w:hAnsiTheme="minorEastAsia" w:eastAsiaTheme="minorEastAsia"/>
          <w:sz w:val="24"/>
          <w:szCs w:val="24"/>
        </w:rPr>
      </w:pPr>
      <w:r>
        <w:rPr>
          <w:rFonts w:asciiTheme="minorEastAsia" w:hAnsiTheme="minorEastAsia" w:eastAsiaTheme="minorEastAsia"/>
          <w:sz w:val="24"/>
          <w:szCs w:val="24"/>
        </w:rPr>
        <w:t>凡符合下列情形之一的，为特别重大环境事件：</w:t>
      </w:r>
    </w:p>
    <w:p>
      <w:pPr>
        <w:spacing w:line="460" w:lineRule="exact"/>
        <w:ind w:firstLine="480" w:firstLineChars="200"/>
        <w:jc w:val="left"/>
        <w:rPr>
          <w:rFonts w:asciiTheme="minorEastAsia" w:hAnsiTheme="minorEastAsia" w:eastAsiaTheme="minorEastAsia"/>
          <w:sz w:val="24"/>
          <w:szCs w:val="24"/>
        </w:rPr>
      </w:pPr>
      <w:r>
        <w:rPr>
          <w:rFonts w:asciiTheme="minorEastAsia" w:hAnsiTheme="minorEastAsia" w:eastAsiaTheme="minorEastAsia"/>
          <w:sz w:val="24"/>
          <w:szCs w:val="24"/>
        </w:rPr>
        <w:t>(1) 发生30人以上死亡，或中毒(重伤)100人以上；</w:t>
      </w:r>
    </w:p>
    <w:p>
      <w:pPr>
        <w:spacing w:line="460" w:lineRule="exact"/>
        <w:ind w:firstLine="480" w:firstLineChars="200"/>
        <w:jc w:val="left"/>
        <w:rPr>
          <w:rFonts w:asciiTheme="minorEastAsia" w:hAnsiTheme="minorEastAsia" w:eastAsiaTheme="minorEastAsia"/>
          <w:sz w:val="24"/>
          <w:szCs w:val="24"/>
        </w:rPr>
      </w:pPr>
      <w:r>
        <w:rPr>
          <w:rFonts w:asciiTheme="minorEastAsia" w:hAnsiTheme="minorEastAsia" w:eastAsiaTheme="minorEastAsia"/>
          <w:sz w:val="24"/>
          <w:szCs w:val="24"/>
        </w:rPr>
        <w:t>(2) 因环境事件需疏散、转移群众5万人以上，或直接经济损失1000万元以上；</w:t>
      </w:r>
    </w:p>
    <w:p>
      <w:pPr>
        <w:spacing w:line="460" w:lineRule="exact"/>
        <w:ind w:firstLine="480" w:firstLineChars="200"/>
        <w:jc w:val="left"/>
        <w:rPr>
          <w:rFonts w:asciiTheme="minorEastAsia" w:hAnsiTheme="minorEastAsia" w:eastAsiaTheme="minorEastAsia"/>
          <w:sz w:val="24"/>
          <w:szCs w:val="24"/>
        </w:rPr>
      </w:pPr>
      <w:r>
        <w:rPr>
          <w:rFonts w:asciiTheme="minorEastAsia" w:hAnsiTheme="minorEastAsia" w:eastAsiaTheme="minorEastAsia"/>
          <w:sz w:val="24"/>
          <w:szCs w:val="24"/>
        </w:rPr>
        <w:t>(3) 区域生态功能严重丧失或濒危物种生存环境遭到严重污染；</w:t>
      </w:r>
    </w:p>
    <w:p>
      <w:pPr>
        <w:spacing w:line="460" w:lineRule="exact"/>
        <w:ind w:firstLine="480" w:firstLineChars="200"/>
        <w:jc w:val="left"/>
        <w:rPr>
          <w:rFonts w:asciiTheme="minorEastAsia" w:hAnsiTheme="minorEastAsia" w:eastAsiaTheme="minorEastAsia"/>
          <w:sz w:val="24"/>
          <w:szCs w:val="24"/>
        </w:rPr>
      </w:pPr>
      <w:r>
        <w:rPr>
          <w:rFonts w:asciiTheme="minorEastAsia" w:hAnsiTheme="minorEastAsia" w:eastAsiaTheme="minorEastAsia"/>
          <w:sz w:val="24"/>
          <w:szCs w:val="24"/>
        </w:rPr>
        <w:t>(4) 因环境污染使当地正常的经济、社会活动受到严重影响；</w:t>
      </w:r>
    </w:p>
    <w:p>
      <w:pPr>
        <w:spacing w:line="460" w:lineRule="exact"/>
        <w:ind w:firstLine="480" w:firstLineChars="200"/>
        <w:jc w:val="left"/>
        <w:rPr>
          <w:rFonts w:asciiTheme="minorEastAsia" w:hAnsiTheme="minorEastAsia" w:eastAsiaTheme="minorEastAsia"/>
          <w:sz w:val="24"/>
          <w:szCs w:val="24"/>
        </w:rPr>
      </w:pPr>
      <w:r>
        <w:rPr>
          <w:rFonts w:asciiTheme="minorEastAsia" w:hAnsiTheme="minorEastAsia" w:eastAsiaTheme="minorEastAsia"/>
          <w:sz w:val="24"/>
          <w:szCs w:val="24"/>
        </w:rPr>
        <w:t>(5) 利用放射性物质进行人为破坏事件，或1、2类放射源失控造成大范围严重辐射污染后果；</w:t>
      </w:r>
    </w:p>
    <w:p>
      <w:pPr>
        <w:spacing w:line="460" w:lineRule="exact"/>
        <w:ind w:firstLine="480" w:firstLineChars="200"/>
        <w:jc w:val="left"/>
        <w:rPr>
          <w:rFonts w:asciiTheme="minorEastAsia" w:hAnsiTheme="minorEastAsia" w:eastAsiaTheme="minorEastAsia"/>
          <w:sz w:val="24"/>
          <w:szCs w:val="24"/>
        </w:rPr>
      </w:pPr>
      <w:r>
        <w:rPr>
          <w:rFonts w:asciiTheme="minorEastAsia" w:hAnsiTheme="minorEastAsia" w:eastAsiaTheme="minorEastAsia"/>
          <w:sz w:val="24"/>
          <w:szCs w:val="24"/>
        </w:rPr>
        <w:t>(6) 因环境污染造成重要城市主要水源地取水中断的污染事故；</w:t>
      </w:r>
    </w:p>
    <w:p>
      <w:pPr>
        <w:spacing w:line="460" w:lineRule="exact"/>
        <w:ind w:firstLine="480" w:firstLineChars="200"/>
        <w:jc w:val="left"/>
        <w:rPr>
          <w:rFonts w:asciiTheme="minorEastAsia" w:hAnsiTheme="minorEastAsia" w:eastAsiaTheme="minorEastAsia"/>
          <w:sz w:val="24"/>
          <w:szCs w:val="24"/>
        </w:rPr>
      </w:pPr>
      <w:r>
        <w:rPr>
          <w:rFonts w:asciiTheme="minorEastAsia" w:hAnsiTheme="minorEastAsia" w:eastAsiaTheme="minorEastAsia"/>
          <w:sz w:val="24"/>
          <w:szCs w:val="24"/>
        </w:rPr>
        <w:t>(7) 因危险化学品(含剧毒品)生产和贮运中发生泄漏，严重影响人民群众生产、生活的污染事故。</w:t>
      </w:r>
    </w:p>
    <w:p>
      <w:pPr>
        <w:pStyle w:val="120"/>
        <w:ind w:firstLine="0" w:firstLineChars="0"/>
        <w:rPr>
          <w:rFonts w:asciiTheme="minorEastAsia" w:hAnsiTheme="minorEastAsia" w:eastAsiaTheme="minorEastAsia"/>
          <w:b/>
        </w:rPr>
      </w:pPr>
      <w:bookmarkStart w:id="65" w:name="_Toc458674232"/>
      <w:bookmarkStart w:id="66" w:name="_Toc346872533"/>
      <w:r>
        <w:rPr>
          <w:rFonts w:asciiTheme="minorEastAsia" w:hAnsiTheme="minorEastAsia" w:eastAsiaTheme="minorEastAsia"/>
          <w:b/>
        </w:rPr>
        <w:t>1.</w:t>
      </w:r>
      <w:r>
        <w:rPr>
          <w:rFonts w:hint="eastAsia" w:asciiTheme="minorEastAsia" w:hAnsiTheme="minorEastAsia" w:eastAsiaTheme="minorEastAsia"/>
          <w:b/>
        </w:rPr>
        <w:t>6</w:t>
      </w:r>
      <w:r>
        <w:rPr>
          <w:rFonts w:asciiTheme="minorEastAsia" w:hAnsiTheme="minorEastAsia" w:eastAsiaTheme="minorEastAsia"/>
          <w:b/>
        </w:rPr>
        <w:t>.2 重大环境事件(Ⅱ级)</w:t>
      </w:r>
      <w:bookmarkEnd w:id="65"/>
      <w:bookmarkEnd w:id="66"/>
    </w:p>
    <w:p>
      <w:pPr>
        <w:spacing w:line="460" w:lineRule="exact"/>
        <w:ind w:firstLine="480" w:firstLineChars="200"/>
        <w:jc w:val="left"/>
        <w:rPr>
          <w:rFonts w:asciiTheme="minorEastAsia" w:hAnsiTheme="minorEastAsia" w:eastAsiaTheme="minorEastAsia"/>
          <w:sz w:val="24"/>
          <w:szCs w:val="24"/>
        </w:rPr>
      </w:pPr>
      <w:r>
        <w:rPr>
          <w:rFonts w:asciiTheme="minorEastAsia" w:hAnsiTheme="minorEastAsia" w:eastAsiaTheme="minorEastAsia"/>
          <w:sz w:val="24"/>
          <w:szCs w:val="24"/>
        </w:rPr>
        <w:t>凡符合下列情形之一的，为重大环境事件：</w:t>
      </w:r>
    </w:p>
    <w:p>
      <w:pPr>
        <w:spacing w:line="460" w:lineRule="exact"/>
        <w:ind w:firstLine="480" w:firstLineChars="200"/>
        <w:jc w:val="left"/>
        <w:rPr>
          <w:rFonts w:asciiTheme="minorEastAsia" w:hAnsiTheme="minorEastAsia" w:eastAsiaTheme="minorEastAsia"/>
          <w:sz w:val="24"/>
          <w:szCs w:val="24"/>
        </w:rPr>
      </w:pPr>
      <w:r>
        <w:rPr>
          <w:rFonts w:asciiTheme="minorEastAsia" w:hAnsiTheme="minorEastAsia" w:eastAsiaTheme="minorEastAsia"/>
          <w:sz w:val="24"/>
          <w:szCs w:val="24"/>
        </w:rPr>
        <w:t>(1) 发生10人以上、30人以下死亡，或中毒(重伤)50人以上、100人以下；</w:t>
      </w:r>
    </w:p>
    <w:p>
      <w:pPr>
        <w:spacing w:line="460" w:lineRule="exact"/>
        <w:ind w:firstLine="480" w:firstLineChars="200"/>
        <w:jc w:val="left"/>
        <w:rPr>
          <w:rFonts w:asciiTheme="minorEastAsia" w:hAnsiTheme="minorEastAsia" w:eastAsiaTheme="minorEastAsia"/>
          <w:sz w:val="24"/>
          <w:szCs w:val="24"/>
        </w:rPr>
      </w:pPr>
      <w:r>
        <w:rPr>
          <w:rFonts w:asciiTheme="minorEastAsia" w:hAnsiTheme="minorEastAsia" w:eastAsiaTheme="minorEastAsia"/>
          <w:sz w:val="24"/>
          <w:szCs w:val="24"/>
        </w:rPr>
        <w:t>(2) 区域生态功能部分丧失或濒危物种生存环境受到污染；</w:t>
      </w:r>
    </w:p>
    <w:p>
      <w:pPr>
        <w:spacing w:line="460" w:lineRule="exact"/>
        <w:ind w:firstLine="480" w:firstLineChars="200"/>
        <w:jc w:val="left"/>
        <w:rPr>
          <w:rFonts w:asciiTheme="minorEastAsia" w:hAnsiTheme="minorEastAsia" w:eastAsiaTheme="minorEastAsia"/>
          <w:sz w:val="24"/>
          <w:szCs w:val="24"/>
        </w:rPr>
      </w:pPr>
      <w:r>
        <w:rPr>
          <w:rFonts w:asciiTheme="minorEastAsia" w:hAnsiTheme="minorEastAsia" w:eastAsiaTheme="minorEastAsia"/>
          <w:sz w:val="24"/>
          <w:szCs w:val="24"/>
        </w:rPr>
        <w:t>(3) 因环境污染使当地经济、社会活动受到较大影响，疏散转移群众1万人以上、5万人以下的；</w:t>
      </w:r>
    </w:p>
    <w:p>
      <w:pPr>
        <w:spacing w:line="460" w:lineRule="exact"/>
        <w:ind w:firstLine="480" w:firstLineChars="200"/>
        <w:jc w:val="left"/>
        <w:rPr>
          <w:rFonts w:asciiTheme="minorEastAsia" w:hAnsiTheme="minorEastAsia" w:eastAsiaTheme="minorEastAsia"/>
          <w:sz w:val="24"/>
          <w:szCs w:val="24"/>
        </w:rPr>
      </w:pPr>
      <w:r>
        <w:rPr>
          <w:rFonts w:asciiTheme="minorEastAsia" w:hAnsiTheme="minorEastAsia" w:eastAsiaTheme="minorEastAsia"/>
          <w:sz w:val="24"/>
          <w:szCs w:val="24"/>
        </w:rPr>
        <w:t>(4) 1、2类放射源丢失、被盗或失控；</w:t>
      </w:r>
    </w:p>
    <w:p>
      <w:pPr>
        <w:spacing w:line="460" w:lineRule="exact"/>
        <w:ind w:firstLine="480" w:firstLineChars="200"/>
        <w:jc w:val="left"/>
        <w:rPr>
          <w:rFonts w:asciiTheme="minorEastAsia" w:hAnsiTheme="minorEastAsia" w:eastAsiaTheme="minorEastAsia"/>
          <w:sz w:val="24"/>
          <w:szCs w:val="24"/>
        </w:rPr>
      </w:pPr>
      <w:r>
        <w:rPr>
          <w:rFonts w:asciiTheme="minorEastAsia" w:hAnsiTheme="minorEastAsia" w:eastAsiaTheme="minorEastAsia"/>
          <w:sz w:val="24"/>
          <w:szCs w:val="24"/>
        </w:rPr>
        <w:t>(5) 因环境污染造成重要河流、湖泊、水库及沿海水域大面积污染，或县级以上城镇水源地取水中断的污染事件。</w:t>
      </w:r>
    </w:p>
    <w:p>
      <w:pPr>
        <w:pStyle w:val="120"/>
        <w:ind w:firstLine="0" w:firstLineChars="0"/>
        <w:rPr>
          <w:rFonts w:asciiTheme="minorEastAsia" w:hAnsiTheme="minorEastAsia" w:eastAsiaTheme="minorEastAsia"/>
          <w:b/>
        </w:rPr>
      </w:pPr>
      <w:bookmarkStart w:id="67" w:name="_Toc346872534"/>
      <w:bookmarkStart w:id="68" w:name="_Toc342405908"/>
      <w:bookmarkStart w:id="69" w:name="_Toc458674233"/>
      <w:r>
        <w:rPr>
          <w:rFonts w:asciiTheme="minorEastAsia" w:hAnsiTheme="minorEastAsia" w:eastAsiaTheme="minorEastAsia"/>
          <w:b/>
        </w:rPr>
        <w:t>1.</w:t>
      </w:r>
      <w:r>
        <w:rPr>
          <w:rFonts w:hint="eastAsia" w:asciiTheme="minorEastAsia" w:hAnsiTheme="minorEastAsia" w:eastAsiaTheme="minorEastAsia"/>
          <w:b/>
        </w:rPr>
        <w:t>6</w:t>
      </w:r>
      <w:r>
        <w:rPr>
          <w:rFonts w:asciiTheme="minorEastAsia" w:hAnsiTheme="minorEastAsia" w:eastAsiaTheme="minorEastAsia"/>
          <w:b/>
        </w:rPr>
        <w:t>.3 较大环境事件(Ⅲ级)</w:t>
      </w:r>
      <w:bookmarkEnd w:id="67"/>
      <w:bookmarkEnd w:id="68"/>
      <w:bookmarkEnd w:id="69"/>
    </w:p>
    <w:p>
      <w:pPr>
        <w:spacing w:line="460" w:lineRule="exact"/>
        <w:ind w:firstLine="480" w:firstLineChars="200"/>
        <w:jc w:val="left"/>
        <w:rPr>
          <w:rFonts w:asciiTheme="minorEastAsia" w:hAnsiTheme="minorEastAsia" w:eastAsiaTheme="minorEastAsia"/>
          <w:sz w:val="24"/>
          <w:szCs w:val="24"/>
        </w:rPr>
      </w:pPr>
      <w:r>
        <w:rPr>
          <w:rFonts w:asciiTheme="minorEastAsia" w:hAnsiTheme="minorEastAsia" w:eastAsiaTheme="minorEastAsia"/>
          <w:sz w:val="24"/>
          <w:szCs w:val="24"/>
        </w:rPr>
        <w:t>凡符合下列情形之一的，为较大环境事件：</w:t>
      </w:r>
    </w:p>
    <w:p>
      <w:pPr>
        <w:spacing w:line="460" w:lineRule="exact"/>
        <w:ind w:firstLine="480" w:firstLineChars="200"/>
        <w:jc w:val="left"/>
        <w:rPr>
          <w:rFonts w:asciiTheme="minorEastAsia" w:hAnsiTheme="minorEastAsia" w:eastAsiaTheme="minorEastAsia"/>
          <w:sz w:val="24"/>
          <w:szCs w:val="24"/>
        </w:rPr>
      </w:pPr>
      <w:r>
        <w:rPr>
          <w:rFonts w:asciiTheme="minorEastAsia" w:hAnsiTheme="minorEastAsia" w:eastAsiaTheme="minorEastAsia"/>
          <w:sz w:val="24"/>
          <w:szCs w:val="24"/>
        </w:rPr>
        <w:t>(1) 发生3人以上、10人以下死亡，或中毒(重伤)50人以下；</w:t>
      </w:r>
    </w:p>
    <w:p>
      <w:pPr>
        <w:spacing w:line="460" w:lineRule="exact"/>
        <w:ind w:firstLine="480" w:firstLineChars="200"/>
        <w:jc w:val="left"/>
        <w:rPr>
          <w:rFonts w:asciiTheme="minorEastAsia" w:hAnsiTheme="minorEastAsia" w:eastAsiaTheme="minorEastAsia"/>
          <w:sz w:val="24"/>
          <w:szCs w:val="24"/>
        </w:rPr>
      </w:pPr>
      <w:r>
        <w:rPr>
          <w:rFonts w:asciiTheme="minorEastAsia" w:hAnsiTheme="minorEastAsia" w:eastAsiaTheme="minorEastAsia"/>
          <w:sz w:val="24"/>
          <w:szCs w:val="24"/>
        </w:rPr>
        <w:t>(2) 因环境污染造成跨地级行政区域纠纷，使当地经济、社会活动受到影响；</w:t>
      </w:r>
    </w:p>
    <w:p>
      <w:pPr>
        <w:spacing w:line="460" w:lineRule="exact"/>
        <w:ind w:firstLine="480" w:firstLineChars="200"/>
        <w:jc w:val="left"/>
        <w:rPr>
          <w:rFonts w:asciiTheme="minorEastAsia" w:hAnsiTheme="minorEastAsia" w:eastAsiaTheme="minorEastAsia"/>
          <w:sz w:val="24"/>
          <w:szCs w:val="24"/>
        </w:rPr>
      </w:pPr>
      <w:r>
        <w:rPr>
          <w:rFonts w:asciiTheme="minorEastAsia" w:hAnsiTheme="minorEastAsia" w:eastAsiaTheme="minorEastAsia"/>
          <w:sz w:val="24"/>
          <w:szCs w:val="24"/>
        </w:rPr>
        <w:t>(3) 3类放射源丢失、被盗或失控。</w:t>
      </w:r>
    </w:p>
    <w:p>
      <w:pPr>
        <w:pStyle w:val="120"/>
        <w:ind w:firstLine="0" w:firstLineChars="0"/>
        <w:rPr>
          <w:rFonts w:asciiTheme="minorEastAsia" w:hAnsiTheme="minorEastAsia" w:eastAsiaTheme="minorEastAsia"/>
          <w:b/>
        </w:rPr>
      </w:pPr>
      <w:bookmarkStart w:id="70" w:name="_Toc458674234"/>
      <w:bookmarkStart w:id="71" w:name="_Toc346872535"/>
      <w:r>
        <w:rPr>
          <w:rFonts w:asciiTheme="minorEastAsia" w:hAnsiTheme="minorEastAsia" w:eastAsiaTheme="minorEastAsia"/>
          <w:b/>
        </w:rPr>
        <w:t>l.</w:t>
      </w:r>
      <w:r>
        <w:rPr>
          <w:rFonts w:hint="eastAsia" w:asciiTheme="minorEastAsia" w:hAnsiTheme="minorEastAsia" w:eastAsiaTheme="minorEastAsia"/>
          <w:b/>
        </w:rPr>
        <w:t>6</w:t>
      </w:r>
      <w:r>
        <w:rPr>
          <w:rFonts w:asciiTheme="minorEastAsia" w:hAnsiTheme="minorEastAsia" w:eastAsiaTheme="minorEastAsia"/>
          <w:b/>
        </w:rPr>
        <w:t>.4 一般环境事件(Ⅳ级)</w:t>
      </w:r>
      <w:bookmarkEnd w:id="70"/>
      <w:bookmarkEnd w:id="71"/>
    </w:p>
    <w:p>
      <w:pPr>
        <w:spacing w:line="460" w:lineRule="exact"/>
        <w:ind w:firstLine="480" w:firstLineChars="200"/>
        <w:jc w:val="left"/>
        <w:rPr>
          <w:rFonts w:asciiTheme="minorEastAsia" w:hAnsiTheme="minorEastAsia" w:eastAsiaTheme="minorEastAsia"/>
          <w:sz w:val="24"/>
          <w:szCs w:val="24"/>
        </w:rPr>
      </w:pPr>
      <w:r>
        <w:rPr>
          <w:rFonts w:asciiTheme="minorEastAsia" w:hAnsiTheme="minorEastAsia" w:eastAsiaTheme="minorEastAsia"/>
          <w:sz w:val="24"/>
          <w:szCs w:val="24"/>
        </w:rPr>
        <w:t>凡符合下列情形之一的，为一般环境事件：</w:t>
      </w:r>
    </w:p>
    <w:p>
      <w:pPr>
        <w:spacing w:line="460" w:lineRule="exact"/>
        <w:ind w:firstLine="480" w:firstLineChars="200"/>
        <w:jc w:val="left"/>
        <w:rPr>
          <w:rFonts w:asciiTheme="minorEastAsia" w:hAnsiTheme="minorEastAsia" w:eastAsiaTheme="minorEastAsia"/>
          <w:sz w:val="24"/>
          <w:szCs w:val="24"/>
        </w:rPr>
      </w:pPr>
      <w:r>
        <w:rPr>
          <w:rFonts w:asciiTheme="minorEastAsia" w:hAnsiTheme="minorEastAsia" w:eastAsiaTheme="minorEastAsia"/>
          <w:sz w:val="24"/>
          <w:szCs w:val="24"/>
        </w:rPr>
        <w:t>(1) 发生3人以下死亡；</w:t>
      </w:r>
    </w:p>
    <w:p>
      <w:pPr>
        <w:spacing w:line="460" w:lineRule="exact"/>
        <w:ind w:firstLine="480" w:firstLineChars="200"/>
        <w:jc w:val="left"/>
        <w:rPr>
          <w:rFonts w:asciiTheme="minorEastAsia" w:hAnsiTheme="minorEastAsia" w:eastAsiaTheme="minorEastAsia"/>
          <w:sz w:val="24"/>
          <w:szCs w:val="24"/>
        </w:rPr>
      </w:pPr>
      <w:r>
        <w:rPr>
          <w:rFonts w:asciiTheme="minorEastAsia" w:hAnsiTheme="minorEastAsia" w:eastAsiaTheme="minorEastAsia"/>
          <w:sz w:val="24"/>
          <w:szCs w:val="24"/>
        </w:rPr>
        <w:t>(2) 因环境污染造成跨县级行政区域纠纷，引起一般群体性影响的；</w:t>
      </w:r>
    </w:p>
    <w:p>
      <w:pPr>
        <w:spacing w:line="460" w:lineRule="exact"/>
        <w:ind w:firstLine="480" w:firstLineChars="200"/>
        <w:jc w:val="left"/>
        <w:rPr>
          <w:rFonts w:asciiTheme="minorEastAsia" w:hAnsiTheme="minorEastAsia" w:eastAsiaTheme="minorEastAsia"/>
          <w:sz w:val="24"/>
          <w:szCs w:val="24"/>
        </w:rPr>
      </w:pPr>
      <w:r>
        <w:rPr>
          <w:rFonts w:asciiTheme="minorEastAsia" w:hAnsiTheme="minorEastAsia" w:eastAsiaTheme="minorEastAsia"/>
          <w:sz w:val="24"/>
          <w:szCs w:val="24"/>
        </w:rPr>
        <w:t>(3) 4、5类放射源丢失、被盗或失控。</w:t>
      </w:r>
    </w:p>
    <w:p>
      <w:pPr>
        <w:spacing w:line="460" w:lineRule="exact"/>
        <w:ind w:firstLine="480" w:firstLineChars="200"/>
        <w:jc w:val="left"/>
        <w:rPr>
          <w:rFonts w:asciiTheme="minorEastAsia" w:hAnsiTheme="minorEastAsia" w:eastAsiaTheme="minorEastAsia"/>
          <w:sz w:val="24"/>
          <w:szCs w:val="24"/>
        </w:rPr>
      </w:pPr>
      <w:r>
        <w:rPr>
          <w:rFonts w:asciiTheme="minorEastAsia" w:hAnsiTheme="minorEastAsia" w:eastAsiaTheme="minorEastAsia"/>
          <w:sz w:val="24"/>
          <w:szCs w:val="24"/>
        </w:rPr>
        <w:t>根据</w:t>
      </w:r>
      <w:r>
        <w:rPr>
          <w:rFonts w:hint="eastAsia" w:asciiTheme="minorEastAsia" w:hAnsiTheme="minorEastAsia" w:eastAsiaTheme="minorEastAsia"/>
          <w:sz w:val="24"/>
          <w:szCs w:val="24"/>
        </w:rPr>
        <w:t>重庆市涪陵区拓源污水治理有限公司</w:t>
      </w:r>
      <w:r>
        <w:rPr>
          <w:rFonts w:hint="eastAsia" w:asciiTheme="minorEastAsia" w:hAnsiTheme="minorEastAsia" w:eastAsiaTheme="minorEastAsia"/>
          <w:sz w:val="24"/>
          <w:szCs w:val="24"/>
          <w:lang w:eastAsia="zh-CN"/>
        </w:rPr>
        <w:t>龙桥</w:t>
      </w:r>
      <w:r>
        <w:rPr>
          <w:rFonts w:hint="eastAsia" w:asciiTheme="minorEastAsia" w:hAnsiTheme="minorEastAsia" w:eastAsiaTheme="minorEastAsia"/>
          <w:sz w:val="24"/>
          <w:szCs w:val="24"/>
        </w:rPr>
        <w:t>污水处理厂</w:t>
      </w:r>
      <w:r>
        <w:rPr>
          <w:rFonts w:asciiTheme="minorEastAsia" w:hAnsiTheme="minorEastAsia" w:eastAsiaTheme="minorEastAsia"/>
          <w:sz w:val="24"/>
          <w:szCs w:val="24"/>
        </w:rPr>
        <w:t>的地理位置及现场情况，综合可能发生事故的严重性和紧急程度，确定</w:t>
      </w:r>
      <w:r>
        <w:rPr>
          <w:rFonts w:hint="eastAsia" w:asciiTheme="minorEastAsia" w:hAnsiTheme="minorEastAsia" w:eastAsiaTheme="minorEastAsia"/>
          <w:sz w:val="24"/>
          <w:szCs w:val="24"/>
          <w:lang w:eastAsia="zh-CN"/>
        </w:rPr>
        <w:t>龙桥</w:t>
      </w:r>
      <w:r>
        <w:rPr>
          <w:rFonts w:hint="eastAsia" w:asciiTheme="minorEastAsia" w:hAnsiTheme="minorEastAsia" w:eastAsiaTheme="minorEastAsia"/>
          <w:sz w:val="24"/>
          <w:szCs w:val="24"/>
        </w:rPr>
        <w:t>污水处理厂</w:t>
      </w:r>
      <w:r>
        <w:rPr>
          <w:rFonts w:asciiTheme="minorEastAsia" w:hAnsiTheme="minorEastAsia" w:eastAsiaTheme="minorEastAsia"/>
          <w:sz w:val="24"/>
          <w:szCs w:val="24"/>
        </w:rPr>
        <w:t>的突发环境事件为</w:t>
      </w:r>
      <w:r>
        <w:rPr>
          <w:rFonts w:hint="eastAsia" w:asciiTheme="minorEastAsia" w:hAnsiTheme="minorEastAsia" w:eastAsiaTheme="minorEastAsia"/>
          <w:sz w:val="24"/>
          <w:szCs w:val="24"/>
        </w:rPr>
        <w:t>Ⅳ</w:t>
      </w:r>
      <w:r>
        <w:rPr>
          <w:rFonts w:asciiTheme="minorEastAsia" w:hAnsiTheme="minorEastAsia" w:eastAsiaTheme="minorEastAsia"/>
          <w:sz w:val="24"/>
          <w:szCs w:val="24"/>
        </w:rPr>
        <w:t>级。</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Start w:id="72" w:name="_Toc183339215"/>
      <w:bookmarkStart w:id="73" w:name="_Toc304963592"/>
      <w:bookmarkStart w:id="74" w:name="_Toc196018425"/>
      <w:bookmarkStart w:id="75" w:name="_Toc229283964"/>
      <w:bookmarkStart w:id="76" w:name="_Toc336326842"/>
      <w:bookmarkStart w:id="77" w:name="_Toc183339491"/>
      <w:bookmarkStart w:id="78" w:name="_Toc185670975"/>
      <w:bookmarkStart w:id="79" w:name="_Toc262040268"/>
      <w:bookmarkStart w:id="80" w:name="_Toc262051529"/>
      <w:bookmarkStart w:id="81" w:name="_Toc196018629"/>
      <w:bookmarkStart w:id="82" w:name="_Toc304962948"/>
      <w:bookmarkStart w:id="83" w:name="_Toc197251333"/>
      <w:bookmarkStart w:id="84" w:name="_Toc196018534"/>
      <w:bookmarkStart w:id="85" w:name="_Toc198355313"/>
      <w:bookmarkStart w:id="86" w:name="_Toc262051108"/>
      <w:bookmarkStart w:id="87" w:name="_Toc184809542"/>
      <w:bookmarkStart w:id="88" w:name="_Toc14936"/>
      <w:bookmarkStart w:id="89" w:name="_Toc184808755"/>
      <w:bookmarkStart w:id="90" w:name="_Toc198007328"/>
      <w:bookmarkStart w:id="91" w:name="_Toc304833225"/>
      <w:bookmarkStart w:id="92" w:name="_Toc336327120"/>
      <w:bookmarkStart w:id="93" w:name="_Toc387131419"/>
      <w:bookmarkStart w:id="94" w:name="_Toc262050858"/>
      <w:bookmarkStart w:id="95" w:name="_Toc387131750"/>
      <w:bookmarkStart w:id="96" w:name="_Toc415254534"/>
      <w:bookmarkStart w:id="97" w:name="_Toc304964435"/>
      <w:bookmarkStart w:id="98" w:name="_Toc408274427"/>
      <w:bookmarkStart w:id="99" w:name="_Toc387131493"/>
    </w:p>
    <w:p>
      <w:pPr>
        <w:autoSpaceDE w:val="0"/>
        <w:autoSpaceDN w:val="0"/>
        <w:adjustRightInd w:val="0"/>
        <w:spacing w:line="460" w:lineRule="exact"/>
        <w:jc w:val="center"/>
        <w:rPr>
          <w:rFonts w:cs="??_GB2312" w:asciiTheme="minorEastAsia" w:hAnsiTheme="minorEastAsia" w:eastAsiaTheme="minorEastAsia"/>
          <w:b/>
          <w:kern w:val="0"/>
          <w:sz w:val="32"/>
          <w:szCs w:val="32"/>
          <w:lang w:val="zh-CN"/>
        </w:rPr>
      </w:pPr>
    </w:p>
    <w:p>
      <w:pPr>
        <w:autoSpaceDE w:val="0"/>
        <w:autoSpaceDN w:val="0"/>
        <w:adjustRightInd w:val="0"/>
        <w:spacing w:line="460" w:lineRule="exact"/>
        <w:jc w:val="center"/>
        <w:rPr>
          <w:rFonts w:cs="??_GB2312" w:asciiTheme="minorEastAsia" w:hAnsiTheme="minorEastAsia" w:eastAsiaTheme="minorEastAsia"/>
          <w:b/>
          <w:kern w:val="0"/>
          <w:sz w:val="32"/>
          <w:szCs w:val="32"/>
          <w:lang w:val="zh-CN"/>
        </w:rPr>
      </w:pPr>
    </w:p>
    <w:p>
      <w:pPr>
        <w:autoSpaceDE w:val="0"/>
        <w:autoSpaceDN w:val="0"/>
        <w:adjustRightInd w:val="0"/>
        <w:spacing w:line="460" w:lineRule="exact"/>
        <w:jc w:val="center"/>
        <w:rPr>
          <w:rFonts w:cs="??_GB2312" w:asciiTheme="minorEastAsia" w:hAnsiTheme="minorEastAsia" w:eastAsiaTheme="minorEastAsia"/>
          <w:b/>
          <w:kern w:val="0"/>
          <w:sz w:val="32"/>
          <w:szCs w:val="32"/>
          <w:lang w:val="zh-CN"/>
        </w:rPr>
      </w:pPr>
    </w:p>
    <w:p>
      <w:pPr>
        <w:autoSpaceDE w:val="0"/>
        <w:autoSpaceDN w:val="0"/>
        <w:adjustRightInd w:val="0"/>
        <w:spacing w:line="460" w:lineRule="exact"/>
        <w:jc w:val="center"/>
        <w:rPr>
          <w:rFonts w:cs="??_GB2312" w:asciiTheme="minorEastAsia" w:hAnsiTheme="minorEastAsia" w:eastAsiaTheme="minorEastAsia"/>
          <w:b/>
          <w:kern w:val="0"/>
          <w:sz w:val="32"/>
          <w:szCs w:val="32"/>
          <w:lang w:val="zh-CN"/>
        </w:rPr>
      </w:pPr>
    </w:p>
    <w:p>
      <w:pPr>
        <w:autoSpaceDE w:val="0"/>
        <w:autoSpaceDN w:val="0"/>
        <w:adjustRightInd w:val="0"/>
        <w:spacing w:line="460" w:lineRule="exact"/>
        <w:jc w:val="center"/>
        <w:rPr>
          <w:rFonts w:cs="??_GB2312" w:asciiTheme="minorEastAsia" w:hAnsiTheme="minorEastAsia" w:eastAsiaTheme="minorEastAsia"/>
          <w:b/>
          <w:kern w:val="0"/>
          <w:sz w:val="32"/>
          <w:szCs w:val="32"/>
          <w:lang w:val="zh-CN"/>
        </w:rPr>
      </w:pPr>
    </w:p>
    <w:p>
      <w:pPr>
        <w:autoSpaceDE w:val="0"/>
        <w:autoSpaceDN w:val="0"/>
        <w:adjustRightInd w:val="0"/>
        <w:spacing w:line="460" w:lineRule="exact"/>
        <w:jc w:val="center"/>
        <w:rPr>
          <w:rFonts w:cs="??_GB2312" w:asciiTheme="minorEastAsia" w:hAnsiTheme="minorEastAsia" w:eastAsiaTheme="minorEastAsia"/>
          <w:b/>
          <w:kern w:val="0"/>
          <w:sz w:val="32"/>
          <w:szCs w:val="32"/>
          <w:lang w:val="zh-CN"/>
        </w:rPr>
      </w:pPr>
    </w:p>
    <w:p>
      <w:pPr>
        <w:autoSpaceDE w:val="0"/>
        <w:autoSpaceDN w:val="0"/>
        <w:adjustRightInd w:val="0"/>
        <w:spacing w:line="460" w:lineRule="exact"/>
        <w:jc w:val="center"/>
        <w:rPr>
          <w:rFonts w:cs="??_GB2312" w:asciiTheme="minorEastAsia" w:hAnsiTheme="minorEastAsia" w:eastAsiaTheme="minorEastAsia"/>
          <w:b/>
          <w:kern w:val="0"/>
          <w:sz w:val="32"/>
          <w:szCs w:val="32"/>
          <w:lang w:val="zh-CN"/>
        </w:rPr>
      </w:pPr>
    </w:p>
    <w:p>
      <w:pPr>
        <w:autoSpaceDE w:val="0"/>
        <w:autoSpaceDN w:val="0"/>
        <w:adjustRightInd w:val="0"/>
        <w:spacing w:line="460" w:lineRule="exact"/>
        <w:jc w:val="center"/>
        <w:rPr>
          <w:rFonts w:cs="??_GB2312" w:asciiTheme="minorEastAsia" w:hAnsiTheme="minorEastAsia" w:eastAsiaTheme="minorEastAsia"/>
          <w:b/>
          <w:kern w:val="0"/>
          <w:sz w:val="32"/>
          <w:szCs w:val="32"/>
          <w:lang w:val="zh-CN"/>
        </w:rPr>
      </w:pPr>
    </w:p>
    <w:p>
      <w:pPr>
        <w:autoSpaceDE w:val="0"/>
        <w:autoSpaceDN w:val="0"/>
        <w:adjustRightInd w:val="0"/>
        <w:spacing w:line="460" w:lineRule="exact"/>
        <w:jc w:val="center"/>
        <w:rPr>
          <w:rFonts w:cs="??_GB2312" w:asciiTheme="minorEastAsia" w:hAnsiTheme="minorEastAsia" w:eastAsiaTheme="minorEastAsia"/>
          <w:b/>
          <w:kern w:val="0"/>
          <w:sz w:val="32"/>
          <w:szCs w:val="32"/>
          <w:lang w:val="zh-CN"/>
        </w:rPr>
      </w:pPr>
    </w:p>
    <w:p>
      <w:pPr>
        <w:autoSpaceDE w:val="0"/>
        <w:autoSpaceDN w:val="0"/>
        <w:adjustRightInd w:val="0"/>
        <w:spacing w:line="460" w:lineRule="exact"/>
        <w:jc w:val="center"/>
        <w:rPr>
          <w:rFonts w:cs="??_GB2312" w:asciiTheme="minorEastAsia" w:hAnsiTheme="minorEastAsia" w:eastAsiaTheme="minorEastAsia"/>
          <w:b/>
          <w:kern w:val="0"/>
          <w:sz w:val="32"/>
          <w:szCs w:val="32"/>
          <w:lang w:val="zh-CN"/>
        </w:rPr>
      </w:pPr>
    </w:p>
    <w:p>
      <w:pPr>
        <w:autoSpaceDE w:val="0"/>
        <w:autoSpaceDN w:val="0"/>
        <w:adjustRightInd w:val="0"/>
        <w:spacing w:line="460" w:lineRule="exact"/>
        <w:jc w:val="center"/>
        <w:rPr>
          <w:rFonts w:cs="??_GB2312" w:asciiTheme="minorEastAsia" w:hAnsiTheme="minorEastAsia" w:eastAsiaTheme="minorEastAsia"/>
          <w:b/>
          <w:kern w:val="0"/>
          <w:sz w:val="32"/>
          <w:szCs w:val="32"/>
          <w:lang w:val="zh-CN"/>
        </w:rPr>
      </w:pPr>
    </w:p>
    <w:p>
      <w:pPr>
        <w:autoSpaceDE w:val="0"/>
        <w:autoSpaceDN w:val="0"/>
        <w:adjustRightInd w:val="0"/>
        <w:spacing w:line="460" w:lineRule="exact"/>
        <w:jc w:val="center"/>
        <w:rPr>
          <w:rFonts w:cs="??_GB2312" w:asciiTheme="minorEastAsia" w:hAnsiTheme="minorEastAsia" w:eastAsiaTheme="minorEastAsia"/>
          <w:b/>
          <w:kern w:val="0"/>
          <w:sz w:val="32"/>
          <w:szCs w:val="32"/>
          <w:lang w:val="zh-CN"/>
        </w:rPr>
      </w:pPr>
    </w:p>
    <w:p>
      <w:pPr>
        <w:autoSpaceDE w:val="0"/>
        <w:autoSpaceDN w:val="0"/>
        <w:adjustRightInd w:val="0"/>
        <w:spacing w:line="460" w:lineRule="exact"/>
        <w:jc w:val="center"/>
        <w:rPr>
          <w:rFonts w:cs="??_GB2312" w:asciiTheme="minorEastAsia" w:hAnsiTheme="minorEastAsia" w:eastAsiaTheme="minorEastAsia"/>
          <w:b/>
          <w:kern w:val="0"/>
          <w:sz w:val="32"/>
          <w:szCs w:val="32"/>
          <w:lang w:val="zh-CN"/>
        </w:rPr>
      </w:pPr>
    </w:p>
    <w:p>
      <w:pPr>
        <w:autoSpaceDE w:val="0"/>
        <w:autoSpaceDN w:val="0"/>
        <w:adjustRightInd w:val="0"/>
        <w:spacing w:line="460" w:lineRule="exact"/>
        <w:jc w:val="center"/>
        <w:rPr>
          <w:rFonts w:cs="??_GB2312" w:asciiTheme="minorEastAsia" w:hAnsiTheme="minorEastAsia" w:eastAsiaTheme="minorEastAsia"/>
          <w:b/>
          <w:kern w:val="0"/>
          <w:sz w:val="32"/>
          <w:szCs w:val="32"/>
          <w:lang w:val="zh-CN"/>
        </w:rPr>
      </w:pPr>
    </w:p>
    <w:p>
      <w:pPr>
        <w:autoSpaceDE w:val="0"/>
        <w:autoSpaceDN w:val="0"/>
        <w:adjustRightInd w:val="0"/>
        <w:spacing w:line="460" w:lineRule="exact"/>
        <w:jc w:val="center"/>
        <w:rPr>
          <w:rFonts w:cs="??_GB2312" w:asciiTheme="minorEastAsia" w:hAnsiTheme="minorEastAsia" w:eastAsiaTheme="minorEastAsia"/>
          <w:b/>
          <w:kern w:val="0"/>
          <w:sz w:val="32"/>
          <w:szCs w:val="32"/>
          <w:lang w:val="zh-CN"/>
        </w:rPr>
      </w:pPr>
    </w:p>
    <w:p>
      <w:pPr>
        <w:autoSpaceDE w:val="0"/>
        <w:autoSpaceDN w:val="0"/>
        <w:adjustRightInd w:val="0"/>
        <w:spacing w:line="460" w:lineRule="exact"/>
        <w:jc w:val="center"/>
        <w:rPr>
          <w:rFonts w:cs="??_GB2312" w:asciiTheme="minorEastAsia" w:hAnsiTheme="minorEastAsia" w:eastAsiaTheme="minorEastAsia"/>
          <w:b/>
          <w:kern w:val="0"/>
          <w:sz w:val="32"/>
          <w:szCs w:val="32"/>
          <w:lang w:val="zh-CN"/>
        </w:rPr>
      </w:pPr>
    </w:p>
    <w:p>
      <w:pPr>
        <w:autoSpaceDE w:val="0"/>
        <w:autoSpaceDN w:val="0"/>
        <w:adjustRightInd w:val="0"/>
        <w:spacing w:line="460" w:lineRule="exact"/>
        <w:jc w:val="center"/>
        <w:rPr>
          <w:rFonts w:cs="??_GB2312" w:asciiTheme="minorEastAsia" w:hAnsiTheme="minorEastAsia" w:eastAsiaTheme="minorEastAsia"/>
          <w:b/>
          <w:kern w:val="0"/>
          <w:sz w:val="32"/>
          <w:szCs w:val="32"/>
          <w:lang w:val="zh-CN"/>
        </w:rPr>
      </w:pPr>
    </w:p>
    <w:p>
      <w:pPr>
        <w:autoSpaceDE w:val="0"/>
        <w:autoSpaceDN w:val="0"/>
        <w:adjustRightInd w:val="0"/>
        <w:spacing w:line="460" w:lineRule="exact"/>
        <w:jc w:val="center"/>
        <w:rPr>
          <w:rFonts w:cs="??_GB2312" w:asciiTheme="minorEastAsia" w:hAnsiTheme="minorEastAsia" w:eastAsiaTheme="minorEastAsia"/>
          <w:b/>
          <w:kern w:val="0"/>
          <w:sz w:val="32"/>
          <w:szCs w:val="32"/>
          <w:lang w:val="zh-CN"/>
        </w:rPr>
      </w:pPr>
    </w:p>
    <w:p>
      <w:pPr>
        <w:autoSpaceDE w:val="0"/>
        <w:autoSpaceDN w:val="0"/>
        <w:adjustRightInd w:val="0"/>
        <w:spacing w:line="460" w:lineRule="exact"/>
        <w:jc w:val="center"/>
        <w:rPr>
          <w:rFonts w:cs="??_GB2312" w:asciiTheme="minorEastAsia" w:hAnsiTheme="minorEastAsia" w:eastAsiaTheme="minorEastAsia"/>
          <w:b/>
          <w:kern w:val="0"/>
          <w:sz w:val="32"/>
          <w:szCs w:val="32"/>
          <w:lang w:val="zh-CN"/>
        </w:rPr>
      </w:pPr>
    </w:p>
    <w:p>
      <w:pPr>
        <w:pStyle w:val="2"/>
        <w:spacing w:before="120" w:after="120" w:line="360" w:lineRule="auto"/>
        <w:jc w:val="center"/>
        <w:rPr>
          <w:rFonts w:hint="eastAsia" w:asciiTheme="minorEastAsia" w:hAnsiTheme="minorEastAsia" w:eastAsiaTheme="minorEastAsia"/>
          <w:b/>
          <w:color w:val="000000"/>
          <w:sz w:val="32"/>
          <w:lang w:val="zh-CN"/>
        </w:rPr>
      </w:pPr>
      <w:bookmarkStart w:id="100" w:name="_Toc31980"/>
      <w:r>
        <w:rPr>
          <w:rFonts w:hint="eastAsia" w:asciiTheme="minorEastAsia" w:hAnsiTheme="minorEastAsia" w:eastAsiaTheme="minorEastAsia"/>
          <w:b/>
          <w:color w:val="000000"/>
          <w:sz w:val="32"/>
          <w:lang w:val="zh-CN"/>
        </w:rPr>
        <w:t>2企业基休信息</w:t>
      </w:r>
      <w:bookmarkEnd w:id="100"/>
    </w:p>
    <w:p>
      <w:pPr>
        <w:adjustRightInd w:val="0"/>
        <w:snapToGrid w:val="0"/>
        <w:spacing w:line="460" w:lineRule="exact"/>
        <w:outlineLvl w:val="1"/>
        <w:rPr>
          <w:b/>
          <w:color w:val="000000"/>
          <w:sz w:val="28"/>
          <w:szCs w:val="28"/>
          <w:lang w:val="zh-CN"/>
        </w:rPr>
      </w:pPr>
      <w:bookmarkStart w:id="101" w:name="_Toc6617"/>
      <w:r>
        <w:rPr>
          <w:b/>
          <w:color w:val="000000"/>
          <w:sz w:val="28"/>
          <w:szCs w:val="28"/>
          <w:lang w:val="zh-CN"/>
        </w:rPr>
        <w:t>2.1</w:t>
      </w:r>
      <w:r>
        <w:rPr>
          <w:rFonts w:hint="eastAsia"/>
          <w:b/>
          <w:color w:val="000000"/>
          <w:sz w:val="28"/>
          <w:szCs w:val="28"/>
          <w:lang w:val="zh-CN"/>
        </w:rPr>
        <w:t>企业基休信息</w:t>
      </w:r>
      <w:bookmarkEnd w:id="101"/>
    </w:p>
    <w:p>
      <w:pPr>
        <w:spacing w:line="460" w:lineRule="exact"/>
        <w:ind w:firstLine="480"/>
        <w:jc w:val="left"/>
        <w:rPr>
          <w:rFonts w:asciiTheme="minorEastAsia" w:hAnsiTheme="minorEastAsia" w:eastAsiaTheme="minorEastAsia"/>
          <w:color w:val="000000"/>
          <w:sz w:val="24"/>
          <w:szCs w:val="24"/>
        </w:rPr>
      </w:pPr>
      <w:r>
        <w:rPr>
          <w:rFonts w:hint="eastAsia" w:asciiTheme="minorEastAsia" w:hAnsiTheme="minorEastAsia" w:eastAsiaTheme="minorEastAsia"/>
          <w:sz w:val="24"/>
          <w:szCs w:val="24"/>
        </w:rPr>
        <w:t>重庆市涪陵区拓源污水治理有限公司</w:t>
      </w:r>
      <w:r>
        <w:rPr>
          <w:rFonts w:hint="eastAsia" w:cs="??_GB2312" w:asciiTheme="minorEastAsia" w:hAnsiTheme="minorEastAsia" w:eastAsiaTheme="minorEastAsia"/>
          <w:kern w:val="0"/>
          <w:sz w:val="24"/>
          <w:szCs w:val="24"/>
          <w:lang w:val="zh-CN"/>
        </w:rPr>
        <w:t>龙桥污水处理厂</w:t>
      </w:r>
      <w:r>
        <w:rPr>
          <w:rFonts w:hint="eastAsia" w:asciiTheme="minorEastAsia" w:hAnsiTheme="minorEastAsia" w:eastAsiaTheme="minorEastAsia"/>
          <w:snapToGrid w:val="0"/>
          <w:sz w:val="24"/>
          <w:szCs w:val="24"/>
        </w:rPr>
        <w:t>地处</w:t>
      </w:r>
      <w:r>
        <w:rPr>
          <w:rFonts w:hint="eastAsia" w:asciiTheme="minorEastAsia" w:hAnsiTheme="minorEastAsia" w:eastAsiaTheme="minorEastAsia"/>
          <w:sz w:val="24"/>
          <w:szCs w:val="24"/>
        </w:rPr>
        <w:t>重庆涪陵区龙桥工业园区、龙桥街道办事处北拱石灰湾，占地31.29亩，总投资5700万元，现有员工12人，</w:t>
      </w:r>
      <w:r>
        <w:rPr>
          <w:rFonts w:hint="eastAsia" w:cs="??_GB2312" w:asciiTheme="minorEastAsia" w:hAnsiTheme="minorEastAsia" w:eastAsiaTheme="minorEastAsia"/>
          <w:sz w:val="24"/>
          <w:szCs w:val="24"/>
        </w:rPr>
        <w:t>由重庆市涪陵区拓源污水治理有限公司负责运营管理，</w:t>
      </w:r>
      <w:r>
        <w:rPr>
          <w:rFonts w:hint="eastAsia" w:asciiTheme="minorEastAsia" w:hAnsiTheme="minorEastAsia" w:eastAsiaTheme="minorEastAsia"/>
          <w:sz w:val="24"/>
          <w:szCs w:val="24"/>
        </w:rPr>
        <w:t>是一家专业处理</w:t>
      </w:r>
      <w:r>
        <w:rPr>
          <w:rFonts w:hint="eastAsia" w:asciiTheme="minorEastAsia" w:hAnsiTheme="minorEastAsia" w:eastAsiaTheme="minorEastAsia"/>
          <w:color w:val="000000"/>
          <w:sz w:val="24"/>
          <w:szCs w:val="24"/>
        </w:rPr>
        <w:t>城市生活污水和经预处理的工业废水服务为一体的民营企业。</w:t>
      </w:r>
    </w:p>
    <w:p>
      <w:pPr>
        <w:spacing w:line="460" w:lineRule="exact"/>
        <w:ind w:firstLine="480"/>
        <w:jc w:val="left"/>
        <w:rPr>
          <w:rFonts w:cs="方正小标宋简体" w:asciiTheme="minorEastAsia" w:hAnsiTheme="minorEastAsia" w:eastAsiaTheme="minorEastAsia"/>
          <w:bCs/>
          <w:sz w:val="24"/>
          <w:szCs w:val="24"/>
        </w:rPr>
      </w:pPr>
      <w:r>
        <w:rPr>
          <w:rFonts w:hint="eastAsia" w:asciiTheme="minorEastAsia" w:hAnsiTheme="minorEastAsia" w:eastAsiaTheme="minorEastAsia"/>
          <w:color w:val="000000"/>
          <w:sz w:val="24"/>
          <w:szCs w:val="24"/>
        </w:rPr>
        <w:t>龙桥污水</w:t>
      </w:r>
      <w:r>
        <w:rPr>
          <w:rFonts w:hint="eastAsia" w:asciiTheme="minorEastAsia" w:hAnsiTheme="minorEastAsia" w:eastAsiaTheme="minorEastAsia"/>
          <w:snapToGrid w:val="0"/>
          <w:sz w:val="24"/>
          <w:szCs w:val="24"/>
        </w:rPr>
        <w:t>处理</w:t>
      </w:r>
      <w:r>
        <w:rPr>
          <w:rFonts w:hint="eastAsia" w:asciiTheme="minorEastAsia" w:hAnsiTheme="minorEastAsia" w:eastAsiaTheme="minorEastAsia"/>
          <w:color w:val="000000"/>
          <w:sz w:val="24"/>
          <w:szCs w:val="24"/>
        </w:rPr>
        <w:t>厂“</w:t>
      </w:r>
      <w:r>
        <w:rPr>
          <w:rFonts w:hint="eastAsia" w:cs="??_GB2312" w:asciiTheme="minorEastAsia" w:hAnsiTheme="minorEastAsia" w:eastAsiaTheme="minorEastAsia"/>
          <w:kern w:val="0"/>
          <w:sz w:val="24"/>
          <w:szCs w:val="24"/>
          <w:lang w:val="zh-CN"/>
        </w:rPr>
        <w:t>一期污水处理规模为10000吨/日</w:t>
      </w:r>
      <w:r>
        <w:rPr>
          <w:rFonts w:hint="eastAsia" w:asciiTheme="minorEastAsia" w:hAnsiTheme="minorEastAsia" w:eastAsiaTheme="minorEastAsia"/>
          <w:color w:val="000000"/>
          <w:sz w:val="24"/>
          <w:szCs w:val="24"/>
        </w:rPr>
        <w:t>”，于2010年3开工建设，2012年1月</w:t>
      </w:r>
      <w:r>
        <w:rPr>
          <w:rFonts w:hint="eastAsia" w:cs="??_GB2312" w:asciiTheme="minorEastAsia" w:hAnsiTheme="minorEastAsia" w:eastAsiaTheme="minorEastAsia"/>
          <w:kern w:val="0"/>
          <w:sz w:val="24"/>
          <w:szCs w:val="24"/>
          <w:lang w:val="zh-CN"/>
        </w:rPr>
        <w:t>投入试运行，</w:t>
      </w:r>
      <w:r>
        <w:rPr>
          <w:rFonts w:hint="eastAsia" w:asciiTheme="minorEastAsia" w:hAnsiTheme="minorEastAsia" w:eastAsiaTheme="minorEastAsia"/>
          <w:color w:val="000000"/>
          <w:sz w:val="24"/>
          <w:szCs w:val="24"/>
        </w:rPr>
        <w:t>一期工程</w:t>
      </w:r>
      <w:r>
        <w:rPr>
          <w:rFonts w:hint="eastAsia" w:cs="??_GB2312" w:asciiTheme="minorEastAsia" w:hAnsiTheme="minorEastAsia" w:eastAsiaTheme="minorEastAsia"/>
          <w:sz w:val="24"/>
          <w:szCs w:val="24"/>
        </w:rPr>
        <w:t>主要负责对龙桥园区工业</w:t>
      </w:r>
      <w:r>
        <w:rPr>
          <w:rFonts w:hint="eastAsia" w:asciiTheme="minorEastAsia" w:hAnsiTheme="minorEastAsia" w:eastAsiaTheme="minorEastAsia"/>
          <w:color w:val="000000"/>
          <w:sz w:val="24"/>
          <w:szCs w:val="24"/>
        </w:rPr>
        <w:t>园区三大组团（南岸浦、北拱和光彩事业）的城市生活污水和经预处理的工业废水，配套污水管网20公里,</w:t>
      </w:r>
      <w:r>
        <w:rPr>
          <w:rFonts w:hint="eastAsia" w:cs="方正小标宋简体" w:asciiTheme="minorEastAsia" w:hAnsiTheme="minorEastAsia" w:eastAsiaTheme="minorEastAsia"/>
          <w:bCs/>
          <w:sz w:val="24"/>
          <w:szCs w:val="24"/>
        </w:rPr>
        <w:t xml:space="preserve"> 废水经污水处理厂处理后， 出水水质达《污水综合排放标准》（G8978-1996）一级B标后排入长江。</w:t>
      </w:r>
      <w:r>
        <w:rPr>
          <w:rFonts w:hint="eastAsia" w:asciiTheme="minorEastAsia" w:hAnsiTheme="minorEastAsia" w:eastAsiaTheme="minorEastAsia"/>
          <w:color w:val="000000"/>
          <w:sz w:val="24"/>
          <w:szCs w:val="24"/>
        </w:rPr>
        <w:t>已实现达标排放，</w:t>
      </w:r>
      <w:r>
        <w:rPr>
          <w:rFonts w:hint="eastAsia" w:cs="??_GB2312" w:asciiTheme="minorEastAsia" w:hAnsiTheme="minorEastAsia" w:eastAsiaTheme="minorEastAsia"/>
          <w:kern w:val="0"/>
          <w:sz w:val="24"/>
          <w:szCs w:val="24"/>
          <w:lang w:val="zh-CN"/>
        </w:rPr>
        <w:t>并通过环保验收。</w:t>
      </w:r>
    </w:p>
    <w:p>
      <w:pPr>
        <w:pStyle w:val="193"/>
        <w:rPr>
          <w:rFonts w:asciiTheme="minorEastAsia" w:hAnsiTheme="minorEastAsia" w:eastAsiaTheme="minorEastAsia"/>
        </w:rPr>
      </w:pPr>
      <w:r>
        <w:rPr>
          <w:rFonts w:hint="eastAsia" w:asciiTheme="minorEastAsia" w:hAnsiTheme="minorEastAsia" w:eastAsiaTheme="minorEastAsia"/>
        </w:rPr>
        <w:t>表</w:t>
      </w:r>
      <w:r>
        <w:rPr>
          <w:rFonts w:asciiTheme="minorEastAsia" w:hAnsiTheme="minorEastAsia" w:eastAsiaTheme="minorEastAsia"/>
        </w:rPr>
        <w:t xml:space="preserve">2-1 </w:t>
      </w:r>
      <w:r>
        <w:rPr>
          <w:rFonts w:hint="eastAsia" w:asciiTheme="minorEastAsia" w:hAnsiTheme="minorEastAsia" w:eastAsiaTheme="minorEastAsia"/>
        </w:rPr>
        <w:t xml:space="preserve">  企业基本信息一览表</w:t>
      </w:r>
    </w:p>
    <w:tbl>
      <w:tblPr>
        <w:tblStyle w:val="54"/>
        <w:tblW w:w="92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2"/>
        <w:gridCol w:w="1160"/>
        <w:gridCol w:w="783"/>
        <w:gridCol w:w="445"/>
        <w:gridCol w:w="731"/>
        <w:gridCol w:w="129"/>
        <w:gridCol w:w="416"/>
        <w:gridCol w:w="680"/>
        <w:gridCol w:w="454"/>
        <w:gridCol w:w="2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4" w:hRule="atLeast"/>
          <w:jc w:val="center"/>
        </w:trPr>
        <w:tc>
          <w:tcPr>
            <w:tcW w:w="1552" w:type="dxa"/>
            <w:tcBorders>
              <w:top w:val="thinThickSmallGap" w:color="auto" w:sz="24" w:space="0"/>
              <w:left w:val="thinThickSmallGap" w:color="auto" w:sz="24" w:space="0"/>
            </w:tcBorders>
            <w:vAlign w:val="center"/>
          </w:tcPr>
          <w:p>
            <w:pPr>
              <w:pStyle w:val="193"/>
              <w:rPr>
                <w:rFonts w:asciiTheme="minorEastAsia" w:hAnsiTheme="minorEastAsia" w:eastAsiaTheme="minorEastAsia"/>
                <w:kern w:val="2"/>
                <w:sz w:val="21"/>
                <w:szCs w:val="22"/>
              </w:rPr>
            </w:pPr>
            <w:r>
              <w:rPr>
                <w:rFonts w:hint="eastAsia" w:asciiTheme="minorEastAsia" w:hAnsiTheme="minorEastAsia" w:eastAsiaTheme="minorEastAsia"/>
                <w:kern w:val="2"/>
                <w:sz w:val="21"/>
                <w:szCs w:val="22"/>
              </w:rPr>
              <w:t>企业名称</w:t>
            </w:r>
          </w:p>
        </w:tc>
        <w:tc>
          <w:tcPr>
            <w:tcW w:w="3119" w:type="dxa"/>
            <w:gridSpan w:val="4"/>
            <w:tcBorders>
              <w:top w:val="thinThickSmallGap" w:color="auto" w:sz="24" w:space="0"/>
            </w:tcBorders>
            <w:vAlign w:val="center"/>
          </w:tcPr>
          <w:p>
            <w:pPr>
              <w:pStyle w:val="193"/>
              <w:rPr>
                <w:rFonts w:asciiTheme="minorEastAsia" w:hAnsiTheme="minorEastAsia" w:eastAsiaTheme="minorEastAsia"/>
                <w:kern w:val="2"/>
                <w:sz w:val="21"/>
                <w:szCs w:val="21"/>
              </w:rPr>
            </w:pPr>
            <w:r>
              <w:rPr>
                <w:rFonts w:hint="eastAsia" w:cs="方正小标宋简体" w:asciiTheme="minorEastAsia" w:hAnsiTheme="minorEastAsia" w:eastAsiaTheme="minorEastAsia"/>
                <w:bCs/>
                <w:kern w:val="2"/>
                <w:sz w:val="21"/>
                <w:szCs w:val="21"/>
              </w:rPr>
              <w:t>重庆市涪陵区拓源污水治理有限公司</w:t>
            </w:r>
            <w:r>
              <w:rPr>
                <w:rFonts w:hint="eastAsia" w:asciiTheme="minorEastAsia" w:hAnsiTheme="minorEastAsia" w:eastAsiaTheme="minorEastAsia"/>
                <w:snapToGrid w:val="0"/>
                <w:kern w:val="2"/>
                <w:sz w:val="21"/>
                <w:szCs w:val="21"/>
              </w:rPr>
              <w:t>龙桥污水处理厂</w:t>
            </w:r>
          </w:p>
        </w:tc>
        <w:tc>
          <w:tcPr>
            <w:tcW w:w="1679" w:type="dxa"/>
            <w:gridSpan w:val="4"/>
            <w:tcBorders>
              <w:top w:val="thinThickSmallGap" w:color="auto" w:sz="24" w:space="0"/>
            </w:tcBorders>
            <w:vAlign w:val="center"/>
          </w:tcPr>
          <w:p>
            <w:pPr>
              <w:pStyle w:val="193"/>
              <w:rPr>
                <w:rFonts w:asciiTheme="minorEastAsia" w:hAnsiTheme="minorEastAsia" w:eastAsiaTheme="minorEastAsia"/>
                <w:kern w:val="2"/>
                <w:sz w:val="21"/>
                <w:szCs w:val="21"/>
              </w:rPr>
            </w:pPr>
            <w:r>
              <w:rPr>
                <w:rFonts w:hint="eastAsia" w:asciiTheme="minorEastAsia" w:hAnsiTheme="minorEastAsia" w:eastAsiaTheme="minorEastAsia"/>
                <w:kern w:val="2"/>
                <w:sz w:val="21"/>
                <w:szCs w:val="21"/>
              </w:rPr>
              <w:t>组织机构代码</w:t>
            </w:r>
          </w:p>
        </w:tc>
        <w:tc>
          <w:tcPr>
            <w:tcW w:w="2854" w:type="dxa"/>
            <w:tcBorders>
              <w:top w:val="thinThickSmallGap" w:color="auto" w:sz="24" w:space="0"/>
              <w:right w:val="thinThickSmallGap" w:color="auto" w:sz="24" w:space="0"/>
            </w:tcBorders>
            <w:vAlign w:val="center"/>
          </w:tcPr>
          <w:p>
            <w:pPr>
              <w:pStyle w:val="193"/>
              <w:rPr>
                <w:rFonts w:asciiTheme="minorEastAsia" w:hAnsiTheme="minorEastAsia" w:eastAsiaTheme="minorEastAsia"/>
                <w:color w:val="FF0000"/>
                <w:kern w:val="2"/>
                <w:sz w:val="21"/>
                <w:szCs w:val="22"/>
              </w:rPr>
            </w:pPr>
            <w:r>
              <w:rPr>
                <w:rFonts w:cs="宋体" w:asciiTheme="minorEastAsia" w:hAnsiTheme="minorEastAsia" w:eastAsiaTheme="minorEastAsia"/>
                <w:sz w:val="21"/>
                <w:szCs w:val="21"/>
              </w:rPr>
              <w:t>91500102MA5U56568C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1552" w:type="dxa"/>
            <w:tcBorders>
              <w:left w:val="thinThickSmallGap" w:color="auto" w:sz="24" w:space="0"/>
            </w:tcBorders>
            <w:vAlign w:val="center"/>
          </w:tcPr>
          <w:p>
            <w:pPr>
              <w:pStyle w:val="193"/>
              <w:rPr>
                <w:rFonts w:asciiTheme="minorEastAsia" w:hAnsiTheme="minorEastAsia" w:eastAsiaTheme="minorEastAsia"/>
                <w:kern w:val="2"/>
                <w:sz w:val="21"/>
                <w:szCs w:val="22"/>
              </w:rPr>
            </w:pPr>
            <w:r>
              <w:rPr>
                <w:rFonts w:hint="eastAsia" w:asciiTheme="minorEastAsia" w:hAnsiTheme="minorEastAsia" w:eastAsiaTheme="minorEastAsia"/>
                <w:kern w:val="2"/>
                <w:sz w:val="21"/>
                <w:szCs w:val="22"/>
              </w:rPr>
              <w:t>法定代表人</w:t>
            </w:r>
          </w:p>
        </w:tc>
        <w:tc>
          <w:tcPr>
            <w:tcW w:w="1160" w:type="dxa"/>
            <w:vAlign w:val="center"/>
          </w:tcPr>
          <w:p>
            <w:pPr>
              <w:pStyle w:val="193"/>
              <w:rPr>
                <w:rFonts w:asciiTheme="minorEastAsia" w:hAnsiTheme="minorEastAsia" w:eastAsiaTheme="minorEastAsia"/>
                <w:color w:val="000000"/>
                <w:kern w:val="2"/>
                <w:sz w:val="21"/>
                <w:szCs w:val="21"/>
              </w:rPr>
            </w:pPr>
            <w:r>
              <w:rPr>
                <w:rFonts w:hint="eastAsia" w:cs="??_GB2312" w:asciiTheme="minorEastAsia" w:hAnsiTheme="minorEastAsia" w:eastAsiaTheme="minorEastAsia"/>
                <w:kern w:val="2"/>
                <w:sz w:val="21"/>
                <w:szCs w:val="21"/>
              </w:rPr>
              <w:t>况敬良</w:t>
            </w:r>
          </w:p>
        </w:tc>
        <w:tc>
          <w:tcPr>
            <w:tcW w:w="1228" w:type="dxa"/>
            <w:gridSpan w:val="2"/>
            <w:vAlign w:val="center"/>
          </w:tcPr>
          <w:p>
            <w:pPr>
              <w:pStyle w:val="193"/>
              <w:rPr>
                <w:rFonts w:asciiTheme="minorEastAsia" w:hAnsiTheme="minorEastAsia" w:eastAsiaTheme="minorEastAsia"/>
                <w:kern w:val="2"/>
                <w:sz w:val="21"/>
                <w:szCs w:val="21"/>
              </w:rPr>
            </w:pPr>
            <w:r>
              <w:rPr>
                <w:rFonts w:hint="eastAsia" w:asciiTheme="minorEastAsia" w:hAnsiTheme="minorEastAsia" w:eastAsiaTheme="minorEastAsia"/>
                <w:kern w:val="2"/>
                <w:sz w:val="21"/>
                <w:szCs w:val="21"/>
              </w:rPr>
              <w:t>联系人</w:t>
            </w:r>
          </w:p>
        </w:tc>
        <w:tc>
          <w:tcPr>
            <w:tcW w:w="1276" w:type="dxa"/>
            <w:gridSpan w:val="3"/>
            <w:vAlign w:val="center"/>
          </w:tcPr>
          <w:p>
            <w:pPr>
              <w:pStyle w:val="193"/>
              <w:rPr>
                <w:rFonts w:asciiTheme="minorEastAsia" w:hAnsiTheme="minorEastAsia" w:eastAsiaTheme="minorEastAsia"/>
                <w:kern w:val="2"/>
                <w:sz w:val="21"/>
                <w:szCs w:val="21"/>
              </w:rPr>
            </w:pPr>
            <w:r>
              <w:rPr>
                <w:rFonts w:hint="eastAsia" w:cs="??_GB2312" w:asciiTheme="minorEastAsia" w:hAnsiTheme="minorEastAsia" w:eastAsiaTheme="minorEastAsia"/>
                <w:kern w:val="2"/>
                <w:sz w:val="21"/>
                <w:szCs w:val="21"/>
              </w:rPr>
              <w:t>陶建华</w:t>
            </w:r>
          </w:p>
        </w:tc>
        <w:tc>
          <w:tcPr>
            <w:tcW w:w="1134" w:type="dxa"/>
            <w:gridSpan w:val="2"/>
            <w:vAlign w:val="center"/>
          </w:tcPr>
          <w:p>
            <w:pPr>
              <w:pStyle w:val="193"/>
              <w:rPr>
                <w:rFonts w:asciiTheme="minorEastAsia" w:hAnsiTheme="minorEastAsia" w:eastAsiaTheme="minorEastAsia"/>
                <w:kern w:val="2"/>
                <w:sz w:val="21"/>
                <w:szCs w:val="21"/>
              </w:rPr>
            </w:pPr>
            <w:r>
              <w:rPr>
                <w:rFonts w:hint="eastAsia" w:asciiTheme="minorEastAsia" w:hAnsiTheme="minorEastAsia" w:eastAsiaTheme="minorEastAsia"/>
                <w:kern w:val="2"/>
                <w:sz w:val="21"/>
                <w:szCs w:val="21"/>
              </w:rPr>
              <w:t>电话</w:t>
            </w:r>
          </w:p>
        </w:tc>
        <w:tc>
          <w:tcPr>
            <w:tcW w:w="2854" w:type="dxa"/>
            <w:tcBorders>
              <w:right w:val="thinThickSmallGap" w:color="auto" w:sz="24" w:space="0"/>
            </w:tcBorders>
            <w:vAlign w:val="center"/>
          </w:tcPr>
          <w:p>
            <w:pPr>
              <w:pStyle w:val="193"/>
              <w:rPr>
                <w:rFonts w:asciiTheme="minorEastAsia" w:hAnsiTheme="minorEastAsia" w:eastAsiaTheme="minorEastAsia"/>
                <w:kern w:val="2"/>
                <w:sz w:val="21"/>
                <w:szCs w:val="21"/>
              </w:rPr>
            </w:pPr>
            <w:r>
              <w:rPr>
                <w:rFonts w:cs="??_GB2312" w:asciiTheme="minorEastAsia" w:hAnsiTheme="minorEastAsia" w:eastAsiaTheme="minorEastAsia"/>
                <w:kern w:val="2"/>
                <w:sz w:val="21"/>
                <w:szCs w:val="21"/>
              </w:rPr>
              <w:t>13896666788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8" w:hRule="atLeast"/>
          <w:jc w:val="center"/>
        </w:trPr>
        <w:tc>
          <w:tcPr>
            <w:tcW w:w="1552" w:type="dxa"/>
            <w:tcBorders>
              <w:left w:val="thinThickSmallGap" w:color="auto" w:sz="24" w:space="0"/>
            </w:tcBorders>
            <w:vAlign w:val="center"/>
          </w:tcPr>
          <w:p>
            <w:pPr>
              <w:pStyle w:val="193"/>
              <w:rPr>
                <w:rFonts w:asciiTheme="minorEastAsia" w:hAnsiTheme="minorEastAsia" w:eastAsiaTheme="minorEastAsia"/>
                <w:kern w:val="2"/>
                <w:sz w:val="21"/>
                <w:szCs w:val="22"/>
              </w:rPr>
            </w:pPr>
            <w:r>
              <w:rPr>
                <w:rFonts w:hint="eastAsia" w:asciiTheme="minorEastAsia" w:hAnsiTheme="minorEastAsia" w:eastAsiaTheme="minorEastAsia"/>
                <w:kern w:val="2"/>
                <w:sz w:val="21"/>
                <w:szCs w:val="22"/>
              </w:rPr>
              <w:t>通讯地址</w:t>
            </w:r>
          </w:p>
        </w:tc>
        <w:tc>
          <w:tcPr>
            <w:tcW w:w="7652" w:type="dxa"/>
            <w:gridSpan w:val="9"/>
            <w:tcBorders>
              <w:right w:val="thinThickSmallGap" w:color="auto" w:sz="24" w:space="0"/>
            </w:tcBorders>
            <w:vAlign w:val="center"/>
          </w:tcPr>
          <w:p>
            <w:pPr>
              <w:pStyle w:val="193"/>
              <w:rPr>
                <w:rFonts w:asciiTheme="minorEastAsia" w:hAnsiTheme="minorEastAsia" w:eastAsiaTheme="minorEastAsia"/>
                <w:kern w:val="2"/>
                <w:sz w:val="21"/>
                <w:szCs w:val="22"/>
              </w:rPr>
            </w:pPr>
            <w:r>
              <w:rPr>
                <w:rFonts w:hint="eastAsia" w:asciiTheme="minorEastAsia" w:hAnsiTheme="minorEastAsia" w:eastAsiaTheme="minorEastAsia"/>
                <w:kern w:val="2"/>
                <w:sz w:val="21"/>
                <w:szCs w:val="22"/>
              </w:rPr>
              <w:t>重庆</w:t>
            </w:r>
            <w:r>
              <w:rPr>
                <w:rFonts w:hint="eastAsia" w:asciiTheme="minorEastAsia" w:hAnsiTheme="minorEastAsia" w:eastAsiaTheme="minorEastAsia"/>
                <w:kern w:val="2"/>
                <w:sz w:val="21"/>
                <w:szCs w:val="28"/>
              </w:rPr>
              <w:t>市涪陵区</w:t>
            </w:r>
            <w:r>
              <w:rPr>
                <w:rFonts w:hint="eastAsia" w:asciiTheme="minorEastAsia" w:hAnsiTheme="minorEastAsia" w:eastAsiaTheme="minorEastAsia"/>
                <w:kern w:val="2"/>
                <w:sz w:val="21"/>
                <w:szCs w:val="22"/>
              </w:rPr>
              <w:t>龙桥街道</w:t>
            </w:r>
            <w:r>
              <w:rPr>
                <w:rFonts w:hint="eastAsia" w:cs="??_GB2312" w:asciiTheme="minorEastAsia" w:hAnsiTheme="minorEastAsia" w:eastAsiaTheme="minorEastAsia"/>
                <w:sz w:val="21"/>
                <w:szCs w:val="21"/>
                <w:lang w:val="zh-CN"/>
              </w:rPr>
              <w:t>白拱居委</w:t>
            </w:r>
            <w:r>
              <w:rPr>
                <w:rFonts w:hint="eastAsia" w:asciiTheme="minorEastAsia" w:hAnsiTheme="minorEastAsia" w:eastAsiaTheme="minorEastAsia"/>
                <w:kern w:val="2"/>
                <w:sz w:val="21"/>
                <w:szCs w:val="22"/>
              </w:rPr>
              <w:t>石灰湾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6" w:hRule="atLeast"/>
          <w:jc w:val="center"/>
        </w:trPr>
        <w:tc>
          <w:tcPr>
            <w:tcW w:w="1552" w:type="dxa"/>
            <w:tcBorders>
              <w:left w:val="thinThickSmallGap" w:color="auto" w:sz="24" w:space="0"/>
            </w:tcBorders>
            <w:vAlign w:val="center"/>
          </w:tcPr>
          <w:p>
            <w:pPr>
              <w:pStyle w:val="193"/>
              <w:rPr>
                <w:rFonts w:asciiTheme="minorEastAsia" w:hAnsiTheme="minorEastAsia" w:eastAsiaTheme="minorEastAsia"/>
                <w:kern w:val="2"/>
                <w:sz w:val="21"/>
                <w:szCs w:val="22"/>
              </w:rPr>
            </w:pPr>
            <w:r>
              <w:rPr>
                <w:rFonts w:hint="eastAsia" w:asciiTheme="minorEastAsia" w:hAnsiTheme="minorEastAsia" w:eastAsiaTheme="minorEastAsia"/>
                <w:kern w:val="2"/>
                <w:sz w:val="21"/>
                <w:szCs w:val="22"/>
              </w:rPr>
              <w:t>单位所在地</w:t>
            </w:r>
          </w:p>
        </w:tc>
        <w:tc>
          <w:tcPr>
            <w:tcW w:w="7652" w:type="dxa"/>
            <w:gridSpan w:val="9"/>
            <w:tcBorders>
              <w:right w:val="thinThickSmallGap" w:color="auto" w:sz="24" w:space="0"/>
            </w:tcBorders>
            <w:vAlign w:val="center"/>
          </w:tcPr>
          <w:p>
            <w:pPr>
              <w:pStyle w:val="193"/>
              <w:rPr>
                <w:rFonts w:asciiTheme="minorEastAsia" w:hAnsiTheme="minorEastAsia" w:eastAsiaTheme="minorEastAsia"/>
                <w:kern w:val="2"/>
                <w:sz w:val="21"/>
                <w:szCs w:val="22"/>
              </w:rPr>
            </w:pPr>
            <w:r>
              <w:rPr>
                <w:rFonts w:hint="eastAsia" w:asciiTheme="minorEastAsia" w:hAnsiTheme="minorEastAsia" w:eastAsiaTheme="minorEastAsia"/>
                <w:kern w:val="2"/>
                <w:sz w:val="21"/>
                <w:szCs w:val="28"/>
              </w:rPr>
              <w:t>重庆市涪陵区龙桥</w:t>
            </w:r>
            <w:r>
              <w:rPr>
                <w:rFonts w:hint="eastAsia" w:asciiTheme="minorEastAsia" w:hAnsiTheme="minorEastAsia" w:eastAsiaTheme="minorEastAsia"/>
                <w:kern w:val="2"/>
                <w:sz w:val="21"/>
                <w:szCs w:val="22"/>
              </w:rPr>
              <w:t>工业园区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3" w:hRule="atLeast"/>
          <w:jc w:val="center"/>
        </w:trPr>
        <w:tc>
          <w:tcPr>
            <w:tcW w:w="1552" w:type="dxa"/>
            <w:tcBorders>
              <w:left w:val="thinThickSmallGap" w:color="auto" w:sz="24" w:space="0"/>
            </w:tcBorders>
            <w:vAlign w:val="center"/>
          </w:tcPr>
          <w:p>
            <w:pPr>
              <w:pStyle w:val="193"/>
              <w:rPr>
                <w:rFonts w:asciiTheme="minorEastAsia" w:hAnsiTheme="minorEastAsia" w:eastAsiaTheme="minorEastAsia"/>
                <w:kern w:val="2"/>
                <w:sz w:val="21"/>
                <w:szCs w:val="22"/>
              </w:rPr>
            </w:pPr>
            <w:r>
              <w:rPr>
                <w:rFonts w:hint="eastAsia" w:asciiTheme="minorEastAsia" w:hAnsiTheme="minorEastAsia" w:eastAsiaTheme="minorEastAsia"/>
                <w:kern w:val="2"/>
                <w:sz w:val="21"/>
                <w:szCs w:val="22"/>
              </w:rPr>
              <w:t>中心经纬度</w:t>
            </w:r>
          </w:p>
        </w:tc>
        <w:tc>
          <w:tcPr>
            <w:tcW w:w="7652" w:type="dxa"/>
            <w:gridSpan w:val="9"/>
            <w:tcBorders>
              <w:right w:val="thinThickSmallGap" w:color="auto" w:sz="24" w:space="0"/>
            </w:tcBorders>
            <w:vAlign w:val="center"/>
          </w:tcPr>
          <w:p>
            <w:pPr>
              <w:pStyle w:val="193"/>
              <w:rPr>
                <w:rFonts w:asciiTheme="minorEastAsia" w:hAnsiTheme="minorEastAsia" w:eastAsiaTheme="minorEastAsia"/>
                <w:color w:val="000000"/>
                <w:kern w:val="2"/>
                <w:sz w:val="21"/>
                <w:szCs w:val="22"/>
              </w:rPr>
            </w:pPr>
            <w:r>
              <w:rPr>
                <w:rFonts w:hint="eastAsia" w:asciiTheme="minorEastAsia" w:hAnsiTheme="minorEastAsia" w:eastAsiaTheme="minorEastAsia"/>
                <w:color w:val="000000"/>
                <w:kern w:val="2"/>
                <w:sz w:val="21"/>
                <w:szCs w:val="15"/>
              </w:rPr>
              <w:t>东经</w:t>
            </w:r>
            <w:r>
              <w:rPr>
                <w:rFonts w:asciiTheme="minorEastAsia" w:hAnsiTheme="minorEastAsia" w:eastAsiaTheme="minorEastAsia"/>
                <w:color w:val="000000"/>
                <w:kern w:val="2"/>
                <w:sz w:val="21"/>
                <w:szCs w:val="15"/>
              </w:rPr>
              <w:t>E107</w:t>
            </w:r>
            <w:r>
              <w:rPr>
                <w:rFonts w:hint="eastAsia" w:asciiTheme="minorEastAsia" w:hAnsiTheme="minorEastAsia" w:eastAsiaTheme="minorEastAsia"/>
                <w:color w:val="000000"/>
                <w:kern w:val="2"/>
                <w:sz w:val="21"/>
                <w:szCs w:val="15"/>
              </w:rPr>
              <w:t>°</w:t>
            </w:r>
            <w:r>
              <w:rPr>
                <w:rFonts w:asciiTheme="minorEastAsia" w:hAnsiTheme="minorEastAsia" w:eastAsiaTheme="minorEastAsia"/>
                <w:color w:val="000000"/>
                <w:kern w:val="2"/>
                <w:sz w:val="21"/>
                <w:szCs w:val="15"/>
              </w:rPr>
              <w:t>13</w:t>
            </w:r>
            <w:r>
              <w:rPr>
                <w:rFonts w:hint="eastAsia" w:asciiTheme="minorEastAsia" w:hAnsiTheme="minorEastAsia" w:eastAsiaTheme="minorEastAsia"/>
                <w:color w:val="000000"/>
                <w:kern w:val="2"/>
                <w:sz w:val="21"/>
                <w:szCs w:val="15"/>
              </w:rPr>
              <w:t>′</w:t>
            </w:r>
            <w:r>
              <w:rPr>
                <w:rFonts w:asciiTheme="minorEastAsia" w:hAnsiTheme="minorEastAsia" w:eastAsiaTheme="minorEastAsia"/>
                <w:color w:val="000000"/>
                <w:kern w:val="2"/>
                <w:sz w:val="21"/>
                <w:szCs w:val="15"/>
              </w:rPr>
              <w:t>52.27</w:t>
            </w:r>
            <w:r>
              <w:rPr>
                <w:rFonts w:hint="eastAsia" w:asciiTheme="minorEastAsia" w:hAnsiTheme="minorEastAsia" w:eastAsiaTheme="minorEastAsia"/>
                <w:color w:val="000000"/>
                <w:kern w:val="2"/>
                <w:sz w:val="21"/>
                <w:szCs w:val="15"/>
              </w:rPr>
              <w:t>′，北纬</w:t>
            </w:r>
            <w:r>
              <w:rPr>
                <w:rFonts w:asciiTheme="minorEastAsia" w:hAnsiTheme="minorEastAsia" w:eastAsiaTheme="minorEastAsia"/>
                <w:color w:val="000000"/>
                <w:kern w:val="2"/>
                <w:sz w:val="21"/>
                <w:szCs w:val="15"/>
              </w:rPr>
              <w:t>N29</w:t>
            </w:r>
            <w:r>
              <w:rPr>
                <w:rFonts w:hint="eastAsia" w:asciiTheme="minorEastAsia" w:hAnsiTheme="minorEastAsia" w:eastAsiaTheme="minorEastAsia"/>
                <w:color w:val="000000"/>
                <w:kern w:val="2"/>
                <w:sz w:val="21"/>
                <w:szCs w:val="15"/>
              </w:rPr>
              <w:t>°</w:t>
            </w:r>
            <w:r>
              <w:rPr>
                <w:rFonts w:asciiTheme="minorEastAsia" w:hAnsiTheme="minorEastAsia" w:eastAsiaTheme="minorEastAsia"/>
                <w:color w:val="000000"/>
                <w:kern w:val="2"/>
                <w:sz w:val="21"/>
                <w:szCs w:val="15"/>
              </w:rPr>
              <w:t>40</w:t>
            </w:r>
            <w:r>
              <w:rPr>
                <w:rFonts w:hint="eastAsia" w:asciiTheme="minorEastAsia" w:hAnsiTheme="minorEastAsia" w:eastAsiaTheme="minorEastAsia"/>
                <w:color w:val="000000"/>
                <w:kern w:val="2"/>
                <w:sz w:val="21"/>
                <w:szCs w:val="15"/>
              </w:rPr>
              <w:t>′</w:t>
            </w:r>
            <w:r>
              <w:rPr>
                <w:rFonts w:asciiTheme="minorEastAsia" w:hAnsiTheme="minorEastAsia" w:eastAsiaTheme="minorEastAsia"/>
                <w:color w:val="000000"/>
                <w:kern w:val="2"/>
                <w:sz w:val="21"/>
                <w:szCs w:val="15"/>
              </w:rPr>
              <w:t>55.75</w:t>
            </w:r>
            <w:r>
              <w:rPr>
                <w:rFonts w:hint="eastAsia" w:asciiTheme="minorEastAsia" w:hAnsiTheme="minorEastAsia" w:eastAsiaTheme="minorEastAsia"/>
                <w:color w:val="000000"/>
                <w:kern w:val="2"/>
                <w:sz w:val="21"/>
                <w:szCs w:val="15"/>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28" w:hRule="atLeast"/>
          <w:jc w:val="center"/>
        </w:trPr>
        <w:tc>
          <w:tcPr>
            <w:tcW w:w="1552" w:type="dxa"/>
            <w:tcBorders>
              <w:left w:val="thinThickSmallGap" w:color="auto" w:sz="24" w:space="0"/>
            </w:tcBorders>
            <w:vAlign w:val="center"/>
          </w:tcPr>
          <w:p>
            <w:pPr>
              <w:pStyle w:val="193"/>
              <w:rPr>
                <w:rFonts w:asciiTheme="minorEastAsia" w:hAnsiTheme="minorEastAsia" w:eastAsiaTheme="minorEastAsia"/>
                <w:kern w:val="2"/>
                <w:sz w:val="21"/>
                <w:szCs w:val="22"/>
              </w:rPr>
            </w:pPr>
            <w:r>
              <w:rPr>
                <w:rFonts w:hint="eastAsia" w:asciiTheme="minorEastAsia" w:hAnsiTheme="minorEastAsia" w:eastAsiaTheme="minorEastAsia"/>
                <w:kern w:val="2"/>
                <w:sz w:val="21"/>
                <w:szCs w:val="22"/>
              </w:rPr>
              <w:t>建厂时间</w:t>
            </w:r>
          </w:p>
        </w:tc>
        <w:tc>
          <w:tcPr>
            <w:tcW w:w="2388" w:type="dxa"/>
            <w:gridSpan w:val="3"/>
            <w:vAlign w:val="center"/>
          </w:tcPr>
          <w:p>
            <w:pPr>
              <w:pStyle w:val="193"/>
              <w:rPr>
                <w:rFonts w:asciiTheme="minorEastAsia" w:hAnsiTheme="minorEastAsia" w:eastAsiaTheme="minorEastAsia"/>
                <w:kern w:val="2"/>
                <w:sz w:val="21"/>
                <w:szCs w:val="15"/>
              </w:rPr>
            </w:pPr>
            <w:r>
              <w:rPr>
                <w:rFonts w:asciiTheme="minorEastAsia" w:hAnsiTheme="minorEastAsia" w:eastAsiaTheme="minorEastAsia"/>
                <w:kern w:val="2"/>
                <w:sz w:val="21"/>
                <w:szCs w:val="28"/>
              </w:rPr>
              <w:t>2010</w:t>
            </w:r>
            <w:r>
              <w:rPr>
                <w:rFonts w:hint="eastAsia" w:asciiTheme="minorEastAsia" w:hAnsiTheme="minorEastAsia" w:eastAsiaTheme="minorEastAsia"/>
                <w:kern w:val="2"/>
                <w:sz w:val="21"/>
                <w:szCs w:val="28"/>
              </w:rPr>
              <w:t>年</w:t>
            </w:r>
            <w:r>
              <w:rPr>
                <w:rFonts w:asciiTheme="minorEastAsia" w:hAnsiTheme="minorEastAsia" w:eastAsiaTheme="minorEastAsia"/>
                <w:kern w:val="2"/>
                <w:sz w:val="21"/>
                <w:szCs w:val="28"/>
              </w:rPr>
              <w:t>3</w:t>
            </w:r>
            <w:r>
              <w:rPr>
                <w:rFonts w:hint="eastAsia" w:asciiTheme="minorEastAsia" w:hAnsiTheme="minorEastAsia" w:eastAsiaTheme="minorEastAsia"/>
                <w:kern w:val="2"/>
                <w:sz w:val="21"/>
                <w:szCs w:val="28"/>
              </w:rPr>
              <w:t>月</w:t>
            </w:r>
          </w:p>
        </w:tc>
        <w:tc>
          <w:tcPr>
            <w:tcW w:w="1956" w:type="dxa"/>
            <w:gridSpan w:val="4"/>
            <w:vAlign w:val="center"/>
          </w:tcPr>
          <w:p>
            <w:pPr>
              <w:pStyle w:val="193"/>
              <w:rPr>
                <w:rFonts w:asciiTheme="minorEastAsia" w:hAnsiTheme="minorEastAsia" w:eastAsiaTheme="minorEastAsia"/>
                <w:kern w:val="2"/>
                <w:sz w:val="21"/>
                <w:szCs w:val="15"/>
              </w:rPr>
            </w:pPr>
            <w:r>
              <w:rPr>
                <w:rFonts w:hint="eastAsia" w:asciiTheme="minorEastAsia" w:hAnsiTheme="minorEastAsia" w:eastAsiaTheme="minorEastAsia"/>
                <w:kern w:val="2"/>
                <w:sz w:val="21"/>
                <w:szCs w:val="15"/>
              </w:rPr>
              <w:t>投产时间</w:t>
            </w:r>
          </w:p>
        </w:tc>
        <w:tc>
          <w:tcPr>
            <w:tcW w:w="3308" w:type="dxa"/>
            <w:gridSpan w:val="2"/>
            <w:tcBorders>
              <w:right w:val="thinThickSmallGap" w:color="auto" w:sz="24" w:space="0"/>
            </w:tcBorders>
            <w:vAlign w:val="center"/>
          </w:tcPr>
          <w:p>
            <w:pPr>
              <w:pStyle w:val="193"/>
              <w:rPr>
                <w:rFonts w:asciiTheme="minorEastAsia" w:hAnsiTheme="minorEastAsia" w:eastAsiaTheme="minorEastAsia"/>
                <w:kern w:val="2"/>
                <w:sz w:val="21"/>
                <w:szCs w:val="15"/>
              </w:rPr>
            </w:pPr>
            <w:r>
              <w:rPr>
                <w:rFonts w:asciiTheme="minorEastAsia" w:hAnsiTheme="minorEastAsia" w:eastAsiaTheme="minorEastAsia"/>
                <w:kern w:val="2"/>
                <w:sz w:val="21"/>
                <w:szCs w:val="28"/>
              </w:rPr>
              <w:t>2012</w:t>
            </w:r>
            <w:r>
              <w:rPr>
                <w:rFonts w:hint="eastAsia" w:asciiTheme="minorEastAsia" w:hAnsiTheme="minorEastAsia" w:eastAsiaTheme="minorEastAsia"/>
                <w:kern w:val="2"/>
                <w:sz w:val="21"/>
                <w:szCs w:val="28"/>
              </w:rPr>
              <w:t>年</w:t>
            </w:r>
            <w:r>
              <w:rPr>
                <w:rFonts w:asciiTheme="minorEastAsia" w:hAnsiTheme="minorEastAsia" w:eastAsiaTheme="minorEastAsia"/>
                <w:kern w:val="2"/>
                <w:sz w:val="21"/>
                <w:szCs w:val="28"/>
              </w:rPr>
              <w:t>1</w:t>
            </w:r>
            <w:r>
              <w:rPr>
                <w:rFonts w:hint="eastAsia" w:asciiTheme="minorEastAsia" w:hAnsiTheme="minorEastAsia" w:eastAsiaTheme="minorEastAsia"/>
                <w:kern w:val="2"/>
                <w:sz w:val="21"/>
                <w:szCs w:val="28"/>
              </w:rPr>
              <w:t>月</w:t>
            </w:r>
            <w:r>
              <w:rPr>
                <w:rFonts w:hint="eastAsia" w:asciiTheme="minorEastAsia" w:hAnsiTheme="minorEastAsia" w:eastAsiaTheme="minorEastAsia"/>
                <w:kern w:val="2"/>
                <w:sz w:val="21"/>
                <w:szCs w:val="21"/>
              </w:rPr>
              <w:t>正式投入</w:t>
            </w:r>
            <w:r>
              <w:rPr>
                <w:rFonts w:hint="eastAsia" w:asciiTheme="minorEastAsia" w:hAnsiTheme="minorEastAsia" w:eastAsiaTheme="minorEastAsia"/>
                <w:kern w:val="2"/>
                <w:sz w:val="21"/>
                <w:szCs w:val="28"/>
              </w:rPr>
              <w:t>生产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1" w:hRule="atLeast"/>
          <w:jc w:val="center"/>
        </w:trPr>
        <w:tc>
          <w:tcPr>
            <w:tcW w:w="1552" w:type="dxa"/>
            <w:tcBorders>
              <w:left w:val="thinThickSmallGap" w:color="auto" w:sz="24" w:space="0"/>
            </w:tcBorders>
            <w:vAlign w:val="center"/>
          </w:tcPr>
          <w:p>
            <w:pPr>
              <w:pStyle w:val="193"/>
              <w:rPr>
                <w:rFonts w:asciiTheme="minorEastAsia" w:hAnsiTheme="minorEastAsia" w:eastAsiaTheme="minorEastAsia"/>
                <w:kern w:val="2"/>
                <w:sz w:val="21"/>
                <w:szCs w:val="22"/>
              </w:rPr>
            </w:pPr>
            <w:r>
              <w:rPr>
                <w:rFonts w:hint="eastAsia" w:asciiTheme="minorEastAsia" w:hAnsiTheme="minorEastAsia" w:eastAsiaTheme="minorEastAsia"/>
                <w:kern w:val="2"/>
                <w:sz w:val="21"/>
                <w:szCs w:val="22"/>
              </w:rPr>
              <w:t>所属行业类别</w:t>
            </w:r>
          </w:p>
        </w:tc>
        <w:tc>
          <w:tcPr>
            <w:tcW w:w="7652" w:type="dxa"/>
            <w:gridSpan w:val="9"/>
            <w:tcBorders>
              <w:right w:val="thinThickSmallGap" w:color="auto" w:sz="24" w:space="0"/>
            </w:tcBorders>
            <w:vAlign w:val="center"/>
          </w:tcPr>
          <w:p>
            <w:pPr>
              <w:pStyle w:val="193"/>
              <w:rPr>
                <w:rFonts w:asciiTheme="minorEastAsia" w:hAnsiTheme="minorEastAsia" w:eastAsiaTheme="minorEastAsia"/>
                <w:kern w:val="2"/>
                <w:sz w:val="21"/>
                <w:szCs w:val="21"/>
              </w:rPr>
            </w:pPr>
            <w:r>
              <w:rPr>
                <w:rFonts w:cs="Arial" w:asciiTheme="minorEastAsia" w:hAnsiTheme="minorEastAsia" w:eastAsiaTheme="minorEastAsia"/>
                <w:color w:val="333333"/>
                <w:kern w:val="2"/>
                <w:sz w:val="21"/>
                <w:szCs w:val="21"/>
                <w:shd w:val="clear" w:color="auto" w:fill="FFFFFF"/>
              </w:rPr>
              <w:t>D4620</w:t>
            </w:r>
            <w:r>
              <w:rPr>
                <w:rFonts w:hint="eastAsia" w:cs="Arial" w:asciiTheme="minorEastAsia" w:hAnsiTheme="minorEastAsia" w:eastAsiaTheme="minorEastAsia"/>
                <w:color w:val="333333"/>
                <w:kern w:val="2"/>
                <w:sz w:val="21"/>
                <w:szCs w:val="21"/>
                <w:shd w:val="clear" w:color="auto" w:fill="FFFFFF"/>
              </w:rPr>
              <w:t>污水处理及其再生利用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7" w:hRule="atLeast"/>
          <w:jc w:val="center"/>
        </w:trPr>
        <w:tc>
          <w:tcPr>
            <w:tcW w:w="1552" w:type="dxa"/>
            <w:tcBorders>
              <w:left w:val="thinThickSmallGap" w:color="auto" w:sz="24" w:space="0"/>
            </w:tcBorders>
            <w:vAlign w:val="center"/>
          </w:tcPr>
          <w:p>
            <w:pPr>
              <w:pStyle w:val="193"/>
              <w:rPr>
                <w:rFonts w:asciiTheme="minorEastAsia" w:hAnsiTheme="minorEastAsia" w:eastAsiaTheme="minorEastAsia"/>
                <w:kern w:val="2"/>
                <w:sz w:val="21"/>
                <w:szCs w:val="22"/>
              </w:rPr>
            </w:pPr>
            <w:r>
              <w:rPr>
                <w:rFonts w:hint="eastAsia" w:asciiTheme="minorEastAsia" w:hAnsiTheme="minorEastAsia" w:eastAsiaTheme="minorEastAsia"/>
                <w:kern w:val="2"/>
                <w:sz w:val="21"/>
                <w:szCs w:val="22"/>
              </w:rPr>
              <w:t>企业规模</w:t>
            </w:r>
          </w:p>
        </w:tc>
        <w:tc>
          <w:tcPr>
            <w:tcW w:w="1943" w:type="dxa"/>
            <w:gridSpan w:val="2"/>
            <w:vAlign w:val="center"/>
          </w:tcPr>
          <w:p>
            <w:pPr>
              <w:pStyle w:val="193"/>
              <w:rPr>
                <w:rFonts w:asciiTheme="minorEastAsia" w:hAnsiTheme="minorEastAsia" w:eastAsiaTheme="minorEastAsia"/>
                <w:kern w:val="2"/>
                <w:sz w:val="21"/>
                <w:szCs w:val="22"/>
              </w:rPr>
            </w:pPr>
            <w:r>
              <w:rPr>
                <w:rFonts w:hint="eastAsia" w:asciiTheme="minorEastAsia" w:hAnsiTheme="minorEastAsia" w:eastAsiaTheme="minorEastAsia"/>
                <w:kern w:val="2"/>
                <w:sz w:val="21"/>
                <w:szCs w:val="22"/>
              </w:rPr>
              <w:t>小型</w:t>
            </w:r>
          </w:p>
        </w:tc>
        <w:tc>
          <w:tcPr>
            <w:tcW w:w="1305" w:type="dxa"/>
            <w:gridSpan w:val="3"/>
            <w:vAlign w:val="center"/>
          </w:tcPr>
          <w:p>
            <w:pPr>
              <w:pStyle w:val="193"/>
              <w:rPr>
                <w:rFonts w:asciiTheme="minorEastAsia" w:hAnsiTheme="minorEastAsia" w:eastAsiaTheme="minorEastAsia"/>
                <w:kern w:val="2"/>
                <w:sz w:val="21"/>
                <w:szCs w:val="22"/>
              </w:rPr>
            </w:pPr>
            <w:r>
              <w:rPr>
                <w:rFonts w:hint="eastAsia" w:asciiTheme="minorEastAsia" w:hAnsiTheme="minorEastAsia" w:eastAsiaTheme="minorEastAsia"/>
                <w:kern w:val="2"/>
                <w:sz w:val="21"/>
                <w:szCs w:val="22"/>
              </w:rPr>
              <w:t>占地面积</w:t>
            </w:r>
          </w:p>
        </w:tc>
        <w:tc>
          <w:tcPr>
            <w:tcW w:w="4404" w:type="dxa"/>
            <w:gridSpan w:val="4"/>
            <w:tcBorders>
              <w:right w:val="thinThickSmallGap" w:color="auto" w:sz="24" w:space="0"/>
            </w:tcBorders>
            <w:vAlign w:val="center"/>
          </w:tcPr>
          <w:p>
            <w:pPr>
              <w:pStyle w:val="193"/>
              <w:rPr>
                <w:rFonts w:asciiTheme="minorEastAsia" w:hAnsiTheme="minorEastAsia" w:eastAsiaTheme="minorEastAsia"/>
                <w:kern w:val="2"/>
                <w:sz w:val="21"/>
                <w:szCs w:val="22"/>
              </w:rPr>
            </w:pPr>
            <w:r>
              <w:rPr>
                <w:rFonts w:asciiTheme="minorEastAsia" w:hAnsiTheme="minorEastAsia" w:eastAsiaTheme="minorEastAsia"/>
                <w:kern w:val="2"/>
                <w:sz w:val="21"/>
                <w:szCs w:val="22"/>
              </w:rPr>
              <w:t>31.29</w:t>
            </w:r>
            <w:r>
              <w:rPr>
                <w:rFonts w:hint="eastAsia" w:asciiTheme="minorEastAsia" w:hAnsiTheme="minorEastAsia" w:eastAsiaTheme="minorEastAsia"/>
                <w:kern w:val="2"/>
                <w:sz w:val="21"/>
                <w:szCs w:val="22"/>
              </w:rPr>
              <w:t>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9" w:hRule="atLeast"/>
          <w:jc w:val="center"/>
        </w:trPr>
        <w:tc>
          <w:tcPr>
            <w:tcW w:w="1552" w:type="dxa"/>
            <w:tcBorders>
              <w:left w:val="thinThickSmallGap" w:color="auto" w:sz="24" w:space="0"/>
            </w:tcBorders>
            <w:vAlign w:val="center"/>
          </w:tcPr>
          <w:p>
            <w:pPr>
              <w:pStyle w:val="193"/>
              <w:rPr>
                <w:rFonts w:asciiTheme="minorEastAsia" w:hAnsiTheme="minorEastAsia" w:eastAsiaTheme="minorEastAsia"/>
                <w:kern w:val="2"/>
                <w:sz w:val="21"/>
                <w:szCs w:val="22"/>
              </w:rPr>
            </w:pPr>
            <w:r>
              <w:rPr>
                <w:rFonts w:hint="eastAsia" w:asciiTheme="minorEastAsia" w:hAnsiTheme="minorEastAsia" w:eastAsiaTheme="minorEastAsia"/>
                <w:kern w:val="2"/>
                <w:sz w:val="21"/>
                <w:szCs w:val="22"/>
              </w:rPr>
              <w:t>劳动定员</w:t>
            </w:r>
          </w:p>
        </w:tc>
        <w:tc>
          <w:tcPr>
            <w:tcW w:w="7652" w:type="dxa"/>
            <w:gridSpan w:val="9"/>
            <w:tcBorders>
              <w:right w:val="thinThickSmallGap" w:color="auto" w:sz="24" w:space="0"/>
            </w:tcBorders>
            <w:vAlign w:val="center"/>
          </w:tcPr>
          <w:p>
            <w:pPr>
              <w:pStyle w:val="193"/>
              <w:rPr>
                <w:rFonts w:asciiTheme="minorEastAsia" w:hAnsiTheme="minorEastAsia" w:eastAsiaTheme="minorEastAsia"/>
                <w:kern w:val="2"/>
                <w:sz w:val="21"/>
                <w:szCs w:val="22"/>
              </w:rPr>
            </w:pPr>
            <w:r>
              <w:rPr>
                <w:rFonts w:hint="eastAsia" w:asciiTheme="minorEastAsia" w:hAnsiTheme="minorEastAsia" w:eastAsiaTheme="minorEastAsia"/>
                <w:kern w:val="2"/>
                <w:sz w:val="21"/>
                <w:szCs w:val="22"/>
              </w:rPr>
              <w:t>定员</w:t>
            </w:r>
            <w:r>
              <w:rPr>
                <w:rFonts w:asciiTheme="minorEastAsia" w:hAnsiTheme="minorEastAsia" w:eastAsiaTheme="minorEastAsia"/>
                <w:kern w:val="2"/>
                <w:sz w:val="21"/>
                <w:szCs w:val="22"/>
              </w:rPr>
              <w:t>10</w:t>
            </w:r>
            <w:r>
              <w:rPr>
                <w:rFonts w:hint="eastAsia" w:asciiTheme="minorEastAsia" w:hAnsiTheme="minorEastAsia" w:eastAsiaTheme="minorEastAsia"/>
                <w:kern w:val="2"/>
                <w:sz w:val="21"/>
                <w:szCs w:val="22"/>
              </w:rPr>
              <w:t>人，</w:t>
            </w:r>
            <w:r>
              <w:rPr>
                <w:rFonts w:hint="eastAsia" w:asciiTheme="minorEastAsia" w:hAnsiTheme="minorEastAsia" w:eastAsiaTheme="minorEastAsia"/>
                <w:kern w:val="2"/>
                <w:sz w:val="21"/>
                <w:szCs w:val="21"/>
              </w:rPr>
              <w:t>其中管理人员</w:t>
            </w:r>
            <w:r>
              <w:rPr>
                <w:rFonts w:asciiTheme="minorEastAsia" w:hAnsiTheme="minorEastAsia" w:eastAsiaTheme="minorEastAsia"/>
                <w:kern w:val="2"/>
                <w:sz w:val="21"/>
                <w:szCs w:val="21"/>
              </w:rPr>
              <w:t>2</w:t>
            </w:r>
            <w:r>
              <w:rPr>
                <w:rFonts w:hint="eastAsia" w:asciiTheme="minorEastAsia" w:hAnsiTheme="minorEastAsia" w:eastAsiaTheme="minorEastAsia"/>
                <w:kern w:val="2"/>
                <w:sz w:val="21"/>
                <w:szCs w:val="21"/>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1552" w:type="dxa"/>
            <w:tcBorders>
              <w:left w:val="thinThickSmallGap" w:color="auto" w:sz="24" w:space="0"/>
            </w:tcBorders>
            <w:vAlign w:val="center"/>
          </w:tcPr>
          <w:p>
            <w:pPr>
              <w:pStyle w:val="193"/>
              <w:rPr>
                <w:rFonts w:asciiTheme="minorEastAsia" w:hAnsiTheme="minorEastAsia" w:eastAsiaTheme="minorEastAsia"/>
                <w:kern w:val="2"/>
                <w:sz w:val="21"/>
                <w:szCs w:val="22"/>
              </w:rPr>
            </w:pPr>
            <w:r>
              <w:rPr>
                <w:rFonts w:hint="eastAsia" w:asciiTheme="minorEastAsia" w:hAnsiTheme="minorEastAsia" w:eastAsiaTheme="minorEastAsia"/>
                <w:kern w:val="2"/>
                <w:sz w:val="21"/>
                <w:szCs w:val="22"/>
              </w:rPr>
              <w:t>工作制度</w:t>
            </w:r>
          </w:p>
        </w:tc>
        <w:tc>
          <w:tcPr>
            <w:tcW w:w="7652" w:type="dxa"/>
            <w:gridSpan w:val="9"/>
            <w:tcBorders>
              <w:right w:val="thinThickSmallGap" w:color="auto" w:sz="24" w:space="0"/>
            </w:tcBorders>
            <w:vAlign w:val="center"/>
          </w:tcPr>
          <w:p>
            <w:pPr>
              <w:pStyle w:val="193"/>
              <w:rPr>
                <w:rFonts w:asciiTheme="minorEastAsia" w:hAnsiTheme="minorEastAsia" w:eastAsiaTheme="minorEastAsia"/>
                <w:kern w:val="2"/>
                <w:sz w:val="21"/>
                <w:szCs w:val="22"/>
              </w:rPr>
            </w:pPr>
            <w:r>
              <w:rPr>
                <w:rFonts w:hint="eastAsia" w:asciiTheme="minorEastAsia" w:hAnsiTheme="minorEastAsia" w:eastAsiaTheme="minorEastAsia"/>
                <w:kern w:val="2"/>
                <w:sz w:val="21"/>
                <w:szCs w:val="22"/>
              </w:rPr>
              <w:t>年生产天数</w:t>
            </w:r>
            <w:r>
              <w:rPr>
                <w:rFonts w:asciiTheme="minorEastAsia" w:hAnsiTheme="minorEastAsia" w:eastAsiaTheme="minorEastAsia"/>
                <w:kern w:val="2"/>
                <w:sz w:val="21"/>
                <w:szCs w:val="22"/>
              </w:rPr>
              <w:t>365</w:t>
            </w:r>
            <w:r>
              <w:rPr>
                <w:rFonts w:hint="eastAsia" w:asciiTheme="minorEastAsia" w:hAnsiTheme="minorEastAsia" w:eastAsiaTheme="minorEastAsia"/>
                <w:kern w:val="2"/>
                <w:sz w:val="21"/>
                <w:szCs w:val="22"/>
              </w:rPr>
              <w:t>，生产制度实行四班三运转，操作时数为</w:t>
            </w:r>
            <w:r>
              <w:rPr>
                <w:rFonts w:asciiTheme="minorEastAsia" w:hAnsiTheme="minorEastAsia" w:eastAsiaTheme="minorEastAsia"/>
                <w:kern w:val="2"/>
                <w:sz w:val="21"/>
                <w:szCs w:val="22"/>
              </w:rPr>
              <w:t>8786</w:t>
            </w:r>
            <w:r>
              <w:rPr>
                <w:rFonts w:hint="eastAsia" w:asciiTheme="minorEastAsia" w:hAnsiTheme="minorEastAsia" w:eastAsiaTheme="minorEastAsia"/>
                <w:kern w:val="2"/>
                <w:sz w:val="21"/>
                <w:szCs w:val="22"/>
              </w:rPr>
              <w:t>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9" w:hRule="atLeast"/>
          <w:jc w:val="center"/>
        </w:trPr>
        <w:tc>
          <w:tcPr>
            <w:tcW w:w="1552" w:type="dxa"/>
            <w:tcBorders>
              <w:left w:val="thinThickSmallGap" w:color="auto" w:sz="24" w:space="0"/>
              <w:bottom w:val="thinThickSmallGap" w:color="auto" w:sz="24" w:space="0"/>
            </w:tcBorders>
            <w:vAlign w:val="center"/>
          </w:tcPr>
          <w:p>
            <w:pPr>
              <w:pStyle w:val="193"/>
              <w:rPr>
                <w:rFonts w:asciiTheme="minorEastAsia" w:hAnsiTheme="minorEastAsia" w:eastAsiaTheme="minorEastAsia"/>
                <w:kern w:val="2"/>
                <w:sz w:val="21"/>
                <w:szCs w:val="22"/>
              </w:rPr>
            </w:pPr>
            <w:r>
              <w:rPr>
                <w:rFonts w:hint="eastAsia" w:asciiTheme="minorEastAsia" w:hAnsiTheme="minorEastAsia" w:eastAsiaTheme="minorEastAsia"/>
                <w:kern w:val="2"/>
                <w:sz w:val="21"/>
                <w:szCs w:val="22"/>
              </w:rPr>
              <w:t>产品方案</w:t>
            </w:r>
          </w:p>
        </w:tc>
        <w:tc>
          <w:tcPr>
            <w:tcW w:w="7652" w:type="dxa"/>
            <w:gridSpan w:val="9"/>
            <w:tcBorders>
              <w:bottom w:val="thinThickSmallGap" w:color="auto" w:sz="24" w:space="0"/>
              <w:right w:val="thinThickSmallGap" w:color="auto" w:sz="24" w:space="0"/>
            </w:tcBorders>
            <w:vAlign w:val="center"/>
          </w:tcPr>
          <w:p>
            <w:pPr>
              <w:ind w:firstLine="525" w:firstLineChars="250"/>
              <w:jc w:val="center"/>
              <w:rPr>
                <w:rFonts w:asciiTheme="minorEastAsia" w:hAnsiTheme="minorEastAsia" w:eastAsiaTheme="minorEastAsia"/>
                <w:color w:val="000000"/>
                <w:szCs w:val="21"/>
              </w:rPr>
            </w:pPr>
            <w:r>
              <w:rPr>
                <w:rFonts w:hint="eastAsia" w:cs="??_GB2312" w:asciiTheme="minorEastAsia" w:hAnsiTheme="minorEastAsia" w:eastAsiaTheme="minorEastAsia"/>
                <w:kern w:val="0"/>
                <w:szCs w:val="21"/>
                <w:lang w:val="zh-CN"/>
              </w:rPr>
              <w:t>污水处理规模为</w:t>
            </w:r>
            <w:r>
              <w:rPr>
                <w:rFonts w:cs="??_GB2312" w:asciiTheme="minorEastAsia" w:hAnsiTheme="minorEastAsia" w:eastAsiaTheme="minorEastAsia"/>
                <w:kern w:val="0"/>
                <w:szCs w:val="21"/>
                <w:lang w:val="zh-CN"/>
              </w:rPr>
              <w:t>10000</w:t>
            </w:r>
            <w:r>
              <w:rPr>
                <w:rFonts w:hint="eastAsia" w:cs="??_GB2312" w:asciiTheme="minorEastAsia" w:hAnsiTheme="minorEastAsia" w:eastAsiaTheme="minorEastAsia"/>
                <w:kern w:val="0"/>
                <w:szCs w:val="21"/>
                <w:lang w:val="zh-CN"/>
              </w:rPr>
              <w:t>吨</w:t>
            </w:r>
            <w:r>
              <w:rPr>
                <w:rFonts w:cs="??_GB2312" w:asciiTheme="minorEastAsia" w:hAnsiTheme="minorEastAsia" w:eastAsiaTheme="minorEastAsia"/>
                <w:kern w:val="0"/>
                <w:szCs w:val="21"/>
                <w:lang w:val="zh-CN"/>
              </w:rPr>
              <w:t>/</w:t>
            </w:r>
            <w:r>
              <w:rPr>
                <w:rFonts w:hint="eastAsia" w:cs="??_GB2312" w:asciiTheme="minorEastAsia" w:hAnsiTheme="minorEastAsia" w:eastAsiaTheme="minorEastAsia"/>
                <w:kern w:val="0"/>
                <w:szCs w:val="21"/>
                <w:lang w:val="zh-CN"/>
              </w:rPr>
              <w:t>日</w:t>
            </w:r>
            <w:r>
              <w:rPr>
                <w:rFonts w:hint="eastAsia" w:cs="??_GB2312" w:asciiTheme="minorEastAsia" w:hAnsiTheme="minorEastAsia" w:eastAsiaTheme="minorEastAsia"/>
                <w:kern w:val="0"/>
                <w:szCs w:val="24"/>
                <w:lang w:val="zh-CN"/>
              </w:rPr>
              <w:t>、一般污泥</w:t>
            </w:r>
          </w:p>
        </w:tc>
      </w:tr>
    </w:tbl>
    <w:p>
      <w:pPr>
        <w:adjustRightInd w:val="0"/>
        <w:snapToGrid w:val="0"/>
        <w:spacing w:line="460" w:lineRule="exact"/>
        <w:outlineLvl w:val="1"/>
        <w:rPr>
          <w:b/>
          <w:color w:val="000000"/>
          <w:sz w:val="28"/>
          <w:szCs w:val="28"/>
        </w:rPr>
      </w:pPr>
      <w:bookmarkStart w:id="102" w:name="_Toc5268"/>
      <w:r>
        <w:rPr>
          <w:b/>
          <w:color w:val="000000"/>
          <w:sz w:val="28"/>
          <w:szCs w:val="28"/>
          <w:lang w:val="zh-CN"/>
        </w:rPr>
        <w:t xml:space="preserve">2.2 </w:t>
      </w:r>
      <w:r>
        <w:rPr>
          <w:rFonts w:hint="eastAsia"/>
          <w:b/>
          <w:color w:val="000000"/>
          <w:sz w:val="28"/>
          <w:szCs w:val="28"/>
          <w:lang w:val="zh-CN"/>
        </w:rPr>
        <w:t>周边环境概况</w:t>
      </w:r>
      <w:bookmarkEnd w:id="102"/>
    </w:p>
    <w:p>
      <w:pPr>
        <w:autoSpaceDE w:val="0"/>
        <w:autoSpaceDN w:val="0"/>
        <w:adjustRightInd w:val="0"/>
        <w:spacing w:line="460" w:lineRule="exact"/>
        <w:jc w:val="left"/>
        <w:rPr>
          <w:rFonts w:cs="??_GB2312" w:asciiTheme="minorEastAsia" w:hAnsiTheme="minorEastAsia" w:eastAsiaTheme="minorEastAsia"/>
          <w:b/>
          <w:sz w:val="28"/>
          <w:szCs w:val="28"/>
          <w:lang w:val="zh-CN"/>
        </w:rPr>
      </w:pPr>
      <w:r>
        <w:rPr>
          <w:rFonts w:cs="??_GB2312" w:asciiTheme="minorEastAsia" w:hAnsiTheme="minorEastAsia" w:eastAsiaTheme="minorEastAsia"/>
          <w:b/>
          <w:sz w:val="28"/>
          <w:szCs w:val="28"/>
          <w:lang w:val="zh-CN"/>
        </w:rPr>
        <w:t>2.2.1</w:t>
      </w:r>
      <w:r>
        <w:rPr>
          <w:rFonts w:hint="eastAsia" w:cs="??_GB2312" w:asciiTheme="minorEastAsia" w:hAnsiTheme="minorEastAsia" w:eastAsiaTheme="minorEastAsia"/>
          <w:b/>
          <w:sz w:val="28"/>
          <w:szCs w:val="28"/>
          <w:lang w:val="zh-CN"/>
        </w:rPr>
        <w:t>地理位置</w:t>
      </w:r>
    </w:p>
    <w:p>
      <w:pPr>
        <w:spacing w:line="460" w:lineRule="exact"/>
        <w:ind w:firstLine="482"/>
        <w:jc w:val="left"/>
        <w:rPr>
          <w:rFonts w:asciiTheme="minorEastAsia" w:hAnsiTheme="minorEastAsia" w:eastAsiaTheme="minorEastAsia"/>
          <w:sz w:val="24"/>
          <w:szCs w:val="24"/>
        </w:rPr>
      </w:pPr>
      <w:r>
        <w:rPr>
          <w:rFonts w:hint="eastAsia" w:cs="??_GB2312" w:asciiTheme="minorEastAsia" w:hAnsiTheme="minorEastAsia" w:eastAsiaTheme="minorEastAsia"/>
          <w:sz w:val="24"/>
          <w:szCs w:val="24"/>
        </w:rPr>
        <w:t>重庆市涪陵区拓源污水治理有限公司</w:t>
      </w:r>
      <w:r>
        <w:rPr>
          <w:rFonts w:hint="eastAsia" w:asciiTheme="minorEastAsia" w:hAnsiTheme="minorEastAsia" w:eastAsiaTheme="minorEastAsia"/>
          <w:snapToGrid w:val="0"/>
          <w:sz w:val="24"/>
          <w:szCs w:val="24"/>
        </w:rPr>
        <w:t>龙桥污水处理厂</w:t>
      </w:r>
      <w:r>
        <w:rPr>
          <w:rFonts w:hint="eastAsia" w:cs="??_GB2312" w:asciiTheme="minorEastAsia" w:hAnsiTheme="minorEastAsia" w:eastAsiaTheme="minorEastAsia"/>
          <w:kern w:val="0"/>
          <w:sz w:val="24"/>
          <w:szCs w:val="24"/>
          <w:lang w:val="zh-CN"/>
        </w:rPr>
        <w:t>位于涪陵区龙桥街道白拱居委石灰湾，占地面积</w:t>
      </w:r>
      <w:r>
        <w:rPr>
          <w:rFonts w:cs="??_GB2312" w:asciiTheme="minorEastAsia" w:hAnsiTheme="minorEastAsia" w:eastAsiaTheme="minorEastAsia"/>
          <w:kern w:val="0"/>
          <w:sz w:val="24"/>
          <w:szCs w:val="24"/>
          <w:lang w:val="zh-CN"/>
        </w:rPr>
        <w:t>31.29</w:t>
      </w:r>
      <w:r>
        <w:rPr>
          <w:rFonts w:hint="eastAsia" w:cs="??_GB2312" w:asciiTheme="minorEastAsia" w:hAnsiTheme="minorEastAsia" w:eastAsiaTheme="minorEastAsia"/>
          <w:kern w:val="0"/>
          <w:sz w:val="24"/>
          <w:szCs w:val="24"/>
          <w:lang w:val="zh-CN"/>
        </w:rPr>
        <w:t>亩，地理坐标于</w:t>
      </w:r>
      <w:r>
        <w:rPr>
          <w:rFonts w:hint="eastAsia" w:asciiTheme="minorEastAsia" w:hAnsiTheme="minorEastAsia" w:eastAsiaTheme="minorEastAsia"/>
          <w:color w:val="000000"/>
          <w:sz w:val="24"/>
          <w:szCs w:val="24"/>
        </w:rPr>
        <w:t>东经</w:t>
      </w:r>
      <w:r>
        <w:rPr>
          <w:rFonts w:asciiTheme="minorEastAsia" w:hAnsiTheme="minorEastAsia" w:eastAsiaTheme="minorEastAsia"/>
          <w:color w:val="000000"/>
          <w:sz w:val="24"/>
          <w:szCs w:val="24"/>
        </w:rPr>
        <w:t>E107</w:t>
      </w:r>
      <w:r>
        <w:rPr>
          <w:rFonts w:hint="eastAsia" w:asciiTheme="minorEastAsia" w:hAnsiTheme="minorEastAsia" w:eastAsiaTheme="minorEastAsia"/>
          <w:color w:val="000000"/>
          <w:sz w:val="24"/>
          <w:szCs w:val="24"/>
        </w:rPr>
        <w:t>°</w:t>
      </w:r>
      <w:r>
        <w:rPr>
          <w:rFonts w:asciiTheme="minorEastAsia" w:hAnsiTheme="minorEastAsia" w:eastAsiaTheme="minorEastAsia"/>
          <w:color w:val="000000"/>
          <w:sz w:val="24"/>
          <w:szCs w:val="24"/>
        </w:rPr>
        <w:t>13</w:t>
      </w:r>
      <w:r>
        <w:rPr>
          <w:rFonts w:hint="eastAsia" w:asciiTheme="minorEastAsia" w:hAnsiTheme="minorEastAsia" w:eastAsiaTheme="minorEastAsia"/>
          <w:color w:val="000000"/>
          <w:sz w:val="24"/>
          <w:szCs w:val="24"/>
        </w:rPr>
        <w:t>′</w:t>
      </w:r>
      <w:r>
        <w:rPr>
          <w:rFonts w:asciiTheme="minorEastAsia" w:hAnsiTheme="minorEastAsia" w:eastAsiaTheme="minorEastAsia"/>
          <w:color w:val="000000"/>
          <w:sz w:val="24"/>
          <w:szCs w:val="24"/>
        </w:rPr>
        <w:t>52.27</w:t>
      </w:r>
      <w:r>
        <w:rPr>
          <w:rFonts w:hint="eastAsia" w:asciiTheme="minorEastAsia" w:hAnsiTheme="minorEastAsia" w:eastAsiaTheme="minorEastAsia"/>
          <w:color w:val="000000"/>
          <w:sz w:val="24"/>
          <w:szCs w:val="24"/>
        </w:rPr>
        <w:t>′，北纬</w:t>
      </w:r>
      <w:r>
        <w:rPr>
          <w:rFonts w:asciiTheme="minorEastAsia" w:hAnsiTheme="minorEastAsia" w:eastAsiaTheme="minorEastAsia"/>
          <w:color w:val="000000"/>
          <w:sz w:val="24"/>
          <w:szCs w:val="24"/>
        </w:rPr>
        <w:t>N29</w:t>
      </w:r>
      <w:r>
        <w:rPr>
          <w:rFonts w:hint="eastAsia" w:asciiTheme="minorEastAsia" w:hAnsiTheme="minorEastAsia" w:eastAsiaTheme="minorEastAsia"/>
          <w:color w:val="000000"/>
          <w:sz w:val="24"/>
          <w:szCs w:val="24"/>
        </w:rPr>
        <w:t>°</w:t>
      </w:r>
      <w:r>
        <w:rPr>
          <w:rFonts w:asciiTheme="minorEastAsia" w:hAnsiTheme="minorEastAsia" w:eastAsiaTheme="minorEastAsia"/>
          <w:color w:val="000000"/>
          <w:sz w:val="24"/>
          <w:szCs w:val="24"/>
        </w:rPr>
        <w:t>40</w:t>
      </w:r>
      <w:r>
        <w:rPr>
          <w:rFonts w:hint="eastAsia" w:asciiTheme="minorEastAsia" w:hAnsiTheme="minorEastAsia" w:eastAsiaTheme="minorEastAsia"/>
          <w:color w:val="000000"/>
          <w:sz w:val="24"/>
          <w:szCs w:val="24"/>
        </w:rPr>
        <w:t>′</w:t>
      </w:r>
      <w:r>
        <w:rPr>
          <w:rFonts w:asciiTheme="minorEastAsia" w:hAnsiTheme="minorEastAsia" w:eastAsiaTheme="minorEastAsia"/>
          <w:color w:val="000000"/>
          <w:sz w:val="24"/>
          <w:szCs w:val="24"/>
        </w:rPr>
        <w:t>55.75</w:t>
      </w:r>
      <w:r>
        <w:rPr>
          <w:rFonts w:hint="eastAsia" w:asciiTheme="minorEastAsia" w:hAnsiTheme="minorEastAsia" w:eastAsiaTheme="minorEastAsia"/>
          <w:color w:val="000000"/>
          <w:sz w:val="24"/>
          <w:szCs w:val="24"/>
        </w:rPr>
        <w:t>′。厂区距重庆主城</w:t>
      </w:r>
      <w:r>
        <w:rPr>
          <w:rFonts w:asciiTheme="minorEastAsia" w:hAnsiTheme="minorEastAsia" w:eastAsiaTheme="minorEastAsia"/>
          <w:color w:val="000000"/>
          <w:sz w:val="24"/>
          <w:szCs w:val="24"/>
        </w:rPr>
        <w:t>110</w:t>
      </w:r>
      <w:r>
        <w:rPr>
          <w:rFonts w:hint="eastAsia" w:asciiTheme="minorEastAsia" w:hAnsiTheme="minorEastAsia" w:eastAsiaTheme="minorEastAsia"/>
          <w:color w:val="000000"/>
          <w:sz w:val="24"/>
          <w:szCs w:val="24"/>
        </w:rPr>
        <w:t>公里，距涪陵城区</w:t>
      </w:r>
      <w:r>
        <w:rPr>
          <w:rFonts w:asciiTheme="minorEastAsia" w:hAnsiTheme="minorEastAsia" w:eastAsiaTheme="minorEastAsia"/>
          <w:color w:val="000000"/>
          <w:sz w:val="24"/>
          <w:szCs w:val="24"/>
        </w:rPr>
        <w:t>25</w:t>
      </w:r>
      <w:r>
        <w:rPr>
          <w:rFonts w:hint="eastAsia" w:asciiTheme="minorEastAsia" w:hAnsiTheme="minorEastAsia" w:eastAsiaTheme="minorEastAsia"/>
          <w:color w:val="000000"/>
          <w:sz w:val="24"/>
          <w:szCs w:val="24"/>
        </w:rPr>
        <w:t>公里，</w:t>
      </w:r>
      <w:r>
        <w:rPr>
          <w:rFonts w:hint="eastAsia" w:asciiTheme="minorEastAsia" w:hAnsiTheme="minorEastAsia" w:eastAsiaTheme="minorEastAsia"/>
          <w:sz w:val="24"/>
          <w:szCs w:val="24"/>
        </w:rPr>
        <w:t>园区东距涪陵城区</w:t>
      </w:r>
      <w:r>
        <w:rPr>
          <w:rFonts w:asciiTheme="minorEastAsia" w:hAnsiTheme="minorEastAsia" w:eastAsiaTheme="minorEastAsia"/>
          <w:sz w:val="24"/>
          <w:szCs w:val="24"/>
        </w:rPr>
        <w:t>12km</w:t>
      </w:r>
      <w:r>
        <w:rPr>
          <w:rFonts w:hint="eastAsia" w:asciiTheme="minorEastAsia" w:hAnsiTheme="minorEastAsia" w:eastAsiaTheme="minorEastAsia"/>
          <w:sz w:val="24"/>
          <w:szCs w:val="24"/>
        </w:rPr>
        <w:t>，长江对岸是</w:t>
      </w:r>
      <w:bookmarkStart w:id="822" w:name="_GoBack"/>
      <w:bookmarkEnd w:id="822"/>
      <w:r>
        <w:rPr>
          <w:rFonts w:hint="eastAsia" w:asciiTheme="minorEastAsia" w:hAnsiTheme="minorEastAsia" w:eastAsiaTheme="minorEastAsia"/>
          <w:sz w:val="24"/>
          <w:szCs w:val="24"/>
        </w:rPr>
        <w:t>李渡工业园区。与渝怀铁路、涪陵火车站西站、铁公水联运港口和涪陵李渡长江大桥等紧邻，地理位置十分优越。</w:t>
      </w:r>
    </w:p>
    <w:p>
      <w:pPr>
        <w:spacing w:line="460" w:lineRule="exact"/>
        <w:jc w:val="left"/>
        <w:rPr>
          <w:rFonts w:asciiTheme="minorEastAsia" w:hAnsiTheme="minorEastAsia" w:eastAsiaTheme="minorEastAsia"/>
          <w:b/>
          <w:sz w:val="24"/>
          <w:szCs w:val="24"/>
        </w:rPr>
      </w:pPr>
      <w:r>
        <w:rPr>
          <w:rFonts w:asciiTheme="minorEastAsia" w:hAnsiTheme="minorEastAsia" w:eastAsiaTheme="minorEastAsia"/>
          <w:b/>
          <w:sz w:val="28"/>
          <w:szCs w:val="28"/>
        </w:rPr>
        <w:t>2.2.2</w:t>
      </w:r>
      <w:r>
        <w:rPr>
          <w:rFonts w:hint="eastAsia" w:asciiTheme="minorEastAsia" w:hAnsiTheme="minorEastAsia" w:eastAsiaTheme="minorEastAsia"/>
          <w:b/>
          <w:sz w:val="28"/>
          <w:szCs w:val="28"/>
        </w:rPr>
        <w:t>地形、地貌与地质情况</w:t>
      </w:r>
    </w:p>
    <w:p>
      <w:pPr>
        <w:spacing w:line="460" w:lineRule="exact"/>
        <w:ind w:firstLine="480"/>
        <w:jc w:val="left"/>
        <w:rPr>
          <w:rFonts w:asciiTheme="minorEastAsia" w:hAnsiTheme="minorEastAsia" w:eastAsiaTheme="minorEastAsia"/>
          <w:sz w:val="24"/>
          <w:szCs w:val="24"/>
        </w:rPr>
      </w:pPr>
      <w:r>
        <w:rPr>
          <w:rFonts w:hint="eastAsia" w:asciiTheme="minorEastAsia" w:hAnsiTheme="minorEastAsia" w:eastAsiaTheme="minorEastAsia"/>
          <w:snapToGrid w:val="0"/>
          <w:sz w:val="24"/>
          <w:szCs w:val="24"/>
        </w:rPr>
        <w:t>龙桥污水处理厂所处位置岩层属侏罗系中统上沙溪庙组第三层</w:t>
      </w:r>
      <w:r>
        <w:rPr>
          <w:rFonts w:asciiTheme="minorEastAsia" w:hAnsiTheme="minorEastAsia" w:eastAsiaTheme="minorEastAsia"/>
          <w:snapToGrid w:val="0"/>
          <w:sz w:val="24"/>
          <w:szCs w:val="24"/>
        </w:rPr>
        <w:t>(J</w:t>
      </w:r>
      <w:r>
        <w:rPr>
          <w:rFonts w:hint="eastAsia" w:asciiTheme="minorEastAsia" w:hAnsiTheme="minorEastAsia" w:eastAsiaTheme="minorEastAsia"/>
          <w:snapToGrid w:val="0"/>
          <w:sz w:val="24"/>
          <w:szCs w:val="24"/>
        </w:rPr>
        <w:t>。</w:t>
      </w:r>
      <w:r>
        <w:rPr>
          <w:rFonts w:asciiTheme="minorEastAsia" w:hAnsiTheme="minorEastAsia" w:eastAsiaTheme="minorEastAsia"/>
          <w:snapToGrid w:val="0"/>
          <w:sz w:val="24"/>
          <w:szCs w:val="24"/>
        </w:rPr>
        <w:t>2s)</w:t>
      </w:r>
      <w:r>
        <w:rPr>
          <w:rFonts w:hint="eastAsia" w:asciiTheme="minorEastAsia" w:hAnsiTheme="minorEastAsia" w:eastAsiaTheme="minorEastAsia"/>
          <w:snapToGrid w:val="0"/>
          <w:sz w:val="24"/>
          <w:szCs w:val="24"/>
        </w:rPr>
        <w:t>，以暗紫色、紫红色及灰白色砂岩互层，据勘探结果，厂址地层主要由第四系残坡积粘土，红棕色，一般</w:t>
      </w:r>
      <w:r>
        <w:rPr>
          <w:rFonts w:asciiTheme="minorEastAsia" w:hAnsiTheme="minorEastAsia" w:eastAsiaTheme="minorEastAsia"/>
          <w:snapToGrid w:val="0"/>
          <w:sz w:val="24"/>
          <w:szCs w:val="24"/>
        </w:rPr>
        <w:t>1</w:t>
      </w:r>
      <w:r>
        <w:rPr>
          <w:rFonts w:hint="eastAsia" w:asciiTheme="minorEastAsia" w:hAnsiTheme="minorEastAsia" w:eastAsiaTheme="minorEastAsia"/>
          <w:snapToGrid w:val="0"/>
          <w:sz w:val="24"/>
          <w:szCs w:val="24"/>
        </w:rPr>
        <w:t>～</w:t>
      </w:r>
      <w:r>
        <w:rPr>
          <w:rFonts w:asciiTheme="minorEastAsia" w:hAnsiTheme="minorEastAsia" w:eastAsiaTheme="minorEastAsia"/>
          <w:snapToGrid w:val="0"/>
          <w:sz w:val="24"/>
          <w:szCs w:val="24"/>
        </w:rPr>
        <w:t>3m</w:t>
      </w:r>
      <w:r>
        <w:rPr>
          <w:rFonts w:hint="eastAsia" w:asciiTheme="minorEastAsia" w:hAnsiTheme="minorEastAsia" w:eastAsiaTheme="minorEastAsia"/>
          <w:snapToGrid w:val="0"/>
          <w:sz w:val="24"/>
          <w:szCs w:val="24"/>
        </w:rPr>
        <w:t>。工程区地下水碎屑岩类裂隙孔隙水或红土承压水，水量贫乏无侵蚀性，地下水埋藏较浅，一般为</w:t>
      </w:r>
      <w:r>
        <w:rPr>
          <w:rFonts w:asciiTheme="minorEastAsia" w:hAnsiTheme="minorEastAsia" w:eastAsiaTheme="minorEastAsia"/>
          <w:snapToGrid w:val="0"/>
          <w:sz w:val="24"/>
          <w:szCs w:val="24"/>
        </w:rPr>
        <w:t>0.8m</w:t>
      </w:r>
      <w:r>
        <w:rPr>
          <w:rFonts w:hint="eastAsia" w:asciiTheme="minorEastAsia" w:hAnsiTheme="minorEastAsia" w:eastAsiaTheme="minorEastAsia"/>
          <w:snapToGrid w:val="0"/>
          <w:sz w:val="24"/>
          <w:szCs w:val="24"/>
        </w:rPr>
        <w:t>～</w:t>
      </w:r>
      <w:r>
        <w:rPr>
          <w:rFonts w:asciiTheme="minorEastAsia" w:hAnsiTheme="minorEastAsia" w:eastAsiaTheme="minorEastAsia"/>
          <w:snapToGrid w:val="0"/>
          <w:sz w:val="24"/>
          <w:szCs w:val="24"/>
        </w:rPr>
        <w:t>1.45m</w:t>
      </w:r>
      <w:r>
        <w:rPr>
          <w:rFonts w:hint="eastAsia" w:asciiTheme="minorEastAsia" w:hAnsiTheme="minorEastAsia" w:eastAsiaTheme="minorEastAsia"/>
          <w:snapToGrid w:val="0"/>
          <w:sz w:val="24"/>
          <w:szCs w:val="24"/>
        </w:rPr>
        <w:t>。</w:t>
      </w:r>
      <w:r>
        <w:rPr>
          <w:rFonts w:hint="eastAsia" w:asciiTheme="minorEastAsia" w:hAnsiTheme="minorEastAsia" w:eastAsiaTheme="minorEastAsia"/>
          <w:sz w:val="24"/>
          <w:szCs w:val="24"/>
        </w:rPr>
        <w:t>龙桥污水处理厂所占场地原为坡地，表土为沙质土，里层为硬质石材，整个区域为浅丘地貌，场地标高</w:t>
      </w:r>
      <w:r>
        <w:rPr>
          <w:rFonts w:asciiTheme="minorEastAsia" w:hAnsiTheme="minorEastAsia" w:eastAsiaTheme="minorEastAsia"/>
          <w:sz w:val="24"/>
          <w:szCs w:val="24"/>
        </w:rPr>
        <w:t>+287-271</w:t>
      </w:r>
      <w:r>
        <w:rPr>
          <w:rFonts w:hint="eastAsia" w:asciiTheme="minorEastAsia" w:hAnsiTheme="minorEastAsia" w:eastAsiaTheme="minorEastAsia"/>
          <w:sz w:val="24"/>
          <w:szCs w:val="24"/>
        </w:rPr>
        <w:t>。厂区内未见大的断裂构造，更未发现新构造活动形迹。</w:t>
      </w:r>
    </w:p>
    <w:p>
      <w:pPr>
        <w:pStyle w:val="419"/>
        <w:spacing w:line="460" w:lineRule="exact"/>
        <w:jc w:val="left"/>
        <w:rPr>
          <w:rFonts w:asciiTheme="minorEastAsia" w:hAnsiTheme="minorEastAsia" w:eastAsiaTheme="minorEastAsia"/>
          <w:snapToGrid w:val="0"/>
          <w:sz w:val="28"/>
          <w:szCs w:val="28"/>
        </w:rPr>
      </w:pPr>
      <w:r>
        <w:rPr>
          <w:rFonts w:asciiTheme="minorEastAsia" w:hAnsiTheme="minorEastAsia" w:eastAsiaTheme="minorEastAsia"/>
          <w:snapToGrid w:val="0"/>
          <w:sz w:val="28"/>
          <w:szCs w:val="28"/>
        </w:rPr>
        <w:t>2.2.3</w:t>
      </w:r>
      <w:r>
        <w:rPr>
          <w:rFonts w:hint="eastAsia" w:asciiTheme="minorEastAsia" w:hAnsiTheme="minorEastAsia" w:eastAsiaTheme="minorEastAsia"/>
          <w:snapToGrid w:val="0"/>
          <w:sz w:val="28"/>
          <w:szCs w:val="28"/>
        </w:rPr>
        <w:t>气候、气象</w:t>
      </w:r>
    </w:p>
    <w:p>
      <w:pPr>
        <w:snapToGrid w:val="0"/>
        <w:spacing w:line="460" w:lineRule="exact"/>
        <w:ind w:firstLine="567"/>
        <w:jc w:val="left"/>
        <w:rPr>
          <w:rFonts w:asciiTheme="minorEastAsia" w:hAnsiTheme="minorEastAsia" w:eastAsiaTheme="minorEastAsia"/>
          <w:snapToGrid w:val="0"/>
          <w:sz w:val="26"/>
          <w:szCs w:val="26"/>
        </w:rPr>
      </w:pPr>
      <w:r>
        <w:rPr>
          <w:rFonts w:hint="eastAsia" w:asciiTheme="minorEastAsia" w:hAnsiTheme="minorEastAsia" w:eastAsiaTheme="minorEastAsia"/>
          <w:sz w:val="24"/>
          <w:szCs w:val="24"/>
        </w:rPr>
        <w:t>龙桥污水处理厂位置</w:t>
      </w:r>
      <w:r>
        <w:rPr>
          <w:rFonts w:hint="eastAsia" w:asciiTheme="minorEastAsia" w:hAnsiTheme="minorEastAsia" w:eastAsiaTheme="minorEastAsia"/>
          <w:snapToGrid w:val="0"/>
          <w:sz w:val="26"/>
          <w:szCs w:val="26"/>
        </w:rPr>
        <w:t>属中亚热带湿润季风气候区，其总的特点是：四季分明，热量充足，降水丰沛，光照欠足，四季分明，立体气候差异明显，灾害性天气频繁；光、热、水资源同步等。四季气候变化总的规律是：冬无严寒，霜雪较少，雾日多；春季回暖早，空气活动频繁，气温不稳定，大雨来得早，春旱、寒潮、风雹、低温阴雨时有发生；夏长炎热，夏旱少，伏旱频繁，时有暴雨洪涝；秋季低温来得迟，秋绵雨严重。年平均气温</w:t>
      </w:r>
      <w:r>
        <w:rPr>
          <w:rFonts w:asciiTheme="minorEastAsia" w:hAnsiTheme="minorEastAsia" w:eastAsiaTheme="minorEastAsia"/>
          <w:snapToGrid w:val="0"/>
          <w:sz w:val="26"/>
          <w:szCs w:val="26"/>
        </w:rPr>
        <w:t>18.1</w:t>
      </w:r>
      <w:r>
        <w:rPr>
          <w:rFonts w:hint="eastAsia" w:cs="宋体" w:asciiTheme="minorEastAsia" w:hAnsiTheme="minorEastAsia" w:eastAsiaTheme="minorEastAsia"/>
          <w:snapToGrid w:val="0"/>
          <w:sz w:val="26"/>
          <w:szCs w:val="26"/>
        </w:rPr>
        <w:t>℃</w:t>
      </w:r>
      <w:r>
        <w:rPr>
          <w:rFonts w:hint="eastAsia" w:asciiTheme="minorEastAsia" w:hAnsiTheme="minorEastAsia" w:eastAsiaTheme="minorEastAsia"/>
          <w:snapToGrid w:val="0"/>
          <w:sz w:val="26"/>
          <w:szCs w:val="26"/>
        </w:rPr>
        <w:t>，极端最高温度</w:t>
      </w:r>
      <w:r>
        <w:rPr>
          <w:rFonts w:asciiTheme="minorEastAsia" w:hAnsiTheme="minorEastAsia" w:eastAsiaTheme="minorEastAsia"/>
          <w:snapToGrid w:val="0"/>
          <w:sz w:val="26"/>
          <w:szCs w:val="26"/>
        </w:rPr>
        <w:t>42.2</w:t>
      </w:r>
      <w:r>
        <w:rPr>
          <w:rFonts w:hint="eastAsia" w:cs="宋体" w:asciiTheme="minorEastAsia" w:hAnsiTheme="minorEastAsia" w:eastAsiaTheme="minorEastAsia"/>
          <w:snapToGrid w:val="0"/>
          <w:sz w:val="26"/>
          <w:szCs w:val="26"/>
        </w:rPr>
        <w:t>℃</w:t>
      </w:r>
      <w:r>
        <w:rPr>
          <w:rFonts w:hint="eastAsia" w:asciiTheme="minorEastAsia" w:hAnsiTheme="minorEastAsia" w:eastAsiaTheme="minorEastAsia"/>
          <w:snapToGrid w:val="0"/>
          <w:sz w:val="26"/>
          <w:szCs w:val="26"/>
        </w:rPr>
        <w:t>，极端最底温度</w:t>
      </w:r>
      <w:r>
        <w:rPr>
          <w:rFonts w:asciiTheme="minorEastAsia" w:hAnsiTheme="minorEastAsia" w:eastAsiaTheme="minorEastAsia"/>
          <w:snapToGrid w:val="0"/>
          <w:sz w:val="26"/>
          <w:szCs w:val="26"/>
        </w:rPr>
        <w:t>-2.7</w:t>
      </w:r>
      <w:r>
        <w:rPr>
          <w:rFonts w:hint="eastAsia" w:cs="宋体" w:asciiTheme="minorEastAsia" w:hAnsiTheme="minorEastAsia" w:eastAsiaTheme="minorEastAsia"/>
          <w:snapToGrid w:val="0"/>
          <w:sz w:val="26"/>
          <w:szCs w:val="26"/>
        </w:rPr>
        <w:t>℃</w:t>
      </w:r>
      <w:r>
        <w:rPr>
          <w:rFonts w:hint="eastAsia" w:asciiTheme="minorEastAsia" w:hAnsiTheme="minorEastAsia" w:eastAsiaTheme="minorEastAsia"/>
          <w:snapToGrid w:val="0"/>
          <w:sz w:val="26"/>
          <w:szCs w:val="26"/>
        </w:rPr>
        <w:t>，最热月平均温度</w:t>
      </w:r>
      <w:r>
        <w:rPr>
          <w:rFonts w:asciiTheme="minorEastAsia" w:hAnsiTheme="minorEastAsia" w:eastAsiaTheme="minorEastAsia"/>
          <w:snapToGrid w:val="0"/>
          <w:sz w:val="26"/>
          <w:szCs w:val="26"/>
        </w:rPr>
        <w:t>28.6</w:t>
      </w:r>
      <w:r>
        <w:rPr>
          <w:rFonts w:hint="eastAsia" w:cs="宋体" w:asciiTheme="minorEastAsia" w:hAnsiTheme="minorEastAsia" w:eastAsiaTheme="minorEastAsia"/>
          <w:snapToGrid w:val="0"/>
          <w:sz w:val="26"/>
          <w:szCs w:val="26"/>
        </w:rPr>
        <w:t>℃</w:t>
      </w:r>
      <w:r>
        <w:rPr>
          <w:rFonts w:hint="eastAsia" w:asciiTheme="minorEastAsia" w:hAnsiTheme="minorEastAsia" w:eastAsiaTheme="minorEastAsia"/>
          <w:snapToGrid w:val="0"/>
          <w:sz w:val="26"/>
          <w:szCs w:val="26"/>
        </w:rPr>
        <w:t>，平均降雨量</w:t>
      </w:r>
      <w:r>
        <w:rPr>
          <w:rFonts w:asciiTheme="minorEastAsia" w:hAnsiTheme="minorEastAsia" w:eastAsiaTheme="minorEastAsia"/>
          <w:snapToGrid w:val="0"/>
          <w:sz w:val="26"/>
          <w:szCs w:val="26"/>
        </w:rPr>
        <w:t>1072.2mm</w:t>
      </w:r>
      <w:r>
        <w:rPr>
          <w:rFonts w:hint="eastAsia" w:asciiTheme="minorEastAsia" w:hAnsiTheme="minorEastAsia" w:eastAsiaTheme="minorEastAsia"/>
          <w:snapToGrid w:val="0"/>
          <w:sz w:val="26"/>
          <w:szCs w:val="26"/>
        </w:rPr>
        <w:t>，日最大降雨量</w:t>
      </w:r>
      <w:r>
        <w:rPr>
          <w:rFonts w:asciiTheme="minorEastAsia" w:hAnsiTheme="minorEastAsia" w:eastAsiaTheme="minorEastAsia"/>
          <w:snapToGrid w:val="0"/>
          <w:sz w:val="26"/>
          <w:szCs w:val="26"/>
        </w:rPr>
        <w:t>113.1mm</w:t>
      </w:r>
      <w:r>
        <w:rPr>
          <w:rFonts w:hint="eastAsia" w:asciiTheme="minorEastAsia" w:hAnsiTheme="minorEastAsia" w:eastAsiaTheme="minorEastAsia"/>
          <w:snapToGrid w:val="0"/>
          <w:sz w:val="26"/>
          <w:szCs w:val="26"/>
        </w:rPr>
        <w:t>，平均降雨日</w:t>
      </w:r>
      <w:r>
        <w:rPr>
          <w:rFonts w:asciiTheme="minorEastAsia" w:hAnsiTheme="minorEastAsia" w:eastAsiaTheme="minorEastAsia"/>
          <w:snapToGrid w:val="0"/>
          <w:sz w:val="26"/>
          <w:szCs w:val="26"/>
        </w:rPr>
        <w:t>150.2d</w:t>
      </w:r>
      <w:r>
        <w:rPr>
          <w:rFonts w:hint="eastAsia" w:asciiTheme="minorEastAsia" w:hAnsiTheme="minorEastAsia" w:eastAsiaTheme="minorEastAsia"/>
          <w:snapToGrid w:val="0"/>
          <w:sz w:val="26"/>
          <w:szCs w:val="26"/>
        </w:rPr>
        <w:t>，无霜期</w:t>
      </w:r>
      <w:r>
        <w:rPr>
          <w:rFonts w:asciiTheme="minorEastAsia" w:hAnsiTheme="minorEastAsia" w:eastAsiaTheme="minorEastAsia"/>
          <w:snapToGrid w:val="0"/>
          <w:sz w:val="26"/>
          <w:szCs w:val="26"/>
        </w:rPr>
        <w:t>353d</w:t>
      </w:r>
      <w:r>
        <w:rPr>
          <w:rFonts w:hint="eastAsia" w:asciiTheme="minorEastAsia" w:hAnsiTheme="minorEastAsia" w:eastAsiaTheme="minorEastAsia"/>
          <w:snapToGrid w:val="0"/>
          <w:sz w:val="26"/>
          <w:szCs w:val="26"/>
        </w:rPr>
        <w:t>，年平均日照时数</w:t>
      </w:r>
      <w:r>
        <w:rPr>
          <w:rFonts w:asciiTheme="minorEastAsia" w:hAnsiTheme="minorEastAsia" w:eastAsiaTheme="minorEastAsia"/>
          <w:snapToGrid w:val="0"/>
          <w:sz w:val="26"/>
          <w:szCs w:val="26"/>
        </w:rPr>
        <w:t>1188h</w:t>
      </w:r>
      <w:r>
        <w:rPr>
          <w:rFonts w:hint="eastAsia" w:asciiTheme="minorEastAsia" w:hAnsiTheme="minorEastAsia" w:eastAsiaTheme="minorEastAsia"/>
          <w:snapToGrid w:val="0"/>
          <w:sz w:val="26"/>
          <w:szCs w:val="26"/>
        </w:rPr>
        <w:t>。年均相对湿度</w:t>
      </w:r>
      <w:r>
        <w:rPr>
          <w:rFonts w:asciiTheme="minorEastAsia" w:hAnsiTheme="minorEastAsia" w:eastAsiaTheme="minorEastAsia"/>
          <w:snapToGrid w:val="0"/>
          <w:sz w:val="26"/>
          <w:szCs w:val="26"/>
        </w:rPr>
        <w:t>79%</w:t>
      </w:r>
      <w:r>
        <w:rPr>
          <w:rFonts w:hint="eastAsia" w:asciiTheme="minorEastAsia" w:hAnsiTheme="minorEastAsia" w:eastAsiaTheme="minorEastAsia"/>
          <w:snapToGrid w:val="0"/>
          <w:sz w:val="26"/>
          <w:szCs w:val="26"/>
        </w:rPr>
        <w:t>，最热月平均湿度</w:t>
      </w:r>
      <w:r>
        <w:rPr>
          <w:rFonts w:asciiTheme="minorEastAsia" w:hAnsiTheme="minorEastAsia" w:eastAsiaTheme="minorEastAsia"/>
          <w:snapToGrid w:val="0"/>
          <w:sz w:val="26"/>
          <w:szCs w:val="26"/>
        </w:rPr>
        <w:t>85%</w:t>
      </w:r>
      <w:r>
        <w:rPr>
          <w:rFonts w:hint="eastAsia" w:asciiTheme="minorEastAsia" w:hAnsiTheme="minorEastAsia" w:eastAsiaTheme="minorEastAsia"/>
          <w:snapToGrid w:val="0"/>
          <w:sz w:val="26"/>
          <w:szCs w:val="26"/>
        </w:rPr>
        <w:t>，最冷月平均湿度</w:t>
      </w:r>
      <w:r>
        <w:rPr>
          <w:rFonts w:asciiTheme="minorEastAsia" w:hAnsiTheme="minorEastAsia" w:eastAsiaTheme="minorEastAsia"/>
          <w:snapToGrid w:val="0"/>
          <w:sz w:val="26"/>
          <w:szCs w:val="26"/>
        </w:rPr>
        <w:t>71%</w:t>
      </w:r>
      <w:r>
        <w:rPr>
          <w:rFonts w:hint="eastAsia" w:asciiTheme="minorEastAsia" w:hAnsiTheme="minorEastAsia" w:eastAsiaTheme="minorEastAsia"/>
          <w:snapToGrid w:val="0"/>
          <w:sz w:val="26"/>
          <w:szCs w:val="26"/>
        </w:rPr>
        <w:t>，主导风向东北，年平均风速</w:t>
      </w:r>
      <w:r>
        <w:rPr>
          <w:rFonts w:asciiTheme="minorEastAsia" w:hAnsiTheme="minorEastAsia" w:eastAsiaTheme="minorEastAsia"/>
          <w:snapToGrid w:val="0"/>
          <w:sz w:val="26"/>
          <w:szCs w:val="26"/>
        </w:rPr>
        <w:t>2.00m/s</w:t>
      </w:r>
      <w:r>
        <w:rPr>
          <w:rFonts w:hint="eastAsia" w:asciiTheme="minorEastAsia" w:hAnsiTheme="minorEastAsia" w:eastAsiaTheme="minorEastAsia"/>
          <w:snapToGrid w:val="0"/>
          <w:sz w:val="26"/>
          <w:szCs w:val="26"/>
        </w:rPr>
        <w:t>。</w:t>
      </w:r>
    </w:p>
    <w:p>
      <w:pPr>
        <w:pStyle w:val="419"/>
        <w:spacing w:line="460" w:lineRule="exact"/>
        <w:jc w:val="left"/>
        <w:rPr>
          <w:rFonts w:asciiTheme="minorEastAsia" w:hAnsiTheme="minorEastAsia" w:eastAsiaTheme="minorEastAsia"/>
          <w:snapToGrid w:val="0"/>
          <w:sz w:val="28"/>
          <w:szCs w:val="28"/>
        </w:rPr>
      </w:pPr>
      <w:r>
        <w:rPr>
          <w:rFonts w:asciiTheme="minorEastAsia" w:hAnsiTheme="minorEastAsia" w:eastAsiaTheme="minorEastAsia"/>
          <w:snapToGrid w:val="0"/>
          <w:sz w:val="28"/>
          <w:szCs w:val="28"/>
        </w:rPr>
        <w:t>2.2.4</w:t>
      </w:r>
      <w:r>
        <w:rPr>
          <w:rFonts w:hint="eastAsia" w:asciiTheme="minorEastAsia" w:hAnsiTheme="minorEastAsia" w:eastAsiaTheme="minorEastAsia"/>
          <w:snapToGrid w:val="0"/>
          <w:sz w:val="28"/>
          <w:szCs w:val="28"/>
        </w:rPr>
        <w:t>水文特征</w:t>
      </w:r>
    </w:p>
    <w:p>
      <w:pPr>
        <w:snapToGrid w:val="0"/>
        <w:spacing w:line="460" w:lineRule="exact"/>
        <w:ind w:firstLine="567"/>
        <w:jc w:val="left"/>
        <w:rPr>
          <w:rFonts w:asciiTheme="minorEastAsia" w:hAnsiTheme="minorEastAsia" w:eastAsiaTheme="minorEastAsia"/>
          <w:snapToGrid w:val="0"/>
          <w:sz w:val="24"/>
          <w:szCs w:val="24"/>
        </w:rPr>
      </w:pPr>
      <w:r>
        <w:rPr>
          <w:rFonts w:hint="eastAsia" w:asciiTheme="minorEastAsia" w:hAnsiTheme="minorEastAsia" w:eastAsiaTheme="minorEastAsia"/>
          <w:snapToGrid w:val="0"/>
          <w:color w:val="000000"/>
          <w:sz w:val="24"/>
          <w:szCs w:val="24"/>
        </w:rPr>
        <w:t>涪陵区境内溪河总归长江水系，长江在区境西部与长寿区交界的黄</w:t>
      </w:r>
      <w:r>
        <w:rPr>
          <w:rFonts w:hint="eastAsia" w:asciiTheme="minorEastAsia" w:hAnsiTheme="minorEastAsia" w:eastAsiaTheme="minorEastAsia"/>
          <w:snapToGrid w:val="0"/>
          <w:sz w:val="24"/>
          <w:szCs w:val="24"/>
        </w:rPr>
        <w:t>草峡入境，由西向东流经石和、石沱、镇安、蔺市、义和、李渡、龙桥、涪陵城区、清溪、百胜、珍溪、南沱、中峰、仁义等集镇后出境，涪陵段长</w:t>
      </w:r>
      <w:r>
        <w:rPr>
          <w:rFonts w:asciiTheme="minorEastAsia" w:hAnsiTheme="minorEastAsia" w:eastAsiaTheme="minorEastAsia"/>
          <w:snapToGrid w:val="0"/>
          <w:sz w:val="24"/>
          <w:szCs w:val="24"/>
        </w:rPr>
        <w:t>77km</w:t>
      </w:r>
      <w:r>
        <w:rPr>
          <w:rFonts w:hint="eastAsia" w:asciiTheme="minorEastAsia" w:hAnsiTheme="minorEastAsia" w:eastAsiaTheme="minorEastAsia"/>
          <w:snapToGrid w:val="0"/>
          <w:sz w:val="24"/>
          <w:szCs w:val="24"/>
        </w:rPr>
        <w:t>，河床平均宽度</w:t>
      </w:r>
      <w:r>
        <w:rPr>
          <w:rFonts w:asciiTheme="minorEastAsia" w:hAnsiTheme="minorEastAsia" w:eastAsiaTheme="minorEastAsia"/>
          <w:snapToGrid w:val="0"/>
          <w:sz w:val="24"/>
          <w:szCs w:val="24"/>
        </w:rPr>
        <w:t>844m</w:t>
      </w:r>
      <w:r>
        <w:rPr>
          <w:rFonts w:hint="eastAsia" w:asciiTheme="minorEastAsia" w:hAnsiTheme="minorEastAsia" w:eastAsiaTheme="minorEastAsia"/>
          <w:snapToGrid w:val="0"/>
          <w:sz w:val="24"/>
          <w:szCs w:val="24"/>
        </w:rPr>
        <w:t>，境内流域面积</w:t>
      </w:r>
      <w:r>
        <w:rPr>
          <w:rFonts w:asciiTheme="minorEastAsia" w:hAnsiTheme="minorEastAsia" w:eastAsiaTheme="minorEastAsia"/>
          <w:snapToGrid w:val="0"/>
          <w:sz w:val="24"/>
          <w:szCs w:val="24"/>
        </w:rPr>
        <w:t>2946km</w:t>
      </w:r>
      <w:r>
        <w:rPr>
          <w:rFonts w:asciiTheme="minorEastAsia" w:hAnsiTheme="minorEastAsia" w:eastAsiaTheme="minorEastAsia"/>
          <w:snapToGrid w:val="0"/>
          <w:sz w:val="24"/>
          <w:szCs w:val="24"/>
          <w:vertAlign w:val="superscript"/>
        </w:rPr>
        <w:t>2</w:t>
      </w:r>
      <w:r>
        <w:rPr>
          <w:rFonts w:hint="eastAsia" w:asciiTheme="minorEastAsia" w:hAnsiTheme="minorEastAsia" w:eastAsiaTheme="minorEastAsia"/>
          <w:snapToGrid w:val="0"/>
          <w:sz w:val="24"/>
          <w:szCs w:val="24"/>
        </w:rPr>
        <w:t>，据清溪水文监测站多年观测，历年最大流量为</w:t>
      </w:r>
      <w:r>
        <w:rPr>
          <w:rFonts w:asciiTheme="minorEastAsia" w:hAnsiTheme="minorEastAsia" w:eastAsiaTheme="minorEastAsia"/>
          <w:snapToGrid w:val="0"/>
          <w:sz w:val="24"/>
          <w:szCs w:val="24"/>
        </w:rPr>
        <w:t>99000m</w:t>
      </w:r>
      <w:r>
        <w:rPr>
          <w:rFonts w:asciiTheme="minorEastAsia" w:hAnsiTheme="minorEastAsia" w:eastAsiaTheme="minorEastAsia"/>
          <w:snapToGrid w:val="0"/>
          <w:sz w:val="24"/>
          <w:szCs w:val="24"/>
          <w:vertAlign w:val="superscript"/>
        </w:rPr>
        <w:t>3</w:t>
      </w:r>
      <w:r>
        <w:rPr>
          <w:rFonts w:asciiTheme="minorEastAsia" w:hAnsiTheme="minorEastAsia" w:eastAsiaTheme="minorEastAsia"/>
          <w:snapToGrid w:val="0"/>
          <w:sz w:val="24"/>
          <w:szCs w:val="24"/>
        </w:rPr>
        <w:t>/s</w:t>
      </w:r>
      <w:r>
        <w:rPr>
          <w:rFonts w:hint="eastAsia" w:asciiTheme="minorEastAsia" w:hAnsiTheme="minorEastAsia" w:eastAsiaTheme="minorEastAsia"/>
          <w:snapToGrid w:val="0"/>
          <w:sz w:val="24"/>
          <w:szCs w:val="24"/>
        </w:rPr>
        <w:t>，历年最小流量为</w:t>
      </w:r>
      <w:r>
        <w:rPr>
          <w:rFonts w:asciiTheme="minorEastAsia" w:hAnsiTheme="minorEastAsia" w:eastAsiaTheme="minorEastAsia"/>
          <w:snapToGrid w:val="0"/>
          <w:sz w:val="24"/>
          <w:szCs w:val="24"/>
        </w:rPr>
        <w:t>3500m</w:t>
      </w:r>
      <w:r>
        <w:rPr>
          <w:rFonts w:asciiTheme="minorEastAsia" w:hAnsiTheme="minorEastAsia" w:eastAsiaTheme="minorEastAsia"/>
          <w:snapToGrid w:val="0"/>
          <w:sz w:val="24"/>
          <w:szCs w:val="24"/>
          <w:vertAlign w:val="superscript"/>
        </w:rPr>
        <w:t>3</w:t>
      </w:r>
      <w:r>
        <w:rPr>
          <w:rFonts w:asciiTheme="minorEastAsia" w:hAnsiTheme="minorEastAsia" w:eastAsiaTheme="minorEastAsia"/>
          <w:snapToGrid w:val="0"/>
          <w:sz w:val="24"/>
          <w:szCs w:val="24"/>
        </w:rPr>
        <w:t>/s</w:t>
      </w:r>
      <w:r>
        <w:rPr>
          <w:rFonts w:hint="eastAsia" w:asciiTheme="minorEastAsia" w:hAnsiTheme="minorEastAsia" w:eastAsiaTheme="minorEastAsia"/>
          <w:snapToGrid w:val="0"/>
          <w:sz w:val="24"/>
          <w:szCs w:val="24"/>
        </w:rPr>
        <w:t>，多年平均流量为</w:t>
      </w:r>
      <w:r>
        <w:rPr>
          <w:rFonts w:asciiTheme="minorEastAsia" w:hAnsiTheme="minorEastAsia" w:eastAsiaTheme="minorEastAsia"/>
          <w:snapToGrid w:val="0"/>
          <w:sz w:val="24"/>
          <w:szCs w:val="24"/>
        </w:rPr>
        <w:t>11200m</w:t>
      </w:r>
      <w:r>
        <w:rPr>
          <w:rFonts w:asciiTheme="minorEastAsia" w:hAnsiTheme="minorEastAsia" w:eastAsiaTheme="minorEastAsia"/>
          <w:snapToGrid w:val="0"/>
          <w:sz w:val="24"/>
          <w:szCs w:val="24"/>
          <w:vertAlign w:val="superscript"/>
        </w:rPr>
        <w:t>3</w:t>
      </w:r>
      <w:r>
        <w:rPr>
          <w:rFonts w:asciiTheme="minorEastAsia" w:hAnsiTheme="minorEastAsia" w:eastAsiaTheme="minorEastAsia"/>
          <w:snapToGrid w:val="0"/>
          <w:sz w:val="24"/>
          <w:szCs w:val="24"/>
        </w:rPr>
        <w:t>/s</w:t>
      </w:r>
      <w:r>
        <w:rPr>
          <w:rFonts w:hint="eastAsia" w:asciiTheme="minorEastAsia" w:hAnsiTheme="minorEastAsia" w:eastAsiaTheme="minorEastAsia"/>
          <w:snapToGrid w:val="0"/>
          <w:sz w:val="24"/>
          <w:szCs w:val="24"/>
        </w:rPr>
        <w:t>，多年平均输沙率为</w:t>
      </w:r>
      <w:r>
        <w:rPr>
          <w:rFonts w:asciiTheme="minorEastAsia" w:hAnsiTheme="minorEastAsia" w:eastAsiaTheme="minorEastAsia"/>
          <w:snapToGrid w:val="0"/>
          <w:sz w:val="24"/>
          <w:szCs w:val="24"/>
        </w:rPr>
        <w:t>14600kg/s</w:t>
      </w:r>
      <w:r>
        <w:rPr>
          <w:rFonts w:hint="eastAsia" w:asciiTheme="minorEastAsia" w:hAnsiTheme="minorEastAsia" w:eastAsiaTheme="minorEastAsia"/>
          <w:snapToGrid w:val="0"/>
          <w:sz w:val="24"/>
          <w:szCs w:val="24"/>
        </w:rPr>
        <w:t>。</w:t>
      </w:r>
    </w:p>
    <w:p>
      <w:pPr>
        <w:snapToGrid w:val="0"/>
        <w:spacing w:line="480" w:lineRule="atLeast"/>
        <w:ind w:firstLine="567"/>
        <w:jc w:val="left"/>
        <w:rPr>
          <w:rFonts w:asciiTheme="minorEastAsia" w:hAnsiTheme="minorEastAsia" w:eastAsiaTheme="minorEastAsia"/>
          <w:snapToGrid w:val="0"/>
          <w:sz w:val="24"/>
          <w:szCs w:val="24"/>
        </w:rPr>
      </w:pPr>
      <w:r>
        <w:rPr>
          <w:rFonts w:hint="eastAsia" w:asciiTheme="minorEastAsia" w:hAnsiTheme="minorEastAsia" w:eastAsiaTheme="minorEastAsia"/>
          <w:snapToGrid w:val="0"/>
          <w:sz w:val="24"/>
          <w:szCs w:val="24"/>
        </w:rPr>
        <w:t>园区内多有地表水系和冲沟，地表水和本区地下水互相补给关系。场地地下水主要来源于大气降水、农田水，生活生产用水排放及沟流水深入补给，局部来源于支流河道的深入补给，地下水经各种途径，最终流入长江。</w:t>
      </w:r>
    </w:p>
    <w:p>
      <w:pPr>
        <w:snapToGrid w:val="0"/>
        <w:spacing w:line="480" w:lineRule="atLeast"/>
        <w:jc w:val="left"/>
        <w:rPr>
          <w:rFonts w:asciiTheme="minorEastAsia" w:hAnsiTheme="minorEastAsia" w:eastAsiaTheme="minorEastAsia"/>
          <w:b/>
          <w:snapToGrid w:val="0"/>
          <w:sz w:val="28"/>
          <w:szCs w:val="28"/>
        </w:rPr>
      </w:pPr>
      <w:r>
        <w:rPr>
          <w:rFonts w:asciiTheme="minorEastAsia" w:hAnsiTheme="minorEastAsia" w:eastAsiaTheme="minorEastAsia"/>
          <w:b/>
          <w:snapToGrid w:val="0"/>
          <w:sz w:val="28"/>
          <w:szCs w:val="28"/>
        </w:rPr>
        <w:t>2.2.5</w:t>
      </w:r>
      <w:r>
        <w:rPr>
          <w:rFonts w:hint="eastAsia" w:asciiTheme="minorEastAsia" w:hAnsiTheme="minorEastAsia" w:eastAsiaTheme="minorEastAsia"/>
          <w:b/>
          <w:snapToGrid w:val="0"/>
          <w:sz w:val="28"/>
          <w:szCs w:val="28"/>
        </w:rPr>
        <w:t>生态现状</w:t>
      </w:r>
    </w:p>
    <w:p>
      <w:pPr>
        <w:autoSpaceDE w:val="0"/>
        <w:autoSpaceDN w:val="0"/>
        <w:adjustRightInd w:val="0"/>
        <w:spacing w:line="460" w:lineRule="exact"/>
        <w:ind w:left="189" w:firstLine="474"/>
        <w:jc w:val="left"/>
        <w:rPr>
          <w:rFonts w:asciiTheme="minorEastAsia" w:hAnsiTheme="minorEastAsia" w:eastAsiaTheme="minorEastAsia"/>
          <w:sz w:val="24"/>
          <w:szCs w:val="24"/>
        </w:rPr>
      </w:pPr>
      <w:r>
        <w:rPr>
          <w:rFonts w:hint="eastAsia" w:asciiTheme="minorEastAsia" w:hAnsiTheme="minorEastAsia" w:eastAsiaTheme="minorEastAsia"/>
          <w:sz w:val="24"/>
          <w:szCs w:val="24"/>
        </w:rPr>
        <w:t>龙桥污水处理处厂于重庆市东部涪陵区境内，涪陵地区属于亚热带长绿阔叶植被区的北部区域，有较多的落叶植被，区内林地面积较少，森林覆盖率较低。有较多植物种和多种国家重点保护动物。目前</w:t>
      </w:r>
      <w:r>
        <w:rPr>
          <w:rFonts w:hint="eastAsia" w:cs="??_GB2312" w:asciiTheme="minorEastAsia" w:hAnsiTheme="minorEastAsia" w:eastAsiaTheme="minorEastAsia"/>
          <w:sz w:val="24"/>
          <w:szCs w:val="24"/>
          <w:lang w:val="zh-CN"/>
        </w:rPr>
        <w:t>所在区域为已规划的龙桥工业园区龙头港码头尾部，周围无自然保护区，居民已搬迁。</w:t>
      </w:r>
    </w:p>
    <w:p>
      <w:pPr>
        <w:adjustRightInd w:val="0"/>
        <w:snapToGrid w:val="0"/>
        <w:spacing w:line="460" w:lineRule="exact"/>
        <w:outlineLvl w:val="1"/>
        <w:rPr>
          <w:b/>
          <w:color w:val="000000"/>
          <w:sz w:val="28"/>
          <w:szCs w:val="28"/>
        </w:rPr>
      </w:pPr>
      <w:bookmarkStart w:id="103" w:name="_Toc1612"/>
      <w:r>
        <w:rPr>
          <w:b/>
          <w:color w:val="000000"/>
          <w:sz w:val="28"/>
          <w:szCs w:val="28"/>
        </w:rPr>
        <w:t>2.3</w:t>
      </w:r>
      <w:r>
        <w:rPr>
          <w:rFonts w:hint="eastAsia"/>
          <w:b/>
          <w:color w:val="000000"/>
          <w:sz w:val="28"/>
          <w:szCs w:val="28"/>
        </w:rPr>
        <w:t>周边环境关系</w:t>
      </w:r>
      <w:bookmarkEnd w:id="103"/>
    </w:p>
    <w:p>
      <w:pPr>
        <w:autoSpaceDE w:val="0"/>
        <w:autoSpaceDN w:val="0"/>
        <w:adjustRightInd w:val="0"/>
        <w:spacing w:line="460" w:lineRule="exact"/>
        <w:ind w:left="189" w:firstLine="474"/>
        <w:jc w:val="left"/>
        <w:rPr>
          <w:rFonts w:hint="eastAsia" w:asciiTheme="minorEastAsia" w:hAnsiTheme="minorEastAsia" w:eastAsiaTheme="minorEastAsia"/>
          <w:sz w:val="24"/>
          <w:szCs w:val="24"/>
        </w:rPr>
      </w:pPr>
      <w:r>
        <w:rPr>
          <w:rFonts w:hint="eastAsia" w:asciiTheme="minorEastAsia" w:hAnsiTheme="minorEastAsia" w:eastAsiaTheme="minorEastAsia"/>
          <w:sz w:val="24"/>
          <w:szCs w:val="24"/>
        </w:rPr>
        <w:t>龙桥污水处理厂位于涪陵龙桥</w:t>
      </w:r>
      <w:r>
        <w:rPr>
          <w:rFonts w:hint="eastAsia" w:asciiTheme="minorEastAsia" w:hAnsiTheme="minorEastAsia" w:eastAsiaTheme="minorEastAsia"/>
          <w:sz w:val="24"/>
          <w:szCs w:val="24"/>
          <w:lang w:val="zh-CN"/>
        </w:rPr>
        <w:t>街道白拱居委石灰湾</w:t>
      </w:r>
      <w:r>
        <w:rPr>
          <w:rFonts w:hint="eastAsia" w:asciiTheme="minorEastAsia" w:hAnsiTheme="minorEastAsia" w:eastAsiaTheme="minorEastAsia"/>
          <w:sz w:val="24"/>
          <w:szCs w:val="24"/>
        </w:rPr>
        <w:t>，周围居</w:t>
      </w:r>
      <w:r>
        <w:rPr>
          <w:rFonts w:hint="eastAsia" w:asciiTheme="minorEastAsia" w:hAnsiTheme="minorEastAsia" w:eastAsiaTheme="minorEastAsia"/>
          <w:sz w:val="24"/>
          <w:szCs w:val="24"/>
          <w:lang w:val="zh-CN"/>
        </w:rPr>
        <w:t>民已搬迁，无</w:t>
      </w:r>
      <w:r>
        <w:rPr>
          <w:rFonts w:hint="eastAsia" w:asciiTheme="minorEastAsia" w:hAnsiTheme="minorEastAsia" w:eastAsiaTheme="minorEastAsia"/>
          <w:sz w:val="24"/>
          <w:szCs w:val="24"/>
        </w:rPr>
        <w:t>名胜古迹、自然保护区及重要的文物保护单位和医院等环境敏感点。龙桥污水处理厂东侧约3.0km北拱场，区域内环境敏感点</w:t>
      </w:r>
      <w:r>
        <w:rPr>
          <w:rFonts w:hint="eastAsia" w:asciiTheme="minorEastAsia" w:hAnsiTheme="minorEastAsia" w:eastAsiaTheme="minorEastAsia"/>
          <w:sz w:val="24"/>
          <w:szCs w:val="24"/>
          <w:lang w:eastAsia="zh-CN"/>
        </w:rPr>
        <w:t>见表</w:t>
      </w:r>
      <w:r>
        <w:rPr>
          <w:rFonts w:hint="eastAsia" w:asciiTheme="minorEastAsia" w:hAnsiTheme="minorEastAsia" w:eastAsiaTheme="minorEastAsia"/>
          <w:sz w:val="24"/>
          <w:szCs w:val="24"/>
        </w:rPr>
        <w:t>2-2。</w:t>
      </w:r>
    </w:p>
    <w:p>
      <w:pPr>
        <w:tabs>
          <w:tab w:val="center" w:pos="4374"/>
          <w:tab w:val="left" w:pos="6720"/>
        </w:tabs>
        <w:spacing w:line="460" w:lineRule="exact"/>
        <w:ind w:right="44" w:firstLine="480"/>
        <w:jc w:val="left"/>
        <w:rPr>
          <w:rFonts w:asciiTheme="minorEastAsia" w:hAnsiTheme="minorEastAsia" w:eastAsiaTheme="minorEastAsia"/>
          <w:sz w:val="24"/>
          <w:szCs w:val="24"/>
        </w:rPr>
      </w:pPr>
      <w:r>
        <w:rPr>
          <w:rFonts w:asciiTheme="minorEastAsia" w:hAnsiTheme="minorEastAsia" w:eastAsiaTheme="minorEastAsia"/>
          <w:sz w:val="24"/>
          <w:szCs w:val="24"/>
        </w:rPr>
        <w:tab/>
      </w:r>
      <w:r>
        <w:rPr>
          <w:rFonts w:hint="eastAsia" w:asciiTheme="minorEastAsia" w:hAnsiTheme="minorEastAsia" w:eastAsiaTheme="minorEastAsia"/>
          <w:sz w:val="24"/>
          <w:szCs w:val="24"/>
        </w:rPr>
        <w:t>表</w:t>
      </w:r>
      <w:r>
        <w:rPr>
          <w:rFonts w:asciiTheme="minorEastAsia" w:hAnsiTheme="minorEastAsia" w:eastAsiaTheme="minorEastAsia"/>
          <w:sz w:val="24"/>
          <w:szCs w:val="24"/>
        </w:rPr>
        <w:t>2-</w:t>
      </w:r>
      <w:r>
        <w:rPr>
          <w:rFonts w:hint="eastAsia" w:asciiTheme="minorEastAsia" w:hAnsiTheme="minorEastAsia" w:eastAsiaTheme="minorEastAsia"/>
          <w:sz w:val="24"/>
          <w:szCs w:val="24"/>
        </w:rPr>
        <w:t>2项目主要敏感点分布一览表</w:t>
      </w:r>
      <w:r>
        <w:rPr>
          <w:rFonts w:asciiTheme="minorEastAsia" w:hAnsiTheme="minorEastAsia" w:eastAsiaTheme="minorEastAsia"/>
          <w:sz w:val="24"/>
          <w:szCs w:val="24"/>
        </w:rPr>
        <w:tab/>
      </w:r>
    </w:p>
    <w:tbl>
      <w:tblPr>
        <w:tblStyle w:val="54"/>
        <w:tblW w:w="937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0"/>
        <w:gridCol w:w="835"/>
        <w:gridCol w:w="758"/>
        <w:gridCol w:w="2047"/>
        <w:gridCol w:w="1418"/>
        <w:gridCol w:w="1276"/>
        <w:gridCol w:w="23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70" w:type="dxa"/>
            <w:vMerge w:val="restart"/>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编号</w:t>
            </w:r>
          </w:p>
        </w:tc>
        <w:tc>
          <w:tcPr>
            <w:tcW w:w="835" w:type="dxa"/>
            <w:vMerge w:val="restart"/>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环境</w:t>
            </w:r>
          </w:p>
          <w:p>
            <w:pPr>
              <w:pStyle w:val="420"/>
              <w:autoSpaceDE w:val="0"/>
              <w:autoSpaceDN w:val="0"/>
              <w:spacing w:line="320" w:lineRule="atLeast"/>
              <w:jc w:val="left"/>
              <w:textAlignment w:val="baseline"/>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要素</w:t>
            </w:r>
          </w:p>
        </w:tc>
        <w:tc>
          <w:tcPr>
            <w:tcW w:w="2805" w:type="dxa"/>
            <w:gridSpan w:val="2"/>
            <w:vMerge w:val="restart"/>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环境</w:t>
            </w:r>
          </w:p>
          <w:p>
            <w:pPr>
              <w:pStyle w:val="420"/>
              <w:autoSpaceDE w:val="0"/>
              <w:autoSpaceDN w:val="0"/>
              <w:spacing w:line="320" w:lineRule="atLeast"/>
              <w:jc w:val="left"/>
              <w:textAlignment w:val="baseline"/>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敏感点</w:t>
            </w:r>
          </w:p>
        </w:tc>
        <w:tc>
          <w:tcPr>
            <w:tcW w:w="2694" w:type="dxa"/>
            <w:gridSpan w:val="2"/>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特征</w:t>
            </w:r>
          </w:p>
        </w:tc>
        <w:tc>
          <w:tcPr>
            <w:tcW w:w="2373" w:type="dxa"/>
            <w:vMerge w:val="restart"/>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1" w:hRule="atLeast"/>
          <w:jc w:val="center"/>
        </w:trPr>
        <w:tc>
          <w:tcPr>
            <w:tcW w:w="670" w:type="dxa"/>
            <w:vMerge w:val="continue"/>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p>
        </w:tc>
        <w:tc>
          <w:tcPr>
            <w:tcW w:w="835" w:type="dxa"/>
            <w:vMerge w:val="continue"/>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p>
        </w:tc>
        <w:tc>
          <w:tcPr>
            <w:tcW w:w="2805" w:type="dxa"/>
            <w:gridSpan w:val="2"/>
            <w:vMerge w:val="continue"/>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p>
        </w:tc>
        <w:tc>
          <w:tcPr>
            <w:tcW w:w="1418" w:type="dxa"/>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方位</w:t>
            </w:r>
          </w:p>
        </w:tc>
        <w:tc>
          <w:tcPr>
            <w:tcW w:w="1276" w:type="dxa"/>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距离（</w:t>
            </w:r>
            <w:r>
              <w:rPr>
                <w:rFonts w:asciiTheme="minorEastAsia" w:hAnsiTheme="minorEastAsia" w:eastAsiaTheme="minorEastAsia"/>
                <w:kern w:val="0"/>
                <w:sz w:val="21"/>
                <w:szCs w:val="21"/>
              </w:rPr>
              <w:t>km</w:t>
            </w:r>
            <w:r>
              <w:rPr>
                <w:rFonts w:hint="eastAsia" w:asciiTheme="minorEastAsia" w:hAnsiTheme="minorEastAsia" w:eastAsiaTheme="minorEastAsia"/>
                <w:kern w:val="0"/>
                <w:sz w:val="21"/>
                <w:szCs w:val="21"/>
              </w:rPr>
              <w:t>）</w:t>
            </w:r>
          </w:p>
        </w:tc>
        <w:tc>
          <w:tcPr>
            <w:tcW w:w="2373" w:type="dxa"/>
            <w:vMerge w:val="continue"/>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70" w:type="dxa"/>
            <w:vMerge w:val="restart"/>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一</w:t>
            </w:r>
          </w:p>
        </w:tc>
        <w:tc>
          <w:tcPr>
            <w:tcW w:w="835" w:type="dxa"/>
            <w:vMerge w:val="restart"/>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环境</w:t>
            </w:r>
          </w:p>
          <w:p>
            <w:pPr>
              <w:pStyle w:val="420"/>
              <w:autoSpaceDE w:val="0"/>
              <w:autoSpaceDN w:val="0"/>
              <w:spacing w:line="320" w:lineRule="atLeast"/>
              <w:jc w:val="left"/>
              <w:textAlignment w:val="baseline"/>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空气</w:t>
            </w:r>
            <w:r>
              <w:rPr>
                <w:rFonts w:asciiTheme="minorEastAsia" w:hAnsiTheme="minorEastAsia" w:eastAsiaTheme="minorEastAsia"/>
                <w:kern w:val="0"/>
                <w:sz w:val="21"/>
                <w:szCs w:val="21"/>
              </w:rPr>
              <w:t>*</w:t>
            </w:r>
          </w:p>
        </w:tc>
        <w:tc>
          <w:tcPr>
            <w:tcW w:w="2805" w:type="dxa"/>
            <w:gridSpan w:val="2"/>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r>
              <w:rPr>
                <w:rFonts w:asciiTheme="minorEastAsia" w:hAnsiTheme="minorEastAsia" w:eastAsiaTheme="minorEastAsia"/>
                <w:kern w:val="0"/>
                <w:sz w:val="21"/>
                <w:szCs w:val="21"/>
              </w:rPr>
              <w:t>1#</w:t>
            </w:r>
            <w:r>
              <w:rPr>
                <w:rFonts w:hint="eastAsia" w:asciiTheme="minorEastAsia" w:hAnsiTheme="minorEastAsia" w:eastAsiaTheme="minorEastAsia"/>
                <w:kern w:val="0"/>
                <w:sz w:val="21"/>
                <w:szCs w:val="21"/>
              </w:rPr>
              <w:t>北拱场</w:t>
            </w:r>
          </w:p>
        </w:tc>
        <w:tc>
          <w:tcPr>
            <w:tcW w:w="1418" w:type="dxa"/>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东面</w:t>
            </w:r>
          </w:p>
        </w:tc>
        <w:tc>
          <w:tcPr>
            <w:tcW w:w="1276" w:type="dxa"/>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r>
              <w:rPr>
                <w:rFonts w:asciiTheme="minorEastAsia" w:hAnsiTheme="minorEastAsia" w:eastAsiaTheme="minorEastAsia"/>
                <w:kern w:val="0"/>
                <w:sz w:val="21"/>
                <w:szCs w:val="21"/>
              </w:rPr>
              <w:t>3.0</w:t>
            </w:r>
          </w:p>
        </w:tc>
        <w:tc>
          <w:tcPr>
            <w:tcW w:w="2373" w:type="dxa"/>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r>
              <w:rPr>
                <w:rFonts w:asciiTheme="minorEastAsia" w:hAnsiTheme="minorEastAsia" w:eastAsiaTheme="minorEastAsia"/>
                <w:kern w:val="0"/>
                <w:sz w:val="21"/>
                <w:szCs w:val="21"/>
              </w:rPr>
              <w:t>1300</w:t>
            </w:r>
            <w:r>
              <w:rPr>
                <w:rFonts w:hint="eastAsia" w:asciiTheme="minorEastAsia" w:hAnsiTheme="minorEastAsia" w:eastAsiaTheme="minorEastAsia"/>
                <w:kern w:val="0"/>
                <w:sz w:val="21"/>
                <w:szCs w:val="21"/>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70" w:type="dxa"/>
            <w:vMerge w:val="continue"/>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p>
        </w:tc>
        <w:tc>
          <w:tcPr>
            <w:tcW w:w="835" w:type="dxa"/>
            <w:vMerge w:val="continue"/>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p>
        </w:tc>
        <w:tc>
          <w:tcPr>
            <w:tcW w:w="2805" w:type="dxa"/>
            <w:gridSpan w:val="2"/>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r>
              <w:rPr>
                <w:rFonts w:asciiTheme="minorEastAsia" w:hAnsiTheme="minorEastAsia" w:eastAsiaTheme="minorEastAsia"/>
                <w:kern w:val="0"/>
                <w:sz w:val="21"/>
                <w:szCs w:val="21"/>
              </w:rPr>
              <w:t>2#</w:t>
            </w:r>
            <w:r>
              <w:rPr>
                <w:rFonts w:hint="eastAsia" w:asciiTheme="minorEastAsia" w:hAnsiTheme="minorEastAsia" w:eastAsiaTheme="minorEastAsia"/>
                <w:kern w:val="0"/>
                <w:sz w:val="21"/>
                <w:szCs w:val="21"/>
              </w:rPr>
              <w:t>石塔村居民</w:t>
            </w:r>
          </w:p>
        </w:tc>
        <w:tc>
          <w:tcPr>
            <w:tcW w:w="1418" w:type="dxa"/>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南面</w:t>
            </w:r>
          </w:p>
        </w:tc>
        <w:tc>
          <w:tcPr>
            <w:tcW w:w="1276" w:type="dxa"/>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r>
              <w:rPr>
                <w:rFonts w:asciiTheme="minorEastAsia" w:hAnsiTheme="minorEastAsia" w:eastAsiaTheme="minorEastAsia"/>
                <w:kern w:val="0"/>
                <w:sz w:val="21"/>
                <w:szCs w:val="21"/>
              </w:rPr>
              <w:t>1.2</w:t>
            </w:r>
          </w:p>
        </w:tc>
        <w:tc>
          <w:tcPr>
            <w:tcW w:w="2373" w:type="dxa"/>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已搬迁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70" w:type="dxa"/>
            <w:vMerge w:val="continue"/>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p>
        </w:tc>
        <w:tc>
          <w:tcPr>
            <w:tcW w:w="835" w:type="dxa"/>
            <w:vMerge w:val="continue"/>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p>
        </w:tc>
        <w:tc>
          <w:tcPr>
            <w:tcW w:w="2805" w:type="dxa"/>
            <w:gridSpan w:val="2"/>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r>
              <w:rPr>
                <w:rFonts w:asciiTheme="minorEastAsia" w:hAnsiTheme="minorEastAsia" w:eastAsiaTheme="minorEastAsia"/>
                <w:kern w:val="0"/>
                <w:sz w:val="21"/>
                <w:szCs w:val="21"/>
              </w:rPr>
              <w:t>3#</w:t>
            </w:r>
            <w:r>
              <w:rPr>
                <w:rFonts w:hint="eastAsia" w:asciiTheme="minorEastAsia" w:hAnsiTheme="minorEastAsia" w:eastAsiaTheme="minorEastAsia"/>
                <w:kern w:val="0"/>
                <w:sz w:val="21"/>
                <w:szCs w:val="21"/>
              </w:rPr>
              <w:t>竹林堡居民</w:t>
            </w:r>
          </w:p>
        </w:tc>
        <w:tc>
          <w:tcPr>
            <w:tcW w:w="1418" w:type="dxa"/>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西面</w:t>
            </w:r>
          </w:p>
        </w:tc>
        <w:tc>
          <w:tcPr>
            <w:tcW w:w="1276" w:type="dxa"/>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r>
              <w:rPr>
                <w:rFonts w:asciiTheme="minorEastAsia" w:hAnsiTheme="minorEastAsia" w:eastAsiaTheme="minorEastAsia"/>
                <w:kern w:val="0"/>
                <w:sz w:val="21"/>
                <w:szCs w:val="21"/>
              </w:rPr>
              <w:t>1.5</w:t>
            </w:r>
          </w:p>
        </w:tc>
        <w:tc>
          <w:tcPr>
            <w:tcW w:w="2373" w:type="dxa"/>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已搬迁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70" w:type="dxa"/>
            <w:vMerge w:val="continue"/>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p>
        </w:tc>
        <w:tc>
          <w:tcPr>
            <w:tcW w:w="835" w:type="dxa"/>
            <w:vMerge w:val="continue"/>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p>
        </w:tc>
        <w:tc>
          <w:tcPr>
            <w:tcW w:w="2805" w:type="dxa"/>
            <w:gridSpan w:val="2"/>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r>
              <w:rPr>
                <w:rFonts w:asciiTheme="minorEastAsia" w:hAnsiTheme="minorEastAsia" w:eastAsiaTheme="minorEastAsia"/>
                <w:kern w:val="0"/>
                <w:sz w:val="21"/>
                <w:szCs w:val="21"/>
              </w:rPr>
              <w:t>4#</w:t>
            </w:r>
            <w:r>
              <w:rPr>
                <w:rFonts w:hint="eastAsia" w:asciiTheme="minorEastAsia" w:hAnsiTheme="minorEastAsia" w:eastAsiaTheme="minorEastAsia"/>
                <w:kern w:val="0"/>
                <w:sz w:val="21"/>
                <w:szCs w:val="21"/>
              </w:rPr>
              <w:t>长江</w:t>
            </w:r>
          </w:p>
        </w:tc>
        <w:tc>
          <w:tcPr>
            <w:tcW w:w="1418" w:type="dxa"/>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北面</w:t>
            </w:r>
          </w:p>
        </w:tc>
        <w:tc>
          <w:tcPr>
            <w:tcW w:w="1276" w:type="dxa"/>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r>
              <w:rPr>
                <w:rFonts w:asciiTheme="minorEastAsia" w:hAnsiTheme="minorEastAsia" w:eastAsiaTheme="minorEastAsia"/>
                <w:kern w:val="0"/>
                <w:sz w:val="21"/>
                <w:szCs w:val="21"/>
              </w:rPr>
              <w:t>0.3</w:t>
            </w:r>
          </w:p>
        </w:tc>
        <w:tc>
          <w:tcPr>
            <w:tcW w:w="2373" w:type="dxa"/>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70" w:type="dxa"/>
            <w:vMerge w:val="restart"/>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二</w:t>
            </w:r>
          </w:p>
        </w:tc>
        <w:tc>
          <w:tcPr>
            <w:tcW w:w="835" w:type="dxa"/>
            <w:vMerge w:val="restart"/>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地表水</w:t>
            </w:r>
          </w:p>
          <w:p>
            <w:pPr>
              <w:pStyle w:val="420"/>
              <w:autoSpaceDE w:val="0"/>
              <w:autoSpaceDN w:val="0"/>
              <w:spacing w:line="320" w:lineRule="atLeast"/>
              <w:jc w:val="left"/>
              <w:textAlignment w:val="baseline"/>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环境</w:t>
            </w:r>
          </w:p>
        </w:tc>
        <w:tc>
          <w:tcPr>
            <w:tcW w:w="2805" w:type="dxa"/>
            <w:gridSpan w:val="2"/>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冉家沟</w:t>
            </w:r>
          </w:p>
        </w:tc>
        <w:tc>
          <w:tcPr>
            <w:tcW w:w="2694" w:type="dxa"/>
            <w:gridSpan w:val="2"/>
            <w:vAlign w:val="center"/>
          </w:tcPr>
          <w:p>
            <w:pPr>
              <w:autoSpaceDE w:val="0"/>
              <w:autoSpaceDN w:val="0"/>
              <w:spacing w:line="240" w:lineRule="atLeast"/>
              <w:ind w:firstLine="420"/>
              <w:jc w:val="left"/>
              <w:textAlignment w:val="baseline"/>
              <w:rPr>
                <w:rFonts w:asciiTheme="minorEastAsia" w:hAnsiTheme="minorEastAsia" w:eastAsiaTheme="minorEastAsia"/>
                <w:kern w:val="0"/>
                <w:szCs w:val="21"/>
              </w:rPr>
            </w:pPr>
            <w:r>
              <w:rPr>
                <w:rFonts w:hint="eastAsia" w:asciiTheme="minorEastAsia" w:hAnsiTheme="minorEastAsia" w:eastAsiaTheme="minorEastAsia"/>
                <w:kern w:val="0"/>
                <w:szCs w:val="21"/>
              </w:rPr>
              <w:t>排污口设置处</w:t>
            </w:r>
          </w:p>
        </w:tc>
        <w:tc>
          <w:tcPr>
            <w:tcW w:w="2373" w:type="dxa"/>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Ⅲ类水域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70" w:type="dxa"/>
            <w:vMerge w:val="continue"/>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p>
        </w:tc>
        <w:tc>
          <w:tcPr>
            <w:tcW w:w="835" w:type="dxa"/>
            <w:vMerge w:val="continue"/>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p>
        </w:tc>
        <w:tc>
          <w:tcPr>
            <w:tcW w:w="2805" w:type="dxa"/>
            <w:gridSpan w:val="2"/>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长江评价段</w:t>
            </w:r>
          </w:p>
        </w:tc>
        <w:tc>
          <w:tcPr>
            <w:tcW w:w="2694" w:type="dxa"/>
            <w:gridSpan w:val="2"/>
            <w:vAlign w:val="center"/>
          </w:tcPr>
          <w:p>
            <w:pPr>
              <w:autoSpaceDE w:val="0"/>
              <w:autoSpaceDN w:val="0"/>
              <w:spacing w:line="240" w:lineRule="atLeast"/>
              <w:ind w:firstLine="420"/>
              <w:jc w:val="left"/>
              <w:textAlignment w:val="baseline"/>
              <w:rPr>
                <w:rFonts w:asciiTheme="minorEastAsia" w:hAnsiTheme="minorEastAsia" w:eastAsiaTheme="minorEastAsia"/>
                <w:kern w:val="0"/>
                <w:szCs w:val="21"/>
              </w:rPr>
            </w:pPr>
            <w:r>
              <w:rPr>
                <w:rFonts w:hint="eastAsia" w:asciiTheme="minorEastAsia" w:hAnsiTheme="minorEastAsia" w:eastAsiaTheme="minorEastAsia"/>
                <w:kern w:val="0"/>
                <w:szCs w:val="21"/>
              </w:rPr>
              <w:t>本项目纳污水体</w:t>
            </w:r>
          </w:p>
        </w:tc>
        <w:tc>
          <w:tcPr>
            <w:tcW w:w="2373" w:type="dxa"/>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Ⅲ类水域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70" w:type="dxa"/>
            <w:vMerge w:val="continue"/>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p>
        </w:tc>
        <w:tc>
          <w:tcPr>
            <w:tcW w:w="835" w:type="dxa"/>
            <w:vMerge w:val="continue"/>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p>
        </w:tc>
        <w:tc>
          <w:tcPr>
            <w:tcW w:w="2805" w:type="dxa"/>
            <w:gridSpan w:val="2"/>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涪陵化工公司取水口</w:t>
            </w:r>
          </w:p>
        </w:tc>
        <w:tc>
          <w:tcPr>
            <w:tcW w:w="2694" w:type="dxa"/>
            <w:gridSpan w:val="2"/>
            <w:vAlign w:val="center"/>
          </w:tcPr>
          <w:p>
            <w:pPr>
              <w:autoSpaceDE w:val="0"/>
              <w:autoSpaceDN w:val="0"/>
              <w:spacing w:line="240" w:lineRule="atLeast"/>
              <w:ind w:firstLine="420"/>
              <w:jc w:val="left"/>
              <w:textAlignment w:val="baseline"/>
              <w:rPr>
                <w:rFonts w:asciiTheme="minorEastAsia" w:hAnsiTheme="minorEastAsia" w:eastAsiaTheme="minorEastAsia"/>
                <w:kern w:val="0"/>
                <w:szCs w:val="21"/>
              </w:rPr>
            </w:pPr>
            <w:r>
              <w:rPr>
                <w:rFonts w:hint="eastAsia" w:asciiTheme="minorEastAsia" w:hAnsiTheme="minorEastAsia" w:eastAsiaTheme="minorEastAsia"/>
                <w:kern w:val="0"/>
                <w:szCs w:val="21"/>
              </w:rPr>
              <w:t>排污口下游</w:t>
            </w:r>
            <w:r>
              <w:rPr>
                <w:rFonts w:asciiTheme="minorEastAsia" w:hAnsiTheme="minorEastAsia" w:eastAsiaTheme="minorEastAsia"/>
                <w:kern w:val="0"/>
                <w:szCs w:val="21"/>
              </w:rPr>
              <w:t>9km</w:t>
            </w:r>
            <w:r>
              <w:rPr>
                <w:rFonts w:hint="eastAsia" w:asciiTheme="minorEastAsia" w:hAnsiTheme="minorEastAsia" w:eastAsiaTheme="minorEastAsia"/>
                <w:kern w:val="0"/>
                <w:szCs w:val="21"/>
              </w:rPr>
              <w:t>同岸</w:t>
            </w:r>
          </w:p>
        </w:tc>
        <w:tc>
          <w:tcPr>
            <w:tcW w:w="2373" w:type="dxa"/>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Ⅲ类水域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70" w:type="dxa"/>
            <w:vMerge w:val="continue"/>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p>
        </w:tc>
        <w:tc>
          <w:tcPr>
            <w:tcW w:w="835" w:type="dxa"/>
            <w:vMerge w:val="continue"/>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p>
        </w:tc>
        <w:tc>
          <w:tcPr>
            <w:tcW w:w="2805" w:type="dxa"/>
            <w:gridSpan w:val="2"/>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李渡水厂取水口</w:t>
            </w:r>
          </w:p>
        </w:tc>
        <w:tc>
          <w:tcPr>
            <w:tcW w:w="2694" w:type="dxa"/>
            <w:gridSpan w:val="2"/>
            <w:vAlign w:val="center"/>
          </w:tcPr>
          <w:p>
            <w:pPr>
              <w:autoSpaceDE w:val="0"/>
              <w:autoSpaceDN w:val="0"/>
              <w:spacing w:line="240" w:lineRule="atLeast"/>
              <w:jc w:val="left"/>
              <w:textAlignment w:val="baseline"/>
              <w:rPr>
                <w:rFonts w:asciiTheme="minorEastAsia" w:hAnsiTheme="minorEastAsia" w:eastAsiaTheme="minorEastAsia"/>
                <w:kern w:val="0"/>
                <w:szCs w:val="21"/>
              </w:rPr>
            </w:pPr>
            <w:r>
              <w:rPr>
                <w:rFonts w:hint="eastAsia" w:asciiTheme="minorEastAsia" w:hAnsiTheme="minorEastAsia" w:eastAsiaTheme="minorEastAsia"/>
                <w:kern w:val="0"/>
                <w:szCs w:val="21"/>
              </w:rPr>
              <w:t>排污口下游</w:t>
            </w:r>
            <w:r>
              <w:rPr>
                <w:rFonts w:asciiTheme="minorEastAsia" w:hAnsiTheme="minorEastAsia" w:eastAsiaTheme="minorEastAsia"/>
                <w:kern w:val="0"/>
                <w:szCs w:val="21"/>
              </w:rPr>
              <w:t>9.5km</w:t>
            </w:r>
            <w:r>
              <w:rPr>
                <w:rFonts w:hint="eastAsia" w:asciiTheme="minorEastAsia" w:hAnsiTheme="minorEastAsia" w:eastAsiaTheme="minorEastAsia"/>
                <w:kern w:val="0"/>
                <w:szCs w:val="21"/>
              </w:rPr>
              <w:t>对岸</w:t>
            </w:r>
          </w:p>
        </w:tc>
        <w:tc>
          <w:tcPr>
            <w:tcW w:w="2373" w:type="dxa"/>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城市生活用水取水口</w:t>
            </w:r>
          </w:p>
          <w:p>
            <w:pPr>
              <w:pStyle w:val="420"/>
              <w:autoSpaceDE w:val="0"/>
              <w:autoSpaceDN w:val="0"/>
              <w:spacing w:line="320" w:lineRule="atLeast"/>
              <w:jc w:val="left"/>
              <w:textAlignment w:val="baseline"/>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（饮用水源保护区）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70" w:type="dxa"/>
            <w:vMerge w:val="continue"/>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p>
        </w:tc>
        <w:tc>
          <w:tcPr>
            <w:tcW w:w="835" w:type="dxa"/>
            <w:vMerge w:val="continue"/>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p>
        </w:tc>
        <w:tc>
          <w:tcPr>
            <w:tcW w:w="2805" w:type="dxa"/>
            <w:gridSpan w:val="2"/>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涪陵二水厂取水口</w:t>
            </w:r>
          </w:p>
        </w:tc>
        <w:tc>
          <w:tcPr>
            <w:tcW w:w="2694" w:type="dxa"/>
            <w:gridSpan w:val="2"/>
            <w:vAlign w:val="center"/>
          </w:tcPr>
          <w:p>
            <w:pPr>
              <w:autoSpaceDE w:val="0"/>
              <w:autoSpaceDN w:val="0"/>
              <w:spacing w:line="240" w:lineRule="atLeast"/>
              <w:jc w:val="left"/>
              <w:textAlignment w:val="baseline"/>
              <w:rPr>
                <w:rFonts w:asciiTheme="minorEastAsia" w:hAnsiTheme="minorEastAsia" w:eastAsiaTheme="minorEastAsia"/>
                <w:kern w:val="0"/>
                <w:szCs w:val="21"/>
              </w:rPr>
            </w:pPr>
            <w:r>
              <w:rPr>
                <w:rFonts w:hint="eastAsia" w:asciiTheme="minorEastAsia" w:hAnsiTheme="minorEastAsia" w:eastAsiaTheme="minorEastAsia"/>
                <w:kern w:val="0"/>
                <w:szCs w:val="21"/>
              </w:rPr>
              <w:t>排污口下游</w:t>
            </w:r>
            <w:r>
              <w:rPr>
                <w:rFonts w:asciiTheme="minorEastAsia" w:hAnsiTheme="minorEastAsia" w:eastAsiaTheme="minorEastAsia"/>
                <w:kern w:val="0"/>
                <w:szCs w:val="21"/>
              </w:rPr>
              <w:t>22.4km</w:t>
            </w:r>
            <w:r>
              <w:rPr>
                <w:rFonts w:hint="eastAsia" w:asciiTheme="minorEastAsia" w:hAnsiTheme="minorEastAsia" w:eastAsiaTheme="minorEastAsia"/>
                <w:kern w:val="0"/>
                <w:szCs w:val="21"/>
              </w:rPr>
              <w:t>同岸</w:t>
            </w:r>
          </w:p>
        </w:tc>
        <w:tc>
          <w:tcPr>
            <w:tcW w:w="2373" w:type="dxa"/>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城市生活用水取水口</w:t>
            </w:r>
          </w:p>
          <w:p>
            <w:pPr>
              <w:pStyle w:val="420"/>
              <w:autoSpaceDE w:val="0"/>
              <w:autoSpaceDN w:val="0"/>
              <w:spacing w:line="320" w:lineRule="atLeast"/>
              <w:jc w:val="left"/>
              <w:textAlignment w:val="baseline"/>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（饮用水源保护区）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jc w:val="center"/>
        </w:trPr>
        <w:tc>
          <w:tcPr>
            <w:tcW w:w="670" w:type="dxa"/>
            <w:vMerge w:val="restart"/>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三</w:t>
            </w:r>
          </w:p>
        </w:tc>
        <w:tc>
          <w:tcPr>
            <w:tcW w:w="835" w:type="dxa"/>
            <w:vMerge w:val="restart"/>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声环境</w:t>
            </w:r>
            <w:r>
              <w:rPr>
                <w:rFonts w:asciiTheme="minorEastAsia" w:hAnsiTheme="minorEastAsia" w:eastAsiaTheme="minorEastAsia"/>
                <w:kern w:val="0"/>
                <w:sz w:val="21"/>
                <w:szCs w:val="21"/>
              </w:rPr>
              <w:t>*</w:t>
            </w:r>
          </w:p>
        </w:tc>
        <w:tc>
          <w:tcPr>
            <w:tcW w:w="758" w:type="dxa"/>
            <w:vMerge w:val="restart"/>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污水处理厂</w:t>
            </w:r>
          </w:p>
        </w:tc>
        <w:tc>
          <w:tcPr>
            <w:tcW w:w="2047" w:type="dxa"/>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r>
              <w:rPr>
                <w:rFonts w:asciiTheme="minorEastAsia" w:hAnsiTheme="minorEastAsia" w:eastAsiaTheme="minorEastAsia"/>
                <w:kern w:val="0"/>
                <w:sz w:val="21"/>
                <w:szCs w:val="21"/>
              </w:rPr>
              <w:t>1#</w:t>
            </w:r>
            <w:r>
              <w:rPr>
                <w:rFonts w:hint="eastAsia" w:asciiTheme="minorEastAsia" w:hAnsiTheme="minorEastAsia" w:eastAsiaTheme="minorEastAsia"/>
                <w:kern w:val="0"/>
                <w:sz w:val="21"/>
                <w:szCs w:val="21"/>
              </w:rPr>
              <w:t>农村居民点</w:t>
            </w:r>
          </w:p>
        </w:tc>
        <w:tc>
          <w:tcPr>
            <w:tcW w:w="1418" w:type="dxa"/>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r>
              <w:rPr>
                <w:rFonts w:asciiTheme="minorEastAsia" w:hAnsiTheme="minorEastAsia" w:eastAsiaTheme="minorEastAsia"/>
                <w:kern w:val="0"/>
                <w:sz w:val="21"/>
                <w:szCs w:val="21"/>
              </w:rPr>
              <w:t>NE</w:t>
            </w:r>
          </w:p>
        </w:tc>
        <w:tc>
          <w:tcPr>
            <w:tcW w:w="1276" w:type="dxa"/>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r>
              <w:rPr>
                <w:rFonts w:asciiTheme="minorEastAsia" w:hAnsiTheme="minorEastAsia" w:eastAsiaTheme="minorEastAsia"/>
                <w:kern w:val="0"/>
                <w:sz w:val="21"/>
                <w:szCs w:val="21"/>
              </w:rPr>
              <w:t>0.06</w:t>
            </w:r>
          </w:p>
        </w:tc>
        <w:tc>
          <w:tcPr>
            <w:tcW w:w="2373" w:type="dxa"/>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已搬迁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8" w:hRule="atLeast"/>
          <w:jc w:val="center"/>
        </w:trPr>
        <w:tc>
          <w:tcPr>
            <w:tcW w:w="670" w:type="dxa"/>
            <w:vMerge w:val="continue"/>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p>
        </w:tc>
        <w:tc>
          <w:tcPr>
            <w:tcW w:w="835" w:type="dxa"/>
            <w:vMerge w:val="continue"/>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p>
        </w:tc>
        <w:tc>
          <w:tcPr>
            <w:tcW w:w="758" w:type="dxa"/>
            <w:vMerge w:val="continue"/>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p>
        </w:tc>
        <w:tc>
          <w:tcPr>
            <w:tcW w:w="2047" w:type="dxa"/>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r>
              <w:rPr>
                <w:rFonts w:asciiTheme="minorEastAsia" w:hAnsiTheme="minorEastAsia" w:eastAsiaTheme="minorEastAsia"/>
                <w:kern w:val="0"/>
                <w:sz w:val="21"/>
                <w:szCs w:val="21"/>
              </w:rPr>
              <w:t>2#</w:t>
            </w:r>
            <w:r>
              <w:rPr>
                <w:rFonts w:hint="eastAsia" w:asciiTheme="minorEastAsia" w:hAnsiTheme="minorEastAsia" w:eastAsiaTheme="minorEastAsia"/>
                <w:kern w:val="0"/>
                <w:sz w:val="21"/>
                <w:szCs w:val="21"/>
              </w:rPr>
              <w:t>农村居民点</w:t>
            </w:r>
          </w:p>
        </w:tc>
        <w:tc>
          <w:tcPr>
            <w:tcW w:w="1418" w:type="dxa"/>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r>
              <w:rPr>
                <w:rFonts w:asciiTheme="minorEastAsia" w:hAnsiTheme="minorEastAsia" w:eastAsiaTheme="minorEastAsia"/>
                <w:kern w:val="0"/>
                <w:sz w:val="21"/>
                <w:szCs w:val="21"/>
              </w:rPr>
              <w:t>SE</w:t>
            </w:r>
          </w:p>
        </w:tc>
        <w:tc>
          <w:tcPr>
            <w:tcW w:w="1276" w:type="dxa"/>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r>
              <w:rPr>
                <w:rFonts w:asciiTheme="minorEastAsia" w:hAnsiTheme="minorEastAsia" w:eastAsiaTheme="minorEastAsia"/>
                <w:kern w:val="0"/>
                <w:sz w:val="21"/>
                <w:szCs w:val="21"/>
              </w:rPr>
              <w:t>0.25</w:t>
            </w:r>
          </w:p>
        </w:tc>
        <w:tc>
          <w:tcPr>
            <w:tcW w:w="2373" w:type="dxa"/>
          </w:tcPr>
          <w:p>
            <w:pPr>
              <w:jc w:val="left"/>
              <w:rPr>
                <w:rFonts w:asciiTheme="minorEastAsia" w:hAnsiTheme="minorEastAsia" w:eastAsiaTheme="minorEastAsia"/>
              </w:rPr>
            </w:pPr>
            <w:r>
              <w:rPr>
                <w:rFonts w:hint="eastAsia" w:asciiTheme="minorEastAsia" w:hAnsiTheme="minorEastAsia" w:eastAsiaTheme="minorEastAsia"/>
                <w:kern w:val="0"/>
                <w:szCs w:val="21"/>
              </w:rPr>
              <w:t>已搬迁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jc w:val="center"/>
        </w:trPr>
        <w:tc>
          <w:tcPr>
            <w:tcW w:w="670" w:type="dxa"/>
            <w:vMerge w:val="continue"/>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p>
        </w:tc>
        <w:tc>
          <w:tcPr>
            <w:tcW w:w="835" w:type="dxa"/>
            <w:vMerge w:val="continue"/>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p>
        </w:tc>
        <w:tc>
          <w:tcPr>
            <w:tcW w:w="758" w:type="dxa"/>
            <w:vMerge w:val="continue"/>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p>
        </w:tc>
        <w:tc>
          <w:tcPr>
            <w:tcW w:w="2047" w:type="dxa"/>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r>
              <w:rPr>
                <w:rFonts w:asciiTheme="minorEastAsia" w:hAnsiTheme="minorEastAsia" w:eastAsiaTheme="minorEastAsia"/>
                <w:kern w:val="0"/>
                <w:sz w:val="21"/>
                <w:szCs w:val="21"/>
              </w:rPr>
              <w:t>3#</w:t>
            </w:r>
            <w:r>
              <w:rPr>
                <w:rFonts w:hint="eastAsia" w:asciiTheme="minorEastAsia" w:hAnsiTheme="minorEastAsia" w:eastAsiaTheme="minorEastAsia"/>
                <w:kern w:val="0"/>
                <w:sz w:val="21"/>
                <w:szCs w:val="21"/>
              </w:rPr>
              <w:t>农村居民点</w:t>
            </w:r>
          </w:p>
        </w:tc>
        <w:tc>
          <w:tcPr>
            <w:tcW w:w="1418" w:type="dxa"/>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r>
              <w:rPr>
                <w:rFonts w:asciiTheme="minorEastAsia" w:hAnsiTheme="minorEastAsia" w:eastAsiaTheme="minorEastAsia"/>
                <w:kern w:val="0"/>
                <w:sz w:val="21"/>
                <w:szCs w:val="21"/>
              </w:rPr>
              <w:t>S</w:t>
            </w:r>
          </w:p>
        </w:tc>
        <w:tc>
          <w:tcPr>
            <w:tcW w:w="1276" w:type="dxa"/>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r>
              <w:rPr>
                <w:rFonts w:asciiTheme="minorEastAsia" w:hAnsiTheme="minorEastAsia" w:eastAsiaTheme="minorEastAsia"/>
                <w:kern w:val="0"/>
                <w:sz w:val="21"/>
                <w:szCs w:val="21"/>
              </w:rPr>
              <w:t>0.20</w:t>
            </w:r>
          </w:p>
        </w:tc>
        <w:tc>
          <w:tcPr>
            <w:tcW w:w="2373" w:type="dxa"/>
          </w:tcPr>
          <w:p>
            <w:pPr>
              <w:jc w:val="left"/>
              <w:rPr>
                <w:rFonts w:asciiTheme="minorEastAsia" w:hAnsiTheme="minorEastAsia" w:eastAsiaTheme="minorEastAsia"/>
              </w:rPr>
            </w:pPr>
            <w:r>
              <w:rPr>
                <w:rFonts w:hint="eastAsia" w:asciiTheme="minorEastAsia" w:hAnsiTheme="minorEastAsia" w:eastAsiaTheme="minorEastAsia"/>
                <w:kern w:val="0"/>
                <w:szCs w:val="21"/>
              </w:rPr>
              <w:t>已搬迁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6" w:hRule="atLeast"/>
          <w:jc w:val="center"/>
        </w:trPr>
        <w:tc>
          <w:tcPr>
            <w:tcW w:w="670" w:type="dxa"/>
            <w:vMerge w:val="continue"/>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p>
        </w:tc>
        <w:tc>
          <w:tcPr>
            <w:tcW w:w="835" w:type="dxa"/>
            <w:vMerge w:val="continue"/>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p>
        </w:tc>
        <w:tc>
          <w:tcPr>
            <w:tcW w:w="758" w:type="dxa"/>
            <w:vMerge w:val="continue"/>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p>
        </w:tc>
        <w:tc>
          <w:tcPr>
            <w:tcW w:w="2047" w:type="dxa"/>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r>
              <w:rPr>
                <w:rFonts w:asciiTheme="minorEastAsia" w:hAnsiTheme="minorEastAsia" w:eastAsiaTheme="minorEastAsia"/>
                <w:kern w:val="0"/>
                <w:sz w:val="21"/>
                <w:szCs w:val="21"/>
              </w:rPr>
              <w:t>4#</w:t>
            </w:r>
            <w:r>
              <w:rPr>
                <w:rFonts w:hint="eastAsia" w:asciiTheme="minorEastAsia" w:hAnsiTheme="minorEastAsia" w:eastAsiaTheme="minorEastAsia"/>
                <w:kern w:val="0"/>
                <w:sz w:val="21"/>
                <w:szCs w:val="21"/>
              </w:rPr>
              <w:t>农村居民点</w:t>
            </w:r>
          </w:p>
        </w:tc>
        <w:tc>
          <w:tcPr>
            <w:tcW w:w="1418" w:type="dxa"/>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r>
              <w:rPr>
                <w:rFonts w:asciiTheme="minorEastAsia" w:hAnsiTheme="minorEastAsia" w:eastAsiaTheme="minorEastAsia"/>
                <w:kern w:val="0"/>
                <w:sz w:val="21"/>
                <w:szCs w:val="21"/>
              </w:rPr>
              <w:t>WS</w:t>
            </w:r>
          </w:p>
        </w:tc>
        <w:tc>
          <w:tcPr>
            <w:tcW w:w="1276" w:type="dxa"/>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r>
              <w:rPr>
                <w:rFonts w:asciiTheme="minorEastAsia" w:hAnsiTheme="minorEastAsia" w:eastAsiaTheme="minorEastAsia"/>
                <w:kern w:val="0"/>
                <w:sz w:val="21"/>
                <w:szCs w:val="21"/>
              </w:rPr>
              <w:t>0.25</w:t>
            </w:r>
          </w:p>
        </w:tc>
        <w:tc>
          <w:tcPr>
            <w:tcW w:w="2373" w:type="dxa"/>
          </w:tcPr>
          <w:p>
            <w:pPr>
              <w:jc w:val="left"/>
              <w:rPr>
                <w:rFonts w:asciiTheme="minorEastAsia" w:hAnsiTheme="minorEastAsia" w:eastAsiaTheme="minorEastAsia"/>
              </w:rPr>
            </w:pPr>
            <w:r>
              <w:rPr>
                <w:rFonts w:hint="eastAsia" w:asciiTheme="minorEastAsia" w:hAnsiTheme="minorEastAsia" w:eastAsiaTheme="minorEastAsia"/>
                <w:kern w:val="0"/>
                <w:szCs w:val="21"/>
              </w:rPr>
              <w:t>已搬迁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jc w:val="center"/>
        </w:trPr>
        <w:tc>
          <w:tcPr>
            <w:tcW w:w="670" w:type="dxa"/>
            <w:vMerge w:val="continue"/>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p>
        </w:tc>
        <w:tc>
          <w:tcPr>
            <w:tcW w:w="835" w:type="dxa"/>
            <w:vMerge w:val="continue"/>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p>
        </w:tc>
        <w:tc>
          <w:tcPr>
            <w:tcW w:w="758" w:type="dxa"/>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厂外泵站</w:t>
            </w:r>
          </w:p>
        </w:tc>
        <w:tc>
          <w:tcPr>
            <w:tcW w:w="2047" w:type="dxa"/>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北拱场</w:t>
            </w:r>
          </w:p>
        </w:tc>
        <w:tc>
          <w:tcPr>
            <w:tcW w:w="1418" w:type="dxa"/>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四周</w:t>
            </w:r>
          </w:p>
        </w:tc>
        <w:tc>
          <w:tcPr>
            <w:tcW w:w="1276" w:type="dxa"/>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r>
              <w:rPr>
                <w:rFonts w:asciiTheme="minorEastAsia" w:hAnsiTheme="minorEastAsia" w:eastAsiaTheme="minorEastAsia"/>
                <w:kern w:val="0"/>
                <w:sz w:val="21"/>
                <w:szCs w:val="21"/>
              </w:rPr>
              <w:t>0.10</w:t>
            </w:r>
          </w:p>
        </w:tc>
        <w:tc>
          <w:tcPr>
            <w:tcW w:w="2373" w:type="dxa"/>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r>
              <w:rPr>
                <w:rFonts w:asciiTheme="minorEastAsia" w:hAnsiTheme="minorEastAsia" w:eastAsiaTheme="minorEastAsia"/>
                <w:kern w:val="0"/>
                <w:sz w:val="21"/>
                <w:szCs w:val="21"/>
              </w:rPr>
              <w:t>8</w:t>
            </w:r>
            <w:r>
              <w:rPr>
                <w:rFonts w:hint="eastAsia" w:asciiTheme="minorEastAsia" w:hAnsiTheme="minorEastAsia" w:eastAsiaTheme="minorEastAsia"/>
                <w:kern w:val="0"/>
                <w:sz w:val="21"/>
                <w:szCs w:val="21"/>
              </w:rPr>
              <w:t>户</w:t>
            </w:r>
            <w:r>
              <w:rPr>
                <w:rFonts w:asciiTheme="minorEastAsia" w:hAnsiTheme="minorEastAsia" w:eastAsiaTheme="minorEastAsia"/>
                <w:kern w:val="0"/>
                <w:sz w:val="21"/>
                <w:szCs w:val="21"/>
              </w:rPr>
              <w:t>29</w:t>
            </w:r>
            <w:r>
              <w:rPr>
                <w:rFonts w:hint="eastAsia" w:asciiTheme="minorEastAsia" w:hAnsiTheme="minorEastAsia" w:eastAsiaTheme="minorEastAsia"/>
                <w:kern w:val="0"/>
                <w:sz w:val="21"/>
                <w:szCs w:val="21"/>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jc w:val="center"/>
        </w:trPr>
        <w:tc>
          <w:tcPr>
            <w:tcW w:w="670" w:type="dxa"/>
            <w:vMerge w:val="continue"/>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p>
        </w:tc>
        <w:tc>
          <w:tcPr>
            <w:tcW w:w="835" w:type="dxa"/>
            <w:vMerge w:val="continue"/>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p>
        </w:tc>
        <w:tc>
          <w:tcPr>
            <w:tcW w:w="758" w:type="dxa"/>
            <w:vMerge w:val="restart"/>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污水收集管网</w:t>
            </w:r>
          </w:p>
        </w:tc>
        <w:tc>
          <w:tcPr>
            <w:tcW w:w="2047" w:type="dxa"/>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北拱场</w:t>
            </w:r>
          </w:p>
        </w:tc>
        <w:tc>
          <w:tcPr>
            <w:tcW w:w="1418" w:type="dxa"/>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两侧</w:t>
            </w:r>
          </w:p>
        </w:tc>
        <w:tc>
          <w:tcPr>
            <w:tcW w:w="1276" w:type="dxa"/>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r>
              <w:rPr>
                <w:rFonts w:asciiTheme="minorEastAsia" w:hAnsiTheme="minorEastAsia" w:eastAsiaTheme="minorEastAsia"/>
                <w:kern w:val="0"/>
                <w:sz w:val="21"/>
                <w:szCs w:val="21"/>
              </w:rPr>
              <w:t>0.1</w:t>
            </w:r>
          </w:p>
        </w:tc>
        <w:tc>
          <w:tcPr>
            <w:tcW w:w="2373" w:type="dxa"/>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r>
              <w:rPr>
                <w:rFonts w:asciiTheme="minorEastAsia" w:hAnsiTheme="minorEastAsia" w:eastAsiaTheme="minorEastAsia"/>
                <w:kern w:val="0"/>
                <w:sz w:val="21"/>
                <w:szCs w:val="21"/>
              </w:rPr>
              <w:t>500</w:t>
            </w:r>
            <w:r>
              <w:rPr>
                <w:rFonts w:hint="eastAsia" w:asciiTheme="minorEastAsia" w:hAnsiTheme="minorEastAsia" w:eastAsiaTheme="minorEastAsia"/>
                <w:kern w:val="0"/>
                <w:sz w:val="21"/>
                <w:szCs w:val="21"/>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1" w:hRule="atLeast"/>
          <w:jc w:val="center"/>
        </w:trPr>
        <w:tc>
          <w:tcPr>
            <w:tcW w:w="670" w:type="dxa"/>
            <w:vMerge w:val="continue"/>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p>
        </w:tc>
        <w:tc>
          <w:tcPr>
            <w:tcW w:w="835" w:type="dxa"/>
            <w:vMerge w:val="continue"/>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p>
        </w:tc>
        <w:tc>
          <w:tcPr>
            <w:tcW w:w="758" w:type="dxa"/>
            <w:vMerge w:val="continue"/>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p>
        </w:tc>
        <w:tc>
          <w:tcPr>
            <w:tcW w:w="2047" w:type="dxa"/>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石塔村</w:t>
            </w:r>
          </w:p>
        </w:tc>
        <w:tc>
          <w:tcPr>
            <w:tcW w:w="1418" w:type="dxa"/>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两侧</w:t>
            </w:r>
          </w:p>
        </w:tc>
        <w:tc>
          <w:tcPr>
            <w:tcW w:w="1276" w:type="dxa"/>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r>
              <w:rPr>
                <w:rFonts w:asciiTheme="minorEastAsia" w:hAnsiTheme="minorEastAsia" w:eastAsiaTheme="minorEastAsia"/>
                <w:kern w:val="0"/>
                <w:sz w:val="21"/>
                <w:szCs w:val="21"/>
              </w:rPr>
              <w:t>0.1</w:t>
            </w:r>
          </w:p>
        </w:tc>
        <w:tc>
          <w:tcPr>
            <w:tcW w:w="2373" w:type="dxa"/>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r>
              <w:rPr>
                <w:rFonts w:asciiTheme="minorEastAsia" w:hAnsiTheme="minorEastAsia" w:eastAsiaTheme="minorEastAsia"/>
                <w:kern w:val="0"/>
                <w:sz w:val="21"/>
                <w:szCs w:val="21"/>
              </w:rPr>
              <w:t>900</w:t>
            </w:r>
            <w:r>
              <w:rPr>
                <w:rFonts w:hint="eastAsia" w:asciiTheme="minorEastAsia" w:hAnsiTheme="minorEastAsia" w:eastAsiaTheme="minorEastAsia"/>
                <w:kern w:val="0"/>
                <w:sz w:val="21"/>
                <w:szCs w:val="21"/>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jc w:val="center"/>
        </w:trPr>
        <w:tc>
          <w:tcPr>
            <w:tcW w:w="670" w:type="dxa"/>
            <w:vMerge w:val="continue"/>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p>
        </w:tc>
        <w:tc>
          <w:tcPr>
            <w:tcW w:w="835" w:type="dxa"/>
            <w:vMerge w:val="continue"/>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p>
        </w:tc>
        <w:tc>
          <w:tcPr>
            <w:tcW w:w="758" w:type="dxa"/>
            <w:vMerge w:val="continue"/>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p>
        </w:tc>
        <w:tc>
          <w:tcPr>
            <w:tcW w:w="2047" w:type="dxa"/>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南岸浦居民集中点</w:t>
            </w:r>
          </w:p>
        </w:tc>
        <w:tc>
          <w:tcPr>
            <w:tcW w:w="1418" w:type="dxa"/>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两侧</w:t>
            </w:r>
          </w:p>
        </w:tc>
        <w:tc>
          <w:tcPr>
            <w:tcW w:w="1276" w:type="dxa"/>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r>
              <w:rPr>
                <w:rFonts w:asciiTheme="minorEastAsia" w:hAnsiTheme="minorEastAsia" w:eastAsiaTheme="minorEastAsia"/>
                <w:kern w:val="0"/>
                <w:sz w:val="21"/>
                <w:szCs w:val="21"/>
              </w:rPr>
              <w:t>0.1</w:t>
            </w:r>
          </w:p>
        </w:tc>
        <w:tc>
          <w:tcPr>
            <w:tcW w:w="2373" w:type="dxa"/>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r>
              <w:rPr>
                <w:rFonts w:asciiTheme="minorEastAsia" w:hAnsiTheme="minorEastAsia" w:eastAsiaTheme="minorEastAsia"/>
                <w:kern w:val="0"/>
                <w:sz w:val="21"/>
                <w:szCs w:val="21"/>
              </w:rPr>
              <w:t>1300</w:t>
            </w:r>
            <w:r>
              <w:rPr>
                <w:rFonts w:hint="eastAsia" w:asciiTheme="minorEastAsia" w:hAnsiTheme="minorEastAsia" w:eastAsiaTheme="minorEastAsia"/>
                <w:kern w:val="0"/>
                <w:sz w:val="21"/>
                <w:szCs w:val="21"/>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70" w:type="dxa"/>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四</w:t>
            </w:r>
          </w:p>
        </w:tc>
        <w:tc>
          <w:tcPr>
            <w:tcW w:w="835" w:type="dxa"/>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生态</w:t>
            </w:r>
          </w:p>
          <w:p>
            <w:pPr>
              <w:pStyle w:val="420"/>
              <w:autoSpaceDE w:val="0"/>
              <w:autoSpaceDN w:val="0"/>
              <w:spacing w:line="320" w:lineRule="atLeast"/>
              <w:jc w:val="left"/>
              <w:textAlignment w:val="baseline"/>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环境</w:t>
            </w:r>
          </w:p>
        </w:tc>
        <w:tc>
          <w:tcPr>
            <w:tcW w:w="2805" w:type="dxa"/>
            <w:gridSpan w:val="2"/>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陆生生态</w:t>
            </w:r>
          </w:p>
        </w:tc>
        <w:tc>
          <w:tcPr>
            <w:tcW w:w="2694" w:type="dxa"/>
            <w:gridSpan w:val="2"/>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拟建项目建设范围</w:t>
            </w:r>
          </w:p>
        </w:tc>
        <w:tc>
          <w:tcPr>
            <w:tcW w:w="2373" w:type="dxa"/>
            <w:vAlign w:val="center"/>
          </w:tcPr>
          <w:p>
            <w:pPr>
              <w:pStyle w:val="420"/>
              <w:autoSpaceDE w:val="0"/>
              <w:autoSpaceDN w:val="0"/>
              <w:spacing w:line="320" w:lineRule="atLeast"/>
              <w:jc w:val="left"/>
              <w:textAlignment w:val="baseline"/>
              <w:rPr>
                <w:rFonts w:asciiTheme="minorEastAsia" w:hAnsiTheme="minorEastAsia" w:eastAsiaTheme="minorEastAsia"/>
                <w:kern w:val="0"/>
                <w:sz w:val="21"/>
                <w:szCs w:val="21"/>
              </w:rPr>
            </w:pPr>
            <w:r>
              <w:rPr>
                <w:rFonts w:asciiTheme="minorEastAsia" w:hAnsiTheme="minorEastAsia" w:eastAsiaTheme="minorEastAsia"/>
                <w:kern w:val="0"/>
                <w:sz w:val="21"/>
                <w:szCs w:val="21"/>
              </w:rPr>
              <w:t>/</w:t>
            </w:r>
          </w:p>
        </w:tc>
      </w:tr>
    </w:tbl>
    <w:p>
      <w:pPr>
        <w:adjustRightInd w:val="0"/>
        <w:snapToGrid w:val="0"/>
        <w:spacing w:line="460" w:lineRule="exact"/>
        <w:outlineLvl w:val="1"/>
        <w:rPr>
          <w:b/>
          <w:color w:val="000000"/>
          <w:sz w:val="28"/>
          <w:szCs w:val="28"/>
        </w:rPr>
      </w:pPr>
      <w:bookmarkStart w:id="104" w:name="_Toc18462"/>
      <w:r>
        <w:rPr>
          <w:b/>
          <w:color w:val="000000"/>
          <w:sz w:val="28"/>
          <w:szCs w:val="28"/>
        </w:rPr>
        <w:t>2.4</w:t>
      </w:r>
      <w:r>
        <w:rPr>
          <w:rFonts w:hint="eastAsia"/>
          <w:b/>
          <w:color w:val="000000"/>
          <w:sz w:val="28"/>
          <w:szCs w:val="28"/>
        </w:rPr>
        <w:t>企业现有污染物及排放标准</w:t>
      </w:r>
      <w:bookmarkEnd w:id="104"/>
    </w:p>
    <w:p>
      <w:pPr>
        <w:spacing w:line="460" w:lineRule="exact"/>
        <w:ind w:firstLine="560"/>
        <w:jc w:val="left"/>
        <w:rPr>
          <w:rFonts w:asciiTheme="minorEastAsia" w:hAnsiTheme="minorEastAsia" w:eastAsiaTheme="minorEastAsia"/>
          <w:snapToGrid w:val="0"/>
          <w:sz w:val="28"/>
          <w:szCs w:val="28"/>
        </w:rPr>
      </w:pPr>
      <w:r>
        <w:rPr>
          <w:rFonts w:hint="eastAsia" w:asciiTheme="minorEastAsia" w:hAnsiTheme="minorEastAsia" w:eastAsiaTheme="minorEastAsia"/>
          <w:snapToGrid w:val="0"/>
          <w:sz w:val="28"/>
          <w:szCs w:val="28"/>
        </w:rPr>
        <w:t>（</w:t>
      </w:r>
      <w:r>
        <w:rPr>
          <w:rFonts w:asciiTheme="minorEastAsia" w:hAnsiTheme="minorEastAsia" w:eastAsiaTheme="minorEastAsia"/>
          <w:snapToGrid w:val="0"/>
          <w:sz w:val="28"/>
          <w:szCs w:val="28"/>
        </w:rPr>
        <w:t>1</w:t>
      </w:r>
      <w:r>
        <w:rPr>
          <w:rFonts w:hint="eastAsia" w:asciiTheme="minorEastAsia" w:hAnsiTheme="minorEastAsia" w:eastAsiaTheme="minorEastAsia"/>
          <w:snapToGrid w:val="0"/>
          <w:sz w:val="28"/>
          <w:szCs w:val="28"/>
        </w:rPr>
        <w:t>）废气</w:t>
      </w:r>
    </w:p>
    <w:p>
      <w:pPr>
        <w:spacing w:line="460" w:lineRule="exact"/>
        <w:ind w:firstLine="480"/>
        <w:jc w:val="left"/>
        <w:rPr>
          <w:rFonts w:asciiTheme="minorEastAsia" w:hAnsiTheme="minorEastAsia" w:eastAsiaTheme="minorEastAsia"/>
          <w:snapToGrid w:val="0"/>
          <w:sz w:val="24"/>
          <w:szCs w:val="24"/>
        </w:rPr>
      </w:pPr>
      <w:r>
        <w:rPr>
          <w:rFonts w:hint="eastAsia" w:asciiTheme="minorEastAsia" w:hAnsiTheme="minorEastAsia" w:eastAsiaTheme="minorEastAsia"/>
          <w:snapToGrid w:val="0"/>
          <w:sz w:val="24"/>
          <w:szCs w:val="24"/>
        </w:rPr>
        <w:t>臭气执行《恶臭污染物排放标准》（</w:t>
      </w:r>
      <w:r>
        <w:rPr>
          <w:rFonts w:asciiTheme="minorEastAsia" w:hAnsiTheme="minorEastAsia" w:eastAsiaTheme="minorEastAsia"/>
          <w:snapToGrid w:val="0"/>
          <w:sz w:val="24"/>
          <w:szCs w:val="24"/>
        </w:rPr>
        <w:t>GB14554-93</w:t>
      </w:r>
      <w:r>
        <w:rPr>
          <w:rFonts w:hint="eastAsia" w:asciiTheme="minorEastAsia" w:hAnsiTheme="minorEastAsia" w:eastAsiaTheme="minorEastAsia"/>
          <w:snapToGrid w:val="0"/>
          <w:sz w:val="24"/>
          <w:szCs w:val="24"/>
        </w:rPr>
        <w:t>）表</w:t>
      </w:r>
      <w:r>
        <w:rPr>
          <w:rFonts w:asciiTheme="minorEastAsia" w:hAnsiTheme="minorEastAsia" w:eastAsiaTheme="minorEastAsia"/>
          <w:snapToGrid w:val="0"/>
          <w:sz w:val="24"/>
          <w:szCs w:val="24"/>
        </w:rPr>
        <w:t>1</w:t>
      </w:r>
      <w:r>
        <w:rPr>
          <w:rFonts w:hint="eastAsia" w:asciiTheme="minorEastAsia" w:hAnsiTheme="minorEastAsia" w:eastAsiaTheme="minorEastAsia"/>
          <w:snapToGrid w:val="0"/>
          <w:sz w:val="24"/>
          <w:szCs w:val="24"/>
        </w:rPr>
        <w:t>中的标准，见表</w:t>
      </w:r>
      <w:r>
        <w:rPr>
          <w:rFonts w:asciiTheme="minorEastAsia" w:hAnsiTheme="minorEastAsia" w:eastAsiaTheme="minorEastAsia"/>
          <w:snapToGrid w:val="0"/>
          <w:sz w:val="24"/>
          <w:szCs w:val="24"/>
        </w:rPr>
        <w:t>2</w:t>
      </w:r>
      <w:r>
        <w:rPr>
          <w:rFonts w:hint="eastAsia" w:asciiTheme="minorEastAsia" w:hAnsiTheme="minorEastAsia" w:eastAsiaTheme="minorEastAsia"/>
          <w:snapToGrid w:val="0"/>
          <w:sz w:val="24"/>
          <w:szCs w:val="24"/>
        </w:rPr>
        <w:t>-</w:t>
      </w:r>
      <w:r>
        <w:rPr>
          <w:rFonts w:asciiTheme="minorEastAsia" w:hAnsiTheme="minorEastAsia" w:eastAsiaTheme="minorEastAsia"/>
          <w:snapToGrid w:val="0"/>
          <w:sz w:val="24"/>
          <w:szCs w:val="24"/>
        </w:rPr>
        <w:t>3</w:t>
      </w:r>
      <w:r>
        <w:rPr>
          <w:rFonts w:hint="eastAsia" w:asciiTheme="minorEastAsia" w:hAnsiTheme="minorEastAsia" w:eastAsiaTheme="minorEastAsia"/>
          <w:snapToGrid w:val="0"/>
          <w:sz w:val="24"/>
          <w:szCs w:val="24"/>
        </w:rPr>
        <w:t>。</w:t>
      </w:r>
    </w:p>
    <w:p>
      <w:pPr>
        <w:pStyle w:val="193"/>
        <w:tabs>
          <w:tab w:val="left" w:pos="7140"/>
        </w:tabs>
        <w:spacing w:before="156"/>
        <w:rPr>
          <w:rFonts w:ascii="仿宋_GB2312"/>
          <w:snapToGrid w:val="0"/>
        </w:rPr>
      </w:pPr>
      <w:r>
        <w:rPr>
          <w:rFonts w:hint="eastAsia" w:ascii="仿宋_GB2312"/>
          <w:snapToGrid w:val="0"/>
        </w:rPr>
        <w:t>表2-3     废气排放标准                   单位：mg/m</w:t>
      </w:r>
      <w:r>
        <w:rPr>
          <w:rFonts w:hint="eastAsia" w:ascii="仿宋_GB2312"/>
          <w:snapToGrid w:val="0"/>
          <w:vertAlign w:val="superscript"/>
        </w:rPr>
        <w:t>3</w:t>
      </w:r>
    </w:p>
    <w:tbl>
      <w:tblPr>
        <w:tblStyle w:val="54"/>
        <w:tblW w:w="8266" w:type="dxa"/>
        <w:jc w:val="center"/>
        <w:tblInd w:w="740" w:type="dxa"/>
        <w:tblBorders>
          <w:top w:val="thinThickSmallGap" w:color="auto" w:sz="18" w:space="0"/>
          <w:left w:val="thinThickSmallGap" w:color="auto" w:sz="18" w:space="0"/>
          <w:bottom w:val="thickThinSmallGap" w:color="auto" w:sz="18" w:space="0"/>
          <w:right w:val="thickThinSmallGap"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526"/>
        <w:gridCol w:w="2284"/>
        <w:gridCol w:w="4456"/>
      </w:tblGrid>
      <w:tr>
        <w:tblPrEx>
          <w:tblBorders>
            <w:top w:val="thinThickSmallGap" w:color="auto" w:sz="18" w:space="0"/>
            <w:left w:val="thinThickSmallGap" w:color="auto" w:sz="18" w:space="0"/>
            <w:bottom w:val="thickThinSmallGap" w:color="auto" w:sz="18" w:space="0"/>
            <w:right w:val="thickThinSmallGap"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301" w:hRule="atLeast"/>
          <w:jc w:val="center"/>
        </w:trPr>
        <w:tc>
          <w:tcPr>
            <w:tcW w:w="1526" w:type="dxa"/>
            <w:tcBorders>
              <w:top w:val="thinThickSmallGap" w:color="auto" w:sz="18" w:space="0"/>
              <w:right w:val="single" w:color="auto" w:sz="4" w:space="0"/>
            </w:tcBorders>
            <w:vAlign w:val="center"/>
          </w:tcPr>
          <w:p>
            <w:pPr>
              <w:pStyle w:val="193"/>
              <w:jc w:val="left"/>
              <w:rPr>
                <w:rFonts w:ascii="仿宋_GB2312"/>
                <w:kern w:val="2"/>
                <w:szCs w:val="22"/>
              </w:rPr>
            </w:pPr>
            <w:r>
              <w:rPr>
                <w:rFonts w:hint="eastAsia" w:ascii="仿宋_GB2312"/>
                <w:kern w:val="2"/>
                <w:szCs w:val="22"/>
              </w:rPr>
              <w:t>污染物名称</w:t>
            </w:r>
          </w:p>
        </w:tc>
        <w:tc>
          <w:tcPr>
            <w:tcW w:w="2284" w:type="dxa"/>
            <w:tcBorders>
              <w:top w:val="thinThickSmallGap" w:color="auto" w:sz="18" w:space="0"/>
              <w:left w:val="single" w:color="auto" w:sz="4" w:space="0"/>
            </w:tcBorders>
            <w:vAlign w:val="center"/>
          </w:tcPr>
          <w:p>
            <w:pPr>
              <w:pStyle w:val="193"/>
              <w:jc w:val="left"/>
              <w:rPr>
                <w:rFonts w:ascii="仿宋_GB2312"/>
                <w:kern w:val="2"/>
                <w:szCs w:val="22"/>
              </w:rPr>
            </w:pPr>
            <w:r>
              <w:rPr>
                <w:rFonts w:hint="eastAsia" w:ascii="仿宋_GB2312"/>
                <w:kern w:val="2"/>
                <w:szCs w:val="22"/>
              </w:rPr>
              <w:t>周界外浓度最高点</w:t>
            </w:r>
          </w:p>
        </w:tc>
        <w:tc>
          <w:tcPr>
            <w:tcW w:w="4456" w:type="dxa"/>
            <w:tcBorders>
              <w:top w:val="thinThickSmallGap" w:color="auto" w:sz="18" w:space="0"/>
              <w:left w:val="single" w:color="auto" w:sz="4" w:space="0"/>
            </w:tcBorders>
            <w:vAlign w:val="center"/>
          </w:tcPr>
          <w:p>
            <w:pPr>
              <w:pStyle w:val="193"/>
              <w:jc w:val="center"/>
              <w:rPr>
                <w:rFonts w:ascii="仿宋_GB2312"/>
                <w:kern w:val="2"/>
                <w:szCs w:val="22"/>
              </w:rPr>
            </w:pPr>
            <w:r>
              <w:rPr>
                <w:rFonts w:hint="eastAsia" w:ascii="仿宋_GB2312"/>
                <w:kern w:val="2"/>
                <w:szCs w:val="22"/>
              </w:rPr>
              <w:t>依 据</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301" w:hRule="atLeast"/>
          <w:jc w:val="center"/>
        </w:trPr>
        <w:tc>
          <w:tcPr>
            <w:tcW w:w="1526" w:type="dxa"/>
            <w:tcBorders>
              <w:right w:val="single" w:color="auto" w:sz="4" w:space="0"/>
            </w:tcBorders>
            <w:vAlign w:val="center"/>
          </w:tcPr>
          <w:p>
            <w:pPr>
              <w:pStyle w:val="193"/>
              <w:jc w:val="center"/>
              <w:rPr>
                <w:rFonts w:ascii="仿宋_GB2312"/>
                <w:kern w:val="2"/>
                <w:szCs w:val="22"/>
              </w:rPr>
            </w:pPr>
            <w:r>
              <w:rPr>
                <w:rFonts w:hint="eastAsia" w:ascii="仿宋_GB2312"/>
                <w:kern w:val="2"/>
                <w:szCs w:val="22"/>
              </w:rPr>
              <w:t>臭气</w:t>
            </w:r>
          </w:p>
        </w:tc>
        <w:tc>
          <w:tcPr>
            <w:tcW w:w="2284" w:type="dxa"/>
            <w:tcBorders>
              <w:left w:val="single" w:color="auto" w:sz="4" w:space="0"/>
            </w:tcBorders>
            <w:vAlign w:val="center"/>
          </w:tcPr>
          <w:p>
            <w:pPr>
              <w:pStyle w:val="193"/>
              <w:jc w:val="center"/>
              <w:rPr>
                <w:rFonts w:ascii="仿宋_GB2312"/>
                <w:kern w:val="2"/>
                <w:szCs w:val="22"/>
              </w:rPr>
            </w:pPr>
            <w:r>
              <w:rPr>
                <w:rFonts w:hint="eastAsia" w:ascii="仿宋_GB2312"/>
                <w:kern w:val="2"/>
                <w:szCs w:val="22"/>
              </w:rPr>
              <w:t>20</w:t>
            </w:r>
          </w:p>
        </w:tc>
        <w:tc>
          <w:tcPr>
            <w:tcW w:w="4456" w:type="dxa"/>
            <w:tcBorders>
              <w:left w:val="single" w:color="auto" w:sz="4" w:space="0"/>
            </w:tcBorders>
            <w:vAlign w:val="center"/>
          </w:tcPr>
          <w:p>
            <w:pPr>
              <w:pStyle w:val="193"/>
              <w:jc w:val="center"/>
              <w:rPr>
                <w:rFonts w:ascii="仿宋_GB2312"/>
                <w:kern w:val="2"/>
                <w:szCs w:val="22"/>
              </w:rPr>
            </w:pPr>
            <w:r>
              <w:rPr>
                <w:rFonts w:hint="eastAsia" w:ascii="仿宋_GB2312"/>
                <w:kern w:val="2"/>
                <w:szCs w:val="22"/>
              </w:rPr>
              <w:t>《恶臭污染物排放标准》（GB14554-93）</w:t>
            </w:r>
          </w:p>
        </w:tc>
      </w:tr>
    </w:tbl>
    <w:p>
      <w:pPr>
        <w:pStyle w:val="193"/>
        <w:ind w:firstLine="420" w:firstLineChars="150"/>
        <w:jc w:val="left"/>
        <w:rPr>
          <w:rFonts w:asciiTheme="minorEastAsia" w:hAnsiTheme="minorEastAsia" w:eastAsiaTheme="minorEastAsia"/>
          <w:sz w:val="28"/>
          <w:szCs w:val="28"/>
        </w:rPr>
      </w:pPr>
      <w:r>
        <w:rPr>
          <w:rFonts w:hint="eastAsia" w:asciiTheme="minorEastAsia" w:hAnsiTheme="minorEastAsia" w:eastAsiaTheme="minorEastAsia"/>
          <w:snapToGrid w:val="0"/>
          <w:sz w:val="28"/>
          <w:szCs w:val="28"/>
        </w:rPr>
        <w:t>（</w:t>
      </w:r>
      <w:r>
        <w:rPr>
          <w:rFonts w:asciiTheme="minorEastAsia" w:hAnsiTheme="minorEastAsia" w:eastAsiaTheme="minorEastAsia"/>
          <w:snapToGrid w:val="0"/>
          <w:sz w:val="28"/>
          <w:szCs w:val="28"/>
        </w:rPr>
        <w:t>2</w:t>
      </w:r>
      <w:r>
        <w:rPr>
          <w:rFonts w:hint="eastAsia" w:asciiTheme="minorEastAsia" w:hAnsiTheme="minorEastAsia" w:eastAsiaTheme="minorEastAsia"/>
          <w:snapToGrid w:val="0"/>
          <w:sz w:val="28"/>
          <w:szCs w:val="28"/>
        </w:rPr>
        <w:t>）废水</w:t>
      </w:r>
    </w:p>
    <w:p>
      <w:pPr>
        <w:spacing w:line="460" w:lineRule="exact"/>
        <w:ind w:firstLine="480"/>
        <w:jc w:val="left"/>
        <w:rPr>
          <w:rFonts w:asciiTheme="minorEastAsia" w:hAnsiTheme="minorEastAsia" w:eastAsiaTheme="minorEastAsia"/>
          <w:sz w:val="24"/>
          <w:szCs w:val="24"/>
        </w:rPr>
      </w:pPr>
      <w:r>
        <w:rPr>
          <w:rFonts w:hint="eastAsia" w:asciiTheme="minorEastAsia" w:hAnsiTheme="minorEastAsia" w:eastAsiaTheme="minorEastAsia"/>
          <w:sz w:val="24"/>
          <w:szCs w:val="24"/>
        </w:rPr>
        <w:t>根据《污水综合排放标准》</w:t>
      </w:r>
      <w:r>
        <w:rPr>
          <w:rFonts w:asciiTheme="minorEastAsia" w:hAnsiTheme="minorEastAsia" w:eastAsiaTheme="minorEastAsia"/>
          <w:sz w:val="24"/>
          <w:szCs w:val="24"/>
        </w:rPr>
        <w:t>GB8978-1996)</w:t>
      </w:r>
      <w:r>
        <w:rPr>
          <w:rFonts w:hint="eastAsia" w:asciiTheme="minorEastAsia" w:hAnsiTheme="minorEastAsia" w:eastAsiaTheme="minorEastAsia"/>
          <w:sz w:val="24"/>
          <w:szCs w:val="24"/>
        </w:rPr>
        <w:t>，污水处理站处理达到《污水综合排放标准》（</w:t>
      </w:r>
      <w:r>
        <w:rPr>
          <w:rFonts w:asciiTheme="minorEastAsia" w:hAnsiTheme="minorEastAsia" w:eastAsiaTheme="minorEastAsia"/>
          <w:sz w:val="24"/>
          <w:szCs w:val="24"/>
        </w:rPr>
        <w:t>GB8978-1996</w:t>
      </w:r>
      <w:r>
        <w:rPr>
          <w:rFonts w:hint="eastAsia" w:asciiTheme="minorEastAsia" w:hAnsiTheme="minorEastAsia" w:eastAsiaTheme="minorEastAsia"/>
          <w:sz w:val="24"/>
          <w:szCs w:val="24"/>
        </w:rPr>
        <w:t>）中第二类污染物（</w:t>
      </w:r>
      <w:r>
        <w:rPr>
          <w:rFonts w:asciiTheme="minorEastAsia" w:hAnsiTheme="minorEastAsia" w:eastAsiaTheme="minorEastAsia"/>
          <w:sz w:val="24"/>
          <w:szCs w:val="24"/>
        </w:rPr>
        <w:t>1998</w:t>
      </w:r>
      <w:r>
        <w:rPr>
          <w:rFonts w:hint="eastAsia" w:asciiTheme="minorEastAsia" w:hAnsiTheme="minorEastAsia" w:eastAsiaTheme="minorEastAsia"/>
          <w:sz w:val="24"/>
          <w:szCs w:val="24"/>
        </w:rPr>
        <w:t>年</w:t>
      </w:r>
      <w:r>
        <w:rPr>
          <w:rFonts w:asciiTheme="minorEastAsia" w:hAnsiTheme="minorEastAsia" w:eastAsiaTheme="minorEastAsia"/>
          <w:sz w:val="24"/>
          <w:szCs w:val="24"/>
        </w:rPr>
        <w:t>1</w:t>
      </w:r>
      <w:r>
        <w:rPr>
          <w:rFonts w:hint="eastAsia" w:asciiTheme="minorEastAsia" w:hAnsiTheme="minorEastAsia" w:eastAsiaTheme="minorEastAsia"/>
          <w:sz w:val="24"/>
          <w:szCs w:val="24"/>
        </w:rPr>
        <w:t>月</w:t>
      </w:r>
      <w:r>
        <w:rPr>
          <w:rFonts w:asciiTheme="minorEastAsia" w:hAnsiTheme="minorEastAsia" w:eastAsiaTheme="minorEastAsia"/>
          <w:sz w:val="24"/>
          <w:szCs w:val="24"/>
        </w:rPr>
        <w:t>1</w:t>
      </w:r>
      <w:r>
        <w:rPr>
          <w:rFonts w:hint="eastAsia" w:asciiTheme="minorEastAsia" w:hAnsiTheme="minorEastAsia" w:eastAsiaTheme="minorEastAsia"/>
          <w:sz w:val="24"/>
          <w:szCs w:val="24"/>
        </w:rPr>
        <w:t>日后建设的单位）一级标准后，</w:t>
      </w:r>
      <w:r>
        <w:rPr>
          <w:rFonts w:hint="eastAsia" w:asciiTheme="minorEastAsia" w:hAnsiTheme="minorEastAsia" w:eastAsiaTheme="minorEastAsia"/>
          <w:color w:val="000000"/>
          <w:sz w:val="24"/>
          <w:szCs w:val="24"/>
        </w:rPr>
        <w:t>污水处理达标后通过尾水排放管排入长江</w:t>
      </w:r>
      <w:r>
        <w:rPr>
          <w:rFonts w:hint="eastAsia" w:asciiTheme="minorEastAsia" w:hAnsiTheme="minorEastAsia" w:eastAsiaTheme="minorEastAsia"/>
          <w:sz w:val="24"/>
          <w:szCs w:val="24"/>
        </w:rPr>
        <w:t>。废水排放标准，见表</w:t>
      </w:r>
      <w:r>
        <w:rPr>
          <w:rFonts w:asciiTheme="minorEastAsia" w:hAnsiTheme="minorEastAsia" w:eastAsiaTheme="minorEastAsia"/>
          <w:sz w:val="24"/>
          <w:szCs w:val="24"/>
        </w:rPr>
        <w:t>2</w:t>
      </w:r>
      <w:r>
        <w:rPr>
          <w:rFonts w:hint="eastAsia" w:asciiTheme="minorEastAsia" w:hAnsiTheme="minorEastAsia" w:eastAsiaTheme="minorEastAsia"/>
          <w:sz w:val="24"/>
          <w:szCs w:val="24"/>
        </w:rPr>
        <w:t>-4。</w:t>
      </w:r>
    </w:p>
    <w:p>
      <w:pPr>
        <w:pStyle w:val="193"/>
        <w:rPr>
          <w:rFonts w:asciiTheme="minorEastAsia" w:hAnsiTheme="minorEastAsia" w:eastAsiaTheme="minorEastAsia"/>
        </w:rPr>
      </w:pPr>
      <w:r>
        <w:rPr>
          <w:rFonts w:hint="eastAsia" w:asciiTheme="minorEastAsia" w:hAnsiTheme="minorEastAsia" w:eastAsiaTheme="minorEastAsia"/>
        </w:rPr>
        <w:t>表</w:t>
      </w:r>
      <w:r>
        <w:rPr>
          <w:rFonts w:asciiTheme="minorEastAsia" w:hAnsiTheme="minorEastAsia" w:eastAsiaTheme="minorEastAsia"/>
        </w:rPr>
        <w:t>2</w:t>
      </w:r>
      <w:r>
        <w:rPr>
          <w:rFonts w:hint="eastAsia" w:asciiTheme="minorEastAsia" w:hAnsiTheme="minorEastAsia" w:eastAsiaTheme="minorEastAsia"/>
        </w:rPr>
        <w:t>-4</w:t>
      </w:r>
      <w:r>
        <w:rPr>
          <w:rFonts w:asciiTheme="minorEastAsia" w:hAnsiTheme="minorEastAsia" w:eastAsiaTheme="minorEastAsia"/>
        </w:rPr>
        <w:t xml:space="preserve">   </w:t>
      </w:r>
      <w:r>
        <w:rPr>
          <w:rFonts w:hint="eastAsia" w:asciiTheme="minorEastAsia" w:hAnsiTheme="minorEastAsia" w:eastAsiaTheme="minorEastAsia"/>
        </w:rPr>
        <w:t>废水排放标准</w:t>
      </w:r>
      <w:r>
        <w:rPr>
          <w:rFonts w:asciiTheme="minorEastAsia" w:hAnsiTheme="minorEastAsia" w:eastAsiaTheme="minorEastAsia"/>
        </w:rPr>
        <w:t xml:space="preserve">                   </w:t>
      </w:r>
      <w:r>
        <w:rPr>
          <w:rFonts w:hint="eastAsia" w:asciiTheme="minorEastAsia" w:hAnsiTheme="minorEastAsia" w:eastAsiaTheme="minorEastAsia"/>
        </w:rPr>
        <w:t>单位：</w:t>
      </w:r>
      <w:r>
        <w:rPr>
          <w:rFonts w:asciiTheme="minorEastAsia" w:hAnsiTheme="minorEastAsia" w:eastAsiaTheme="minorEastAsia"/>
        </w:rPr>
        <w:t>mg/L</w:t>
      </w:r>
    </w:p>
    <w:tbl>
      <w:tblPr>
        <w:tblStyle w:val="54"/>
        <w:tblW w:w="7856" w:type="dxa"/>
        <w:jc w:val="center"/>
        <w:tblInd w:w="1040" w:type="dxa"/>
        <w:tblBorders>
          <w:top w:val="thinThickSmallGap" w:color="auto" w:sz="18" w:space="0"/>
          <w:left w:val="thinThickSmallGap" w:color="auto" w:sz="18" w:space="0"/>
          <w:bottom w:val="thickThinSmallGap" w:color="auto" w:sz="18" w:space="0"/>
          <w:right w:val="thickThinSmallGap"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2305"/>
        <w:gridCol w:w="2711"/>
        <w:gridCol w:w="2840"/>
      </w:tblGrid>
      <w:tr>
        <w:tblPrEx>
          <w:tblBorders>
            <w:top w:val="thinThickSmallGap" w:color="auto" w:sz="18" w:space="0"/>
            <w:left w:val="thinThickSmallGap" w:color="auto" w:sz="18" w:space="0"/>
            <w:bottom w:val="thickThinSmallGap" w:color="auto" w:sz="18" w:space="0"/>
            <w:right w:val="thickThinSmallGap"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299" w:hRule="atLeast"/>
          <w:jc w:val="center"/>
        </w:trPr>
        <w:tc>
          <w:tcPr>
            <w:tcW w:w="2305" w:type="dxa"/>
            <w:tcBorders>
              <w:right w:val="single" w:color="auto" w:sz="4" w:space="0"/>
            </w:tcBorders>
            <w:vAlign w:val="center"/>
          </w:tcPr>
          <w:p>
            <w:pPr>
              <w:pStyle w:val="193"/>
              <w:jc w:val="left"/>
              <w:rPr>
                <w:rFonts w:asciiTheme="minorEastAsia" w:hAnsiTheme="minorEastAsia" w:eastAsiaTheme="minorEastAsia"/>
                <w:kern w:val="2"/>
                <w:sz w:val="21"/>
                <w:szCs w:val="22"/>
              </w:rPr>
            </w:pPr>
            <w:r>
              <w:rPr>
                <w:rFonts w:asciiTheme="minorEastAsia" w:hAnsiTheme="minorEastAsia" w:eastAsiaTheme="minorEastAsia"/>
                <w:kern w:val="2"/>
                <w:sz w:val="21"/>
                <w:szCs w:val="22"/>
              </w:rPr>
              <w:t>pH</w:t>
            </w:r>
          </w:p>
        </w:tc>
        <w:tc>
          <w:tcPr>
            <w:tcW w:w="2711" w:type="dxa"/>
            <w:tcBorders>
              <w:left w:val="single" w:color="auto" w:sz="4" w:space="0"/>
            </w:tcBorders>
            <w:vAlign w:val="center"/>
          </w:tcPr>
          <w:p>
            <w:pPr>
              <w:pStyle w:val="193"/>
              <w:jc w:val="left"/>
              <w:rPr>
                <w:rFonts w:asciiTheme="minorEastAsia" w:hAnsiTheme="minorEastAsia" w:eastAsiaTheme="minorEastAsia"/>
                <w:kern w:val="2"/>
                <w:sz w:val="21"/>
                <w:szCs w:val="22"/>
              </w:rPr>
            </w:pPr>
            <w:r>
              <w:rPr>
                <w:rFonts w:asciiTheme="minorEastAsia" w:hAnsiTheme="minorEastAsia" w:eastAsiaTheme="minorEastAsia"/>
                <w:kern w:val="2"/>
                <w:sz w:val="21"/>
                <w:szCs w:val="22"/>
              </w:rPr>
              <w:t>6</w:t>
            </w:r>
            <w:r>
              <w:rPr>
                <w:rFonts w:hint="eastAsia" w:asciiTheme="minorEastAsia" w:hAnsiTheme="minorEastAsia" w:eastAsiaTheme="minorEastAsia"/>
                <w:kern w:val="2"/>
                <w:sz w:val="21"/>
                <w:szCs w:val="22"/>
              </w:rPr>
              <w:t>～</w:t>
            </w:r>
            <w:r>
              <w:rPr>
                <w:rFonts w:asciiTheme="minorEastAsia" w:hAnsiTheme="minorEastAsia" w:eastAsiaTheme="minorEastAsia"/>
                <w:kern w:val="2"/>
                <w:sz w:val="21"/>
                <w:szCs w:val="22"/>
              </w:rPr>
              <w:t>9</w:t>
            </w:r>
          </w:p>
        </w:tc>
        <w:tc>
          <w:tcPr>
            <w:tcW w:w="2840" w:type="dxa"/>
            <w:tcBorders>
              <w:left w:val="single" w:color="auto" w:sz="4" w:space="0"/>
            </w:tcBorders>
            <w:vAlign w:val="center"/>
          </w:tcPr>
          <w:p>
            <w:pPr>
              <w:ind w:firstLine="480"/>
              <w:jc w:val="left"/>
              <w:rPr>
                <w:rFonts w:asciiTheme="minorEastAsia" w:hAnsiTheme="minorEastAsia" w:eastAsiaTheme="minorEastAsia"/>
              </w:rPr>
            </w:pP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53" w:hRule="atLeast"/>
          <w:jc w:val="center"/>
        </w:trPr>
        <w:tc>
          <w:tcPr>
            <w:tcW w:w="2305" w:type="dxa"/>
            <w:tcBorders>
              <w:right w:val="single" w:color="auto" w:sz="4" w:space="0"/>
            </w:tcBorders>
            <w:vAlign w:val="center"/>
          </w:tcPr>
          <w:p>
            <w:pPr>
              <w:pStyle w:val="193"/>
              <w:jc w:val="left"/>
              <w:rPr>
                <w:rFonts w:asciiTheme="minorEastAsia" w:hAnsiTheme="minorEastAsia" w:eastAsiaTheme="minorEastAsia"/>
                <w:kern w:val="2"/>
                <w:sz w:val="21"/>
                <w:szCs w:val="22"/>
              </w:rPr>
            </w:pPr>
            <w:r>
              <w:rPr>
                <w:rFonts w:asciiTheme="minorEastAsia" w:hAnsiTheme="minorEastAsia" w:eastAsiaTheme="minorEastAsia"/>
                <w:kern w:val="2"/>
                <w:sz w:val="21"/>
                <w:szCs w:val="22"/>
              </w:rPr>
              <w:t>COD</w:t>
            </w:r>
          </w:p>
        </w:tc>
        <w:tc>
          <w:tcPr>
            <w:tcW w:w="2711" w:type="dxa"/>
            <w:tcBorders>
              <w:left w:val="single" w:color="auto" w:sz="4" w:space="0"/>
            </w:tcBorders>
            <w:vAlign w:val="center"/>
          </w:tcPr>
          <w:p>
            <w:pPr>
              <w:pStyle w:val="193"/>
              <w:jc w:val="left"/>
              <w:rPr>
                <w:rFonts w:asciiTheme="minorEastAsia" w:hAnsiTheme="minorEastAsia" w:eastAsiaTheme="minorEastAsia"/>
                <w:kern w:val="2"/>
                <w:sz w:val="21"/>
                <w:szCs w:val="22"/>
              </w:rPr>
            </w:pPr>
            <w:r>
              <w:rPr>
                <w:rFonts w:asciiTheme="minorEastAsia" w:hAnsiTheme="minorEastAsia" w:eastAsiaTheme="minorEastAsia"/>
                <w:kern w:val="2"/>
                <w:sz w:val="21"/>
                <w:szCs w:val="22"/>
              </w:rPr>
              <w:t>100</w:t>
            </w:r>
          </w:p>
        </w:tc>
        <w:tc>
          <w:tcPr>
            <w:tcW w:w="2840" w:type="dxa"/>
            <w:vMerge w:val="restart"/>
            <w:tcBorders>
              <w:left w:val="single" w:color="auto" w:sz="4" w:space="0"/>
            </w:tcBorders>
            <w:vAlign w:val="center"/>
          </w:tcPr>
          <w:p>
            <w:pPr>
              <w:pStyle w:val="193"/>
              <w:jc w:val="left"/>
              <w:rPr>
                <w:rFonts w:asciiTheme="minorEastAsia" w:hAnsiTheme="minorEastAsia" w:eastAsiaTheme="minorEastAsia"/>
                <w:kern w:val="2"/>
                <w:sz w:val="21"/>
                <w:szCs w:val="22"/>
              </w:rPr>
            </w:pPr>
            <w:r>
              <w:rPr>
                <w:rFonts w:hint="eastAsia" w:asciiTheme="minorEastAsia" w:hAnsiTheme="minorEastAsia" w:eastAsiaTheme="minorEastAsia"/>
                <w:kern w:val="2"/>
                <w:sz w:val="21"/>
                <w:szCs w:val="22"/>
              </w:rPr>
              <w:t>《污水综合排放标准》（</w:t>
            </w:r>
            <w:r>
              <w:rPr>
                <w:rFonts w:asciiTheme="minorEastAsia" w:hAnsiTheme="minorEastAsia" w:eastAsiaTheme="minorEastAsia"/>
                <w:kern w:val="2"/>
                <w:sz w:val="21"/>
                <w:szCs w:val="22"/>
              </w:rPr>
              <w:t>GB8978-1996</w:t>
            </w:r>
            <w:r>
              <w:rPr>
                <w:rFonts w:hint="eastAsia" w:asciiTheme="minorEastAsia" w:hAnsiTheme="minorEastAsia" w:eastAsiaTheme="minorEastAsia"/>
                <w:kern w:val="2"/>
                <w:sz w:val="21"/>
                <w:szCs w:val="22"/>
              </w:rPr>
              <w:t>）</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53" w:hRule="atLeast"/>
          <w:jc w:val="center"/>
        </w:trPr>
        <w:tc>
          <w:tcPr>
            <w:tcW w:w="2305" w:type="dxa"/>
            <w:tcBorders>
              <w:right w:val="single" w:color="auto" w:sz="4" w:space="0"/>
            </w:tcBorders>
            <w:vAlign w:val="center"/>
          </w:tcPr>
          <w:p>
            <w:pPr>
              <w:pStyle w:val="193"/>
              <w:jc w:val="left"/>
              <w:rPr>
                <w:rFonts w:asciiTheme="minorEastAsia" w:hAnsiTheme="minorEastAsia" w:eastAsiaTheme="minorEastAsia"/>
                <w:kern w:val="2"/>
                <w:sz w:val="21"/>
                <w:szCs w:val="22"/>
              </w:rPr>
            </w:pPr>
            <w:r>
              <w:rPr>
                <w:rFonts w:asciiTheme="minorEastAsia" w:hAnsiTheme="minorEastAsia" w:eastAsiaTheme="minorEastAsia"/>
                <w:kern w:val="2"/>
                <w:sz w:val="21"/>
                <w:szCs w:val="22"/>
              </w:rPr>
              <w:t>BOD</w:t>
            </w:r>
            <w:r>
              <w:rPr>
                <w:rFonts w:asciiTheme="minorEastAsia" w:hAnsiTheme="minorEastAsia" w:eastAsiaTheme="minorEastAsia"/>
                <w:kern w:val="2"/>
                <w:sz w:val="21"/>
                <w:szCs w:val="22"/>
                <w:vertAlign w:val="subscript"/>
              </w:rPr>
              <w:t>5</w:t>
            </w:r>
          </w:p>
        </w:tc>
        <w:tc>
          <w:tcPr>
            <w:tcW w:w="2711" w:type="dxa"/>
            <w:tcBorders>
              <w:left w:val="single" w:color="auto" w:sz="4" w:space="0"/>
            </w:tcBorders>
            <w:vAlign w:val="center"/>
          </w:tcPr>
          <w:p>
            <w:pPr>
              <w:pStyle w:val="193"/>
              <w:jc w:val="left"/>
              <w:rPr>
                <w:rFonts w:asciiTheme="minorEastAsia" w:hAnsiTheme="minorEastAsia" w:eastAsiaTheme="minorEastAsia"/>
                <w:kern w:val="2"/>
                <w:sz w:val="21"/>
                <w:szCs w:val="22"/>
              </w:rPr>
            </w:pPr>
            <w:r>
              <w:rPr>
                <w:rFonts w:asciiTheme="minorEastAsia" w:hAnsiTheme="minorEastAsia" w:eastAsiaTheme="minorEastAsia"/>
                <w:kern w:val="2"/>
                <w:sz w:val="21"/>
                <w:szCs w:val="22"/>
              </w:rPr>
              <w:t>20</w:t>
            </w:r>
          </w:p>
        </w:tc>
        <w:tc>
          <w:tcPr>
            <w:tcW w:w="2840" w:type="dxa"/>
            <w:vMerge w:val="continue"/>
            <w:tcBorders>
              <w:left w:val="single" w:color="auto" w:sz="4" w:space="0"/>
            </w:tcBorders>
            <w:vAlign w:val="center"/>
          </w:tcPr>
          <w:p>
            <w:pPr>
              <w:ind w:firstLine="480"/>
              <w:jc w:val="left"/>
              <w:rPr>
                <w:rFonts w:asciiTheme="minorEastAsia" w:hAnsiTheme="minorEastAsia" w:eastAsiaTheme="minorEastAsia"/>
              </w:rPr>
            </w:pP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53" w:hRule="atLeast"/>
          <w:jc w:val="center"/>
        </w:trPr>
        <w:tc>
          <w:tcPr>
            <w:tcW w:w="2305" w:type="dxa"/>
            <w:tcBorders>
              <w:right w:val="single" w:color="auto" w:sz="4" w:space="0"/>
            </w:tcBorders>
            <w:vAlign w:val="center"/>
          </w:tcPr>
          <w:p>
            <w:pPr>
              <w:pStyle w:val="193"/>
              <w:jc w:val="left"/>
              <w:rPr>
                <w:rFonts w:asciiTheme="minorEastAsia" w:hAnsiTheme="minorEastAsia" w:eastAsiaTheme="minorEastAsia"/>
                <w:kern w:val="2"/>
                <w:sz w:val="21"/>
                <w:szCs w:val="22"/>
              </w:rPr>
            </w:pPr>
            <w:r>
              <w:rPr>
                <w:rFonts w:hint="eastAsia" w:asciiTheme="minorEastAsia" w:hAnsiTheme="minorEastAsia" w:eastAsiaTheme="minorEastAsia"/>
                <w:kern w:val="2"/>
                <w:sz w:val="21"/>
                <w:szCs w:val="22"/>
              </w:rPr>
              <w:t>氨氮</w:t>
            </w:r>
          </w:p>
        </w:tc>
        <w:tc>
          <w:tcPr>
            <w:tcW w:w="2711" w:type="dxa"/>
            <w:tcBorders>
              <w:left w:val="single" w:color="auto" w:sz="4" w:space="0"/>
            </w:tcBorders>
            <w:vAlign w:val="center"/>
          </w:tcPr>
          <w:p>
            <w:pPr>
              <w:pStyle w:val="193"/>
              <w:jc w:val="left"/>
              <w:rPr>
                <w:rFonts w:asciiTheme="minorEastAsia" w:hAnsiTheme="minorEastAsia" w:eastAsiaTheme="minorEastAsia"/>
                <w:kern w:val="2"/>
                <w:sz w:val="21"/>
                <w:szCs w:val="22"/>
              </w:rPr>
            </w:pPr>
            <w:r>
              <w:rPr>
                <w:rFonts w:asciiTheme="minorEastAsia" w:hAnsiTheme="minorEastAsia" w:eastAsiaTheme="minorEastAsia"/>
                <w:kern w:val="2"/>
                <w:sz w:val="21"/>
                <w:szCs w:val="22"/>
              </w:rPr>
              <w:t>15</w:t>
            </w:r>
          </w:p>
        </w:tc>
        <w:tc>
          <w:tcPr>
            <w:tcW w:w="2840" w:type="dxa"/>
            <w:vMerge w:val="continue"/>
            <w:tcBorders>
              <w:left w:val="single" w:color="auto" w:sz="4" w:space="0"/>
            </w:tcBorders>
            <w:vAlign w:val="center"/>
          </w:tcPr>
          <w:p>
            <w:pPr>
              <w:ind w:firstLine="480"/>
              <w:jc w:val="left"/>
              <w:rPr>
                <w:rFonts w:asciiTheme="minorEastAsia" w:hAnsiTheme="minorEastAsia" w:eastAsiaTheme="minorEastAsia"/>
              </w:rPr>
            </w:pP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53" w:hRule="atLeast"/>
          <w:jc w:val="center"/>
        </w:trPr>
        <w:tc>
          <w:tcPr>
            <w:tcW w:w="2305" w:type="dxa"/>
            <w:tcBorders>
              <w:right w:val="single" w:color="auto" w:sz="4" w:space="0"/>
            </w:tcBorders>
            <w:vAlign w:val="center"/>
          </w:tcPr>
          <w:p>
            <w:pPr>
              <w:pStyle w:val="193"/>
              <w:jc w:val="left"/>
              <w:rPr>
                <w:rFonts w:asciiTheme="minorEastAsia" w:hAnsiTheme="minorEastAsia" w:eastAsiaTheme="minorEastAsia"/>
                <w:kern w:val="2"/>
                <w:sz w:val="21"/>
                <w:szCs w:val="22"/>
              </w:rPr>
            </w:pPr>
            <w:r>
              <w:rPr>
                <w:rFonts w:asciiTheme="minorEastAsia" w:hAnsiTheme="minorEastAsia" w:eastAsiaTheme="minorEastAsia"/>
                <w:kern w:val="2"/>
                <w:sz w:val="21"/>
                <w:szCs w:val="22"/>
              </w:rPr>
              <w:t>SS</w:t>
            </w:r>
          </w:p>
        </w:tc>
        <w:tc>
          <w:tcPr>
            <w:tcW w:w="2711" w:type="dxa"/>
            <w:tcBorders>
              <w:left w:val="single" w:color="auto" w:sz="4" w:space="0"/>
            </w:tcBorders>
            <w:vAlign w:val="center"/>
          </w:tcPr>
          <w:p>
            <w:pPr>
              <w:pStyle w:val="193"/>
              <w:jc w:val="left"/>
              <w:rPr>
                <w:rFonts w:asciiTheme="minorEastAsia" w:hAnsiTheme="minorEastAsia" w:eastAsiaTheme="minorEastAsia"/>
                <w:kern w:val="2"/>
                <w:sz w:val="21"/>
                <w:szCs w:val="22"/>
              </w:rPr>
            </w:pPr>
            <w:r>
              <w:rPr>
                <w:rFonts w:asciiTheme="minorEastAsia" w:hAnsiTheme="minorEastAsia" w:eastAsiaTheme="minorEastAsia"/>
                <w:kern w:val="2"/>
                <w:sz w:val="21"/>
                <w:szCs w:val="22"/>
              </w:rPr>
              <w:t>70</w:t>
            </w:r>
          </w:p>
        </w:tc>
        <w:tc>
          <w:tcPr>
            <w:tcW w:w="2840" w:type="dxa"/>
            <w:vMerge w:val="continue"/>
            <w:tcBorders>
              <w:left w:val="single" w:color="auto" w:sz="4" w:space="0"/>
            </w:tcBorders>
            <w:vAlign w:val="center"/>
          </w:tcPr>
          <w:p>
            <w:pPr>
              <w:ind w:firstLine="480"/>
              <w:jc w:val="left"/>
              <w:rPr>
                <w:rFonts w:asciiTheme="minorEastAsia" w:hAnsiTheme="minorEastAsia" w:eastAsiaTheme="minorEastAsia"/>
              </w:rPr>
            </w:pP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6" w:space="0"/>
            <w:insideV w:val="single" w:color="auto" w:sz="6" w:space="0"/>
          </w:tblBorders>
          <w:tblLayout w:type="fixed"/>
        </w:tblPrEx>
        <w:trPr>
          <w:cantSplit/>
          <w:trHeight w:val="53" w:hRule="atLeast"/>
          <w:jc w:val="center"/>
        </w:trPr>
        <w:tc>
          <w:tcPr>
            <w:tcW w:w="2305" w:type="dxa"/>
            <w:tcBorders>
              <w:right w:val="single" w:color="auto" w:sz="4" w:space="0"/>
            </w:tcBorders>
            <w:vAlign w:val="center"/>
          </w:tcPr>
          <w:p>
            <w:pPr>
              <w:pStyle w:val="193"/>
              <w:jc w:val="left"/>
              <w:rPr>
                <w:rFonts w:asciiTheme="minorEastAsia" w:hAnsiTheme="minorEastAsia" w:eastAsiaTheme="minorEastAsia"/>
                <w:kern w:val="2"/>
                <w:sz w:val="21"/>
                <w:szCs w:val="22"/>
              </w:rPr>
            </w:pPr>
            <w:r>
              <w:rPr>
                <w:rFonts w:hint="eastAsia" w:asciiTheme="minorEastAsia" w:hAnsiTheme="minorEastAsia" w:eastAsiaTheme="minorEastAsia"/>
                <w:kern w:val="2"/>
                <w:sz w:val="21"/>
                <w:szCs w:val="22"/>
              </w:rPr>
              <w:t>动植物油</w:t>
            </w:r>
          </w:p>
        </w:tc>
        <w:tc>
          <w:tcPr>
            <w:tcW w:w="2711" w:type="dxa"/>
            <w:tcBorders>
              <w:left w:val="single" w:color="auto" w:sz="4" w:space="0"/>
            </w:tcBorders>
            <w:vAlign w:val="center"/>
          </w:tcPr>
          <w:p>
            <w:pPr>
              <w:pStyle w:val="193"/>
              <w:jc w:val="left"/>
              <w:rPr>
                <w:rFonts w:asciiTheme="minorEastAsia" w:hAnsiTheme="minorEastAsia" w:eastAsiaTheme="minorEastAsia"/>
                <w:kern w:val="2"/>
                <w:sz w:val="21"/>
                <w:szCs w:val="22"/>
              </w:rPr>
            </w:pPr>
            <w:r>
              <w:rPr>
                <w:rFonts w:asciiTheme="minorEastAsia" w:hAnsiTheme="minorEastAsia" w:eastAsiaTheme="minorEastAsia"/>
                <w:kern w:val="2"/>
                <w:sz w:val="21"/>
                <w:szCs w:val="22"/>
              </w:rPr>
              <w:t>100</w:t>
            </w:r>
          </w:p>
        </w:tc>
        <w:tc>
          <w:tcPr>
            <w:tcW w:w="2840" w:type="dxa"/>
            <w:vMerge w:val="continue"/>
            <w:tcBorders>
              <w:left w:val="single" w:color="auto" w:sz="4" w:space="0"/>
            </w:tcBorders>
            <w:vAlign w:val="center"/>
          </w:tcPr>
          <w:p>
            <w:pPr>
              <w:ind w:firstLine="480"/>
              <w:jc w:val="left"/>
              <w:rPr>
                <w:rFonts w:asciiTheme="minorEastAsia" w:hAnsiTheme="minorEastAsia" w:eastAsiaTheme="minorEastAsia"/>
              </w:rPr>
            </w:pP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53" w:hRule="atLeast"/>
          <w:jc w:val="center"/>
        </w:trPr>
        <w:tc>
          <w:tcPr>
            <w:tcW w:w="2305" w:type="dxa"/>
            <w:tcBorders>
              <w:bottom w:val="thickThinSmallGap" w:color="auto" w:sz="18" w:space="0"/>
              <w:right w:val="single" w:color="auto" w:sz="4" w:space="0"/>
            </w:tcBorders>
            <w:vAlign w:val="center"/>
          </w:tcPr>
          <w:p>
            <w:pPr>
              <w:pStyle w:val="193"/>
              <w:jc w:val="left"/>
              <w:rPr>
                <w:rFonts w:asciiTheme="minorEastAsia" w:hAnsiTheme="minorEastAsia" w:eastAsiaTheme="minorEastAsia"/>
                <w:kern w:val="2"/>
                <w:sz w:val="21"/>
                <w:szCs w:val="22"/>
              </w:rPr>
            </w:pPr>
            <w:r>
              <w:rPr>
                <w:rFonts w:hint="eastAsia" w:asciiTheme="minorEastAsia" w:hAnsiTheme="minorEastAsia" w:eastAsiaTheme="minorEastAsia"/>
                <w:kern w:val="2"/>
                <w:sz w:val="21"/>
                <w:szCs w:val="22"/>
              </w:rPr>
              <w:t>石油类</w:t>
            </w:r>
          </w:p>
        </w:tc>
        <w:tc>
          <w:tcPr>
            <w:tcW w:w="2711" w:type="dxa"/>
            <w:tcBorders>
              <w:left w:val="single" w:color="auto" w:sz="4" w:space="0"/>
              <w:bottom w:val="thickThinSmallGap" w:color="auto" w:sz="18" w:space="0"/>
            </w:tcBorders>
            <w:vAlign w:val="center"/>
          </w:tcPr>
          <w:p>
            <w:pPr>
              <w:pStyle w:val="193"/>
              <w:jc w:val="left"/>
              <w:rPr>
                <w:rFonts w:asciiTheme="minorEastAsia" w:hAnsiTheme="minorEastAsia" w:eastAsiaTheme="minorEastAsia"/>
                <w:kern w:val="2"/>
                <w:sz w:val="21"/>
                <w:szCs w:val="22"/>
              </w:rPr>
            </w:pPr>
            <w:r>
              <w:rPr>
                <w:rFonts w:asciiTheme="minorEastAsia" w:hAnsiTheme="minorEastAsia" w:eastAsiaTheme="minorEastAsia"/>
                <w:kern w:val="2"/>
                <w:sz w:val="21"/>
                <w:szCs w:val="22"/>
              </w:rPr>
              <w:t>3</w:t>
            </w:r>
          </w:p>
        </w:tc>
        <w:tc>
          <w:tcPr>
            <w:tcW w:w="2840" w:type="dxa"/>
            <w:vMerge w:val="continue"/>
            <w:tcBorders>
              <w:left w:val="single" w:color="auto" w:sz="4" w:space="0"/>
              <w:bottom w:val="thickThinSmallGap" w:color="auto" w:sz="18" w:space="0"/>
            </w:tcBorders>
            <w:vAlign w:val="center"/>
          </w:tcPr>
          <w:p>
            <w:pPr>
              <w:ind w:firstLine="480"/>
              <w:jc w:val="left"/>
              <w:rPr>
                <w:rFonts w:asciiTheme="minorEastAsia" w:hAnsiTheme="minorEastAsia" w:eastAsiaTheme="minorEastAsia"/>
              </w:rPr>
            </w:pPr>
          </w:p>
        </w:tc>
      </w:tr>
    </w:tbl>
    <w:p>
      <w:pPr>
        <w:spacing w:line="460" w:lineRule="exact"/>
        <w:ind w:firstLine="560"/>
        <w:jc w:val="left"/>
        <w:rPr>
          <w:rFonts w:asciiTheme="minorEastAsia" w:hAnsiTheme="minorEastAsia" w:eastAsiaTheme="minorEastAsia"/>
          <w:snapToGrid w:val="0"/>
          <w:sz w:val="28"/>
          <w:szCs w:val="28"/>
        </w:rPr>
      </w:pPr>
      <w:r>
        <w:rPr>
          <w:rFonts w:hint="eastAsia" w:asciiTheme="minorEastAsia" w:hAnsiTheme="minorEastAsia" w:eastAsiaTheme="minorEastAsia"/>
          <w:snapToGrid w:val="0"/>
          <w:sz w:val="28"/>
          <w:szCs w:val="28"/>
        </w:rPr>
        <w:t>（</w:t>
      </w:r>
      <w:r>
        <w:rPr>
          <w:rFonts w:asciiTheme="minorEastAsia" w:hAnsiTheme="minorEastAsia" w:eastAsiaTheme="minorEastAsia"/>
          <w:snapToGrid w:val="0"/>
          <w:sz w:val="28"/>
          <w:szCs w:val="28"/>
        </w:rPr>
        <w:t>3</w:t>
      </w:r>
      <w:r>
        <w:rPr>
          <w:rFonts w:hint="eastAsia" w:asciiTheme="minorEastAsia" w:hAnsiTheme="minorEastAsia" w:eastAsiaTheme="minorEastAsia"/>
          <w:snapToGrid w:val="0"/>
          <w:sz w:val="28"/>
          <w:szCs w:val="28"/>
        </w:rPr>
        <w:t>）噪声</w:t>
      </w:r>
    </w:p>
    <w:p>
      <w:pPr>
        <w:spacing w:line="460" w:lineRule="exact"/>
        <w:ind w:firstLine="480"/>
        <w:jc w:val="left"/>
        <w:rPr>
          <w:rFonts w:asciiTheme="minorEastAsia" w:hAnsiTheme="minorEastAsia" w:eastAsiaTheme="minorEastAsia"/>
          <w:snapToGrid w:val="0"/>
          <w:sz w:val="24"/>
          <w:szCs w:val="24"/>
        </w:rPr>
      </w:pPr>
      <w:r>
        <w:rPr>
          <w:rFonts w:hint="eastAsia" w:asciiTheme="minorEastAsia" w:hAnsiTheme="minorEastAsia" w:eastAsiaTheme="minorEastAsia"/>
          <w:snapToGrid w:val="0"/>
          <w:sz w:val="24"/>
          <w:szCs w:val="24"/>
        </w:rPr>
        <w:t>《建筑施工场界噪声限值》（</w:t>
      </w:r>
      <w:r>
        <w:rPr>
          <w:rFonts w:asciiTheme="minorEastAsia" w:hAnsiTheme="minorEastAsia" w:eastAsiaTheme="minorEastAsia"/>
          <w:snapToGrid w:val="0"/>
          <w:sz w:val="24"/>
          <w:szCs w:val="24"/>
        </w:rPr>
        <w:t>GB12523-90</w:t>
      </w:r>
      <w:r>
        <w:rPr>
          <w:rFonts w:hint="eastAsia" w:asciiTheme="minorEastAsia" w:hAnsiTheme="minorEastAsia" w:eastAsiaTheme="minorEastAsia"/>
          <w:snapToGrid w:val="0"/>
          <w:sz w:val="24"/>
          <w:szCs w:val="24"/>
        </w:rPr>
        <w:t>）；《工业企业厂界环境噪声排放标准》（</w:t>
      </w:r>
      <w:r>
        <w:rPr>
          <w:rFonts w:asciiTheme="minorEastAsia" w:hAnsiTheme="minorEastAsia" w:eastAsiaTheme="minorEastAsia"/>
          <w:snapToGrid w:val="0"/>
          <w:sz w:val="24"/>
          <w:szCs w:val="24"/>
        </w:rPr>
        <w:t>GB12348-90</w:t>
      </w:r>
      <w:r>
        <w:rPr>
          <w:rFonts w:hint="eastAsia" w:asciiTheme="minorEastAsia" w:hAnsiTheme="minorEastAsia" w:eastAsiaTheme="minorEastAsia"/>
          <w:snapToGrid w:val="0"/>
          <w:sz w:val="24"/>
          <w:szCs w:val="24"/>
        </w:rPr>
        <w:t>）</w:t>
      </w:r>
      <w:r>
        <w:rPr>
          <w:rFonts w:asciiTheme="minorEastAsia" w:hAnsiTheme="minorEastAsia" w:eastAsiaTheme="minorEastAsia"/>
          <w:snapToGrid w:val="0"/>
          <w:sz w:val="24"/>
          <w:szCs w:val="24"/>
        </w:rPr>
        <w:t>3</w:t>
      </w:r>
      <w:r>
        <w:rPr>
          <w:rFonts w:hint="eastAsia" w:asciiTheme="minorEastAsia" w:hAnsiTheme="minorEastAsia" w:eastAsiaTheme="minorEastAsia"/>
          <w:snapToGrid w:val="0"/>
          <w:sz w:val="24"/>
          <w:szCs w:val="24"/>
        </w:rPr>
        <w:t>级标准，昼间厂界噪声限制</w:t>
      </w:r>
      <w:r>
        <w:rPr>
          <w:rFonts w:asciiTheme="minorEastAsia" w:hAnsiTheme="minorEastAsia" w:eastAsiaTheme="minorEastAsia"/>
          <w:snapToGrid w:val="0"/>
          <w:sz w:val="24"/>
          <w:szCs w:val="24"/>
        </w:rPr>
        <w:t>65dB(A)</w:t>
      </w:r>
      <w:r>
        <w:rPr>
          <w:rFonts w:hint="eastAsia" w:asciiTheme="minorEastAsia" w:hAnsiTheme="minorEastAsia" w:eastAsiaTheme="minorEastAsia"/>
          <w:snapToGrid w:val="0"/>
          <w:sz w:val="24"/>
          <w:szCs w:val="24"/>
        </w:rPr>
        <w:t>、夜间</w:t>
      </w:r>
      <w:r>
        <w:rPr>
          <w:rFonts w:asciiTheme="minorEastAsia" w:hAnsiTheme="minorEastAsia" w:eastAsiaTheme="minorEastAsia"/>
          <w:snapToGrid w:val="0"/>
          <w:sz w:val="24"/>
          <w:szCs w:val="24"/>
        </w:rPr>
        <w:t>55dB(A)</w:t>
      </w:r>
      <w:r>
        <w:rPr>
          <w:rFonts w:hint="eastAsia" w:asciiTheme="minorEastAsia" w:hAnsiTheme="minorEastAsia" w:eastAsiaTheme="minorEastAsia"/>
          <w:snapToGrid w:val="0"/>
          <w:sz w:val="24"/>
          <w:szCs w:val="24"/>
        </w:rPr>
        <w:t>。</w:t>
      </w:r>
    </w:p>
    <w:p>
      <w:pPr>
        <w:spacing w:line="460" w:lineRule="exact"/>
        <w:jc w:val="left"/>
        <w:rPr>
          <w:rFonts w:asciiTheme="minorEastAsia" w:hAnsiTheme="minorEastAsia" w:eastAsiaTheme="minorEastAsia"/>
          <w:snapToGrid w:val="0"/>
          <w:sz w:val="24"/>
          <w:szCs w:val="24"/>
        </w:rPr>
      </w:pPr>
      <w:r>
        <w:rPr>
          <w:rFonts w:hint="eastAsia" w:asciiTheme="minorEastAsia" w:hAnsiTheme="minorEastAsia" w:eastAsiaTheme="minorEastAsia"/>
          <w:snapToGrid w:val="0"/>
          <w:sz w:val="24"/>
          <w:szCs w:val="24"/>
        </w:rPr>
        <w:t>有关标准分别见表</w:t>
      </w:r>
      <w:r>
        <w:rPr>
          <w:rFonts w:asciiTheme="minorEastAsia" w:hAnsiTheme="minorEastAsia" w:eastAsiaTheme="minorEastAsia"/>
          <w:snapToGrid w:val="0"/>
          <w:sz w:val="24"/>
          <w:szCs w:val="24"/>
        </w:rPr>
        <w:t>2.3-4</w:t>
      </w:r>
      <w:r>
        <w:rPr>
          <w:rFonts w:hint="eastAsia" w:asciiTheme="minorEastAsia" w:hAnsiTheme="minorEastAsia" w:eastAsiaTheme="minorEastAsia"/>
          <w:snapToGrid w:val="0"/>
          <w:sz w:val="24"/>
          <w:szCs w:val="24"/>
        </w:rPr>
        <w:t>。</w:t>
      </w:r>
    </w:p>
    <w:p>
      <w:pPr>
        <w:pStyle w:val="193"/>
        <w:spacing w:line="460" w:lineRule="exact"/>
        <w:jc w:val="left"/>
        <w:rPr>
          <w:rFonts w:asciiTheme="minorEastAsia" w:hAnsiTheme="minorEastAsia" w:eastAsiaTheme="minorEastAsia"/>
        </w:rPr>
      </w:pPr>
      <w:r>
        <w:rPr>
          <w:rFonts w:hint="eastAsia" w:asciiTheme="minorEastAsia" w:hAnsiTheme="minorEastAsia" w:eastAsiaTheme="minorEastAsia"/>
        </w:rPr>
        <w:t>表</w:t>
      </w:r>
      <w:r>
        <w:rPr>
          <w:rFonts w:asciiTheme="minorEastAsia" w:hAnsiTheme="minorEastAsia" w:eastAsiaTheme="minorEastAsia"/>
        </w:rPr>
        <w:t xml:space="preserve">2.3-4  </w:t>
      </w:r>
      <w:r>
        <w:rPr>
          <w:rFonts w:hint="eastAsia" w:asciiTheme="minorEastAsia" w:hAnsiTheme="minorEastAsia" w:eastAsiaTheme="minorEastAsia"/>
        </w:rPr>
        <w:t>工业企业厂界噪声标准</w:t>
      </w:r>
      <w:r>
        <w:rPr>
          <w:rFonts w:asciiTheme="minorEastAsia" w:hAnsiTheme="minorEastAsia" w:eastAsiaTheme="minorEastAsia"/>
        </w:rPr>
        <w:t xml:space="preserve">            </w:t>
      </w:r>
      <w:r>
        <w:rPr>
          <w:rFonts w:hint="eastAsia" w:asciiTheme="minorEastAsia" w:hAnsiTheme="minorEastAsia" w:eastAsiaTheme="minorEastAsia"/>
        </w:rPr>
        <w:t>单位：</w:t>
      </w:r>
      <w:r>
        <w:rPr>
          <w:rFonts w:asciiTheme="minorEastAsia" w:hAnsiTheme="minorEastAsia" w:eastAsiaTheme="minorEastAsia"/>
        </w:rPr>
        <w:t>dB</w:t>
      </w:r>
    </w:p>
    <w:tbl>
      <w:tblPr>
        <w:tblStyle w:val="54"/>
        <w:tblW w:w="8102" w:type="dxa"/>
        <w:jc w:val="center"/>
        <w:tblInd w:w="576" w:type="dxa"/>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Layout w:type="fixed"/>
        <w:tblCellMar>
          <w:top w:w="0" w:type="dxa"/>
          <w:left w:w="108" w:type="dxa"/>
          <w:bottom w:w="0" w:type="dxa"/>
          <w:right w:w="108" w:type="dxa"/>
        </w:tblCellMar>
      </w:tblPr>
      <w:tblGrid>
        <w:gridCol w:w="1908"/>
        <w:gridCol w:w="3045"/>
        <w:gridCol w:w="3149"/>
      </w:tblGrid>
      <w:tr>
        <w:tblPrEx>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Layout w:type="fixed"/>
          <w:tblCellMar>
            <w:top w:w="0" w:type="dxa"/>
            <w:left w:w="108" w:type="dxa"/>
            <w:bottom w:w="0" w:type="dxa"/>
            <w:right w:w="108" w:type="dxa"/>
          </w:tblCellMar>
        </w:tblPrEx>
        <w:trPr>
          <w:trHeight w:val="363" w:hRule="atLeast"/>
          <w:jc w:val="center"/>
        </w:trPr>
        <w:tc>
          <w:tcPr>
            <w:tcW w:w="1908" w:type="dxa"/>
            <w:tcBorders>
              <w:top w:val="thinThickSmallGap" w:color="auto" w:sz="24" w:space="0"/>
            </w:tcBorders>
            <w:vAlign w:val="center"/>
          </w:tcPr>
          <w:p>
            <w:pPr>
              <w:pStyle w:val="193"/>
              <w:jc w:val="center"/>
              <w:rPr>
                <w:rFonts w:asciiTheme="minorEastAsia" w:hAnsiTheme="minorEastAsia" w:eastAsiaTheme="minorEastAsia"/>
                <w:kern w:val="2"/>
                <w:sz w:val="21"/>
                <w:szCs w:val="22"/>
              </w:rPr>
            </w:pPr>
            <w:r>
              <w:rPr>
                <w:rFonts w:hint="eastAsia" w:asciiTheme="minorEastAsia" w:hAnsiTheme="minorEastAsia" w:eastAsiaTheme="minorEastAsia"/>
                <w:kern w:val="2"/>
                <w:sz w:val="21"/>
                <w:szCs w:val="22"/>
              </w:rPr>
              <w:t>类</w:t>
            </w:r>
            <w:r>
              <w:rPr>
                <w:rFonts w:asciiTheme="minorEastAsia" w:hAnsiTheme="minorEastAsia" w:eastAsiaTheme="minorEastAsia"/>
                <w:kern w:val="2"/>
                <w:sz w:val="21"/>
                <w:szCs w:val="22"/>
              </w:rPr>
              <w:t xml:space="preserve">      </w:t>
            </w:r>
            <w:r>
              <w:rPr>
                <w:rFonts w:hint="eastAsia" w:asciiTheme="minorEastAsia" w:hAnsiTheme="minorEastAsia" w:eastAsiaTheme="minorEastAsia"/>
                <w:kern w:val="2"/>
                <w:sz w:val="21"/>
                <w:szCs w:val="22"/>
              </w:rPr>
              <w:t>别</w:t>
            </w:r>
          </w:p>
        </w:tc>
        <w:tc>
          <w:tcPr>
            <w:tcW w:w="3045" w:type="dxa"/>
            <w:tcBorders>
              <w:top w:val="thinThickSmallGap" w:color="auto" w:sz="24" w:space="0"/>
            </w:tcBorders>
            <w:vAlign w:val="center"/>
          </w:tcPr>
          <w:p>
            <w:pPr>
              <w:pStyle w:val="193"/>
              <w:jc w:val="center"/>
              <w:rPr>
                <w:rFonts w:asciiTheme="minorEastAsia" w:hAnsiTheme="minorEastAsia" w:eastAsiaTheme="minorEastAsia"/>
                <w:kern w:val="2"/>
                <w:sz w:val="21"/>
                <w:szCs w:val="22"/>
              </w:rPr>
            </w:pPr>
            <w:r>
              <w:rPr>
                <w:rFonts w:hint="eastAsia" w:asciiTheme="minorEastAsia" w:hAnsiTheme="minorEastAsia" w:eastAsiaTheme="minorEastAsia"/>
                <w:kern w:val="2"/>
                <w:sz w:val="21"/>
                <w:szCs w:val="22"/>
              </w:rPr>
              <w:t>昼</w:t>
            </w:r>
            <w:r>
              <w:rPr>
                <w:rFonts w:asciiTheme="minorEastAsia" w:hAnsiTheme="minorEastAsia" w:eastAsiaTheme="minorEastAsia"/>
                <w:kern w:val="2"/>
                <w:sz w:val="21"/>
                <w:szCs w:val="22"/>
              </w:rPr>
              <w:t xml:space="preserve">      </w:t>
            </w:r>
            <w:r>
              <w:rPr>
                <w:rFonts w:hint="eastAsia" w:asciiTheme="minorEastAsia" w:hAnsiTheme="minorEastAsia" w:eastAsiaTheme="minorEastAsia"/>
                <w:kern w:val="2"/>
                <w:sz w:val="21"/>
                <w:szCs w:val="22"/>
              </w:rPr>
              <w:t>间</w:t>
            </w:r>
          </w:p>
        </w:tc>
        <w:tc>
          <w:tcPr>
            <w:tcW w:w="3149" w:type="dxa"/>
            <w:tcBorders>
              <w:top w:val="thinThickSmallGap" w:color="auto" w:sz="24" w:space="0"/>
            </w:tcBorders>
            <w:vAlign w:val="center"/>
          </w:tcPr>
          <w:p>
            <w:pPr>
              <w:pStyle w:val="193"/>
              <w:jc w:val="center"/>
              <w:rPr>
                <w:rFonts w:asciiTheme="minorEastAsia" w:hAnsiTheme="minorEastAsia" w:eastAsiaTheme="minorEastAsia"/>
                <w:kern w:val="2"/>
                <w:sz w:val="21"/>
                <w:szCs w:val="22"/>
              </w:rPr>
            </w:pPr>
            <w:r>
              <w:rPr>
                <w:rFonts w:hint="eastAsia" w:asciiTheme="minorEastAsia" w:hAnsiTheme="minorEastAsia" w:eastAsiaTheme="minorEastAsia"/>
                <w:kern w:val="2"/>
                <w:sz w:val="21"/>
                <w:szCs w:val="22"/>
              </w:rPr>
              <w:t>夜</w:t>
            </w:r>
            <w:r>
              <w:rPr>
                <w:rFonts w:asciiTheme="minorEastAsia" w:hAnsiTheme="minorEastAsia" w:eastAsiaTheme="minorEastAsia"/>
                <w:kern w:val="2"/>
                <w:sz w:val="21"/>
                <w:szCs w:val="22"/>
              </w:rPr>
              <w:t xml:space="preserve">      </w:t>
            </w:r>
            <w:r>
              <w:rPr>
                <w:rFonts w:hint="eastAsia" w:asciiTheme="minorEastAsia" w:hAnsiTheme="minorEastAsia" w:eastAsiaTheme="minorEastAsia"/>
                <w:kern w:val="2"/>
                <w:sz w:val="21"/>
                <w:szCs w:val="22"/>
              </w:rPr>
              <w:t>间</w:t>
            </w:r>
          </w:p>
        </w:tc>
      </w:tr>
      <w:tr>
        <w:tblPrEx>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Layout w:type="fixed"/>
          <w:tblCellMar>
            <w:top w:w="0" w:type="dxa"/>
            <w:left w:w="108" w:type="dxa"/>
            <w:bottom w:w="0" w:type="dxa"/>
            <w:right w:w="108" w:type="dxa"/>
          </w:tblCellMar>
        </w:tblPrEx>
        <w:trPr>
          <w:trHeight w:val="407" w:hRule="atLeast"/>
          <w:jc w:val="center"/>
        </w:trPr>
        <w:tc>
          <w:tcPr>
            <w:tcW w:w="1908" w:type="dxa"/>
            <w:tcBorders>
              <w:bottom w:val="thinThickSmallGap" w:color="auto" w:sz="24" w:space="0"/>
            </w:tcBorders>
            <w:vAlign w:val="center"/>
          </w:tcPr>
          <w:p>
            <w:pPr>
              <w:pStyle w:val="193"/>
              <w:jc w:val="center"/>
              <w:rPr>
                <w:rFonts w:asciiTheme="minorEastAsia" w:hAnsiTheme="minorEastAsia" w:eastAsiaTheme="minorEastAsia"/>
                <w:kern w:val="2"/>
                <w:sz w:val="21"/>
                <w:szCs w:val="22"/>
              </w:rPr>
            </w:pPr>
            <w:r>
              <w:rPr>
                <w:rFonts w:asciiTheme="minorEastAsia" w:hAnsiTheme="minorEastAsia" w:eastAsiaTheme="minorEastAsia"/>
                <w:kern w:val="2"/>
                <w:sz w:val="21"/>
                <w:szCs w:val="22"/>
              </w:rPr>
              <w:t>GB12348-90  3</w:t>
            </w:r>
            <w:r>
              <w:rPr>
                <w:rFonts w:hint="eastAsia" w:asciiTheme="minorEastAsia" w:hAnsiTheme="minorEastAsia" w:eastAsiaTheme="minorEastAsia"/>
                <w:kern w:val="2"/>
                <w:sz w:val="21"/>
                <w:szCs w:val="22"/>
              </w:rPr>
              <w:t>类</w:t>
            </w:r>
          </w:p>
        </w:tc>
        <w:tc>
          <w:tcPr>
            <w:tcW w:w="3045" w:type="dxa"/>
            <w:tcBorders>
              <w:bottom w:val="thinThickSmallGap" w:color="auto" w:sz="24" w:space="0"/>
            </w:tcBorders>
            <w:vAlign w:val="center"/>
          </w:tcPr>
          <w:p>
            <w:pPr>
              <w:pStyle w:val="193"/>
              <w:jc w:val="center"/>
              <w:rPr>
                <w:rFonts w:asciiTheme="minorEastAsia" w:hAnsiTheme="minorEastAsia" w:eastAsiaTheme="minorEastAsia"/>
                <w:kern w:val="2"/>
                <w:sz w:val="21"/>
                <w:szCs w:val="22"/>
              </w:rPr>
            </w:pPr>
            <w:r>
              <w:rPr>
                <w:rFonts w:asciiTheme="minorEastAsia" w:hAnsiTheme="minorEastAsia" w:eastAsiaTheme="minorEastAsia"/>
                <w:kern w:val="2"/>
                <w:sz w:val="21"/>
                <w:szCs w:val="22"/>
              </w:rPr>
              <w:t>65</w:t>
            </w:r>
          </w:p>
        </w:tc>
        <w:tc>
          <w:tcPr>
            <w:tcW w:w="3149" w:type="dxa"/>
            <w:tcBorders>
              <w:bottom w:val="thinThickSmallGap" w:color="auto" w:sz="24" w:space="0"/>
            </w:tcBorders>
            <w:vAlign w:val="center"/>
          </w:tcPr>
          <w:p>
            <w:pPr>
              <w:pStyle w:val="193"/>
              <w:jc w:val="center"/>
              <w:rPr>
                <w:rFonts w:asciiTheme="minorEastAsia" w:hAnsiTheme="minorEastAsia" w:eastAsiaTheme="minorEastAsia"/>
                <w:kern w:val="2"/>
                <w:sz w:val="21"/>
                <w:szCs w:val="22"/>
              </w:rPr>
            </w:pPr>
            <w:r>
              <w:rPr>
                <w:rFonts w:asciiTheme="minorEastAsia" w:hAnsiTheme="minorEastAsia" w:eastAsiaTheme="minorEastAsia"/>
                <w:kern w:val="2"/>
                <w:sz w:val="21"/>
                <w:szCs w:val="22"/>
              </w:rPr>
              <w:t>55</w:t>
            </w:r>
          </w:p>
        </w:tc>
      </w:tr>
    </w:tbl>
    <w:p>
      <w:pPr>
        <w:spacing w:line="460" w:lineRule="exact"/>
        <w:ind w:firstLine="560"/>
        <w:jc w:val="left"/>
        <w:rPr>
          <w:rFonts w:asciiTheme="minorEastAsia" w:hAnsiTheme="minorEastAsia" w:eastAsiaTheme="minorEastAsia"/>
          <w:snapToGrid w:val="0"/>
          <w:sz w:val="28"/>
          <w:szCs w:val="28"/>
        </w:rPr>
      </w:pPr>
      <w:r>
        <w:rPr>
          <w:rFonts w:hint="eastAsia" w:asciiTheme="minorEastAsia" w:hAnsiTheme="minorEastAsia" w:eastAsiaTheme="minorEastAsia"/>
          <w:snapToGrid w:val="0"/>
          <w:sz w:val="28"/>
          <w:szCs w:val="28"/>
        </w:rPr>
        <w:t>（</w:t>
      </w:r>
      <w:r>
        <w:rPr>
          <w:rFonts w:asciiTheme="minorEastAsia" w:hAnsiTheme="minorEastAsia" w:eastAsiaTheme="minorEastAsia"/>
          <w:snapToGrid w:val="0"/>
          <w:sz w:val="28"/>
          <w:szCs w:val="28"/>
        </w:rPr>
        <w:t>4</w:t>
      </w:r>
      <w:r>
        <w:rPr>
          <w:rFonts w:hint="eastAsia" w:asciiTheme="minorEastAsia" w:hAnsiTheme="minorEastAsia" w:eastAsiaTheme="minorEastAsia"/>
          <w:snapToGrid w:val="0"/>
          <w:sz w:val="28"/>
          <w:szCs w:val="28"/>
        </w:rPr>
        <w:t>）固体废物</w:t>
      </w:r>
    </w:p>
    <w:p>
      <w:pPr>
        <w:spacing w:line="460" w:lineRule="exact"/>
        <w:ind w:firstLine="480"/>
        <w:jc w:val="left"/>
        <w:rPr>
          <w:rFonts w:asciiTheme="minorEastAsia" w:hAnsiTheme="minorEastAsia" w:eastAsiaTheme="minorEastAsia"/>
          <w:snapToGrid w:val="0"/>
          <w:sz w:val="24"/>
          <w:szCs w:val="24"/>
        </w:rPr>
      </w:pPr>
      <w:r>
        <w:rPr>
          <w:rFonts w:hint="eastAsia" w:asciiTheme="minorEastAsia" w:hAnsiTheme="minorEastAsia" w:eastAsiaTheme="minorEastAsia"/>
          <w:snapToGrid w:val="0"/>
          <w:sz w:val="24"/>
          <w:szCs w:val="24"/>
        </w:rPr>
        <w:t>《一般工业固体废物贮存、处置场污染物控制标准》（</w:t>
      </w:r>
      <w:r>
        <w:rPr>
          <w:rFonts w:asciiTheme="minorEastAsia" w:hAnsiTheme="minorEastAsia" w:eastAsiaTheme="minorEastAsia"/>
          <w:snapToGrid w:val="0"/>
          <w:sz w:val="24"/>
          <w:szCs w:val="24"/>
        </w:rPr>
        <w:t>GB18599-2001</w:t>
      </w:r>
      <w:r>
        <w:rPr>
          <w:rFonts w:hint="eastAsia" w:asciiTheme="minorEastAsia" w:hAnsiTheme="minorEastAsia" w:eastAsiaTheme="minorEastAsia"/>
          <w:snapToGrid w:val="0"/>
          <w:sz w:val="24"/>
          <w:szCs w:val="24"/>
        </w:rPr>
        <w:t>）。</w:t>
      </w:r>
    </w:p>
    <w:p>
      <w:pPr>
        <w:spacing w:line="460" w:lineRule="exact"/>
        <w:ind w:firstLine="480"/>
        <w:jc w:val="left"/>
        <w:rPr>
          <w:rFonts w:asciiTheme="minorEastAsia" w:hAnsiTheme="minorEastAsia" w:eastAsiaTheme="minorEastAsia"/>
          <w:sz w:val="24"/>
          <w:szCs w:val="24"/>
        </w:rPr>
      </w:pPr>
      <w:r>
        <w:rPr>
          <w:rFonts w:hint="eastAsia" w:asciiTheme="minorEastAsia" w:hAnsiTheme="minorEastAsia" w:eastAsiaTheme="minorEastAsia"/>
          <w:sz w:val="24"/>
          <w:szCs w:val="24"/>
        </w:rPr>
        <w:t>《危险废物贮存污染控制标准》（</w:t>
      </w:r>
      <w:r>
        <w:rPr>
          <w:rFonts w:asciiTheme="minorEastAsia" w:hAnsiTheme="minorEastAsia" w:eastAsiaTheme="minorEastAsia"/>
          <w:sz w:val="24"/>
          <w:szCs w:val="24"/>
        </w:rPr>
        <w:t>GB18597-2001</w:t>
      </w:r>
      <w:r>
        <w:rPr>
          <w:rFonts w:hint="eastAsia" w:asciiTheme="minorEastAsia" w:hAnsiTheme="minorEastAsia" w:eastAsiaTheme="minorEastAsia"/>
          <w:sz w:val="24"/>
          <w:szCs w:val="24"/>
        </w:rPr>
        <w:t>）；</w:t>
      </w:r>
    </w:p>
    <w:p>
      <w:pPr>
        <w:spacing w:line="460" w:lineRule="exact"/>
        <w:ind w:firstLine="480"/>
        <w:jc w:val="left"/>
        <w:rPr>
          <w:rFonts w:asciiTheme="minorEastAsia" w:hAnsiTheme="minorEastAsia" w:eastAsiaTheme="minorEastAsia"/>
          <w:sz w:val="24"/>
          <w:szCs w:val="24"/>
        </w:rPr>
      </w:pPr>
      <w:r>
        <w:rPr>
          <w:rFonts w:hint="eastAsia" w:asciiTheme="minorEastAsia" w:hAnsiTheme="minorEastAsia" w:eastAsiaTheme="minorEastAsia"/>
          <w:sz w:val="24"/>
          <w:szCs w:val="24"/>
        </w:rPr>
        <w:t>《生活垃圾填埋污染控制标准》（</w:t>
      </w:r>
      <w:r>
        <w:rPr>
          <w:rFonts w:asciiTheme="minorEastAsia" w:hAnsiTheme="minorEastAsia" w:eastAsiaTheme="minorEastAsia"/>
          <w:sz w:val="24"/>
          <w:szCs w:val="24"/>
        </w:rPr>
        <w:t>GB16889-2008</w:t>
      </w:r>
      <w:r>
        <w:rPr>
          <w:rFonts w:hint="eastAsia" w:asciiTheme="minorEastAsia" w:hAnsiTheme="minorEastAsia" w:eastAsiaTheme="minorEastAsia"/>
          <w:sz w:val="24"/>
          <w:szCs w:val="24"/>
        </w:rPr>
        <w:t>）。</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pPr>
        <w:adjustRightInd w:val="0"/>
        <w:snapToGrid w:val="0"/>
        <w:spacing w:line="460" w:lineRule="exact"/>
        <w:outlineLvl w:val="1"/>
        <w:rPr>
          <w:b/>
          <w:color w:val="000000"/>
          <w:sz w:val="28"/>
          <w:szCs w:val="28"/>
        </w:rPr>
      </w:pPr>
      <w:bookmarkStart w:id="105" w:name="_Toc458674249"/>
      <w:bookmarkStart w:id="106" w:name="_Toc18345"/>
      <w:r>
        <w:rPr>
          <w:b/>
          <w:color w:val="000000"/>
          <w:sz w:val="28"/>
          <w:szCs w:val="28"/>
        </w:rPr>
        <w:t>2.</w:t>
      </w:r>
      <w:r>
        <w:rPr>
          <w:rFonts w:hint="eastAsia"/>
          <w:b/>
          <w:color w:val="000000"/>
          <w:sz w:val="28"/>
          <w:szCs w:val="28"/>
        </w:rPr>
        <w:t>5</w:t>
      </w:r>
      <w:r>
        <w:rPr>
          <w:b/>
          <w:color w:val="000000"/>
          <w:sz w:val="28"/>
          <w:szCs w:val="28"/>
        </w:rPr>
        <w:t>环境保护目标</w:t>
      </w:r>
      <w:bookmarkEnd w:id="105"/>
      <w:bookmarkEnd w:id="106"/>
    </w:p>
    <w:p>
      <w:pPr>
        <w:pStyle w:val="193"/>
        <w:spacing w:before="156" w:line="460" w:lineRule="exact"/>
        <w:ind w:firstLine="480" w:firstLineChars="200"/>
        <w:jc w:val="both"/>
        <w:rPr>
          <w:rFonts w:cs="仿宋_GB2312" w:asciiTheme="minorEastAsia" w:hAnsiTheme="minorEastAsia" w:eastAsiaTheme="minorEastAsia"/>
        </w:rPr>
      </w:pPr>
      <w:r>
        <w:rPr>
          <w:rFonts w:cs="仿宋_GB2312" w:asciiTheme="minorEastAsia" w:hAnsiTheme="minorEastAsia" w:eastAsiaTheme="minorEastAsia"/>
        </w:rPr>
        <w:t>企业本身为污水处理厂，确保收集污水经厂区处理达标排放，不改变地表水体水域功能。在保护环境上，我们针对企业内部危险单元修建了风险范围措施，制定了针对突发环境事件处理应急预案，确保无人员伤亡，努力做到对周边环境影响最小、区域生态环境免遭污染、</w:t>
      </w:r>
      <w:r>
        <w:rPr>
          <w:rFonts w:hint="eastAsia" w:cs="仿宋_GB2312" w:asciiTheme="minorEastAsia" w:hAnsiTheme="minorEastAsia" w:eastAsiaTheme="minorEastAsia"/>
        </w:rPr>
        <w:t>企业</w:t>
      </w:r>
      <w:r>
        <w:rPr>
          <w:rFonts w:cs="仿宋_GB2312" w:asciiTheme="minorEastAsia" w:hAnsiTheme="minorEastAsia" w:eastAsiaTheme="minorEastAsia"/>
        </w:rPr>
        <w:t>周围及沿线经济活动不受影响，不影响人民群众生产、生活。</w:t>
      </w:r>
    </w:p>
    <w:p>
      <w:pPr>
        <w:pStyle w:val="2"/>
        <w:keepNext w:val="0"/>
        <w:tabs>
          <w:tab w:val="left" w:pos="1890"/>
          <w:tab w:val="center" w:pos="4156"/>
        </w:tabs>
        <w:spacing w:beforeLines="50" w:afterLines="50" w:line="460" w:lineRule="exact"/>
        <w:jc w:val="center"/>
        <w:rPr>
          <w:rFonts w:asciiTheme="minorEastAsia" w:hAnsiTheme="minorEastAsia" w:eastAsiaTheme="minorEastAsia"/>
          <w:b/>
          <w:color w:val="000000"/>
          <w:sz w:val="32"/>
          <w:lang w:val="zh-TW"/>
        </w:rPr>
      </w:pPr>
      <w:bookmarkStart w:id="107" w:name="_Toc7218"/>
      <w:r>
        <w:rPr>
          <w:rFonts w:asciiTheme="minorEastAsia" w:hAnsiTheme="minorEastAsia" w:eastAsiaTheme="minorEastAsia"/>
          <w:b/>
          <w:color w:val="000000"/>
          <w:sz w:val="32"/>
        </w:rPr>
        <w:t>3</w:t>
      </w:r>
      <w:r>
        <w:rPr>
          <w:rFonts w:hint="eastAsia" w:asciiTheme="minorEastAsia" w:hAnsiTheme="minorEastAsia" w:eastAsiaTheme="minorEastAsia"/>
          <w:b/>
          <w:color w:val="000000"/>
          <w:sz w:val="32"/>
          <w:lang w:val="zh-TW"/>
        </w:rPr>
        <w:t>环境风险源与环境风险评价</w:t>
      </w:r>
      <w:bookmarkEnd w:id="107"/>
    </w:p>
    <w:p>
      <w:pPr>
        <w:adjustRightInd w:val="0"/>
        <w:snapToGrid w:val="0"/>
        <w:spacing w:line="460" w:lineRule="exact"/>
        <w:outlineLvl w:val="1"/>
        <w:rPr>
          <w:rFonts w:hint="eastAsia"/>
          <w:b/>
          <w:color w:val="000000"/>
          <w:sz w:val="28"/>
          <w:szCs w:val="28"/>
        </w:rPr>
      </w:pPr>
      <w:bookmarkStart w:id="108" w:name="_Toc32399"/>
      <w:bookmarkStart w:id="109" w:name="_Toc183339218"/>
      <w:bookmarkStart w:id="110" w:name="_Toc183339494"/>
      <w:bookmarkStart w:id="111" w:name="_Toc262051111"/>
      <w:bookmarkStart w:id="112" w:name="_Toc185670978"/>
      <w:bookmarkStart w:id="113" w:name="_Toc262040271"/>
      <w:bookmarkStart w:id="114" w:name="_Toc198007331"/>
      <w:bookmarkStart w:id="115" w:name="_Toc229283967"/>
      <w:bookmarkStart w:id="116" w:name="_Toc197251336"/>
      <w:bookmarkStart w:id="117" w:name="_Toc262050861"/>
      <w:bookmarkStart w:id="118" w:name="_Toc184808758"/>
      <w:bookmarkStart w:id="119" w:name="_Toc262051532"/>
      <w:bookmarkStart w:id="120" w:name="_Toc184809545"/>
      <w:bookmarkStart w:id="121" w:name="_Toc196018632"/>
      <w:bookmarkStart w:id="122" w:name="_Toc196018537"/>
      <w:bookmarkStart w:id="123" w:name="_Toc196018428"/>
      <w:bookmarkStart w:id="124" w:name="_Toc198355316"/>
      <w:bookmarkStart w:id="125" w:name="_Toc415254537"/>
      <w:bookmarkStart w:id="126" w:name="_Toc408274430"/>
      <w:bookmarkStart w:id="127" w:name="_Toc304963595"/>
      <w:bookmarkStart w:id="128" w:name="_Toc387131753"/>
      <w:bookmarkStart w:id="129" w:name="_Toc336326845"/>
      <w:bookmarkStart w:id="130" w:name="_Toc336327123"/>
      <w:bookmarkStart w:id="131" w:name="_Toc387131422"/>
      <w:bookmarkStart w:id="132" w:name="_Toc304962951"/>
      <w:bookmarkStart w:id="133" w:name="_Toc304833228"/>
      <w:bookmarkStart w:id="134" w:name="_Toc304964438"/>
      <w:bookmarkStart w:id="135" w:name="_Toc387131496"/>
      <w:r>
        <w:rPr>
          <w:rFonts w:hint="eastAsia"/>
          <w:b/>
          <w:color w:val="000000"/>
          <w:sz w:val="28"/>
          <w:szCs w:val="28"/>
        </w:rPr>
        <w:t>3.1生产工艺简介（CAST污水处理工艺流程）</w:t>
      </w:r>
      <w:bookmarkEnd w:id="108"/>
    </w:p>
    <w:p>
      <w:pPr>
        <w:spacing w:line="460" w:lineRule="exact"/>
        <w:ind w:firstLine="480"/>
        <w:rPr>
          <w:rFonts w:asciiTheme="minorEastAsia" w:hAnsiTheme="minorEastAsia" w:eastAsiaTheme="minorEastAsia"/>
          <w:sz w:val="24"/>
          <w:szCs w:val="24"/>
        </w:rPr>
      </w:pPr>
      <w:r>
        <w:rPr>
          <w:rFonts w:hint="eastAsia" w:cs="宋体" w:asciiTheme="minorEastAsia" w:hAnsiTheme="minorEastAsia" w:eastAsiaTheme="minorEastAsia"/>
          <w:sz w:val="24"/>
          <w:szCs w:val="24"/>
        </w:rPr>
        <w:t>本项目拟采用的工艺为</w:t>
      </w:r>
      <w:r>
        <w:rPr>
          <w:rFonts w:hint="eastAsia" w:asciiTheme="minorEastAsia" w:hAnsiTheme="minorEastAsia" w:eastAsiaTheme="minorEastAsia"/>
          <w:sz w:val="24"/>
          <w:szCs w:val="24"/>
        </w:rPr>
        <w:t>CAST</w:t>
      </w:r>
      <w:r>
        <w:rPr>
          <w:rFonts w:hint="eastAsia" w:cs="宋体" w:asciiTheme="minorEastAsia" w:hAnsiTheme="minorEastAsia" w:eastAsiaTheme="minorEastAsia"/>
          <w:sz w:val="24"/>
          <w:szCs w:val="24"/>
        </w:rPr>
        <w:t>处理工艺，即循环活性污泥法，</w:t>
      </w:r>
      <w:r>
        <w:rPr>
          <w:rFonts w:hint="eastAsia" w:asciiTheme="minorEastAsia" w:hAnsiTheme="minorEastAsia" w:eastAsiaTheme="minorEastAsia"/>
          <w:sz w:val="24"/>
          <w:szCs w:val="24"/>
        </w:rPr>
        <w:t xml:space="preserve"> CAST</w:t>
      </w:r>
      <w:r>
        <w:rPr>
          <w:rFonts w:hint="eastAsia" w:cs="宋体" w:asciiTheme="minorEastAsia" w:hAnsiTheme="minorEastAsia" w:eastAsiaTheme="minorEastAsia"/>
          <w:sz w:val="24"/>
          <w:szCs w:val="24"/>
        </w:rPr>
        <w:t>工艺一种循环活性污泥法，是</w:t>
      </w:r>
      <w:r>
        <w:rPr>
          <w:rFonts w:hint="eastAsia" w:asciiTheme="minorEastAsia" w:hAnsiTheme="minorEastAsia" w:eastAsiaTheme="minorEastAsia"/>
          <w:sz w:val="24"/>
          <w:szCs w:val="24"/>
        </w:rPr>
        <w:t>SBR</w:t>
      </w:r>
      <w:r>
        <w:rPr>
          <w:rFonts w:hint="eastAsia" w:cs="宋体" w:asciiTheme="minorEastAsia" w:hAnsiTheme="minorEastAsia" w:eastAsiaTheme="minorEastAsia"/>
          <w:sz w:val="24"/>
          <w:szCs w:val="24"/>
        </w:rPr>
        <w:t>工艺的改进型，废水按一定周期循环处理，其每一个循环周期都有以下几个阶段组成：充气</w:t>
      </w:r>
      <w:r>
        <w:rPr>
          <w:rFonts w:hint="eastAsia" w:asciiTheme="minorEastAsia" w:hAnsiTheme="minorEastAsia" w:eastAsiaTheme="minorEastAsia"/>
          <w:sz w:val="24"/>
          <w:szCs w:val="24"/>
        </w:rPr>
        <w:t>/</w:t>
      </w:r>
      <w:r>
        <w:rPr>
          <w:rFonts w:hint="eastAsia" w:cs="宋体" w:asciiTheme="minorEastAsia" w:hAnsiTheme="minorEastAsia" w:eastAsiaTheme="minorEastAsia"/>
          <w:sz w:val="24"/>
          <w:szCs w:val="24"/>
        </w:rPr>
        <w:t>曝气、充水</w:t>
      </w:r>
      <w:r>
        <w:rPr>
          <w:rFonts w:hint="eastAsia" w:asciiTheme="minorEastAsia" w:hAnsiTheme="minorEastAsia" w:eastAsiaTheme="minorEastAsia"/>
          <w:sz w:val="24"/>
          <w:szCs w:val="24"/>
        </w:rPr>
        <w:t>/</w:t>
      </w:r>
      <w:r>
        <w:rPr>
          <w:rFonts w:hint="eastAsia" w:cs="宋体" w:asciiTheme="minorEastAsia" w:hAnsiTheme="minorEastAsia" w:eastAsiaTheme="minorEastAsia"/>
          <w:sz w:val="24"/>
          <w:szCs w:val="24"/>
        </w:rPr>
        <w:t>沉淀、撇水、闲置。以上各阶段组成一个工作周期，并不断重复循环。周期开始时，由于充水，池中水位由某一最低水位开始上升，在经过一定时间的曝气和混合后，停止曝气，以使活性污泥进行絮凝并在一个静止的环境中沉淀，在完成沉淀阶段后，由一个移动式撇水堰排出已澄清的上清液，使水位下降至池子设定的最低水位，然后再重复上述过程。</w:t>
      </w:r>
    </w:p>
    <w:p>
      <w:pPr>
        <w:spacing w:line="46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CAST</w:t>
      </w:r>
      <w:r>
        <w:rPr>
          <w:rFonts w:hint="eastAsia" w:cs="宋体" w:asciiTheme="minorEastAsia" w:hAnsiTheme="minorEastAsia" w:eastAsiaTheme="minorEastAsia"/>
          <w:sz w:val="24"/>
          <w:szCs w:val="24"/>
        </w:rPr>
        <w:t>生物处理器一般由生物选择区和主曝气区构成；生物选择区厌氧强化反应器的反硝化效果，保证出水总氮达标；主曝气区内主要进行降解有机物和硝化，并进行同时硝化</w:t>
      </w:r>
      <w:r>
        <w:rPr>
          <w:rFonts w:hint="eastAsia" w:asciiTheme="minorEastAsia" w:hAnsiTheme="minorEastAsia" w:eastAsiaTheme="minorEastAsia"/>
          <w:sz w:val="24"/>
          <w:szCs w:val="24"/>
        </w:rPr>
        <w:t>-</w:t>
      </w:r>
      <w:r>
        <w:rPr>
          <w:rFonts w:hint="eastAsia" w:cs="宋体" w:asciiTheme="minorEastAsia" w:hAnsiTheme="minorEastAsia" w:eastAsiaTheme="minorEastAsia"/>
          <w:sz w:val="24"/>
          <w:szCs w:val="24"/>
        </w:rPr>
        <w:t>反硝化过程。该工艺的显著特点是省略二沉池，依靠复杂自控系统完成污水处理操作。</w:t>
      </w:r>
      <w:r>
        <w:rPr>
          <w:rFonts w:hint="eastAsia" w:cs="仿宋_GB2312" w:asciiTheme="minorEastAsia" w:hAnsiTheme="minorEastAsia" w:eastAsiaTheme="minorEastAsia"/>
          <w:kern w:val="0"/>
          <w:sz w:val="24"/>
          <w:szCs w:val="24"/>
        </w:rPr>
        <w:t>具体可见图3-1。</w:t>
      </w:r>
    </w:p>
    <w:p>
      <w:pPr>
        <w:adjustRightInd w:val="0"/>
        <w:snapToGrid w:val="0"/>
        <w:spacing w:line="360" w:lineRule="auto"/>
        <w:jc w:val="left"/>
        <w:textAlignment w:val="center"/>
        <w:rPr>
          <w:b/>
          <w:color w:val="000000"/>
          <w:sz w:val="28"/>
          <w:szCs w:val="28"/>
        </w:rPr>
      </w:pPr>
      <w:r>
        <w:rPr>
          <w:rFonts w:ascii="仿宋_GB2312" w:eastAsia="仿宋_GB2312"/>
          <w:szCs w:val="24"/>
        </w:rPr>
        <w:pict>
          <v:shape id="_x0000_i1025" o:spt="75" type="#_x0000_t75" style="height:214.75pt;width:436.9pt;" filled="f" o:preferrelative="t" stroked="f" coordsize="21600,21600">
            <v:path/>
            <v:fill on="f" focussize="0,0"/>
            <v:stroke on="f" joinstyle="miter"/>
            <v:imagedata r:id="rId7" o:title="工艺流程图-龙桥"/>
            <o:lock v:ext="edit" aspectratio="t"/>
            <w10:wrap type="none"/>
            <w10:anchorlock/>
          </v:shape>
        </w:pict>
      </w:r>
    </w:p>
    <w:p>
      <w:pPr>
        <w:pStyle w:val="120"/>
        <w:ind w:firstLine="480"/>
        <w:jc w:val="center"/>
        <w:rPr>
          <w:szCs w:val="24"/>
        </w:rPr>
      </w:pPr>
      <w:r>
        <w:rPr>
          <w:rFonts w:hint="eastAsia"/>
          <w:szCs w:val="24"/>
        </w:rPr>
        <w:t xml:space="preserve">图3-1  </w:t>
      </w:r>
      <w:r>
        <w:rPr>
          <w:rFonts w:hint="eastAsia" w:asciiTheme="minorEastAsia" w:hAnsiTheme="minorEastAsia" w:eastAsiaTheme="minorEastAsia"/>
          <w:szCs w:val="24"/>
        </w:rPr>
        <w:t>CAST</w:t>
      </w:r>
      <w:r>
        <w:rPr>
          <w:rFonts w:hint="eastAsia" w:cs="宋体" w:asciiTheme="minorEastAsia" w:hAnsiTheme="minorEastAsia" w:eastAsiaTheme="minorEastAsia"/>
          <w:kern w:val="2"/>
          <w:szCs w:val="24"/>
        </w:rPr>
        <w:t>污水处理工艺流程</w:t>
      </w:r>
    </w:p>
    <w:p>
      <w:pPr>
        <w:adjustRightInd w:val="0"/>
        <w:snapToGrid w:val="0"/>
        <w:spacing w:line="460" w:lineRule="exact"/>
        <w:outlineLvl w:val="1"/>
        <w:rPr>
          <w:sz w:val="28"/>
          <w:szCs w:val="28"/>
        </w:rPr>
      </w:pPr>
      <w:bookmarkStart w:id="136" w:name="_Toc27453"/>
      <w:r>
        <w:rPr>
          <w:rFonts w:hint="eastAsia"/>
          <w:b/>
          <w:color w:val="000000"/>
          <w:sz w:val="28"/>
          <w:szCs w:val="28"/>
        </w:rPr>
        <w:t>3</w:t>
      </w:r>
      <w:r>
        <w:rPr>
          <w:b/>
          <w:color w:val="000000"/>
          <w:sz w:val="28"/>
          <w:szCs w:val="28"/>
        </w:rPr>
        <w:t>.2</w:t>
      </w:r>
      <w:r>
        <w:rPr>
          <w:rFonts w:hint="eastAsia"/>
          <w:b/>
          <w:color w:val="000000"/>
          <w:sz w:val="28"/>
          <w:szCs w:val="28"/>
        </w:rPr>
        <w:t>企业</w:t>
      </w:r>
      <w:r>
        <w:rPr>
          <w:b/>
          <w:color w:val="000000"/>
          <w:sz w:val="28"/>
          <w:szCs w:val="28"/>
        </w:rPr>
        <w:t>三废产生及排放处置情况</w:t>
      </w:r>
      <w:bookmarkEnd w:id="136"/>
    </w:p>
    <w:p>
      <w:pPr>
        <w:spacing w:line="460" w:lineRule="exact"/>
        <w:ind w:firstLine="480" w:firstLineChars="200"/>
        <w:jc w:val="left"/>
        <w:rPr>
          <w:color w:val="FF0000"/>
          <w:sz w:val="24"/>
          <w:szCs w:val="24"/>
        </w:rPr>
      </w:pPr>
      <w:r>
        <w:rPr>
          <w:rFonts w:hint="eastAsia"/>
          <w:color w:val="000000"/>
          <w:sz w:val="24"/>
          <w:szCs w:val="24"/>
        </w:rPr>
        <w:t>龙桥污水处理厂</w:t>
      </w:r>
      <w:r>
        <w:rPr>
          <w:color w:val="000000"/>
          <w:sz w:val="24"/>
          <w:szCs w:val="24"/>
        </w:rPr>
        <w:t>原环评报告提出的污染防治措施和已采取的污染防治措施见表3.2-1。</w:t>
      </w:r>
    </w:p>
    <w:p>
      <w:pPr>
        <w:spacing w:line="460" w:lineRule="exact"/>
        <w:ind w:firstLine="482" w:firstLineChars="200"/>
        <w:jc w:val="center"/>
        <w:rPr>
          <w:b/>
          <w:color w:val="000000"/>
          <w:sz w:val="24"/>
          <w:szCs w:val="24"/>
        </w:rPr>
      </w:pPr>
      <w:r>
        <w:rPr>
          <w:b/>
          <w:color w:val="000000"/>
          <w:sz w:val="24"/>
          <w:szCs w:val="24"/>
        </w:rPr>
        <w:t xml:space="preserve">表3.2-1     </w:t>
      </w:r>
      <w:r>
        <w:rPr>
          <w:rFonts w:hint="eastAsia"/>
          <w:b/>
          <w:color w:val="000000"/>
          <w:sz w:val="24"/>
          <w:szCs w:val="24"/>
        </w:rPr>
        <w:t>企业</w:t>
      </w:r>
      <w:r>
        <w:rPr>
          <w:b/>
          <w:color w:val="000000"/>
          <w:sz w:val="24"/>
          <w:szCs w:val="24"/>
        </w:rPr>
        <w:t>环评污染防治措施及现有防治措施</w:t>
      </w:r>
    </w:p>
    <w:tbl>
      <w:tblPr>
        <w:tblStyle w:val="54"/>
        <w:tblW w:w="8272"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55"/>
        <w:gridCol w:w="1590"/>
        <w:gridCol w:w="3101"/>
        <w:gridCol w:w="292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655" w:type="dxa"/>
            <w:vAlign w:val="center"/>
          </w:tcPr>
          <w:p>
            <w:pPr>
              <w:snapToGrid w:val="0"/>
              <w:jc w:val="center"/>
              <w:rPr>
                <w:snapToGrid w:val="0"/>
                <w:color w:val="000000"/>
                <w:kern w:val="0"/>
                <w:szCs w:val="21"/>
              </w:rPr>
            </w:pPr>
            <w:r>
              <w:rPr>
                <w:snapToGrid w:val="0"/>
                <w:color w:val="000000"/>
                <w:kern w:val="0"/>
                <w:szCs w:val="21"/>
              </w:rPr>
              <w:t>序号</w:t>
            </w:r>
          </w:p>
        </w:tc>
        <w:tc>
          <w:tcPr>
            <w:tcW w:w="1590" w:type="dxa"/>
            <w:vAlign w:val="center"/>
          </w:tcPr>
          <w:p>
            <w:pPr>
              <w:snapToGrid w:val="0"/>
              <w:jc w:val="center"/>
              <w:rPr>
                <w:snapToGrid w:val="0"/>
                <w:color w:val="000000"/>
                <w:kern w:val="0"/>
                <w:szCs w:val="21"/>
              </w:rPr>
            </w:pPr>
            <w:r>
              <w:rPr>
                <w:snapToGrid w:val="0"/>
                <w:color w:val="000000"/>
                <w:kern w:val="0"/>
                <w:szCs w:val="21"/>
              </w:rPr>
              <w:t>污染源</w:t>
            </w:r>
          </w:p>
        </w:tc>
        <w:tc>
          <w:tcPr>
            <w:tcW w:w="3101" w:type="dxa"/>
            <w:vAlign w:val="center"/>
          </w:tcPr>
          <w:p>
            <w:pPr>
              <w:snapToGrid w:val="0"/>
              <w:jc w:val="center"/>
              <w:rPr>
                <w:snapToGrid w:val="0"/>
                <w:color w:val="000000"/>
                <w:kern w:val="0"/>
                <w:szCs w:val="21"/>
              </w:rPr>
            </w:pPr>
            <w:r>
              <w:rPr>
                <w:snapToGrid w:val="0"/>
                <w:color w:val="000000"/>
                <w:kern w:val="0"/>
                <w:szCs w:val="21"/>
              </w:rPr>
              <w:t>环评报告中污染防治措施</w:t>
            </w:r>
          </w:p>
        </w:tc>
        <w:tc>
          <w:tcPr>
            <w:tcW w:w="2926" w:type="dxa"/>
            <w:vAlign w:val="center"/>
          </w:tcPr>
          <w:p>
            <w:pPr>
              <w:snapToGrid w:val="0"/>
              <w:jc w:val="center"/>
              <w:rPr>
                <w:snapToGrid w:val="0"/>
                <w:color w:val="000000"/>
                <w:kern w:val="0"/>
                <w:szCs w:val="21"/>
              </w:rPr>
            </w:pPr>
            <w:r>
              <w:rPr>
                <w:rFonts w:hint="eastAsia"/>
                <w:snapToGrid w:val="0"/>
                <w:color w:val="000000"/>
                <w:kern w:val="0"/>
                <w:szCs w:val="21"/>
              </w:rPr>
              <w:t>现污水处理</w:t>
            </w:r>
            <w:r>
              <w:rPr>
                <w:snapToGrid w:val="0"/>
                <w:color w:val="000000"/>
                <w:kern w:val="0"/>
                <w:szCs w:val="21"/>
              </w:rPr>
              <w:t>厂区已采取措施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655" w:type="dxa"/>
            <w:vAlign w:val="center"/>
          </w:tcPr>
          <w:p>
            <w:pPr>
              <w:snapToGrid w:val="0"/>
              <w:jc w:val="center"/>
              <w:rPr>
                <w:snapToGrid w:val="0"/>
                <w:color w:val="000000"/>
                <w:kern w:val="0"/>
                <w:szCs w:val="21"/>
              </w:rPr>
            </w:pPr>
            <w:r>
              <w:rPr>
                <w:snapToGrid w:val="0"/>
                <w:color w:val="000000"/>
                <w:kern w:val="0"/>
                <w:szCs w:val="21"/>
              </w:rPr>
              <w:t>一</w:t>
            </w:r>
          </w:p>
        </w:tc>
        <w:tc>
          <w:tcPr>
            <w:tcW w:w="7617" w:type="dxa"/>
            <w:gridSpan w:val="3"/>
            <w:vAlign w:val="center"/>
          </w:tcPr>
          <w:p>
            <w:pPr>
              <w:snapToGrid w:val="0"/>
              <w:jc w:val="center"/>
              <w:rPr>
                <w:snapToGrid w:val="0"/>
                <w:color w:val="000000"/>
                <w:kern w:val="0"/>
                <w:szCs w:val="21"/>
              </w:rPr>
            </w:pPr>
            <w:r>
              <w:rPr>
                <w:snapToGrid w:val="0"/>
                <w:color w:val="000000"/>
                <w:kern w:val="0"/>
                <w:szCs w:val="21"/>
              </w:rPr>
              <w:t>大气污染防治措施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655" w:type="dxa"/>
            <w:vAlign w:val="center"/>
          </w:tcPr>
          <w:p>
            <w:pPr>
              <w:snapToGrid w:val="0"/>
              <w:jc w:val="center"/>
              <w:rPr>
                <w:snapToGrid w:val="0"/>
                <w:color w:val="000000"/>
                <w:kern w:val="0"/>
                <w:szCs w:val="21"/>
              </w:rPr>
            </w:pPr>
            <w:r>
              <w:rPr>
                <w:snapToGrid w:val="0"/>
                <w:color w:val="000000"/>
                <w:kern w:val="0"/>
                <w:szCs w:val="21"/>
              </w:rPr>
              <w:t>1</w:t>
            </w:r>
          </w:p>
        </w:tc>
        <w:tc>
          <w:tcPr>
            <w:tcW w:w="1590" w:type="dxa"/>
            <w:vAlign w:val="center"/>
          </w:tcPr>
          <w:p>
            <w:pPr>
              <w:snapToGrid w:val="0"/>
              <w:jc w:val="left"/>
              <w:rPr>
                <w:snapToGrid w:val="0"/>
                <w:color w:val="000000"/>
                <w:kern w:val="0"/>
                <w:szCs w:val="21"/>
              </w:rPr>
            </w:pPr>
            <w:r>
              <w:rPr>
                <w:snapToGrid w:val="0"/>
                <w:color w:val="000000"/>
                <w:kern w:val="0"/>
                <w:szCs w:val="21"/>
              </w:rPr>
              <w:t>格栅井、氧化沟、污泥干化池</w:t>
            </w:r>
          </w:p>
        </w:tc>
        <w:tc>
          <w:tcPr>
            <w:tcW w:w="3101" w:type="dxa"/>
            <w:vAlign w:val="center"/>
          </w:tcPr>
          <w:p>
            <w:pPr>
              <w:snapToGrid w:val="0"/>
              <w:jc w:val="left"/>
              <w:rPr>
                <w:color w:val="000000"/>
                <w:szCs w:val="21"/>
              </w:rPr>
            </w:pPr>
            <w:r>
              <w:rPr>
                <w:snapToGrid w:val="0"/>
                <w:color w:val="000000"/>
                <w:kern w:val="0"/>
                <w:szCs w:val="21"/>
              </w:rPr>
              <w:t>格栅井、</w:t>
            </w:r>
            <w:r>
              <w:rPr>
                <w:rFonts w:hint="eastAsia"/>
                <w:snapToGrid w:val="0"/>
                <w:color w:val="000000"/>
                <w:kern w:val="0"/>
                <w:szCs w:val="21"/>
              </w:rPr>
              <w:t>生化池</w:t>
            </w:r>
            <w:r>
              <w:rPr>
                <w:snapToGrid w:val="0"/>
                <w:color w:val="000000"/>
                <w:kern w:val="0"/>
                <w:szCs w:val="21"/>
              </w:rPr>
              <w:t>、污泥干化池产生的硫化氢和氨气，无组织排放，在其周围设置绿化带，并设置100m的卫生防护距离</w:t>
            </w:r>
          </w:p>
        </w:tc>
        <w:tc>
          <w:tcPr>
            <w:tcW w:w="2926" w:type="dxa"/>
            <w:vAlign w:val="center"/>
          </w:tcPr>
          <w:p>
            <w:pPr>
              <w:snapToGrid w:val="0"/>
              <w:jc w:val="left"/>
              <w:rPr>
                <w:snapToGrid w:val="0"/>
                <w:color w:val="000000"/>
                <w:kern w:val="0"/>
                <w:szCs w:val="21"/>
              </w:rPr>
            </w:pPr>
            <w:r>
              <w:rPr>
                <w:snapToGrid w:val="0"/>
                <w:color w:val="000000"/>
                <w:kern w:val="0"/>
                <w:szCs w:val="21"/>
              </w:rPr>
              <w:t>格栅井、</w:t>
            </w:r>
            <w:r>
              <w:rPr>
                <w:rFonts w:hint="eastAsia"/>
                <w:snapToGrid w:val="0"/>
                <w:color w:val="000000"/>
                <w:kern w:val="0"/>
                <w:szCs w:val="21"/>
              </w:rPr>
              <w:t>生化池</w:t>
            </w:r>
            <w:r>
              <w:rPr>
                <w:snapToGrid w:val="0"/>
                <w:color w:val="000000"/>
                <w:kern w:val="0"/>
                <w:szCs w:val="21"/>
              </w:rPr>
              <w:t>、污泥干化池周围设置了绿化带，厂区设置100m的卫生防护距离</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655" w:type="dxa"/>
            <w:vAlign w:val="center"/>
          </w:tcPr>
          <w:p>
            <w:pPr>
              <w:snapToGrid w:val="0"/>
              <w:jc w:val="center"/>
              <w:rPr>
                <w:snapToGrid w:val="0"/>
                <w:color w:val="000000"/>
                <w:kern w:val="0"/>
                <w:szCs w:val="21"/>
              </w:rPr>
            </w:pPr>
            <w:r>
              <w:rPr>
                <w:snapToGrid w:val="0"/>
                <w:color w:val="000000"/>
                <w:kern w:val="0"/>
                <w:szCs w:val="21"/>
              </w:rPr>
              <w:t>二</w:t>
            </w:r>
          </w:p>
        </w:tc>
        <w:tc>
          <w:tcPr>
            <w:tcW w:w="7617" w:type="dxa"/>
            <w:gridSpan w:val="3"/>
            <w:tcBorders>
              <w:bottom w:val="single" w:color="auto" w:sz="4" w:space="0"/>
            </w:tcBorders>
            <w:vAlign w:val="center"/>
          </w:tcPr>
          <w:p>
            <w:pPr>
              <w:snapToGrid w:val="0"/>
              <w:jc w:val="center"/>
              <w:rPr>
                <w:snapToGrid w:val="0"/>
                <w:color w:val="000000"/>
                <w:kern w:val="0"/>
                <w:szCs w:val="21"/>
              </w:rPr>
            </w:pPr>
            <w:r>
              <w:rPr>
                <w:snapToGrid w:val="0"/>
                <w:color w:val="000000"/>
                <w:kern w:val="0"/>
                <w:szCs w:val="21"/>
              </w:rPr>
              <w:t>废水污染防治措施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151" w:hRule="atLeast"/>
          <w:jc w:val="center"/>
        </w:trPr>
        <w:tc>
          <w:tcPr>
            <w:tcW w:w="655" w:type="dxa"/>
            <w:vAlign w:val="center"/>
          </w:tcPr>
          <w:p>
            <w:pPr>
              <w:snapToGrid w:val="0"/>
              <w:jc w:val="center"/>
              <w:rPr>
                <w:snapToGrid w:val="0"/>
                <w:color w:val="000000"/>
                <w:kern w:val="0"/>
                <w:szCs w:val="21"/>
              </w:rPr>
            </w:pPr>
            <w:r>
              <w:rPr>
                <w:snapToGrid w:val="0"/>
                <w:color w:val="000000"/>
                <w:kern w:val="0"/>
                <w:szCs w:val="21"/>
              </w:rPr>
              <w:t>1</w:t>
            </w:r>
          </w:p>
        </w:tc>
        <w:tc>
          <w:tcPr>
            <w:tcW w:w="1590" w:type="dxa"/>
            <w:vAlign w:val="center"/>
          </w:tcPr>
          <w:p>
            <w:pPr>
              <w:snapToGrid w:val="0"/>
              <w:jc w:val="left"/>
              <w:rPr>
                <w:color w:val="000000"/>
                <w:szCs w:val="21"/>
              </w:rPr>
            </w:pPr>
            <w:r>
              <w:rPr>
                <w:color w:val="000000"/>
                <w:szCs w:val="21"/>
              </w:rPr>
              <w:t>厂区雨水和生活污水</w:t>
            </w:r>
          </w:p>
        </w:tc>
        <w:tc>
          <w:tcPr>
            <w:tcW w:w="3101" w:type="dxa"/>
            <w:vAlign w:val="center"/>
          </w:tcPr>
          <w:p>
            <w:pPr>
              <w:snapToGrid w:val="0"/>
              <w:jc w:val="left"/>
              <w:rPr>
                <w:color w:val="000000"/>
                <w:szCs w:val="21"/>
              </w:rPr>
            </w:pPr>
            <w:r>
              <w:rPr>
                <w:color w:val="000000"/>
                <w:szCs w:val="21"/>
              </w:rPr>
              <w:t>厂区初期雨水和生活污水通过厂区排水管网送至提升井，经提升井送至厂区污水处理系统处理达标后排放</w:t>
            </w:r>
          </w:p>
        </w:tc>
        <w:tc>
          <w:tcPr>
            <w:tcW w:w="2926" w:type="dxa"/>
            <w:shd w:val="clear" w:color="auto" w:fill="auto"/>
            <w:vAlign w:val="center"/>
          </w:tcPr>
          <w:p>
            <w:pPr>
              <w:snapToGrid w:val="0"/>
              <w:jc w:val="left"/>
              <w:rPr>
                <w:color w:val="000000"/>
                <w:szCs w:val="21"/>
              </w:rPr>
            </w:pPr>
            <w:r>
              <w:rPr>
                <w:color w:val="000000"/>
                <w:szCs w:val="21"/>
              </w:rPr>
              <w:t>企业为污水处理厂，厂区雨水和污水均经厂区排水管网送至提升井，经提升井送至厂区污水处理系统处理达标后排放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PrEx>
        <w:trPr>
          <w:trHeight w:val="1151" w:hRule="atLeast"/>
          <w:jc w:val="center"/>
        </w:trPr>
        <w:tc>
          <w:tcPr>
            <w:tcW w:w="655" w:type="dxa"/>
            <w:vAlign w:val="center"/>
          </w:tcPr>
          <w:p>
            <w:pPr>
              <w:snapToGrid w:val="0"/>
              <w:jc w:val="center"/>
              <w:rPr>
                <w:snapToGrid w:val="0"/>
                <w:color w:val="000000"/>
                <w:kern w:val="0"/>
                <w:szCs w:val="21"/>
              </w:rPr>
            </w:pPr>
            <w:r>
              <w:rPr>
                <w:snapToGrid w:val="0"/>
                <w:color w:val="000000"/>
                <w:kern w:val="0"/>
                <w:szCs w:val="21"/>
              </w:rPr>
              <w:t>2</w:t>
            </w:r>
          </w:p>
        </w:tc>
        <w:tc>
          <w:tcPr>
            <w:tcW w:w="1590" w:type="dxa"/>
            <w:vAlign w:val="center"/>
          </w:tcPr>
          <w:p>
            <w:pPr>
              <w:snapToGrid w:val="0"/>
              <w:jc w:val="center"/>
              <w:rPr>
                <w:color w:val="000000"/>
                <w:szCs w:val="21"/>
              </w:rPr>
            </w:pPr>
            <w:r>
              <w:rPr>
                <w:color w:val="000000"/>
                <w:szCs w:val="21"/>
              </w:rPr>
              <w:t>处理工艺</w:t>
            </w:r>
          </w:p>
        </w:tc>
        <w:tc>
          <w:tcPr>
            <w:tcW w:w="3101" w:type="dxa"/>
            <w:vAlign w:val="center"/>
          </w:tcPr>
          <w:p>
            <w:pPr>
              <w:snapToGrid w:val="0"/>
              <w:jc w:val="left"/>
              <w:rPr>
                <w:color w:val="000000"/>
                <w:szCs w:val="21"/>
              </w:rPr>
            </w:pPr>
            <w:r>
              <w:rPr>
                <w:color w:val="000000"/>
                <w:szCs w:val="21"/>
              </w:rPr>
              <w:t>企业污水处理系统设置</w:t>
            </w:r>
            <w:r>
              <w:rPr>
                <w:rFonts w:hint="eastAsia"/>
                <w:color w:val="000000"/>
                <w:szCs w:val="21"/>
              </w:rPr>
              <w:t>一用一备</w:t>
            </w:r>
            <w:r>
              <w:rPr>
                <w:color w:val="000000"/>
                <w:szCs w:val="21"/>
              </w:rPr>
              <w:t>运营处理工艺，厂区采用双回路电源供电，防止厂区污水处理设施故障导致污水直接或未处理达标后排放</w:t>
            </w:r>
          </w:p>
        </w:tc>
        <w:tc>
          <w:tcPr>
            <w:tcW w:w="2926" w:type="dxa"/>
            <w:shd w:val="clear" w:color="auto" w:fill="auto"/>
            <w:vAlign w:val="center"/>
          </w:tcPr>
          <w:p>
            <w:pPr>
              <w:snapToGrid w:val="0"/>
              <w:jc w:val="left"/>
              <w:rPr>
                <w:color w:val="000000"/>
                <w:szCs w:val="21"/>
              </w:rPr>
            </w:pPr>
            <w:r>
              <w:rPr>
                <w:color w:val="000000"/>
                <w:szCs w:val="21"/>
              </w:rPr>
              <w:t>企业污水处理系统为2套并联运行系统，电源采用了</w:t>
            </w:r>
            <w:r>
              <w:rPr>
                <w:rFonts w:hint="eastAsia"/>
                <w:color w:val="000000"/>
                <w:szCs w:val="21"/>
              </w:rPr>
              <w:t>单</w:t>
            </w:r>
            <w:r>
              <w:rPr>
                <w:color w:val="000000"/>
                <w:szCs w:val="21"/>
              </w:rPr>
              <w:t>回路电源，</w:t>
            </w:r>
            <w:r>
              <w:rPr>
                <w:rFonts w:hint="eastAsia"/>
                <w:color w:val="000000"/>
                <w:szCs w:val="21"/>
              </w:rPr>
              <w:t>但在配电房配置了柴油发电机作为备用电源，</w:t>
            </w:r>
            <w:r>
              <w:rPr>
                <w:color w:val="000000"/>
                <w:szCs w:val="21"/>
              </w:rPr>
              <w:t>最大可能的避免厂区污水处理设施故障。</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655" w:type="dxa"/>
            <w:vAlign w:val="center"/>
          </w:tcPr>
          <w:p>
            <w:pPr>
              <w:snapToGrid w:val="0"/>
              <w:jc w:val="center"/>
              <w:rPr>
                <w:snapToGrid w:val="0"/>
                <w:color w:val="000000"/>
                <w:kern w:val="0"/>
                <w:szCs w:val="21"/>
              </w:rPr>
            </w:pPr>
            <w:r>
              <w:rPr>
                <w:snapToGrid w:val="0"/>
                <w:color w:val="000000"/>
                <w:kern w:val="0"/>
                <w:szCs w:val="21"/>
              </w:rPr>
              <w:t>三</w:t>
            </w:r>
          </w:p>
        </w:tc>
        <w:tc>
          <w:tcPr>
            <w:tcW w:w="7617" w:type="dxa"/>
            <w:gridSpan w:val="3"/>
            <w:vAlign w:val="center"/>
          </w:tcPr>
          <w:p>
            <w:pPr>
              <w:snapToGrid w:val="0"/>
              <w:jc w:val="center"/>
              <w:rPr>
                <w:snapToGrid w:val="0"/>
                <w:color w:val="000000"/>
                <w:kern w:val="0"/>
                <w:szCs w:val="21"/>
              </w:rPr>
            </w:pPr>
            <w:r>
              <w:rPr>
                <w:snapToGrid w:val="0"/>
                <w:color w:val="000000"/>
                <w:kern w:val="0"/>
                <w:szCs w:val="21"/>
              </w:rPr>
              <w:t>固体废物处置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655" w:type="dxa"/>
            <w:vAlign w:val="center"/>
          </w:tcPr>
          <w:p>
            <w:pPr>
              <w:snapToGrid w:val="0"/>
              <w:jc w:val="center"/>
              <w:rPr>
                <w:snapToGrid w:val="0"/>
                <w:color w:val="000000"/>
                <w:kern w:val="0"/>
                <w:szCs w:val="21"/>
              </w:rPr>
            </w:pPr>
            <w:r>
              <w:rPr>
                <w:snapToGrid w:val="0"/>
                <w:color w:val="000000"/>
                <w:kern w:val="0"/>
                <w:szCs w:val="21"/>
              </w:rPr>
              <w:t>1</w:t>
            </w:r>
          </w:p>
        </w:tc>
        <w:tc>
          <w:tcPr>
            <w:tcW w:w="1590" w:type="dxa"/>
            <w:vAlign w:val="center"/>
          </w:tcPr>
          <w:p>
            <w:pPr>
              <w:spacing w:line="360" w:lineRule="exact"/>
              <w:jc w:val="center"/>
              <w:rPr>
                <w:color w:val="000000"/>
                <w:szCs w:val="21"/>
              </w:rPr>
            </w:pPr>
            <w:r>
              <w:rPr>
                <w:color w:val="000000"/>
                <w:szCs w:val="21"/>
              </w:rPr>
              <w:t>废含油棉纱、手套、废机油</w:t>
            </w:r>
          </w:p>
        </w:tc>
        <w:tc>
          <w:tcPr>
            <w:tcW w:w="3101" w:type="dxa"/>
            <w:vAlign w:val="center"/>
          </w:tcPr>
          <w:p>
            <w:pPr>
              <w:spacing w:line="360" w:lineRule="exact"/>
              <w:jc w:val="left"/>
              <w:rPr>
                <w:color w:val="000000"/>
                <w:szCs w:val="21"/>
              </w:rPr>
            </w:pPr>
            <w:r>
              <w:rPr>
                <w:color w:val="000000"/>
                <w:szCs w:val="21"/>
              </w:rPr>
              <w:t>废含油棉纱、手套、废机油属于危险废物，分别在现有危废间单独设置危废收集桶进行收集，</w:t>
            </w:r>
            <w:r>
              <w:rPr>
                <w:color w:val="000000"/>
                <w:szCs w:val="21"/>
                <w:lang w:val="zh-CN"/>
              </w:rPr>
              <w:t>容器加上标签，</w:t>
            </w:r>
            <w:r>
              <w:rPr>
                <w:color w:val="000000"/>
                <w:szCs w:val="21"/>
              </w:rPr>
              <w:t>然后委托有相关资质的单位进行收集处理。</w:t>
            </w:r>
          </w:p>
        </w:tc>
        <w:tc>
          <w:tcPr>
            <w:tcW w:w="2926" w:type="dxa"/>
            <w:vAlign w:val="center"/>
          </w:tcPr>
          <w:p>
            <w:pPr>
              <w:spacing w:line="360" w:lineRule="exact"/>
              <w:jc w:val="left"/>
              <w:rPr>
                <w:color w:val="000000"/>
                <w:szCs w:val="21"/>
              </w:rPr>
            </w:pPr>
            <w:r>
              <w:rPr>
                <w:color w:val="000000"/>
                <w:szCs w:val="21"/>
              </w:rPr>
              <w:t>设置了危废暂存间，建筑面积约为10m</w:t>
            </w:r>
            <w:r>
              <w:rPr>
                <w:color w:val="000000"/>
                <w:szCs w:val="21"/>
                <w:vertAlign w:val="superscript"/>
              </w:rPr>
              <w:t>2</w:t>
            </w:r>
            <w:r>
              <w:rPr>
                <w:color w:val="000000"/>
                <w:szCs w:val="21"/>
              </w:rPr>
              <w:t>，暂存间进行“三防”处理，地面防渗，设置消防柜、照明、通风等设施。危险废物必须分类储存，定期转运送往具有危险废物处理资质的单位处理，转运采用“五联单”制度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655" w:type="dxa"/>
            <w:vAlign w:val="center"/>
          </w:tcPr>
          <w:p>
            <w:pPr>
              <w:snapToGrid w:val="0"/>
              <w:jc w:val="center"/>
              <w:rPr>
                <w:snapToGrid w:val="0"/>
                <w:color w:val="000000"/>
                <w:kern w:val="0"/>
                <w:szCs w:val="21"/>
              </w:rPr>
            </w:pPr>
            <w:r>
              <w:rPr>
                <w:snapToGrid w:val="0"/>
                <w:color w:val="000000"/>
                <w:kern w:val="0"/>
                <w:szCs w:val="21"/>
              </w:rPr>
              <w:t>2</w:t>
            </w:r>
          </w:p>
        </w:tc>
        <w:tc>
          <w:tcPr>
            <w:tcW w:w="1590" w:type="dxa"/>
            <w:vAlign w:val="center"/>
          </w:tcPr>
          <w:p>
            <w:pPr>
              <w:spacing w:line="360" w:lineRule="exact"/>
              <w:jc w:val="center"/>
              <w:rPr>
                <w:color w:val="000000"/>
                <w:szCs w:val="21"/>
              </w:rPr>
            </w:pPr>
            <w:r>
              <w:rPr>
                <w:color w:val="000000"/>
                <w:szCs w:val="21"/>
              </w:rPr>
              <w:t>生活垃圾</w:t>
            </w:r>
          </w:p>
        </w:tc>
        <w:tc>
          <w:tcPr>
            <w:tcW w:w="3101" w:type="dxa"/>
            <w:vAlign w:val="center"/>
          </w:tcPr>
          <w:p>
            <w:pPr>
              <w:adjustRightInd w:val="0"/>
              <w:snapToGrid w:val="0"/>
              <w:spacing w:line="360" w:lineRule="exact"/>
              <w:jc w:val="left"/>
              <w:rPr>
                <w:bCs/>
                <w:snapToGrid w:val="0"/>
                <w:color w:val="000000"/>
                <w:kern w:val="0"/>
                <w:szCs w:val="21"/>
              </w:rPr>
            </w:pPr>
            <w:r>
              <w:rPr>
                <w:color w:val="000000"/>
                <w:szCs w:val="21"/>
              </w:rPr>
              <w:t>交由区市政环卫部门统一收集处理，禁止随意堆放</w:t>
            </w:r>
          </w:p>
        </w:tc>
        <w:tc>
          <w:tcPr>
            <w:tcW w:w="2926" w:type="dxa"/>
            <w:vAlign w:val="center"/>
          </w:tcPr>
          <w:p>
            <w:pPr>
              <w:adjustRightInd w:val="0"/>
              <w:snapToGrid w:val="0"/>
              <w:spacing w:line="360" w:lineRule="exact"/>
              <w:jc w:val="left"/>
              <w:rPr>
                <w:bCs/>
                <w:snapToGrid w:val="0"/>
                <w:color w:val="000000"/>
                <w:kern w:val="0"/>
                <w:szCs w:val="21"/>
              </w:rPr>
            </w:pPr>
            <w:r>
              <w:rPr>
                <w:color w:val="000000"/>
                <w:szCs w:val="21"/>
              </w:rPr>
              <w:t>交由区市政环卫部门统一收集处理，禁止随意堆放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655" w:type="dxa"/>
            <w:vAlign w:val="center"/>
          </w:tcPr>
          <w:p>
            <w:pPr>
              <w:snapToGrid w:val="0"/>
              <w:jc w:val="center"/>
              <w:rPr>
                <w:snapToGrid w:val="0"/>
                <w:color w:val="000000"/>
                <w:kern w:val="0"/>
                <w:szCs w:val="21"/>
              </w:rPr>
            </w:pPr>
            <w:r>
              <w:rPr>
                <w:snapToGrid w:val="0"/>
                <w:color w:val="000000"/>
                <w:kern w:val="0"/>
                <w:szCs w:val="21"/>
              </w:rPr>
              <w:t>3</w:t>
            </w:r>
          </w:p>
        </w:tc>
        <w:tc>
          <w:tcPr>
            <w:tcW w:w="1590" w:type="dxa"/>
            <w:vAlign w:val="center"/>
          </w:tcPr>
          <w:p>
            <w:pPr>
              <w:spacing w:line="360" w:lineRule="exact"/>
              <w:jc w:val="center"/>
              <w:rPr>
                <w:color w:val="000000"/>
                <w:szCs w:val="21"/>
              </w:rPr>
            </w:pPr>
            <w:r>
              <w:rPr>
                <w:color w:val="000000"/>
                <w:szCs w:val="21"/>
              </w:rPr>
              <w:t>污泥</w:t>
            </w:r>
          </w:p>
        </w:tc>
        <w:tc>
          <w:tcPr>
            <w:tcW w:w="3101" w:type="dxa"/>
            <w:vAlign w:val="center"/>
          </w:tcPr>
          <w:p>
            <w:pPr>
              <w:adjustRightInd w:val="0"/>
              <w:snapToGrid w:val="0"/>
              <w:spacing w:line="360" w:lineRule="exact"/>
              <w:jc w:val="left"/>
              <w:rPr>
                <w:color w:val="000000"/>
                <w:szCs w:val="21"/>
              </w:rPr>
            </w:pPr>
            <w:r>
              <w:rPr>
                <w:color w:val="000000"/>
                <w:szCs w:val="21"/>
              </w:rPr>
              <w:t>污泥进行干化处理后送相关企业进行堆肥和作为绿化肥料</w:t>
            </w:r>
          </w:p>
        </w:tc>
        <w:tc>
          <w:tcPr>
            <w:tcW w:w="2926" w:type="dxa"/>
            <w:vAlign w:val="center"/>
          </w:tcPr>
          <w:p>
            <w:pPr>
              <w:adjustRightInd w:val="0"/>
              <w:snapToGrid w:val="0"/>
              <w:spacing w:line="360" w:lineRule="exact"/>
              <w:jc w:val="left"/>
              <w:rPr>
                <w:color w:val="000000"/>
                <w:szCs w:val="21"/>
              </w:rPr>
            </w:pPr>
            <w:r>
              <w:rPr>
                <w:color w:val="000000"/>
                <w:szCs w:val="21"/>
              </w:rPr>
              <w:t>厂区设置了污泥浓缩水池和污泥干化设备，污泥经干化后由需要企业自行运输用于堆肥和绿化肥料</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655" w:type="dxa"/>
            <w:vAlign w:val="center"/>
          </w:tcPr>
          <w:p>
            <w:pPr>
              <w:snapToGrid w:val="0"/>
              <w:jc w:val="center"/>
              <w:rPr>
                <w:snapToGrid w:val="0"/>
                <w:color w:val="000000"/>
                <w:kern w:val="0"/>
                <w:szCs w:val="21"/>
              </w:rPr>
            </w:pPr>
            <w:r>
              <w:rPr>
                <w:snapToGrid w:val="0"/>
                <w:color w:val="000000"/>
                <w:kern w:val="0"/>
                <w:szCs w:val="21"/>
              </w:rPr>
              <w:t>四</w:t>
            </w:r>
          </w:p>
        </w:tc>
        <w:tc>
          <w:tcPr>
            <w:tcW w:w="7617" w:type="dxa"/>
            <w:gridSpan w:val="3"/>
            <w:vAlign w:val="center"/>
          </w:tcPr>
          <w:p>
            <w:pPr>
              <w:snapToGrid w:val="0"/>
              <w:jc w:val="center"/>
              <w:rPr>
                <w:snapToGrid w:val="0"/>
                <w:color w:val="000000"/>
                <w:kern w:val="0"/>
                <w:szCs w:val="21"/>
              </w:rPr>
            </w:pPr>
            <w:r>
              <w:rPr>
                <w:snapToGrid w:val="0"/>
                <w:color w:val="000000"/>
                <w:kern w:val="0"/>
                <w:szCs w:val="21"/>
              </w:rPr>
              <w:t>噪声控制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655" w:type="dxa"/>
            <w:vAlign w:val="center"/>
          </w:tcPr>
          <w:p>
            <w:pPr>
              <w:snapToGrid w:val="0"/>
              <w:jc w:val="center"/>
              <w:rPr>
                <w:snapToGrid w:val="0"/>
                <w:color w:val="000000"/>
                <w:kern w:val="0"/>
                <w:szCs w:val="21"/>
              </w:rPr>
            </w:pPr>
            <w:r>
              <w:rPr>
                <w:snapToGrid w:val="0"/>
                <w:color w:val="000000"/>
                <w:kern w:val="0"/>
                <w:szCs w:val="21"/>
              </w:rPr>
              <w:t>1</w:t>
            </w:r>
          </w:p>
        </w:tc>
        <w:tc>
          <w:tcPr>
            <w:tcW w:w="1590" w:type="dxa"/>
            <w:vAlign w:val="center"/>
          </w:tcPr>
          <w:p>
            <w:pPr>
              <w:snapToGrid w:val="0"/>
              <w:jc w:val="center"/>
              <w:rPr>
                <w:snapToGrid w:val="0"/>
                <w:color w:val="000000"/>
                <w:kern w:val="0"/>
                <w:szCs w:val="21"/>
              </w:rPr>
            </w:pPr>
            <w:r>
              <w:rPr>
                <w:snapToGrid w:val="0"/>
                <w:color w:val="000000"/>
                <w:kern w:val="0"/>
                <w:szCs w:val="21"/>
              </w:rPr>
              <w:t>设备噪声</w:t>
            </w:r>
          </w:p>
        </w:tc>
        <w:tc>
          <w:tcPr>
            <w:tcW w:w="3101" w:type="dxa"/>
            <w:vAlign w:val="center"/>
          </w:tcPr>
          <w:p>
            <w:pPr>
              <w:snapToGrid w:val="0"/>
              <w:jc w:val="left"/>
              <w:rPr>
                <w:color w:val="000000"/>
                <w:szCs w:val="21"/>
              </w:rPr>
            </w:pPr>
            <w:r>
              <w:rPr>
                <w:color w:val="000000"/>
                <w:szCs w:val="21"/>
              </w:rPr>
              <w:t>使用低</w:t>
            </w:r>
            <w:r>
              <w:rPr>
                <w:szCs w:val="21"/>
              </w:rPr>
              <w:t>噪声、高功率的泵</w:t>
            </w:r>
            <w:r>
              <w:rPr>
                <w:color w:val="000000"/>
                <w:szCs w:val="21"/>
              </w:rPr>
              <w:t>，定期对设备进行维护、保养，确保设备运行正常，</w:t>
            </w:r>
            <w:r>
              <w:rPr>
                <w:szCs w:val="21"/>
              </w:rPr>
              <w:t>设置减震垫，厂区设置绿化带等</w:t>
            </w:r>
          </w:p>
        </w:tc>
        <w:tc>
          <w:tcPr>
            <w:tcW w:w="2926" w:type="dxa"/>
            <w:vAlign w:val="center"/>
          </w:tcPr>
          <w:p>
            <w:pPr>
              <w:snapToGrid w:val="0"/>
              <w:jc w:val="left"/>
              <w:rPr>
                <w:snapToGrid w:val="0"/>
                <w:color w:val="000000"/>
                <w:kern w:val="0"/>
                <w:szCs w:val="21"/>
              </w:rPr>
            </w:pPr>
            <w:r>
              <w:rPr>
                <w:color w:val="000000"/>
                <w:szCs w:val="21"/>
              </w:rPr>
              <w:t>企业使用了低</w:t>
            </w:r>
            <w:r>
              <w:rPr>
                <w:szCs w:val="21"/>
              </w:rPr>
              <w:t>噪声、高功率的泵</w:t>
            </w:r>
            <w:r>
              <w:rPr>
                <w:color w:val="000000"/>
                <w:szCs w:val="21"/>
              </w:rPr>
              <w:t>，并将泵置于地下或者专门泵房内，定期对设备进行了维护、保养，确保设备运行正常，</w:t>
            </w:r>
            <w:r>
              <w:rPr>
                <w:szCs w:val="21"/>
              </w:rPr>
              <w:t>设置减震垫，厂区设置了绿化带。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655" w:type="dxa"/>
            <w:vAlign w:val="center"/>
          </w:tcPr>
          <w:p>
            <w:pPr>
              <w:snapToGrid w:val="0"/>
              <w:jc w:val="center"/>
              <w:rPr>
                <w:snapToGrid w:val="0"/>
                <w:color w:val="000000"/>
                <w:kern w:val="0"/>
                <w:szCs w:val="21"/>
              </w:rPr>
            </w:pPr>
            <w:r>
              <w:rPr>
                <w:snapToGrid w:val="0"/>
                <w:color w:val="000000"/>
                <w:kern w:val="0"/>
                <w:szCs w:val="21"/>
              </w:rPr>
              <w:t>五</w:t>
            </w:r>
          </w:p>
        </w:tc>
        <w:tc>
          <w:tcPr>
            <w:tcW w:w="7617" w:type="dxa"/>
            <w:gridSpan w:val="3"/>
            <w:vAlign w:val="center"/>
          </w:tcPr>
          <w:p>
            <w:pPr>
              <w:snapToGrid w:val="0"/>
              <w:jc w:val="center"/>
              <w:rPr>
                <w:color w:val="000000"/>
                <w:szCs w:val="21"/>
              </w:rPr>
            </w:pPr>
            <w:r>
              <w:rPr>
                <w:color w:val="000000"/>
                <w:szCs w:val="21"/>
              </w:rPr>
              <w:t>风险防范措施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655" w:type="dxa"/>
            <w:vAlign w:val="center"/>
          </w:tcPr>
          <w:p>
            <w:pPr>
              <w:snapToGrid w:val="0"/>
              <w:jc w:val="center"/>
              <w:rPr>
                <w:snapToGrid w:val="0"/>
                <w:color w:val="000000"/>
                <w:kern w:val="0"/>
                <w:szCs w:val="21"/>
              </w:rPr>
            </w:pPr>
            <w:r>
              <w:rPr>
                <w:snapToGrid w:val="0"/>
                <w:color w:val="000000"/>
                <w:kern w:val="0"/>
                <w:szCs w:val="21"/>
              </w:rPr>
              <w:t>1</w:t>
            </w:r>
          </w:p>
        </w:tc>
        <w:tc>
          <w:tcPr>
            <w:tcW w:w="1590" w:type="dxa"/>
            <w:vAlign w:val="center"/>
          </w:tcPr>
          <w:p>
            <w:pPr>
              <w:snapToGrid w:val="0"/>
              <w:jc w:val="center"/>
              <w:rPr>
                <w:snapToGrid w:val="0"/>
                <w:color w:val="000000"/>
                <w:kern w:val="0"/>
                <w:szCs w:val="21"/>
              </w:rPr>
            </w:pPr>
            <w:r>
              <w:rPr>
                <w:snapToGrid w:val="0"/>
                <w:color w:val="000000"/>
                <w:kern w:val="0"/>
                <w:szCs w:val="21"/>
              </w:rPr>
              <w:t>盐酸储罐</w:t>
            </w:r>
          </w:p>
        </w:tc>
        <w:tc>
          <w:tcPr>
            <w:tcW w:w="3101" w:type="dxa"/>
            <w:vAlign w:val="center"/>
          </w:tcPr>
          <w:p>
            <w:pPr>
              <w:snapToGrid w:val="0"/>
              <w:jc w:val="left"/>
              <w:rPr>
                <w:color w:val="000000"/>
                <w:szCs w:val="21"/>
              </w:rPr>
            </w:pPr>
            <w:r>
              <w:rPr>
                <w:color w:val="000000"/>
                <w:szCs w:val="21"/>
              </w:rPr>
              <w:t>在盐酸储罐区域上设置围堰，地面进行防渗、防腐处理。</w:t>
            </w:r>
          </w:p>
        </w:tc>
        <w:tc>
          <w:tcPr>
            <w:tcW w:w="2926" w:type="dxa"/>
            <w:vAlign w:val="center"/>
          </w:tcPr>
          <w:p>
            <w:pPr>
              <w:snapToGrid w:val="0"/>
              <w:jc w:val="left"/>
              <w:rPr>
                <w:snapToGrid w:val="0"/>
                <w:color w:val="000000"/>
                <w:kern w:val="0"/>
                <w:szCs w:val="21"/>
              </w:rPr>
            </w:pPr>
            <w:r>
              <w:rPr>
                <w:color w:val="000000"/>
                <w:szCs w:val="21"/>
              </w:rPr>
              <w:t>盐酸储罐区域设置了围堰，地面进行了硬化处理。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655" w:type="dxa"/>
            <w:vAlign w:val="center"/>
          </w:tcPr>
          <w:p>
            <w:pPr>
              <w:snapToGrid w:val="0"/>
              <w:jc w:val="center"/>
              <w:rPr>
                <w:snapToGrid w:val="0"/>
                <w:color w:val="000000"/>
                <w:kern w:val="0"/>
                <w:szCs w:val="21"/>
              </w:rPr>
            </w:pPr>
            <w:r>
              <w:rPr>
                <w:snapToGrid w:val="0"/>
                <w:color w:val="000000"/>
                <w:kern w:val="0"/>
                <w:szCs w:val="21"/>
              </w:rPr>
              <w:t>2</w:t>
            </w:r>
          </w:p>
        </w:tc>
        <w:tc>
          <w:tcPr>
            <w:tcW w:w="1590" w:type="dxa"/>
            <w:vAlign w:val="center"/>
          </w:tcPr>
          <w:p>
            <w:pPr>
              <w:snapToGrid w:val="0"/>
              <w:jc w:val="center"/>
              <w:rPr>
                <w:snapToGrid w:val="0"/>
                <w:color w:val="000000"/>
                <w:kern w:val="0"/>
                <w:szCs w:val="21"/>
              </w:rPr>
            </w:pPr>
            <w:r>
              <w:rPr>
                <w:snapToGrid w:val="0"/>
                <w:color w:val="000000"/>
                <w:kern w:val="0"/>
                <w:szCs w:val="21"/>
              </w:rPr>
              <w:t>加氯加药间</w:t>
            </w:r>
          </w:p>
        </w:tc>
        <w:tc>
          <w:tcPr>
            <w:tcW w:w="3101" w:type="dxa"/>
            <w:vAlign w:val="center"/>
          </w:tcPr>
          <w:p>
            <w:pPr>
              <w:snapToGrid w:val="0"/>
              <w:jc w:val="left"/>
              <w:rPr>
                <w:color w:val="000000"/>
                <w:szCs w:val="21"/>
              </w:rPr>
            </w:pPr>
            <w:r>
              <w:rPr>
                <w:szCs w:val="21"/>
              </w:rPr>
              <w:t>企业盐酸、二氧化氯泄漏挥发出的氯化氢、二氧化氯气体配备了防毒面具、监控设施、喷淋中和设施等泄漏应急处置装置</w:t>
            </w:r>
          </w:p>
        </w:tc>
        <w:tc>
          <w:tcPr>
            <w:tcW w:w="2926" w:type="dxa"/>
            <w:vAlign w:val="center"/>
          </w:tcPr>
          <w:p>
            <w:pPr>
              <w:snapToGrid w:val="0"/>
              <w:jc w:val="left"/>
              <w:rPr>
                <w:snapToGrid w:val="0"/>
                <w:color w:val="000000"/>
                <w:kern w:val="0"/>
                <w:szCs w:val="21"/>
              </w:rPr>
            </w:pPr>
            <w:r>
              <w:rPr>
                <w:szCs w:val="21"/>
              </w:rPr>
              <w:t>企业针对盐酸、二氧化氯泄漏挥发出的氯化氢、二氧化氯气体配备了防毒面具、监控设施、喷淋中和设施等泄漏应急处置装置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655" w:type="dxa"/>
            <w:vAlign w:val="center"/>
          </w:tcPr>
          <w:p>
            <w:pPr>
              <w:snapToGrid w:val="0"/>
              <w:jc w:val="center"/>
              <w:rPr>
                <w:snapToGrid w:val="0"/>
                <w:color w:val="000000"/>
                <w:kern w:val="0"/>
                <w:szCs w:val="21"/>
              </w:rPr>
            </w:pPr>
            <w:r>
              <w:rPr>
                <w:snapToGrid w:val="0"/>
                <w:color w:val="000000"/>
                <w:kern w:val="0"/>
                <w:szCs w:val="21"/>
              </w:rPr>
              <w:t>3</w:t>
            </w:r>
          </w:p>
        </w:tc>
        <w:tc>
          <w:tcPr>
            <w:tcW w:w="1590" w:type="dxa"/>
            <w:vAlign w:val="center"/>
          </w:tcPr>
          <w:p>
            <w:pPr>
              <w:snapToGrid w:val="0"/>
              <w:jc w:val="center"/>
              <w:rPr>
                <w:snapToGrid w:val="0"/>
                <w:color w:val="000000"/>
                <w:kern w:val="0"/>
                <w:szCs w:val="21"/>
              </w:rPr>
            </w:pPr>
            <w:r>
              <w:rPr>
                <w:snapToGrid w:val="0"/>
                <w:color w:val="000000"/>
                <w:kern w:val="0"/>
                <w:szCs w:val="21"/>
              </w:rPr>
              <w:t>其它</w:t>
            </w:r>
          </w:p>
        </w:tc>
        <w:tc>
          <w:tcPr>
            <w:tcW w:w="3101" w:type="dxa"/>
            <w:vAlign w:val="center"/>
          </w:tcPr>
          <w:p>
            <w:pPr>
              <w:snapToGrid w:val="0"/>
              <w:jc w:val="left"/>
              <w:rPr>
                <w:color w:val="000000"/>
                <w:szCs w:val="21"/>
              </w:rPr>
            </w:pPr>
            <w:r>
              <w:rPr>
                <w:color w:val="000000"/>
                <w:szCs w:val="21"/>
              </w:rPr>
              <w:t>备置防毒面具、防护服、防护眼睛、应急灯等应急物资</w:t>
            </w:r>
          </w:p>
        </w:tc>
        <w:tc>
          <w:tcPr>
            <w:tcW w:w="2926" w:type="dxa"/>
            <w:vAlign w:val="center"/>
          </w:tcPr>
          <w:p>
            <w:pPr>
              <w:snapToGrid w:val="0"/>
              <w:jc w:val="left"/>
              <w:rPr>
                <w:color w:val="000000"/>
                <w:szCs w:val="21"/>
              </w:rPr>
            </w:pPr>
            <w:r>
              <w:rPr>
                <w:color w:val="000000"/>
                <w:szCs w:val="21"/>
              </w:rPr>
              <w:t>备置了防毒面具、防护服、防护眼睛、应急灯等应急物资</w:t>
            </w:r>
          </w:p>
        </w:tc>
      </w:tr>
    </w:tbl>
    <w:p>
      <w:pPr>
        <w:adjustRightInd w:val="0"/>
        <w:snapToGrid w:val="0"/>
        <w:spacing w:line="460" w:lineRule="exact"/>
        <w:outlineLvl w:val="1"/>
        <w:rPr>
          <w:b/>
          <w:color w:val="000000"/>
          <w:sz w:val="28"/>
          <w:szCs w:val="28"/>
        </w:rPr>
      </w:pPr>
      <w:bookmarkStart w:id="137" w:name="_Toc3797"/>
      <w:bookmarkStart w:id="138" w:name="_Toc458674253"/>
      <w:r>
        <w:rPr>
          <w:rFonts w:hint="eastAsia"/>
          <w:b/>
          <w:color w:val="000000"/>
          <w:sz w:val="28"/>
          <w:szCs w:val="28"/>
        </w:rPr>
        <w:t>3</w:t>
      </w:r>
      <w:r>
        <w:rPr>
          <w:b/>
          <w:color w:val="000000"/>
          <w:sz w:val="28"/>
          <w:szCs w:val="28"/>
        </w:rPr>
        <w:t>.3环境风险源识别</w:t>
      </w:r>
      <w:bookmarkEnd w:id="137"/>
      <w:bookmarkEnd w:id="138"/>
    </w:p>
    <w:p>
      <w:pPr>
        <w:pStyle w:val="120"/>
        <w:ind w:firstLine="0" w:firstLineChars="0"/>
        <w:rPr>
          <w:b/>
          <w:szCs w:val="28"/>
        </w:rPr>
      </w:pPr>
      <w:bookmarkStart w:id="139" w:name="_Toc346872561"/>
      <w:bookmarkStart w:id="140" w:name="_Toc458674254"/>
      <w:bookmarkStart w:id="141" w:name="_Toc317088625"/>
      <w:bookmarkStart w:id="142" w:name="_Toc376848492"/>
      <w:r>
        <w:rPr>
          <w:rFonts w:hint="eastAsia"/>
          <w:b/>
          <w:szCs w:val="28"/>
        </w:rPr>
        <w:t>3</w:t>
      </w:r>
      <w:r>
        <w:rPr>
          <w:b/>
          <w:szCs w:val="28"/>
        </w:rPr>
        <w:t>.3.1 生产过程潜在风险识别</w:t>
      </w:r>
      <w:bookmarkEnd w:id="139"/>
      <w:bookmarkEnd w:id="140"/>
    </w:p>
    <w:p>
      <w:pPr>
        <w:pStyle w:val="172"/>
        <w:spacing w:line="500" w:lineRule="exact"/>
        <w:ind w:firstLine="360" w:firstLineChars="150"/>
        <w:rPr>
          <w:rFonts w:cs="仿宋_GB2312" w:asciiTheme="minorEastAsia" w:hAnsiTheme="minorEastAsia" w:eastAsiaTheme="minorEastAsia"/>
          <w:kern w:val="0"/>
          <w:sz w:val="24"/>
        </w:rPr>
      </w:pPr>
      <w:r>
        <w:rPr>
          <w:rFonts w:cs="仿宋_GB2312" w:asciiTheme="minorEastAsia" w:hAnsiTheme="minorEastAsia" w:eastAsiaTheme="minorEastAsia"/>
          <w:kern w:val="0"/>
          <w:sz w:val="24"/>
        </w:rPr>
        <w:t>（1）生产工艺过程</w:t>
      </w:r>
    </w:p>
    <w:p>
      <w:pPr>
        <w:pStyle w:val="172"/>
        <w:spacing w:line="500" w:lineRule="exact"/>
        <w:ind w:firstLine="480"/>
        <w:rPr>
          <w:rFonts w:cs="仿宋_GB2312" w:asciiTheme="minorEastAsia" w:hAnsiTheme="minorEastAsia" w:eastAsiaTheme="minorEastAsia"/>
          <w:kern w:val="0"/>
          <w:sz w:val="24"/>
        </w:rPr>
      </w:pPr>
      <w:r>
        <w:rPr>
          <w:rFonts w:cs="仿宋_GB2312" w:asciiTheme="minorEastAsia" w:hAnsiTheme="minorEastAsia" w:eastAsiaTheme="minorEastAsia"/>
          <w:kern w:val="0"/>
          <w:sz w:val="24"/>
        </w:rPr>
        <w:t>盐酸储罐：企业所使用的盐酸由供应商负责运输至厂区，然后由专门的保管人员验收存放于危险化学品仓库。由于装卸过程操作不当、储存管理疏忽、管道法兰等设备老化损坏破了等可能导致盐酸储罐中盐酸发生泄漏。</w:t>
      </w:r>
    </w:p>
    <w:p>
      <w:pPr>
        <w:pStyle w:val="172"/>
        <w:spacing w:line="500" w:lineRule="exact"/>
        <w:ind w:firstLine="480"/>
        <w:rPr>
          <w:rFonts w:cs="仿宋_GB2312" w:asciiTheme="minorEastAsia" w:hAnsiTheme="minorEastAsia" w:eastAsiaTheme="minorEastAsia"/>
          <w:kern w:val="0"/>
          <w:sz w:val="24"/>
        </w:rPr>
      </w:pPr>
      <w:r>
        <w:rPr>
          <w:rFonts w:cs="仿宋_GB2312" w:asciiTheme="minorEastAsia" w:hAnsiTheme="minorEastAsia" w:eastAsiaTheme="minorEastAsia"/>
          <w:kern w:val="0"/>
          <w:sz w:val="24"/>
        </w:rPr>
        <w:t>消毒车间：企业生产工艺过程中涉及到危险化学品的工序是二氧化氯消毒工艺，主要有毒化学品装置为二氧化氯发生器。二氧化氯发生器由于管道破裂等可能导致二氧化氯泄漏，但是企业二氧化发生器采用计算机自动控制，在二氧化氯发生器所在房间设置了报警装置、各管道设置了报警控制开关，一旦发生泄漏报警开关自动关闭，二氧化氯泄漏发生概率较小，且有严格的防范措施。</w:t>
      </w:r>
    </w:p>
    <w:p>
      <w:pPr>
        <w:pStyle w:val="172"/>
        <w:spacing w:line="500" w:lineRule="exact"/>
        <w:ind w:firstLine="360" w:firstLineChars="150"/>
        <w:rPr>
          <w:rFonts w:cs="仿宋_GB2312" w:asciiTheme="minorEastAsia" w:hAnsiTheme="minorEastAsia" w:eastAsiaTheme="minorEastAsia"/>
          <w:kern w:val="0"/>
          <w:sz w:val="24"/>
        </w:rPr>
      </w:pPr>
      <w:r>
        <w:rPr>
          <w:rFonts w:cs="仿宋_GB2312" w:asciiTheme="minorEastAsia" w:hAnsiTheme="minorEastAsia" w:eastAsiaTheme="minorEastAsia"/>
          <w:kern w:val="0"/>
          <w:sz w:val="24"/>
        </w:rPr>
        <w:t>（2）停电</w:t>
      </w:r>
    </w:p>
    <w:p>
      <w:pPr>
        <w:pStyle w:val="172"/>
        <w:spacing w:line="500" w:lineRule="exact"/>
        <w:ind w:firstLine="480"/>
        <w:rPr>
          <w:rFonts w:cs="仿宋_GB2312" w:asciiTheme="minorEastAsia" w:hAnsiTheme="minorEastAsia" w:eastAsiaTheme="minorEastAsia"/>
          <w:kern w:val="0"/>
          <w:sz w:val="24"/>
        </w:rPr>
      </w:pPr>
      <w:r>
        <w:rPr>
          <w:rFonts w:cs="仿宋_GB2312" w:asciiTheme="minorEastAsia" w:hAnsiTheme="minorEastAsia" w:eastAsiaTheme="minorEastAsia"/>
          <w:kern w:val="0"/>
          <w:sz w:val="24"/>
        </w:rPr>
        <w:t>企业为城市污水处理厂，一旦发生停电时，污水处理设备不能运转导致厂区内收集的污水直接排放到外环境，造成地表水污染，影响地表水环境及下游取水口、鱼类三场等水环境风险受体。</w:t>
      </w:r>
    </w:p>
    <w:p>
      <w:pPr>
        <w:pStyle w:val="172"/>
        <w:spacing w:line="500" w:lineRule="exact"/>
        <w:ind w:firstLine="360" w:firstLineChars="150"/>
        <w:rPr>
          <w:rFonts w:cs="仿宋_GB2312" w:asciiTheme="minorEastAsia" w:hAnsiTheme="minorEastAsia" w:eastAsiaTheme="minorEastAsia"/>
          <w:kern w:val="0"/>
          <w:sz w:val="24"/>
        </w:rPr>
      </w:pPr>
      <w:r>
        <w:rPr>
          <w:rFonts w:cs="仿宋_GB2312" w:asciiTheme="minorEastAsia" w:hAnsiTheme="minorEastAsia" w:eastAsiaTheme="minorEastAsia"/>
          <w:kern w:val="0"/>
          <w:sz w:val="24"/>
        </w:rPr>
        <w:t>（3）污染治理设施非正常运营</w:t>
      </w:r>
    </w:p>
    <w:p>
      <w:pPr>
        <w:pStyle w:val="172"/>
        <w:spacing w:line="500" w:lineRule="exact"/>
        <w:ind w:firstLine="480"/>
        <w:rPr>
          <w:rFonts w:cs="仿宋_GB2312" w:asciiTheme="minorEastAsia" w:hAnsiTheme="minorEastAsia" w:eastAsiaTheme="minorEastAsia"/>
          <w:kern w:val="0"/>
          <w:sz w:val="24"/>
        </w:rPr>
      </w:pPr>
      <w:r>
        <w:rPr>
          <w:rFonts w:cs="仿宋_GB2312" w:asciiTheme="minorEastAsia" w:hAnsiTheme="minorEastAsia" w:eastAsiaTheme="minorEastAsia"/>
          <w:kern w:val="0"/>
          <w:sz w:val="24"/>
        </w:rPr>
        <w:t>企业为城市污水处理厂，一旦污染治理设施不能正常运营导致污水治理效果下降使污水未达标而排放到地表水体造成地表水环境污染，考虑到企业为</w:t>
      </w:r>
      <w:r>
        <w:rPr>
          <w:rFonts w:hint="eastAsia" w:cs="仿宋_GB2312" w:asciiTheme="minorEastAsia" w:hAnsiTheme="minorEastAsia" w:eastAsiaTheme="minorEastAsia"/>
          <w:kern w:val="0"/>
          <w:sz w:val="24"/>
        </w:rPr>
        <w:t>一用一备</w:t>
      </w:r>
      <w:r>
        <w:rPr>
          <w:rFonts w:cs="仿宋_GB2312" w:asciiTheme="minorEastAsia" w:hAnsiTheme="minorEastAsia" w:eastAsiaTheme="minorEastAsia"/>
          <w:kern w:val="0"/>
          <w:sz w:val="24"/>
        </w:rPr>
        <w:t>2套污水治理设施，在污染治理设施非正常运营考虑50%治理效率。</w:t>
      </w:r>
    </w:p>
    <w:p>
      <w:pPr>
        <w:pStyle w:val="172"/>
        <w:spacing w:line="500" w:lineRule="exact"/>
        <w:ind w:firstLine="360" w:firstLineChars="150"/>
        <w:rPr>
          <w:rFonts w:cs="仿宋_GB2312" w:asciiTheme="minorEastAsia" w:hAnsiTheme="minorEastAsia" w:eastAsiaTheme="minorEastAsia"/>
          <w:kern w:val="0"/>
          <w:sz w:val="24"/>
        </w:rPr>
      </w:pPr>
      <w:r>
        <w:rPr>
          <w:rFonts w:cs="仿宋_GB2312" w:asciiTheme="minorEastAsia" w:hAnsiTheme="minorEastAsia" w:eastAsiaTheme="minorEastAsia"/>
          <w:kern w:val="0"/>
          <w:sz w:val="24"/>
        </w:rPr>
        <w:t>（4）各种自然灾害、极端天气</w:t>
      </w:r>
    </w:p>
    <w:p>
      <w:pPr>
        <w:pStyle w:val="172"/>
        <w:spacing w:line="500" w:lineRule="exact"/>
        <w:ind w:firstLine="480"/>
        <w:rPr>
          <w:rFonts w:cs="仿宋_GB2312" w:asciiTheme="minorEastAsia" w:hAnsiTheme="minorEastAsia" w:eastAsiaTheme="minorEastAsia"/>
          <w:kern w:val="0"/>
          <w:sz w:val="24"/>
        </w:rPr>
      </w:pPr>
      <w:r>
        <w:rPr>
          <w:rFonts w:cs="仿宋_GB2312" w:asciiTheme="minorEastAsia" w:hAnsiTheme="minorEastAsia" w:eastAsiaTheme="minorEastAsia"/>
          <w:kern w:val="0"/>
          <w:sz w:val="24"/>
        </w:rPr>
        <w:t>在各</w:t>
      </w:r>
      <w:r>
        <w:rPr>
          <w:rFonts w:hint="eastAsia" w:cs="仿宋_GB2312" w:asciiTheme="minorEastAsia" w:hAnsiTheme="minorEastAsia" w:eastAsiaTheme="minorEastAsia"/>
          <w:kern w:val="0"/>
          <w:sz w:val="24"/>
        </w:rPr>
        <w:t>种</w:t>
      </w:r>
      <w:r>
        <w:rPr>
          <w:rFonts w:cs="仿宋_GB2312" w:asciiTheme="minorEastAsia" w:hAnsiTheme="minorEastAsia" w:eastAsiaTheme="minorEastAsia"/>
          <w:kern w:val="0"/>
          <w:sz w:val="24"/>
        </w:rPr>
        <w:t>自然灾害、极端天气情况下，企业突发环境事故为污水未经处理直接排放到外环境造成后果与停电情况下一致。</w:t>
      </w:r>
    </w:p>
    <w:p>
      <w:pPr>
        <w:spacing w:line="460" w:lineRule="exact"/>
        <w:ind w:firstLine="482" w:firstLineChars="200"/>
        <w:jc w:val="center"/>
        <w:rPr>
          <w:b/>
          <w:color w:val="000000"/>
          <w:sz w:val="24"/>
          <w:szCs w:val="24"/>
        </w:rPr>
      </w:pPr>
      <w:r>
        <w:rPr>
          <w:b/>
          <w:color w:val="000000"/>
          <w:sz w:val="24"/>
          <w:szCs w:val="24"/>
        </w:rPr>
        <w:t>表3.3-1  生产过程风险一览表</w:t>
      </w:r>
    </w:p>
    <w:tbl>
      <w:tblPr>
        <w:tblStyle w:val="54"/>
        <w:tblW w:w="82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2"/>
        <w:gridCol w:w="1059"/>
        <w:gridCol w:w="1689"/>
        <w:gridCol w:w="2862"/>
        <w:gridCol w:w="13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vAlign w:val="center"/>
          </w:tcPr>
          <w:p>
            <w:pPr>
              <w:adjustRightInd w:val="0"/>
              <w:snapToGrid w:val="0"/>
              <w:jc w:val="center"/>
              <w:rPr>
                <w:color w:val="000000"/>
                <w:szCs w:val="21"/>
              </w:rPr>
            </w:pPr>
            <w:r>
              <w:rPr>
                <w:color w:val="000000"/>
                <w:szCs w:val="21"/>
              </w:rPr>
              <w:t>生产单元</w:t>
            </w:r>
          </w:p>
        </w:tc>
        <w:tc>
          <w:tcPr>
            <w:tcW w:w="1059" w:type="dxa"/>
            <w:vAlign w:val="center"/>
          </w:tcPr>
          <w:p>
            <w:pPr>
              <w:adjustRightInd w:val="0"/>
              <w:snapToGrid w:val="0"/>
              <w:jc w:val="center"/>
              <w:rPr>
                <w:color w:val="000000"/>
                <w:szCs w:val="21"/>
              </w:rPr>
            </w:pPr>
            <w:r>
              <w:rPr>
                <w:color w:val="000000"/>
                <w:szCs w:val="21"/>
              </w:rPr>
              <w:t>危险物质</w:t>
            </w:r>
          </w:p>
        </w:tc>
        <w:tc>
          <w:tcPr>
            <w:tcW w:w="1689" w:type="dxa"/>
            <w:vAlign w:val="center"/>
          </w:tcPr>
          <w:p>
            <w:pPr>
              <w:adjustRightInd w:val="0"/>
              <w:snapToGrid w:val="0"/>
              <w:jc w:val="center"/>
              <w:rPr>
                <w:color w:val="000000"/>
                <w:szCs w:val="21"/>
              </w:rPr>
            </w:pPr>
            <w:r>
              <w:rPr>
                <w:color w:val="000000"/>
                <w:szCs w:val="21"/>
              </w:rPr>
              <w:t>事故形式</w:t>
            </w:r>
          </w:p>
        </w:tc>
        <w:tc>
          <w:tcPr>
            <w:tcW w:w="2862" w:type="dxa"/>
            <w:vAlign w:val="center"/>
          </w:tcPr>
          <w:p>
            <w:pPr>
              <w:adjustRightInd w:val="0"/>
              <w:snapToGrid w:val="0"/>
              <w:jc w:val="center"/>
              <w:rPr>
                <w:color w:val="000000"/>
                <w:szCs w:val="21"/>
              </w:rPr>
            </w:pPr>
            <w:r>
              <w:rPr>
                <w:color w:val="000000"/>
                <w:szCs w:val="21"/>
              </w:rPr>
              <w:t>产生原因</w:t>
            </w:r>
          </w:p>
        </w:tc>
        <w:tc>
          <w:tcPr>
            <w:tcW w:w="1330" w:type="dxa"/>
            <w:vAlign w:val="center"/>
          </w:tcPr>
          <w:p>
            <w:pPr>
              <w:adjustRightInd w:val="0"/>
              <w:snapToGrid w:val="0"/>
              <w:jc w:val="center"/>
              <w:rPr>
                <w:color w:val="000000"/>
                <w:szCs w:val="21"/>
              </w:rPr>
            </w:pPr>
            <w:r>
              <w:rPr>
                <w:color w:val="00000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vAlign w:val="center"/>
          </w:tcPr>
          <w:p>
            <w:pPr>
              <w:adjustRightInd w:val="0"/>
              <w:snapToGrid w:val="0"/>
              <w:jc w:val="center"/>
              <w:rPr>
                <w:color w:val="000000"/>
                <w:szCs w:val="21"/>
              </w:rPr>
            </w:pPr>
            <w:r>
              <w:rPr>
                <w:snapToGrid w:val="0"/>
                <w:szCs w:val="21"/>
              </w:rPr>
              <w:t>盐酸储罐</w:t>
            </w:r>
          </w:p>
        </w:tc>
        <w:tc>
          <w:tcPr>
            <w:tcW w:w="1059" w:type="dxa"/>
            <w:vAlign w:val="center"/>
          </w:tcPr>
          <w:p>
            <w:pPr>
              <w:adjustRightInd w:val="0"/>
              <w:snapToGrid w:val="0"/>
              <w:jc w:val="center"/>
              <w:rPr>
                <w:color w:val="000000"/>
                <w:szCs w:val="21"/>
              </w:rPr>
            </w:pPr>
            <w:r>
              <w:rPr>
                <w:color w:val="000000"/>
                <w:szCs w:val="21"/>
              </w:rPr>
              <w:t>氯化氢</w:t>
            </w:r>
          </w:p>
        </w:tc>
        <w:tc>
          <w:tcPr>
            <w:tcW w:w="1689" w:type="dxa"/>
            <w:vAlign w:val="center"/>
          </w:tcPr>
          <w:p>
            <w:pPr>
              <w:adjustRightInd w:val="0"/>
              <w:snapToGrid w:val="0"/>
              <w:jc w:val="left"/>
              <w:rPr>
                <w:color w:val="000000"/>
                <w:szCs w:val="21"/>
              </w:rPr>
            </w:pPr>
            <w:r>
              <w:rPr>
                <w:color w:val="000000"/>
                <w:szCs w:val="21"/>
              </w:rPr>
              <w:t>泄漏、中毒、环境污染</w:t>
            </w:r>
          </w:p>
        </w:tc>
        <w:tc>
          <w:tcPr>
            <w:tcW w:w="2862" w:type="dxa"/>
            <w:vAlign w:val="center"/>
          </w:tcPr>
          <w:p>
            <w:pPr>
              <w:adjustRightInd w:val="0"/>
              <w:snapToGrid w:val="0"/>
              <w:jc w:val="left"/>
              <w:rPr>
                <w:color w:val="000000"/>
                <w:szCs w:val="21"/>
              </w:rPr>
            </w:pPr>
            <w:r>
              <w:rPr>
                <w:color w:val="000000"/>
                <w:szCs w:val="21"/>
              </w:rPr>
              <w:t>阀门管道堵塞、破裂、损坏、操作失误、停电、自然灾害</w:t>
            </w:r>
          </w:p>
        </w:tc>
        <w:tc>
          <w:tcPr>
            <w:tcW w:w="1330" w:type="dxa"/>
            <w:vAlign w:val="center"/>
          </w:tcPr>
          <w:p>
            <w:pPr>
              <w:adjustRightInd w:val="0"/>
              <w:snapToGrid w:val="0"/>
              <w:jc w:val="center"/>
              <w:rPr>
                <w:color w:val="000000"/>
                <w:szCs w:val="21"/>
              </w:rPr>
            </w:pPr>
            <w:r>
              <w:rPr>
                <w:color w:val="000000"/>
                <w:szCs w:val="21"/>
              </w:rPr>
              <w:t>盐酸储罐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2" w:type="dxa"/>
            <w:vAlign w:val="center"/>
          </w:tcPr>
          <w:p>
            <w:pPr>
              <w:adjustRightInd w:val="0"/>
              <w:snapToGrid w:val="0"/>
              <w:jc w:val="center"/>
              <w:rPr>
                <w:snapToGrid w:val="0"/>
                <w:szCs w:val="21"/>
              </w:rPr>
            </w:pPr>
            <w:r>
              <w:rPr>
                <w:rFonts w:hint="eastAsia"/>
                <w:snapToGrid w:val="0"/>
                <w:szCs w:val="21"/>
              </w:rPr>
              <w:t>二氧化氯发生器</w:t>
            </w:r>
          </w:p>
        </w:tc>
        <w:tc>
          <w:tcPr>
            <w:tcW w:w="1059" w:type="dxa"/>
            <w:vAlign w:val="center"/>
          </w:tcPr>
          <w:p>
            <w:pPr>
              <w:adjustRightInd w:val="0"/>
              <w:snapToGrid w:val="0"/>
              <w:jc w:val="center"/>
              <w:rPr>
                <w:color w:val="000000"/>
                <w:szCs w:val="21"/>
              </w:rPr>
            </w:pPr>
            <w:r>
              <w:rPr>
                <w:rFonts w:hint="eastAsia"/>
                <w:color w:val="000000"/>
                <w:szCs w:val="21"/>
              </w:rPr>
              <w:t>二氧化氯</w:t>
            </w:r>
          </w:p>
        </w:tc>
        <w:tc>
          <w:tcPr>
            <w:tcW w:w="1689" w:type="dxa"/>
            <w:vAlign w:val="center"/>
          </w:tcPr>
          <w:p>
            <w:pPr>
              <w:adjustRightInd w:val="0"/>
              <w:snapToGrid w:val="0"/>
              <w:jc w:val="left"/>
              <w:rPr>
                <w:color w:val="000000"/>
                <w:szCs w:val="21"/>
              </w:rPr>
            </w:pPr>
            <w:r>
              <w:rPr>
                <w:color w:val="000000"/>
                <w:szCs w:val="21"/>
              </w:rPr>
              <w:t>泄漏、中毒、环境污染</w:t>
            </w:r>
          </w:p>
        </w:tc>
        <w:tc>
          <w:tcPr>
            <w:tcW w:w="2862" w:type="dxa"/>
            <w:vAlign w:val="center"/>
          </w:tcPr>
          <w:p>
            <w:pPr>
              <w:adjustRightInd w:val="0"/>
              <w:snapToGrid w:val="0"/>
              <w:jc w:val="left"/>
              <w:rPr>
                <w:color w:val="000000"/>
                <w:szCs w:val="21"/>
              </w:rPr>
            </w:pPr>
            <w:r>
              <w:rPr>
                <w:color w:val="000000"/>
                <w:szCs w:val="21"/>
              </w:rPr>
              <w:t>阀门管道堵塞、破裂、损坏、操作失误、停电、自然灾害</w:t>
            </w:r>
          </w:p>
        </w:tc>
        <w:tc>
          <w:tcPr>
            <w:tcW w:w="1330" w:type="dxa"/>
            <w:vAlign w:val="center"/>
          </w:tcPr>
          <w:p>
            <w:pPr>
              <w:adjustRightInd w:val="0"/>
              <w:snapToGrid w:val="0"/>
              <w:jc w:val="center"/>
              <w:rPr>
                <w:color w:val="000000"/>
                <w:szCs w:val="21"/>
              </w:rPr>
            </w:pPr>
            <w:r>
              <w:rPr>
                <w:rFonts w:hint="eastAsia"/>
                <w:color w:val="000000"/>
                <w:szCs w:val="21"/>
              </w:rPr>
              <w:t>二氧化氯发生器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332" w:type="dxa"/>
            <w:vAlign w:val="center"/>
          </w:tcPr>
          <w:p>
            <w:pPr>
              <w:adjustRightInd w:val="0"/>
              <w:snapToGrid w:val="0"/>
              <w:jc w:val="center"/>
              <w:rPr>
                <w:color w:val="000000"/>
                <w:szCs w:val="21"/>
              </w:rPr>
            </w:pPr>
            <w:r>
              <w:rPr>
                <w:color w:val="000000"/>
                <w:szCs w:val="21"/>
              </w:rPr>
              <w:t>污水处理系统</w:t>
            </w:r>
          </w:p>
        </w:tc>
        <w:tc>
          <w:tcPr>
            <w:tcW w:w="1059" w:type="dxa"/>
            <w:vAlign w:val="center"/>
          </w:tcPr>
          <w:p>
            <w:pPr>
              <w:adjustRightInd w:val="0"/>
              <w:snapToGrid w:val="0"/>
              <w:jc w:val="center"/>
              <w:rPr>
                <w:color w:val="000000"/>
                <w:szCs w:val="21"/>
              </w:rPr>
            </w:pPr>
            <w:r>
              <w:rPr>
                <w:color w:val="000000"/>
                <w:szCs w:val="21"/>
              </w:rPr>
              <w:t>收集污水</w:t>
            </w:r>
          </w:p>
        </w:tc>
        <w:tc>
          <w:tcPr>
            <w:tcW w:w="1689" w:type="dxa"/>
            <w:vAlign w:val="center"/>
          </w:tcPr>
          <w:p>
            <w:pPr>
              <w:adjustRightInd w:val="0"/>
              <w:snapToGrid w:val="0"/>
              <w:jc w:val="left"/>
              <w:rPr>
                <w:color w:val="000000"/>
                <w:szCs w:val="21"/>
              </w:rPr>
            </w:pPr>
            <w:r>
              <w:rPr>
                <w:color w:val="000000"/>
                <w:szCs w:val="21"/>
              </w:rPr>
              <w:t>泄漏、环境污染</w:t>
            </w:r>
          </w:p>
        </w:tc>
        <w:tc>
          <w:tcPr>
            <w:tcW w:w="2862" w:type="dxa"/>
            <w:vAlign w:val="center"/>
          </w:tcPr>
          <w:p>
            <w:pPr>
              <w:adjustRightInd w:val="0"/>
              <w:snapToGrid w:val="0"/>
              <w:jc w:val="left"/>
              <w:rPr>
                <w:color w:val="000000"/>
                <w:szCs w:val="21"/>
              </w:rPr>
            </w:pPr>
            <w:r>
              <w:rPr>
                <w:color w:val="000000"/>
                <w:szCs w:val="21"/>
              </w:rPr>
              <w:t>污水处理设备发生故障、停电、自然灾害等</w:t>
            </w:r>
          </w:p>
        </w:tc>
        <w:tc>
          <w:tcPr>
            <w:tcW w:w="1330" w:type="dxa"/>
            <w:vAlign w:val="center"/>
          </w:tcPr>
          <w:p>
            <w:pPr>
              <w:adjustRightInd w:val="0"/>
              <w:snapToGrid w:val="0"/>
              <w:jc w:val="center"/>
              <w:rPr>
                <w:color w:val="000000"/>
                <w:szCs w:val="21"/>
              </w:rPr>
            </w:pPr>
            <w:r>
              <w:rPr>
                <w:color w:val="000000"/>
                <w:szCs w:val="21"/>
              </w:rPr>
              <w:t>污水</w:t>
            </w:r>
          </w:p>
        </w:tc>
      </w:tr>
    </w:tbl>
    <w:p>
      <w:pPr>
        <w:pStyle w:val="120"/>
        <w:ind w:firstLine="0" w:firstLineChars="0"/>
        <w:rPr>
          <w:b/>
          <w:szCs w:val="28"/>
        </w:rPr>
      </w:pPr>
      <w:bookmarkStart w:id="143" w:name="_Toc346872562"/>
      <w:bookmarkStart w:id="144" w:name="_Toc458674255"/>
      <w:r>
        <w:rPr>
          <w:rFonts w:hint="eastAsia"/>
          <w:b/>
          <w:szCs w:val="28"/>
        </w:rPr>
        <w:t>3</w:t>
      </w:r>
      <w:r>
        <w:rPr>
          <w:b/>
          <w:szCs w:val="28"/>
        </w:rPr>
        <w:t>.3.2</w:t>
      </w:r>
      <w:bookmarkEnd w:id="141"/>
      <w:bookmarkEnd w:id="143"/>
      <w:r>
        <w:rPr>
          <w:b/>
          <w:szCs w:val="28"/>
        </w:rPr>
        <w:t>运输过程潜在风险识别</w:t>
      </w:r>
      <w:bookmarkEnd w:id="144"/>
    </w:p>
    <w:p>
      <w:pPr>
        <w:pStyle w:val="172"/>
        <w:spacing w:line="500" w:lineRule="exact"/>
        <w:ind w:firstLine="480"/>
        <w:rPr>
          <w:rFonts w:cs="仿宋_GB2312" w:asciiTheme="minorEastAsia" w:hAnsiTheme="minorEastAsia" w:eastAsiaTheme="minorEastAsia"/>
          <w:kern w:val="0"/>
          <w:sz w:val="24"/>
        </w:rPr>
      </w:pPr>
      <w:bookmarkStart w:id="145" w:name="_Toc346872563"/>
      <w:bookmarkStart w:id="146" w:name="_Toc317088626"/>
      <w:r>
        <w:rPr>
          <w:rFonts w:cs="仿宋_GB2312" w:asciiTheme="minorEastAsia" w:hAnsiTheme="minorEastAsia" w:eastAsiaTheme="minorEastAsia"/>
          <w:kern w:val="0"/>
          <w:sz w:val="24"/>
        </w:rPr>
        <w:t>经核实，企业原辅材料等由供应商提供运输至厂区，运输过程中的突发环境事故风险防范应由供应商完成，</w:t>
      </w:r>
      <w:r>
        <w:rPr>
          <w:rFonts w:hint="eastAsia" w:cs="仿宋_GB2312" w:asciiTheme="minorEastAsia" w:hAnsiTheme="minorEastAsia" w:eastAsiaTheme="minorEastAsia"/>
          <w:kern w:val="0"/>
          <w:sz w:val="24"/>
        </w:rPr>
        <w:t>按照转运协议要求，运输途中出现的一切安全及其他事故由转运单位负责，污水处理厂负责配合协调处理，不纳入本次评估范围。</w:t>
      </w:r>
    </w:p>
    <w:p>
      <w:pPr>
        <w:pStyle w:val="120"/>
        <w:ind w:firstLine="0" w:firstLineChars="0"/>
        <w:rPr>
          <w:b/>
          <w:sz w:val="28"/>
          <w:szCs w:val="28"/>
        </w:rPr>
      </w:pPr>
      <w:bookmarkStart w:id="147" w:name="_Toc458674256"/>
      <w:r>
        <w:rPr>
          <w:rFonts w:hint="eastAsia"/>
          <w:b/>
          <w:sz w:val="28"/>
          <w:szCs w:val="28"/>
        </w:rPr>
        <w:t>3</w:t>
      </w:r>
      <w:r>
        <w:rPr>
          <w:b/>
          <w:sz w:val="28"/>
          <w:szCs w:val="28"/>
        </w:rPr>
        <w:t>.3.3 次/伴生风险识别</w:t>
      </w:r>
      <w:bookmarkEnd w:id="145"/>
      <w:bookmarkEnd w:id="146"/>
      <w:bookmarkEnd w:id="147"/>
    </w:p>
    <w:p>
      <w:pPr>
        <w:pStyle w:val="172"/>
        <w:spacing w:line="500" w:lineRule="exact"/>
        <w:ind w:firstLine="360" w:firstLineChars="150"/>
        <w:rPr>
          <w:rFonts w:cs="仿宋_GB2312" w:asciiTheme="minorEastAsia" w:hAnsiTheme="minorEastAsia" w:eastAsiaTheme="minorEastAsia"/>
          <w:kern w:val="0"/>
          <w:sz w:val="24"/>
        </w:rPr>
      </w:pPr>
      <w:r>
        <w:rPr>
          <w:rFonts w:cs="仿宋_GB2312" w:asciiTheme="minorEastAsia" w:hAnsiTheme="minorEastAsia" w:eastAsiaTheme="minorEastAsia"/>
          <w:kern w:val="0"/>
          <w:sz w:val="24"/>
        </w:rPr>
        <w:t>若发生盐酸泄漏事故，由于盐酸挥发产生氯化氢气体逸散到大气环境中造成二次污染。</w:t>
      </w:r>
    </w:p>
    <w:p>
      <w:pPr>
        <w:adjustRightInd w:val="0"/>
        <w:snapToGrid w:val="0"/>
        <w:spacing w:line="460" w:lineRule="exact"/>
        <w:outlineLvl w:val="1"/>
        <w:rPr>
          <w:b/>
          <w:color w:val="000000"/>
          <w:sz w:val="26"/>
          <w:szCs w:val="26"/>
        </w:rPr>
      </w:pPr>
      <w:bookmarkStart w:id="148" w:name="_Toc14420"/>
      <w:bookmarkStart w:id="149" w:name="_Toc458674257"/>
      <w:r>
        <w:rPr>
          <w:rFonts w:hint="eastAsia"/>
          <w:b/>
          <w:color w:val="000000"/>
          <w:sz w:val="26"/>
          <w:szCs w:val="26"/>
        </w:rPr>
        <w:t>3</w:t>
      </w:r>
      <w:r>
        <w:rPr>
          <w:b/>
          <w:color w:val="000000"/>
          <w:sz w:val="26"/>
          <w:szCs w:val="26"/>
        </w:rPr>
        <w:t>.4重大危险源识别</w:t>
      </w:r>
      <w:bookmarkEnd w:id="148"/>
      <w:bookmarkEnd w:id="149"/>
    </w:p>
    <w:p>
      <w:pPr>
        <w:pStyle w:val="120"/>
        <w:ind w:firstLine="0" w:firstLineChars="0"/>
        <w:rPr>
          <w:b/>
        </w:rPr>
      </w:pPr>
      <w:bookmarkStart w:id="150" w:name="_Toc458674258"/>
      <w:r>
        <w:rPr>
          <w:rFonts w:hint="eastAsia"/>
          <w:b/>
        </w:rPr>
        <w:t>3</w:t>
      </w:r>
      <w:r>
        <w:rPr>
          <w:b/>
        </w:rPr>
        <w:t>.4.1 物质危险性识别</w:t>
      </w:r>
      <w:bookmarkEnd w:id="142"/>
      <w:bookmarkEnd w:id="150"/>
    </w:p>
    <w:p>
      <w:pPr>
        <w:pStyle w:val="172"/>
        <w:spacing w:line="500" w:lineRule="exact"/>
        <w:ind w:firstLine="360" w:firstLineChars="150"/>
        <w:rPr>
          <w:rFonts w:cs="仿宋_GB2312" w:asciiTheme="minorEastAsia" w:hAnsiTheme="minorEastAsia" w:eastAsiaTheme="minorEastAsia"/>
          <w:kern w:val="0"/>
          <w:sz w:val="24"/>
        </w:rPr>
      </w:pPr>
      <w:r>
        <w:rPr>
          <w:rFonts w:cs="仿宋_GB2312" w:asciiTheme="minorEastAsia" w:hAnsiTheme="minorEastAsia" w:eastAsiaTheme="minorEastAsia"/>
          <w:kern w:val="0"/>
          <w:sz w:val="24"/>
        </w:rPr>
        <w:t>（1）危险化学品</w:t>
      </w:r>
    </w:p>
    <w:p>
      <w:pPr>
        <w:pStyle w:val="172"/>
        <w:spacing w:line="500" w:lineRule="exact"/>
        <w:ind w:firstLine="480"/>
        <w:rPr>
          <w:color w:val="000000"/>
          <w:sz w:val="26"/>
          <w:szCs w:val="26"/>
        </w:rPr>
      </w:pPr>
      <w:r>
        <w:rPr>
          <w:rFonts w:hint="eastAsia" w:cs="仿宋_GB2312" w:asciiTheme="minorEastAsia" w:hAnsiTheme="minorEastAsia" w:eastAsiaTheme="minorEastAsia"/>
          <w:kern w:val="0"/>
          <w:sz w:val="24"/>
        </w:rPr>
        <w:t>龙桥污水处理厂</w:t>
      </w:r>
      <w:r>
        <w:rPr>
          <w:rFonts w:cs="仿宋_GB2312" w:asciiTheme="minorEastAsia" w:hAnsiTheme="minorEastAsia" w:eastAsiaTheme="minorEastAsia"/>
          <w:kern w:val="0"/>
          <w:sz w:val="24"/>
        </w:rPr>
        <w:t>污水处理工艺过程中使用到的化学试剂。根据《危险化学品名录》（2012年版）和《剧毒化学品目录》（2012年版），</w:t>
      </w:r>
      <w:r>
        <w:rPr>
          <w:rFonts w:hint="eastAsia" w:cs="仿宋_GB2312" w:asciiTheme="minorEastAsia" w:hAnsiTheme="minorEastAsia" w:eastAsiaTheme="minorEastAsia"/>
          <w:kern w:val="0"/>
          <w:sz w:val="24"/>
        </w:rPr>
        <w:t>龙桥污水处理厂</w:t>
      </w:r>
      <w:r>
        <w:rPr>
          <w:rFonts w:cs="仿宋_GB2312" w:asciiTheme="minorEastAsia" w:hAnsiTheme="minorEastAsia" w:eastAsiaTheme="minorEastAsia"/>
          <w:kern w:val="0"/>
          <w:sz w:val="24"/>
        </w:rPr>
        <w:t>在污水处理过程中涉及的主要危险化学品为盐酸、氯酸钠、二氧化氯、废机油等。</w:t>
      </w:r>
    </w:p>
    <w:p>
      <w:pPr>
        <w:spacing w:line="460" w:lineRule="exact"/>
        <w:jc w:val="center"/>
        <w:rPr>
          <w:sz w:val="24"/>
          <w:szCs w:val="24"/>
        </w:rPr>
      </w:pPr>
      <w:r>
        <w:rPr>
          <w:color w:val="000000"/>
          <w:sz w:val="24"/>
          <w:szCs w:val="24"/>
        </w:rPr>
        <w:t>表3.4-1</w:t>
      </w:r>
      <w:r>
        <w:rPr>
          <w:rFonts w:hint="eastAsia"/>
          <w:color w:val="000000"/>
          <w:sz w:val="24"/>
          <w:szCs w:val="24"/>
        </w:rPr>
        <w:t xml:space="preserve">  </w:t>
      </w:r>
      <w:r>
        <w:rPr>
          <w:rFonts w:hint="eastAsia"/>
          <w:sz w:val="24"/>
          <w:szCs w:val="24"/>
        </w:rPr>
        <w:t>企业</w:t>
      </w:r>
      <w:r>
        <w:rPr>
          <w:sz w:val="24"/>
          <w:szCs w:val="24"/>
        </w:rPr>
        <w:t>生产原料、产品以及“三废”中涉及的环境风险物质</w:t>
      </w:r>
      <w:r>
        <w:rPr>
          <w:rFonts w:hint="eastAsia"/>
          <w:sz w:val="24"/>
          <w:szCs w:val="24"/>
        </w:rPr>
        <w:t>储量</w:t>
      </w:r>
      <w:r>
        <w:rPr>
          <w:sz w:val="24"/>
          <w:szCs w:val="24"/>
        </w:rPr>
        <w:t>统计</w:t>
      </w:r>
      <w:r>
        <w:rPr>
          <w:rFonts w:hint="eastAsia"/>
          <w:sz w:val="24"/>
          <w:szCs w:val="24"/>
        </w:rPr>
        <w:t>表</w:t>
      </w:r>
    </w:p>
    <w:tbl>
      <w:tblPr>
        <w:tblStyle w:val="54"/>
        <w:tblW w:w="9033" w:type="dxa"/>
        <w:jc w:val="center"/>
        <w:tblInd w:w="0" w:type="dxa"/>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79"/>
        <w:gridCol w:w="1333"/>
        <w:gridCol w:w="1134"/>
        <w:gridCol w:w="1418"/>
        <w:gridCol w:w="1275"/>
        <w:gridCol w:w="1560"/>
        <w:gridCol w:w="1634"/>
      </w:tblGrid>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88" w:hRule="atLeast"/>
          <w:tblHeader/>
          <w:jc w:val="center"/>
        </w:trPr>
        <w:tc>
          <w:tcPr>
            <w:tcW w:w="679" w:type="dxa"/>
            <w:tcBorders>
              <w:top w:val="thinThickSmallGap" w:color="auto" w:sz="12" w:space="0"/>
            </w:tcBorders>
            <w:vAlign w:val="center"/>
          </w:tcPr>
          <w:p>
            <w:pPr>
              <w:pStyle w:val="193"/>
              <w:spacing w:line="400" w:lineRule="exact"/>
              <w:rPr>
                <w:rFonts w:ascii="仿宋_GB2312" w:eastAsia="仿宋_GB2312"/>
                <w:kern w:val="2"/>
                <w:sz w:val="21"/>
                <w:szCs w:val="21"/>
              </w:rPr>
            </w:pPr>
            <w:r>
              <w:rPr>
                <w:rFonts w:hint="eastAsia" w:ascii="仿宋_GB2312" w:eastAsia="仿宋_GB2312"/>
                <w:kern w:val="2"/>
                <w:sz w:val="21"/>
                <w:szCs w:val="21"/>
              </w:rPr>
              <w:t>序号</w:t>
            </w:r>
          </w:p>
        </w:tc>
        <w:tc>
          <w:tcPr>
            <w:tcW w:w="1333" w:type="dxa"/>
            <w:tcBorders>
              <w:top w:val="thinThickSmallGap" w:color="auto" w:sz="12" w:space="0"/>
            </w:tcBorders>
            <w:vAlign w:val="center"/>
          </w:tcPr>
          <w:p>
            <w:pPr>
              <w:pStyle w:val="193"/>
              <w:spacing w:line="400" w:lineRule="exact"/>
              <w:rPr>
                <w:rFonts w:ascii="仿宋_GB2312" w:eastAsia="仿宋_GB2312"/>
                <w:kern w:val="2"/>
                <w:sz w:val="21"/>
                <w:szCs w:val="21"/>
              </w:rPr>
            </w:pPr>
            <w:r>
              <w:rPr>
                <w:rFonts w:hint="eastAsia" w:ascii="仿宋_GB2312" w:eastAsia="仿宋_GB2312"/>
                <w:kern w:val="2"/>
                <w:sz w:val="21"/>
                <w:szCs w:val="21"/>
              </w:rPr>
              <w:t>品种名称</w:t>
            </w:r>
          </w:p>
        </w:tc>
        <w:tc>
          <w:tcPr>
            <w:tcW w:w="1134" w:type="dxa"/>
            <w:tcBorders>
              <w:top w:val="thinThickSmallGap" w:color="auto" w:sz="12" w:space="0"/>
            </w:tcBorders>
            <w:vAlign w:val="center"/>
          </w:tcPr>
          <w:p>
            <w:pPr>
              <w:pStyle w:val="193"/>
              <w:spacing w:line="400" w:lineRule="exact"/>
              <w:rPr>
                <w:rFonts w:ascii="仿宋_GB2312" w:eastAsia="仿宋_GB2312"/>
                <w:kern w:val="2"/>
                <w:sz w:val="21"/>
                <w:szCs w:val="21"/>
              </w:rPr>
            </w:pPr>
            <w:r>
              <w:rPr>
                <w:rFonts w:hint="eastAsia" w:ascii="仿宋_GB2312" w:eastAsia="仿宋_GB2312"/>
                <w:kern w:val="2"/>
                <w:sz w:val="21"/>
                <w:szCs w:val="21"/>
              </w:rPr>
              <w:t>规格</w:t>
            </w:r>
          </w:p>
        </w:tc>
        <w:tc>
          <w:tcPr>
            <w:tcW w:w="1418" w:type="dxa"/>
            <w:tcBorders>
              <w:top w:val="thinThickSmallGap" w:color="auto" w:sz="12" w:space="0"/>
            </w:tcBorders>
            <w:vAlign w:val="center"/>
          </w:tcPr>
          <w:p>
            <w:pPr>
              <w:pStyle w:val="193"/>
              <w:spacing w:line="400" w:lineRule="exact"/>
              <w:rPr>
                <w:rFonts w:ascii="仿宋_GB2312" w:eastAsia="仿宋_GB2312"/>
                <w:kern w:val="2"/>
                <w:sz w:val="21"/>
                <w:szCs w:val="21"/>
              </w:rPr>
            </w:pPr>
            <w:r>
              <w:rPr>
                <w:rFonts w:hint="eastAsia" w:ascii="仿宋_GB2312" w:eastAsia="仿宋_GB2312"/>
                <w:kern w:val="2"/>
                <w:sz w:val="21"/>
                <w:szCs w:val="21"/>
              </w:rPr>
              <w:t>最大储量（t）</w:t>
            </w:r>
          </w:p>
        </w:tc>
        <w:tc>
          <w:tcPr>
            <w:tcW w:w="1275" w:type="dxa"/>
            <w:tcBorders>
              <w:top w:val="thinThickSmallGap" w:color="auto" w:sz="12" w:space="0"/>
            </w:tcBorders>
            <w:vAlign w:val="center"/>
          </w:tcPr>
          <w:p>
            <w:pPr>
              <w:pStyle w:val="193"/>
              <w:spacing w:line="400" w:lineRule="exact"/>
              <w:rPr>
                <w:rFonts w:ascii="仿宋_GB2312" w:eastAsia="仿宋_GB2312"/>
                <w:kern w:val="2"/>
                <w:sz w:val="21"/>
                <w:szCs w:val="21"/>
              </w:rPr>
            </w:pPr>
            <w:r>
              <w:rPr>
                <w:rFonts w:hint="eastAsia" w:ascii="仿宋_GB2312" w:eastAsia="仿宋_GB2312"/>
                <w:kern w:val="2"/>
                <w:sz w:val="21"/>
                <w:szCs w:val="21"/>
              </w:rPr>
              <w:t>储存方式</w:t>
            </w:r>
          </w:p>
        </w:tc>
        <w:tc>
          <w:tcPr>
            <w:tcW w:w="1560" w:type="dxa"/>
            <w:tcBorders>
              <w:top w:val="thinThickSmallGap" w:color="auto" w:sz="12" w:space="0"/>
            </w:tcBorders>
            <w:vAlign w:val="center"/>
          </w:tcPr>
          <w:p>
            <w:pPr>
              <w:pStyle w:val="193"/>
              <w:spacing w:line="400" w:lineRule="exact"/>
              <w:rPr>
                <w:rFonts w:ascii="仿宋_GB2312" w:eastAsia="仿宋_GB2312"/>
                <w:kern w:val="2"/>
                <w:sz w:val="21"/>
                <w:szCs w:val="21"/>
                <w:highlight w:val="yellow"/>
              </w:rPr>
            </w:pPr>
            <w:r>
              <w:rPr>
                <w:rFonts w:hint="eastAsia" w:ascii="仿宋_GB2312" w:eastAsia="仿宋_GB2312"/>
                <w:kern w:val="2"/>
                <w:sz w:val="21"/>
                <w:szCs w:val="21"/>
              </w:rPr>
              <w:t>数量（t/a）</w:t>
            </w:r>
          </w:p>
        </w:tc>
        <w:tc>
          <w:tcPr>
            <w:tcW w:w="1634" w:type="dxa"/>
            <w:tcBorders>
              <w:top w:val="thinThickSmallGap" w:color="auto" w:sz="12" w:space="0"/>
            </w:tcBorders>
            <w:vAlign w:val="center"/>
          </w:tcPr>
          <w:p>
            <w:pPr>
              <w:pStyle w:val="193"/>
              <w:spacing w:line="400" w:lineRule="exact"/>
              <w:rPr>
                <w:rFonts w:ascii="仿宋_GB2312" w:eastAsia="仿宋_GB2312"/>
                <w:kern w:val="2"/>
                <w:sz w:val="21"/>
                <w:szCs w:val="21"/>
              </w:rPr>
            </w:pPr>
            <w:r>
              <w:rPr>
                <w:rFonts w:hint="eastAsia" w:ascii="仿宋_GB2312" w:eastAsia="仿宋_GB2312"/>
                <w:kern w:val="2"/>
                <w:sz w:val="21"/>
                <w:szCs w:val="21"/>
              </w:rPr>
              <w:t>备注</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88" w:hRule="atLeast"/>
          <w:jc w:val="center"/>
        </w:trPr>
        <w:tc>
          <w:tcPr>
            <w:tcW w:w="9033" w:type="dxa"/>
            <w:gridSpan w:val="7"/>
            <w:vAlign w:val="center"/>
          </w:tcPr>
          <w:p>
            <w:pPr>
              <w:pStyle w:val="193"/>
              <w:spacing w:line="400" w:lineRule="exact"/>
              <w:rPr>
                <w:rFonts w:ascii="仿宋_GB2312" w:eastAsia="仿宋_GB2312"/>
                <w:kern w:val="2"/>
                <w:sz w:val="21"/>
                <w:szCs w:val="21"/>
              </w:rPr>
            </w:pPr>
            <w:r>
              <w:rPr>
                <w:rFonts w:hint="eastAsia" w:ascii="仿宋_GB2312" w:eastAsia="仿宋_GB2312"/>
                <w:kern w:val="2"/>
                <w:sz w:val="21"/>
                <w:szCs w:val="21"/>
              </w:rPr>
              <w:t>原辅料</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88" w:hRule="atLeast"/>
          <w:jc w:val="center"/>
        </w:trPr>
        <w:tc>
          <w:tcPr>
            <w:tcW w:w="679" w:type="dxa"/>
            <w:vAlign w:val="center"/>
          </w:tcPr>
          <w:p>
            <w:pPr>
              <w:pStyle w:val="193"/>
              <w:rPr>
                <w:rFonts w:ascii="仿宋_GB2312" w:eastAsia="仿宋_GB2312"/>
                <w:kern w:val="2"/>
                <w:sz w:val="21"/>
                <w:szCs w:val="21"/>
              </w:rPr>
            </w:pPr>
            <w:r>
              <w:rPr>
                <w:rFonts w:hint="eastAsia" w:ascii="仿宋_GB2312" w:eastAsia="仿宋_GB2312"/>
                <w:kern w:val="2"/>
                <w:sz w:val="21"/>
                <w:szCs w:val="21"/>
              </w:rPr>
              <w:t>1</w:t>
            </w:r>
          </w:p>
        </w:tc>
        <w:tc>
          <w:tcPr>
            <w:tcW w:w="1333" w:type="dxa"/>
            <w:vAlign w:val="center"/>
          </w:tcPr>
          <w:p>
            <w:pPr>
              <w:autoSpaceDE w:val="0"/>
              <w:autoSpaceDN w:val="0"/>
              <w:spacing w:line="460" w:lineRule="exact"/>
              <w:jc w:val="center"/>
              <w:rPr>
                <w:rFonts w:ascii="仿宋_GB2312" w:hAnsi="宋体" w:eastAsia="仿宋_GB2312"/>
                <w:szCs w:val="21"/>
              </w:rPr>
            </w:pPr>
            <w:r>
              <w:rPr>
                <w:rFonts w:hint="eastAsia" w:ascii="仿宋_GB2312" w:hAnsi="宋体" w:eastAsia="仿宋_GB2312"/>
                <w:szCs w:val="21"/>
              </w:rPr>
              <w:t>氯酸钠</w:t>
            </w:r>
          </w:p>
        </w:tc>
        <w:tc>
          <w:tcPr>
            <w:tcW w:w="1134" w:type="dxa"/>
            <w:vAlign w:val="center"/>
          </w:tcPr>
          <w:p>
            <w:pPr>
              <w:pStyle w:val="193"/>
              <w:rPr>
                <w:rFonts w:ascii="仿宋_GB2312" w:eastAsia="仿宋_GB2312"/>
                <w:kern w:val="2"/>
                <w:sz w:val="21"/>
                <w:szCs w:val="21"/>
              </w:rPr>
            </w:pPr>
            <w:r>
              <w:rPr>
                <w:rFonts w:hint="eastAsia" w:ascii="仿宋_GB2312" w:eastAsia="仿宋_GB2312"/>
                <w:snapToGrid w:val="0"/>
                <w:kern w:val="2"/>
                <w:sz w:val="21"/>
                <w:szCs w:val="21"/>
              </w:rPr>
              <w:t>3m</w:t>
            </w:r>
            <w:r>
              <w:rPr>
                <w:rFonts w:hint="eastAsia" w:ascii="仿宋_GB2312" w:eastAsia="仿宋_GB2312"/>
                <w:snapToGrid w:val="0"/>
                <w:kern w:val="2"/>
                <w:sz w:val="21"/>
                <w:szCs w:val="21"/>
                <w:vertAlign w:val="superscript"/>
              </w:rPr>
              <w:t>3</w:t>
            </w:r>
          </w:p>
        </w:tc>
        <w:tc>
          <w:tcPr>
            <w:tcW w:w="1418" w:type="dxa"/>
            <w:vAlign w:val="center"/>
          </w:tcPr>
          <w:p>
            <w:pPr>
              <w:keepNext/>
              <w:spacing w:line="240" w:lineRule="atLeast"/>
              <w:ind w:firstLine="420"/>
              <w:rPr>
                <w:rFonts w:ascii="仿宋_GB2312" w:eastAsia="仿宋_GB2312"/>
                <w:bCs/>
                <w:snapToGrid w:val="0"/>
                <w:szCs w:val="21"/>
              </w:rPr>
            </w:pPr>
            <w:r>
              <w:rPr>
                <w:rFonts w:hint="eastAsia" w:ascii="仿宋_GB2312" w:eastAsia="仿宋_GB2312"/>
                <w:bCs/>
                <w:snapToGrid w:val="0"/>
                <w:szCs w:val="21"/>
              </w:rPr>
              <w:t>3</w:t>
            </w:r>
          </w:p>
        </w:tc>
        <w:tc>
          <w:tcPr>
            <w:tcW w:w="1275" w:type="dxa"/>
            <w:vAlign w:val="center"/>
          </w:tcPr>
          <w:p>
            <w:pPr>
              <w:pStyle w:val="193"/>
              <w:rPr>
                <w:rFonts w:ascii="仿宋_GB2312" w:eastAsia="仿宋_GB2312"/>
                <w:kern w:val="2"/>
                <w:sz w:val="21"/>
                <w:szCs w:val="21"/>
              </w:rPr>
            </w:pPr>
            <w:r>
              <w:rPr>
                <w:rFonts w:hint="eastAsia" w:ascii="仿宋_GB2312" w:eastAsia="仿宋_GB2312"/>
                <w:kern w:val="2"/>
                <w:sz w:val="21"/>
                <w:szCs w:val="21"/>
              </w:rPr>
              <w:t>储罐</w:t>
            </w:r>
          </w:p>
        </w:tc>
        <w:tc>
          <w:tcPr>
            <w:tcW w:w="1560" w:type="dxa"/>
            <w:vAlign w:val="center"/>
          </w:tcPr>
          <w:p>
            <w:pPr>
              <w:pStyle w:val="193"/>
              <w:rPr>
                <w:rFonts w:ascii="仿宋_GB2312" w:hAnsi="宋体" w:eastAsia="仿宋_GB2312"/>
                <w:kern w:val="2"/>
                <w:sz w:val="21"/>
                <w:szCs w:val="21"/>
                <w:shd w:val="pct10" w:color="auto" w:fill="FFFFFF"/>
              </w:rPr>
            </w:pPr>
            <w:r>
              <w:rPr>
                <w:rFonts w:hint="eastAsia" w:ascii="仿宋_GB2312" w:hAnsi="宋体" w:eastAsia="仿宋_GB2312"/>
                <w:kern w:val="2"/>
                <w:sz w:val="21"/>
                <w:szCs w:val="21"/>
              </w:rPr>
              <w:t>4</w:t>
            </w:r>
          </w:p>
        </w:tc>
        <w:tc>
          <w:tcPr>
            <w:tcW w:w="1634" w:type="dxa"/>
            <w:vAlign w:val="center"/>
          </w:tcPr>
          <w:p>
            <w:pPr>
              <w:jc w:val="center"/>
              <w:rPr>
                <w:rFonts w:ascii="仿宋_GB2312" w:eastAsia="仿宋_GB2312"/>
                <w:szCs w:val="21"/>
              </w:rPr>
            </w:pPr>
            <w:r>
              <w:rPr>
                <w:rFonts w:hint="eastAsia" w:ascii="仿宋_GB2312" w:eastAsia="仿宋_GB2312"/>
                <w:szCs w:val="21"/>
              </w:rPr>
              <w:t>危险化学品</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88" w:hRule="atLeast"/>
          <w:jc w:val="center"/>
        </w:trPr>
        <w:tc>
          <w:tcPr>
            <w:tcW w:w="679" w:type="dxa"/>
            <w:vAlign w:val="center"/>
          </w:tcPr>
          <w:p>
            <w:pPr>
              <w:pStyle w:val="193"/>
              <w:rPr>
                <w:rFonts w:ascii="仿宋_GB2312" w:eastAsia="仿宋_GB2312"/>
                <w:kern w:val="2"/>
                <w:sz w:val="21"/>
                <w:szCs w:val="21"/>
              </w:rPr>
            </w:pPr>
            <w:r>
              <w:rPr>
                <w:rFonts w:hint="eastAsia" w:ascii="仿宋_GB2312" w:eastAsia="仿宋_GB2312"/>
                <w:kern w:val="2"/>
                <w:sz w:val="21"/>
                <w:szCs w:val="21"/>
              </w:rPr>
              <w:t>2</w:t>
            </w:r>
          </w:p>
        </w:tc>
        <w:tc>
          <w:tcPr>
            <w:tcW w:w="1333" w:type="dxa"/>
            <w:vAlign w:val="center"/>
          </w:tcPr>
          <w:p>
            <w:pPr>
              <w:autoSpaceDE w:val="0"/>
              <w:autoSpaceDN w:val="0"/>
              <w:spacing w:line="460" w:lineRule="exact"/>
              <w:jc w:val="center"/>
              <w:rPr>
                <w:rFonts w:ascii="仿宋_GB2312" w:hAnsi="宋体" w:eastAsia="仿宋_GB2312"/>
                <w:szCs w:val="21"/>
              </w:rPr>
            </w:pPr>
            <w:r>
              <w:rPr>
                <w:rFonts w:hint="eastAsia" w:ascii="仿宋_GB2312" w:eastAsia="仿宋_GB2312"/>
                <w:szCs w:val="21"/>
              </w:rPr>
              <w:t>盐酸</w:t>
            </w:r>
          </w:p>
        </w:tc>
        <w:tc>
          <w:tcPr>
            <w:tcW w:w="1134" w:type="dxa"/>
            <w:vAlign w:val="center"/>
          </w:tcPr>
          <w:p>
            <w:pPr>
              <w:pStyle w:val="193"/>
              <w:rPr>
                <w:rFonts w:ascii="仿宋_GB2312" w:eastAsia="仿宋_GB2312"/>
                <w:kern w:val="2"/>
                <w:sz w:val="21"/>
                <w:szCs w:val="21"/>
              </w:rPr>
            </w:pPr>
            <w:r>
              <w:rPr>
                <w:rFonts w:hint="eastAsia" w:ascii="仿宋_GB2312" w:eastAsia="仿宋_GB2312"/>
                <w:snapToGrid w:val="0"/>
                <w:kern w:val="2"/>
                <w:sz w:val="21"/>
                <w:szCs w:val="21"/>
              </w:rPr>
              <w:t>3m</w:t>
            </w:r>
            <w:r>
              <w:rPr>
                <w:rFonts w:hint="eastAsia" w:ascii="仿宋_GB2312" w:eastAsia="仿宋_GB2312"/>
                <w:snapToGrid w:val="0"/>
                <w:kern w:val="2"/>
                <w:sz w:val="21"/>
                <w:szCs w:val="21"/>
                <w:vertAlign w:val="superscript"/>
              </w:rPr>
              <w:t>3</w:t>
            </w:r>
          </w:p>
        </w:tc>
        <w:tc>
          <w:tcPr>
            <w:tcW w:w="1418" w:type="dxa"/>
            <w:vAlign w:val="center"/>
          </w:tcPr>
          <w:p>
            <w:pPr>
              <w:keepNext/>
              <w:spacing w:line="240" w:lineRule="atLeast"/>
              <w:ind w:firstLine="420"/>
              <w:rPr>
                <w:rFonts w:ascii="仿宋_GB2312" w:eastAsia="仿宋_GB2312"/>
                <w:bCs/>
                <w:snapToGrid w:val="0"/>
                <w:szCs w:val="21"/>
              </w:rPr>
            </w:pPr>
            <w:r>
              <w:rPr>
                <w:rFonts w:hint="eastAsia" w:ascii="仿宋_GB2312" w:eastAsia="仿宋_GB2312"/>
                <w:bCs/>
                <w:snapToGrid w:val="0"/>
                <w:szCs w:val="21"/>
              </w:rPr>
              <w:t>3</w:t>
            </w:r>
          </w:p>
        </w:tc>
        <w:tc>
          <w:tcPr>
            <w:tcW w:w="1275" w:type="dxa"/>
            <w:vAlign w:val="center"/>
          </w:tcPr>
          <w:p>
            <w:pPr>
              <w:pStyle w:val="193"/>
              <w:rPr>
                <w:rFonts w:ascii="仿宋_GB2312" w:eastAsia="仿宋_GB2312"/>
                <w:kern w:val="2"/>
                <w:sz w:val="21"/>
                <w:szCs w:val="21"/>
              </w:rPr>
            </w:pPr>
            <w:r>
              <w:rPr>
                <w:rFonts w:hint="eastAsia" w:ascii="仿宋_GB2312" w:eastAsia="仿宋_GB2312"/>
                <w:kern w:val="2"/>
                <w:sz w:val="21"/>
                <w:szCs w:val="21"/>
              </w:rPr>
              <w:t>储罐</w:t>
            </w:r>
          </w:p>
        </w:tc>
        <w:tc>
          <w:tcPr>
            <w:tcW w:w="1560" w:type="dxa"/>
            <w:vAlign w:val="center"/>
          </w:tcPr>
          <w:p>
            <w:pPr>
              <w:pStyle w:val="193"/>
              <w:rPr>
                <w:rFonts w:ascii="仿宋_GB2312" w:hAnsi="宋体" w:eastAsia="仿宋_GB2312"/>
                <w:kern w:val="2"/>
                <w:sz w:val="21"/>
                <w:szCs w:val="21"/>
                <w:shd w:val="pct10" w:color="auto" w:fill="FFFFFF"/>
              </w:rPr>
            </w:pPr>
            <w:r>
              <w:rPr>
                <w:rFonts w:hint="eastAsia" w:ascii="仿宋_GB2312" w:hAnsi="宋体" w:eastAsia="仿宋_GB2312"/>
                <w:kern w:val="2"/>
                <w:sz w:val="21"/>
                <w:szCs w:val="21"/>
              </w:rPr>
              <w:t>5</w:t>
            </w:r>
          </w:p>
        </w:tc>
        <w:tc>
          <w:tcPr>
            <w:tcW w:w="1634" w:type="dxa"/>
            <w:vAlign w:val="center"/>
          </w:tcPr>
          <w:p>
            <w:pPr>
              <w:jc w:val="center"/>
              <w:rPr>
                <w:rFonts w:ascii="仿宋_GB2312" w:eastAsia="仿宋_GB2312"/>
                <w:szCs w:val="21"/>
              </w:rPr>
            </w:pPr>
            <w:r>
              <w:rPr>
                <w:rFonts w:hint="eastAsia" w:ascii="仿宋_GB2312" w:eastAsia="仿宋_GB2312"/>
                <w:szCs w:val="21"/>
              </w:rPr>
              <w:t>危险化学品</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88" w:hRule="atLeast"/>
          <w:jc w:val="center"/>
        </w:trPr>
        <w:tc>
          <w:tcPr>
            <w:tcW w:w="679" w:type="dxa"/>
            <w:vAlign w:val="center"/>
          </w:tcPr>
          <w:p>
            <w:pPr>
              <w:pStyle w:val="193"/>
              <w:rPr>
                <w:rFonts w:ascii="仿宋_GB2312" w:eastAsia="仿宋_GB2312"/>
                <w:kern w:val="2"/>
                <w:sz w:val="21"/>
                <w:szCs w:val="21"/>
              </w:rPr>
            </w:pPr>
            <w:r>
              <w:rPr>
                <w:rFonts w:hint="eastAsia" w:ascii="仿宋_GB2312" w:eastAsia="仿宋_GB2312"/>
                <w:kern w:val="2"/>
                <w:sz w:val="21"/>
                <w:szCs w:val="21"/>
              </w:rPr>
              <w:t>3</w:t>
            </w:r>
          </w:p>
        </w:tc>
        <w:tc>
          <w:tcPr>
            <w:tcW w:w="1333" w:type="dxa"/>
            <w:vAlign w:val="center"/>
          </w:tcPr>
          <w:p>
            <w:pPr>
              <w:autoSpaceDE w:val="0"/>
              <w:autoSpaceDN w:val="0"/>
              <w:spacing w:line="460" w:lineRule="exact"/>
              <w:jc w:val="center"/>
              <w:rPr>
                <w:rFonts w:ascii="仿宋_GB2312" w:eastAsia="仿宋_GB2312"/>
                <w:szCs w:val="21"/>
              </w:rPr>
            </w:pPr>
            <w:r>
              <w:rPr>
                <w:rFonts w:hint="eastAsia" w:ascii="仿宋_GB2312" w:eastAsia="仿宋_GB2312"/>
                <w:szCs w:val="21"/>
              </w:rPr>
              <w:t>氢氧化钠</w:t>
            </w:r>
          </w:p>
        </w:tc>
        <w:tc>
          <w:tcPr>
            <w:tcW w:w="1134" w:type="dxa"/>
            <w:vAlign w:val="center"/>
          </w:tcPr>
          <w:p>
            <w:pPr>
              <w:pStyle w:val="193"/>
              <w:rPr>
                <w:rFonts w:ascii="仿宋_GB2312" w:eastAsia="仿宋_GB2312"/>
                <w:kern w:val="2"/>
                <w:sz w:val="21"/>
                <w:szCs w:val="21"/>
              </w:rPr>
            </w:pPr>
            <w:r>
              <w:rPr>
                <w:rFonts w:hint="eastAsia" w:ascii="仿宋_GB2312" w:eastAsia="仿宋_GB2312"/>
                <w:sz w:val="21"/>
                <w:szCs w:val="21"/>
              </w:rPr>
              <w:t>25kg/袋</w:t>
            </w:r>
          </w:p>
        </w:tc>
        <w:tc>
          <w:tcPr>
            <w:tcW w:w="1418" w:type="dxa"/>
            <w:vAlign w:val="center"/>
          </w:tcPr>
          <w:p>
            <w:pPr>
              <w:keepNext/>
              <w:spacing w:line="240" w:lineRule="atLeast"/>
              <w:ind w:firstLine="420"/>
              <w:rPr>
                <w:rFonts w:ascii="仿宋_GB2312" w:eastAsia="仿宋_GB2312"/>
                <w:bCs/>
                <w:snapToGrid w:val="0"/>
                <w:szCs w:val="21"/>
              </w:rPr>
            </w:pPr>
            <w:r>
              <w:rPr>
                <w:rFonts w:hint="eastAsia" w:ascii="仿宋_GB2312" w:eastAsia="仿宋_GB2312"/>
                <w:bCs/>
                <w:snapToGrid w:val="0"/>
                <w:szCs w:val="21"/>
              </w:rPr>
              <w:t>3</w:t>
            </w:r>
          </w:p>
        </w:tc>
        <w:tc>
          <w:tcPr>
            <w:tcW w:w="1275" w:type="dxa"/>
            <w:vAlign w:val="center"/>
          </w:tcPr>
          <w:p>
            <w:pPr>
              <w:pStyle w:val="193"/>
              <w:rPr>
                <w:rFonts w:ascii="仿宋_GB2312" w:eastAsia="仿宋_GB2312"/>
                <w:kern w:val="2"/>
                <w:sz w:val="21"/>
                <w:szCs w:val="21"/>
              </w:rPr>
            </w:pPr>
            <w:r>
              <w:rPr>
                <w:rFonts w:hint="eastAsia" w:ascii="仿宋_GB2312" w:eastAsia="仿宋_GB2312"/>
                <w:kern w:val="2"/>
                <w:sz w:val="21"/>
                <w:szCs w:val="21"/>
              </w:rPr>
              <w:t>袋装</w:t>
            </w:r>
          </w:p>
        </w:tc>
        <w:tc>
          <w:tcPr>
            <w:tcW w:w="1560" w:type="dxa"/>
            <w:vAlign w:val="center"/>
          </w:tcPr>
          <w:p>
            <w:pPr>
              <w:pStyle w:val="193"/>
              <w:rPr>
                <w:rFonts w:ascii="仿宋_GB2312" w:hAnsi="宋体" w:eastAsia="仿宋_GB2312"/>
                <w:kern w:val="2"/>
                <w:sz w:val="21"/>
                <w:szCs w:val="21"/>
              </w:rPr>
            </w:pPr>
            <w:r>
              <w:rPr>
                <w:rFonts w:hint="eastAsia" w:ascii="仿宋_GB2312" w:hAnsi="宋体" w:eastAsia="仿宋_GB2312"/>
                <w:kern w:val="2"/>
                <w:sz w:val="21"/>
                <w:szCs w:val="21"/>
              </w:rPr>
              <w:t>125</w:t>
            </w:r>
          </w:p>
        </w:tc>
        <w:tc>
          <w:tcPr>
            <w:tcW w:w="1634" w:type="dxa"/>
            <w:vAlign w:val="center"/>
          </w:tcPr>
          <w:p>
            <w:pPr>
              <w:jc w:val="center"/>
              <w:rPr>
                <w:rFonts w:ascii="仿宋_GB2312" w:eastAsia="仿宋_GB2312"/>
                <w:szCs w:val="21"/>
              </w:rPr>
            </w:pPr>
            <w:r>
              <w:rPr>
                <w:rFonts w:hint="eastAsia" w:ascii="仿宋_GB2312" w:eastAsia="仿宋_GB2312"/>
                <w:szCs w:val="21"/>
              </w:rPr>
              <w:t>危险化学品</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PrEx>
        <w:trPr>
          <w:trHeight w:val="388" w:hRule="atLeast"/>
          <w:jc w:val="center"/>
        </w:trPr>
        <w:tc>
          <w:tcPr>
            <w:tcW w:w="679" w:type="dxa"/>
            <w:vAlign w:val="center"/>
          </w:tcPr>
          <w:p>
            <w:pPr>
              <w:pStyle w:val="193"/>
              <w:rPr>
                <w:rFonts w:ascii="仿宋_GB2312" w:eastAsia="仿宋_GB2312"/>
                <w:kern w:val="2"/>
                <w:sz w:val="21"/>
                <w:szCs w:val="21"/>
              </w:rPr>
            </w:pPr>
            <w:r>
              <w:rPr>
                <w:rFonts w:hint="eastAsia" w:ascii="仿宋_GB2312" w:eastAsia="仿宋_GB2312"/>
                <w:kern w:val="2"/>
                <w:sz w:val="21"/>
                <w:szCs w:val="21"/>
              </w:rPr>
              <w:t>4</w:t>
            </w:r>
          </w:p>
        </w:tc>
        <w:tc>
          <w:tcPr>
            <w:tcW w:w="1333" w:type="dxa"/>
            <w:vAlign w:val="center"/>
          </w:tcPr>
          <w:p>
            <w:pPr>
              <w:autoSpaceDE w:val="0"/>
              <w:autoSpaceDN w:val="0"/>
              <w:spacing w:line="460" w:lineRule="exact"/>
              <w:jc w:val="center"/>
              <w:rPr>
                <w:rFonts w:ascii="仿宋_GB2312" w:hAnsi="宋体" w:eastAsia="仿宋_GB2312"/>
                <w:szCs w:val="21"/>
              </w:rPr>
            </w:pPr>
            <w:r>
              <w:rPr>
                <w:rFonts w:hint="eastAsia" w:ascii="仿宋_GB2312" w:hAnsi="宋体" w:eastAsia="仿宋_GB2312"/>
                <w:szCs w:val="21"/>
              </w:rPr>
              <w:t>聚丙烯酰胺</w:t>
            </w:r>
          </w:p>
        </w:tc>
        <w:tc>
          <w:tcPr>
            <w:tcW w:w="1134" w:type="dxa"/>
            <w:vAlign w:val="center"/>
          </w:tcPr>
          <w:p>
            <w:pPr>
              <w:jc w:val="center"/>
              <w:rPr>
                <w:rFonts w:ascii="仿宋_GB2312" w:eastAsia="仿宋_GB2312"/>
                <w:szCs w:val="21"/>
              </w:rPr>
            </w:pPr>
            <w:r>
              <w:rPr>
                <w:rFonts w:hint="eastAsia" w:ascii="仿宋_GB2312" w:eastAsia="仿宋_GB2312"/>
                <w:szCs w:val="21"/>
              </w:rPr>
              <w:t>25kg/袋</w:t>
            </w:r>
          </w:p>
        </w:tc>
        <w:tc>
          <w:tcPr>
            <w:tcW w:w="1418" w:type="dxa"/>
            <w:vAlign w:val="center"/>
          </w:tcPr>
          <w:p>
            <w:pPr>
              <w:keepNext/>
              <w:spacing w:line="240" w:lineRule="atLeast"/>
              <w:ind w:firstLine="420"/>
              <w:rPr>
                <w:rFonts w:ascii="仿宋_GB2312" w:eastAsia="仿宋_GB2312"/>
                <w:bCs/>
                <w:snapToGrid w:val="0"/>
                <w:szCs w:val="21"/>
              </w:rPr>
            </w:pPr>
            <w:r>
              <w:rPr>
                <w:rFonts w:hint="eastAsia" w:ascii="仿宋_GB2312" w:eastAsia="仿宋_GB2312"/>
                <w:bCs/>
                <w:snapToGrid w:val="0"/>
                <w:szCs w:val="21"/>
              </w:rPr>
              <w:t>2</w:t>
            </w:r>
          </w:p>
        </w:tc>
        <w:tc>
          <w:tcPr>
            <w:tcW w:w="1275" w:type="dxa"/>
            <w:vAlign w:val="center"/>
          </w:tcPr>
          <w:p>
            <w:pPr>
              <w:jc w:val="center"/>
              <w:rPr>
                <w:rFonts w:ascii="仿宋_GB2312" w:eastAsia="仿宋_GB2312"/>
                <w:szCs w:val="21"/>
              </w:rPr>
            </w:pPr>
            <w:r>
              <w:rPr>
                <w:rFonts w:hint="eastAsia" w:ascii="仿宋_GB2312" w:eastAsia="仿宋_GB2312"/>
                <w:szCs w:val="21"/>
              </w:rPr>
              <w:t>袋装</w:t>
            </w:r>
          </w:p>
        </w:tc>
        <w:tc>
          <w:tcPr>
            <w:tcW w:w="1560" w:type="dxa"/>
            <w:vAlign w:val="center"/>
          </w:tcPr>
          <w:p>
            <w:pPr>
              <w:pStyle w:val="193"/>
              <w:rPr>
                <w:rFonts w:ascii="仿宋_GB2312" w:eastAsia="仿宋_GB2312"/>
                <w:bCs/>
                <w:snapToGrid w:val="0"/>
                <w:kern w:val="2"/>
                <w:sz w:val="21"/>
                <w:szCs w:val="21"/>
              </w:rPr>
            </w:pPr>
            <w:r>
              <w:rPr>
                <w:rFonts w:hint="eastAsia" w:ascii="仿宋_GB2312" w:hAnsi="宋体" w:eastAsia="仿宋_GB2312"/>
                <w:kern w:val="2"/>
                <w:sz w:val="21"/>
                <w:szCs w:val="21"/>
              </w:rPr>
              <w:t>80</w:t>
            </w:r>
          </w:p>
        </w:tc>
        <w:tc>
          <w:tcPr>
            <w:tcW w:w="1634" w:type="dxa"/>
            <w:vAlign w:val="center"/>
          </w:tcPr>
          <w:p>
            <w:pPr>
              <w:jc w:val="center"/>
              <w:rPr>
                <w:rFonts w:ascii="仿宋_GB2312" w:eastAsia="仿宋_GB2312"/>
                <w:szCs w:val="21"/>
              </w:rPr>
            </w:pPr>
            <w:r>
              <w:rPr>
                <w:rFonts w:hint="eastAsia" w:ascii="仿宋_GB2312" w:eastAsia="仿宋_GB2312"/>
                <w:szCs w:val="21"/>
              </w:rPr>
              <w:t>非危险化学品</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88" w:hRule="atLeast"/>
          <w:jc w:val="center"/>
        </w:trPr>
        <w:tc>
          <w:tcPr>
            <w:tcW w:w="679" w:type="dxa"/>
            <w:vAlign w:val="center"/>
          </w:tcPr>
          <w:p>
            <w:pPr>
              <w:pStyle w:val="193"/>
              <w:rPr>
                <w:rFonts w:ascii="仿宋_GB2312" w:eastAsia="仿宋_GB2312"/>
                <w:kern w:val="2"/>
                <w:sz w:val="21"/>
                <w:szCs w:val="21"/>
              </w:rPr>
            </w:pPr>
            <w:r>
              <w:rPr>
                <w:rFonts w:hint="eastAsia" w:ascii="仿宋_GB2312" w:eastAsia="仿宋_GB2312"/>
                <w:kern w:val="2"/>
                <w:sz w:val="21"/>
                <w:szCs w:val="21"/>
              </w:rPr>
              <w:t>5</w:t>
            </w:r>
          </w:p>
        </w:tc>
        <w:tc>
          <w:tcPr>
            <w:tcW w:w="1333" w:type="dxa"/>
            <w:vAlign w:val="center"/>
          </w:tcPr>
          <w:p>
            <w:pPr>
              <w:autoSpaceDE w:val="0"/>
              <w:autoSpaceDN w:val="0"/>
              <w:spacing w:line="460" w:lineRule="exact"/>
              <w:jc w:val="center"/>
              <w:rPr>
                <w:rFonts w:ascii="仿宋_GB2312" w:hAnsi="宋体" w:eastAsia="仿宋_GB2312"/>
                <w:szCs w:val="21"/>
              </w:rPr>
            </w:pPr>
            <w:r>
              <w:rPr>
                <w:rFonts w:hint="eastAsia" w:ascii="仿宋_GB2312" w:hAnsi="宋体" w:eastAsia="仿宋_GB2312"/>
                <w:szCs w:val="21"/>
              </w:rPr>
              <w:t>聚合氯化铝</w:t>
            </w:r>
          </w:p>
        </w:tc>
        <w:tc>
          <w:tcPr>
            <w:tcW w:w="1134" w:type="dxa"/>
            <w:vAlign w:val="center"/>
          </w:tcPr>
          <w:p>
            <w:pPr>
              <w:jc w:val="center"/>
              <w:rPr>
                <w:rFonts w:ascii="仿宋_GB2312" w:eastAsia="仿宋_GB2312"/>
                <w:szCs w:val="21"/>
              </w:rPr>
            </w:pPr>
            <w:r>
              <w:rPr>
                <w:rFonts w:hint="eastAsia" w:ascii="仿宋_GB2312" w:eastAsia="仿宋_GB2312"/>
                <w:szCs w:val="21"/>
              </w:rPr>
              <w:t>25kg/袋</w:t>
            </w:r>
          </w:p>
        </w:tc>
        <w:tc>
          <w:tcPr>
            <w:tcW w:w="1418" w:type="dxa"/>
            <w:vAlign w:val="center"/>
          </w:tcPr>
          <w:p>
            <w:pPr>
              <w:keepNext/>
              <w:spacing w:line="240" w:lineRule="atLeast"/>
              <w:ind w:firstLine="420"/>
              <w:rPr>
                <w:rFonts w:ascii="仿宋_GB2312" w:eastAsia="仿宋_GB2312"/>
                <w:bCs/>
                <w:snapToGrid w:val="0"/>
                <w:szCs w:val="21"/>
              </w:rPr>
            </w:pPr>
            <w:r>
              <w:rPr>
                <w:rFonts w:hint="eastAsia" w:ascii="仿宋_GB2312" w:eastAsia="仿宋_GB2312"/>
                <w:bCs/>
                <w:snapToGrid w:val="0"/>
                <w:szCs w:val="21"/>
              </w:rPr>
              <w:t>3</w:t>
            </w:r>
          </w:p>
        </w:tc>
        <w:tc>
          <w:tcPr>
            <w:tcW w:w="1275" w:type="dxa"/>
            <w:vAlign w:val="center"/>
          </w:tcPr>
          <w:p>
            <w:pPr>
              <w:tabs>
                <w:tab w:val="center" w:pos="529"/>
              </w:tabs>
              <w:jc w:val="center"/>
              <w:rPr>
                <w:rFonts w:ascii="仿宋_GB2312" w:eastAsia="仿宋_GB2312"/>
                <w:szCs w:val="21"/>
              </w:rPr>
            </w:pPr>
            <w:r>
              <w:rPr>
                <w:rFonts w:hint="eastAsia" w:ascii="仿宋_GB2312" w:eastAsia="仿宋_GB2312"/>
                <w:szCs w:val="21"/>
              </w:rPr>
              <w:t>袋装</w:t>
            </w:r>
          </w:p>
        </w:tc>
        <w:tc>
          <w:tcPr>
            <w:tcW w:w="1560" w:type="dxa"/>
            <w:vAlign w:val="center"/>
          </w:tcPr>
          <w:p>
            <w:pPr>
              <w:keepNext/>
              <w:spacing w:line="240" w:lineRule="atLeast"/>
              <w:jc w:val="center"/>
              <w:rPr>
                <w:rFonts w:ascii="仿宋_GB2312" w:eastAsia="仿宋_GB2312"/>
                <w:bCs/>
                <w:snapToGrid w:val="0"/>
                <w:szCs w:val="21"/>
              </w:rPr>
            </w:pPr>
            <w:r>
              <w:rPr>
                <w:rFonts w:hint="eastAsia" w:ascii="仿宋_GB2312" w:hAnsi="宋体" w:eastAsia="仿宋_GB2312"/>
                <w:szCs w:val="21"/>
              </w:rPr>
              <w:t>110</w:t>
            </w:r>
          </w:p>
        </w:tc>
        <w:tc>
          <w:tcPr>
            <w:tcW w:w="1634" w:type="dxa"/>
            <w:vAlign w:val="center"/>
          </w:tcPr>
          <w:p>
            <w:pPr>
              <w:jc w:val="center"/>
              <w:rPr>
                <w:rFonts w:ascii="仿宋_GB2312" w:eastAsia="仿宋_GB2312"/>
                <w:szCs w:val="21"/>
              </w:rPr>
            </w:pPr>
            <w:r>
              <w:rPr>
                <w:rFonts w:hint="eastAsia" w:ascii="仿宋_GB2312" w:eastAsia="仿宋_GB2312"/>
                <w:szCs w:val="21"/>
              </w:rPr>
              <w:t>非危险化学品</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88" w:hRule="atLeast"/>
          <w:jc w:val="center"/>
        </w:trPr>
        <w:tc>
          <w:tcPr>
            <w:tcW w:w="9033" w:type="dxa"/>
            <w:gridSpan w:val="7"/>
            <w:vAlign w:val="center"/>
          </w:tcPr>
          <w:p>
            <w:pPr>
              <w:pStyle w:val="193"/>
              <w:rPr>
                <w:rFonts w:ascii="仿宋_GB2312" w:eastAsia="仿宋_GB2312"/>
                <w:kern w:val="2"/>
                <w:sz w:val="21"/>
                <w:szCs w:val="21"/>
              </w:rPr>
            </w:pPr>
            <w:r>
              <w:rPr>
                <w:rFonts w:hint="eastAsia" w:ascii="仿宋_GB2312" w:eastAsia="仿宋_GB2312"/>
                <w:kern w:val="2"/>
                <w:sz w:val="21"/>
                <w:szCs w:val="21"/>
              </w:rPr>
              <w:t>中间产物</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88" w:hRule="atLeast"/>
          <w:jc w:val="center"/>
        </w:trPr>
        <w:tc>
          <w:tcPr>
            <w:tcW w:w="679" w:type="dxa"/>
            <w:vAlign w:val="center"/>
          </w:tcPr>
          <w:p>
            <w:pPr>
              <w:pStyle w:val="193"/>
              <w:rPr>
                <w:rFonts w:ascii="仿宋_GB2312" w:eastAsia="仿宋_GB2312"/>
                <w:kern w:val="2"/>
                <w:sz w:val="21"/>
                <w:szCs w:val="21"/>
              </w:rPr>
            </w:pPr>
            <w:r>
              <w:rPr>
                <w:rFonts w:hint="eastAsia" w:ascii="仿宋_GB2312" w:eastAsia="仿宋_GB2312"/>
                <w:kern w:val="2"/>
                <w:sz w:val="21"/>
                <w:szCs w:val="21"/>
              </w:rPr>
              <w:t>1</w:t>
            </w:r>
          </w:p>
        </w:tc>
        <w:tc>
          <w:tcPr>
            <w:tcW w:w="2467" w:type="dxa"/>
            <w:gridSpan w:val="2"/>
            <w:vAlign w:val="center"/>
          </w:tcPr>
          <w:p>
            <w:pPr>
              <w:pStyle w:val="193"/>
              <w:rPr>
                <w:rFonts w:ascii="仿宋_GB2312" w:eastAsia="仿宋_GB2312"/>
                <w:kern w:val="2"/>
                <w:sz w:val="21"/>
                <w:szCs w:val="21"/>
              </w:rPr>
            </w:pPr>
            <w:r>
              <w:rPr>
                <w:rFonts w:hint="eastAsia" w:ascii="仿宋_GB2312" w:hAnsi="宋体" w:eastAsia="仿宋_GB2312"/>
                <w:kern w:val="2"/>
                <w:sz w:val="21"/>
                <w:szCs w:val="21"/>
              </w:rPr>
              <w:t>二氧化氯</w:t>
            </w:r>
          </w:p>
        </w:tc>
        <w:tc>
          <w:tcPr>
            <w:tcW w:w="1418" w:type="dxa"/>
            <w:vAlign w:val="center"/>
          </w:tcPr>
          <w:p>
            <w:pPr>
              <w:pStyle w:val="193"/>
              <w:rPr>
                <w:rFonts w:ascii="仿宋_GB2312" w:eastAsia="仿宋_GB2312"/>
                <w:kern w:val="2"/>
                <w:sz w:val="21"/>
                <w:szCs w:val="21"/>
              </w:rPr>
            </w:pPr>
            <w:r>
              <w:rPr>
                <w:rFonts w:hint="eastAsia" w:ascii="仿宋_GB2312" w:eastAsia="仿宋_GB2312"/>
                <w:kern w:val="2"/>
                <w:sz w:val="21"/>
                <w:szCs w:val="21"/>
              </w:rPr>
              <w:t>/</w:t>
            </w:r>
          </w:p>
        </w:tc>
        <w:tc>
          <w:tcPr>
            <w:tcW w:w="1275" w:type="dxa"/>
            <w:vAlign w:val="center"/>
          </w:tcPr>
          <w:p>
            <w:pPr>
              <w:pStyle w:val="193"/>
              <w:rPr>
                <w:rFonts w:ascii="仿宋_GB2312" w:eastAsia="仿宋_GB2312"/>
                <w:kern w:val="2"/>
                <w:sz w:val="21"/>
                <w:szCs w:val="21"/>
              </w:rPr>
            </w:pPr>
            <w:r>
              <w:rPr>
                <w:rFonts w:hint="eastAsia" w:ascii="仿宋_GB2312" w:eastAsia="仿宋_GB2312"/>
                <w:kern w:val="2"/>
                <w:sz w:val="21"/>
                <w:szCs w:val="21"/>
              </w:rPr>
              <w:t>/</w:t>
            </w:r>
          </w:p>
        </w:tc>
        <w:tc>
          <w:tcPr>
            <w:tcW w:w="1560" w:type="dxa"/>
            <w:vAlign w:val="center"/>
          </w:tcPr>
          <w:p>
            <w:pPr>
              <w:pStyle w:val="193"/>
              <w:rPr>
                <w:rFonts w:ascii="仿宋_GB2312" w:eastAsia="仿宋_GB2312"/>
                <w:kern w:val="2"/>
                <w:sz w:val="21"/>
                <w:szCs w:val="21"/>
              </w:rPr>
            </w:pPr>
            <w:r>
              <w:rPr>
                <w:rFonts w:hint="eastAsia" w:ascii="仿宋_GB2312" w:hAnsi="宋体" w:eastAsia="仿宋_GB2312"/>
                <w:kern w:val="2"/>
                <w:sz w:val="21"/>
                <w:szCs w:val="21"/>
              </w:rPr>
              <w:t>/</w:t>
            </w:r>
          </w:p>
        </w:tc>
        <w:tc>
          <w:tcPr>
            <w:tcW w:w="1634" w:type="dxa"/>
            <w:vAlign w:val="center"/>
          </w:tcPr>
          <w:p>
            <w:pPr>
              <w:pStyle w:val="193"/>
              <w:rPr>
                <w:rFonts w:ascii="仿宋_GB2312" w:eastAsia="仿宋_GB2312"/>
                <w:kern w:val="2"/>
                <w:sz w:val="21"/>
                <w:szCs w:val="21"/>
              </w:rPr>
            </w:pPr>
            <w:r>
              <w:rPr>
                <w:rFonts w:hint="eastAsia" w:ascii="仿宋_GB2312" w:eastAsia="仿宋_GB2312"/>
                <w:kern w:val="2"/>
                <w:sz w:val="21"/>
                <w:szCs w:val="21"/>
              </w:rPr>
              <w:t>现用现制</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88" w:hRule="atLeast"/>
          <w:jc w:val="center"/>
        </w:trPr>
        <w:tc>
          <w:tcPr>
            <w:tcW w:w="9033" w:type="dxa"/>
            <w:gridSpan w:val="7"/>
            <w:vAlign w:val="center"/>
          </w:tcPr>
          <w:p>
            <w:pPr>
              <w:pStyle w:val="193"/>
              <w:rPr>
                <w:rFonts w:ascii="仿宋_GB2312" w:eastAsia="仿宋_GB2312"/>
                <w:kern w:val="2"/>
                <w:sz w:val="21"/>
                <w:szCs w:val="21"/>
              </w:rPr>
            </w:pPr>
            <w:r>
              <w:rPr>
                <w:rFonts w:hint="eastAsia" w:ascii="仿宋_GB2312" w:eastAsia="仿宋_GB2312"/>
                <w:kern w:val="2"/>
                <w:sz w:val="21"/>
                <w:szCs w:val="21"/>
              </w:rPr>
              <w:t>三废</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88" w:hRule="atLeast"/>
          <w:jc w:val="center"/>
        </w:trPr>
        <w:tc>
          <w:tcPr>
            <w:tcW w:w="679" w:type="dxa"/>
            <w:vAlign w:val="center"/>
          </w:tcPr>
          <w:p>
            <w:pPr>
              <w:pStyle w:val="193"/>
              <w:rPr>
                <w:rFonts w:ascii="仿宋_GB2312" w:eastAsia="仿宋_GB2312"/>
                <w:kern w:val="2"/>
                <w:sz w:val="21"/>
                <w:szCs w:val="21"/>
              </w:rPr>
            </w:pPr>
            <w:r>
              <w:rPr>
                <w:rFonts w:hint="eastAsia" w:ascii="仿宋_GB2312" w:eastAsia="仿宋_GB2312"/>
                <w:kern w:val="2"/>
                <w:sz w:val="21"/>
                <w:szCs w:val="21"/>
              </w:rPr>
              <w:t>1</w:t>
            </w:r>
          </w:p>
        </w:tc>
        <w:tc>
          <w:tcPr>
            <w:tcW w:w="2467" w:type="dxa"/>
            <w:gridSpan w:val="2"/>
            <w:vAlign w:val="center"/>
          </w:tcPr>
          <w:p>
            <w:pPr>
              <w:jc w:val="center"/>
              <w:rPr>
                <w:rFonts w:ascii="仿宋_GB2312" w:eastAsia="仿宋_GB2312"/>
                <w:szCs w:val="21"/>
              </w:rPr>
            </w:pPr>
            <w:r>
              <w:rPr>
                <w:rFonts w:hint="eastAsia" w:ascii="仿宋_GB2312" w:eastAsia="仿宋_GB2312" w:cs="??_GB2312"/>
                <w:szCs w:val="21"/>
              </w:rPr>
              <w:t>一般污泥</w:t>
            </w:r>
          </w:p>
        </w:tc>
        <w:tc>
          <w:tcPr>
            <w:tcW w:w="1418" w:type="dxa"/>
            <w:vAlign w:val="center"/>
          </w:tcPr>
          <w:p>
            <w:pPr>
              <w:pStyle w:val="193"/>
              <w:rPr>
                <w:rFonts w:ascii="仿宋_GB2312" w:eastAsia="仿宋_GB2312"/>
                <w:kern w:val="2"/>
                <w:sz w:val="21"/>
                <w:szCs w:val="21"/>
              </w:rPr>
            </w:pPr>
            <w:r>
              <w:rPr>
                <w:rFonts w:hint="eastAsia" w:ascii="仿宋_GB2312" w:eastAsia="仿宋_GB2312"/>
                <w:kern w:val="2"/>
                <w:sz w:val="21"/>
                <w:szCs w:val="21"/>
              </w:rPr>
              <w:t>48</w:t>
            </w:r>
          </w:p>
        </w:tc>
        <w:tc>
          <w:tcPr>
            <w:tcW w:w="1275" w:type="dxa"/>
            <w:vAlign w:val="center"/>
          </w:tcPr>
          <w:p>
            <w:pPr>
              <w:pStyle w:val="193"/>
              <w:rPr>
                <w:rFonts w:ascii="仿宋_GB2312" w:eastAsia="仿宋_GB2312"/>
                <w:kern w:val="2"/>
                <w:sz w:val="21"/>
                <w:szCs w:val="21"/>
              </w:rPr>
            </w:pPr>
            <w:r>
              <w:rPr>
                <w:rFonts w:hint="eastAsia" w:ascii="仿宋_GB2312" w:eastAsia="仿宋_GB2312"/>
                <w:kern w:val="2"/>
                <w:sz w:val="21"/>
                <w:szCs w:val="21"/>
              </w:rPr>
              <w:t>污泥暂存区</w:t>
            </w:r>
          </w:p>
        </w:tc>
        <w:tc>
          <w:tcPr>
            <w:tcW w:w="1560" w:type="dxa"/>
            <w:vAlign w:val="center"/>
          </w:tcPr>
          <w:p>
            <w:pPr>
              <w:pStyle w:val="193"/>
              <w:rPr>
                <w:rFonts w:ascii="仿宋_GB2312" w:eastAsia="仿宋_GB2312"/>
                <w:kern w:val="2"/>
                <w:sz w:val="21"/>
                <w:szCs w:val="21"/>
              </w:rPr>
            </w:pPr>
            <w:r>
              <w:rPr>
                <w:rFonts w:hint="eastAsia" w:ascii="仿宋_GB2312" w:eastAsia="仿宋_GB2312"/>
                <w:kern w:val="2"/>
                <w:sz w:val="21"/>
                <w:szCs w:val="21"/>
              </w:rPr>
              <w:t>1800</w:t>
            </w:r>
          </w:p>
        </w:tc>
        <w:tc>
          <w:tcPr>
            <w:tcW w:w="1634" w:type="dxa"/>
            <w:vAlign w:val="center"/>
          </w:tcPr>
          <w:p>
            <w:pPr>
              <w:pStyle w:val="193"/>
              <w:rPr>
                <w:rFonts w:ascii="仿宋_GB2312" w:eastAsia="仿宋_GB2312"/>
                <w:kern w:val="2"/>
                <w:sz w:val="21"/>
                <w:szCs w:val="21"/>
              </w:rPr>
            </w:pPr>
            <w:r>
              <w:rPr>
                <w:rFonts w:hint="eastAsia" w:ascii="仿宋_GB2312" w:eastAsia="仿宋_GB2312"/>
                <w:kern w:val="2"/>
                <w:sz w:val="21"/>
                <w:szCs w:val="21"/>
              </w:rPr>
              <w:t>非危险化学品</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PrEx>
        <w:trPr>
          <w:trHeight w:val="388" w:hRule="atLeast"/>
          <w:jc w:val="center"/>
        </w:trPr>
        <w:tc>
          <w:tcPr>
            <w:tcW w:w="679" w:type="dxa"/>
            <w:tcBorders>
              <w:bottom w:val="thinThickSmallGap" w:color="auto" w:sz="12" w:space="0"/>
            </w:tcBorders>
            <w:vAlign w:val="center"/>
          </w:tcPr>
          <w:p>
            <w:pPr>
              <w:pStyle w:val="193"/>
              <w:rPr>
                <w:rFonts w:ascii="仿宋_GB2312" w:eastAsia="仿宋_GB2312"/>
                <w:kern w:val="2"/>
                <w:sz w:val="21"/>
                <w:szCs w:val="21"/>
              </w:rPr>
            </w:pPr>
            <w:r>
              <w:rPr>
                <w:rFonts w:hint="eastAsia" w:ascii="仿宋_GB2312" w:eastAsia="仿宋_GB2312"/>
                <w:kern w:val="2"/>
                <w:sz w:val="21"/>
                <w:szCs w:val="21"/>
              </w:rPr>
              <w:t>2</w:t>
            </w:r>
          </w:p>
        </w:tc>
        <w:tc>
          <w:tcPr>
            <w:tcW w:w="2467" w:type="dxa"/>
            <w:gridSpan w:val="2"/>
            <w:tcBorders>
              <w:bottom w:val="thinThickSmallGap" w:color="auto" w:sz="12" w:space="0"/>
            </w:tcBorders>
            <w:vAlign w:val="center"/>
          </w:tcPr>
          <w:p>
            <w:pPr>
              <w:jc w:val="center"/>
              <w:rPr>
                <w:rFonts w:ascii="仿宋_GB2312" w:eastAsia="仿宋_GB2312" w:cs="仿宋_GB2312"/>
                <w:szCs w:val="21"/>
              </w:rPr>
            </w:pPr>
            <w:r>
              <w:rPr>
                <w:rFonts w:hint="eastAsia" w:ascii="仿宋_GB2312" w:eastAsia="仿宋_GB2312" w:cs="仿宋_GB2312"/>
                <w:szCs w:val="21"/>
              </w:rPr>
              <w:t>废机油</w:t>
            </w:r>
          </w:p>
        </w:tc>
        <w:tc>
          <w:tcPr>
            <w:tcW w:w="1418" w:type="dxa"/>
            <w:tcBorders>
              <w:bottom w:val="thinThickSmallGap" w:color="auto" w:sz="12" w:space="0"/>
            </w:tcBorders>
            <w:vAlign w:val="center"/>
          </w:tcPr>
          <w:p>
            <w:pPr>
              <w:pStyle w:val="193"/>
              <w:rPr>
                <w:rFonts w:ascii="仿宋_GB2312" w:eastAsia="仿宋_GB2312"/>
                <w:kern w:val="2"/>
                <w:sz w:val="21"/>
                <w:szCs w:val="21"/>
              </w:rPr>
            </w:pPr>
            <w:r>
              <w:rPr>
                <w:rFonts w:hint="eastAsia" w:ascii="仿宋_GB2312" w:eastAsia="仿宋_GB2312"/>
                <w:kern w:val="2"/>
                <w:sz w:val="21"/>
                <w:szCs w:val="21"/>
              </w:rPr>
              <w:t>0.5</w:t>
            </w:r>
          </w:p>
        </w:tc>
        <w:tc>
          <w:tcPr>
            <w:tcW w:w="1275" w:type="dxa"/>
            <w:tcBorders>
              <w:bottom w:val="thinThickSmallGap" w:color="auto" w:sz="12" w:space="0"/>
            </w:tcBorders>
            <w:vAlign w:val="center"/>
          </w:tcPr>
          <w:p>
            <w:pPr>
              <w:pStyle w:val="193"/>
              <w:rPr>
                <w:rFonts w:ascii="仿宋_GB2312" w:eastAsia="仿宋_GB2312"/>
                <w:kern w:val="2"/>
                <w:sz w:val="21"/>
                <w:szCs w:val="21"/>
              </w:rPr>
            </w:pPr>
            <w:r>
              <w:rPr>
                <w:rFonts w:hint="eastAsia" w:ascii="仿宋_GB2312" w:eastAsia="仿宋_GB2312"/>
                <w:kern w:val="2"/>
                <w:sz w:val="21"/>
                <w:szCs w:val="21"/>
              </w:rPr>
              <w:t>危废储存间</w:t>
            </w:r>
          </w:p>
        </w:tc>
        <w:tc>
          <w:tcPr>
            <w:tcW w:w="1560" w:type="dxa"/>
            <w:tcBorders>
              <w:bottom w:val="thinThickSmallGap" w:color="auto" w:sz="12" w:space="0"/>
            </w:tcBorders>
            <w:vAlign w:val="center"/>
          </w:tcPr>
          <w:p>
            <w:pPr>
              <w:pStyle w:val="193"/>
              <w:rPr>
                <w:rFonts w:ascii="仿宋_GB2312" w:eastAsia="仿宋_GB2312"/>
                <w:kern w:val="2"/>
                <w:sz w:val="21"/>
                <w:szCs w:val="21"/>
              </w:rPr>
            </w:pPr>
            <w:r>
              <w:rPr>
                <w:rFonts w:hint="eastAsia" w:ascii="仿宋_GB2312" w:eastAsia="仿宋_GB2312"/>
                <w:kern w:val="2"/>
                <w:sz w:val="21"/>
                <w:szCs w:val="21"/>
              </w:rPr>
              <w:t>0.5</w:t>
            </w:r>
          </w:p>
        </w:tc>
        <w:tc>
          <w:tcPr>
            <w:tcW w:w="1634" w:type="dxa"/>
            <w:tcBorders>
              <w:bottom w:val="thinThickSmallGap" w:color="auto" w:sz="12" w:space="0"/>
            </w:tcBorders>
            <w:vAlign w:val="center"/>
          </w:tcPr>
          <w:p>
            <w:pPr>
              <w:pStyle w:val="193"/>
              <w:rPr>
                <w:rFonts w:ascii="仿宋_GB2312" w:eastAsia="仿宋_GB2312"/>
                <w:kern w:val="2"/>
                <w:sz w:val="21"/>
                <w:szCs w:val="21"/>
              </w:rPr>
            </w:pPr>
            <w:r>
              <w:rPr>
                <w:rFonts w:hint="eastAsia" w:ascii="仿宋_GB2312" w:eastAsia="仿宋_GB2312"/>
                <w:kern w:val="2"/>
                <w:sz w:val="21"/>
                <w:szCs w:val="21"/>
              </w:rPr>
              <w:t>危险废物</w:t>
            </w:r>
          </w:p>
        </w:tc>
      </w:tr>
    </w:tbl>
    <w:p>
      <w:pPr>
        <w:spacing w:line="460" w:lineRule="exact"/>
        <w:ind w:firstLine="360" w:firstLineChars="150"/>
        <w:jc w:val="left"/>
        <w:rPr>
          <w:rFonts w:cs="仿宋_GB2312" w:asciiTheme="minorEastAsia" w:hAnsiTheme="minorEastAsia" w:eastAsiaTheme="minorEastAsia"/>
          <w:kern w:val="0"/>
          <w:sz w:val="24"/>
          <w:szCs w:val="24"/>
        </w:rPr>
      </w:pPr>
      <w:r>
        <w:rPr>
          <w:rFonts w:cs="仿宋_GB2312" w:asciiTheme="minorEastAsia" w:hAnsiTheme="minorEastAsia" w:eastAsiaTheme="minorEastAsia"/>
          <w:kern w:val="0"/>
          <w:sz w:val="24"/>
          <w:szCs w:val="24"/>
        </w:rPr>
        <w:t>（2）危险废物</w:t>
      </w:r>
    </w:p>
    <w:p>
      <w:pPr>
        <w:spacing w:line="460" w:lineRule="exact"/>
        <w:ind w:firstLine="480" w:firstLineChars="200"/>
        <w:jc w:val="left"/>
        <w:rPr>
          <w:rFonts w:cs="仿宋_GB2312" w:asciiTheme="minorEastAsia" w:hAnsiTheme="minorEastAsia" w:eastAsiaTheme="minorEastAsia"/>
          <w:kern w:val="0"/>
          <w:sz w:val="24"/>
          <w:szCs w:val="24"/>
        </w:rPr>
      </w:pPr>
      <w:r>
        <w:rPr>
          <w:rFonts w:cs="仿宋_GB2312" w:asciiTheme="minorEastAsia" w:hAnsiTheme="minorEastAsia" w:eastAsiaTheme="minorEastAsia"/>
          <w:kern w:val="0"/>
          <w:sz w:val="24"/>
          <w:szCs w:val="24"/>
        </w:rPr>
        <w:t>根据《国家危废名录》，</w:t>
      </w:r>
      <w:r>
        <w:rPr>
          <w:rFonts w:hint="eastAsia" w:cs="仿宋_GB2312" w:asciiTheme="minorEastAsia" w:hAnsiTheme="minorEastAsia" w:eastAsiaTheme="minorEastAsia"/>
          <w:kern w:val="0"/>
          <w:sz w:val="24"/>
          <w:szCs w:val="24"/>
        </w:rPr>
        <w:t>龙桥污水处理厂</w:t>
      </w:r>
      <w:r>
        <w:rPr>
          <w:rFonts w:cs="仿宋_GB2312" w:asciiTheme="minorEastAsia" w:hAnsiTheme="minorEastAsia" w:eastAsiaTheme="minorEastAsia"/>
          <w:kern w:val="0"/>
          <w:sz w:val="24"/>
          <w:szCs w:val="24"/>
        </w:rPr>
        <w:t>在生产过程中产生的危险废物有废含油棉纱手套、废机油等，各危险废物的危险特性见表3.4-2。</w:t>
      </w:r>
    </w:p>
    <w:p>
      <w:pPr>
        <w:spacing w:line="460" w:lineRule="exact"/>
        <w:ind w:firstLine="480" w:firstLineChars="200"/>
        <w:jc w:val="left"/>
        <w:rPr>
          <w:rFonts w:cs="仿宋_GB2312" w:asciiTheme="minorEastAsia" w:hAnsiTheme="minorEastAsia" w:eastAsiaTheme="minorEastAsia"/>
          <w:kern w:val="0"/>
          <w:sz w:val="24"/>
          <w:szCs w:val="24"/>
        </w:rPr>
      </w:pPr>
      <w:r>
        <w:rPr>
          <w:rFonts w:cs="仿宋_GB2312" w:asciiTheme="minorEastAsia" w:hAnsiTheme="minorEastAsia" w:eastAsiaTheme="minorEastAsia"/>
          <w:kern w:val="0"/>
          <w:sz w:val="24"/>
          <w:szCs w:val="24"/>
        </w:rPr>
        <w:t>企业现有生产区设有10m2的危险废物暂存点，用于危险废物的临时储存，暂存点进行了“三防”处理，地面采取了防渗措施，同时在危废暂存间内设置消防柜、照明、通风等设施。危险废物必须分类储存，定期转运送往具有危险废物处理资质的单位处理，转运采用“五联单”制度</w:t>
      </w:r>
    </w:p>
    <w:p>
      <w:pPr>
        <w:spacing w:line="460" w:lineRule="exact"/>
        <w:ind w:firstLine="482" w:firstLineChars="200"/>
        <w:jc w:val="center"/>
        <w:rPr>
          <w:b/>
          <w:color w:val="000000"/>
          <w:sz w:val="24"/>
          <w:szCs w:val="24"/>
        </w:rPr>
      </w:pPr>
      <w:r>
        <w:rPr>
          <w:b/>
          <w:color w:val="000000"/>
          <w:sz w:val="24"/>
          <w:szCs w:val="24"/>
        </w:rPr>
        <w:t>表3.4-2               危废危险特性表</w:t>
      </w:r>
    </w:p>
    <w:tbl>
      <w:tblPr>
        <w:tblStyle w:val="54"/>
        <w:tblW w:w="8272"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908"/>
        <w:gridCol w:w="1112"/>
        <w:gridCol w:w="1588"/>
        <w:gridCol w:w="1601"/>
        <w:gridCol w:w="20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8" w:hRule="atLeast"/>
          <w:jc w:val="center"/>
        </w:trPr>
        <w:tc>
          <w:tcPr>
            <w:tcW w:w="1908" w:type="dxa"/>
            <w:tcBorders>
              <w:top w:val="single" w:color="000000" w:sz="2" w:space="0"/>
              <w:left w:val="single" w:color="000000" w:sz="2" w:space="0"/>
              <w:bottom w:val="single" w:color="auto" w:sz="4" w:space="0"/>
              <w:right w:val="single" w:color="000000" w:sz="2" w:space="0"/>
            </w:tcBorders>
            <w:vAlign w:val="center"/>
          </w:tcPr>
          <w:p>
            <w:pPr>
              <w:autoSpaceDE w:val="0"/>
              <w:autoSpaceDN w:val="0"/>
              <w:adjustRightInd w:val="0"/>
              <w:jc w:val="center"/>
              <w:rPr>
                <w:color w:val="000000"/>
                <w:kern w:val="0"/>
                <w:szCs w:val="21"/>
              </w:rPr>
            </w:pPr>
            <w:r>
              <w:rPr>
                <w:color w:val="000000"/>
                <w:kern w:val="0"/>
                <w:szCs w:val="21"/>
              </w:rPr>
              <w:t>废渣名称</w:t>
            </w:r>
          </w:p>
        </w:tc>
        <w:tc>
          <w:tcPr>
            <w:tcW w:w="1112" w:type="dxa"/>
            <w:tcBorders>
              <w:top w:val="single" w:color="000000" w:sz="2" w:space="0"/>
              <w:left w:val="single" w:color="000000" w:sz="2" w:space="0"/>
              <w:bottom w:val="single" w:color="auto" w:sz="4" w:space="0"/>
              <w:right w:val="single" w:color="000000" w:sz="2" w:space="0"/>
            </w:tcBorders>
            <w:vAlign w:val="center"/>
          </w:tcPr>
          <w:p>
            <w:pPr>
              <w:autoSpaceDE w:val="0"/>
              <w:autoSpaceDN w:val="0"/>
              <w:adjustRightInd w:val="0"/>
              <w:jc w:val="center"/>
              <w:rPr>
                <w:color w:val="000000"/>
                <w:kern w:val="0"/>
                <w:szCs w:val="21"/>
              </w:rPr>
            </w:pPr>
            <w:r>
              <w:rPr>
                <w:color w:val="000000"/>
                <w:kern w:val="0"/>
                <w:szCs w:val="21"/>
              </w:rPr>
              <w:t>产生量（t/a）</w:t>
            </w:r>
          </w:p>
        </w:tc>
        <w:tc>
          <w:tcPr>
            <w:tcW w:w="1588" w:type="dxa"/>
            <w:tcBorders>
              <w:top w:val="single" w:color="000000" w:sz="2" w:space="0"/>
              <w:left w:val="single" w:color="000000" w:sz="2" w:space="0"/>
              <w:bottom w:val="single" w:color="auto" w:sz="4" w:space="0"/>
              <w:right w:val="single" w:color="000000" w:sz="2" w:space="0"/>
            </w:tcBorders>
            <w:vAlign w:val="center"/>
          </w:tcPr>
          <w:p>
            <w:pPr>
              <w:autoSpaceDE w:val="0"/>
              <w:autoSpaceDN w:val="0"/>
              <w:adjustRightInd w:val="0"/>
              <w:jc w:val="center"/>
              <w:rPr>
                <w:color w:val="000000"/>
                <w:kern w:val="0"/>
                <w:szCs w:val="21"/>
              </w:rPr>
            </w:pPr>
            <w:r>
              <w:rPr>
                <w:color w:val="000000"/>
                <w:kern w:val="0"/>
                <w:szCs w:val="21"/>
              </w:rPr>
              <w:t>组成及特性</w:t>
            </w:r>
          </w:p>
        </w:tc>
        <w:tc>
          <w:tcPr>
            <w:tcW w:w="1601" w:type="dxa"/>
            <w:tcBorders>
              <w:top w:val="single" w:color="000000" w:sz="2" w:space="0"/>
              <w:left w:val="single" w:color="000000" w:sz="2" w:space="0"/>
              <w:bottom w:val="single" w:color="auto" w:sz="4" w:space="0"/>
              <w:right w:val="single" w:color="000000" w:sz="2" w:space="0"/>
            </w:tcBorders>
            <w:vAlign w:val="center"/>
          </w:tcPr>
          <w:p>
            <w:pPr>
              <w:autoSpaceDE w:val="0"/>
              <w:autoSpaceDN w:val="0"/>
              <w:adjustRightInd w:val="0"/>
              <w:jc w:val="center"/>
              <w:rPr>
                <w:color w:val="000000"/>
                <w:kern w:val="0"/>
                <w:szCs w:val="21"/>
              </w:rPr>
            </w:pPr>
            <w:r>
              <w:rPr>
                <w:color w:val="000000"/>
                <w:kern w:val="0"/>
                <w:szCs w:val="21"/>
              </w:rPr>
              <w:t>危险废物编号</w:t>
            </w:r>
          </w:p>
        </w:tc>
        <w:tc>
          <w:tcPr>
            <w:tcW w:w="2063" w:type="dxa"/>
            <w:tcBorders>
              <w:top w:val="single" w:color="000000" w:sz="2" w:space="0"/>
              <w:left w:val="single" w:color="000000" w:sz="4" w:space="0"/>
              <w:bottom w:val="single" w:color="000000" w:sz="2" w:space="0"/>
              <w:right w:val="single" w:color="000000" w:sz="4" w:space="0"/>
            </w:tcBorders>
            <w:vAlign w:val="center"/>
          </w:tcPr>
          <w:p>
            <w:pPr>
              <w:autoSpaceDE w:val="0"/>
              <w:autoSpaceDN w:val="0"/>
              <w:adjustRightInd w:val="0"/>
              <w:jc w:val="center"/>
              <w:rPr>
                <w:color w:val="000000"/>
                <w:kern w:val="0"/>
                <w:szCs w:val="21"/>
              </w:rPr>
            </w:pPr>
            <w:r>
              <w:rPr>
                <w:color w:val="000000"/>
                <w:kern w:val="0"/>
                <w:szCs w:val="21"/>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8" w:hRule="atLeast"/>
          <w:jc w:val="center"/>
        </w:trPr>
        <w:tc>
          <w:tcPr>
            <w:tcW w:w="1908" w:type="dxa"/>
            <w:tcBorders>
              <w:top w:val="single" w:color="000000" w:sz="2" w:space="0"/>
              <w:left w:val="single" w:color="000000" w:sz="2" w:space="0"/>
              <w:bottom w:val="single" w:color="000000" w:sz="2" w:space="0"/>
              <w:right w:val="single" w:color="000000" w:sz="2" w:space="0"/>
            </w:tcBorders>
            <w:vAlign w:val="center"/>
          </w:tcPr>
          <w:p>
            <w:pPr>
              <w:autoSpaceDE w:val="0"/>
              <w:autoSpaceDN w:val="0"/>
              <w:adjustRightInd w:val="0"/>
              <w:jc w:val="center"/>
              <w:rPr>
                <w:color w:val="000000"/>
                <w:kern w:val="0"/>
                <w:szCs w:val="21"/>
              </w:rPr>
            </w:pPr>
            <w:r>
              <w:rPr>
                <w:color w:val="000000"/>
                <w:kern w:val="0"/>
                <w:szCs w:val="21"/>
              </w:rPr>
              <w:t>废含油棉纱手套</w:t>
            </w:r>
          </w:p>
        </w:tc>
        <w:tc>
          <w:tcPr>
            <w:tcW w:w="1112" w:type="dxa"/>
            <w:vMerge w:val="restart"/>
            <w:tcBorders>
              <w:top w:val="single" w:color="000000" w:sz="2" w:space="0"/>
              <w:left w:val="single" w:color="000000" w:sz="2" w:space="0"/>
              <w:right w:val="single" w:color="000000" w:sz="2" w:space="0"/>
            </w:tcBorders>
            <w:vAlign w:val="center"/>
          </w:tcPr>
          <w:p>
            <w:pPr>
              <w:autoSpaceDE w:val="0"/>
              <w:autoSpaceDN w:val="0"/>
              <w:adjustRightInd w:val="0"/>
              <w:jc w:val="center"/>
              <w:rPr>
                <w:color w:val="000000"/>
                <w:kern w:val="0"/>
                <w:szCs w:val="21"/>
              </w:rPr>
            </w:pPr>
            <w:r>
              <w:rPr>
                <w:color w:val="000000"/>
                <w:kern w:val="0"/>
                <w:szCs w:val="21"/>
              </w:rPr>
              <w:t>0.5</w:t>
            </w:r>
          </w:p>
        </w:tc>
        <w:tc>
          <w:tcPr>
            <w:tcW w:w="1588" w:type="dxa"/>
            <w:tcBorders>
              <w:top w:val="single" w:color="000000" w:sz="2" w:space="0"/>
              <w:left w:val="single" w:color="000000" w:sz="2" w:space="0"/>
              <w:bottom w:val="single" w:color="auto" w:sz="4" w:space="0"/>
              <w:right w:val="single" w:color="000000" w:sz="2" w:space="0"/>
            </w:tcBorders>
            <w:vAlign w:val="center"/>
          </w:tcPr>
          <w:p>
            <w:pPr>
              <w:autoSpaceDE w:val="0"/>
              <w:autoSpaceDN w:val="0"/>
              <w:adjustRightInd w:val="0"/>
              <w:jc w:val="center"/>
              <w:rPr>
                <w:color w:val="000000"/>
                <w:kern w:val="0"/>
                <w:szCs w:val="21"/>
              </w:rPr>
            </w:pPr>
            <w:r>
              <w:rPr>
                <w:color w:val="000000"/>
                <w:kern w:val="0"/>
                <w:szCs w:val="21"/>
              </w:rPr>
              <w:t>废机油</w:t>
            </w:r>
          </w:p>
        </w:tc>
        <w:tc>
          <w:tcPr>
            <w:tcW w:w="1601" w:type="dxa"/>
            <w:tcBorders>
              <w:top w:val="single" w:color="000000" w:sz="2" w:space="0"/>
              <w:left w:val="single" w:color="000000" w:sz="2" w:space="0"/>
              <w:bottom w:val="single" w:color="auto" w:sz="4" w:space="0"/>
              <w:right w:val="single" w:color="000000" w:sz="2" w:space="0"/>
            </w:tcBorders>
            <w:vAlign w:val="center"/>
          </w:tcPr>
          <w:p>
            <w:pPr>
              <w:autoSpaceDE w:val="0"/>
              <w:autoSpaceDN w:val="0"/>
              <w:adjustRightInd w:val="0"/>
              <w:jc w:val="center"/>
              <w:rPr>
                <w:color w:val="000000"/>
                <w:kern w:val="0"/>
                <w:szCs w:val="21"/>
              </w:rPr>
            </w:pPr>
            <w:r>
              <w:rPr>
                <w:color w:val="000000"/>
                <w:kern w:val="0"/>
                <w:szCs w:val="21"/>
              </w:rPr>
              <w:t>900-249-08</w:t>
            </w:r>
          </w:p>
        </w:tc>
        <w:tc>
          <w:tcPr>
            <w:tcW w:w="2063" w:type="dxa"/>
            <w:vMerge w:val="restart"/>
            <w:tcBorders>
              <w:top w:val="single" w:color="000000" w:sz="2" w:space="0"/>
              <w:left w:val="single" w:color="000000" w:sz="4" w:space="0"/>
              <w:right w:val="single" w:color="000000" w:sz="4" w:space="0"/>
            </w:tcBorders>
            <w:vAlign w:val="center"/>
          </w:tcPr>
          <w:p>
            <w:pPr>
              <w:autoSpaceDE w:val="0"/>
              <w:autoSpaceDN w:val="0"/>
              <w:adjustRightInd w:val="0"/>
              <w:jc w:val="left"/>
              <w:rPr>
                <w:color w:val="000000"/>
                <w:kern w:val="0"/>
                <w:szCs w:val="21"/>
              </w:rPr>
            </w:pPr>
            <w:r>
              <w:rPr>
                <w:color w:val="000000"/>
                <w:kern w:val="0"/>
                <w:szCs w:val="21"/>
              </w:rPr>
              <w:t>厂区设危废暂存点收集暂存，定期交由具有危废处理资质单位处理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8" w:hRule="atLeast"/>
          <w:jc w:val="center"/>
        </w:trPr>
        <w:tc>
          <w:tcPr>
            <w:tcW w:w="1908" w:type="dxa"/>
            <w:tcBorders>
              <w:top w:val="single" w:color="000000" w:sz="2" w:space="0"/>
              <w:left w:val="single" w:color="000000" w:sz="2" w:space="0"/>
              <w:bottom w:val="single" w:color="000000" w:sz="2" w:space="0"/>
              <w:right w:val="single" w:color="000000" w:sz="2" w:space="0"/>
            </w:tcBorders>
            <w:vAlign w:val="center"/>
          </w:tcPr>
          <w:p>
            <w:pPr>
              <w:autoSpaceDE w:val="0"/>
              <w:autoSpaceDN w:val="0"/>
              <w:adjustRightInd w:val="0"/>
              <w:jc w:val="center"/>
              <w:rPr>
                <w:color w:val="000000"/>
                <w:kern w:val="0"/>
                <w:szCs w:val="21"/>
              </w:rPr>
            </w:pPr>
            <w:r>
              <w:rPr>
                <w:color w:val="000000"/>
                <w:kern w:val="0"/>
                <w:szCs w:val="21"/>
              </w:rPr>
              <w:t>废机油</w:t>
            </w:r>
          </w:p>
        </w:tc>
        <w:tc>
          <w:tcPr>
            <w:tcW w:w="1112" w:type="dxa"/>
            <w:vMerge w:val="continue"/>
            <w:tcBorders>
              <w:left w:val="single" w:color="000000" w:sz="2" w:space="0"/>
              <w:bottom w:val="single" w:color="000000" w:sz="2" w:space="0"/>
              <w:right w:val="single" w:color="000000" w:sz="2" w:space="0"/>
            </w:tcBorders>
            <w:vAlign w:val="center"/>
          </w:tcPr>
          <w:p>
            <w:pPr>
              <w:autoSpaceDE w:val="0"/>
              <w:autoSpaceDN w:val="0"/>
              <w:adjustRightInd w:val="0"/>
              <w:jc w:val="center"/>
              <w:rPr>
                <w:color w:val="000000"/>
                <w:kern w:val="0"/>
                <w:szCs w:val="21"/>
              </w:rPr>
            </w:pPr>
          </w:p>
        </w:tc>
        <w:tc>
          <w:tcPr>
            <w:tcW w:w="1588" w:type="dxa"/>
            <w:tcBorders>
              <w:top w:val="single" w:color="auto" w:sz="4" w:space="0"/>
              <w:left w:val="single" w:color="000000" w:sz="2" w:space="0"/>
              <w:bottom w:val="single" w:color="000000" w:sz="2" w:space="0"/>
              <w:right w:val="single" w:color="000000" w:sz="2" w:space="0"/>
            </w:tcBorders>
            <w:vAlign w:val="center"/>
          </w:tcPr>
          <w:p>
            <w:pPr>
              <w:autoSpaceDE w:val="0"/>
              <w:autoSpaceDN w:val="0"/>
              <w:adjustRightInd w:val="0"/>
              <w:jc w:val="center"/>
              <w:rPr>
                <w:color w:val="000000"/>
                <w:kern w:val="0"/>
                <w:szCs w:val="21"/>
              </w:rPr>
            </w:pPr>
            <w:r>
              <w:rPr>
                <w:color w:val="000000"/>
                <w:kern w:val="0"/>
                <w:szCs w:val="21"/>
              </w:rPr>
              <w:t>废机油</w:t>
            </w:r>
          </w:p>
        </w:tc>
        <w:tc>
          <w:tcPr>
            <w:tcW w:w="1601" w:type="dxa"/>
            <w:tcBorders>
              <w:top w:val="single" w:color="auto" w:sz="4" w:space="0"/>
              <w:left w:val="single" w:color="000000" w:sz="2" w:space="0"/>
              <w:bottom w:val="single" w:color="auto" w:sz="4" w:space="0"/>
              <w:right w:val="single" w:color="000000" w:sz="2" w:space="0"/>
            </w:tcBorders>
            <w:vAlign w:val="center"/>
          </w:tcPr>
          <w:p>
            <w:pPr>
              <w:autoSpaceDE w:val="0"/>
              <w:autoSpaceDN w:val="0"/>
              <w:adjustRightInd w:val="0"/>
              <w:jc w:val="center"/>
              <w:rPr>
                <w:color w:val="000000"/>
                <w:kern w:val="0"/>
                <w:szCs w:val="21"/>
              </w:rPr>
            </w:pPr>
            <w:r>
              <w:rPr>
                <w:color w:val="000000"/>
                <w:kern w:val="0"/>
                <w:szCs w:val="21"/>
              </w:rPr>
              <w:t>900-249-08</w:t>
            </w:r>
          </w:p>
        </w:tc>
        <w:tc>
          <w:tcPr>
            <w:tcW w:w="2063" w:type="dxa"/>
            <w:vMerge w:val="continue"/>
            <w:tcBorders>
              <w:left w:val="single" w:color="000000" w:sz="4" w:space="0"/>
              <w:bottom w:val="single" w:color="auto" w:sz="4" w:space="0"/>
              <w:right w:val="single" w:color="000000" w:sz="4" w:space="0"/>
            </w:tcBorders>
            <w:vAlign w:val="center"/>
          </w:tcPr>
          <w:p>
            <w:pPr>
              <w:autoSpaceDE w:val="0"/>
              <w:autoSpaceDN w:val="0"/>
              <w:adjustRightInd w:val="0"/>
              <w:jc w:val="center"/>
              <w:rPr>
                <w:color w:val="000000"/>
                <w:kern w:val="0"/>
                <w:sz w:val="22"/>
              </w:rPr>
            </w:pPr>
          </w:p>
        </w:tc>
      </w:tr>
    </w:tbl>
    <w:p>
      <w:pPr>
        <w:pStyle w:val="120"/>
        <w:ind w:firstLine="0" w:firstLineChars="0"/>
        <w:rPr>
          <w:b/>
          <w:sz w:val="28"/>
          <w:szCs w:val="28"/>
        </w:rPr>
      </w:pPr>
      <w:r>
        <w:rPr>
          <w:rFonts w:hint="eastAsia"/>
          <w:b/>
          <w:sz w:val="28"/>
          <w:szCs w:val="28"/>
        </w:rPr>
        <w:t>3</w:t>
      </w:r>
      <w:r>
        <w:rPr>
          <w:b/>
          <w:sz w:val="28"/>
          <w:szCs w:val="28"/>
        </w:rPr>
        <w:t>.4.</w:t>
      </w:r>
      <w:r>
        <w:rPr>
          <w:rFonts w:hint="eastAsia"/>
          <w:b/>
          <w:sz w:val="28"/>
          <w:szCs w:val="28"/>
        </w:rPr>
        <w:t>2</w:t>
      </w:r>
      <w:r>
        <w:rPr>
          <w:b/>
          <w:sz w:val="28"/>
          <w:szCs w:val="28"/>
        </w:rPr>
        <w:t>重大危险源辨识</w:t>
      </w:r>
    </w:p>
    <w:p>
      <w:pPr>
        <w:spacing w:line="460" w:lineRule="exact"/>
        <w:ind w:firstLine="480" w:firstLineChars="200"/>
        <w:jc w:val="left"/>
        <w:rPr>
          <w:rFonts w:cs="仿宋_GB2312" w:asciiTheme="minorEastAsia" w:hAnsiTheme="minorEastAsia" w:eastAsiaTheme="minorEastAsia"/>
          <w:kern w:val="0"/>
          <w:sz w:val="24"/>
          <w:szCs w:val="24"/>
        </w:rPr>
      </w:pPr>
      <w:r>
        <w:rPr>
          <w:rFonts w:cs="仿宋_GB2312" w:asciiTheme="minorEastAsia" w:hAnsiTheme="minorEastAsia" w:eastAsiaTheme="minorEastAsia"/>
          <w:kern w:val="0"/>
          <w:sz w:val="24"/>
          <w:szCs w:val="24"/>
        </w:rPr>
        <w:t>（1）物质危险性识别</w:t>
      </w:r>
    </w:p>
    <w:p>
      <w:pPr>
        <w:spacing w:line="460" w:lineRule="exact"/>
        <w:ind w:firstLine="480" w:firstLineChars="200"/>
        <w:jc w:val="left"/>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根据《</w:t>
      </w:r>
      <w:r>
        <w:rPr>
          <w:rFonts w:cs="仿宋_GB2312" w:asciiTheme="minorEastAsia" w:hAnsiTheme="minorEastAsia" w:eastAsiaTheme="minorEastAsia"/>
          <w:kern w:val="0"/>
          <w:sz w:val="24"/>
          <w:szCs w:val="24"/>
        </w:rPr>
        <w:t>重庆市涪陵区拓源污水治理有限公司</w:t>
      </w:r>
      <w:r>
        <w:rPr>
          <w:rFonts w:hint="eastAsia" w:cs="仿宋_GB2312" w:asciiTheme="minorEastAsia" w:hAnsiTheme="minorEastAsia" w:eastAsiaTheme="minorEastAsia"/>
          <w:kern w:val="0"/>
          <w:sz w:val="24"/>
          <w:szCs w:val="24"/>
          <w:lang w:eastAsia="zh-CN"/>
        </w:rPr>
        <w:t>龙桥</w:t>
      </w:r>
      <w:r>
        <w:rPr>
          <w:rFonts w:hint="eastAsia" w:cs="仿宋_GB2312" w:asciiTheme="minorEastAsia" w:hAnsiTheme="minorEastAsia" w:eastAsiaTheme="minorEastAsia"/>
          <w:kern w:val="0"/>
          <w:sz w:val="24"/>
          <w:szCs w:val="24"/>
        </w:rPr>
        <w:t>污水处理厂突发环境事件风险评估报告》企业</w:t>
      </w:r>
      <w:r>
        <w:rPr>
          <w:rFonts w:cs="仿宋_GB2312" w:asciiTheme="minorEastAsia" w:hAnsiTheme="minorEastAsia" w:eastAsiaTheme="minorEastAsia"/>
          <w:kern w:val="0"/>
          <w:sz w:val="24"/>
          <w:szCs w:val="24"/>
        </w:rPr>
        <w:t>物质危险性识别见表3.4-</w:t>
      </w:r>
      <w:r>
        <w:rPr>
          <w:rFonts w:hint="eastAsia" w:cs="仿宋_GB2312" w:asciiTheme="minorEastAsia" w:hAnsiTheme="minorEastAsia" w:eastAsiaTheme="minorEastAsia"/>
          <w:kern w:val="0"/>
          <w:sz w:val="24"/>
          <w:szCs w:val="24"/>
        </w:rPr>
        <w:t>3</w:t>
      </w:r>
    </w:p>
    <w:p>
      <w:pPr>
        <w:spacing w:line="460" w:lineRule="exact"/>
        <w:ind w:firstLine="482" w:firstLineChars="200"/>
        <w:jc w:val="center"/>
        <w:rPr>
          <w:b/>
          <w:sz w:val="24"/>
          <w:szCs w:val="24"/>
        </w:rPr>
      </w:pPr>
      <w:r>
        <w:rPr>
          <w:b/>
          <w:sz w:val="24"/>
          <w:szCs w:val="24"/>
        </w:rPr>
        <w:t>表3.4-</w:t>
      </w:r>
      <w:r>
        <w:rPr>
          <w:rFonts w:hint="eastAsia"/>
          <w:b/>
          <w:sz w:val="24"/>
          <w:szCs w:val="24"/>
        </w:rPr>
        <w:t>3</w:t>
      </w:r>
      <w:r>
        <w:rPr>
          <w:b/>
          <w:sz w:val="24"/>
          <w:szCs w:val="24"/>
        </w:rPr>
        <w:t xml:space="preserve">       </w:t>
      </w:r>
      <w:r>
        <w:rPr>
          <w:rFonts w:hint="eastAsia"/>
          <w:b/>
          <w:sz w:val="24"/>
          <w:szCs w:val="24"/>
        </w:rPr>
        <w:t>企业</w:t>
      </w:r>
      <w:r>
        <w:rPr>
          <w:b/>
          <w:sz w:val="24"/>
          <w:szCs w:val="24"/>
        </w:rPr>
        <w:t>物质危险性识别表</w:t>
      </w:r>
    </w:p>
    <w:tbl>
      <w:tblPr>
        <w:tblStyle w:val="54"/>
        <w:tblW w:w="8221" w:type="dxa"/>
        <w:tblInd w:w="534" w:type="dxa"/>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Layout w:type="fixed"/>
        <w:tblCellMar>
          <w:top w:w="0" w:type="dxa"/>
          <w:left w:w="108" w:type="dxa"/>
          <w:bottom w:w="0" w:type="dxa"/>
          <w:right w:w="108" w:type="dxa"/>
        </w:tblCellMar>
      </w:tblPr>
      <w:tblGrid>
        <w:gridCol w:w="992"/>
        <w:gridCol w:w="1276"/>
        <w:gridCol w:w="2126"/>
        <w:gridCol w:w="992"/>
        <w:gridCol w:w="709"/>
        <w:gridCol w:w="2126"/>
      </w:tblGrid>
      <w:tr>
        <w:tblPrEx>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rPr>
        <w:tc>
          <w:tcPr>
            <w:tcW w:w="992" w:type="dxa"/>
            <w:tcBorders>
              <w:top w:val="thinThickSmallGap" w:color="auto" w:sz="24" w:space="0"/>
            </w:tcBorders>
            <w:vAlign w:val="center"/>
          </w:tcPr>
          <w:p>
            <w:pPr>
              <w:pStyle w:val="193"/>
              <w:rPr>
                <w:rFonts w:ascii="仿宋_GB2312"/>
                <w:kern w:val="2"/>
                <w:szCs w:val="21"/>
              </w:rPr>
            </w:pPr>
            <w:r>
              <w:rPr>
                <w:szCs w:val="21"/>
              </w:rPr>
              <w:t>分类</w:t>
            </w:r>
          </w:p>
        </w:tc>
        <w:tc>
          <w:tcPr>
            <w:tcW w:w="1276" w:type="dxa"/>
            <w:tcBorders>
              <w:top w:val="thinThickSmallGap" w:color="auto" w:sz="24" w:space="0"/>
            </w:tcBorders>
            <w:vAlign w:val="center"/>
          </w:tcPr>
          <w:p>
            <w:pPr>
              <w:jc w:val="center"/>
              <w:rPr>
                <w:szCs w:val="21"/>
              </w:rPr>
            </w:pPr>
            <w:r>
              <w:rPr>
                <w:szCs w:val="21"/>
              </w:rPr>
              <w:t>名称</w:t>
            </w:r>
          </w:p>
        </w:tc>
        <w:tc>
          <w:tcPr>
            <w:tcW w:w="2126" w:type="dxa"/>
            <w:tcBorders>
              <w:top w:val="thinThickSmallGap" w:color="auto" w:sz="24" w:space="0"/>
            </w:tcBorders>
            <w:vAlign w:val="center"/>
          </w:tcPr>
          <w:p>
            <w:pPr>
              <w:jc w:val="center"/>
              <w:rPr>
                <w:szCs w:val="21"/>
              </w:rPr>
            </w:pPr>
            <w:r>
              <w:rPr>
                <w:szCs w:val="21"/>
              </w:rPr>
              <w:t>危险性类别</w:t>
            </w:r>
          </w:p>
        </w:tc>
        <w:tc>
          <w:tcPr>
            <w:tcW w:w="992" w:type="dxa"/>
            <w:tcBorders>
              <w:top w:val="thinThickSmallGap" w:color="auto" w:sz="24" w:space="0"/>
            </w:tcBorders>
            <w:vAlign w:val="center"/>
          </w:tcPr>
          <w:p>
            <w:pPr>
              <w:jc w:val="center"/>
              <w:rPr>
                <w:szCs w:val="21"/>
              </w:rPr>
            </w:pPr>
            <w:r>
              <w:rPr>
                <w:szCs w:val="21"/>
              </w:rPr>
              <w:t>腐蚀性</w:t>
            </w:r>
          </w:p>
        </w:tc>
        <w:tc>
          <w:tcPr>
            <w:tcW w:w="709" w:type="dxa"/>
            <w:tcBorders>
              <w:top w:val="thinThickSmallGap" w:color="auto" w:sz="24" w:space="0"/>
            </w:tcBorders>
            <w:vAlign w:val="center"/>
          </w:tcPr>
          <w:p>
            <w:pPr>
              <w:jc w:val="center"/>
              <w:rPr>
                <w:szCs w:val="21"/>
              </w:rPr>
            </w:pPr>
            <w:r>
              <w:rPr>
                <w:szCs w:val="21"/>
              </w:rPr>
              <w:t>毒性</w:t>
            </w:r>
          </w:p>
        </w:tc>
        <w:tc>
          <w:tcPr>
            <w:tcW w:w="2126" w:type="dxa"/>
            <w:tcBorders>
              <w:top w:val="thinThickSmallGap" w:color="auto" w:sz="24" w:space="0"/>
            </w:tcBorders>
            <w:vAlign w:val="center"/>
          </w:tcPr>
          <w:p>
            <w:pPr>
              <w:jc w:val="center"/>
              <w:rPr>
                <w:szCs w:val="21"/>
              </w:rPr>
            </w:pPr>
            <w:r>
              <w:rPr>
                <w:szCs w:val="21"/>
              </w:rPr>
              <w:t>是否为风险性物质</w:t>
            </w:r>
          </w:p>
        </w:tc>
      </w:tr>
      <w:tr>
        <w:tblPrEx>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Layout w:type="fixed"/>
          <w:tblCellMar>
            <w:top w:w="0" w:type="dxa"/>
            <w:left w:w="108" w:type="dxa"/>
            <w:bottom w:w="0" w:type="dxa"/>
            <w:right w:w="108" w:type="dxa"/>
          </w:tblCellMar>
        </w:tblPrEx>
        <w:trPr>
          <w:trHeight w:val="438" w:hRule="atLeast"/>
        </w:trPr>
        <w:tc>
          <w:tcPr>
            <w:tcW w:w="992" w:type="dxa"/>
            <w:vMerge w:val="restart"/>
            <w:vAlign w:val="center"/>
          </w:tcPr>
          <w:p>
            <w:pPr>
              <w:pStyle w:val="193"/>
              <w:rPr>
                <w:rFonts w:ascii="仿宋_GB2312"/>
                <w:kern w:val="2"/>
                <w:szCs w:val="21"/>
              </w:rPr>
            </w:pPr>
          </w:p>
          <w:p>
            <w:pPr>
              <w:pStyle w:val="193"/>
              <w:rPr>
                <w:rFonts w:ascii="仿宋_GB2312"/>
                <w:kern w:val="2"/>
                <w:szCs w:val="21"/>
              </w:rPr>
            </w:pPr>
            <w:r>
              <w:rPr>
                <w:szCs w:val="21"/>
              </w:rPr>
              <w:t>原辅料</w:t>
            </w:r>
          </w:p>
        </w:tc>
        <w:tc>
          <w:tcPr>
            <w:tcW w:w="1276" w:type="dxa"/>
            <w:vAlign w:val="center"/>
          </w:tcPr>
          <w:p>
            <w:pPr>
              <w:jc w:val="center"/>
              <w:rPr>
                <w:szCs w:val="21"/>
              </w:rPr>
            </w:pPr>
            <w:r>
              <w:rPr>
                <w:szCs w:val="21"/>
              </w:rPr>
              <w:t>盐酸</w:t>
            </w:r>
          </w:p>
        </w:tc>
        <w:tc>
          <w:tcPr>
            <w:tcW w:w="2126" w:type="dxa"/>
            <w:vAlign w:val="center"/>
          </w:tcPr>
          <w:p>
            <w:pPr>
              <w:jc w:val="center"/>
              <w:rPr>
                <w:szCs w:val="21"/>
              </w:rPr>
            </w:pPr>
            <w:r>
              <w:rPr>
                <w:szCs w:val="21"/>
              </w:rPr>
              <w:t>第8.1类酸性腐蚀品</w:t>
            </w:r>
          </w:p>
        </w:tc>
        <w:tc>
          <w:tcPr>
            <w:tcW w:w="992" w:type="dxa"/>
            <w:vAlign w:val="center"/>
          </w:tcPr>
          <w:p>
            <w:pPr>
              <w:jc w:val="center"/>
              <w:rPr>
                <w:szCs w:val="21"/>
              </w:rPr>
            </w:pPr>
            <w:r>
              <w:rPr>
                <w:szCs w:val="21"/>
              </w:rPr>
              <w:t>是</w:t>
            </w:r>
          </w:p>
        </w:tc>
        <w:tc>
          <w:tcPr>
            <w:tcW w:w="709" w:type="dxa"/>
            <w:vAlign w:val="center"/>
          </w:tcPr>
          <w:p>
            <w:pPr>
              <w:jc w:val="center"/>
              <w:rPr>
                <w:szCs w:val="21"/>
              </w:rPr>
            </w:pPr>
            <w:r>
              <w:rPr>
                <w:szCs w:val="21"/>
              </w:rPr>
              <w:t>否</w:t>
            </w:r>
          </w:p>
        </w:tc>
        <w:tc>
          <w:tcPr>
            <w:tcW w:w="2126" w:type="dxa"/>
            <w:vAlign w:val="center"/>
          </w:tcPr>
          <w:p>
            <w:pPr>
              <w:jc w:val="center"/>
              <w:rPr>
                <w:szCs w:val="21"/>
              </w:rPr>
            </w:pPr>
            <w:r>
              <w:rPr>
                <w:szCs w:val="21"/>
              </w:rPr>
              <w:t>是</w:t>
            </w:r>
          </w:p>
        </w:tc>
      </w:tr>
      <w:tr>
        <w:tblPrEx>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rPr>
        <w:tc>
          <w:tcPr>
            <w:tcW w:w="992" w:type="dxa"/>
            <w:vMerge w:val="continue"/>
            <w:vAlign w:val="center"/>
          </w:tcPr>
          <w:p>
            <w:pPr>
              <w:pStyle w:val="193"/>
              <w:rPr>
                <w:rFonts w:ascii="仿宋_GB2312"/>
                <w:kern w:val="2"/>
                <w:szCs w:val="21"/>
              </w:rPr>
            </w:pPr>
          </w:p>
        </w:tc>
        <w:tc>
          <w:tcPr>
            <w:tcW w:w="1276" w:type="dxa"/>
            <w:vAlign w:val="center"/>
          </w:tcPr>
          <w:p>
            <w:pPr>
              <w:jc w:val="center"/>
              <w:rPr>
                <w:szCs w:val="21"/>
              </w:rPr>
            </w:pPr>
            <w:r>
              <w:rPr>
                <w:rFonts w:hint="eastAsia"/>
                <w:szCs w:val="21"/>
              </w:rPr>
              <w:t>氢氧化钠</w:t>
            </w:r>
          </w:p>
        </w:tc>
        <w:tc>
          <w:tcPr>
            <w:tcW w:w="2126" w:type="dxa"/>
            <w:vAlign w:val="center"/>
          </w:tcPr>
          <w:p>
            <w:pPr>
              <w:jc w:val="center"/>
              <w:rPr>
                <w:szCs w:val="21"/>
              </w:rPr>
            </w:pPr>
            <w:r>
              <w:rPr>
                <w:szCs w:val="21"/>
              </w:rPr>
              <w:t>第8.</w:t>
            </w:r>
            <w:r>
              <w:rPr>
                <w:rFonts w:hint="eastAsia"/>
                <w:szCs w:val="21"/>
              </w:rPr>
              <w:t>2</w:t>
            </w:r>
            <w:r>
              <w:rPr>
                <w:szCs w:val="21"/>
              </w:rPr>
              <w:t>类</w:t>
            </w:r>
            <w:r>
              <w:rPr>
                <w:rFonts w:hint="eastAsia"/>
                <w:szCs w:val="21"/>
              </w:rPr>
              <w:t>碱性</w:t>
            </w:r>
            <w:r>
              <w:rPr>
                <w:szCs w:val="21"/>
              </w:rPr>
              <w:t>腐蚀品</w:t>
            </w:r>
          </w:p>
        </w:tc>
        <w:tc>
          <w:tcPr>
            <w:tcW w:w="992" w:type="dxa"/>
            <w:vAlign w:val="center"/>
          </w:tcPr>
          <w:p>
            <w:pPr>
              <w:jc w:val="center"/>
              <w:rPr>
                <w:szCs w:val="21"/>
              </w:rPr>
            </w:pPr>
            <w:r>
              <w:rPr>
                <w:szCs w:val="21"/>
              </w:rPr>
              <w:t>是</w:t>
            </w:r>
          </w:p>
        </w:tc>
        <w:tc>
          <w:tcPr>
            <w:tcW w:w="709" w:type="dxa"/>
            <w:vAlign w:val="center"/>
          </w:tcPr>
          <w:p>
            <w:pPr>
              <w:jc w:val="center"/>
              <w:rPr>
                <w:szCs w:val="21"/>
              </w:rPr>
            </w:pPr>
            <w:r>
              <w:rPr>
                <w:szCs w:val="21"/>
              </w:rPr>
              <w:t>否</w:t>
            </w:r>
          </w:p>
        </w:tc>
        <w:tc>
          <w:tcPr>
            <w:tcW w:w="2126" w:type="dxa"/>
            <w:vAlign w:val="center"/>
          </w:tcPr>
          <w:p>
            <w:pPr>
              <w:jc w:val="center"/>
              <w:rPr>
                <w:szCs w:val="21"/>
              </w:rPr>
            </w:pPr>
            <w:r>
              <w:rPr>
                <w:szCs w:val="21"/>
              </w:rPr>
              <w:t>是</w:t>
            </w:r>
          </w:p>
        </w:tc>
      </w:tr>
      <w:tr>
        <w:tblPrEx>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rPr>
        <w:tc>
          <w:tcPr>
            <w:tcW w:w="992" w:type="dxa"/>
            <w:vMerge w:val="continue"/>
            <w:vAlign w:val="center"/>
          </w:tcPr>
          <w:p>
            <w:pPr>
              <w:pStyle w:val="193"/>
              <w:rPr>
                <w:rFonts w:ascii="仿宋_GB2312"/>
                <w:kern w:val="2"/>
                <w:szCs w:val="21"/>
              </w:rPr>
            </w:pPr>
          </w:p>
        </w:tc>
        <w:tc>
          <w:tcPr>
            <w:tcW w:w="1276" w:type="dxa"/>
            <w:vAlign w:val="center"/>
          </w:tcPr>
          <w:p>
            <w:pPr>
              <w:jc w:val="center"/>
              <w:rPr>
                <w:szCs w:val="21"/>
              </w:rPr>
            </w:pPr>
            <w:r>
              <w:rPr>
                <w:szCs w:val="21"/>
              </w:rPr>
              <w:t>氯酸钠</w:t>
            </w:r>
          </w:p>
        </w:tc>
        <w:tc>
          <w:tcPr>
            <w:tcW w:w="2126" w:type="dxa"/>
            <w:vAlign w:val="center"/>
          </w:tcPr>
          <w:p>
            <w:pPr>
              <w:jc w:val="center"/>
              <w:rPr>
                <w:szCs w:val="21"/>
              </w:rPr>
            </w:pPr>
            <w:r>
              <w:rPr>
                <w:szCs w:val="21"/>
              </w:rPr>
              <w:t>第5.1类氧化剂</w:t>
            </w:r>
          </w:p>
        </w:tc>
        <w:tc>
          <w:tcPr>
            <w:tcW w:w="992" w:type="dxa"/>
            <w:vAlign w:val="center"/>
          </w:tcPr>
          <w:p>
            <w:pPr>
              <w:jc w:val="center"/>
              <w:rPr>
                <w:szCs w:val="21"/>
              </w:rPr>
            </w:pPr>
            <w:r>
              <w:rPr>
                <w:szCs w:val="21"/>
              </w:rPr>
              <w:t>是</w:t>
            </w:r>
          </w:p>
        </w:tc>
        <w:tc>
          <w:tcPr>
            <w:tcW w:w="709" w:type="dxa"/>
            <w:vAlign w:val="center"/>
          </w:tcPr>
          <w:p>
            <w:pPr>
              <w:jc w:val="center"/>
              <w:rPr>
                <w:szCs w:val="21"/>
              </w:rPr>
            </w:pPr>
            <w:r>
              <w:rPr>
                <w:szCs w:val="21"/>
              </w:rPr>
              <w:t>否</w:t>
            </w:r>
          </w:p>
        </w:tc>
        <w:tc>
          <w:tcPr>
            <w:tcW w:w="2126" w:type="dxa"/>
            <w:vAlign w:val="center"/>
          </w:tcPr>
          <w:p>
            <w:pPr>
              <w:jc w:val="center"/>
              <w:rPr>
                <w:szCs w:val="21"/>
              </w:rPr>
            </w:pPr>
            <w:r>
              <w:rPr>
                <w:szCs w:val="21"/>
              </w:rPr>
              <w:t>是</w:t>
            </w:r>
          </w:p>
        </w:tc>
      </w:tr>
      <w:tr>
        <w:tblPrEx>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rPr>
        <w:tc>
          <w:tcPr>
            <w:tcW w:w="992" w:type="dxa"/>
            <w:vMerge w:val="continue"/>
            <w:vAlign w:val="center"/>
          </w:tcPr>
          <w:p>
            <w:pPr>
              <w:pStyle w:val="193"/>
              <w:rPr>
                <w:rFonts w:ascii="仿宋_GB2312"/>
                <w:kern w:val="2"/>
                <w:szCs w:val="21"/>
              </w:rPr>
            </w:pPr>
          </w:p>
        </w:tc>
        <w:tc>
          <w:tcPr>
            <w:tcW w:w="1276" w:type="dxa"/>
            <w:vAlign w:val="center"/>
          </w:tcPr>
          <w:p>
            <w:pPr>
              <w:jc w:val="center"/>
              <w:rPr>
                <w:szCs w:val="21"/>
              </w:rPr>
            </w:pPr>
            <w:r>
              <w:rPr>
                <w:szCs w:val="21"/>
              </w:rPr>
              <w:t>聚氯化铝</w:t>
            </w:r>
          </w:p>
        </w:tc>
        <w:tc>
          <w:tcPr>
            <w:tcW w:w="2126" w:type="dxa"/>
            <w:vAlign w:val="center"/>
          </w:tcPr>
          <w:p>
            <w:pPr>
              <w:jc w:val="center"/>
              <w:rPr>
                <w:szCs w:val="21"/>
              </w:rPr>
            </w:pPr>
            <w:r>
              <w:rPr>
                <w:szCs w:val="21"/>
              </w:rPr>
              <w:t>/</w:t>
            </w:r>
          </w:p>
        </w:tc>
        <w:tc>
          <w:tcPr>
            <w:tcW w:w="992" w:type="dxa"/>
            <w:vAlign w:val="center"/>
          </w:tcPr>
          <w:p>
            <w:pPr>
              <w:jc w:val="center"/>
              <w:rPr>
                <w:szCs w:val="21"/>
              </w:rPr>
            </w:pPr>
            <w:r>
              <w:rPr>
                <w:szCs w:val="21"/>
              </w:rPr>
              <w:t>是</w:t>
            </w:r>
          </w:p>
        </w:tc>
        <w:tc>
          <w:tcPr>
            <w:tcW w:w="709" w:type="dxa"/>
            <w:vAlign w:val="center"/>
          </w:tcPr>
          <w:p>
            <w:pPr>
              <w:jc w:val="center"/>
              <w:rPr>
                <w:szCs w:val="21"/>
              </w:rPr>
            </w:pPr>
            <w:r>
              <w:rPr>
                <w:szCs w:val="21"/>
              </w:rPr>
              <w:t>否</w:t>
            </w:r>
          </w:p>
        </w:tc>
        <w:tc>
          <w:tcPr>
            <w:tcW w:w="2126" w:type="dxa"/>
            <w:vAlign w:val="center"/>
          </w:tcPr>
          <w:p>
            <w:pPr>
              <w:jc w:val="center"/>
              <w:rPr>
                <w:szCs w:val="21"/>
              </w:rPr>
            </w:pPr>
            <w:r>
              <w:rPr>
                <w:szCs w:val="21"/>
              </w:rPr>
              <w:t>否</w:t>
            </w:r>
          </w:p>
        </w:tc>
      </w:tr>
      <w:tr>
        <w:tblPrEx>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Layout w:type="fixed"/>
        </w:tblPrEx>
        <w:trPr>
          <w:trHeight w:val="422" w:hRule="atLeast"/>
        </w:trPr>
        <w:tc>
          <w:tcPr>
            <w:tcW w:w="992" w:type="dxa"/>
            <w:vMerge w:val="continue"/>
            <w:vAlign w:val="center"/>
          </w:tcPr>
          <w:p>
            <w:pPr>
              <w:pStyle w:val="193"/>
              <w:rPr>
                <w:rFonts w:ascii="仿宋_GB2312"/>
                <w:kern w:val="2"/>
                <w:szCs w:val="21"/>
              </w:rPr>
            </w:pPr>
          </w:p>
        </w:tc>
        <w:tc>
          <w:tcPr>
            <w:tcW w:w="1276" w:type="dxa"/>
            <w:vAlign w:val="center"/>
          </w:tcPr>
          <w:p>
            <w:pPr>
              <w:jc w:val="center"/>
              <w:rPr>
                <w:color w:val="000000"/>
                <w:szCs w:val="21"/>
              </w:rPr>
            </w:pPr>
            <w:r>
              <w:rPr>
                <w:color w:val="000000"/>
                <w:szCs w:val="21"/>
              </w:rPr>
              <w:t>聚丙烯酰胺</w:t>
            </w:r>
          </w:p>
        </w:tc>
        <w:tc>
          <w:tcPr>
            <w:tcW w:w="2126" w:type="dxa"/>
            <w:vAlign w:val="center"/>
          </w:tcPr>
          <w:p>
            <w:pPr>
              <w:jc w:val="center"/>
              <w:rPr>
                <w:color w:val="000000"/>
                <w:szCs w:val="21"/>
              </w:rPr>
            </w:pPr>
            <w:r>
              <w:rPr>
                <w:color w:val="000000"/>
                <w:szCs w:val="21"/>
              </w:rPr>
              <w:t>/</w:t>
            </w:r>
          </w:p>
        </w:tc>
        <w:tc>
          <w:tcPr>
            <w:tcW w:w="992" w:type="dxa"/>
            <w:vAlign w:val="center"/>
          </w:tcPr>
          <w:p>
            <w:pPr>
              <w:jc w:val="center"/>
              <w:rPr>
                <w:color w:val="000000"/>
                <w:szCs w:val="21"/>
              </w:rPr>
            </w:pPr>
            <w:r>
              <w:rPr>
                <w:color w:val="000000"/>
                <w:szCs w:val="21"/>
              </w:rPr>
              <w:t>是</w:t>
            </w:r>
          </w:p>
        </w:tc>
        <w:tc>
          <w:tcPr>
            <w:tcW w:w="709" w:type="dxa"/>
            <w:vAlign w:val="center"/>
          </w:tcPr>
          <w:p>
            <w:pPr>
              <w:jc w:val="center"/>
              <w:rPr>
                <w:color w:val="000000"/>
                <w:szCs w:val="21"/>
              </w:rPr>
            </w:pPr>
            <w:r>
              <w:rPr>
                <w:color w:val="000000"/>
                <w:szCs w:val="21"/>
              </w:rPr>
              <w:t>否</w:t>
            </w:r>
          </w:p>
        </w:tc>
        <w:tc>
          <w:tcPr>
            <w:tcW w:w="2126" w:type="dxa"/>
            <w:vAlign w:val="center"/>
          </w:tcPr>
          <w:p>
            <w:pPr>
              <w:jc w:val="center"/>
              <w:rPr>
                <w:color w:val="000000"/>
                <w:szCs w:val="21"/>
              </w:rPr>
            </w:pPr>
            <w:r>
              <w:rPr>
                <w:color w:val="000000"/>
                <w:szCs w:val="21"/>
              </w:rPr>
              <w:t>否</w:t>
            </w:r>
          </w:p>
        </w:tc>
      </w:tr>
      <w:tr>
        <w:tblPrEx>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rPr>
        <w:tc>
          <w:tcPr>
            <w:tcW w:w="992" w:type="dxa"/>
            <w:vMerge w:val="continue"/>
            <w:vAlign w:val="center"/>
          </w:tcPr>
          <w:p>
            <w:pPr>
              <w:pStyle w:val="193"/>
              <w:jc w:val="both"/>
              <w:rPr>
                <w:rFonts w:ascii="仿宋_GB2312"/>
                <w:kern w:val="2"/>
                <w:szCs w:val="21"/>
              </w:rPr>
            </w:pPr>
          </w:p>
        </w:tc>
        <w:tc>
          <w:tcPr>
            <w:tcW w:w="1276" w:type="dxa"/>
            <w:vAlign w:val="center"/>
          </w:tcPr>
          <w:p>
            <w:pPr>
              <w:jc w:val="center"/>
              <w:rPr>
                <w:szCs w:val="21"/>
              </w:rPr>
            </w:pPr>
            <w:r>
              <w:rPr>
                <w:szCs w:val="21"/>
              </w:rPr>
              <w:t>二氧化氯</w:t>
            </w:r>
          </w:p>
        </w:tc>
        <w:tc>
          <w:tcPr>
            <w:tcW w:w="2126" w:type="dxa"/>
            <w:vAlign w:val="center"/>
          </w:tcPr>
          <w:p>
            <w:pPr>
              <w:jc w:val="center"/>
              <w:rPr>
                <w:szCs w:val="21"/>
              </w:rPr>
            </w:pPr>
            <w:r>
              <w:rPr>
                <w:szCs w:val="21"/>
              </w:rPr>
              <w:t>第1A类剧毒品</w:t>
            </w:r>
          </w:p>
        </w:tc>
        <w:tc>
          <w:tcPr>
            <w:tcW w:w="992" w:type="dxa"/>
            <w:vAlign w:val="center"/>
          </w:tcPr>
          <w:p>
            <w:pPr>
              <w:jc w:val="center"/>
              <w:rPr>
                <w:szCs w:val="21"/>
              </w:rPr>
            </w:pPr>
            <w:r>
              <w:rPr>
                <w:szCs w:val="21"/>
              </w:rPr>
              <w:t>是</w:t>
            </w:r>
          </w:p>
        </w:tc>
        <w:tc>
          <w:tcPr>
            <w:tcW w:w="709" w:type="dxa"/>
            <w:vAlign w:val="center"/>
          </w:tcPr>
          <w:p>
            <w:pPr>
              <w:jc w:val="center"/>
              <w:rPr>
                <w:szCs w:val="21"/>
              </w:rPr>
            </w:pPr>
            <w:r>
              <w:rPr>
                <w:szCs w:val="21"/>
              </w:rPr>
              <w:t>是</w:t>
            </w:r>
          </w:p>
        </w:tc>
        <w:tc>
          <w:tcPr>
            <w:tcW w:w="2126" w:type="dxa"/>
            <w:vAlign w:val="center"/>
          </w:tcPr>
          <w:p>
            <w:pPr>
              <w:jc w:val="center"/>
              <w:rPr>
                <w:szCs w:val="21"/>
              </w:rPr>
            </w:pPr>
            <w:r>
              <w:rPr>
                <w:szCs w:val="21"/>
              </w:rPr>
              <w:t>是</w:t>
            </w:r>
          </w:p>
        </w:tc>
      </w:tr>
      <w:tr>
        <w:tblPrEx>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992" w:type="dxa"/>
            <w:vAlign w:val="center"/>
          </w:tcPr>
          <w:p>
            <w:pPr>
              <w:jc w:val="center"/>
              <w:rPr>
                <w:szCs w:val="21"/>
              </w:rPr>
            </w:pPr>
            <w:r>
              <w:rPr>
                <w:szCs w:val="21"/>
              </w:rPr>
              <w:t>产品</w:t>
            </w:r>
          </w:p>
        </w:tc>
        <w:tc>
          <w:tcPr>
            <w:tcW w:w="1276" w:type="dxa"/>
            <w:vAlign w:val="center"/>
          </w:tcPr>
          <w:p>
            <w:pPr>
              <w:jc w:val="center"/>
              <w:rPr>
                <w:szCs w:val="21"/>
              </w:rPr>
            </w:pPr>
            <w:r>
              <w:rPr>
                <w:szCs w:val="21"/>
              </w:rPr>
              <w:t>生活污水</w:t>
            </w:r>
          </w:p>
        </w:tc>
        <w:tc>
          <w:tcPr>
            <w:tcW w:w="2126" w:type="dxa"/>
            <w:vAlign w:val="center"/>
          </w:tcPr>
          <w:p>
            <w:pPr>
              <w:jc w:val="center"/>
              <w:rPr>
                <w:szCs w:val="21"/>
              </w:rPr>
            </w:pPr>
            <w:r>
              <w:rPr>
                <w:szCs w:val="21"/>
              </w:rPr>
              <w:t>/</w:t>
            </w:r>
          </w:p>
        </w:tc>
        <w:tc>
          <w:tcPr>
            <w:tcW w:w="992" w:type="dxa"/>
            <w:vAlign w:val="center"/>
          </w:tcPr>
          <w:p>
            <w:pPr>
              <w:jc w:val="center"/>
              <w:rPr>
                <w:szCs w:val="21"/>
              </w:rPr>
            </w:pPr>
            <w:r>
              <w:rPr>
                <w:szCs w:val="21"/>
              </w:rPr>
              <w:t>/</w:t>
            </w:r>
          </w:p>
        </w:tc>
        <w:tc>
          <w:tcPr>
            <w:tcW w:w="709" w:type="dxa"/>
            <w:vAlign w:val="center"/>
          </w:tcPr>
          <w:p>
            <w:pPr>
              <w:jc w:val="center"/>
              <w:rPr>
                <w:szCs w:val="21"/>
              </w:rPr>
            </w:pPr>
            <w:r>
              <w:rPr>
                <w:szCs w:val="21"/>
              </w:rPr>
              <w:t>/</w:t>
            </w:r>
          </w:p>
        </w:tc>
        <w:tc>
          <w:tcPr>
            <w:tcW w:w="2126" w:type="dxa"/>
            <w:vAlign w:val="center"/>
          </w:tcPr>
          <w:p>
            <w:pPr>
              <w:jc w:val="center"/>
              <w:rPr>
                <w:szCs w:val="21"/>
              </w:rPr>
            </w:pPr>
            <w:r>
              <w:rPr>
                <w:szCs w:val="21"/>
              </w:rPr>
              <w:t>否</w:t>
            </w:r>
          </w:p>
        </w:tc>
      </w:tr>
      <w:tr>
        <w:tblPrEx>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Layout w:type="fixed"/>
          <w:tblCellMar>
            <w:top w:w="0" w:type="dxa"/>
            <w:left w:w="108" w:type="dxa"/>
            <w:bottom w:w="0" w:type="dxa"/>
            <w:right w:w="108" w:type="dxa"/>
          </w:tblCellMar>
        </w:tblPrEx>
        <w:trPr>
          <w:trHeight w:val="410" w:hRule="atLeast"/>
        </w:trPr>
        <w:tc>
          <w:tcPr>
            <w:tcW w:w="992" w:type="dxa"/>
            <w:vMerge w:val="restart"/>
            <w:vAlign w:val="center"/>
          </w:tcPr>
          <w:p>
            <w:pPr>
              <w:jc w:val="center"/>
              <w:rPr>
                <w:szCs w:val="21"/>
              </w:rPr>
            </w:pPr>
            <w:r>
              <w:rPr>
                <w:szCs w:val="21"/>
              </w:rPr>
              <w:t>三废</w:t>
            </w:r>
          </w:p>
        </w:tc>
        <w:tc>
          <w:tcPr>
            <w:tcW w:w="1276" w:type="dxa"/>
            <w:vAlign w:val="center"/>
          </w:tcPr>
          <w:p>
            <w:pPr>
              <w:jc w:val="center"/>
              <w:rPr>
                <w:szCs w:val="21"/>
              </w:rPr>
            </w:pPr>
            <w:r>
              <w:rPr>
                <w:szCs w:val="21"/>
              </w:rPr>
              <w:t>活性污泥</w:t>
            </w:r>
          </w:p>
        </w:tc>
        <w:tc>
          <w:tcPr>
            <w:tcW w:w="2126" w:type="dxa"/>
            <w:vAlign w:val="center"/>
          </w:tcPr>
          <w:p>
            <w:pPr>
              <w:jc w:val="center"/>
              <w:rPr>
                <w:szCs w:val="21"/>
              </w:rPr>
            </w:pPr>
            <w:r>
              <w:rPr>
                <w:szCs w:val="21"/>
              </w:rPr>
              <w:t>生产废物</w:t>
            </w:r>
          </w:p>
        </w:tc>
        <w:tc>
          <w:tcPr>
            <w:tcW w:w="992" w:type="dxa"/>
            <w:vAlign w:val="center"/>
          </w:tcPr>
          <w:p>
            <w:pPr>
              <w:jc w:val="center"/>
              <w:rPr>
                <w:szCs w:val="21"/>
              </w:rPr>
            </w:pPr>
            <w:r>
              <w:rPr>
                <w:szCs w:val="21"/>
              </w:rPr>
              <w:t>/</w:t>
            </w:r>
          </w:p>
        </w:tc>
        <w:tc>
          <w:tcPr>
            <w:tcW w:w="709" w:type="dxa"/>
            <w:vAlign w:val="center"/>
          </w:tcPr>
          <w:p>
            <w:pPr>
              <w:jc w:val="center"/>
              <w:rPr>
                <w:szCs w:val="21"/>
              </w:rPr>
            </w:pPr>
            <w:r>
              <w:rPr>
                <w:szCs w:val="21"/>
              </w:rPr>
              <w:t>/</w:t>
            </w:r>
          </w:p>
        </w:tc>
        <w:tc>
          <w:tcPr>
            <w:tcW w:w="2126" w:type="dxa"/>
            <w:vAlign w:val="center"/>
          </w:tcPr>
          <w:p>
            <w:pPr>
              <w:jc w:val="center"/>
              <w:rPr>
                <w:szCs w:val="21"/>
              </w:rPr>
            </w:pPr>
            <w:r>
              <w:rPr>
                <w:szCs w:val="21"/>
              </w:rPr>
              <w:t>否</w:t>
            </w:r>
          </w:p>
        </w:tc>
      </w:tr>
      <w:tr>
        <w:tblPrEx>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rPr>
        <w:tc>
          <w:tcPr>
            <w:tcW w:w="992" w:type="dxa"/>
            <w:vMerge w:val="continue"/>
            <w:tcBorders>
              <w:bottom w:val="thinThickSmallGap" w:color="auto" w:sz="24" w:space="0"/>
            </w:tcBorders>
            <w:vAlign w:val="center"/>
          </w:tcPr>
          <w:p>
            <w:pPr>
              <w:pStyle w:val="193"/>
              <w:rPr>
                <w:rFonts w:ascii="仿宋_GB2312"/>
                <w:kern w:val="2"/>
                <w:szCs w:val="21"/>
              </w:rPr>
            </w:pPr>
          </w:p>
        </w:tc>
        <w:tc>
          <w:tcPr>
            <w:tcW w:w="1276" w:type="dxa"/>
            <w:tcBorders>
              <w:bottom w:val="thinThickSmallGap" w:color="auto" w:sz="24" w:space="0"/>
            </w:tcBorders>
            <w:vAlign w:val="center"/>
          </w:tcPr>
          <w:p>
            <w:pPr>
              <w:jc w:val="center"/>
              <w:rPr>
                <w:color w:val="000000"/>
                <w:szCs w:val="21"/>
              </w:rPr>
            </w:pPr>
            <w:r>
              <w:rPr>
                <w:szCs w:val="21"/>
              </w:rPr>
              <w:t>废机油</w:t>
            </w:r>
          </w:p>
        </w:tc>
        <w:tc>
          <w:tcPr>
            <w:tcW w:w="2126" w:type="dxa"/>
            <w:tcBorders>
              <w:bottom w:val="thinThickSmallGap" w:color="auto" w:sz="24" w:space="0"/>
            </w:tcBorders>
            <w:vAlign w:val="center"/>
          </w:tcPr>
          <w:p>
            <w:pPr>
              <w:jc w:val="center"/>
              <w:rPr>
                <w:color w:val="000000"/>
                <w:szCs w:val="21"/>
              </w:rPr>
            </w:pPr>
            <w:r>
              <w:rPr>
                <w:szCs w:val="21"/>
              </w:rPr>
              <w:t>/</w:t>
            </w:r>
          </w:p>
        </w:tc>
        <w:tc>
          <w:tcPr>
            <w:tcW w:w="992" w:type="dxa"/>
            <w:tcBorders>
              <w:bottom w:val="thinThickSmallGap" w:color="auto" w:sz="24" w:space="0"/>
            </w:tcBorders>
            <w:vAlign w:val="center"/>
          </w:tcPr>
          <w:p>
            <w:pPr>
              <w:jc w:val="center"/>
              <w:rPr>
                <w:color w:val="000000"/>
                <w:szCs w:val="21"/>
              </w:rPr>
            </w:pPr>
          </w:p>
        </w:tc>
        <w:tc>
          <w:tcPr>
            <w:tcW w:w="709" w:type="dxa"/>
            <w:tcBorders>
              <w:bottom w:val="thinThickSmallGap" w:color="auto" w:sz="24" w:space="0"/>
            </w:tcBorders>
            <w:vAlign w:val="center"/>
          </w:tcPr>
          <w:p>
            <w:pPr>
              <w:jc w:val="center"/>
              <w:rPr>
                <w:color w:val="000000"/>
                <w:szCs w:val="21"/>
              </w:rPr>
            </w:pPr>
          </w:p>
        </w:tc>
        <w:tc>
          <w:tcPr>
            <w:tcW w:w="2126" w:type="dxa"/>
            <w:tcBorders>
              <w:bottom w:val="thinThickSmallGap" w:color="auto" w:sz="24" w:space="0"/>
            </w:tcBorders>
            <w:vAlign w:val="center"/>
          </w:tcPr>
          <w:p>
            <w:pPr>
              <w:jc w:val="center"/>
              <w:rPr>
                <w:color w:val="000000"/>
                <w:szCs w:val="21"/>
              </w:rPr>
            </w:pPr>
            <w:r>
              <w:rPr>
                <w:szCs w:val="21"/>
              </w:rPr>
              <w:t>是</w:t>
            </w:r>
          </w:p>
        </w:tc>
      </w:tr>
    </w:tbl>
    <w:p>
      <w:pPr>
        <w:spacing w:line="460" w:lineRule="exact"/>
        <w:ind w:firstLine="470" w:firstLineChars="196"/>
        <w:jc w:val="left"/>
        <w:rPr>
          <w:rFonts w:cs="仿宋_GB2312" w:asciiTheme="minorEastAsia" w:hAnsiTheme="minorEastAsia" w:eastAsiaTheme="minorEastAsia"/>
          <w:kern w:val="0"/>
          <w:sz w:val="24"/>
          <w:szCs w:val="24"/>
        </w:rPr>
      </w:pPr>
      <w:r>
        <w:rPr>
          <w:rFonts w:cs="仿宋_GB2312" w:asciiTheme="minorEastAsia" w:hAnsiTheme="minorEastAsia" w:eastAsiaTheme="minorEastAsia"/>
          <w:kern w:val="0"/>
          <w:sz w:val="24"/>
          <w:szCs w:val="24"/>
        </w:rPr>
        <w:t>由上表可知重庆市涪陵区拓源污水治理有限公司</w:t>
      </w:r>
      <w:r>
        <w:rPr>
          <w:rFonts w:hint="eastAsia" w:cs="仿宋_GB2312" w:asciiTheme="minorEastAsia" w:hAnsiTheme="minorEastAsia" w:eastAsiaTheme="minorEastAsia"/>
          <w:kern w:val="0"/>
          <w:sz w:val="24"/>
          <w:szCs w:val="24"/>
          <w:lang w:eastAsia="zh-CN"/>
        </w:rPr>
        <w:t>龙桥</w:t>
      </w:r>
      <w:r>
        <w:rPr>
          <w:rFonts w:hint="eastAsia" w:cs="仿宋_GB2312" w:asciiTheme="minorEastAsia" w:hAnsiTheme="minorEastAsia" w:eastAsiaTheme="minorEastAsia"/>
          <w:kern w:val="0"/>
          <w:sz w:val="24"/>
          <w:szCs w:val="24"/>
        </w:rPr>
        <w:t>污水处理厂</w:t>
      </w:r>
      <w:r>
        <w:rPr>
          <w:rFonts w:cs="仿宋_GB2312" w:asciiTheme="minorEastAsia" w:hAnsiTheme="minorEastAsia" w:eastAsiaTheme="minorEastAsia"/>
          <w:kern w:val="0"/>
          <w:sz w:val="24"/>
          <w:szCs w:val="24"/>
        </w:rPr>
        <w:t>使用原辅材料、产品及“三废”中属于环境风险物质的是盐酸、氯酸钠</w:t>
      </w:r>
      <w:r>
        <w:rPr>
          <w:rFonts w:hint="eastAsia" w:cs="仿宋_GB2312" w:asciiTheme="minorEastAsia" w:hAnsiTheme="minorEastAsia" w:eastAsiaTheme="minorEastAsia"/>
          <w:kern w:val="0"/>
          <w:sz w:val="24"/>
          <w:szCs w:val="24"/>
        </w:rPr>
        <w:t>、氢氧化钠、二氧化氯、</w:t>
      </w:r>
      <w:r>
        <w:rPr>
          <w:rFonts w:cs="仿宋_GB2312" w:asciiTheme="minorEastAsia" w:hAnsiTheme="minorEastAsia" w:eastAsiaTheme="minorEastAsia"/>
          <w:kern w:val="0"/>
          <w:sz w:val="24"/>
          <w:szCs w:val="24"/>
        </w:rPr>
        <w:t>废机油等。</w:t>
      </w:r>
    </w:p>
    <w:p>
      <w:pPr>
        <w:spacing w:line="460" w:lineRule="exact"/>
        <w:ind w:firstLine="480" w:firstLineChars="200"/>
        <w:jc w:val="left"/>
        <w:rPr>
          <w:rFonts w:cs="仿宋_GB2312" w:asciiTheme="minorEastAsia" w:hAnsiTheme="minorEastAsia" w:eastAsiaTheme="minorEastAsia"/>
          <w:kern w:val="0"/>
          <w:sz w:val="24"/>
          <w:szCs w:val="24"/>
        </w:rPr>
      </w:pPr>
      <w:r>
        <w:rPr>
          <w:rFonts w:cs="仿宋_GB2312" w:asciiTheme="minorEastAsia" w:hAnsiTheme="minorEastAsia" w:eastAsiaTheme="minorEastAsia"/>
          <w:kern w:val="0"/>
          <w:sz w:val="24"/>
          <w:szCs w:val="24"/>
        </w:rPr>
        <w:t>（2）重大危险源辨识</w:t>
      </w:r>
    </w:p>
    <w:p>
      <w:pPr>
        <w:spacing w:line="460" w:lineRule="exact"/>
        <w:ind w:firstLine="480" w:firstLineChars="200"/>
        <w:jc w:val="left"/>
        <w:rPr>
          <w:rFonts w:cs="仿宋_GB2312" w:asciiTheme="minorEastAsia" w:hAnsiTheme="minorEastAsia" w:eastAsiaTheme="minorEastAsia"/>
          <w:kern w:val="0"/>
          <w:sz w:val="24"/>
          <w:szCs w:val="24"/>
        </w:rPr>
      </w:pPr>
      <w:bookmarkStart w:id="151" w:name="_Toc246994508"/>
      <w:r>
        <w:rPr>
          <w:rFonts w:hint="eastAsia" w:cs="仿宋_GB2312" w:asciiTheme="minorEastAsia" w:hAnsiTheme="minorEastAsia" w:eastAsiaTheme="minorEastAsia"/>
          <w:kern w:val="0"/>
          <w:sz w:val="24"/>
          <w:szCs w:val="24"/>
        </w:rPr>
        <w:t>根据《</w:t>
      </w:r>
      <w:r>
        <w:rPr>
          <w:rFonts w:cs="仿宋_GB2312" w:asciiTheme="minorEastAsia" w:hAnsiTheme="minorEastAsia" w:eastAsiaTheme="minorEastAsia"/>
          <w:kern w:val="0"/>
          <w:sz w:val="24"/>
          <w:szCs w:val="24"/>
        </w:rPr>
        <w:t>重庆市涪陵区拓源污水治理有限公司</w:t>
      </w:r>
      <w:r>
        <w:rPr>
          <w:rFonts w:hint="eastAsia" w:cs="仿宋_GB2312" w:asciiTheme="minorEastAsia" w:hAnsiTheme="minorEastAsia" w:eastAsiaTheme="minorEastAsia"/>
          <w:kern w:val="0"/>
          <w:sz w:val="24"/>
          <w:szCs w:val="24"/>
        </w:rPr>
        <w:t>龙桥处理厂突发环境事件风险评估报告》</w:t>
      </w:r>
      <w:r>
        <w:rPr>
          <w:rFonts w:cs="仿宋_GB2312" w:asciiTheme="minorEastAsia" w:hAnsiTheme="minorEastAsia" w:eastAsiaTheme="minorEastAsia"/>
          <w:kern w:val="0"/>
          <w:sz w:val="24"/>
          <w:szCs w:val="24"/>
        </w:rPr>
        <w:t>企业厂区内所有环境风险物质与《建设项目环境风险评价技术导则（HJ/T169-2004）》（附录2有毒物质名称及临界量）对照情况见表3.4</w:t>
      </w:r>
      <w:r>
        <w:rPr>
          <w:rFonts w:hint="eastAsia" w:cs="仿宋_GB2312" w:asciiTheme="minorEastAsia" w:hAnsiTheme="minorEastAsia" w:eastAsiaTheme="minorEastAsia"/>
          <w:kern w:val="0"/>
          <w:sz w:val="24"/>
          <w:szCs w:val="24"/>
        </w:rPr>
        <w:t>-4。</w:t>
      </w:r>
    </w:p>
    <w:p>
      <w:pPr>
        <w:pStyle w:val="193"/>
        <w:spacing w:line="460" w:lineRule="exact"/>
        <w:rPr>
          <w:rFonts w:ascii="仿宋_GB2312"/>
          <w:b/>
          <w:color w:val="FF0000"/>
        </w:rPr>
      </w:pPr>
      <w:r>
        <w:rPr>
          <w:rFonts w:ascii="仿宋_GB2312"/>
          <w:b/>
        </w:rPr>
        <w:t>3.4</w:t>
      </w:r>
      <w:r>
        <w:rPr>
          <w:rFonts w:hint="eastAsia" w:ascii="仿宋_GB2312"/>
          <w:b/>
        </w:rPr>
        <w:t>-4 危险化学品储存情况一览表</w:t>
      </w:r>
    </w:p>
    <w:tbl>
      <w:tblPr>
        <w:tblStyle w:val="54"/>
        <w:tblW w:w="9214" w:type="dxa"/>
        <w:tblInd w:w="-34" w:type="dxa"/>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76"/>
        <w:gridCol w:w="2126"/>
        <w:gridCol w:w="851"/>
        <w:gridCol w:w="1134"/>
        <w:gridCol w:w="1701"/>
        <w:gridCol w:w="1417"/>
      </w:tblGrid>
      <w:tr>
        <w:tblPrEx>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709" w:type="dxa"/>
            <w:tcBorders>
              <w:top w:val="thinThickSmallGap" w:color="auto" w:sz="24" w:space="0"/>
            </w:tcBorders>
            <w:vAlign w:val="center"/>
          </w:tcPr>
          <w:p>
            <w:pPr>
              <w:pStyle w:val="193"/>
              <w:rPr>
                <w:rFonts w:ascii="仿宋_GB2312"/>
                <w:kern w:val="2"/>
                <w:sz w:val="21"/>
                <w:szCs w:val="21"/>
              </w:rPr>
            </w:pPr>
            <w:r>
              <w:rPr>
                <w:rFonts w:hint="eastAsia" w:ascii="仿宋_GB2312"/>
                <w:kern w:val="2"/>
                <w:sz w:val="21"/>
                <w:szCs w:val="21"/>
              </w:rPr>
              <w:t>序号</w:t>
            </w:r>
          </w:p>
        </w:tc>
        <w:tc>
          <w:tcPr>
            <w:tcW w:w="1276" w:type="dxa"/>
            <w:tcBorders>
              <w:top w:val="thinThickSmallGap" w:color="auto" w:sz="24" w:space="0"/>
            </w:tcBorders>
            <w:vAlign w:val="center"/>
          </w:tcPr>
          <w:p>
            <w:pPr>
              <w:spacing w:line="240" w:lineRule="exact"/>
              <w:jc w:val="center"/>
              <w:rPr>
                <w:rFonts w:ascii="仿宋_GB2312"/>
                <w:szCs w:val="21"/>
              </w:rPr>
            </w:pPr>
            <w:r>
              <w:rPr>
                <w:rFonts w:hint="eastAsia" w:ascii="仿宋_GB2312"/>
                <w:szCs w:val="21"/>
              </w:rPr>
              <w:t>物质名称</w:t>
            </w:r>
          </w:p>
        </w:tc>
        <w:tc>
          <w:tcPr>
            <w:tcW w:w="2126" w:type="dxa"/>
            <w:tcBorders>
              <w:top w:val="thinThickSmallGap" w:color="auto" w:sz="24" w:space="0"/>
            </w:tcBorders>
            <w:vAlign w:val="center"/>
          </w:tcPr>
          <w:p>
            <w:pPr>
              <w:pStyle w:val="193"/>
              <w:rPr>
                <w:rFonts w:ascii="仿宋_GB2312"/>
                <w:kern w:val="2"/>
                <w:sz w:val="21"/>
                <w:szCs w:val="21"/>
              </w:rPr>
            </w:pPr>
            <w:r>
              <w:rPr>
                <w:rFonts w:hint="eastAsia" w:ascii="仿宋_GB2312"/>
                <w:bCs/>
                <w:caps/>
                <w:kern w:val="2"/>
                <w:sz w:val="21"/>
                <w:szCs w:val="21"/>
              </w:rPr>
              <w:t>所属类别</w:t>
            </w:r>
          </w:p>
        </w:tc>
        <w:tc>
          <w:tcPr>
            <w:tcW w:w="851" w:type="dxa"/>
            <w:tcBorders>
              <w:top w:val="thinThickSmallGap" w:color="auto" w:sz="24" w:space="0"/>
            </w:tcBorders>
            <w:vAlign w:val="center"/>
          </w:tcPr>
          <w:p>
            <w:pPr>
              <w:pStyle w:val="193"/>
              <w:rPr>
                <w:rFonts w:ascii="仿宋_GB2312"/>
                <w:kern w:val="2"/>
                <w:sz w:val="21"/>
                <w:szCs w:val="21"/>
              </w:rPr>
            </w:pPr>
            <w:r>
              <w:rPr>
                <w:rFonts w:hint="eastAsia" w:ascii="仿宋_GB2312"/>
                <w:kern w:val="2"/>
                <w:sz w:val="21"/>
                <w:szCs w:val="21"/>
              </w:rPr>
              <w:t>临界量</w:t>
            </w:r>
          </w:p>
        </w:tc>
        <w:tc>
          <w:tcPr>
            <w:tcW w:w="1134" w:type="dxa"/>
            <w:tcBorders>
              <w:top w:val="thinThickSmallGap" w:color="auto" w:sz="24" w:space="0"/>
            </w:tcBorders>
            <w:vAlign w:val="center"/>
          </w:tcPr>
          <w:p>
            <w:pPr>
              <w:pStyle w:val="193"/>
              <w:rPr>
                <w:rFonts w:ascii="仿宋_GB2312"/>
                <w:kern w:val="2"/>
                <w:sz w:val="21"/>
                <w:szCs w:val="21"/>
              </w:rPr>
            </w:pPr>
            <w:r>
              <w:rPr>
                <w:rFonts w:hint="eastAsia" w:ascii="仿宋_GB2312"/>
                <w:kern w:val="2"/>
                <w:sz w:val="21"/>
                <w:szCs w:val="21"/>
              </w:rPr>
              <w:t>实际最</w:t>
            </w:r>
          </w:p>
          <w:p>
            <w:pPr>
              <w:pStyle w:val="193"/>
              <w:rPr>
                <w:rFonts w:ascii="仿宋_GB2312"/>
                <w:kern w:val="2"/>
                <w:sz w:val="21"/>
                <w:szCs w:val="21"/>
              </w:rPr>
            </w:pPr>
            <w:r>
              <w:rPr>
                <w:rFonts w:hint="eastAsia" w:ascii="仿宋_GB2312"/>
                <w:kern w:val="2"/>
                <w:sz w:val="21"/>
                <w:szCs w:val="21"/>
              </w:rPr>
              <w:t>大贮量</w:t>
            </w:r>
          </w:p>
        </w:tc>
        <w:tc>
          <w:tcPr>
            <w:tcW w:w="1701" w:type="dxa"/>
            <w:tcBorders>
              <w:top w:val="thinThickSmallGap" w:color="auto" w:sz="24" w:space="0"/>
            </w:tcBorders>
            <w:vAlign w:val="center"/>
          </w:tcPr>
          <w:p>
            <w:pPr>
              <w:pStyle w:val="193"/>
              <w:rPr>
                <w:rFonts w:ascii="仿宋_GB2312"/>
                <w:kern w:val="2"/>
                <w:sz w:val="21"/>
                <w:szCs w:val="21"/>
              </w:rPr>
            </w:pPr>
            <w:r>
              <w:rPr>
                <w:rFonts w:hint="eastAsia" w:ascii="仿宋_GB2312"/>
                <w:bCs/>
                <w:caps/>
                <w:kern w:val="2"/>
                <w:sz w:val="21"/>
                <w:szCs w:val="21"/>
              </w:rPr>
              <w:t>辨识依据</w:t>
            </w:r>
          </w:p>
        </w:tc>
        <w:tc>
          <w:tcPr>
            <w:tcW w:w="1417" w:type="dxa"/>
            <w:tcBorders>
              <w:top w:val="thinThickSmallGap" w:color="auto" w:sz="24" w:space="0"/>
            </w:tcBorders>
            <w:vAlign w:val="center"/>
          </w:tcPr>
          <w:p>
            <w:pPr>
              <w:pStyle w:val="193"/>
              <w:rPr>
                <w:rFonts w:ascii="仿宋_GB2312"/>
                <w:kern w:val="2"/>
                <w:sz w:val="21"/>
                <w:szCs w:val="21"/>
              </w:rPr>
            </w:pPr>
            <w:r>
              <w:rPr>
                <w:rFonts w:hint="eastAsia" w:ascii="仿宋_GB2312"/>
                <w:kern w:val="2"/>
                <w:sz w:val="21"/>
                <w:szCs w:val="21"/>
              </w:rPr>
              <w:t>是否构成重大危险源</w:t>
            </w:r>
          </w:p>
        </w:tc>
      </w:tr>
      <w:tr>
        <w:tblPrEx>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Layout w:type="fixed"/>
          <w:tblCellMar>
            <w:top w:w="0" w:type="dxa"/>
            <w:left w:w="108" w:type="dxa"/>
            <w:bottom w:w="0" w:type="dxa"/>
            <w:right w:w="108" w:type="dxa"/>
          </w:tblCellMar>
        </w:tblPrEx>
        <w:trPr>
          <w:trHeight w:val="626" w:hRule="atLeast"/>
        </w:trPr>
        <w:tc>
          <w:tcPr>
            <w:tcW w:w="709" w:type="dxa"/>
            <w:vAlign w:val="center"/>
          </w:tcPr>
          <w:p>
            <w:pPr>
              <w:pStyle w:val="193"/>
              <w:rPr>
                <w:rFonts w:ascii="仿宋_GB2312"/>
                <w:kern w:val="2"/>
                <w:sz w:val="21"/>
                <w:szCs w:val="21"/>
              </w:rPr>
            </w:pPr>
            <w:r>
              <w:rPr>
                <w:rFonts w:hint="eastAsia" w:ascii="仿宋_GB2312"/>
                <w:kern w:val="2"/>
                <w:sz w:val="21"/>
                <w:szCs w:val="21"/>
              </w:rPr>
              <w:t>1</w:t>
            </w:r>
          </w:p>
        </w:tc>
        <w:tc>
          <w:tcPr>
            <w:tcW w:w="1276" w:type="dxa"/>
            <w:vAlign w:val="center"/>
          </w:tcPr>
          <w:p>
            <w:pPr>
              <w:pStyle w:val="193"/>
              <w:rPr>
                <w:rFonts w:ascii="仿宋_GB2312"/>
                <w:kern w:val="2"/>
                <w:sz w:val="21"/>
                <w:szCs w:val="21"/>
              </w:rPr>
            </w:pPr>
            <w:r>
              <w:rPr>
                <w:rFonts w:hint="eastAsia" w:ascii="仿宋_GB2312"/>
                <w:kern w:val="2"/>
                <w:sz w:val="21"/>
                <w:szCs w:val="21"/>
              </w:rPr>
              <w:t>氢氧化钠</w:t>
            </w:r>
          </w:p>
        </w:tc>
        <w:tc>
          <w:tcPr>
            <w:tcW w:w="2126" w:type="dxa"/>
            <w:vAlign w:val="center"/>
          </w:tcPr>
          <w:p>
            <w:pPr>
              <w:pStyle w:val="193"/>
              <w:rPr>
                <w:rFonts w:ascii="仿宋_GB2312"/>
                <w:kern w:val="2"/>
                <w:sz w:val="21"/>
                <w:szCs w:val="21"/>
              </w:rPr>
            </w:pPr>
            <w:r>
              <w:rPr>
                <w:rFonts w:hint="eastAsia" w:ascii="仿宋_GB2312"/>
                <w:bCs/>
                <w:caps/>
                <w:kern w:val="2"/>
                <w:sz w:val="21"/>
                <w:szCs w:val="21"/>
              </w:rPr>
              <w:t>第8.2类碱性腐蚀品</w:t>
            </w:r>
          </w:p>
        </w:tc>
        <w:tc>
          <w:tcPr>
            <w:tcW w:w="851" w:type="dxa"/>
            <w:vAlign w:val="center"/>
          </w:tcPr>
          <w:p>
            <w:pPr>
              <w:pStyle w:val="193"/>
              <w:rPr>
                <w:rFonts w:ascii="仿宋_GB2312"/>
                <w:kern w:val="2"/>
                <w:sz w:val="21"/>
                <w:szCs w:val="21"/>
              </w:rPr>
            </w:pPr>
            <w:r>
              <w:rPr>
                <w:rFonts w:hint="eastAsia" w:ascii="仿宋_GB2312"/>
                <w:kern w:val="2"/>
                <w:sz w:val="21"/>
                <w:szCs w:val="21"/>
              </w:rPr>
              <w:t>50t</w:t>
            </w:r>
          </w:p>
        </w:tc>
        <w:tc>
          <w:tcPr>
            <w:tcW w:w="1134" w:type="dxa"/>
            <w:vAlign w:val="center"/>
          </w:tcPr>
          <w:p>
            <w:pPr>
              <w:pStyle w:val="193"/>
              <w:rPr>
                <w:rFonts w:ascii="仿宋_GB2312"/>
                <w:kern w:val="2"/>
                <w:sz w:val="21"/>
                <w:szCs w:val="21"/>
              </w:rPr>
            </w:pPr>
            <w:r>
              <w:rPr>
                <w:rFonts w:hint="eastAsia" w:ascii="仿宋_GB2312"/>
                <w:kern w:val="2"/>
                <w:sz w:val="21"/>
                <w:szCs w:val="21"/>
              </w:rPr>
              <w:t>3t</w:t>
            </w:r>
          </w:p>
        </w:tc>
        <w:tc>
          <w:tcPr>
            <w:tcW w:w="1701" w:type="dxa"/>
            <w:vAlign w:val="center"/>
          </w:tcPr>
          <w:p>
            <w:pPr>
              <w:pStyle w:val="193"/>
              <w:rPr>
                <w:rFonts w:ascii="仿宋_GB2312"/>
                <w:kern w:val="2"/>
                <w:sz w:val="21"/>
                <w:szCs w:val="21"/>
              </w:rPr>
            </w:pPr>
            <w:r>
              <w:rPr>
                <w:rFonts w:hint="eastAsia" w:ascii="仿宋_GB2312"/>
                <w:bCs/>
                <w:caps/>
                <w:kern w:val="2"/>
                <w:sz w:val="21"/>
                <w:szCs w:val="21"/>
              </w:rPr>
              <w:t>危险化学品名录》（2002版）</w:t>
            </w:r>
          </w:p>
        </w:tc>
        <w:tc>
          <w:tcPr>
            <w:tcW w:w="1417" w:type="dxa"/>
            <w:vAlign w:val="center"/>
          </w:tcPr>
          <w:p>
            <w:pPr>
              <w:jc w:val="center"/>
              <w:rPr>
                <w:rFonts w:ascii="仿宋_GB2312"/>
                <w:szCs w:val="21"/>
              </w:rPr>
            </w:pPr>
            <w:r>
              <w:rPr>
                <w:rFonts w:hint="eastAsia" w:ascii="仿宋_GB2312"/>
                <w:szCs w:val="21"/>
              </w:rPr>
              <w:t>否</w:t>
            </w:r>
          </w:p>
        </w:tc>
      </w:tr>
      <w:tr>
        <w:tblPrEx>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Layout w:type="fixed"/>
          <w:tblCellMar>
            <w:top w:w="0" w:type="dxa"/>
            <w:left w:w="108" w:type="dxa"/>
            <w:bottom w:w="0" w:type="dxa"/>
            <w:right w:w="108" w:type="dxa"/>
          </w:tblCellMar>
        </w:tblPrEx>
        <w:trPr>
          <w:trHeight w:val="626" w:hRule="atLeast"/>
        </w:trPr>
        <w:tc>
          <w:tcPr>
            <w:tcW w:w="709" w:type="dxa"/>
            <w:vAlign w:val="center"/>
          </w:tcPr>
          <w:p>
            <w:pPr>
              <w:pStyle w:val="193"/>
              <w:rPr>
                <w:rFonts w:ascii="仿宋_GB2312"/>
                <w:kern w:val="2"/>
                <w:sz w:val="21"/>
                <w:szCs w:val="21"/>
              </w:rPr>
            </w:pPr>
            <w:r>
              <w:rPr>
                <w:rFonts w:hint="eastAsia" w:ascii="仿宋_GB2312"/>
                <w:kern w:val="2"/>
                <w:sz w:val="21"/>
                <w:szCs w:val="21"/>
              </w:rPr>
              <w:t>2</w:t>
            </w:r>
          </w:p>
        </w:tc>
        <w:tc>
          <w:tcPr>
            <w:tcW w:w="1276" w:type="dxa"/>
            <w:vAlign w:val="center"/>
          </w:tcPr>
          <w:p>
            <w:pPr>
              <w:pStyle w:val="193"/>
              <w:rPr>
                <w:rFonts w:ascii="仿宋_GB2312"/>
                <w:kern w:val="2"/>
                <w:sz w:val="21"/>
                <w:szCs w:val="21"/>
              </w:rPr>
            </w:pPr>
            <w:r>
              <w:rPr>
                <w:rFonts w:hint="eastAsia" w:ascii="仿宋_GB2312" w:hAnsi="宋体" w:cs="宋体"/>
                <w:kern w:val="2"/>
                <w:sz w:val="21"/>
                <w:szCs w:val="21"/>
              </w:rPr>
              <w:t>盐酸</w:t>
            </w:r>
          </w:p>
        </w:tc>
        <w:tc>
          <w:tcPr>
            <w:tcW w:w="2126" w:type="dxa"/>
            <w:vAlign w:val="center"/>
          </w:tcPr>
          <w:p>
            <w:pPr>
              <w:pStyle w:val="193"/>
              <w:rPr>
                <w:rFonts w:ascii="仿宋_GB2312"/>
                <w:kern w:val="2"/>
                <w:sz w:val="21"/>
                <w:szCs w:val="21"/>
              </w:rPr>
            </w:pPr>
            <w:r>
              <w:rPr>
                <w:rFonts w:hint="eastAsia" w:ascii="仿宋_GB2312"/>
                <w:bCs/>
                <w:caps/>
                <w:kern w:val="2"/>
                <w:sz w:val="21"/>
                <w:szCs w:val="21"/>
              </w:rPr>
              <w:t>第8.1类酸性腐蚀品</w:t>
            </w:r>
          </w:p>
        </w:tc>
        <w:tc>
          <w:tcPr>
            <w:tcW w:w="851" w:type="dxa"/>
            <w:vAlign w:val="center"/>
          </w:tcPr>
          <w:p>
            <w:pPr>
              <w:pStyle w:val="193"/>
              <w:rPr>
                <w:rFonts w:ascii="仿宋_GB2312"/>
                <w:kern w:val="2"/>
                <w:sz w:val="21"/>
                <w:szCs w:val="21"/>
              </w:rPr>
            </w:pPr>
            <w:r>
              <w:rPr>
                <w:rFonts w:hint="eastAsia" w:ascii="仿宋_GB2312"/>
                <w:kern w:val="2"/>
                <w:sz w:val="21"/>
                <w:szCs w:val="21"/>
              </w:rPr>
              <w:t>50t</w:t>
            </w:r>
          </w:p>
        </w:tc>
        <w:tc>
          <w:tcPr>
            <w:tcW w:w="1134" w:type="dxa"/>
            <w:vAlign w:val="center"/>
          </w:tcPr>
          <w:p>
            <w:pPr>
              <w:pStyle w:val="193"/>
              <w:rPr>
                <w:rFonts w:ascii="仿宋_GB2312"/>
                <w:kern w:val="2"/>
                <w:sz w:val="21"/>
                <w:szCs w:val="21"/>
              </w:rPr>
            </w:pPr>
            <w:r>
              <w:rPr>
                <w:rFonts w:hint="eastAsia" w:ascii="仿宋_GB2312"/>
                <w:kern w:val="2"/>
                <w:sz w:val="21"/>
                <w:szCs w:val="21"/>
              </w:rPr>
              <w:t>3t</w:t>
            </w:r>
          </w:p>
        </w:tc>
        <w:tc>
          <w:tcPr>
            <w:tcW w:w="1701" w:type="dxa"/>
            <w:vAlign w:val="center"/>
          </w:tcPr>
          <w:p>
            <w:pPr>
              <w:pStyle w:val="193"/>
              <w:rPr>
                <w:rFonts w:ascii="仿宋_GB2312"/>
                <w:kern w:val="2"/>
                <w:sz w:val="21"/>
                <w:szCs w:val="21"/>
              </w:rPr>
            </w:pPr>
            <w:r>
              <w:rPr>
                <w:rFonts w:hint="eastAsia" w:ascii="仿宋_GB2312"/>
                <w:bCs/>
                <w:caps/>
                <w:kern w:val="2"/>
                <w:sz w:val="21"/>
                <w:szCs w:val="21"/>
              </w:rPr>
              <w:t>《危险化学品名录》（2002版）</w:t>
            </w:r>
          </w:p>
        </w:tc>
        <w:tc>
          <w:tcPr>
            <w:tcW w:w="1417" w:type="dxa"/>
            <w:vAlign w:val="center"/>
          </w:tcPr>
          <w:p>
            <w:pPr>
              <w:jc w:val="center"/>
              <w:rPr>
                <w:rFonts w:ascii="仿宋_GB2312"/>
                <w:szCs w:val="21"/>
              </w:rPr>
            </w:pPr>
            <w:r>
              <w:rPr>
                <w:rFonts w:hint="eastAsia" w:ascii="仿宋_GB2312"/>
                <w:szCs w:val="21"/>
              </w:rPr>
              <w:t>否</w:t>
            </w:r>
          </w:p>
        </w:tc>
      </w:tr>
      <w:tr>
        <w:tblPrEx>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Layout w:type="fixed"/>
          <w:tblCellMar>
            <w:top w:w="0" w:type="dxa"/>
            <w:left w:w="108" w:type="dxa"/>
            <w:bottom w:w="0" w:type="dxa"/>
            <w:right w:w="108" w:type="dxa"/>
          </w:tblCellMar>
        </w:tblPrEx>
        <w:trPr>
          <w:trHeight w:val="626" w:hRule="atLeast"/>
        </w:trPr>
        <w:tc>
          <w:tcPr>
            <w:tcW w:w="709" w:type="dxa"/>
            <w:vAlign w:val="center"/>
          </w:tcPr>
          <w:p>
            <w:pPr>
              <w:pStyle w:val="193"/>
              <w:rPr>
                <w:rFonts w:ascii="仿宋_GB2312"/>
                <w:kern w:val="2"/>
                <w:sz w:val="21"/>
                <w:szCs w:val="21"/>
              </w:rPr>
            </w:pPr>
            <w:r>
              <w:rPr>
                <w:rFonts w:hint="eastAsia" w:ascii="仿宋_GB2312"/>
                <w:kern w:val="2"/>
                <w:sz w:val="21"/>
                <w:szCs w:val="21"/>
              </w:rPr>
              <w:t>3</w:t>
            </w:r>
          </w:p>
        </w:tc>
        <w:tc>
          <w:tcPr>
            <w:tcW w:w="1276" w:type="dxa"/>
            <w:vAlign w:val="center"/>
          </w:tcPr>
          <w:p>
            <w:pPr>
              <w:pStyle w:val="193"/>
              <w:rPr>
                <w:rFonts w:ascii="仿宋_GB2312" w:hAnsi="宋体" w:cs="宋体"/>
                <w:kern w:val="2"/>
                <w:sz w:val="21"/>
                <w:szCs w:val="21"/>
              </w:rPr>
            </w:pPr>
            <w:r>
              <w:rPr>
                <w:rFonts w:hint="eastAsia" w:ascii="仿宋_GB2312" w:cs="仿宋_GB2312"/>
                <w:kern w:val="2"/>
                <w:sz w:val="21"/>
                <w:szCs w:val="21"/>
                <w:lang w:val="zh-CN"/>
              </w:rPr>
              <w:t>氯酸钠</w:t>
            </w:r>
          </w:p>
        </w:tc>
        <w:tc>
          <w:tcPr>
            <w:tcW w:w="2126" w:type="dxa"/>
            <w:vAlign w:val="center"/>
          </w:tcPr>
          <w:p>
            <w:pPr>
              <w:pStyle w:val="193"/>
              <w:rPr>
                <w:rFonts w:ascii="仿宋_GB2312"/>
                <w:bCs/>
                <w:caps/>
                <w:kern w:val="2"/>
                <w:sz w:val="21"/>
                <w:szCs w:val="21"/>
              </w:rPr>
            </w:pPr>
            <w:r>
              <w:rPr>
                <w:rFonts w:hint="eastAsia" w:ascii="仿宋_GB2312"/>
                <w:bCs/>
                <w:caps/>
                <w:kern w:val="2"/>
                <w:sz w:val="21"/>
                <w:szCs w:val="21"/>
              </w:rPr>
              <w:t>第5.1类氧化剂</w:t>
            </w:r>
          </w:p>
        </w:tc>
        <w:tc>
          <w:tcPr>
            <w:tcW w:w="851" w:type="dxa"/>
            <w:vAlign w:val="center"/>
          </w:tcPr>
          <w:p>
            <w:pPr>
              <w:pStyle w:val="193"/>
              <w:rPr>
                <w:rFonts w:ascii="仿宋_GB2312"/>
                <w:kern w:val="2"/>
                <w:sz w:val="21"/>
                <w:szCs w:val="21"/>
              </w:rPr>
            </w:pPr>
            <w:r>
              <w:rPr>
                <w:rFonts w:hint="eastAsia" w:ascii="仿宋_GB2312"/>
                <w:kern w:val="2"/>
                <w:sz w:val="21"/>
                <w:szCs w:val="21"/>
              </w:rPr>
              <w:t>100t*</w:t>
            </w:r>
          </w:p>
        </w:tc>
        <w:tc>
          <w:tcPr>
            <w:tcW w:w="1134" w:type="dxa"/>
            <w:vAlign w:val="center"/>
          </w:tcPr>
          <w:p>
            <w:pPr>
              <w:pStyle w:val="193"/>
              <w:rPr>
                <w:rFonts w:ascii="仿宋_GB2312"/>
                <w:kern w:val="2"/>
                <w:sz w:val="21"/>
                <w:szCs w:val="21"/>
              </w:rPr>
            </w:pPr>
            <w:r>
              <w:rPr>
                <w:rFonts w:hint="eastAsia" w:ascii="仿宋_GB2312"/>
                <w:kern w:val="2"/>
                <w:sz w:val="21"/>
                <w:szCs w:val="21"/>
              </w:rPr>
              <w:t>2t</w:t>
            </w:r>
          </w:p>
        </w:tc>
        <w:tc>
          <w:tcPr>
            <w:tcW w:w="1701" w:type="dxa"/>
            <w:vAlign w:val="center"/>
          </w:tcPr>
          <w:p>
            <w:pPr>
              <w:pStyle w:val="193"/>
              <w:rPr>
                <w:rFonts w:ascii="仿宋_GB2312"/>
                <w:bCs/>
                <w:caps/>
                <w:kern w:val="2"/>
                <w:sz w:val="21"/>
                <w:szCs w:val="21"/>
              </w:rPr>
            </w:pPr>
            <w:r>
              <w:rPr>
                <w:rFonts w:hint="eastAsia" w:ascii="仿宋_GB2312"/>
                <w:bCs/>
                <w:caps/>
                <w:kern w:val="2"/>
                <w:sz w:val="21"/>
                <w:szCs w:val="21"/>
              </w:rPr>
              <w:t>《危险化学品名录》（2002版</w:t>
            </w:r>
          </w:p>
        </w:tc>
        <w:tc>
          <w:tcPr>
            <w:tcW w:w="1417" w:type="dxa"/>
            <w:vAlign w:val="center"/>
          </w:tcPr>
          <w:p>
            <w:pPr>
              <w:jc w:val="center"/>
              <w:rPr>
                <w:rFonts w:ascii="仿宋_GB2312"/>
                <w:szCs w:val="21"/>
              </w:rPr>
            </w:pPr>
            <w:r>
              <w:rPr>
                <w:rFonts w:hint="eastAsia" w:ascii="仿宋_GB2312"/>
                <w:szCs w:val="21"/>
              </w:rPr>
              <w:t>否</w:t>
            </w:r>
          </w:p>
        </w:tc>
      </w:tr>
      <w:tr>
        <w:tblPrEx>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Layout w:type="fixed"/>
          <w:tblCellMar>
            <w:top w:w="0" w:type="dxa"/>
            <w:left w:w="108" w:type="dxa"/>
            <w:bottom w:w="0" w:type="dxa"/>
            <w:right w:w="108" w:type="dxa"/>
          </w:tblCellMar>
        </w:tblPrEx>
        <w:trPr>
          <w:trHeight w:val="626" w:hRule="atLeast"/>
        </w:trPr>
        <w:tc>
          <w:tcPr>
            <w:tcW w:w="709" w:type="dxa"/>
            <w:tcBorders>
              <w:bottom w:val="thinThickSmallGap" w:color="auto" w:sz="24" w:space="0"/>
            </w:tcBorders>
            <w:vAlign w:val="center"/>
          </w:tcPr>
          <w:p>
            <w:pPr>
              <w:pStyle w:val="193"/>
              <w:rPr>
                <w:rFonts w:ascii="仿宋_GB2312"/>
                <w:kern w:val="2"/>
                <w:sz w:val="21"/>
                <w:szCs w:val="21"/>
              </w:rPr>
            </w:pPr>
            <w:r>
              <w:rPr>
                <w:rFonts w:hint="eastAsia" w:ascii="仿宋_GB2312"/>
                <w:kern w:val="2"/>
                <w:sz w:val="21"/>
                <w:szCs w:val="21"/>
              </w:rPr>
              <w:t>4</w:t>
            </w:r>
          </w:p>
        </w:tc>
        <w:tc>
          <w:tcPr>
            <w:tcW w:w="1276" w:type="dxa"/>
            <w:tcBorders>
              <w:bottom w:val="thinThickSmallGap" w:color="auto" w:sz="24" w:space="0"/>
            </w:tcBorders>
            <w:vAlign w:val="center"/>
          </w:tcPr>
          <w:p>
            <w:pPr>
              <w:pStyle w:val="193"/>
              <w:rPr>
                <w:rFonts w:ascii="仿宋_GB2312" w:cs="仿宋_GB2312"/>
                <w:kern w:val="2"/>
                <w:sz w:val="21"/>
                <w:szCs w:val="21"/>
                <w:lang w:val="zh-CN"/>
              </w:rPr>
            </w:pPr>
            <w:r>
              <w:rPr>
                <w:rFonts w:hint="eastAsia" w:ascii="仿宋_GB2312" w:hAnsi="宋体"/>
                <w:kern w:val="2"/>
                <w:sz w:val="21"/>
                <w:szCs w:val="21"/>
              </w:rPr>
              <w:t>二氧化氯</w:t>
            </w:r>
          </w:p>
        </w:tc>
        <w:tc>
          <w:tcPr>
            <w:tcW w:w="2126" w:type="dxa"/>
            <w:tcBorders>
              <w:bottom w:val="thinThickSmallGap" w:color="auto" w:sz="24" w:space="0"/>
            </w:tcBorders>
            <w:vAlign w:val="center"/>
          </w:tcPr>
          <w:p>
            <w:pPr>
              <w:pStyle w:val="193"/>
              <w:rPr>
                <w:rFonts w:ascii="仿宋_GB2312"/>
                <w:bCs/>
                <w:caps/>
                <w:kern w:val="2"/>
                <w:sz w:val="21"/>
                <w:szCs w:val="21"/>
              </w:rPr>
            </w:pPr>
            <w:r>
              <w:rPr>
                <w:rFonts w:hint="eastAsia" w:ascii="仿宋_GB2312"/>
                <w:bCs/>
                <w:caps/>
                <w:kern w:val="2"/>
                <w:sz w:val="21"/>
                <w:szCs w:val="21"/>
              </w:rPr>
              <w:t>第1A类剧毒品</w:t>
            </w:r>
          </w:p>
        </w:tc>
        <w:tc>
          <w:tcPr>
            <w:tcW w:w="851" w:type="dxa"/>
            <w:tcBorders>
              <w:bottom w:val="thinThickSmallGap" w:color="auto" w:sz="24" w:space="0"/>
            </w:tcBorders>
            <w:vAlign w:val="center"/>
          </w:tcPr>
          <w:p>
            <w:pPr>
              <w:pStyle w:val="193"/>
              <w:rPr>
                <w:rFonts w:ascii="仿宋_GB2312"/>
                <w:kern w:val="2"/>
                <w:sz w:val="21"/>
                <w:szCs w:val="21"/>
              </w:rPr>
            </w:pPr>
            <w:r>
              <w:rPr>
                <w:rFonts w:hint="eastAsia" w:ascii="仿宋_GB2312"/>
                <w:kern w:val="2"/>
                <w:sz w:val="21"/>
                <w:szCs w:val="21"/>
              </w:rPr>
              <w:t>0.5 t</w:t>
            </w:r>
          </w:p>
        </w:tc>
        <w:tc>
          <w:tcPr>
            <w:tcW w:w="1134" w:type="dxa"/>
            <w:tcBorders>
              <w:bottom w:val="thinThickSmallGap" w:color="auto" w:sz="24" w:space="0"/>
            </w:tcBorders>
            <w:vAlign w:val="center"/>
          </w:tcPr>
          <w:p>
            <w:pPr>
              <w:pStyle w:val="193"/>
              <w:rPr>
                <w:rFonts w:ascii="仿宋_GB2312"/>
                <w:kern w:val="2"/>
                <w:sz w:val="21"/>
                <w:szCs w:val="21"/>
              </w:rPr>
            </w:pPr>
            <w:r>
              <w:rPr>
                <w:rFonts w:hint="eastAsia" w:ascii="仿宋_GB2312"/>
                <w:kern w:val="2"/>
                <w:sz w:val="21"/>
                <w:szCs w:val="21"/>
              </w:rPr>
              <w:t>0</w:t>
            </w:r>
          </w:p>
        </w:tc>
        <w:tc>
          <w:tcPr>
            <w:tcW w:w="1701" w:type="dxa"/>
            <w:tcBorders>
              <w:bottom w:val="thinThickSmallGap" w:color="auto" w:sz="24" w:space="0"/>
            </w:tcBorders>
            <w:vAlign w:val="center"/>
          </w:tcPr>
          <w:p>
            <w:pPr>
              <w:pStyle w:val="193"/>
              <w:rPr>
                <w:rFonts w:ascii="仿宋_GB2312"/>
                <w:bCs/>
                <w:caps/>
                <w:kern w:val="2"/>
                <w:sz w:val="21"/>
                <w:szCs w:val="21"/>
              </w:rPr>
            </w:pPr>
            <w:r>
              <w:rPr>
                <w:rFonts w:hint="eastAsia" w:ascii="仿宋_GB2312"/>
                <w:bCs/>
                <w:caps/>
                <w:kern w:val="2"/>
                <w:sz w:val="21"/>
                <w:szCs w:val="21"/>
              </w:rPr>
              <w:t>《危险化学品名录》（2002版</w:t>
            </w:r>
          </w:p>
        </w:tc>
        <w:tc>
          <w:tcPr>
            <w:tcW w:w="1417" w:type="dxa"/>
            <w:tcBorders>
              <w:bottom w:val="thinThickSmallGap" w:color="auto" w:sz="24" w:space="0"/>
            </w:tcBorders>
            <w:vAlign w:val="center"/>
          </w:tcPr>
          <w:p>
            <w:pPr>
              <w:jc w:val="center"/>
              <w:rPr>
                <w:rFonts w:ascii="仿宋_GB2312"/>
                <w:szCs w:val="21"/>
              </w:rPr>
            </w:pPr>
            <w:r>
              <w:rPr>
                <w:rFonts w:hint="eastAsia" w:ascii="仿宋_GB2312"/>
                <w:szCs w:val="21"/>
              </w:rPr>
              <w:t>否</w:t>
            </w:r>
          </w:p>
        </w:tc>
      </w:tr>
    </w:tbl>
    <w:p>
      <w:pPr>
        <w:spacing w:line="460" w:lineRule="exact"/>
        <w:ind w:firstLine="480" w:firstLineChars="200"/>
        <w:jc w:val="left"/>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*代表该种物质临界量确定参考了 GB18218-2014中氧化性物质。**代表该物质临界量参考了《突发环境事件风险物质及临界量清单》有毒物质临界量。本项目氢氧化钠、氯酸钠、盐酸、二氧化氯均不构成重大危险源。</w:t>
      </w:r>
    </w:p>
    <w:p>
      <w:pPr>
        <w:pStyle w:val="120"/>
        <w:ind w:firstLine="0" w:firstLineChars="0"/>
        <w:rPr>
          <w:b/>
          <w:szCs w:val="28"/>
        </w:rPr>
      </w:pPr>
      <w:bookmarkStart w:id="152" w:name="_Toc458674261"/>
      <w:r>
        <w:rPr>
          <w:rFonts w:hint="eastAsia"/>
          <w:b/>
          <w:szCs w:val="28"/>
        </w:rPr>
        <w:t>3</w:t>
      </w:r>
      <w:r>
        <w:rPr>
          <w:b/>
          <w:szCs w:val="28"/>
        </w:rPr>
        <w:t>.4.</w:t>
      </w:r>
      <w:r>
        <w:rPr>
          <w:rFonts w:hint="eastAsia"/>
          <w:b/>
          <w:szCs w:val="28"/>
        </w:rPr>
        <w:t>3</w:t>
      </w:r>
      <w:r>
        <w:rPr>
          <w:b/>
          <w:szCs w:val="28"/>
        </w:rPr>
        <w:t>最大可信事故</w:t>
      </w:r>
      <w:bookmarkEnd w:id="151"/>
      <w:bookmarkEnd w:id="152"/>
    </w:p>
    <w:p>
      <w:pPr>
        <w:spacing w:line="460" w:lineRule="exact"/>
        <w:ind w:firstLine="480" w:firstLineChars="200"/>
        <w:jc w:val="left"/>
        <w:rPr>
          <w:rFonts w:cs="仿宋_GB2312" w:asciiTheme="minorEastAsia" w:hAnsiTheme="minorEastAsia" w:eastAsiaTheme="minorEastAsia"/>
          <w:kern w:val="0"/>
          <w:sz w:val="24"/>
          <w:szCs w:val="24"/>
        </w:rPr>
      </w:pPr>
      <w:r>
        <w:rPr>
          <w:rFonts w:cs="仿宋_GB2312" w:asciiTheme="minorEastAsia" w:hAnsiTheme="minorEastAsia" w:eastAsiaTheme="minorEastAsia"/>
          <w:kern w:val="0"/>
          <w:sz w:val="24"/>
          <w:szCs w:val="24"/>
        </w:rPr>
        <w:t>最大可信事故是指在所有预测的概率不为零的事故中，对环境（健康）危害最严重的重大事故。其目的是针对典型事故进行环境风险分析，并不意味着其他事故不具环境风险。在项目的生产、贮存、运输等过程中，存在许多事故风险因素，风险评价不可能面面俱到，只能尽可能考虑对环境危害最大的事故风险。</w:t>
      </w:r>
    </w:p>
    <w:p>
      <w:pPr>
        <w:spacing w:line="460" w:lineRule="exact"/>
        <w:ind w:firstLine="480" w:firstLineChars="200"/>
        <w:jc w:val="left"/>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龙桥污水处理厂</w:t>
      </w:r>
      <w:r>
        <w:rPr>
          <w:rFonts w:cs="仿宋_GB2312" w:asciiTheme="minorEastAsia" w:hAnsiTheme="minorEastAsia" w:eastAsiaTheme="minorEastAsia"/>
          <w:kern w:val="0"/>
          <w:sz w:val="24"/>
          <w:szCs w:val="24"/>
        </w:rPr>
        <w:t>最主要的危险单元为盐酸储罐</w:t>
      </w:r>
      <w:r>
        <w:rPr>
          <w:rFonts w:hint="eastAsia" w:cs="仿宋_GB2312" w:asciiTheme="minorEastAsia" w:hAnsiTheme="minorEastAsia" w:eastAsiaTheme="minorEastAsia"/>
          <w:kern w:val="0"/>
          <w:sz w:val="24"/>
          <w:szCs w:val="24"/>
        </w:rPr>
        <w:t>和污水处理设施</w:t>
      </w:r>
      <w:r>
        <w:rPr>
          <w:rFonts w:cs="仿宋_GB2312" w:asciiTheme="minorEastAsia" w:hAnsiTheme="minorEastAsia" w:eastAsiaTheme="minorEastAsia"/>
          <w:kern w:val="0"/>
          <w:sz w:val="24"/>
          <w:szCs w:val="24"/>
        </w:rPr>
        <w:t>，因此最大可信事故为</w:t>
      </w:r>
      <w:r>
        <w:rPr>
          <w:rFonts w:hint="eastAsia" w:cs="仿宋_GB2312" w:asciiTheme="minorEastAsia" w:hAnsiTheme="minorEastAsia" w:eastAsiaTheme="minorEastAsia"/>
          <w:kern w:val="0"/>
          <w:sz w:val="24"/>
          <w:szCs w:val="24"/>
        </w:rPr>
        <w:t>盐酸储罐</w:t>
      </w:r>
      <w:r>
        <w:rPr>
          <w:rFonts w:cs="仿宋_GB2312" w:asciiTheme="minorEastAsia" w:hAnsiTheme="minorEastAsia" w:eastAsiaTheme="minorEastAsia"/>
          <w:kern w:val="0"/>
          <w:sz w:val="24"/>
          <w:szCs w:val="24"/>
        </w:rPr>
        <w:t>阀门和管道泄漏</w:t>
      </w:r>
      <w:r>
        <w:rPr>
          <w:rFonts w:hint="eastAsia" w:cs="仿宋_GB2312" w:asciiTheme="minorEastAsia" w:hAnsiTheme="minorEastAsia" w:eastAsiaTheme="minorEastAsia"/>
          <w:kern w:val="0"/>
          <w:sz w:val="24"/>
          <w:szCs w:val="24"/>
        </w:rPr>
        <w:t>、污水直接排放到地表水体、污水经处理后未达标排入地表水体；</w:t>
      </w:r>
      <w:r>
        <w:rPr>
          <w:rFonts w:cs="仿宋_GB2312" w:asciiTheme="minorEastAsia" w:hAnsiTheme="minorEastAsia" w:eastAsiaTheme="minorEastAsia"/>
          <w:kern w:val="0"/>
          <w:sz w:val="24"/>
          <w:szCs w:val="24"/>
        </w:rPr>
        <w:t>典型事故为阀门和管道出现损坏或腐蚀而发生连续泄漏，造成污染事故</w:t>
      </w:r>
      <w:r>
        <w:rPr>
          <w:rFonts w:hint="eastAsia" w:cs="仿宋_GB2312" w:asciiTheme="minorEastAsia" w:hAnsiTheme="minorEastAsia" w:eastAsiaTheme="minorEastAsia"/>
          <w:kern w:val="0"/>
          <w:sz w:val="24"/>
          <w:szCs w:val="24"/>
        </w:rPr>
        <w:t>；停电、自然灾害、设备设施故障导则厂区内的污水直接进入地表水体、或经处理后未达标进入地表水体，造成污染事故</w:t>
      </w:r>
      <w:r>
        <w:rPr>
          <w:rFonts w:cs="仿宋_GB2312" w:asciiTheme="minorEastAsia" w:hAnsiTheme="minorEastAsia" w:eastAsiaTheme="minorEastAsia"/>
          <w:kern w:val="0"/>
          <w:sz w:val="24"/>
          <w:szCs w:val="24"/>
        </w:rPr>
        <w:t>。</w:t>
      </w:r>
    </w:p>
    <w:p>
      <w:pPr>
        <w:adjustRightInd w:val="0"/>
        <w:snapToGrid w:val="0"/>
        <w:spacing w:line="460" w:lineRule="exact"/>
        <w:outlineLvl w:val="1"/>
        <w:rPr>
          <w:b/>
          <w:color w:val="000000"/>
          <w:sz w:val="28"/>
          <w:szCs w:val="28"/>
        </w:rPr>
      </w:pPr>
      <w:bookmarkStart w:id="153" w:name="_Toc19310"/>
      <w:bookmarkStart w:id="154" w:name="_Toc458674263"/>
      <w:r>
        <w:rPr>
          <w:rFonts w:hint="eastAsia"/>
          <w:b/>
          <w:color w:val="000000"/>
          <w:sz w:val="28"/>
          <w:szCs w:val="28"/>
        </w:rPr>
        <w:t>3</w:t>
      </w:r>
      <w:r>
        <w:rPr>
          <w:b/>
          <w:color w:val="000000"/>
          <w:sz w:val="28"/>
          <w:szCs w:val="28"/>
        </w:rPr>
        <w:t>.5企业突发环境事件影响分析</w:t>
      </w:r>
      <w:bookmarkEnd w:id="153"/>
      <w:bookmarkEnd w:id="154"/>
    </w:p>
    <w:p>
      <w:pPr>
        <w:adjustRightInd w:val="0"/>
        <w:snapToGrid w:val="0"/>
        <w:spacing w:line="460" w:lineRule="exact"/>
        <w:outlineLvl w:val="1"/>
        <w:rPr>
          <w:b/>
          <w:color w:val="000000"/>
          <w:sz w:val="28"/>
          <w:szCs w:val="28"/>
        </w:rPr>
      </w:pPr>
      <w:bookmarkStart w:id="155" w:name="_Toc458674262"/>
      <w:bookmarkStart w:id="156" w:name="_Toc15885"/>
      <w:r>
        <w:rPr>
          <w:rFonts w:hint="eastAsia"/>
          <w:b/>
          <w:color w:val="000000"/>
          <w:sz w:val="28"/>
          <w:szCs w:val="28"/>
        </w:rPr>
        <w:t>3</w:t>
      </w:r>
      <w:r>
        <w:rPr>
          <w:b/>
          <w:color w:val="000000"/>
          <w:sz w:val="28"/>
          <w:szCs w:val="28"/>
        </w:rPr>
        <w:t>.</w:t>
      </w:r>
      <w:r>
        <w:rPr>
          <w:rFonts w:hint="eastAsia"/>
          <w:b/>
          <w:color w:val="000000"/>
          <w:sz w:val="28"/>
          <w:szCs w:val="28"/>
        </w:rPr>
        <w:t>5</w:t>
      </w:r>
      <w:r>
        <w:rPr>
          <w:b/>
          <w:color w:val="000000"/>
          <w:sz w:val="28"/>
          <w:szCs w:val="28"/>
        </w:rPr>
        <w:t>.</w:t>
      </w:r>
      <w:bookmarkEnd w:id="155"/>
      <w:r>
        <w:rPr>
          <w:rFonts w:hint="eastAsia"/>
          <w:b/>
          <w:color w:val="000000"/>
          <w:sz w:val="28"/>
          <w:szCs w:val="28"/>
        </w:rPr>
        <w:t>1盐酸泄漏影响分析</w:t>
      </w:r>
      <w:bookmarkEnd w:id="156"/>
    </w:p>
    <w:p>
      <w:pPr>
        <w:spacing w:line="460" w:lineRule="exact"/>
        <w:ind w:firstLine="480" w:firstLineChars="200"/>
        <w:jc w:val="left"/>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根据《</w:t>
      </w:r>
      <w:r>
        <w:rPr>
          <w:rFonts w:cs="仿宋_GB2312" w:asciiTheme="minorEastAsia" w:hAnsiTheme="minorEastAsia" w:eastAsiaTheme="minorEastAsia"/>
          <w:kern w:val="0"/>
          <w:sz w:val="24"/>
          <w:szCs w:val="24"/>
        </w:rPr>
        <w:t>重庆市涪陵区拓源污水治理有限公司</w:t>
      </w:r>
      <w:r>
        <w:rPr>
          <w:rFonts w:hint="eastAsia" w:cs="仿宋_GB2312" w:asciiTheme="minorEastAsia" w:hAnsiTheme="minorEastAsia" w:eastAsiaTheme="minorEastAsia"/>
          <w:kern w:val="0"/>
          <w:sz w:val="24"/>
          <w:szCs w:val="24"/>
        </w:rPr>
        <w:t>龙桥污水处理厂突发环境事件风险评估报告》，</w:t>
      </w:r>
      <w:r>
        <w:rPr>
          <w:rFonts w:cs="仿宋_GB2312" w:asciiTheme="minorEastAsia" w:hAnsiTheme="minorEastAsia" w:eastAsiaTheme="minorEastAsia"/>
          <w:kern w:val="0"/>
          <w:sz w:val="24"/>
          <w:szCs w:val="24"/>
        </w:rPr>
        <w:t>企业发生盐酸泄漏后30min内最大落地浓度为618.45mg/m3，出现14.6m处（厂界范围内）；同时会出现危险生命和健康（IDLH）浓度，最大影响范围最大约</w:t>
      </w:r>
      <w:r>
        <w:rPr>
          <w:rFonts w:hint="eastAsia" w:cs="仿宋_GB2312" w:asciiTheme="minorEastAsia" w:hAnsiTheme="minorEastAsia" w:eastAsiaTheme="minorEastAsia"/>
          <w:kern w:val="0"/>
          <w:sz w:val="24"/>
          <w:szCs w:val="24"/>
        </w:rPr>
        <w:t>50</w:t>
      </w:r>
      <w:r>
        <w:rPr>
          <w:rFonts w:cs="仿宋_GB2312" w:asciiTheme="minorEastAsia" w:hAnsiTheme="minorEastAsia" w:eastAsiaTheme="minorEastAsia"/>
          <w:kern w:val="0"/>
          <w:sz w:val="24"/>
          <w:szCs w:val="24"/>
        </w:rPr>
        <w:t>m（厂界范围内）。企业周边最近敏感点主要为零星居民，距离企业最近约为</w:t>
      </w:r>
      <w:r>
        <w:rPr>
          <w:rFonts w:hint="eastAsia" w:cs="仿宋_GB2312" w:asciiTheme="minorEastAsia" w:hAnsiTheme="minorEastAsia" w:eastAsiaTheme="minorEastAsia"/>
          <w:kern w:val="0"/>
          <w:sz w:val="24"/>
          <w:szCs w:val="24"/>
        </w:rPr>
        <w:t>500</w:t>
      </w:r>
      <w:r>
        <w:rPr>
          <w:rFonts w:cs="仿宋_GB2312" w:asciiTheme="minorEastAsia" w:hAnsiTheme="minorEastAsia" w:eastAsiaTheme="minorEastAsia"/>
          <w:kern w:val="0"/>
          <w:sz w:val="24"/>
          <w:szCs w:val="24"/>
        </w:rPr>
        <w:t>m，所以在发生泄漏事故时，不需要对周边零星居民进行疏散。</w:t>
      </w:r>
    </w:p>
    <w:p>
      <w:pPr>
        <w:adjustRightInd w:val="0"/>
        <w:snapToGrid w:val="0"/>
        <w:spacing w:line="460" w:lineRule="exact"/>
        <w:outlineLvl w:val="1"/>
        <w:rPr>
          <w:b/>
          <w:color w:val="000000"/>
          <w:sz w:val="28"/>
          <w:szCs w:val="28"/>
        </w:rPr>
      </w:pPr>
      <w:bookmarkStart w:id="157" w:name="_Toc4700"/>
      <w:r>
        <w:rPr>
          <w:rFonts w:hint="eastAsia"/>
          <w:b/>
          <w:color w:val="000000"/>
          <w:sz w:val="28"/>
          <w:szCs w:val="28"/>
        </w:rPr>
        <w:t>3</w:t>
      </w:r>
      <w:r>
        <w:rPr>
          <w:b/>
          <w:color w:val="000000"/>
          <w:sz w:val="28"/>
          <w:szCs w:val="28"/>
        </w:rPr>
        <w:t>.</w:t>
      </w:r>
      <w:r>
        <w:rPr>
          <w:rFonts w:hint="eastAsia"/>
          <w:b/>
          <w:color w:val="000000"/>
          <w:sz w:val="28"/>
          <w:szCs w:val="28"/>
        </w:rPr>
        <w:t>5</w:t>
      </w:r>
      <w:r>
        <w:rPr>
          <w:b/>
          <w:color w:val="000000"/>
          <w:sz w:val="28"/>
          <w:szCs w:val="28"/>
        </w:rPr>
        <w:t>.</w:t>
      </w:r>
      <w:r>
        <w:rPr>
          <w:rFonts w:hint="eastAsia"/>
          <w:b/>
          <w:color w:val="000000"/>
          <w:sz w:val="28"/>
          <w:szCs w:val="28"/>
        </w:rPr>
        <w:t>2污水直接排放影响分析</w:t>
      </w:r>
      <w:bookmarkEnd w:id="157"/>
    </w:p>
    <w:p>
      <w:pPr>
        <w:spacing w:line="460" w:lineRule="exact"/>
        <w:ind w:firstLine="480" w:firstLineChars="200"/>
        <w:jc w:val="left"/>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根据《</w:t>
      </w:r>
      <w:r>
        <w:rPr>
          <w:rFonts w:cs="仿宋_GB2312" w:asciiTheme="minorEastAsia" w:hAnsiTheme="minorEastAsia" w:eastAsiaTheme="minorEastAsia"/>
          <w:kern w:val="0"/>
          <w:sz w:val="24"/>
          <w:szCs w:val="24"/>
        </w:rPr>
        <w:t>重庆市涪陵区拓源污水治理有限公司</w:t>
      </w:r>
      <w:r>
        <w:rPr>
          <w:rFonts w:hint="eastAsia" w:cs="仿宋_GB2312" w:asciiTheme="minorEastAsia" w:hAnsiTheme="minorEastAsia" w:eastAsiaTheme="minorEastAsia"/>
          <w:kern w:val="0"/>
          <w:sz w:val="24"/>
          <w:szCs w:val="24"/>
        </w:rPr>
        <w:t>龙桥污水处理厂突发环境事件风险评估报告》，企业在突发环境事件情况下，污水直接排放到外环境中，对地表水（高水位+175m）环境的影响预测结果如下：</w:t>
      </w:r>
      <w:r>
        <w:rPr>
          <w:rFonts w:cs="仿宋_GB2312" w:asciiTheme="minorEastAsia" w:hAnsiTheme="minorEastAsia" w:eastAsiaTheme="minorEastAsia"/>
          <w:kern w:val="0"/>
          <w:sz w:val="24"/>
          <w:szCs w:val="24"/>
        </w:rPr>
        <w:t>COD、NH3-N的浓度整体随河流流向逐渐衰减，随河流横向河宽逐渐衰减。其中COD、NH3-N在河流横向河宽100m处预测接近背景浓度，在河流流向2000m处预测浓度接近背景浓度，因此，企业他发环境事件污水直接排放对地表水的影响范围为横向1</w:t>
      </w:r>
      <w:r>
        <w:rPr>
          <w:rFonts w:hint="eastAsia" w:cs="仿宋_GB2312" w:asciiTheme="minorEastAsia" w:hAnsiTheme="minorEastAsia" w:eastAsiaTheme="minorEastAsia"/>
          <w:kern w:val="0"/>
          <w:sz w:val="24"/>
          <w:szCs w:val="24"/>
        </w:rPr>
        <w:t>-</w:t>
      </w:r>
      <w:r>
        <w:rPr>
          <w:rFonts w:cs="仿宋_GB2312" w:asciiTheme="minorEastAsia" w:hAnsiTheme="minorEastAsia" w:eastAsiaTheme="minorEastAsia"/>
          <w:kern w:val="0"/>
          <w:sz w:val="24"/>
          <w:szCs w:val="24"/>
        </w:rPr>
        <w:t>100m，流向1~2000m范围。COD、NH3-N最大浓度贡献值与现状监测值叠加后，预测浓度值分别在</w:t>
      </w:r>
      <w:r>
        <w:rPr>
          <w:rFonts w:hint="eastAsia" w:cs="仿宋_GB2312" w:asciiTheme="minorEastAsia" w:hAnsiTheme="minorEastAsia" w:eastAsiaTheme="minorEastAsia"/>
          <w:kern w:val="0"/>
          <w:sz w:val="24"/>
          <w:szCs w:val="24"/>
        </w:rPr>
        <w:t>14.00</w:t>
      </w:r>
      <w:r>
        <w:rPr>
          <w:rFonts w:cs="仿宋_GB2312" w:asciiTheme="minorEastAsia" w:hAnsiTheme="minorEastAsia" w:eastAsiaTheme="minorEastAsia"/>
          <w:kern w:val="0"/>
          <w:sz w:val="24"/>
          <w:szCs w:val="24"/>
        </w:rPr>
        <w:t>mg/L～</w:t>
      </w:r>
      <w:r>
        <w:rPr>
          <w:rFonts w:hint="eastAsia" w:cs="仿宋_GB2312" w:asciiTheme="minorEastAsia" w:hAnsiTheme="minorEastAsia" w:eastAsiaTheme="minorEastAsia"/>
          <w:kern w:val="0"/>
          <w:sz w:val="24"/>
          <w:szCs w:val="24"/>
        </w:rPr>
        <w:t>28.83</w:t>
      </w:r>
      <w:r>
        <w:rPr>
          <w:rFonts w:cs="仿宋_GB2312" w:asciiTheme="minorEastAsia" w:hAnsiTheme="minorEastAsia" w:eastAsiaTheme="minorEastAsia"/>
          <w:kern w:val="0"/>
          <w:sz w:val="24"/>
          <w:szCs w:val="24"/>
        </w:rPr>
        <w:t>mg/L、0.</w:t>
      </w:r>
      <w:r>
        <w:rPr>
          <w:rFonts w:hint="eastAsia" w:cs="仿宋_GB2312" w:asciiTheme="minorEastAsia" w:hAnsiTheme="minorEastAsia" w:eastAsiaTheme="minorEastAsia"/>
          <w:kern w:val="0"/>
          <w:sz w:val="24"/>
          <w:szCs w:val="24"/>
        </w:rPr>
        <w:t>24</w:t>
      </w:r>
      <w:r>
        <w:rPr>
          <w:rFonts w:cs="仿宋_GB2312" w:asciiTheme="minorEastAsia" w:hAnsiTheme="minorEastAsia" w:eastAsiaTheme="minorEastAsia"/>
          <w:kern w:val="0"/>
          <w:sz w:val="24"/>
          <w:szCs w:val="24"/>
        </w:rPr>
        <w:t>mg/L～</w:t>
      </w:r>
      <w:r>
        <w:rPr>
          <w:rFonts w:hint="eastAsia" w:cs="仿宋_GB2312" w:asciiTheme="minorEastAsia" w:hAnsiTheme="minorEastAsia" w:eastAsiaTheme="minorEastAsia"/>
          <w:kern w:val="0"/>
          <w:sz w:val="24"/>
          <w:szCs w:val="24"/>
        </w:rPr>
        <w:t>1.66</w:t>
      </w:r>
      <w:r>
        <w:rPr>
          <w:rFonts w:cs="仿宋_GB2312" w:asciiTheme="minorEastAsia" w:hAnsiTheme="minorEastAsia" w:eastAsiaTheme="minorEastAsia"/>
          <w:kern w:val="0"/>
          <w:sz w:val="24"/>
          <w:szCs w:val="24"/>
        </w:rPr>
        <w:t>mg/L之间，最大浓度值分别为</w:t>
      </w:r>
      <w:r>
        <w:rPr>
          <w:rFonts w:hint="eastAsia" w:cs="仿宋_GB2312" w:asciiTheme="minorEastAsia" w:hAnsiTheme="minorEastAsia" w:eastAsiaTheme="minorEastAsia"/>
          <w:kern w:val="0"/>
          <w:sz w:val="24"/>
          <w:szCs w:val="24"/>
        </w:rPr>
        <w:t>28.83</w:t>
      </w:r>
      <w:r>
        <w:rPr>
          <w:rFonts w:cs="仿宋_GB2312" w:asciiTheme="minorEastAsia" w:hAnsiTheme="minorEastAsia" w:eastAsiaTheme="minorEastAsia"/>
          <w:kern w:val="0"/>
          <w:sz w:val="24"/>
          <w:szCs w:val="24"/>
        </w:rPr>
        <w:t>mg/L、</w:t>
      </w:r>
      <w:r>
        <w:rPr>
          <w:rFonts w:hint="eastAsia" w:cs="仿宋_GB2312" w:asciiTheme="minorEastAsia" w:hAnsiTheme="minorEastAsia" w:eastAsiaTheme="minorEastAsia"/>
          <w:kern w:val="0"/>
          <w:sz w:val="24"/>
          <w:szCs w:val="24"/>
        </w:rPr>
        <w:t>1.66</w:t>
      </w:r>
      <w:r>
        <w:rPr>
          <w:rFonts w:cs="仿宋_GB2312" w:asciiTheme="minorEastAsia" w:hAnsiTheme="minorEastAsia" w:eastAsiaTheme="minorEastAsia"/>
          <w:kern w:val="0"/>
          <w:sz w:val="24"/>
          <w:szCs w:val="24"/>
        </w:rPr>
        <w:t>mg/Lmg/L，其中NH3-N均满足《地表水环境质量标准》Ⅲ类水域水质标准要求，COD超过《地表水环境质量标准》Ⅲ类水域水质标准要求，超标区域为COD：横向河宽1</w:t>
      </w:r>
      <w:r>
        <w:rPr>
          <w:rFonts w:hint="eastAsia" w:cs="仿宋_GB2312" w:asciiTheme="minorEastAsia" w:hAnsiTheme="minorEastAsia" w:eastAsiaTheme="minorEastAsia"/>
          <w:kern w:val="0"/>
          <w:sz w:val="24"/>
          <w:szCs w:val="24"/>
        </w:rPr>
        <w:t>-5</w:t>
      </w:r>
      <w:r>
        <w:rPr>
          <w:rFonts w:cs="仿宋_GB2312" w:asciiTheme="minorEastAsia" w:hAnsiTheme="minorEastAsia" w:eastAsiaTheme="minorEastAsia"/>
          <w:kern w:val="0"/>
          <w:sz w:val="24"/>
          <w:szCs w:val="24"/>
        </w:rPr>
        <w:t>m，流向1</w:t>
      </w:r>
      <w:r>
        <w:rPr>
          <w:rFonts w:hint="eastAsia" w:cs="仿宋_GB2312" w:asciiTheme="minorEastAsia" w:hAnsiTheme="minorEastAsia" w:eastAsiaTheme="minorEastAsia"/>
          <w:kern w:val="0"/>
          <w:sz w:val="24"/>
          <w:szCs w:val="24"/>
        </w:rPr>
        <w:t>-12</w:t>
      </w:r>
      <w:r>
        <w:rPr>
          <w:rFonts w:cs="仿宋_GB2312" w:asciiTheme="minorEastAsia" w:hAnsiTheme="minorEastAsia" w:eastAsiaTheme="minorEastAsia"/>
          <w:kern w:val="0"/>
          <w:sz w:val="24"/>
          <w:szCs w:val="24"/>
        </w:rPr>
        <w:t>m。根据企业周边地表水环境风险受体调查，高水位（+175m）时段，</w:t>
      </w:r>
      <w:r>
        <w:rPr>
          <w:rFonts w:hint="eastAsia" w:cs="仿宋_GB2312" w:asciiTheme="minorEastAsia" w:hAnsiTheme="minorEastAsia" w:eastAsiaTheme="minorEastAsia"/>
          <w:kern w:val="0"/>
          <w:sz w:val="24"/>
          <w:szCs w:val="24"/>
          <w:lang w:eastAsia="zh-CN"/>
        </w:rPr>
        <w:t>龙桥</w:t>
      </w:r>
      <w:r>
        <w:rPr>
          <w:rFonts w:hint="eastAsia" w:cs="仿宋_GB2312" w:asciiTheme="minorEastAsia" w:hAnsiTheme="minorEastAsia" w:eastAsiaTheme="minorEastAsia"/>
          <w:kern w:val="0"/>
          <w:sz w:val="24"/>
          <w:szCs w:val="24"/>
        </w:rPr>
        <w:t>污水处理厂</w:t>
      </w:r>
      <w:r>
        <w:rPr>
          <w:rFonts w:cs="仿宋_GB2312" w:asciiTheme="minorEastAsia" w:hAnsiTheme="minorEastAsia" w:eastAsiaTheme="minorEastAsia"/>
          <w:kern w:val="0"/>
          <w:sz w:val="24"/>
          <w:szCs w:val="24"/>
        </w:rPr>
        <w:t>突发环境事件直接排放情况下，对长江水环境有一定的影响，</w:t>
      </w:r>
      <w:r>
        <w:rPr>
          <w:rFonts w:hint="eastAsia" w:cs="仿宋_GB2312" w:asciiTheme="minorEastAsia" w:hAnsiTheme="minorEastAsia" w:eastAsiaTheme="minorEastAsia"/>
          <w:kern w:val="0"/>
          <w:sz w:val="24"/>
          <w:szCs w:val="24"/>
          <w:lang w:eastAsia="zh-CN"/>
        </w:rPr>
        <w:t>对</w:t>
      </w:r>
      <w:r>
        <w:rPr>
          <w:rFonts w:cs="仿宋_GB2312" w:asciiTheme="minorEastAsia" w:hAnsiTheme="minorEastAsia" w:eastAsiaTheme="minorEastAsia"/>
          <w:kern w:val="0"/>
          <w:sz w:val="24"/>
          <w:szCs w:val="24"/>
        </w:rPr>
        <w:t>地表</w:t>
      </w:r>
      <w:r>
        <w:rPr>
          <w:rFonts w:hint="eastAsia" w:cs="仿宋_GB2312" w:asciiTheme="minorEastAsia" w:hAnsiTheme="minorEastAsia" w:eastAsiaTheme="minorEastAsia"/>
          <w:kern w:val="0"/>
          <w:sz w:val="24"/>
          <w:szCs w:val="24"/>
          <w:lang w:eastAsia="zh-CN"/>
        </w:rPr>
        <w:t>水</w:t>
      </w:r>
      <w:r>
        <w:rPr>
          <w:rFonts w:cs="仿宋_GB2312" w:asciiTheme="minorEastAsia" w:hAnsiTheme="minorEastAsia" w:eastAsiaTheme="minorEastAsia"/>
          <w:kern w:val="0"/>
          <w:sz w:val="24"/>
          <w:szCs w:val="24"/>
        </w:rPr>
        <w:t>风险受体影响较小。</w:t>
      </w:r>
    </w:p>
    <w:p>
      <w:pPr>
        <w:spacing w:line="460" w:lineRule="exact"/>
        <w:ind w:firstLine="480" w:firstLineChars="200"/>
        <w:jc w:val="left"/>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根据《</w:t>
      </w:r>
      <w:r>
        <w:rPr>
          <w:rFonts w:cs="仿宋_GB2312" w:asciiTheme="minorEastAsia" w:hAnsiTheme="minorEastAsia" w:eastAsiaTheme="minorEastAsia"/>
          <w:kern w:val="0"/>
          <w:sz w:val="24"/>
          <w:szCs w:val="24"/>
        </w:rPr>
        <w:t>重庆市涪陵区拓源污水治理有限公司</w:t>
      </w:r>
      <w:r>
        <w:rPr>
          <w:rFonts w:hint="eastAsia" w:cs="仿宋_GB2312" w:asciiTheme="minorEastAsia" w:hAnsiTheme="minorEastAsia" w:eastAsiaTheme="minorEastAsia"/>
          <w:kern w:val="0"/>
          <w:sz w:val="24"/>
          <w:szCs w:val="24"/>
        </w:rPr>
        <w:t>龙桥污水处理厂突发环境事件风险评估报告》，企业在突发环境事件情况下，污水直接排放到外环境中，对地表水（低水位+145m）环境的影响预测结果如下：</w:t>
      </w:r>
      <w:r>
        <w:rPr>
          <w:rFonts w:cs="仿宋_GB2312" w:asciiTheme="minorEastAsia" w:hAnsiTheme="minorEastAsia" w:eastAsiaTheme="minorEastAsia"/>
          <w:kern w:val="0"/>
          <w:sz w:val="24"/>
          <w:szCs w:val="24"/>
        </w:rPr>
        <w:t>COD、NH3-N的浓度整体随河流流向逐渐衰减，随河流横向河宽逐渐衰减。其中COD、NH3-N在河流横向河宽200m处预测接近背景浓度，在河流流向4000m处预测浓度接近背景浓度，因此，企业他发环境事件污水直接排放对地表水的影响范围为横向1～</w:t>
      </w:r>
      <w:r>
        <w:rPr>
          <w:rFonts w:hint="eastAsia" w:cs="仿宋_GB2312" w:asciiTheme="minorEastAsia" w:hAnsiTheme="minorEastAsia" w:eastAsiaTheme="minorEastAsia"/>
          <w:kern w:val="0"/>
          <w:sz w:val="24"/>
          <w:szCs w:val="24"/>
        </w:rPr>
        <w:t>1</w:t>
      </w:r>
      <w:r>
        <w:rPr>
          <w:rFonts w:cs="仿宋_GB2312" w:asciiTheme="minorEastAsia" w:hAnsiTheme="minorEastAsia" w:eastAsiaTheme="minorEastAsia"/>
          <w:kern w:val="0"/>
          <w:sz w:val="24"/>
          <w:szCs w:val="24"/>
        </w:rPr>
        <w:t>0m，流向1～4000m范围。COD、NH3-N最大浓度贡献值与现状监测值叠加后，预测浓度值分别在</w:t>
      </w:r>
      <w:r>
        <w:rPr>
          <w:rFonts w:hint="eastAsia" w:cs="仿宋_GB2312" w:asciiTheme="minorEastAsia" w:hAnsiTheme="minorEastAsia" w:eastAsiaTheme="minorEastAsia"/>
          <w:kern w:val="0"/>
          <w:sz w:val="24"/>
          <w:szCs w:val="24"/>
        </w:rPr>
        <w:t>14.0</w:t>
      </w:r>
      <w:r>
        <w:rPr>
          <w:rFonts w:cs="仿宋_GB2312" w:asciiTheme="minorEastAsia" w:hAnsiTheme="minorEastAsia" w:eastAsiaTheme="minorEastAsia"/>
          <w:kern w:val="0"/>
          <w:sz w:val="24"/>
          <w:szCs w:val="24"/>
        </w:rPr>
        <w:t>mg/L～</w:t>
      </w:r>
      <w:r>
        <w:rPr>
          <w:rFonts w:hint="eastAsia" w:cs="仿宋_GB2312" w:asciiTheme="minorEastAsia" w:hAnsiTheme="minorEastAsia" w:eastAsiaTheme="minorEastAsia"/>
          <w:kern w:val="0"/>
          <w:sz w:val="24"/>
          <w:szCs w:val="24"/>
        </w:rPr>
        <w:t>26.15</w:t>
      </w:r>
      <w:r>
        <w:rPr>
          <w:rFonts w:cs="仿宋_GB2312" w:asciiTheme="minorEastAsia" w:hAnsiTheme="minorEastAsia" w:eastAsiaTheme="minorEastAsia"/>
          <w:kern w:val="0"/>
          <w:sz w:val="24"/>
          <w:szCs w:val="24"/>
        </w:rPr>
        <w:t>mg/L、</w:t>
      </w:r>
      <w:r>
        <w:rPr>
          <w:rFonts w:hint="eastAsia" w:cs="仿宋_GB2312" w:asciiTheme="minorEastAsia" w:hAnsiTheme="minorEastAsia" w:eastAsiaTheme="minorEastAsia"/>
          <w:kern w:val="0"/>
          <w:sz w:val="24"/>
          <w:szCs w:val="24"/>
        </w:rPr>
        <w:t>0.24</w:t>
      </w:r>
      <w:r>
        <w:rPr>
          <w:rFonts w:cs="仿宋_GB2312" w:asciiTheme="minorEastAsia" w:hAnsiTheme="minorEastAsia" w:eastAsiaTheme="minorEastAsia"/>
          <w:kern w:val="0"/>
          <w:sz w:val="24"/>
          <w:szCs w:val="24"/>
        </w:rPr>
        <w:t>mg/L～</w:t>
      </w:r>
      <w:r>
        <w:rPr>
          <w:rFonts w:hint="eastAsia" w:cs="仿宋_GB2312" w:asciiTheme="minorEastAsia" w:hAnsiTheme="minorEastAsia" w:eastAsiaTheme="minorEastAsia"/>
          <w:kern w:val="0"/>
          <w:sz w:val="24"/>
          <w:szCs w:val="24"/>
        </w:rPr>
        <w:t>1.48</w:t>
      </w:r>
      <w:r>
        <w:rPr>
          <w:rFonts w:cs="仿宋_GB2312" w:asciiTheme="minorEastAsia" w:hAnsiTheme="minorEastAsia" w:eastAsiaTheme="minorEastAsia"/>
          <w:kern w:val="0"/>
          <w:sz w:val="24"/>
          <w:szCs w:val="24"/>
        </w:rPr>
        <w:t>mg/L之间，最大浓度值分别为</w:t>
      </w:r>
      <w:r>
        <w:rPr>
          <w:rFonts w:hint="eastAsia" w:cs="仿宋_GB2312" w:asciiTheme="minorEastAsia" w:hAnsiTheme="minorEastAsia" w:eastAsiaTheme="minorEastAsia"/>
          <w:kern w:val="0"/>
          <w:sz w:val="24"/>
          <w:szCs w:val="24"/>
        </w:rPr>
        <w:t>26.15</w:t>
      </w:r>
      <w:r>
        <w:rPr>
          <w:rFonts w:cs="仿宋_GB2312" w:asciiTheme="minorEastAsia" w:hAnsiTheme="minorEastAsia" w:eastAsiaTheme="minorEastAsia"/>
          <w:kern w:val="0"/>
          <w:sz w:val="24"/>
          <w:szCs w:val="24"/>
        </w:rPr>
        <w:t>mg/L、</w:t>
      </w:r>
      <w:r>
        <w:rPr>
          <w:rFonts w:hint="eastAsia" w:cs="仿宋_GB2312" w:asciiTheme="minorEastAsia" w:hAnsiTheme="minorEastAsia" w:eastAsiaTheme="minorEastAsia"/>
          <w:kern w:val="0"/>
          <w:sz w:val="24"/>
          <w:szCs w:val="24"/>
        </w:rPr>
        <w:t>1.48</w:t>
      </w:r>
      <w:r>
        <w:rPr>
          <w:rFonts w:cs="仿宋_GB2312" w:asciiTheme="minorEastAsia" w:hAnsiTheme="minorEastAsia" w:eastAsiaTheme="minorEastAsia"/>
          <w:kern w:val="0"/>
          <w:sz w:val="24"/>
          <w:szCs w:val="24"/>
        </w:rPr>
        <w:t>mg/L，其中NH3-N均满足《地表水环境质量标准》Ⅲ类水域水质标准要求，COD超过《地表水环境质量标准》Ⅲ类水域水质标准要求，超标区域为COD：横向河宽1～</w:t>
      </w:r>
      <w:r>
        <w:rPr>
          <w:rFonts w:hint="eastAsia" w:cs="仿宋_GB2312" w:asciiTheme="minorEastAsia" w:hAnsiTheme="minorEastAsia" w:eastAsiaTheme="minorEastAsia"/>
          <w:kern w:val="0"/>
          <w:sz w:val="24"/>
          <w:szCs w:val="24"/>
        </w:rPr>
        <w:t>3</w:t>
      </w:r>
      <w:r>
        <w:rPr>
          <w:rFonts w:cs="仿宋_GB2312" w:asciiTheme="minorEastAsia" w:hAnsiTheme="minorEastAsia" w:eastAsiaTheme="minorEastAsia"/>
          <w:kern w:val="0"/>
          <w:sz w:val="24"/>
          <w:szCs w:val="24"/>
        </w:rPr>
        <w:t>m，流向1~</w:t>
      </w:r>
      <w:r>
        <w:rPr>
          <w:rFonts w:hint="eastAsia" w:cs="仿宋_GB2312" w:asciiTheme="minorEastAsia" w:hAnsiTheme="minorEastAsia" w:eastAsiaTheme="minorEastAsia"/>
          <w:kern w:val="0"/>
          <w:sz w:val="24"/>
          <w:szCs w:val="24"/>
        </w:rPr>
        <w:t>6</w:t>
      </w:r>
      <w:r>
        <w:rPr>
          <w:rFonts w:cs="仿宋_GB2312" w:asciiTheme="minorEastAsia" w:hAnsiTheme="minorEastAsia" w:eastAsiaTheme="minorEastAsia"/>
          <w:kern w:val="0"/>
          <w:sz w:val="24"/>
          <w:szCs w:val="24"/>
        </w:rPr>
        <w:t>m。根据企业周边地表水环境风险受体调查，低水位（+145m）时段，</w:t>
      </w:r>
      <w:r>
        <w:rPr>
          <w:rFonts w:hint="eastAsia" w:cs="仿宋_GB2312" w:asciiTheme="minorEastAsia" w:hAnsiTheme="minorEastAsia" w:eastAsiaTheme="minorEastAsia"/>
          <w:kern w:val="0"/>
          <w:sz w:val="24"/>
          <w:szCs w:val="24"/>
          <w:lang w:eastAsia="zh-CN"/>
        </w:rPr>
        <w:t>龙桥</w:t>
      </w:r>
      <w:r>
        <w:rPr>
          <w:rFonts w:hint="eastAsia" w:cs="仿宋_GB2312" w:asciiTheme="minorEastAsia" w:hAnsiTheme="minorEastAsia" w:eastAsiaTheme="minorEastAsia"/>
          <w:kern w:val="0"/>
          <w:sz w:val="24"/>
          <w:szCs w:val="24"/>
        </w:rPr>
        <w:t>污水处理厂</w:t>
      </w:r>
      <w:r>
        <w:rPr>
          <w:rFonts w:cs="仿宋_GB2312" w:asciiTheme="minorEastAsia" w:hAnsiTheme="minorEastAsia" w:eastAsiaTheme="minorEastAsia"/>
          <w:kern w:val="0"/>
          <w:sz w:val="24"/>
          <w:szCs w:val="24"/>
        </w:rPr>
        <w:t>突发环境事件直接排放情况下，对长江地表水</w:t>
      </w:r>
      <w:r>
        <w:rPr>
          <w:rFonts w:hint="eastAsia" w:cs="仿宋_GB2312" w:asciiTheme="minorEastAsia" w:hAnsiTheme="minorEastAsia" w:eastAsiaTheme="minorEastAsia"/>
          <w:kern w:val="0"/>
          <w:sz w:val="24"/>
          <w:szCs w:val="24"/>
        </w:rPr>
        <w:t>环境影响较小</w:t>
      </w:r>
      <w:r>
        <w:rPr>
          <w:rFonts w:cs="仿宋_GB2312" w:asciiTheme="minorEastAsia" w:hAnsiTheme="minorEastAsia" w:eastAsiaTheme="minorEastAsia"/>
          <w:kern w:val="0"/>
          <w:sz w:val="24"/>
          <w:szCs w:val="24"/>
        </w:rPr>
        <w:t>。</w:t>
      </w:r>
    </w:p>
    <w:p>
      <w:pPr>
        <w:adjustRightInd w:val="0"/>
        <w:snapToGrid w:val="0"/>
        <w:spacing w:line="460" w:lineRule="exact"/>
        <w:outlineLvl w:val="1"/>
        <w:rPr>
          <w:b/>
          <w:color w:val="000000"/>
          <w:sz w:val="28"/>
          <w:szCs w:val="28"/>
        </w:rPr>
      </w:pPr>
      <w:bookmarkStart w:id="158" w:name="_Toc16660"/>
      <w:r>
        <w:rPr>
          <w:rFonts w:hint="eastAsia"/>
          <w:b/>
          <w:color w:val="000000"/>
          <w:sz w:val="28"/>
          <w:szCs w:val="28"/>
        </w:rPr>
        <w:t>3</w:t>
      </w:r>
      <w:r>
        <w:rPr>
          <w:b/>
          <w:color w:val="000000"/>
          <w:sz w:val="28"/>
          <w:szCs w:val="28"/>
        </w:rPr>
        <w:t>.</w:t>
      </w:r>
      <w:r>
        <w:rPr>
          <w:rFonts w:hint="eastAsia"/>
          <w:b/>
          <w:color w:val="000000"/>
          <w:sz w:val="28"/>
          <w:szCs w:val="28"/>
        </w:rPr>
        <w:t>5</w:t>
      </w:r>
      <w:r>
        <w:rPr>
          <w:b/>
          <w:color w:val="000000"/>
          <w:sz w:val="28"/>
          <w:szCs w:val="28"/>
        </w:rPr>
        <w:t>.</w:t>
      </w:r>
      <w:r>
        <w:rPr>
          <w:rFonts w:hint="eastAsia"/>
          <w:b/>
          <w:color w:val="000000"/>
          <w:sz w:val="28"/>
          <w:szCs w:val="28"/>
        </w:rPr>
        <w:t>3污水经处理后未达标排放影响分析</w:t>
      </w:r>
      <w:bookmarkEnd w:id="158"/>
    </w:p>
    <w:p>
      <w:pPr>
        <w:spacing w:line="460" w:lineRule="exact"/>
        <w:ind w:firstLine="480" w:firstLineChars="200"/>
        <w:jc w:val="left"/>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根据《</w:t>
      </w:r>
      <w:r>
        <w:rPr>
          <w:rFonts w:cs="仿宋_GB2312" w:asciiTheme="minorEastAsia" w:hAnsiTheme="minorEastAsia" w:eastAsiaTheme="minorEastAsia"/>
          <w:kern w:val="0"/>
          <w:sz w:val="24"/>
          <w:szCs w:val="24"/>
        </w:rPr>
        <w:t>重庆市涪陵区拓源污水治理有限公司</w:t>
      </w:r>
      <w:r>
        <w:rPr>
          <w:rFonts w:hint="eastAsia" w:cs="仿宋_GB2312" w:asciiTheme="minorEastAsia" w:hAnsiTheme="minorEastAsia" w:eastAsiaTheme="minorEastAsia"/>
          <w:kern w:val="0"/>
          <w:sz w:val="24"/>
          <w:szCs w:val="24"/>
        </w:rPr>
        <w:t>龙桥污水处理厂突发环境事件风险评估报告》，企业在突发环境事件情况下，污水经处理后，由于处理效果不</w:t>
      </w:r>
      <w:r>
        <w:rPr>
          <w:rFonts w:hint="eastAsia" w:cs="仿宋_GB2312" w:asciiTheme="minorEastAsia" w:hAnsiTheme="minorEastAsia" w:eastAsiaTheme="minorEastAsia"/>
          <w:kern w:val="0"/>
          <w:sz w:val="24"/>
          <w:szCs w:val="24"/>
          <w:lang w:eastAsia="zh-CN"/>
        </w:rPr>
        <w:t>理想</w:t>
      </w:r>
      <w:r>
        <w:rPr>
          <w:rFonts w:hint="eastAsia" w:cs="仿宋_GB2312" w:asciiTheme="minorEastAsia" w:hAnsiTheme="minorEastAsia" w:eastAsiaTheme="minorEastAsia"/>
          <w:kern w:val="0"/>
          <w:sz w:val="24"/>
          <w:szCs w:val="24"/>
        </w:rPr>
        <w:t>未达标排放到外环境中，对地表水（高水位+175m）环境的影响预测结果如下：</w:t>
      </w:r>
      <w:r>
        <w:rPr>
          <w:rFonts w:cs="仿宋_GB2312" w:asciiTheme="minorEastAsia" w:hAnsiTheme="minorEastAsia" w:eastAsiaTheme="minorEastAsia"/>
          <w:kern w:val="0"/>
          <w:sz w:val="24"/>
          <w:szCs w:val="24"/>
        </w:rPr>
        <w:t>COD、NH3-N的浓度整体随河流流向逐渐衰减，随河流横向河宽逐渐衰减。其中COD、NH3-N在河流横向河宽100m处预测接近背景浓度，在河流流向3000m处预测浓度接近背景浓度，因此，企业他发环境事件污水直接排放对地表水的影响范围为横向1</w:t>
      </w:r>
      <w:r>
        <w:rPr>
          <w:rFonts w:hint="eastAsia" w:cs="仿宋_GB2312" w:asciiTheme="minorEastAsia" w:hAnsiTheme="minorEastAsia" w:eastAsiaTheme="minorEastAsia"/>
          <w:kern w:val="0"/>
          <w:sz w:val="24"/>
          <w:szCs w:val="24"/>
        </w:rPr>
        <w:t>-</w:t>
      </w:r>
      <w:r>
        <w:rPr>
          <w:rFonts w:cs="仿宋_GB2312" w:asciiTheme="minorEastAsia" w:hAnsiTheme="minorEastAsia" w:eastAsiaTheme="minorEastAsia"/>
          <w:kern w:val="0"/>
          <w:sz w:val="24"/>
          <w:szCs w:val="24"/>
        </w:rPr>
        <w:t>100m，流向1</w:t>
      </w:r>
      <w:r>
        <w:rPr>
          <w:rFonts w:hint="eastAsia" w:cs="仿宋_GB2312" w:asciiTheme="minorEastAsia" w:hAnsiTheme="minorEastAsia" w:eastAsiaTheme="minorEastAsia"/>
          <w:kern w:val="0"/>
          <w:sz w:val="24"/>
          <w:szCs w:val="24"/>
        </w:rPr>
        <w:t>-</w:t>
      </w:r>
      <w:r>
        <w:rPr>
          <w:rFonts w:cs="仿宋_GB2312" w:asciiTheme="minorEastAsia" w:hAnsiTheme="minorEastAsia" w:eastAsiaTheme="minorEastAsia"/>
          <w:kern w:val="0"/>
          <w:sz w:val="24"/>
          <w:szCs w:val="24"/>
        </w:rPr>
        <w:t>3000m范围。COD、NH3-N最大浓度贡献值与现状监测值叠加后，预测浓度值分别在</w:t>
      </w:r>
      <w:r>
        <w:rPr>
          <w:rFonts w:hint="eastAsia" w:cs="仿宋_GB2312" w:asciiTheme="minorEastAsia" w:hAnsiTheme="minorEastAsia" w:eastAsiaTheme="minorEastAsia"/>
          <w:kern w:val="0"/>
          <w:sz w:val="24"/>
          <w:szCs w:val="24"/>
        </w:rPr>
        <w:t>14.0</w:t>
      </w:r>
      <w:r>
        <w:rPr>
          <w:rFonts w:cs="仿宋_GB2312" w:asciiTheme="minorEastAsia" w:hAnsiTheme="minorEastAsia" w:eastAsiaTheme="minorEastAsia"/>
          <w:kern w:val="0"/>
          <w:sz w:val="24"/>
          <w:szCs w:val="24"/>
        </w:rPr>
        <w:t>mg/L～</w:t>
      </w:r>
      <w:r>
        <w:rPr>
          <w:rFonts w:hint="eastAsia" w:cs="仿宋_GB2312" w:asciiTheme="minorEastAsia" w:hAnsiTheme="minorEastAsia" w:eastAsiaTheme="minorEastAsia"/>
          <w:kern w:val="0"/>
          <w:sz w:val="24"/>
          <w:szCs w:val="24"/>
        </w:rPr>
        <w:t>20.17</w:t>
      </w:r>
      <w:r>
        <w:rPr>
          <w:rFonts w:cs="仿宋_GB2312" w:asciiTheme="minorEastAsia" w:hAnsiTheme="minorEastAsia" w:eastAsiaTheme="minorEastAsia"/>
          <w:kern w:val="0"/>
          <w:sz w:val="24"/>
          <w:szCs w:val="24"/>
        </w:rPr>
        <w:t>mg/L、</w:t>
      </w:r>
      <w:r>
        <w:rPr>
          <w:rFonts w:hint="eastAsia" w:cs="仿宋_GB2312" w:asciiTheme="minorEastAsia" w:hAnsiTheme="minorEastAsia" w:eastAsiaTheme="minorEastAsia"/>
          <w:kern w:val="0"/>
          <w:sz w:val="24"/>
          <w:szCs w:val="24"/>
        </w:rPr>
        <w:t>0.24</w:t>
      </w:r>
      <w:r>
        <w:rPr>
          <w:rFonts w:cs="仿宋_GB2312" w:asciiTheme="minorEastAsia" w:hAnsiTheme="minorEastAsia" w:eastAsiaTheme="minorEastAsia"/>
          <w:kern w:val="0"/>
          <w:sz w:val="24"/>
          <w:szCs w:val="24"/>
        </w:rPr>
        <w:t>mg/L～</w:t>
      </w:r>
      <w:r>
        <w:rPr>
          <w:rFonts w:hint="eastAsia" w:cs="仿宋_GB2312" w:asciiTheme="minorEastAsia" w:hAnsiTheme="minorEastAsia" w:eastAsiaTheme="minorEastAsia"/>
          <w:kern w:val="0"/>
          <w:sz w:val="24"/>
          <w:szCs w:val="24"/>
        </w:rPr>
        <w:t>0.87</w:t>
      </w:r>
      <w:r>
        <w:rPr>
          <w:rFonts w:cs="仿宋_GB2312" w:asciiTheme="minorEastAsia" w:hAnsiTheme="minorEastAsia" w:eastAsiaTheme="minorEastAsia"/>
          <w:kern w:val="0"/>
          <w:sz w:val="24"/>
          <w:szCs w:val="24"/>
        </w:rPr>
        <w:t>mg/L之间，最大浓度值分别为9.65mg/L、1.53mg/L，其中NH3-N满足《地表水环境质量标准》Ⅲ类水域水质标准要求，COD超过《地表水环境质量标准》Ⅲ类水域水质标准要求，超标区域为COD：横向河宽1～</w:t>
      </w:r>
      <w:r>
        <w:rPr>
          <w:rFonts w:hint="eastAsia" w:cs="仿宋_GB2312" w:asciiTheme="minorEastAsia" w:hAnsiTheme="minorEastAsia" w:eastAsiaTheme="minorEastAsia"/>
          <w:kern w:val="0"/>
          <w:sz w:val="24"/>
          <w:szCs w:val="24"/>
        </w:rPr>
        <w:t>2</w:t>
      </w:r>
      <w:r>
        <w:rPr>
          <w:rFonts w:cs="仿宋_GB2312" w:asciiTheme="minorEastAsia" w:hAnsiTheme="minorEastAsia" w:eastAsiaTheme="minorEastAsia"/>
          <w:kern w:val="0"/>
          <w:sz w:val="24"/>
          <w:szCs w:val="24"/>
        </w:rPr>
        <w:t>m，流向1～</w:t>
      </w:r>
      <w:r>
        <w:rPr>
          <w:rFonts w:hint="eastAsia" w:cs="仿宋_GB2312" w:asciiTheme="minorEastAsia" w:hAnsiTheme="minorEastAsia" w:eastAsiaTheme="minorEastAsia"/>
          <w:kern w:val="0"/>
          <w:sz w:val="24"/>
          <w:szCs w:val="24"/>
        </w:rPr>
        <w:t>5</w:t>
      </w:r>
      <w:r>
        <w:rPr>
          <w:rFonts w:cs="仿宋_GB2312" w:asciiTheme="minorEastAsia" w:hAnsiTheme="minorEastAsia" w:eastAsiaTheme="minorEastAsia"/>
          <w:kern w:val="0"/>
          <w:sz w:val="24"/>
          <w:szCs w:val="24"/>
        </w:rPr>
        <w:t>m。根据企业周边地表水环境风险受体调查，高水位（+175m）时段，</w:t>
      </w:r>
      <w:r>
        <w:rPr>
          <w:rFonts w:hint="eastAsia" w:cs="仿宋_GB2312" w:asciiTheme="minorEastAsia" w:hAnsiTheme="minorEastAsia" w:eastAsiaTheme="minorEastAsia"/>
          <w:kern w:val="0"/>
          <w:sz w:val="24"/>
          <w:szCs w:val="24"/>
          <w:lang w:eastAsia="zh-CN"/>
        </w:rPr>
        <w:t>龙桥</w:t>
      </w:r>
      <w:r>
        <w:rPr>
          <w:rFonts w:hint="eastAsia" w:cs="仿宋_GB2312" w:asciiTheme="minorEastAsia" w:hAnsiTheme="minorEastAsia" w:eastAsiaTheme="minorEastAsia"/>
          <w:kern w:val="0"/>
          <w:sz w:val="24"/>
          <w:szCs w:val="24"/>
        </w:rPr>
        <w:t>污水处理厂</w:t>
      </w:r>
      <w:r>
        <w:rPr>
          <w:rFonts w:cs="仿宋_GB2312" w:asciiTheme="minorEastAsia" w:hAnsiTheme="minorEastAsia" w:eastAsiaTheme="minorEastAsia"/>
          <w:kern w:val="0"/>
          <w:sz w:val="24"/>
          <w:szCs w:val="24"/>
        </w:rPr>
        <w:t>突发环境事件直接排放情况下，对长江水环境有一定的影响，</w:t>
      </w:r>
      <w:r>
        <w:rPr>
          <w:rFonts w:hint="eastAsia" w:cs="仿宋_GB2312" w:asciiTheme="minorEastAsia" w:hAnsiTheme="minorEastAsia" w:eastAsiaTheme="minorEastAsia"/>
          <w:kern w:val="0"/>
          <w:sz w:val="24"/>
          <w:szCs w:val="24"/>
          <w:lang w:eastAsia="zh-CN"/>
        </w:rPr>
        <w:t>对</w:t>
      </w:r>
      <w:r>
        <w:rPr>
          <w:rFonts w:cs="仿宋_GB2312" w:asciiTheme="minorEastAsia" w:hAnsiTheme="minorEastAsia" w:eastAsiaTheme="minorEastAsia"/>
          <w:kern w:val="0"/>
          <w:sz w:val="24"/>
          <w:szCs w:val="24"/>
        </w:rPr>
        <w:t>地表</w:t>
      </w:r>
      <w:r>
        <w:rPr>
          <w:rFonts w:hint="eastAsia" w:cs="仿宋_GB2312" w:asciiTheme="minorEastAsia" w:hAnsiTheme="minorEastAsia" w:eastAsiaTheme="minorEastAsia"/>
          <w:kern w:val="0"/>
          <w:sz w:val="24"/>
          <w:szCs w:val="24"/>
          <w:lang w:eastAsia="zh-CN"/>
        </w:rPr>
        <w:t>水</w:t>
      </w:r>
      <w:r>
        <w:rPr>
          <w:rFonts w:cs="仿宋_GB2312" w:asciiTheme="minorEastAsia" w:hAnsiTheme="minorEastAsia" w:eastAsiaTheme="minorEastAsia"/>
          <w:kern w:val="0"/>
          <w:sz w:val="24"/>
          <w:szCs w:val="24"/>
        </w:rPr>
        <w:t>风险受体影响较小。</w:t>
      </w:r>
    </w:p>
    <w:p>
      <w:pPr>
        <w:spacing w:line="460" w:lineRule="exact"/>
        <w:ind w:firstLine="480" w:firstLineChars="200"/>
        <w:jc w:val="left"/>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根据《</w:t>
      </w:r>
      <w:r>
        <w:rPr>
          <w:rFonts w:cs="仿宋_GB2312" w:asciiTheme="minorEastAsia" w:hAnsiTheme="minorEastAsia" w:eastAsiaTheme="minorEastAsia"/>
          <w:kern w:val="0"/>
          <w:sz w:val="24"/>
          <w:szCs w:val="24"/>
        </w:rPr>
        <w:t>重庆市涪陵区拓源污水治理有限公司</w:t>
      </w:r>
      <w:r>
        <w:rPr>
          <w:rFonts w:hint="eastAsia" w:cs="仿宋_GB2312" w:asciiTheme="minorEastAsia" w:hAnsiTheme="minorEastAsia" w:eastAsiaTheme="minorEastAsia"/>
          <w:kern w:val="0"/>
          <w:sz w:val="24"/>
          <w:szCs w:val="24"/>
        </w:rPr>
        <w:t>龙桥污水处理厂突发环境事件风险评估报告》，企业在突发环境事件情况下，污水经处理后，由于处理效果不</w:t>
      </w:r>
      <w:r>
        <w:rPr>
          <w:rFonts w:hint="eastAsia" w:cs="仿宋_GB2312" w:asciiTheme="minorEastAsia" w:hAnsiTheme="minorEastAsia" w:eastAsiaTheme="minorEastAsia"/>
          <w:kern w:val="0"/>
          <w:sz w:val="24"/>
          <w:szCs w:val="24"/>
          <w:lang w:eastAsia="zh-CN"/>
        </w:rPr>
        <w:t>理想</w:t>
      </w:r>
      <w:r>
        <w:rPr>
          <w:rFonts w:hint="eastAsia" w:cs="仿宋_GB2312" w:asciiTheme="minorEastAsia" w:hAnsiTheme="minorEastAsia" w:eastAsiaTheme="minorEastAsia"/>
          <w:kern w:val="0"/>
          <w:sz w:val="24"/>
          <w:szCs w:val="24"/>
        </w:rPr>
        <w:t>未达标排放到外环境中，对地表水（高水位+145m）环境的影响预测结果如下：</w:t>
      </w:r>
      <w:r>
        <w:rPr>
          <w:rFonts w:cs="仿宋_GB2312" w:asciiTheme="minorEastAsia" w:hAnsiTheme="minorEastAsia" w:eastAsiaTheme="minorEastAsia"/>
          <w:kern w:val="0"/>
          <w:sz w:val="24"/>
          <w:szCs w:val="24"/>
        </w:rPr>
        <w:t>COD、NH3-N的浓度整体随河流流向逐渐衰减，随河流横向河宽逐渐衰减。其中COD、NH3-N在河流横向河宽100m处预测接近背景浓度，在河流流向1500m处预测浓度接近背景浓度，因此，企业他发环境事件污水直接排放对地表水的影响范围为横向1～100m，流向1~1500m范围。COD、NH3-N最大浓度贡献值与现状监测值叠加后，预测浓度值分别在</w:t>
      </w:r>
      <w:r>
        <w:rPr>
          <w:rFonts w:hint="eastAsia" w:cs="仿宋_GB2312" w:asciiTheme="minorEastAsia" w:hAnsiTheme="minorEastAsia" w:eastAsiaTheme="minorEastAsia"/>
          <w:kern w:val="0"/>
          <w:sz w:val="24"/>
          <w:szCs w:val="24"/>
        </w:rPr>
        <w:t>14.00</w:t>
      </w:r>
      <w:r>
        <w:rPr>
          <w:rFonts w:cs="仿宋_GB2312" w:asciiTheme="minorEastAsia" w:hAnsiTheme="minorEastAsia" w:eastAsiaTheme="minorEastAsia"/>
          <w:kern w:val="0"/>
          <w:sz w:val="24"/>
          <w:szCs w:val="24"/>
        </w:rPr>
        <w:t>mg/L～</w:t>
      </w:r>
      <w:r>
        <w:rPr>
          <w:rFonts w:hint="eastAsia" w:cs="仿宋_GB2312" w:asciiTheme="minorEastAsia" w:hAnsiTheme="minorEastAsia" w:eastAsiaTheme="minorEastAsia"/>
          <w:kern w:val="0"/>
          <w:sz w:val="24"/>
          <w:szCs w:val="24"/>
        </w:rPr>
        <w:t>26.15</w:t>
      </w:r>
      <w:r>
        <w:rPr>
          <w:rFonts w:cs="仿宋_GB2312" w:asciiTheme="minorEastAsia" w:hAnsiTheme="minorEastAsia" w:eastAsiaTheme="minorEastAsia"/>
          <w:kern w:val="0"/>
          <w:sz w:val="24"/>
          <w:szCs w:val="24"/>
        </w:rPr>
        <w:t>mg/L、</w:t>
      </w:r>
      <w:r>
        <w:rPr>
          <w:rFonts w:hint="eastAsia" w:cs="仿宋_GB2312" w:asciiTheme="minorEastAsia" w:hAnsiTheme="minorEastAsia" w:eastAsiaTheme="minorEastAsia"/>
          <w:kern w:val="0"/>
          <w:sz w:val="24"/>
          <w:szCs w:val="24"/>
        </w:rPr>
        <w:t>0.24</w:t>
      </w:r>
      <w:r>
        <w:rPr>
          <w:rFonts w:cs="仿宋_GB2312" w:asciiTheme="minorEastAsia" w:hAnsiTheme="minorEastAsia" w:eastAsiaTheme="minorEastAsia"/>
          <w:kern w:val="0"/>
          <w:sz w:val="24"/>
          <w:szCs w:val="24"/>
        </w:rPr>
        <w:t>mg/L～</w:t>
      </w:r>
      <w:r>
        <w:rPr>
          <w:rFonts w:hint="eastAsia" w:cs="仿宋_GB2312" w:asciiTheme="minorEastAsia" w:hAnsiTheme="minorEastAsia" w:eastAsiaTheme="minorEastAsia"/>
          <w:kern w:val="0"/>
          <w:sz w:val="24"/>
          <w:szCs w:val="24"/>
        </w:rPr>
        <w:t>1.48</w:t>
      </w:r>
      <w:r>
        <w:rPr>
          <w:rFonts w:cs="仿宋_GB2312" w:asciiTheme="minorEastAsia" w:hAnsiTheme="minorEastAsia" w:eastAsiaTheme="minorEastAsia"/>
          <w:kern w:val="0"/>
          <w:sz w:val="24"/>
          <w:szCs w:val="24"/>
        </w:rPr>
        <w:t>mg/L之间，最大浓度值分别为</w:t>
      </w:r>
      <w:r>
        <w:rPr>
          <w:rFonts w:hint="eastAsia" w:cs="仿宋_GB2312" w:asciiTheme="minorEastAsia" w:hAnsiTheme="minorEastAsia" w:eastAsiaTheme="minorEastAsia"/>
          <w:kern w:val="0"/>
          <w:sz w:val="24"/>
          <w:szCs w:val="24"/>
        </w:rPr>
        <w:t>26.15</w:t>
      </w:r>
      <w:r>
        <w:rPr>
          <w:rFonts w:cs="仿宋_GB2312" w:asciiTheme="minorEastAsia" w:hAnsiTheme="minorEastAsia" w:eastAsiaTheme="minorEastAsia"/>
          <w:kern w:val="0"/>
          <w:sz w:val="24"/>
          <w:szCs w:val="24"/>
        </w:rPr>
        <w:t>mg/L、</w:t>
      </w:r>
      <w:r>
        <w:rPr>
          <w:rFonts w:hint="eastAsia" w:cs="仿宋_GB2312" w:asciiTheme="minorEastAsia" w:hAnsiTheme="minorEastAsia" w:eastAsiaTheme="minorEastAsia"/>
          <w:kern w:val="0"/>
          <w:sz w:val="24"/>
          <w:szCs w:val="24"/>
        </w:rPr>
        <w:t>1.48</w:t>
      </w:r>
      <w:r>
        <w:rPr>
          <w:rFonts w:cs="仿宋_GB2312" w:asciiTheme="minorEastAsia" w:hAnsiTheme="minorEastAsia" w:eastAsiaTheme="minorEastAsia"/>
          <w:kern w:val="0"/>
          <w:sz w:val="24"/>
          <w:szCs w:val="24"/>
        </w:rPr>
        <w:t>mg/L，其中NH3-N满足《地表水环境质量标准》Ⅲ类水域水质标准要求，COD超过《地表水环境质量标准》Ⅲ类水域水质标准要求，超标区域为COD：横向河宽1~20m，流向1～100m.。根据企业周边地表水环境风险受体调查，低水位（+145m）时段，</w:t>
      </w:r>
      <w:r>
        <w:rPr>
          <w:rFonts w:hint="eastAsia" w:cs="仿宋_GB2312" w:asciiTheme="minorEastAsia" w:hAnsiTheme="minorEastAsia" w:eastAsiaTheme="minorEastAsia"/>
          <w:kern w:val="0"/>
          <w:sz w:val="24"/>
          <w:szCs w:val="24"/>
          <w:lang w:eastAsia="zh-CN"/>
        </w:rPr>
        <w:t>龙桥</w:t>
      </w:r>
      <w:r>
        <w:rPr>
          <w:rFonts w:hint="eastAsia" w:cs="仿宋_GB2312" w:asciiTheme="minorEastAsia" w:hAnsiTheme="minorEastAsia" w:eastAsiaTheme="minorEastAsia"/>
          <w:kern w:val="0"/>
          <w:sz w:val="24"/>
          <w:szCs w:val="24"/>
        </w:rPr>
        <w:t>污水处理厂</w:t>
      </w:r>
      <w:r>
        <w:rPr>
          <w:rFonts w:cs="仿宋_GB2312" w:asciiTheme="minorEastAsia" w:hAnsiTheme="minorEastAsia" w:eastAsiaTheme="minorEastAsia"/>
          <w:kern w:val="0"/>
          <w:sz w:val="24"/>
          <w:szCs w:val="24"/>
        </w:rPr>
        <w:t>突发环境事件污染物未达标排放情况下，对长江水环境及地表水风险受体</w:t>
      </w:r>
      <w:r>
        <w:rPr>
          <w:rFonts w:hint="eastAsia" w:cs="仿宋_GB2312" w:asciiTheme="minorEastAsia" w:hAnsiTheme="minorEastAsia" w:eastAsiaTheme="minorEastAsia"/>
          <w:kern w:val="0"/>
          <w:sz w:val="24"/>
          <w:szCs w:val="24"/>
        </w:rPr>
        <w:t>影响较小</w:t>
      </w:r>
      <w:r>
        <w:rPr>
          <w:rFonts w:cs="仿宋_GB2312" w:asciiTheme="minorEastAsia" w:hAnsiTheme="minorEastAsia" w:eastAsiaTheme="minorEastAsia"/>
          <w:kern w:val="0"/>
          <w:sz w:val="24"/>
          <w:szCs w:val="24"/>
        </w:rPr>
        <w:t>。</w:t>
      </w:r>
    </w:p>
    <w:p>
      <w:pPr>
        <w:adjustRightInd w:val="0"/>
        <w:snapToGrid w:val="0"/>
        <w:spacing w:line="460" w:lineRule="exact"/>
        <w:outlineLvl w:val="1"/>
        <w:rPr>
          <w:b/>
          <w:color w:val="000000"/>
          <w:sz w:val="28"/>
          <w:szCs w:val="28"/>
        </w:rPr>
      </w:pPr>
      <w:bookmarkStart w:id="159" w:name="_Toc376848495"/>
      <w:bookmarkStart w:id="160" w:name="_Toc24941"/>
      <w:bookmarkStart w:id="161" w:name="_Toc458674265"/>
      <w:r>
        <w:rPr>
          <w:rFonts w:hint="eastAsia"/>
          <w:b/>
          <w:color w:val="000000"/>
          <w:sz w:val="28"/>
          <w:szCs w:val="28"/>
        </w:rPr>
        <w:t>3</w:t>
      </w:r>
      <w:r>
        <w:rPr>
          <w:b/>
          <w:color w:val="000000"/>
          <w:sz w:val="28"/>
          <w:szCs w:val="28"/>
        </w:rPr>
        <w:t>.</w:t>
      </w:r>
      <w:r>
        <w:rPr>
          <w:rFonts w:hint="eastAsia"/>
          <w:b/>
          <w:color w:val="000000"/>
          <w:sz w:val="28"/>
          <w:szCs w:val="28"/>
        </w:rPr>
        <w:t>6</w:t>
      </w:r>
      <w:r>
        <w:rPr>
          <w:b/>
          <w:color w:val="000000"/>
          <w:sz w:val="28"/>
          <w:szCs w:val="28"/>
        </w:rPr>
        <w:t>现有风险防范措施</w:t>
      </w:r>
      <w:bookmarkEnd w:id="159"/>
      <w:bookmarkEnd w:id="160"/>
      <w:bookmarkEnd w:id="161"/>
    </w:p>
    <w:p>
      <w:pPr>
        <w:pStyle w:val="120"/>
        <w:ind w:firstLine="0" w:firstLineChars="0"/>
        <w:rPr>
          <w:b/>
          <w:sz w:val="28"/>
          <w:szCs w:val="28"/>
        </w:rPr>
      </w:pPr>
      <w:bookmarkStart w:id="162" w:name="_Toc317088632"/>
      <w:bookmarkStart w:id="163" w:name="_Toc346872569"/>
      <w:bookmarkStart w:id="164" w:name="_Toc458674266"/>
      <w:r>
        <w:rPr>
          <w:rFonts w:hint="eastAsia"/>
          <w:b/>
          <w:sz w:val="28"/>
          <w:szCs w:val="28"/>
        </w:rPr>
        <w:t>3</w:t>
      </w:r>
      <w:r>
        <w:rPr>
          <w:b/>
          <w:sz w:val="28"/>
          <w:szCs w:val="28"/>
        </w:rPr>
        <w:t>.</w:t>
      </w:r>
      <w:r>
        <w:rPr>
          <w:rFonts w:hint="eastAsia"/>
          <w:b/>
          <w:sz w:val="28"/>
          <w:szCs w:val="28"/>
        </w:rPr>
        <w:t>6</w:t>
      </w:r>
      <w:r>
        <w:rPr>
          <w:b/>
          <w:sz w:val="28"/>
          <w:szCs w:val="28"/>
        </w:rPr>
        <w:t>.1 总体布局</w:t>
      </w:r>
      <w:bookmarkEnd w:id="162"/>
      <w:bookmarkEnd w:id="163"/>
      <w:bookmarkEnd w:id="164"/>
    </w:p>
    <w:p>
      <w:pPr>
        <w:spacing w:line="460" w:lineRule="exact"/>
        <w:ind w:firstLine="480" w:firstLineChars="200"/>
        <w:jc w:val="left"/>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企业</w:t>
      </w:r>
      <w:r>
        <w:rPr>
          <w:rFonts w:cs="仿宋_GB2312" w:asciiTheme="minorEastAsia" w:hAnsiTheme="minorEastAsia" w:eastAsiaTheme="minorEastAsia"/>
          <w:kern w:val="0"/>
          <w:sz w:val="24"/>
          <w:szCs w:val="24"/>
        </w:rPr>
        <w:t>总平面布置中，充分考虑了总体布置的安全性，总图布置较合理，各管线和辅助装置均按功能分区布置，并充分考虑消防和疏散通道问题，有利于风险事故的防范和处理。</w:t>
      </w:r>
    </w:p>
    <w:p>
      <w:pPr>
        <w:spacing w:line="460" w:lineRule="exact"/>
        <w:ind w:firstLine="480" w:firstLineChars="200"/>
        <w:jc w:val="left"/>
        <w:rPr>
          <w:rFonts w:cs="仿宋_GB2312" w:asciiTheme="minorEastAsia" w:hAnsiTheme="minorEastAsia" w:eastAsiaTheme="minorEastAsia"/>
          <w:kern w:val="0"/>
          <w:sz w:val="24"/>
          <w:szCs w:val="24"/>
        </w:rPr>
      </w:pPr>
      <w:r>
        <w:rPr>
          <w:rFonts w:cs="仿宋_GB2312" w:asciiTheme="minorEastAsia" w:hAnsiTheme="minorEastAsia" w:eastAsiaTheme="minorEastAsia"/>
          <w:kern w:val="0"/>
          <w:sz w:val="24"/>
          <w:szCs w:val="24"/>
        </w:rPr>
        <w:t>总图布置符合GB50016-2006《建筑设计防火规范》和国家现行的“总图运输设计规范”及相关管理规定的要求。</w:t>
      </w:r>
    </w:p>
    <w:p>
      <w:pPr>
        <w:pStyle w:val="120"/>
        <w:ind w:firstLine="0" w:firstLineChars="0"/>
        <w:rPr>
          <w:b/>
          <w:sz w:val="28"/>
          <w:szCs w:val="28"/>
        </w:rPr>
      </w:pPr>
      <w:bookmarkStart w:id="165" w:name="_Toc458674267"/>
      <w:bookmarkStart w:id="166" w:name="_Toc346872570"/>
      <w:bookmarkStart w:id="167" w:name="_Toc317088633"/>
      <w:r>
        <w:rPr>
          <w:rFonts w:hint="eastAsia"/>
          <w:b/>
          <w:sz w:val="28"/>
          <w:szCs w:val="28"/>
        </w:rPr>
        <w:t>3</w:t>
      </w:r>
      <w:r>
        <w:rPr>
          <w:b/>
          <w:sz w:val="28"/>
          <w:szCs w:val="28"/>
        </w:rPr>
        <w:t>.</w:t>
      </w:r>
      <w:r>
        <w:rPr>
          <w:rFonts w:hint="eastAsia"/>
          <w:b/>
          <w:sz w:val="28"/>
          <w:szCs w:val="28"/>
        </w:rPr>
        <w:t>6</w:t>
      </w:r>
      <w:r>
        <w:rPr>
          <w:b/>
          <w:sz w:val="28"/>
          <w:szCs w:val="28"/>
        </w:rPr>
        <w:t xml:space="preserve">.2 </w:t>
      </w:r>
      <w:bookmarkEnd w:id="165"/>
      <w:bookmarkEnd w:id="166"/>
      <w:bookmarkEnd w:id="167"/>
      <w:r>
        <w:rPr>
          <w:rFonts w:hint="eastAsia"/>
          <w:b/>
          <w:sz w:val="28"/>
          <w:szCs w:val="28"/>
        </w:rPr>
        <w:t>盐酸加药间风险防范措施</w:t>
      </w:r>
    </w:p>
    <w:p>
      <w:pPr>
        <w:spacing w:line="460" w:lineRule="exact"/>
        <w:ind w:firstLine="480" w:firstLineChars="200"/>
        <w:jc w:val="left"/>
        <w:rPr>
          <w:rFonts w:cs="仿宋_GB2312" w:asciiTheme="minorEastAsia" w:hAnsiTheme="minorEastAsia" w:eastAsiaTheme="minorEastAsia"/>
          <w:kern w:val="0"/>
          <w:sz w:val="24"/>
          <w:szCs w:val="24"/>
        </w:rPr>
      </w:pPr>
      <w:bookmarkStart w:id="168" w:name="_Toc317088634"/>
      <w:r>
        <w:rPr>
          <w:rFonts w:hint="eastAsia" w:cs="仿宋_GB2312" w:asciiTheme="minorEastAsia" w:hAnsiTheme="minorEastAsia" w:eastAsiaTheme="minorEastAsia"/>
          <w:kern w:val="0"/>
          <w:sz w:val="24"/>
          <w:szCs w:val="24"/>
        </w:rPr>
        <w:t>企业</w:t>
      </w:r>
      <w:r>
        <w:rPr>
          <w:rFonts w:cs="仿宋_GB2312" w:asciiTheme="minorEastAsia" w:hAnsiTheme="minorEastAsia" w:eastAsiaTheme="minorEastAsia"/>
          <w:kern w:val="0"/>
          <w:sz w:val="24"/>
          <w:szCs w:val="24"/>
        </w:rPr>
        <w:t>各建筑物严格按照GB50016-2006《建筑设计防火规范》及相应规定要求予以设计。盐酸储罐采用</w:t>
      </w:r>
      <w:r>
        <w:rPr>
          <w:rFonts w:hint="eastAsia" w:cs="仿宋_GB2312" w:asciiTheme="minorEastAsia" w:hAnsiTheme="minorEastAsia" w:eastAsiaTheme="minorEastAsia"/>
          <w:kern w:val="0"/>
          <w:sz w:val="24"/>
          <w:szCs w:val="24"/>
        </w:rPr>
        <w:t>玻璃钢</w:t>
      </w:r>
      <w:r>
        <w:rPr>
          <w:rFonts w:cs="仿宋_GB2312" w:asciiTheme="minorEastAsia" w:hAnsiTheme="minorEastAsia" w:eastAsiaTheme="minorEastAsia"/>
          <w:kern w:val="0"/>
          <w:sz w:val="24"/>
          <w:szCs w:val="24"/>
        </w:rPr>
        <w:t>体，置于</w:t>
      </w:r>
      <w:r>
        <w:rPr>
          <w:rFonts w:hint="eastAsia" w:cs="仿宋_GB2312" w:asciiTheme="minorEastAsia" w:hAnsiTheme="minorEastAsia" w:eastAsiaTheme="minorEastAsia"/>
          <w:kern w:val="0"/>
          <w:sz w:val="24"/>
          <w:szCs w:val="24"/>
        </w:rPr>
        <w:t>加药间</w:t>
      </w:r>
      <w:r>
        <w:rPr>
          <w:rFonts w:cs="仿宋_GB2312" w:asciiTheme="minorEastAsia" w:hAnsiTheme="minorEastAsia" w:eastAsiaTheme="minorEastAsia"/>
          <w:kern w:val="0"/>
          <w:sz w:val="24"/>
          <w:szCs w:val="24"/>
        </w:rPr>
        <w:t>内，并修建了围堰，地面采用混泥土进行了硬化处理。厂区各处设置了消防栓，安装摆放了消防箱，放置灭火器等。在</w:t>
      </w:r>
      <w:r>
        <w:rPr>
          <w:rFonts w:hint="eastAsia" w:cs="仿宋_GB2312" w:asciiTheme="minorEastAsia" w:hAnsiTheme="minorEastAsia" w:eastAsiaTheme="minorEastAsia"/>
          <w:kern w:val="0"/>
          <w:sz w:val="24"/>
          <w:szCs w:val="24"/>
        </w:rPr>
        <w:t>存储间</w:t>
      </w:r>
      <w:r>
        <w:rPr>
          <w:rFonts w:cs="仿宋_GB2312" w:asciiTheme="minorEastAsia" w:hAnsiTheme="minorEastAsia" w:eastAsiaTheme="minorEastAsia"/>
          <w:kern w:val="0"/>
          <w:sz w:val="24"/>
          <w:szCs w:val="24"/>
        </w:rPr>
        <w:t>外设置了喷淋措施、洗眼设施等应急装置。</w:t>
      </w:r>
    </w:p>
    <w:p>
      <w:pPr>
        <w:pStyle w:val="120"/>
        <w:ind w:firstLine="0" w:firstLineChars="0"/>
        <w:rPr>
          <w:b/>
          <w:szCs w:val="28"/>
        </w:rPr>
      </w:pPr>
      <w:bookmarkStart w:id="169" w:name="_Toc346872571"/>
      <w:bookmarkStart w:id="170" w:name="_Toc458674268"/>
      <w:r>
        <w:rPr>
          <w:rFonts w:hint="eastAsia"/>
          <w:b/>
          <w:szCs w:val="28"/>
        </w:rPr>
        <w:t>3</w:t>
      </w:r>
      <w:r>
        <w:rPr>
          <w:b/>
          <w:szCs w:val="28"/>
        </w:rPr>
        <w:t>.</w:t>
      </w:r>
      <w:r>
        <w:rPr>
          <w:rFonts w:hint="eastAsia"/>
          <w:b/>
          <w:szCs w:val="28"/>
        </w:rPr>
        <w:t>6</w:t>
      </w:r>
      <w:r>
        <w:rPr>
          <w:b/>
          <w:szCs w:val="28"/>
        </w:rPr>
        <w:t xml:space="preserve">.3 </w:t>
      </w:r>
      <w:bookmarkEnd w:id="168"/>
      <w:bookmarkEnd w:id="169"/>
      <w:r>
        <w:rPr>
          <w:b/>
          <w:szCs w:val="28"/>
        </w:rPr>
        <w:t>加氯加药间风险防范措施</w:t>
      </w:r>
      <w:bookmarkEnd w:id="170"/>
    </w:p>
    <w:p>
      <w:pPr>
        <w:spacing w:line="460" w:lineRule="exact"/>
        <w:ind w:firstLine="480" w:firstLineChars="200"/>
        <w:jc w:val="left"/>
        <w:rPr>
          <w:rFonts w:cs="仿宋_GB2312" w:asciiTheme="minorEastAsia" w:hAnsiTheme="minorEastAsia" w:eastAsiaTheme="minorEastAsia"/>
          <w:kern w:val="0"/>
          <w:sz w:val="24"/>
          <w:szCs w:val="24"/>
        </w:rPr>
      </w:pPr>
      <w:bookmarkStart w:id="171" w:name="_Toc317088635"/>
      <w:r>
        <w:rPr>
          <w:rFonts w:cs="仿宋_GB2312" w:asciiTheme="minorEastAsia" w:hAnsiTheme="minorEastAsia" w:eastAsiaTheme="minorEastAsia"/>
          <w:kern w:val="0"/>
          <w:sz w:val="24"/>
          <w:szCs w:val="24"/>
        </w:rPr>
        <w:t xml:space="preserve">(1) </w:t>
      </w:r>
      <w:r>
        <w:rPr>
          <w:rFonts w:hint="eastAsia" w:cs="仿宋_GB2312" w:asciiTheme="minorEastAsia" w:hAnsiTheme="minorEastAsia" w:eastAsiaTheme="minorEastAsia"/>
          <w:kern w:val="0"/>
          <w:sz w:val="24"/>
          <w:szCs w:val="24"/>
        </w:rPr>
        <w:t>氯酸钠</w:t>
      </w:r>
      <w:r>
        <w:rPr>
          <w:rFonts w:cs="仿宋_GB2312" w:asciiTheme="minorEastAsia" w:hAnsiTheme="minorEastAsia" w:eastAsiaTheme="minorEastAsia"/>
          <w:kern w:val="0"/>
          <w:sz w:val="24"/>
          <w:szCs w:val="24"/>
        </w:rPr>
        <w:t>储罐设置围堰，围堰、地面进行防渗、防腐措施。</w:t>
      </w:r>
    </w:p>
    <w:p>
      <w:pPr>
        <w:spacing w:line="460" w:lineRule="exact"/>
        <w:ind w:firstLine="480" w:firstLineChars="200"/>
        <w:jc w:val="left"/>
        <w:rPr>
          <w:rFonts w:cs="仿宋_GB2312" w:asciiTheme="minorEastAsia" w:hAnsiTheme="minorEastAsia" w:eastAsiaTheme="minorEastAsia"/>
          <w:kern w:val="0"/>
          <w:sz w:val="24"/>
          <w:szCs w:val="24"/>
        </w:rPr>
      </w:pPr>
      <w:r>
        <w:rPr>
          <w:rFonts w:cs="仿宋_GB2312" w:asciiTheme="minorEastAsia" w:hAnsiTheme="minorEastAsia" w:eastAsiaTheme="minorEastAsia"/>
          <w:kern w:val="0"/>
          <w:sz w:val="24"/>
          <w:szCs w:val="24"/>
        </w:rPr>
        <w:t>(2)建立环境管理与风险防范制度，制定环境风险应急预案和落实环境风险防范措施，定期开展应急预案演习，并派专人负责，杜绝跑冒滴漏现象，防止因事故引发环境污染。</w:t>
      </w:r>
    </w:p>
    <w:p>
      <w:pPr>
        <w:spacing w:line="460" w:lineRule="exact"/>
        <w:ind w:firstLine="480" w:firstLineChars="200"/>
        <w:jc w:val="left"/>
        <w:rPr>
          <w:rFonts w:cs="仿宋_GB2312" w:asciiTheme="minorEastAsia" w:hAnsiTheme="minorEastAsia" w:eastAsiaTheme="minorEastAsia"/>
          <w:kern w:val="0"/>
          <w:sz w:val="24"/>
          <w:szCs w:val="24"/>
        </w:rPr>
      </w:pPr>
      <w:r>
        <w:rPr>
          <w:rFonts w:cs="仿宋_GB2312" w:asciiTheme="minorEastAsia" w:hAnsiTheme="minorEastAsia" w:eastAsiaTheme="minorEastAsia"/>
          <w:kern w:val="0"/>
          <w:sz w:val="24"/>
          <w:szCs w:val="24"/>
        </w:rPr>
        <w:t>(3) 针对盐酸、二氧化氯泄漏挥发出的氯化氢、二氧化氯气体配备气体监测报警装置。二氧化氯发生器设置了报警开关，一旦发生泄漏开关自动关闭。</w:t>
      </w:r>
    </w:p>
    <w:p>
      <w:pPr>
        <w:spacing w:line="460" w:lineRule="exact"/>
        <w:ind w:firstLine="480" w:firstLineChars="200"/>
        <w:jc w:val="left"/>
        <w:rPr>
          <w:rFonts w:cs="仿宋_GB2312" w:asciiTheme="minorEastAsia" w:hAnsiTheme="minorEastAsia" w:eastAsiaTheme="minorEastAsia"/>
          <w:kern w:val="0"/>
          <w:sz w:val="24"/>
          <w:szCs w:val="24"/>
        </w:rPr>
      </w:pPr>
      <w:r>
        <w:rPr>
          <w:rFonts w:cs="仿宋_GB2312" w:asciiTheme="minorEastAsia" w:hAnsiTheme="minorEastAsia" w:eastAsiaTheme="minorEastAsia"/>
          <w:kern w:val="0"/>
          <w:sz w:val="24"/>
          <w:szCs w:val="24"/>
        </w:rPr>
        <w:t>(4) 加氯加药间配备消防应急物资，设置了防毒面具、喷淋中和设施、防护服、防护眼罩、应急灯、堵漏等设施。</w:t>
      </w:r>
    </w:p>
    <w:p>
      <w:pPr>
        <w:spacing w:line="460" w:lineRule="exact"/>
        <w:ind w:firstLine="480" w:firstLineChars="200"/>
        <w:jc w:val="left"/>
        <w:rPr>
          <w:rFonts w:cs="仿宋_GB2312" w:asciiTheme="minorEastAsia" w:hAnsiTheme="minorEastAsia" w:eastAsiaTheme="minorEastAsia"/>
          <w:kern w:val="0"/>
          <w:sz w:val="24"/>
          <w:szCs w:val="24"/>
        </w:rPr>
      </w:pPr>
      <w:r>
        <w:rPr>
          <w:rFonts w:cs="仿宋_GB2312" w:asciiTheme="minorEastAsia" w:hAnsiTheme="minorEastAsia" w:eastAsiaTheme="minorEastAsia"/>
          <w:kern w:val="0"/>
          <w:sz w:val="24"/>
          <w:szCs w:val="24"/>
        </w:rPr>
        <w:t>(5)厂区设置风险事故应急撤离路线指示标及风向标、物料标识、危险标识，安装集中监控报警和连锁装置。加强对输送管线、各物料储存场所、闸阀、法兰、各类仪表等部位的检查和校验。</w:t>
      </w:r>
    </w:p>
    <w:p>
      <w:pPr>
        <w:spacing w:line="460" w:lineRule="exact"/>
        <w:ind w:firstLine="480" w:firstLineChars="200"/>
        <w:jc w:val="left"/>
        <w:rPr>
          <w:rFonts w:cs="仿宋_GB2312" w:asciiTheme="minorEastAsia" w:hAnsiTheme="minorEastAsia" w:eastAsiaTheme="minorEastAsia"/>
          <w:kern w:val="0"/>
          <w:sz w:val="24"/>
          <w:szCs w:val="24"/>
        </w:rPr>
      </w:pPr>
      <w:r>
        <w:rPr>
          <w:rFonts w:cs="仿宋_GB2312" w:asciiTheme="minorEastAsia" w:hAnsiTheme="minorEastAsia" w:eastAsiaTheme="minorEastAsia"/>
          <w:kern w:val="0"/>
          <w:sz w:val="24"/>
          <w:szCs w:val="24"/>
        </w:rPr>
        <w:t>(6)凡容易发生事故或危及生命安全的场所和设备，以及需要提醒操作人员注意的地点，均按标准设置有各种安全标志，并安装有防爆应急灯。</w:t>
      </w:r>
    </w:p>
    <w:p>
      <w:pPr>
        <w:spacing w:line="460" w:lineRule="exact"/>
        <w:ind w:firstLine="480" w:firstLineChars="200"/>
        <w:jc w:val="left"/>
        <w:rPr>
          <w:rFonts w:cs="仿宋_GB2312" w:asciiTheme="minorEastAsia" w:hAnsiTheme="minorEastAsia" w:eastAsiaTheme="minorEastAsia"/>
          <w:kern w:val="0"/>
          <w:sz w:val="24"/>
          <w:szCs w:val="24"/>
        </w:rPr>
      </w:pPr>
      <w:r>
        <w:rPr>
          <w:rFonts w:cs="仿宋_GB2312" w:asciiTheme="minorEastAsia" w:hAnsiTheme="minorEastAsia" w:eastAsiaTheme="minorEastAsia"/>
          <w:kern w:val="0"/>
          <w:sz w:val="24"/>
          <w:szCs w:val="24"/>
        </w:rPr>
        <w:t>(7)涉及危化品操作的人员均配置适量个人防护用具，如过滤式防毒面具、防护服等。</w:t>
      </w:r>
    </w:p>
    <w:p>
      <w:pPr>
        <w:pStyle w:val="120"/>
        <w:ind w:firstLine="0" w:firstLineChars="0"/>
        <w:rPr>
          <w:b/>
          <w:sz w:val="28"/>
          <w:szCs w:val="28"/>
        </w:rPr>
      </w:pPr>
      <w:bookmarkStart w:id="172" w:name="_Toc458674269"/>
      <w:bookmarkStart w:id="173" w:name="_Toc346872572"/>
      <w:r>
        <w:rPr>
          <w:rFonts w:hint="eastAsia"/>
          <w:b/>
          <w:sz w:val="28"/>
          <w:szCs w:val="28"/>
        </w:rPr>
        <w:t>3</w:t>
      </w:r>
      <w:r>
        <w:rPr>
          <w:b/>
          <w:sz w:val="28"/>
          <w:szCs w:val="28"/>
        </w:rPr>
        <w:t>.</w:t>
      </w:r>
      <w:r>
        <w:rPr>
          <w:rFonts w:hint="eastAsia"/>
          <w:b/>
          <w:sz w:val="28"/>
          <w:szCs w:val="28"/>
        </w:rPr>
        <w:t>6</w:t>
      </w:r>
      <w:r>
        <w:rPr>
          <w:b/>
          <w:sz w:val="28"/>
          <w:szCs w:val="28"/>
        </w:rPr>
        <w:t>.4</w:t>
      </w:r>
      <w:bookmarkEnd w:id="171"/>
      <w:r>
        <w:rPr>
          <w:b/>
          <w:sz w:val="28"/>
          <w:szCs w:val="28"/>
        </w:rPr>
        <w:t>污水处理设备风险防范措施</w:t>
      </w:r>
      <w:bookmarkEnd w:id="172"/>
    </w:p>
    <w:p>
      <w:pPr>
        <w:spacing w:line="460" w:lineRule="exact"/>
        <w:ind w:firstLine="480" w:firstLineChars="200"/>
        <w:jc w:val="left"/>
        <w:rPr>
          <w:rFonts w:cs="仿宋_GB2312" w:asciiTheme="minorEastAsia" w:hAnsiTheme="minorEastAsia" w:eastAsiaTheme="minorEastAsia"/>
          <w:kern w:val="0"/>
          <w:sz w:val="24"/>
          <w:szCs w:val="24"/>
        </w:rPr>
      </w:pPr>
      <w:r>
        <w:rPr>
          <w:rFonts w:cs="仿宋_GB2312" w:asciiTheme="minorEastAsia" w:hAnsiTheme="minorEastAsia" w:eastAsiaTheme="minorEastAsia"/>
          <w:kern w:val="0"/>
          <w:sz w:val="24"/>
          <w:szCs w:val="24"/>
        </w:rPr>
        <w:t>(1) 设置出水、进水水质在线监测装置，定期监测出水水质，防止污水未达标排放。</w:t>
      </w:r>
    </w:p>
    <w:p>
      <w:pPr>
        <w:spacing w:line="460" w:lineRule="exact"/>
        <w:ind w:firstLine="480" w:firstLineChars="200"/>
        <w:jc w:val="left"/>
        <w:rPr>
          <w:rFonts w:cs="仿宋_GB2312" w:asciiTheme="minorEastAsia" w:hAnsiTheme="minorEastAsia" w:eastAsiaTheme="minorEastAsia"/>
          <w:kern w:val="0"/>
          <w:sz w:val="24"/>
          <w:szCs w:val="24"/>
        </w:rPr>
      </w:pPr>
      <w:r>
        <w:rPr>
          <w:rFonts w:cs="仿宋_GB2312" w:asciiTheme="minorEastAsia" w:hAnsiTheme="minorEastAsia" w:eastAsiaTheme="minorEastAsia"/>
          <w:kern w:val="0"/>
          <w:sz w:val="24"/>
          <w:szCs w:val="24"/>
        </w:rPr>
        <w:t>(2)定期对污水治理设施设备进行检查，维护保养，减少设备出现故障概率。</w:t>
      </w:r>
    </w:p>
    <w:p>
      <w:pPr>
        <w:spacing w:line="460" w:lineRule="exact"/>
        <w:ind w:firstLine="480" w:firstLineChars="200"/>
        <w:jc w:val="left"/>
        <w:rPr>
          <w:rFonts w:cs="仿宋_GB2312" w:asciiTheme="minorEastAsia" w:hAnsiTheme="minorEastAsia" w:eastAsiaTheme="minorEastAsia"/>
          <w:kern w:val="0"/>
          <w:sz w:val="24"/>
          <w:szCs w:val="24"/>
        </w:rPr>
      </w:pPr>
      <w:r>
        <w:rPr>
          <w:rFonts w:cs="仿宋_GB2312" w:asciiTheme="minorEastAsia" w:hAnsiTheme="minorEastAsia" w:eastAsiaTheme="minorEastAsia"/>
          <w:kern w:val="0"/>
          <w:sz w:val="24"/>
          <w:szCs w:val="24"/>
        </w:rPr>
        <w:t>(3) 配备双回路电源，防止停电发生时</w:t>
      </w:r>
      <w:r>
        <w:rPr>
          <w:rFonts w:hint="eastAsia" w:cs="仿宋_GB2312" w:asciiTheme="minorEastAsia" w:hAnsiTheme="minorEastAsia" w:eastAsiaTheme="minorEastAsia"/>
          <w:kern w:val="0"/>
          <w:sz w:val="24"/>
          <w:szCs w:val="24"/>
          <w:lang w:eastAsia="zh-CN"/>
        </w:rPr>
        <w:t>应</w:t>
      </w:r>
      <w:r>
        <w:rPr>
          <w:rFonts w:cs="仿宋_GB2312" w:asciiTheme="minorEastAsia" w:hAnsiTheme="minorEastAsia" w:eastAsiaTheme="minorEastAsia"/>
          <w:kern w:val="0"/>
          <w:sz w:val="24"/>
          <w:szCs w:val="24"/>
        </w:rPr>
        <w:t>对污水处理设备无法正常运营</w:t>
      </w:r>
      <w:r>
        <w:rPr>
          <w:rFonts w:hint="eastAsia" w:cs="仿宋_GB2312" w:asciiTheme="minorEastAsia" w:hAnsiTheme="minorEastAsia" w:eastAsiaTheme="minorEastAsia"/>
          <w:kern w:val="0"/>
          <w:sz w:val="24"/>
          <w:szCs w:val="24"/>
          <w:lang w:eastAsia="zh-CN"/>
        </w:rPr>
        <w:t>的情况</w:t>
      </w:r>
      <w:r>
        <w:rPr>
          <w:rFonts w:cs="仿宋_GB2312" w:asciiTheme="minorEastAsia" w:hAnsiTheme="minorEastAsia" w:eastAsiaTheme="minorEastAsia"/>
          <w:kern w:val="0"/>
          <w:sz w:val="24"/>
          <w:szCs w:val="24"/>
        </w:rPr>
        <w:t>。</w:t>
      </w:r>
    </w:p>
    <w:p>
      <w:pPr>
        <w:pStyle w:val="120"/>
        <w:ind w:firstLine="0" w:firstLineChars="0"/>
        <w:rPr>
          <w:b/>
          <w:sz w:val="28"/>
          <w:szCs w:val="28"/>
        </w:rPr>
      </w:pPr>
      <w:bookmarkStart w:id="174" w:name="_Toc458674270"/>
      <w:r>
        <w:rPr>
          <w:rFonts w:hint="eastAsia"/>
          <w:b/>
          <w:sz w:val="28"/>
          <w:szCs w:val="28"/>
        </w:rPr>
        <w:t>3</w:t>
      </w:r>
      <w:r>
        <w:rPr>
          <w:b/>
          <w:sz w:val="28"/>
          <w:szCs w:val="28"/>
        </w:rPr>
        <w:t>.</w:t>
      </w:r>
      <w:r>
        <w:rPr>
          <w:rFonts w:hint="eastAsia"/>
          <w:b/>
          <w:sz w:val="28"/>
          <w:szCs w:val="28"/>
        </w:rPr>
        <w:t>6</w:t>
      </w:r>
      <w:r>
        <w:rPr>
          <w:b/>
          <w:sz w:val="28"/>
          <w:szCs w:val="28"/>
        </w:rPr>
        <w:t>.5</w:t>
      </w:r>
      <w:r>
        <w:rPr>
          <w:rFonts w:hint="eastAsia"/>
          <w:b/>
          <w:sz w:val="28"/>
          <w:szCs w:val="28"/>
        </w:rPr>
        <w:t>工艺</w:t>
      </w:r>
      <w:r>
        <w:rPr>
          <w:b/>
          <w:sz w:val="28"/>
          <w:szCs w:val="28"/>
        </w:rPr>
        <w:t>设备</w:t>
      </w:r>
      <w:bookmarkEnd w:id="173"/>
      <w:bookmarkEnd w:id="174"/>
      <w:r>
        <w:rPr>
          <w:rFonts w:hint="eastAsia"/>
          <w:b/>
          <w:sz w:val="28"/>
          <w:szCs w:val="28"/>
        </w:rPr>
        <w:t>保障</w:t>
      </w:r>
    </w:p>
    <w:p>
      <w:pPr>
        <w:spacing w:line="460" w:lineRule="exact"/>
        <w:ind w:firstLine="480" w:firstLineChars="200"/>
        <w:jc w:val="left"/>
        <w:rPr>
          <w:rFonts w:cs="仿宋_GB2312" w:asciiTheme="minorEastAsia" w:hAnsiTheme="minorEastAsia" w:eastAsiaTheme="minorEastAsia"/>
          <w:kern w:val="0"/>
          <w:sz w:val="24"/>
          <w:szCs w:val="24"/>
        </w:rPr>
      </w:pPr>
      <w:r>
        <w:rPr>
          <w:rFonts w:cs="仿宋_GB2312" w:asciiTheme="minorEastAsia" w:hAnsiTheme="minorEastAsia" w:eastAsiaTheme="minorEastAsia"/>
          <w:kern w:val="0"/>
          <w:sz w:val="24"/>
          <w:szCs w:val="24"/>
        </w:rPr>
        <w:t>采用先进、成熟、可靠的工艺技术和设备，减少了“跑、冒、滴、漏”；在生产中应加强生产装置的安全管理，按国家规定的有关安全生产的规章制度进行定期检测，做到生产装置不带“病”上岗，保证不泄漏。</w:t>
      </w:r>
    </w:p>
    <w:p>
      <w:pPr>
        <w:pStyle w:val="120"/>
        <w:ind w:firstLine="0" w:firstLineChars="0"/>
        <w:rPr>
          <w:b/>
          <w:sz w:val="28"/>
          <w:szCs w:val="28"/>
        </w:rPr>
      </w:pPr>
      <w:bookmarkStart w:id="175" w:name="_Toc458674271"/>
      <w:bookmarkStart w:id="176" w:name="_Toc346872573"/>
      <w:r>
        <w:rPr>
          <w:rFonts w:hint="eastAsia"/>
          <w:b/>
          <w:sz w:val="28"/>
          <w:szCs w:val="28"/>
        </w:rPr>
        <w:t>3</w:t>
      </w:r>
      <w:r>
        <w:rPr>
          <w:b/>
          <w:sz w:val="28"/>
          <w:szCs w:val="28"/>
        </w:rPr>
        <w:t>.</w:t>
      </w:r>
      <w:r>
        <w:rPr>
          <w:rFonts w:hint="eastAsia"/>
          <w:b/>
          <w:sz w:val="28"/>
          <w:szCs w:val="28"/>
        </w:rPr>
        <w:t>6</w:t>
      </w:r>
      <w:r>
        <w:rPr>
          <w:b/>
          <w:sz w:val="28"/>
          <w:szCs w:val="28"/>
        </w:rPr>
        <w:t>.6 消防依托</w:t>
      </w:r>
      <w:bookmarkEnd w:id="175"/>
      <w:bookmarkEnd w:id="176"/>
    </w:p>
    <w:p>
      <w:pPr>
        <w:spacing w:line="460" w:lineRule="exact"/>
        <w:ind w:firstLine="480" w:firstLineChars="200"/>
        <w:jc w:val="left"/>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企业</w:t>
      </w:r>
      <w:r>
        <w:rPr>
          <w:rFonts w:cs="仿宋_GB2312" w:asciiTheme="minorEastAsia" w:hAnsiTheme="minorEastAsia" w:eastAsiaTheme="minorEastAsia"/>
          <w:kern w:val="0"/>
          <w:sz w:val="24"/>
          <w:szCs w:val="24"/>
        </w:rPr>
        <w:t>组建有自己的义务消防队，由公司当日值班人员组成。接到报警后5min能赶到现场展开应急救援工作。</w:t>
      </w:r>
    </w:p>
    <w:p>
      <w:pPr>
        <w:spacing w:line="460" w:lineRule="exact"/>
        <w:ind w:firstLine="480" w:firstLineChars="200"/>
        <w:jc w:val="left"/>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企业</w:t>
      </w:r>
      <w:r>
        <w:rPr>
          <w:rFonts w:cs="仿宋_GB2312" w:asciiTheme="minorEastAsia" w:hAnsiTheme="minorEastAsia" w:eastAsiaTheme="minorEastAsia"/>
          <w:kern w:val="0"/>
          <w:sz w:val="24"/>
          <w:szCs w:val="24"/>
        </w:rPr>
        <w:t>厂区配有符合消防要求的消火栓，并配备一定数量的干粉灭火器、消防沙箱，厂区内消防通道道路畅通。</w:t>
      </w:r>
    </w:p>
    <w:p>
      <w:pPr>
        <w:pStyle w:val="120"/>
        <w:ind w:firstLine="0" w:firstLineChars="0"/>
        <w:rPr>
          <w:b/>
          <w:sz w:val="28"/>
          <w:szCs w:val="28"/>
        </w:rPr>
      </w:pPr>
      <w:bookmarkStart w:id="177" w:name="_Toc458674272"/>
      <w:r>
        <w:rPr>
          <w:rFonts w:hint="eastAsia"/>
          <w:b/>
          <w:sz w:val="28"/>
          <w:szCs w:val="28"/>
        </w:rPr>
        <w:t>3</w:t>
      </w:r>
      <w:r>
        <w:rPr>
          <w:b/>
          <w:sz w:val="28"/>
          <w:szCs w:val="28"/>
        </w:rPr>
        <w:t>.</w:t>
      </w:r>
      <w:r>
        <w:rPr>
          <w:rFonts w:hint="eastAsia"/>
          <w:b/>
          <w:sz w:val="28"/>
          <w:szCs w:val="28"/>
        </w:rPr>
        <w:t>6</w:t>
      </w:r>
      <w:r>
        <w:rPr>
          <w:b/>
          <w:sz w:val="28"/>
          <w:szCs w:val="28"/>
        </w:rPr>
        <w:t>.7 生产管理</w:t>
      </w:r>
      <w:bookmarkEnd w:id="177"/>
    </w:p>
    <w:p>
      <w:pPr>
        <w:spacing w:line="460" w:lineRule="exact"/>
        <w:ind w:firstLine="480" w:firstLineChars="200"/>
        <w:jc w:val="left"/>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企业</w:t>
      </w:r>
      <w:r>
        <w:rPr>
          <w:rFonts w:cs="仿宋_GB2312" w:asciiTheme="minorEastAsia" w:hAnsiTheme="minorEastAsia" w:eastAsiaTheme="minorEastAsia"/>
          <w:kern w:val="0"/>
          <w:sz w:val="24"/>
          <w:szCs w:val="24"/>
        </w:rPr>
        <w:t>设置了专门的管理机构负责安全、消防和环保的管理工作，制定了完善的管理制度。每个岗位制定有相应的安全操作规程，并在车间上墙，时刻提醒工作人员规范操作。危险化学品操作人员均持证上岗，压力容器作业人员和锅炉作业人员持有特殊工种上岗证。加强对员工的安全、环保意识的教育，实行持证上岗，并配备了完善的消防设施。</w:t>
      </w:r>
    </w:p>
    <w:p>
      <w:pPr>
        <w:adjustRightInd w:val="0"/>
        <w:snapToGrid w:val="0"/>
        <w:spacing w:line="440" w:lineRule="exact"/>
        <w:jc w:val="left"/>
        <w:textAlignment w:val="center"/>
        <w:rPr>
          <w:rFonts w:asciiTheme="minorEastAsia" w:hAnsiTheme="minorEastAsia" w:eastAsiaTheme="minorEastAsia"/>
          <w:b/>
          <w:color w:val="000000"/>
          <w:sz w:val="32"/>
        </w:rPr>
      </w:pPr>
    </w:p>
    <w:p>
      <w:pPr>
        <w:adjustRightInd w:val="0"/>
        <w:snapToGrid w:val="0"/>
        <w:spacing w:line="440" w:lineRule="exact"/>
        <w:jc w:val="left"/>
        <w:textAlignment w:val="center"/>
        <w:rPr>
          <w:rFonts w:asciiTheme="minorEastAsia" w:hAnsiTheme="minorEastAsia" w:eastAsiaTheme="minorEastAsia"/>
          <w:b/>
          <w:color w:val="000000"/>
          <w:sz w:val="32"/>
        </w:rPr>
      </w:pPr>
    </w:p>
    <w:p>
      <w:pPr>
        <w:adjustRightInd w:val="0"/>
        <w:snapToGrid w:val="0"/>
        <w:spacing w:line="440" w:lineRule="exact"/>
        <w:jc w:val="left"/>
        <w:textAlignment w:val="center"/>
        <w:rPr>
          <w:rFonts w:asciiTheme="minorEastAsia" w:hAnsiTheme="minorEastAsia" w:eastAsiaTheme="minorEastAsia"/>
          <w:b/>
          <w:color w:val="000000"/>
          <w:sz w:val="32"/>
        </w:rPr>
      </w:pPr>
    </w:p>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Pr>
        <w:adjustRightInd w:val="0"/>
        <w:snapToGrid w:val="0"/>
        <w:spacing w:line="440" w:lineRule="exact"/>
        <w:jc w:val="center"/>
        <w:textAlignment w:val="center"/>
        <w:outlineLvl w:val="0"/>
        <w:rPr>
          <w:rFonts w:asciiTheme="minorEastAsia" w:hAnsiTheme="minorEastAsia" w:eastAsiaTheme="minorEastAsia"/>
          <w:b/>
          <w:color w:val="000000"/>
          <w:sz w:val="32"/>
        </w:rPr>
      </w:pPr>
      <w:bookmarkStart w:id="178" w:name="_Toc11409"/>
      <w:bookmarkStart w:id="179" w:name="_Toc25300"/>
      <w:r>
        <w:rPr>
          <w:rFonts w:asciiTheme="minorEastAsia" w:hAnsiTheme="minorEastAsia" w:eastAsiaTheme="minorEastAsia"/>
          <w:b/>
          <w:color w:val="000000"/>
          <w:sz w:val="32"/>
        </w:rPr>
        <w:t>4</w:t>
      </w:r>
      <w:r>
        <w:rPr>
          <w:rFonts w:hint="eastAsia" w:asciiTheme="minorEastAsia" w:hAnsiTheme="minorEastAsia" w:eastAsiaTheme="minorEastAsia"/>
          <w:b/>
          <w:color w:val="000000"/>
          <w:sz w:val="32"/>
        </w:rPr>
        <w:t>应急组织及职责</w:t>
      </w:r>
      <w:bookmarkEnd w:id="125"/>
      <w:bookmarkEnd w:id="126"/>
      <w:bookmarkEnd w:id="127"/>
      <w:bookmarkEnd w:id="128"/>
      <w:bookmarkEnd w:id="129"/>
      <w:bookmarkEnd w:id="130"/>
      <w:bookmarkEnd w:id="131"/>
      <w:bookmarkEnd w:id="132"/>
      <w:bookmarkEnd w:id="133"/>
      <w:bookmarkEnd w:id="134"/>
      <w:bookmarkEnd w:id="135"/>
      <w:bookmarkEnd w:id="178"/>
      <w:bookmarkEnd w:id="179"/>
    </w:p>
    <w:p>
      <w:pPr>
        <w:adjustRightInd w:val="0"/>
        <w:snapToGrid w:val="0"/>
        <w:spacing w:line="460" w:lineRule="exact"/>
        <w:outlineLvl w:val="1"/>
        <w:rPr>
          <w:rFonts w:hint="eastAsia"/>
          <w:b/>
          <w:color w:val="000000"/>
          <w:sz w:val="28"/>
          <w:szCs w:val="28"/>
        </w:rPr>
      </w:pPr>
      <w:bookmarkStart w:id="180" w:name="_Toc304963596"/>
      <w:bookmarkStart w:id="181" w:name="_Toc262050862"/>
      <w:bookmarkStart w:id="182" w:name="_Toc262051112"/>
      <w:bookmarkStart w:id="183" w:name="_Toc262051533"/>
      <w:bookmarkStart w:id="184" w:name="_Toc310581485"/>
      <w:bookmarkStart w:id="185" w:name="_Toc387131423"/>
      <w:bookmarkStart w:id="186" w:name="_Toc387131497"/>
      <w:bookmarkStart w:id="187" w:name="_Toc304833229"/>
      <w:bookmarkStart w:id="188" w:name="_Toc304962952"/>
      <w:bookmarkStart w:id="189" w:name="_Toc310580998"/>
      <w:bookmarkStart w:id="190" w:name="_Toc387131754"/>
      <w:bookmarkStart w:id="191" w:name="_Toc408274431"/>
      <w:bookmarkStart w:id="192" w:name="_Toc262040272"/>
      <w:bookmarkStart w:id="193" w:name="_Toc304964439"/>
      <w:bookmarkStart w:id="194" w:name="_Toc351103342"/>
      <w:bookmarkStart w:id="195" w:name="_Toc351319181"/>
      <w:bookmarkStart w:id="196" w:name="_Toc415254538"/>
      <w:bookmarkStart w:id="197" w:name="_Toc29068"/>
      <w:bookmarkStart w:id="198" w:name="_Toc1469"/>
      <w:bookmarkStart w:id="199" w:name="_Toc304964440"/>
      <w:bookmarkStart w:id="200" w:name="_Toc336326847"/>
      <w:bookmarkStart w:id="201" w:name="_Toc336327125"/>
      <w:bookmarkStart w:id="202" w:name="_Toc304833230"/>
      <w:bookmarkStart w:id="203" w:name="_Toc304962953"/>
      <w:bookmarkStart w:id="204" w:name="_Toc304963597"/>
      <w:r>
        <w:rPr>
          <w:rFonts w:hint="eastAsia"/>
          <w:b/>
          <w:color w:val="000000"/>
          <w:sz w:val="28"/>
          <w:szCs w:val="28"/>
        </w:rPr>
        <w:t>4.1</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r>
        <w:rPr>
          <w:rFonts w:hint="eastAsia"/>
          <w:b/>
          <w:color w:val="000000"/>
          <w:sz w:val="28"/>
          <w:szCs w:val="28"/>
        </w:rPr>
        <w:t>应急组织机构图</w:t>
      </w:r>
      <w:bookmarkEnd w:id="197"/>
      <w:bookmarkEnd w:id="198"/>
      <w:bookmarkEnd w:id="199"/>
      <w:bookmarkEnd w:id="200"/>
      <w:bookmarkEnd w:id="201"/>
      <w:bookmarkEnd w:id="202"/>
      <w:bookmarkEnd w:id="203"/>
      <w:bookmarkEnd w:id="204"/>
    </w:p>
    <w:p>
      <w:pPr>
        <w:ind w:firstLine="480"/>
        <w:jc w:val="left"/>
        <w:rPr>
          <w:rFonts w:asciiTheme="minorEastAsia" w:hAnsiTheme="minorEastAsia" w:eastAsiaTheme="minorEastAsia"/>
          <w:b/>
          <w:sz w:val="28"/>
          <w:szCs w:val="28"/>
        </w:rPr>
      </w:pPr>
      <w:r>
        <w:rPr>
          <w:rFonts w:asciiTheme="minorEastAsia" w:hAnsiTheme="minorEastAsia" w:eastAsiaTheme="minorEastAsia"/>
        </w:rPr>
        <w:pict>
          <v:group id="_x0000_s1034" o:spid="_x0000_s1034" o:spt="203" style="position:absolute;left:0pt;margin-left:23.75pt;margin-top:2.85pt;height:247.05pt;width:397pt;z-index:1024;mso-width-relative:page;mso-height-relative:page;" coordorigin="2453,1584" coordsize="6247,4305">
            <o:lock v:ext="edit"/>
            <v:rect id="Rectangle 65" o:spid="_x0000_s1035" o:spt="1" style="position:absolute;left:3823;top:4166;height:1713;width:540;" coordsize="21600,21600">
              <v:path/>
              <v:fill focussize="0,0"/>
              <v:stroke/>
              <v:imagedata o:title=""/>
              <o:lock v:ext="edit"/>
              <v:textbox>
                <w:txbxContent>
                  <w:p>
                    <w:pPr>
                      <w:pStyle w:val="193"/>
                      <w:rPr>
                        <w:rFonts w:ascii="宋体"/>
                      </w:rPr>
                    </w:pPr>
                    <w:r>
                      <w:rPr>
                        <w:rFonts w:hint="eastAsia" w:ascii="宋体" w:hAnsi="宋体"/>
                      </w:rPr>
                      <w:t>医疗救护组</w:t>
                    </w:r>
                  </w:p>
                </w:txbxContent>
              </v:textbox>
            </v:rect>
            <v:rect id="Rectangle 66" o:spid="_x0000_s1036" o:spt="1" style="position:absolute;left:5261;top:4176;height:1713;width:540;" coordsize="21600,21600">
              <v:path/>
              <v:fill focussize="0,0"/>
              <v:stroke/>
              <v:imagedata o:title=""/>
              <o:lock v:ext="edit"/>
              <v:textbox>
                <w:txbxContent>
                  <w:p>
                    <w:pPr>
                      <w:pStyle w:val="193"/>
                      <w:rPr>
                        <w:rFonts w:ascii="宋体"/>
                      </w:rPr>
                    </w:pPr>
                    <w:r>
                      <w:rPr>
                        <w:rFonts w:hint="eastAsia" w:ascii="宋体" w:hAnsi="宋体"/>
                      </w:rPr>
                      <w:t>警戒保卫组</w:t>
                    </w:r>
                  </w:p>
                </w:txbxContent>
              </v:textbox>
            </v:rect>
            <v:line id="Line 70" o:spid="_x0000_s1037" o:spt="20" style="position:absolute;left:2749;top:3759;flip:y;height:0;width:5661;" coordsize="21600,21600">
              <v:path arrowok="t"/>
              <v:fill focussize="0,0"/>
              <v:stroke/>
              <v:imagedata o:title=""/>
              <o:lock v:ext="edit"/>
            </v:line>
            <v:line id="Line 74" o:spid="_x0000_s1038" o:spt="20" style="position:absolute;left:5546;top:3755;height:421;width:1;" coordsize="21600,21600">
              <v:path arrowok="t"/>
              <v:fill focussize="0,0"/>
              <v:stroke endarrow="block"/>
              <v:imagedata o:title=""/>
              <o:lock v:ext="edit"/>
            </v:line>
            <v:line id="Line 75" o:spid="_x0000_s1039" o:spt="20" style="position:absolute;left:4073;top:3755;height:404;width:1;" coordsize="21600,21600">
              <v:path arrowok="t"/>
              <v:fill focussize="0,0"/>
              <v:stroke endarrow="block"/>
              <v:imagedata o:title=""/>
              <o:lock v:ext="edit"/>
            </v:line>
            <v:line id="Line 76" o:spid="_x0000_s1040" o:spt="20" style="position:absolute;left:2741;top:3755;height:421;width:1;" coordsize="21600,21600">
              <v:path arrowok="t"/>
              <v:fill focussize="0,0"/>
              <v:stroke endarrow="block"/>
              <v:imagedata o:title=""/>
              <o:lock v:ext="edit"/>
            </v:line>
            <v:line id="Line 79" o:spid="_x0000_s1041" o:spt="20" style="position:absolute;left:6972;top:3753;height:398;width:1;" coordsize="21600,21600">
              <v:path arrowok="t"/>
              <v:fill focussize="0,0"/>
              <v:stroke endarrow="block"/>
              <v:imagedata o:title=""/>
              <o:lock v:ext="edit"/>
            </v:line>
            <v:line id="Line 80" o:spid="_x0000_s1042" o:spt="20" style="position:absolute;left:8409;top:3742;height:409;width:1;" coordsize="21600,21600">
              <v:path arrowok="t"/>
              <v:fill focussize="0,0"/>
              <v:stroke endarrow="block"/>
              <v:imagedata o:title=""/>
              <o:lock v:ext="edit"/>
            </v:line>
            <v:rect id="Rectangle 87" o:spid="_x0000_s1043" o:spt="1" style="position:absolute;left:4176;top:1584;height:583;width:2728;" coordsize="21600,21600">
              <v:path/>
              <v:fill focussize="0,0"/>
              <v:stroke/>
              <v:imagedata o:title=""/>
              <o:lock v:ext="edit"/>
              <v:textbox>
                <w:txbxContent>
                  <w:p>
                    <w:pPr>
                      <w:pStyle w:val="193"/>
                      <w:rPr>
                        <w:rFonts w:ascii="宋体"/>
                      </w:rPr>
                    </w:pPr>
                    <w:r>
                      <w:rPr>
                        <w:rFonts w:ascii="宋体" w:hAnsi="宋体"/>
                      </w:rPr>
                      <w:t xml:space="preserve"> </w:t>
                    </w:r>
                    <w:r>
                      <w:rPr>
                        <w:rFonts w:hint="eastAsia" w:ascii="宋体" w:hAnsi="宋体"/>
                      </w:rPr>
                      <w:t>公司应急救援总指挥部</w:t>
                    </w:r>
                  </w:p>
                </w:txbxContent>
              </v:textbox>
            </v:rect>
            <v:rect id="Rectangle 88" o:spid="_x0000_s1044" o:spt="1" style="position:absolute;left:4222;top:2807;height:572;width:2682;" coordsize="21600,21600">
              <v:path/>
              <v:fill focussize="0,0"/>
              <v:stroke/>
              <v:imagedata o:title=""/>
              <o:lock v:ext="edit"/>
              <v:textbox>
                <w:txbxContent>
                  <w:p>
                    <w:pPr>
                      <w:pStyle w:val="193"/>
                      <w:rPr>
                        <w:rFonts w:ascii="宋体"/>
                      </w:rPr>
                    </w:pPr>
                    <w:r>
                      <w:rPr>
                        <w:rFonts w:ascii="宋体" w:hAnsi="宋体"/>
                      </w:rPr>
                      <w:t xml:space="preserve"> </w:t>
                    </w:r>
                    <w:r>
                      <w:rPr>
                        <w:rFonts w:hint="eastAsia" w:ascii="宋体" w:hAnsi="宋体"/>
                      </w:rPr>
                      <w:t>公司应急救援办公室</w:t>
                    </w:r>
                  </w:p>
                </w:txbxContent>
              </v:textbox>
            </v:rect>
            <v:rect id="Rectangle 92" o:spid="_x0000_s1045" o:spt="1" style="position:absolute;left:2453;top:4159;height:1720;width:540;" coordsize="21600,21600">
              <v:path/>
              <v:fill focussize="0,0"/>
              <v:stroke/>
              <v:imagedata o:title=""/>
              <o:lock v:ext="edit"/>
              <v:textbox>
                <w:txbxContent>
                  <w:p>
                    <w:pPr>
                      <w:pStyle w:val="193"/>
                      <w:rPr>
                        <w:rFonts w:ascii="宋体"/>
                      </w:rPr>
                    </w:pPr>
                    <w:r>
                      <w:rPr>
                        <w:rFonts w:hint="eastAsia" w:ascii="宋体" w:hAnsi="宋体"/>
                      </w:rPr>
                      <w:t>抢险救灾组</w:t>
                    </w:r>
                  </w:p>
                </w:txbxContent>
              </v:textbox>
            </v:rect>
            <v:rect id="Rectangle 94" o:spid="_x0000_s1046" o:spt="1" style="position:absolute;left:8160;top:4180;height:1697;width:540;" coordsize="21600,21600">
              <v:path/>
              <v:fill focussize="0,0"/>
              <v:stroke/>
              <v:imagedata o:title=""/>
              <o:lock v:ext="edit"/>
              <v:textbox>
                <w:txbxContent>
                  <w:p>
                    <w:pPr>
                      <w:pStyle w:val="193"/>
                      <w:rPr>
                        <w:rFonts w:ascii="宋体"/>
                      </w:rPr>
                    </w:pPr>
                    <w:r>
                      <w:rPr>
                        <w:rFonts w:hint="eastAsia" w:ascii="宋体" w:hAnsi="宋体"/>
                      </w:rPr>
                      <w:t>综合协调组</w:t>
                    </w:r>
                  </w:p>
                </w:txbxContent>
              </v:textbox>
            </v:rect>
            <v:rect id="Rectangle 95" o:spid="_x0000_s1047" o:spt="1" style="position:absolute;left:6740;top:4177;height:1702;width:540;" coordsize="21600,21600">
              <v:path/>
              <v:fill focussize="0,0"/>
              <v:stroke/>
              <v:imagedata o:title=""/>
              <o:lock v:ext="edit"/>
              <v:textbox>
                <w:txbxContent>
                  <w:p>
                    <w:pPr>
                      <w:pStyle w:val="193"/>
                      <w:rPr>
                        <w:rFonts w:ascii="宋体"/>
                      </w:rPr>
                    </w:pPr>
                    <w:r>
                      <w:rPr>
                        <w:rFonts w:hint="eastAsia" w:ascii="宋体" w:hAnsi="宋体"/>
                      </w:rPr>
                      <w:t>环境监测组</w:t>
                    </w:r>
                  </w:p>
                </w:txbxContent>
              </v:textbox>
            </v:rect>
            <v:line id="Line 98" o:spid="_x0000_s1048" o:spt="20" style="position:absolute;left:5553;top:2167;height:453;width:1;" coordsize="21600,21600">
              <v:path arrowok="t"/>
              <v:fill focussize="0,0"/>
              <v:stroke endarrow="block"/>
              <v:imagedata o:title=""/>
              <o:lock v:ext="edit"/>
            </v:line>
          </v:group>
        </w:pict>
      </w:r>
      <w:r>
        <w:rPr>
          <w:rFonts w:asciiTheme="minorEastAsia" w:hAnsiTheme="minorEastAsia" w:eastAsiaTheme="minorEastAsia"/>
        </w:rPr>
        <w:pict>
          <v:shape id="_x0000_s1049" o:spid="_x0000_s1049" o:spt="32" type="#_x0000_t32" style="position:absolute;left:0pt;flip:x;margin-left:220.8pt;margin-top:106pt;height:20.85pt;width:0.1pt;z-index:1024;mso-width-relative:page;mso-height-relative:page;" o:connectortype="straight" filled="f" coordsize="21600,21600">
            <v:path arrowok="t"/>
            <v:fill on="f" focussize="0,0"/>
            <v:stroke endarrow="block"/>
            <v:imagedata o:title=""/>
            <o:lock v:ext="edit"/>
          </v:shape>
        </w:pict>
      </w:r>
    </w:p>
    <w:p>
      <w:pPr>
        <w:ind w:firstLine="560"/>
        <w:jc w:val="left"/>
        <w:rPr>
          <w:rFonts w:asciiTheme="minorEastAsia" w:hAnsiTheme="minorEastAsia" w:eastAsiaTheme="minorEastAsia"/>
          <w:sz w:val="28"/>
          <w:szCs w:val="28"/>
        </w:rPr>
      </w:pPr>
    </w:p>
    <w:p>
      <w:pPr>
        <w:ind w:firstLine="560"/>
        <w:jc w:val="left"/>
        <w:rPr>
          <w:rFonts w:asciiTheme="minorEastAsia" w:hAnsiTheme="minorEastAsia" w:eastAsiaTheme="minorEastAsia"/>
          <w:sz w:val="28"/>
          <w:szCs w:val="28"/>
        </w:rPr>
      </w:pPr>
    </w:p>
    <w:p>
      <w:pPr>
        <w:ind w:firstLine="560"/>
        <w:jc w:val="left"/>
        <w:rPr>
          <w:rFonts w:asciiTheme="minorEastAsia" w:hAnsiTheme="minorEastAsia" w:eastAsiaTheme="minorEastAsia"/>
          <w:sz w:val="28"/>
          <w:szCs w:val="28"/>
        </w:rPr>
      </w:pPr>
    </w:p>
    <w:p>
      <w:pPr>
        <w:ind w:firstLine="560"/>
        <w:jc w:val="left"/>
        <w:rPr>
          <w:rFonts w:asciiTheme="minorEastAsia" w:hAnsiTheme="minorEastAsia" w:eastAsiaTheme="minorEastAsia"/>
          <w:sz w:val="28"/>
          <w:szCs w:val="28"/>
        </w:rPr>
      </w:pPr>
    </w:p>
    <w:p>
      <w:pPr>
        <w:ind w:firstLine="560"/>
        <w:jc w:val="left"/>
        <w:rPr>
          <w:rFonts w:asciiTheme="minorEastAsia" w:hAnsiTheme="minorEastAsia" w:eastAsiaTheme="minorEastAsia"/>
          <w:sz w:val="28"/>
          <w:szCs w:val="28"/>
        </w:rPr>
      </w:pPr>
    </w:p>
    <w:p>
      <w:pPr>
        <w:ind w:firstLine="560"/>
        <w:jc w:val="left"/>
        <w:rPr>
          <w:rFonts w:asciiTheme="minorEastAsia" w:hAnsiTheme="minorEastAsia" w:eastAsiaTheme="minorEastAsia"/>
          <w:sz w:val="28"/>
          <w:szCs w:val="28"/>
        </w:rPr>
      </w:pPr>
    </w:p>
    <w:p>
      <w:pPr>
        <w:ind w:firstLine="560"/>
        <w:jc w:val="left"/>
        <w:rPr>
          <w:rFonts w:asciiTheme="minorEastAsia" w:hAnsiTheme="minorEastAsia" w:eastAsiaTheme="minorEastAsia"/>
          <w:sz w:val="28"/>
          <w:szCs w:val="28"/>
        </w:rPr>
      </w:pPr>
    </w:p>
    <w:p>
      <w:pPr>
        <w:spacing w:line="460" w:lineRule="exact"/>
        <w:ind w:left="1560" w:hanging="1560" w:hangingChars="650"/>
        <w:jc w:val="left"/>
        <w:rPr>
          <w:rFonts w:cs="楷体" w:asciiTheme="minorEastAsia" w:hAnsiTheme="minorEastAsia" w:eastAsiaTheme="minorEastAsia"/>
          <w:sz w:val="24"/>
          <w:szCs w:val="24"/>
        </w:rPr>
      </w:pPr>
    </w:p>
    <w:p>
      <w:pPr>
        <w:adjustRightInd w:val="0"/>
        <w:snapToGrid w:val="0"/>
        <w:spacing w:line="460" w:lineRule="exact"/>
        <w:outlineLvl w:val="1"/>
        <w:rPr>
          <w:rFonts w:hint="eastAsia"/>
          <w:b/>
          <w:color w:val="000000"/>
          <w:sz w:val="28"/>
          <w:szCs w:val="28"/>
        </w:rPr>
      </w:pPr>
      <w:bookmarkStart w:id="205" w:name="_Toc28311"/>
      <w:r>
        <w:rPr>
          <w:rFonts w:hint="eastAsia"/>
          <w:b/>
          <w:color w:val="000000"/>
          <w:sz w:val="28"/>
          <w:szCs w:val="28"/>
        </w:rPr>
        <w:t>4.2组织机构成员名单</w:t>
      </w:r>
      <w:bookmarkEnd w:id="205"/>
    </w:p>
    <w:p>
      <w:pPr>
        <w:pStyle w:val="4"/>
        <w:spacing w:line="46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表</w:t>
      </w:r>
      <w:r>
        <w:rPr>
          <w:rFonts w:asciiTheme="minorEastAsia" w:hAnsiTheme="minorEastAsia" w:eastAsiaTheme="minorEastAsia"/>
          <w:sz w:val="24"/>
          <w:szCs w:val="24"/>
        </w:rPr>
        <w:t>4.2-1</w:t>
      </w:r>
      <w:r>
        <w:rPr>
          <w:rFonts w:hint="eastAsia" w:asciiTheme="minorEastAsia" w:hAnsiTheme="minorEastAsia" w:eastAsiaTheme="minorEastAsia"/>
          <w:sz w:val="24"/>
          <w:szCs w:val="24"/>
        </w:rPr>
        <w:t>现有应急救援队伍情况一览表</w:t>
      </w:r>
    </w:p>
    <w:tbl>
      <w:tblPr>
        <w:tblStyle w:val="54"/>
        <w:tblW w:w="8961" w:type="dxa"/>
        <w:tblInd w:w="0" w:type="dxa"/>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1559"/>
        <w:gridCol w:w="1985"/>
        <w:gridCol w:w="2126"/>
        <w:gridCol w:w="2254"/>
      </w:tblGrid>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1037" w:type="dxa"/>
            <w:tcBorders>
              <w:top w:val="thinThickSmallGap" w:color="auto" w:sz="18" w:space="0"/>
            </w:tcBorders>
          </w:tcPr>
          <w:p>
            <w:pPr>
              <w:pStyle w:val="193"/>
              <w:spacing w:line="460" w:lineRule="exact"/>
              <w:rPr>
                <w:rFonts w:asciiTheme="minorEastAsia" w:hAnsiTheme="minorEastAsia" w:eastAsiaTheme="minorEastAsia"/>
                <w:sz w:val="21"/>
                <w:szCs w:val="21"/>
              </w:rPr>
            </w:pPr>
            <w:r>
              <w:rPr>
                <w:rFonts w:hint="eastAsia" w:asciiTheme="minorEastAsia" w:hAnsiTheme="minorEastAsia" w:eastAsiaTheme="minorEastAsia"/>
                <w:sz w:val="21"/>
                <w:szCs w:val="21"/>
              </w:rPr>
              <w:t>序号</w:t>
            </w:r>
          </w:p>
        </w:tc>
        <w:tc>
          <w:tcPr>
            <w:tcW w:w="1559" w:type="dxa"/>
            <w:tcBorders>
              <w:top w:val="thinThickSmallGap" w:color="auto" w:sz="18" w:space="0"/>
            </w:tcBorders>
            <w:vAlign w:val="center"/>
          </w:tcPr>
          <w:p>
            <w:pPr>
              <w:pStyle w:val="193"/>
              <w:spacing w:line="460" w:lineRule="exact"/>
              <w:rPr>
                <w:rFonts w:asciiTheme="minorEastAsia" w:hAnsiTheme="minorEastAsia" w:eastAsiaTheme="minorEastAsia"/>
                <w:sz w:val="21"/>
                <w:szCs w:val="21"/>
              </w:rPr>
            </w:pPr>
            <w:r>
              <w:rPr>
                <w:rFonts w:hint="eastAsia" w:asciiTheme="minorEastAsia" w:hAnsiTheme="minorEastAsia" w:eastAsiaTheme="minorEastAsia"/>
                <w:sz w:val="21"/>
                <w:szCs w:val="21"/>
              </w:rPr>
              <w:t>姓名</w:t>
            </w:r>
          </w:p>
        </w:tc>
        <w:tc>
          <w:tcPr>
            <w:tcW w:w="1985" w:type="dxa"/>
            <w:tcBorders>
              <w:top w:val="thinThickSmallGap" w:color="auto" w:sz="18" w:space="0"/>
            </w:tcBorders>
            <w:vAlign w:val="center"/>
          </w:tcPr>
          <w:p>
            <w:pPr>
              <w:pStyle w:val="193"/>
              <w:spacing w:line="460" w:lineRule="exact"/>
              <w:rPr>
                <w:rFonts w:asciiTheme="minorEastAsia" w:hAnsiTheme="minorEastAsia" w:eastAsiaTheme="minorEastAsia"/>
                <w:sz w:val="21"/>
                <w:szCs w:val="21"/>
              </w:rPr>
            </w:pPr>
            <w:r>
              <w:rPr>
                <w:rFonts w:hint="eastAsia" w:asciiTheme="minorEastAsia" w:hAnsiTheme="minorEastAsia" w:eastAsiaTheme="minorEastAsia"/>
                <w:sz w:val="21"/>
                <w:szCs w:val="21"/>
              </w:rPr>
              <w:t>应急职务</w:t>
            </w:r>
          </w:p>
        </w:tc>
        <w:tc>
          <w:tcPr>
            <w:tcW w:w="2126" w:type="dxa"/>
            <w:tcBorders>
              <w:top w:val="thinThickSmallGap" w:color="auto" w:sz="18" w:space="0"/>
            </w:tcBorders>
            <w:vAlign w:val="center"/>
          </w:tcPr>
          <w:p>
            <w:pPr>
              <w:pStyle w:val="193"/>
              <w:spacing w:line="460" w:lineRule="exact"/>
              <w:rPr>
                <w:rFonts w:asciiTheme="minorEastAsia" w:hAnsiTheme="minorEastAsia" w:eastAsiaTheme="minorEastAsia"/>
                <w:sz w:val="21"/>
                <w:szCs w:val="21"/>
              </w:rPr>
            </w:pPr>
            <w:r>
              <w:rPr>
                <w:rFonts w:hint="eastAsia" w:asciiTheme="minorEastAsia" w:hAnsiTheme="minorEastAsia" w:eastAsiaTheme="minorEastAsia"/>
                <w:sz w:val="21"/>
                <w:szCs w:val="21"/>
              </w:rPr>
              <w:t>公司职位</w:t>
            </w:r>
          </w:p>
        </w:tc>
        <w:tc>
          <w:tcPr>
            <w:tcW w:w="2254" w:type="dxa"/>
            <w:tcBorders>
              <w:top w:val="thinThickSmallGap" w:color="auto" w:sz="18" w:space="0"/>
            </w:tcBorders>
            <w:vAlign w:val="center"/>
          </w:tcPr>
          <w:p>
            <w:pPr>
              <w:pStyle w:val="193"/>
              <w:spacing w:line="460" w:lineRule="exact"/>
              <w:rPr>
                <w:rFonts w:asciiTheme="minorEastAsia" w:hAnsiTheme="minorEastAsia" w:eastAsiaTheme="minorEastAsia"/>
                <w:sz w:val="21"/>
                <w:szCs w:val="21"/>
              </w:rPr>
            </w:pPr>
            <w:r>
              <w:rPr>
                <w:rFonts w:hint="eastAsia" w:asciiTheme="minorEastAsia" w:hAnsiTheme="minorEastAsia" w:eastAsiaTheme="minorEastAsia"/>
                <w:sz w:val="21"/>
                <w:szCs w:val="21"/>
              </w:rPr>
              <w:t>手机</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8961" w:type="dxa"/>
            <w:gridSpan w:val="5"/>
            <w:tcBorders>
              <w:top w:val="thinThickSmallGap" w:color="auto" w:sz="18" w:space="0"/>
            </w:tcBorders>
            <w:vAlign w:val="center"/>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楷体" w:asciiTheme="minorEastAsia" w:hAnsiTheme="minorEastAsia" w:eastAsiaTheme="minorEastAsia"/>
                <w:bCs/>
                <w:szCs w:val="21"/>
              </w:rPr>
              <w:t>应急指挥部</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trPr>
        <w:tc>
          <w:tcPr>
            <w:tcW w:w="1037" w:type="dxa"/>
            <w:vAlign w:val="center"/>
          </w:tcPr>
          <w:p>
            <w:pPr>
              <w:pStyle w:val="193"/>
              <w:spacing w:line="460" w:lineRule="exact"/>
              <w:rPr>
                <w:rFonts w:asciiTheme="minorEastAsia" w:hAnsiTheme="minorEastAsia" w:eastAsiaTheme="minorEastAsia"/>
                <w:sz w:val="21"/>
                <w:szCs w:val="21"/>
              </w:rPr>
            </w:pPr>
            <w:r>
              <w:rPr>
                <w:rFonts w:hint="eastAsia" w:asciiTheme="minorEastAsia" w:hAnsiTheme="minorEastAsia" w:eastAsiaTheme="minorEastAsia"/>
                <w:sz w:val="21"/>
                <w:szCs w:val="21"/>
              </w:rPr>
              <w:t>1</w:t>
            </w:r>
          </w:p>
        </w:tc>
        <w:tc>
          <w:tcPr>
            <w:tcW w:w="1559" w:type="dxa"/>
            <w:vAlign w:val="center"/>
          </w:tcPr>
          <w:p>
            <w:pPr>
              <w:autoSpaceDE w:val="0"/>
              <w:autoSpaceDN w:val="0"/>
              <w:spacing w:line="40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况敬良</w:t>
            </w:r>
          </w:p>
        </w:tc>
        <w:tc>
          <w:tcPr>
            <w:tcW w:w="1985" w:type="dxa"/>
            <w:vAlign w:val="center"/>
          </w:tcPr>
          <w:p>
            <w:pPr>
              <w:autoSpaceDE w:val="0"/>
              <w:autoSpaceDN w:val="0"/>
              <w:spacing w:line="400" w:lineRule="exact"/>
              <w:jc w:val="center"/>
              <w:rPr>
                <w:rFonts w:asciiTheme="minorEastAsia" w:hAnsiTheme="minorEastAsia" w:eastAsiaTheme="minorEastAsia"/>
                <w:szCs w:val="21"/>
              </w:rPr>
            </w:pPr>
            <w:r>
              <w:rPr>
                <w:rFonts w:hint="eastAsia" w:asciiTheme="minorEastAsia" w:hAnsiTheme="minorEastAsia" w:eastAsiaTheme="minorEastAsia"/>
                <w:szCs w:val="21"/>
              </w:rPr>
              <w:t>总经理</w:t>
            </w:r>
          </w:p>
        </w:tc>
        <w:tc>
          <w:tcPr>
            <w:tcW w:w="2126" w:type="dxa"/>
            <w:vAlign w:val="center"/>
          </w:tcPr>
          <w:p>
            <w:pPr>
              <w:autoSpaceDE w:val="0"/>
              <w:autoSpaceDN w:val="0"/>
              <w:spacing w:line="40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组长</w:t>
            </w:r>
          </w:p>
        </w:tc>
        <w:tc>
          <w:tcPr>
            <w:tcW w:w="2254" w:type="dxa"/>
            <w:vAlign w:val="center"/>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18983330040</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trPr>
        <w:tc>
          <w:tcPr>
            <w:tcW w:w="1037" w:type="dxa"/>
            <w:vAlign w:val="center"/>
          </w:tcPr>
          <w:p>
            <w:pPr>
              <w:pStyle w:val="193"/>
              <w:spacing w:line="460" w:lineRule="exact"/>
              <w:rPr>
                <w:rFonts w:asciiTheme="minorEastAsia" w:hAnsiTheme="minorEastAsia" w:eastAsiaTheme="minorEastAsia"/>
                <w:sz w:val="21"/>
                <w:szCs w:val="21"/>
              </w:rPr>
            </w:pPr>
            <w:r>
              <w:rPr>
                <w:rFonts w:hint="eastAsia" w:asciiTheme="minorEastAsia" w:hAnsiTheme="minorEastAsia" w:eastAsiaTheme="minorEastAsia"/>
                <w:sz w:val="21"/>
                <w:szCs w:val="21"/>
              </w:rPr>
              <w:t>2</w:t>
            </w:r>
          </w:p>
        </w:tc>
        <w:tc>
          <w:tcPr>
            <w:tcW w:w="1559" w:type="dxa"/>
            <w:vAlign w:val="center"/>
          </w:tcPr>
          <w:p>
            <w:pPr>
              <w:autoSpaceDE w:val="0"/>
              <w:autoSpaceDN w:val="0"/>
              <w:spacing w:line="40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秦廷伟</w:t>
            </w:r>
          </w:p>
        </w:tc>
        <w:tc>
          <w:tcPr>
            <w:tcW w:w="1985" w:type="dxa"/>
            <w:vAlign w:val="center"/>
          </w:tcPr>
          <w:p>
            <w:pPr>
              <w:autoSpaceDE w:val="0"/>
              <w:autoSpaceDN w:val="0"/>
              <w:spacing w:line="400" w:lineRule="exact"/>
              <w:jc w:val="center"/>
              <w:rPr>
                <w:rFonts w:asciiTheme="minorEastAsia" w:hAnsiTheme="minorEastAsia" w:eastAsiaTheme="minorEastAsia"/>
                <w:szCs w:val="21"/>
              </w:rPr>
            </w:pPr>
            <w:r>
              <w:rPr>
                <w:rFonts w:hint="eastAsia" w:asciiTheme="minorEastAsia" w:hAnsiTheme="minorEastAsia" w:eastAsiaTheme="minorEastAsia"/>
                <w:szCs w:val="21"/>
              </w:rPr>
              <w:t>副经理</w:t>
            </w:r>
          </w:p>
        </w:tc>
        <w:tc>
          <w:tcPr>
            <w:tcW w:w="2126" w:type="dxa"/>
            <w:vAlign w:val="center"/>
          </w:tcPr>
          <w:p>
            <w:pPr>
              <w:autoSpaceDE w:val="0"/>
              <w:autoSpaceDN w:val="0"/>
              <w:spacing w:line="40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副组长</w:t>
            </w:r>
          </w:p>
        </w:tc>
        <w:tc>
          <w:tcPr>
            <w:tcW w:w="2254" w:type="dxa"/>
            <w:vAlign w:val="center"/>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13996798479</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trPr>
        <w:tc>
          <w:tcPr>
            <w:tcW w:w="1037" w:type="dxa"/>
            <w:vAlign w:val="center"/>
          </w:tcPr>
          <w:p>
            <w:pPr>
              <w:pStyle w:val="193"/>
              <w:spacing w:line="460" w:lineRule="exact"/>
              <w:rPr>
                <w:rFonts w:asciiTheme="minorEastAsia" w:hAnsiTheme="minorEastAsia" w:eastAsiaTheme="minorEastAsia"/>
                <w:sz w:val="21"/>
                <w:szCs w:val="21"/>
              </w:rPr>
            </w:pPr>
            <w:r>
              <w:rPr>
                <w:rFonts w:hint="eastAsia" w:asciiTheme="minorEastAsia" w:hAnsiTheme="minorEastAsia" w:eastAsiaTheme="minorEastAsia"/>
                <w:sz w:val="21"/>
                <w:szCs w:val="21"/>
              </w:rPr>
              <w:t>3</w:t>
            </w:r>
          </w:p>
        </w:tc>
        <w:tc>
          <w:tcPr>
            <w:tcW w:w="1559" w:type="dxa"/>
            <w:vAlign w:val="center"/>
          </w:tcPr>
          <w:p>
            <w:pPr>
              <w:autoSpaceDE w:val="0"/>
              <w:autoSpaceDN w:val="0"/>
              <w:spacing w:line="400" w:lineRule="exact"/>
              <w:jc w:val="center"/>
              <w:rPr>
                <w:rFonts w:asciiTheme="minorEastAsia" w:hAnsiTheme="minorEastAsia" w:eastAsiaTheme="minorEastAsia"/>
                <w:szCs w:val="21"/>
              </w:rPr>
            </w:pPr>
            <w:r>
              <w:rPr>
                <w:rFonts w:hint="eastAsia" w:asciiTheme="minorEastAsia" w:hAnsiTheme="minorEastAsia" w:eastAsiaTheme="minorEastAsia"/>
                <w:szCs w:val="21"/>
              </w:rPr>
              <w:t>蒲传友</w:t>
            </w:r>
          </w:p>
        </w:tc>
        <w:tc>
          <w:tcPr>
            <w:tcW w:w="1985" w:type="dxa"/>
            <w:vAlign w:val="center"/>
          </w:tcPr>
          <w:p>
            <w:pPr>
              <w:autoSpaceDE w:val="0"/>
              <w:autoSpaceDN w:val="0"/>
              <w:spacing w:line="400" w:lineRule="exact"/>
              <w:jc w:val="center"/>
              <w:rPr>
                <w:rFonts w:asciiTheme="minorEastAsia" w:hAnsiTheme="minorEastAsia" w:eastAsiaTheme="minorEastAsia"/>
                <w:szCs w:val="21"/>
              </w:rPr>
            </w:pPr>
            <w:r>
              <w:rPr>
                <w:rFonts w:hint="eastAsia" w:asciiTheme="minorEastAsia" w:hAnsiTheme="minorEastAsia" w:eastAsiaTheme="minorEastAsia"/>
                <w:szCs w:val="21"/>
              </w:rPr>
              <w:t>副经理</w:t>
            </w:r>
          </w:p>
        </w:tc>
        <w:tc>
          <w:tcPr>
            <w:tcW w:w="2126" w:type="dxa"/>
            <w:vAlign w:val="center"/>
          </w:tcPr>
          <w:p>
            <w:pPr>
              <w:autoSpaceDE w:val="0"/>
              <w:autoSpaceDN w:val="0"/>
              <w:spacing w:line="40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副组长</w:t>
            </w:r>
          </w:p>
        </w:tc>
        <w:tc>
          <w:tcPr>
            <w:tcW w:w="2254" w:type="dxa"/>
            <w:vAlign w:val="center"/>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13609469333</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PrEx>
        <w:trPr>
          <w:trHeight w:val="453" w:hRule="atLeast"/>
        </w:trPr>
        <w:tc>
          <w:tcPr>
            <w:tcW w:w="1037" w:type="dxa"/>
            <w:vAlign w:val="center"/>
          </w:tcPr>
          <w:p>
            <w:pPr>
              <w:autoSpaceDE w:val="0"/>
              <w:autoSpaceDN w:val="0"/>
              <w:spacing w:line="400" w:lineRule="exact"/>
              <w:jc w:val="center"/>
              <w:rPr>
                <w:rFonts w:asciiTheme="minorEastAsia" w:hAnsiTheme="minorEastAsia" w:eastAsiaTheme="minorEastAsia"/>
                <w:szCs w:val="21"/>
              </w:rPr>
            </w:pPr>
            <w:r>
              <w:rPr>
                <w:rFonts w:hint="eastAsia" w:asciiTheme="minorEastAsia" w:hAnsiTheme="minorEastAsia" w:eastAsiaTheme="minorEastAsia"/>
                <w:szCs w:val="21"/>
              </w:rPr>
              <w:t>4</w:t>
            </w:r>
          </w:p>
        </w:tc>
        <w:tc>
          <w:tcPr>
            <w:tcW w:w="1559" w:type="dxa"/>
            <w:vAlign w:val="center"/>
          </w:tcPr>
          <w:p>
            <w:pPr>
              <w:autoSpaceDE w:val="0"/>
              <w:autoSpaceDN w:val="0"/>
              <w:spacing w:line="40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操准</w:t>
            </w:r>
          </w:p>
        </w:tc>
        <w:tc>
          <w:tcPr>
            <w:tcW w:w="1985" w:type="dxa"/>
            <w:vAlign w:val="center"/>
          </w:tcPr>
          <w:p>
            <w:pPr>
              <w:autoSpaceDE w:val="0"/>
              <w:autoSpaceDN w:val="0"/>
              <w:spacing w:line="400" w:lineRule="exact"/>
              <w:jc w:val="center"/>
              <w:rPr>
                <w:rFonts w:asciiTheme="minorEastAsia" w:hAnsiTheme="minorEastAsia" w:eastAsiaTheme="minorEastAsia"/>
                <w:szCs w:val="21"/>
              </w:rPr>
            </w:pPr>
            <w:r>
              <w:rPr>
                <w:rFonts w:hint="eastAsia" w:asciiTheme="minorEastAsia" w:hAnsiTheme="minorEastAsia" w:eastAsiaTheme="minorEastAsia"/>
                <w:szCs w:val="21"/>
              </w:rPr>
              <w:t>安全生产部部长</w:t>
            </w:r>
          </w:p>
        </w:tc>
        <w:tc>
          <w:tcPr>
            <w:tcW w:w="2126" w:type="dxa"/>
            <w:vAlign w:val="center"/>
          </w:tcPr>
          <w:p>
            <w:pPr>
              <w:autoSpaceDE w:val="0"/>
              <w:autoSpaceDN w:val="0"/>
              <w:spacing w:line="40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成员</w:t>
            </w:r>
          </w:p>
        </w:tc>
        <w:tc>
          <w:tcPr>
            <w:tcW w:w="2254" w:type="dxa"/>
            <w:vAlign w:val="center"/>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18623512227</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trPr>
        <w:tc>
          <w:tcPr>
            <w:tcW w:w="1037" w:type="dxa"/>
            <w:vAlign w:val="center"/>
          </w:tcPr>
          <w:p>
            <w:pPr>
              <w:autoSpaceDE w:val="0"/>
              <w:autoSpaceDN w:val="0"/>
              <w:spacing w:line="40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5</w:t>
            </w:r>
          </w:p>
        </w:tc>
        <w:tc>
          <w:tcPr>
            <w:tcW w:w="1559" w:type="dxa"/>
            <w:vAlign w:val="center"/>
          </w:tcPr>
          <w:p>
            <w:pPr>
              <w:autoSpaceDE w:val="0"/>
              <w:autoSpaceDN w:val="0"/>
              <w:spacing w:line="40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陶建华</w:t>
            </w:r>
          </w:p>
        </w:tc>
        <w:tc>
          <w:tcPr>
            <w:tcW w:w="1985" w:type="dxa"/>
            <w:vAlign w:val="center"/>
          </w:tcPr>
          <w:p>
            <w:pPr>
              <w:autoSpaceDE w:val="0"/>
              <w:autoSpaceDN w:val="0"/>
              <w:spacing w:line="400" w:lineRule="exact"/>
              <w:jc w:val="center"/>
              <w:rPr>
                <w:rFonts w:asciiTheme="minorEastAsia" w:hAnsiTheme="minorEastAsia" w:eastAsiaTheme="minorEastAsia"/>
                <w:szCs w:val="21"/>
              </w:rPr>
            </w:pPr>
            <w:r>
              <w:rPr>
                <w:rFonts w:hint="eastAsia" w:asciiTheme="minorEastAsia" w:hAnsiTheme="minorEastAsia" w:eastAsiaTheme="minorEastAsia"/>
                <w:szCs w:val="21"/>
              </w:rPr>
              <w:t>厂长（龙桥）</w:t>
            </w:r>
          </w:p>
        </w:tc>
        <w:tc>
          <w:tcPr>
            <w:tcW w:w="2126" w:type="dxa"/>
            <w:vAlign w:val="center"/>
          </w:tcPr>
          <w:p>
            <w:pPr>
              <w:autoSpaceDE w:val="0"/>
              <w:autoSpaceDN w:val="0"/>
              <w:spacing w:line="40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成员</w:t>
            </w:r>
          </w:p>
        </w:tc>
        <w:tc>
          <w:tcPr>
            <w:tcW w:w="2254" w:type="dxa"/>
            <w:vAlign w:val="center"/>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13896666788</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trPr>
        <w:tc>
          <w:tcPr>
            <w:tcW w:w="1037"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6</w:t>
            </w:r>
          </w:p>
        </w:tc>
        <w:tc>
          <w:tcPr>
            <w:tcW w:w="1559" w:type="dxa"/>
            <w:vAlign w:val="center"/>
          </w:tcPr>
          <w:p>
            <w:pPr>
              <w:autoSpaceDE w:val="0"/>
              <w:autoSpaceDN w:val="0"/>
              <w:spacing w:line="40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杜平兴</w:t>
            </w:r>
          </w:p>
        </w:tc>
        <w:tc>
          <w:tcPr>
            <w:tcW w:w="1985" w:type="dxa"/>
            <w:vAlign w:val="center"/>
          </w:tcPr>
          <w:p>
            <w:pPr>
              <w:autoSpaceDE w:val="0"/>
              <w:autoSpaceDN w:val="0"/>
              <w:jc w:val="center"/>
              <w:rPr>
                <w:rFonts w:asciiTheme="minorEastAsia" w:hAnsiTheme="minorEastAsia" w:eastAsiaTheme="minorEastAsia"/>
                <w:szCs w:val="21"/>
              </w:rPr>
            </w:pPr>
            <w:r>
              <w:rPr>
                <w:rFonts w:hint="eastAsia" w:asciiTheme="minorEastAsia" w:hAnsiTheme="minorEastAsia" w:eastAsiaTheme="minorEastAsia"/>
                <w:szCs w:val="21"/>
              </w:rPr>
              <w:t>运营维修部部长</w:t>
            </w:r>
          </w:p>
        </w:tc>
        <w:tc>
          <w:tcPr>
            <w:tcW w:w="2126" w:type="dxa"/>
            <w:vAlign w:val="center"/>
          </w:tcPr>
          <w:p>
            <w:pPr>
              <w:autoSpaceDE w:val="0"/>
              <w:autoSpaceDN w:val="0"/>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成员</w:t>
            </w:r>
          </w:p>
        </w:tc>
        <w:tc>
          <w:tcPr>
            <w:tcW w:w="2254" w:type="dxa"/>
            <w:vAlign w:val="center"/>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18996720968</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trPr>
        <w:tc>
          <w:tcPr>
            <w:tcW w:w="1037"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asciiTheme="minorEastAsia" w:hAnsiTheme="minorEastAsia" w:eastAsiaTheme="minorEastAsia"/>
                <w:szCs w:val="21"/>
              </w:rPr>
              <w:t>7</w:t>
            </w:r>
          </w:p>
        </w:tc>
        <w:tc>
          <w:tcPr>
            <w:tcW w:w="1559" w:type="dxa"/>
            <w:vAlign w:val="center"/>
          </w:tcPr>
          <w:p>
            <w:pPr>
              <w:autoSpaceDE w:val="0"/>
              <w:autoSpaceDN w:val="0"/>
              <w:spacing w:line="40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谭郑</w:t>
            </w:r>
          </w:p>
        </w:tc>
        <w:tc>
          <w:tcPr>
            <w:tcW w:w="1985" w:type="dxa"/>
            <w:vAlign w:val="center"/>
          </w:tcPr>
          <w:p>
            <w:pPr>
              <w:autoSpaceDE w:val="0"/>
              <w:autoSpaceDN w:val="0"/>
              <w:jc w:val="center"/>
              <w:rPr>
                <w:rFonts w:asciiTheme="minorEastAsia" w:hAnsiTheme="minorEastAsia" w:eastAsiaTheme="minorEastAsia"/>
                <w:szCs w:val="21"/>
              </w:rPr>
            </w:pPr>
            <w:r>
              <w:rPr>
                <w:rFonts w:hint="eastAsia" w:asciiTheme="minorEastAsia" w:hAnsiTheme="minorEastAsia" w:eastAsiaTheme="minorEastAsia"/>
                <w:szCs w:val="21"/>
              </w:rPr>
              <w:t>运营维修部副部长</w:t>
            </w:r>
          </w:p>
        </w:tc>
        <w:tc>
          <w:tcPr>
            <w:tcW w:w="2126" w:type="dxa"/>
            <w:vAlign w:val="center"/>
          </w:tcPr>
          <w:p>
            <w:pPr>
              <w:autoSpaceDE w:val="0"/>
              <w:autoSpaceDN w:val="0"/>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成员</w:t>
            </w:r>
          </w:p>
        </w:tc>
        <w:tc>
          <w:tcPr>
            <w:tcW w:w="2254" w:type="dxa"/>
            <w:vAlign w:val="center"/>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18323891818</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trPr>
        <w:tc>
          <w:tcPr>
            <w:tcW w:w="1037"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8</w:t>
            </w:r>
          </w:p>
        </w:tc>
        <w:tc>
          <w:tcPr>
            <w:tcW w:w="1559" w:type="dxa"/>
            <w:vAlign w:val="center"/>
          </w:tcPr>
          <w:p>
            <w:pPr>
              <w:autoSpaceDE w:val="0"/>
              <w:autoSpaceDN w:val="0"/>
              <w:spacing w:line="400" w:lineRule="exact"/>
              <w:jc w:val="center"/>
              <w:rPr>
                <w:rFonts w:asciiTheme="minorEastAsia" w:hAnsiTheme="minorEastAsia" w:eastAsiaTheme="minorEastAsia"/>
                <w:szCs w:val="21"/>
              </w:rPr>
            </w:pPr>
            <w:r>
              <w:rPr>
                <w:rFonts w:hint="eastAsia" w:asciiTheme="minorEastAsia" w:hAnsiTheme="minorEastAsia" w:eastAsiaTheme="minorEastAsia"/>
                <w:szCs w:val="21"/>
              </w:rPr>
              <w:t>葛娅</w:t>
            </w:r>
          </w:p>
        </w:tc>
        <w:tc>
          <w:tcPr>
            <w:tcW w:w="1985" w:type="dxa"/>
            <w:vAlign w:val="center"/>
          </w:tcPr>
          <w:p>
            <w:pPr>
              <w:autoSpaceDE w:val="0"/>
              <w:autoSpaceDN w:val="0"/>
              <w:jc w:val="center"/>
              <w:rPr>
                <w:rFonts w:asciiTheme="minorEastAsia" w:hAnsiTheme="minorEastAsia" w:eastAsiaTheme="minorEastAsia"/>
                <w:szCs w:val="21"/>
              </w:rPr>
            </w:pPr>
            <w:r>
              <w:rPr>
                <w:rFonts w:hint="eastAsia" w:asciiTheme="minorEastAsia" w:hAnsiTheme="minorEastAsia" w:eastAsiaTheme="minorEastAsia"/>
                <w:szCs w:val="21"/>
              </w:rPr>
              <w:t>综合部部长</w:t>
            </w:r>
          </w:p>
        </w:tc>
        <w:tc>
          <w:tcPr>
            <w:tcW w:w="2126" w:type="dxa"/>
            <w:vAlign w:val="center"/>
          </w:tcPr>
          <w:p>
            <w:pPr>
              <w:autoSpaceDE w:val="0"/>
              <w:autoSpaceDN w:val="0"/>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成员</w:t>
            </w:r>
          </w:p>
        </w:tc>
        <w:tc>
          <w:tcPr>
            <w:tcW w:w="2254" w:type="dxa"/>
            <w:vAlign w:val="center"/>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13594697440</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trPr>
        <w:tc>
          <w:tcPr>
            <w:tcW w:w="1037"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9</w:t>
            </w:r>
          </w:p>
        </w:tc>
        <w:tc>
          <w:tcPr>
            <w:tcW w:w="1559" w:type="dxa"/>
          </w:tcPr>
          <w:p>
            <w:pPr>
              <w:autoSpaceDE w:val="0"/>
              <w:autoSpaceDN w:val="0"/>
              <w:spacing w:line="460" w:lineRule="exact"/>
              <w:jc w:val="center"/>
              <w:rPr>
                <w:rFonts w:cs="??_GB2312" w:asciiTheme="minorEastAsia" w:hAnsiTheme="minorEastAsia" w:eastAsiaTheme="minorEastAsia"/>
                <w:szCs w:val="21"/>
                <w:lang w:val="zh-CN"/>
              </w:rPr>
            </w:pPr>
            <w:r>
              <w:rPr>
                <w:rFonts w:hint="eastAsia" w:cs="??_GB2312" w:asciiTheme="minorEastAsia" w:hAnsiTheme="minorEastAsia" w:eastAsiaTheme="minorEastAsia"/>
                <w:szCs w:val="21"/>
                <w:lang w:val="zh-CN"/>
              </w:rPr>
              <w:t>罗雯予</w:t>
            </w:r>
          </w:p>
        </w:tc>
        <w:tc>
          <w:tcPr>
            <w:tcW w:w="1985" w:type="dxa"/>
          </w:tcPr>
          <w:p>
            <w:pPr>
              <w:autoSpaceDE w:val="0"/>
              <w:autoSpaceDN w:val="0"/>
              <w:spacing w:line="460" w:lineRule="exact"/>
              <w:jc w:val="center"/>
              <w:rPr>
                <w:rFonts w:cs="??_GB2312" w:asciiTheme="minorEastAsia" w:hAnsiTheme="minorEastAsia" w:eastAsiaTheme="minorEastAsia"/>
                <w:szCs w:val="21"/>
                <w:lang w:val="zh-CN"/>
              </w:rPr>
            </w:pPr>
            <w:r>
              <w:rPr>
                <w:rFonts w:hint="eastAsia" w:asciiTheme="minorEastAsia" w:hAnsiTheme="minorEastAsia" w:eastAsiaTheme="minorEastAsia"/>
                <w:szCs w:val="21"/>
              </w:rPr>
              <w:t>综合部副部长</w:t>
            </w:r>
          </w:p>
        </w:tc>
        <w:tc>
          <w:tcPr>
            <w:tcW w:w="2126" w:type="dxa"/>
          </w:tcPr>
          <w:p>
            <w:pPr>
              <w:autoSpaceDE w:val="0"/>
              <w:autoSpaceDN w:val="0"/>
              <w:spacing w:line="460" w:lineRule="exact"/>
              <w:jc w:val="center"/>
              <w:rPr>
                <w:rFonts w:cs="??_GB2312" w:asciiTheme="minorEastAsia" w:hAnsiTheme="minorEastAsia" w:eastAsiaTheme="minorEastAsia"/>
                <w:szCs w:val="21"/>
                <w:lang w:val="zh-CN"/>
              </w:rPr>
            </w:pPr>
            <w:r>
              <w:rPr>
                <w:rFonts w:hint="eastAsia" w:cs="??_GB2312" w:asciiTheme="minorEastAsia" w:hAnsiTheme="minorEastAsia" w:eastAsiaTheme="minorEastAsia"/>
                <w:szCs w:val="21"/>
                <w:lang w:val="zh-CN"/>
              </w:rPr>
              <w:t>成员</w:t>
            </w:r>
          </w:p>
        </w:tc>
        <w:tc>
          <w:tcPr>
            <w:tcW w:w="2254" w:type="dxa"/>
          </w:tcPr>
          <w:p>
            <w:pPr>
              <w:autoSpaceDE w:val="0"/>
              <w:autoSpaceDN w:val="0"/>
              <w:spacing w:line="460" w:lineRule="exact"/>
              <w:jc w:val="center"/>
              <w:rPr>
                <w:rFonts w:cs="??_GB2312" w:asciiTheme="minorEastAsia" w:hAnsiTheme="minorEastAsia" w:eastAsiaTheme="minorEastAsia"/>
                <w:szCs w:val="21"/>
              </w:rPr>
            </w:pPr>
            <w:r>
              <w:rPr>
                <w:rFonts w:hint="eastAsia" w:cs="??_GB2312" w:asciiTheme="minorEastAsia" w:hAnsiTheme="minorEastAsia" w:eastAsiaTheme="minorEastAsia"/>
                <w:szCs w:val="21"/>
              </w:rPr>
              <w:t>15923693457</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PrEx>
        <w:trPr>
          <w:trHeight w:val="453" w:hRule="atLeast"/>
        </w:trPr>
        <w:tc>
          <w:tcPr>
            <w:tcW w:w="1037"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asciiTheme="minorEastAsia" w:hAnsiTheme="minorEastAsia" w:eastAsiaTheme="minorEastAsia"/>
                <w:szCs w:val="21"/>
              </w:rPr>
              <w:t>10</w:t>
            </w:r>
          </w:p>
        </w:tc>
        <w:tc>
          <w:tcPr>
            <w:tcW w:w="1559" w:type="dxa"/>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况鳗洋</w:t>
            </w:r>
          </w:p>
        </w:tc>
        <w:tc>
          <w:tcPr>
            <w:tcW w:w="1985" w:type="dxa"/>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化验中心主任</w:t>
            </w:r>
          </w:p>
        </w:tc>
        <w:tc>
          <w:tcPr>
            <w:tcW w:w="2126" w:type="dxa"/>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成员</w:t>
            </w:r>
          </w:p>
        </w:tc>
        <w:tc>
          <w:tcPr>
            <w:tcW w:w="2254" w:type="dxa"/>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15025632100</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trPr>
        <w:tc>
          <w:tcPr>
            <w:tcW w:w="8961" w:type="dxa"/>
            <w:gridSpan w:val="5"/>
            <w:vAlign w:val="center"/>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宋体" w:asciiTheme="minorEastAsia" w:hAnsiTheme="minorEastAsia" w:eastAsiaTheme="minorEastAsia"/>
                <w:kern w:val="0"/>
                <w:szCs w:val="21"/>
              </w:rPr>
              <w:t>抢险救灾组</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11</w:t>
            </w:r>
          </w:p>
        </w:tc>
        <w:tc>
          <w:tcPr>
            <w:tcW w:w="1559" w:type="dxa"/>
            <w:vAlign w:val="center"/>
          </w:tcPr>
          <w:p>
            <w:pPr>
              <w:autoSpaceDE w:val="0"/>
              <w:autoSpaceDN w:val="0"/>
              <w:spacing w:line="40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杜平兴</w:t>
            </w:r>
          </w:p>
        </w:tc>
        <w:tc>
          <w:tcPr>
            <w:tcW w:w="1985" w:type="dxa"/>
            <w:vAlign w:val="center"/>
          </w:tcPr>
          <w:p>
            <w:pPr>
              <w:autoSpaceDE w:val="0"/>
              <w:autoSpaceDN w:val="0"/>
              <w:jc w:val="center"/>
              <w:rPr>
                <w:rFonts w:asciiTheme="minorEastAsia" w:hAnsiTheme="minorEastAsia" w:eastAsiaTheme="minorEastAsia"/>
                <w:szCs w:val="21"/>
              </w:rPr>
            </w:pPr>
            <w:r>
              <w:rPr>
                <w:rFonts w:hint="eastAsia" w:asciiTheme="minorEastAsia" w:hAnsiTheme="minorEastAsia" w:eastAsiaTheme="minorEastAsia"/>
                <w:szCs w:val="21"/>
              </w:rPr>
              <w:t>运营维修部部长</w:t>
            </w:r>
          </w:p>
        </w:tc>
        <w:tc>
          <w:tcPr>
            <w:tcW w:w="2126" w:type="dxa"/>
            <w:vAlign w:val="center"/>
          </w:tcPr>
          <w:p>
            <w:pPr>
              <w:autoSpaceDE w:val="0"/>
              <w:autoSpaceDN w:val="0"/>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组长</w:t>
            </w:r>
          </w:p>
        </w:tc>
        <w:tc>
          <w:tcPr>
            <w:tcW w:w="2254" w:type="dxa"/>
            <w:vAlign w:val="center"/>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18996720968</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trPr>
        <w:tc>
          <w:tcPr>
            <w:tcW w:w="1037"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12</w:t>
            </w:r>
          </w:p>
        </w:tc>
        <w:tc>
          <w:tcPr>
            <w:tcW w:w="1559" w:type="dxa"/>
            <w:vAlign w:val="center"/>
          </w:tcPr>
          <w:p>
            <w:pPr>
              <w:autoSpaceDE w:val="0"/>
              <w:autoSpaceDN w:val="0"/>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谭郑</w:t>
            </w:r>
          </w:p>
        </w:tc>
        <w:tc>
          <w:tcPr>
            <w:tcW w:w="1985"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运营维修部副部长</w:t>
            </w:r>
          </w:p>
        </w:tc>
        <w:tc>
          <w:tcPr>
            <w:tcW w:w="2126" w:type="dxa"/>
            <w:vAlign w:val="center"/>
          </w:tcPr>
          <w:p>
            <w:pPr>
              <w:autoSpaceDE w:val="0"/>
              <w:autoSpaceDN w:val="0"/>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成员</w:t>
            </w:r>
          </w:p>
        </w:tc>
        <w:tc>
          <w:tcPr>
            <w:tcW w:w="2254"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18323891818</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trPr>
        <w:tc>
          <w:tcPr>
            <w:tcW w:w="1037"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13</w:t>
            </w:r>
          </w:p>
        </w:tc>
        <w:tc>
          <w:tcPr>
            <w:tcW w:w="1559" w:type="dxa"/>
            <w:vAlign w:val="center"/>
          </w:tcPr>
          <w:p>
            <w:pPr>
              <w:autoSpaceDE w:val="0"/>
              <w:autoSpaceDN w:val="0"/>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冉家豪</w:t>
            </w:r>
          </w:p>
        </w:tc>
        <w:tc>
          <w:tcPr>
            <w:tcW w:w="1985"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职员</w:t>
            </w:r>
          </w:p>
        </w:tc>
        <w:tc>
          <w:tcPr>
            <w:tcW w:w="2126"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成员</w:t>
            </w:r>
          </w:p>
        </w:tc>
        <w:tc>
          <w:tcPr>
            <w:tcW w:w="2254"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15978998799</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trPr>
        <w:tc>
          <w:tcPr>
            <w:tcW w:w="1037"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14</w:t>
            </w:r>
          </w:p>
        </w:tc>
        <w:tc>
          <w:tcPr>
            <w:tcW w:w="1559" w:type="dxa"/>
            <w:vAlign w:val="center"/>
          </w:tcPr>
          <w:p>
            <w:pPr>
              <w:autoSpaceDE w:val="0"/>
              <w:autoSpaceDN w:val="0"/>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钱祥波</w:t>
            </w:r>
          </w:p>
        </w:tc>
        <w:tc>
          <w:tcPr>
            <w:tcW w:w="1985"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职员</w:t>
            </w:r>
          </w:p>
        </w:tc>
        <w:tc>
          <w:tcPr>
            <w:tcW w:w="2126"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asciiTheme="minorEastAsia" w:hAnsiTheme="minorEastAsia" w:eastAsiaTheme="minorEastAsia"/>
                <w:szCs w:val="21"/>
              </w:rPr>
              <w:t>成员</w:t>
            </w:r>
          </w:p>
        </w:tc>
        <w:tc>
          <w:tcPr>
            <w:tcW w:w="2254"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15025655051</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PrEx>
        <w:trPr>
          <w:trHeight w:val="453" w:hRule="atLeast"/>
        </w:trPr>
        <w:tc>
          <w:tcPr>
            <w:tcW w:w="1037"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asciiTheme="minorEastAsia" w:hAnsiTheme="minorEastAsia" w:eastAsiaTheme="minorEastAsia"/>
                <w:szCs w:val="21"/>
              </w:rPr>
              <w:t>15</w:t>
            </w:r>
          </w:p>
        </w:tc>
        <w:tc>
          <w:tcPr>
            <w:tcW w:w="1559" w:type="dxa"/>
            <w:vAlign w:val="center"/>
          </w:tcPr>
          <w:p>
            <w:pPr>
              <w:autoSpaceDE w:val="0"/>
              <w:autoSpaceDN w:val="0"/>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薛文</w:t>
            </w:r>
          </w:p>
        </w:tc>
        <w:tc>
          <w:tcPr>
            <w:tcW w:w="1985"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职员</w:t>
            </w:r>
          </w:p>
        </w:tc>
        <w:tc>
          <w:tcPr>
            <w:tcW w:w="2126" w:type="dxa"/>
          </w:tcPr>
          <w:p>
            <w:pPr>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成员</w:t>
            </w:r>
          </w:p>
        </w:tc>
        <w:tc>
          <w:tcPr>
            <w:tcW w:w="2254"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18983338287</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trPr>
        <w:tc>
          <w:tcPr>
            <w:tcW w:w="1037"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asciiTheme="minorEastAsia" w:hAnsiTheme="minorEastAsia" w:eastAsiaTheme="minorEastAsia"/>
                <w:szCs w:val="21"/>
              </w:rPr>
              <w:t>16</w:t>
            </w:r>
          </w:p>
        </w:tc>
        <w:tc>
          <w:tcPr>
            <w:tcW w:w="1559" w:type="dxa"/>
            <w:vAlign w:val="center"/>
          </w:tcPr>
          <w:p>
            <w:pPr>
              <w:autoSpaceDE w:val="0"/>
              <w:autoSpaceDN w:val="0"/>
              <w:spacing w:line="460" w:lineRule="exact"/>
              <w:jc w:val="center"/>
              <w:rPr>
                <w:rFonts w:cs="??_GB2312" w:asciiTheme="minorEastAsia" w:hAnsiTheme="minorEastAsia" w:eastAsiaTheme="minorEastAsia"/>
                <w:kern w:val="0"/>
                <w:szCs w:val="21"/>
                <w:lang w:val="zh-CN"/>
              </w:rPr>
            </w:pPr>
            <w:r>
              <w:rPr>
                <w:rFonts w:hint="eastAsia" w:cs="??_GB2312" w:asciiTheme="minorEastAsia" w:hAnsiTheme="minorEastAsia" w:eastAsiaTheme="minorEastAsia"/>
                <w:kern w:val="0"/>
                <w:szCs w:val="21"/>
                <w:lang w:val="zh-CN"/>
              </w:rPr>
              <w:t>李小峰</w:t>
            </w:r>
          </w:p>
        </w:tc>
        <w:tc>
          <w:tcPr>
            <w:tcW w:w="1985" w:type="dxa"/>
            <w:vAlign w:val="center"/>
          </w:tcPr>
          <w:p>
            <w:pPr>
              <w:spacing w:line="460" w:lineRule="exact"/>
              <w:jc w:val="center"/>
              <w:rPr>
                <w:rFonts w:asciiTheme="minorEastAsia" w:hAnsiTheme="minorEastAsia" w:eastAsiaTheme="minorEastAsia"/>
                <w:szCs w:val="21"/>
              </w:rPr>
            </w:pPr>
            <w:r>
              <w:rPr>
                <w:rFonts w:hint="eastAsia" w:cs="??_GB2312" w:asciiTheme="minorEastAsia" w:hAnsiTheme="minorEastAsia" w:eastAsiaTheme="minorEastAsia"/>
                <w:szCs w:val="21"/>
                <w:lang w:val="zh-CN"/>
              </w:rPr>
              <w:t>职员</w:t>
            </w:r>
          </w:p>
        </w:tc>
        <w:tc>
          <w:tcPr>
            <w:tcW w:w="2126" w:type="dxa"/>
            <w:vAlign w:val="center"/>
          </w:tcPr>
          <w:p>
            <w:pPr>
              <w:spacing w:line="460" w:lineRule="exact"/>
              <w:jc w:val="center"/>
              <w:rPr>
                <w:rFonts w:asciiTheme="minorEastAsia" w:hAnsiTheme="minorEastAsia" w:eastAsiaTheme="minorEastAsia"/>
                <w:szCs w:val="21"/>
              </w:rPr>
            </w:pPr>
            <w:r>
              <w:rPr>
                <w:rFonts w:hint="eastAsia" w:cs="??_GB2312" w:asciiTheme="minorEastAsia" w:hAnsiTheme="minorEastAsia" w:eastAsiaTheme="minorEastAsia"/>
                <w:szCs w:val="21"/>
                <w:lang w:val="zh-CN"/>
              </w:rPr>
              <w:t>成员</w:t>
            </w:r>
          </w:p>
        </w:tc>
        <w:tc>
          <w:tcPr>
            <w:tcW w:w="2254" w:type="dxa"/>
            <w:vAlign w:val="center"/>
          </w:tcPr>
          <w:p>
            <w:pPr>
              <w:autoSpaceDE w:val="0"/>
              <w:autoSpaceDN w:val="0"/>
              <w:spacing w:line="460" w:lineRule="exact"/>
              <w:jc w:val="center"/>
              <w:rPr>
                <w:rFonts w:cs="??_GB2312" w:asciiTheme="minorEastAsia" w:hAnsiTheme="minorEastAsia" w:eastAsiaTheme="minorEastAsia"/>
                <w:szCs w:val="21"/>
              </w:rPr>
            </w:pPr>
            <w:r>
              <w:rPr>
                <w:rFonts w:hint="eastAsia" w:cs="??_GB2312" w:asciiTheme="minorEastAsia" w:hAnsiTheme="minorEastAsia" w:eastAsiaTheme="minorEastAsia"/>
                <w:szCs w:val="21"/>
              </w:rPr>
              <w:t>13594585786</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trPr>
        <w:tc>
          <w:tcPr>
            <w:tcW w:w="8961" w:type="dxa"/>
            <w:gridSpan w:val="5"/>
            <w:vAlign w:val="center"/>
          </w:tcPr>
          <w:p>
            <w:pPr>
              <w:autoSpaceDE w:val="0"/>
              <w:autoSpaceDN w:val="0"/>
              <w:spacing w:line="460" w:lineRule="exact"/>
              <w:ind w:firstLine="420"/>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医疗救护组</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17</w:t>
            </w:r>
          </w:p>
        </w:tc>
        <w:tc>
          <w:tcPr>
            <w:tcW w:w="1559" w:type="dxa"/>
          </w:tcPr>
          <w:p>
            <w:pPr>
              <w:autoSpaceDE w:val="0"/>
              <w:autoSpaceDN w:val="0"/>
              <w:spacing w:line="460" w:lineRule="exact"/>
              <w:jc w:val="center"/>
              <w:rPr>
                <w:rFonts w:cs="??_GB2312" w:asciiTheme="minorEastAsia" w:hAnsiTheme="minorEastAsia" w:eastAsiaTheme="minorEastAsia"/>
                <w:szCs w:val="21"/>
                <w:lang w:val="zh-CN"/>
              </w:rPr>
            </w:pPr>
            <w:r>
              <w:rPr>
                <w:rFonts w:hint="eastAsia" w:cs="??_GB2312" w:asciiTheme="minorEastAsia" w:hAnsiTheme="minorEastAsia" w:eastAsiaTheme="minorEastAsia"/>
                <w:szCs w:val="21"/>
                <w:lang w:val="zh-CN"/>
              </w:rPr>
              <w:t>罗雯予</w:t>
            </w:r>
          </w:p>
        </w:tc>
        <w:tc>
          <w:tcPr>
            <w:tcW w:w="1985" w:type="dxa"/>
          </w:tcPr>
          <w:p>
            <w:pPr>
              <w:autoSpaceDE w:val="0"/>
              <w:autoSpaceDN w:val="0"/>
              <w:spacing w:line="460" w:lineRule="exact"/>
              <w:jc w:val="center"/>
              <w:rPr>
                <w:rFonts w:cs="??_GB2312" w:asciiTheme="minorEastAsia" w:hAnsiTheme="minorEastAsia" w:eastAsiaTheme="minorEastAsia"/>
                <w:szCs w:val="21"/>
                <w:lang w:val="zh-CN"/>
              </w:rPr>
            </w:pPr>
            <w:r>
              <w:rPr>
                <w:rFonts w:hint="eastAsia" w:asciiTheme="minorEastAsia" w:hAnsiTheme="minorEastAsia" w:eastAsiaTheme="minorEastAsia"/>
                <w:szCs w:val="21"/>
              </w:rPr>
              <w:t>综合部副部长</w:t>
            </w:r>
          </w:p>
        </w:tc>
        <w:tc>
          <w:tcPr>
            <w:tcW w:w="2126" w:type="dxa"/>
          </w:tcPr>
          <w:p>
            <w:pPr>
              <w:autoSpaceDE w:val="0"/>
              <w:autoSpaceDN w:val="0"/>
              <w:spacing w:line="460" w:lineRule="exact"/>
              <w:jc w:val="center"/>
              <w:rPr>
                <w:rFonts w:cs="??_GB2312" w:asciiTheme="minorEastAsia" w:hAnsiTheme="minorEastAsia" w:eastAsiaTheme="minorEastAsia"/>
                <w:szCs w:val="21"/>
                <w:lang w:val="zh-CN"/>
              </w:rPr>
            </w:pPr>
            <w:r>
              <w:rPr>
                <w:rFonts w:hint="eastAsia" w:cs="??_GB2312" w:asciiTheme="minorEastAsia" w:hAnsiTheme="minorEastAsia" w:eastAsiaTheme="minorEastAsia"/>
                <w:szCs w:val="21"/>
                <w:lang w:val="zh-CN"/>
              </w:rPr>
              <w:t>组长</w:t>
            </w:r>
          </w:p>
        </w:tc>
        <w:tc>
          <w:tcPr>
            <w:tcW w:w="2254" w:type="dxa"/>
          </w:tcPr>
          <w:p>
            <w:pPr>
              <w:autoSpaceDE w:val="0"/>
              <w:autoSpaceDN w:val="0"/>
              <w:spacing w:line="460" w:lineRule="exact"/>
              <w:jc w:val="center"/>
              <w:rPr>
                <w:rFonts w:cs="??_GB2312" w:asciiTheme="minorEastAsia" w:hAnsiTheme="minorEastAsia" w:eastAsiaTheme="minorEastAsia"/>
                <w:szCs w:val="21"/>
              </w:rPr>
            </w:pPr>
            <w:r>
              <w:rPr>
                <w:rFonts w:hint="eastAsia" w:cs="??_GB2312" w:asciiTheme="minorEastAsia" w:hAnsiTheme="minorEastAsia" w:eastAsiaTheme="minorEastAsia"/>
                <w:szCs w:val="21"/>
              </w:rPr>
              <w:t>15923693457</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18</w:t>
            </w:r>
          </w:p>
        </w:tc>
        <w:tc>
          <w:tcPr>
            <w:tcW w:w="1559" w:type="dxa"/>
            <w:vAlign w:val="center"/>
          </w:tcPr>
          <w:p>
            <w:pPr>
              <w:autoSpaceDE w:val="0"/>
              <w:autoSpaceDN w:val="0"/>
              <w:spacing w:line="460" w:lineRule="exact"/>
              <w:jc w:val="center"/>
              <w:rPr>
                <w:rFonts w:asciiTheme="minorEastAsia" w:hAnsiTheme="minorEastAsia" w:eastAsiaTheme="minorEastAsia"/>
                <w:szCs w:val="21"/>
              </w:rPr>
            </w:pPr>
            <w:r>
              <w:rPr>
                <w:rFonts w:hint="eastAsia" w:cs="??_GB2312" w:asciiTheme="minorEastAsia" w:hAnsiTheme="minorEastAsia" w:eastAsiaTheme="minorEastAsia"/>
                <w:szCs w:val="21"/>
              </w:rPr>
              <w:t>廖黎立</w:t>
            </w:r>
          </w:p>
        </w:tc>
        <w:tc>
          <w:tcPr>
            <w:tcW w:w="1985" w:type="dxa"/>
            <w:vAlign w:val="center"/>
          </w:tcPr>
          <w:p>
            <w:pPr>
              <w:spacing w:line="460" w:lineRule="exact"/>
              <w:jc w:val="center"/>
              <w:rPr>
                <w:rFonts w:cs="??_GB2312" w:asciiTheme="minorEastAsia" w:hAnsiTheme="minorEastAsia" w:eastAsiaTheme="minorEastAsia"/>
                <w:szCs w:val="21"/>
                <w:lang w:val="zh-CN"/>
              </w:rPr>
            </w:pPr>
            <w:r>
              <w:rPr>
                <w:rFonts w:hint="eastAsia" w:cs="??_GB2312" w:asciiTheme="minorEastAsia" w:hAnsiTheme="minorEastAsia" w:eastAsiaTheme="minorEastAsia"/>
                <w:szCs w:val="21"/>
                <w:lang w:val="zh-CN"/>
              </w:rPr>
              <w:t>职员</w:t>
            </w:r>
          </w:p>
        </w:tc>
        <w:tc>
          <w:tcPr>
            <w:tcW w:w="2126" w:type="dxa"/>
            <w:vAlign w:val="center"/>
          </w:tcPr>
          <w:p>
            <w:pPr>
              <w:spacing w:line="460" w:lineRule="exact"/>
              <w:jc w:val="center"/>
              <w:rPr>
                <w:rFonts w:asciiTheme="minorEastAsia" w:hAnsiTheme="minorEastAsia" w:eastAsiaTheme="minorEastAsia"/>
                <w:szCs w:val="21"/>
              </w:rPr>
            </w:pPr>
            <w:r>
              <w:rPr>
                <w:rFonts w:hint="eastAsia" w:cs="??_GB2312" w:asciiTheme="minorEastAsia" w:hAnsiTheme="minorEastAsia" w:eastAsiaTheme="minorEastAsia"/>
                <w:szCs w:val="21"/>
                <w:lang w:val="zh-CN"/>
              </w:rPr>
              <w:t>成员</w:t>
            </w:r>
          </w:p>
        </w:tc>
        <w:tc>
          <w:tcPr>
            <w:tcW w:w="2254" w:type="dxa"/>
            <w:vAlign w:val="center"/>
          </w:tcPr>
          <w:p>
            <w:pPr>
              <w:autoSpaceDE w:val="0"/>
              <w:autoSpaceDN w:val="0"/>
              <w:spacing w:line="460" w:lineRule="exact"/>
              <w:jc w:val="center"/>
              <w:rPr>
                <w:rFonts w:cs="??_GB2312" w:asciiTheme="minorEastAsia" w:hAnsiTheme="minorEastAsia" w:eastAsiaTheme="minorEastAsia"/>
                <w:szCs w:val="21"/>
                <w:lang w:val="zh-CN"/>
              </w:rPr>
            </w:pPr>
            <w:r>
              <w:rPr>
                <w:rFonts w:hint="eastAsia" w:cs="??_GB2312" w:asciiTheme="minorEastAsia" w:hAnsiTheme="minorEastAsia" w:eastAsiaTheme="minorEastAsia"/>
                <w:szCs w:val="21"/>
                <w:lang w:val="zh-CN"/>
              </w:rPr>
              <w:t>13372786906</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19</w:t>
            </w:r>
          </w:p>
        </w:tc>
        <w:tc>
          <w:tcPr>
            <w:tcW w:w="1559" w:type="dxa"/>
            <w:vAlign w:val="center"/>
          </w:tcPr>
          <w:p>
            <w:pPr>
              <w:autoSpaceDE w:val="0"/>
              <w:autoSpaceDN w:val="0"/>
              <w:spacing w:line="460" w:lineRule="exact"/>
              <w:jc w:val="center"/>
              <w:rPr>
                <w:rFonts w:cs="仿宋_GB2312" w:asciiTheme="minorEastAsia" w:hAnsiTheme="minorEastAsia" w:eastAsiaTheme="minorEastAsia"/>
                <w:kern w:val="0"/>
                <w:szCs w:val="21"/>
                <w:lang w:val="zh-CN"/>
              </w:rPr>
            </w:pPr>
            <w:r>
              <w:rPr>
                <w:rFonts w:hint="eastAsia" w:cs="仿宋_GB2312" w:asciiTheme="minorEastAsia" w:hAnsiTheme="minorEastAsia" w:eastAsiaTheme="minorEastAsia"/>
                <w:kern w:val="0"/>
                <w:szCs w:val="21"/>
              </w:rPr>
              <w:t>张毅</w:t>
            </w:r>
          </w:p>
        </w:tc>
        <w:tc>
          <w:tcPr>
            <w:tcW w:w="1985" w:type="dxa"/>
          </w:tcPr>
          <w:p>
            <w:pPr>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职员</w:t>
            </w:r>
          </w:p>
        </w:tc>
        <w:tc>
          <w:tcPr>
            <w:tcW w:w="2126" w:type="dxa"/>
          </w:tcPr>
          <w:p>
            <w:pPr>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成员</w:t>
            </w:r>
          </w:p>
        </w:tc>
        <w:tc>
          <w:tcPr>
            <w:tcW w:w="2254"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13594522854</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PrEx>
        <w:trPr>
          <w:trHeight w:val="453" w:hRule="atLeast"/>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20</w:t>
            </w:r>
          </w:p>
        </w:tc>
        <w:tc>
          <w:tcPr>
            <w:tcW w:w="1559" w:type="dxa"/>
            <w:vAlign w:val="center"/>
          </w:tcPr>
          <w:p>
            <w:pPr>
              <w:spacing w:line="460" w:lineRule="exact"/>
              <w:jc w:val="center"/>
              <w:rPr>
                <w:rFonts w:cs="楷体" w:asciiTheme="minorEastAsia" w:hAnsiTheme="minorEastAsia" w:eastAsiaTheme="minorEastAsia"/>
                <w:szCs w:val="21"/>
              </w:rPr>
            </w:pPr>
            <w:r>
              <w:rPr>
                <w:rFonts w:hint="eastAsia" w:cs="仿宋_GB2312" w:asciiTheme="minorEastAsia" w:hAnsiTheme="minorEastAsia" w:eastAsiaTheme="minorEastAsia"/>
                <w:kern w:val="0"/>
                <w:szCs w:val="21"/>
              </w:rPr>
              <w:t>杜魏</w:t>
            </w:r>
          </w:p>
        </w:tc>
        <w:tc>
          <w:tcPr>
            <w:tcW w:w="1985" w:type="dxa"/>
          </w:tcPr>
          <w:p>
            <w:pPr>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职员</w:t>
            </w:r>
          </w:p>
        </w:tc>
        <w:tc>
          <w:tcPr>
            <w:tcW w:w="2126" w:type="dxa"/>
          </w:tcPr>
          <w:p>
            <w:pPr>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成员</w:t>
            </w:r>
          </w:p>
        </w:tc>
        <w:tc>
          <w:tcPr>
            <w:tcW w:w="2254"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15213681034</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trPr>
        <w:tc>
          <w:tcPr>
            <w:tcW w:w="1037"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asciiTheme="minorEastAsia" w:hAnsiTheme="minorEastAsia" w:eastAsiaTheme="minorEastAsia"/>
                <w:szCs w:val="21"/>
              </w:rPr>
              <w:t>21</w:t>
            </w:r>
          </w:p>
        </w:tc>
        <w:tc>
          <w:tcPr>
            <w:tcW w:w="1559" w:type="dxa"/>
            <w:vAlign w:val="center"/>
          </w:tcPr>
          <w:p>
            <w:pPr>
              <w:autoSpaceDE w:val="0"/>
              <w:autoSpaceDN w:val="0"/>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田源</w:t>
            </w:r>
          </w:p>
        </w:tc>
        <w:tc>
          <w:tcPr>
            <w:tcW w:w="1985"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职员</w:t>
            </w:r>
          </w:p>
        </w:tc>
        <w:tc>
          <w:tcPr>
            <w:tcW w:w="2126"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asciiTheme="minorEastAsia" w:hAnsiTheme="minorEastAsia" w:eastAsiaTheme="minorEastAsia"/>
                <w:szCs w:val="21"/>
              </w:rPr>
              <w:t>成员</w:t>
            </w:r>
          </w:p>
        </w:tc>
        <w:tc>
          <w:tcPr>
            <w:tcW w:w="2254"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18523651007</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trPr>
        <w:tc>
          <w:tcPr>
            <w:tcW w:w="8961" w:type="dxa"/>
            <w:gridSpan w:val="5"/>
            <w:vAlign w:val="center"/>
          </w:tcPr>
          <w:p>
            <w:pPr>
              <w:autoSpaceDE w:val="0"/>
              <w:autoSpaceDN w:val="0"/>
              <w:spacing w:line="460" w:lineRule="exact"/>
              <w:ind w:firstLine="420"/>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警戒保卫组</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22</w:t>
            </w:r>
          </w:p>
        </w:tc>
        <w:tc>
          <w:tcPr>
            <w:tcW w:w="1559" w:type="dxa"/>
            <w:vAlign w:val="center"/>
          </w:tcPr>
          <w:p>
            <w:pPr>
              <w:autoSpaceDE w:val="0"/>
              <w:autoSpaceDN w:val="0"/>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操准</w:t>
            </w:r>
          </w:p>
        </w:tc>
        <w:tc>
          <w:tcPr>
            <w:tcW w:w="1985"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安全生产部部长</w:t>
            </w:r>
          </w:p>
        </w:tc>
        <w:tc>
          <w:tcPr>
            <w:tcW w:w="2126"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组长</w:t>
            </w:r>
          </w:p>
        </w:tc>
        <w:tc>
          <w:tcPr>
            <w:tcW w:w="2254" w:type="dxa"/>
            <w:vAlign w:val="center"/>
          </w:tcPr>
          <w:p>
            <w:pPr>
              <w:autoSpaceDE w:val="0"/>
              <w:autoSpaceDN w:val="0"/>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18623512227</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23</w:t>
            </w:r>
          </w:p>
        </w:tc>
        <w:tc>
          <w:tcPr>
            <w:tcW w:w="1559" w:type="dxa"/>
            <w:vAlign w:val="center"/>
          </w:tcPr>
          <w:p>
            <w:pPr>
              <w:autoSpaceDE w:val="0"/>
              <w:autoSpaceDN w:val="0"/>
              <w:spacing w:line="40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陶建华</w:t>
            </w:r>
          </w:p>
        </w:tc>
        <w:tc>
          <w:tcPr>
            <w:tcW w:w="1985" w:type="dxa"/>
            <w:vAlign w:val="center"/>
          </w:tcPr>
          <w:p>
            <w:pPr>
              <w:autoSpaceDE w:val="0"/>
              <w:autoSpaceDN w:val="0"/>
              <w:spacing w:line="400" w:lineRule="exact"/>
              <w:jc w:val="center"/>
              <w:rPr>
                <w:rFonts w:asciiTheme="minorEastAsia" w:hAnsiTheme="minorEastAsia" w:eastAsiaTheme="minorEastAsia"/>
                <w:szCs w:val="21"/>
              </w:rPr>
            </w:pPr>
            <w:r>
              <w:rPr>
                <w:rFonts w:hint="eastAsia" w:asciiTheme="minorEastAsia" w:hAnsiTheme="minorEastAsia" w:eastAsiaTheme="minorEastAsia"/>
                <w:szCs w:val="21"/>
              </w:rPr>
              <w:t>厂长（龙桥）</w:t>
            </w:r>
          </w:p>
        </w:tc>
        <w:tc>
          <w:tcPr>
            <w:tcW w:w="2126" w:type="dxa"/>
            <w:vAlign w:val="center"/>
          </w:tcPr>
          <w:p>
            <w:pPr>
              <w:autoSpaceDE w:val="0"/>
              <w:autoSpaceDN w:val="0"/>
              <w:spacing w:line="40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成员</w:t>
            </w:r>
          </w:p>
        </w:tc>
        <w:tc>
          <w:tcPr>
            <w:tcW w:w="2254" w:type="dxa"/>
            <w:vAlign w:val="center"/>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13896666788</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24</w:t>
            </w:r>
          </w:p>
        </w:tc>
        <w:tc>
          <w:tcPr>
            <w:tcW w:w="1559" w:type="dxa"/>
            <w:vAlign w:val="center"/>
          </w:tcPr>
          <w:p>
            <w:pPr>
              <w:autoSpaceDE w:val="0"/>
              <w:autoSpaceDN w:val="0"/>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任波</w:t>
            </w:r>
          </w:p>
        </w:tc>
        <w:tc>
          <w:tcPr>
            <w:tcW w:w="1985"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职员</w:t>
            </w:r>
          </w:p>
        </w:tc>
        <w:tc>
          <w:tcPr>
            <w:tcW w:w="2126"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成员</w:t>
            </w:r>
          </w:p>
        </w:tc>
        <w:tc>
          <w:tcPr>
            <w:tcW w:w="2254"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18225108867</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PrEx>
        <w:trPr>
          <w:trHeight w:val="453" w:hRule="atLeast"/>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25</w:t>
            </w:r>
          </w:p>
        </w:tc>
        <w:tc>
          <w:tcPr>
            <w:tcW w:w="1559" w:type="dxa"/>
            <w:vAlign w:val="center"/>
          </w:tcPr>
          <w:p>
            <w:pPr>
              <w:autoSpaceDE w:val="0"/>
              <w:autoSpaceDN w:val="0"/>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李茂</w:t>
            </w:r>
          </w:p>
        </w:tc>
        <w:tc>
          <w:tcPr>
            <w:tcW w:w="1985" w:type="dxa"/>
          </w:tcPr>
          <w:p>
            <w:pPr>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职员</w:t>
            </w:r>
          </w:p>
        </w:tc>
        <w:tc>
          <w:tcPr>
            <w:tcW w:w="2126"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成员</w:t>
            </w:r>
          </w:p>
        </w:tc>
        <w:tc>
          <w:tcPr>
            <w:tcW w:w="2254"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13896661651</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26</w:t>
            </w:r>
          </w:p>
        </w:tc>
        <w:tc>
          <w:tcPr>
            <w:tcW w:w="1559" w:type="dxa"/>
            <w:vAlign w:val="center"/>
          </w:tcPr>
          <w:p>
            <w:pPr>
              <w:autoSpaceDE w:val="0"/>
              <w:autoSpaceDN w:val="0"/>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陈杰</w:t>
            </w:r>
          </w:p>
        </w:tc>
        <w:tc>
          <w:tcPr>
            <w:tcW w:w="1985" w:type="dxa"/>
          </w:tcPr>
          <w:p>
            <w:pPr>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职员</w:t>
            </w:r>
          </w:p>
        </w:tc>
        <w:tc>
          <w:tcPr>
            <w:tcW w:w="2126"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成员</w:t>
            </w:r>
          </w:p>
        </w:tc>
        <w:tc>
          <w:tcPr>
            <w:tcW w:w="2254"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18512343757</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27</w:t>
            </w:r>
          </w:p>
        </w:tc>
        <w:tc>
          <w:tcPr>
            <w:tcW w:w="1559" w:type="dxa"/>
            <w:vAlign w:val="center"/>
          </w:tcPr>
          <w:p>
            <w:pPr>
              <w:autoSpaceDE w:val="0"/>
              <w:autoSpaceDN w:val="0"/>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常东</w:t>
            </w:r>
          </w:p>
        </w:tc>
        <w:tc>
          <w:tcPr>
            <w:tcW w:w="1985" w:type="dxa"/>
          </w:tcPr>
          <w:p>
            <w:pPr>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职员</w:t>
            </w:r>
          </w:p>
        </w:tc>
        <w:tc>
          <w:tcPr>
            <w:tcW w:w="2126"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成员</w:t>
            </w:r>
          </w:p>
        </w:tc>
        <w:tc>
          <w:tcPr>
            <w:tcW w:w="2254"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13983338939</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trPr>
        <w:tc>
          <w:tcPr>
            <w:tcW w:w="8961" w:type="dxa"/>
            <w:gridSpan w:val="5"/>
            <w:vAlign w:val="center"/>
          </w:tcPr>
          <w:p>
            <w:pPr>
              <w:autoSpaceDE w:val="0"/>
              <w:autoSpaceDN w:val="0"/>
              <w:spacing w:line="460" w:lineRule="exact"/>
              <w:ind w:firstLine="420"/>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环境监测组</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28</w:t>
            </w:r>
          </w:p>
        </w:tc>
        <w:tc>
          <w:tcPr>
            <w:tcW w:w="1559" w:type="dxa"/>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况鳗洋</w:t>
            </w:r>
          </w:p>
        </w:tc>
        <w:tc>
          <w:tcPr>
            <w:tcW w:w="1985" w:type="dxa"/>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化验中心主任</w:t>
            </w:r>
          </w:p>
        </w:tc>
        <w:tc>
          <w:tcPr>
            <w:tcW w:w="2126" w:type="dxa"/>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组长</w:t>
            </w:r>
          </w:p>
        </w:tc>
        <w:tc>
          <w:tcPr>
            <w:tcW w:w="2254" w:type="dxa"/>
          </w:tcPr>
          <w:p>
            <w:pPr>
              <w:autoSpaceDE w:val="0"/>
              <w:autoSpaceDN w:val="0"/>
              <w:spacing w:line="40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15025632100</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29</w:t>
            </w:r>
          </w:p>
        </w:tc>
        <w:tc>
          <w:tcPr>
            <w:tcW w:w="1559"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张贵风</w:t>
            </w:r>
          </w:p>
        </w:tc>
        <w:tc>
          <w:tcPr>
            <w:tcW w:w="1985" w:type="dxa"/>
            <w:vAlign w:val="center"/>
          </w:tcPr>
          <w:p>
            <w:pPr>
              <w:autoSpaceDE w:val="0"/>
              <w:autoSpaceDN w:val="0"/>
              <w:spacing w:line="460" w:lineRule="exact"/>
              <w:jc w:val="center"/>
              <w:rPr>
                <w:rFonts w:cs="??_GB2312" w:asciiTheme="minorEastAsia" w:hAnsiTheme="minorEastAsia" w:eastAsiaTheme="minorEastAsia"/>
                <w:szCs w:val="21"/>
                <w:lang w:val="zh-CN"/>
              </w:rPr>
            </w:pPr>
            <w:r>
              <w:rPr>
                <w:rFonts w:hint="eastAsia" w:cs="??_GB2312" w:asciiTheme="minorEastAsia" w:hAnsiTheme="minorEastAsia" w:eastAsiaTheme="minorEastAsia"/>
                <w:szCs w:val="21"/>
                <w:lang w:val="zh-CN"/>
              </w:rPr>
              <w:t>职员</w:t>
            </w:r>
          </w:p>
        </w:tc>
        <w:tc>
          <w:tcPr>
            <w:tcW w:w="2126" w:type="dxa"/>
            <w:vAlign w:val="center"/>
          </w:tcPr>
          <w:p>
            <w:pPr>
              <w:autoSpaceDE w:val="0"/>
              <w:autoSpaceDN w:val="0"/>
              <w:spacing w:line="460" w:lineRule="exact"/>
              <w:jc w:val="center"/>
              <w:rPr>
                <w:rFonts w:cs="??_GB2312" w:asciiTheme="minorEastAsia" w:hAnsiTheme="minorEastAsia" w:eastAsiaTheme="minorEastAsia"/>
                <w:szCs w:val="21"/>
                <w:lang w:val="zh-CN"/>
              </w:rPr>
            </w:pPr>
            <w:r>
              <w:rPr>
                <w:rFonts w:hint="eastAsia" w:cs="??_GB2312" w:asciiTheme="minorEastAsia" w:hAnsiTheme="minorEastAsia" w:eastAsiaTheme="minorEastAsia"/>
                <w:szCs w:val="21"/>
                <w:lang w:val="zh-CN"/>
              </w:rPr>
              <w:t>成员</w:t>
            </w:r>
          </w:p>
        </w:tc>
        <w:tc>
          <w:tcPr>
            <w:tcW w:w="2254" w:type="dxa"/>
            <w:vAlign w:val="center"/>
          </w:tcPr>
          <w:p>
            <w:pPr>
              <w:autoSpaceDE w:val="0"/>
              <w:autoSpaceDN w:val="0"/>
              <w:spacing w:line="460" w:lineRule="exact"/>
              <w:jc w:val="center"/>
              <w:rPr>
                <w:rFonts w:cs="??_GB2312" w:asciiTheme="minorEastAsia" w:hAnsiTheme="minorEastAsia" w:eastAsiaTheme="minorEastAsia"/>
                <w:szCs w:val="21"/>
              </w:rPr>
            </w:pPr>
            <w:r>
              <w:rPr>
                <w:rFonts w:hint="eastAsia" w:cs="??_GB2312" w:asciiTheme="minorEastAsia" w:hAnsiTheme="minorEastAsia" w:eastAsiaTheme="minorEastAsia"/>
                <w:szCs w:val="21"/>
              </w:rPr>
              <w:t>15123645632</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PrEx>
        <w:trPr>
          <w:trHeight w:val="453" w:hRule="atLeast"/>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30</w:t>
            </w:r>
          </w:p>
        </w:tc>
        <w:tc>
          <w:tcPr>
            <w:tcW w:w="1559" w:type="dxa"/>
            <w:vAlign w:val="center"/>
          </w:tcPr>
          <w:p>
            <w:pPr>
              <w:autoSpaceDE w:val="0"/>
              <w:autoSpaceDN w:val="0"/>
              <w:spacing w:line="460" w:lineRule="exact"/>
              <w:jc w:val="center"/>
              <w:rPr>
                <w:rFonts w:asciiTheme="minorEastAsia" w:hAnsiTheme="minorEastAsia" w:eastAsiaTheme="minorEastAsia"/>
                <w:szCs w:val="21"/>
              </w:rPr>
            </w:pPr>
            <w:r>
              <w:rPr>
                <w:rFonts w:hint="eastAsia" w:cs="??_GB2312" w:asciiTheme="minorEastAsia" w:hAnsiTheme="minorEastAsia" w:eastAsiaTheme="minorEastAsia"/>
                <w:szCs w:val="21"/>
                <w:lang w:val="zh-CN"/>
              </w:rPr>
              <w:t>任婧</w:t>
            </w:r>
          </w:p>
        </w:tc>
        <w:tc>
          <w:tcPr>
            <w:tcW w:w="1985" w:type="dxa"/>
            <w:vAlign w:val="center"/>
          </w:tcPr>
          <w:p>
            <w:pPr>
              <w:autoSpaceDE w:val="0"/>
              <w:autoSpaceDN w:val="0"/>
              <w:spacing w:line="460" w:lineRule="exact"/>
              <w:jc w:val="center"/>
              <w:rPr>
                <w:rFonts w:cs="??_GB2312" w:asciiTheme="minorEastAsia" w:hAnsiTheme="minorEastAsia" w:eastAsiaTheme="minorEastAsia"/>
                <w:szCs w:val="21"/>
                <w:lang w:val="zh-CN"/>
              </w:rPr>
            </w:pPr>
            <w:r>
              <w:rPr>
                <w:rFonts w:hint="eastAsia" w:cs="??_GB2312" w:asciiTheme="minorEastAsia" w:hAnsiTheme="minorEastAsia" w:eastAsiaTheme="minorEastAsia"/>
                <w:szCs w:val="21"/>
                <w:lang w:val="zh-CN"/>
              </w:rPr>
              <w:t>职员</w:t>
            </w:r>
          </w:p>
        </w:tc>
        <w:tc>
          <w:tcPr>
            <w:tcW w:w="2126" w:type="dxa"/>
          </w:tcPr>
          <w:p>
            <w:pPr>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成员</w:t>
            </w:r>
          </w:p>
        </w:tc>
        <w:tc>
          <w:tcPr>
            <w:tcW w:w="2254" w:type="dxa"/>
            <w:vAlign w:val="center"/>
          </w:tcPr>
          <w:p>
            <w:pPr>
              <w:autoSpaceDE w:val="0"/>
              <w:autoSpaceDN w:val="0"/>
              <w:spacing w:line="460" w:lineRule="exact"/>
              <w:jc w:val="center"/>
              <w:rPr>
                <w:rFonts w:cs="??_GB2312" w:asciiTheme="minorEastAsia" w:hAnsiTheme="minorEastAsia" w:eastAsiaTheme="minorEastAsia"/>
                <w:szCs w:val="21"/>
                <w:lang w:val="zh-CN"/>
              </w:rPr>
            </w:pPr>
            <w:r>
              <w:rPr>
                <w:rFonts w:hint="eastAsia" w:cs="??_GB2312" w:asciiTheme="minorEastAsia" w:hAnsiTheme="minorEastAsia" w:eastAsiaTheme="minorEastAsia"/>
                <w:szCs w:val="21"/>
                <w:lang w:val="zh-CN"/>
              </w:rPr>
              <w:t>15213718905</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31</w:t>
            </w:r>
          </w:p>
        </w:tc>
        <w:tc>
          <w:tcPr>
            <w:tcW w:w="1559" w:type="dxa"/>
            <w:vAlign w:val="center"/>
          </w:tcPr>
          <w:p>
            <w:pPr>
              <w:autoSpaceDE w:val="0"/>
              <w:autoSpaceDN w:val="0"/>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晏伟</w:t>
            </w:r>
          </w:p>
        </w:tc>
        <w:tc>
          <w:tcPr>
            <w:tcW w:w="1985"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职员</w:t>
            </w:r>
          </w:p>
        </w:tc>
        <w:tc>
          <w:tcPr>
            <w:tcW w:w="2126" w:type="dxa"/>
          </w:tcPr>
          <w:p>
            <w:pPr>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成员</w:t>
            </w:r>
          </w:p>
        </w:tc>
        <w:tc>
          <w:tcPr>
            <w:tcW w:w="2254"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15213718905</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32</w:t>
            </w:r>
          </w:p>
        </w:tc>
        <w:tc>
          <w:tcPr>
            <w:tcW w:w="1559" w:type="dxa"/>
            <w:vAlign w:val="center"/>
          </w:tcPr>
          <w:p>
            <w:pPr>
              <w:autoSpaceDE w:val="0"/>
              <w:autoSpaceDN w:val="0"/>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张春梅</w:t>
            </w:r>
          </w:p>
        </w:tc>
        <w:tc>
          <w:tcPr>
            <w:tcW w:w="1985"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职员</w:t>
            </w:r>
          </w:p>
        </w:tc>
        <w:tc>
          <w:tcPr>
            <w:tcW w:w="2126" w:type="dxa"/>
          </w:tcPr>
          <w:p>
            <w:pPr>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成员</w:t>
            </w:r>
          </w:p>
        </w:tc>
        <w:tc>
          <w:tcPr>
            <w:tcW w:w="2254"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18983318386</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trPr>
        <w:tc>
          <w:tcPr>
            <w:tcW w:w="8961" w:type="dxa"/>
            <w:gridSpan w:val="5"/>
            <w:vAlign w:val="center"/>
          </w:tcPr>
          <w:p>
            <w:pPr>
              <w:autoSpaceDE w:val="0"/>
              <w:autoSpaceDN w:val="0"/>
              <w:spacing w:line="460" w:lineRule="exact"/>
              <w:ind w:firstLine="420"/>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综合协调组</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33</w:t>
            </w:r>
          </w:p>
        </w:tc>
        <w:tc>
          <w:tcPr>
            <w:tcW w:w="1559"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葛娅</w:t>
            </w:r>
          </w:p>
        </w:tc>
        <w:tc>
          <w:tcPr>
            <w:tcW w:w="1985"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综合部部长</w:t>
            </w:r>
          </w:p>
        </w:tc>
        <w:tc>
          <w:tcPr>
            <w:tcW w:w="2126"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组长</w:t>
            </w:r>
          </w:p>
        </w:tc>
        <w:tc>
          <w:tcPr>
            <w:tcW w:w="2254" w:type="dxa"/>
            <w:vAlign w:val="center"/>
          </w:tcPr>
          <w:p>
            <w:pPr>
              <w:autoSpaceDE w:val="0"/>
              <w:autoSpaceDN w:val="0"/>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13594697440</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34</w:t>
            </w:r>
          </w:p>
        </w:tc>
        <w:tc>
          <w:tcPr>
            <w:tcW w:w="1559" w:type="dxa"/>
            <w:vAlign w:val="center"/>
          </w:tcPr>
          <w:p>
            <w:pPr>
              <w:autoSpaceDE w:val="0"/>
              <w:autoSpaceDN w:val="0"/>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熊学海</w:t>
            </w:r>
          </w:p>
        </w:tc>
        <w:tc>
          <w:tcPr>
            <w:tcW w:w="1985"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职员</w:t>
            </w:r>
          </w:p>
        </w:tc>
        <w:tc>
          <w:tcPr>
            <w:tcW w:w="2126"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成员</w:t>
            </w:r>
          </w:p>
        </w:tc>
        <w:tc>
          <w:tcPr>
            <w:tcW w:w="2254"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18996813477</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PrEx>
        <w:trPr>
          <w:trHeight w:val="453" w:hRule="atLeast"/>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35</w:t>
            </w:r>
          </w:p>
        </w:tc>
        <w:tc>
          <w:tcPr>
            <w:tcW w:w="1559" w:type="dxa"/>
            <w:vAlign w:val="center"/>
          </w:tcPr>
          <w:p>
            <w:pPr>
              <w:autoSpaceDE w:val="0"/>
              <w:autoSpaceDN w:val="0"/>
              <w:spacing w:line="460" w:lineRule="exact"/>
              <w:jc w:val="center"/>
              <w:rPr>
                <w:rFonts w:asciiTheme="minorEastAsia" w:hAnsiTheme="minorEastAsia" w:eastAsiaTheme="minorEastAsia"/>
                <w:szCs w:val="21"/>
              </w:rPr>
            </w:pPr>
            <w:r>
              <w:rPr>
                <w:rFonts w:hint="eastAsia" w:cs="??_GB2312" w:asciiTheme="minorEastAsia" w:hAnsiTheme="minorEastAsia" w:eastAsiaTheme="minorEastAsia"/>
                <w:szCs w:val="21"/>
                <w:lang w:val="zh-CN"/>
              </w:rPr>
              <w:t>冉德容</w:t>
            </w:r>
          </w:p>
        </w:tc>
        <w:tc>
          <w:tcPr>
            <w:tcW w:w="1985" w:type="dxa"/>
            <w:vAlign w:val="center"/>
          </w:tcPr>
          <w:p>
            <w:pPr>
              <w:autoSpaceDE w:val="0"/>
              <w:autoSpaceDN w:val="0"/>
              <w:spacing w:line="460" w:lineRule="exact"/>
              <w:jc w:val="center"/>
              <w:rPr>
                <w:rFonts w:cs="??_GB2312" w:asciiTheme="minorEastAsia" w:hAnsiTheme="minorEastAsia" w:eastAsiaTheme="minorEastAsia"/>
                <w:szCs w:val="21"/>
                <w:lang w:val="zh-CN"/>
              </w:rPr>
            </w:pPr>
            <w:r>
              <w:rPr>
                <w:rFonts w:hint="eastAsia" w:cs="??_GB2312" w:asciiTheme="minorEastAsia" w:hAnsiTheme="minorEastAsia" w:eastAsiaTheme="minorEastAsia"/>
                <w:szCs w:val="21"/>
                <w:lang w:val="zh-CN"/>
              </w:rPr>
              <w:t>职员</w:t>
            </w:r>
          </w:p>
        </w:tc>
        <w:tc>
          <w:tcPr>
            <w:tcW w:w="2126" w:type="dxa"/>
            <w:vAlign w:val="center"/>
          </w:tcPr>
          <w:p>
            <w:pPr>
              <w:autoSpaceDE w:val="0"/>
              <w:autoSpaceDN w:val="0"/>
              <w:spacing w:line="460" w:lineRule="exact"/>
              <w:jc w:val="center"/>
              <w:rPr>
                <w:rFonts w:cs="??_GB2312" w:asciiTheme="minorEastAsia" w:hAnsiTheme="minorEastAsia" w:eastAsiaTheme="minorEastAsia"/>
                <w:szCs w:val="21"/>
                <w:lang w:val="zh-CN"/>
              </w:rPr>
            </w:pPr>
            <w:r>
              <w:rPr>
                <w:rFonts w:hint="eastAsia" w:cs="??_GB2312" w:asciiTheme="minorEastAsia" w:hAnsiTheme="minorEastAsia" w:eastAsiaTheme="minorEastAsia"/>
                <w:szCs w:val="21"/>
                <w:lang w:val="zh-CN"/>
              </w:rPr>
              <w:t>成员</w:t>
            </w:r>
          </w:p>
        </w:tc>
        <w:tc>
          <w:tcPr>
            <w:tcW w:w="2254" w:type="dxa"/>
            <w:vAlign w:val="center"/>
          </w:tcPr>
          <w:p>
            <w:pPr>
              <w:autoSpaceDE w:val="0"/>
              <w:autoSpaceDN w:val="0"/>
              <w:spacing w:line="460" w:lineRule="exact"/>
              <w:jc w:val="center"/>
              <w:rPr>
                <w:rFonts w:cs="??_GB2312" w:asciiTheme="minorEastAsia" w:hAnsiTheme="minorEastAsia" w:eastAsiaTheme="minorEastAsia"/>
                <w:szCs w:val="21"/>
                <w:lang w:val="zh-CN"/>
              </w:rPr>
            </w:pPr>
            <w:r>
              <w:rPr>
                <w:rFonts w:hint="eastAsia" w:cs="??_GB2312" w:asciiTheme="minorEastAsia" w:hAnsiTheme="minorEastAsia" w:eastAsiaTheme="minorEastAsia"/>
                <w:szCs w:val="21"/>
              </w:rPr>
              <w:t>18983313573</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36</w:t>
            </w:r>
          </w:p>
        </w:tc>
        <w:tc>
          <w:tcPr>
            <w:tcW w:w="1559" w:type="dxa"/>
            <w:vAlign w:val="center"/>
          </w:tcPr>
          <w:p>
            <w:pPr>
              <w:autoSpaceDE w:val="0"/>
              <w:autoSpaceDN w:val="0"/>
              <w:spacing w:line="460" w:lineRule="exact"/>
              <w:jc w:val="center"/>
              <w:rPr>
                <w:rFonts w:cs="仿宋_GB2312" w:asciiTheme="minorEastAsia" w:hAnsiTheme="minorEastAsia" w:eastAsiaTheme="minorEastAsia"/>
                <w:kern w:val="0"/>
                <w:szCs w:val="21"/>
                <w:lang w:val="zh-CN"/>
              </w:rPr>
            </w:pPr>
            <w:r>
              <w:rPr>
                <w:rFonts w:hint="eastAsia" w:cs="仿宋_GB2312" w:asciiTheme="minorEastAsia" w:hAnsiTheme="minorEastAsia" w:eastAsiaTheme="minorEastAsia"/>
                <w:kern w:val="0"/>
                <w:szCs w:val="21"/>
              </w:rPr>
              <w:t>陈平友</w:t>
            </w:r>
          </w:p>
        </w:tc>
        <w:tc>
          <w:tcPr>
            <w:tcW w:w="1985" w:type="dxa"/>
          </w:tcPr>
          <w:p>
            <w:pPr>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职员</w:t>
            </w:r>
          </w:p>
        </w:tc>
        <w:tc>
          <w:tcPr>
            <w:tcW w:w="2126" w:type="dxa"/>
          </w:tcPr>
          <w:p>
            <w:pPr>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成员</w:t>
            </w:r>
          </w:p>
        </w:tc>
        <w:tc>
          <w:tcPr>
            <w:tcW w:w="2254"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13594557563</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trPr>
        <w:tc>
          <w:tcPr>
            <w:tcW w:w="1037" w:type="dxa"/>
            <w:vAlign w:val="center"/>
          </w:tcPr>
          <w:p>
            <w:pPr>
              <w:autoSpaceDE w:val="0"/>
              <w:autoSpaceDN w:val="0"/>
              <w:spacing w:line="460" w:lineRule="exact"/>
              <w:jc w:val="center"/>
              <w:rPr>
                <w:rFonts w:asciiTheme="minorEastAsia" w:hAnsiTheme="minorEastAsia" w:eastAsiaTheme="minorEastAsia"/>
                <w:szCs w:val="21"/>
              </w:rPr>
            </w:pPr>
            <w:r>
              <w:rPr>
                <w:rFonts w:hint="eastAsia" w:asciiTheme="minorEastAsia" w:hAnsiTheme="minorEastAsia" w:eastAsiaTheme="minorEastAsia"/>
                <w:szCs w:val="21"/>
              </w:rPr>
              <w:t>37</w:t>
            </w:r>
          </w:p>
        </w:tc>
        <w:tc>
          <w:tcPr>
            <w:tcW w:w="1559" w:type="dxa"/>
            <w:vAlign w:val="center"/>
          </w:tcPr>
          <w:p>
            <w:pPr>
              <w:autoSpaceDE w:val="0"/>
              <w:autoSpaceDN w:val="0"/>
              <w:spacing w:line="460" w:lineRule="exact"/>
              <w:jc w:val="center"/>
              <w:rPr>
                <w:rFonts w:asciiTheme="minorEastAsia" w:hAnsiTheme="minorEastAsia" w:eastAsiaTheme="minorEastAsia"/>
                <w:szCs w:val="21"/>
              </w:rPr>
            </w:pPr>
            <w:r>
              <w:rPr>
                <w:rFonts w:hint="eastAsia" w:cs="仿宋_GB2312" w:asciiTheme="minorEastAsia" w:hAnsiTheme="minorEastAsia" w:eastAsiaTheme="minorEastAsia"/>
                <w:szCs w:val="21"/>
                <w:lang w:val="zh-CN"/>
              </w:rPr>
              <w:t>刘元清</w:t>
            </w:r>
          </w:p>
        </w:tc>
        <w:tc>
          <w:tcPr>
            <w:tcW w:w="1985"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职员</w:t>
            </w:r>
          </w:p>
        </w:tc>
        <w:tc>
          <w:tcPr>
            <w:tcW w:w="2126"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成员</w:t>
            </w:r>
          </w:p>
        </w:tc>
        <w:tc>
          <w:tcPr>
            <w:tcW w:w="2254" w:type="dxa"/>
            <w:vAlign w:val="center"/>
          </w:tcPr>
          <w:p>
            <w:pPr>
              <w:autoSpaceDE w:val="0"/>
              <w:autoSpaceDN w:val="0"/>
              <w:spacing w:line="460" w:lineRule="exact"/>
              <w:jc w:val="center"/>
              <w:rPr>
                <w:rFonts w:cs="仿宋_GB2312" w:asciiTheme="minorEastAsia" w:hAnsiTheme="minorEastAsia" w:eastAsiaTheme="minorEastAsia"/>
                <w:szCs w:val="21"/>
                <w:lang w:val="zh-CN"/>
              </w:rPr>
            </w:pPr>
            <w:r>
              <w:rPr>
                <w:rFonts w:hint="eastAsia" w:cs="仿宋_GB2312" w:asciiTheme="minorEastAsia" w:hAnsiTheme="minorEastAsia" w:eastAsiaTheme="minorEastAsia"/>
                <w:szCs w:val="21"/>
                <w:lang w:val="zh-CN"/>
              </w:rPr>
              <w:t>15310559560</w:t>
            </w:r>
          </w:p>
        </w:tc>
      </w:tr>
    </w:tbl>
    <w:p>
      <w:pPr>
        <w:adjustRightInd w:val="0"/>
        <w:snapToGrid w:val="0"/>
        <w:spacing w:line="460" w:lineRule="exact"/>
        <w:outlineLvl w:val="1"/>
        <w:rPr>
          <w:rFonts w:hint="eastAsia"/>
          <w:b/>
          <w:color w:val="000000"/>
          <w:sz w:val="28"/>
          <w:szCs w:val="28"/>
        </w:rPr>
      </w:pPr>
      <w:bookmarkStart w:id="206" w:name="_Toc5614"/>
      <w:r>
        <w:rPr>
          <w:rFonts w:hint="eastAsia"/>
          <w:b/>
          <w:color w:val="000000"/>
          <w:sz w:val="28"/>
          <w:szCs w:val="28"/>
        </w:rPr>
        <w:t>4.3应急组织职责</w:t>
      </w:r>
      <w:bookmarkEnd w:id="206"/>
    </w:p>
    <w:p>
      <w:pPr>
        <w:spacing w:line="460" w:lineRule="exact"/>
        <w:ind w:firstLine="560"/>
        <w:jc w:val="left"/>
        <w:rPr>
          <w:rFonts w:asciiTheme="minorEastAsia" w:hAnsiTheme="minorEastAsia" w:eastAsiaTheme="minorEastAsia"/>
          <w:sz w:val="28"/>
          <w:szCs w:val="28"/>
        </w:rPr>
      </w:pPr>
      <w:r>
        <w:rPr>
          <w:rFonts w:asciiTheme="minorEastAsia" w:hAnsiTheme="minorEastAsia" w:eastAsiaTheme="minorEastAsia"/>
          <w:sz w:val="28"/>
          <w:szCs w:val="28"/>
        </w:rPr>
        <w:t>1</w:t>
      </w:r>
      <w:r>
        <w:rPr>
          <w:rFonts w:hint="eastAsia" w:asciiTheme="minorEastAsia" w:hAnsiTheme="minorEastAsia" w:eastAsiaTheme="minorEastAsia"/>
          <w:sz w:val="28"/>
          <w:szCs w:val="28"/>
        </w:rPr>
        <w:t>指挥部职责</w:t>
      </w:r>
    </w:p>
    <w:p>
      <w:pPr>
        <w:spacing w:line="460" w:lineRule="exact"/>
        <w:ind w:firstLine="480"/>
        <w:jc w:val="left"/>
        <w:rPr>
          <w:rFonts w:asciiTheme="minorEastAsia" w:hAnsiTheme="minorEastAsia" w:eastAsiaTheme="minorEastAsia"/>
          <w:sz w:val="24"/>
          <w:szCs w:val="24"/>
        </w:rPr>
      </w:pPr>
      <w:r>
        <w:rPr>
          <w:rFonts w:hint="eastAsia" w:asciiTheme="minorEastAsia" w:hAnsiTheme="minorEastAsia" w:eastAsiaTheme="minorEastAsia"/>
        </w:rPr>
        <w:t>（</w:t>
      </w:r>
      <w:r>
        <w:rPr>
          <w:rFonts w:asciiTheme="minorEastAsia" w:hAnsiTheme="minorEastAsia" w:eastAsiaTheme="minorEastAsia"/>
          <w:sz w:val="24"/>
          <w:szCs w:val="24"/>
        </w:rPr>
        <w:t>1</w:t>
      </w:r>
      <w:r>
        <w:rPr>
          <w:rFonts w:hint="eastAsia" w:asciiTheme="minorEastAsia" w:hAnsiTheme="minorEastAsia" w:eastAsiaTheme="minorEastAsia"/>
          <w:sz w:val="24"/>
          <w:szCs w:val="24"/>
        </w:rPr>
        <w:t>）负责人员、资源配置、应急队伍的调动；</w:t>
      </w:r>
    </w:p>
    <w:p>
      <w:pPr>
        <w:spacing w:line="460" w:lineRule="exact"/>
        <w:ind w:firstLine="480"/>
        <w:jc w:val="left"/>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asciiTheme="minorEastAsia" w:hAnsiTheme="minorEastAsia" w:eastAsiaTheme="minorEastAsia"/>
          <w:sz w:val="24"/>
          <w:szCs w:val="24"/>
        </w:rPr>
        <w:t>2</w:t>
      </w:r>
      <w:r>
        <w:rPr>
          <w:rFonts w:hint="eastAsia" w:asciiTheme="minorEastAsia" w:hAnsiTheme="minorEastAsia" w:eastAsiaTheme="minorEastAsia"/>
          <w:sz w:val="24"/>
          <w:szCs w:val="24"/>
        </w:rPr>
        <w:t>）协调事故现场有关工作；</w:t>
      </w:r>
    </w:p>
    <w:p>
      <w:pPr>
        <w:spacing w:line="460" w:lineRule="exact"/>
        <w:ind w:firstLine="480"/>
        <w:jc w:val="left"/>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asciiTheme="minorEastAsia" w:hAnsiTheme="minorEastAsia" w:eastAsiaTheme="minorEastAsia"/>
          <w:sz w:val="24"/>
          <w:szCs w:val="24"/>
        </w:rPr>
        <w:t>3</w:t>
      </w:r>
      <w:r>
        <w:rPr>
          <w:rFonts w:hint="eastAsia" w:asciiTheme="minorEastAsia" w:hAnsiTheme="minorEastAsia" w:eastAsiaTheme="minorEastAsia"/>
          <w:sz w:val="24"/>
          <w:szCs w:val="24"/>
        </w:rPr>
        <w:t>）批准本预案的启动与终止；</w:t>
      </w:r>
    </w:p>
    <w:p>
      <w:pPr>
        <w:spacing w:line="460" w:lineRule="exact"/>
        <w:ind w:firstLine="480"/>
        <w:jc w:val="left"/>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asciiTheme="minorEastAsia" w:hAnsiTheme="minorEastAsia" w:eastAsiaTheme="minorEastAsia"/>
          <w:sz w:val="24"/>
          <w:szCs w:val="24"/>
        </w:rPr>
        <w:t>4</w:t>
      </w:r>
      <w:r>
        <w:rPr>
          <w:rFonts w:hint="eastAsia" w:asciiTheme="minorEastAsia" w:hAnsiTheme="minorEastAsia" w:eastAsiaTheme="minorEastAsia"/>
          <w:sz w:val="24"/>
          <w:szCs w:val="24"/>
        </w:rPr>
        <w:t>）组织指挥救援队伍实施救援行动，保护事故现场；</w:t>
      </w:r>
    </w:p>
    <w:p>
      <w:pPr>
        <w:spacing w:line="460" w:lineRule="exact"/>
        <w:ind w:firstLine="480"/>
        <w:jc w:val="left"/>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asciiTheme="minorEastAsia" w:hAnsiTheme="minorEastAsia" w:eastAsiaTheme="minorEastAsia"/>
          <w:sz w:val="24"/>
          <w:szCs w:val="24"/>
        </w:rPr>
        <w:t>5)</w:t>
      </w:r>
      <w:r>
        <w:rPr>
          <w:rFonts w:hint="eastAsia" w:asciiTheme="minorEastAsia" w:hAnsiTheme="minorEastAsia" w:eastAsiaTheme="minorEastAsia"/>
          <w:sz w:val="24"/>
          <w:szCs w:val="24"/>
        </w:rPr>
        <w:t>向上级和各相关部门汇报事故情况，必要时向有关单位和政府发出救援请求，并接受政府的指令和调动；</w:t>
      </w:r>
    </w:p>
    <w:p>
      <w:pPr>
        <w:spacing w:line="460" w:lineRule="exact"/>
        <w:ind w:firstLine="480"/>
        <w:jc w:val="left"/>
        <w:rPr>
          <w:rFonts w:asciiTheme="minorEastAsia" w:hAnsiTheme="minorEastAsia" w:eastAsiaTheme="minorEastAsia"/>
          <w:sz w:val="24"/>
          <w:szCs w:val="24"/>
        </w:rPr>
      </w:pPr>
      <w:r>
        <w:rPr>
          <w:rFonts w:asciiTheme="minorEastAsia" w:hAnsiTheme="minorEastAsia" w:eastAsiaTheme="minorEastAsia"/>
          <w:sz w:val="24"/>
          <w:szCs w:val="24"/>
        </w:rPr>
        <w:t>(6)</w:t>
      </w:r>
      <w:r>
        <w:rPr>
          <w:rFonts w:hint="eastAsia" w:asciiTheme="minorEastAsia" w:hAnsiTheme="minorEastAsia" w:eastAsiaTheme="minorEastAsia"/>
          <w:sz w:val="24"/>
          <w:szCs w:val="24"/>
        </w:rPr>
        <w:t>组织事故调查，总结应急救援工作的经验教训。</w:t>
      </w:r>
    </w:p>
    <w:p>
      <w:pPr>
        <w:spacing w:line="460" w:lineRule="exact"/>
        <w:ind w:firstLine="560"/>
        <w:jc w:val="left"/>
        <w:rPr>
          <w:rFonts w:asciiTheme="minorEastAsia" w:hAnsiTheme="minorEastAsia" w:eastAsiaTheme="minorEastAsia"/>
          <w:sz w:val="28"/>
          <w:szCs w:val="28"/>
        </w:rPr>
      </w:pPr>
      <w:r>
        <w:rPr>
          <w:rFonts w:asciiTheme="minorEastAsia" w:hAnsiTheme="minorEastAsia" w:eastAsiaTheme="minorEastAsia"/>
          <w:sz w:val="28"/>
          <w:szCs w:val="28"/>
        </w:rPr>
        <w:t>2</w:t>
      </w:r>
      <w:r>
        <w:rPr>
          <w:rFonts w:hint="eastAsia" w:asciiTheme="minorEastAsia" w:hAnsiTheme="minorEastAsia" w:eastAsiaTheme="minorEastAsia"/>
          <w:sz w:val="28"/>
          <w:szCs w:val="28"/>
        </w:rPr>
        <w:t>总指挥职责</w:t>
      </w:r>
    </w:p>
    <w:p>
      <w:pPr>
        <w:spacing w:line="460" w:lineRule="exact"/>
        <w:ind w:firstLine="480"/>
        <w:jc w:val="left"/>
        <w:rPr>
          <w:rFonts w:asciiTheme="minorEastAsia" w:hAnsiTheme="minorEastAsia" w:eastAsiaTheme="minorEastAsia"/>
          <w:sz w:val="24"/>
          <w:szCs w:val="24"/>
        </w:rPr>
      </w:pPr>
      <w:r>
        <w:rPr>
          <w:rFonts w:asciiTheme="minorEastAsia" w:hAnsiTheme="minorEastAsia" w:eastAsiaTheme="minorEastAsia"/>
        </w:rPr>
        <w:t>(</w:t>
      </w:r>
      <w:r>
        <w:rPr>
          <w:rFonts w:asciiTheme="minorEastAsia" w:hAnsiTheme="minorEastAsia" w:eastAsiaTheme="minorEastAsia"/>
          <w:sz w:val="24"/>
          <w:szCs w:val="24"/>
        </w:rPr>
        <w:t>1)</w:t>
      </w:r>
      <w:r>
        <w:rPr>
          <w:rFonts w:hint="eastAsia" w:asciiTheme="minorEastAsia" w:hAnsiTheme="minorEastAsia" w:eastAsiaTheme="minorEastAsia"/>
          <w:sz w:val="24"/>
          <w:szCs w:val="24"/>
        </w:rPr>
        <w:t>分析紧急状态和确定相应报警级别；</w:t>
      </w:r>
    </w:p>
    <w:p>
      <w:pPr>
        <w:spacing w:line="460" w:lineRule="exact"/>
        <w:ind w:firstLine="480"/>
        <w:jc w:val="left"/>
        <w:rPr>
          <w:rFonts w:asciiTheme="minorEastAsia" w:hAnsiTheme="minorEastAsia" w:eastAsiaTheme="minorEastAsia"/>
          <w:sz w:val="24"/>
          <w:szCs w:val="24"/>
        </w:rPr>
      </w:pPr>
      <w:r>
        <w:rPr>
          <w:rFonts w:asciiTheme="minorEastAsia" w:hAnsiTheme="minorEastAsia" w:eastAsiaTheme="minorEastAsia"/>
          <w:sz w:val="24"/>
          <w:szCs w:val="24"/>
        </w:rPr>
        <w:t>(2)</w:t>
      </w:r>
      <w:r>
        <w:rPr>
          <w:rFonts w:hint="eastAsia" w:asciiTheme="minorEastAsia" w:hAnsiTheme="minorEastAsia" w:eastAsiaTheme="minorEastAsia"/>
          <w:sz w:val="24"/>
          <w:szCs w:val="24"/>
        </w:rPr>
        <w:t>指挥、协调应急反应行动；</w:t>
      </w:r>
    </w:p>
    <w:p>
      <w:pPr>
        <w:spacing w:line="460" w:lineRule="exact"/>
        <w:ind w:firstLine="480"/>
        <w:jc w:val="left"/>
        <w:rPr>
          <w:rFonts w:asciiTheme="minorEastAsia" w:hAnsiTheme="minorEastAsia" w:eastAsiaTheme="minorEastAsia"/>
          <w:sz w:val="24"/>
          <w:szCs w:val="24"/>
        </w:rPr>
      </w:pPr>
      <w:r>
        <w:rPr>
          <w:rFonts w:asciiTheme="minorEastAsia" w:hAnsiTheme="minorEastAsia" w:eastAsiaTheme="minorEastAsia"/>
          <w:sz w:val="24"/>
          <w:szCs w:val="24"/>
        </w:rPr>
        <w:t>(3)</w:t>
      </w:r>
      <w:r>
        <w:rPr>
          <w:rFonts w:hint="eastAsia" w:asciiTheme="minorEastAsia" w:hAnsiTheme="minorEastAsia" w:eastAsiaTheme="minorEastAsia"/>
          <w:sz w:val="24"/>
          <w:szCs w:val="24"/>
        </w:rPr>
        <w:t>与外部应急人员、部门、组织和机构进行联络；</w:t>
      </w:r>
    </w:p>
    <w:p>
      <w:pPr>
        <w:spacing w:line="460" w:lineRule="exact"/>
        <w:ind w:firstLine="480"/>
        <w:jc w:val="left"/>
        <w:rPr>
          <w:rFonts w:asciiTheme="minorEastAsia" w:hAnsiTheme="minorEastAsia" w:eastAsiaTheme="minorEastAsia"/>
          <w:sz w:val="24"/>
          <w:szCs w:val="24"/>
        </w:rPr>
      </w:pPr>
      <w:r>
        <w:rPr>
          <w:rFonts w:asciiTheme="minorEastAsia" w:hAnsiTheme="minorEastAsia" w:eastAsiaTheme="minorEastAsia"/>
          <w:sz w:val="24"/>
          <w:szCs w:val="24"/>
        </w:rPr>
        <w:t>(4)</w:t>
      </w:r>
      <w:r>
        <w:rPr>
          <w:rFonts w:hint="eastAsia" w:asciiTheme="minorEastAsia" w:hAnsiTheme="minorEastAsia" w:eastAsiaTheme="minorEastAsia"/>
          <w:sz w:val="24"/>
          <w:szCs w:val="24"/>
        </w:rPr>
        <w:t>保证现场和企业外人员安全；</w:t>
      </w:r>
    </w:p>
    <w:p>
      <w:pPr>
        <w:spacing w:line="460" w:lineRule="exact"/>
        <w:ind w:firstLine="480"/>
        <w:jc w:val="left"/>
        <w:rPr>
          <w:rFonts w:asciiTheme="minorEastAsia" w:hAnsiTheme="minorEastAsia" w:eastAsiaTheme="minorEastAsia"/>
          <w:sz w:val="24"/>
          <w:szCs w:val="24"/>
        </w:rPr>
      </w:pPr>
      <w:r>
        <w:rPr>
          <w:rFonts w:asciiTheme="minorEastAsia" w:hAnsiTheme="minorEastAsia" w:eastAsiaTheme="minorEastAsia"/>
          <w:sz w:val="24"/>
          <w:szCs w:val="24"/>
        </w:rPr>
        <w:t>(5)</w:t>
      </w:r>
      <w:r>
        <w:rPr>
          <w:rFonts w:hint="eastAsia" w:asciiTheme="minorEastAsia" w:hAnsiTheme="minorEastAsia" w:eastAsiaTheme="minorEastAsia"/>
          <w:sz w:val="24"/>
          <w:szCs w:val="24"/>
        </w:rPr>
        <w:t>协调后勤方面以支援反应组织。</w:t>
      </w:r>
    </w:p>
    <w:p>
      <w:pPr>
        <w:spacing w:line="460" w:lineRule="exact"/>
        <w:ind w:firstLine="480"/>
        <w:jc w:val="left"/>
        <w:rPr>
          <w:rFonts w:asciiTheme="minorEastAsia" w:hAnsiTheme="minorEastAsia" w:eastAsiaTheme="minorEastAsia"/>
          <w:sz w:val="24"/>
          <w:szCs w:val="24"/>
        </w:rPr>
      </w:pPr>
      <w:r>
        <w:rPr>
          <w:rFonts w:hint="eastAsia" w:asciiTheme="minorEastAsia" w:hAnsiTheme="minorEastAsia" w:eastAsiaTheme="minorEastAsia"/>
          <w:sz w:val="24"/>
          <w:szCs w:val="24"/>
        </w:rPr>
        <w:t>副总指挥职责</w:t>
      </w:r>
    </w:p>
    <w:p>
      <w:pPr>
        <w:spacing w:line="460" w:lineRule="exact"/>
        <w:ind w:firstLine="480"/>
        <w:jc w:val="left"/>
        <w:rPr>
          <w:rFonts w:asciiTheme="minorEastAsia" w:hAnsiTheme="minorEastAsia" w:eastAsiaTheme="minorEastAsia"/>
          <w:sz w:val="24"/>
          <w:szCs w:val="24"/>
        </w:rPr>
      </w:pPr>
      <w:r>
        <w:rPr>
          <w:rFonts w:hint="eastAsia" w:asciiTheme="minorEastAsia" w:hAnsiTheme="minorEastAsia" w:eastAsiaTheme="minorEastAsia"/>
          <w:sz w:val="24"/>
          <w:szCs w:val="24"/>
        </w:rPr>
        <w:t>协助总指挥工作；</w:t>
      </w:r>
    </w:p>
    <w:p>
      <w:pPr>
        <w:spacing w:line="460" w:lineRule="exact"/>
        <w:ind w:firstLine="480"/>
        <w:jc w:val="left"/>
        <w:rPr>
          <w:rFonts w:asciiTheme="minorEastAsia" w:hAnsiTheme="minorEastAsia" w:eastAsiaTheme="minorEastAsia"/>
          <w:sz w:val="24"/>
          <w:szCs w:val="24"/>
        </w:rPr>
      </w:pPr>
      <w:r>
        <w:rPr>
          <w:rFonts w:hint="eastAsia" w:asciiTheme="minorEastAsia" w:hAnsiTheme="minorEastAsia" w:eastAsiaTheme="minorEastAsia"/>
          <w:sz w:val="24"/>
          <w:szCs w:val="24"/>
        </w:rPr>
        <w:t>负责应急救援现场的协调调度；</w:t>
      </w:r>
    </w:p>
    <w:p>
      <w:pPr>
        <w:spacing w:line="460" w:lineRule="exact"/>
        <w:ind w:firstLine="480"/>
        <w:jc w:val="left"/>
        <w:rPr>
          <w:rFonts w:asciiTheme="minorEastAsia" w:hAnsiTheme="minorEastAsia" w:eastAsiaTheme="minorEastAsia"/>
          <w:sz w:val="24"/>
          <w:szCs w:val="24"/>
        </w:rPr>
      </w:pPr>
      <w:r>
        <w:rPr>
          <w:rFonts w:hint="eastAsia" w:asciiTheme="minorEastAsia" w:hAnsiTheme="minorEastAsia" w:eastAsiaTheme="minorEastAsia"/>
          <w:sz w:val="24"/>
          <w:szCs w:val="24"/>
        </w:rPr>
        <w:t>总指挥不在的情况下组织应急救援工作。</w:t>
      </w:r>
    </w:p>
    <w:p>
      <w:pPr>
        <w:spacing w:line="460" w:lineRule="exact"/>
        <w:ind w:firstLine="560"/>
        <w:jc w:val="left"/>
        <w:rPr>
          <w:rFonts w:asciiTheme="minorEastAsia" w:hAnsiTheme="minorEastAsia" w:eastAsiaTheme="minorEastAsia"/>
          <w:sz w:val="28"/>
          <w:szCs w:val="28"/>
        </w:rPr>
      </w:pPr>
      <w:r>
        <w:rPr>
          <w:rFonts w:asciiTheme="minorEastAsia" w:hAnsiTheme="minorEastAsia" w:eastAsiaTheme="minorEastAsia"/>
          <w:sz w:val="28"/>
          <w:szCs w:val="28"/>
        </w:rPr>
        <w:t>3</w:t>
      </w:r>
      <w:r>
        <w:rPr>
          <w:rFonts w:hint="eastAsia" w:asciiTheme="minorEastAsia" w:hAnsiTheme="minorEastAsia" w:eastAsiaTheme="minorEastAsia"/>
          <w:sz w:val="28"/>
          <w:szCs w:val="28"/>
        </w:rPr>
        <w:t>专业小组的职责</w:t>
      </w:r>
    </w:p>
    <w:p>
      <w:pPr>
        <w:spacing w:line="460" w:lineRule="exact"/>
        <w:ind w:firstLine="480"/>
        <w:jc w:val="left"/>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asciiTheme="minorEastAsia" w:hAnsiTheme="minorEastAsia" w:eastAsiaTheme="minorEastAsia"/>
          <w:sz w:val="24"/>
          <w:szCs w:val="24"/>
        </w:rPr>
        <w:t>1</w:t>
      </w:r>
      <w:r>
        <w:rPr>
          <w:rFonts w:hint="eastAsia" w:asciiTheme="minorEastAsia" w:hAnsiTheme="minorEastAsia" w:eastAsiaTheme="minorEastAsia"/>
          <w:sz w:val="24"/>
          <w:szCs w:val="24"/>
        </w:rPr>
        <w:t>）抢险救灾组：对事故现场进行营救。抢救受害人员、被事故破坏的设备及道路交通设施、关闭有害物质泄漏源、隔离其他危险源；扑灭已经发生的火灾，及时撤走易燃易爆物品或物质，控制灾害的进一步发展等。</w:t>
      </w:r>
    </w:p>
    <w:p>
      <w:pPr>
        <w:spacing w:line="460" w:lineRule="exact"/>
        <w:ind w:firstLine="480"/>
        <w:jc w:val="left"/>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asciiTheme="minorEastAsia" w:hAnsiTheme="minorEastAsia" w:eastAsiaTheme="minorEastAsia"/>
          <w:sz w:val="24"/>
          <w:szCs w:val="24"/>
        </w:rPr>
        <w:t>2</w:t>
      </w:r>
      <w:r>
        <w:rPr>
          <w:rFonts w:hint="eastAsia" w:asciiTheme="minorEastAsia" w:hAnsiTheme="minorEastAsia" w:eastAsiaTheme="minorEastAsia"/>
          <w:sz w:val="24"/>
          <w:szCs w:val="24"/>
        </w:rPr>
        <w:t>）警戒保卫组：设置警界区域，维护现场秩序，疏通道路；按技术专家组确定的避灾路线组织危险区人员撤离；劝说围观群众离开现场，进行人员疏散，保证人员安全撤离；保证交通路线畅通，保障救灾物资（防毒设备等）安全、顺利到达事故现场；事故发生后，禁止无关人员进入现场。</w:t>
      </w:r>
    </w:p>
    <w:p>
      <w:pPr>
        <w:spacing w:line="460" w:lineRule="exact"/>
        <w:ind w:firstLine="480"/>
        <w:jc w:val="left"/>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asciiTheme="minorEastAsia" w:hAnsiTheme="minorEastAsia" w:eastAsiaTheme="minorEastAsia"/>
          <w:sz w:val="24"/>
          <w:szCs w:val="24"/>
        </w:rPr>
        <w:t>3</w:t>
      </w:r>
      <w:r>
        <w:rPr>
          <w:rFonts w:hint="eastAsia" w:asciiTheme="minorEastAsia" w:hAnsiTheme="minorEastAsia" w:eastAsiaTheme="minorEastAsia"/>
          <w:sz w:val="24"/>
          <w:szCs w:val="24"/>
        </w:rPr>
        <w:t>）医疗救援组职责：对受伤、中毒人员进行现场救护，保证救治药品和救护器材的供应。负责转运受伤人员过程的医疗监护。</w:t>
      </w:r>
    </w:p>
    <w:p>
      <w:pPr>
        <w:spacing w:line="460" w:lineRule="exact"/>
        <w:ind w:firstLine="480"/>
        <w:jc w:val="left"/>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asciiTheme="minorEastAsia" w:hAnsiTheme="minorEastAsia" w:eastAsiaTheme="minorEastAsia"/>
          <w:sz w:val="24"/>
          <w:szCs w:val="24"/>
        </w:rPr>
        <w:t>4</w:t>
      </w:r>
      <w:r>
        <w:rPr>
          <w:rFonts w:hint="eastAsia" w:asciiTheme="minorEastAsia" w:hAnsiTheme="minorEastAsia" w:eastAsiaTheme="minorEastAsia"/>
          <w:sz w:val="24"/>
          <w:szCs w:val="24"/>
        </w:rPr>
        <w:t>）环境监测组：对发生污染区域的水、大气、土壤、动植物受污染程度、危害范围进行检测，迅速作出监测报告，并进行跟踪监测，提出处理报告。</w:t>
      </w:r>
    </w:p>
    <w:p>
      <w:pPr>
        <w:spacing w:line="460" w:lineRule="exact"/>
        <w:ind w:firstLine="480"/>
        <w:jc w:val="left"/>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asciiTheme="minorEastAsia" w:hAnsiTheme="minorEastAsia" w:eastAsiaTheme="minorEastAsia"/>
          <w:sz w:val="24"/>
          <w:szCs w:val="24"/>
        </w:rPr>
        <w:t>5</w:t>
      </w:r>
      <w:r>
        <w:rPr>
          <w:rFonts w:hint="eastAsia" w:asciiTheme="minorEastAsia" w:hAnsiTheme="minorEastAsia" w:eastAsiaTheme="minorEastAsia"/>
          <w:sz w:val="24"/>
          <w:szCs w:val="24"/>
        </w:rPr>
        <w:t>）综合协调组：</w:t>
      </w:r>
    </w:p>
    <w:p>
      <w:pPr>
        <w:spacing w:line="460" w:lineRule="exact"/>
        <w:ind w:firstLine="480"/>
        <w:jc w:val="left"/>
        <w:rPr>
          <w:rFonts w:asciiTheme="minorEastAsia" w:hAnsiTheme="minorEastAsia" w:eastAsiaTheme="minorEastAsia"/>
          <w:sz w:val="24"/>
          <w:szCs w:val="24"/>
        </w:rPr>
      </w:pPr>
      <w:r>
        <w:rPr>
          <w:rFonts w:hint="eastAsia" w:cs="宋体" w:asciiTheme="minorEastAsia" w:hAnsiTheme="minorEastAsia" w:eastAsiaTheme="minorEastAsia"/>
          <w:sz w:val="24"/>
          <w:szCs w:val="24"/>
        </w:rPr>
        <w:t>①</w:t>
      </w:r>
      <w:r>
        <w:rPr>
          <w:rFonts w:hint="eastAsia" w:asciiTheme="minorEastAsia" w:hAnsiTheme="minorEastAsia" w:eastAsiaTheme="minorEastAsia"/>
          <w:sz w:val="24"/>
          <w:szCs w:val="24"/>
        </w:rPr>
        <w:t>、</w:t>
      </w:r>
      <w:r>
        <w:rPr>
          <w:rFonts w:asciiTheme="minorEastAsia" w:hAnsiTheme="minorEastAsia" w:eastAsiaTheme="minorEastAsia"/>
          <w:sz w:val="24"/>
          <w:szCs w:val="24"/>
        </w:rPr>
        <w:t>(1)</w:t>
      </w:r>
      <w:r>
        <w:rPr>
          <w:rFonts w:hint="eastAsia" w:asciiTheme="minorEastAsia" w:hAnsiTheme="minorEastAsia" w:eastAsiaTheme="minorEastAsia"/>
          <w:sz w:val="24"/>
          <w:szCs w:val="24"/>
        </w:rPr>
        <w:t>对受伤、中毒人员进行现场救护，保证救治药品和救护器材的供应。负责转运受伤人员过程的医疗监护。公司与（涪陵急救中心）医院签定救护协议，对较严重的受伤人员进行救护。</w:t>
      </w:r>
    </w:p>
    <w:p>
      <w:pPr>
        <w:spacing w:line="460" w:lineRule="exact"/>
        <w:ind w:firstLine="480"/>
        <w:jc w:val="left"/>
        <w:rPr>
          <w:rFonts w:asciiTheme="minorEastAsia" w:hAnsiTheme="minorEastAsia" w:eastAsiaTheme="minorEastAsia"/>
          <w:sz w:val="24"/>
          <w:szCs w:val="24"/>
        </w:rPr>
      </w:pPr>
      <w:r>
        <w:rPr>
          <w:rFonts w:hint="eastAsia" w:cs="宋体" w:asciiTheme="minorEastAsia" w:hAnsiTheme="minorEastAsia" w:eastAsiaTheme="minorEastAsia"/>
          <w:sz w:val="24"/>
          <w:szCs w:val="24"/>
        </w:rPr>
        <w:t>②</w:t>
      </w:r>
      <w:r>
        <w:rPr>
          <w:rFonts w:hint="eastAsia" w:asciiTheme="minorEastAsia" w:hAnsiTheme="minorEastAsia" w:eastAsiaTheme="minorEastAsia"/>
          <w:sz w:val="24"/>
          <w:szCs w:val="24"/>
        </w:rPr>
        <w:t>、负责调集救援物资（如：防毒面具、防护服、抢险用具等）并组织发放，组织指挥人员和抢险人员的现场食宿安排，协助处理伤员的救护工作。</w:t>
      </w:r>
    </w:p>
    <w:p>
      <w:pPr>
        <w:spacing w:line="460" w:lineRule="exact"/>
        <w:ind w:firstLine="480"/>
        <w:jc w:val="left"/>
        <w:rPr>
          <w:rFonts w:asciiTheme="minorEastAsia" w:hAnsiTheme="minorEastAsia" w:eastAsiaTheme="minorEastAsia"/>
          <w:sz w:val="24"/>
          <w:szCs w:val="24"/>
        </w:rPr>
      </w:pPr>
      <w:r>
        <w:rPr>
          <w:rFonts w:hint="eastAsia" w:cs="宋体" w:asciiTheme="minorEastAsia" w:hAnsiTheme="minorEastAsia" w:eastAsiaTheme="minorEastAsia"/>
          <w:sz w:val="24"/>
          <w:szCs w:val="24"/>
        </w:rPr>
        <w:t>③</w:t>
      </w:r>
      <w:r>
        <w:rPr>
          <w:rFonts w:hint="eastAsia" w:asciiTheme="minorEastAsia" w:hAnsiTheme="minorEastAsia" w:eastAsiaTheme="minorEastAsia"/>
          <w:sz w:val="24"/>
          <w:szCs w:val="24"/>
        </w:rPr>
        <w:t>、负责对死难、受伤人员家属的安抚、慰问工作，作好群众的思想稳定工作，妥善处理好善后事宜，消除各种不安全、不稳定因素。</w:t>
      </w:r>
    </w:p>
    <w:p>
      <w:pPr>
        <w:spacing w:line="460" w:lineRule="exact"/>
        <w:ind w:firstLine="480"/>
        <w:jc w:val="left"/>
        <w:rPr>
          <w:rFonts w:asciiTheme="minorEastAsia" w:hAnsiTheme="minorEastAsia" w:eastAsiaTheme="minorEastAsia"/>
          <w:sz w:val="24"/>
          <w:szCs w:val="24"/>
        </w:rPr>
      </w:pPr>
      <w:r>
        <w:rPr>
          <w:rFonts w:hint="eastAsia" w:cs="宋体" w:asciiTheme="minorEastAsia" w:hAnsiTheme="minorEastAsia" w:eastAsiaTheme="minorEastAsia"/>
          <w:sz w:val="24"/>
          <w:szCs w:val="24"/>
        </w:rPr>
        <w:t>④</w:t>
      </w:r>
      <w:r>
        <w:rPr>
          <w:rFonts w:hint="eastAsia" w:asciiTheme="minorEastAsia" w:hAnsiTheme="minorEastAsia" w:eastAsiaTheme="minorEastAsia"/>
          <w:sz w:val="24"/>
          <w:szCs w:val="24"/>
        </w:rPr>
        <w:t>、协助相关应急小组的工作。</w:t>
      </w:r>
    </w:p>
    <w:p>
      <w:pPr>
        <w:pStyle w:val="26"/>
        <w:spacing w:line="300" w:lineRule="exact"/>
        <w:jc w:val="left"/>
        <w:rPr>
          <w:rFonts w:asciiTheme="minorEastAsia" w:hAnsiTheme="minorEastAsia" w:eastAsiaTheme="minorEastAsia"/>
          <w:sz w:val="24"/>
        </w:rPr>
      </w:pPr>
    </w:p>
    <w:p>
      <w:pPr>
        <w:pStyle w:val="26"/>
        <w:spacing w:line="300" w:lineRule="exact"/>
        <w:ind w:firstLine="560" w:firstLineChars="200"/>
        <w:jc w:val="left"/>
        <w:rPr>
          <w:rFonts w:asciiTheme="minorEastAsia" w:hAnsiTheme="minorEastAsia" w:eastAsiaTheme="minorEastAsia"/>
          <w:sz w:val="28"/>
          <w:szCs w:val="28"/>
        </w:rPr>
      </w:pPr>
    </w:p>
    <w:p>
      <w:pPr>
        <w:pStyle w:val="26"/>
        <w:spacing w:line="300" w:lineRule="exact"/>
        <w:ind w:firstLine="560" w:firstLineChars="200"/>
        <w:jc w:val="left"/>
        <w:rPr>
          <w:rFonts w:asciiTheme="minorEastAsia" w:hAnsiTheme="minorEastAsia" w:eastAsiaTheme="minorEastAsia"/>
          <w:sz w:val="28"/>
          <w:szCs w:val="28"/>
        </w:rPr>
      </w:pPr>
    </w:p>
    <w:p>
      <w:pPr>
        <w:pStyle w:val="26"/>
        <w:spacing w:line="300" w:lineRule="exact"/>
        <w:ind w:firstLine="560" w:firstLineChars="200"/>
        <w:jc w:val="left"/>
        <w:rPr>
          <w:rFonts w:asciiTheme="minorEastAsia" w:hAnsiTheme="minorEastAsia" w:eastAsiaTheme="minorEastAsia"/>
          <w:sz w:val="28"/>
          <w:szCs w:val="28"/>
        </w:rPr>
      </w:pPr>
    </w:p>
    <w:p>
      <w:pPr>
        <w:pStyle w:val="26"/>
        <w:spacing w:line="300" w:lineRule="exact"/>
        <w:ind w:firstLine="560" w:firstLineChars="200"/>
        <w:jc w:val="left"/>
        <w:rPr>
          <w:rFonts w:asciiTheme="minorEastAsia" w:hAnsiTheme="minorEastAsia" w:eastAsiaTheme="minorEastAsia"/>
          <w:sz w:val="28"/>
          <w:szCs w:val="28"/>
        </w:rPr>
      </w:pPr>
    </w:p>
    <w:p>
      <w:pPr>
        <w:pStyle w:val="26"/>
        <w:spacing w:line="300" w:lineRule="exact"/>
        <w:jc w:val="left"/>
        <w:rPr>
          <w:rFonts w:asciiTheme="minorEastAsia" w:hAnsiTheme="minorEastAsia" w:eastAsiaTheme="minorEastAsia"/>
          <w:sz w:val="28"/>
          <w:szCs w:val="28"/>
        </w:rPr>
      </w:pPr>
    </w:p>
    <w:p>
      <w:pPr>
        <w:pStyle w:val="26"/>
        <w:spacing w:line="300" w:lineRule="exact"/>
        <w:jc w:val="left"/>
        <w:rPr>
          <w:rFonts w:asciiTheme="minorEastAsia" w:hAnsiTheme="minorEastAsia" w:eastAsiaTheme="minorEastAsia"/>
          <w:sz w:val="28"/>
          <w:szCs w:val="28"/>
        </w:rPr>
      </w:pPr>
    </w:p>
    <w:p>
      <w:pPr>
        <w:pStyle w:val="26"/>
        <w:spacing w:line="300" w:lineRule="exact"/>
        <w:jc w:val="left"/>
        <w:rPr>
          <w:rFonts w:asciiTheme="minorEastAsia" w:hAnsiTheme="minorEastAsia" w:eastAsiaTheme="minorEastAsia"/>
          <w:sz w:val="28"/>
          <w:szCs w:val="28"/>
        </w:rPr>
      </w:pPr>
    </w:p>
    <w:p>
      <w:pPr>
        <w:pStyle w:val="26"/>
        <w:spacing w:line="300" w:lineRule="exact"/>
        <w:jc w:val="left"/>
        <w:rPr>
          <w:rFonts w:asciiTheme="minorEastAsia" w:hAnsiTheme="minorEastAsia" w:eastAsiaTheme="minorEastAsia"/>
          <w:sz w:val="28"/>
          <w:szCs w:val="28"/>
        </w:rPr>
      </w:pPr>
    </w:p>
    <w:p>
      <w:pPr>
        <w:pStyle w:val="26"/>
        <w:spacing w:line="320" w:lineRule="exact"/>
        <w:ind w:left="0" w:leftChars="0"/>
        <w:jc w:val="left"/>
        <w:rPr>
          <w:rFonts w:asciiTheme="minorEastAsia" w:hAnsiTheme="minorEastAsia" w:eastAsiaTheme="minorEastAsia"/>
          <w:sz w:val="28"/>
          <w:szCs w:val="28"/>
        </w:rPr>
      </w:pPr>
    </w:p>
    <w:p>
      <w:pPr>
        <w:spacing w:line="600" w:lineRule="exact"/>
        <w:jc w:val="left"/>
        <w:rPr>
          <w:rFonts w:asciiTheme="minorEastAsia" w:hAnsiTheme="minorEastAsia" w:eastAsiaTheme="minorEastAsia"/>
          <w:b/>
          <w:sz w:val="28"/>
          <w:szCs w:val="28"/>
        </w:rPr>
      </w:pPr>
      <w:bookmarkStart w:id="207" w:name="_Toc185670981"/>
      <w:bookmarkStart w:id="208" w:name="_Toc198007334"/>
      <w:bookmarkStart w:id="209" w:name="_Toc184808761"/>
      <w:bookmarkStart w:id="210" w:name="_Toc229283970"/>
      <w:bookmarkStart w:id="211" w:name="_Toc196018635"/>
      <w:bookmarkStart w:id="212" w:name="_Toc198355319"/>
      <w:bookmarkStart w:id="213" w:name="_Toc183339497"/>
      <w:bookmarkStart w:id="214" w:name="_Toc336327127"/>
      <w:bookmarkStart w:id="215" w:name="_Toc304964442"/>
      <w:bookmarkStart w:id="216" w:name="_Toc262051115"/>
      <w:bookmarkStart w:id="217" w:name="_Toc336326849"/>
      <w:bookmarkStart w:id="218" w:name="_Toc262040275"/>
      <w:bookmarkStart w:id="219" w:name="_Toc196018431"/>
      <w:bookmarkStart w:id="220" w:name="_Toc304963599"/>
      <w:bookmarkStart w:id="221" w:name="_Toc197251339"/>
      <w:bookmarkStart w:id="222" w:name="_Toc179794543"/>
      <w:bookmarkStart w:id="223" w:name="_Toc184809548"/>
      <w:bookmarkStart w:id="224" w:name="_Toc262051536"/>
      <w:bookmarkStart w:id="225" w:name="_Toc304962955"/>
      <w:bookmarkStart w:id="226" w:name="_Toc196018540"/>
      <w:bookmarkStart w:id="227" w:name="_Toc183339221"/>
      <w:bookmarkStart w:id="228" w:name="_Toc304833232"/>
      <w:bookmarkStart w:id="229" w:name="_Toc262050865"/>
      <w:bookmarkStart w:id="230" w:name="_Toc387131756"/>
      <w:bookmarkStart w:id="231" w:name="_Toc387131499"/>
      <w:bookmarkStart w:id="232" w:name="_Toc387131425"/>
      <w:bookmarkStart w:id="233" w:name="_Toc408274433"/>
      <w:bookmarkStart w:id="234" w:name="_Toc19812"/>
    </w:p>
    <w:p>
      <w:pPr>
        <w:adjustRightInd w:val="0"/>
        <w:snapToGrid w:val="0"/>
        <w:spacing w:line="440" w:lineRule="exact"/>
        <w:jc w:val="left"/>
        <w:textAlignment w:val="center"/>
        <w:outlineLvl w:val="0"/>
        <w:rPr>
          <w:rFonts w:asciiTheme="minorEastAsia" w:hAnsiTheme="minorEastAsia" w:eastAsiaTheme="minorEastAsia"/>
          <w:b/>
          <w:color w:val="000000"/>
          <w:sz w:val="32"/>
        </w:rPr>
      </w:pPr>
    </w:p>
    <w:p>
      <w:pPr>
        <w:adjustRightInd w:val="0"/>
        <w:snapToGrid w:val="0"/>
        <w:spacing w:line="440" w:lineRule="exact"/>
        <w:jc w:val="left"/>
        <w:textAlignment w:val="center"/>
        <w:outlineLvl w:val="0"/>
        <w:rPr>
          <w:rFonts w:asciiTheme="minorEastAsia" w:hAnsiTheme="minorEastAsia" w:eastAsiaTheme="minorEastAsia"/>
          <w:b/>
          <w:color w:val="000000"/>
          <w:sz w:val="32"/>
        </w:rPr>
      </w:pPr>
    </w:p>
    <w:p>
      <w:pPr>
        <w:adjustRightInd w:val="0"/>
        <w:snapToGrid w:val="0"/>
        <w:spacing w:line="440" w:lineRule="exact"/>
        <w:jc w:val="left"/>
        <w:textAlignment w:val="center"/>
        <w:outlineLvl w:val="0"/>
        <w:rPr>
          <w:rFonts w:asciiTheme="minorEastAsia" w:hAnsiTheme="minorEastAsia" w:eastAsiaTheme="minorEastAsia"/>
          <w:b/>
          <w:color w:val="000000"/>
          <w:sz w:val="32"/>
        </w:rPr>
      </w:pPr>
    </w:p>
    <w:p>
      <w:pPr>
        <w:adjustRightInd w:val="0"/>
        <w:snapToGrid w:val="0"/>
        <w:spacing w:line="460" w:lineRule="exact"/>
        <w:outlineLvl w:val="1"/>
        <w:rPr>
          <w:b/>
          <w:color w:val="000000"/>
          <w:sz w:val="28"/>
          <w:szCs w:val="28"/>
        </w:rPr>
      </w:pPr>
    </w:p>
    <w:p>
      <w:pPr>
        <w:adjustRightInd w:val="0"/>
        <w:snapToGrid w:val="0"/>
        <w:spacing w:line="460" w:lineRule="exact"/>
        <w:outlineLvl w:val="1"/>
        <w:rPr>
          <w:b/>
          <w:color w:val="000000"/>
          <w:sz w:val="28"/>
          <w:szCs w:val="28"/>
        </w:rPr>
      </w:pPr>
      <w:bookmarkStart w:id="235" w:name="_Toc32053"/>
      <w:r>
        <w:rPr>
          <w:rFonts w:hint="eastAsia"/>
          <w:b/>
          <w:color w:val="000000"/>
          <w:sz w:val="28"/>
          <w:szCs w:val="28"/>
        </w:rPr>
        <w:t>4.4应急</w:t>
      </w:r>
      <w:r>
        <w:rPr>
          <w:b/>
          <w:color w:val="000000"/>
          <w:sz w:val="28"/>
          <w:szCs w:val="28"/>
        </w:rPr>
        <w:t>预案</w:t>
      </w:r>
      <w:r>
        <w:rPr>
          <w:rFonts w:hint="eastAsia"/>
          <w:b/>
          <w:color w:val="000000"/>
          <w:sz w:val="28"/>
          <w:szCs w:val="28"/>
        </w:rPr>
        <w:t>体系转换</w:t>
      </w:r>
      <w:r>
        <w:rPr>
          <w:b/>
          <w:color w:val="000000"/>
          <w:sz w:val="28"/>
          <w:szCs w:val="28"/>
        </w:rPr>
        <w:t>与</w:t>
      </w:r>
      <w:r>
        <w:rPr>
          <w:rFonts w:hint="eastAsia"/>
          <w:b/>
          <w:color w:val="000000"/>
          <w:sz w:val="28"/>
          <w:szCs w:val="28"/>
        </w:rPr>
        <w:t>衔接条件</w:t>
      </w:r>
      <w:bookmarkEnd w:id="235"/>
    </w:p>
    <w:p>
      <w:pPr>
        <w:adjustRightInd w:val="0"/>
        <w:snapToGrid w:val="0"/>
        <w:spacing w:line="460" w:lineRule="exact"/>
        <w:outlineLvl w:val="1"/>
        <w:rPr>
          <w:b/>
          <w:color w:val="000000"/>
          <w:sz w:val="26"/>
          <w:szCs w:val="26"/>
        </w:rPr>
      </w:pPr>
    </w:p>
    <w:p>
      <w:pPr>
        <w:rPr>
          <w:b/>
          <w:color w:val="000000"/>
          <w:sz w:val="28"/>
          <w:szCs w:val="28"/>
        </w:rPr>
      </w:pPr>
      <w:r>
        <w:rPr>
          <w:b/>
          <w:color w:val="000000"/>
          <w:sz w:val="28"/>
          <w:szCs w:val="28"/>
        </w:rPr>
        <w:pict>
          <v:shape id="_x0000_s1088" o:spid="_x0000_s1088" o:spt="202" type="#_x0000_t202" style="position:absolute;left:0pt;margin-left:81pt;margin-top:15.6pt;height:23.4pt;width:108pt;z-index:251660288;mso-width-relative:page;mso-height-relative:page;" coordsize="21600,21600">
            <v:path/>
            <v:fill focussize="0,0"/>
            <v:stroke joinstyle="miter"/>
            <v:imagedata o:title=""/>
            <o:lock v:ext="edit"/>
            <v:textbox>
              <w:txbxContent>
                <w:p>
                  <w:pPr>
                    <w:rPr>
                      <w:sz w:val="22"/>
                    </w:rPr>
                  </w:pPr>
                  <w:r>
                    <w:rPr>
                      <w:rFonts w:hint="eastAsia"/>
                      <w:sz w:val="22"/>
                    </w:rPr>
                    <w:t>现场环境事件发生</w:t>
                  </w:r>
                </w:p>
              </w:txbxContent>
            </v:textbox>
          </v:shape>
        </w:pict>
      </w:r>
    </w:p>
    <w:p>
      <w:pPr>
        <w:rPr>
          <w:b/>
          <w:color w:val="000000"/>
          <w:sz w:val="28"/>
          <w:szCs w:val="28"/>
        </w:rPr>
      </w:pPr>
      <w:r>
        <w:rPr>
          <w:b/>
          <w:color w:val="000000"/>
          <w:sz w:val="28"/>
          <w:szCs w:val="28"/>
        </w:rPr>
        <w:pict>
          <v:shape id="_x0000_s1089" o:spid="_x0000_s1089" o:spt="32" type="#_x0000_t32" style="position:absolute;left:0pt;margin-left:132pt;margin-top:12.9pt;height:29.25pt;width:0.75pt;z-index:251661312;mso-width-relative:page;mso-height-relative:page;" o:connectortype="straight" filled="f" coordsize="21600,21600">
            <v:path arrowok="t"/>
            <v:fill on="f" focussize="0,0"/>
            <v:stroke endarrow="block"/>
            <v:imagedata o:title=""/>
            <o:lock v:ext="edit"/>
          </v:shape>
        </w:pict>
      </w:r>
    </w:p>
    <w:p>
      <w:pPr>
        <w:rPr>
          <w:b/>
          <w:color w:val="000000"/>
          <w:sz w:val="28"/>
          <w:szCs w:val="28"/>
        </w:rPr>
      </w:pPr>
      <w:r>
        <w:rPr>
          <w:b/>
          <w:color w:val="000000"/>
          <w:sz w:val="28"/>
          <w:szCs w:val="28"/>
        </w:rPr>
        <w:pict>
          <v:shape id="_x0000_s1090" o:spid="_x0000_s1090" o:spt="202" type="#_x0000_t202" style="position:absolute;left:0pt;margin-left:291pt;margin-top:29.25pt;height:47.25pt;width:44.25pt;z-index:251662336;mso-width-relative:page;mso-height-relative:page;" filled="f" stroked="f" coordsize="21600,21600">
            <v:path/>
            <v:fill on="f" focussize="0,0"/>
            <v:stroke on="f" joinstyle="miter"/>
            <v:imagedata o:title=""/>
            <o:lock v:ext="edit"/>
            <v:textbox>
              <w:txbxContent>
                <w:p>
                  <w:pPr>
                    <w:rPr>
                      <w:szCs w:val="21"/>
                    </w:rPr>
                  </w:pPr>
                  <w:r>
                    <w:rPr>
                      <w:rFonts w:hint="eastAsia"/>
                      <w:szCs w:val="21"/>
                    </w:rPr>
                    <w:t>事件平 息</w:t>
                  </w:r>
                </w:p>
              </w:txbxContent>
            </v:textbox>
          </v:shape>
        </w:pict>
      </w:r>
      <w:r>
        <w:rPr>
          <w:b/>
          <w:color w:val="000000"/>
          <w:sz w:val="28"/>
          <w:szCs w:val="28"/>
        </w:rPr>
        <w:pict>
          <v:shape id="_x0000_s1091" o:spid="_x0000_s1091" o:spt="202" type="#_x0000_t202" style="position:absolute;left:0pt;margin-left:244.5pt;margin-top:39pt;height:73.95pt;width:45.75pt;z-index:251663360;mso-width-relative:page;mso-height-relative:page;" coordsize="21600,21600">
            <v:path/>
            <v:fill focussize="0,0"/>
            <v:stroke joinstyle="miter"/>
            <v:imagedata o:title=""/>
            <o:lock v:ext="edit"/>
            <v:textbox>
              <w:txbxContent>
                <w:p>
                  <w:pPr>
                    <w:rPr>
                      <w:sz w:val="22"/>
                    </w:rPr>
                  </w:pPr>
                  <w:r>
                    <w:rPr>
                      <w:rFonts w:hint="eastAsia"/>
                      <w:sz w:val="22"/>
                    </w:rPr>
                    <w:t>发布单位现场预 警</w:t>
                  </w:r>
                </w:p>
              </w:txbxContent>
            </v:textbox>
          </v:shape>
        </w:pict>
      </w:r>
      <w:r>
        <w:rPr>
          <w:b/>
          <w:color w:val="000000"/>
          <w:sz w:val="28"/>
          <w:szCs w:val="28"/>
        </w:rPr>
        <w:pict>
          <v:shape id="_x0000_s1092" o:spid="_x0000_s1092" o:spt="32" type="#_x0000_t32" style="position:absolute;left:0pt;margin-left:181.5pt;margin-top:69pt;height:0pt;width:63pt;z-index:251664384;mso-width-relative:page;mso-height-relative:page;" o:connectortype="straight" filled="f" coordsize="21600,21600">
            <v:path arrowok="t"/>
            <v:fill on="f" focussize="0,0"/>
            <v:stroke endarrow="block"/>
            <v:imagedata o:title=""/>
            <o:lock v:ext="edit"/>
          </v:shape>
        </w:pict>
      </w:r>
      <w:r>
        <w:rPr>
          <w:b/>
          <w:color w:val="000000"/>
          <w:sz w:val="28"/>
          <w:szCs w:val="28"/>
        </w:rPr>
        <w:pict>
          <v:shape id="_x0000_s1093" o:spid="_x0000_s1093" o:spt="202" type="#_x0000_t202" style="position:absolute;left:0pt;margin-left:81pt;margin-top:9.75pt;height:21.45pt;width:117pt;z-index:251665408;mso-width-relative:page;mso-height-relative:page;" coordsize="21600,21600">
            <v:path/>
            <v:fill focussize="0,0"/>
            <v:stroke joinstyle="miter"/>
            <v:imagedata o:title=""/>
            <o:lock v:ext="edit"/>
            <v:textbox>
              <w:txbxContent>
                <w:p>
                  <w:pPr>
                    <w:rPr>
                      <w:sz w:val="22"/>
                    </w:rPr>
                  </w:pPr>
                  <w:r>
                    <w:rPr>
                      <w:rFonts w:hint="eastAsia"/>
                      <w:sz w:val="22"/>
                    </w:rPr>
                    <w:t>现场应急小组组长</w:t>
                  </w:r>
                </w:p>
              </w:txbxContent>
            </v:textbox>
          </v:shape>
        </w:pict>
      </w:r>
    </w:p>
    <w:p>
      <w:pPr>
        <w:rPr>
          <w:b/>
          <w:color w:val="000000"/>
          <w:sz w:val="28"/>
          <w:szCs w:val="28"/>
        </w:rPr>
      </w:pPr>
      <w:r>
        <w:rPr>
          <w:b/>
          <w:color w:val="000000"/>
          <w:sz w:val="28"/>
          <w:szCs w:val="28"/>
        </w:rPr>
        <w:pict>
          <v:shape id="_x0000_s1094" o:spid="_x0000_s1094" o:spt="202" type="#_x0000_t202" style="position:absolute;left:0pt;margin-left:339pt;margin-top:22.05pt;height:71.55pt;width:30pt;z-index:251666432;mso-width-relative:page;mso-height-relative:page;" coordsize="21600,21600">
            <v:path/>
            <v:fill focussize="0,0"/>
            <v:stroke joinstyle="miter"/>
            <v:imagedata o:title=""/>
            <o:lock v:ext="edit"/>
            <v:textbox>
              <w:txbxContent>
                <w:p>
                  <w:pPr>
                    <w:rPr>
                      <w:sz w:val="22"/>
                    </w:rPr>
                  </w:pPr>
                  <w:r>
                    <w:rPr>
                      <w:rFonts w:hint="eastAsia"/>
                      <w:sz w:val="22"/>
                    </w:rPr>
                    <w:t>预</w:t>
                  </w:r>
                </w:p>
                <w:p>
                  <w:pPr>
                    <w:rPr>
                      <w:sz w:val="22"/>
                    </w:rPr>
                  </w:pPr>
                  <w:r>
                    <w:rPr>
                      <w:rFonts w:hint="eastAsia"/>
                      <w:sz w:val="22"/>
                    </w:rPr>
                    <w:t>警</w:t>
                  </w:r>
                </w:p>
                <w:p>
                  <w:pPr>
                    <w:rPr>
                      <w:sz w:val="22"/>
                    </w:rPr>
                  </w:pPr>
                  <w:r>
                    <w:rPr>
                      <w:rFonts w:hint="eastAsia"/>
                      <w:sz w:val="22"/>
                    </w:rPr>
                    <w:t>解</w:t>
                  </w:r>
                </w:p>
                <w:p>
                  <w:pPr>
                    <w:rPr>
                      <w:sz w:val="22"/>
                    </w:rPr>
                  </w:pPr>
                  <w:r>
                    <w:rPr>
                      <w:rFonts w:hint="eastAsia"/>
                      <w:sz w:val="22"/>
                    </w:rPr>
                    <w:t>除</w:t>
                  </w:r>
                </w:p>
              </w:txbxContent>
            </v:textbox>
          </v:shape>
        </w:pict>
      </w:r>
      <w:r>
        <w:rPr>
          <w:b/>
          <w:color w:val="000000"/>
          <w:sz w:val="28"/>
          <w:szCs w:val="28"/>
        </w:rPr>
        <w:pict>
          <v:shape id="_x0000_s1095" o:spid="_x0000_s1095" o:spt="202" type="#_x0000_t202" style="position:absolute;left:0pt;margin-left:193.45pt;margin-top:17.55pt;height:30pt;width:39.75pt;z-index:251667456;mso-width-relative:page;mso-height-relative:page;" filled="f" stroked="f" coordsize="21600,21600">
            <v:path/>
            <v:fill on="f" focussize="0,0"/>
            <v:stroke on="f" joinstyle="miter"/>
            <v:imagedata o:title=""/>
            <o:lock v:ext="edit"/>
            <v:textbox>
              <w:txbxContent>
                <w:p>
                  <w:r>
                    <w:rPr>
                      <w:rFonts w:hint="eastAsia"/>
                    </w:rPr>
                    <w:t>IV级</w:t>
                  </w:r>
                </w:p>
              </w:txbxContent>
            </v:textbox>
          </v:shape>
        </w:pict>
      </w:r>
      <w:r>
        <w:rPr>
          <w:b/>
          <w:color w:val="000000"/>
          <w:sz w:val="28"/>
          <w:szCs w:val="28"/>
        </w:rPr>
        <w:pict>
          <v:shape id="_x0000_s1096" o:spid="_x0000_s1096" o:spt="202" type="#_x0000_t202" style="position:absolute;left:0pt;margin-left:90pt;margin-top:23.4pt;height:23.4pt;width:90pt;z-index:251668480;mso-width-relative:page;mso-height-relative:page;" coordsize="21600,21600">
            <v:path/>
            <v:fill focussize="0,0"/>
            <v:stroke joinstyle="miter"/>
            <v:imagedata o:title=""/>
            <o:lock v:ext="edit"/>
            <v:textbox>
              <w:txbxContent>
                <w:p>
                  <w:pPr>
                    <w:rPr>
                      <w:sz w:val="22"/>
                    </w:rPr>
                  </w:pPr>
                  <w:r>
                    <w:rPr>
                      <w:rFonts w:hint="eastAsia"/>
                      <w:sz w:val="22"/>
                    </w:rPr>
                    <w:t>事件等级判断</w:t>
                  </w:r>
                </w:p>
              </w:txbxContent>
            </v:textbox>
          </v:shape>
        </w:pict>
      </w:r>
      <w:r>
        <w:rPr>
          <w:b/>
          <w:color w:val="000000"/>
          <w:sz w:val="28"/>
          <w:szCs w:val="28"/>
        </w:rPr>
        <w:pict>
          <v:shape id="_x0000_s1097" o:spid="_x0000_s1097" o:spt="32" type="#_x0000_t32" style="position:absolute;left:0pt;margin-left:132.4pt;margin-top:0pt;height:23.25pt;width:0pt;z-index:251669504;mso-width-relative:page;mso-height-relative:page;" o:connectortype="straight" filled="f" coordsize="21600,21600">
            <v:path arrowok="t"/>
            <v:fill on="f" focussize="0,0"/>
            <v:stroke endarrow="block"/>
            <v:imagedata o:title=""/>
            <o:lock v:ext="edit"/>
          </v:shape>
        </w:pict>
      </w:r>
    </w:p>
    <w:p>
      <w:pPr>
        <w:rPr>
          <w:b/>
          <w:color w:val="000000"/>
          <w:sz w:val="28"/>
          <w:szCs w:val="28"/>
        </w:rPr>
      </w:pPr>
      <w:r>
        <w:rPr>
          <w:b/>
          <w:color w:val="000000"/>
          <w:sz w:val="28"/>
          <w:szCs w:val="28"/>
        </w:rPr>
        <w:pict>
          <v:shape id="_x0000_s1098" o:spid="_x0000_s1098" o:spt="32" type="#_x0000_t32" style="position:absolute;left:0pt;margin-left:290.5pt;margin-top:7.15pt;height:0pt;width:42pt;z-index:251670528;mso-width-relative:page;mso-height-relative:page;" o:connectortype="straight" filled="f" coordsize="21600,21600">
            <v:path arrowok="t"/>
            <v:fill on="f" focussize="0,0"/>
            <v:stroke endarrow="block"/>
            <v:imagedata o:title=""/>
            <o:lock v:ext="edit"/>
          </v:shape>
        </w:pict>
      </w:r>
      <w:r>
        <w:rPr>
          <w:b/>
          <w:color w:val="000000"/>
          <w:sz w:val="28"/>
          <w:szCs w:val="28"/>
        </w:rPr>
        <w:pict>
          <v:shape id="_x0000_s1099" o:spid="_x0000_s1099" o:spt="32" type="#_x0000_t32" style="position:absolute;left:0pt;margin-left:132.05pt;margin-top:15.6pt;height:23.25pt;width:0pt;z-index:251671552;mso-width-relative:page;mso-height-relative:page;" o:connectortype="straight" filled="f" coordsize="21600,21600">
            <v:path arrowok="t"/>
            <v:fill on="f" focussize="0,0"/>
            <v:stroke endarrow="block"/>
            <v:imagedata o:title=""/>
            <o:lock v:ext="edit"/>
          </v:shape>
        </w:pict>
      </w:r>
    </w:p>
    <w:p>
      <w:pPr>
        <w:rPr>
          <w:b/>
          <w:color w:val="000000"/>
          <w:sz w:val="28"/>
          <w:szCs w:val="28"/>
        </w:rPr>
      </w:pPr>
      <w:r>
        <w:rPr>
          <w:b/>
          <w:color w:val="000000"/>
          <w:sz w:val="28"/>
          <w:szCs w:val="28"/>
        </w:rPr>
        <w:pict>
          <v:shape id="_x0000_s1100" o:spid="_x0000_s1100" o:spt="202" type="#_x0000_t202" style="position:absolute;left:0pt;margin-left:266.4pt;margin-top:22.9pt;height:38.25pt;width:50.25pt;z-index:251672576;mso-width-relative:page;mso-height-relative:page;" filled="f" stroked="f" coordsize="21600,21600">
            <v:path/>
            <v:fill on="f" focussize="0,0"/>
            <v:stroke on="f" joinstyle="miter"/>
            <v:imagedata o:title=""/>
            <o:lock v:ext="edit"/>
            <v:textbox>
              <w:txbxContent>
                <w:p>
                  <w:r>
                    <w:rPr>
                      <w:rFonts w:hint="eastAsia"/>
                    </w:rPr>
                    <w:t>预警</w:t>
                  </w:r>
                </w:p>
                <w:p>
                  <w:r>
                    <w:rPr>
                      <w:rFonts w:hint="eastAsia"/>
                    </w:rPr>
                    <w:t>降级</w:t>
                  </w:r>
                </w:p>
              </w:txbxContent>
            </v:textbox>
          </v:shape>
        </w:pict>
      </w:r>
      <w:r>
        <w:rPr>
          <w:b/>
          <w:color w:val="000000"/>
          <w:sz w:val="28"/>
          <w:szCs w:val="28"/>
        </w:rPr>
        <w:pict>
          <v:shape id="_x0000_s1101" o:spid="_x0000_s1101" o:spt="202" type="#_x0000_t202" style="position:absolute;left:0pt;margin-left:217.75pt;margin-top:22.25pt;height:38.25pt;width:50.25pt;z-index:251673600;mso-width-relative:page;mso-height-relative:page;" filled="f" stroked="f" coordsize="21600,21600">
            <v:path/>
            <v:fill on="f" focussize="0,0"/>
            <v:stroke on="f" joinstyle="miter"/>
            <v:imagedata o:title=""/>
            <o:lock v:ext="edit"/>
            <v:textbox>
              <w:txbxContent>
                <w:p>
                  <w:r>
                    <w:rPr>
                      <w:rFonts w:hint="eastAsia"/>
                    </w:rPr>
                    <w:t>事件影响下降</w:t>
                  </w:r>
                </w:p>
              </w:txbxContent>
            </v:textbox>
          </v:shape>
        </w:pict>
      </w:r>
      <w:r>
        <w:rPr>
          <w:b/>
          <w:color w:val="000000"/>
          <w:sz w:val="28"/>
          <w:szCs w:val="28"/>
        </w:rPr>
        <w:pict>
          <v:shape id="_x0000_s1102" o:spid="_x0000_s1102" o:spt="202" type="#_x0000_t202" style="position:absolute;left:0pt;margin-left:242.9pt;margin-top:167.35pt;height:72pt;width:46.5pt;z-index:251674624;mso-width-relative:page;mso-height-relative:page;" coordsize="21600,21600">
            <v:path/>
            <v:fill focussize="0,0"/>
            <v:stroke joinstyle="miter"/>
            <v:imagedata o:title=""/>
            <o:lock v:ext="edit"/>
            <v:textbox>
              <w:txbxContent>
                <w:p>
                  <w:pPr>
                    <w:rPr>
                      <w:sz w:val="22"/>
                    </w:rPr>
                  </w:pPr>
                  <w:r>
                    <w:rPr>
                      <w:rFonts w:hint="eastAsia"/>
                      <w:sz w:val="22"/>
                    </w:rPr>
                    <w:t>发布厂区片区预 警</w:t>
                  </w:r>
                </w:p>
              </w:txbxContent>
            </v:textbox>
          </v:shape>
        </w:pict>
      </w:r>
      <w:r>
        <w:rPr>
          <w:b/>
          <w:color w:val="000000"/>
          <w:sz w:val="28"/>
          <w:szCs w:val="28"/>
        </w:rPr>
        <w:pict>
          <v:shape id="_x0000_s1103" o:spid="_x0000_s1103" o:spt="32" type="#_x0000_t32" style="position:absolute;left:0pt;flip:y;margin-left:265.4pt;margin-top:18.85pt;height:38.25pt;width:0pt;z-index:251675648;mso-width-relative:page;mso-height-relative:page;" o:connectortype="straight" filled="f" coordsize="21600,21600">
            <v:path arrowok="t"/>
            <v:fill on="f" focussize="0,0"/>
            <v:stroke endarrow="block"/>
            <v:imagedata o:title=""/>
            <o:lock v:ext="edit"/>
          </v:shape>
        </w:pict>
      </w:r>
      <w:r>
        <w:rPr>
          <w:b/>
          <w:color w:val="000000"/>
          <w:sz w:val="28"/>
          <w:szCs w:val="28"/>
        </w:rPr>
        <w:pict>
          <v:shape id="_x0000_s1104" o:spid="_x0000_s1104" o:spt="202" type="#_x0000_t202" style="position:absolute;left:0pt;margin-left:241.4pt;margin-top:57.1pt;height:72pt;width:46.5pt;z-index:251676672;mso-width-relative:page;mso-height-relative:page;" coordsize="21600,21600">
            <v:path/>
            <v:fill focussize="0,0"/>
            <v:stroke joinstyle="miter"/>
            <v:imagedata o:title=""/>
            <o:lock v:ext="edit"/>
            <v:textbox>
              <w:txbxContent>
                <w:p>
                  <w:pPr>
                    <w:rPr>
                      <w:sz w:val="22"/>
                    </w:rPr>
                  </w:pPr>
                  <w:r>
                    <w:rPr>
                      <w:rFonts w:hint="eastAsia"/>
                      <w:sz w:val="22"/>
                    </w:rPr>
                    <w:t>发布厂区片区预 警</w:t>
                  </w:r>
                </w:p>
              </w:txbxContent>
            </v:textbox>
          </v:shape>
        </w:pict>
      </w:r>
      <w:r>
        <w:rPr>
          <w:b/>
          <w:color w:val="000000"/>
          <w:sz w:val="28"/>
          <w:szCs w:val="28"/>
        </w:rPr>
        <w:pict>
          <v:shape id="_x0000_s1105" o:spid="_x0000_s1105" o:spt="32" type="#_x0000_t32" style="position:absolute;left:0pt;flip:y;margin-left:265.4pt;margin-top:129.1pt;height:38.25pt;width:0pt;z-index:251677696;mso-width-relative:page;mso-height-relative:page;" o:connectortype="straight" filled="f" coordsize="21600,21600">
            <v:path arrowok="t"/>
            <v:fill on="f" focussize="0,0"/>
            <v:stroke endarrow="block"/>
            <v:imagedata o:title=""/>
            <o:lock v:ext="edit"/>
          </v:shape>
        </w:pict>
      </w:r>
      <w:r>
        <w:rPr>
          <w:b/>
          <w:color w:val="000000"/>
          <w:sz w:val="28"/>
          <w:szCs w:val="28"/>
        </w:rPr>
        <w:pict>
          <v:shape id="_x0000_s1106" o:spid="_x0000_s1106" o:spt="202" type="#_x0000_t202" style="position:absolute;left:0pt;margin-left:94.55pt;margin-top:6.3pt;height:26.85pt;width:73.5pt;z-index:251678720;mso-width-relative:page;mso-height-relative:page;" coordsize="21600,21600">
            <v:path/>
            <v:fill focussize="0,0"/>
            <v:stroke joinstyle="miter"/>
            <v:imagedata o:title=""/>
            <o:lock v:ext="edit"/>
            <v:textbox>
              <w:txbxContent>
                <w:p>
                  <w:pPr>
                    <w:rPr>
                      <w:sz w:val="22"/>
                    </w:rPr>
                  </w:pPr>
                  <w:r>
                    <w:rPr>
                      <w:rFonts w:hint="eastAsia"/>
                      <w:sz w:val="22"/>
                    </w:rPr>
                    <w:t>安全环保组</w:t>
                  </w:r>
                </w:p>
              </w:txbxContent>
            </v:textbox>
          </v:shape>
        </w:pict>
      </w:r>
    </w:p>
    <w:p>
      <w:pPr>
        <w:rPr>
          <w:b/>
          <w:color w:val="000000"/>
          <w:sz w:val="28"/>
          <w:szCs w:val="28"/>
        </w:rPr>
      </w:pPr>
      <w:r>
        <w:rPr>
          <w:b/>
          <w:color w:val="000000"/>
          <w:sz w:val="28"/>
          <w:szCs w:val="28"/>
        </w:rPr>
        <w:pict>
          <v:shape id="_x0000_s1107" o:spid="_x0000_s1107" o:spt="202" type="#_x0000_t202" style="position:absolute;left:0pt;margin-left:189pt;margin-top:21.45pt;height:30pt;width:39.75pt;z-index:251679744;mso-width-relative:page;mso-height-relative:page;" filled="f" stroked="f" coordsize="21600,21600">
            <v:path/>
            <v:fill on="f" focussize="0,0"/>
            <v:stroke on="f" joinstyle="miter"/>
            <v:imagedata o:title=""/>
            <o:lock v:ext="edit"/>
            <v:textbox>
              <w:txbxContent>
                <w:p>
                  <w:r>
                    <w:rPr>
                      <w:rFonts w:hint="eastAsia"/>
                    </w:rPr>
                    <w:t>III级</w:t>
                  </w:r>
                </w:p>
              </w:txbxContent>
            </v:textbox>
          </v:shape>
        </w:pict>
      </w:r>
      <w:r>
        <w:rPr>
          <w:b/>
          <w:color w:val="000000"/>
          <w:sz w:val="28"/>
          <w:szCs w:val="28"/>
        </w:rPr>
        <w:pict>
          <v:shape id="_x0000_s1108" o:spid="_x0000_s1108" o:spt="202" type="#_x0000_t202" style="position:absolute;left:0pt;margin-left:90.55pt;margin-top:24.45pt;height:26.25pt;width:82.5pt;z-index:251680768;mso-width-relative:page;mso-height-relative:page;" coordsize="21600,21600">
            <v:path/>
            <v:fill focussize="0,0"/>
            <v:stroke joinstyle="miter"/>
            <v:imagedata o:title=""/>
            <o:lock v:ext="edit"/>
            <v:textbox>
              <w:txbxContent>
                <w:p>
                  <w:pPr>
                    <w:rPr>
                      <w:sz w:val="22"/>
                    </w:rPr>
                  </w:pPr>
                  <w:r>
                    <w:rPr>
                      <w:rFonts w:hint="eastAsia"/>
                      <w:sz w:val="22"/>
                    </w:rPr>
                    <w:t>事件等级判读</w:t>
                  </w:r>
                </w:p>
              </w:txbxContent>
            </v:textbox>
          </v:shape>
        </w:pict>
      </w:r>
      <w:r>
        <w:rPr>
          <w:b/>
          <w:color w:val="000000"/>
          <w:sz w:val="28"/>
          <w:szCs w:val="28"/>
        </w:rPr>
        <w:pict>
          <v:shape id="_x0000_s1109" o:spid="_x0000_s1109" o:spt="32" type="#_x0000_t32" style="position:absolute;left:0pt;margin-left:131.95pt;margin-top:1.95pt;height:23.25pt;width:0pt;z-index:251681792;mso-width-relative:page;mso-height-relative:page;" o:connectortype="straight" filled="f" coordsize="21600,21600">
            <v:path arrowok="t"/>
            <v:fill on="f" focussize="0,0"/>
            <v:stroke endarrow="block"/>
            <v:imagedata o:title=""/>
            <o:lock v:ext="edit"/>
          </v:shape>
        </w:pict>
      </w:r>
    </w:p>
    <w:p>
      <w:pPr>
        <w:rPr>
          <w:b/>
          <w:color w:val="000000"/>
          <w:sz w:val="28"/>
          <w:szCs w:val="28"/>
        </w:rPr>
      </w:pPr>
      <w:r>
        <w:rPr>
          <w:b/>
          <w:color w:val="000000"/>
          <w:sz w:val="28"/>
          <w:szCs w:val="28"/>
        </w:rPr>
        <w:pict>
          <v:shape id="_x0000_s1110" o:spid="_x0000_s1110" o:spt="32" type="#_x0000_t32" style="position:absolute;left:0pt;margin-left:180pt;margin-top:7.8pt;height:0pt;width:63pt;z-index:251682816;mso-width-relative:page;mso-height-relative:page;" o:connectortype="straight" filled="f" coordsize="21600,21600">
            <v:path arrowok="t"/>
            <v:fill on="f" focussize="0,0"/>
            <v:stroke endarrow="block"/>
            <v:imagedata o:title=""/>
            <o:lock v:ext="edit"/>
          </v:shape>
        </w:pict>
      </w:r>
      <w:r>
        <w:rPr>
          <w:b/>
          <w:color w:val="000000"/>
          <w:sz w:val="28"/>
          <w:szCs w:val="28"/>
        </w:rPr>
        <w:pict>
          <v:shape id="_x0000_s1111" o:spid="_x0000_s1111" o:spt="32" type="#_x0000_t32" style="position:absolute;left:0pt;margin-left:132pt;margin-top:21.5pt;height:23.25pt;width:0pt;z-index:251683840;mso-width-relative:page;mso-height-relative:page;" o:connectortype="straight" filled="f" coordsize="21600,21600">
            <v:path arrowok="t"/>
            <v:fill on="f" focussize="0,0"/>
            <v:stroke endarrow="block"/>
            <v:imagedata o:title=""/>
            <o:lock v:ext="edit"/>
          </v:shape>
        </w:pict>
      </w:r>
    </w:p>
    <w:p>
      <w:pPr>
        <w:rPr>
          <w:b/>
          <w:color w:val="000000"/>
          <w:sz w:val="28"/>
          <w:szCs w:val="28"/>
        </w:rPr>
      </w:pPr>
      <w:r>
        <w:rPr>
          <w:b/>
          <w:color w:val="000000"/>
          <w:sz w:val="28"/>
          <w:szCs w:val="28"/>
        </w:rPr>
        <w:pict>
          <v:shape id="_x0000_s1112" o:spid="_x0000_s1112" o:spt="202" type="#_x0000_t202" style="position:absolute;left:0pt;margin-left:79.5pt;margin-top:13.55pt;height:24.15pt;width:100.5pt;z-index:251684864;mso-width-relative:page;mso-height-relative:page;" coordsize="21600,21600">
            <v:path/>
            <v:fill focussize="0,0"/>
            <v:stroke joinstyle="miter"/>
            <v:imagedata o:title=""/>
            <o:lock v:ext="edit"/>
            <v:textbox>
              <w:txbxContent>
                <w:p>
                  <w:pPr>
                    <w:rPr>
                      <w:sz w:val="22"/>
                    </w:rPr>
                  </w:pPr>
                  <w:r>
                    <w:rPr>
                      <w:rFonts w:hint="eastAsia"/>
                      <w:sz w:val="22"/>
                    </w:rPr>
                    <w:t>环境应急指挥部</w:t>
                  </w:r>
                </w:p>
              </w:txbxContent>
            </v:textbox>
          </v:shape>
        </w:pict>
      </w:r>
    </w:p>
    <w:p>
      <w:pPr>
        <w:rPr>
          <w:b/>
          <w:color w:val="000000"/>
          <w:sz w:val="28"/>
          <w:szCs w:val="28"/>
        </w:rPr>
      </w:pPr>
      <w:r>
        <w:rPr>
          <w:b/>
          <w:color w:val="000000"/>
          <w:sz w:val="28"/>
          <w:szCs w:val="28"/>
        </w:rPr>
        <w:pict>
          <v:shape id="_x0000_s1113" o:spid="_x0000_s1113" o:spt="202" type="#_x0000_t202" style="position:absolute;left:0pt;margin-left:189pt;margin-top:23.4pt;height:30pt;width:39.75pt;z-index:251685888;mso-width-relative:page;mso-height-relative:page;" filled="f" stroked="f" coordsize="21600,21600">
            <v:path/>
            <v:fill on="f" focussize="0,0"/>
            <v:stroke on="f" joinstyle="miter"/>
            <v:imagedata o:title=""/>
            <o:lock v:ext="edit"/>
            <v:textbox>
              <w:txbxContent>
                <w:p>
                  <w:r>
                    <w:rPr>
                      <w:rFonts w:hint="eastAsia"/>
                    </w:rPr>
                    <w:t>II级</w:t>
                  </w:r>
                </w:p>
              </w:txbxContent>
            </v:textbox>
          </v:shape>
        </w:pict>
      </w:r>
      <w:r>
        <w:rPr>
          <w:b/>
          <w:color w:val="000000"/>
          <w:sz w:val="28"/>
          <w:szCs w:val="28"/>
        </w:rPr>
        <w:pict>
          <v:shape id="_x0000_s1114" o:spid="_x0000_s1114" o:spt="202" type="#_x0000_t202" style="position:absolute;left:0pt;margin-left:269.65pt;margin-top:4.15pt;height:42.65pt;width:36.35pt;z-index:251686912;mso-width-relative:page;mso-height-relative:page;" filled="f" stroked="f" coordsize="21600,21600">
            <v:path/>
            <v:fill on="f" focussize="0,0"/>
            <v:stroke on="f" joinstyle="miter"/>
            <v:imagedata o:title=""/>
            <o:lock v:ext="edit"/>
            <v:textbox>
              <w:txbxContent>
                <w:p>
                  <w:r>
                    <w:rPr>
                      <w:rFonts w:hint="eastAsia"/>
                    </w:rPr>
                    <w:t>预警</w:t>
                  </w:r>
                </w:p>
                <w:p>
                  <w:r>
                    <w:rPr>
                      <w:rFonts w:hint="eastAsia"/>
                    </w:rPr>
                    <w:t>降级</w:t>
                  </w:r>
                </w:p>
              </w:txbxContent>
            </v:textbox>
          </v:shape>
        </w:pict>
      </w:r>
      <w:r>
        <w:rPr>
          <w:b/>
          <w:color w:val="000000"/>
          <w:sz w:val="28"/>
          <w:szCs w:val="28"/>
        </w:rPr>
        <w:pict>
          <v:shape id="_x0000_s1115" o:spid="_x0000_s1115" o:spt="202" type="#_x0000_t202" style="position:absolute;left:0pt;margin-left:217.75pt;margin-top:3.5pt;height:38.25pt;width:50.25pt;z-index:251687936;mso-width-relative:page;mso-height-relative:page;" filled="f" stroked="f" coordsize="21600,21600">
            <v:path/>
            <v:fill on="f" focussize="0,0"/>
            <v:stroke on="f" joinstyle="miter"/>
            <v:imagedata o:title=""/>
            <o:lock v:ext="edit"/>
            <v:textbox>
              <w:txbxContent>
                <w:p>
                  <w:r>
                    <w:rPr>
                      <w:rFonts w:hint="eastAsia"/>
                    </w:rPr>
                    <w:t>事件影响下降</w:t>
                  </w:r>
                </w:p>
              </w:txbxContent>
            </v:textbox>
          </v:shape>
        </w:pict>
      </w:r>
      <w:r>
        <w:rPr>
          <w:b/>
          <w:color w:val="000000"/>
          <w:sz w:val="28"/>
          <w:szCs w:val="28"/>
        </w:rPr>
        <w:pict>
          <v:shape id="_x0000_s1116" o:spid="_x0000_s1116" o:spt="32" type="#_x0000_t32" style="position:absolute;left:0pt;margin-left:131.3pt;margin-top:7.8pt;height:23.25pt;width:0pt;z-index:251688960;mso-width-relative:page;mso-height-relative:page;" o:connectortype="straight" filled="f" coordsize="21600,21600">
            <v:path arrowok="t"/>
            <v:fill on="f" focussize="0,0"/>
            <v:stroke endarrow="block"/>
            <v:imagedata o:title=""/>
            <o:lock v:ext="edit"/>
          </v:shape>
        </w:pict>
      </w:r>
    </w:p>
    <w:p>
      <w:pPr>
        <w:rPr>
          <w:b/>
          <w:color w:val="000000"/>
          <w:sz w:val="28"/>
          <w:szCs w:val="28"/>
        </w:rPr>
      </w:pPr>
      <w:r>
        <w:rPr>
          <w:b/>
          <w:color w:val="000000"/>
          <w:sz w:val="28"/>
          <w:szCs w:val="28"/>
        </w:rPr>
        <w:pict>
          <v:shape id="_x0000_s1117" o:spid="_x0000_s1117" o:spt="32" type="#_x0000_t32" style="position:absolute;left:0pt;margin-left:180pt;margin-top:15.6pt;height:0pt;width:63pt;z-index:251689984;mso-width-relative:page;mso-height-relative:page;" o:connectortype="straight" filled="f" coordsize="21600,21600">
            <v:path arrowok="t"/>
            <v:fill on="f" focussize="0,0"/>
            <v:stroke endarrow="block"/>
            <v:imagedata o:title=""/>
            <o:lock v:ext="edit"/>
          </v:shape>
        </w:pict>
      </w:r>
      <w:r>
        <w:rPr>
          <w:b/>
          <w:color w:val="000000"/>
          <w:sz w:val="28"/>
          <w:szCs w:val="28"/>
        </w:rPr>
        <w:pict>
          <v:shape id="_x0000_s1118" o:spid="_x0000_s1118" o:spt="32" type="#_x0000_t32" style="position:absolute;left:0pt;margin-left:130.65pt;margin-top:22.1pt;height:23.25pt;width:0pt;z-index:251691008;mso-width-relative:page;mso-height-relative:page;" o:connectortype="straight" filled="f" coordsize="21600,21600">
            <v:path arrowok="t"/>
            <v:fill on="f" focussize="0,0"/>
            <v:stroke endarrow="block"/>
            <v:imagedata o:title=""/>
            <o:lock v:ext="edit"/>
          </v:shape>
        </w:pict>
      </w:r>
      <w:r>
        <w:rPr>
          <w:b/>
          <w:color w:val="000000"/>
          <w:sz w:val="28"/>
          <w:szCs w:val="28"/>
        </w:rPr>
        <w:pict>
          <v:shape id="_x0000_s1119" o:spid="_x0000_s1119" o:spt="202" type="#_x0000_t202" style="position:absolute;left:0pt;margin-left:89.25pt;margin-top:-0.15pt;height:23.55pt;width:82.5pt;z-index:251692032;mso-width-relative:page;mso-height-relative:page;" coordsize="21600,21600">
            <v:path/>
            <v:fill focussize="0,0"/>
            <v:stroke joinstyle="miter"/>
            <v:imagedata o:title=""/>
            <o:lock v:ext="edit"/>
            <v:textbox>
              <w:txbxContent>
                <w:p>
                  <w:pPr>
                    <w:rPr>
                      <w:sz w:val="22"/>
                    </w:rPr>
                  </w:pPr>
                  <w:r>
                    <w:rPr>
                      <w:rFonts w:hint="eastAsia"/>
                      <w:sz w:val="22"/>
                    </w:rPr>
                    <w:t>事件等级判断</w:t>
                  </w:r>
                </w:p>
              </w:txbxContent>
            </v:textbox>
          </v:shape>
        </w:pict>
      </w:r>
    </w:p>
    <w:p>
      <w:pPr>
        <w:rPr>
          <w:b/>
          <w:color w:val="000000"/>
          <w:sz w:val="28"/>
          <w:szCs w:val="28"/>
        </w:rPr>
      </w:pPr>
      <w:r>
        <w:rPr>
          <w:b/>
          <w:color w:val="000000"/>
          <w:sz w:val="28"/>
          <w:szCs w:val="28"/>
        </w:rPr>
        <w:pict>
          <v:shape id="_x0000_s1120" o:spid="_x0000_s1120" o:spt="202" type="#_x0000_t202" style="position:absolute;left:0pt;margin-left:100.2pt;margin-top:13.5pt;height:22.95pt;width:64.5pt;z-index:251693056;mso-width-relative:page;mso-height-relative:page;" coordsize="21600,21600">
            <v:path/>
            <v:fill focussize="0,0"/>
            <v:stroke joinstyle="miter"/>
            <v:imagedata o:title=""/>
            <o:lock v:ext="edit"/>
            <v:textbox>
              <w:txbxContent>
                <w:p>
                  <w:pPr>
                    <w:rPr>
                      <w:sz w:val="22"/>
                    </w:rPr>
                  </w:pPr>
                  <w:r>
                    <w:rPr>
                      <w:rFonts w:hint="eastAsia"/>
                      <w:sz w:val="22"/>
                    </w:rPr>
                    <w:t>政府部门</w:t>
                  </w:r>
                </w:p>
              </w:txbxContent>
            </v:textbox>
          </v:shape>
        </w:pict>
      </w:r>
    </w:p>
    <w:p>
      <w:pPr>
        <w:rPr>
          <w:b/>
          <w:color w:val="000000"/>
          <w:sz w:val="28"/>
          <w:szCs w:val="28"/>
        </w:rPr>
      </w:pPr>
      <w:r>
        <w:rPr>
          <w:b/>
          <w:color w:val="000000"/>
          <w:sz w:val="28"/>
          <w:szCs w:val="28"/>
        </w:rPr>
        <w:pict>
          <v:shape id="_x0000_s1121" o:spid="_x0000_s1121" o:spt="202" type="#_x0000_t202" style="position:absolute;left:0pt;margin-left:189pt;margin-top:23.4pt;height:23.25pt;width:33.75pt;z-index:251694080;mso-width-relative:page;mso-height-relative:page;" filled="f" stroked="f" coordsize="21600,21600">
            <v:path/>
            <v:fill on="f" focussize="0,0"/>
            <v:stroke on="f" joinstyle="miter"/>
            <v:imagedata o:title=""/>
            <o:lock v:ext="edit"/>
            <v:textbox>
              <w:txbxContent>
                <w:p>
                  <w:r>
                    <w:t>I级</w:t>
                  </w:r>
                </w:p>
              </w:txbxContent>
            </v:textbox>
          </v:shape>
        </w:pict>
      </w:r>
      <w:r>
        <w:rPr>
          <w:b/>
          <w:color w:val="000000"/>
          <w:sz w:val="28"/>
          <w:szCs w:val="28"/>
        </w:rPr>
        <w:pict>
          <v:shape id="_x0000_s1122" o:spid="_x0000_s1122" o:spt="202" type="#_x0000_t202" style="position:absolute;left:0pt;margin-left:243pt;margin-top:23.4pt;height:151.5pt;width:46.5pt;z-index:251695104;mso-width-relative:page;mso-height-relative:page;" coordsize="21600,21600">
            <v:path/>
            <v:fill focussize="0,0"/>
            <v:stroke joinstyle="miter"/>
            <v:imagedata o:title=""/>
            <o:lock v:ext="edit"/>
            <v:textbox>
              <w:txbxContent>
                <w:p>
                  <w:pPr>
                    <w:rPr>
                      <w:sz w:val="22"/>
                    </w:rPr>
                  </w:pPr>
                  <w:r>
                    <w:rPr>
                      <w:rFonts w:hint="eastAsia"/>
                      <w:sz w:val="22"/>
                    </w:rPr>
                    <w:t>根据情况针对敏感区域发布响应级别预 警</w:t>
                  </w:r>
                </w:p>
              </w:txbxContent>
            </v:textbox>
          </v:shape>
        </w:pict>
      </w:r>
      <w:r>
        <w:rPr>
          <w:b/>
          <w:color w:val="000000"/>
          <w:sz w:val="28"/>
          <w:szCs w:val="28"/>
        </w:rPr>
        <w:pict>
          <v:shape id="_x0000_s1123" o:spid="_x0000_s1123" o:spt="32" type="#_x0000_t32" style="position:absolute;left:0pt;margin-left:131.3pt;margin-top:6.5pt;height:23.25pt;width:0pt;z-index:251696128;mso-width-relative:page;mso-height-relative:page;" o:connectortype="straight" filled="f" coordsize="21600,21600">
            <v:path arrowok="t"/>
            <v:fill on="f" focussize="0,0"/>
            <v:stroke endarrow="block"/>
            <v:imagedata o:title=""/>
            <o:lock v:ext="edit"/>
          </v:shape>
        </w:pict>
      </w:r>
    </w:p>
    <w:p>
      <w:pPr>
        <w:rPr>
          <w:b/>
          <w:color w:val="000000"/>
          <w:sz w:val="28"/>
          <w:szCs w:val="28"/>
        </w:rPr>
      </w:pPr>
      <w:r>
        <w:rPr>
          <w:b/>
          <w:color w:val="000000"/>
          <w:sz w:val="28"/>
          <w:szCs w:val="28"/>
        </w:rPr>
        <w:pict>
          <v:shape id="_x0000_s1124" o:spid="_x0000_s1124" o:spt="202" type="#_x0000_t202" style="position:absolute;left:0pt;margin-left:352.3pt;margin-top:23.4pt;height:78pt;width:25.7pt;z-index:251697152;mso-width-relative:page;mso-height-relative:page;" coordsize="21600,21600">
            <v:path/>
            <v:fill focussize="0,0"/>
            <v:stroke joinstyle="miter"/>
            <v:imagedata o:title=""/>
            <o:lock v:ext="edit"/>
            <v:textbox>
              <w:txbxContent>
                <w:p>
                  <w:pPr>
                    <w:rPr>
                      <w:sz w:val="22"/>
                    </w:rPr>
                  </w:pPr>
                  <w:r>
                    <w:rPr>
                      <w:rFonts w:hint="eastAsia"/>
                      <w:sz w:val="22"/>
                    </w:rPr>
                    <w:t>预</w:t>
                  </w:r>
                </w:p>
                <w:p>
                  <w:pPr>
                    <w:rPr>
                      <w:sz w:val="22"/>
                    </w:rPr>
                  </w:pPr>
                  <w:r>
                    <w:rPr>
                      <w:rFonts w:hint="eastAsia"/>
                      <w:sz w:val="22"/>
                    </w:rPr>
                    <w:t>警</w:t>
                  </w:r>
                </w:p>
                <w:p>
                  <w:pPr>
                    <w:rPr>
                      <w:sz w:val="22"/>
                    </w:rPr>
                  </w:pPr>
                  <w:r>
                    <w:rPr>
                      <w:rFonts w:hint="eastAsia"/>
                      <w:sz w:val="22"/>
                    </w:rPr>
                    <w:t>解</w:t>
                  </w:r>
                </w:p>
                <w:p>
                  <w:pPr>
                    <w:rPr>
                      <w:sz w:val="22"/>
                    </w:rPr>
                  </w:pPr>
                  <w:r>
                    <w:rPr>
                      <w:rFonts w:hint="eastAsia"/>
                      <w:sz w:val="22"/>
                    </w:rPr>
                    <w:t>除</w:t>
                  </w:r>
                </w:p>
              </w:txbxContent>
            </v:textbox>
          </v:shape>
        </w:pict>
      </w:r>
      <w:r>
        <w:rPr>
          <w:b/>
          <w:color w:val="000000"/>
          <w:sz w:val="28"/>
          <w:szCs w:val="28"/>
        </w:rPr>
        <w:pict>
          <v:shape id="_x0000_s1125" o:spid="_x0000_s1125" o:spt="32" type="#_x0000_t32" style="position:absolute;left:0pt;margin-left:291.7pt;margin-top:56.85pt;height:0pt;width:61.5pt;z-index:251698176;mso-width-relative:page;mso-height-relative:page;" o:connectortype="straight" filled="f" coordsize="21600,21600">
            <v:path arrowok="t"/>
            <v:fill on="f" focussize="0,0"/>
            <v:stroke endarrow="block"/>
            <v:imagedata o:title=""/>
            <o:lock v:ext="edit"/>
          </v:shape>
        </w:pict>
      </w:r>
      <w:r>
        <w:rPr>
          <w:b/>
          <w:color w:val="000000"/>
          <w:sz w:val="28"/>
          <w:szCs w:val="28"/>
        </w:rPr>
        <w:pict>
          <v:shape id="_x0000_s1126" o:spid="_x0000_s1126" o:spt="202" type="#_x0000_t202" style="position:absolute;left:0pt;margin-left:298.45pt;margin-top:9.6pt;height:47.25pt;width:39.75pt;z-index:251699200;mso-width-relative:page;mso-height-relative:page;" filled="f" stroked="f" coordsize="21600,21600">
            <v:path/>
            <v:fill on="f" focussize="0,0"/>
            <v:stroke on="f" joinstyle="miter"/>
            <v:imagedata o:title=""/>
            <o:lock v:ext="edit"/>
            <v:textbox>
              <w:txbxContent>
                <w:p>
                  <w:r>
                    <w:rPr>
                      <w:rFonts w:hint="eastAsia"/>
                    </w:rPr>
                    <w:t>事件平息</w:t>
                  </w:r>
                </w:p>
              </w:txbxContent>
            </v:textbox>
          </v:shape>
        </w:pict>
      </w:r>
      <w:r>
        <w:rPr>
          <w:b/>
          <w:color w:val="000000"/>
          <w:sz w:val="28"/>
          <w:szCs w:val="28"/>
        </w:rPr>
        <w:pict>
          <v:shape id="_x0000_s1127" o:spid="_x0000_s1127" o:spt="32" type="#_x0000_t32" style="position:absolute;left:0pt;margin-left:172.3pt;margin-top:13.65pt;height:0pt;width:63pt;z-index:251700224;mso-width-relative:page;mso-height-relative:page;" o:connectortype="straight" filled="f" coordsize="21600,21600">
            <v:path arrowok="t"/>
            <v:fill on="f" focussize="0,0"/>
            <v:stroke endarrow="block"/>
            <v:imagedata o:title=""/>
            <o:lock v:ext="edit"/>
          </v:shape>
        </w:pict>
      </w:r>
      <w:r>
        <w:rPr>
          <w:b/>
          <w:color w:val="000000"/>
          <w:sz w:val="28"/>
          <w:szCs w:val="28"/>
        </w:rPr>
        <w:pict>
          <v:shape id="_x0000_s1128" o:spid="_x0000_s1128" o:spt="202" type="#_x0000_t202" style="position:absolute;left:0pt;margin-left:89.9pt;margin-top:-0.25pt;height:22.35pt;width:82.5pt;z-index:251701248;mso-width-relative:page;mso-height-relative:page;" coordsize="21600,21600">
            <v:path/>
            <v:fill focussize="0,0"/>
            <v:stroke joinstyle="miter"/>
            <v:imagedata o:title=""/>
            <o:lock v:ext="edit"/>
            <v:textbox>
              <w:txbxContent>
                <w:p>
                  <w:pPr>
                    <w:rPr>
                      <w:sz w:val="22"/>
                    </w:rPr>
                  </w:pPr>
                  <w:r>
                    <w:rPr>
                      <w:rFonts w:hint="eastAsia"/>
                      <w:sz w:val="22"/>
                    </w:rPr>
                    <w:t>事件等级判断</w:t>
                  </w:r>
                </w:p>
              </w:txbxContent>
            </v:textbox>
          </v:shape>
        </w:pict>
      </w:r>
    </w:p>
    <w:p>
      <w:pPr>
        <w:rPr>
          <w:b/>
          <w:color w:val="000000"/>
          <w:sz w:val="28"/>
          <w:szCs w:val="28"/>
        </w:rPr>
      </w:pPr>
    </w:p>
    <w:p>
      <w:pPr>
        <w:rPr>
          <w:b/>
          <w:color w:val="000000"/>
          <w:sz w:val="28"/>
          <w:szCs w:val="28"/>
        </w:rPr>
      </w:pPr>
    </w:p>
    <w:p>
      <w:pPr>
        <w:rPr>
          <w:b/>
          <w:color w:val="000000"/>
          <w:sz w:val="28"/>
          <w:szCs w:val="28"/>
        </w:rPr>
      </w:pPr>
    </w:p>
    <w:p>
      <w:pPr>
        <w:rPr>
          <w:b/>
          <w:color w:val="000000"/>
          <w:sz w:val="28"/>
          <w:szCs w:val="28"/>
        </w:rPr>
      </w:pPr>
    </w:p>
    <w:p>
      <w:pPr>
        <w:adjustRightInd w:val="0"/>
        <w:snapToGrid w:val="0"/>
        <w:spacing w:line="440" w:lineRule="exact"/>
        <w:textAlignment w:val="center"/>
        <w:outlineLvl w:val="0"/>
        <w:rPr>
          <w:rFonts w:asciiTheme="minorEastAsia" w:hAnsiTheme="minorEastAsia" w:eastAsiaTheme="minorEastAsia"/>
          <w:b/>
          <w:color w:val="000000"/>
          <w:sz w:val="32"/>
        </w:rPr>
      </w:pPr>
    </w:p>
    <w:p>
      <w:pPr>
        <w:adjustRightInd w:val="0"/>
        <w:snapToGrid w:val="0"/>
        <w:spacing w:line="440" w:lineRule="exact"/>
        <w:textAlignment w:val="center"/>
        <w:outlineLvl w:val="0"/>
        <w:rPr>
          <w:rFonts w:asciiTheme="minorEastAsia" w:hAnsiTheme="minorEastAsia" w:eastAsiaTheme="minorEastAsia"/>
          <w:b/>
          <w:color w:val="000000"/>
          <w:sz w:val="32"/>
        </w:rPr>
      </w:pPr>
    </w:p>
    <w:p>
      <w:pPr>
        <w:adjustRightInd w:val="0"/>
        <w:snapToGrid w:val="0"/>
        <w:spacing w:line="440" w:lineRule="exact"/>
        <w:textAlignment w:val="center"/>
        <w:outlineLvl w:val="0"/>
        <w:rPr>
          <w:rFonts w:asciiTheme="minorEastAsia" w:hAnsiTheme="minorEastAsia" w:eastAsiaTheme="minorEastAsia"/>
          <w:b/>
          <w:color w:val="000000"/>
          <w:sz w:val="32"/>
        </w:rPr>
      </w:pPr>
    </w:p>
    <w:p>
      <w:pPr>
        <w:adjustRightInd w:val="0"/>
        <w:snapToGrid w:val="0"/>
        <w:spacing w:line="440" w:lineRule="exact"/>
        <w:textAlignment w:val="center"/>
        <w:outlineLvl w:val="0"/>
        <w:rPr>
          <w:rFonts w:asciiTheme="minorEastAsia" w:hAnsiTheme="minorEastAsia" w:eastAsiaTheme="minorEastAsia"/>
          <w:b/>
          <w:color w:val="000000"/>
          <w:sz w:val="32"/>
        </w:rPr>
      </w:pPr>
    </w:p>
    <w:p>
      <w:pPr>
        <w:adjustRightInd w:val="0"/>
        <w:snapToGrid w:val="0"/>
        <w:spacing w:line="440" w:lineRule="exact"/>
        <w:jc w:val="center"/>
        <w:textAlignment w:val="center"/>
        <w:outlineLvl w:val="0"/>
        <w:rPr>
          <w:rFonts w:asciiTheme="minorEastAsia" w:hAnsiTheme="minorEastAsia" w:eastAsiaTheme="minorEastAsia"/>
          <w:b/>
          <w:color w:val="000000"/>
          <w:sz w:val="32"/>
        </w:rPr>
      </w:pPr>
      <w:bookmarkStart w:id="236" w:name="_Toc17769"/>
      <w:r>
        <w:rPr>
          <w:rFonts w:asciiTheme="minorEastAsia" w:hAnsiTheme="minorEastAsia" w:eastAsiaTheme="minorEastAsia"/>
          <w:b/>
          <w:color w:val="000000"/>
          <w:sz w:val="32"/>
        </w:rPr>
        <w:t>5</w:t>
      </w:r>
      <w:r>
        <w:rPr>
          <w:rFonts w:hint="eastAsia" w:asciiTheme="minorEastAsia" w:hAnsiTheme="minorEastAsia" w:eastAsiaTheme="minorEastAsia"/>
          <w:b/>
          <w:color w:val="000000"/>
          <w:sz w:val="32"/>
        </w:rPr>
        <w:t>预警</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r>
        <w:rPr>
          <w:rFonts w:hint="eastAsia" w:asciiTheme="minorEastAsia" w:hAnsiTheme="minorEastAsia" w:eastAsiaTheme="minorEastAsia"/>
          <w:b/>
          <w:color w:val="000000"/>
          <w:sz w:val="32"/>
        </w:rPr>
        <w:t>及信息报告</w:t>
      </w:r>
      <w:bookmarkEnd w:id="230"/>
      <w:bookmarkEnd w:id="231"/>
      <w:bookmarkEnd w:id="232"/>
      <w:bookmarkEnd w:id="233"/>
      <w:bookmarkEnd w:id="234"/>
      <w:bookmarkEnd w:id="236"/>
    </w:p>
    <w:p>
      <w:pPr>
        <w:adjustRightInd w:val="0"/>
        <w:snapToGrid w:val="0"/>
        <w:spacing w:line="460" w:lineRule="exact"/>
        <w:outlineLvl w:val="1"/>
        <w:rPr>
          <w:b/>
          <w:color w:val="000000"/>
          <w:sz w:val="28"/>
          <w:szCs w:val="28"/>
        </w:rPr>
      </w:pPr>
      <w:bookmarkStart w:id="237" w:name="_Toc28897"/>
      <w:bookmarkStart w:id="238" w:name="_Toc262040277"/>
      <w:bookmarkStart w:id="239" w:name="_Toc229283972"/>
      <w:bookmarkStart w:id="240" w:name="_Toc387131500"/>
      <w:bookmarkStart w:id="241" w:name="_Toc336326851"/>
      <w:bookmarkStart w:id="242" w:name="_Toc262050867"/>
      <w:bookmarkStart w:id="243" w:name="_Toc387131426"/>
      <w:bookmarkStart w:id="244" w:name="_Toc408274434"/>
      <w:bookmarkStart w:id="245" w:name="_Toc387131757"/>
      <w:bookmarkStart w:id="246" w:name="_Toc7713"/>
      <w:bookmarkStart w:id="247" w:name="_Toc304964444"/>
      <w:bookmarkStart w:id="248" w:name="_Toc336327129"/>
      <w:bookmarkStart w:id="249" w:name="_Toc185670983"/>
      <w:bookmarkStart w:id="250" w:name="_Toc196018542"/>
      <w:bookmarkStart w:id="251" w:name="_Toc262051538"/>
      <w:bookmarkStart w:id="252" w:name="_Toc304833234"/>
      <w:bookmarkStart w:id="253" w:name="_Toc304963601"/>
      <w:bookmarkStart w:id="254" w:name="_Toc304962957"/>
      <w:bookmarkStart w:id="255" w:name="_Toc183339499"/>
      <w:bookmarkStart w:id="256" w:name="_Toc184808763"/>
      <w:bookmarkStart w:id="257" w:name="_Toc184809550"/>
      <w:bookmarkStart w:id="258" w:name="_Toc262051117"/>
      <w:bookmarkStart w:id="259" w:name="_Toc415254540"/>
      <w:bookmarkStart w:id="260" w:name="_Toc198007336"/>
      <w:bookmarkStart w:id="261" w:name="_Toc183339223"/>
      <w:bookmarkStart w:id="262" w:name="_Toc179794545"/>
      <w:bookmarkStart w:id="263" w:name="_Toc196018433"/>
      <w:bookmarkStart w:id="264" w:name="_Toc197251341"/>
      <w:bookmarkStart w:id="265" w:name="_Toc198355321"/>
      <w:bookmarkStart w:id="266" w:name="_Toc196018637"/>
      <w:r>
        <w:rPr>
          <w:rFonts w:hint="eastAsia"/>
          <w:b/>
          <w:color w:val="000000"/>
          <w:sz w:val="28"/>
          <w:szCs w:val="28"/>
        </w:rPr>
        <w:t>5.1预防措施</w:t>
      </w:r>
      <w:bookmarkEnd w:id="237"/>
    </w:p>
    <w:p>
      <w:pPr>
        <w:spacing w:line="360" w:lineRule="auto"/>
        <w:ind w:firstLine="480" w:firstLineChars="200"/>
        <w:rPr>
          <w:rFonts w:asciiTheme="minorEastAsia" w:hAnsiTheme="minorEastAsia" w:eastAsiaTheme="minorEastAsia"/>
          <w:color w:val="000000"/>
          <w:sz w:val="24"/>
          <w:szCs w:val="24"/>
        </w:rPr>
      </w:pPr>
      <w:r>
        <w:rPr>
          <w:rFonts w:hint="eastAsia" w:asciiTheme="minorEastAsia" w:hAnsiTheme="minorEastAsia" w:eastAsiaTheme="minorEastAsia"/>
          <w:sz w:val="24"/>
          <w:szCs w:val="24"/>
        </w:rPr>
        <w:t>根据风险识别，项目风险源主要有储酸室储罐和生产区，企业采取的风险源监控及</w:t>
      </w:r>
      <w:r>
        <w:rPr>
          <w:rFonts w:hint="eastAsia" w:asciiTheme="minorEastAsia" w:hAnsiTheme="minorEastAsia" w:eastAsiaTheme="minorEastAsia"/>
          <w:color w:val="000000"/>
          <w:sz w:val="24"/>
          <w:szCs w:val="24"/>
        </w:rPr>
        <w:t>预防措施有：</w:t>
      </w:r>
    </w:p>
    <w:p>
      <w:pPr>
        <w:spacing w:line="360" w:lineRule="auto"/>
        <w:ind w:firstLine="480"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1、</w:t>
      </w:r>
      <w:r>
        <w:rPr>
          <w:rFonts w:hint="eastAsia" w:asciiTheme="minorEastAsia" w:hAnsiTheme="minorEastAsia" w:eastAsiaTheme="minorEastAsia"/>
          <w:sz w:val="24"/>
          <w:szCs w:val="24"/>
        </w:rPr>
        <w:t>盐酸、氯酸钠储</w:t>
      </w:r>
      <w:r>
        <w:rPr>
          <w:rFonts w:hint="eastAsia" w:asciiTheme="minorEastAsia" w:hAnsiTheme="minorEastAsia" w:eastAsiaTheme="minorEastAsia"/>
          <w:color w:val="000000"/>
          <w:sz w:val="24"/>
          <w:szCs w:val="24"/>
        </w:rPr>
        <w:t>罐区风险防控措施</w:t>
      </w:r>
    </w:p>
    <w:p>
      <w:pPr>
        <w:pStyle w:val="193"/>
        <w:spacing w:line="276" w:lineRule="auto"/>
        <w:ind w:firstLine="480" w:firstLineChars="200"/>
        <w:jc w:val="left"/>
        <w:rPr>
          <w:rFonts w:asciiTheme="minorEastAsia" w:hAnsiTheme="minorEastAsia" w:eastAsiaTheme="minorEastAsia"/>
        </w:rPr>
      </w:pPr>
      <w:r>
        <w:rPr>
          <w:rFonts w:hint="eastAsia" w:asciiTheme="minorEastAsia" w:hAnsiTheme="minorEastAsia" w:eastAsiaTheme="minorEastAsia"/>
          <w:color w:val="000000"/>
        </w:rPr>
        <w:t>（1）库房设有专人管理。定期检查。</w:t>
      </w:r>
    </w:p>
    <w:p>
      <w:pPr>
        <w:spacing w:line="276" w:lineRule="auto"/>
        <w:ind w:firstLine="480"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（2）盐酸和氯酸钠储罐区有消防器材和堵漏工具；</w:t>
      </w:r>
    </w:p>
    <w:p>
      <w:pPr>
        <w:spacing w:line="360" w:lineRule="auto"/>
        <w:ind w:firstLine="480"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（3）储罐区设置有围堰和储罐区外设置有截流沟分流系统；</w:t>
      </w:r>
    </w:p>
    <w:p>
      <w:pPr>
        <w:spacing w:line="360" w:lineRule="auto"/>
        <w:ind w:firstLine="480"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（4）</w:t>
      </w:r>
      <w:r>
        <w:rPr>
          <w:rFonts w:asciiTheme="minorEastAsia" w:hAnsiTheme="minorEastAsia" w:eastAsiaTheme="minorEastAsia"/>
          <w:color w:val="000000"/>
          <w:sz w:val="24"/>
          <w:szCs w:val="24"/>
        </w:rPr>
        <w:t>地面采用混泥土进行了防渗、防腐处理。</w:t>
      </w:r>
    </w:p>
    <w:p>
      <w:pPr>
        <w:spacing w:line="360" w:lineRule="auto"/>
        <w:ind w:firstLine="480"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（5）存储间</w:t>
      </w:r>
      <w:r>
        <w:rPr>
          <w:rFonts w:asciiTheme="minorEastAsia" w:hAnsiTheme="minorEastAsia" w:eastAsiaTheme="minorEastAsia"/>
          <w:color w:val="000000"/>
          <w:sz w:val="24"/>
          <w:szCs w:val="24"/>
        </w:rPr>
        <w:t>外设置了喷淋措施、洗眼设施等应急装置。</w:t>
      </w:r>
    </w:p>
    <w:p>
      <w:pPr>
        <w:spacing w:line="360" w:lineRule="auto"/>
        <w:ind w:left="959" w:leftChars="228" w:hanging="480" w:hangingChars="200"/>
        <w:rPr>
          <w:rFonts w:asciiTheme="minorEastAsia" w:hAnsiTheme="minorEastAsia" w:eastAsiaTheme="minorEastAsia"/>
          <w:sz w:val="24"/>
          <w:szCs w:val="24"/>
        </w:rPr>
      </w:pPr>
      <w:r>
        <w:rPr>
          <w:rFonts w:hint="eastAsia" w:asciiTheme="minorEastAsia" w:hAnsiTheme="minorEastAsia" w:eastAsiaTheme="minorEastAsia"/>
          <w:color w:val="000000"/>
          <w:sz w:val="24"/>
          <w:szCs w:val="24"/>
        </w:rPr>
        <w:t>（6）</w:t>
      </w:r>
      <w:r>
        <w:rPr>
          <w:rFonts w:asciiTheme="minorEastAsia" w:hAnsiTheme="minorEastAsia" w:eastAsiaTheme="minorEastAsia"/>
          <w:sz w:val="24"/>
          <w:szCs w:val="24"/>
        </w:rPr>
        <w:t>针对盐酸、二氧化氯泄漏挥发出的氯化氢、二氧化氯气体配备气体监测报警装置。</w:t>
      </w:r>
    </w:p>
    <w:p>
      <w:pPr>
        <w:spacing w:line="360" w:lineRule="auto"/>
        <w:ind w:firstLine="480"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2、生产区风险防控措施</w:t>
      </w:r>
    </w:p>
    <w:p>
      <w:pPr>
        <w:pStyle w:val="193"/>
        <w:spacing w:line="276" w:lineRule="auto"/>
        <w:ind w:left="1079" w:leftChars="228" w:hanging="600" w:hangingChars="250"/>
        <w:jc w:val="left"/>
        <w:rPr>
          <w:rFonts w:asciiTheme="minorEastAsia" w:hAnsiTheme="minorEastAsia" w:eastAsiaTheme="minorEastAsia"/>
        </w:rPr>
      </w:pPr>
      <w:r>
        <w:rPr>
          <w:rFonts w:hint="eastAsia" w:asciiTheme="minorEastAsia" w:hAnsiTheme="minorEastAsia" w:eastAsiaTheme="minorEastAsia"/>
          <w:color w:val="000000"/>
        </w:rPr>
        <w:t>（1）企业</w:t>
      </w:r>
      <w:r>
        <w:rPr>
          <w:rFonts w:hint="eastAsia" w:asciiTheme="minorEastAsia" w:hAnsiTheme="minorEastAsia" w:eastAsiaTheme="minorEastAsia"/>
          <w:color w:val="000000"/>
          <w:szCs w:val="24"/>
        </w:rPr>
        <w:t>修建有容积为</w:t>
      </w:r>
      <w:r>
        <w:rPr>
          <w:rFonts w:asciiTheme="minorEastAsia" w:hAnsiTheme="minorEastAsia" w:eastAsiaTheme="minorEastAsia"/>
          <w:color w:val="000000"/>
          <w:szCs w:val="24"/>
        </w:rPr>
        <w:t>3720</w:t>
      </w:r>
      <w:r>
        <w:rPr>
          <w:rFonts w:cs="??_GB2312" w:asciiTheme="minorEastAsia" w:hAnsiTheme="minorEastAsia" w:eastAsiaTheme="minorEastAsia"/>
          <w:szCs w:val="24"/>
          <w:lang w:val="zh-CN"/>
        </w:rPr>
        <w:t>m</w:t>
      </w:r>
      <w:r>
        <w:rPr>
          <w:rFonts w:cs="??_GB2312" w:asciiTheme="minorEastAsia" w:hAnsiTheme="minorEastAsia" w:eastAsiaTheme="minorEastAsia"/>
          <w:szCs w:val="24"/>
          <w:vertAlign w:val="superscript"/>
          <w:lang w:val="zh-CN"/>
        </w:rPr>
        <w:t>3</w:t>
      </w:r>
      <w:r>
        <w:rPr>
          <w:rFonts w:hint="eastAsia" w:asciiTheme="minorEastAsia" w:hAnsiTheme="minorEastAsia" w:eastAsiaTheme="minorEastAsia"/>
          <w:color w:val="000000"/>
          <w:szCs w:val="24"/>
        </w:rPr>
        <w:t>的应急事故池</w:t>
      </w:r>
      <w:r>
        <w:rPr>
          <w:rFonts w:hint="eastAsia" w:asciiTheme="minorEastAsia" w:hAnsiTheme="minorEastAsia" w:eastAsiaTheme="minorEastAsia"/>
        </w:rPr>
        <w:t>，</w:t>
      </w:r>
      <w:r>
        <w:rPr>
          <w:rFonts w:hint="eastAsia" w:asciiTheme="minorEastAsia" w:hAnsiTheme="minorEastAsia" w:eastAsiaTheme="minorEastAsia"/>
          <w:color w:val="000000"/>
        </w:rPr>
        <w:t>可以保证事故状态下厂内污染污水及工业园区污水的收集；</w:t>
      </w:r>
    </w:p>
    <w:p>
      <w:pPr>
        <w:spacing w:line="360" w:lineRule="auto"/>
        <w:ind w:left="959" w:leftChars="228" w:hanging="480" w:hanging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（2）二氧化氯车间配有气体泄漏报警仪、消防器材和堵漏工具；</w:t>
      </w:r>
      <w:r>
        <w:rPr>
          <w:rFonts w:asciiTheme="minorEastAsia" w:hAnsiTheme="minorEastAsia" w:eastAsiaTheme="minorEastAsia"/>
          <w:sz w:val="24"/>
          <w:szCs w:val="24"/>
        </w:rPr>
        <w:t>二氧化氯发生器设置了报警开关，一旦发生泄漏</w:t>
      </w:r>
      <w:r>
        <w:rPr>
          <w:rFonts w:hint="eastAsia" w:asciiTheme="minorEastAsia" w:hAnsiTheme="minorEastAsia" w:eastAsiaTheme="minorEastAsia"/>
          <w:sz w:val="24"/>
          <w:szCs w:val="24"/>
        </w:rPr>
        <w:t>，</w:t>
      </w:r>
      <w:r>
        <w:rPr>
          <w:rFonts w:asciiTheme="minorEastAsia" w:hAnsiTheme="minorEastAsia" w:eastAsiaTheme="minorEastAsia"/>
          <w:sz w:val="24"/>
          <w:szCs w:val="24"/>
        </w:rPr>
        <w:t>开关自动关闭。</w:t>
      </w:r>
    </w:p>
    <w:p>
      <w:pPr>
        <w:spacing w:line="360" w:lineRule="auto"/>
        <w:ind w:left="1079" w:leftChars="228" w:hanging="600" w:hangingChars="25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（3）</w:t>
      </w:r>
      <w:r>
        <w:rPr>
          <w:rFonts w:asciiTheme="minorEastAsia" w:hAnsiTheme="minorEastAsia" w:eastAsiaTheme="minorEastAsia"/>
          <w:color w:val="000000"/>
          <w:sz w:val="24"/>
          <w:szCs w:val="24"/>
        </w:rPr>
        <w:t>设置出水、进水水质在线监测装置，定期监测出水水质，防止污水未达标排放。</w:t>
      </w:r>
    </w:p>
    <w:p>
      <w:pPr>
        <w:spacing w:line="360" w:lineRule="auto"/>
        <w:ind w:left="1079" w:leftChars="228" w:hanging="600" w:hangingChars="25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（4）</w:t>
      </w:r>
      <w:r>
        <w:rPr>
          <w:rFonts w:asciiTheme="minorEastAsia" w:hAnsiTheme="minorEastAsia" w:eastAsiaTheme="minorEastAsia"/>
          <w:color w:val="000000"/>
          <w:sz w:val="24"/>
          <w:szCs w:val="24"/>
        </w:rPr>
        <w:t>定期对污水治理设施设备进行检查，维护保养，减少设备出现故障概率。</w:t>
      </w:r>
    </w:p>
    <w:p>
      <w:pPr>
        <w:spacing w:line="360" w:lineRule="auto"/>
        <w:ind w:firstLine="480"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（5）</w:t>
      </w:r>
      <w:r>
        <w:rPr>
          <w:rFonts w:asciiTheme="minorEastAsia" w:hAnsiTheme="minorEastAsia" w:eastAsiaTheme="minorEastAsia"/>
          <w:color w:val="000000"/>
          <w:sz w:val="24"/>
          <w:szCs w:val="24"/>
        </w:rPr>
        <w:t>配备双回路电源，防止停电等发生时对污水处理设备无法正常运营。</w:t>
      </w:r>
    </w:p>
    <w:p>
      <w:pPr>
        <w:adjustRightInd w:val="0"/>
        <w:snapToGrid w:val="0"/>
        <w:spacing w:line="460" w:lineRule="exact"/>
        <w:outlineLvl w:val="1"/>
        <w:rPr>
          <w:b/>
          <w:color w:val="000000"/>
          <w:sz w:val="28"/>
          <w:szCs w:val="28"/>
        </w:rPr>
      </w:pPr>
      <w:bookmarkStart w:id="267" w:name="_Toc10159"/>
      <w:r>
        <w:rPr>
          <w:rFonts w:hint="eastAsia"/>
          <w:b/>
          <w:color w:val="000000"/>
          <w:sz w:val="28"/>
          <w:szCs w:val="28"/>
        </w:rPr>
        <w:t>5.2预警措施</w:t>
      </w:r>
      <w:bookmarkEnd w:id="267"/>
    </w:p>
    <w:p>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asciiTheme="minorEastAsia" w:hAnsiTheme="minorEastAsia" w:eastAsiaTheme="minorEastAsia"/>
          <w:sz w:val="24"/>
          <w:szCs w:val="24"/>
        </w:rPr>
        <w:t>1</w:t>
      </w:r>
      <w:r>
        <w:rPr>
          <w:rFonts w:hint="eastAsia" w:asciiTheme="minorEastAsia" w:hAnsiTheme="minorEastAsia" w:eastAsiaTheme="minorEastAsia"/>
          <w:sz w:val="24"/>
          <w:szCs w:val="24"/>
        </w:rPr>
        <w:t>）在污水进水口及排放口安装有COD在线分析仪/氨氮在线分析仪/流量计，进水口平时每</w:t>
      </w:r>
      <w:r>
        <w:rPr>
          <w:rFonts w:asciiTheme="minorEastAsia" w:hAnsiTheme="minorEastAsia" w:eastAsiaTheme="minorEastAsia"/>
          <w:sz w:val="24"/>
          <w:szCs w:val="24"/>
        </w:rPr>
        <w:t>2</w:t>
      </w:r>
      <w:r>
        <w:rPr>
          <w:rFonts w:hint="eastAsia" w:asciiTheme="minorEastAsia" w:hAnsiTheme="minorEastAsia" w:eastAsiaTheme="minorEastAsia"/>
          <w:sz w:val="24"/>
          <w:szCs w:val="24"/>
        </w:rPr>
        <w:t>小时监测一次，出水口每</w:t>
      </w:r>
      <w:r>
        <w:rPr>
          <w:rFonts w:asciiTheme="minorEastAsia" w:hAnsiTheme="minorEastAsia" w:eastAsiaTheme="minorEastAsia"/>
          <w:sz w:val="24"/>
          <w:szCs w:val="24"/>
        </w:rPr>
        <w:t>1</w:t>
      </w:r>
      <w:r>
        <w:rPr>
          <w:rFonts w:hint="eastAsia" w:asciiTheme="minorEastAsia" w:hAnsiTheme="minorEastAsia" w:eastAsiaTheme="minorEastAsia"/>
          <w:sz w:val="24"/>
          <w:szCs w:val="24"/>
        </w:rPr>
        <w:t>小时监测一次。同时辅以手动监测，可随时了解进、出水水质状况；此外，设备具有自动报警系统，一旦监测值超过设定限值，设备将自动报警。</w:t>
      </w:r>
      <w:r>
        <w:rPr>
          <w:rFonts w:asciiTheme="minorEastAsia" w:hAnsiTheme="minorEastAsia" w:eastAsiaTheme="minorEastAsia"/>
          <w:sz w:val="24"/>
          <w:szCs w:val="24"/>
        </w:rPr>
        <w:t xml:space="preserve"> </w:t>
      </w:r>
    </w:p>
    <w:p>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asciiTheme="minorEastAsia" w:hAnsiTheme="minorEastAsia" w:eastAsiaTheme="minorEastAsia"/>
          <w:sz w:val="24"/>
          <w:szCs w:val="24"/>
        </w:rPr>
        <w:t>2</w:t>
      </w:r>
      <w:r>
        <w:rPr>
          <w:rFonts w:hint="eastAsia" w:asciiTheme="minorEastAsia" w:hAnsiTheme="minorEastAsia" w:eastAsiaTheme="minorEastAsia"/>
          <w:sz w:val="24"/>
          <w:szCs w:val="24"/>
        </w:rPr>
        <w:t>）进水口和排放口都安装有超声波明渠流量计，可随时监测进、出水的流量大小，再结合进、出水的水质状况，对处理药剂配比进行调整。</w:t>
      </w:r>
      <w:r>
        <w:rPr>
          <w:rFonts w:asciiTheme="minorEastAsia" w:hAnsiTheme="minorEastAsia" w:eastAsiaTheme="minorEastAsia"/>
          <w:sz w:val="24"/>
          <w:szCs w:val="24"/>
        </w:rPr>
        <w:t xml:space="preserve"> </w:t>
      </w:r>
    </w:p>
    <w:p>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asciiTheme="minorEastAsia" w:hAnsiTheme="minorEastAsia" w:eastAsiaTheme="minorEastAsia"/>
          <w:sz w:val="24"/>
          <w:szCs w:val="24"/>
        </w:rPr>
        <w:t>3</w:t>
      </w:r>
      <w:r>
        <w:rPr>
          <w:rFonts w:hint="eastAsia" w:asciiTheme="minorEastAsia" w:hAnsiTheme="minorEastAsia" w:eastAsiaTheme="minorEastAsia"/>
          <w:sz w:val="24"/>
          <w:szCs w:val="24"/>
        </w:rPr>
        <w:t>）进水口前端设有溢洪口，当暴雨水量超过处理能力时，多余的部分，将从溢洪口直接排入长江，以保证污水处理厂的正常运行。</w:t>
      </w:r>
    </w:p>
    <w:p>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asciiTheme="minorEastAsia" w:hAnsiTheme="minorEastAsia" w:eastAsiaTheme="minorEastAsia"/>
          <w:sz w:val="24"/>
          <w:szCs w:val="24"/>
        </w:rPr>
        <w:t>4</w:t>
      </w:r>
      <w:r>
        <w:rPr>
          <w:rFonts w:hint="eastAsia" w:asciiTheme="minorEastAsia" w:hAnsiTheme="minorEastAsia" w:eastAsiaTheme="minorEastAsia"/>
          <w:sz w:val="24"/>
          <w:szCs w:val="24"/>
        </w:rPr>
        <w:t>）定期采取进、出水口水样，对各项水质指标进行检测；同时有值班人员不定期巡视进出水质状况，通常每</w:t>
      </w:r>
      <w:r>
        <w:rPr>
          <w:rFonts w:asciiTheme="minorEastAsia" w:hAnsiTheme="minorEastAsia" w:eastAsiaTheme="minorEastAsia"/>
          <w:sz w:val="24"/>
          <w:szCs w:val="24"/>
        </w:rPr>
        <w:t>2</w:t>
      </w:r>
      <w:r>
        <w:rPr>
          <w:rFonts w:hint="eastAsia" w:asciiTheme="minorEastAsia" w:hAnsiTheme="minorEastAsia" w:eastAsiaTheme="minorEastAsia"/>
          <w:sz w:val="24"/>
          <w:szCs w:val="24"/>
        </w:rPr>
        <w:t>小时至少巡视一次，以应对水质浓度的骤变。</w:t>
      </w:r>
      <w:r>
        <w:rPr>
          <w:rFonts w:asciiTheme="minorEastAsia" w:hAnsiTheme="minorEastAsia" w:eastAsiaTheme="minorEastAsia"/>
          <w:sz w:val="24"/>
          <w:szCs w:val="24"/>
        </w:rPr>
        <w:t xml:space="preserve"> </w:t>
      </w:r>
    </w:p>
    <w:p>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（5）</w:t>
      </w:r>
      <w:r>
        <w:rPr>
          <w:rFonts w:asciiTheme="minorEastAsia" w:hAnsiTheme="minorEastAsia" w:eastAsiaTheme="minorEastAsia"/>
          <w:sz w:val="24"/>
          <w:szCs w:val="24"/>
        </w:rPr>
        <w:t>机修人员做好设备维护保养工作。</w:t>
      </w:r>
    </w:p>
    <w:p>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（6）</w:t>
      </w:r>
      <w:r>
        <w:rPr>
          <w:rFonts w:asciiTheme="minorEastAsia" w:hAnsiTheme="minorEastAsia" w:eastAsiaTheme="minorEastAsia"/>
          <w:sz w:val="24"/>
          <w:szCs w:val="24"/>
        </w:rPr>
        <w:t>水量冲击预警</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w:t>
      </w:r>
      <w:r>
        <w:rPr>
          <w:rFonts w:asciiTheme="minorEastAsia" w:hAnsiTheme="minorEastAsia" w:eastAsiaTheme="minorEastAsia"/>
          <w:sz w:val="24"/>
          <w:szCs w:val="24"/>
        </w:rPr>
        <w:t>巡检组负责对天气情况进行72小时预报。</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w:t>
      </w:r>
      <w:r>
        <w:rPr>
          <w:rFonts w:asciiTheme="minorEastAsia" w:hAnsiTheme="minorEastAsia" w:eastAsiaTheme="minorEastAsia"/>
          <w:sz w:val="24"/>
          <w:szCs w:val="24"/>
        </w:rPr>
        <w:t>巡检时发现提升泵井液位明显增加，立即上报</w:t>
      </w:r>
      <w:r>
        <w:rPr>
          <w:rFonts w:hint="eastAsia" w:asciiTheme="minorEastAsia" w:hAnsiTheme="minorEastAsia" w:eastAsiaTheme="minorEastAsia"/>
          <w:sz w:val="24"/>
          <w:szCs w:val="24"/>
        </w:rPr>
        <w:t>厂长</w:t>
      </w:r>
      <w:r>
        <w:rPr>
          <w:rFonts w:asciiTheme="minorEastAsia" w:hAnsiTheme="minorEastAsia" w:eastAsiaTheme="minorEastAsia"/>
          <w:sz w:val="24"/>
          <w:szCs w:val="24"/>
        </w:rPr>
        <w:t>，并采取相应防范措施。</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w:t>
      </w:r>
      <w:r>
        <w:rPr>
          <w:rFonts w:asciiTheme="minorEastAsia" w:hAnsiTheme="minorEastAsia" w:eastAsiaTheme="minorEastAsia"/>
          <w:sz w:val="24"/>
          <w:szCs w:val="24"/>
        </w:rPr>
        <w:t>发生暴雨时，中控室在</w:t>
      </w:r>
      <w:r>
        <w:rPr>
          <w:rFonts w:hint="eastAsia" w:asciiTheme="minorEastAsia" w:hAnsiTheme="minorEastAsia" w:eastAsiaTheme="minorEastAsia"/>
          <w:sz w:val="24"/>
          <w:szCs w:val="24"/>
        </w:rPr>
        <w:t>岗</w:t>
      </w:r>
      <w:r>
        <w:rPr>
          <w:rFonts w:asciiTheme="minorEastAsia" w:hAnsiTheme="minorEastAsia" w:eastAsiaTheme="minorEastAsia"/>
          <w:sz w:val="24"/>
          <w:szCs w:val="24"/>
        </w:rPr>
        <w:t>人员密切观察提升泵井液位。当中控室人员发现液位上升增快时，立即上报厂长。</w:t>
      </w:r>
    </w:p>
    <w:p>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（7）</w:t>
      </w:r>
      <w:r>
        <w:rPr>
          <w:rFonts w:asciiTheme="minorEastAsia" w:hAnsiTheme="minorEastAsia" w:eastAsiaTheme="minorEastAsia"/>
          <w:sz w:val="24"/>
          <w:szCs w:val="24"/>
        </w:rPr>
        <w:t>水质冲击预警</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w:t>
      </w:r>
      <w:r>
        <w:rPr>
          <w:rFonts w:asciiTheme="minorEastAsia" w:hAnsiTheme="minorEastAsia" w:eastAsiaTheme="minorEastAsia"/>
          <w:sz w:val="24"/>
          <w:szCs w:val="24"/>
        </w:rPr>
        <w:t>巡检过程中发现水质恶臭、浊度等异常，立即向厂长报告</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w:t>
      </w:r>
      <w:r>
        <w:rPr>
          <w:rFonts w:asciiTheme="minorEastAsia" w:hAnsiTheme="minorEastAsia" w:eastAsiaTheme="minorEastAsia"/>
          <w:sz w:val="24"/>
          <w:szCs w:val="24"/>
        </w:rPr>
        <w:t>中控室发现进水水质在线监测数据超过进水标准，立即向厂长报告。</w:t>
      </w:r>
    </w:p>
    <w:p>
      <w:pPr>
        <w:spacing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3）厂长接到进水水质冲击报告后，立即通知化验室负责人，对进水水质进行</w:t>
      </w:r>
      <w:r>
        <w:rPr>
          <w:rFonts w:hint="eastAsia" w:asciiTheme="minorEastAsia" w:hAnsiTheme="minorEastAsia" w:eastAsiaTheme="minorEastAsia"/>
          <w:sz w:val="24"/>
          <w:szCs w:val="24"/>
        </w:rPr>
        <w:t>人工</w:t>
      </w:r>
      <w:r>
        <w:rPr>
          <w:rFonts w:asciiTheme="minorEastAsia" w:hAnsiTheme="minorEastAsia" w:eastAsiaTheme="minorEastAsia"/>
          <w:sz w:val="24"/>
          <w:szCs w:val="24"/>
        </w:rPr>
        <w:t>采样监测</w:t>
      </w:r>
      <w:r>
        <w:rPr>
          <w:rFonts w:hint="eastAsia" w:asciiTheme="minorEastAsia" w:hAnsiTheme="minorEastAsia" w:eastAsiaTheme="minorEastAsia"/>
          <w:sz w:val="24"/>
          <w:szCs w:val="24"/>
        </w:rPr>
        <w:t>，</w:t>
      </w:r>
      <w:r>
        <w:rPr>
          <w:rFonts w:asciiTheme="minorEastAsia" w:hAnsiTheme="minorEastAsia" w:eastAsiaTheme="minorEastAsia"/>
          <w:sz w:val="24"/>
          <w:szCs w:val="24"/>
        </w:rPr>
        <w:t>监测结果报厂长</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4</w:t>
      </w:r>
      <w:r>
        <w:rPr>
          <w:rFonts w:asciiTheme="minorEastAsia" w:hAnsiTheme="minorEastAsia" w:eastAsiaTheme="minorEastAsia"/>
          <w:color w:val="000000"/>
          <w:sz w:val="24"/>
          <w:szCs w:val="24"/>
        </w:rPr>
        <w:t>）确认进水水质超标后，厂长（书面、口头）立即向公司</w:t>
      </w:r>
      <w:r>
        <w:rPr>
          <w:rFonts w:hint="eastAsia" w:asciiTheme="minorEastAsia" w:hAnsiTheme="minorEastAsia" w:eastAsiaTheme="minorEastAsia"/>
          <w:color w:val="000000"/>
          <w:sz w:val="24"/>
          <w:szCs w:val="24"/>
        </w:rPr>
        <w:t>安全环保部、</w:t>
      </w:r>
      <w:r>
        <w:rPr>
          <w:rFonts w:asciiTheme="minorEastAsia" w:hAnsiTheme="minorEastAsia" w:eastAsiaTheme="minorEastAsia"/>
          <w:color w:val="000000"/>
          <w:sz w:val="24"/>
          <w:szCs w:val="24"/>
        </w:rPr>
        <w:t>应急指挥中心办公室报告，并且启动污水管网排查；对</w:t>
      </w:r>
      <w:r>
        <w:rPr>
          <w:rFonts w:hint="eastAsia" w:asciiTheme="minorEastAsia" w:hAnsiTheme="minorEastAsia" w:eastAsiaTheme="minorEastAsia"/>
          <w:color w:val="000000"/>
          <w:sz w:val="24"/>
          <w:szCs w:val="24"/>
        </w:rPr>
        <w:t>污水处理厂服务范围内的</w:t>
      </w:r>
      <w:r>
        <w:rPr>
          <w:rFonts w:asciiTheme="minorEastAsia" w:hAnsiTheme="minorEastAsia" w:eastAsiaTheme="minorEastAsia"/>
          <w:color w:val="000000"/>
          <w:sz w:val="24"/>
          <w:szCs w:val="24"/>
        </w:rPr>
        <w:t>企业进行排查是否有企业废水处理不达标而直接排入污水管网。对易发生险情的目标</w:t>
      </w:r>
      <w:r>
        <w:rPr>
          <w:rFonts w:hint="eastAsia" w:asciiTheme="minorEastAsia" w:hAnsiTheme="minorEastAsia" w:eastAsiaTheme="minorEastAsia"/>
          <w:color w:val="000000"/>
          <w:sz w:val="24"/>
          <w:szCs w:val="24"/>
        </w:rPr>
        <w:t>企业</w:t>
      </w:r>
      <w:r>
        <w:rPr>
          <w:rFonts w:asciiTheme="minorEastAsia" w:hAnsiTheme="minorEastAsia" w:eastAsiaTheme="minorEastAsia"/>
          <w:color w:val="000000"/>
          <w:sz w:val="24"/>
          <w:szCs w:val="24"/>
        </w:rPr>
        <w:t>加强监视和处理，发现异常立即上报厂长</w:t>
      </w:r>
    </w:p>
    <w:p>
      <w:pPr>
        <w:adjustRightInd w:val="0"/>
        <w:snapToGrid w:val="0"/>
        <w:spacing w:line="360" w:lineRule="auto"/>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（8）</w:t>
      </w:r>
      <w:r>
        <w:rPr>
          <w:rFonts w:asciiTheme="minorEastAsia" w:hAnsiTheme="minorEastAsia" w:eastAsiaTheme="minorEastAsia"/>
          <w:color w:val="000000"/>
          <w:sz w:val="24"/>
          <w:szCs w:val="24"/>
        </w:rPr>
        <w:t>停电预警</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1）电力部门提前发布停电通知，由</w:t>
      </w:r>
      <w:r>
        <w:rPr>
          <w:rFonts w:hint="eastAsia" w:asciiTheme="minorEastAsia" w:hAnsiTheme="minorEastAsia" w:eastAsiaTheme="minorEastAsia"/>
          <w:color w:val="000000"/>
          <w:sz w:val="24"/>
          <w:szCs w:val="24"/>
        </w:rPr>
        <w:t>综合部</w:t>
      </w:r>
      <w:r>
        <w:rPr>
          <w:rFonts w:asciiTheme="minorEastAsia" w:hAnsiTheme="minorEastAsia" w:eastAsiaTheme="minorEastAsia"/>
          <w:color w:val="000000"/>
          <w:sz w:val="24"/>
          <w:szCs w:val="24"/>
        </w:rPr>
        <w:t>收集停电通知，</w:t>
      </w:r>
      <w:r>
        <w:rPr>
          <w:rFonts w:hint="eastAsia" w:asciiTheme="minorEastAsia" w:hAnsiTheme="minorEastAsia" w:eastAsiaTheme="minorEastAsia"/>
          <w:color w:val="000000"/>
          <w:sz w:val="24"/>
          <w:szCs w:val="24"/>
        </w:rPr>
        <w:t>安全生产部</w:t>
      </w:r>
      <w:r>
        <w:rPr>
          <w:rFonts w:asciiTheme="minorEastAsia" w:hAnsiTheme="minorEastAsia" w:eastAsiaTheme="minorEastAsia"/>
          <w:color w:val="000000"/>
          <w:sz w:val="24"/>
          <w:szCs w:val="24"/>
        </w:rPr>
        <w:t>提前做好备用</w:t>
      </w:r>
      <w:r>
        <w:rPr>
          <w:rFonts w:hint="eastAsia" w:asciiTheme="minorEastAsia" w:hAnsiTheme="minorEastAsia" w:eastAsiaTheme="minorEastAsia"/>
          <w:color w:val="000000"/>
          <w:sz w:val="24"/>
          <w:szCs w:val="24"/>
        </w:rPr>
        <w:t>电源供电</w:t>
      </w:r>
      <w:r>
        <w:rPr>
          <w:rFonts w:asciiTheme="minorEastAsia" w:hAnsiTheme="minorEastAsia" w:eastAsiaTheme="minorEastAsia"/>
          <w:color w:val="000000"/>
          <w:sz w:val="24"/>
          <w:szCs w:val="24"/>
        </w:rPr>
        <w:t>准备。</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2）中控室设置有断电应急灯，当发生设备断电时，应急灯亮起。</w:t>
      </w:r>
      <w:r>
        <w:rPr>
          <w:rFonts w:hint="eastAsia" w:asciiTheme="minorEastAsia" w:hAnsiTheme="minorEastAsia" w:eastAsiaTheme="minorEastAsia"/>
          <w:color w:val="000000"/>
          <w:sz w:val="24"/>
          <w:szCs w:val="24"/>
        </w:rPr>
        <w:t>安全生产部及时</w:t>
      </w:r>
      <w:r>
        <w:rPr>
          <w:rFonts w:asciiTheme="minorEastAsia" w:hAnsiTheme="minorEastAsia" w:eastAsiaTheme="minorEastAsia"/>
          <w:color w:val="000000"/>
          <w:sz w:val="24"/>
          <w:szCs w:val="24"/>
        </w:rPr>
        <w:t>启动</w:t>
      </w:r>
      <w:r>
        <w:rPr>
          <w:rFonts w:hint="eastAsia" w:asciiTheme="minorEastAsia" w:hAnsiTheme="minorEastAsia" w:eastAsiaTheme="minorEastAsia"/>
          <w:color w:val="000000"/>
          <w:sz w:val="24"/>
          <w:szCs w:val="24"/>
        </w:rPr>
        <w:t>备用电源</w:t>
      </w:r>
      <w:r>
        <w:rPr>
          <w:rFonts w:asciiTheme="minorEastAsia" w:hAnsiTheme="minorEastAsia" w:eastAsiaTheme="minorEastAsia"/>
          <w:color w:val="000000"/>
          <w:sz w:val="24"/>
          <w:szCs w:val="24"/>
        </w:rPr>
        <w:t>。</w:t>
      </w:r>
    </w:p>
    <w:p>
      <w:pPr>
        <w:adjustRightInd w:val="0"/>
        <w:snapToGrid w:val="0"/>
        <w:spacing w:line="360" w:lineRule="auto"/>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（9）泄漏</w:t>
      </w:r>
      <w:r>
        <w:rPr>
          <w:rFonts w:asciiTheme="minorEastAsia" w:hAnsiTheme="minorEastAsia" w:eastAsiaTheme="minorEastAsia"/>
          <w:color w:val="000000"/>
          <w:sz w:val="24"/>
          <w:szCs w:val="24"/>
        </w:rPr>
        <w:t>预警</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1）二氧化氯车间设置有漏氯泄漏报警仪，与中央控制室报警相连，现场设置监控摄像头，与中央控制室电视监控设备相连。（在测氯气浓度为1mg/L时可立即自动启动）。</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2）现场人员负责对加氯间进行2小时巡检，遇报警器响或有大量刺激性气体溢出时及时向厂区应急领导报告，并采取相应防范措施。</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3）各生产班组工作人员严格执行维护保养规程，发现异常情况立即上报，机修人员及时处理确保设备运行正常。</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预警条件：当储酸室储罐区、生产区出现危险化学品发生泄漏或火灾、灼伤、爆炸等事故时，现场发现人员立即采取人工报警。</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方式、方法：现场人员可采取边报警边处理的方式，预警方式可以采用电话报警或人员现场通知的方式，要求上报要快（2分钟内）。使用电话报警时，人员必须跑到危险区域外进行报警。各级人员在接到事故信息后，要按照应急预案的规定程序及时上报，并确定解决方案，通知本单位相关人员采取防范措施或启动相应预案。各部门接到可能导致事故的信息后，要做好事故的预测与预警工作。　　</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信息发布程序：当总经理决定启动公司应急预案后，应立即告诫有关人员发生了安全事故，应进行紧急疏散和事故应急抢险。若需对外上报信息时，必须经总经理同意后，方可对外上报事故信息。</w:t>
      </w:r>
    </w:p>
    <w:p>
      <w:pPr>
        <w:adjustRightInd w:val="0"/>
        <w:snapToGrid w:val="0"/>
        <w:spacing w:line="460" w:lineRule="exact"/>
        <w:outlineLvl w:val="1"/>
        <w:rPr>
          <w:b/>
          <w:color w:val="000000"/>
          <w:sz w:val="28"/>
          <w:szCs w:val="28"/>
        </w:rPr>
      </w:pPr>
      <w:bookmarkStart w:id="268" w:name="_Toc18253"/>
      <w:r>
        <w:rPr>
          <w:rFonts w:hint="eastAsia"/>
          <w:b/>
          <w:color w:val="000000"/>
          <w:sz w:val="28"/>
          <w:szCs w:val="28"/>
        </w:rPr>
        <w:t>5.3有效报警方式</w:t>
      </w:r>
      <w:bookmarkEnd w:id="268"/>
      <w:r>
        <w:rPr>
          <w:b/>
          <w:color w:val="000000"/>
          <w:sz w:val="28"/>
          <w:szCs w:val="28"/>
        </w:rPr>
        <w:t xml:space="preserve"> </w:t>
      </w:r>
    </w:p>
    <w:p>
      <w:pPr>
        <w:adjustRightInd w:val="0"/>
        <w:snapToGrid w:val="0"/>
        <w:spacing w:line="360" w:lineRule="auto"/>
        <w:ind w:firstLine="400" w:firstLineChars="200"/>
        <w:jc w:val="left"/>
        <w:textAlignment w:val="center"/>
        <w:rPr>
          <w:rFonts w:asciiTheme="minorEastAsia" w:hAnsiTheme="minorEastAsia" w:eastAsiaTheme="minorEastAsia"/>
          <w:sz w:val="24"/>
          <w:szCs w:val="24"/>
        </w:rPr>
      </w:pPr>
      <w:bookmarkStart w:id="269" w:name="_Toc317862352"/>
      <w:r>
        <w:rPr>
          <w:rFonts w:hint="eastAsia" w:cs="宋体" w:asciiTheme="minorEastAsia" w:hAnsiTheme="minorEastAsia" w:eastAsiaTheme="minorEastAsia"/>
          <w:bCs/>
          <w:spacing w:val="-20"/>
          <w:sz w:val="24"/>
          <w:szCs w:val="24"/>
          <w:lang w:val="zh-CN"/>
        </w:rPr>
        <w:t>龙桥</w:t>
      </w:r>
      <w:r>
        <w:rPr>
          <w:rFonts w:hint="eastAsia" w:asciiTheme="minorEastAsia" w:hAnsiTheme="minorEastAsia" w:eastAsiaTheme="minorEastAsia"/>
          <w:sz w:val="24"/>
          <w:szCs w:val="24"/>
        </w:rPr>
        <w:t>污水处理厂</w:t>
      </w:r>
      <w:r>
        <w:rPr>
          <w:rFonts w:asciiTheme="minorEastAsia" w:hAnsiTheme="minorEastAsia" w:eastAsiaTheme="minorEastAsia"/>
          <w:color w:val="000000"/>
          <w:sz w:val="24"/>
          <w:szCs w:val="24"/>
        </w:rPr>
        <w:t>应急救援指挥</w:t>
      </w:r>
      <w:r>
        <w:rPr>
          <w:rFonts w:hint="eastAsia" w:asciiTheme="minorEastAsia" w:hAnsiTheme="minorEastAsia" w:eastAsiaTheme="minorEastAsia"/>
          <w:color w:val="000000"/>
          <w:sz w:val="24"/>
          <w:szCs w:val="24"/>
        </w:rPr>
        <w:t>部</w:t>
      </w:r>
      <w:r>
        <w:rPr>
          <w:rFonts w:asciiTheme="minorEastAsia" w:hAnsiTheme="minorEastAsia" w:eastAsiaTheme="minorEastAsia"/>
          <w:color w:val="000000"/>
          <w:sz w:val="24"/>
          <w:szCs w:val="24"/>
        </w:rPr>
        <w:t>常设</w:t>
      </w:r>
      <w:r>
        <w:rPr>
          <w:rFonts w:hint="eastAsia" w:asciiTheme="minorEastAsia" w:hAnsiTheme="minorEastAsia" w:eastAsiaTheme="minorEastAsia"/>
          <w:color w:val="000000"/>
          <w:sz w:val="24"/>
          <w:szCs w:val="24"/>
        </w:rPr>
        <w:t>24小时值班报警电话：</w:t>
      </w:r>
      <w:r>
        <w:rPr>
          <w:rFonts w:hint="eastAsia" w:asciiTheme="minorEastAsia" w:hAnsiTheme="minorEastAsia" w:eastAsiaTheme="minorEastAsia"/>
          <w:b/>
          <w:bCs/>
          <w:color w:val="000000"/>
          <w:sz w:val="24"/>
          <w:szCs w:val="24"/>
        </w:rPr>
        <w:t>72311501</w:t>
      </w:r>
      <w:r>
        <w:rPr>
          <w:rFonts w:asciiTheme="minorEastAsia" w:hAnsiTheme="minorEastAsia" w:eastAsiaTheme="minorEastAsia"/>
          <w:color w:val="000000"/>
          <w:sz w:val="24"/>
          <w:szCs w:val="24"/>
        </w:rPr>
        <w:t>并</w:t>
      </w:r>
      <w:r>
        <w:rPr>
          <w:rFonts w:hint="eastAsia" w:asciiTheme="minorEastAsia" w:hAnsiTheme="minorEastAsia" w:eastAsiaTheme="minorEastAsia"/>
          <w:color w:val="000000"/>
          <w:sz w:val="24"/>
          <w:szCs w:val="24"/>
        </w:rPr>
        <w:t>派</w:t>
      </w:r>
      <w:r>
        <w:rPr>
          <w:rFonts w:asciiTheme="minorEastAsia" w:hAnsiTheme="minorEastAsia" w:eastAsiaTheme="minorEastAsia"/>
          <w:color w:val="000000"/>
          <w:sz w:val="24"/>
          <w:szCs w:val="24"/>
        </w:rPr>
        <w:t>专人值守。</w:t>
      </w:r>
      <w:r>
        <w:rPr>
          <w:rFonts w:hint="eastAsia" w:asciiTheme="minorEastAsia" w:hAnsiTheme="minorEastAsia" w:eastAsiaTheme="minorEastAsia"/>
          <w:color w:val="000000"/>
          <w:sz w:val="24"/>
          <w:szCs w:val="24"/>
        </w:rPr>
        <w:t>必须确保24小时能有人接听。</w:t>
      </w:r>
      <w:r>
        <w:rPr>
          <w:rFonts w:asciiTheme="minorEastAsia" w:hAnsiTheme="minorEastAsia" w:eastAsiaTheme="minorEastAsia"/>
          <w:sz w:val="24"/>
          <w:szCs w:val="24"/>
        </w:rPr>
        <w:t>应急救援人员之间采用内部和外部电话（包括手机、对讲机等）线路进行联系，应急救援小组的电话必须24小时开机</w:t>
      </w:r>
      <w:r>
        <w:rPr>
          <w:rFonts w:hint="eastAsia" w:asciiTheme="minorEastAsia" w:hAnsiTheme="minorEastAsia" w:eastAsiaTheme="minorEastAsia"/>
          <w:color w:val="000000"/>
          <w:sz w:val="24"/>
          <w:szCs w:val="24"/>
        </w:rPr>
        <w:t>确保手机畅通</w:t>
      </w:r>
      <w:r>
        <w:rPr>
          <w:rFonts w:asciiTheme="minorEastAsia" w:hAnsiTheme="minorEastAsia" w:eastAsiaTheme="minorEastAsia"/>
          <w:sz w:val="24"/>
          <w:szCs w:val="24"/>
        </w:rPr>
        <w:t>，禁止随意更换电话号码。特殊情况下，电话号码发生变更，必须在变更之日起48小时内向各部门、各企业单位公布。</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企业内部、企业与园区之间危险化学品事故报警方式采用内部电话和外部电话（包括手机、对讲机等）线路进行报警，由指挥部根据事态情况发布事故消息，做出紧急疏散和撤离等警报。需要向社会和周边发布警报时，由指挥部人员向政府以及周边单位发送警报消息。事态严重紧急时，通过指挥部直接联系政府以及周边单位负责人，由总指挥亲自向政府或负责人发布消息，提出要求组织撤离疏散或者请求援助，随时保持电话联系。</w:t>
      </w:r>
      <w:bookmarkEnd w:id="269"/>
      <w:bookmarkStart w:id="270" w:name="_Toc458674283"/>
    </w:p>
    <w:p>
      <w:pPr>
        <w:adjustRightInd w:val="0"/>
        <w:snapToGrid w:val="0"/>
        <w:spacing w:line="460" w:lineRule="exact"/>
        <w:outlineLvl w:val="1"/>
        <w:rPr>
          <w:b/>
          <w:color w:val="000000"/>
          <w:sz w:val="28"/>
          <w:szCs w:val="28"/>
        </w:rPr>
      </w:pPr>
      <w:bookmarkStart w:id="271" w:name="_Toc3406"/>
      <w:r>
        <w:rPr>
          <w:rFonts w:hint="eastAsia"/>
          <w:b/>
          <w:color w:val="000000"/>
          <w:sz w:val="28"/>
          <w:szCs w:val="28"/>
        </w:rPr>
        <w:t>5.4</w:t>
      </w:r>
      <w:r>
        <w:rPr>
          <w:b/>
          <w:color w:val="000000"/>
          <w:sz w:val="28"/>
          <w:szCs w:val="28"/>
        </w:rPr>
        <w:t>信息报告与通报</w:t>
      </w:r>
      <w:bookmarkEnd w:id="270"/>
      <w:bookmarkEnd w:id="271"/>
    </w:p>
    <w:p>
      <w:pPr>
        <w:pStyle w:val="120"/>
        <w:ind w:firstLine="0" w:firstLineChars="0"/>
        <w:rPr>
          <w:b/>
        </w:rPr>
      </w:pPr>
      <w:bookmarkStart w:id="272" w:name="_Toc458674284"/>
      <w:r>
        <w:rPr>
          <w:rFonts w:hint="eastAsia"/>
          <w:b/>
        </w:rPr>
        <w:t>5</w:t>
      </w:r>
      <w:r>
        <w:rPr>
          <w:b/>
        </w:rPr>
        <w:t>.</w:t>
      </w:r>
      <w:r>
        <w:rPr>
          <w:rFonts w:hint="eastAsia"/>
          <w:b/>
        </w:rPr>
        <w:t>4</w:t>
      </w:r>
      <w:r>
        <w:rPr>
          <w:b/>
        </w:rPr>
        <w:t>.1突发环境事件报告时限和程序</w:t>
      </w:r>
      <w:bookmarkEnd w:id="272"/>
    </w:p>
    <w:p>
      <w:pPr>
        <w:adjustRightInd w:val="0"/>
        <w:snapToGrid w:val="0"/>
        <w:spacing w:line="460" w:lineRule="exact"/>
        <w:ind w:firstLine="480"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企业</w:t>
      </w:r>
      <w:r>
        <w:rPr>
          <w:rFonts w:asciiTheme="minorEastAsia" w:hAnsiTheme="minorEastAsia" w:eastAsiaTheme="minorEastAsia"/>
          <w:color w:val="000000"/>
          <w:sz w:val="24"/>
          <w:szCs w:val="24"/>
        </w:rPr>
        <w:t>在发生</w:t>
      </w:r>
      <w:r>
        <w:rPr>
          <w:rFonts w:hint="eastAsia" w:asciiTheme="minorEastAsia" w:hAnsiTheme="minorEastAsia" w:eastAsiaTheme="minorEastAsia"/>
          <w:color w:val="000000"/>
          <w:sz w:val="24"/>
          <w:szCs w:val="24"/>
        </w:rPr>
        <w:t>突发</w:t>
      </w:r>
      <w:r>
        <w:rPr>
          <w:rFonts w:asciiTheme="minorEastAsia" w:hAnsiTheme="minorEastAsia" w:eastAsiaTheme="minorEastAsia"/>
          <w:color w:val="000000"/>
          <w:sz w:val="24"/>
          <w:szCs w:val="24"/>
        </w:rPr>
        <w:t>环境污染事件后，</w:t>
      </w:r>
      <w:r>
        <w:rPr>
          <w:rFonts w:hint="eastAsia" w:asciiTheme="minorEastAsia" w:hAnsiTheme="minorEastAsia" w:eastAsiaTheme="minorEastAsia"/>
          <w:color w:val="000000"/>
          <w:sz w:val="24"/>
          <w:szCs w:val="24"/>
        </w:rPr>
        <w:t>事故现场有关人员应立即报告现场管理人员或当班负责人。单位主要负责人根据事故情况决定是否启动本单位现场处置方案或综合应急救援预案。每级上报时间不得超过10分钟。情况紧急时，可以直接越级上报或现场人员直接向事故发生地区县级以上人民政府安全生产监督管理部门和负有安全生产监督管理职责的有关部门报告。当厂长觉得有必要启动应急救援预案时，可直接启动</w:t>
      </w:r>
      <w:r>
        <w:rPr>
          <w:rFonts w:asciiTheme="minorEastAsia" w:hAnsiTheme="minorEastAsia" w:eastAsiaTheme="minorEastAsia"/>
          <w:color w:val="000000"/>
          <w:sz w:val="24"/>
          <w:szCs w:val="24"/>
        </w:rPr>
        <w:t>相应</w:t>
      </w:r>
      <w:r>
        <w:rPr>
          <w:rFonts w:hint="eastAsia" w:asciiTheme="minorEastAsia" w:hAnsiTheme="minorEastAsia" w:eastAsiaTheme="minorEastAsia"/>
          <w:color w:val="000000"/>
          <w:sz w:val="24"/>
          <w:szCs w:val="24"/>
        </w:rPr>
        <w:t>应急预案开展事故救援工作。</w:t>
      </w:r>
    </w:p>
    <w:p>
      <w:pPr>
        <w:pStyle w:val="120"/>
        <w:ind w:firstLine="0" w:firstLineChars="0"/>
        <w:rPr>
          <w:b/>
        </w:rPr>
      </w:pPr>
      <w:bookmarkStart w:id="273" w:name="_Toc458674285"/>
      <w:r>
        <w:rPr>
          <w:rFonts w:hint="eastAsia"/>
          <w:b/>
        </w:rPr>
        <w:t>5</w:t>
      </w:r>
      <w:r>
        <w:rPr>
          <w:b/>
        </w:rPr>
        <w:t>.</w:t>
      </w:r>
      <w:r>
        <w:rPr>
          <w:rFonts w:hint="eastAsia"/>
          <w:b/>
        </w:rPr>
        <w:t>4</w:t>
      </w:r>
      <w:r>
        <w:rPr>
          <w:b/>
        </w:rPr>
        <w:t>.2突发环境事件报告方式与内容</w:t>
      </w:r>
      <w:bookmarkEnd w:id="273"/>
    </w:p>
    <w:p>
      <w:pPr>
        <w:adjustRightInd w:val="0"/>
        <w:snapToGrid w:val="0"/>
        <w:spacing w:line="460" w:lineRule="exact"/>
        <w:ind w:firstLine="480" w:firstLineChars="200"/>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（1）厂内报告方式</w:t>
      </w:r>
    </w:p>
    <w:p>
      <w:pPr>
        <w:adjustRightInd w:val="0"/>
        <w:snapToGrid w:val="0"/>
        <w:spacing w:line="460" w:lineRule="exact"/>
        <w:ind w:firstLine="480" w:firstLineChars="200"/>
        <w:rPr>
          <w:color w:val="000000"/>
          <w:sz w:val="26"/>
          <w:szCs w:val="26"/>
        </w:rPr>
      </w:pPr>
      <w:r>
        <w:rPr>
          <w:rFonts w:hint="eastAsia" w:asciiTheme="minorEastAsia" w:hAnsiTheme="minorEastAsia" w:eastAsiaTheme="minorEastAsia"/>
          <w:color w:val="000000"/>
          <w:sz w:val="24"/>
          <w:szCs w:val="24"/>
        </w:rPr>
        <w:t>企业</w:t>
      </w:r>
      <w:r>
        <w:rPr>
          <w:rFonts w:asciiTheme="minorEastAsia" w:hAnsiTheme="minorEastAsia" w:eastAsiaTheme="minorEastAsia"/>
          <w:color w:val="000000"/>
          <w:sz w:val="24"/>
          <w:szCs w:val="24"/>
        </w:rPr>
        <w:t>在发生</w:t>
      </w:r>
      <w:r>
        <w:rPr>
          <w:rFonts w:hint="eastAsia" w:asciiTheme="minorEastAsia" w:hAnsiTheme="minorEastAsia" w:eastAsiaTheme="minorEastAsia"/>
          <w:color w:val="000000"/>
          <w:sz w:val="24"/>
          <w:szCs w:val="24"/>
        </w:rPr>
        <w:t>突发</w:t>
      </w:r>
      <w:r>
        <w:rPr>
          <w:rFonts w:asciiTheme="minorEastAsia" w:hAnsiTheme="minorEastAsia" w:eastAsiaTheme="minorEastAsia"/>
          <w:color w:val="000000"/>
          <w:sz w:val="24"/>
          <w:szCs w:val="24"/>
        </w:rPr>
        <w:t>环境污染事件后，</w:t>
      </w:r>
      <w:r>
        <w:rPr>
          <w:rFonts w:hint="eastAsia" w:asciiTheme="minorEastAsia" w:hAnsiTheme="minorEastAsia" w:eastAsiaTheme="minorEastAsia"/>
          <w:color w:val="000000"/>
          <w:sz w:val="24"/>
          <w:szCs w:val="24"/>
        </w:rPr>
        <w:t>事故现场有关人员应立即报告现场管理人员或当班负责人。单位主要负责人根据事故情况决定是否启动本单位现场处置方案或综合应急救援预案。每级上报时间不得超过10分钟。</w:t>
      </w:r>
      <w:r>
        <w:rPr>
          <w:rFonts w:asciiTheme="minorEastAsia" w:hAnsiTheme="minorEastAsia" w:eastAsiaTheme="minorEastAsia"/>
          <w:color w:val="000000"/>
          <w:sz w:val="24"/>
          <w:szCs w:val="24"/>
        </w:rPr>
        <w:t>各部门建立领导干部联系电话图表，予以公布。</w:t>
      </w:r>
      <w:r>
        <w:rPr>
          <w:rFonts w:hint="eastAsia" w:asciiTheme="minorEastAsia" w:hAnsiTheme="minorEastAsia" w:eastAsiaTheme="minorEastAsia"/>
          <w:color w:val="000000"/>
          <w:sz w:val="24"/>
          <w:szCs w:val="24"/>
        </w:rPr>
        <w:t>并</w:t>
      </w:r>
      <w:r>
        <w:rPr>
          <w:rFonts w:asciiTheme="minorEastAsia" w:hAnsiTheme="minorEastAsia" w:eastAsiaTheme="minorEastAsia"/>
          <w:color w:val="000000"/>
          <w:sz w:val="24"/>
          <w:szCs w:val="24"/>
        </w:rPr>
        <w:t>定期进行修订。</w:t>
      </w:r>
    </w:p>
    <w:p>
      <w:pPr>
        <w:adjustRightInd w:val="0"/>
        <w:snapToGrid w:val="0"/>
        <w:spacing w:line="460" w:lineRule="exact"/>
        <w:ind w:firstLine="480" w:firstLineChars="200"/>
        <w:rPr>
          <w:color w:val="000000"/>
          <w:sz w:val="26"/>
          <w:szCs w:val="26"/>
        </w:rPr>
      </w:pPr>
      <w:r>
        <w:rPr>
          <w:rFonts w:asciiTheme="minorEastAsia" w:hAnsiTheme="minorEastAsia" w:eastAsiaTheme="minorEastAsia"/>
          <w:color w:val="000000"/>
          <w:sz w:val="24"/>
          <w:szCs w:val="24"/>
        </w:rPr>
        <w:t>（2）厂外报告方式</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当事故信息上报至公司主要负责人后，主要负责人认为本单位应急能力不能对事故进行控制和处理时，由主要负责人直接在事故发生l小时内上报龙桥工业园区应急部门或区安全生产监督管理部门、主管部门以及负有安全生产监督管理职责的有关部门。</w:t>
      </w:r>
    </w:p>
    <w:p>
      <w:pPr>
        <w:adjustRightInd w:val="0"/>
        <w:snapToGrid w:val="0"/>
        <w:spacing w:line="460" w:lineRule="exact"/>
        <w:ind w:firstLine="480" w:firstLineChars="200"/>
        <w:rPr>
          <w:color w:val="000000"/>
          <w:sz w:val="26"/>
          <w:szCs w:val="26"/>
        </w:rPr>
      </w:pPr>
      <w:bookmarkStart w:id="274" w:name="_Toc363593031"/>
      <w:r>
        <w:rPr>
          <w:rFonts w:asciiTheme="minorEastAsia" w:hAnsiTheme="minorEastAsia" w:eastAsiaTheme="minorEastAsia"/>
          <w:color w:val="000000"/>
          <w:sz w:val="24"/>
          <w:szCs w:val="24"/>
        </w:rPr>
        <w:t>（</w:t>
      </w:r>
      <w:r>
        <w:rPr>
          <w:rFonts w:hint="eastAsia" w:asciiTheme="minorEastAsia" w:hAnsiTheme="minorEastAsia" w:eastAsiaTheme="minorEastAsia"/>
          <w:color w:val="000000"/>
          <w:sz w:val="24"/>
          <w:szCs w:val="24"/>
        </w:rPr>
        <w:t>3</w:t>
      </w:r>
      <w:r>
        <w:rPr>
          <w:rFonts w:asciiTheme="minorEastAsia" w:hAnsiTheme="minorEastAsia" w:eastAsiaTheme="minorEastAsia"/>
          <w:color w:val="000000"/>
          <w:sz w:val="24"/>
          <w:szCs w:val="24"/>
        </w:rPr>
        <w:t>）事件报告内容</w:t>
      </w:r>
      <w:bookmarkEnd w:id="274"/>
    </w:p>
    <w:p>
      <w:pPr>
        <w:adjustRightInd w:val="0"/>
        <w:snapToGrid w:val="0"/>
        <w:spacing w:line="460" w:lineRule="exact"/>
        <w:ind w:firstLine="480" w:firstLineChars="200"/>
        <w:rPr>
          <w:color w:val="000000"/>
          <w:sz w:val="26"/>
          <w:szCs w:val="26"/>
        </w:rPr>
      </w:pPr>
      <w:r>
        <w:rPr>
          <w:rFonts w:hint="eastAsia" w:asciiTheme="minorEastAsia" w:hAnsiTheme="minorEastAsia" w:eastAsiaTheme="minorEastAsia"/>
          <w:color w:val="000000"/>
          <w:sz w:val="24"/>
          <w:szCs w:val="24"/>
        </w:rPr>
        <w:t>报告事故的内容应当包括：事故发生单位概况；事故发生的时间、地点以及事故现场情况；事故的简要经过；事故已经造成或者可能造成的伤亡人数(包括下落不明的人数)和初步估计的直接经济损失；已经采取的措施；</w:t>
      </w:r>
      <w:r>
        <w:rPr>
          <w:rFonts w:asciiTheme="minorEastAsia" w:hAnsiTheme="minorEastAsia" w:eastAsiaTheme="minorEastAsia"/>
          <w:color w:val="000000"/>
          <w:sz w:val="24"/>
          <w:szCs w:val="24"/>
        </w:rPr>
        <w:t>潜在的危害程度，转化方式及趋向，可能受影响区域及</w:t>
      </w:r>
      <w:r>
        <w:rPr>
          <w:rFonts w:hint="eastAsia" w:asciiTheme="minorEastAsia" w:hAnsiTheme="minorEastAsia" w:eastAsiaTheme="minorEastAsia"/>
          <w:color w:val="000000"/>
          <w:sz w:val="24"/>
          <w:szCs w:val="24"/>
        </w:rPr>
        <w:t>已采取的措施和现场控制情况、其他应当报告的情况。</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涪陵区环保局电话：023-72899929</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涪陵区安监局电话：023-72230615</w:t>
      </w:r>
    </w:p>
    <w:p>
      <w:pPr>
        <w:adjustRightInd w:val="0"/>
        <w:snapToGrid w:val="0"/>
        <w:spacing w:line="360" w:lineRule="auto"/>
        <w:ind w:firstLine="480" w:firstLineChars="200"/>
        <w:jc w:val="left"/>
        <w:textAlignment w:val="center"/>
        <w:rPr>
          <w:rFonts w:asciiTheme="minorEastAsia" w:hAnsiTheme="minorEastAsia" w:eastAsiaTheme="minorEastAsia"/>
          <w:sz w:val="24"/>
        </w:rPr>
      </w:pPr>
      <w:r>
        <w:rPr>
          <w:rFonts w:hint="eastAsia" w:asciiTheme="minorEastAsia" w:hAnsiTheme="minorEastAsia" w:eastAsiaTheme="minorEastAsia"/>
          <w:color w:val="000000"/>
          <w:sz w:val="24"/>
          <w:szCs w:val="24"/>
        </w:rPr>
        <w:t>消防队电话：119</w:t>
      </w:r>
    </w:p>
    <w:p>
      <w:pPr>
        <w:pStyle w:val="120"/>
        <w:spacing w:line="360" w:lineRule="auto"/>
        <w:ind w:firstLine="480"/>
        <w:rPr>
          <w:rFonts w:asciiTheme="minorEastAsia" w:hAnsiTheme="minorEastAsia" w:eastAsiaTheme="minorEastAsia"/>
          <w:kern w:val="2"/>
        </w:rPr>
      </w:pPr>
      <w:r>
        <w:rPr>
          <w:rFonts w:asciiTheme="minorEastAsia" w:hAnsiTheme="minorEastAsia" w:eastAsiaTheme="minorEastAsia"/>
          <w:kern w:val="2"/>
        </w:rPr>
        <w:t>公司领导小组成员及各部门领导</w:t>
      </w:r>
      <w:r>
        <w:rPr>
          <w:rFonts w:hint="eastAsia" w:asciiTheme="minorEastAsia" w:hAnsiTheme="minorEastAsia" w:eastAsiaTheme="minorEastAsia"/>
          <w:kern w:val="2"/>
        </w:rPr>
        <w:t>、</w:t>
      </w:r>
      <w:r>
        <w:rPr>
          <w:rFonts w:asciiTheme="minorEastAsia" w:hAnsiTheme="minorEastAsia" w:eastAsiaTheme="minorEastAsia"/>
          <w:kern w:val="2"/>
        </w:rPr>
        <w:t>相关部门、单位的联系方式</w:t>
      </w:r>
      <w:r>
        <w:rPr>
          <w:rFonts w:hint="eastAsia" w:asciiTheme="minorEastAsia" w:hAnsiTheme="minorEastAsia" w:eastAsiaTheme="minorEastAsia"/>
          <w:kern w:val="2"/>
        </w:rPr>
        <w:t>见附件</w:t>
      </w:r>
    </w:p>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bookmarkStart w:id="275" w:name="_Toc198007338"/>
      <w:bookmarkStart w:id="276" w:name="_Toc198355323"/>
      <w:bookmarkStart w:id="277" w:name="_Toc229283974"/>
      <w:bookmarkStart w:id="278" w:name="_Toc262040279"/>
      <w:bookmarkStart w:id="279" w:name="_Toc262050869"/>
      <w:bookmarkStart w:id="280" w:name="_Toc262051119"/>
      <w:bookmarkStart w:id="281" w:name="_Toc262051540"/>
      <w:bookmarkStart w:id="282" w:name="_Toc304833236"/>
      <w:bookmarkStart w:id="283" w:name="_Toc304962959"/>
      <w:bookmarkStart w:id="284" w:name="_Toc184808765"/>
      <w:bookmarkStart w:id="285" w:name="_Toc184809552"/>
      <w:bookmarkStart w:id="286" w:name="_Toc336326853"/>
      <w:bookmarkStart w:id="287" w:name="_Toc336327131"/>
      <w:bookmarkStart w:id="288" w:name="_Toc387131428"/>
      <w:bookmarkStart w:id="289" w:name="_Toc387131502"/>
      <w:bookmarkStart w:id="290" w:name="_Toc387131759"/>
      <w:bookmarkStart w:id="291" w:name="_Toc415254545"/>
      <w:bookmarkStart w:id="292" w:name="_Toc185670985"/>
      <w:bookmarkStart w:id="293" w:name="_Toc196018435"/>
      <w:bookmarkStart w:id="294" w:name="_Toc196018544"/>
      <w:bookmarkStart w:id="295" w:name="_Toc196018639"/>
      <w:bookmarkStart w:id="296" w:name="_Toc197251343"/>
      <w:bookmarkStart w:id="297" w:name="_Toc304963603"/>
      <w:bookmarkStart w:id="298" w:name="_Toc304964446"/>
      <w:bookmarkStart w:id="299" w:name="_Toc179794547"/>
      <w:bookmarkStart w:id="300" w:name="_Toc183339225"/>
      <w:bookmarkStart w:id="301" w:name="_Toc183339501"/>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p>
    <w:p>
      <w:pPr>
        <w:adjustRightInd w:val="0"/>
        <w:snapToGrid w:val="0"/>
        <w:spacing w:line="440" w:lineRule="exact"/>
        <w:jc w:val="left"/>
        <w:textAlignment w:val="center"/>
        <w:rPr>
          <w:rFonts w:asciiTheme="minorEastAsia" w:hAnsiTheme="minorEastAsia" w:eastAsiaTheme="minorEastAsia"/>
          <w:b/>
          <w:color w:val="000000"/>
          <w:sz w:val="32"/>
        </w:rPr>
      </w:pPr>
    </w:p>
    <w:p>
      <w:pPr>
        <w:adjustRightInd w:val="0"/>
        <w:snapToGrid w:val="0"/>
        <w:spacing w:line="440" w:lineRule="exact"/>
        <w:jc w:val="left"/>
        <w:textAlignment w:val="center"/>
        <w:outlineLvl w:val="0"/>
        <w:rPr>
          <w:rFonts w:asciiTheme="minorEastAsia" w:hAnsiTheme="minorEastAsia" w:eastAsiaTheme="minorEastAsia"/>
          <w:b/>
          <w:color w:val="000000"/>
          <w:sz w:val="32"/>
        </w:rPr>
      </w:pPr>
      <w:bookmarkStart w:id="302" w:name="_Toc3815"/>
    </w:p>
    <w:p>
      <w:pPr>
        <w:adjustRightInd w:val="0"/>
        <w:snapToGrid w:val="0"/>
        <w:spacing w:line="440" w:lineRule="exact"/>
        <w:jc w:val="left"/>
        <w:textAlignment w:val="center"/>
        <w:outlineLvl w:val="0"/>
        <w:rPr>
          <w:rFonts w:asciiTheme="minorEastAsia" w:hAnsiTheme="minorEastAsia" w:eastAsiaTheme="minorEastAsia"/>
          <w:b/>
          <w:color w:val="000000"/>
          <w:sz w:val="32"/>
        </w:rPr>
      </w:pPr>
    </w:p>
    <w:p>
      <w:pPr>
        <w:adjustRightInd w:val="0"/>
        <w:snapToGrid w:val="0"/>
        <w:spacing w:line="440" w:lineRule="exact"/>
        <w:jc w:val="left"/>
        <w:textAlignment w:val="center"/>
        <w:outlineLvl w:val="0"/>
        <w:rPr>
          <w:rFonts w:asciiTheme="minorEastAsia" w:hAnsiTheme="minorEastAsia" w:eastAsiaTheme="minorEastAsia"/>
          <w:b/>
          <w:color w:val="000000"/>
          <w:sz w:val="32"/>
        </w:rPr>
      </w:pPr>
    </w:p>
    <w:p>
      <w:pPr>
        <w:adjustRightInd w:val="0"/>
        <w:snapToGrid w:val="0"/>
        <w:spacing w:line="440" w:lineRule="exact"/>
        <w:jc w:val="left"/>
        <w:textAlignment w:val="center"/>
        <w:outlineLvl w:val="0"/>
        <w:rPr>
          <w:rFonts w:asciiTheme="minorEastAsia" w:hAnsiTheme="minorEastAsia" w:eastAsiaTheme="minorEastAsia"/>
          <w:b/>
          <w:color w:val="000000"/>
          <w:sz w:val="32"/>
        </w:rPr>
      </w:pPr>
    </w:p>
    <w:p>
      <w:pPr>
        <w:adjustRightInd w:val="0"/>
        <w:snapToGrid w:val="0"/>
        <w:spacing w:line="440" w:lineRule="exact"/>
        <w:jc w:val="left"/>
        <w:textAlignment w:val="center"/>
        <w:outlineLvl w:val="0"/>
        <w:rPr>
          <w:rFonts w:asciiTheme="minorEastAsia" w:hAnsiTheme="minorEastAsia" w:eastAsiaTheme="minorEastAsia"/>
          <w:b/>
          <w:color w:val="000000"/>
          <w:sz w:val="32"/>
        </w:rPr>
      </w:pPr>
    </w:p>
    <w:p>
      <w:pPr>
        <w:adjustRightInd w:val="0"/>
        <w:snapToGrid w:val="0"/>
        <w:spacing w:line="440" w:lineRule="exact"/>
        <w:jc w:val="center"/>
        <w:textAlignment w:val="center"/>
        <w:outlineLvl w:val="0"/>
        <w:rPr>
          <w:rFonts w:asciiTheme="minorEastAsia" w:hAnsiTheme="minorEastAsia" w:eastAsiaTheme="minorEastAsia"/>
          <w:b/>
          <w:color w:val="000000"/>
          <w:sz w:val="32"/>
        </w:rPr>
      </w:pPr>
      <w:bookmarkStart w:id="303" w:name="_Toc14830"/>
      <w:r>
        <w:rPr>
          <w:rFonts w:asciiTheme="minorEastAsia" w:hAnsiTheme="minorEastAsia" w:eastAsiaTheme="minorEastAsia"/>
          <w:b/>
          <w:color w:val="000000"/>
          <w:sz w:val="32"/>
        </w:rPr>
        <w:t>6</w:t>
      </w:r>
      <w:r>
        <w:rPr>
          <w:rFonts w:hint="eastAsia" w:asciiTheme="minorEastAsia" w:hAnsiTheme="minorEastAsia" w:eastAsiaTheme="minorEastAsia"/>
          <w:b/>
          <w:color w:val="000000"/>
          <w:sz w:val="32"/>
        </w:rPr>
        <w:t>应急响应</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pPr>
        <w:adjustRightInd w:val="0"/>
        <w:snapToGrid w:val="0"/>
        <w:spacing w:line="460" w:lineRule="exact"/>
        <w:outlineLvl w:val="1"/>
        <w:rPr>
          <w:rFonts w:hint="eastAsia" w:asciiTheme="minorEastAsia" w:hAnsiTheme="minorEastAsia" w:eastAsiaTheme="minorEastAsia"/>
          <w:b/>
          <w:sz w:val="28"/>
          <w:szCs w:val="28"/>
          <w:lang w:val="zh-CN"/>
        </w:rPr>
      </w:pPr>
      <w:bookmarkStart w:id="304" w:name="_Toc387131503"/>
      <w:bookmarkStart w:id="305" w:name="_Toc387131760"/>
      <w:bookmarkStart w:id="306" w:name="_Toc415254546"/>
      <w:bookmarkStart w:id="307" w:name="_Toc304833237"/>
      <w:bookmarkStart w:id="308" w:name="_Toc304962960"/>
      <w:bookmarkStart w:id="309" w:name="_Toc304963604"/>
      <w:bookmarkStart w:id="310" w:name="_Toc304964447"/>
      <w:bookmarkStart w:id="311" w:name="_Toc185670986"/>
      <w:bookmarkStart w:id="312" w:name="_Toc196018436"/>
      <w:bookmarkStart w:id="313" w:name="_Toc196018545"/>
      <w:bookmarkStart w:id="314" w:name="_Toc196018640"/>
      <w:bookmarkStart w:id="315" w:name="_Toc197251344"/>
      <w:bookmarkStart w:id="316" w:name="_Toc198007339"/>
      <w:bookmarkStart w:id="317" w:name="_Toc29064"/>
      <w:bookmarkStart w:id="318" w:name="_Toc262040280"/>
      <w:bookmarkStart w:id="319" w:name="_Toc262050870"/>
      <w:bookmarkStart w:id="320" w:name="_Toc262051120"/>
      <w:bookmarkStart w:id="321" w:name="_Toc262051541"/>
      <w:bookmarkStart w:id="322" w:name="_Toc12437"/>
      <w:bookmarkStart w:id="323" w:name="_Toc336326854"/>
      <w:bookmarkStart w:id="324" w:name="_Toc336327132"/>
      <w:bookmarkStart w:id="325" w:name="_Toc387131429"/>
      <w:bookmarkStart w:id="326" w:name="_Toc198355324"/>
      <w:bookmarkStart w:id="327" w:name="_Toc229283975"/>
      <w:bookmarkStart w:id="328" w:name="_Toc179794548"/>
      <w:bookmarkStart w:id="329" w:name="_Toc183339226"/>
      <w:bookmarkStart w:id="330" w:name="_Toc183339502"/>
      <w:bookmarkStart w:id="331" w:name="_Toc184808766"/>
      <w:bookmarkStart w:id="332" w:name="_Toc184809553"/>
      <w:r>
        <w:rPr>
          <w:rFonts w:hint="eastAsia" w:asciiTheme="minorEastAsia" w:hAnsiTheme="minorEastAsia" w:eastAsiaTheme="minorEastAsia"/>
          <w:b/>
          <w:sz w:val="28"/>
          <w:szCs w:val="28"/>
          <w:lang w:val="zh-CN"/>
        </w:rPr>
        <w:t>6.1响应分级</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针对事故严重程度、影响范围和单位对事态控制的能力，将应急响应分为三级：一级响应、二级响应、三级响应。</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lang w:val="zh-CN"/>
        </w:rPr>
      </w:pPr>
      <w:bookmarkStart w:id="333" w:name="_Toc15640"/>
      <w:bookmarkStart w:id="334" w:name="_Toc21753"/>
      <w:bookmarkStart w:id="335" w:name="_Toc403509919"/>
      <w:bookmarkStart w:id="336" w:name="_Toc400018367"/>
      <w:r>
        <w:rPr>
          <w:rFonts w:hint="eastAsia" w:asciiTheme="minorEastAsia" w:hAnsiTheme="minorEastAsia" w:eastAsiaTheme="minorEastAsia"/>
          <w:color w:val="000000"/>
          <w:sz w:val="24"/>
          <w:szCs w:val="24"/>
          <w:lang w:val="zh-CN"/>
        </w:rPr>
        <w:t>一级预警为事故波及单位周边；本单位无力控制事态及有效进行应急处置（外部级）。</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lang w:val="zh-CN"/>
        </w:rPr>
      </w:pPr>
      <w:r>
        <w:rPr>
          <w:rFonts w:hint="eastAsia" w:asciiTheme="minorEastAsia" w:hAnsiTheme="minorEastAsia" w:eastAsiaTheme="minorEastAsia"/>
          <w:color w:val="000000"/>
          <w:sz w:val="24"/>
          <w:szCs w:val="24"/>
          <w:lang w:val="zh-CN"/>
        </w:rPr>
        <w:t>二级预警事故不波及单位周边；本单位能控制事态及有效进行应急处置（内部级）。</w:t>
      </w:r>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lang w:val="zh-CN"/>
        </w:rPr>
      </w:pPr>
      <w:r>
        <w:rPr>
          <w:rFonts w:hint="eastAsia" w:asciiTheme="minorEastAsia" w:hAnsiTheme="minorEastAsia" w:eastAsiaTheme="minorEastAsia"/>
          <w:color w:val="000000"/>
          <w:sz w:val="24"/>
          <w:szCs w:val="24"/>
          <w:lang w:val="zh-CN"/>
        </w:rPr>
        <w:t>三级预警事故为班组级，不涉及企业大范围及单位周边；班组能控制事态及有效进行应急处置（班组织）</w:t>
      </w:r>
      <w:bookmarkEnd w:id="333"/>
    </w:p>
    <w:p>
      <w:pPr>
        <w:adjustRightInd w:val="0"/>
        <w:snapToGrid w:val="0"/>
        <w:spacing w:line="460" w:lineRule="exact"/>
        <w:outlineLvl w:val="1"/>
        <w:rPr>
          <w:rFonts w:hint="eastAsia" w:asciiTheme="minorEastAsia" w:hAnsiTheme="minorEastAsia" w:eastAsiaTheme="minorEastAsia"/>
          <w:b/>
          <w:sz w:val="28"/>
          <w:szCs w:val="28"/>
          <w:lang w:val="zh-CN"/>
        </w:rPr>
      </w:pPr>
      <w:bookmarkStart w:id="337" w:name="_Toc11710"/>
      <w:r>
        <w:rPr>
          <w:rFonts w:hint="eastAsia" w:asciiTheme="minorEastAsia" w:hAnsiTheme="minorEastAsia" w:eastAsiaTheme="minorEastAsia"/>
          <w:b/>
          <w:sz w:val="28"/>
          <w:szCs w:val="28"/>
          <w:lang w:val="zh-CN"/>
        </w:rPr>
        <w:t>6.2响应程序</w:t>
      </w:r>
      <w:bookmarkEnd w:id="334"/>
      <w:bookmarkEnd w:id="335"/>
      <w:bookmarkEnd w:id="336"/>
      <w:bookmarkEnd w:id="337"/>
    </w:p>
    <w:p>
      <w:pPr>
        <w:spacing w:line="360" w:lineRule="auto"/>
        <w:ind w:firstLine="480" w:firstLineChars="200"/>
        <w:jc w:val="left"/>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一级响应，现场应急指挥组长及时掌握事故应急处置情况，当事故的严重程度及发展趋势超出了本单位应急救援能力时，应及时扩大应急响应级别为一级，立即组织周边群众或单位疏散，并在</w:t>
      </w:r>
      <w:r>
        <w:rPr>
          <w:rFonts w:asciiTheme="minorEastAsia" w:hAnsiTheme="minorEastAsia" w:eastAsiaTheme="minorEastAsia"/>
          <w:b/>
          <w:bCs/>
          <w:sz w:val="24"/>
          <w:szCs w:val="24"/>
          <w:lang w:val="zh-CN"/>
        </w:rPr>
        <w:t>10</w:t>
      </w:r>
      <w:r>
        <w:rPr>
          <w:rFonts w:hint="eastAsia" w:asciiTheme="minorEastAsia" w:hAnsiTheme="minorEastAsia" w:eastAsiaTheme="minorEastAsia"/>
          <w:b/>
          <w:bCs/>
          <w:sz w:val="24"/>
          <w:szCs w:val="24"/>
          <w:lang w:val="zh-CN"/>
        </w:rPr>
        <w:t>分钟内</w:t>
      </w:r>
      <w:r>
        <w:rPr>
          <w:rFonts w:hint="eastAsia" w:asciiTheme="minorEastAsia" w:hAnsiTheme="minorEastAsia" w:eastAsiaTheme="minorEastAsia"/>
          <w:sz w:val="24"/>
          <w:szCs w:val="24"/>
          <w:lang w:val="zh-CN"/>
        </w:rPr>
        <w:t>上报涪陵区龙桥工业园区应急值班人员或涪陵区安监局，申请启动龙桥管委会或区应急救援预案。</w:t>
      </w:r>
      <w:r>
        <w:rPr>
          <w:rFonts w:hint="eastAsia" w:asciiTheme="minorEastAsia" w:hAnsiTheme="minorEastAsia" w:eastAsiaTheme="minorEastAsia"/>
          <w:b/>
          <w:bCs/>
          <w:sz w:val="24"/>
          <w:szCs w:val="24"/>
          <w:lang w:val="zh-CN"/>
        </w:rPr>
        <w:t>上报人</w:t>
      </w:r>
      <w:r>
        <w:rPr>
          <w:rFonts w:hint="eastAsia" w:asciiTheme="minorEastAsia" w:hAnsiTheme="minorEastAsia" w:eastAsiaTheme="minorEastAsia"/>
          <w:sz w:val="24"/>
          <w:szCs w:val="24"/>
          <w:lang w:val="zh-CN"/>
        </w:rPr>
        <w:t>：</w:t>
      </w:r>
      <w:r>
        <w:rPr>
          <w:rFonts w:asciiTheme="minorEastAsia" w:hAnsiTheme="minorEastAsia" w:eastAsiaTheme="minorEastAsia"/>
          <w:sz w:val="24"/>
          <w:szCs w:val="24"/>
          <w:lang w:val="zh-CN"/>
        </w:rPr>
        <w:t xml:space="preserve"> </w:t>
      </w:r>
      <w:r>
        <w:rPr>
          <w:rFonts w:hint="eastAsia" w:asciiTheme="minorEastAsia" w:hAnsiTheme="minorEastAsia" w:eastAsiaTheme="minorEastAsia"/>
          <w:sz w:val="24"/>
          <w:szCs w:val="24"/>
          <w:u w:val="single"/>
          <w:lang w:val="zh-CN"/>
        </w:rPr>
        <w:t>总经理</w:t>
      </w:r>
      <w:r>
        <w:rPr>
          <w:rFonts w:hint="eastAsia" w:asciiTheme="minorEastAsia" w:hAnsiTheme="minorEastAsia" w:eastAsiaTheme="minorEastAsia"/>
          <w:sz w:val="24"/>
          <w:szCs w:val="24"/>
          <w:lang w:val="zh-CN"/>
        </w:rPr>
        <w:t>，</w:t>
      </w:r>
      <w:r>
        <w:rPr>
          <w:rFonts w:hint="eastAsia" w:asciiTheme="minorEastAsia" w:hAnsiTheme="minorEastAsia" w:eastAsiaTheme="minorEastAsia"/>
          <w:b/>
          <w:bCs/>
          <w:sz w:val="24"/>
          <w:szCs w:val="24"/>
          <w:lang w:val="zh-CN"/>
        </w:rPr>
        <w:t>联系电话</w:t>
      </w:r>
      <w:r>
        <w:rPr>
          <w:rFonts w:hint="eastAsia" w:asciiTheme="minorEastAsia" w:hAnsiTheme="minorEastAsia" w:eastAsiaTheme="minorEastAsia"/>
          <w:sz w:val="24"/>
          <w:szCs w:val="24"/>
          <w:lang w:val="zh-CN"/>
        </w:rPr>
        <w:t>：</w:t>
      </w:r>
      <w:r>
        <w:rPr>
          <w:rFonts w:asciiTheme="minorEastAsia" w:hAnsiTheme="minorEastAsia" w:eastAsiaTheme="minorEastAsia"/>
          <w:sz w:val="24"/>
          <w:szCs w:val="24"/>
          <w:u w:val="single"/>
          <w:lang w:val="zh-CN"/>
        </w:rPr>
        <w:t xml:space="preserve"> 18983330040</w:t>
      </w:r>
    </w:p>
    <w:p>
      <w:pPr>
        <w:spacing w:line="360" w:lineRule="auto"/>
        <w:ind w:firstLine="480" w:firstLineChars="200"/>
        <w:jc w:val="left"/>
        <w:rPr>
          <w:rFonts w:asciiTheme="minorEastAsia" w:hAnsiTheme="minorEastAsia" w:eastAsiaTheme="minorEastAsia"/>
          <w:sz w:val="24"/>
          <w:szCs w:val="24"/>
          <w:u w:val="single"/>
          <w:lang w:val="zh-CN"/>
        </w:rPr>
      </w:pPr>
      <w:r>
        <w:rPr>
          <w:rFonts w:hint="eastAsia" w:asciiTheme="minorEastAsia" w:hAnsiTheme="minorEastAsia" w:eastAsiaTheme="minorEastAsia"/>
          <w:sz w:val="24"/>
          <w:szCs w:val="24"/>
          <w:lang w:val="zh-CN"/>
        </w:rPr>
        <w:t>二级响应，当班人员或现场管理人员在</w:t>
      </w:r>
      <w:r>
        <w:rPr>
          <w:rFonts w:asciiTheme="minorEastAsia" w:hAnsiTheme="minorEastAsia" w:eastAsiaTheme="minorEastAsia"/>
          <w:b/>
          <w:bCs/>
          <w:sz w:val="24"/>
          <w:szCs w:val="24"/>
          <w:lang w:val="zh-CN"/>
        </w:rPr>
        <w:t>5</w:t>
      </w:r>
      <w:r>
        <w:rPr>
          <w:rFonts w:hint="eastAsia" w:asciiTheme="minorEastAsia" w:hAnsiTheme="minorEastAsia" w:eastAsiaTheme="minorEastAsia"/>
          <w:b/>
          <w:bCs/>
          <w:sz w:val="24"/>
          <w:szCs w:val="24"/>
          <w:lang w:val="zh-CN"/>
        </w:rPr>
        <w:t>分钟内</w:t>
      </w:r>
      <w:r>
        <w:rPr>
          <w:rFonts w:hint="eastAsia" w:asciiTheme="minorEastAsia" w:hAnsiTheme="minorEastAsia" w:eastAsiaTheme="minorEastAsia"/>
          <w:sz w:val="24"/>
          <w:szCs w:val="24"/>
          <w:lang w:val="zh-CN"/>
        </w:rPr>
        <w:t>迅速通知公司主要负责人，主要负责人召集全体应急救援人员迅速赶往事故现场，按公司综合应急救援预案实施救援。</w:t>
      </w:r>
      <w:r>
        <w:rPr>
          <w:rFonts w:hint="eastAsia" w:asciiTheme="minorEastAsia" w:hAnsiTheme="minorEastAsia" w:eastAsiaTheme="minorEastAsia"/>
          <w:b/>
          <w:bCs/>
          <w:sz w:val="24"/>
          <w:szCs w:val="24"/>
          <w:lang w:val="zh-CN"/>
        </w:rPr>
        <w:t>上报人</w:t>
      </w:r>
      <w:r>
        <w:rPr>
          <w:rFonts w:hint="eastAsia" w:asciiTheme="minorEastAsia" w:hAnsiTheme="minorEastAsia" w:eastAsiaTheme="minorEastAsia"/>
          <w:sz w:val="24"/>
          <w:szCs w:val="24"/>
          <w:lang w:val="zh-CN"/>
        </w:rPr>
        <w:t>：</w:t>
      </w:r>
      <w:r>
        <w:rPr>
          <w:rFonts w:asciiTheme="minorEastAsia" w:hAnsiTheme="minorEastAsia" w:eastAsiaTheme="minorEastAsia"/>
          <w:sz w:val="24"/>
          <w:szCs w:val="24"/>
          <w:lang w:val="zh-CN"/>
        </w:rPr>
        <w:t xml:space="preserve"> </w:t>
      </w:r>
      <w:r>
        <w:rPr>
          <w:rFonts w:hint="eastAsia" w:asciiTheme="minorEastAsia" w:hAnsiTheme="minorEastAsia" w:eastAsiaTheme="minorEastAsia"/>
          <w:sz w:val="24"/>
          <w:szCs w:val="24"/>
          <w:u w:val="single"/>
          <w:lang w:val="zh-CN"/>
        </w:rPr>
        <w:t>生产副总</w:t>
      </w:r>
      <w:r>
        <w:rPr>
          <w:rFonts w:asciiTheme="minorEastAsia" w:hAnsiTheme="minorEastAsia" w:eastAsiaTheme="minorEastAsia"/>
          <w:sz w:val="24"/>
          <w:szCs w:val="24"/>
          <w:lang w:val="zh-CN"/>
        </w:rPr>
        <w:t xml:space="preserve"> </w:t>
      </w:r>
      <w:r>
        <w:rPr>
          <w:rFonts w:hint="eastAsia" w:asciiTheme="minorEastAsia" w:hAnsiTheme="minorEastAsia" w:eastAsiaTheme="minorEastAsia"/>
          <w:sz w:val="24"/>
          <w:szCs w:val="24"/>
          <w:lang w:val="zh-CN"/>
        </w:rPr>
        <w:t>，</w:t>
      </w:r>
      <w:r>
        <w:rPr>
          <w:rFonts w:hint="eastAsia" w:asciiTheme="minorEastAsia" w:hAnsiTheme="minorEastAsia" w:eastAsiaTheme="minorEastAsia"/>
          <w:b/>
          <w:bCs/>
          <w:sz w:val="24"/>
          <w:szCs w:val="24"/>
          <w:lang w:val="zh-CN"/>
        </w:rPr>
        <w:t>联系电话</w:t>
      </w:r>
      <w:r>
        <w:rPr>
          <w:rFonts w:hint="eastAsia" w:asciiTheme="minorEastAsia" w:hAnsiTheme="minorEastAsia" w:eastAsiaTheme="minorEastAsia"/>
          <w:sz w:val="24"/>
          <w:szCs w:val="24"/>
          <w:lang w:val="zh-CN"/>
        </w:rPr>
        <w:t>：</w:t>
      </w:r>
      <w:r>
        <w:rPr>
          <w:rFonts w:asciiTheme="minorEastAsia" w:hAnsiTheme="minorEastAsia" w:eastAsiaTheme="minorEastAsia"/>
          <w:sz w:val="24"/>
          <w:szCs w:val="24"/>
          <w:u w:val="single"/>
          <w:lang w:val="zh-CN"/>
        </w:rPr>
        <w:t xml:space="preserve"> 13996798479</w:t>
      </w:r>
    </w:p>
    <w:p>
      <w:pPr>
        <w:spacing w:line="360" w:lineRule="auto"/>
        <w:ind w:firstLine="480" w:firstLineChars="200"/>
        <w:jc w:val="left"/>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三级响应，当班值班管理人员组织现场操作人员，在</w:t>
      </w:r>
      <w:r>
        <w:rPr>
          <w:rFonts w:asciiTheme="minorEastAsia" w:hAnsiTheme="minorEastAsia" w:eastAsiaTheme="minorEastAsia"/>
          <w:b/>
          <w:bCs/>
          <w:sz w:val="24"/>
          <w:szCs w:val="24"/>
          <w:lang w:val="zh-CN"/>
        </w:rPr>
        <w:t>5</w:t>
      </w:r>
      <w:r>
        <w:rPr>
          <w:rFonts w:hint="eastAsia" w:asciiTheme="minorEastAsia" w:hAnsiTheme="minorEastAsia" w:eastAsiaTheme="minorEastAsia"/>
          <w:b/>
          <w:bCs/>
          <w:sz w:val="24"/>
          <w:szCs w:val="24"/>
          <w:lang w:val="zh-CN"/>
        </w:rPr>
        <w:t>分钟内</w:t>
      </w:r>
      <w:r>
        <w:rPr>
          <w:rFonts w:hint="eastAsia" w:asciiTheme="minorEastAsia" w:hAnsiTheme="minorEastAsia" w:eastAsiaTheme="minorEastAsia"/>
          <w:sz w:val="24"/>
          <w:szCs w:val="24"/>
          <w:lang w:val="zh-CN"/>
        </w:rPr>
        <w:t>上报班组织负责人，按本单位制定的现场处置方案实施处置救援，结束后报告公司主要负责人。</w:t>
      </w:r>
      <w:r>
        <w:rPr>
          <w:rFonts w:asciiTheme="minorEastAsia" w:hAnsiTheme="minorEastAsia" w:eastAsiaTheme="minorEastAsia"/>
          <w:sz w:val="24"/>
          <w:szCs w:val="24"/>
          <w:lang w:val="zh-CN"/>
        </w:rPr>
        <w:t xml:space="preserve"> </w:t>
      </w:r>
      <w:r>
        <w:rPr>
          <w:rFonts w:hint="eastAsia" w:asciiTheme="minorEastAsia" w:hAnsiTheme="minorEastAsia" w:eastAsiaTheme="minorEastAsia"/>
          <w:b/>
          <w:bCs/>
          <w:sz w:val="24"/>
          <w:szCs w:val="24"/>
          <w:lang w:val="zh-CN"/>
        </w:rPr>
        <w:t>上报人</w:t>
      </w:r>
      <w:r>
        <w:rPr>
          <w:rFonts w:hint="eastAsia" w:asciiTheme="minorEastAsia" w:hAnsiTheme="minorEastAsia" w:eastAsiaTheme="minorEastAsia"/>
          <w:sz w:val="24"/>
          <w:szCs w:val="24"/>
          <w:lang w:val="zh-CN"/>
        </w:rPr>
        <w:t>：</w:t>
      </w:r>
      <w:r>
        <w:rPr>
          <w:rFonts w:hint="eastAsia" w:asciiTheme="minorEastAsia" w:hAnsiTheme="minorEastAsia" w:eastAsiaTheme="minorEastAsia"/>
          <w:sz w:val="24"/>
          <w:szCs w:val="24"/>
          <w:u w:val="single"/>
          <w:lang w:val="zh-CN"/>
        </w:rPr>
        <w:t>生产厂长</w:t>
      </w:r>
      <w:r>
        <w:rPr>
          <w:rFonts w:asciiTheme="minorEastAsia" w:hAnsiTheme="minorEastAsia" w:eastAsiaTheme="minorEastAsia"/>
          <w:sz w:val="24"/>
          <w:szCs w:val="24"/>
          <w:u w:val="single"/>
          <w:lang w:val="zh-CN"/>
        </w:rPr>
        <w:t xml:space="preserve"> </w:t>
      </w:r>
      <w:r>
        <w:rPr>
          <w:rFonts w:hint="eastAsia" w:asciiTheme="minorEastAsia" w:hAnsiTheme="minorEastAsia" w:eastAsiaTheme="minorEastAsia"/>
          <w:sz w:val="24"/>
          <w:szCs w:val="24"/>
          <w:lang w:val="zh-CN"/>
        </w:rPr>
        <w:t>，</w:t>
      </w:r>
      <w:r>
        <w:rPr>
          <w:rFonts w:hint="eastAsia" w:asciiTheme="minorEastAsia" w:hAnsiTheme="minorEastAsia" w:eastAsiaTheme="minorEastAsia"/>
          <w:b/>
          <w:bCs/>
          <w:sz w:val="24"/>
          <w:szCs w:val="24"/>
          <w:lang w:val="zh-CN"/>
        </w:rPr>
        <w:t>联系电话</w:t>
      </w:r>
      <w:r>
        <w:rPr>
          <w:rFonts w:hint="eastAsia" w:asciiTheme="minorEastAsia" w:hAnsiTheme="minorEastAsia" w:eastAsiaTheme="minorEastAsia"/>
          <w:sz w:val="24"/>
          <w:szCs w:val="24"/>
          <w:lang w:val="zh-CN"/>
        </w:rPr>
        <w:t>：</w:t>
      </w:r>
      <w:r>
        <w:rPr>
          <w:rFonts w:asciiTheme="minorEastAsia" w:hAnsiTheme="minorEastAsia" w:eastAsiaTheme="minorEastAsia"/>
          <w:sz w:val="24"/>
          <w:szCs w:val="24"/>
          <w:u w:val="single"/>
          <w:lang w:val="zh-CN"/>
        </w:rPr>
        <w:t>136966667883</w:t>
      </w:r>
    </w:p>
    <w:p>
      <w:pPr>
        <w:adjustRightInd w:val="0"/>
        <w:snapToGrid w:val="0"/>
        <w:spacing w:line="460" w:lineRule="exact"/>
        <w:outlineLvl w:val="1"/>
        <w:rPr>
          <w:rFonts w:asciiTheme="minorEastAsia" w:hAnsiTheme="minorEastAsia" w:eastAsiaTheme="minorEastAsia"/>
          <w:b/>
          <w:sz w:val="28"/>
          <w:szCs w:val="28"/>
          <w:lang w:val="zh-CN"/>
        </w:rPr>
      </w:pPr>
      <w:bookmarkStart w:id="338" w:name="_Toc317088663"/>
      <w:bookmarkStart w:id="339" w:name="_Toc458674290"/>
      <w:bookmarkStart w:id="340" w:name="_Toc346872596"/>
      <w:bookmarkStart w:id="341" w:name="_Toc20183"/>
      <w:r>
        <w:rPr>
          <w:rFonts w:hint="eastAsia" w:asciiTheme="minorEastAsia" w:hAnsiTheme="minorEastAsia" w:eastAsiaTheme="minorEastAsia"/>
          <w:b/>
          <w:sz w:val="28"/>
          <w:szCs w:val="28"/>
          <w:lang w:val="zh-CN"/>
        </w:rPr>
        <w:t>6</w:t>
      </w:r>
      <w:r>
        <w:rPr>
          <w:rFonts w:asciiTheme="minorEastAsia" w:hAnsiTheme="minorEastAsia" w:eastAsiaTheme="minorEastAsia"/>
          <w:b/>
          <w:sz w:val="28"/>
          <w:szCs w:val="28"/>
          <w:lang w:val="zh-CN"/>
        </w:rPr>
        <w:t>.</w:t>
      </w:r>
      <w:r>
        <w:rPr>
          <w:rFonts w:hint="eastAsia" w:asciiTheme="minorEastAsia" w:hAnsiTheme="minorEastAsia" w:eastAsiaTheme="minorEastAsia"/>
          <w:b/>
          <w:sz w:val="28"/>
          <w:szCs w:val="28"/>
          <w:lang w:val="zh-CN"/>
        </w:rPr>
        <w:t>3</w:t>
      </w:r>
      <w:r>
        <w:rPr>
          <w:rFonts w:asciiTheme="minorEastAsia" w:hAnsiTheme="minorEastAsia" w:eastAsiaTheme="minorEastAsia"/>
          <w:b/>
          <w:sz w:val="28"/>
          <w:szCs w:val="28"/>
          <w:lang w:val="zh-CN"/>
        </w:rPr>
        <w:t xml:space="preserve"> 抢险、救援及控制措施</w:t>
      </w:r>
      <w:bookmarkEnd w:id="338"/>
      <w:bookmarkEnd w:id="339"/>
      <w:bookmarkEnd w:id="340"/>
      <w:bookmarkEnd w:id="341"/>
    </w:p>
    <w:p>
      <w:pPr>
        <w:pStyle w:val="120"/>
        <w:ind w:firstLine="0" w:firstLineChars="0"/>
        <w:rPr>
          <w:b/>
        </w:rPr>
      </w:pPr>
      <w:bookmarkStart w:id="342" w:name="_Toc270088680"/>
      <w:bookmarkStart w:id="343" w:name="_Toc288309358"/>
      <w:bookmarkStart w:id="344" w:name="_Toc317088664"/>
      <w:bookmarkStart w:id="345" w:name="_Toc346872597"/>
      <w:bookmarkStart w:id="346" w:name="_Toc458674291"/>
      <w:bookmarkStart w:id="347" w:name="_Toc270087503"/>
      <w:bookmarkStart w:id="348" w:name="_Toc270519223"/>
      <w:bookmarkStart w:id="349" w:name="_Toc26393"/>
      <w:bookmarkStart w:id="350" w:name="_Toc27474"/>
      <w:r>
        <w:rPr>
          <w:rFonts w:hint="eastAsia"/>
          <w:b/>
        </w:rPr>
        <w:t>6</w:t>
      </w:r>
      <w:r>
        <w:rPr>
          <w:b/>
        </w:rPr>
        <w:t>.</w:t>
      </w:r>
      <w:r>
        <w:rPr>
          <w:rFonts w:hint="eastAsia"/>
          <w:b/>
        </w:rPr>
        <w:t>3</w:t>
      </w:r>
      <w:r>
        <w:rPr>
          <w:b/>
        </w:rPr>
        <w:t>.1 人员疏散方案</w:t>
      </w:r>
      <w:bookmarkEnd w:id="342"/>
      <w:bookmarkEnd w:id="343"/>
      <w:bookmarkEnd w:id="344"/>
      <w:bookmarkEnd w:id="345"/>
      <w:bookmarkEnd w:id="346"/>
      <w:bookmarkEnd w:id="347"/>
      <w:bookmarkEnd w:id="348"/>
      <w:bookmarkEnd w:id="349"/>
      <w:bookmarkEnd w:id="350"/>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听到公司疏散人员报警信号时，公司内的人员在负责人带领下迅速有序的离开危险区域，并到指定地点集合，从而避免人员伤亡，装置负责人在撤离前，利用最短时间，关闭该领域内可能会引起更大事故的电源和管道阀门等。事态严重时通知周边人员撤离。</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(1) 事故现场人员的撤离</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事故发生后当班负责人应将厂区人员有秩序的疏散到上风口的安全地带，疏散从最危险地段人员开始，相互兼顾照应，并根据风向指明集合地点，人员在安全地点集合，负责人负责清点人数，并向指挥部报告人员情况，发现缺员，应报告所缺员工的姓名和事故前所在位置，立即派人前往灾区寻找失踪人员，提供急救。</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(2) 抢救人员在撤离前、撤离后的报告</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负责抢险和救护的人员在接指挥部通知后，应立即带上防护和防护装备赶往现场，听候指令，听从指挥。由组长分工，分批进入事发点进行抢险或救护。在进入事故点前，组长必须向指挥部报告每批参加抢险或救护人员的数量和名单并登记。</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抢修或救护组完成任务后，组长向指挥部报告任务执行情况以及抢险及救护人员安全状况，申请下达撤离命令，指挥部根据事故控制情况，做出撤离或继续抢险抢救的决定，组长若接到撤离命令后，带领抢险或抢救人员撤离事故点至安全地带，清点人数，向指挥部报告。</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(3) 周边区域人员的疏散方式方法</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当事故危及周边人员时，由指挥部人员向政府以及周边单位书面发送警报，事态严重紧急时，通过喇叭告知周边人员及时撤离，同时指挥部直接联系政府以及周边单位负责人，由总指挥亲自向政府或负责人发布消息，提出要求组织撤离疏散或请求援助。在发布消息时必须发布事态的缓急程度，提出撤离的具体方法、方式和路线。撤离过程中应采取一定的预防措施，撤离路线原则上按照拟定的路线，撤离距离根据事态严重情况通知。撤离时公司应急小组负责指引周边群众有组织的撤离危险区域。</w:t>
      </w:r>
    </w:p>
    <w:p>
      <w:pPr>
        <w:pStyle w:val="120"/>
        <w:ind w:firstLine="0" w:firstLineChars="0"/>
        <w:rPr>
          <w:b/>
        </w:rPr>
      </w:pPr>
      <w:bookmarkStart w:id="351" w:name="_Toc270087504"/>
      <w:bookmarkStart w:id="352" w:name="_Toc270088681"/>
      <w:bookmarkStart w:id="353" w:name="_Toc270519224"/>
      <w:bookmarkStart w:id="354" w:name="_Toc29881"/>
      <w:bookmarkStart w:id="355" w:name="_Toc21767"/>
      <w:bookmarkStart w:id="356" w:name="_Toc288309359"/>
      <w:bookmarkStart w:id="357" w:name="_Toc317088665"/>
      <w:bookmarkStart w:id="358" w:name="_Toc346872598"/>
      <w:bookmarkStart w:id="359" w:name="_Toc458674292"/>
      <w:r>
        <w:rPr>
          <w:rFonts w:hint="eastAsia"/>
          <w:b/>
        </w:rPr>
        <w:t>6</w:t>
      </w:r>
      <w:r>
        <w:rPr>
          <w:b/>
        </w:rPr>
        <w:t>.</w:t>
      </w:r>
      <w:r>
        <w:rPr>
          <w:rFonts w:hint="eastAsia"/>
          <w:b/>
        </w:rPr>
        <w:t>3</w:t>
      </w:r>
      <w:r>
        <w:rPr>
          <w:b/>
        </w:rPr>
        <w:t>.2 事故现场隔离区的划定、方法</w:t>
      </w:r>
      <w:bookmarkEnd w:id="351"/>
      <w:bookmarkEnd w:id="352"/>
      <w:bookmarkEnd w:id="353"/>
      <w:bookmarkEnd w:id="354"/>
      <w:bookmarkEnd w:id="355"/>
      <w:bookmarkEnd w:id="356"/>
      <w:bookmarkEnd w:id="357"/>
      <w:bookmarkEnd w:id="358"/>
      <w:bookmarkEnd w:id="359"/>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为防止无关人员误入现场造成伤害，按危险区的设定，建立警戒区域，划定事故现场隔离区范围。</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(1) 警戒区域的边界应设警示标志并有专人警戒。</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(2) 除消防、应急处理人员以及必须坚守岗位的人员外，其他人员禁止进入警戒区。</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(3) 注意事故区风向，尤其是下风周围环境，对事故区厂外道路要实行临时的戒严措施。</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(4) 戒严区域内严禁火种，迅速控制泄漏扩散区域方向可能产生明火的地点，控制室关严门窗，扑灭火种。限制车辆通行。</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(5) 泄漏的危险物质可能扩散到厂区外的的，应尽快联络通知周边民众，说明情况，要求采取避险措施。</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(6) 泄漏的危险物质可能扩散影响到更大区域，应尽快联系通知各政府职能单位，说明情况，请求协助处理。</w:t>
      </w:r>
    </w:p>
    <w:p>
      <w:pPr>
        <w:pStyle w:val="120"/>
        <w:ind w:firstLine="0" w:firstLineChars="0"/>
        <w:rPr>
          <w:b/>
        </w:rPr>
      </w:pPr>
      <w:bookmarkStart w:id="360" w:name="_Toc22419"/>
      <w:bookmarkStart w:id="361" w:name="_Toc5739"/>
      <w:bookmarkStart w:id="362" w:name="_Toc288309360"/>
      <w:bookmarkStart w:id="363" w:name="_Toc317088666"/>
      <w:bookmarkStart w:id="364" w:name="_Toc346872599"/>
      <w:bookmarkStart w:id="365" w:name="_Toc458674293"/>
      <w:r>
        <w:rPr>
          <w:rFonts w:hint="eastAsia"/>
          <w:b/>
        </w:rPr>
        <w:t>6</w:t>
      </w:r>
      <w:r>
        <w:rPr>
          <w:b/>
        </w:rPr>
        <w:t>.</w:t>
      </w:r>
      <w:r>
        <w:rPr>
          <w:rFonts w:hint="eastAsia"/>
          <w:b/>
        </w:rPr>
        <w:t>3</w:t>
      </w:r>
      <w:r>
        <w:rPr>
          <w:b/>
        </w:rPr>
        <w:t>.3 事故现场周边区域的道路隔离或交通疏导办法</w:t>
      </w:r>
      <w:bookmarkEnd w:id="360"/>
      <w:bookmarkEnd w:id="361"/>
      <w:bookmarkEnd w:id="362"/>
      <w:bookmarkEnd w:id="363"/>
      <w:bookmarkEnd w:id="364"/>
      <w:bookmarkEnd w:id="365"/>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(1) 事故中心区域的道路疏导由应急疏散组负责，在警戒区的路口上设置“事故处理，禁止通行”字样的标识。并指定专人负责指明道路绕行方向。</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(2) 事故波及区外道路由政府交通管理部门负责，禁止任何车辆和人员进入，并负责指明道路绕行方向。</w:t>
      </w:r>
    </w:p>
    <w:p>
      <w:pPr>
        <w:pStyle w:val="120"/>
        <w:ind w:firstLine="0" w:firstLineChars="0"/>
        <w:rPr>
          <w:b/>
        </w:rPr>
      </w:pPr>
      <w:bookmarkStart w:id="366" w:name="_Toc4900"/>
      <w:bookmarkStart w:id="367" w:name="_Toc288309361"/>
      <w:bookmarkStart w:id="368" w:name="_Toc317088667"/>
      <w:bookmarkStart w:id="369" w:name="_Toc346872600"/>
      <w:bookmarkStart w:id="370" w:name="_Toc458674294"/>
      <w:bookmarkStart w:id="371" w:name="_Toc270087506"/>
      <w:bookmarkStart w:id="372" w:name="_Toc270088683"/>
      <w:bookmarkStart w:id="373" w:name="_Toc270519226"/>
      <w:bookmarkStart w:id="374" w:name="_Toc8962"/>
      <w:r>
        <w:rPr>
          <w:rFonts w:hint="eastAsia"/>
          <w:b/>
        </w:rPr>
        <w:t>6</w:t>
      </w:r>
      <w:r>
        <w:rPr>
          <w:b/>
        </w:rPr>
        <w:t>.</w:t>
      </w:r>
      <w:r>
        <w:rPr>
          <w:rFonts w:hint="eastAsia"/>
          <w:b/>
        </w:rPr>
        <w:t>3</w:t>
      </w:r>
      <w:r>
        <w:rPr>
          <w:b/>
        </w:rPr>
        <w:t>.4 抢险、救援</w:t>
      </w:r>
      <w:bookmarkEnd w:id="366"/>
      <w:bookmarkEnd w:id="367"/>
      <w:bookmarkEnd w:id="368"/>
      <w:bookmarkEnd w:id="369"/>
      <w:bookmarkEnd w:id="370"/>
      <w:bookmarkEnd w:id="371"/>
      <w:bookmarkEnd w:id="372"/>
      <w:bookmarkEnd w:id="373"/>
      <w:bookmarkEnd w:id="374"/>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(1) 抢救原则：</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发生伤亡事故，抢救、急救工作要分秒必争，及时、果断、正确，不得耽误、拖延；</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救护人员进入危险区域必须两人以上分组进行；</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救护人员必须在确保自己安全的前提下进行救护；</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救护人员必须听从指挥，了解危险物质特性及现场情况，防护器具佩戴齐全；</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迅速将伤员抬离现场，搬运方法要正确。</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(2) 人员防护</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一般泄漏的防护要求：</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呼吸系统的防护：可能接触其蒸气时，必须佩带防毒面具或供气式头盔；</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眼睛防护：戴化学安全防护镜；</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防护服：穿工作服(防腐材料制作)；</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手防护：戴橡皮手套；</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参加救护、救援人员必须按规定着装，佩戴好个人防护器具，并注意风向，在昏暗地区救援时，应配备有照明灯具。</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(3) 人员监护</w:t>
      </w:r>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参加救护、救援人员以互助监护为主，按照必须在确保自身安全的前提下进行救护原则处理。在救援中因为不可预见因素而导致队员受伤的，其他救援人员发现时必须向指挥部报告，并作出是否支援的决定，若申请支援时，由指挥部下达预备救援队进入事故现场参加救援的命令，同时将受伤人员带离危险地区。</w:t>
      </w:r>
    </w:p>
    <w:p>
      <w:pPr>
        <w:adjustRightInd w:val="0"/>
        <w:snapToGrid w:val="0"/>
        <w:spacing w:line="460" w:lineRule="exact"/>
        <w:outlineLvl w:val="1"/>
        <w:rPr>
          <w:b/>
          <w:color w:val="000000"/>
          <w:sz w:val="28"/>
          <w:szCs w:val="28"/>
        </w:rPr>
      </w:pPr>
      <w:bookmarkStart w:id="375" w:name="_Toc11774"/>
      <w:r>
        <w:rPr>
          <w:rFonts w:hint="eastAsia"/>
          <w:b/>
          <w:color w:val="000000"/>
          <w:sz w:val="28"/>
          <w:szCs w:val="28"/>
        </w:rPr>
        <w:t>6.4应急处置措施</w:t>
      </w:r>
      <w:bookmarkEnd w:id="375"/>
    </w:p>
    <w:p>
      <w:pPr>
        <w:spacing w:line="360" w:lineRule="auto"/>
        <w:ind w:firstLine="480" w:firstLineChars="200"/>
        <w:jc w:val="left"/>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企业</w:t>
      </w:r>
      <w:r>
        <w:rPr>
          <w:rFonts w:asciiTheme="minorEastAsia" w:hAnsiTheme="minorEastAsia" w:eastAsiaTheme="minorEastAsia"/>
          <w:sz w:val="24"/>
          <w:szCs w:val="24"/>
          <w:lang w:val="zh-CN"/>
        </w:rPr>
        <w:t>确定的危险区域有</w:t>
      </w:r>
      <w:r>
        <w:rPr>
          <w:rFonts w:hint="eastAsia" w:asciiTheme="minorEastAsia" w:hAnsiTheme="minorEastAsia" w:eastAsiaTheme="minorEastAsia"/>
          <w:sz w:val="24"/>
          <w:szCs w:val="24"/>
          <w:lang w:val="zh-CN"/>
        </w:rPr>
        <w:t>①</w:t>
      </w:r>
      <w:r>
        <w:rPr>
          <w:rFonts w:asciiTheme="minorEastAsia" w:hAnsiTheme="minorEastAsia" w:eastAsiaTheme="minorEastAsia"/>
          <w:sz w:val="24"/>
          <w:szCs w:val="24"/>
          <w:lang w:val="zh-CN"/>
        </w:rPr>
        <w:t>盐酸储罐；</w:t>
      </w:r>
      <w:r>
        <w:rPr>
          <w:rFonts w:hint="eastAsia" w:asciiTheme="minorEastAsia" w:hAnsiTheme="minorEastAsia" w:eastAsiaTheme="minorEastAsia"/>
          <w:sz w:val="24"/>
          <w:szCs w:val="24"/>
          <w:lang w:val="zh-CN"/>
        </w:rPr>
        <w:t>②</w:t>
      </w:r>
      <w:r>
        <w:rPr>
          <w:rFonts w:asciiTheme="minorEastAsia" w:hAnsiTheme="minorEastAsia" w:eastAsiaTheme="minorEastAsia"/>
          <w:sz w:val="24"/>
          <w:szCs w:val="24"/>
          <w:lang w:val="zh-CN"/>
        </w:rPr>
        <w:t>厂区污水处理设施设备</w:t>
      </w:r>
      <w:r>
        <w:rPr>
          <w:rFonts w:hint="eastAsia" w:asciiTheme="minorEastAsia" w:hAnsiTheme="minorEastAsia" w:eastAsiaTheme="minorEastAsia"/>
          <w:sz w:val="24"/>
          <w:szCs w:val="24"/>
          <w:lang w:val="zh-CN"/>
        </w:rPr>
        <w:t>及厂外管网泵站</w:t>
      </w:r>
      <w:r>
        <w:rPr>
          <w:rFonts w:asciiTheme="minorEastAsia" w:hAnsiTheme="minorEastAsia" w:eastAsiaTheme="minorEastAsia"/>
          <w:sz w:val="24"/>
          <w:szCs w:val="24"/>
          <w:lang w:val="zh-CN"/>
        </w:rPr>
        <w:t>。根据分析危险源的危险类型可知，</w:t>
      </w:r>
      <w:r>
        <w:rPr>
          <w:rFonts w:hint="eastAsia" w:asciiTheme="minorEastAsia" w:hAnsiTheme="minorEastAsia" w:eastAsiaTheme="minorEastAsia"/>
          <w:sz w:val="24"/>
          <w:szCs w:val="24"/>
          <w:lang w:val="zh-CN"/>
        </w:rPr>
        <w:t>企业</w:t>
      </w:r>
      <w:r>
        <w:rPr>
          <w:rFonts w:asciiTheme="minorEastAsia" w:hAnsiTheme="minorEastAsia" w:eastAsiaTheme="minorEastAsia"/>
          <w:sz w:val="24"/>
          <w:szCs w:val="24"/>
          <w:lang w:val="zh-CN"/>
        </w:rPr>
        <w:t>发生环境事故主要是盐酸等危化品泄漏及污水处理设施设备故障导致污水直接排放或未处理达标排放到地表水体污染环境。按照国家关于危化品生产使用单位突发环境事件应急预案的要求，重大危险源必须一源一案，并做好厂区风险源标识，防范措施卡片化，便于职工操作。</w:t>
      </w:r>
    </w:p>
    <w:p>
      <w:pPr>
        <w:adjustRightInd w:val="0"/>
        <w:snapToGrid w:val="0"/>
        <w:spacing w:line="460" w:lineRule="exact"/>
        <w:outlineLvl w:val="1"/>
        <w:rPr>
          <w:b/>
          <w:color w:val="000000"/>
          <w:sz w:val="24"/>
          <w:szCs w:val="24"/>
        </w:rPr>
      </w:pPr>
      <w:bookmarkStart w:id="376" w:name="_Toc25768"/>
      <w:r>
        <w:rPr>
          <w:rFonts w:hint="eastAsia"/>
          <w:b/>
          <w:color w:val="000000"/>
          <w:sz w:val="24"/>
          <w:szCs w:val="24"/>
        </w:rPr>
        <w:t>6.4.1处置原则</w:t>
      </w:r>
      <w:bookmarkEnd w:id="376"/>
    </w:p>
    <w:p>
      <w:pPr>
        <w:adjustRightInd w:val="0"/>
        <w:snapToGrid w:val="0"/>
        <w:spacing w:line="360" w:lineRule="auto"/>
        <w:ind w:firstLine="480"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事故或险情出现后，所属人员必须按“保障人员生命安全优先，防止事故扩大措施优先”的原则，实施先期抢险救援。主要内容：抢救受伤人员和在危险区人员；堵漏、关闭阀、停止所有电器设施、灭火、隔离危险区等；组织无关人员撤离到安全区域，清点现场人数；组织力量消除道路堵塞，为下步应急救援创造条件。</w:t>
      </w:r>
    </w:p>
    <w:p>
      <w:pPr>
        <w:adjustRightInd w:val="0"/>
        <w:snapToGrid w:val="0"/>
        <w:spacing w:line="460" w:lineRule="exact"/>
        <w:outlineLvl w:val="1"/>
        <w:rPr>
          <w:b/>
          <w:color w:val="000000"/>
          <w:sz w:val="24"/>
          <w:szCs w:val="24"/>
        </w:rPr>
      </w:pPr>
      <w:bookmarkStart w:id="377" w:name="_Toc12795"/>
      <w:r>
        <w:rPr>
          <w:rFonts w:hint="eastAsia"/>
          <w:b/>
          <w:color w:val="000000"/>
          <w:sz w:val="24"/>
          <w:szCs w:val="24"/>
        </w:rPr>
        <w:t>6</w:t>
      </w:r>
      <w:r>
        <w:rPr>
          <w:b/>
          <w:color w:val="000000"/>
          <w:sz w:val="24"/>
          <w:szCs w:val="24"/>
        </w:rPr>
        <w:t>.</w:t>
      </w:r>
      <w:r>
        <w:rPr>
          <w:rFonts w:hint="eastAsia"/>
          <w:b/>
          <w:color w:val="000000"/>
          <w:sz w:val="24"/>
          <w:szCs w:val="24"/>
        </w:rPr>
        <w:t>4</w:t>
      </w:r>
      <w:r>
        <w:rPr>
          <w:b/>
          <w:color w:val="000000"/>
          <w:sz w:val="24"/>
          <w:szCs w:val="24"/>
        </w:rPr>
        <w:t>.</w:t>
      </w:r>
      <w:r>
        <w:rPr>
          <w:rFonts w:hint="eastAsia"/>
          <w:b/>
          <w:color w:val="000000"/>
          <w:sz w:val="24"/>
          <w:szCs w:val="24"/>
        </w:rPr>
        <w:t>2</w:t>
      </w:r>
      <w:r>
        <w:rPr>
          <w:b/>
          <w:color w:val="000000"/>
          <w:sz w:val="24"/>
          <w:szCs w:val="24"/>
        </w:rPr>
        <w:t xml:space="preserve"> </w:t>
      </w:r>
      <w:r>
        <w:rPr>
          <w:rFonts w:hint="eastAsia"/>
          <w:b/>
          <w:color w:val="000000"/>
          <w:sz w:val="24"/>
          <w:szCs w:val="24"/>
        </w:rPr>
        <w:t>应急</w:t>
      </w:r>
      <w:r>
        <w:rPr>
          <w:b/>
          <w:color w:val="000000"/>
          <w:sz w:val="24"/>
          <w:szCs w:val="24"/>
        </w:rPr>
        <w:t>流程</w:t>
      </w:r>
      <w:bookmarkEnd w:id="377"/>
    </w:p>
    <w:p>
      <w:pPr>
        <w:spacing w:line="360" w:lineRule="auto"/>
        <w:ind w:firstLine="480"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当发生危险化学品泄漏、环境污染等危险事故时，其处置流程见</w:t>
      </w:r>
      <w:r>
        <w:rPr>
          <w:rFonts w:hint="eastAsia" w:asciiTheme="minorEastAsia" w:hAnsiTheme="minorEastAsia" w:eastAsiaTheme="minorEastAsia"/>
          <w:sz w:val="24"/>
          <w:szCs w:val="24"/>
          <w:lang w:val="zh-CN"/>
        </w:rPr>
        <w:t>图6-2。</w:t>
      </w:r>
    </w:p>
    <w:p>
      <w:pPr>
        <w:spacing w:line="360" w:lineRule="auto"/>
        <w:jc w:val="left"/>
        <w:rPr>
          <w:rFonts w:asciiTheme="minorEastAsia" w:hAnsiTheme="minorEastAsia" w:eastAsiaTheme="minorEastAsia"/>
          <w:color w:val="FF0000"/>
          <w:sz w:val="24"/>
          <w:szCs w:val="24"/>
          <w:lang w:val="zh-CN"/>
        </w:rPr>
      </w:pPr>
    </w:p>
    <w:p>
      <w:pPr>
        <w:spacing w:line="360" w:lineRule="auto"/>
        <w:jc w:val="left"/>
        <w:rPr>
          <w:rFonts w:asciiTheme="minorEastAsia" w:hAnsiTheme="minorEastAsia" w:eastAsiaTheme="minorEastAsia"/>
          <w:sz w:val="28"/>
          <w:szCs w:val="28"/>
          <w:lang w:val="zh-CN"/>
        </w:rPr>
      </w:pPr>
    </w:p>
    <w:p>
      <w:pPr>
        <w:spacing w:line="360" w:lineRule="auto"/>
        <w:jc w:val="left"/>
        <w:rPr>
          <w:rFonts w:asciiTheme="minorEastAsia" w:hAnsiTheme="minorEastAsia" w:eastAsiaTheme="minorEastAsia"/>
          <w:sz w:val="28"/>
          <w:szCs w:val="28"/>
          <w:lang w:val="zh-CN"/>
        </w:rPr>
      </w:pPr>
    </w:p>
    <w:p>
      <w:pPr>
        <w:spacing w:line="360" w:lineRule="auto"/>
        <w:jc w:val="left"/>
        <w:rPr>
          <w:rFonts w:asciiTheme="minorEastAsia" w:hAnsiTheme="minorEastAsia" w:eastAsiaTheme="minorEastAsia"/>
          <w:sz w:val="28"/>
          <w:szCs w:val="28"/>
          <w:lang w:val="zh-CN"/>
        </w:rPr>
      </w:pPr>
    </w:p>
    <w:p>
      <w:pPr>
        <w:spacing w:line="360" w:lineRule="auto"/>
        <w:jc w:val="left"/>
        <w:rPr>
          <w:rFonts w:asciiTheme="minorEastAsia" w:hAnsiTheme="minorEastAsia" w:eastAsiaTheme="minorEastAsia"/>
          <w:sz w:val="24"/>
          <w:szCs w:val="24"/>
        </w:rPr>
      </w:pPr>
      <w:r>
        <w:rPr>
          <w:rFonts w:asciiTheme="minorEastAsia" w:hAnsiTheme="minorEastAsia" w:eastAsiaTheme="minorEastAsia"/>
          <w:sz w:val="24"/>
          <w:szCs w:val="24"/>
        </w:rPr>
        <w:pict>
          <v:group id="画布 1912" o:spid="_x0000_s1050" o:spt="203" style="height:577.2pt;width:456.75pt;" coordorigin="1588,3578" coordsize="9135,11544" editas="canvas">
            <o:lock v:ext="edit"/>
            <v:shape id="画布 1912" o:spid="_x0000_s1051" o:spt="75" type="#_x0000_t75" style="position:absolute;left:1588;top:3578;height:11544;width:9135;" filled="f" o:preferrelative="f" stroked="f" coordsize="21600,21600">
              <v:path/>
              <v:fill on="f" focussize="0,0"/>
              <v:stroke on="f" joinstyle="miter"/>
              <v:imagedata o:title=""/>
              <o:lock v:ext="edit" rotation="t" text="t" aspectratio="t"/>
            </v:shape>
            <v:rect id="矩形 1914" o:spid="_x0000_s1052" o:spt="1" style="position:absolute;left:5368;top:4982;height:780;width:1890;" fillcolor="#FF0000" filled="f" coordsize="21600,21600">
              <v:path/>
              <v:fill on="f" focussize="0,0"/>
              <v:stroke/>
              <v:imagedata o:title=""/>
              <o:lock v:ext="edit"/>
              <v:textbox>
                <w:txbxContent>
                  <w:p>
                    <w:pPr>
                      <w:jc w:val="center"/>
                    </w:pPr>
                    <w:r>
                      <w:rPr>
                        <w:rFonts w:hint="eastAsia"/>
                      </w:rPr>
                      <w:t>岗位人员现场紧急处置</w:t>
                    </w:r>
                  </w:p>
                </w:txbxContent>
              </v:textbox>
            </v:rect>
            <v:rect id="矩形 1915" o:spid="_x0000_s1053" o:spt="1" style="position:absolute;left:5247;top:6542;height:778;width:2116;" fillcolor="#FF0000" filled="f" coordsize="21600,21600">
              <v:path/>
              <v:fill on="f" focussize="0,0"/>
              <v:stroke/>
              <v:imagedata o:title=""/>
              <o:lock v:ext="edit"/>
              <v:textbox>
                <w:txbxContent>
                  <w:p>
                    <w:pPr>
                      <w:jc w:val="center"/>
                    </w:pPr>
                    <w:r>
                      <w:rPr>
                        <w:rFonts w:hint="eastAsia"/>
                      </w:rPr>
                      <w:t>同时报告现场管理人员</w:t>
                    </w:r>
                  </w:p>
                </w:txbxContent>
              </v:textbox>
            </v:rect>
            <v:rect id="矩形 1916" o:spid="_x0000_s1054" o:spt="1" style="position:absolute;left:5247;top:7946;height:780;width:2116;" coordsize="21600,21600">
              <v:path/>
              <v:fill focussize="0,0"/>
              <v:stroke/>
              <v:imagedata o:title=""/>
              <o:lock v:ext="edit"/>
              <v:textbox inset="2.54mm,3.3mm,2.54mm,1.27mm">
                <w:txbxContent>
                  <w:p>
                    <w:pPr>
                      <w:jc w:val="center"/>
                      <w:rPr>
                        <w:szCs w:val="21"/>
                      </w:rPr>
                    </w:pPr>
                    <w:r>
                      <w:rPr>
                        <w:rFonts w:hint="eastAsia"/>
                        <w:szCs w:val="21"/>
                      </w:rPr>
                      <w:t>启动现场处置方案</w:t>
                    </w:r>
                  </w:p>
                </w:txbxContent>
              </v:textbox>
            </v:rect>
            <v:line id="直线 1917" o:spid="_x0000_s1055" o:spt="20" style="position:absolute;left:6208;top:4202;height:780;width:0;" coordsize="21600,21600">
              <v:path arrowok="t"/>
              <v:fill focussize="0,0"/>
              <v:stroke endarrow="block"/>
              <v:imagedata o:title=""/>
              <o:lock v:ext="edit"/>
            </v:line>
            <v:line id="直线 1918" o:spid="_x0000_s1056" o:spt="20" style="position:absolute;left:6208;top:5762;height:780;width:0;" coordsize="21600,21600">
              <v:path arrowok="t"/>
              <v:fill focussize="0,0"/>
              <v:stroke endarrow="block"/>
              <v:imagedata o:title=""/>
              <o:lock v:ext="edit"/>
            </v:line>
            <v:rect id="矩形 1919" o:spid="_x0000_s1057" o:spt="1" style="position:absolute;left:6208;top:6073;height:469;width:945;" fillcolor="#FF0000" filled="f" stroked="f" coordsize="21600,21600">
              <v:path/>
              <v:fill on="f" focussize="0,0"/>
              <v:stroke on="f"/>
              <v:imagedata o:title=""/>
              <o:lock v:ext="edit"/>
              <v:textbox>
                <w:txbxContent>
                  <w:p>
                    <w:pPr>
                      <w:jc w:val="center"/>
                    </w:pPr>
                    <w:r>
                      <w:rPr>
                        <w:rFonts w:hint="eastAsia"/>
                      </w:rPr>
                      <w:t>不可控</w:t>
                    </w:r>
                  </w:p>
                </w:txbxContent>
              </v:textbox>
            </v:rect>
            <v:rect id="矩形 1920" o:spid="_x0000_s1058" o:spt="1" style="position:absolute;left:5247;top:9659;height:780;width:2116;" coordsize="21600,21600">
              <v:path/>
              <v:fill focussize="0,0"/>
              <v:stroke/>
              <v:imagedata o:title=""/>
              <o:lock v:ext="edit"/>
              <v:textbox inset="2.54mm,3.3mm,2.54mm,1.27mm">
                <w:txbxContent>
                  <w:p>
                    <w:pPr>
                      <w:jc w:val="center"/>
                      <w:rPr>
                        <w:szCs w:val="21"/>
                      </w:rPr>
                    </w:pPr>
                    <w:r>
                      <w:rPr>
                        <w:rFonts w:hint="eastAsia"/>
                        <w:szCs w:val="21"/>
                      </w:rPr>
                      <w:t>启动综合救援预案</w:t>
                    </w:r>
                  </w:p>
                </w:txbxContent>
              </v:textbox>
            </v:rect>
            <v:rect id="矩形 1921" o:spid="_x0000_s1059" o:spt="1" style="position:absolute;left:8428;top:11222;height:780;width:1666;" coordsize="21600,21600">
              <v:path/>
              <v:fill focussize="0,0"/>
              <v:stroke/>
              <v:imagedata o:title=""/>
              <o:lock v:ext="edit"/>
              <v:textbox>
                <w:txbxContent>
                  <w:p>
                    <w:pPr>
                      <w:jc w:val="center"/>
                      <w:rPr>
                        <w:szCs w:val="21"/>
                      </w:rPr>
                    </w:pPr>
                    <w:r>
                      <w:rPr>
                        <w:rFonts w:hint="eastAsia"/>
                        <w:szCs w:val="21"/>
                      </w:rPr>
                      <w:t>启动当地政府应救援预案</w:t>
                    </w:r>
                  </w:p>
                  <w:p>
                    <w:pPr>
                      <w:rPr>
                        <w:szCs w:val="21"/>
                      </w:rPr>
                    </w:pPr>
                  </w:p>
                </w:txbxContent>
              </v:textbox>
            </v:rect>
            <v:rect id="矩形 1922" o:spid="_x0000_s1060" o:spt="1" style="position:absolute;left:5368;top:3578;height:714;width:1799;" coordsize="21600,21600">
              <v:path/>
              <v:fill focussize="0,0"/>
              <v:stroke/>
              <v:imagedata o:title=""/>
              <o:lock v:ext="edit"/>
              <v:textbox>
                <w:txbxContent>
                  <w:p>
                    <w:pPr>
                      <w:spacing w:beforeLines="50" w:afterLines="50"/>
                      <w:jc w:val="center"/>
                      <w:rPr>
                        <w:szCs w:val="21"/>
                      </w:rPr>
                    </w:pPr>
                    <w:r>
                      <w:rPr>
                        <w:rFonts w:hint="eastAsia"/>
                        <w:szCs w:val="21"/>
                      </w:rPr>
                      <w:t>事故发生</w:t>
                    </w:r>
                  </w:p>
                  <w:p>
                    <w:pPr>
                      <w:rPr>
                        <w:szCs w:val="21"/>
                      </w:rPr>
                    </w:pPr>
                  </w:p>
                </w:txbxContent>
              </v:textbox>
            </v:rect>
            <v:line id="直线 1923" o:spid="_x0000_s1061" o:spt="20" style="position:absolute;left:7348;top:11690;height:1;width:1079;" coordsize="21600,21600">
              <v:path arrowok="t"/>
              <v:fill focussize="0,0"/>
              <v:stroke endarrow="block"/>
              <v:imagedata o:title=""/>
              <o:lock v:ext="edit"/>
            </v:line>
            <v:line id="直线 1924" o:spid="_x0000_s1062" o:spt="20" style="position:absolute;left:6208;top:7322;height:624;width:0;" coordsize="21600,21600">
              <v:path arrowok="t"/>
              <v:fill focussize="0,0"/>
              <v:stroke endarrow="block"/>
              <v:imagedata o:title=""/>
              <o:lock v:ext="edit"/>
            </v:line>
            <v:line id="直线 1925" o:spid="_x0000_s1063" o:spt="20" style="position:absolute;left:6297;top:8726;height:933;width:1;" coordsize="21600,21600">
              <v:path arrowok="t"/>
              <v:fill focussize="0,0"/>
              <v:stroke endarrow="block"/>
              <v:imagedata o:title=""/>
              <o:lock v:ext="edit"/>
            </v:line>
            <v:rect id="矩形 1926" o:spid="_x0000_s1064" o:spt="1" style="position:absolute;left:7528;top:11222;height:469;width:945;" fillcolor="#FF0000" filled="f" stroked="f" coordsize="21600,21600">
              <v:path/>
              <v:fill on="f" focussize="0,0"/>
              <v:stroke on="f"/>
              <v:imagedata o:title=""/>
              <o:lock v:ext="edit"/>
              <v:textbox>
                <w:txbxContent>
                  <w:p>
                    <w:pPr>
                      <w:jc w:val="center"/>
                    </w:pPr>
                    <w:r>
                      <w:rPr>
                        <w:rFonts w:hint="eastAsia"/>
                      </w:rPr>
                      <w:t>不可控</w:t>
                    </w:r>
                  </w:p>
                </w:txbxContent>
              </v:textbox>
            </v:rect>
            <v:rect id="矩形 1927" o:spid="_x0000_s1065" o:spt="1" style="position:absolute;left:5247;top:11174;height:750;width:2116;" coordsize="21600,21600">
              <v:path/>
              <v:fill focussize="0,0"/>
              <v:stroke/>
              <v:imagedata o:title=""/>
              <o:lock v:ext="edit"/>
              <v:textbox>
                <w:txbxContent>
                  <w:p>
                    <w:pPr>
                      <w:spacing w:beforeLines="50" w:afterLines="50"/>
                      <w:jc w:val="center"/>
                      <w:rPr>
                        <w:szCs w:val="21"/>
                      </w:rPr>
                    </w:pPr>
                    <w:r>
                      <w:rPr>
                        <w:rFonts w:hint="eastAsia"/>
                        <w:szCs w:val="21"/>
                      </w:rPr>
                      <w:t>现场处置</w:t>
                    </w:r>
                  </w:p>
                  <w:p>
                    <w:pPr>
                      <w:rPr>
                        <w:szCs w:val="21"/>
                      </w:rPr>
                    </w:pPr>
                  </w:p>
                </w:txbxContent>
              </v:textbox>
            </v:rect>
            <v:rect id="矩形 1928" o:spid="_x0000_s1066" o:spt="1" style="position:absolute;left:6298;top:10585;height:469;width:840;" fillcolor="#FF0000" filled="f" stroked="f" coordsize="21600,21600">
              <v:path/>
              <v:fill on="f" focussize="0,0"/>
              <v:stroke on="f"/>
              <v:imagedata o:title=""/>
              <o:lock v:ext="edit"/>
              <v:textbox>
                <w:txbxContent>
                  <w:p>
                    <w:pPr>
                      <w:jc w:val="center"/>
                    </w:pPr>
                    <w:r>
                      <w:rPr>
                        <w:rFonts w:hint="eastAsia"/>
                      </w:rPr>
                      <w:t>可控</w:t>
                    </w:r>
                  </w:p>
                </w:txbxContent>
              </v:textbox>
            </v:rect>
            <v:line id="直线 1929" o:spid="_x0000_s1067" o:spt="20" style="position:absolute;left:6297;top:10439;height:735;width:1;" coordsize="21600,21600">
              <v:path arrowok="t"/>
              <v:fill focussize="0,0"/>
              <v:stroke endarrow="block"/>
              <v:imagedata o:title=""/>
              <o:lock v:ext="edit"/>
            </v:line>
            <v:rect id="矩形 1930" o:spid="_x0000_s1068" o:spt="1" style="position:absolute;left:6389;top:8909;height:626;width:974;" filled="f" stroked="t" coordsize="21600,21600">
              <v:path/>
              <v:fill on="f" focussize="0,0"/>
              <v:stroke weight="1pt" color="#FFFFFF" dashstyle="dash"/>
              <v:imagedata o:title=""/>
              <o:lock v:ext="edit"/>
              <v:textbox>
                <w:txbxContent>
                  <w:p>
                    <w:pPr>
                      <w:spacing w:beforeLines="50" w:afterLines="50"/>
                      <w:jc w:val="center"/>
                      <w:rPr>
                        <w:szCs w:val="21"/>
                      </w:rPr>
                    </w:pPr>
                    <w:r>
                      <w:rPr>
                        <w:rFonts w:hint="eastAsia"/>
                        <w:szCs w:val="21"/>
                      </w:rPr>
                      <w:t>不可控</w:t>
                    </w:r>
                  </w:p>
                  <w:p>
                    <w:pPr>
                      <w:rPr>
                        <w:szCs w:val="21"/>
                      </w:rPr>
                    </w:pPr>
                  </w:p>
                </w:txbxContent>
              </v:textbox>
            </v:rect>
            <v:rect id="矩形 1931" o:spid="_x0000_s1069" o:spt="1" style="position:absolute;left:5473;top:13718;height:846;width:1694;" coordsize="21600,21600">
              <v:path/>
              <v:fill focussize="0,0"/>
              <v:stroke/>
              <v:imagedata o:title=""/>
              <o:lock v:ext="edit"/>
              <v:textbox>
                <w:txbxContent>
                  <w:p>
                    <w:pPr>
                      <w:spacing w:beforeLines="50" w:afterLines="50"/>
                      <w:jc w:val="center"/>
                      <w:rPr>
                        <w:szCs w:val="21"/>
                      </w:rPr>
                    </w:pPr>
                    <w:r>
                      <w:rPr>
                        <w:rFonts w:hint="eastAsia"/>
                        <w:szCs w:val="21"/>
                      </w:rPr>
                      <w:t>现场恢复</w:t>
                    </w:r>
                  </w:p>
                  <w:p>
                    <w:pPr>
                      <w:rPr>
                        <w:szCs w:val="21"/>
                      </w:rPr>
                    </w:pPr>
                  </w:p>
                </w:txbxContent>
              </v:textbox>
            </v:rect>
            <v:line id="直线 1932" o:spid="_x0000_s1070" o:spt="20" style="position:absolute;left:6296;top:11924;height:1794;width:1;" coordsize="21600,21600">
              <v:path arrowok="t"/>
              <v:fill focussize="0,0"/>
              <v:stroke endarrow="block"/>
              <v:imagedata o:title=""/>
              <o:lock v:ext="edit"/>
            </v:line>
            <v:line id="直线 1933" o:spid="_x0000_s1071" o:spt="20" style="position:absolute;left:6297;top:12826;flip:x;height:1;width:2955;" coordsize="21600,21600">
              <v:path arrowok="t"/>
              <v:fill focussize="0,0"/>
              <v:stroke endarrow="block"/>
              <v:imagedata o:title=""/>
              <o:lock v:ext="edit"/>
            </v:line>
            <v:line id="直线 1934" o:spid="_x0000_s1072" o:spt="20" style="position:absolute;left:9252;top:12164;flip:y;height:663;width:1;" coordsize="21600,21600">
              <v:path arrowok="t"/>
              <v:fill focussize="0,0"/>
              <v:stroke/>
              <v:imagedata o:title=""/>
              <o:lock v:ext="edit"/>
            </v:line>
            <v:rect id="矩形 1935" o:spid="_x0000_s1073" o:spt="1" style="position:absolute;left:2113;top:12314;height:624;width:1995;" coordsize="21600,21600">
              <v:path/>
              <v:fill focussize="0,0"/>
              <v:stroke/>
              <v:imagedata o:title=""/>
              <o:lock v:ext="edit"/>
              <v:textbox>
                <w:txbxContent>
                  <w:p>
                    <w:pPr>
                      <w:spacing w:beforeLines="50" w:afterLines="50"/>
                      <w:jc w:val="center"/>
                      <w:rPr>
                        <w:szCs w:val="21"/>
                      </w:rPr>
                    </w:pPr>
                    <w:r>
                      <w:rPr>
                        <w:rFonts w:hint="eastAsia"/>
                        <w:szCs w:val="21"/>
                      </w:rPr>
                      <w:t>完成事故调查报告</w:t>
                    </w:r>
                  </w:p>
                  <w:p>
                    <w:pPr>
                      <w:rPr>
                        <w:szCs w:val="21"/>
                      </w:rPr>
                    </w:pPr>
                  </w:p>
                </w:txbxContent>
              </v:textbox>
            </v:rect>
            <v:line id="直线 1936" o:spid="_x0000_s1074" o:spt="20" style="position:absolute;left:4108;top:14030;flip:x;height:0;width:1365;" coordsize="21600,21600">
              <v:path arrowok="t"/>
              <v:fill focussize="0,0"/>
              <v:stroke endarrow="block"/>
              <v:imagedata o:title=""/>
              <o:lock v:ext="edit"/>
            </v:line>
            <v:line id="直线 1937" o:spid="_x0000_s1075" o:spt="20" style="position:absolute;left:3058;top:12938;flip:y;height:780;width:0;" coordsize="21600,21600">
              <v:path arrowok="t"/>
              <v:fill focussize="0,0"/>
              <v:stroke endarrow="block"/>
              <v:imagedata o:title=""/>
              <o:lock v:ext="edit"/>
            </v:line>
            <v:line id="直线 1938" o:spid="_x0000_s1076" o:spt="20" style="position:absolute;left:3028;top:13406;flip:x;height:1;width:1604;" coordsize="21600,21600">
              <v:path arrowok="t"/>
              <v:fill focussize="0,0"/>
              <v:stroke endarrow="block"/>
              <v:imagedata o:title=""/>
              <o:lock v:ext="edit"/>
            </v:line>
            <v:rect id="矩形 1939" o:spid="_x0000_s1077" o:spt="1" style="position:absolute;left:4407;top:7868;height:468;width:840;" fillcolor="#FF0000" filled="f" stroked="f" coordsize="21600,21600">
              <v:path/>
              <v:fill on="f" focussize="0,0"/>
              <v:stroke on="f"/>
              <v:imagedata o:title=""/>
              <o:lock v:ext="edit"/>
              <v:textbox>
                <w:txbxContent>
                  <w:p>
                    <w:pPr>
                      <w:jc w:val="center"/>
                    </w:pPr>
                    <w:r>
                      <w:rPr>
                        <w:rFonts w:hint="eastAsia"/>
                      </w:rPr>
                      <w:t>可控</w:t>
                    </w:r>
                  </w:p>
                </w:txbxContent>
              </v:textbox>
            </v:rect>
            <v:rect id="矩形 1940" o:spid="_x0000_s1078" o:spt="1" style="position:absolute;left:2113;top:13718;height:1404;width:1995;" coordsize="21600,21600">
              <v:path/>
              <v:fill focussize="0,0"/>
              <v:stroke/>
              <v:imagedata o:title=""/>
              <o:lock v:ext="edit"/>
              <v:textbox>
                <w:txbxContent>
                  <w:p>
                    <w:pPr>
                      <w:jc w:val="center"/>
                      <w:rPr>
                        <w:szCs w:val="21"/>
                      </w:rPr>
                    </w:pPr>
                    <w:r>
                      <w:rPr>
                        <w:rFonts w:hint="eastAsia"/>
                        <w:szCs w:val="21"/>
                      </w:rPr>
                      <w:t>现场应急救援组</w:t>
                    </w:r>
                  </w:p>
                  <w:p>
                    <w:pPr>
                      <w:jc w:val="center"/>
                      <w:rPr>
                        <w:szCs w:val="21"/>
                      </w:rPr>
                    </w:pPr>
                    <w:r>
                      <w:rPr>
                        <w:rFonts w:hint="eastAsia"/>
                        <w:szCs w:val="21"/>
                      </w:rPr>
                      <w:t>组长：当班班长</w:t>
                    </w:r>
                  </w:p>
                </w:txbxContent>
              </v:textbox>
            </v:rect>
            <v:line id="直线 1941" o:spid="_x0000_s1079" o:spt="20" style="position:absolute;left:4272;top:5450;flip:x;height:1;width:1096;" coordsize="21600,21600">
              <v:path arrowok="t"/>
              <v:fill focussize="0,0"/>
              <v:stroke/>
              <v:imagedata o:title=""/>
              <o:lock v:ext="edit"/>
            </v:line>
            <v:line id="直线 1942" o:spid="_x0000_s1080" o:spt="20" style="position:absolute;left:4272;top:5451;height:7956;width:1;" coordsize="21600,21600">
              <v:path arrowok="t"/>
              <v:fill focussize="0,0"/>
              <v:stroke/>
              <v:imagedata o:title=""/>
              <o:lock v:ext="edit"/>
            </v:line>
            <v:shape id="自选图形 1943" o:spid="_x0000_s1081" o:spt="33" type="#_x0000_t33" style="position:absolute;left:4632;top:8336;flip:y;height:5070;width:615;rotation:11796480f;" o:connectortype="elbow" filled="f" coordsize="21600,21600" adj="-180281,26346,-180281">
              <v:path arrowok="t"/>
              <v:fill on="f" focussize="0,0"/>
              <v:stroke joinstyle="miter"/>
              <v:imagedata o:title=""/>
              <o:lock v:ext="edit"/>
            </v:shape>
            <v:rect id="矩形 1944" o:spid="_x0000_s1082" o:spt="1" style="position:absolute;left:4407;top:4982;height:468;width:840;" fillcolor="#FF0000" filled="f" stroked="f" coordsize="21600,21600">
              <v:path/>
              <v:fill on="f" focussize="0,0"/>
              <v:stroke on="f"/>
              <v:imagedata o:title=""/>
              <o:lock v:ext="edit"/>
              <v:textbox>
                <w:txbxContent>
                  <w:p>
                    <w:pPr>
                      <w:jc w:val="center"/>
                    </w:pPr>
                    <w:r>
                      <w:rPr>
                        <w:rFonts w:hint="eastAsia"/>
                      </w:rPr>
                      <w:t>可控</w:t>
                    </w:r>
                  </w:p>
                </w:txbxContent>
              </v:textbox>
            </v:rect>
            <v:line id="直线 1945" o:spid="_x0000_s1083" o:spt="20" style="position:absolute;left:5008;top:11534;height:1;width:180;" coordsize="21600,21600">
              <v:path arrowok="t"/>
              <v:fill focussize="0,0"/>
              <v:stroke/>
              <v:imagedata o:title=""/>
              <o:lock v:ext="edit"/>
            </v:line>
            <v:line id="直线 1946" o:spid="_x0000_s1084" o:spt="20" style="position:absolute;left:5008;top:11534;height:1872;width:0;" coordsize="21600,21600">
              <v:path arrowok="t"/>
              <v:fill focussize="0,0"/>
              <v:stroke/>
              <v:imagedata o:title=""/>
              <o:lock v:ext="edit"/>
            </v:line>
            <v:line id="直线 1947" o:spid="_x0000_s1085" o:spt="20" style="position:absolute;left:4648;top:13406;flip:x;height:0;width:360;" coordsize="21600,21600">
              <v:path arrowok="t"/>
              <v:fill focussize="0,0"/>
              <v:stroke/>
              <v:imagedata o:title=""/>
              <o:lock v:ext="edit"/>
            </v:line>
            <v:rect id="矩形 1948" o:spid="_x0000_s1086" o:spt="1" style="position:absolute;left:4468;top:11066;height:468;width:840;" fillcolor="#FF0000" filled="f" stroked="f" coordsize="21600,21600">
              <v:path/>
              <v:fill on="f" focussize="0,0"/>
              <v:stroke on="f"/>
              <v:imagedata o:title=""/>
              <o:lock v:ext="edit"/>
              <v:textbox>
                <w:txbxContent>
                  <w:p>
                    <w:pPr>
                      <w:jc w:val="center"/>
                    </w:pPr>
                    <w:r>
                      <w:rPr>
                        <w:rFonts w:hint="eastAsia"/>
                      </w:rPr>
                      <w:t>可控</w:t>
                    </w:r>
                  </w:p>
                </w:txbxContent>
              </v:textbox>
            </v:rect>
            <w10:wrap type="none"/>
            <w10:anchorlock/>
          </v:group>
        </w:pict>
      </w:r>
    </w:p>
    <w:p>
      <w:pPr>
        <w:spacing w:line="360" w:lineRule="auto"/>
        <w:jc w:val="center"/>
        <w:rPr>
          <w:rFonts w:asciiTheme="minorEastAsia" w:hAnsiTheme="minorEastAsia" w:eastAsiaTheme="minorEastAsia"/>
          <w:sz w:val="28"/>
          <w:szCs w:val="28"/>
          <w:lang w:val="zh-CN"/>
        </w:rPr>
      </w:pPr>
      <w:r>
        <w:rPr>
          <w:rFonts w:hint="eastAsia" w:asciiTheme="minorEastAsia" w:hAnsiTheme="minorEastAsia" w:eastAsiaTheme="minorEastAsia"/>
          <w:sz w:val="28"/>
          <w:szCs w:val="28"/>
          <w:lang w:val="zh-CN"/>
        </w:rPr>
        <w:t>图</w:t>
      </w:r>
      <w:r>
        <w:rPr>
          <w:rFonts w:asciiTheme="minorEastAsia" w:hAnsiTheme="minorEastAsia" w:eastAsiaTheme="minorEastAsia"/>
          <w:sz w:val="28"/>
          <w:szCs w:val="28"/>
          <w:lang w:val="zh-CN"/>
        </w:rPr>
        <w:t>6-</w:t>
      </w:r>
      <w:r>
        <w:rPr>
          <w:rFonts w:hint="eastAsia" w:asciiTheme="minorEastAsia" w:hAnsiTheme="minorEastAsia" w:eastAsiaTheme="minorEastAsia"/>
          <w:sz w:val="28"/>
          <w:szCs w:val="28"/>
          <w:lang w:val="zh-CN"/>
        </w:rPr>
        <w:t>2应急工作流程图</w:t>
      </w:r>
    </w:p>
    <w:p>
      <w:pPr>
        <w:adjustRightInd w:val="0"/>
        <w:snapToGrid w:val="0"/>
        <w:spacing w:line="460" w:lineRule="exact"/>
        <w:outlineLvl w:val="1"/>
        <w:rPr>
          <w:rFonts w:hint="eastAsia"/>
          <w:b/>
          <w:color w:val="000000"/>
          <w:sz w:val="28"/>
          <w:szCs w:val="28"/>
        </w:rPr>
      </w:pPr>
    </w:p>
    <w:p>
      <w:pPr>
        <w:adjustRightInd w:val="0"/>
        <w:snapToGrid w:val="0"/>
        <w:spacing w:line="460" w:lineRule="exact"/>
        <w:outlineLvl w:val="1"/>
        <w:rPr>
          <w:rFonts w:hint="eastAsia"/>
          <w:b/>
          <w:color w:val="000000"/>
          <w:sz w:val="28"/>
          <w:szCs w:val="28"/>
        </w:rPr>
      </w:pPr>
    </w:p>
    <w:p>
      <w:pPr>
        <w:adjustRightInd w:val="0"/>
        <w:snapToGrid w:val="0"/>
        <w:spacing w:line="460" w:lineRule="exact"/>
        <w:outlineLvl w:val="1"/>
        <w:rPr>
          <w:rFonts w:hint="eastAsia"/>
          <w:b/>
          <w:color w:val="000000"/>
          <w:sz w:val="28"/>
          <w:szCs w:val="28"/>
        </w:rPr>
      </w:pPr>
    </w:p>
    <w:p>
      <w:pPr>
        <w:adjustRightInd w:val="0"/>
        <w:snapToGrid w:val="0"/>
        <w:spacing w:line="460" w:lineRule="exact"/>
        <w:outlineLvl w:val="1"/>
        <w:rPr>
          <w:b/>
          <w:color w:val="000000"/>
          <w:sz w:val="28"/>
          <w:szCs w:val="28"/>
        </w:rPr>
      </w:pPr>
      <w:bookmarkStart w:id="378" w:name="_Toc27901"/>
      <w:r>
        <w:rPr>
          <w:rFonts w:hint="eastAsia"/>
          <w:b/>
          <w:color w:val="000000"/>
          <w:sz w:val="28"/>
          <w:szCs w:val="28"/>
        </w:rPr>
        <w:t>6.4.3</w:t>
      </w:r>
      <w:r>
        <w:rPr>
          <w:b/>
          <w:color w:val="000000"/>
          <w:sz w:val="28"/>
          <w:szCs w:val="28"/>
        </w:rPr>
        <w:t>一源一案</w:t>
      </w:r>
      <w:bookmarkEnd w:id="378"/>
    </w:p>
    <w:p>
      <w:pPr>
        <w:spacing w:line="480" w:lineRule="exact"/>
        <w:rPr>
          <w:rFonts w:asciiTheme="minorEastAsia" w:hAnsiTheme="minorEastAsia" w:eastAsiaTheme="minorEastAsia"/>
          <w:b/>
          <w:sz w:val="24"/>
          <w:szCs w:val="24"/>
        </w:rPr>
      </w:pPr>
      <w:r>
        <w:rPr>
          <w:rFonts w:hint="eastAsia" w:asciiTheme="minorEastAsia" w:hAnsiTheme="minorEastAsia" w:eastAsiaTheme="minorEastAsia"/>
          <w:b/>
          <w:sz w:val="24"/>
          <w:szCs w:val="24"/>
        </w:rPr>
        <w:t>6.4.3</w:t>
      </w:r>
      <w:r>
        <w:rPr>
          <w:rFonts w:hint="eastAsia" w:cs="仿宋_GB2312" w:asciiTheme="minorEastAsia" w:hAnsiTheme="minorEastAsia" w:eastAsiaTheme="minorEastAsia"/>
          <w:sz w:val="24"/>
          <w:szCs w:val="24"/>
          <w:lang w:val="zh-CN"/>
        </w:rPr>
        <w:t>.1</w:t>
      </w:r>
      <w:r>
        <w:rPr>
          <w:rFonts w:hint="eastAsia" w:asciiTheme="minorEastAsia" w:hAnsiTheme="minorEastAsia" w:eastAsiaTheme="minorEastAsia"/>
          <w:b/>
          <w:sz w:val="24"/>
          <w:szCs w:val="24"/>
        </w:rPr>
        <w:t>储罐区化学品泄漏</w:t>
      </w:r>
      <w:r>
        <w:rPr>
          <w:rFonts w:asciiTheme="minorEastAsia" w:hAnsiTheme="minorEastAsia" w:eastAsiaTheme="minorEastAsia"/>
          <w:b/>
          <w:sz w:val="24"/>
          <w:szCs w:val="24"/>
        </w:rPr>
        <w:t>事故处理</w:t>
      </w:r>
    </w:p>
    <w:p>
      <w:pPr>
        <w:spacing w:line="360" w:lineRule="auto"/>
        <w:ind w:firstLine="486" w:firstLineChars="200"/>
        <w:jc w:val="left"/>
        <w:rPr>
          <w:rFonts w:asciiTheme="minorEastAsia" w:hAnsiTheme="minorEastAsia" w:eastAsiaTheme="minorEastAsia"/>
          <w:sz w:val="24"/>
          <w:szCs w:val="24"/>
          <w:lang w:val="zh-CN"/>
        </w:rPr>
      </w:pPr>
      <w:bookmarkStart w:id="379" w:name="_Toc387131505"/>
      <w:bookmarkStart w:id="380" w:name="_Toc387131431"/>
      <w:bookmarkStart w:id="381" w:name="_Toc24027"/>
      <w:bookmarkStart w:id="382" w:name="_Toc415254548"/>
      <w:bookmarkStart w:id="383" w:name="_Toc387131762"/>
      <w:r>
        <w:rPr>
          <w:rFonts w:hint="eastAsia" w:asciiTheme="minorEastAsia" w:hAnsiTheme="minorEastAsia" w:eastAsiaTheme="minorEastAsia"/>
          <w:sz w:val="24"/>
          <w:szCs w:val="24"/>
          <w:lang w:val="zh-CN"/>
        </w:rPr>
        <w:t>龙桥污水处理厂盐酸储罐、氯酸钠储罐已按环评和环保三同时的要求对其制作了围堰，并修建了事故收集池，对围堰和事故收集池进行了“三布五油”玻璃钢防腐，能满足盐酸、氯酸钠储存时的安全。</w:t>
      </w:r>
    </w:p>
    <w:p>
      <w:pPr>
        <w:spacing w:line="360" w:lineRule="auto"/>
        <w:ind w:firstLine="486" w:firstLineChars="200"/>
        <w:jc w:val="left"/>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容易发生泄漏的只有使用和来料下车时可能发生，当发生泄漏时：</w:t>
      </w:r>
    </w:p>
    <w:p>
      <w:pPr>
        <w:spacing w:line="360" w:lineRule="auto"/>
        <w:ind w:firstLine="486" w:firstLineChars="200"/>
        <w:jc w:val="left"/>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（1）泄漏危害预防：本厂使用的为31%左右的稀盐酸，有腐蚀性，且能与氯酸钠快速发生反应，所以固体氯酸钠必须同盐酸分房间存放。</w:t>
      </w:r>
    </w:p>
    <w:p>
      <w:pPr>
        <w:spacing w:line="360" w:lineRule="auto"/>
        <w:ind w:firstLine="486" w:firstLineChars="200"/>
        <w:jc w:val="left"/>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（2）泄漏源控制：关闭阀门、停止作业等；采用合适的材料和技术手段堵住泄漏处，进行此项操作必须穿戴酸碱防护服、防毒面具。</w:t>
      </w:r>
    </w:p>
    <w:p>
      <w:pPr>
        <w:spacing w:line="360" w:lineRule="auto"/>
        <w:ind w:firstLine="486" w:firstLineChars="200"/>
        <w:jc w:val="left"/>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（3）警戒保卫组迅速设置安全警戒线，严禁无关人员和车辆进入危险区域。</w:t>
      </w:r>
    </w:p>
    <w:p>
      <w:pPr>
        <w:spacing w:line="360" w:lineRule="auto"/>
        <w:ind w:firstLine="486" w:firstLineChars="200"/>
        <w:jc w:val="left"/>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（4）泄漏物处理</w:t>
      </w:r>
    </w:p>
    <w:p>
      <w:pPr>
        <w:spacing w:line="360" w:lineRule="auto"/>
        <w:ind w:firstLine="486" w:firstLineChars="200"/>
        <w:jc w:val="left"/>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围堤堵截：液体泄漏时及时检查围堤出口阀门的状态，保证其处于关闭状态。并准备沙子备用,以防流入地沟。</w:t>
      </w:r>
    </w:p>
    <w:p>
      <w:pPr>
        <w:spacing w:line="360" w:lineRule="auto"/>
        <w:ind w:firstLine="486" w:firstLineChars="200"/>
        <w:jc w:val="left"/>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稀释与中和：向泄漏现场施放大量生石灰和水，以中和泄漏盐酸，并降低盐酸与氢氧化钙中和反应时产生的大量热。</w:t>
      </w:r>
    </w:p>
    <w:p>
      <w:pPr>
        <w:spacing w:line="360" w:lineRule="auto"/>
        <w:ind w:firstLine="486" w:firstLineChars="200"/>
        <w:jc w:val="left"/>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（5）收容（集）：对于发生大量泄漏，可选择用隔膜泵将泄漏出的物料抽入容器内或槽车内；当泄漏量小时，可用沙子吸收。</w:t>
      </w:r>
    </w:p>
    <w:p>
      <w:pPr>
        <w:spacing w:line="360" w:lineRule="auto"/>
        <w:ind w:firstLine="486" w:firstLineChars="200"/>
        <w:jc w:val="left"/>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（6）收集的中和后的泄漏物运至废物处理场所处置。用消防水冲洗剩下的少量物料，冲洗水经过检测排入污水处理系统进行处理。</w:t>
      </w:r>
    </w:p>
    <w:p>
      <w:pPr>
        <w:adjustRightInd w:val="0"/>
        <w:snapToGrid w:val="0"/>
        <w:spacing w:line="460" w:lineRule="exact"/>
        <w:jc w:val="left"/>
        <w:rPr>
          <w:rFonts w:asciiTheme="minorEastAsia" w:hAnsiTheme="minorEastAsia" w:eastAsiaTheme="minorEastAsia"/>
          <w:b/>
          <w:sz w:val="24"/>
          <w:szCs w:val="24"/>
        </w:rPr>
      </w:pPr>
      <w:r>
        <w:rPr>
          <w:rFonts w:hint="eastAsia" w:asciiTheme="minorEastAsia" w:hAnsiTheme="minorEastAsia" w:eastAsiaTheme="minorEastAsia"/>
          <w:b/>
          <w:sz w:val="24"/>
          <w:szCs w:val="24"/>
        </w:rPr>
        <w:t>6.4.3.2加药间仓库氢氧化钠泄漏处置措施</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迅速查明泄漏部位和泄漏量大小，在确保安全的情况采取如下措施：</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应急处置过程中应急处理人员必须穿戴好工作服，佩戴化学安全防护眼镜，戴耐酸碱手套。</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小量泄漏：尽可能将溢漏固体集在塑胶容器内，收集回收后用水冲洗残留物，冲洗水进入事故池，用适量盐酸中和，测定PH值等后合格后经环保部门批准排放。</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大量泄漏：若固态氢氧化钠发生大量泄漏后遇水，确认储存区围堰至事故池阀门关闭，用耐酸泵转移至专用容器中，若无法盛装，通过槽车转移至废物处理单位。残液用水冲洗，冲洗水进入事故池，用适量盐酸中和，测定PH值等合格后经环保部门批准后排放。</w:t>
      </w:r>
    </w:p>
    <w:p>
      <w:pPr>
        <w:autoSpaceDE w:val="0"/>
        <w:autoSpaceDN w:val="0"/>
        <w:spacing w:beforeLines="50" w:afterLines="50" w:line="460" w:lineRule="exact"/>
        <w:jc w:val="left"/>
        <w:rPr>
          <w:rFonts w:cs="仿宋_GB2312" w:asciiTheme="minorEastAsia" w:hAnsiTheme="minorEastAsia" w:eastAsiaTheme="minorEastAsia"/>
          <w:b/>
          <w:kern w:val="0"/>
          <w:sz w:val="24"/>
          <w:szCs w:val="24"/>
          <w:lang w:val="zh-CN"/>
        </w:rPr>
      </w:pPr>
      <w:r>
        <w:rPr>
          <w:rFonts w:hint="eastAsia" w:asciiTheme="minorEastAsia" w:hAnsiTheme="minorEastAsia" w:eastAsiaTheme="minorEastAsia"/>
          <w:b/>
          <w:sz w:val="24"/>
          <w:szCs w:val="24"/>
        </w:rPr>
        <w:t>6.4.3.3</w:t>
      </w:r>
      <w:r>
        <w:rPr>
          <w:rFonts w:hint="eastAsia" w:cs="仿宋_GB2312" w:asciiTheme="minorEastAsia" w:hAnsiTheme="minorEastAsia" w:eastAsiaTheme="minorEastAsia"/>
          <w:b/>
          <w:kern w:val="0"/>
          <w:sz w:val="24"/>
          <w:szCs w:val="24"/>
          <w:lang w:val="zh-CN"/>
        </w:rPr>
        <w:t xml:space="preserve">氯气泄漏处理措施 </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氯气少量泄漏（无人员中毒）</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1、值班人员戴好有效的氧气呼吸器，关闭二氧化氯发生器加药系统。</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2、检查事故系统泄漏原因，能处理的及时处理、恢复使用，不能处理的及时报生技科、维修科处理解决，或调整加氯系统，恢复正常生产。由公司应急指挥部下达解除令。</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氯气一定量泄漏（操作、巡视时发生轻微中毒）</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1、由于轻微中毒一般能行走，应立即离开中毒区，迎风向高处跑，并进行求援、报告。</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2、救援人员戴好有效的氧气呼吸器，关闭事故系统管道及加氯机阀门。</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3、救护人员对轻微中毒人员进行救护，中毒人员应处在通风处，并注意防晒、防冻，吃一些保护粘膜的食物如生鸡蛋、熟猪油加糖，对中毒反应强烈者应送医院治疗。</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4、待泄漏氯气消失后，检查事故原因，修复或调整工作系统，恢复正常生产。直至有公司应急指挥小组下达解除令。</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大量泄漏等重大事故，有严重中毒人员：</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1、现场人员能及时逃生者应立即逃生，发现者立即迅速求援，报告事故指挥领导小组成员。</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2、指挥领导小组下达应急救援命令，各应急救援队伍、指挥领导小组立即到现场。指挥领导小组组长立即将事故发生情况向上级部门、安监、环保等相关部门汇报。报警内容包括：事故发生的时间、地点、企业名称、交通路线、联络电话、联络人姓名、危险化学品的种类、数量、事故类型（火灾、爆炸、有毒物质的大量泄漏等）、周边情况、需要支援的人员、设备、器材等。</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3、公司全体员工全面进入紧急抢险状态，所有通讯、物资、后勤保障、设备等进入24小时抢险状态，直至有公司应急指挥部下达解除令。</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4、抢险救灾组或先赶到的其他小组戴好有效氧气呼吸器，将中毒、受伤人员转移出毒区，由救护人员进行现场救护或转医院治疗。</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5、抢险救灾组人员根据扩散情况对可能危及中毒的人员有序疏散，并确保抢救道路畅通。</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6、环境监测组人员应佩带好防护用品并用设备连续测量毒区毒物浓度、扩散方向，为指挥领导小组确定救援方案以及为下一步解除应急救援命令供准确依据。</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7、抢险救灾组应佩戴好氧气呼吸器等防护用具进入现场切断气体产生源，并作简单抢险堵漏。</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8、事故指挥领导小组根据毒物浓度、生产设备情况解除应急救援命令。</w:t>
      </w:r>
    </w:p>
    <w:p>
      <w:pPr>
        <w:spacing w:beforeLines="50" w:afterLines="50" w:line="440" w:lineRule="exact"/>
        <w:rPr>
          <w:rFonts w:cs="仿宋_GB2312" w:asciiTheme="minorEastAsia" w:hAnsiTheme="minorEastAsia" w:eastAsiaTheme="minorEastAsia"/>
          <w:b/>
          <w:kern w:val="0"/>
          <w:sz w:val="24"/>
          <w:szCs w:val="24"/>
        </w:rPr>
      </w:pPr>
      <w:r>
        <w:rPr>
          <w:rFonts w:hint="eastAsia" w:asciiTheme="minorEastAsia" w:hAnsiTheme="minorEastAsia" w:eastAsiaTheme="minorEastAsia"/>
          <w:b/>
          <w:sz w:val="24"/>
          <w:szCs w:val="24"/>
        </w:rPr>
        <w:t>6.4.3.4</w:t>
      </w:r>
      <w:r>
        <w:rPr>
          <w:rFonts w:hint="eastAsia" w:cs="仿宋_GB2312" w:asciiTheme="minorEastAsia" w:hAnsiTheme="minorEastAsia" w:eastAsiaTheme="minorEastAsia"/>
          <w:b/>
          <w:kern w:val="0"/>
          <w:sz w:val="24"/>
          <w:szCs w:val="24"/>
        </w:rPr>
        <w:t>进水水质超标处置措施</w:t>
      </w:r>
    </w:p>
    <w:bookmarkEnd w:id="379"/>
    <w:bookmarkEnd w:id="380"/>
    <w:bookmarkEnd w:id="381"/>
    <w:bookmarkEnd w:id="382"/>
    <w:bookmarkEnd w:id="383"/>
    <w:p>
      <w:pPr>
        <w:spacing w:line="360" w:lineRule="auto"/>
        <w:ind w:firstLine="486" w:firstLineChars="200"/>
        <w:jc w:val="left"/>
        <w:rPr>
          <w:rFonts w:cs="??_GB2312" w:asciiTheme="minorEastAsia" w:hAnsiTheme="minorEastAsia" w:eastAsiaTheme="minorEastAsia"/>
          <w:kern w:val="0"/>
          <w:sz w:val="24"/>
          <w:szCs w:val="24"/>
        </w:rPr>
      </w:pPr>
      <w:r>
        <w:rPr>
          <w:rFonts w:hint="eastAsia" w:cs="??_GB2312" w:asciiTheme="minorEastAsia" w:hAnsiTheme="minorEastAsia" w:eastAsiaTheme="minorEastAsia"/>
          <w:kern w:val="0"/>
          <w:sz w:val="24"/>
          <w:szCs w:val="24"/>
        </w:rPr>
        <w:t>运行人员每</w:t>
      </w:r>
      <w:r>
        <w:rPr>
          <w:rFonts w:cs="??_GB2312" w:asciiTheme="minorEastAsia" w:hAnsiTheme="minorEastAsia" w:eastAsiaTheme="minorEastAsia"/>
          <w:kern w:val="0"/>
          <w:sz w:val="24"/>
          <w:szCs w:val="24"/>
        </w:rPr>
        <w:t>2</w:t>
      </w:r>
      <w:r>
        <w:rPr>
          <w:rFonts w:hint="eastAsia" w:cs="??_GB2312" w:asciiTheme="minorEastAsia" w:hAnsiTheme="minorEastAsia" w:eastAsiaTheme="minorEastAsia"/>
          <w:kern w:val="0"/>
          <w:sz w:val="24"/>
          <w:szCs w:val="24"/>
        </w:rPr>
        <w:t>小时对进水在线</w:t>
      </w:r>
      <w:r>
        <w:rPr>
          <w:rFonts w:cs="??_GB2312" w:asciiTheme="minorEastAsia" w:hAnsiTheme="minorEastAsia" w:eastAsiaTheme="minorEastAsia"/>
          <w:kern w:val="0"/>
          <w:sz w:val="24"/>
          <w:szCs w:val="24"/>
        </w:rPr>
        <w:t>COD</w:t>
      </w:r>
      <w:r>
        <w:rPr>
          <w:rFonts w:hint="eastAsia" w:cs="??_GB2312" w:asciiTheme="minorEastAsia" w:hAnsiTheme="minorEastAsia" w:eastAsiaTheme="minorEastAsia"/>
          <w:kern w:val="0"/>
          <w:sz w:val="24"/>
          <w:szCs w:val="24"/>
        </w:rPr>
        <w:t>、</w:t>
      </w:r>
      <w:r>
        <w:rPr>
          <w:rFonts w:cs="??_GB2312" w:asciiTheme="minorEastAsia" w:hAnsiTheme="minorEastAsia" w:eastAsiaTheme="minorEastAsia"/>
          <w:kern w:val="0"/>
          <w:sz w:val="24"/>
          <w:szCs w:val="24"/>
        </w:rPr>
        <w:t>NH3-N</w:t>
      </w:r>
      <w:r>
        <w:rPr>
          <w:rFonts w:hint="eastAsia" w:cs="??_GB2312" w:asciiTheme="minorEastAsia" w:hAnsiTheme="minorEastAsia" w:eastAsiaTheme="minorEastAsia"/>
          <w:kern w:val="0"/>
          <w:sz w:val="24"/>
          <w:szCs w:val="24"/>
        </w:rPr>
        <w:t>、</w:t>
      </w:r>
      <w:r>
        <w:rPr>
          <w:rFonts w:cs="??_GB2312" w:asciiTheme="minorEastAsia" w:hAnsiTheme="minorEastAsia" w:eastAsiaTheme="minorEastAsia"/>
          <w:kern w:val="0"/>
          <w:sz w:val="24"/>
          <w:szCs w:val="24"/>
        </w:rPr>
        <w:t>PH</w:t>
      </w:r>
      <w:r>
        <w:rPr>
          <w:rFonts w:hint="eastAsia" w:cs="??_GB2312" w:asciiTheme="minorEastAsia" w:hAnsiTheme="minorEastAsia" w:eastAsiaTheme="minorEastAsia"/>
          <w:kern w:val="0"/>
          <w:sz w:val="24"/>
          <w:szCs w:val="24"/>
        </w:rPr>
        <w:t>监测设备和工艺段进行巡视异常，或化验室例行数据监测报警（化验室每天将数据上传厂办公室，如进水异常，立即通知值班人）。</w:t>
      </w:r>
    </w:p>
    <w:p>
      <w:pPr>
        <w:spacing w:line="360" w:lineRule="auto"/>
        <w:ind w:firstLine="486" w:firstLineChars="200"/>
        <w:jc w:val="left"/>
        <w:rPr>
          <w:rFonts w:cs="??_GB2312" w:asciiTheme="minorEastAsia" w:hAnsiTheme="minorEastAsia" w:eastAsiaTheme="minorEastAsia"/>
          <w:kern w:val="0"/>
          <w:sz w:val="24"/>
          <w:szCs w:val="24"/>
        </w:rPr>
      </w:pPr>
      <w:r>
        <w:rPr>
          <w:rFonts w:hint="eastAsia" w:cs="??_GB2312" w:asciiTheme="minorEastAsia" w:hAnsiTheme="minorEastAsia" w:eastAsiaTheme="minorEastAsia"/>
          <w:kern w:val="0"/>
          <w:sz w:val="24"/>
          <w:szCs w:val="24"/>
        </w:rPr>
        <w:t>主要进水数据超标（任意一项）启动应急处置方案的临界值：</w:t>
      </w:r>
    </w:p>
    <w:p>
      <w:pPr>
        <w:spacing w:line="360" w:lineRule="auto"/>
        <w:ind w:firstLine="486" w:firstLineChars="200"/>
        <w:jc w:val="left"/>
        <w:rPr>
          <w:rFonts w:cs="??_GB2312" w:asciiTheme="minorEastAsia" w:hAnsiTheme="minorEastAsia" w:eastAsiaTheme="minorEastAsia"/>
          <w:kern w:val="0"/>
          <w:sz w:val="24"/>
          <w:szCs w:val="24"/>
        </w:rPr>
      </w:pPr>
      <w:r>
        <w:rPr>
          <w:rFonts w:cs="??_GB2312" w:asciiTheme="minorEastAsia" w:hAnsiTheme="minorEastAsia" w:eastAsiaTheme="minorEastAsia"/>
          <w:kern w:val="0"/>
          <w:sz w:val="24"/>
          <w:szCs w:val="24"/>
        </w:rPr>
        <w:t>COD</w:t>
      </w:r>
      <w:r>
        <w:rPr>
          <w:rFonts w:hint="eastAsia" w:asciiTheme="minorEastAsia" w:hAnsiTheme="minorEastAsia" w:eastAsiaTheme="minorEastAsia"/>
          <w:kern w:val="0"/>
          <w:sz w:val="24"/>
          <w:szCs w:val="24"/>
        </w:rPr>
        <w:t>≧</w:t>
      </w:r>
      <w:r>
        <w:rPr>
          <w:rFonts w:asciiTheme="minorEastAsia" w:hAnsiTheme="minorEastAsia" w:eastAsiaTheme="minorEastAsia"/>
          <w:kern w:val="0"/>
          <w:sz w:val="24"/>
          <w:szCs w:val="24"/>
        </w:rPr>
        <w:t>6</w:t>
      </w:r>
      <w:r>
        <w:rPr>
          <w:rFonts w:cs="??_GB2312" w:asciiTheme="minorEastAsia" w:hAnsiTheme="minorEastAsia" w:eastAsiaTheme="minorEastAsia"/>
          <w:kern w:val="0"/>
          <w:sz w:val="24"/>
          <w:szCs w:val="24"/>
        </w:rPr>
        <w:t>00mg/L</w:t>
      </w:r>
      <w:r>
        <w:rPr>
          <w:rFonts w:hint="eastAsia" w:cs="??_GB2312" w:asciiTheme="minorEastAsia" w:hAnsiTheme="minorEastAsia" w:eastAsiaTheme="minorEastAsia"/>
          <w:kern w:val="0"/>
          <w:sz w:val="24"/>
          <w:szCs w:val="24"/>
        </w:rPr>
        <w:t>，</w:t>
      </w:r>
      <w:r>
        <w:rPr>
          <w:rFonts w:cs="??_GB2312" w:asciiTheme="minorEastAsia" w:hAnsiTheme="minorEastAsia" w:eastAsiaTheme="minorEastAsia"/>
          <w:kern w:val="0"/>
          <w:sz w:val="24"/>
          <w:szCs w:val="24"/>
        </w:rPr>
        <w:t>NH3-N</w:t>
      </w:r>
      <w:r>
        <w:rPr>
          <w:rFonts w:hint="eastAsia" w:asciiTheme="minorEastAsia" w:hAnsiTheme="minorEastAsia" w:eastAsiaTheme="minorEastAsia"/>
          <w:kern w:val="0"/>
          <w:sz w:val="24"/>
          <w:szCs w:val="24"/>
        </w:rPr>
        <w:t>≧</w:t>
      </w:r>
      <w:r>
        <w:rPr>
          <w:rFonts w:asciiTheme="minorEastAsia" w:hAnsiTheme="minorEastAsia" w:eastAsiaTheme="minorEastAsia"/>
          <w:kern w:val="0"/>
          <w:sz w:val="24"/>
          <w:szCs w:val="24"/>
        </w:rPr>
        <w:t>35</w:t>
      </w:r>
      <w:r>
        <w:rPr>
          <w:rFonts w:cs="??_GB2312" w:asciiTheme="minorEastAsia" w:hAnsiTheme="minorEastAsia" w:eastAsiaTheme="minorEastAsia"/>
          <w:kern w:val="0"/>
          <w:sz w:val="24"/>
          <w:szCs w:val="24"/>
        </w:rPr>
        <w:t>mg/L</w:t>
      </w:r>
      <w:r>
        <w:rPr>
          <w:rFonts w:hint="eastAsia" w:cs="??_GB2312" w:asciiTheme="minorEastAsia" w:hAnsiTheme="minorEastAsia" w:eastAsiaTheme="minorEastAsia"/>
          <w:kern w:val="0"/>
          <w:sz w:val="24"/>
          <w:szCs w:val="24"/>
        </w:rPr>
        <w:t>，</w:t>
      </w:r>
      <w:r>
        <w:rPr>
          <w:rFonts w:cs="??_GB2312" w:asciiTheme="minorEastAsia" w:hAnsiTheme="minorEastAsia" w:eastAsiaTheme="minorEastAsia"/>
          <w:kern w:val="0"/>
          <w:sz w:val="24"/>
          <w:szCs w:val="24"/>
        </w:rPr>
        <w:t>PH</w:t>
      </w:r>
      <w:r>
        <w:rPr>
          <w:rFonts w:hint="eastAsia" w:asciiTheme="minorEastAsia" w:hAnsiTheme="minorEastAsia" w:eastAsiaTheme="minorEastAsia"/>
          <w:kern w:val="0"/>
          <w:sz w:val="24"/>
          <w:szCs w:val="24"/>
        </w:rPr>
        <w:t>≧</w:t>
      </w:r>
      <w:r>
        <w:rPr>
          <w:rFonts w:cs="??_GB2312" w:asciiTheme="minorEastAsia" w:hAnsiTheme="minorEastAsia" w:eastAsiaTheme="minorEastAsia"/>
          <w:kern w:val="0"/>
          <w:sz w:val="24"/>
          <w:szCs w:val="24"/>
        </w:rPr>
        <w:t>9</w:t>
      </w:r>
      <w:r>
        <w:rPr>
          <w:rFonts w:hint="eastAsia" w:cs="??_GB2312" w:asciiTheme="minorEastAsia" w:hAnsiTheme="minorEastAsia" w:eastAsiaTheme="minorEastAsia"/>
          <w:kern w:val="0"/>
          <w:sz w:val="24"/>
          <w:szCs w:val="24"/>
        </w:rPr>
        <w:t>或</w:t>
      </w:r>
      <w:r>
        <w:rPr>
          <w:rFonts w:hint="eastAsia" w:asciiTheme="minorEastAsia" w:hAnsiTheme="minorEastAsia" w:eastAsiaTheme="minorEastAsia"/>
          <w:kern w:val="0"/>
          <w:sz w:val="24"/>
          <w:szCs w:val="24"/>
        </w:rPr>
        <w:t>≦</w:t>
      </w:r>
      <w:r>
        <w:rPr>
          <w:rFonts w:cs="??_GB2312" w:asciiTheme="minorEastAsia" w:hAnsiTheme="minorEastAsia" w:eastAsiaTheme="minorEastAsia"/>
          <w:kern w:val="0"/>
          <w:sz w:val="24"/>
          <w:szCs w:val="24"/>
        </w:rPr>
        <w:t xml:space="preserve">6 </w:t>
      </w:r>
      <w:r>
        <w:rPr>
          <w:rFonts w:hint="eastAsia" w:cs="??_GB2312" w:asciiTheme="minorEastAsia" w:hAnsiTheme="minorEastAsia" w:eastAsiaTheme="minorEastAsia"/>
          <w:kern w:val="0"/>
          <w:sz w:val="24"/>
          <w:szCs w:val="24"/>
        </w:rPr>
        <w:t>。</w:t>
      </w:r>
    </w:p>
    <w:p>
      <w:pPr>
        <w:spacing w:line="360" w:lineRule="auto"/>
        <w:ind w:firstLine="365" w:firstLineChars="150"/>
        <w:jc w:val="left"/>
        <w:rPr>
          <w:rFonts w:cs="??_GB2312" w:asciiTheme="minorEastAsia" w:hAnsiTheme="minorEastAsia" w:eastAsiaTheme="minorEastAsia"/>
          <w:sz w:val="24"/>
          <w:szCs w:val="24"/>
        </w:rPr>
      </w:pPr>
      <w:r>
        <w:rPr>
          <w:rFonts w:hint="eastAsia" w:cs="??_GB2312" w:asciiTheme="minorEastAsia" w:hAnsiTheme="minorEastAsia" w:eastAsiaTheme="minorEastAsia"/>
          <w:sz w:val="24"/>
          <w:szCs w:val="24"/>
        </w:rPr>
        <w:t>（</w:t>
      </w:r>
      <w:r>
        <w:rPr>
          <w:rFonts w:cs="??_GB2312" w:asciiTheme="minorEastAsia" w:hAnsiTheme="minorEastAsia" w:eastAsiaTheme="minorEastAsia"/>
          <w:sz w:val="24"/>
          <w:szCs w:val="24"/>
        </w:rPr>
        <w:t>1</w:t>
      </w:r>
      <w:r>
        <w:rPr>
          <w:rFonts w:hint="eastAsia" w:cs="??_GB2312" w:asciiTheme="minorEastAsia" w:hAnsiTheme="minorEastAsia" w:eastAsiaTheme="minorEastAsia"/>
          <w:sz w:val="24"/>
          <w:szCs w:val="24"/>
        </w:rPr>
        <w:t>）值班人员迅速报告厂长按厂负责人指令执行。</w:t>
      </w:r>
    </w:p>
    <w:p>
      <w:pPr>
        <w:spacing w:line="360" w:lineRule="auto"/>
        <w:ind w:firstLine="365" w:firstLineChars="150"/>
        <w:jc w:val="left"/>
        <w:rPr>
          <w:rFonts w:cs="??_GB2312" w:asciiTheme="minorEastAsia" w:hAnsiTheme="minorEastAsia" w:eastAsiaTheme="minorEastAsia"/>
          <w:sz w:val="24"/>
          <w:szCs w:val="24"/>
        </w:rPr>
      </w:pPr>
      <w:r>
        <w:rPr>
          <w:rFonts w:hint="eastAsia" w:cs="??_GB2312" w:asciiTheme="minorEastAsia" w:hAnsiTheme="minorEastAsia" w:eastAsiaTheme="minorEastAsia"/>
          <w:sz w:val="24"/>
          <w:szCs w:val="24"/>
        </w:rPr>
        <w:t>（</w:t>
      </w:r>
      <w:r>
        <w:rPr>
          <w:rFonts w:cs="??_GB2312" w:asciiTheme="minorEastAsia" w:hAnsiTheme="minorEastAsia" w:eastAsiaTheme="minorEastAsia"/>
          <w:sz w:val="24"/>
          <w:szCs w:val="24"/>
        </w:rPr>
        <w:t>2</w:t>
      </w:r>
      <w:r>
        <w:rPr>
          <w:rFonts w:hint="eastAsia" w:cs="??_GB2312" w:asciiTheme="minorEastAsia" w:hAnsiTheme="minorEastAsia" w:eastAsiaTheme="minorEastAsia"/>
          <w:sz w:val="24"/>
          <w:szCs w:val="24"/>
        </w:rPr>
        <w:t>）厂负责人接报后现场了解情况，视情况逐级报告。</w:t>
      </w:r>
    </w:p>
    <w:p>
      <w:pPr>
        <w:spacing w:line="360" w:lineRule="auto"/>
        <w:ind w:left="420"/>
        <w:jc w:val="left"/>
        <w:rPr>
          <w:rFonts w:cs="??_GB2312" w:asciiTheme="minorEastAsia" w:hAnsiTheme="minorEastAsia" w:eastAsiaTheme="minorEastAsia"/>
          <w:sz w:val="24"/>
          <w:szCs w:val="24"/>
        </w:rPr>
      </w:pPr>
      <w:r>
        <w:rPr>
          <w:rFonts w:hint="eastAsia" w:cs="??_GB2312" w:asciiTheme="minorEastAsia" w:hAnsiTheme="minorEastAsia" w:eastAsiaTheme="minorEastAsia"/>
          <w:sz w:val="24"/>
          <w:szCs w:val="24"/>
        </w:rPr>
        <w:t>（</w:t>
      </w:r>
      <w:r>
        <w:rPr>
          <w:rFonts w:cs="??_GB2312" w:asciiTheme="minorEastAsia" w:hAnsiTheme="minorEastAsia" w:eastAsiaTheme="minorEastAsia"/>
          <w:sz w:val="24"/>
          <w:szCs w:val="24"/>
        </w:rPr>
        <w:t>3</w:t>
      </w:r>
      <w:r>
        <w:rPr>
          <w:rFonts w:hint="eastAsia" w:cs="??_GB2312" w:asciiTheme="minorEastAsia" w:hAnsiTheme="minorEastAsia" w:eastAsiaTheme="minorEastAsia"/>
          <w:sz w:val="24"/>
          <w:szCs w:val="24"/>
        </w:rPr>
        <w:t>）值班人员立即将中控自动切换提升泵房</w:t>
      </w:r>
      <w:r>
        <w:rPr>
          <w:rFonts w:cs="??_GB2312" w:asciiTheme="minorEastAsia" w:hAnsiTheme="minorEastAsia" w:eastAsiaTheme="minorEastAsia"/>
          <w:sz w:val="24"/>
          <w:szCs w:val="24"/>
        </w:rPr>
        <w:t>2#</w:t>
      </w:r>
      <w:r>
        <w:rPr>
          <w:rFonts w:hint="eastAsia" w:cs="??_GB2312" w:asciiTheme="minorEastAsia" w:hAnsiTheme="minorEastAsia" w:eastAsiaTheme="minorEastAsia"/>
          <w:sz w:val="24"/>
          <w:szCs w:val="24"/>
        </w:rPr>
        <w:t>事故闸阀，将超标废水切换至事故调节池（应急运行组需保证正常情况应急池为空）。</w:t>
      </w:r>
    </w:p>
    <w:p>
      <w:pPr>
        <w:spacing w:line="360" w:lineRule="auto"/>
        <w:ind w:left="420"/>
        <w:jc w:val="left"/>
        <w:rPr>
          <w:rFonts w:hint="eastAsia" w:cs="??_GB2312" w:asciiTheme="minorEastAsia" w:hAnsiTheme="minorEastAsia" w:eastAsiaTheme="minorEastAsia"/>
          <w:sz w:val="24"/>
          <w:szCs w:val="24"/>
        </w:rPr>
      </w:pPr>
      <w:r>
        <w:rPr>
          <w:rFonts w:hint="eastAsia" w:cs="??_GB2312" w:asciiTheme="minorEastAsia" w:hAnsiTheme="minorEastAsia" w:eastAsiaTheme="minorEastAsia"/>
          <w:sz w:val="24"/>
          <w:szCs w:val="24"/>
        </w:rPr>
        <w:t>（4）值班人员迅速到提升泵房查看，2#阀门是否开启状态，事故调节池进水情况是否正常。</w:t>
      </w:r>
    </w:p>
    <w:p>
      <w:pPr>
        <w:spacing w:line="360" w:lineRule="auto"/>
        <w:ind w:left="420"/>
        <w:jc w:val="left"/>
        <w:rPr>
          <w:rFonts w:hint="eastAsia" w:cs="??_GB2312" w:asciiTheme="minorEastAsia" w:hAnsiTheme="minorEastAsia" w:eastAsiaTheme="minorEastAsia"/>
          <w:sz w:val="24"/>
          <w:szCs w:val="24"/>
        </w:rPr>
      </w:pPr>
      <w:r>
        <w:rPr>
          <w:rFonts w:hint="eastAsia" w:cs="??_GB2312" w:asciiTheme="minorEastAsia" w:hAnsiTheme="minorEastAsia" w:eastAsiaTheme="minorEastAsia"/>
          <w:sz w:val="24"/>
          <w:szCs w:val="24"/>
        </w:rPr>
        <w:t>（5）通知抢险救灾组抢修进行源头水排查，到重点排污企业出水口取水送化验中心立即化验，或用进水在线设备检测。</w:t>
      </w:r>
    </w:p>
    <w:p>
      <w:pPr>
        <w:spacing w:line="360" w:lineRule="auto"/>
        <w:ind w:left="420"/>
        <w:jc w:val="left"/>
        <w:rPr>
          <w:rFonts w:hint="eastAsia" w:cs="??_GB2312" w:asciiTheme="minorEastAsia" w:hAnsiTheme="minorEastAsia" w:eastAsiaTheme="minorEastAsia"/>
          <w:sz w:val="24"/>
          <w:szCs w:val="24"/>
        </w:rPr>
      </w:pPr>
      <w:r>
        <w:rPr>
          <w:rFonts w:hint="eastAsia" w:cs="??_GB2312" w:asciiTheme="minorEastAsia" w:hAnsiTheme="minorEastAsia" w:eastAsiaTheme="minorEastAsia"/>
          <w:sz w:val="24"/>
          <w:szCs w:val="24"/>
        </w:rPr>
        <w:t>（6）抢险救灾组通知疑似超标的排污企业立即停止排放污水。</w:t>
      </w:r>
    </w:p>
    <w:p>
      <w:pPr>
        <w:spacing w:line="360" w:lineRule="auto"/>
        <w:ind w:left="420"/>
        <w:jc w:val="left"/>
        <w:rPr>
          <w:rFonts w:hint="eastAsia" w:cs="??_GB2312" w:asciiTheme="minorEastAsia" w:hAnsiTheme="minorEastAsia" w:eastAsiaTheme="minorEastAsia"/>
          <w:sz w:val="24"/>
          <w:szCs w:val="24"/>
        </w:rPr>
      </w:pPr>
      <w:r>
        <w:rPr>
          <w:rFonts w:hint="eastAsia" w:cs="??_GB2312" w:asciiTheme="minorEastAsia" w:hAnsiTheme="minorEastAsia" w:eastAsiaTheme="minorEastAsia"/>
          <w:sz w:val="24"/>
          <w:szCs w:val="24"/>
        </w:rPr>
        <w:t>（7）对于超标废水已进入生化系统的工艺调整应对。</w:t>
      </w:r>
    </w:p>
    <w:p>
      <w:pPr>
        <w:spacing w:line="360" w:lineRule="auto"/>
        <w:ind w:left="420"/>
        <w:jc w:val="left"/>
        <w:rPr>
          <w:rFonts w:hint="eastAsia" w:cs="??_GB2312" w:asciiTheme="minorEastAsia" w:hAnsiTheme="minorEastAsia" w:eastAsiaTheme="minorEastAsia"/>
          <w:sz w:val="24"/>
          <w:szCs w:val="24"/>
        </w:rPr>
      </w:pPr>
      <w:r>
        <w:rPr>
          <w:rFonts w:hint="eastAsia" w:cs="??_GB2312" w:asciiTheme="minorEastAsia" w:hAnsiTheme="minorEastAsia" w:eastAsiaTheme="minorEastAsia"/>
          <w:sz w:val="24"/>
          <w:szCs w:val="24"/>
        </w:rPr>
        <w:t>1）对于COD、NH3-N进水超标处置方法。减少当日排泥，维持较高范围的污泥浓度（3000mg/L以上）以应对负荷冲击；注意增加曝气量调整合适的溶解氧（在2mg/L以上）。同时在选择池增加pac投加量，</w:t>
      </w:r>
      <w:r>
        <w:rPr>
          <w:rFonts w:hint="eastAsia" w:cs="??_GB2312" w:asciiTheme="minorEastAsia" w:hAnsiTheme="minorEastAsia" w:eastAsiaTheme="minorEastAsia"/>
          <w:sz w:val="24"/>
          <w:szCs w:val="24"/>
          <w:lang w:eastAsia="zh-CN"/>
        </w:rPr>
        <w:t>并</w:t>
      </w:r>
      <w:r>
        <w:rPr>
          <w:rFonts w:hint="eastAsia" w:cs="??_GB2312" w:asciiTheme="minorEastAsia" w:hAnsiTheme="minorEastAsia" w:eastAsiaTheme="minorEastAsia"/>
          <w:sz w:val="24"/>
          <w:szCs w:val="24"/>
        </w:rPr>
        <w:t>投加活性炭粉等方式快速吸附、沉降悬浮有机污染物。</w:t>
      </w:r>
    </w:p>
    <w:p>
      <w:pPr>
        <w:spacing w:line="360" w:lineRule="auto"/>
        <w:ind w:left="420"/>
        <w:jc w:val="left"/>
        <w:rPr>
          <w:rFonts w:hint="eastAsia" w:cs="??_GB2312" w:asciiTheme="minorEastAsia" w:hAnsiTheme="minorEastAsia" w:eastAsiaTheme="minorEastAsia"/>
          <w:sz w:val="24"/>
          <w:szCs w:val="24"/>
        </w:rPr>
      </w:pPr>
      <w:r>
        <w:rPr>
          <w:rFonts w:hint="eastAsia" w:cs="??_GB2312" w:asciiTheme="minorEastAsia" w:hAnsiTheme="minorEastAsia" w:eastAsiaTheme="minorEastAsia"/>
          <w:sz w:val="24"/>
          <w:szCs w:val="24"/>
        </w:rPr>
        <w:t>2）对于PH超标处置方法。PH≧9时在调节池投加稀盐酸调至中性，PH≦6时在调节池加氢氧化钠调至中性。</w:t>
      </w:r>
    </w:p>
    <w:p>
      <w:pPr>
        <w:spacing w:line="360" w:lineRule="auto"/>
        <w:ind w:left="420"/>
        <w:jc w:val="left"/>
        <w:rPr>
          <w:rFonts w:hint="eastAsia" w:cs="??_GB2312" w:asciiTheme="minorEastAsia" w:hAnsiTheme="minorEastAsia" w:eastAsiaTheme="minorEastAsia"/>
          <w:sz w:val="24"/>
          <w:szCs w:val="24"/>
        </w:rPr>
      </w:pPr>
      <w:r>
        <w:rPr>
          <w:rFonts w:hint="eastAsia" w:cs="??_GB2312" w:asciiTheme="minorEastAsia" w:hAnsiTheme="minorEastAsia" w:eastAsiaTheme="minorEastAsia"/>
          <w:sz w:val="24"/>
          <w:szCs w:val="24"/>
        </w:rPr>
        <w:t>3）处理任何超标废水都应该适当延长SBR周期。</w:t>
      </w:r>
    </w:p>
    <w:p>
      <w:pPr>
        <w:spacing w:line="360" w:lineRule="auto"/>
        <w:ind w:left="420"/>
        <w:jc w:val="left"/>
        <w:rPr>
          <w:rFonts w:cs="??_GB2312" w:asciiTheme="minorEastAsia" w:hAnsiTheme="minorEastAsia" w:eastAsiaTheme="minorEastAsia"/>
          <w:sz w:val="24"/>
          <w:szCs w:val="24"/>
        </w:rPr>
      </w:pPr>
      <w:r>
        <w:rPr>
          <w:rFonts w:hint="eastAsia" w:cs="??_GB2312" w:asciiTheme="minorEastAsia" w:hAnsiTheme="minorEastAsia" w:eastAsiaTheme="minorEastAsia"/>
          <w:sz w:val="24"/>
          <w:szCs w:val="24"/>
        </w:rPr>
        <w:t>（</w:t>
      </w:r>
      <w:r>
        <w:rPr>
          <w:rFonts w:cs="??_GB2312" w:asciiTheme="minorEastAsia" w:hAnsiTheme="minorEastAsia" w:eastAsiaTheme="minorEastAsia"/>
          <w:sz w:val="24"/>
          <w:szCs w:val="24"/>
        </w:rPr>
        <w:t>8</w:t>
      </w:r>
      <w:r>
        <w:rPr>
          <w:rFonts w:hint="eastAsia" w:cs="??_GB2312" w:asciiTheme="minorEastAsia" w:hAnsiTheme="minorEastAsia" w:eastAsiaTheme="minorEastAsia"/>
          <w:sz w:val="24"/>
          <w:szCs w:val="24"/>
        </w:rPr>
        <w:t>）待处理达标排除超标废水后，正常进水时将事故池超标废水少量分批抽入系统进行处理。</w:t>
      </w:r>
    </w:p>
    <w:p>
      <w:pPr>
        <w:numPr>
          <w:ilvl w:val="0"/>
          <w:numId w:val="1"/>
        </w:numPr>
        <w:spacing w:line="360" w:lineRule="auto"/>
        <w:ind w:left="420"/>
        <w:jc w:val="left"/>
        <w:rPr>
          <w:rFonts w:cs="??_GB2312" w:asciiTheme="minorEastAsia" w:hAnsiTheme="minorEastAsia" w:eastAsiaTheme="minorEastAsia"/>
          <w:sz w:val="24"/>
          <w:szCs w:val="24"/>
        </w:rPr>
      </w:pPr>
      <w:r>
        <w:rPr>
          <w:rFonts w:hint="eastAsia" w:cs="??_GB2312" w:asciiTheme="minorEastAsia" w:hAnsiTheme="minorEastAsia" w:eastAsiaTheme="minorEastAsia"/>
          <w:sz w:val="24"/>
          <w:szCs w:val="24"/>
        </w:rPr>
        <w:t>超标废水进入系统进行处理时化验室保持化验监测，当发现数据异常和系统异常，立即减少或停止进入超标废水。</w:t>
      </w:r>
    </w:p>
    <w:p>
      <w:pPr>
        <w:numPr>
          <w:ilvl w:val="0"/>
          <w:numId w:val="1"/>
        </w:numPr>
        <w:spacing w:line="360" w:lineRule="auto"/>
        <w:ind w:left="420"/>
        <w:jc w:val="left"/>
        <w:rPr>
          <w:rFonts w:cs="??_GB2312" w:asciiTheme="minorEastAsia" w:hAnsiTheme="minorEastAsia" w:eastAsiaTheme="minorEastAsia"/>
          <w:sz w:val="24"/>
          <w:szCs w:val="24"/>
        </w:rPr>
      </w:pPr>
      <w:r>
        <w:rPr>
          <w:rFonts w:hint="eastAsia" w:cs="??_GB2312" w:asciiTheme="minorEastAsia" w:hAnsiTheme="minorEastAsia" w:eastAsiaTheme="minorEastAsia"/>
          <w:sz w:val="24"/>
          <w:szCs w:val="24"/>
        </w:rPr>
        <w:t>与超标废水排放企业保持联系。当企业恢复正常生产，排水正常后，管网科取水送化验室监测，达标后方可排入管网。</w:t>
      </w:r>
    </w:p>
    <w:p>
      <w:pPr>
        <w:numPr>
          <w:ilvl w:val="0"/>
          <w:numId w:val="1"/>
        </w:numPr>
        <w:spacing w:line="360" w:lineRule="auto"/>
        <w:ind w:left="420"/>
        <w:jc w:val="left"/>
        <w:rPr>
          <w:rFonts w:cs="??_GB2312" w:asciiTheme="minorEastAsia" w:hAnsiTheme="minorEastAsia" w:eastAsiaTheme="minorEastAsia"/>
          <w:sz w:val="24"/>
          <w:szCs w:val="24"/>
        </w:rPr>
      </w:pPr>
      <w:r>
        <w:rPr>
          <w:rFonts w:hint="eastAsia" w:cs="??_GB2312" w:asciiTheme="minorEastAsia" w:hAnsiTheme="minorEastAsia" w:eastAsiaTheme="minorEastAsia"/>
          <w:sz w:val="24"/>
          <w:szCs w:val="24"/>
        </w:rPr>
        <w:t>做好超标废水排入后的处置和运行记录，并如实填报和申报。</w:t>
      </w:r>
    </w:p>
    <w:p>
      <w:pPr>
        <w:spacing w:line="360" w:lineRule="auto"/>
        <w:ind w:left="420"/>
        <w:jc w:val="left"/>
        <w:rPr>
          <w:rFonts w:cs="??_GB2312" w:asciiTheme="minorEastAsia" w:hAnsiTheme="minorEastAsia" w:eastAsiaTheme="minorEastAsia"/>
          <w:sz w:val="24"/>
          <w:szCs w:val="24"/>
        </w:rPr>
      </w:pPr>
      <w:r>
        <w:rPr>
          <w:rFonts w:hint="eastAsia" w:cs="??_GB2312" w:asciiTheme="minorEastAsia" w:hAnsiTheme="minorEastAsia" w:eastAsiaTheme="minorEastAsia"/>
          <w:sz w:val="24"/>
          <w:szCs w:val="24"/>
        </w:rPr>
        <w:t>（</w:t>
      </w:r>
      <w:r>
        <w:rPr>
          <w:rFonts w:cs="??_GB2312" w:asciiTheme="minorEastAsia" w:hAnsiTheme="minorEastAsia" w:eastAsiaTheme="minorEastAsia"/>
          <w:sz w:val="24"/>
          <w:szCs w:val="24"/>
        </w:rPr>
        <w:t>12</w:t>
      </w:r>
      <w:r>
        <w:rPr>
          <w:rFonts w:hint="eastAsia" w:cs="??_GB2312" w:asciiTheme="minorEastAsia" w:hAnsiTheme="minorEastAsia" w:eastAsiaTheme="minorEastAsia"/>
          <w:sz w:val="24"/>
          <w:szCs w:val="24"/>
        </w:rPr>
        <w:t>）做好超标废水排入的事故总结</w:t>
      </w:r>
      <w:r>
        <w:rPr>
          <w:rFonts w:hint="eastAsia" w:cs="??_GB2312" w:asciiTheme="minorEastAsia" w:hAnsiTheme="minorEastAsia" w:eastAsiaTheme="minorEastAsia"/>
          <w:kern w:val="0"/>
          <w:sz w:val="24"/>
          <w:szCs w:val="24"/>
          <w:lang w:val="zh-CN"/>
        </w:rPr>
        <w:t>，</w:t>
      </w:r>
      <w:r>
        <w:rPr>
          <w:rFonts w:hint="eastAsia" w:cs="??_GB2312" w:asciiTheme="minorEastAsia" w:hAnsiTheme="minorEastAsia" w:eastAsiaTheme="minorEastAsia"/>
          <w:sz w:val="24"/>
          <w:szCs w:val="24"/>
        </w:rPr>
        <w:t>并编写书面报告存档、备案。</w:t>
      </w:r>
    </w:p>
    <w:p>
      <w:pPr>
        <w:spacing w:beforeLines="50" w:afterLines="50" w:line="440" w:lineRule="exact"/>
        <w:rPr>
          <w:rFonts w:cs="仿宋_GB2312" w:asciiTheme="minorEastAsia" w:hAnsiTheme="minorEastAsia" w:eastAsiaTheme="minorEastAsia"/>
          <w:b/>
          <w:kern w:val="0"/>
          <w:sz w:val="24"/>
          <w:szCs w:val="24"/>
        </w:rPr>
      </w:pPr>
      <w:r>
        <w:rPr>
          <w:rFonts w:hint="eastAsia" w:asciiTheme="minorEastAsia" w:hAnsiTheme="minorEastAsia" w:eastAsiaTheme="minorEastAsia"/>
          <w:b/>
          <w:sz w:val="24"/>
          <w:szCs w:val="24"/>
        </w:rPr>
        <w:t>6.4.3.5</w:t>
      </w:r>
      <w:r>
        <w:rPr>
          <w:rFonts w:hint="eastAsia" w:cs="仿宋_GB2312" w:asciiTheme="minorEastAsia" w:hAnsiTheme="minorEastAsia" w:eastAsiaTheme="minorEastAsia"/>
          <w:b/>
          <w:kern w:val="0"/>
          <w:sz w:val="24"/>
          <w:szCs w:val="24"/>
        </w:rPr>
        <w:t>出水水质超标处置措施</w:t>
      </w:r>
    </w:p>
    <w:p>
      <w:pPr>
        <w:spacing w:line="360" w:lineRule="auto"/>
        <w:ind w:firstLine="486" w:firstLineChars="200"/>
        <w:jc w:val="left"/>
        <w:rPr>
          <w:rFonts w:cs="??_GB2312" w:asciiTheme="minorEastAsia" w:hAnsiTheme="minorEastAsia" w:eastAsiaTheme="minorEastAsia"/>
          <w:sz w:val="24"/>
          <w:szCs w:val="24"/>
        </w:rPr>
      </w:pPr>
      <w:r>
        <w:rPr>
          <w:rFonts w:hint="eastAsia" w:cs="??_GB2312" w:asciiTheme="minorEastAsia" w:hAnsiTheme="minorEastAsia" w:eastAsiaTheme="minorEastAsia"/>
          <w:sz w:val="24"/>
          <w:szCs w:val="24"/>
        </w:rPr>
        <w:t>运行人员坚持每</w:t>
      </w:r>
      <w:r>
        <w:rPr>
          <w:rFonts w:cs="??_GB2312" w:asciiTheme="minorEastAsia" w:hAnsiTheme="minorEastAsia" w:eastAsiaTheme="minorEastAsia"/>
          <w:sz w:val="24"/>
          <w:szCs w:val="24"/>
        </w:rPr>
        <w:t>2</w:t>
      </w:r>
      <w:r>
        <w:rPr>
          <w:rFonts w:hint="eastAsia" w:cs="??_GB2312" w:asciiTheme="minorEastAsia" w:hAnsiTheme="minorEastAsia" w:eastAsiaTheme="minorEastAsia"/>
          <w:sz w:val="24"/>
          <w:szCs w:val="24"/>
        </w:rPr>
        <w:t>小时对运行、待机的设备和工艺段进行巡视检查。出水在线设备</w:t>
      </w:r>
      <w:r>
        <w:rPr>
          <w:rFonts w:cs="??_GB2312" w:asciiTheme="minorEastAsia" w:hAnsiTheme="minorEastAsia" w:eastAsiaTheme="minorEastAsia"/>
          <w:sz w:val="24"/>
          <w:szCs w:val="24"/>
        </w:rPr>
        <w:t>COD</w:t>
      </w:r>
      <w:r>
        <w:rPr>
          <w:rFonts w:hint="eastAsia" w:cs="??_GB2312" w:asciiTheme="minorEastAsia" w:hAnsiTheme="minorEastAsia" w:eastAsiaTheme="minorEastAsia"/>
          <w:sz w:val="24"/>
          <w:szCs w:val="24"/>
        </w:rPr>
        <w:t>、</w:t>
      </w:r>
      <w:r>
        <w:rPr>
          <w:rFonts w:cs="??_GB2312" w:asciiTheme="minorEastAsia" w:hAnsiTheme="minorEastAsia" w:eastAsiaTheme="minorEastAsia"/>
          <w:sz w:val="24"/>
          <w:szCs w:val="24"/>
        </w:rPr>
        <w:t>NH3-N</w:t>
      </w:r>
      <w:r>
        <w:rPr>
          <w:rFonts w:hint="eastAsia" w:cs="??_GB2312" w:asciiTheme="minorEastAsia" w:hAnsiTheme="minorEastAsia" w:eastAsiaTheme="minorEastAsia"/>
          <w:sz w:val="24"/>
          <w:szCs w:val="24"/>
        </w:rPr>
        <w:t>仪器报警，化验室例行数据监测报警。</w:t>
      </w:r>
    </w:p>
    <w:p>
      <w:pPr>
        <w:spacing w:line="360" w:lineRule="auto"/>
        <w:ind w:firstLine="486" w:firstLineChars="200"/>
        <w:jc w:val="left"/>
        <w:rPr>
          <w:rFonts w:cs="??_GB2312" w:asciiTheme="minorEastAsia" w:hAnsiTheme="minorEastAsia" w:eastAsiaTheme="minorEastAsia"/>
          <w:kern w:val="0"/>
          <w:sz w:val="24"/>
          <w:szCs w:val="24"/>
        </w:rPr>
      </w:pPr>
      <w:r>
        <w:rPr>
          <w:rFonts w:hint="eastAsia" w:cs="??_GB2312" w:asciiTheme="minorEastAsia" w:hAnsiTheme="minorEastAsia" w:eastAsiaTheme="minorEastAsia"/>
          <w:kern w:val="0"/>
          <w:sz w:val="24"/>
          <w:szCs w:val="24"/>
        </w:rPr>
        <w:t>主要出水数据超标（任意一项）启动应急处置方案的临界值：</w:t>
      </w:r>
    </w:p>
    <w:p>
      <w:pPr>
        <w:spacing w:line="360" w:lineRule="auto"/>
        <w:ind w:firstLine="486" w:firstLineChars="200"/>
        <w:jc w:val="left"/>
        <w:rPr>
          <w:rFonts w:cs="??_GB2312" w:asciiTheme="minorEastAsia" w:hAnsiTheme="minorEastAsia" w:eastAsiaTheme="minorEastAsia"/>
          <w:sz w:val="24"/>
          <w:szCs w:val="24"/>
        </w:rPr>
      </w:pPr>
      <w:r>
        <w:rPr>
          <w:rFonts w:cs="??_GB2312" w:asciiTheme="minorEastAsia" w:hAnsiTheme="minorEastAsia" w:eastAsiaTheme="minorEastAsia"/>
          <w:kern w:val="0"/>
          <w:sz w:val="24"/>
          <w:szCs w:val="24"/>
        </w:rPr>
        <w:t>COD</w:t>
      </w:r>
      <w:r>
        <w:rPr>
          <w:rFonts w:hint="eastAsia" w:asciiTheme="minorEastAsia" w:hAnsiTheme="minorEastAsia" w:eastAsiaTheme="minorEastAsia"/>
          <w:kern w:val="0"/>
          <w:sz w:val="24"/>
          <w:szCs w:val="24"/>
        </w:rPr>
        <w:t>≧</w:t>
      </w:r>
      <w:r>
        <w:rPr>
          <w:rFonts w:cs="??_GB2312" w:asciiTheme="minorEastAsia" w:hAnsiTheme="minorEastAsia" w:eastAsiaTheme="minorEastAsia"/>
          <w:kern w:val="0"/>
          <w:sz w:val="24"/>
          <w:szCs w:val="24"/>
        </w:rPr>
        <w:t>90mg/L</w:t>
      </w:r>
      <w:r>
        <w:rPr>
          <w:rFonts w:hint="eastAsia" w:cs="??_GB2312" w:asciiTheme="minorEastAsia" w:hAnsiTheme="minorEastAsia" w:eastAsiaTheme="minorEastAsia"/>
          <w:kern w:val="0"/>
          <w:sz w:val="24"/>
          <w:szCs w:val="24"/>
        </w:rPr>
        <w:t>，</w:t>
      </w:r>
      <w:r>
        <w:rPr>
          <w:rFonts w:cs="??_GB2312" w:asciiTheme="minorEastAsia" w:hAnsiTheme="minorEastAsia" w:eastAsiaTheme="minorEastAsia"/>
          <w:kern w:val="0"/>
          <w:sz w:val="24"/>
          <w:szCs w:val="24"/>
        </w:rPr>
        <w:t>NH3-N</w:t>
      </w:r>
      <w:r>
        <w:rPr>
          <w:rFonts w:hint="eastAsia" w:asciiTheme="minorEastAsia" w:hAnsiTheme="minorEastAsia" w:eastAsiaTheme="minorEastAsia"/>
          <w:kern w:val="0"/>
          <w:sz w:val="24"/>
          <w:szCs w:val="24"/>
        </w:rPr>
        <w:t>≧</w:t>
      </w:r>
      <w:r>
        <w:rPr>
          <w:rFonts w:cs="??_GB2312" w:asciiTheme="minorEastAsia" w:hAnsiTheme="minorEastAsia" w:eastAsiaTheme="minorEastAsia"/>
          <w:kern w:val="0"/>
          <w:sz w:val="24"/>
          <w:szCs w:val="24"/>
        </w:rPr>
        <w:t xml:space="preserve">13mg/L </w:t>
      </w:r>
      <w:r>
        <w:rPr>
          <w:rFonts w:hint="eastAsia" w:cs="??_GB2312" w:asciiTheme="minorEastAsia" w:hAnsiTheme="minorEastAsia" w:eastAsiaTheme="minorEastAsia"/>
          <w:kern w:val="0"/>
          <w:sz w:val="24"/>
          <w:szCs w:val="24"/>
        </w:rPr>
        <w:t>。</w:t>
      </w:r>
    </w:p>
    <w:p>
      <w:pPr>
        <w:numPr>
          <w:ilvl w:val="0"/>
          <w:numId w:val="2"/>
        </w:numPr>
        <w:spacing w:line="360" w:lineRule="auto"/>
        <w:ind w:left="420"/>
        <w:jc w:val="left"/>
        <w:rPr>
          <w:rFonts w:cs="??_GB2312" w:asciiTheme="minorEastAsia" w:hAnsiTheme="minorEastAsia" w:eastAsiaTheme="minorEastAsia"/>
          <w:sz w:val="24"/>
          <w:szCs w:val="24"/>
        </w:rPr>
      </w:pPr>
      <w:r>
        <w:rPr>
          <w:rFonts w:hint="eastAsia" w:cs="??_GB2312" w:asciiTheme="minorEastAsia" w:hAnsiTheme="minorEastAsia" w:eastAsiaTheme="minorEastAsia"/>
          <w:sz w:val="24"/>
          <w:szCs w:val="24"/>
        </w:rPr>
        <w:t>值班人员立即向厂长（负责人）汇报。</w:t>
      </w:r>
    </w:p>
    <w:p>
      <w:pPr>
        <w:numPr>
          <w:ilvl w:val="0"/>
          <w:numId w:val="2"/>
        </w:numPr>
        <w:spacing w:line="360" w:lineRule="auto"/>
        <w:ind w:left="420"/>
        <w:jc w:val="left"/>
        <w:rPr>
          <w:rFonts w:cs="??_GB2312" w:asciiTheme="minorEastAsia" w:hAnsiTheme="minorEastAsia" w:eastAsiaTheme="minorEastAsia"/>
          <w:sz w:val="24"/>
          <w:szCs w:val="24"/>
        </w:rPr>
      </w:pPr>
      <w:r>
        <w:rPr>
          <w:rFonts w:hint="eastAsia" w:cs="??_GB2312" w:asciiTheme="minorEastAsia" w:hAnsiTheme="minorEastAsia" w:eastAsiaTheme="minorEastAsia"/>
          <w:sz w:val="24"/>
          <w:szCs w:val="24"/>
        </w:rPr>
        <w:t>取得厂长同意后立即停止</w:t>
      </w:r>
      <w:r>
        <w:rPr>
          <w:rFonts w:hint="eastAsia" w:cs="??_GB2312" w:asciiTheme="minorEastAsia" w:hAnsiTheme="minorEastAsia" w:eastAsiaTheme="minorEastAsia"/>
          <w:sz w:val="24"/>
          <w:szCs w:val="24"/>
          <w:lang w:eastAsia="zh-CN"/>
        </w:rPr>
        <w:t>设备</w:t>
      </w:r>
      <w:r>
        <w:rPr>
          <w:rFonts w:hint="eastAsia" w:cs="??_GB2312" w:asciiTheme="minorEastAsia" w:hAnsiTheme="minorEastAsia" w:eastAsiaTheme="minorEastAsia"/>
          <w:sz w:val="24"/>
          <w:szCs w:val="24"/>
        </w:rPr>
        <w:t>运行，停止排水。打开消毒池放空阀，使超标废水导入提升泵房，视情况泵入应急池暂存后循环处理。</w:t>
      </w:r>
    </w:p>
    <w:p>
      <w:pPr>
        <w:numPr>
          <w:ilvl w:val="0"/>
          <w:numId w:val="2"/>
        </w:numPr>
        <w:spacing w:line="360" w:lineRule="auto"/>
        <w:ind w:left="420"/>
        <w:jc w:val="left"/>
        <w:rPr>
          <w:rFonts w:cs="??_GB2312" w:asciiTheme="minorEastAsia" w:hAnsiTheme="minorEastAsia" w:eastAsiaTheme="minorEastAsia"/>
          <w:sz w:val="24"/>
          <w:szCs w:val="24"/>
        </w:rPr>
      </w:pPr>
      <w:r>
        <w:rPr>
          <w:rFonts w:hint="eastAsia" w:cs="??_GB2312" w:asciiTheme="minorEastAsia" w:hAnsiTheme="minorEastAsia" w:eastAsiaTheme="minorEastAsia"/>
          <w:sz w:val="24"/>
          <w:szCs w:val="24"/>
        </w:rPr>
        <w:t>通知</w:t>
      </w:r>
      <w:r>
        <w:rPr>
          <w:rFonts w:hint="eastAsia" w:cs="??_GB2312" w:asciiTheme="minorEastAsia" w:hAnsiTheme="minorEastAsia" w:eastAsiaTheme="minorEastAsia"/>
          <w:sz w:val="24"/>
          <w:szCs w:val="24"/>
          <w:lang w:val="zh-CN"/>
        </w:rPr>
        <w:t>环境监测组</w:t>
      </w:r>
      <w:r>
        <w:rPr>
          <w:rFonts w:hint="eastAsia" w:cs="??_GB2312" w:asciiTheme="minorEastAsia" w:hAnsiTheme="minorEastAsia" w:eastAsiaTheme="minorEastAsia"/>
          <w:sz w:val="24"/>
          <w:szCs w:val="24"/>
        </w:rPr>
        <w:t>取水检测分析，取水位置为厂区进水口、调节池，确认出水水质超标原因。</w:t>
      </w:r>
    </w:p>
    <w:p>
      <w:pPr>
        <w:spacing w:line="360" w:lineRule="auto"/>
        <w:ind w:left="420"/>
        <w:jc w:val="left"/>
        <w:rPr>
          <w:rFonts w:cs="??_GB2312" w:asciiTheme="minorEastAsia" w:hAnsiTheme="minorEastAsia" w:eastAsiaTheme="minorEastAsia"/>
          <w:sz w:val="24"/>
          <w:szCs w:val="24"/>
        </w:rPr>
      </w:pPr>
      <w:r>
        <w:rPr>
          <w:rFonts w:hint="eastAsia" w:cs="??_GB2312" w:asciiTheme="minorEastAsia" w:hAnsiTheme="minorEastAsia" w:eastAsiaTheme="minorEastAsia"/>
          <w:sz w:val="24"/>
          <w:szCs w:val="24"/>
        </w:rPr>
        <w:t>（</w:t>
      </w:r>
      <w:r>
        <w:rPr>
          <w:rFonts w:cs="??_GB2312" w:asciiTheme="minorEastAsia" w:hAnsiTheme="minorEastAsia" w:eastAsiaTheme="minorEastAsia"/>
          <w:sz w:val="24"/>
          <w:szCs w:val="24"/>
        </w:rPr>
        <w:t>4</w:t>
      </w:r>
      <w:r>
        <w:rPr>
          <w:rFonts w:hint="eastAsia" w:cs="??_GB2312" w:asciiTheme="minorEastAsia" w:hAnsiTheme="minorEastAsia" w:eastAsiaTheme="minorEastAsia"/>
          <w:sz w:val="24"/>
          <w:szCs w:val="24"/>
        </w:rPr>
        <w:t>）厂长立即向应急指挥领导小组汇报出水超标情况。</w:t>
      </w:r>
    </w:p>
    <w:p>
      <w:pPr>
        <w:spacing w:line="360" w:lineRule="auto"/>
        <w:ind w:left="420"/>
        <w:jc w:val="left"/>
        <w:rPr>
          <w:rFonts w:cs="??_GB2312" w:asciiTheme="minorEastAsia" w:hAnsiTheme="minorEastAsia" w:eastAsiaTheme="minorEastAsia"/>
          <w:sz w:val="24"/>
          <w:szCs w:val="24"/>
        </w:rPr>
      </w:pPr>
      <w:r>
        <w:rPr>
          <w:rFonts w:hint="eastAsia" w:cs="??_GB2312" w:asciiTheme="minorEastAsia" w:hAnsiTheme="minorEastAsia" w:eastAsiaTheme="minorEastAsia"/>
          <w:sz w:val="24"/>
          <w:szCs w:val="24"/>
        </w:rPr>
        <w:t>（</w:t>
      </w:r>
      <w:r>
        <w:rPr>
          <w:rFonts w:cs="??_GB2312" w:asciiTheme="minorEastAsia" w:hAnsiTheme="minorEastAsia" w:eastAsiaTheme="minorEastAsia"/>
          <w:sz w:val="24"/>
          <w:szCs w:val="24"/>
        </w:rPr>
        <w:t>5</w:t>
      </w:r>
      <w:r>
        <w:rPr>
          <w:rFonts w:hint="eastAsia" w:cs="??_GB2312" w:asciiTheme="minorEastAsia" w:hAnsiTheme="minorEastAsia" w:eastAsiaTheme="minorEastAsia"/>
          <w:sz w:val="24"/>
          <w:szCs w:val="24"/>
        </w:rPr>
        <w:t>）如已发生出水在线监测设备数据超标（</w:t>
      </w:r>
      <w:r>
        <w:rPr>
          <w:rFonts w:cs="??_GB2312" w:asciiTheme="minorEastAsia" w:hAnsiTheme="minorEastAsia" w:eastAsiaTheme="minorEastAsia"/>
          <w:sz w:val="24"/>
          <w:szCs w:val="24"/>
        </w:rPr>
        <w:t>COD&gt;100mg/L</w:t>
      </w:r>
      <w:r>
        <w:rPr>
          <w:rFonts w:hint="eastAsia" w:cs="??_GB2312" w:asciiTheme="minorEastAsia" w:hAnsiTheme="minorEastAsia" w:eastAsiaTheme="minorEastAsia"/>
          <w:sz w:val="24"/>
          <w:szCs w:val="24"/>
        </w:rPr>
        <w:t>，</w:t>
      </w:r>
      <w:r>
        <w:rPr>
          <w:rFonts w:cs="??_GB2312" w:asciiTheme="minorEastAsia" w:hAnsiTheme="minorEastAsia" w:eastAsiaTheme="minorEastAsia"/>
          <w:sz w:val="24"/>
          <w:szCs w:val="24"/>
        </w:rPr>
        <w:t>NH3-N&gt;15mg/L</w:t>
      </w:r>
      <w:r>
        <w:rPr>
          <w:rFonts w:hint="eastAsia" w:cs="??_GB2312" w:asciiTheme="minorEastAsia" w:hAnsiTheme="minorEastAsia" w:eastAsiaTheme="minorEastAsia"/>
          <w:sz w:val="24"/>
          <w:szCs w:val="24"/>
        </w:rPr>
        <w:t>）</w:t>
      </w:r>
      <w:r>
        <w:rPr>
          <w:rFonts w:cs="??_GB2312" w:asciiTheme="minorEastAsia" w:hAnsiTheme="minorEastAsia" w:eastAsiaTheme="minorEastAsia"/>
          <w:sz w:val="24"/>
          <w:szCs w:val="24"/>
        </w:rPr>
        <w:t>,</w:t>
      </w:r>
      <w:r>
        <w:rPr>
          <w:rFonts w:cs="??_GB2312" w:asciiTheme="minorEastAsia" w:hAnsiTheme="minorEastAsia" w:eastAsiaTheme="minorEastAsia"/>
          <w:szCs w:val="21"/>
          <w:lang w:val="zh-CN"/>
        </w:rPr>
        <w:t xml:space="preserve"> </w:t>
      </w:r>
      <w:r>
        <w:rPr>
          <w:rFonts w:hint="eastAsia" w:cs="??_GB2312" w:asciiTheme="minorEastAsia" w:hAnsiTheme="minorEastAsia" w:eastAsiaTheme="minorEastAsia"/>
          <w:sz w:val="24"/>
          <w:szCs w:val="24"/>
          <w:lang w:val="zh-CN"/>
        </w:rPr>
        <w:t>环境监测组</w:t>
      </w:r>
      <w:r>
        <w:rPr>
          <w:rFonts w:hint="eastAsia" w:cs="??_GB2312" w:asciiTheme="minorEastAsia" w:hAnsiTheme="minorEastAsia" w:eastAsiaTheme="minorEastAsia"/>
          <w:sz w:val="24"/>
          <w:szCs w:val="24"/>
        </w:rPr>
        <w:t>需在停止排水后立刻清理排水渠，并按情况向在线第三方运营单位</w:t>
      </w:r>
      <w:r>
        <w:rPr>
          <w:rFonts w:cs="??_GB2312" w:asciiTheme="minorEastAsia" w:hAnsiTheme="minorEastAsia" w:eastAsiaTheme="minorEastAsia"/>
          <w:sz w:val="24"/>
          <w:szCs w:val="24"/>
        </w:rPr>
        <w:t>—</w:t>
      </w:r>
      <w:r>
        <w:rPr>
          <w:rFonts w:hint="eastAsia" w:cs="??_GB2312" w:asciiTheme="minorEastAsia" w:hAnsiTheme="minorEastAsia" w:eastAsiaTheme="minorEastAsia"/>
          <w:sz w:val="24"/>
          <w:szCs w:val="24"/>
        </w:rPr>
        <w:t>佳兴环保汇报情况。</w:t>
      </w:r>
    </w:p>
    <w:p>
      <w:pPr>
        <w:numPr>
          <w:ilvl w:val="0"/>
          <w:numId w:val="0"/>
        </w:numPr>
        <w:spacing w:line="360" w:lineRule="auto"/>
        <w:ind w:left="477" w:leftChars="0"/>
        <w:jc w:val="left"/>
        <w:rPr>
          <w:rFonts w:cs="??_GB2312" w:asciiTheme="minorEastAsia" w:hAnsiTheme="minorEastAsia" w:eastAsiaTheme="minorEastAsia"/>
          <w:sz w:val="24"/>
          <w:szCs w:val="24"/>
        </w:rPr>
      </w:pPr>
      <w:r>
        <w:rPr>
          <w:rFonts w:hint="eastAsia" w:cs="??_GB2312" w:asciiTheme="minorEastAsia" w:hAnsiTheme="minorEastAsia" w:eastAsiaTheme="minorEastAsia"/>
          <w:sz w:val="24"/>
          <w:szCs w:val="24"/>
        </w:rPr>
        <w:t>（</w:t>
      </w:r>
      <w:r>
        <w:rPr>
          <w:rFonts w:hint="eastAsia" w:cs="??_GB2312" w:asciiTheme="minorEastAsia" w:hAnsiTheme="minorEastAsia" w:eastAsiaTheme="minorEastAsia"/>
          <w:sz w:val="24"/>
          <w:szCs w:val="24"/>
          <w:lang w:val="en-US" w:eastAsia="zh-CN"/>
        </w:rPr>
        <w:t>6</w:t>
      </w:r>
      <w:r>
        <w:rPr>
          <w:rFonts w:hint="eastAsia" w:cs="??_GB2312" w:asciiTheme="minorEastAsia" w:hAnsiTheme="minorEastAsia" w:eastAsiaTheme="minorEastAsia"/>
          <w:sz w:val="24"/>
          <w:szCs w:val="24"/>
        </w:rPr>
        <w:t>）调整工艺，增加曝气量，检查各工艺段运行情况，并延长</w:t>
      </w:r>
      <w:r>
        <w:rPr>
          <w:rFonts w:cs="??_GB2312" w:asciiTheme="minorEastAsia" w:hAnsiTheme="minorEastAsia" w:eastAsiaTheme="minorEastAsia"/>
          <w:sz w:val="24"/>
          <w:szCs w:val="24"/>
        </w:rPr>
        <w:t>SBR</w:t>
      </w:r>
      <w:r>
        <w:rPr>
          <w:rFonts w:hint="eastAsia" w:cs="??_GB2312" w:asciiTheme="minorEastAsia" w:hAnsiTheme="minorEastAsia" w:eastAsiaTheme="minorEastAsia"/>
          <w:sz w:val="24"/>
          <w:szCs w:val="24"/>
        </w:rPr>
        <w:t>运行周期。</w:t>
      </w:r>
    </w:p>
    <w:p>
      <w:pPr>
        <w:numPr>
          <w:ilvl w:val="0"/>
          <w:numId w:val="0"/>
        </w:numPr>
        <w:spacing w:line="360" w:lineRule="auto"/>
        <w:ind w:left="477" w:leftChars="0"/>
        <w:jc w:val="left"/>
        <w:rPr>
          <w:rFonts w:hint="eastAsia" w:cs="??_GB2312" w:asciiTheme="minorEastAsia" w:hAnsiTheme="minorEastAsia" w:eastAsiaTheme="minorEastAsia"/>
          <w:sz w:val="24"/>
          <w:szCs w:val="24"/>
        </w:rPr>
      </w:pPr>
      <w:r>
        <w:rPr>
          <w:rFonts w:hint="eastAsia" w:cs="??_GB2312" w:asciiTheme="minorEastAsia" w:hAnsiTheme="minorEastAsia" w:eastAsiaTheme="minorEastAsia"/>
          <w:sz w:val="24"/>
          <w:szCs w:val="24"/>
        </w:rPr>
        <w:t>（7）如属进水超标导致，通知管网进行源头水排查，并同时启动进水超标处置预案。</w:t>
      </w:r>
    </w:p>
    <w:p>
      <w:pPr>
        <w:spacing w:line="360" w:lineRule="auto"/>
        <w:ind w:firstLine="477" w:firstLineChars="196"/>
        <w:jc w:val="left"/>
        <w:rPr>
          <w:rFonts w:cs="??_GB2312" w:asciiTheme="minorEastAsia" w:hAnsiTheme="minorEastAsia" w:eastAsiaTheme="minorEastAsia"/>
          <w:sz w:val="24"/>
          <w:szCs w:val="24"/>
        </w:rPr>
      </w:pPr>
      <w:r>
        <w:rPr>
          <w:rFonts w:hint="eastAsia" w:cs="??_GB2312" w:asciiTheme="minorEastAsia" w:hAnsiTheme="minorEastAsia" w:eastAsiaTheme="minorEastAsia"/>
          <w:sz w:val="24"/>
          <w:szCs w:val="24"/>
        </w:rPr>
        <w:t>（8）化验室保持每</w:t>
      </w:r>
      <w:r>
        <w:rPr>
          <w:rFonts w:cs="??_GB2312" w:asciiTheme="minorEastAsia" w:hAnsiTheme="minorEastAsia" w:eastAsiaTheme="minorEastAsia"/>
          <w:sz w:val="24"/>
          <w:szCs w:val="24"/>
        </w:rPr>
        <w:t>4</w:t>
      </w:r>
      <w:r>
        <w:rPr>
          <w:rFonts w:hint="eastAsia" w:cs="??_GB2312" w:asciiTheme="minorEastAsia" w:hAnsiTheme="minorEastAsia" w:eastAsiaTheme="minorEastAsia"/>
          <w:sz w:val="24"/>
          <w:szCs w:val="24"/>
        </w:rPr>
        <w:t>小时对各工艺段和排水口及周边水域进行一次取水监测直至出水达标。</w:t>
      </w:r>
    </w:p>
    <w:p>
      <w:pPr>
        <w:numPr>
          <w:ilvl w:val="0"/>
          <w:numId w:val="0"/>
        </w:numPr>
        <w:spacing w:line="360" w:lineRule="auto"/>
        <w:ind w:left="477" w:leftChars="0"/>
        <w:jc w:val="left"/>
        <w:rPr>
          <w:rFonts w:cs="??_GB2312" w:asciiTheme="minorEastAsia" w:hAnsiTheme="minorEastAsia" w:eastAsiaTheme="minorEastAsia"/>
          <w:sz w:val="24"/>
          <w:szCs w:val="24"/>
        </w:rPr>
      </w:pPr>
      <w:r>
        <w:rPr>
          <w:rFonts w:hint="eastAsia" w:cs="??_GB2312" w:asciiTheme="minorEastAsia" w:hAnsiTheme="minorEastAsia" w:eastAsiaTheme="minorEastAsia"/>
          <w:sz w:val="24"/>
          <w:szCs w:val="24"/>
        </w:rPr>
        <w:t>（</w:t>
      </w:r>
      <w:r>
        <w:rPr>
          <w:rFonts w:hint="eastAsia" w:cs="??_GB2312" w:asciiTheme="minorEastAsia" w:hAnsiTheme="minorEastAsia" w:eastAsiaTheme="minorEastAsia"/>
          <w:sz w:val="24"/>
          <w:szCs w:val="24"/>
          <w:lang w:val="en-US" w:eastAsia="zh-CN"/>
        </w:rPr>
        <w:t>9</w:t>
      </w:r>
      <w:r>
        <w:rPr>
          <w:rFonts w:hint="eastAsia" w:cs="??_GB2312" w:asciiTheme="minorEastAsia" w:hAnsiTheme="minorEastAsia" w:eastAsiaTheme="minorEastAsia"/>
          <w:sz w:val="24"/>
          <w:szCs w:val="24"/>
        </w:rPr>
        <w:t>）做好出水超标后的处置和运行记录，并如实填报和申报。</w:t>
      </w:r>
    </w:p>
    <w:p>
      <w:pPr>
        <w:spacing w:line="360" w:lineRule="auto"/>
        <w:ind w:firstLine="477" w:firstLineChars="196"/>
        <w:jc w:val="left"/>
        <w:rPr>
          <w:rFonts w:cs="??_GB2312" w:asciiTheme="minorEastAsia" w:hAnsiTheme="minorEastAsia" w:eastAsiaTheme="minorEastAsia"/>
          <w:sz w:val="24"/>
          <w:szCs w:val="24"/>
        </w:rPr>
      </w:pPr>
      <w:r>
        <w:rPr>
          <w:rFonts w:hint="eastAsia" w:cs="??_GB2312" w:asciiTheme="minorEastAsia" w:hAnsiTheme="minorEastAsia" w:eastAsiaTheme="minorEastAsia"/>
          <w:sz w:val="24"/>
          <w:szCs w:val="24"/>
        </w:rPr>
        <w:t>（10）做好出水超标的事故总结</w:t>
      </w:r>
      <w:r>
        <w:rPr>
          <w:rFonts w:hint="eastAsia" w:cs="??_GB2312" w:asciiTheme="minorEastAsia" w:hAnsiTheme="minorEastAsia" w:eastAsiaTheme="minorEastAsia"/>
          <w:kern w:val="0"/>
          <w:sz w:val="24"/>
          <w:szCs w:val="24"/>
          <w:lang w:val="zh-CN"/>
        </w:rPr>
        <w:t>，</w:t>
      </w:r>
      <w:r>
        <w:rPr>
          <w:rFonts w:hint="eastAsia" w:cs="??_GB2312" w:asciiTheme="minorEastAsia" w:hAnsiTheme="minorEastAsia" w:eastAsiaTheme="minorEastAsia"/>
          <w:sz w:val="24"/>
          <w:szCs w:val="24"/>
        </w:rPr>
        <w:t>并编写书面报告存档、备案。</w:t>
      </w:r>
      <w:r>
        <w:rPr>
          <w:rFonts w:hint="eastAsia" w:cs="??_GB2312" w:asciiTheme="minorEastAsia" w:hAnsiTheme="minorEastAsia" w:eastAsiaTheme="minorEastAsia"/>
          <w:kern w:val="0"/>
          <w:sz w:val="24"/>
          <w:szCs w:val="24"/>
          <w:lang w:val="zh-CN"/>
        </w:rPr>
        <w:t>如为人为操作失职导致超标，需</w:t>
      </w:r>
      <w:r>
        <w:rPr>
          <w:rFonts w:hint="eastAsia" w:cs="??_GB2312" w:asciiTheme="minorEastAsia" w:hAnsiTheme="minorEastAsia" w:eastAsiaTheme="minorEastAsia"/>
          <w:kern w:val="0"/>
          <w:sz w:val="24"/>
          <w:szCs w:val="24"/>
        </w:rPr>
        <w:t>严肃追究当事人的责任。</w:t>
      </w:r>
    </w:p>
    <w:p>
      <w:pPr>
        <w:spacing w:beforeLines="50" w:afterLines="50"/>
        <w:rPr>
          <w:rFonts w:cs="仿宋_GB2312" w:asciiTheme="minorEastAsia" w:hAnsiTheme="minorEastAsia" w:eastAsiaTheme="minorEastAsia"/>
          <w:b/>
          <w:sz w:val="24"/>
          <w:szCs w:val="24"/>
        </w:rPr>
      </w:pPr>
      <w:r>
        <w:rPr>
          <w:rFonts w:hint="eastAsia" w:asciiTheme="minorEastAsia" w:hAnsiTheme="minorEastAsia" w:eastAsiaTheme="minorEastAsia"/>
          <w:b/>
          <w:sz w:val="24"/>
          <w:szCs w:val="24"/>
        </w:rPr>
        <w:t>6.4.3.6</w:t>
      </w:r>
      <w:r>
        <w:rPr>
          <w:rFonts w:hint="eastAsia" w:cs="仿宋_GB2312" w:asciiTheme="minorEastAsia" w:hAnsiTheme="minorEastAsia" w:eastAsiaTheme="minorEastAsia"/>
          <w:b/>
          <w:sz w:val="24"/>
          <w:szCs w:val="24"/>
        </w:rPr>
        <w:t>进水量超标</w:t>
      </w:r>
      <w:r>
        <w:rPr>
          <w:rFonts w:hint="eastAsia" w:cs="仿宋_GB2312" w:asciiTheme="minorEastAsia" w:hAnsiTheme="minorEastAsia" w:eastAsiaTheme="minorEastAsia"/>
          <w:b/>
          <w:kern w:val="0"/>
          <w:sz w:val="24"/>
          <w:szCs w:val="24"/>
        </w:rPr>
        <w:t>处置措施</w:t>
      </w:r>
    </w:p>
    <w:p>
      <w:pPr>
        <w:spacing w:line="360" w:lineRule="auto"/>
        <w:ind w:firstLine="486" w:firstLineChars="200"/>
        <w:jc w:val="left"/>
        <w:rPr>
          <w:rFonts w:hint="eastAsia" w:cs="??_GB2312" w:asciiTheme="minorEastAsia" w:hAnsiTheme="minorEastAsia" w:eastAsiaTheme="minorEastAsia"/>
          <w:sz w:val="24"/>
          <w:szCs w:val="24"/>
        </w:rPr>
      </w:pPr>
      <w:r>
        <w:rPr>
          <w:rFonts w:hint="eastAsia" w:cs="??_GB2312" w:asciiTheme="minorEastAsia" w:hAnsiTheme="minorEastAsia" w:eastAsiaTheme="minorEastAsia"/>
          <w:sz w:val="24"/>
          <w:szCs w:val="24"/>
        </w:rPr>
        <w:t>龙桥园区污水处理厂为间歇式进水，具体为进水泵房液位计到达设定的液位高度后自动进水。判断进水量超标临界值为达到前日进水量的</w:t>
      </w:r>
      <w:r>
        <w:rPr>
          <w:rFonts w:cs="??_GB2312" w:asciiTheme="minorEastAsia" w:hAnsiTheme="minorEastAsia" w:eastAsiaTheme="minorEastAsia"/>
          <w:sz w:val="24"/>
          <w:szCs w:val="24"/>
        </w:rPr>
        <w:t>150%</w:t>
      </w:r>
      <w:r>
        <w:rPr>
          <w:rFonts w:hint="eastAsia" w:cs="??_GB2312" w:asciiTheme="minorEastAsia" w:hAnsiTheme="minorEastAsia" w:eastAsiaTheme="minorEastAsia"/>
          <w:sz w:val="24"/>
          <w:szCs w:val="24"/>
        </w:rPr>
        <w:t>以上，或进水超过设计量每日</w:t>
      </w:r>
      <w:r>
        <w:rPr>
          <w:rFonts w:cs="??_GB2312" w:asciiTheme="minorEastAsia" w:hAnsiTheme="minorEastAsia" w:eastAsiaTheme="minorEastAsia"/>
          <w:sz w:val="24"/>
          <w:szCs w:val="24"/>
        </w:rPr>
        <w:t>10000m</w:t>
      </w:r>
      <w:r>
        <w:rPr>
          <w:rFonts w:cs="??_GB2312" w:asciiTheme="minorEastAsia" w:hAnsiTheme="minorEastAsia" w:eastAsiaTheme="minorEastAsia"/>
          <w:sz w:val="24"/>
          <w:szCs w:val="24"/>
          <w:vertAlign w:val="superscript"/>
        </w:rPr>
        <w:t>3</w:t>
      </w:r>
      <w:r>
        <w:rPr>
          <w:rFonts w:hint="eastAsia" w:cs="??_GB2312" w:asciiTheme="minorEastAsia" w:hAnsiTheme="minorEastAsia" w:eastAsiaTheme="minorEastAsia"/>
          <w:sz w:val="24"/>
          <w:szCs w:val="24"/>
        </w:rPr>
        <w:t>。两种情况均会对活性污泥系统造成很大多负荷冲击，且使</w:t>
      </w:r>
      <w:r>
        <w:rPr>
          <w:rFonts w:hint="eastAsia" w:cs="??_GB2312" w:asciiTheme="minorEastAsia" w:hAnsiTheme="minorEastAsia" w:eastAsiaTheme="minorEastAsia"/>
          <w:sz w:val="24"/>
          <w:szCs w:val="24"/>
          <w:lang w:eastAsia="zh-CN"/>
        </w:rPr>
        <w:t>污水</w:t>
      </w:r>
      <w:r>
        <w:rPr>
          <w:rFonts w:hint="eastAsia" w:cs="??_GB2312" w:asciiTheme="minorEastAsia" w:hAnsiTheme="minorEastAsia" w:eastAsiaTheme="minorEastAsia"/>
          <w:sz w:val="24"/>
          <w:szCs w:val="24"/>
        </w:rPr>
        <w:t>停留时间缩短，容易导致出水水质超标。</w:t>
      </w:r>
    </w:p>
    <w:p>
      <w:pPr>
        <w:spacing w:line="360" w:lineRule="auto"/>
        <w:ind w:firstLine="486" w:firstLineChars="200"/>
        <w:jc w:val="left"/>
        <w:rPr>
          <w:rFonts w:cs="??_GB2312" w:asciiTheme="minorEastAsia" w:hAnsiTheme="minorEastAsia" w:eastAsiaTheme="minorEastAsia"/>
          <w:sz w:val="24"/>
          <w:szCs w:val="24"/>
        </w:rPr>
      </w:pPr>
      <w:r>
        <w:rPr>
          <w:rFonts w:hint="eastAsia" w:cs="??_GB2312" w:asciiTheme="minorEastAsia" w:hAnsiTheme="minorEastAsia" w:eastAsiaTheme="minorEastAsia"/>
          <w:sz w:val="24"/>
          <w:szCs w:val="24"/>
        </w:rPr>
        <w:t>处置措施</w:t>
      </w:r>
      <w:r>
        <w:rPr>
          <w:rFonts w:hint="eastAsia" w:cs="??_GB2312" w:asciiTheme="minorEastAsia" w:hAnsiTheme="minorEastAsia" w:eastAsiaTheme="minorEastAsia"/>
          <w:sz w:val="24"/>
          <w:szCs w:val="24"/>
          <w:lang w:eastAsia="zh-CN"/>
        </w:rPr>
        <w:t>：</w:t>
      </w:r>
      <w:r>
        <w:rPr>
          <w:rFonts w:hint="eastAsia" w:cs="??_GB2312" w:asciiTheme="minorEastAsia" w:hAnsiTheme="minorEastAsia" w:eastAsiaTheme="minorEastAsia"/>
          <w:sz w:val="24"/>
          <w:szCs w:val="24"/>
        </w:rPr>
        <w:t>中控平台上实时显示的进水量数据，或运行人员坚持每</w:t>
      </w:r>
      <w:r>
        <w:rPr>
          <w:rFonts w:cs="??_GB2312" w:asciiTheme="minorEastAsia" w:hAnsiTheme="minorEastAsia" w:eastAsiaTheme="minorEastAsia"/>
          <w:sz w:val="24"/>
          <w:szCs w:val="24"/>
        </w:rPr>
        <w:t>2</w:t>
      </w:r>
      <w:r>
        <w:rPr>
          <w:rFonts w:hint="eastAsia" w:cs="??_GB2312" w:asciiTheme="minorEastAsia" w:hAnsiTheme="minorEastAsia" w:eastAsiaTheme="minorEastAsia"/>
          <w:sz w:val="24"/>
          <w:szCs w:val="24"/>
        </w:rPr>
        <w:t>小时对进水流量计及进水泵房液位进行的巡视记录。</w:t>
      </w:r>
    </w:p>
    <w:p>
      <w:pPr>
        <w:spacing w:beforeLines="50" w:afterLines="50"/>
        <w:rPr>
          <w:rFonts w:hint="eastAsia" w:asciiTheme="minorEastAsia" w:hAnsiTheme="minorEastAsia" w:eastAsiaTheme="minorEastAsia"/>
          <w:b/>
          <w:sz w:val="24"/>
          <w:szCs w:val="24"/>
        </w:rPr>
      </w:pPr>
      <w:r>
        <w:rPr>
          <w:rFonts w:hint="eastAsia" w:asciiTheme="minorEastAsia" w:hAnsiTheme="minorEastAsia" w:eastAsiaTheme="minorEastAsia"/>
          <w:b/>
          <w:sz w:val="24"/>
          <w:szCs w:val="24"/>
        </w:rPr>
        <w:t>6.4.3.7进厂废水量超标处置措施</w:t>
      </w:r>
    </w:p>
    <w:p>
      <w:pPr>
        <w:spacing w:line="360" w:lineRule="auto"/>
        <w:ind w:firstLine="477" w:firstLineChars="196"/>
        <w:jc w:val="left"/>
        <w:rPr>
          <w:rFonts w:cs="??_GB2312" w:asciiTheme="minorEastAsia" w:hAnsiTheme="minorEastAsia" w:eastAsiaTheme="minorEastAsia"/>
          <w:sz w:val="24"/>
          <w:szCs w:val="24"/>
        </w:rPr>
      </w:pPr>
      <w:r>
        <w:rPr>
          <w:rFonts w:hint="eastAsia" w:cs="??_GB2312" w:asciiTheme="minorEastAsia" w:hAnsiTheme="minorEastAsia" w:eastAsiaTheme="minorEastAsia"/>
          <w:sz w:val="24"/>
          <w:szCs w:val="24"/>
        </w:rPr>
        <w:t>一般来说污水量的增加为缓慢曲线式增加，遇到水量陡增的情况一般是有新接入官网或排水企业导致，处置方案为：</w:t>
      </w:r>
    </w:p>
    <w:p>
      <w:pPr>
        <w:spacing w:line="360" w:lineRule="auto"/>
        <w:ind w:firstLine="486" w:firstLineChars="200"/>
        <w:jc w:val="left"/>
        <w:rPr>
          <w:rFonts w:cs="??_GB2312" w:asciiTheme="minorEastAsia" w:hAnsiTheme="minorEastAsia" w:eastAsiaTheme="minorEastAsia"/>
          <w:sz w:val="24"/>
          <w:szCs w:val="24"/>
        </w:rPr>
      </w:pPr>
      <w:r>
        <w:rPr>
          <w:rFonts w:hint="eastAsia" w:cs="??_GB2312" w:asciiTheme="minorEastAsia" w:hAnsiTheme="minorEastAsia" w:eastAsiaTheme="minorEastAsia"/>
          <w:sz w:val="24"/>
          <w:szCs w:val="24"/>
        </w:rPr>
        <w:t>（</w:t>
      </w:r>
      <w:r>
        <w:rPr>
          <w:rFonts w:cs="??_GB2312" w:asciiTheme="minorEastAsia" w:hAnsiTheme="minorEastAsia" w:eastAsiaTheme="minorEastAsia"/>
          <w:sz w:val="24"/>
          <w:szCs w:val="24"/>
        </w:rPr>
        <w:t>1</w:t>
      </w:r>
      <w:r>
        <w:rPr>
          <w:rFonts w:hint="eastAsia" w:cs="??_GB2312" w:asciiTheme="minorEastAsia" w:hAnsiTheme="minorEastAsia" w:eastAsiaTheme="minorEastAsia"/>
          <w:sz w:val="24"/>
          <w:szCs w:val="24"/>
        </w:rPr>
        <w:t>）</w:t>
      </w:r>
      <w:r>
        <w:rPr>
          <w:rFonts w:hint="eastAsia" w:cs="??_GB2312" w:asciiTheme="minorEastAsia" w:hAnsiTheme="minorEastAsia" w:eastAsiaTheme="minorEastAsia"/>
          <w:sz w:val="24"/>
          <w:szCs w:val="24"/>
          <w:lang w:val="zh-CN"/>
        </w:rPr>
        <w:t>环境监测组</w:t>
      </w:r>
      <w:r>
        <w:rPr>
          <w:rFonts w:hint="eastAsia" w:cs="??_GB2312" w:asciiTheme="minorEastAsia" w:hAnsiTheme="minorEastAsia" w:eastAsiaTheme="minorEastAsia"/>
          <w:sz w:val="24"/>
          <w:szCs w:val="24"/>
        </w:rPr>
        <w:t>在发现进厂污水量超标时，应及时发挥事故应急池的功能，龙桥园区污水处理厂应急池池容为</w:t>
      </w:r>
      <w:r>
        <w:rPr>
          <w:rFonts w:cs="??_GB2312" w:asciiTheme="minorEastAsia" w:hAnsiTheme="minorEastAsia" w:eastAsiaTheme="minorEastAsia"/>
          <w:sz w:val="24"/>
          <w:szCs w:val="24"/>
        </w:rPr>
        <w:t>3720m</w:t>
      </w:r>
      <w:r>
        <w:rPr>
          <w:rFonts w:cs="??_GB2312" w:asciiTheme="minorEastAsia" w:hAnsiTheme="minorEastAsia" w:eastAsiaTheme="minorEastAsia"/>
          <w:sz w:val="24"/>
          <w:szCs w:val="24"/>
          <w:vertAlign w:val="superscript"/>
        </w:rPr>
        <w:t>3</w:t>
      </w:r>
      <w:r>
        <w:rPr>
          <w:rFonts w:hint="eastAsia" w:cs="??_GB2312" w:asciiTheme="minorEastAsia" w:hAnsiTheme="minorEastAsia" w:eastAsiaTheme="minorEastAsia"/>
          <w:sz w:val="24"/>
          <w:szCs w:val="24"/>
        </w:rPr>
        <w:t>，可从提升泵房将多余废水导入应急池临时存储。</w:t>
      </w:r>
    </w:p>
    <w:p>
      <w:pPr>
        <w:spacing w:line="360" w:lineRule="auto"/>
        <w:ind w:firstLine="486" w:firstLineChars="200"/>
        <w:jc w:val="left"/>
        <w:rPr>
          <w:rFonts w:cs="??_GB2312" w:asciiTheme="minorEastAsia" w:hAnsiTheme="minorEastAsia" w:eastAsiaTheme="minorEastAsia"/>
          <w:sz w:val="24"/>
          <w:szCs w:val="24"/>
        </w:rPr>
      </w:pPr>
      <w:r>
        <w:rPr>
          <w:rFonts w:hint="eastAsia" w:cs="??_GB2312" w:asciiTheme="minorEastAsia" w:hAnsiTheme="minorEastAsia" w:eastAsiaTheme="minorEastAsia"/>
          <w:sz w:val="24"/>
          <w:szCs w:val="24"/>
        </w:rPr>
        <w:t>（</w:t>
      </w:r>
      <w:r>
        <w:rPr>
          <w:rFonts w:cs="??_GB2312" w:asciiTheme="minorEastAsia" w:hAnsiTheme="minorEastAsia" w:eastAsiaTheme="minorEastAsia"/>
          <w:sz w:val="24"/>
          <w:szCs w:val="24"/>
        </w:rPr>
        <w:t>2</w:t>
      </w:r>
      <w:r>
        <w:rPr>
          <w:rFonts w:hint="eastAsia" w:cs="??_GB2312" w:asciiTheme="minorEastAsia" w:hAnsiTheme="minorEastAsia" w:eastAsiaTheme="minorEastAsia"/>
          <w:sz w:val="24"/>
          <w:szCs w:val="24"/>
        </w:rPr>
        <w:t>）调整工艺应对水量冲击，减少当日排泥量，并增加曝气量和投药量。必要时手动调节</w:t>
      </w:r>
      <w:r>
        <w:rPr>
          <w:rFonts w:cs="??_GB2312" w:asciiTheme="minorEastAsia" w:hAnsiTheme="minorEastAsia" w:eastAsiaTheme="minorEastAsia"/>
          <w:sz w:val="24"/>
          <w:szCs w:val="24"/>
        </w:rPr>
        <w:t>CAST</w:t>
      </w:r>
      <w:r>
        <w:rPr>
          <w:rFonts w:hint="eastAsia" w:cs="??_GB2312" w:asciiTheme="minorEastAsia" w:hAnsiTheme="minorEastAsia" w:eastAsiaTheme="minorEastAsia"/>
          <w:sz w:val="24"/>
          <w:szCs w:val="24"/>
        </w:rPr>
        <w:t>进水频率，避免一次进水量过多造成的波动。</w:t>
      </w:r>
    </w:p>
    <w:p>
      <w:pPr>
        <w:spacing w:line="360" w:lineRule="auto"/>
        <w:ind w:firstLine="486" w:firstLineChars="200"/>
        <w:jc w:val="left"/>
        <w:rPr>
          <w:rFonts w:cs="??_GB2312" w:asciiTheme="minorEastAsia" w:hAnsiTheme="minorEastAsia" w:eastAsiaTheme="minorEastAsia"/>
          <w:sz w:val="24"/>
          <w:szCs w:val="24"/>
        </w:rPr>
      </w:pPr>
      <w:r>
        <w:rPr>
          <w:rFonts w:hint="eastAsia" w:cs="??_GB2312" w:asciiTheme="minorEastAsia" w:hAnsiTheme="minorEastAsia" w:eastAsiaTheme="minorEastAsia"/>
          <w:sz w:val="24"/>
          <w:szCs w:val="24"/>
        </w:rPr>
        <w:t>（</w:t>
      </w:r>
      <w:r>
        <w:rPr>
          <w:rFonts w:cs="??_GB2312" w:asciiTheme="minorEastAsia" w:hAnsiTheme="minorEastAsia" w:eastAsiaTheme="minorEastAsia"/>
          <w:sz w:val="24"/>
          <w:szCs w:val="24"/>
        </w:rPr>
        <w:t>3</w:t>
      </w:r>
      <w:r>
        <w:rPr>
          <w:rFonts w:hint="eastAsia" w:cs="??_GB2312" w:asciiTheme="minorEastAsia" w:hAnsiTheme="minorEastAsia" w:eastAsiaTheme="minorEastAsia"/>
          <w:sz w:val="24"/>
          <w:szCs w:val="24"/>
        </w:rPr>
        <w:t>）在工艺允许保证溶解氧的情况下适当缩短</w:t>
      </w:r>
      <w:r>
        <w:rPr>
          <w:rFonts w:cs="??_GB2312" w:asciiTheme="minorEastAsia" w:hAnsiTheme="minorEastAsia" w:eastAsiaTheme="minorEastAsia"/>
          <w:sz w:val="24"/>
          <w:szCs w:val="24"/>
        </w:rPr>
        <w:t>SBR</w:t>
      </w:r>
      <w:r>
        <w:rPr>
          <w:rFonts w:hint="eastAsia" w:cs="??_GB2312" w:asciiTheme="minorEastAsia" w:hAnsiTheme="minorEastAsia" w:eastAsiaTheme="minorEastAsia"/>
          <w:sz w:val="24"/>
          <w:szCs w:val="24"/>
        </w:rPr>
        <w:t>周期，提高当日</w:t>
      </w:r>
      <w:r>
        <w:rPr>
          <w:rFonts w:cs="??_GB2312" w:asciiTheme="minorEastAsia" w:hAnsiTheme="minorEastAsia" w:eastAsiaTheme="minorEastAsia"/>
          <w:sz w:val="24"/>
          <w:szCs w:val="24"/>
        </w:rPr>
        <w:t>SBR</w:t>
      </w:r>
      <w:r>
        <w:rPr>
          <w:rFonts w:hint="eastAsia" w:cs="??_GB2312" w:asciiTheme="minorEastAsia" w:hAnsiTheme="minorEastAsia" w:eastAsiaTheme="minorEastAsia"/>
          <w:sz w:val="24"/>
          <w:szCs w:val="24"/>
        </w:rPr>
        <w:t>运行周期数，水量峰值过去后及时处理导入应急池的废水处置。</w:t>
      </w:r>
    </w:p>
    <w:p>
      <w:pPr>
        <w:spacing w:line="360" w:lineRule="auto"/>
        <w:ind w:firstLine="486" w:firstLineChars="200"/>
        <w:jc w:val="left"/>
        <w:rPr>
          <w:rFonts w:cs="??_GB2312" w:asciiTheme="minorEastAsia" w:hAnsiTheme="minorEastAsia" w:eastAsiaTheme="minorEastAsia"/>
          <w:sz w:val="24"/>
          <w:szCs w:val="24"/>
        </w:rPr>
      </w:pPr>
      <w:r>
        <w:rPr>
          <w:rFonts w:hint="eastAsia" w:cs="??_GB2312" w:asciiTheme="minorEastAsia" w:hAnsiTheme="minorEastAsia" w:eastAsiaTheme="minorEastAsia"/>
          <w:sz w:val="24"/>
          <w:szCs w:val="24"/>
        </w:rPr>
        <w:t>（</w:t>
      </w:r>
      <w:r>
        <w:rPr>
          <w:rFonts w:cs="??_GB2312" w:asciiTheme="minorEastAsia" w:hAnsiTheme="minorEastAsia" w:eastAsiaTheme="minorEastAsia"/>
          <w:sz w:val="24"/>
          <w:szCs w:val="24"/>
        </w:rPr>
        <w:t>4</w:t>
      </w:r>
      <w:r>
        <w:rPr>
          <w:rFonts w:hint="eastAsia" w:cs="??_GB2312" w:asciiTheme="minorEastAsia" w:hAnsiTheme="minorEastAsia" w:eastAsiaTheme="minorEastAsia"/>
          <w:sz w:val="24"/>
          <w:szCs w:val="24"/>
        </w:rPr>
        <w:t>）厂长应同时通知</w:t>
      </w:r>
      <w:r>
        <w:rPr>
          <w:rFonts w:hint="eastAsia" w:cs="宋体" w:asciiTheme="minorEastAsia" w:hAnsiTheme="minorEastAsia" w:eastAsiaTheme="minorEastAsia"/>
          <w:kern w:val="0"/>
          <w:sz w:val="24"/>
          <w:szCs w:val="24"/>
        </w:rPr>
        <w:t>抢险救灾组</w:t>
      </w:r>
      <w:r>
        <w:rPr>
          <w:rFonts w:hint="eastAsia" w:cs="??_GB2312" w:asciiTheme="minorEastAsia" w:hAnsiTheme="minorEastAsia" w:eastAsiaTheme="minorEastAsia"/>
          <w:sz w:val="24"/>
          <w:szCs w:val="24"/>
        </w:rPr>
        <w:t>对园区污水管网进行排查，如是企业集中排污导致，立刻协调企业停止集中式排放。</w:t>
      </w:r>
    </w:p>
    <w:p>
      <w:pPr>
        <w:spacing w:line="360" w:lineRule="auto"/>
        <w:ind w:firstLine="486" w:firstLineChars="200"/>
        <w:jc w:val="left"/>
        <w:rPr>
          <w:rFonts w:cs="??_GB2312" w:asciiTheme="minorEastAsia" w:hAnsiTheme="minorEastAsia" w:eastAsiaTheme="minorEastAsia"/>
          <w:sz w:val="24"/>
          <w:szCs w:val="24"/>
        </w:rPr>
      </w:pPr>
      <w:r>
        <w:rPr>
          <w:rFonts w:hint="eastAsia" w:cs="??_GB2312" w:asciiTheme="minorEastAsia" w:hAnsiTheme="minorEastAsia" w:eastAsiaTheme="minorEastAsia"/>
          <w:sz w:val="24"/>
          <w:szCs w:val="24"/>
        </w:rPr>
        <w:t>（</w:t>
      </w:r>
      <w:r>
        <w:rPr>
          <w:rFonts w:cs="??_GB2312" w:asciiTheme="minorEastAsia" w:hAnsiTheme="minorEastAsia" w:eastAsiaTheme="minorEastAsia"/>
          <w:sz w:val="24"/>
          <w:szCs w:val="24"/>
        </w:rPr>
        <w:t>5</w:t>
      </w:r>
      <w:r>
        <w:rPr>
          <w:rFonts w:hint="eastAsia" w:cs="??_GB2312" w:asciiTheme="minorEastAsia" w:hAnsiTheme="minorEastAsia" w:eastAsiaTheme="minorEastAsia"/>
          <w:sz w:val="24"/>
          <w:szCs w:val="24"/>
        </w:rPr>
        <w:t>）</w:t>
      </w:r>
      <w:r>
        <w:rPr>
          <w:rFonts w:hint="eastAsia" w:cs="??_GB2312" w:asciiTheme="minorEastAsia" w:hAnsiTheme="minorEastAsia" w:eastAsiaTheme="minorEastAsia"/>
          <w:sz w:val="24"/>
          <w:szCs w:val="24"/>
          <w:lang w:val="zh-CN"/>
        </w:rPr>
        <w:t>环境监测组</w:t>
      </w:r>
      <w:r>
        <w:rPr>
          <w:rFonts w:hint="eastAsia" w:cs="??_GB2312" w:asciiTheme="minorEastAsia" w:hAnsiTheme="minorEastAsia" w:eastAsiaTheme="minorEastAsia"/>
          <w:sz w:val="24"/>
          <w:szCs w:val="24"/>
        </w:rPr>
        <w:t>在进水量超标期间应加强对排水水质和工艺参数的化验检测直至恢复正常。</w:t>
      </w:r>
    </w:p>
    <w:p>
      <w:pPr>
        <w:spacing w:line="360" w:lineRule="auto"/>
        <w:ind w:firstLine="486" w:firstLineChars="200"/>
        <w:jc w:val="left"/>
        <w:rPr>
          <w:rFonts w:cs="??_GB2312" w:asciiTheme="minorEastAsia" w:hAnsiTheme="minorEastAsia" w:eastAsiaTheme="minorEastAsia"/>
          <w:sz w:val="24"/>
          <w:szCs w:val="24"/>
        </w:rPr>
      </w:pPr>
      <w:r>
        <w:rPr>
          <w:rFonts w:hint="eastAsia" w:cs="??_GB2312" w:asciiTheme="minorEastAsia" w:hAnsiTheme="minorEastAsia" w:eastAsiaTheme="minorEastAsia"/>
          <w:sz w:val="24"/>
          <w:szCs w:val="24"/>
        </w:rPr>
        <w:t>（</w:t>
      </w:r>
      <w:r>
        <w:rPr>
          <w:rFonts w:cs="??_GB2312" w:asciiTheme="minorEastAsia" w:hAnsiTheme="minorEastAsia" w:eastAsiaTheme="minorEastAsia"/>
          <w:sz w:val="24"/>
          <w:szCs w:val="24"/>
        </w:rPr>
        <w:t>6</w:t>
      </w:r>
      <w:r>
        <w:rPr>
          <w:rFonts w:hint="eastAsia" w:cs="??_GB2312" w:asciiTheme="minorEastAsia" w:hAnsiTheme="minorEastAsia" w:eastAsiaTheme="minorEastAsia"/>
          <w:sz w:val="24"/>
          <w:szCs w:val="24"/>
        </w:rPr>
        <w:t>）做好详细的运行记录，必要时向本地环保部门报告。</w:t>
      </w:r>
    </w:p>
    <w:p>
      <w:pPr>
        <w:spacing w:beforeLines="50" w:afterLines="50"/>
        <w:rPr>
          <w:rFonts w:hint="eastAsia" w:asciiTheme="minorEastAsia" w:hAnsiTheme="minorEastAsia" w:eastAsiaTheme="minorEastAsia"/>
          <w:b/>
          <w:sz w:val="24"/>
          <w:szCs w:val="24"/>
        </w:rPr>
      </w:pPr>
      <w:r>
        <w:rPr>
          <w:rFonts w:hint="eastAsia" w:asciiTheme="minorEastAsia" w:hAnsiTheme="minorEastAsia" w:eastAsiaTheme="minorEastAsia"/>
          <w:b/>
          <w:sz w:val="24"/>
          <w:szCs w:val="24"/>
        </w:rPr>
        <w:t>6.4.3.8降雨导致的进水量超标处置措施</w:t>
      </w:r>
    </w:p>
    <w:p>
      <w:pPr>
        <w:spacing w:line="460" w:lineRule="exact"/>
        <w:ind w:firstLine="486" w:firstLineChars="200"/>
        <w:jc w:val="left"/>
        <w:rPr>
          <w:rFonts w:cs="??_GB2312" w:asciiTheme="minorEastAsia" w:hAnsiTheme="minorEastAsia" w:eastAsiaTheme="minorEastAsia"/>
          <w:sz w:val="24"/>
          <w:szCs w:val="24"/>
        </w:rPr>
      </w:pPr>
      <w:r>
        <w:rPr>
          <w:rFonts w:hint="eastAsia" w:cs="??_GB2312" w:asciiTheme="minorEastAsia" w:hAnsiTheme="minorEastAsia" w:eastAsiaTheme="minorEastAsia"/>
          <w:sz w:val="24"/>
          <w:szCs w:val="24"/>
        </w:rPr>
        <w:t>对于合流制或半合流制的管网会出现在暴雨后进厂水量激增的现象，且往往超过设计日处理量。处置方案为：</w:t>
      </w:r>
    </w:p>
    <w:p>
      <w:pPr>
        <w:spacing w:line="460" w:lineRule="exact"/>
        <w:ind w:firstLine="486" w:firstLineChars="200"/>
        <w:jc w:val="left"/>
        <w:rPr>
          <w:rFonts w:cs="??_GB2312" w:asciiTheme="minorEastAsia" w:hAnsiTheme="minorEastAsia" w:eastAsiaTheme="minorEastAsia"/>
          <w:sz w:val="24"/>
          <w:szCs w:val="24"/>
        </w:rPr>
      </w:pPr>
      <w:r>
        <w:rPr>
          <w:rFonts w:cs="??_GB2312" w:asciiTheme="minorEastAsia" w:hAnsiTheme="minorEastAsia" w:eastAsiaTheme="minorEastAsia"/>
          <w:sz w:val="24"/>
          <w:szCs w:val="24"/>
        </w:rPr>
        <w:t>1</w:t>
      </w:r>
      <w:r>
        <w:rPr>
          <w:rFonts w:hint="eastAsia" w:cs="??_GB2312" w:asciiTheme="minorEastAsia" w:hAnsiTheme="minorEastAsia" w:eastAsiaTheme="minorEastAsia"/>
          <w:sz w:val="24"/>
          <w:szCs w:val="24"/>
        </w:rPr>
        <w:t>、在暴雨后</w:t>
      </w:r>
      <w:r>
        <w:rPr>
          <w:rFonts w:hint="eastAsia" w:cs="宋体" w:asciiTheme="minorEastAsia" w:hAnsiTheme="minorEastAsia" w:eastAsiaTheme="minorEastAsia"/>
          <w:kern w:val="0"/>
          <w:sz w:val="24"/>
          <w:szCs w:val="24"/>
        </w:rPr>
        <w:t>抢险救灾组</w:t>
      </w:r>
      <w:r>
        <w:rPr>
          <w:rFonts w:hint="eastAsia" w:cs="??_GB2312" w:asciiTheme="minorEastAsia" w:hAnsiTheme="minorEastAsia" w:eastAsiaTheme="minorEastAsia"/>
          <w:sz w:val="24"/>
          <w:szCs w:val="24"/>
        </w:rPr>
        <w:t>应严密监测进厂水量数据，当超过设计日处理能力时，为保护活性污泥系统在报告厂长并取得同意后方能开启进厂超越。</w:t>
      </w:r>
    </w:p>
    <w:p>
      <w:pPr>
        <w:spacing w:line="460" w:lineRule="exact"/>
        <w:ind w:firstLine="486" w:firstLineChars="200"/>
        <w:jc w:val="left"/>
        <w:rPr>
          <w:rFonts w:cs="??_GB2312" w:asciiTheme="minorEastAsia" w:hAnsiTheme="minorEastAsia" w:eastAsiaTheme="minorEastAsia"/>
          <w:sz w:val="24"/>
          <w:szCs w:val="24"/>
        </w:rPr>
      </w:pPr>
      <w:r>
        <w:rPr>
          <w:rFonts w:cs="??_GB2312" w:asciiTheme="minorEastAsia" w:hAnsiTheme="minorEastAsia" w:eastAsiaTheme="minorEastAsia"/>
          <w:sz w:val="24"/>
          <w:szCs w:val="24"/>
        </w:rPr>
        <w:t>2</w:t>
      </w:r>
      <w:r>
        <w:rPr>
          <w:rFonts w:hint="eastAsia" w:cs="??_GB2312" w:asciiTheme="minorEastAsia" w:hAnsiTheme="minorEastAsia" w:eastAsiaTheme="minorEastAsia"/>
          <w:sz w:val="24"/>
          <w:szCs w:val="24"/>
        </w:rPr>
        <w:t>、厂长对进厂水超越行为向应急指挥小组报告，并及时用正式方式报地方环保部门备案。</w:t>
      </w:r>
    </w:p>
    <w:p>
      <w:pPr>
        <w:spacing w:line="460" w:lineRule="exact"/>
        <w:ind w:firstLine="486" w:firstLineChars="200"/>
        <w:jc w:val="left"/>
        <w:rPr>
          <w:rFonts w:cs="??_GB2312" w:asciiTheme="minorEastAsia" w:hAnsiTheme="minorEastAsia" w:eastAsiaTheme="minorEastAsia"/>
          <w:sz w:val="24"/>
          <w:szCs w:val="24"/>
        </w:rPr>
      </w:pPr>
      <w:r>
        <w:rPr>
          <w:rFonts w:cs="??_GB2312" w:asciiTheme="minorEastAsia" w:hAnsiTheme="minorEastAsia" w:eastAsiaTheme="minorEastAsia"/>
          <w:sz w:val="24"/>
          <w:szCs w:val="24"/>
        </w:rPr>
        <w:t>3</w:t>
      </w:r>
      <w:r>
        <w:rPr>
          <w:rFonts w:hint="eastAsia" w:cs="??_GB2312" w:asciiTheme="minorEastAsia" w:hAnsiTheme="minorEastAsia" w:eastAsiaTheme="minorEastAsia"/>
          <w:sz w:val="24"/>
          <w:szCs w:val="24"/>
        </w:rPr>
        <w:t>、当进水超标峰值过去后，立刻关闭超越系统，并详细记录开启、关闭超越的时间。</w:t>
      </w:r>
    </w:p>
    <w:p>
      <w:pPr>
        <w:spacing w:line="460" w:lineRule="exact"/>
        <w:ind w:firstLine="486" w:firstLineChars="200"/>
        <w:jc w:val="left"/>
        <w:rPr>
          <w:rFonts w:cs="??_GB2312" w:asciiTheme="minorEastAsia" w:hAnsiTheme="minorEastAsia" w:eastAsiaTheme="minorEastAsia"/>
          <w:sz w:val="24"/>
          <w:szCs w:val="24"/>
        </w:rPr>
      </w:pPr>
      <w:r>
        <w:rPr>
          <w:rFonts w:cs="??_GB2312" w:asciiTheme="minorEastAsia" w:hAnsiTheme="minorEastAsia" w:eastAsiaTheme="minorEastAsia"/>
          <w:sz w:val="24"/>
          <w:szCs w:val="24"/>
        </w:rPr>
        <w:t>4</w:t>
      </w:r>
      <w:r>
        <w:rPr>
          <w:rFonts w:hint="eastAsia" w:cs="??_GB2312" w:asciiTheme="minorEastAsia" w:hAnsiTheme="minorEastAsia" w:eastAsiaTheme="minorEastAsia"/>
          <w:sz w:val="24"/>
          <w:szCs w:val="24"/>
        </w:rPr>
        <w:t>、</w:t>
      </w:r>
      <w:r>
        <w:rPr>
          <w:rFonts w:hint="eastAsia" w:cs="??_GB2312" w:asciiTheme="minorEastAsia" w:hAnsiTheme="minorEastAsia" w:eastAsiaTheme="minorEastAsia"/>
          <w:sz w:val="24"/>
          <w:szCs w:val="24"/>
          <w:lang w:val="zh-CN"/>
        </w:rPr>
        <w:t>环境监测组</w:t>
      </w:r>
      <w:r>
        <w:rPr>
          <w:rFonts w:hint="eastAsia" w:cs="??_GB2312" w:asciiTheme="minorEastAsia" w:hAnsiTheme="minorEastAsia" w:eastAsiaTheme="minorEastAsia"/>
          <w:sz w:val="24"/>
          <w:szCs w:val="24"/>
        </w:rPr>
        <w:t>应在超越期间加强对污水处理厂总排口附近水域的采样监测，评估其环境影响。</w:t>
      </w:r>
    </w:p>
    <w:p>
      <w:pPr>
        <w:spacing w:beforeLines="50" w:afterLines="50"/>
        <w:rPr>
          <w:rFonts w:hint="eastAsia" w:asciiTheme="minorEastAsia" w:hAnsiTheme="minorEastAsia" w:eastAsiaTheme="minorEastAsia"/>
          <w:b/>
          <w:sz w:val="24"/>
          <w:szCs w:val="24"/>
        </w:rPr>
      </w:pPr>
      <w:r>
        <w:rPr>
          <w:rFonts w:hint="eastAsia" w:asciiTheme="minorEastAsia" w:hAnsiTheme="minorEastAsia" w:eastAsiaTheme="minorEastAsia"/>
          <w:b/>
          <w:sz w:val="24"/>
          <w:szCs w:val="24"/>
        </w:rPr>
        <w:t>6.4.3.9主要治理设备异常处置措施</w:t>
      </w:r>
    </w:p>
    <w:p>
      <w:pPr>
        <w:spacing w:line="460" w:lineRule="exact"/>
        <w:ind w:firstLine="486" w:firstLineChars="200"/>
        <w:jc w:val="left"/>
        <w:rPr>
          <w:rFonts w:cs="??_GB2312" w:asciiTheme="minorEastAsia" w:hAnsiTheme="minorEastAsia" w:eastAsiaTheme="minorEastAsia"/>
          <w:kern w:val="0"/>
          <w:sz w:val="24"/>
          <w:szCs w:val="24"/>
        </w:rPr>
      </w:pPr>
      <w:r>
        <w:rPr>
          <w:rFonts w:hint="eastAsia" w:cs="??_GB2312" w:asciiTheme="minorEastAsia" w:hAnsiTheme="minorEastAsia" w:eastAsiaTheme="minorEastAsia"/>
          <w:kern w:val="0"/>
          <w:sz w:val="24"/>
          <w:szCs w:val="24"/>
        </w:rPr>
        <w:t>龙桥污水处理厂采用活性污泥工艺，主要设备为：提升泵、曝气机、脱水机、排泥泵、回流泵、滗水器。均为一备一用或一用两备。如果重要设备同时无法正常运行，可能对工艺造成较大影响，引发环境污染风险。其重要设备异常处置方案为：</w:t>
      </w:r>
    </w:p>
    <w:p>
      <w:pPr>
        <w:spacing w:line="460" w:lineRule="exact"/>
        <w:ind w:firstLine="486" w:firstLineChars="200"/>
        <w:jc w:val="left"/>
        <w:rPr>
          <w:rFonts w:cs="??_GB2312" w:asciiTheme="minorEastAsia" w:hAnsiTheme="minorEastAsia" w:eastAsiaTheme="minorEastAsia"/>
          <w:kern w:val="0"/>
          <w:sz w:val="24"/>
          <w:szCs w:val="24"/>
        </w:rPr>
      </w:pPr>
      <w:r>
        <w:rPr>
          <w:rFonts w:cs="??_GB2312" w:asciiTheme="minorEastAsia" w:hAnsiTheme="minorEastAsia" w:eastAsiaTheme="minorEastAsia"/>
          <w:kern w:val="0"/>
          <w:sz w:val="24"/>
          <w:szCs w:val="24"/>
        </w:rPr>
        <w:t>1</w:t>
      </w:r>
      <w:r>
        <w:rPr>
          <w:rFonts w:hint="eastAsia" w:cs="??_GB2312" w:asciiTheme="minorEastAsia" w:hAnsiTheme="minorEastAsia" w:eastAsiaTheme="minorEastAsia"/>
          <w:kern w:val="0"/>
          <w:sz w:val="24"/>
          <w:szCs w:val="24"/>
        </w:rPr>
        <w:t>、运行异常但有备用设备可运行的。立即启用备用设备，运行人员报维修科维修处置，执行正常报修程序。</w:t>
      </w:r>
    </w:p>
    <w:p>
      <w:pPr>
        <w:spacing w:line="460" w:lineRule="exact"/>
        <w:ind w:firstLine="486" w:firstLineChars="200"/>
        <w:jc w:val="left"/>
        <w:rPr>
          <w:rFonts w:cs="??_GB2312" w:asciiTheme="minorEastAsia" w:hAnsiTheme="minorEastAsia" w:eastAsiaTheme="minorEastAsia"/>
          <w:kern w:val="0"/>
          <w:sz w:val="24"/>
          <w:szCs w:val="24"/>
        </w:rPr>
      </w:pPr>
      <w:r>
        <w:rPr>
          <w:rFonts w:cs="??_GB2312" w:asciiTheme="minorEastAsia" w:hAnsiTheme="minorEastAsia" w:eastAsiaTheme="minorEastAsia"/>
          <w:kern w:val="0"/>
          <w:sz w:val="24"/>
          <w:szCs w:val="24"/>
        </w:rPr>
        <w:t>2</w:t>
      </w:r>
      <w:r>
        <w:rPr>
          <w:rFonts w:hint="eastAsia" w:cs="??_GB2312" w:asciiTheme="minorEastAsia" w:hAnsiTheme="minorEastAsia" w:eastAsiaTheme="minorEastAsia"/>
          <w:kern w:val="0"/>
          <w:sz w:val="24"/>
          <w:szCs w:val="24"/>
        </w:rPr>
        <w:t>、运行异常且无备用设备的。启动应急预案，由</w:t>
      </w:r>
      <w:r>
        <w:rPr>
          <w:rFonts w:hint="eastAsia" w:cs="宋体" w:asciiTheme="minorEastAsia" w:hAnsiTheme="minorEastAsia" w:eastAsiaTheme="minorEastAsia"/>
          <w:kern w:val="0"/>
          <w:sz w:val="24"/>
          <w:szCs w:val="24"/>
        </w:rPr>
        <w:t>抢险救灾组</w:t>
      </w:r>
      <w:r>
        <w:rPr>
          <w:rFonts w:hint="eastAsia" w:cs="??_GB2312" w:asciiTheme="minorEastAsia" w:hAnsiTheme="minorEastAsia" w:eastAsiaTheme="minorEastAsia"/>
          <w:kern w:val="0"/>
          <w:sz w:val="24"/>
          <w:szCs w:val="24"/>
        </w:rPr>
        <w:t>报指挥组，指挥组批示</w:t>
      </w:r>
      <w:r>
        <w:rPr>
          <w:rFonts w:hint="eastAsia" w:cs="宋体" w:asciiTheme="minorEastAsia" w:hAnsiTheme="minorEastAsia" w:eastAsiaTheme="minorEastAsia"/>
          <w:kern w:val="0"/>
          <w:sz w:val="24"/>
          <w:szCs w:val="24"/>
        </w:rPr>
        <w:t>抢险救灾组</w:t>
      </w:r>
      <w:r>
        <w:rPr>
          <w:rFonts w:hint="eastAsia" w:cs="??_GB2312" w:asciiTheme="minorEastAsia" w:hAnsiTheme="minorEastAsia" w:eastAsiaTheme="minorEastAsia"/>
          <w:kern w:val="0"/>
          <w:sz w:val="24"/>
          <w:szCs w:val="24"/>
        </w:rPr>
        <w:t>立刻进行抢修，生产部协助维修物资保障，必须在</w:t>
      </w:r>
      <w:r>
        <w:rPr>
          <w:rFonts w:cs="??_GB2312" w:asciiTheme="minorEastAsia" w:hAnsiTheme="minorEastAsia" w:eastAsiaTheme="minorEastAsia"/>
          <w:kern w:val="0"/>
          <w:sz w:val="24"/>
          <w:szCs w:val="24"/>
        </w:rPr>
        <w:t>8</w:t>
      </w:r>
      <w:r>
        <w:rPr>
          <w:rFonts w:hint="eastAsia" w:cs="??_GB2312" w:asciiTheme="minorEastAsia" w:hAnsiTheme="minorEastAsia" w:eastAsiaTheme="minorEastAsia"/>
          <w:kern w:val="0"/>
          <w:sz w:val="24"/>
          <w:szCs w:val="24"/>
        </w:rPr>
        <w:t>小时恢复设备正常运行。</w:t>
      </w:r>
    </w:p>
    <w:p>
      <w:pPr>
        <w:spacing w:beforeLines="50" w:afterLines="50"/>
        <w:rPr>
          <w:rFonts w:hint="eastAsia" w:asciiTheme="minorEastAsia" w:hAnsiTheme="minorEastAsia" w:eastAsiaTheme="minorEastAsia"/>
          <w:b/>
          <w:sz w:val="24"/>
          <w:szCs w:val="24"/>
        </w:rPr>
      </w:pPr>
      <w:r>
        <w:rPr>
          <w:rFonts w:hint="eastAsia" w:asciiTheme="minorEastAsia" w:hAnsiTheme="minorEastAsia" w:eastAsiaTheme="minorEastAsia"/>
          <w:b/>
          <w:sz w:val="24"/>
          <w:szCs w:val="24"/>
        </w:rPr>
        <w:t>6.4.3.10管网堵塞、破裂污水外流处置措施</w:t>
      </w:r>
    </w:p>
    <w:p>
      <w:pPr>
        <w:spacing w:beforeLines="50" w:afterLines="50" w:line="460" w:lineRule="exact"/>
        <w:ind w:firstLine="486" w:firstLineChars="200"/>
        <w:jc w:val="left"/>
        <w:rPr>
          <w:rFonts w:cs="??_GB2312" w:asciiTheme="minorEastAsia" w:hAnsiTheme="minorEastAsia" w:eastAsiaTheme="minorEastAsia"/>
          <w:kern w:val="0"/>
          <w:sz w:val="24"/>
          <w:szCs w:val="24"/>
        </w:rPr>
      </w:pPr>
      <w:r>
        <w:rPr>
          <w:rFonts w:hint="eastAsia" w:cs="??_GB2312" w:asciiTheme="minorEastAsia" w:hAnsiTheme="minorEastAsia" w:eastAsiaTheme="minorEastAsia"/>
          <w:kern w:val="0"/>
          <w:sz w:val="24"/>
          <w:szCs w:val="24"/>
        </w:rPr>
        <w:t>龙桥园区污水管网主要收集园区企业生产废水和园区周边街道生活污水，管网干管</w:t>
      </w:r>
      <w:r>
        <w:rPr>
          <w:rFonts w:cs="??_GB2312" w:asciiTheme="minorEastAsia" w:hAnsiTheme="minorEastAsia" w:eastAsiaTheme="minorEastAsia"/>
          <w:kern w:val="0"/>
          <w:sz w:val="24"/>
          <w:szCs w:val="24"/>
        </w:rPr>
        <w:t>20km</w:t>
      </w:r>
      <w:r>
        <w:rPr>
          <w:rFonts w:hint="eastAsia" w:cs="??_GB2312" w:asciiTheme="minorEastAsia" w:hAnsiTheme="minorEastAsia" w:eastAsiaTheme="minorEastAsia"/>
          <w:kern w:val="0"/>
          <w:sz w:val="24"/>
          <w:szCs w:val="24"/>
        </w:rPr>
        <w:t>，由我公厂负责巡查维护。存在的风险包括滑坡、沉降、人为破坏导致的管网损坏污水外流的情况，可造成局部环境污染，引发居民投诉。主要处置方案为：</w:t>
      </w:r>
    </w:p>
    <w:p>
      <w:pPr>
        <w:spacing w:beforeLines="50" w:afterLines="50" w:line="460" w:lineRule="exact"/>
        <w:ind w:firstLine="486" w:firstLineChars="200"/>
        <w:jc w:val="left"/>
        <w:rPr>
          <w:rFonts w:hint="eastAsia" w:cs="??_GB2312" w:asciiTheme="minorEastAsia" w:hAnsiTheme="minorEastAsia" w:eastAsiaTheme="minorEastAsia"/>
          <w:kern w:val="0"/>
          <w:sz w:val="24"/>
          <w:szCs w:val="24"/>
        </w:rPr>
      </w:pPr>
      <w:r>
        <w:rPr>
          <w:rFonts w:hint="eastAsia" w:cs="??_GB2312" w:asciiTheme="minorEastAsia" w:hAnsiTheme="minorEastAsia" w:eastAsiaTheme="minorEastAsia"/>
          <w:kern w:val="0"/>
          <w:sz w:val="24"/>
          <w:szCs w:val="24"/>
        </w:rPr>
        <w:t>（1）滑坡或人为导致的少量管网损坏。抢险救灾组立刻到现场评估被损管网的长度，在地质条件允许的情况下，于接到报告的当天更换预备好的同管径污水管网，并做好附属的管网基础加固工作。</w:t>
      </w:r>
    </w:p>
    <w:p>
      <w:pPr>
        <w:spacing w:beforeLines="50" w:afterLines="50" w:line="460" w:lineRule="exact"/>
        <w:ind w:firstLine="486" w:firstLineChars="200"/>
        <w:jc w:val="left"/>
        <w:rPr>
          <w:rFonts w:hint="eastAsia" w:cs="??_GB2312" w:asciiTheme="minorEastAsia" w:hAnsiTheme="minorEastAsia" w:eastAsiaTheme="minorEastAsia"/>
          <w:kern w:val="0"/>
          <w:sz w:val="24"/>
          <w:szCs w:val="24"/>
        </w:rPr>
      </w:pPr>
      <w:r>
        <w:rPr>
          <w:rFonts w:hint="eastAsia" w:cs="??_GB2312" w:asciiTheme="minorEastAsia" w:hAnsiTheme="minorEastAsia" w:eastAsiaTheme="minorEastAsia"/>
          <w:kern w:val="0"/>
          <w:sz w:val="24"/>
          <w:szCs w:val="24"/>
        </w:rPr>
        <w:t>（2）地址沉降、堵塞导致的无法通水。抢险救灾组应及时到现场用管网机器人探测沉降变形的管网，准确找到并记录堵塞点位，并及时统计工程量上报预算整改。同时协调该管网主要排污企业暂停排污，待恢复后排放，以减轻环境影响</w:t>
      </w:r>
      <w:r>
        <w:rPr>
          <w:rFonts w:hint="eastAsia" w:cs="??_GB2312" w:asciiTheme="minorEastAsia" w:hAnsiTheme="minorEastAsia" w:eastAsiaTheme="minorEastAsia"/>
          <w:kern w:val="0"/>
          <w:sz w:val="24"/>
          <w:szCs w:val="24"/>
          <w:lang w:eastAsia="zh-CN"/>
        </w:rPr>
        <w:t>。</w:t>
      </w:r>
    </w:p>
    <w:p>
      <w:pPr>
        <w:spacing w:beforeLines="50" w:afterLines="50" w:line="460" w:lineRule="exact"/>
        <w:ind w:firstLine="486" w:firstLineChars="200"/>
        <w:jc w:val="left"/>
        <w:rPr>
          <w:rFonts w:hint="eastAsia" w:cs="??_GB2312" w:asciiTheme="minorEastAsia" w:hAnsiTheme="minorEastAsia" w:eastAsiaTheme="minorEastAsia"/>
          <w:kern w:val="0"/>
          <w:sz w:val="24"/>
          <w:szCs w:val="24"/>
        </w:rPr>
      </w:pPr>
      <w:r>
        <w:rPr>
          <w:rFonts w:hint="eastAsia" w:cs="??_GB2312" w:asciiTheme="minorEastAsia" w:hAnsiTheme="minorEastAsia" w:eastAsiaTheme="minorEastAsia"/>
          <w:kern w:val="0"/>
          <w:sz w:val="24"/>
          <w:szCs w:val="24"/>
        </w:rPr>
        <w:t>（3）管网堵塞无法通水。由管网巡视人员发现后报管网科组织清掏队伍，务必在6小时内疏通堵塞管网，为防止对环境敏感源造成影响必要时可搭接临时管网防止污水外流。</w:t>
      </w:r>
    </w:p>
    <w:p>
      <w:pPr>
        <w:spacing w:beforeLines="50" w:afterLines="50"/>
        <w:rPr>
          <w:rFonts w:hint="eastAsia" w:asciiTheme="minorEastAsia" w:hAnsiTheme="minorEastAsia" w:eastAsiaTheme="minorEastAsia"/>
          <w:b/>
          <w:sz w:val="24"/>
          <w:szCs w:val="24"/>
        </w:rPr>
      </w:pPr>
      <w:r>
        <w:rPr>
          <w:rFonts w:hint="eastAsia" w:asciiTheme="minorEastAsia" w:hAnsiTheme="minorEastAsia" w:eastAsiaTheme="minorEastAsia"/>
          <w:b/>
          <w:sz w:val="24"/>
          <w:szCs w:val="24"/>
        </w:rPr>
        <w:t>6.4.3.11脱水污泥处置措施</w:t>
      </w:r>
    </w:p>
    <w:p>
      <w:pPr>
        <w:spacing w:line="360" w:lineRule="auto"/>
        <w:ind w:firstLine="486" w:firstLineChars="200"/>
        <w:jc w:val="left"/>
        <w:rPr>
          <w:rFonts w:cs="??_GB2312" w:asciiTheme="minorEastAsia" w:hAnsiTheme="minorEastAsia" w:eastAsiaTheme="minorEastAsia"/>
          <w:sz w:val="24"/>
          <w:szCs w:val="24"/>
        </w:rPr>
      </w:pPr>
      <w:r>
        <w:rPr>
          <w:rFonts w:hint="eastAsia" w:cs="??_GB2312" w:asciiTheme="minorEastAsia" w:hAnsiTheme="minorEastAsia" w:eastAsiaTheme="minorEastAsia"/>
          <w:sz w:val="24"/>
          <w:szCs w:val="24"/>
        </w:rPr>
        <w:t>龙桥园区污水处理厂的脱水污泥为一般固废，公司已与</w:t>
      </w:r>
      <w:r>
        <w:rPr>
          <w:rFonts w:hint="eastAsia" w:cs="??_GB2312" w:asciiTheme="minorEastAsia" w:hAnsiTheme="minorEastAsia" w:eastAsiaTheme="minorEastAsia"/>
          <w:sz w:val="24"/>
          <w:szCs w:val="24"/>
          <w:lang w:eastAsia="zh-CN"/>
        </w:rPr>
        <w:t>重庆</w:t>
      </w:r>
      <w:r>
        <w:rPr>
          <w:rFonts w:hint="eastAsia" w:cs="??_GB2312" w:asciiTheme="minorEastAsia" w:hAnsiTheme="minorEastAsia" w:eastAsiaTheme="minorEastAsia"/>
          <w:sz w:val="24"/>
          <w:szCs w:val="24"/>
        </w:rPr>
        <w:t>环保公司签订了处置合同。污水处理厂已按照环评和“三同时”要求建设了污泥堆场，并对污泥堆场进行了防雨、防腐、防渗漏处理，设置安全警示标识。并委托专门的运输公司转运脱水污泥，并对驾驶员和押运人员加强教育，预防事故的发生</w:t>
      </w:r>
      <w:r>
        <w:rPr>
          <w:rFonts w:hint="eastAsia" w:cs="??_GB2312" w:asciiTheme="minorEastAsia" w:hAnsiTheme="minorEastAsia" w:eastAsiaTheme="minorEastAsia"/>
          <w:sz w:val="24"/>
          <w:szCs w:val="24"/>
          <w:lang w:eastAsia="zh-CN"/>
        </w:rPr>
        <w:t>。</w:t>
      </w:r>
      <w:r>
        <w:rPr>
          <w:rFonts w:hint="eastAsia" w:cs="??_GB2312" w:asciiTheme="minorEastAsia" w:hAnsiTheme="minorEastAsia" w:eastAsiaTheme="minorEastAsia"/>
          <w:sz w:val="24"/>
          <w:szCs w:val="24"/>
        </w:rPr>
        <w:t>按照转运合同要求，运输途中出现的一切安全及其他事故由运输公司负责，污水处理厂负责配合协调处理。当转运途中出现污泥溢流和车辆事故时。</w:t>
      </w:r>
    </w:p>
    <w:p>
      <w:pPr>
        <w:spacing w:line="360" w:lineRule="auto"/>
        <w:jc w:val="left"/>
        <w:rPr>
          <w:rFonts w:cs="??_GB2312" w:asciiTheme="minorEastAsia" w:hAnsiTheme="minorEastAsia" w:eastAsiaTheme="minorEastAsia"/>
          <w:sz w:val="24"/>
          <w:szCs w:val="24"/>
        </w:rPr>
      </w:pPr>
      <w:r>
        <w:rPr>
          <w:rFonts w:hint="eastAsia" w:cs="??_GB2312" w:asciiTheme="minorEastAsia" w:hAnsiTheme="minorEastAsia" w:eastAsiaTheme="minorEastAsia"/>
          <w:sz w:val="24"/>
          <w:szCs w:val="24"/>
        </w:rPr>
        <w:t>（</w:t>
      </w:r>
      <w:r>
        <w:rPr>
          <w:rFonts w:cs="??_GB2312" w:asciiTheme="minorEastAsia" w:hAnsiTheme="minorEastAsia" w:eastAsiaTheme="minorEastAsia"/>
          <w:sz w:val="24"/>
          <w:szCs w:val="24"/>
        </w:rPr>
        <w:t>1</w:t>
      </w:r>
      <w:r>
        <w:rPr>
          <w:rFonts w:hint="eastAsia" w:cs="??_GB2312" w:asciiTheme="minorEastAsia" w:hAnsiTheme="minorEastAsia" w:eastAsiaTheme="minorEastAsia"/>
          <w:sz w:val="24"/>
          <w:szCs w:val="24"/>
        </w:rPr>
        <w:t>）立即报告区环保局。</w:t>
      </w:r>
    </w:p>
    <w:p>
      <w:pPr>
        <w:spacing w:line="360" w:lineRule="auto"/>
        <w:jc w:val="left"/>
        <w:rPr>
          <w:rFonts w:cs="??_GB2312" w:asciiTheme="minorEastAsia" w:hAnsiTheme="minorEastAsia" w:eastAsiaTheme="minorEastAsia"/>
          <w:sz w:val="24"/>
          <w:szCs w:val="24"/>
        </w:rPr>
      </w:pPr>
      <w:r>
        <w:rPr>
          <w:rFonts w:hint="eastAsia" w:cs="??_GB2312" w:asciiTheme="minorEastAsia" w:hAnsiTheme="minorEastAsia" w:eastAsiaTheme="minorEastAsia"/>
          <w:sz w:val="24"/>
          <w:szCs w:val="24"/>
        </w:rPr>
        <w:t>（</w:t>
      </w:r>
      <w:r>
        <w:rPr>
          <w:rFonts w:cs="??_GB2312" w:asciiTheme="minorEastAsia" w:hAnsiTheme="minorEastAsia" w:eastAsiaTheme="minorEastAsia"/>
          <w:sz w:val="24"/>
          <w:szCs w:val="24"/>
        </w:rPr>
        <w:t>2</w:t>
      </w:r>
      <w:r>
        <w:rPr>
          <w:rFonts w:hint="eastAsia" w:cs="??_GB2312" w:asciiTheme="minorEastAsia" w:hAnsiTheme="minorEastAsia" w:eastAsiaTheme="minorEastAsia"/>
          <w:sz w:val="24"/>
          <w:szCs w:val="24"/>
        </w:rPr>
        <w:t>）配合运输公司组织机具对污泥及时清运处理。</w:t>
      </w:r>
    </w:p>
    <w:p>
      <w:pPr>
        <w:spacing w:line="360" w:lineRule="auto"/>
        <w:jc w:val="left"/>
        <w:rPr>
          <w:rFonts w:cs="??_GB2312" w:asciiTheme="minorEastAsia" w:hAnsiTheme="minorEastAsia" w:eastAsiaTheme="minorEastAsia"/>
          <w:sz w:val="24"/>
          <w:szCs w:val="24"/>
        </w:rPr>
      </w:pPr>
      <w:r>
        <w:rPr>
          <w:rFonts w:hint="eastAsia" w:cs="??_GB2312" w:asciiTheme="minorEastAsia" w:hAnsiTheme="minorEastAsia" w:eastAsiaTheme="minorEastAsia"/>
          <w:sz w:val="24"/>
          <w:szCs w:val="24"/>
        </w:rPr>
        <w:t>（</w:t>
      </w:r>
      <w:r>
        <w:rPr>
          <w:rFonts w:cs="??_GB2312" w:asciiTheme="minorEastAsia" w:hAnsiTheme="minorEastAsia" w:eastAsiaTheme="minorEastAsia"/>
          <w:sz w:val="24"/>
          <w:szCs w:val="24"/>
        </w:rPr>
        <w:t>3</w:t>
      </w:r>
      <w:r>
        <w:rPr>
          <w:rFonts w:hint="eastAsia" w:cs="??_GB2312" w:asciiTheme="minorEastAsia" w:hAnsiTheme="minorEastAsia" w:eastAsiaTheme="minorEastAsia"/>
          <w:sz w:val="24"/>
          <w:szCs w:val="24"/>
        </w:rPr>
        <w:t>）总结事故并如实上报。</w:t>
      </w:r>
      <w:bookmarkStart w:id="384" w:name="_Toc387131507"/>
      <w:bookmarkStart w:id="385" w:name="_Toc304964450"/>
      <w:bookmarkStart w:id="386" w:name="_Toc262050873"/>
      <w:bookmarkStart w:id="387" w:name="_Toc415254550"/>
      <w:bookmarkStart w:id="388" w:name="_Toc262051123"/>
      <w:bookmarkStart w:id="389" w:name="_Toc262040283"/>
      <w:bookmarkStart w:id="390" w:name="_Toc387131764"/>
      <w:bookmarkStart w:id="391" w:name="_Toc408274444"/>
      <w:bookmarkStart w:id="392" w:name="_Toc336326857"/>
      <w:bookmarkStart w:id="393" w:name="_Toc304962963"/>
      <w:bookmarkStart w:id="394" w:name="_Toc17112"/>
      <w:bookmarkStart w:id="395" w:name="_Toc262051544"/>
      <w:bookmarkStart w:id="396" w:name="_Toc304833240"/>
      <w:bookmarkStart w:id="397" w:name="_Toc11330"/>
      <w:bookmarkStart w:id="398" w:name="_Toc15591"/>
      <w:bookmarkStart w:id="399" w:name="_Toc336327135"/>
      <w:bookmarkStart w:id="400" w:name="_Toc387131433"/>
      <w:bookmarkStart w:id="401" w:name="_Toc304963607"/>
    </w:p>
    <w:p>
      <w:pPr>
        <w:adjustRightInd w:val="0"/>
        <w:snapToGrid w:val="0"/>
        <w:spacing w:line="460" w:lineRule="exact"/>
        <w:outlineLvl w:val="1"/>
        <w:rPr>
          <w:b/>
          <w:color w:val="000000"/>
          <w:sz w:val="28"/>
          <w:szCs w:val="28"/>
        </w:rPr>
      </w:pPr>
      <w:bookmarkStart w:id="402" w:name="_Toc11824"/>
      <w:r>
        <w:rPr>
          <w:rFonts w:hint="eastAsia"/>
          <w:b/>
          <w:color w:val="000000"/>
          <w:sz w:val="28"/>
          <w:szCs w:val="28"/>
        </w:rPr>
        <w:t>6.5应急监测</w:t>
      </w:r>
      <w:bookmarkEnd w:id="402"/>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发生风险事故的情况时，在泄漏物进入外部环境后，立即启动应急响应工作流程，即一方面立即组织实施应急程序，另一方面根据险情发展态势及时上报险情，请求相关机构提供技术援助支持。</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地表水和土壤监测安排在事故发生后4h内，大气监测安排在2h内，定性检测出污染物的种类和可能的危害，24h内定量监测出污染物的浓度、污染的程度和范围，做好记录，完成监测报告，并采取污染跟踪监测，直到污染事故处理完毕，污染警报消除。</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1）龙桥污水处理厂在生产车间及储罐区设有气体泄漏和火灾报警器，保证在万一泄漏的情况下能够及时发现，采取处置措施，以及对环境空气进行监测。</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2)另外还可以依托涪陵区环境监测站对危化品事故产生的危害进行监测，对水体进行连续监测，同时针对人员、水体、土壤、大气采取隔离、收集和清除等方法，直至符合国家、地方环境保护标准。</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3）对于不明性质物质的大气监测，由公司安全环保部邀请涪陵区环境监测站等专业机构支援。</w:t>
      </w:r>
    </w:p>
    <w:p>
      <w:pPr>
        <w:adjustRightInd w:val="0"/>
        <w:snapToGrid w:val="0"/>
        <w:spacing w:line="460" w:lineRule="exact"/>
        <w:ind w:firstLine="486" w:firstLineChars="200"/>
        <w:rPr>
          <w:rFonts w:asciiTheme="minorEastAsia" w:hAnsiTheme="minorEastAsia" w:eastAsiaTheme="minorEastAsia"/>
          <w:sz w:val="24"/>
          <w:szCs w:val="24"/>
          <w:lang w:val="zh-CN"/>
        </w:rPr>
      </w:pPr>
      <w:bookmarkStart w:id="403" w:name="_Toc458674300"/>
      <w:bookmarkStart w:id="404" w:name="_Toc346872611"/>
      <w:bookmarkStart w:id="405" w:name="_Toc317088669"/>
      <w:r>
        <w:rPr>
          <w:rFonts w:hint="eastAsia" w:asciiTheme="minorEastAsia" w:hAnsiTheme="minorEastAsia" w:eastAsiaTheme="minorEastAsia"/>
          <w:sz w:val="24"/>
          <w:szCs w:val="24"/>
          <w:lang w:val="zh-CN"/>
        </w:rPr>
        <w:t>4）</w:t>
      </w:r>
      <w:r>
        <w:rPr>
          <w:rFonts w:asciiTheme="minorEastAsia" w:hAnsiTheme="minorEastAsia" w:eastAsiaTheme="minorEastAsia"/>
          <w:sz w:val="24"/>
          <w:szCs w:val="24"/>
          <w:lang w:val="zh-CN"/>
        </w:rPr>
        <w:t>企业突发环境事故监测</w:t>
      </w:r>
      <w:bookmarkEnd w:id="403"/>
      <w:bookmarkEnd w:id="404"/>
      <w:r>
        <w:rPr>
          <w:rFonts w:hint="eastAsia" w:asciiTheme="minorEastAsia" w:hAnsiTheme="minorEastAsia" w:eastAsiaTheme="minorEastAsia"/>
          <w:sz w:val="24"/>
          <w:szCs w:val="24"/>
          <w:lang w:val="zh-CN"/>
        </w:rPr>
        <w:t>因子</w:t>
      </w:r>
    </w:p>
    <w:bookmarkEnd w:id="405"/>
    <w:p>
      <w:pPr>
        <w:adjustRightInd w:val="0"/>
        <w:snapToGrid w:val="0"/>
        <w:spacing w:line="460" w:lineRule="exact"/>
        <w:ind w:firstLine="486" w:firstLineChars="200"/>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环境空气：氯化氢</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监测范围：加氯加药间周边5km范围。</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 xml:space="preserve">地表水：pH、COD、SS、氨氮、总磷、粪大肠菌群数、动植物油   </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监测范围：</w:t>
      </w:r>
      <w:r>
        <w:rPr>
          <w:rFonts w:hint="eastAsia" w:asciiTheme="minorEastAsia" w:hAnsiTheme="minorEastAsia" w:eastAsiaTheme="minorEastAsia"/>
          <w:sz w:val="24"/>
          <w:szCs w:val="24"/>
          <w:lang w:val="zh-CN"/>
        </w:rPr>
        <w:t>泄漏</w:t>
      </w:r>
      <w:r>
        <w:rPr>
          <w:rFonts w:asciiTheme="minorEastAsia" w:hAnsiTheme="minorEastAsia" w:eastAsiaTheme="minorEastAsia"/>
          <w:sz w:val="24"/>
          <w:szCs w:val="24"/>
          <w:lang w:val="zh-CN"/>
        </w:rPr>
        <w:t>物入水口至下游5km。</w:t>
      </w:r>
    </w:p>
    <w:p>
      <w:pPr>
        <w:pStyle w:val="120"/>
        <w:ind w:firstLine="486"/>
        <w:rPr>
          <w:rFonts w:asciiTheme="minorEastAsia" w:hAnsiTheme="minorEastAsia" w:eastAsiaTheme="minorEastAsia"/>
          <w:color w:val="auto"/>
          <w:kern w:val="2"/>
          <w:lang w:val="zh-CN"/>
        </w:rPr>
      </w:pPr>
      <w:bookmarkStart w:id="406" w:name="_Toc5683"/>
      <w:r>
        <w:rPr>
          <w:rFonts w:hint="eastAsia" w:asciiTheme="minorEastAsia" w:hAnsiTheme="minorEastAsia" w:eastAsiaTheme="minorEastAsia"/>
          <w:color w:val="auto"/>
          <w:kern w:val="2"/>
          <w:lang w:val="zh-CN"/>
        </w:rPr>
        <w:t>5）</w:t>
      </w:r>
      <w:r>
        <w:rPr>
          <w:rFonts w:asciiTheme="minorEastAsia" w:hAnsiTheme="minorEastAsia" w:eastAsiaTheme="minorEastAsia"/>
          <w:color w:val="auto"/>
          <w:kern w:val="2"/>
          <w:lang w:val="zh-CN"/>
        </w:rPr>
        <w:t>监测数据的报告和发布</w:t>
      </w:r>
      <w:bookmarkEnd w:id="406"/>
    </w:p>
    <w:p>
      <w:pPr>
        <w:pStyle w:val="286"/>
        <w:spacing w:line="460" w:lineRule="exact"/>
        <w:ind w:firstLine="486"/>
        <w:jc w:val="left"/>
        <w:rPr>
          <w:rFonts w:asciiTheme="minorEastAsia" w:hAnsiTheme="minorEastAsia" w:eastAsiaTheme="minorEastAsia"/>
          <w:b w:val="0"/>
          <w:bCs w:val="0"/>
          <w:spacing w:val="0"/>
          <w:szCs w:val="24"/>
          <w:lang w:val="zh-CN"/>
        </w:rPr>
      </w:pPr>
      <w:r>
        <w:rPr>
          <w:rFonts w:asciiTheme="minorEastAsia" w:hAnsiTheme="minorEastAsia" w:eastAsiaTheme="minorEastAsia"/>
          <w:b w:val="0"/>
          <w:bCs w:val="0"/>
          <w:spacing w:val="0"/>
          <w:szCs w:val="24"/>
          <w:lang w:val="zh-CN"/>
        </w:rPr>
        <w:t>监测数据应及时向应急领导小组和</w:t>
      </w:r>
      <w:r>
        <w:rPr>
          <w:rFonts w:hint="eastAsia" w:asciiTheme="minorEastAsia" w:hAnsiTheme="minorEastAsia" w:eastAsiaTheme="minorEastAsia"/>
          <w:b w:val="0"/>
          <w:bCs w:val="0"/>
          <w:spacing w:val="0"/>
          <w:szCs w:val="24"/>
          <w:lang w:val="zh-CN"/>
        </w:rPr>
        <w:t>涪陵区环境保护局</w:t>
      </w:r>
      <w:r>
        <w:rPr>
          <w:rFonts w:asciiTheme="minorEastAsia" w:hAnsiTheme="minorEastAsia" w:eastAsiaTheme="minorEastAsia"/>
          <w:b w:val="0"/>
          <w:bCs w:val="0"/>
          <w:spacing w:val="0"/>
          <w:szCs w:val="24"/>
          <w:lang w:val="zh-CN"/>
        </w:rPr>
        <w:t>汇报，应急领导小组据此展开相关应急措施；同时公开向社会发布环境应急监测数据。</w:t>
      </w:r>
    </w:p>
    <w:p>
      <w:pPr>
        <w:adjustRightInd w:val="0"/>
        <w:snapToGrid w:val="0"/>
        <w:spacing w:line="460" w:lineRule="exact"/>
        <w:outlineLvl w:val="1"/>
        <w:rPr>
          <w:b/>
          <w:color w:val="000000"/>
          <w:sz w:val="28"/>
          <w:szCs w:val="28"/>
        </w:rPr>
      </w:pPr>
      <w:bookmarkStart w:id="407" w:name="_Toc16990"/>
      <w:r>
        <w:rPr>
          <w:rFonts w:hint="eastAsia"/>
          <w:b/>
          <w:color w:val="000000"/>
          <w:sz w:val="28"/>
          <w:szCs w:val="28"/>
        </w:rPr>
        <w:t>6.6应急终止</w:t>
      </w:r>
      <w:bookmarkEnd w:id="407"/>
    </w:p>
    <w:p>
      <w:pPr>
        <w:pStyle w:val="120"/>
        <w:spacing w:line="460" w:lineRule="exact"/>
        <w:ind w:firstLine="0" w:firstLineChars="0"/>
        <w:rPr>
          <w:b/>
        </w:rPr>
      </w:pPr>
      <w:r>
        <w:rPr>
          <w:rFonts w:hint="eastAsia"/>
          <w:b/>
        </w:rPr>
        <w:t>6.6.1 应急终止的条件</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符合下列条件</w:t>
      </w:r>
      <w:r>
        <w:rPr>
          <w:rFonts w:hint="eastAsia" w:asciiTheme="minorEastAsia" w:hAnsiTheme="minorEastAsia" w:eastAsiaTheme="minorEastAsia"/>
          <w:sz w:val="24"/>
          <w:szCs w:val="24"/>
          <w:lang w:val="zh-CN"/>
        </w:rPr>
        <w:t>之一的</w:t>
      </w:r>
      <w:r>
        <w:rPr>
          <w:rFonts w:asciiTheme="minorEastAsia" w:hAnsiTheme="minorEastAsia" w:eastAsiaTheme="minorEastAsia"/>
          <w:sz w:val="24"/>
          <w:szCs w:val="24"/>
          <w:lang w:val="zh-CN"/>
        </w:rPr>
        <w:t>，可终止应急行动：</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①污染事故得到完全控制，污染危险已经消除；</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②污染物的泄漏或释放，经监测符合相关规定；</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③事故所造成的危害已被彻底消除，无继发可能；</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④现场各专业抢险队伍对事故相关险情已处置完毕，应急行动已无继续的必要；</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⑤采取了必要的防护措施以保护员工</w:t>
      </w:r>
      <w:r>
        <w:rPr>
          <w:rFonts w:hint="eastAsia" w:asciiTheme="minorEastAsia" w:hAnsiTheme="minorEastAsia" w:eastAsiaTheme="minorEastAsia"/>
          <w:sz w:val="24"/>
          <w:szCs w:val="24"/>
          <w:lang w:val="zh-CN"/>
        </w:rPr>
        <w:t>、周边居民（村）民</w:t>
      </w:r>
      <w:r>
        <w:rPr>
          <w:rFonts w:asciiTheme="minorEastAsia" w:hAnsiTheme="minorEastAsia" w:eastAsiaTheme="minorEastAsia"/>
          <w:sz w:val="24"/>
          <w:szCs w:val="24"/>
          <w:lang w:val="zh-CN"/>
        </w:rPr>
        <w:t>免受再次危害，并使事件可能引起的中长期影响趋于合理且尽量低的水平。</w:t>
      </w:r>
    </w:p>
    <w:p>
      <w:pPr>
        <w:pStyle w:val="120"/>
        <w:spacing w:line="460" w:lineRule="exact"/>
        <w:ind w:firstLine="0" w:firstLineChars="0"/>
        <w:rPr>
          <w:b/>
        </w:rPr>
      </w:pPr>
      <w:r>
        <w:rPr>
          <w:rFonts w:hint="eastAsia"/>
          <w:b/>
        </w:rPr>
        <w:t>6.6.2应急终止程序</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kern w:val="0"/>
          <w:sz w:val="24"/>
        </w:rPr>
        <w:t xml:space="preserve"> </w:t>
      </w:r>
      <w:r>
        <w:rPr>
          <w:rFonts w:hint="eastAsia" w:asciiTheme="minorEastAsia" w:hAnsiTheme="minorEastAsia" w:eastAsiaTheme="minorEastAsia"/>
          <w:sz w:val="24"/>
          <w:szCs w:val="24"/>
          <w:lang w:val="zh-CN"/>
        </w:rPr>
        <w:t>各应急小组负责人向应急指挥部报告事故相关险情已处置完毕，应急救援总指挥汇同应急指挥部其它成员对全厂及周边受到事故影响的区域进行危险性评估，确定符合应急终止条件后，报告应急救援总指挥，由应急救援总指挥宣布公司事故应急救援行动终止。</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应急状态终止后，有关部门（单位）应根据指挥部指示及实际情况，继续进行环境监测、组织设备设施的抢修，尽快恢复正常生产。</w:t>
      </w:r>
    </w:p>
    <w:p>
      <w:pPr>
        <w:pStyle w:val="120"/>
        <w:spacing w:line="460" w:lineRule="exact"/>
        <w:ind w:firstLine="0" w:firstLineChars="0"/>
        <w:rPr>
          <w:b/>
        </w:rPr>
      </w:pPr>
      <w:r>
        <w:rPr>
          <w:rFonts w:hint="eastAsia"/>
          <w:b/>
        </w:rPr>
        <w:t>6.6.3应急终止后的行动</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应急行动终止后，应做好以下工作：</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（1）及时通知本单位相关部门、周边企业（或事业）单位、社区、社会关注区及人员事件危险已解除；</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（2）对现场中暴露的工作人员、应急行动人员和受污染设备进行清洁净化；</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（3）做好事件情况的后续报告；</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（4）配合上级部门的调查，向事件调查处理小组提供相关资料；</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（5）事件原因、损失调查与责任认定；</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（6）对应急过程进行评价，对事件应急救援工作做好总结报告，突发环境事件应急预案的修订；</w:t>
      </w:r>
    </w:p>
    <w:p>
      <w:pPr>
        <w:adjustRightInd w:val="0"/>
        <w:snapToGrid w:val="0"/>
        <w:spacing w:line="460" w:lineRule="exact"/>
        <w:ind w:firstLine="486" w:firstLineChars="200"/>
        <w:rPr>
          <w:rFonts w:asciiTheme="minorEastAsia" w:hAnsiTheme="minorEastAsia" w:eastAsiaTheme="minorEastAsia"/>
          <w:b/>
          <w:color w:val="000000"/>
          <w:sz w:val="32"/>
        </w:rPr>
      </w:pPr>
      <w:r>
        <w:rPr>
          <w:rFonts w:hint="eastAsia" w:asciiTheme="minorEastAsia" w:hAnsiTheme="minorEastAsia" w:eastAsiaTheme="minorEastAsia"/>
          <w:sz w:val="24"/>
          <w:szCs w:val="24"/>
          <w:lang w:val="zh-CN"/>
        </w:rPr>
        <w:t>（7）对应急器材及时进行检查、复位、补充</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Start w:id="408" w:name="_Toc229283978"/>
      <w:bookmarkStart w:id="409" w:name="_Toc262040284"/>
      <w:bookmarkStart w:id="410" w:name="_Toc262050874"/>
      <w:bookmarkStart w:id="411" w:name="_Toc262051127"/>
      <w:bookmarkStart w:id="412" w:name="_Toc183339230"/>
      <w:bookmarkStart w:id="413" w:name="_Toc336326858"/>
      <w:bookmarkStart w:id="414" w:name="_Toc336327136"/>
      <w:bookmarkStart w:id="415" w:name="_Toc387131434"/>
      <w:bookmarkStart w:id="416" w:name="_Toc387131508"/>
      <w:bookmarkStart w:id="417" w:name="_Toc387131765"/>
      <w:bookmarkStart w:id="418" w:name="_Toc408274445"/>
      <w:bookmarkStart w:id="419" w:name="_Toc415254551"/>
      <w:bookmarkStart w:id="420" w:name="_Toc17333"/>
      <w:bookmarkStart w:id="421" w:name="_Toc196018549"/>
      <w:bookmarkStart w:id="422" w:name="_Toc196018644"/>
      <w:bookmarkStart w:id="423" w:name="_Toc197251348"/>
      <w:bookmarkStart w:id="424" w:name="_Toc198007343"/>
      <w:bookmarkStart w:id="425" w:name="_Toc198355328"/>
      <w:bookmarkStart w:id="426" w:name="_Toc183339506"/>
      <w:bookmarkStart w:id="427" w:name="_Toc184808770"/>
      <w:bookmarkStart w:id="428" w:name="_Toc184809557"/>
      <w:bookmarkStart w:id="429" w:name="_Toc185670990"/>
      <w:bookmarkStart w:id="430" w:name="_Toc196018440"/>
      <w:bookmarkStart w:id="431" w:name="_Toc262051548"/>
      <w:bookmarkStart w:id="432" w:name="_Toc304833241"/>
      <w:bookmarkStart w:id="433" w:name="_Toc304962964"/>
      <w:bookmarkStart w:id="434" w:name="_Toc304963608"/>
      <w:bookmarkStart w:id="435" w:name="_Toc304964451"/>
    </w:p>
    <w:p>
      <w:pPr>
        <w:adjustRightInd w:val="0"/>
        <w:snapToGrid w:val="0"/>
        <w:spacing w:line="360" w:lineRule="auto"/>
        <w:jc w:val="left"/>
        <w:textAlignment w:val="center"/>
        <w:outlineLvl w:val="0"/>
        <w:rPr>
          <w:rFonts w:asciiTheme="minorEastAsia" w:hAnsiTheme="minorEastAsia" w:eastAsiaTheme="minorEastAsia"/>
          <w:b/>
          <w:color w:val="000000"/>
          <w:sz w:val="32"/>
        </w:rPr>
      </w:pPr>
    </w:p>
    <w:p>
      <w:pPr>
        <w:adjustRightInd w:val="0"/>
        <w:snapToGrid w:val="0"/>
        <w:spacing w:line="360" w:lineRule="auto"/>
        <w:jc w:val="center"/>
        <w:textAlignment w:val="center"/>
        <w:outlineLvl w:val="0"/>
        <w:rPr>
          <w:rFonts w:asciiTheme="minorEastAsia" w:hAnsiTheme="minorEastAsia" w:eastAsiaTheme="minorEastAsia"/>
          <w:b/>
          <w:color w:val="000000"/>
          <w:sz w:val="32"/>
        </w:rPr>
      </w:pPr>
      <w:bookmarkStart w:id="436" w:name="_Toc13108"/>
      <w:r>
        <w:rPr>
          <w:rFonts w:asciiTheme="minorEastAsia" w:hAnsiTheme="minorEastAsia" w:eastAsiaTheme="minorEastAsia"/>
          <w:b/>
          <w:color w:val="000000"/>
          <w:sz w:val="32"/>
        </w:rPr>
        <w:t>7</w:t>
      </w:r>
      <w:r>
        <w:rPr>
          <w:rFonts w:hint="eastAsia" w:asciiTheme="minorEastAsia" w:hAnsiTheme="minorEastAsia" w:eastAsiaTheme="minorEastAsia"/>
          <w:b/>
          <w:color w:val="000000"/>
          <w:sz w:val="32"/>
        </w:rPr>
        <w:t>后期处置</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pPr>
        <w:adjustRightInd w:val="0"/>
        <w:snapToGrid w:val="0"/>
        <w:spacing w:line="460" w:lineRule="exact"/>
        <w:outlineLvl w:val="1"/>
        <w:rPr>
          <w:rFonts w:hint="eastAsia"/>
          <w:b/>
          <w:color w:val="000000"/>
          <w:sz w:val="28"/>
          <w:szCs w:val="28"/>
        </w:rPr>
      </w:pPr>
      <w:bookmarkStart w:id="437" w:name="_Toc387131509"/>
      <w:bookmarkStart w:id="438" w:name="_Toc387131766"/>
      <w:bookmarkStart w:id="439" w:name="_Toc415254552"/>
      <w:bookmarkStart w:id="440" w:name="_Toc27785"/>
      <w:bookmarkStart w:id="441" w:name="_Toc31363"/>
      <w:bookmarkStart w:id="442" w:name="_Toc350931210"/>
      <w:bookmarkStart w:id="443" w:name="_Toc387131435"/>
      <w:bookmarkStart w:id="444" w:name="_Toc229283979"/>
      <w:bookmarkStart w:id="445" w:name="_Toc262040285"/>
      <w:bookmarkStart w:id="446" w:name="_Toc262050875"/>
      <w:bookmarkStart w:id="447" w:name="_Toc262051128"/>
      <w:bookmarkStart w:id="448" w:name="_Toc262051549"/>
      <w:bookmarkStart w:id="449" w:name="_Toc184809558"/>
      <w:bookmarkStart w:id="450" w:name="_Toc185670991"/>
      <w:bookmarkStart w:id="451" w:name="_Toc196018441"/>
      <w:bookmarkStart w:id="452" w:name="_Toc196018550"/>
      <w:bookmarkStart w:id="453" w:name="_Toc196018645"/>
      <w:bookmarkStart w:id="454" w:name="_Toc336327137"/>
      <w:bookmarkStart w:id="455" w:name="_Toc179794563"/>
      <w:bookmarkStart w:id="456" w:name="_Toc183339231"/>
      <w:bookmarkStart w:id="457" w:name="_Toc183339507"/>
      <w:bookmarkStart w:id="458" w:name="_Toc184808771"/>
      <w:bookmarkStart w:id="459" w:name="_Toc304833242"/>
      <w:bookmarkStart w:id="460" w:name="_Toc304962965"/>
      <w:bookmarkStart w:id="461" w:name="_Toc304963609"/>
      <w:bookmarkStart w:id="462" w:name="_Toc304964452"/>
      <w:bookmarkStart w:id="463" w:name="_Toc336326859"/>
      <w:bookmarkStart w:id="464" w:name="_Toc197251349"/>
      <w:bookmarkStart w:id="465" w:name="_Toc198007344"/>
      <w:bookmarkStart w:id="466" w:name="_Toc198355329"/>
      <w:r>
        <w:rPr>
          <w:rFonts w:hint="eastAsia"/>
          <w:b/>
          <w:color w:val="000000"/>
          <w:sz w:val="28"/>
          <w:szCs w:val="28"/>
        </w:rPr>
        <w:t>7.1 污染物处理</w:t>
      </w:r>
      <w:bookmarkEnd w:id="437"/>
      <w:bookmarkEnd w:id="438"/>
      <w:bookmarkEnd w:id="439"/>
      <w:bookmarkEnd w:id="440"/>
      <w:bookmarkEnd w:id="441"/>
      <w:bookmarkEnd w:id="442"/>
      <w:bookmarkEnd w:id="443"/>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本着科学处理、尽可能减少对周围环境污染的原则对因发生事故而产生的污染物进行处理。</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对于事故处理过程中产生事故废水，禁止直接排入下水道，应采用事故水收集系统管道送至事故水收集池收集，再集中由污水处理站按不同物料分批次处理。</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对于事故处理过程中产生的含危险废物的消防沙，以及无法再使用的危险废物，应收集在危险废物堆场，再由委托有资质的处理单位处理。</w:t>
      </w:r>
    </w:p>
    <w:p>
      <w:pPr>
        <w:adjustRightInd w:val="0"/>
        <w:snapToGrid w:val="0"/>
        <w:spacing w:line="460" w:lineRule="exact"/>
        <w:outlineLvl w:val="1"/>
        <w:rPr>
          <w:rFonts w:hint="eastAsia"/>
          <w:b/>
          <w:color w:val="000000"/>
          <w:sz w:val="28"/>
          <w:szCs w:val="28"/>
        </w:rPr>
      </w:pPr>
      <w:bookmarkStart w:id="467" w:name="_Toc387131436"/>
      <w:bookmarkStart w:id="468" w:name="_Toc350931212"/>
      <w:bookmarkStart w:id="469" w:name="_Toc18325"/>
      <w:bookmarkStart w:id="470" w:name="_Toc387131510"/>
      <w:bookmarkStart w:id="471" w:name="_Toc415254553"/>
      <w:bookmarkStart w:id="472" w:name="_Toc12626"/>
      <w:bookmarkStart w:id="473" w:name="_Toc387131767"/>
      <w:r>
        <w:rPr>
          <w:rFonts w:hint="eastAsia"/>
          <w:b/>
          <w:color w:val="000000"/>
          <w:sz w:val="28"/>
          <w:szCs w:val="28"/>
        </w:rPr>
        <w:t>7.2生产秩序恢复</w:t>
      </w:r>
      <w:bookmarkEnd w:id="467"/>
      <w:bookmarkEnd w:id="468"/>
      <w:bookmarkEnd w:id="469"/>
      <w:bookmarkEnd w:id="470"/>
      <w:bookmarkEnd w:id="471"/>
      <w:bookmarkEnd w:id="472"/>
      <w:bookmarkEnd w:id="473"/>
    </w:p>
    <w:p>
      <w:pPr>
        <w:adjustRightInd w:val="0"/>
        <w:snapToGrid w:val="0"/>
        <w:spacing w:line="360" w:lineRule="auto"/>
        <w:ind w:firstLine="486" w:firstLineChars="200"/>
        <w:jc w:val="left"/>
        <w:textAlignment w:val="center"/>
        <w:rPr>
          <w:rFonts w:cs="宋体" w:asciiTheme="minorEastAsia" w:hAnsiTheme="minorEastAsia" w:eastAsiaTheme="minorEastAsia"/>
          <w:kern w:val="0"/>
          <w:sz w:val="24"/>
          <w:szCs w:val="24"/>
        </w:rPr>
      </w:pPr>
      <w:r>
        <w:rPr>
          <w:rFonts w:hint="eastAsia" w:asciiTheme="minorEastAsia" w:hAnsiTheme="minorEastAsia" w:eastAsiaTheme="minorEastAsia"/>
          <w:color w:val="000000"/>
          <w:sz w:val="24"/>
          <w:szCs w:val="24"/>
        </w:rPr>
        <w:t>应急救援终止后，厂</w:t>
      </w:r>
      <w:r>
        <w:rPr>
          <w:rFonts w:hint="eastAsia" w:cs="宋体" w:asciiTheme="minorEastAsia" w:hAnsiTheme="minorEastAsia" w:eastAsiaTheme="minorEastAsia"/>
          <w:kern w:val="0"/>
          <w:sz w:val="24"/>
          <w:szCs w:val="24"/>
        </w:rPr>
        <w:t>抢险救灾组</w:t>
      </w:r>
      <w:r>
        <w:rPr>
          <w:rFonts w:hint="eastAsia" w:asciiTheme="minorEastAsia" w:hAnsiTheme="minorEastAsia" w:eastAsiaTheme="minorEastAsia"/>
          <w:color w:val="000000"/>
          <w:sz w:val="24"/>
          <w:szCs w:val="24"/>
        </w:rPr>
        <w:t>应制定切实可行的现场清理、修复方案，避免出现新的危险。在现场取证工作未结束前，</w:t>
      </w:r>
      <w:r>
        <w:rPr>
          <w:rFonts w:hint="eastAsia" w:cs="??_GB2312" w:asciiTheme="minorEastAsia" w:hAnsiTheme="minorEastAsia" w:eastAsiaTheme="minorEastAsia"/>
          <w:sz w:val="24"/>
          <w:szCs w:val="24"/>
          <w:lang w:val="zh-CN"/>
        </w:rPr>
        <w:t>警戒保卫组</w:t>
      </w:r>
      <w:r>
        <w:rPr>
          <w:rFonts w:hint="eastAsia" w:asciiTheme="minorEastAsia" w:hAnsiTheme="minorEastAsia" w:eastAsiaTheme="minorEastAsia"/>
          <w:color w:val="000000"/>
          <w:sz w:val="24"/>
          <w:szCs w:val="24"/>
        </w:rPr>
        <w:t>必须对现场进行保护，不得破坏有关物证资料。</w:t>
      </w:r>
      <w:r>
        <w:rPr>
          <w:rFonts w:hint="eastAsia" w:cs="??_GB2312" w:asciiTheme="minorEastAsia" w:hAnsiTheme="minorEastAsia" w:eastAsiaTheme="minorEastAsia"/>
          <w:kern w:val="0"/>
          <w:sz w:val="24"/>
          <w:szCs w:val="24"/>
          <w:lang w:val="zh-CN"/>
        </w:rPr>
        <w:t>综合协调组</w:t>
      </w:r>
      <w:r>
        <w:rPr>
          <w:rFonts w:hint="eastAsia" w:asciiTheme="minorEastAsia" w:hAnsiTheme="minorEastAsia" w:eastAsiaTheme="minorEastAsia"/>
          <w:color w:val="000000"/>
          <w:sz w:val="24"/>
          <w:szCs w:val="24"/>
        </w:rPr>
        <w:t>妥善安置和慰问受害及受影响人员，保证社会稳定，尽快恢复正常秩序。</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龙桥污水处理厂按制定的现场修复方案，有序进行现场恢复。事故发生部门负责调整岗位人员、调试设备，尽快恢复生产，尽可能的降低事故损失。</w:t>
      </w:r>
    </w:p>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Pr>
        <w:adjustRightInd w:val="0"/>
        <w:snapToGrid w:val="0"/>
        <w:spacing w:line="460" w:lineRule="exact"/>
        <w:outlineLvl w:val="1"/>
        <w:rPr>
          <w:rFonts w:hint="eastAsia"/>
          <w:b/>
          <w:color w:val="000000"/>
          <w:sz w:val="28"/>
          <w:szCs w:val="28"/>
        </w:rPr>
      </w:pPr>
      <w:bookmarkStart w:id="474" w:name="_Toc350931213"/>
      <w:bookmarkStart w:id="475" w:name="_Toc387131437"/>
      <w:bookmarkStart w:id="476" w:name="_Toc387131511"/>
      <w:bookmarkStart w:id="477" w:name="_Toc387131768"/>
      <w:bookmarkStart w:id="478" w:name="_Toc19333"/>
      <w:bookmarkStart w:id="479" w:name="_Toc6172"/>
      <w:bookmarkStart w:id="480" w:name="_Toc415254554"/>
      <w:r>
        <w:rPr>
          <w:rFonts w:hint="eastAsia"/>
          <w:b/>
          <w:color w:val="000000"/>
          <w:sz w:val="28"/>
          <w:szCs w:val="28"/>
        </w:rPr>
        <w:t>7.3善后</w:t>
      </w:r>
      <w:bookmarkEnd w:id="474"/>
      <w:bookmarkEnd w:id="475"/>
      <w:bookmarkEnd w:id="476"/>
      <w:bookmarkEnd w:id="477"/>
      <w:r>
        <w:rPr>
          <w:rFonts w:hint="eastAsia"/>
          <w:b/>
          <w:color w:val="000000"/>
          <w:sz w:val="28"/>
          <w:szCs w:val="28"/>
        </w:rPr>
        <w:t>处置（医疗救治、人员安置、善后赔偿）</w:t>
      </w:r>
      <w:bookmarkEnd w:id="478"/>
      <w:bookmarkEnd w:id="479"/>
      <w:bookmarkEnd w:id="480"/>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生产安全事故发生后，公司财务部、综合部应及时与保险机构联系，及时开展受灾人员、财产保险理赔工作。发生人员伤亡的，成立善后工作组，及时对伤亡人员及其家属进行安抚，商谈救治期间的费用问题；对受灾人员应妥善安置，及时解决受灾人员生活所需；安全生产部准备工伤认定材料，按照工伤上报程序进行上报。</w:t>
      </w:r>
    </w:p>
    <w:p>
      <w:pPr>
        <w:adjustRightInd w:val="0"/>
        <w:snapToGrid w:val="0"/>
        <w:spacing w:line="460" w:lineRule="exact"/>
        <w:outlineLvl w:val="1"/>
        <w:rPr>
          <w:rFonts w:hint="eastAsia"/>
          <w:b/>
          <w:color w:val="000000"/>
          <w:sz w:val="28"/>
          <w:szCs w:val="28"/>
        </w:rPr>
      </w:pPr>
      <w:bookmarkStart w:id="481" w:name="_Toc262051551"/>
      <w:bookmarkStart w:id="482" w:name="_Toc304833244"/>
      <w:bookmarkStart w:id="483" w:name="_Toc304962967"/>
      <w:bookmarkStart w:id="484" w:name="_Toc304963611"/>
      <w:bookmarkStart w:id="485" w:name="_Toc304964454"/>
      <w:bookmarkStart w:id="486" w:name="_Toc262051130"/>
      <w:bookmarkStart w:id="487" w:name="_Toc196018647"/>
      <w:bookmarkStart w:id="488" w:name="_Toc197251351"/>
      <w:bookmarkStart w:id="489" w:name="_Toc198007346"/>
      <w:bookmarkStart w:id="490" w:name="_Toc198355331"/>
      <w:bookmarkStart w:id="491" w:name="_Toc229283981"/>
      <w:bookmarkStart w:id="492" w:name="_Toc184808773"/>
      <w:bookmarkStart w:id="493" w:name="_Toc184809560"/>
      <w:bookmarkStart w:id="494" w:name="_Toc185670993"/>
      <w:bookmarkStart w:id="495" w:name="_Toc196018443"/>
      <w:bookmarkStart w:id="496" w:name="_Toc196018552"/>
      <w:bookmarkStart w:id="497" w:name="_Toc262040287"/>
      <w:bookmarkStart w:id="498" w:name="_Toc262050877"/>
      <w:bookmarkStart w:id="499" w:name="_Toc336326861"/>
      <w:bookmarkStart w:id="500" w:name="_Toc336327139"/>
      <w:bookmarkStart w:id="501" w:name="_Toc179794565"/>
      <w:bookmarkStart w:id="502" w:name="_Toc183339233"/>
      <w:bookmarkStart w:id="503" w:name="_Toc183339509"/>
      <w:bookmarkStart w:id="504" w:name="_Toc415254555"/>
      <w:bookmarkStart w:id="505" w:name="_Toc32621"/>
      <w:bookmarkStart w:id="506" w:name="_Toc28106"/>
      <w:bookmarkStart w:id="507" w:name="_Toc387131438"/>
      <w:bookmarkStart w:id="508" w:name="_Toc387131512"/>
      <w:bookmarkStart w:id="509" w:name="_Toc387131769"/>
      <w:r>
        <w:rPr>
          <w:rFonts w:hint="eastAsia"/>
          <w:b/>
          <w:color w:val="000000"/>
          <w:sz w:val="28"/>
          <w:szCs w:val="28"/>
        </w:rPr>
        <w:t>7.4</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r>
        <w:rPr>
          <w:rFonts w:hint="eastAsia"/>
          <w:b/>
          <w:color w:val="000000"/>
          <w:sz w:val="28"/>
          <w:szCs w:val="28"/>
        </w:rPr>
        <w:t>应急救援能力评估</w:t>
      </w:r>
      <w:bookmarkEnd w:id="504"/>
      <w:bookmarkEnd w:id="505"/>
      <w:bookmarkEnd w:id="506"/>
      <w:bookmarkEnd w:id="507"/>
      <w:bookmarkEnd w:id="508"/>
      <w:bookmarkEnd w:id="509"/>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xml:space="preserve">1) </w:t>
      </w:r>
      <w:r>
        <w:rPr>
          <w:rFonts w:hint="eastAsia" w:asciiTheme="minorEastAsia" w:hAnsiTheme="minorEastAsia" w:eastAsiaTheme="minorEastAsia"/>
          <w:color w:val="000000"/>
          <w:sz w:val="24"/>
          <w:szCs w:val="24"/>
        </w:rPr>
        <w:t>应急指挥部所有成员对事故进行评估，通过评估，总结经验、吸取教训，达到有效地防范事故或将事故危害减小到最低程度的目的。</w:t>
      </w:r>
    </w:p>
    <w:p>
      <w:pPr>
        <w:adjustRightInd w:val="0"/>
        <w:snapToGrid w:val="0"/>
        <w:spacing w:line="360" w:lineRule="auto"/>
        <w:ind w:firstLine="486" w:firstLineChars="200"/>
        <w:jc w:val="left"/>
        <w:textAlignment w:val="center"/>
        <w:rPr>
          <w:rFonts w:asciiTheme="minorEastAsia" w:hAnsiTheme="minorEastAsia" w:eastAsiaTheme="minorEastAsia"/>
          <w:b/>
          <w:color w:val="000000"/>
          <w:sz w:val="32"/>
        </w:rPr>
      </w:pPr>
      <w:r>
        <w:rPr>
          <w:rFonts w:asciiTheme="minorEastAsia" w:hAnsiTheme="minorEastAsia" w:eastAsiaTheme="minorEastAsia"/>
          <w:color w:val="000000"/>
          <w:sz w:val="24"/>
          <w:szCs w:val="24"/>
        </w:rPr>
        <w:t xml:space="preserve">2) </w:t>
      </w:r>
      <w:r>
        <w:rPr>
          <w:rFonts w:hint="eastAsia" w:asciiTheme="minorEastAsia" w:hAnsiTheme="minorEastAsia" w:eastAsiaTheme="minorEastAsia"/>
          <w:color w:val="000000"/>
          <w:sz w:val="24"/>
          <w:szCs w:val="24"/>
        </w:rPr>
        <w:t>生产安全事故善后处置工作结束后，安全生产部应分析总结应急救援经验教训，对抢险过程和应急救援能力进行评估，提出改进应急救援工作的建议，及时修订完善应急救援预案。</w:t>
      </w:r>
      <w:bookmarkStart w:id="510" w:name="_Toc229283982"/>
      <w:bookmarkStart w:id="511" w:name="_Toc262040288"/>
      <w:bookmarkStart w:id="512" w:name="_Toc135709128"/>
      <w:bookmarkStart w:id="513" w:name="_Toc183339234"/>
      <w:bookmarkStart w:id="514" w:name="_Toc198355332"/>
      <w:bookmarkStart w:id="515" w:name="_Toc184808774"/>
      <w:bookmarkStart w:id="516" w:name="_Toc184809561"/>
      <w:bookmarkStart w:id="517" w:name="_Toc262050878"/>
      <w:bookmarkStart w:id="518" w:name="_Toc262051131"/>
      <w:bookmarkStart w:id="519" w:name="_Toc262051552"/>
      <w:bookmarkStart w:id="520" w:name="_Toc304833245"/>
      <w:bookmarkStart w:id="521" w:name="_Toc304962968"/>
      <w:bookmarkStart w:id="522" w:name="_Toc196018444"/>
      <w:bookmarkStart w:id="523" w:name="_Toc196018553"/>
      <w:bookmarkStart w:id="524" w:name="_Toc196018648"/>
      <w:bookmarkStart w:id="525" w:name="_Toc197251352"/>
      <w:bookmarkStart w:id="526" w:name="_Toc198007347"/>
      <w:bookmarkStart w:id="527" w:name="_Toc304963612"/>
      <w:bookmarkStart w:id="528" w:name="_Toc304964455"/>
      <w:bookmarkStart w:id="529" w:name="_Toc336326862"/>
      <w:bookmarkStart w:id="530" w:name="_Toc336327140"/>
      <w:bookmarkStart w:id="531" w:name="_Toc183339510"/>
      <w:bookmarkStart w:id="532" w:name="_Toc185670994"/>
      <w:bookmarkStart w:id="533" w:name="_Toc387131439"/>
      <w:bookmarkStart w:id="534" w:name="_Toc387131513"/>
      <w:bookmarkStart w:id="535" w:name="_Toc387131770"/>
      <w:bookmarkStart w:id="536" w:name="_Toc415254556"/>
    </w:p>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Pr>
        <w:adjustRightInd w:val="0"/>
        <w:snapToGrid w:val="0"/>
        <w:spacing w:line="360" w:lineRule="auto"/>
        <w:jc w:val="center"/>
        <w:textAlignment w:val="center"/>
        <w:outlineLvl w:val="0"/>
        <w:rPr>
          <w:rFonts w:asciiTheme="minorEastAsia" w:hAnsiTheme="minorEastAsia" w:eastAsiaTheme="minorEastAsia"/>
          <w:b/>
          <w:color w:val="000000"/>
          <w:sz w:val="32"/>
        </w:rPr>
      </w:pPr>
      <w:bookmarkStart w:id="537" w:name="_Toc26559"/>
      <w:bookmarkStart w:id="538" w:name="_Toc2962"/>
      <w:r>
        <w:rPr>
          <w:rFonts w:asciiTheme="minorEastAsia" w:hAnsiTheme="minorEastAsia" w:eastAsiaTheme="minorEastAsia"/>
          <w:b/>
          <w:color w:val="000000"/>
          <w:sz w:val="32"/>
        </w:rPr>
        <w:t>8</w:t>
      </w:r>
      <w:r>
        <w:rPr>
          <w:rFonts w:hint="eastAsia" w:asciiTheme="minorEastAsia" w:hAnsiTheme="minorEastAsia" w:eastAsiaTheme="minorEastAsia"/>
          <w:b/>
          <w:color w:val="000000"/>
          <w:sz w:val="32"/>
        </w:rPr>
        <w:t>保障措施</w:t>
      </w:r>
      <w:bookmarkEnd w:id="533"/>
      <w:bookmarkEnd w:id="534"/>
      <w:bookmarkEnd w:id="535"/>
      <w:bookmarkEnd w:id="536"/>
      <w:bookmarkEnd w:id="537"/>
      <w:bookmarkEnd w:id="538"/>
    </w:p>
    <w:p>
      <w:pPr>
        <w:adjustRightInd w:val="0"/>
        <w:snapToGrid w:val="0"/>
        <w:spacing w:line="460" w:lineRule="exact"/>
        <w:outlineLvl w:val="1"/>
        <w:rPr>
          <w:rFonts w:hint="eastAsia"/>
          <w:b/>
          <w:color w:val="000000"/>
          <w:sz w:val="28"/>
          <w:szCs w:val="28"/>
        </w:rPr>
      </w:pPr>
      <w:bookmarkStart w:id="539" w:name="_Toc135709129"/>
      <w:bookmarkStart w:id="540" w:name="_Toc183339235"/>
      <w:bookmarkStart w:id="541" w:name="_Toc183339511"/>
      <w:bookmarkStart w:id="542" w:name="_Toc304963613"/>
      <w:bookmarkStart w:id="543" w:name="_Toc304964456"/>
      <w:bookmarkStart w:id="544" w:name="_Toc336326863"/>
      <w:bookmarkStart w:id="545" w:name="_Toc336327141"/>
      <w:bookmarkStart w:id="546" w:name="_Toc387131440"/>
      <w:bookmarkStart w:id="547" w:name="_Toc198355333"/>
      <w:bookmarkStart w:id="548" w:name="_Toc229283983"/>
      <w:bookmarkStart w:id="549" w:name="_Toc262040289"/>
      <w:bookmarkStart w:id="550" w:name="_Toc262050879"/>
      <w:bookmarkStart w:id="551" w:name="_Toc262051132"/>
      <w:bookmarkStart w:id="552" w:name="_Toc387131514"/>
      <w:bookmarkStart w:id="553" w:name="_Toc387131771"/>
      <w:bookmarkStart w:id="554" w:name="_Toc415254557"/>
      <w:bookmarkStart w:id="555" w:name="_Toc6425"/>
      <w:bookmarkStart w:id="556" w:name="_Toc197251353"/>
      <w:bookmarkStart w:id="557" w:name="_Toc262051553"/>
      <w:bookmarkStart w:id="558" w:name="_Toc304833246"/>
      <w:bookmarkStart w:id="559" w:name="_Toc184808775"/>
      <w:bookmarkStart w:id="560" w:name="_Toc184809562"/>
      <w:bookmarkStart w:id="561" w:name="_Toc185670995"/>
      <w:bookmarkStart w:id="562" w:name="_Toc196018445"/>
      <w:bookmarkStart w:id="563" w:name="_Toc196018554"/>
      <w:bookmarkStart w:id="564" w:name="_Toc196018649"/>
      <w:bookmarkStart w:id="565" w:name="_Toc24312"/>
      <w:bookmarkStart w:id="566" w:name="_Toc304962969"/>
      <w:bookmarkStart w:id="567" w:name="_Toc198007348"/>
      <w:r>
        <w:rPr>
          <w:rFonts w:hint="eastAsia"/>
          <w:b/>
          <w:color w:val="000000"/>
          <w:sz w:val="28"/>
          <w:szCs w:val="28"/>
        </w:rPr>
        <w:t>8.1</w:t>
      </w:r>
      <w:bookmarkEnd w:id="539"/>
      <w:bookmarkEnd w:id="540"/>
      <w:bookmarkEnd w:id="541"/>
      <w:r>
        <w:rPr>
          <w:rFonts w:hint="eastAsia"/>
          <w:b/>
          <w:color w:val="000000"/>
          <w:sz w:val="28"/>
          <w:szCs w:val="28"/>
        </w:rPr>
        <w:t>通信与信息保障</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xml:space="preserve">1) </w:t>
      </w:r>
      <w:r>
        <w:rPr>
          <w:rFonts w:hint="eastAsia" w:asciiTheme="minorEastAsia" w:hAnsiTheme="minorEastAsia" w:eastAsiaTheme="minorEastAsia"/>
          <w:color w:val="000000"/>
          <w:sz w:val="24"/>
          <w:szCs w:val="24"/>
        </w:rPr>
        <w:t>厂建立有有线电话、无线电话和对讲机等多渠道的应急通信系统，通讯方式包括厂区行政电话系统、生产调度电话系统、无线对讲机、火灾自动报警及消防联动系统等。</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2) 24</w:t>
      </w:r>
      <w:r>
        <w:rPr>
          <w:rFonts w:hint="eastAsia" w:asciiTheme="minorEastAsia" w:hAnsiTheme="minorEastAsia" w:eastAsiaTheme="minorEastAsia"/>
          <w:color w:val="000000"/>
          <w:sz w:val="24"/>
          <w:szCs w:val="24"/>
        </w:rPr>
        <w:t>小时应急值守电话是：</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sz w:val="24"/>
          <w:szCs w:val="24"/>
          <w:lang w:val="zh-CN"/>
        </w:rPr>
        <w:t>龙桥污水处理厂</w:t>
      </w:r>
      <w:r>
        <w:rPr>
          <w:rFonts w:hint="eastAsia" w:asciiTheme="minorEastAsia" w:hAnsiTheme="minorEastAsia" w:eastAsiaTheme="minorEastAsia"/>
          <w:color w:val="000000"/>
          <w:sz w:val="24"/>
          <w:szCs w:val="24"/>
        </w:rPr>
        <w:t>应急值班电话：</w:t>
      </w:r>
      <w:r>
        <w:rPr>
          <w:rFonts w:hint="eastAsia" w:asciiTheme="minorEastAsia" w:hAnsiTheme="minorEastAsia" w:eastAsiaTheme="minorEastAsia"/>
          <w:b/>
          <w:color w:val="000000"/>
          <w:sz w:val="24"/>
          <w:szCs w:val="24"/>
        </w:rPr>
        <w:t>（</w:t>
      </w:r>
      <w:r>
        <w:rPr>
          <w:rFonts w:asciiTheme="minorEastAsia" w:hAnsiTheme="minorEastAsia" w:eastAsiaTheme="minorEastAsia"/>
          <w:b/>
          <w:bCs/>
          <w:color w:val="000000"/>
          <w:sz w:val="24"/>
          <w:szCs w:val="24"/>
        </w:rPr>
        <w:t>023-85696870</w:t>
      </w:r>
      <w:r>
        <w:rPr>
          <w:rFonts w:asciiTheme="minorEastAsia" w:hAnsiTheme="minorEastAsia" w:eastAsiaTheme="minorEastAsia"/>
          <w:b/>
          <w:color w:val="000000"/>
          <w:sz w:val="24"/>
          <w:szCs w:val="24"/>
        </w:rPr>
        <w:t>)</w:t>
      </w:r>
      <w:r>
        <w:rPr>
          <w:rFonts w:asciiTheme="minorEastAsia" w:hAnsiTheme="minorEastAsia" w:eastAsiaTheme="minorEastAsia"/>
          <w:color w:val="000000"/>
          <w:sz w:val="24"/>
          <w:szCs w:val="24"/>
        </w:rPr>
        <w:t xml:space="preserve"> </w:t>
      </w:r>
      <w:r>
        <w:rPr>
          <w:rFonts w:hint="eastAsia" w:asciiTheme="minorEastAsia" w:hAnsiTheme="minorEastAsia" w:eastAsiaTheme="minorEastAsia"/>
          <w:color w:val="000000"/>
          <w:sz w:val="24"/>
          <w:szCs w:val="24"/>
        </w:rPr>
        <w:t>应急指挥部向全公司发布救援信号，采用移动通讯的方式。公司已经根据应急需要补偿部分员工的通讯费用，并要求他们的手机</w:t>
      </w:r>
      <w:r>
        <w:rPr>
          <w:rFonts w:asciiTheme="minorEastAsia" w:hAnsiTheme="minorEastAsia" w:eastAsiaTheme="minorEastAsia"/>
          <w:color w:val="000000"/>
          <w:sz w:val="24"/>
          <w:szCs w:val="24"/>
        </w:rPr>
        <w:t>24</w:t>
      </w:r>
      <w:r>
        <w:rPr>
          <w:rFonts w:hint="eastAsia" w:asciiTheme="minorEastAsia" w:hAnsiTheme="minorEastAsia" w:eastAsiaTheme="minorEastAsia"/>
          <w:color w:val="000000"/>
          <w:sz w:val="24"/>
          <w:szCs w:val="24"/>
        </w:rPr>
        <w:t>小时处于开机状态。</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应急救援通讯联络方式见附件。</w:t>
      </w:r>
    </w:p>
    <w:p>
      <w:pPr>
        <w:adjustRightInd w:val="0"/>
        <w:snapToGrid w:val="0"/>
        <w:spacing w:line="460" w:lineRule="exact"/>
        <w:outlineLvl w:val="1"/>
        <w:rPr>
          <w:rFonts w:hint="eastAsia"/>
          <w:b/>
          <w:color w:val="000000"/>
          <w:sz w:val="28"/>
          <w:szCs w:val="28"/>
        </w:rPr>
      </w:pPr>
      <w:bookmarkStart w:id="568" w:name="_Toc196018650"/>
      <w:bookmarkStart w:id="569" w:name="_Toc197251354"/>
      <w:bookmarkStart w:id="570" w:name="_Toc198007349"/>
      <w:bookmarkStart w:id="571" w:name="_Toc198355334"/>
      <w:bookmarkStart w:id="572" w:name="_Toc336326864"/>
      <w:bookmarkStart w:id="573" w:name="_Toc8907"/>
      <w:bookmarkStart w:id="574" w:name="_Toc229283984"/>
      <w:bookmarkStart w:id="575" w:name="_Toc262040290"/>
      <w:bookmarkStart w:id="576" w:name="_Toc262050880"/>
      <w:bookmarkStart w:id="577" w:name="_Toc184808776"/>
      <w:bookmarkStart w:id="578" w:name="_Toc262051554"/>
      <w:bookmarkStart w:id="579" w:name="_Toc304833247"/>
      <w:bookmarkStart w:id="580" w:name="_Toc304962970"/>
      <w:bookmarkStart w:id="581" w:name="_Toc304963614"/>
      <w:bookmarkStart w:id="582" w:name="_Toc304964457"/>
      <w:bookmarkStart w:id="583" w:name="_Toc262051133"/>
      <w:bookmarkStart w:id="584" w:name="_Toc762"/>
      <w:bookmarkStart w:id="585" w:name="_Toc184809563"/>
      <w:bookmarkStart w:id="586" w:name="_Toc185670996"/>
      <w:bookmarkStart w:id="587" w:name="_Toc196018446"/>
      <w:bookmarkStart w:id="588" w:name="_Toc196018555"/>
      <w:bookmarkStart w:id="589" w:name="_Toc336327142"/>
      <w:bookmarkStart w:id="590" w:name="_Toc387131441"/>
      <w:bookmarkStart w:id="591" w:name="_Toc387131515"/>
      <w:bookmarkStart w:id="592" w:name="_Toc387131772"/>
      <w:bookmarkStart w:id="593" w:name="_Toc415254558"/>
      <w:r>
        <w:rPr>
          <w:rFonts w:hint="eastAsia"/>
          <w:b/>
          <w:color w:val="000000"/>
          <w:sz w:val="28"/>
          <w:szCs w:val="28"/>
        </w:rPr>
        <w:t>8.2应急队伍保障</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pPr>
        <w:adjustRightInd w:val="0"/>
        <w:snapToGrid w:val="0"/>
        <w:spacing w:line="360" w:lineRule="auto"/>
        <w:ind w:firstLine="486" w:firstLineChars="200"/>
        <w:jc w:val="left"/>
        <w:textAlignment w:val="center"/>
        <w:rPr>
          <w:rFonts w:hint="eastAsia" w:asciiTheme="minorEastAsia" w:hAnsiTheme="minorEastAsia" w:eastAsiaTheme="minorEastAsia"/>
          <w:sz w:val="24"/>
          <w:szCs w:val="24"/>
          <w:lang w:val="zh-CN"/>
        </w:rPr>
      </w:pPr>
      <w:bookmarkStart w:id="594" w:name="_Toc197251355"/>
      <w:bookmarkStart w:id="595" w:name="_Toc198007350"/>
      <w:bookmarkStart w:id="596" w:name="_Toc198355335"/>
      <w:bookmarkStart w:id="597" w:name="_Toc229283985"/>
      <w:bookmarkStart w:id="598" w:name="_Toc262040291"/>
      <w:bookmarkStart w:id="599" w:name="_Toc262050881"/>
      <w:bookmarkStart w:id="600" w:name="_Toc262051134"/>
      <w:bookmarkStart w:id="601" w:name="_Toc196018447"/>
      <w:bookmarkStart w:id="602" w:name="_Toc196018556"/>
      <w:bookmarkStart w:id="603" w:name="_Toc196018651"/>
      <w:bookmarkStart w:id="604" w:name="_Toc262051555"/>
      <w:bookmarkStart w:id="605" w:name="_Toc179794569"/>
      <w:bookmarkStart w:id="606" w:name="_Toc184808777"/>
      <w:bookmarkStart w:id="607" w:name="_Toc184809564"/>
      <w:bookmarkStart w:id="608" w:name="_Toc185670997"/>
      <w:r>
        <w:rPr>
          <w:rFonts w:hint="eastAsia" w:asciiTheme="minorEastAsia" w:hAnsiTheme="minorEastAsia" w:eastAsiaTheme="minorEastAsia"/>
          <w:sz w:val="24"/>
          <w:szCs w:val="24"/>
          <w:lang w:val="zh-CN"/>
        </w:rPr>
        <w:t>1) 厂组建应急救援抢险队伍，包括抢险救灾组、医疗救护组、警戒保卫组、环境监测组、综合协调组等。公司不断加强对应急救援队伍的专业培训和应急演练，以提高本公司应急救援队伍的素质。</w:t>
      </w:r>
    </w:p>
    <w:p>
      <w:pPr>
        <w:adjustRightInd w:val="0"/>
        <w:snapToGrid w:val="0"/>
        <w:spacing w:line="360" w:lineRule="auto"/>
        <w:ind w:firstLine="486" w:firstLineChars="200"/>
        <w:jc w:val="left"/>
        <w:textAlignment w:val="center"/>
        <w:rPr>
          <w:rFonts w:hint="eastAsia"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2) 龙桥污水处理厂位于涪陵龙桥工业园区，园区内有重庆专业化工救援队伍：重庆市涪陵区武警大佛消防中队，其能力可满足公司应急需要，可以作为公司应急资源保障。</w:t>
      </w:r>
    </w:p>
    <w:p>
      <w:pPr>
        <w:adjustRightInd w:val="0"/>
        <w:snapToGrid w:val="0"/>
        <w:spacing w:line="360" w:lineRule="auto"/>
        <w:ind w:firstLine="486" w:firstLineChars="200"/>
        <w:jc w:val="left"/>
        <w:textAlignment w:val="center"/>
        <w:rPr>
          <w:rFonts w:hint="eastAsia"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公司应急救援队伍组成见附件。</w:t>
      </w:r>
    </w:p>
    <w:p>
      <w:pPr>
        <w:adjustRightInd w:val="0"/>
        <w:snapToGrid w:val="0"/>
        <w:spacing w:line="460" w:lineRule="exact"/>
        <w:outlineLvl w:val="1"/>
        <w:rPr>
          <w:rFonts w:hint="eastAsia"/>
          <w:b/>
          <w:color w:val="000000"/>
          <w:sz w:val="28"/>
          <w:szCs w:val="28"/>
        </w:rPr>
      </w:pPr>
      <w:bookmarkStart w:id="609" w:name="_Toc415254559"/>
      <w:bookmarkStart w:id="610" w:name="_Toc336326865"/>
      <w:bookmarkStart w:id="611" w:name="_Toc336327143"/>
      <w:bookmarkStart w:id="612" w:name="_Toc387131442"/>
      <w:bookmarkStart w:id="613" w:name="_Toc387131516"/>
      <w:bookmarkStart w:id="614" w:name="_Toc387131773"/>
      <w:bookmarkStart w:id="615" w:name="_Toc3845"/>
      <w:bookmarkStart w:id="616" w:name="_Toc22113"/>
      <w:bookmarkStart w:id="617" w:name="_Toc304833248"/>
      <w:bookmarkStart w:id="618" w:name="_Toc304962971"/>
      <w:bookmarkStart w:id="619" w:name="_Toc304963615"/>
      <w:bookmarkStart w:id="620" w:name="_Toc304964458"/>
      <w:r>
        <w:rPr>
          <w:rFonts w:hint="eastAsia"/>
          <w:b/>
          <w:color w:val="000000"/>
          <w:sz w:val="28"/>
          <w:szCs w:val="28"/>
        </w:rPr>
        <w:t>8.3物资装备保障</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xml:space="preserve">1) </w:t>
      </w:r>
      <w:r>
        <w:rPr>
          <w:rFonts w:hint="eastAsia" w:asciiTheme="minorEastAsia" w:hAnsiTheme="minorEastAsia" w:eastAsiaTheme="minorEastAsia"/>
          <w:color w:val="000000"/>
          <w:sz w:val="24"/>
          <w:szCs w:val="24"/>
        </w:rPr>
        <w:t>污水厂自备应急救援物资</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污水厂生产区、罐区设有完善的消防水灭火系统、储罐冷却水系统和有毒气体浓度检测报警系统等，以及交通运输车、各型灭火器、消火栓、空气呼吸器、全面罩防毒面具、防护服、防护手套，以及应急照明设施等。详见附件。该物资由龙桥厂负责管理，其联系方式是</w:t>
      </w:r>
      <w:r>
        <w:rPr>
          <w:rFonts w:asciiTheme="minorEastAsia" w:hAnsiTheme="minorEastAsia" w:eastAsiaTheme="minorEastAsia"/>
          <w:color w:val="000000"/>
          <w:sz w:val="24"/>
          <w:szCs w:val="24"/>
        </w:rPr>
        <w:t>1396666788</w:t>
      </w:r>
      <w:r>
        <w:rPr>
          <w:rFonts w:hint="eastAsia" w:asciiTheme="minorEastAsia" w:hAnsiTheme="minorEastAsia" w:eastAsiaTheme="minorEastAsia"/>
          <w:color w:val="000000"/>
          <w:sz w:val="24"/>
          <w:szCs w:val="24"/>
        </w:rPr>
        <w:t>或</w:t>
      </w:r>
      <w:r>
        <w:rPr>
          <w:rFonts w:asciiTheme="minorEastAsia" w:hAnsiTheme="minorEastAsia" w:eastAsiaTheme="minorEastAsia"/>
          <w:color w:val="000000"/>
          <w:sz w:val="24"/>
          <w:szCs w:val="24"/>
        </w:rPr>
        <w:t>023-85696870</w:t>
      </w:r>
      <w:r>
        <w:rPr>
          <w:rFonts w:hint="eastAsia" w:asciiTheme="minorEastAsia" w:hAnsiTheme="minorEastAsia" w:eastAsiaTheme="minorEastAsia"/>
          <w:color w:val="000000"/>
          <w:sz w:val="24"/>
          <w:szCs w:val="24"/>
        </w:rPr>
        <w:t>。</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xml:space="preserve">2) </w:t>
      </w:r>
      <w:r>
        <w:rPr>
          <w:rFonts w:hint="eastAsia" w:asciiTheme="minorEastAsia" w:hAnsiTheme="minorEastAsia" w:eastAsiaTheme="minorEastAsia"/>
          <w:color w:val="000000"/>
          <w:sz w:val="24"/>
          <w:szCs w:val="24"/>
        </w:rPr>
        <w:t>消防设施布置图、现场平面布置图、工艺流程图、周围地区图、气象资料存放在公司资料室由安全生产部保存管理，其联系方式：</w:t>
      </w:r>
      <w:r>
        <w:rPr>
          <w:rFonts w:asciiTheme="minorEastAsia" w:hAnsiTheme="minorEastAsia" w:eastAsiaTheme="minorEastAsia"/>
          <w:color w:val="000000"/>
          <w:sz w:val="24"/>
          <w:szCs w:val="24"/>
        </w:rPr>
        <w:t>0232-</w:t>
      </w:r>
      <w:r>
        <w:rPr>
          <w:rFonts w:cs="??_GB2312" w:asciiTheme="minorEastAsia" w:hAnsiTheme="minorEastAsia" w:eastAsiaTheme="minorEastAsia"/>
          <w:sz w:val="24"/>
          <w:szCs w:val="24"/>
        </w:rPr>
        <w:t>72881721</w:t>
      </w:r>
      <w:r>
        <w:rPr>
          <w:rFonts w:hint="eastAsia" w:cs="??_GB2312" w:asciiTheme="minorEastAsia" w:hAnsiTheme="minorEastAsia" w:eastAsiaTheme="minorEastAsia"/>
          <w:sz w:val="24"/>
          <w:szCs w:val="24"/>
        </w:rPr>
        <w:t>或</w:t>
      </w:r>
      <w:r>
        <w:rPr>
          <w:rFonts w:cs="??_GB2312" w:asciiTheme="minorEastAsia" w:hAnsiTheme="minorEastAsia" w:eastAsiaTheme="minorEastAsia"/>
          <w:sz w:val="24"/>
          <w:szCs w:val="24"/>
        </w:rPr>
        <w:t>18623512227</w:t>
      </w:r>
      <w:r>
        <w:rPr>
          <w:rFonts w:hint="eastAsia" w:asciiTheme="minorEastAsia" w:hAnsiTheme="minorEastAsia" w:eastAsiaTheme="minorEastAsia"/>
          <w:color w:val="000000"/>
          <w:sz w:val="24"/>
          <w:szCs w:val="24"/>
        </w:rPr>
        <w:t>。</w:t>
      </w:r>
    </w:p>
    <w:p>
      <w:pPr>
        <w:adjustRightInd w:val="0"/>
        <w:snapToGrid w:val="0"/>
        <w:spacing w:line="460" w:lineRule="exact"/>
        <w:outlineLvl w:val="1"/>
        <w:rPr>
          <w:rFonts w:hint="eastAsia"/>
          <w:b/>
          <w:color w:val="000000"/>
          <w:sz w:val="28"/>
          <w:szCs w:val="28"/>
        </w:rPr>
      </w:pPr>
      <w:bookmarkStart w:id="621" w:name="_Toc185671001"/>
      <w:bookmarkStart w:id="622" w:name="_Toc184808781"/>
      <w:bookmarkStart w:id="623" w:name="_Toc198355339"/>
      <w:bookmarkStart w:id="624" w:name="_Toc229283989"/>
      <w:bookmarkStart w:id="625" w:name="_Toc197251359"/>
      <w:bookmarkStart w:id="626" w:name="_Toc196018451"/>
      <w:bookmarkStart w:id="627" w:name="_Toc304964459"/>
      <w:bookmarkStart w:id="628" w:name="_Toc336326866"/>
      <w:bookmarkStart w:id="629" w:name="_Toc336327144"/>
      <w:bookmarkStart w:id="630" w:name="_Toc196018655"/>
      <w:bookmarkStart w:id="631" w:name="_Toc304962972"/>
      <w:bookmarkStart w:id="632" w:name="_Toc262051138"/>
      <w:bookmarkStart w:id="633" w:name="_Toc196018560"/>
      <w:bookmarkStart w:id="634" w:name="_Toc304833249"/>
      <w:bookmarkStart w:id="635" w:name="_Toc304963616"/>
      <w:bookmarkStart w:id="636" w:name="_Toc198007354"/>
      <w:bookmarkStart w:id="637" w:name="_Toc262040295"/>
      <w:bookmarkStart w:id="638" w:name="_Toc262050885"/>
      <w:bookmarkStart w:id="639" w:name="_Toc262051559"/>
      <w:bookmarkStart w:id="640" w:name="_Toc184809568"/>
      <w:bookmarkStart w:id="641" w:name="_Toc387131443"/>
      <w:bookmarkStart w:id="642" w:name="_Toc387131517"/>
      <w:bookmarkStart w:id="643" w:name="_Toc387131774"/>
      <w:bookmarkStart w:id="644" w:name="_Toc408274454"/>
      <w:bookmarkStart w:id="645" w:name="_Toc415254560"/>
      <w:bookmarkStart w:id="646" w:name="_Toc3023"/>
      <w:bookmarkStart w:id="647" w:name="_Toc19104"/>
      <w:r>
        <w:rPr>
          <w:rFonts w:hint="eastAsia"/>
          <w:b/>
          <w:color w:val="000000"/>
          <w:sz w:val="28"/>
          <w:szCs w:val="28"/>
        </w:rPr>
        <w:t>8.4</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r>
        <w:rPr>
          <w:rFonts w:hint="eastAsia"/>
          <w:b/>
          <w:color w:val="000000"/>
          <w:sz w:val="28"/>
          <w:szCs w:val="28"/>
        </w:rPr>
        <w:t>其他保障</w:t>
      </w:r>
      <w:bookmarkEnd w:id="641"/>
      <w:bookmarkEnd w:id="642"/>
      <w:bookmarkEnd w:id="643"/>
      <w:bookmarkEnd w:id="644"/>
      <w:bookmarkEnd w:id="645"/>
      <w:bookmarkEnd w:id="646"/>
      <w:bookmarkEnd w:id="647"/>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经费保障：公司安全生产部对应急工作的日常费用作出预算，经总经理审定后列入年度预算，由公司财务予以保证；应急资金由公司安全费用中列支。</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医疗保障：园区内有龙桥卫生院可以作为公司医疗保障，此外，距离公司</w:t>
      </w:r>
      <w:r>
        <w:rPr>
          <w:rFonts w:asciiTheme="minorEastAsia" w:hAnsiTheme="minorEastAsia" w:eastAsiaTheme="minorEastAsia"/>
          <w:color w:val="000000"/>
          <w:sz w:val="24"/>
          <w:szCs w:val="24"/>
        </w:rPr>
        <w:t>40min</w:t>
      </w:r>
      <w:r>
        <w:rPr>
          <w:rFonts w:hint="eastAsia" w:asciiTheme="minorEastAsia" w:hAnsiTheme="minorEastAsia" w:eastAsiaTheme="minorEastAsia"/>
          <w:color w:val="000000"/>
          <w:sz w:val="24"/>
          <w:szCs w:val="24"/>
        </w:rPr>
        <w:t>车程的涪陵中心医院等也可作为公司医疗保障。</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交通保障：办公室负责交通运输保障。应急状态时，保证车辆及驾驶人员及时将应急救援人员、装备和物资送达抢险现场。</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技术保障：公司每年派出了特种作业和应该持证上岗的人员进行外出培训学习，保证知识的更新，同时聘请经验丰富的专家和学者来公司培训指导，公司对相关岗位紧急停车系统，进一步保证了安全生产。</w:t>
      </w:r>
      <w:bookmarkStart w:id="648" w:name="_Toc196018562"/>
      <w:bookmarkStart w:id="649" w:name="_Toc196018657"/>
      <w:bookmarkStart w:id="650" w:name="_Toc197251361"/>
      <w:bookmarkStart w:id="651" w:name="_Toc198007356"/>
      <w:bookmarkStart w:id="652" w:name="_Toc184808783"/>
      <w:bookmarkStart w:id="653" w:name="_Toc184809570"/>
      <w:bookmarkStart w:id="654" w:name="_Toc185671003"/>
      <w:bookmarkStart w:id="655" w:name="_Toc196018453"/>
      <w:bookmarkStart w:id="656" w:name="_Toc262051561"/>
      <w:bookmarkStart w:id="657" w:name="_Toc304833251"/>
      <w:bookmarkStart w:id="658" w:name="_Toc304962974"/>
      <w:bookmarkStart w:id="659" w:name="_Toc304963618"/>
      <w:bookmarkStart w:id="660" w:name="_Toc183339513"/>
      <w:bookmarkStart w:id="661" w:name="_Toc304964461"/>
      <w:bookmarkStart w:id="662" w:name="_Toc336326868"/>
      <w:bookmarkStart w:id="663" w:name="_Toc336327146"/>
      <w:bookmarkStart w:id="664" w:name="_Toc135709135"/>
      <w:bookmarkStart w:id="665" w:name="_Toc183339237"/>
      <w:bookmarkStart w:id="666" w:name="_Toc198355341"/>
      <w:bookmarkStart w:id="667" w:name="_Toc229283991"/>
      <w:bookmarkStart w:id="668" w:name="_Toc262040297"/>
      <w:bookmarkStart w:id="669" w:name="_Toc262050887"/>
      <w:bookmarkStart w:id="670" w:name="_Toc262051140"/>
      <w:bookmarkStart w:id="671" w:name="_Toc387131444"/>
      <w:bookmarkStart w:id="672" w:name="_Toc387131518"/>
      <w:bookmarkStart w:id="673" w:name="_Toc387131775"/>
      <w:bookmarkStart w:id="674" w:name="_Toc408274455"/>
      <w:bookmarkStart w:id="675" w:name="_Toc415254561"/>
    </w:p>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Pr>
        <w:adjustRightInd w:val="0"/>
        <w:snapToGrid w:val="0"/>
        <w:spacing w:line="360" w:lineRule="auto"/>
        <w:jc w:val="center"/>
        <w:textAlignment w:val="center"/>
        <w:outlineLvl w:val="0"/>
        <w:rPr>
          <w:rFonts w:asciiTheme="minorEastAsia" w:hAnsiTheme="minorEastAsia" w:eastAsiaTheme="minorEastAsia"/>
          <w:b/>
          <w:color w:val="000000"/>
          <w:sz w:val="32"/>
        </w:rPr>
      </w:pPr>
      <w:bookmarkStart w:id="676" w:name="_Toc24779"/>
      <w:bookmarkStart w:id="677" w:name="_Toc29797"/>
      <w:r>
        <w:rPr>
          <w:rFonts w:hint="eastAsia" w:asciiTheme="minorEastAsia" w:hAnsiTheme="minorEastAsia" w:eastAsiaTheme="minorEastAsia"/>
          <w:b/>
          <w:color w:val="000000"/>
          <w:sz w:val="32"/>
        </w:rPr>
        <w:t>9</w:t>
      </w:r>
      <w:r>
        <w:rPr>
          <w:rFonts w:asciiTheme="minorEastAsia" w:hAnsiTheme="minorEastAsia" w:eastAsiaTheme="minorEastAsia"/>
          <w:b/>
          <w:color w:val="000000"/>
          <w:sz w:val="32"/>
        </w:rPr>
        <w:t>奖励与责任追究</w:t>
      </w:r>
      <w:bookmarkEnd w:id="676"/>
      <w:bookmarkStart w:id="678" w:name="_Toc317862375"/>
    </w:p>
    <w:p>
      <w:pPr>
        <w:adjustRightInd w:val="0"/>
        <w:snapToGrid w:val="0"/>
        <w:spacing w:line="460" w:lineRule="exact"/>
        <w:outlineLvl w:val="1"/>
        <w:rPr>
          <w:rFonts w:hint="eastAsia"/>
          <w:b/>
          <w:color w:val="000000"/>
          <w:sz w:val="28"/>
          <w:szCs w:val="28"/>
        </w:rPr>
      </w:pPr>
      <w:bookmarkStart w:id="679" w:name="_Toc458674315"/>
      <w:bookmarkStart w:id="680" w:name="_Toc19143"/>
      <w:r>
        <w:rPr>
          <w:rFonts w:hint="eastAsia"/>
          <w:b/>
          <w:color w:val="000000"/>
          <w:sz w:val="28"/>
          <w:szCs w:val="28"/>
        </w:rPr>
        <w:t>9.1奖励</w:t>
      </w:r>
      <w:bookmarkEnd w:id="678"/>
      <w:bookmarkEnd w:id="679"/>
      <w:bookmarkEnd w:id="680"/>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在突发环境事件中，有下列事件之一的单位和个人，依据有关规定给予奖励。</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（1）出色完成突发环境事件应急处置任务，成绩显著的；</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（2）对防止或挽救突发环境事件有功，使国家、集体和人民群众的生命财产免受或者减少损失的；</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（3）对事件应急准备与相应提出重大建议，实施效果显著的；</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（4）有其他特殊贡献的。</w:t>
      </w:r>
    </w:p>
    <w:p>
      <w:pPr>
        <w:adjustRightInd w:val="0"/>
        <w:snapToGrid w:val="0"/>
        <w:spacing w:line="460" w:lineRule="exact"/>
        <w:outlineLvl w:val="1"/>
        <w:rPr>
          <w:rFonts w:hint="eastAsia"/>
          <w:b/>
          <w:color w:val="000000"/>
          <w:sz w:val="28"/>
          <w:szCs w:val="28"/>
        </w:rPr>
      </w:pPr>
      <w:bookmarkStart w:id="681" w:name="_Toc458674316"/>
      <w:bookmarkStart w:id="682" w:name="_Toc12553"/>
      <w:bookmarkStart w:id="683" w:name="_Toc317862376"/>
      <w:r>
        <w:rPr>
          <w:rFonts w:hint="eastAsia"/>
          <w:b/>
          <w:color w:val="000000"/>
          <w:sz w:val="28"/>
          <w:szCs w:val="28"/>
        </w:rPr>
        <w:t>9.2责任追究</w:t>
      </w:r>
      <w:bookmarkEnd w:id="681"/>
      <w:bookmarkEnd w:id="682"/>
      <w:bookmarkEnd w:id="683"/>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在突发环境事件应急工作中，有下列事迹之一的，按照有关法律和规定，对有关责任人员视情节和危害后果，由其所在单位或者上级机关给予行政处分；其中，国家公务员和国家行政机关任命的其他人员，分别由任免机关或者监察机关给予行政处分；构成犯罪的，由司法机关依法追究刑事责任。</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（1）不认真履行环保法律、法规而引发环境事件的；</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（2）不按照规定制定突发环境事件应急预案，拒绝承担突发环境事件应急准备义务的；</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（3）不按照规定报告、通报突发事件真实情况的；</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（4）拒不执行突发环境事件应急预案，不服从命令和指挥，或者在事件应急相应时临阵脱逃的；</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（5）盗窃、贪污、挪用环境事件应急工作资金、装备和物资的；</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（6）阻碍环境事件应急工作人员依法执行职务或者进行破坏活动的；</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（7）散步谣言，扰乱社会秩序的；</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（8）有其他环境事件应急工作造成损害的。</w:t>
      </w:r>
    </w:p>
    <w:p>
      <w:pPr>
        <w:adjustRightInd w:val="0"/>
        <w:snapToGrid w:val="0"/>
        <w:spacing w:line="360" w:lineRule="auto"/>
        <w:jc w:val="center"/>
        <w:textAlignment w:val="center"/>
        <w:outlineLvl w:val="0"/>
        <w:rPr>
          <w:rFonts w:hint="eastAsia" w:asciiTheme="minorEastAsia" w:hAnsiTheme="minorEastAsia" w:eastAsiaTheme="minorEastAsia"/>
          <w:b/>
          <w:color w:val="000000"/>
          <w:sz w:val="32"/>
        </w:rPr>
      </w:pPr>
    </w:p>
    <w:p>
      <w:pPr>
        <w:adjustRightInd w:val="0"/>
        <w:snapToGrid w:val="0"/>
        <w:spacing w:line="360" w:lineRule="auto"/>
        <w:jc w:val="center"/>
        <w:textAlignment w:val="center"/>
        <w:outlineLvl w:val="0"/>
        <w:rPr>
          <w:rFonts w:hint="eastAsia" w:asciiTheme="minorEastAsia" w:hAnsiTheme="minorEastAsia" w:eastAsiaTheme="minorEastAsia"/>
          <w:b/>
          <w:color w:val="000000"/>
          <w:sz w:val="32"/>
        </w:rPr>
      </w:pPr>
      <w:bookmarkStart w:id="684" w:name="_Toc21654"/>
      <w:r>
        <w:rPr>
          <w:rFonts w:hint="eastAsia" w:asciiTheme="minorEastAsia" w:hAnsiTheme="minorEastAsia" w:eastAsiaTheme="minorEastAsia"/>
          <w:b/>
          <w:color w:val="000000"/>
          <w:sz w:val="32"/>
        </w:rPr>
        <w:t>10应急预案管理</w:t>
      </w:r>
      <w:bookmarkEnd w:id="671"/>
      <w:bookmarkEnd w:id="672"/>
      <w:bookmarkEnd w:id="673"/>
      <w:bookmarkEnd w:id="674"/>
      <w:bookmarkEnd w:id="675"/>
      <w:bookmarkEnd w:id="677"/>
      <w:bookmarkEnd w:id="684"/>
    </w:p>
    <w:p>
      <w:pPr>
        <w:adjustRightInd w:val="0"/>
        <w:snapToGrid w:val="0"/>
        <w:spacing w:line="460" w:lineRule="exact"/>
        <w:outlineLvl w:val="1"/>
        <w:rPr>
          <w:rFonts w:hint="eastAsia"/>
          <w:b/>
          <w:color w:val="000000"/>
          <w:sz w:val="28"/>
          <w:szCs w:val="28"/>
        </w:rPr>
      </w:pPr>
      <w:bookmarkStart w:id="685" w:name="_Toc336327147"/>
      <w:bookmarkStart w:id="686" w:name="_Toc387131445"/>
      <w:bookmarkStart w:id="687" w:name="_Toc387131519"/>
      <w:bookmarkStart w:id="688" w:name="_Toc387131776"/>
      <w:bookmarkStart w:id="689" w:name="_Toc408274456"/>
      <w:bookmarkStart w:id="690" w:name="_Toc197251362"/>
      <w:bookmarkStart w:id="691" w:name="_Toc198007357"/>
      <w:bookmarkStart w:id="692" w:name="_Toc198355342"/>
      <w:bookmarkStart w:id="693" w:name="_Toc229283992"/>
      <w:bookmarkStart w:id="694" w:name="_Toc262040298"/>
      <w:bookmarkStart w:id="695" w:name="_Toc304963619"/>
      <w:bookmarkStart w:id="696" w:name="_Toc304964462"/>
      <w:bookmarkStart w:id="697" w:name="_Toc336326869"/>
      <w:bookmarkStart w:id="698" w:name="_Toc415254562"/>
      <w:bookmarkStart w:id="699" w:name="_Toc196018454"/>
      <w:bookmarkStart w:id="700" w:name="_Toc262050888"/>
      <w:bookmarkStart w:id="701" w:name="_Toc262051141"/>
      <w:bookmarkStart w:id="702" w:name="_Toc262051562"/>
      <w:bookmarkStart w:id="703" w:name="_Toc304833252"/>
      <w:bookmarkStart w:id="704" w:name="_Toc304962975"/>
      <w:bookmarkStart w:id="705" w:name="_Toc135709136"/>
      <w:bookmarkStart w:id="706" w:name="_Toc183339238"/>
      <w:bookmarkStart w:id="707" w:name="_Toc183339514"/>
      <w:bookmarkStart w:id="708" w:name="_Toc184808784"/>
      <w:bookmarkStart w:id="709" w:name="_Toc184809571"/>
      <w:bookmarkStart w:id="710" w:name="_Toc185671004"/>
      <w:bookmarkStart w:id="711" w:name="_Toc196018563"/>
      <w:bookmarkStart w:id="712" w:name="_Toc196018658"/>
      <w:bookmarkStart w:id="713" w:name="_Toc24100"/>
      <w:bookmarkStart w:id="714" w:name="_Toc29617"/>
      <w:r>
        <w:rPr>
          <w:rFonts w:hint="eastAsia"/>
          <w:b/>
          <w:color w:val="000000"/>
          <w:sz w:val="28"/>
          <w:szCs w:val="28"/>
          <w:lang w:val="en-US" w:eastAsia="zh-CN"/>
        </w:rPr>
        <w:t>10</w:t>
      </w:r>
      <w:r>
        <w:rPr>
          <w:rFonts w:hint="eastAsia"/>
          <w:b/>
          <w:color w:val="000000"/>
          <w:sz w:val="28"/>
          <w:szCs w:val="28"/>
        </w:rPr>
        <w:t>.1应急预案培训</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综合部会同相关部门，通过各种宣传手段，对公司员工和企业周边公众广泛宣传事故的危险危害及应急常识。</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公司安全生产部每年至少组织一次公司级综合性应急知识培训；生产部、各部门定期对各部门所属员工进行应急培训；各班组每月组织班员进行针对性的现场处置知识培训。</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对本厂员工加强应对突发事故的能力培训，具体内容包括：</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1</w:t>
      </w:r>
      <w:r>
        <w:rPr>
          <w:rFonts w:hint="eastAsia" w:asciiTheme="minorEastAsia" w:hAnsiTheme="minorEastAsia" w:eastAsiaTheme="minorEastAsia"/>
          <w:color w:val="000000"/>
          <w:sz w:val="24"/>
          <w:szCs w:val="24"/>
        </w:rPr>
        <w:t>）培训员工熟悉并掌握用身边的工具，以最快最有效地报警或发出事故警报；</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2</w:t>
      </w:r>
      <w:r>
        <w:rPr>
          <w:rFonts w:hint="eastAsia" w:asciiTheme="minorEastAsia" w:hAnsiTheme="minorEastAsia" w:eastAsiaTheme="minorEastAsia"/>
          <w:color w:val="000000"/>
          <w:sz w:val="24"/>
          <w:szCs w:val="24"/>
        </w:rPr>
        <w:t>）培训员工突发事故时怎样用现有条件进行自我保护，并相互实施救助；</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3</w:t>
      </w:r>
      <w:r>
        <w:rPr>
          <w:rFonts w:hint="eastAsia" w:asciiTheme="minorEastAsia" w:hAnsiTheme="minorEastAsia" w:eastAsiaTheme="minorEastAsia"/>
          <w:color w:val="000000"/>
          <w:sz w:val="24"/>
          <w:szCs w:val="24"/>
        </w:rPr>
        <w:t>）为避免员工事故突发时因惊慌失措而发生不必要的伤亡，培训员工怎么有序地按事先规定的路线疏散。对人员疏散的培训主要在应急演练中进行；</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4</w:t>
      </w:r>
      <w:r>
        <w:rPr>
          <w:rFonts w:hint="eastAsia" w:asciiTheme="minorEastAsia" w:hAnsiTheme="minorEastAsia" w:eastAsiaTheme="minorEastAsia"/>
          <w:color w:val="000000"/>
          <w:sz w:val="24"/>
          <w:szCs w:val="24"/>
        </w:rPr>
        <w:t>）培训员工熟悉消防等应急救援器具的使用，掌握事故初发时应急处置基本技术，使其在事故发生时不会手足无措，为控制事态赢得时机。</w:t>
      </w:r>
    </w:p>
    <w:p>
      <w:pPr>
        <w:adjustRightInd w:val="0"/>
        <w:snapToGrid w:val="0"/>
        <w:spacing w:line="460" w:lineRule="exact"/>
        <w:outlineLvl w:val="1"/>
        <w:rPr>
          <w:rFonts w:hint="eastAsia"/>
          <w:b/>
          <w:color w:val="000000"/>
          <w:sz w:val="28"/>
          <w:szCs w:val="28"/>
          <w:lang w:val="en-US" w:eastAsia="zh-CN"/>
        </w:rPr>
      </w:pPr>
      <w:bookmarkStart w:id="715" w:name="_Toc183339515"/>
      <w:bookmarkStart w:id="716" w:name="_Toc184808785"/>
      <w:bookmarkStart w:id="717" w:name="_Toc184809572"/>
      <w:bookmarkStart w:id="718" w:name="_Toc185671005"/>
      <w:bookmarkStart w:id="719" w:name="_Toc196018455"/>
      <w:bookmarkStart w:id="720" w:name="_Toc304962976"/>
      <w:bookmarkStart w:id="721" w:name="_Toc135709137"/>
      <w:bookmarkStart w:id="722" w:name="_Toc415254563"/>
      <w:bookmarkStart w:id="723" w:name="_Toc3991"/>
      <w:bookmarkStart w:id="724" w:name="_Toc183339239"/>
      <w:bookmarkStart w:id="725" w:name="_Toc262040299"/>
      <w:bookmarkStart w:id="726" w:name="_Toc262050889"/>
      <w:bookmarkStart w:id="727" w:name="_Toc262051142"/>
      <w:bookmarkStart w:id="728" w:name="_Toc262051563"/>
      <w:bookmarkStart w:id="729" w:name="_Toc304833253"/>
      <w:bookmarkStart w:id="730" w:name="_Toc336326870"/>
      <w:bookmarkStart w:id="731" w:name="_Toc336327148"/>
      <w:bookmarkStart w:id="732" w:name="_Toc387131446"/>
      <w:bookmarkStart w:id="733" w:name="_Toc387131520"/>
      <w:bookmarkStart w:id="734" w:name="_Toc387131777"/>
      <w:bookmarkStart w:id="735" w:name="_Toc408274457"/>
      <w:bookmarkStart w:id="736" w:name="_Toc197251363"/>
      <w:bookmarkStart w:id="737" w:name="_Toc198007358"/>
      <w:bookmarkStart w:id="738" w:name="_Toc198355343"/>
      <w:bookmarkStart w:id="739" w:name="_Toc229283993"/>
      <w:bookmarkStart w:id="740" w:name="_Toc196018564"/>
      <w:bookmarkStart w:id="741" w:name="_Toc196018659"/>
      <w:bookmarkStart w:id="742" w:name="_Toc16205"/>
      <w:bookmarkStart w:id="743" w:name="_Toc304963620"/>
      <w:bookmarkStart w:id="744" w:name="_Toc304964463"/>
      <w:r>
        <w:rPr>
          <w:rFonts w:hint="eastAsia"/>
          <w:b/>
          <w:color w:val="000000"/>
          <w:sz w:val="28"/>
          <w:szCs w:val="28"/>
          <w:lang w:val="en-US" w:eastAsia="zh-CN"/>
        </w:rPr>
        <w:t>10.2应急预案演练</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pPr>
        <w:spacing w:line="360" w:lineRule="auto"/>
        <w:jc w:val="left"/>
        <w:outlineLvl w:val="2"/>
        <w:rPr>
          <w:rStyle w:val="135"/>
          <w:rFonts w:asciiTheme="minorEastAsia" w:hAnsiTheme="minorEastAsia" w:eastAsiaTheme="minorEastAsia"/>
          <w:bCs/>
          <w:color w:val="000000"/>
          <w:sz w:val="28"/>
          <w:szCs w:val="28"/>
        </w:rPr>
      </w:pPr>
      <w:bookmarkStart w:id="745" w:name="_Toc272328359"/>
      <w:bookmarkStart w:id="746" w:name="_Toc262040300"/>
      <w:bookmarkStart w:id="747" w:name="_Toc262051564"/>
      <w:bookmarkStart w:id="748" w:name="_Toc262050890"/>
      <w:bookmarkStart w:id="749" w:name="_Toc262051143"/>
      <w:r>
        <w:rPr>
          <w:rStyle w:val="135"/>
          <w:rFonts w:hint="eastAsia" w:asciiTheme="minorEastAsia" w:hAnsiTheme="minorEastAsia" w:eastAsiaTheme="minorEastAsia"/>
          <w:bCs/>
          <w:color w:val="000000"/>
          <w:sz w:val="28"/>
          <w:szCs w:val="28"/>
          <w:lang w:val="en-US"/>
        </w:rPr>
        <w:t>10</w:t>
      </w:r>
      <w:r>
        <w:rPr>
          <w:rStyle w:val="135"/>
          <w:rFonts w:asciiTheme="minorEastAsia" w:hAnsiTheme="minorEastAsia" w:eastAsiaTheme="minorEastAsia"/>
          <w:bCs/>
          <w:color w:val="000000"/>
          <w:sz w:val="28"/>
          <w:szCs w:val="28"/>
        </w:rPr>
        <w:t>.2.1</w:t>
      </w:r>
      <w:r>
        <w:rPr>
          <w:rStyle w:val="135"/>
          <w:rFonts w:hint="eastAsia" w:asciiTheme="minorEastAsia" w:hAnsiTheme="minorEastAsia" w:eastAsiaTheme="minorEastAsia"/>
          <w:bCs/>
          <w:color w:val="000000"/>
          <w:sz w:val="28"/>
          <w:szCs w:val="28"/>
        </w:rPr>
        <w:t>演练频次</w:t>
      </w:r>
      <w:bookmarkEnd w:id="745"/>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综合应急预案和专项应急预案的演练由公司分管副总经理组织，每年至少进行一次。现场处置方案由生产部每半年度演练</w:t>
      </w:r>
      <w:r>
        <w:rPr>
          <w:rFonts w:asciiTheme="minorEastAsia" w:hAnsiTheme="minorEastAsia" w:eastAsiaTheme="minorEastAsia"/>
          <w:color w:val="000000"/>
          <w:sz w:val="24"/>
          <w:szCs w:val="24"/>
        </w:rPr>
        <w:t>1</w:t>
      </w:r>
      <w:r>
        <w:rPr>
          <w:rFonts w:hint="eastAsia" w:asciiTheme="minorEastAsia" w:hAnsiTheme="minorEastAsia" w:eastAsiaTheme="minorEastAsia"/>
          <w:color w:val="000000"/>
          <w:sz w:val="24"/>
          <w:szCs w:val="24"/>
        </w:rPr>
        <w:t>次。</w:t>
      </w:r>
    </w:p>
    <w:p>
      <w:pPr>
        <w:spacing w:line="360" w:lineRule="auto"/>
        <w:jc w:val="left"/>
        <w:outlineLvl w:val="2"/>
        <w:rPr>
          <w:rStyle w:val="135"/>
          <w:rFonts w:asciiTheme="minorEastAsia" w:hAnsiTheme="minorEastAsia" w:eastAsiaTheme="minorEastAsia"/>
          <w:bCs/>
          <w:color w:val="000000"/>
          <w:sz w:val="28"/>
          <w:szCs w:val="28"/>
        </w:rPr>
      </w:pPr>
      <w:bookmarkStart w:id="750" w:name="_Toc272328360"/>
      <w:r>
        <w:rPr>
          <w:rStyle w:val="135"/>
          <w:rFonts w:hint="eastAsia" w:asciiTheme="minorEastAsia" w:hAnsiTheme="minorEastAsia" w:eastAsiaTheme="minorEastAsia"/>
          <w:bCs/>
          <w:color w:val="000000"/>
          <w:sz w:val="28"/>
          <w:szCs w:val="28"/>
          <w:lang w:val="en-US"/>
        </w:rPr>
        <w:t>10</w:t>
      </w:r>
      <w:r>
        <w:rPr>
          <w:rStyle w:val="135"/>
          <w:rFonts w:asciiTheme="minorEastAsia" w:hAnsiTheme="minorEastAsia" w:eastAsiaTheme="minorEastAsia"/>
          <w:bCs/>
          <w:color w:val="000000"/>
          <w:sz w:val="28"/>
          <w:szCs w:val="28"/>
        </w:rPr>
        <w:t>.2.2</w:t>
      </w:r>
      <w:r>
        <w:rPr>
          <w:rStyle w:val="135"/>
          <w:rFonts w:hint="eastAsia" w:asciiTheme="minorEastAsia" w:hAnsiTheme="minorEastAsia" w:eastAsiaTheme="minorEastAsia"/>
          <w:bCs/>
          <w:color w:val="000000"/>
          <w:sz w:val="28"/>
          <w:szCs w:val="28"/>
        </w:rPr>
        <w:t>演练要求</w:t>
      </w:r>
      <w:bookmarkEnd w:id="750"/>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每次演练应明确目的、内容；组织人员对演练进行评价，发现问题提出相应的解决措施；安排人员做好演练文字记录、图片音像资料；及时对预案进行修订完善。</w:t>
      </w:r>
    </w:p>
    <w:p>
      <w:pPr>
        <w:spacing w:line="360" w:lineRule="auto"/>
        <w:jc w:val="left"/>
        <w:outlineLvl w:val="2"/>
        <w:rPr>
          <w:rStyle w:val="135"/>
          <w:rFonts w:asciiTheme="minorEastAsia" w:hAnsiTheme="minorEastAsia" w:eastAsiaTheme="minorEastAsia"/>
          <w:bCs/>
          <w:color w:val="000000"/>
          <w:sz w:val="28"/>
          <w:szCs w:val="28"/>
        </w:rPr>
      </w:pPr>
      <w:bookmarkStart w:id="751" w:name="_Toc272328361"/>
      <w:r>
        <w:rPr>
          <w:rStyle w:val="135"/>
          <w:rFonts w:hint="eastAsia" w:asciiTheme="minorEastAsia" w:hAnsiTheme="minorEastAsia" w:eastAsiaTheme="minorEastAsia"/>
          <w:bCs/>
          <w:color w:val="000000"/>
          <w:sz w:val="28"/>
          <w:szCs w:val="28"/>
          <w:lang w:val="en-US"/>
        </w:rPr>
        <w:t>10</w:t>
      </w:r>
      <w:r>
        <w:rPr>
          <w:rStyle w:val="135"/>
          <w:rFonts w:asciiTheme="minorEastAsia" w:hAnsiTheme="minorEastAsia" w:eastAsiaTheme="minorEastAsia"/>
          <w:bCs/>
          <w:color w:val="000000"/>
          <w:sz w:val="28"/>
          <w:szCs w:val="28"/>
        </w:rPr>
        <w:t>.2.3</w:t>
      </w:r>
      <w:r>
        <w:rPr>
          <w:rStyle w:val="135"/>
          <w:rFonts w:hint="eastAsia" w:asciiTheme="minorEastAsia" w:hAnsiTheme="minorEastAsia" w:eastAsiaTheme="minorEastAsia"/>
          <w:bCs/>
          <w:color w:val="000000"/>
          <w:sz w:val="28"/>
          <w:szCs w:val="28"/>
        </w:rPr>
        <w:t>演练内容</w:t>
      </w:r>
      <w:bookmarkEnd w:id="751"/>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xml:space="preserve">1) </w:t>
      </w:r>
      <w:r>
        <w:rPr>
          <w:rFonts w:hint="eastAsia" w:asciiTheme="minorEastAsia" w:hAnsiTheme="minorEastAsia" w:eastAsiaTheme="minorEastAsia"/>
          <w:color w:val="000000"/>
          <w:sz w:val="24"/>
          <w:szCs w:val="24"/>
        </w:rPr>
        <w:t>通信联络、报警、信息报告程序演练。</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xml:space="preserve">2) </w:t>
      </w:r>
      <w:r>
        <w:rPr>
          <w:rFonts w:hint="eastAsia" w:asciiTheme="minorEastAsia" w:hAnsiTheme="minorEastAsia" w:eastAsiaTheme="minorEastAsia"/>
          <w:color w:val="000000"/>
          <w:sz w:val="24"/>
          <w:szCs w:val="24"/>
        </w:rPr>
        <w:t>疏散、人员集中清点、应急器材、物资到位演练。</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xml:space="preserve">3) </w:t>
      </w:r>
      <w:r>
        <w:rPr>
          <w:rFonts w:hint="eastAsia" w:asciiTheme="minorEastAsia" w:hAnsiTheme="minorEastAsia" w:eastAsiaTheme="minorEastAsia"/>
          <w:color w:val="000000"/>
          <w:sz w:val="24"/>
          <w:szCs w:val="24"/>
        </w:rPr>
        <w:t>各救援小组迅速就位演练、应急处置演练。</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xml:space="preserve">4) </w:t>
      </w:r>
      <w:r>
        <w:rPr>
          <w:rFonts w:hint="eastAsia" w:asciiTheme="minorEastAsia" w:hAnsiTheme="minorEastAsia" w:eastAsiaTheme="minorEastAsia"/>
          <w:color w:val="000000"/>
          <w:sz w:val="24"/>
          <w:szCs w:val="24"/>
        </w:rPr>
        <w:t>各单位间相互配合协调应急演练等。</w:t>
      </w:r>
    </w:p>
    <w:p>
      <w:pPr>
        <w:adjustRightInd w:val="0"/>
        <w:snapToGrid w:val="0"/>
        <w:spacing w:line="460" w:lineRule="exact"/>
        <w:outlineLvl w:val="1"/>
        <w:rPr>
          <w:rFonts w:hint="eastAsia"/>
          <w:b/>
          <w:color w:val="000000"/>
          <w:sz w:val="28"/>
          <w:szCs w:val="28"/>
          <w:lang w:val="en-US" w:eastAsia="zh-CN"/>
        </w:rPr>
      </w:pPr>
      <w:bookmarkStart w:id="752" w:name="_Toc262051149"/>
      <w:bookmarkStart w:id="753" w:name="_Toc304833260"/>
      <w:bookmarkStart w:id="754" w:name="_Toc304962983"/>
      <w:bookmarkStart w:id="755" w:name="_Toc304963627"/>
      <w:bookmarkStart w:id="756" w:name="_Toc304964470"/>
      <w:bookmarkStart w:id="757" w:name="_Toc336326877"/>
      <w:bookmarkStart w:id="758" w:name="_Toc336327155"/>
      <w:bookmarkStart w:id="759" w:name="_Toc262051570"/>
      <w:bookmarkStart w:id="760" w:name="_Toc262050894"/>
      <w:bookmarkStart w:id="761" w:name="_Toc387131447"/>
      <w:bookmarkStart w:id="762" w:name="_Toc21254"/>
      <w:bookmarkStart w:id="763" w:name="_Toc387131521"/>
      <w:bookmarkStart w:id="764" w:name="_Toc387131778"/>
      <w:bookmarkStart w:id="765" w:name="_Toc415254564"/>
      <w:bookmarkStart w:id="766" w:name="_Toc24500"/>
      <w:bookmarkStart w:id="767" w:name="_Toc408274458"/>
      <w:r>
        <w:rPr>
          <w:rFonts w:hint="eastAsia"/>
          <w:b/>
          <w:color w:val="000000"/>
          <w:sz w:val="28"/>
          <w:szCs w:val="28"/>
          <w:lang w:val="en-US" w:eastAsia="zh-CN"/>
        </w:rPr>
        <w:t>10.3</w:t>
      </w:r>
      <w:bookmarkEnd w:id="752"/>
      <w:bookmarkEnd w:id="753"/>
      <w:bookmarkEnd w:id="754"/>
      <w:bookmarkEnd w:id="755"/>
      <w:bookmarkEnd w:id="756"/>
      <w:bookmarkEnd w:id="757"/>
      <w:bookmarkEnd w:id="758"/>
      <w:bookmarkEnd w:id="759"/>
      <w:bookmarkEnd w:id="760"/>
      <w:r>
        <w:rPr>
          <w:rFonts w:hint="eastAsia"/>
          <w:b/>
          <w:color w:val="000000"/>
          <w:sz w:val="28"/>
          <w:szCs w:val="28"/>
          <w:lang w:val="en-US" w:eastAsia="zh-CN"/>
        </w:rPr>
        <w:t>应急预案修订</w:t>
      </w:r>
      <w:bookmarkEnd w:id="761"/>
      <w:bookmarkEnd w:id="762"/>
      <w:bookmarkEnd w:id="763"/>
      <w:bookmarkEnd w:id="764"/>
      <w:bookmarkEnd w:id="765"/>
      <w:bookmarkEnd w:id="766"/>
      <w:bookmarkEnd w:id="767"/>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 xml:space="preserve">1) </w:t>
      </w:r>
      <w:r>
        <w:rPr>
          <w:rFonts w:hint="eastAsia" w:asciiTheme="minorEastAsia" w:hAnsiTheme="minorEastAsia" w:eastAsiaTheme="minorEastAsia"/>
          <w:color w:val="000000"/>
          <w:sz w:val="24"/>
          <w:szCs w:val="24"/>
        </w:rPr>
        <w:t>安全生产部每</w:t>
      </w:r>
      <w:r>
        <w:rPr>
          <w:rFonts w:asciiTheme="minorEastAsia" w:hAnsiTheme="minorEastAsia" w:eastAsiaTheme="minorEastAsia"/>
          <w:color w:val="000000"/>
          <w:sz w:val="24"/>
          <w:szCs w:val="24"/>
        </w:rPr>
        <w:t>3</w:t>
      </w:r>
      <w:r>
        <w:rPr>
          <w:rFonts w:hint="eastAsia" w:asciiTheme="minorEastAsia" w:hAnsiTheme="minorEastAsia" w:eastAsiaTheme="minorEastAsia"/>
          <w:color w:val="000000"/>
          <w:sz w:val="24"/>
          <w:szCs w:val="24"/>
        </w:rPr>
        <w:t>年至少组织一次公司生产安全事故应急预案的修订，同时负责本预案的管理。</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2</w:t>
      </w:r>
      <w:r>
        <w:rPr>
          <w:rFonts w:hint="eastAsia" w:asciiTheme="minorEastAsia" w:hAnsiTheme="minorEastAsia" w:eastAsiaTheme="minorEastAsia"/>
          <w:color w:val="000000"/>
          <w:sz w:val="24"/>
          <w:szCs w:val="24"/>
        </w:rPr>
        <w:t>）因以下原因出现不符合项，应及时对预案进行修订、更新：</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w:t>
      </w:r>
      <w:r>
        <w:rPr>
          <w:rFonts w:asciiTheme="minorEastAsia" w:hAnsiTheme="minorEastAsia" w:eastAsiaTheme="minorEastAsia"/>
          <w:color w:val="000000"/>
          <w:sz w:val="24"/>
          <w:szCs w:val="24"/>
        </w:rPr>
        <w:t>1</w:t>
      </w:r>
      <w:r>
        <w:rPr>
          <w:rFonts w:hint="eastAsia" w:asciiTheme="minorEastAsia" w:hAnsiTheme="minorEastAsia" w:eastAsiaTheme="minorEastAsia"/>
          <w:color w:val="000000"/>
          <w:sz w:val="24"/>
          <w:szCs w:val="24"/>
        </w:rPr>
        <w:t>）新法律法规、标准的颁布实施、相关法律法规、标准的修订；</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w:t>
      </w:r>
      <w:r>
        <w:rPr>
          <w:rFonts w:asciiTheme="minorEastAsia" w:hAnsiTheme="minorEastAsia" w:eastAsiaTheme="minorEastAsia"/>
          <w:color w:val="000000"/>
          <w:sz w:val="24"/>
          <w:szCs w:val="24"/>
        </w:rPr>
        <w:t>2</w:t>
      </w:r>
      <w:r>
        <w:rPr>
          <w:rFonts w:hint="eastAsia" w:asciiTheme="minorEastAsia" w:hAnsiTheme="minorEastAsia" w:eastAsiaTheme="minorEastAsia"/>
          <w:color w:val="000000"/>
          <w:sz w:val="24"/>
          <w:szCs w:val="24"/>
        </w:rPr>
        <w:t>）机构重大调整、工艺改革、关键设备更换或应急资源发生变化；</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w:t>
      </w:r>
      <w:r>
        <w:rPr>
          <w:rFonts w:asciiTheme="minorEastAsia" w:hAnsiTheme="minorEastAsia" w:eastAsiaTheme="minorEastAsia"/>
          <w:color w:val="000000"/>
          <w:sz w:val="24"/>
          <w:szCs w:val="24"/>
        </w:rPr>
        <w:t>3</w:t>
      </w:r>
      <w:r>
        <w:rPr>
          <w:rFonts w:hint="eastAsia" w:asciiTheme="minorEastAsia" w:hAnsiTheme="minorEastAsia" w:eastAsiaTheme="minorEastAsia"/>
          <w:color w:val="000000"/>
          <w:sz w:val="24"/>
          <w:szCs w:val="24"/>
        </w:rPr>
        <w:t>）预案演练或潜在事件和突发事故应急处置中发现不符合项；</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w:t>
      </w:r>
      <w:r>
        <w:rPr>
          <w:rFonts w:asciiTheme="minorEastAsia" w:hAnsiTheme="minorEastAsia" w:eastAsiaTheme="minorEastAsia"/>
          <w:color w:val="000000"/>
          <w:sz w:val="24"/>
          <w:szCs w:val="24"/>
        </w:rPr>
        <w:t>4</w:t>
      </w:r>
      <w:r>
        <w:rPr>
          <w:rFonts w:hint="eastAsia" w:asciiTheme="minorEastAsia" w:hAnsiTheme="minorEastAsia" w:eastAsiaTheme="minorEastAsia"/>
          <w:color w:val="000000"/>
          <w:sz w:val="24"/>
          <w:szCs w:val="24"/>
        </w:rPr>
        <w:t>）其他原因。</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8"/>
          <w:szCs w:val="28"/>
        </w:rPr>
      </w:pPr>
      <w:r>
        <w:rPr>
          <w:rFonts w:asciiTheme="minorEastAsia" w:hAnsiTheme="minorEastAsia" w:eastAsiaTheme="minorEastAsia"/>
          <w:color w:val="000000"/>
          <w:sz w:val="24"/>
          <w:szCs w:val="24"/>
        </w:rPr>
        <w:t>3</w:t>
      </w:r>
      <w:r>
        <w:rPr>
          <w:rFonts w:hint="eastAsia" w:asciiTheme="minorEastAsia" w:hAnsiTheme="minorEastAsia" w:eastAsiaTheme="minorEastAsia"/>
          <w:color w:val="000000"/>
          <w:sz w:val="24"/>
          <w:szCs w:val="24"/>
        </w:rPr>
        <w:t>）为确保预案的科学性、合理性和可操作性，在预案修订小组内部评审后，报上级应急预案管理</w:t>
      </w:r>
      <w:r>
        <w:rPr>
          <w:rFonts w:asciiTheme="minorEastAsia" w:hAnsiTheme="minorEastAsia" w:eastAsiaTheme="minorEastAsia"/>
          <w:color w:val="000000"/>
          <w:sz w:val="24"/>
          <w:szCs w:val="24"/>
        </w:rPr>
        <w:t>(</w:t>
      </w:r>
      <w:r>
        <w:rPr>
          <w:rFonts w:hint="eastAsia" w:asciiTheme="minorEastAsia" w:hAnsiTheme="minorEastAsia" w:eastAsiaTheme="minorEastAsia"/>
          <w:color w:val="000000"/>
          <w:sz w:val="24"/>
          <w:szCs w:val="24"/>
        </w:rPr>
        <w:t>备案</w:t>
      </w:r>
      <w:r>
        <w:rPr>
          <w:rFonts w:asciiTheme="minorEastAsia" w:hAnsiTheme="minorEastAsia" w:eastAsiaTheme="minorEastAsia"/>
          <w:color w:val="000000"/>
          <w:sz w:val="24"/>
          <w:szCs w:val="24"/>
        </w:rPr>
        <w:t>)</w:t>
      </w:r>
      <w:r>
        <w:rPr>
          <w:rFonts w:hint="eastAsia" w:asciiTheme="minorEastAsia" w:hAnsiTheme="minorEastAsia" w:eastAsiaTheme="minorEastAsia"/>
          <w:color w:val="000000"/>
          <w:sz w:val="24"/>
          <w:szCs w:val="24"/>
        </w:rPr>
        <w:t>部门组织专家评审，实现可持续改进。</w:t>
      </w:r>
    </w:p>
    <w:p>
      <w:pPr>
        <w:adjustRightInd w:val="0"/>
        <w:snapToGrid w:val="0"/>
        <w:spacing w:line="460" w:lineRule="exact"/>
        <w:outlineLvl w:val="1"/>
        <w:rPr>
          <w:rFonts w:hint="eastAsia"/>
          <w:b/>
          <w:color w:val="000000"/>
          <w:sz w:val="28"/>
          <w:szCs w:val="28"/>
          <w:lang w:val="en-US" w:eastAsia="zh-CN"/>
        </w:rPr>
      </w:pPr>
      <w:bookmarkStart w:id="768" w:name="_Toc304963626"/>
      <w:bookmarkStart w:id="769" w:name="_Toc415254565"/>
      <w:bookmarkStart w:id="770" w:name="_Toc408274459"/>
      <w:bookmarkStart w:id="771" w:name="_Toc304964469"/>
      <w:bookmarkStart w:id="772" w:name="_Toc336326876"/>
      <w:bookmarkStart w:id="773" w:name="_Toc387131448"/>
      <w:bookmarkStart w:id="774" w:name="_Toc336327154"/>
      <w:bookmarkStart w:id="775" w:name="_Toc28765"/>
      <w:bookmarkStart w:id="776" w:name="_Toc387131522"/>
      <w:bookmarkStart w:id="777" w:name="_Toc304833259"/>
      <w:bookmarkStart w:id="778" w:name="_Toc304962982"/>
      <w:bookmarkStart w:id="779" w:name="_Toc387131779"/>
      <w:bookmarkStart w:id="780" w:name="_Toc8241"/>
      <w:r>
        <w:rPr>
          <w:rFonts w:hint="eastAsia"/>
          <w:b/>
          <w:color w:val="000000"/>
          <w:sz w:val="28"/>
          <w:szCs w:val="28"/>
          <w:lang w:val="en-US" w:eastAsia="zh-CN"/>
        </w:rPr>
        <w:t>10.4应急预案备案</w:t>
      </w:r>
      <w:bookmarkEnd w:id="768"/>
      <w:bookmarkEnd w:id="769"/>
      <w:bookmarkEnd w:id="770"/>
      <w:bookmarkEnd w:id="771"/>
      <w:bookmarkEnd w:id="772"/>
      <w:bookmarkEnd w:id="773"/>
      <w:bookmarkEnd w:id="774"/>
      <w:bookmarkEnd w:id="775"/>
      <w:bookmarkEnd w:id="776"/>
      <w:bookmarkEnd w:id="777"/>
      <w:bookmarkEnd w:id="778"/>
      <w:bookmarkEnd w:id="779"/>
      <w:bookmarkEnd w:id="780"/>
      <w:bookmarkStart w:id="781" w:name="_Toc262051571"/>
      <w:bookmarkStart w:id="782" w:name="_Toc262051150"/>
      <w:bookmarkStart w:id="783" w:name="_Toc304962984"/>
      <w:bookmarkStart w:id="784" w:name="_Toc304963628"/>
      <w:bookmarkStart w:id="785" w:name="_Toc304964471"/>
      <w:bookmarkStart w:id="786" w:name="_Toc336326878"/>
      <w:bookmarkStart w:id="787" w:name="_Toc336327156"/>
      <w:bookmarkStart w:id="788" w:name="_Toc262050895"/>
      <w:bookmarkStart w:id="789" w:name="_Toc304833261"/>
      <w:bookmarkStart w:id="790" w:name="_Toc387131780"/>
      <w:bookmarkStart w:id="791" w:name="_Toc415254566"/>
      <w:bookmarkStart w:id="792" w:name="_Toc408274460"/>
      <w:bookmarkStart w:id="793" w:name="_Toc387131449"/>
      <w:bookmarkStart w:id="794" w:name="_Toc387131523"/>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按照“分类管理、分级负责”及属地管理的原则，报涪陵区环境保护局或安全生产监督管理局备案。</w:t>
      </w:r>
    </w:p>
    <w:p>
      <w:pPr>
        <w:adjustRightInd w:val="0"/>
        <w:snapToGrid w:val="0"/>
        <w:spacing w:line="460" w:lineRule="exact"/>
        <w:outlineLvl w:val="1"/>
        <w:rPr>
          <w:rFonts w:hint="eastAsia"/>
          <w:b/>
          <w:color w:val="000000"/>
          <w:sz w:val="28"/>
          <w:szCs w:val="28"/>
          <w:lang w:val="en-US" w:eastAsia="zh-CN"/>
        </w:rPr>
      </w:pPr>
      <w:bookmarkStart w:id="795" w:name="_Toc13844"/>
      <w:bookmarkStart w:id="796" w:name="_Toc21978"/>
      <w:r>
        <w:rPr>
          <w:rFonts w:hint="eastAsia"/>
          <w:b/>
          <w:color w:val="000000"/>
          <w:sz w:val="28"/>
          <w:szCs w:val="28"/>
          <w:lang w:val="en-US" w:eastAsia="zh-CN"/>
        </w:rPr>
        <w:t>10.5</w:t>
      </w:r>
      <w:bookmarkEnd w:id="781"/>
      <w:bookmarkEnd w:id="782"/>
      <w:bookmarkEnd w:id="783"/>
      <w:bookmarkEnd w:id="784"/>
      <w:bookmarkEnd w:id="785"/>
      <w:bookmarkEnd w:id="786"/>
      <w:bookmarkEnd w:id="787"/>
      <w:bookmarkEnd w:id="788"/>
      <w:bookmarkEnd w:id="789"/>
      <w:r>
        <w:rPr>
          <w:rFonts w:hint="eastAsia"/>
          <w:b/>
          <w:color w:val="000000"/>
          <w:sz w:val="28"/>
          <w:szCs w:val="28"/>
          <w:lang w:val="en-US" w:eastAsia="zh-CN"/>
        </w:rPr>
        <w:t>应急预案实施</w:t>
      </w:r>
      <w:bookmarkEnd w:id="790"/>
      <w:bookmarkEnd w:id="791"/>
      <w:bookmarkEnd w:id="792"/>
      <w:bookmarkEnd w:id="793"/>
      <w:bookmarkEnd w:id="794"/>
      <w:bookmarkEnd w:id="795"/>
      <w:bookmarkEnd w:id="796"/>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bookmarkStart w:id="797" w:name="_Toc262050896"/>
      <w:bookmarkStart w:id="798" w:name="_Toc262051151"/>
      <w:bookmarkStart w:id="799" w:name="_Toc262051572"/>
      <w:r>
        <w:rPr>
          <w:rFonts w:hint="eastAsia" w:asciiTheme="minorEastAsia" w:hAnsiTheme="minorEastAsia" w:eastAsiaTheme="minorEastAsia"/>
          <w:color w:val="000000"/>
          <w:sz w:val="24"/>
          <w:szCs w:val="24"/>
        </w:rPr>
        <w:t>本预案由公司安全生产部组织制定并负责解释。</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本预案自发布之日起实施。</w:t>
      </w:r>
    </w:p>
    <w:bookmarkEnd w:id="746"/>
    <w:bookmarkEnd w:id="747"/>
    <w:bookmarkEnd w:id="748"/>
    <w:bookmarkEnd w:id="749"/>
    <w:bookmarkEnd w:id="797"/>
    <w:bookmarkEnd w:id="798"/>
    <w:bookmarkEnd w:id="799"/>
    <w:p>
      <w:pPr>
        <w:spacing w:afterLines="50" w:line="360" w:lineRule="auto"/>
        <w:jc w:val="center"/>
        <w:outlineLvl w:val="0"/>
        <w:rPr>
          <w:rFonts w:asciiTheme="minorEastAsia" w:hAnsiTheme="minorEastAsia" w:eastAsiaTheme="minorEastAsia"/>
          <w:b/>
          <w:color w:val="000000"/>
          <w:sz w:val="32"/>
        </w:rPr>
      </w:pPr>
      <w:bookmarkStart w:id="800" w:name="_Toc262051165"/>
      <w:bookmarkStart w:id="801" w:name="_Toc198355354"/>
      <w:bookmarkStart w:id="802" w:name="_Toc304962986"/>
      <w:bookmarkStart w:id="803" w:name="_Toc262051586"/>
      <w:bookmarkStart w:id="804" w:name="_Toc408274461"/>
      <w:bookmarkStart w:id="805" w:name="_Toc229284005"/>
      <w:bookmarkStart w:id="806" w:name="_Toc262040312"/>
      <w:bookmarkStart w:id="807" w:name="_Toc262050910"/>
      <w:bookmarkStart w:id="808" w:name="_Toc336327158"/>
      <w:bookmarkStart w:id="809" w:name="_Toc387131450"/>
      <w:bookmarkStart w:id="810" w:name="_Toc387131781"/>
      <w:bookmarkStart w:id="811" w:name="_Toc387131524"/>
      <w:bookmarkStart w:id="812" w:name="_Toc304964473"/>
      <w:bookmarkStart w:id="813" w:name="_Toc304833263"/>
      <w:bookmarkStart w:id="814" w:name="_Toc304963630"/>
      <w:bookmarkStart w:id="815" w:name="_Toc336326880"/>
      <w:r>
        <w:rPr>
          <w:rFonts w:asciiTheme="minorEastAsia" w:hAnsiTheme="minorEastAsia" w:eastAsiaTheme="minorEastAsia"/>
          <w:b/>
          <w:color w:val="000000"/>
          <w:sz w:val="28"/>
          <w:szCs w:val="28"/>
        </w:rPr>
        <w:br w:type="page"/>
      </w:r>
      <w:bookmarkStart w:id="816" w:name="_Toc19910"/>
      <w:bookmarkStart w:id="817" w:name="_Toc415254567"/>
      <w:bookmarkStart w:id="818" w:name="_Toc31445"/>
      <w:r>
        <w:rPr>
          <w:rFonts w:asciiTheme="minorEastAsia" w:hAnsiTheme="minorEastAsia" w:eastAsiaTheme="minorEastAsia"/>
          <w:b/>
          <w:color w:val="000000"/>
          <w:sz w:val="32"/>
        </w:rPr>
        <w:t>1</w:t>
      </w:r>
      <w:r>
        <w:rPr>
          <w:rFonts w:hint="eastAsia" w:asciiTheme="minorEastAsia" w:hAnsiTheme="minorEastAsia" w:eastAsiaTheme="minorEastAsia"/>
          <w:b/>
          <w:color w:val="000000"/>
          <w:sz w:val="32"/>
        </w:rPr>
        <w:t>1</w:t>
      </w:r>
      <w:r>
        <w:rPr>
          <w:rFonts w:asciiTheme="minorEastAsia" w:hAnsiTheme="minorEastAsia" w:eastAsiaTheme="minorEastAsia"/>
          <w:b/>
          <w:color w:val="000000"/>
          <w:sz w:val="32"/>
        </w:rPr>
        <w:t xml:space="preserve"> </w:t>
      </w:r>
      <w:r>
        <w:rPr>
          <w:rFonts w:hint="eastAsia" w:asciiTheme="minorEastAsia" w:hAnsiTheme="minorEastAsia" w:eastAsiaTheme="minorEastAsia"/>
          <w:b/>
          <w:color w:val="000000"/>
          <w:sz w:val="32"/>
        </w:rPr>
        <w:t>附件</w:t>
      </w:r>
      <w:bookmarkEnd w:id="816"/>
      <w:bookmarkEnd w:id="817"/>
      <w:bookmarkEnd w:id="818"/>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附件</w:t>
      </w:r>
      <w:r>
        <w:rPr>
          <w:rFonts w:asciiTheme="minorEastAsia" w:hAnsiTheme="minorEastAsia" w:eastAsiaTheme="minorEastAsia"/>
          <w:color w:val="000000"/>
          <w:sz w:val="24"/>
          <w:szCs w:val="24"/>
        </w:rPr>
        <w:t xml:space="preserve">1 </w:t>
      </w:r>
      <w:bookmarkStart w:id="819" w:name="_Toc403509937"/>
      <w:r>
        <w:rPr>
          <w:rFonts w:hint="eastAsia" w:asciiTheme="minorEastAsia" w:hAnsiTheme="minorEastAsia" w:eastAsiaTheme="minorEastAsia"/>
          <w:color w:val="000000"/>
          <w:sz w:val="24"/>
          <w:szCs w:val="24"/>
        </w:rPr>
        <w:t>专项应急预案</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附件</w:t>
      </w:r>
      <w:r>
        <w:rPr>
          <w:rFonts w:asciiTheme="minorEastAsia" w:hAnsiTheme="minorEastAsia" w:eastAsiaTheme="minorEastAsia"/>
          <w:color w:val="000000"/>
          <w:sz w:val="24"/>
          <w:szCs w:val="24"/>
        </w:rPr>
        <w:t xml:space="preserve">2 </w:t>
      </w:r>
      <w:bookmarkEnd w:id="819"/>
      <w:r>
        <w:rPr>
          <w:rFonts w:hint="eastAsia" w:asciiTheme="minorEastAsia" w:hAnsiTheme="minorEastAsia" w:eastAsiaTheme="minorEastAsia"/>
          <w:color w:val="000000"/>
          <w:sz w:val="24"/>
          <w:szCs w:val="24"/>
        </w:rPr>
        <w:t>外部救援联系电话</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附件</w:t>
      </w:r>
      <w:r>
        <w:rPr>
          <w:rFonts w:asciiTheme="minorEastAsia" w:hAnsiTheme="minorEastAsia" w:eastAsiaTheme="minorEastAsia"/>
          <w:color w:val="000000"/>
          <w:sz w:val="24"/>
          <w:szCs w:val="24"/>
        </w:rPr>
        <w:t xml:space="preserve">3 </w:t>
      </w:r>
      <w:r>
        <w:rPr>
          <w:rFonts w:hint="eastAsia" w:asciiTheme="minorEastAsia" w:hAnsiTheme="minorEastAsia" w:eastAsiaTheme="minorEastAsia"/>
          <w:color w:val="000000"/>
          <w:sz w:val="24"/>
          <w:szCs w:val="24"/>
        </w:rPr>
        <w:t>内部救援人员的联系方式</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bookmarkStart w:id="820" w:name="_Toc403509938"/>
      <w:r>
        <w:rPr>
          <w:rFonts w:hint="eastAsia" w:asciiTheme="minorEastAsia" w:hAnsiTheme="minorEastAsia" w:eastAsiaTheme="minorEastAsia"/>
          <w:color w:val="000000"/>
          <w:sz w:val="24"/>
          <w:szCs w:val="24"/>
        </w:rPr>
        <w:t>附件</w:t>
      </w:r>
      <w:r>
        <w:rPr>
          <w:rFonts w:asciiTheme="minorEastAsia" w:hAnsiTheme="minorEastAsia" w:eastAsiaTheme="minorEastAsia"/>
          <w:color w:val="000000"/>
          <w:sz w:val="24"/>
          <w:szCs w:val="24"/>
        </w:rPr>
        <w:t xml:space="preserve">4 </w:t>
      </w:r>
      <w:r>
        <w:rPr>
          <w:rFonts w:hint="eastAsia" w:asciiTheme="minorEastAsia" w:hAnsiTheme="minorEastAsia" w:eastAsiaTheme="minorEastAsia"/>
          <w:color w:val="000000"/>
          <w:sz w:val="24"/>
          <w:szCs w:val="24"/>
        </w:rPr>
        <w:t>应急物资装备清单</w:t>
      </w:r>
      <w:bookmarkEnd w:id="820"/>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附件</w:t>
      </w:r>
      <w:r>
        <w:rPr>
          <w:rFonts w:asciiTheme="minorEastAsia" w:hAnsiTheme="minorEastAsia" w:eastAsiaTheme="minorEastAsia"/>
          <w:color w:val="000000"/>
          <w:sz w:val="24"/>
          <w:szCs w:val="24"/>
        </w:rPr>
        <w:t xml:space="preserve">5 </w:t>
      </w:r>
      <w:r>
        <w:rPr>
          <w:rFonts w:hint="eastAsia" w:asciiTheme="minorEastAsia" w:hAnsiTheme="minorEastAsia" w:eastAsiaTheme="minorEastAsia"/>
          <w:color w:val="000000"/>
          <w:sz w:val="24"/>
          <w:szCs w:val="24"/>
        </w:rPr>
        <w:t>关键的路线、标识和图纸</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bookmarkStart w:id="821" w:name="_Toc403509942"/>
      <w:r>
        <w:rPr>
          <w:rFonts w:hint="eastAsia" w:asciiTheme="minorEastAsia" w:hAnsiTheme="minorEastAsia" w:eastAsiaTheme="minorEastAsia"/>
          <w:color w:val="000000"/>
          <w:sz w:val="24"/>
          <w:szCs w:val="24"/>
        </w:rPr>
        <w:t>附件</w:t>
      </w:r>
      <w:r>
        <w:rPr>
          <w:rFonts w:asciiTheme="minorEastAsia" w:hAnsiTheme="minorEastAsia" w:eastAsiaTheme="minorEastAsia"/>
          <w:color w:val="000000"/>
          <w:sz w:val="24"/>
          <w:szCs w:val="24"/>
        </w:rPr>
        <w:t xml:space="preserve">6 </w:t>
      </w:r>
      <w:r>
        <w:rPr>
          <w:rFonts w:hint="eastAsia" w:asciiTheme="minorEastAsia" w:hAnsiTheme="minorEastAsia" w:eastAsiaTheme="minorEastAsia"/>
          <w:color w:val="000000"/>
          <w:sz w:val="24"/>
          <w:szCs w:val="24"/>
        </w:rPr>
        <w:t>相关应急预案目录</w:t>
      </w:r>
      <w:bookmarkEnd w:id="821"/>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附件</w:t>
      </w:r>
      <w:r>
        <w:rPr>
          <w:rFonts w:asciiTheme="minorEastAsia" w:hAnsiTheme="minorEastAsia" w:eastAsiaTheme="minorEastAsia"/>
          <w:color w:val="000000"/>
          <w:sz w:val="24"/>
          <w:szCs w:val="24"/>
        </w:rPr>
        <w:t xml:space="preserve">7 </w:t>
      </w:r>
      <w:r>
        <w:rPr>
          <w:rFonts w:hint="eastAsia" w:asciiTheme="minorEastAsia" w:hAnsiTheme="minorEastAsia" w:eastAsiaTheme="minorEastAsia"/>
          <w:color w:val="000000"/>
          <w:sz w:val="24"/>
          <w:szCs w:val="24"/>
        </w:rPr>
        <w:t>应急疏散路径图</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附件</w:t>
      </w:r>
      <w:r>
        <w:rPr>
          <w:rFonts w:asciiTheme="minorEastAsia" w:hAnsiTheme="minorEastAsia" w:eastAsiaTheme="minorEastAsia"/>
          <w:color w:val="000000"/>
          <w:sz w:val="24"/>
          <w:szCs w:val="24"/>
        </w:rPr>
        <w:t xml:space="preserve">8 </w:t>
      </w:r>
      <w:r>
        <w:rPr>
          <w:rFonts w:hint="eastAsia" w:asciiTheme="minorEastAsia" w:hAnsiTheme="minorEastAsia" w:eastAsiaTheme="minorEastAsia"/>
          <w:color w:val="000000"/>
          <w:sz w:val="24"/>
          <w:szCs w:val="24"/>
        </w:rPr>
        <w:t>雨污管网布置图</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附件</w:t>
      </w:r>
      <w:r>
        <w:rPr>
          <w:rFonts w:asciiTheme="minorEastAsia" w:hAnsiTheme="minorEastAsia" w:eastAsiaTheme="minorEastAsia"/>
          <w:color w:val="000000"/>
          <w:sz w:val="24"/>
          <w:szCs w:val="24"/>
        </w:rPr>
        <w:t xml:space="preserve">9 </w:t>
      </w:r>
      <w:r>
        <w:rPr>
          <w:rFonts w:hint="eastAsia" w:asciiTheme="minorEastAsia" w:hAnsiTheme="minorEastAsia" w:eastAsiaTheme="minorEastAsia"/>
          <w:color w:val="000000"/>
          <w:sz w:val="24"/>
          <w:szCs w:val="24"/>
        </w:rPr>
        <w:t>厂区平面布置图</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附件</w:t>
      </w:r>
      <w:r>
        <w:rPr>
          <w:rFonts w:asciiTheme="minorEastAsia" w:hAnsiTheme="minorEastAsia" w:eastAsiaTheme="minorEastAsia"/>
          <w:color w:val="000000"/>
          <w:sz w:val="24"/>
          <w:szCs w:val="24"/>
        </w:rPr>
        <w:t xml:space="preserve">10 </w:t>
      </w:r>
      <w:r>
        <w:rPr>
          <w:rFonts w:hint="eastAsia" w:asciiTheme="minorEastAsia" w:hAnsiTheme="minorEastAsia" w:eastAsiaTheme="minorEastAsia"/>
          <w:color w:val="000000"/>
          <w:sz w:val="24"/>
          <w:szCs w:val="24"/>
        </w:rPr>
        <w:t>项目地理位置图</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附件</w:t>
      </w:r>
      <w:r>
        <w:rPr>
          <w:rFonts w:asciiTheme="minorEastAsia" w:hAnsiTheme="minorEastAsia" w:eastAsiaTheme="minorEastAsia"/>
          <w:color w:val="000000"/>
          <w:sz w:val="24"/>
          <w:szCs w:val="24"/>
        </w:rPr>
        <w:t xml:space="preserve">11 </w:t>
      </w:r>
      <w:r>
        <w:rPr>
          <w:rFonts w:hint="eastAsia" w:asciiTheme="minorEastAsia" w:hAnsiTheme="minorEastAsia" w:eastAsiaTheme="minorEastAsia"/>
          <w:color w:val="000000"/>
          <w:sz w:val="24"/>
          <w:szCs w:val="24"/>
        </w:rPr>
        <w:t>环境敏感点分布图</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p>
    <w:p>
      <w:pPr>
        <w:spacing w:line="460" w:lineRule="exact"/>
        <w:jc w:val="left"/>
        <w:rPr>
          <w:color w:val="000000"/>
          <w:sz w:val="26"/>
          <w:szCs w:val="26"/>
        </w:rPr>
      </w:pPr>
      <w:r>
        <w:rPr>
          <w:color w:val="000000"/>
          <w:sz w:val="26"/>
          <w:szCs w:val="26"/>
        </w:rPr>
        <w:t>附件</w:t>
      </w:r>
      <w:r>
        <w:rPr>
          <w:rFonts w:hint="eastAsia"/>
          <w:color w:val="000000"/>
          <w:sz w:val="26"/>
          <w:szCs w:val="26"/>
        </w:rPr>
        <w:t xml:space="preserve"> </w:t>
      </w:r>
      <w:r>
        <w:rPr>
          <w:color w:val="000000"/>
          <w:sz w:val="26"/>
          <w:szCs w:val="26"/>
        </w:rPr>
        <w:t>突发事件报告单</w:t>
      </w:r>
    </w:p>
    <w:p>
      <w:pPr>
        <w:pStyle w:val="120"/>
        <w:ind w:firstLine="486"/>
        <w:jc w:val="center"/>
      </w:pPr>
      <w:r>
        <w:t>突发事件报告单</w:t>
      </w:r>
    </w:p>
    <w:tbl>
      <w:tblPr>
        <w:tblStyle w:val="54"/>
        <w:tblW w:w="82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1343"/>
        <w:gridCol w:w="1351"/>
        <w:gridCol w:w="154"/>
        <w:gridCol w:w="714"/>
        <w:gridCol w:w="202"/>
        <w:gridCol w:w="1227"/>
        <w:gridCol w:w="1115"/>
        <w:gridCol w:w="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1" w:type="dxa"/>
            <w:vAlign w:val="center"/>
          </w:tcPr>
          <w:p>
            <w:pPr>
              <w:jc w:val="center"/>
              <w:rPr>
                <w:color w:val="000000"/>
                <w:sz w:val="22"/>
              </w:rPr>
            </w:pPr>
            <w:r>
              <w:rPr>
                <w:color w:val="000000"/>
                <w:sz w:val="22"/>
              </w:rPr>
              <w:t>报告单位</w:t>
            </w:r>
          </w:p>
        </w:tc>
        <w:tc>
          <w:tcPr>
            <w:tcW w:w="3764" w:type="dxa"/>
            <w:gridSpan w:val="5"/>
            <w:vAlign w:val="center"/>
          </w:tcPr>
          <w:p>
            <w:pPr>
              <w:jc w:val="center"/>
              <w:rPr>
                <w:color w:val="000000"/>
                <w:sz w:val="22"/>
              </w:rPr>
            </w:pPr>
          </w:p>
        </w:tc>
        <w:tc>
          <w:tcPr>
            <w:tcW w:w="1227" w:type="dxa"/>
            <w:vAlign w:val="center"/>
          </w:tcPr>
          <w:p>
            <w:pPr>
              <w:jc w:val="center"/>
              <w:rPr>
                <w:color w:val="000000"/>
                <w:sz w:val="22"/>
              </w:rPr>
            </w:pPr>
            <w:r>
              <w:rPr>
                <w:color w:val="000000"/>
                <w:sz w:val="22"/>
              </w:rPr>
              <w:t>报告编号</w:t>
            </w:r>
          </w:p>
        </w:tc>
        <w:tc>
          <w:tcPr>
            <w:tcW w:w="1750" w:type="dxa"/>
            <w:gridSpan w:val="2"/>
            <w:vAlign w:val="center"/>
          </w:tcPr>
          <w:p>
            <w:pPr>
              <w:jc w:val="cente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1" w:type="dxa"/>
            <w:vAlign w:val="center"/>
          </w:tcPr>
          <w:p>
            <w:pPr>
              <w:jc w:val="center"/>
              <w:rPr>
                <w:color w:val="000000"/>
                <w:sz w:val="22"/>
              </w:rPr>
            </w:pPr>
            <w:r>
              <w:rPr>
                <w:color w:val="000000"/>
                <w:sz w:val="22"/>
              </w:rPr>
              <w:t>报告时间</w:t>
            </w:r>
          </w:p>
        </w:tc>
        <w:tc>
          <w:tcPr>
            <w:tcW w:w="3764" w:type="dxa"/>
            <w:gridSpan w:val="5"/>
            <w:vAlign w:val="center"/>
          </w:tcPr>
          <w:p>
            <w:pPr>
              <w:jc w:val="center"/>
              <w:rPr>
                <w:color w:val="000000"/>
                <w:sz w:val="22"/>
              </w:rPr>
            </w:pPr>
            <w:r>
              <w:rPr>
                <w:color w:val="000000"/>
                <w:sz w:val="22"/>
              </w:rPr>
              <w:t xml:space="preserve">       年    月    日    时    分</w:t>
            </w:r>
          </w:p>
        </w:tc>
        <w:tc>
          <w:tcPr>
            <w:tcW w:w="1227" w:type="dxa"/>
            <w:vAlign w:val="center"/>
          </w:tcPr>
          <w:p>
            <w:pPr>
              <w:jc w:val="center"/>
              <w:rPr>
                <w:color w:val="000000"/>
                <w:sz w:val="22"/>
              </w:rPr>
            </w:pPr>
            <w:r>
              <w:rPr>
                <w:color w:val="000000"/>
                <w:sz w:val="22"/>
              </w:rPr>
              <w:t>收到时间</w:t>
            </w:r>
          </w:p>
        </w:tc>
        <w:tc>
          <w:tcPr>
            <w:tcW w:w="1750" w:type="dxa"/>
            <w:gridSpan w:val="2"/>
            <w:vAlign w:val="center"/>
          </w:tcPr>
          <w:p>
            <w:pPr>
              <w:rPr>
                <w:color w:val="000000"/>
                <w:sz w:val="22"/>
              </w:rPr>
            </w:pPr>
            <w:r>
              <w:rPr>
                <w:color w:val="000000"/>
                <w:sz w:val="22"/>
              </w:rPr>
              <w:t xml:space="preserve">     时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1" w:type="dxa"/>
            <w:vAlign w:val="center"/>
          </w:tcPr>
          <w:p>
            <w:pPr>
              <w:jc w:val="center"/>
              <w:rPr>
                <w:color w:val="000000"/>
                <w:sz w:val="22"/>
              </w:rPr>
            </w:pPr>
            <w:r>
              <w:rPr>
                <w:color w:val="000000"/>
                <w:sz w:val="22"/>
              </w:rPr>
              <w:t>报告人姓名</w:t>
            </w:r>
          </w:p>
        </w:tc>
        <w:tc>
          <w:tcPr>
            <w:tcW w:w="1343" w:type="dxa"/>
            <w:vAlign w:val="center"/>
          </w:tcPr>
          <w:p>
            <w:pPr>
              <w:jc w:val="center"/>
              <w:rPr>
                <w:color w:val="000000"/>
                <w:sz w:val="22"/>
              </w:rPr>
            </w:pPr>
          </w:p>
        </w:tc>
        <w:tc>
          <w:tcPr>
            <w:tcW w:w="1351" w:type="dxa"/>
            <w:vAlign w:val="center"/>
          </w:tcPr>
          <w:p>
            <w:pPr>
              <w:jc w:val="center"/>
              <w:rPr>
                <w:color w:val="000000"/>
                <w:sz w:val="22"/>
              </w:rPr>
            </w:pPr>
            <w:r>
              <w:rPr>
                <w:color w:val="000000"/>
                <w:sz w:val="22"/>
              </w:rPr>
              <w:t>电    话</w:t>
            </w:r>
          </w:p>
        </w:tc>
        <w:tc>
          <w:tcPr>
            <w:tcW w:w="1070" w:type="dxa"/>
            <w:gridSpan w:val="3"/>
            <w:vAlign w:val="center"/>
          </w:tcPr>
          <w:p>
            <w:pPr>
              <w:jc w:val="center"/>
              <w:rPr>
                <w:color w:val="000000"/>
                <w:sz w:val="22"/>
              </w:rPr>
            </w:pPr>
          </w:p>
        </w:tc>
        <w:tc>
          <w:tcPr>
            <w:tcW w:w="1227" w:type="dxa"/>
            <w:vAlign w:val="center"/>
          </w:tcPr>
          <w:p>
            <w:pPr>
              <w:jc w:val="center"/>
              <w:rPr>
                <w:color w:val="000000"/>
                <w:sz w:val="22"/>
              </w:rPr>
            </w:pPr>
            <w:r>
              <w:rPr>
                <w:color w:val="000000"/>
                <w:sz w:val="22"/>
              </w:rPr>
              <w:t>报告地点</w:t>
            </w:r>
          </w:p>
        </w:tc>
        <w:tc>
          <w:tcPr>
            <w:tcW w:w="1750" w:type="dxa"/>
            <w:gridSpan w:val="2"/>
            <w:vAlign w:val="center"/>
          </w:tcPr>
          <w:p>
            <w:pPr>
              <w:jc w:val="cente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531" w:type="dxa"/>
            <w:vMerge w:val="restart"/>
            <w:vAlign w:val="center"/>
          </w:tcPr>
          <w:p>
            <w:pPr>
              <w:jc w:val="center"/>
              <w:rPr>
                <w:color w:val="000000"/>
                <w:sz w:val="22"/>
              </w:rPr>
            </w:pPr>
            <w:r>
              <w:rPr>
                <w:color w:val="000000"/>
                <w:sz w:val="22"/>
              </w:rPr>
              <w:t>信息联系人</w:t>
            </w:r>
          </w:p>
          <w:p>
            <w:pPr>
              <w:jc w:val="center"/>
              <w:rPr>
                <w:color w:val="000000"/>
                <w:sz w:val="22"/>
              </w:rPr>
            </w:pPr>
            <w:r>
              <w:rPr>
                <w:color w:val="000000"/>
                <w:sz w:val="22"/>
              </w:rPr>
              <w:t>姓名</w:t>
            </w:r>
          </w:p>
        </w:tc>
        <w:tc>
          <w:tcPr>
            <w:tcW w:w="1343" w:type="dxa"/>
            <w:vAlign w:val="center"/>
          </w:tcPr>
          <w:p>
            <w:pPr>
              <w:jc w:val="center"/>
              <w:rPr>
                <w:color w:val="000000"/>
                <w:sz w:val="22"/>
              </w:rPr>
            </w:pPr>
          </w:p>
        </w:tc>
        <w:tc>
          <w:tcPr>
            <w:tcW w:w="1351" w:type="dxa"/>
            <w:vAlign w:val="center"/>
          </w:tcPr>
          <w:p>
            <w:pPr>
              <w:jc w:val="center"/>
              <w:rPr>
                <w:color w:val="000000"/>
                <w:sz w:val="22"/>
              </w:rPr>
            </w:pPr>
            <w:r>
              <w:rPr>
                <w:color w:val="000000"/>
                <w:sz w:val="22"/>
              </w:rPr>
              <w:t>联系电话</w:t>
            </w:r>
          </w:p>
        </w:tc>
        <w:tc>
          <w:tcPr>
            <w:tcW w:w="1070" w:type="dxa"/>
            <w:gridSpan w:val="3"/>
            <w:vAlign w:val="center"/>
          </w:tcPr>
          <w:p>
            <w:pPr>
              <w:jc w:val="center"/>
              <w:rPr>
                <w:color w:val="000000"/>
                <w:sz w:val="22"/>
              </w:rPr>
            </w:pPr>
          </w:p>
        </w:tc>
        <w:tc>
          <w:tcPr>
            <w:tcW w:w="1227" w:type="dxa"/>
            <w:vAlign w:val="center"/>
          </w:tcPr>
          <w:p>
            <w:pPr>
              <w:jc w:val="center"/>
              <w:rPr>
                <w:color w:val="000000"/>
                <w:sz w:val="22"/>
              </w:rPr>
            </w:pPr>
            <w:r>
              <w:rPr>
                <w:color w:val="000000"/>
                <w:sz w:val="22"/>
              </w:rPr>
              <w:t>移动电话</w:t>
            </w:r>
          </w:p>
        </w:tc>
        <w:tc>
          <w:tcPr>
            <w:tcW w:w="1750" w:type="dxa"/>
            <w:gridSpan w:val="2"/>
            <w:vAlign w:val="center"/>
          </w:tcPr>
          <w:p>
            <w:pPr>
              <w:jc w:val="cente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1" w:type="dxa"/>
            <w:vMerge w:val="continue"/>
            <w:vAlign w:val="center"/>
          </w:tcPr>
          <w:p>
            <w:pPr>
              <w:jc w:val="center"/>
              <w:rPr>
                <w:color w:val="000000"/>
                <w:sz w:val="22"/>
              </w:rPr>
            </w:pPr>
          </w:p>
        </w:tc>
        <w:tc>
          <w:tcPr>
            <w:tcW w:w="1343" w:type="dxa"/>
            <w:vAlign w:val="center"/>
          </w:tcPr>
          <w:p>
            <w:pPr>
              <w:jc w:val="center"/>
              <w:rPr>
                <w:color w:val="000000"/>
                <w:sz w:val="22"/>
              </w:rPr>
            </w:pPr>
          </w:p>
        </w:tc>
        <w:tc>
          <w:tcPr>
            <w:tcW w:w="1351" w:type="dxa"/>
            <w:vAlign w:val="center"/>
          </w:tcPr>
          <w:p>
            <w:pPr>
              <w:jc w:val="center"/>
              <w:rPr>
                <w:color w:val="000000"/>
                <w:sz w:val="22"/>
              </w:rPr>
            </w:pPr>
            <w:r>
              <w:rPr>
                <w:color w:val="000000"/>
                <w:sz w:val="22"/>
              </w:rPr>
              <w:t>传真电话</w:t>
            </w:r>
          </w:p>
        </w:tc>
        <w:tc>
          <w:tcPr>
            <w:tcW w:w="1070" w:type="dxa"/>
            <w:gridSpan w:val="3"/>
            <w:vAlign w:val="center"/>
          </w:tcPr>
          <w:p>
            <w:pPr>
              <w:jc w:val="center"/>
              <w:rPr>
                <w:color w:val="000000"/>
                <w:sz w:val="22"/>
              </w:rPr>
            </w:pPr>
          </w:p>
        </w:tc>
        <w:tc>
          <w:tcPr>
            <w:tcW w:w="1227" w:type="dxa"/>
            <w:vAlign w:val="center"/>
          </w:tcPr>
          <w:p>
            <w:pPr>
              <w:jc w:val="center"/>
              <w:rPr>
                <w:color w:val="000000"/>
                <w:sz w:val="22"/>
              </w:rPr>
            </w:pPr>
            <w:r>
              <w:rPr>
                <w:color w:val="000000"/>
                <w:sz w:val="22"/>
              </w:rPr>
              <w:t>电子邮箱</w:t>
            </w:r>
          </w:p>
        </w:tc>
        <w:tc>
          <w:tcPr>
            <w:tcW w:w="1750" w:type="dxa"/>
            <w:gridSpan w:val="2"/>
            <w:vAlign w:val="center"/>
          </w:tcPr>
          <w:p>
            <w:pPr>
              <w:jc w:val="cente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72" w:type="dxa"/>
            <w:gridSpan w:val="9"/>
            <w:vAlign w:val="center"/>
          </w:tcPr>
          <w:p>
            <w:pPr>
              <w:jc w:val="center"/>
              <w:rPr>
                <w:color w:val="000000"/>
                <w:sz w:val="22"/>
              </w:rPr>
            </w:pPr>
            <w:r>
              <w:rPr>
                <w:color w:val="000000"/>
                <w:sz w:val="22"/>
              </w:rPr>
              <w:t>事件简要情况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1" w:type="dxa"/>
            <w:vAlign w:val="center"/>
          </w:tcPr>
          <w:p>
            <w:pPr>
              <w:jc w:val="center"/>
              <w:rPr>
                <w:color w:val="000000"/>
                <w:sz w:val="22"/>
              </w:rPr>
            </w:pPr>
            <w:r>
              <w:rPr>
                <w:color w:val="000000"/>
                <w:sz w:val="22"/>
              </w:rPr>
              <w:t>事件发生时间</w:t>
            </w:r>
          </w:p>
        </w:tc>
        <w:tc>
          <w:tcPr>
            <w:tcW w:w="6741" w:type="dxa"/>
            <w:gridSpan w:val="8"/>
            <w:vAlign w:val="center"/>
          </w:tcPr>
          <w:p>
            <w:pPr>
              <w:jc w:val="center"/>
              <w:rPr>
                <w:color w:val="000000"/>
                <w:sz w:val="22"/>
              </w:rPr>
            </w:pPr>
            <w:r>
              <w:rPr>
                <w:color w:val="000000"/>
                <w:sz w:val="22"/>
              </w:rPr>
              <w:t>年     月     日     时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531" w:type="dxa"/>
            <w:vAlign w:val="center"/>
          </w:tcPr>
          <w:p>
            <w:pPr>
              <w:jc w:val="center"/>
              <w:rPr>
                <w:color w:val="000000"/>
                <w:sz w:val="22"/>
              </w:rPr>
            </w:pPr>
            <w:r>
              <w:rPr>
                <w:color w:val="000000"/>
                <w:sz w:val="22"/>
              </w:rPr>
              <w:t>事件发生地点</w:t>
            </w:r>
          </w:p>
        </w:tc>
        <w:tc>
          <w:tcPr>
            <w:tcW w:w="6741" w:type="dxa"/>
            <w:gridSpan w:val="8"/>
            <w:vAlign w:val="center"/>
          </w:tcPr>
          <w:p>
            <w:pPr>
              <w:jc w:val="center"/>
              <w:rPr>
                <w:color w:val="000000"/>
                <w:sz w:val="22"/>
              </w:rPr>
            </w:pPr>
            <w:r>
              <w:rPr>
                <w:color w:val="000000"/>
                <w:sz w:val="22"/>
              </w:rPr>
              <w:t>省（自治区）       县（市）       乡镇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1" w:type="dxa"/>
            <w:vAlign w:val="center"/>
          </w:tcPr>
          <w:p>
            <w:pPr>
              <w:jc w:val="center"/>
              <w:rPr>
                <w:color w:val="000000"/>
                <w:sz w:val="22"/>
              </w:rPr>
            </w:pPr>
            <w:r>
              <w:rPr>
                <w:color w:val="000000"/>
                <w:sz w:val="22"/>
              </w:rPr>
              <w:t>事件发生单位</w:t>
            </w:r>
          </w:p>
        </w:tc>
        <w:tc>
          <w:tcPr>
            <w:tcW w:w="6741" w:type="dxa"/>
            <w:gridSpan w:val="8"/>
            <w:vAlign w:val="center"/>
          </w:tcPr>
          <w:p>
            <w:pPr>
              <w:jc w:val="center"/>
              <w:rPr>
                <w:color w:val="000000"/>
                <w:sz w:val="22"/>
              </w:rPr>
            </w:pPr>
            <w:r>
              <w:rPr>
                <w:color w:val="000000"/>
                <w:sz w:val="22"/>
              </w:rPr>
              <w:t>（企业）          （二级单位）          （基层）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1" w:type="dxa"/>
            <w:vMerge w:val="restart"/>
            <w:vAlign w:val="center"/>
          </w:tcPr>
          <w:p>
            <w:pPr>
              <w:rPr>
                <w:color w:val="000000"/>
                <w:sz w:val="22"/>
              </w:rPr>
            </w:pPr>
            <w:r>
              <w:rPr>
                <w:color w:val="000000"/>
                <w:sz w:val="22"/>
              </w:rPr>
              <w:t>事件类型</w:t>
            </w:r>
          </w:p>
          <w:p>
            <w:pPr>
              <w:rPr>
                <w:color w:val="000000"/>
                <w:sz w:val="22"/>
              </w:rPr>
            </w:pPr>
            <w:r>
              <w:rPr>
                <w:color w:val="000000"/>
                <w:sz w:val="22"/>
              </w:rPr>
              <w:t>□事故灾难</w:t>
            </w:r>
          </w:p>
          <w:p>
            <w:pPr>
              <w:rPr>
                <w:color w:val="000000"/>
                <w:sz w:val="22"/>
              </w:rPr>
            </w:pPr>
            <w:r>
              <w:rPr>
                <w:color w:val="000000"/>
                <w:sz w:val="22"/>
              </w:rPr>
              <w:t>□公共卫生</w:t>
            </w:r>
          </w:p>
          <w:p>
            <w:pPr>
              <w:rPr>
                <w:color w:val="000000"/>
                <w:sz w:val="22"/>
              </w:rPr>
            </w:pPr>
            <w:r>
              <w:rPr>
                <w:color w:val="000000"/>
                <w:sz w:val="22"/>
              </w:rPr>
              <w:t>□自然灾害</w:t>
            </w:r>
          </w:p>
          <w:p>
            <w:pPr>
              <w:rPr>
                <w:color w:val="000000"/>
                <w:sz w:val="22"/>
              </w:rPr>
            </w:pPr>
            <w:r>
              <w:rPr>
                <w:color w:val="000000"/>
                <w:sz w:val="22"/>
              </w:rPr>
              <w:t>□社会安全</w:t>
            </w:r>
          </w:p>
        </w:tc>
        <w:tc>
          <w:tcPr>
            <w:tcW w:w="2848" w:type="dxa"/>
            <w:gridSpan w:val="3"/>
            <w:vAlign w:val="center"/>
          </w:tcPr>
          <w:p>
            <w:pPr>
              <w:rPr>
                <w:color w:val="000000"/>
                <w:sz w:val="22"/>
              </w:rPr>
            </w:pPr>
            <w:r>
              <w:rPr>
                <w:color w:val="000000"/>
                <w:sz w:val="22"/>
              </w:rPr>
              <w:t>井喷失控事故</w:t>
            </w:r>
          </w:p>
        </w:tc>
        <w:tc>
          <w:tcPr>
            <w:tcW w:w="714" w:type="dxa"/>
            <w:vAlign w:val="center"/>
          </w:tcPr>
          <w:p>
            <w:pPr>
              <w:rPr>
                <w:color w:val="000000"/>
                <w:sz w:val="22"/>
              </w:rPr>
            </w:pPr>
          </w:p>
        </w:tc>
        <w:tc>
          <w:tcPr>
            <w:tcW w:w="2544" w:type="dxa"/>
            <w:gridSpan w:val="3"/>
            <w:vAlign w:val="center"/>
          </w:tcPr>
          <w:p>
            <w:pPr>
              <w:rPr>
                <w:color w:val="000000"/>
                <w:sz w:val="22"/>
              </w:rPr>
            </w:pPr>
            <w:r>
              <w:rPr>
                <w:color w:val="000000"/>
                <w:sz w:val="22"/>
              </w:rPr>
              <w:t>油气站库及炼化装置爆炸着火</w:t>
            </w:r>
          </w:p>
        </w:tc>
        <w:tc>
          <w:tcPr>
            <w:tcW w:w="635" w:type="dxa"/>
            <w:vAlign w:val="center"/>
          </w:tcPr>
          <w:p>
            <w:pP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1" w:type="dxa"/>
            <w:vMerge w:val="continue"/>
            <w:vAlign w:val="center"/>
          </w:tcPr>
          <w:p>
            <w:pPr>
              <w:rPr>
                <w:color w:val="000000"/>
                <w:sz w:val="22"/>
              </w:rPr>
            </w:pPr>
          </w:p>
        </w:tc>
        <w:tc>
          <w:tcPr>
            <w:tcW w:w="2848" w:type="dxa"/>
            <w:gridSpan w:val="3"/>
            <w:vAlign w:val="center"/>
          </w:tcPr>
          <w:p>
            <w:pPr>
              <w:rPr>
                <w:color w:val="000000"/>
                <w:sz w:val="22"/>
              </w:rPr>
            </w:pPr>
            <w:r>
              <w:rPr>
                <w:color w:val="000000"/>
                <w:sz w:val="22"/>
              </w:rPr>
              <w:t>危险化学品泄漏失控和中毒</w:t>
            </w:r>
          </w:p>
        </w:tc>
        <w:tc>
          <w:tcPr>
            <w:tcW w:w="714" w:type="dxa"/>
            <w:vAlign w:val="center"/>
          </w:tcPr>
          <w:p>
            <w:pPr>
              <w:rPr>
                <w:color w:val="000000"/>
                <w:sz w:val="22"/>
              </w:rPr>
            </w:pPr>
          </w:p>
        </w:tc>
        <w:tc>
          <w:tcPr>
            <w:tcW w:w="2544" w:type="dxa"/>
            <w:gridSpan w:val="3"/>
            <w:vAlign w:val="center"/>
          </w:tcPr>
          <w:p>
            <w:pPr>
              <w:rPr>
                <w:color w:val="000000"/>
                <w:sz w:val="22"/>
              </w:rPr>
            </w:pPr>
            <w:r>
              <w:rPr>
                <w:color w:val="000000"/>
                <w:sz w:val="22"/>
              </w:rPr>
              <w:t>长输管道事故</w:t>
            </w:r>
          </w:p>
        </w:tc>
        <w:tc>
          <w:tcPr>
            <w:tcW w:w="635" w:type="dxa"/>
            <w:vAlign w:val="center"/>
          </w:tcPr>
          <w:p>
            <w:pP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531" w:type="dxa"/>
            <w:vMerge w:val="continue"/>
            <w:vAlign w:val="center"/>
          </w:tcPr>
          <w:p>
            <w:pPr>
              <w:rPr>
                <w:color w:val="000000"/>
                <w:sz w:val="22"/>
              </w:rPr>
            </w:pPr>
          </w:p>
        </w:tc>
        <w:tc>
          <w:tcPr>
            <w:tcW w:w="2848" w:type="dxa"/>
            <w:gridSpan w:val="3"/>
            <w:vAlign w:val="center"/>
          </w:tcPr>
          <w:p>
            <w:pPr>
              <w:rPr>
                <w:color w:val="000000"/>
                <w:sz w:val="22"/>
              </w:rPr>
            </w:pPr>
            <w:r>
              <w:rPr>
                <w:color w:val="000000"/>
                <w:sz w:val="22"/>
              </w:rPr>
              <w:t>海洋石油开发事故</w:t>
            </w:r>
          </w:p>
        </w:tc>
        <w:tc>
          <w:tcPr>
            <w:tcW w:w="714" w:type="dxa"/>
            <w:vAlign w:val="center"/>
          </w:tcPr>
          <w:p>
            <w:pPr>
              <w:rPr>
                <w:color w:val="000000"/>
                <w:sz w:val="22"/>
              </w:rPr>
            </w:pPr>
          </w:p>
        </w:tc>
        <w:tc>
          <w:tcPr>
            <w:tcW w:w="2544" w:type="dxa"/>
            <w:gridSpan w:val="3"/>
            <w:vAlign w:val="center"/>
          </w:tcPr>
          <w:p>
            <w:pPr>
              <w:rPr>
                <w:color w:val="000000"/>
                <w:sz w:val="22"/>
              </w:rPr>
            </w:pPr>
            <w:r>
              <w:rPr>
                <w:color w:val="000000"/>
                <w:sz w:val="22"/>
              </w:rPr>
              <w:t>剧毒危险品运输事故</w:t>
            </w:r>
          </w:p>
        </w:tc>
        <w:tc>
          <w:tcPr>
            <w:tcW w:w="635" w:type="dxa"/>
            <w:vAlign w:val="center"/>
          </w:tcPr>
          <w:p>
            <w:pP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1" w:type="dxa"/>
            <w:vMerge w:val="continue"/>
            <w:vAlign w:val="center"/>
          </w:tcPr>
          <w:p>
            <w:pPr>
              <w:rPr>
                <w:color w:val="000000"/>
                <w:sz w:val="22"/>
              </w:rPr>
            </w:pPr>
          </w:p>
        </w:tc>
        <w:tc>
          <w:tcPr>
            <w:tcW w:w="2848" w:type="dxa"/>
            <w:gridSpan w:val="3"/>
            <w:vAlign w:val="center"/>
          </w:tcPr>
          <w:p>
            <w:pPr>
              <w:rPr>
                <w:color w:val="000000"/>
                <w:sz w:val="22"/>
              </w:rPr>
            </w:pPr>
            <w:r>
              <w:rPr>
                <w:color w:val="000000"/>
                <w:sz w:val="22"/>
              </w:rPr>
              <w:t>群体性事件</w:t>
            </w:r>
          </w:p>
        </w:tc>
        <w:tc>
          <w:tcPr>
            <w:tcW w:w="714" w:type="dxa"/>
            <w:vAlign w:val="center"/>
          </w:tcPr>
          <w:p>
            <w:pPr>
              <w:rPr>
                <w:color w:val="000000"/>
                <w:sz w:val="22"/>
              </w:rPr>
            </w:pPr>
          </w:p>
        </w:tc>
        <w:tc>
          <w:tcPr>
            <w:tcW w:w="2544" w:type="dxa"/>
            <w:gridSpan w:val="3"/>
            <w:vAlign w:val="center"/>
          </w:tcPr>
          <w:p>
            <w:pPr>
              <w:rPr>
                <w:color w:val="000000"/>
                <w:sz w:val="22"/>
              </w:rPr>
            </w:pPr>
            <w:r>
              <w:rPr>
                <w:color w:val="000000"/>
                <w:sz w:val="22"/>
              </w:rPr>
              <w:t>公共文化场所和文化活动突发事件</w:t>
            </w:r>
          </w:p>
        </w:tc>
        <w:tc>
          <w:tcPr>
            <w:tcW w:w="635" w:type="dxa"/>
            <w:vAlign w:val="center"/>
          </w:tcPr>
          <w:p>
            <w:pP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1" w:type="dxa"/>
            <w:vMerge w:val="continue"/>
            <w:vAlign w:val="center"/>
          </w:tcPr>
          <w:p>
            <w:pPr>
              <w:rPr>
                <w:color w:val="000000"/>
                <w:sz w:val="22"/>
              </w:rPr>
            </w:pPr>
          </w:p>
        </w:tc>
        <w:tc>
          <w:tcPr>
            <w:tcW w:w="2848" w:type="dxa"/>
            <w:gridSpan w:val="3"/>
            <w:vAlign w:val="center"/>
          </w:tcPr>
          <w:p>
            <w:pPr>
              <w:rPr>
                <w:color w:val="000000"/>
                <w:sz w:val="22"/>
              </w:rPr>
            </w:pPr>
            <w:r>
              <w:rPr>
                <w:color w:val="000000"/>
                <w:sz w:val="22"/>
              </w:rPr>
              <w:t>涉外突发事件</w:t>
            </w:r>
          </w:p>
        </w:tc>
        <w:tc>
          <w:tcPr>
            <w:tcW w:w="714" w:type="dxa"/>
            <w:vAlign w:val="center"/>
          </w:tcPr>
          <w:p>
            <w:pPr>
              <w:rPr>
                <w:color w:val="000000"/>
                <w:sz w:val="22"/>
              </w:rPr>
            </w:pPr>
          </w:p>
        </w:tc>
        <w:tc>
          <w:tcPr>
            <w:tcW w:w="2544" w:type="dxa"/>
            <w:gridSpan w:val="3"/>
            <w:vAlign w:val="center"/>
          </w:tcPr>
          <w:p>
            <w:pPr>
              <w:rPr>
                <w:color w:val="000000"/>
                <w:sz w:val="22"/>
              </w:rPr>
            </w:pPr>
            <w:r>
              <w:rPr>
                <w:color w:val="000000"/>
                <w:sz w:val="22"/>
              </w:rPr>
              <w:t>涉外防恐</w:t>
            </w:r>
          </w:p>
        </w:tc>
        <w:tc>
          <w:tcPr>
            <w:tcW w:w="635" w:type="dxa"/>
            <w:vAlign w:val="center"/>
          </w:tcPr>
          <w:p>
            <w:pP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1" w:type="dxa"/>
            <w:vMerge w:val="continue"/>
            <w:vAlign w:val="center"/>
          </w:tcPr>
          <w:p>
            <w:pPr>
              <w:rPr>
                <w:color w:val="000000"/>
                <w:sz w:val="22"/>
              </w:rPr>
            </w:pPr>
          </w:p>
        </w:tc>
        <w:tc>
          <w:tcPr>
            <w:tcW w:w="2848" w:type="dxa"/>
            <w:gridSpan w:val="3"/>
            <w:vAlign w:val="center"/>
          </w:tcPr>
          <w:p>
            <w:pPr>
              <w:rPr>
                <w:color w:val="000000"/>
                <w:sz w:val="22"/>
              </w:rPr>
            </w:pPr>
            <w:r>
              <w:rPr>
                <w:color w:val="000000"/>
                <w:sz w:val="22"/>
              </w:rPr>
              <w:t>防恐</w:t>
            </w:r>
          </w:p>
        </w:tc>
        <w:tc>
          <w:tcPr>
            <w:tcW w:w="714" w:type="dxa"/>
            <w:vAlign w:val="center"/>
          </w:tcPr>
          <w:p>
            <w:pPr>
              <w:rPr>
                <w:color w:val="000000"/>
                <w:sz w:val="22"/>
              </w:rPr>
            </w:pPr>
          </w:p>
        </w:tc>
        <w:tc>
          <w:tcPr>
            <w:tcW w:w="2544" w:type="dxa"/>
            <w:gridSpan w:val="3"/>
            <w:vAlign w:val="center"/>
          </w:tcPr>
          <w:p>
            <w:pPr>
              <w:rPr>
                <w:color w:val="000000"/>
                <w:sz w:val="22"/>
              </w:rPr>
            </w:pPr>
            <w:r>
              <w:rPr>
                <w:color w:val="000000"/>
                <w:sz w:val="22"/>
              </w:rPr>
              <w:t>火工品被盗丢失事件</w:t>
            </w:r>
          </w:p>
        </w:tc>
        <w:tc>
          <w:tcPr>
            <w:tcW w:w="635" w:type="dxa"/>
            <w:vAlign w:val="center"/>
          </w:tcPr>
          <w:p>
            <w:pP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531" w:type="dxa"/>
            <w:vMerge w:val="continue"/>
            <w:vAlign w:val="center"/>
          </w:tcPr>
          <w:p>
            <w:pPr>
              <w:rPr>
                <w:color w:val="000000"/>
                <w:sz w:val="22"/>
              </w:rPr>
            </w:pPr>
          </w:p>
        </w:tc>
        <w:tc>
          <w:tcPr>
            <w:tcW w:w="2848" w:type="dxa"/>
            <w:gridSpan w:val="3"/>
            <w:vAlign w:val="center"/>
          </w:tcPr>
          <w:p>
            <w:pPr>
              <w:rPr>
                <w:color w:val="000000"/>
                <w:sz w:val="22"/>
              </w:rPr>
            </w:pPr>
            <w:r>
              <w:rPr>
                <w:color w:val="000000"/>
                <w:sz w:val="22"/>
              </w:rPr>
              <w:t>网络与信息安全事故</w:t>
            </w:r>
          </w:p>
        </w:tc>
        <w:tc>
          <w:tcPr>
            <w:tcW w:w="714" w:type="dxa"/>
            <w:vAlign w:val="center"/>
          </w:tcPr>
          <w:p>
            <w:pPr>
              <w:rPr>
                <w:color w:val="000000"/>
                <w:sz w:val="22"/>
              </w:rPr>
            </w:pPr>
          </w:p>
        </w:tc>
        <w:tc>
          <w:tcPr>
            <w:tcW w:w="2544" w:type="dxa"/>
            <w:gridSpan w:val="3"/>
            <w:vAlign w:val="center"/>
          </w:tcPr>
          <w:p>
            <w:pPr>
              <w:rPr>
                <w:color w:val="000000"/>
                <w:sz w:val="22"/>
              </w:rPr>
            </w:pPr>
            <w:r>
              <w:rPr>
                <w:color w:val="000000"/>
                <w:sz w:val="22"/>
              </w:rPr>
              <w:t>重大自然灾害突发事件</w:t>
            </w:r>
          </w:p>
        </w:tc>
        <w:tc>
          <w:tcPr>
            <w:tcW w:w="635" w:type="dxa"/>
            <w:vAlign w:val="center"/>
          </w:tcPr>
          <w:p>
            <w:pP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1" w:type="dxa"/>
            <w:vMerge w:val="continue"/>
            <w:vAlign w:val="center"/>
          </w:tcPr>
          <w:p>
            <w:pPr>
              <w:rPr>
                <w:color w:val="000000"/>
                <w:sz w:val="22"/>
              </w:rPr>
            </w:pPr>
          </w:p>
        </w:tc>
        <w:tc>
          <w:tcPr>
            <w:tcW w:w="2848" w:type="dxa"/>
            <w:gridSpan w:val="3"/>
            <w:vAlign w:val="center"/>
          </w:tcPr>
          <w:p>
            <w:pPr>
              <w:rPr>
                <w:color w:val="000000"/>
                <w:sz w:val="22"/>
              </w:rPr>
            </w:pPr>
            <w:r>
              <w:rPr>
                <w:color w:val="000000"/>
                <w:sz w:val="22"/>
              </w:rPr>
              <w:t>重大公共卫生事件</w:t>
            </w:r>
          </w:p>
        </w:tc>
        <w:tc>
          <w:tcPr>
            <w:tcW w:w="714" w:type="dxa"/>
            <w:vAlign w:val="center"/>
          </w:tcPr>
          <w:p>
            <w:pPr>
              <w:rPr>
                <w:color w:val="000000"/>
                <w:sz w:val="22"/>
              </w:rPr>
            </w:pPr>
          </w:p>
        </w:tc>
        <w:tc>
          <w:tcPr>
            <w:tcW w:w="2544" w:type="dxa"/>
            <w:gridSpan w:val="3"/>
            <w:vAlign w:val="center"/>
          </w:tcPr>
          <w:p>
            <w:pPr>
              <w:rPr>
                <w:color w:val="000000"/>
                <w:sz w:val="22"/>
              </w:rPr>
            </w:pPr>
            <w:r>
              <w:rPr>
                <w:color w:val="000000"/>
                <w:sz w:val="22"/>
              </w:rPr>
              <w:t>突发环境事件</w:t>
            </w:r>
          </w:p>
        </w:tc>
        <w:tc>
          <w:tcPr>
            <w:tcW w:w="635" w:type="dxa"/>
            <w:vAlign w:val="center"/>
          </w:tcPr>
          <w:p>
            <w:pP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4" w:hRule="atLeast"/>
          <w:jc w:val="center"/>
        </w:trPr>
        <w:tc>
          <w:tcPr>
            <w:tcW w:w="1531" w:type="dxa"/>
            <w:vAlign w:val="center"/>
          </w:tcPr>
          <w:p>
            <w:pPr>
              <w:jc w:val="center"/>
              <w:rPr>
                <w:color w:val="000000"/>
                <w:sz w:val="22"/>
              </w:rPr>
            </w:pPr>
            <w:r>
              <w:rPr>
                <w:color w:val="000000"/>
                <w:sz w:val="22"/>
              </w:rPr>
              <w:t>事故经过</w:t>
            </w:r>
          </w:p>
          <w:p>
            <w:pPr>
              <w:jc w:val="center"/>
              <w:rPr>
                <w:color w:val="000000"/>
                <w:sz w:val="22"/>
              </w:rPr>
            </w:pPr>
            <w:r>
              <w:rPr>
                <w:color w:val="000000"/>
                <w:sz w:val="22"/>
              </w:rPr>
              <w:t>简要描述</w:t>
            </w:r>
          </w:p>
        </w:tc>
        <w:tc>
          <w:tcPr>
            <w:tcW w:w="6741" w:type="dxa"/>
            <w:gridSpan w:val="8"/>
            <w:vAlign w:val="center"/>
          </w:tcPr>
          <w:p>
            <w:pP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1" w:hRule="atLeast"/>
          <w:jc w:val="center"/>
        </w:trPr>
        <w:tc>
          <w:tcPr>
            <w:tcW w:w="1531" w:type="dxa"/>
            <w:vAlign w:val="center"/>
          </w:tcPr>
          <w:p>
            <w:pPr>
              <w:jc w:val="center"/>
              <w:rPr>
                <w:color w:val="000000"/>
                <w:sz w:val="22"/>
              </w:rPr>
            </w:pPr>
            <w:r>
              <w:rPr>
                <w:color w:val="000000"/>
                <w:sz w:val="22"/>
              </w:rPr>
              <w:t>目前人员</w:t>
            </w:r>
          </w:p>
          <w:p>
            <w:pPr>
              <w:jc w:val="center"/>
              <w:rPr>
                <w:color w:val="000000"/>
                <w:sz w:val="22"/>
              </w:rPr>
            </w:pPr>
            <w:r>
              <w:rPr>
                <w:color w:val="000000"/>
                <w:sz w:val="22"/>
              </w:rPr>
              <w:t>伤亡情况</w:t>
            </w:r>
          </w:p>
        </w:tc>
        <w:tc>
          <w:tcPr>
            <w:tcW w:w="6741" w:type="dxa"/>
            <w:gridSpan w:val="8"/>
            <w:vAlign w:val="center"/>
          </w:tcPr>
          <w:p>
            <w:pP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80" w:hRule="atLeast"/>
          <w:jc w:val="center"/>
        </w:trPr>
        <w:tc>
          <w:tcPr>
            <w:tcW w:w="1531" w:type="dxa"/>
            <w:vAlign w:val="center"/>
          </w:tcPr>
          <w:p>
            <w:pPr>
              <w:jc w:val="center"/>
              <w:rPr>
                <w:color w:val="000000"/>
                <w:sz w:val="22"/>
              </w:rPr>
            </w:pPr>
            <w:r>
              <w:rPr>
                <w:color w:val="000000"/>
                <w:sz w:val="22"/>
              </w:rPr>
              <w:t>目前环境</w:t>
            </w:r>
          </w:p>
          <w:p>
            <w:pPr>
              <w:jc w:val="center"/>
              <w:rPr>
                <w:color w:val="000000"/>
                <w:sz w:val="22"/>
              </w:rPr>
            </w:pPr>
            <w:r>
              <w:rPr>
                <w:color w:val="000000"/>
                <w:sz w:val="22"/>
              </w:rPr>
              <w:t>污染情况</w:t>
            </w:r>
          </w:p>
        </w:tc>
        <w:tc>
          <w:tcPr>
            <w:tcW w:w="6741" w:type="dxa"/>
            <w:gridSpan w:val="8"/>
            <w:vAlign w:val="center"/>
          </w:tcPr>
          <w:p>
            <w:pPr>
              <w:rPr>
                <w:color w:val="000000"/>
                <w:sz w:val="22"/>
              </w:rPr>
            </w:pPr>
          </w:p>
        </w:tc>
      </w:tr>
    </w:tbl>
    <w:p>
      <w:pPr>
        <w:rPr>
          <w:color w:val="000000"/>
          <w:sz w:val="24"/>
        </w:rPr>
      </w:pPr>
    </w:p>
    <w:tbl>
      <w:tblPr>
        <w:tblStyle w:val="54"/>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5"/>
        <w:gridCol w:w="1448"/>
        <w:gridCol w:w="1575"/>
        <w:gridCol w:w="388"/>
        <w:gridCol w:w="1082"/>
        <w:gridCol w:w="210"/>
        <w:gridCol w:w="2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548" w:hRule="atLeast"/>
        </w:trPr>
        <w:tc>
          <w:tcPr>
            <w:tcW w:w="1705" w:type="dxa"/>
            <w:vAlign w:val="center"/>
          </w:tcPr>
          <w:p>
            <w:pPr>
              <w:jc w:val="center"/>
              <w:rPr>
                <w:color w:val="000000"/>
                <w:sz w:val="22"/>
              </w:rPr>
            </w:pPr>
            <w:r>
              <w:rPr>
                <w:color w:val="000000"/>
                <w:sz w:val="22"/>
              </w:rPr>
              <w:t>目前造成</w:t>
            </w:r>
          </w:p>
          <w:p>
            <w:pPr>
              <w:jc w:val="center"/>
              <w:rPr>
                <w:color w:val="000000"/>
                <w:sz w:val="22"/>
              </w:rPr>
            </w:pPr>
            <w:r>
              <w:rPr>
                <w:color w:val="000000"/>
                <w:sz w:val="22"/>
              </w:rPr>
              <w:t>周边影响</w:t>
            </w:r>
          </w:p>
        </w:tc>
        <w:tc>
          <w:tcPr>
            <w:tcW w:w="6823" w:type="dxa"/>
            <w:gridSpan w:val="6"/>
            <w:vAlign w:val="center"/>
          </w:tcPr>
          <w:p>
            <w:pPr>
              <w:jc w:val="cente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705" w:type="dxa"/>
            <w:vAlign w:val="center"/>
          </w:tcPr>
          <w:p>
            <w:pPr>
              <w:jc w:val="center"/>
              <w:rPr>
                <w:color w:val="000000"/>
                <w:sz w:val="22"/>
              </w:rPr>
            </w:pPr>
            <w:r>
              <w:rPr>
                <w:color w:val="000000"/>
                <w:sz w:val="22"/>
              </w:rPr>
              <w:t>现场负责人</w:t>
            </w:r>
          </w:p>
          <w:p>
            <w:pPr>
              <w:jc w:val="center"/>
              <w:rPr>
                <w:color w:val="000000"/>
                <w:sz w:val="22"/>
              </w:rPr>
            </w:pPr>
            <w:r>
              <w:rPr>
                <w:color w:val="000000"/>
                <w:sz w:val="22"/>
              </w:rPr>
              <w:t>姓  名</w:t>
            </w:r>
          </w:p>
        </w:tc>
        <w:tc>
          <w:tcPr>
            <w:tcW w:w="3411" w:type="dxa"/>
            <w:gridSpan w:val="3"/>
            <w:vAlign w:val="center"/>
          </w:tcPr>
          <w:p>
            <w:pPr>
              <w:jc w:val="center"/>
              <w:rPr>
                <w:color w:val="000000"/>
                <w:sz w:val="22"/>
              </w:rPr>
            </w:pPr>
          </w:p>
        </w:tc>
        <w:tc>
          <w:tcPr>
            <w:tcW w:w="1292" w:type="dxa"/>
            <w:gridSpan w:val="2"/>
            <w:vAlign w:val="center"/>
          </w:tcPr>
          <w:p>
            <w:pPr>
              <w:jc w:val="center"/>
              <w:rPr>
                <w:color w:val="000000"/>
                <w:sz w:val="22"/>
              </w:rPr>
            </w:pPr>
            <w:r>
              <w:rPr>
                <w:color w:val="000000"/>
                <w:sz w:val="22"/>
              </w:rPr>
              <w:t>联系电话</w:t>
            </w:r>
          </w:p>
        </w:tc>
        <w:tc>
          <w:tcPr>
            <w:tcW w:w="2120" w:type="dxa"/>
            <w:vAlign w:val="center"/>
          </w:tcPr>
          <w:p>
            <w:pPr>
              <w:jc w:val="cente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705" w:type="dxa"/>
            <w:vMerge w:val="restart"/>
            <w:vAlign w:val="center"/>
          </w:tcPr>
          <w:p>
            <w:pPr>
              <w:jc w:val="center"/>
              <w:rPr>
                <w:color w:val="000000"/>
                <w:sz w:val="22"/>
              </w:rPr>
            </w:pPr>
            <w:r>
              <w:rPr>
                <w:color w:val="000000"/>
                <w:sz w:val="22"/>
              </w:rPr>
              <w:t>企业应急</w:t>
            </w:r>
          </w:p>
          <w:p>
            <w:pPr>
              <w:jc w:val="center"/>
              <w:rPr>
                <w:color w:val="000000"/>
                <w:sz w:val="22"/>
              </w:rPr>
            </w:pPr>
            <w:r>
              <w:rPr>
                <w:color w:val="000000"/>
                <w:sz w:val="22"/>
              </w:rPr>
              <w:t>人员情况</w:t>
            </w:r>
          </w:p>
        </w:tc>
        <w:tc>
          <w:tcPr>
            <w:tcW w:w="1448" w:type="dxa"/>
            <w:vAlign w:val="center"/>
          </w:tcPr>
          <w:p>
            <w:pPr>
              <w:jc w:val="center"/>
              <w:rPr>
                <w:color w:val="000000"/>
                <w:sz w:val="22"/>
              </w:rPr>
            </w:pPr>
            <w:r>
              <w:rPr>
                <w:color w:val="000000"/>
                <w:sz w:val="22"/>
              </w:rPr>
              <w:t>应急职务</w:t>
            </w:r>
          </w:p>
        </w:tc>
        <w:tc>
          <w:tcPr>
            <w:tcW w:w="1963" w:type="dxa"/>
            <w:gridSpan w:val="2"/>
            <w:vAlign w:val="center"/>
          </w:tcPr>
          <w:p>
            <w:pPr>
              <w:jc w:val="center"/>
              <w:rPr>
                <w:color w:val="000000"/>
                <w:sz w:val="22"/>
              </w:rPr>
            </w:pPr>
            <w:r>
              <w:rPr>
                <w:color w:val="000000"/>
                <w:sz w:val="22"/>
              </w:rPr>
              <w:t>姓   名</w:t>
            </w:r>
          </w:p>
        </w:tc>
        <w:tc>
          <w:tcPr>
            <w:tcW w:w="1292" w:type="dxa"/>
            <w:gridSpan w:val="2"/>
            <w:vAlign w:val="center"/>
          </w:tcPr>
          <w:p>
            <w:pPr>
              <w:jc w:val="center"/>
              <w:rPr>
                <w:color w:val="000000"/>
                <w:sz w:val="22"/>
              </w:rPr>
            </w:pPr>
            <w:r>
              <w:rPr>
                <w:color w:val="000000"/>
                <w:sz w:val="22"/>
              </w:rPr>
              <w:t>联系电话</w:t>
            </w:r>
          </w:p>
        </w:tc>
        <w:tc>
          <w:tcPr>
            <w:tcW w:w="2120" w:type="dxa"/>
            <w:vAlign w:val="center"/>
          </w:tcPr>
          <w:p>
            <w:pPr>
              <w:jc w:val="center"/>
              <w:rPr>
                <w:color w:val="000000"/>
                <w:sz w:val="22"/>
              </w:rPr>
            </w:pPr>
            <w:r>
              <w:rPr>
                <w:color w:val="000000"/>
                <w:sz w:val="22"/>
              </w:rPr>
              <w:t>移动电话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705" w:type="dxa"/>
            <w:vMerge w:val="continue"/>
            <w:vAlign w:val="center"/>
          </w:tcPr>
          <w:p>
            <w:pPr>
              <w:jc w:val="center"/>
              <w:rPr>
                <w:color w:val="000000"/>
                <w:sz w:val="22"/>
              </w:rPr>
            </w:pPr>
          </w:p>
        </w:tc>
        <w:tc>
          <w:tcPr>
            <w:tcW w:w="1448" w:type="dxa"/>
            <w:vAlign w:val="center"/>
          </w:tcPr>
          <w:p>
            <w:pPr>
              <w:jc w:val="center"/>
              <w:rPr>
                <w:color w:val="000000"/>
                <w:sz w:val="22"/>
              </w:rPr>
            </w:pPr>
            <w:r>
              <w:rPr>
                <w:color w:val="000000"/>
                <w:sz w:val="22"/>
              </w:rPr>
              <w:t>总指挥</w:t>
            </w:r>
          </w:p>
        </w:tc>
        <w:tc>
          <w:tcPr>
            <w:tcW w:w="1963" w:type="dxa"/>
            <w:gridSpan w:val="2"/>
            <w:vAlign w:val="center"/>
          </w:tcPr>
          <w:p>
            <w:pPr>
              <w:jc w:val="center"/>
              <w:rPr>
                <w:color w:val="000000"/>
                <w:sz w:val="22"/>
              </w:rPr>
            </w:pPr>
          </w:p>
        </w:tc>
        <w:tc>
          <w:tcPr>
            <w:tcW w:w="1292" w:type="dxa"/>
            <w:gridSpan w:val="2"/>
            <w:vAlign w:val="center"/>
          </w:tcPr>
          <w:p>
            <w:pPr>
              <w:jc w:val="center"/>
              <w:rPr>
                <w:color w:val="000000"/>
                <w:sz w:val="22"/>
              </w:rPr>
            </w:pPr>
          </w:p>
        </w:tc>
        <w:tc>
          <w:tcPr>
            <w:tcW w:w="2120" w:type="dxa"/>
            <w:vAlign w:val="center"/>
          </w:tcPr>
          <w:p>
            <w:pPr>
              <w:jc w:val="cente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705" w:type="dxa"/>
            <w:vMerge w:val="continue"/>
            <w:vAlign w:val="center"/>
          </w:tcPr>
          <w:p>
            <w:pPr>
              <w:jc w:val="center"/>
              <w:rPr>
                <w:color w:val="000000"/>
                <w:sz w:val="22"/>
              </w:rPr>
            </w:pPr>
          </w:p>
        </w:tc>
        <w:tc>
          <w:tcPr>
            <w:tcW w:w="1448" w:type="dxa"/>
            <w:vAlign w:val="center"/>
          </w:tcPr>
          <w:p>
            <w:pPr>
              <w:jc w:val="center"/>
              <w:rPr>
                <w:color w:val="000000"/>
                <w:sz w:val="22"/>
              </w:rPr>
            </w:pPr>
            <w:r>
              <w:rPr>
                <w:color w:val="000000"/>
                <w:sz w:val="22"/>
              </w:rPr>
              <w:t>信息联络</w:t>
            </w:r>
          </w:p>
        </w:tc>
        <w:tc>
          <w:tcPr>
            <w:tcW w:w="1963" w:type="dxa"/>
            <w:gridSpan w:val="2"/>
            <w:vAlign w:val="center"/>
          </w:tcPr>
          <w:p>
            <w:pPr>
              <w:jc w:val="center"/>
              <w:rPr>
                <w:color w:val="000000"/>
                <w:sz w:val="22"/>
              </w:rPr>
            </w:pPr>
          </w:p>
        </w:tc>
        <w:tc>
          <w:tcPr>
            <w:tcW w:w="1292" w:type="dxa"/>
            <w:gridSpan w:val="2"/>
            <w:vAlign w:val="center"/>
          </w:tcPr>
          <w:p>
            <w:pPr>
              <w:jc w:val="center"/>
              <w:rPr>
                <w:color w:val="000000"/>
                <w:sz w:val="22"/>
              </w:rPr>
            </w:pPr>
          </w:p>
        </w:tc>
        <w:tc>
          <w:tcPr>
            <w:tcW w:w="2120" w:type="dxa"/>
            <w:vAlign w:val="center"/>
          </w:tcPr>
          <w:p>
            <w:pPr>
              <w:jc w:val="cente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705" w:type="dxa"/>
            <w:vMerge w:val="continue"/>
            <w:vAlign w:val="center"/>
          </w:tcPr>
          <w:p>
            <w:pPr>
              <w:jc w:val="center"/>
              <w:rPr>
                <w:color w:val="000000"/>
                <w:sz w:val="22"/>
              </w:rPr>
            </w:pPr>
          </w:p>
        </w:tc>
        <w:tc>
          <w:tcPr>
            <w:tcW w:w="1448" w:type="dxa"/>
            <w:vAlign w:val="center"/>
          </w:tcPr>
          <w:p>
            <w:pPr>
              <w:jc w:val="center"/>
              <w:rPr>
                <w:color w:val="000000"/>
                <w:sz w:val="22"/>
              </w:rPr>
            </w:pPr>
            <w:r>
              <w:rPr>
                <w:color w:val="000000"/>
                <w:sz w:val="22"/>
              </w:rPr>
              <w:t>现场指挥</w:t>
            </w:r>
          </w:p>
        </w:tc>
        <w:tc>
          <w:tcPr>
            <w:tcW w:w="1963" w:type="dxa"/>
            <w:gridSpan w:val="2"/>
            <w:vAlign w:val="center"/>
          </w:tcPr>
          <w:p>
            <w:pPr>
              <w:jc w:val="center"/>
              <w:rPr>
                <w:color w:val="000000"/>
                <w:sz w:val="22"/>
              </w:rPr>
            </w:pPr>
          </w:p>
        </w:tc>
        <w:tc>
          <w:tcPr>
            <w:tcW w:w="1292" w:type="dxa"/>
            <w:gridSpan w:val="2"/>
            <w:vAlign w:val="center"/>
          </w:tcPr>
          <w:p>
            <w:pPr>
              <w:jc w:val="center"/>
              <w:rPr>
                <w:color w:val="000000"/>
                <w:sz w:val="22"/>
              </w:rPr>
            </w:pPr>
          </w:p>
        </w:tc>
        <w:tc>
          <w:tcPr>
            <w:tcW w:w="2120" w:type="dxa"/>
            <w:vAlign w:val="center"/>
          </w:tcPr>
          <w:p>
            <w:pPr>
              <w:jc w:val="cente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845" w:hRule="atLeast"/>
        </w:trPr>
        <w:tc>
          <w:tcPr>
            <w:tcW w:w="1705" w:type="dxa"/>
            <w:vAlign w:val="center"/>
          </w:tcPr>
          <w:p>
            <w:pPr>
              <w:jc w:val="center"/>
              <w:rPr>
                <w:color w:val="000000"/>
                <w:sz w:val="22"/>
              </w:rPr>
            </w:pPr>
            <w:r>
              <w:rPr>
                <w:color w:val="000000"/>
                <w:sz w:val="22"/>
              </w:rPr>
              <w:t>事件初步</w:t>
            </w:r>
          </w:p>
          <w:p>
            <w:pPr>
              <w:jc w:val="center"/>
              <w:rPr>
                <w:color w:val="000000"/>
                <w:sz w:val="22"/>
              </w:rPr>
            </w:pPr>
            <w:r>
              <w:rPr>
                <w:color w:val="000000"/>
                <w:sz w:val="22"/>
              </w:rPr>
              <w:t>原因描述</w:t>
            </w:r>
          </w:p>
        </w:tc>
        <w:tc>
          <w:tcPr>
            <w:tcW w:w="6823" w:type="dxa"/>
            <w:gridSpan w:val="6"/>
          </w:tcPr>
          <w:p>
            <w:pP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845" w:hRule="atLeast"/>
        </w:trPr>
        <w:tc>
          <w:tcPr>
            <w:tcW w:w="1705" w:type="dxa"/>
            <w:vAlign w:val="center"/>
          </w:tcPr>
          <w:p>
            <w:pPr>
              <w:jc w:val="center"/>
              <w:rPr>
                <w:color w:val="000000"/>
                <w:sz w:val="22"/>
              </w:rPr>
            </w:pPr>
            <w:r>
              <w:rPr>
                <w:color w:val="000000"/>
                <w:sz w:val="22"/>
              </w:rPr>
              <w:t>已经实施或正在采取的控制措施</w:t>
            </w:r>
          </w:p>
        </w:tc>
        <w:tc>
          <w:tcPr>
            <w:tcW w:w="6823" w:type="dxa"/>
            <w:gridSpan w:val="6"/>
          </w:tcPr>
          <w:p>
            <w:pP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683" w:hRule="atLeast"/>
        </w:trPr>
        <w:tc>
          <w:tcPr>
            <w:tcW w:w="1705" w:type="dxa"/>
            <w:vAlign w:val="center"/>
          </w:tcPr>
          <w:p>
            <w:pPr>
              <w:jc w:val="center"/>
              <w:rPr>
                <w:color w:val="000000"/>
                <w:sz w:val="22"/>
              </w:rPr>
            </w:pPr>
            <w:r>
              <w:rPr>
                <w:color w:val="000000"/>
                <w:sz w:val="22"/>
              </w:rPr>
              <w:t>事件潜在后果以及可能对周边造成的影响</w:t>
            </w:r>
          </w:p>
        </w:tc>
        <w:tc>
          <w:tcPr>
            <w:tcW w:w="6823" w:type="dxa"/>
            <w:gridSpan w:val="6"/>
          </w:tcPr>
          <w:p>
            <w:pP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738" w:hRule="atLeast"/>
        </w:trPr>
        <w:tc>
          <w:tcPr>
            <w:tcW w:w="1705" w:type="dxa"/>
            <w:vAlign w:val="center"/>
          </w:tcPr>
          <w:p>
            <w:pPr>
              <w:jc w:val="center"/>
              <w:rPr>
                <w:color w:val="000000"/>
                <w:sz w:val="22"/>
              </w:rPr>
            </w:pPr>
            <w:r>
              <w:rPr>
                <w:color w:val="000000"/>
                <w:sz w:val="22"/>
              </w:rPr>
              <w:t>现场气象、海况及主要自然天气情况</w:t>
            </w:r>
          </w:p>
        </w:tc>
        <w:tc>
          <w:tcPr>
            <w:tcW w:w="6823" w:type="dxa"/>
            <w:gridSpan w:val="6"/>
          </w:tcPr>
          <w:p>
            <w:pP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390" w:hRule="atLeast"/>
        </w:trPr>
        <w:tc>
          <w:tcPr>
            <w:tcW w:w="1705" w:type="dxa"/>
            <w:vAlign w:val="center"/>
          </w:tcPr>
          <w:p>
            <w:pPr>
              <w:jc w:val="center"/>
              <w:rPr>
                <w:color w:val="000000"/>
                <w:sz w:val="22"/>
              </w:rPr>
            </w:pPr>
            <w:r>
              <w:rPr>
                <w:color w:val="000000"/>
                <w:sz w:val="22"/>
              </w:rPr>
              <w:t>信息报送情况</w:t>
            </w:r>
          </w:p>
        </w:tc>
        <w:tc>
          <w:tcPr>
            <w:tcW w:w="6823" w:type="dxa"/>
            <w:gridSpan w:val="6"/>
          </w:tcPr>
          <w:p>
            <w:pPr>
              <w:rPr>
                <w:color w:val="000000"/>
                <w:sz w:val="22"/>
              </w:rPr>
            </w:pPr>
            <w:r>
              <w:rPr>
                <w:color w:val="000000"/>
                <w:sz w:val="22"/>
              </w:rPr>
              <w:t>□本企业领导：</w:t>
            </w:r>
          </w:p>
          <w:p>
            <w:pPr>
              <w:rPr>
                <w:color w:val="000000"/>
                <w:sz w:val="22"/>
              </w:rPr>
            </w:pPr>
            <w:r>
              <w:rPr>
                <w:color w:val="000000"/>
                <w:sz w:val="22"/>
              </w:rPr>
              <w:t>□本企业有关部门：</w:t>
            </w:r>
          </w:p>
          <w:p>
            <w:pPr>
              <w:rPr>
                <w:color w:val="000000"/>
                <w:sz w:val="22"/>
              </w:rPr>
            </w:pPr>
            <w:r>
              <w:rPr>
                <w:color w:val="000000"/>
                <w:sz w:val="22"/>
              </w:rPr>
              <w:t>□上级部门：</w:t>
            </w:r>
          </w:p>
          <w:p>
            <w:pPr>
              <w:rPr>
                <w:color w:val="000000"/>
                <w:sz w:val="22"/>
              </w:rPr>
            </w:pPr>
            <w:r>
              <w:rPr>
                <w:color w:val="000000"/>
                <w:sz w:val="22"/>
              </w:rPr>
              <w:t>□政府部门：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55" w:hRule="atLeast"/>
        </w:trPr>
        <w:tc>
          <w:tcPr>
            <w:tcW w:w="1705" w:type="dxa"/>
            <w:vAlign w:val="center"/>
          </w:tcPr>
          <w:p>
            <w:pPr>
              <w:jc w:val="center"/>
              <w:rPr>
                <w:color w:val="000000"/>
                <w:sz w:val="22"/>
              </w:rPr>
            </w:pPr>
            <w:r>
              <w:rPr>
                <w:color w:val="000000"/>
                <w:sz w:val="22"/>
              </w:rPr>
              <w:t>此报告信息</w:t>
            </w:r>
          </w:p>
          <w:p>
            <w:pPr>
              <w:jc w:val="center"/>
              <w:rPr>
                <w:color w:val="000000"/>
                <w:sz w:val="22"/>
              </w:rPr>
            </w:pPr>
            <w:r>
              <w:rPr>
                <w:color w:val="000000"/>
                <w:sz w:val="22"/>
              </w:rPr>
              <w:t>接收人</w:t>
            </w:r>
          </w:p>
        </w:tc>
        <w:tc>
          <w:tcPr>
            <w:tcW w:w="3023" w:type="dxa"/>
            <w:gridSpan w:val="2"/>
          </w:tcPr>
          <w:p>
            <w:pPr>
              <w:rPr>
                <w:color w:val="000000"/>
                <w:sz w:val="22"/>
              </w:rPr>
            </w:pPr>
          </w:p>
        </w:tc>
        <w:tc>
          <w:tcPr>
            <w:tcW w:w="1470" w:type="dxa"/>
            <w:gridSpan w:val="2"/>
            <w:vAlign w:val="center"/>
          </w:tcPr>
          <w:p>
            <w:pPr>
              <w:jc w:val="center"/>
              <w:rPr>
                <w:color w:val="000000"/>
                <w:sz w:val="22"/>
              </w:rPr>
            </w:pPr>
            <w:r>
              <w:rPr>
                <w:color w:val="000000"/>
                <w:sz w:val="22"/>
              </w:rPr>
              <w:t>接受时间</w:t>
            </w:r>
          </w:p>
        </w:tc>
        <w:tc>
          <w:tcPr>
            <w:tcW w:w="2330" w:type="dxa"/>
            <w:gridSpan w:val="2"/>
            <w:vAlign w:val="center"/>
          </w:tcPr>
          <w:p>
            <w:pPr>
              <w:ind w:firstLine="893" w:firstLineChars="400"/>
              <w:rPr>
                <w:color w:val="000000"/>
                <w:sz w:val="22"/>
              </w:rPr>
            </w:pPr>
            <w:r>
              <w:rPr>
                <w:color w:val="000000"/>
                <w:sz w:val="22"/>
              </w:rPr>
              <w:t>时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8" w:hRule="atLeast"/>
        </w:trPr>
        <w:tc>
          <w:tcPr>
            <w:tcW w:w="1705" w:type="dxa"/>
            <w:vAlign w:val="center"/>
          </w:tcPr>
          <w:p>
            <w:pPr>
              <w:jc w:val="center"/>
              <w:rPr>
                <w:color w:val="000000"/>
                <w:sz w:val="22"/>
              </w:rPr>
            </w:pPr>
            <w:r>
              <w:rPr>
                <w:color w:val="000000"/>
                <w:sz w:val="22"/>
              </w:rPr>
              <w:t>备注</w:t>
            </w:r>
          </w:p>
        </w:tc>
        <w:tc>
          <w:tcPr>
            <w:tcW w:w="6823" w:type="dxa"/>
            <w:gridSpan w:val="6"/>
          </w:tcPr>
          <w:p>
            <w:pPr>
              <w:rPr>
                <w:color w:val="000000"/>
                <w:sz w:val="22"/>
              </w:rPr>
            </w:pPr>
          </w:p>
        </w:tc>
      </w:tr>
    </w:tbl>
    <w:p>
      <w:pPr>
        <w:rPr>
          <w:color w:val="000000"/>
          <w:sz w:val="24"/>
        </w:rPr>
      </w:pPr>
      <w:r>
        <w:rPr>
          <w:color w:val="000000"/>
          <w:sz w:val="24"/>
        </w:rPr>
        <w:t>注：此报告单可以作为快报。</w:t>
      </w:r>
    </w:p>
    <w:p>
      <w:pPr>
        <w:rPr>
          <w:color w:val="000000"/>
          <w:sz w:val="24"/>
        </w:rPr>
      </w:pPr>
    </w:p>
    <w:p>
      <w:pPr>
        <w:spacing w:line="460" w:lineRule="exact"/>
        <w:jc w:val="left"/>
        <w:rPr>
          <w:b/>
          <w:color w:val="000000"/>
          <w:sz w:val="24"/>
        </w:rPr>
      </w:pPr>
      <w:r>
        <w:rPr>
          <w:color w:val="000000"/>
          <w:sz w:val="26"/>
          <w:szCs w:val="26"/>
        </w:rPr>
        <w:t>附件</w:t>
      </w:r>
      <w:r>
        <w:rPr>
          <w:rFonts w:hint="eastAsia"/>
          <w:color w:val="000000"/>
          <w:sz w:val="26"/>
          <w:szCs w:val="26"/>
        </w:rPr>
        <w:t xml:space="preserve"> </w:t>
      </w:r>
      <w:r>
        <w:rPr>
          <w:color w:val="000000"/>
          <w:sz w:val="26"/>
          <w:szCs w:val="26"/>
        </w:rPr>
        <w:t>应急预案启动令（格式）</w:t>
      </w:r>
    </w:p>
    <w:p>
      <w:pPr>
        <w:pStyle w:val="120"/>
        <w:ind w:firstLine="486"/>
        <w:jc w:val="center"/>
      </w:pPr>
      <w:r>
        <w:t>应急预案启动令（格式）</w:t>
      </w:r>
    </w:p>
    <w:tbl>
      <w:tblPr>
        <w:tblStyle w:val="54"/>
        <w:tblW w:w="82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9"/>
        <w:gridCol w:w="1798"/>
        <w:gridCol w:w="1259"/>
        <w:gridCol w:w="35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19" w:type="dxa"/>
          </w:tcPr>
          <w:p>
            <w:pPr>
              <w:spacing w:before="156" w:after="156"/>
              <w:rPr>
                <w:color w:val="000000"/>
                <w:sz w:val="22"/>
              </w:rPr>
            </w:pPr>
            <w:r>
              <w:rPr>
                <w:color w:val="000000"/>
                <w:sz w:val="22"/>
              </w:rPr>
              <w:t>签发人</w:t>
            </w:r>
          </w:p>
        </w:tc>
        <w:tc>
          <w:tcPr>
            <w:tcW w:w="1798" w:type="dxa"/>
          </w:tcPr>
          <w:p>
            <w:pPr>
              <w:spacing w:before="156" w:after="156"/>
              <w:rPr>
                <w:color w:val="000000"/>
                <w:sz w:val="22"/>
              </w:rPr>
            </w:pPr>
          </w:p>
        </w:tc>
        <w:tc>
          <w:tcPr>
            <w:tcW w:w="1259" w:type="dxa"/>
          </w:tcPr>
          <w:p>
            <w:pPr>
              <w:spacing w:before="156" w:after="156"/>
              <w:ind w:right="72" w:rightChars="34"/>
              <w:rPr>
                <w:color w:val="000000"/>
                <w:sz w:val="22"/>
              </w:rPr>
            </w:pPr>
            <w:r>
              <w:rPr>
                <w:color w:val="000000"/>
                <w:sz w:val="22"/>
              </w:rPr>
              <w:t>签发时间</w:t>
            </w:r>
          </w:p>
        </w:tc>
        <w:tc>
          <w:tcPr>
            <w:tcW w:w="3596" w:type="dxa"/>
          </w:tcPr>
          <w:p>
            <w:pPr>
              <w:spacing w:before="156" w:after="156"/>
              <w:ind w:firstLine="446" w:firstLineChars="200"/>
              <w:rPr>
                <w:color w:val="000000"/>
                <w:sz w:val="22"/>
              </w:rPr>
            </w:pPr>
            <w:r>
              <w:rPr>
                <w:color w:val="000000"/>
                <w:sz w:val="22"/>
              </w:rPr>
              <w:t>年  月   日    时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19" w:type="dxa"/>
          </w:tcPr>
          <w:p>
            <w:pPr>
              <w:spacing w:before="156" w:after="156"/>
              <w:rPr>
                <w:color w:val="000000"/>
                <w:sz w:val="22"/>
              </w:rPr>
            </w:pPr>
            <w:r>
              <w:rPr>
                <w:color w:val="000000"/>
                <w:sz w:val="22"/>
              </w:rPr>
              <w:t>传令人</w:t>
            </w:r>
          </w:p>
        </w:tc>
        <w:tc>
          <w:tcPr>
            <w:tcW w:w="1798" w:type="dxa"/>
          </w:tcPr>
          <w:p>
            <w:pPr>
              <w:spacing w:before="156" w:after="156"/>
              <w:rPr>
                <w:color w:val="000000"/>
                <w:sz w:val="22"/>
              </w:rPr>
            </w:pPr>
          </w:p>
        </w:tc>
        <w:tc>
          <w:tcPr>
            <w:tcW w:w="1259" w:type="dxa"/>
          </w:tcPr>
          <w:p>
            <w:pPr>
              <w:spacing w:before="156" w:after="156"/>
              <w:rPr>
                <w:color w:val="000000"/>
                <w:sz w:val="22"/>
              </w:rPr>
            </w:pPr>
            <w:r>
              <w:rPr>
                <w:color w:val="000000"/>
                <w:sz w:val="22"/>
              </w:rPr>
              <w:t>传令时间</w:t>
            </w:r>
          </w:p>
        </w:tc>
        <w:tc>
          <w:tcPr>
            <w:tcW w:w="3596" w:type="dxa"/>
          </w:tcPr>
          <w:p>
            <w:pPr>
              <w:spacing w:before="156" w:after="156"/>
              <w:ind w:firstLine="446" w:firstLineChars="200"/>
              <w:rPr>
                <w:color w:val="000000"/>
                <w:sz w:val="22"/>
              </w:rPr>
            </w:pPr>
            <w:r>
              <w:rPr>
                <w:color w:val="000000"/>
                <w:sz w:val="22"/>
              </w:rPr>
              <w:t>年  月   日    时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72" w:type="dxa"/>
            <w:gridSpan w:val="4"/>
          </w:tcPr>
          <w:p>
            <w:pPr>
              <w:spacing w:before="156" w:after="156"/>
              <w:rPr>
                <w:color w:val="000000"/>
                <w:sz w:val="22"/>
              </w:rPr>
            </w:pPr>
            <w:r>
              <w:rPr>
                <w:color w:val="000000"/>
                <w:sz w:val="22"/>
              </w:rPr>
              <w:t>命令内容：</w:t>
            </w:r>
          </w:p>
          <w:p>
            <w:pPr>
              <w:spacing w:before="156" w:after="156"/>
              <w:rPr>
                <w:color w:val="000000"/>
                <w:sz w:val="22"/>
              </w:rPr>
            </w:pPr>
            <w:r>
              <w:rPr>
                <w:color w:val="000000"/>
                <w:sz w:val="22"/>
              </w:rPr>
              <w:t xml:space="preserve">（包括信息来源、事件现状、宣布事项） </w:t>
            </w:r>
          </w:p>
          <w:p>
            <w:pPr>
              <w:spacing w:before="156" w:after="156"/>
              <w:rPr>
                <w:color w:val="000000"/>
                <w:sz w:val="22"/>
              </w:rPr>
            </w:pPr>
          </w:p>
          <w:p>
            <w:pPr>
              <w:spacing w:before="156" w:after="156"/>
              <w:rPr>
                <w:color w:val="000000"/>
                <w:sz w:val="22"/>
              </w:rPr>
            </w:pPr>
            <w:r>
              <w:rPr>
                <w:color w:val="000000"/>
                <w:sz w:val="22"/>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35" w:hRule="atLeast"/>
          <w:jc w:val="center"/>
        </w:trPr>
        <w:tc>
          <w:tcPr>
            <w:tcW w:w="8272" w:type="dxa"/>
            <w:gridSpan w:val="4"/>
          </w:tcPr>
          <w:p>
            <w:pPr>
              <w:spacing w:before="156" w:after="156"/>
              <w:rPr>
                <w:color w:val="000000"/>
                <w:sz w:val="22"/>
              </w:rPr>
            </w:pPr>
            <w:r>
              <w:rPr>
                <w:color w:val="000000"/>
                <w:sz w:val="22"/>
              </w:rPr>
              <w:t>受令单位：</w:t>
            </w:r>
          </w:p>
          <w:p>
            <w:pPr>
              <w:spacing w:before="156" w:after="156"/>
              <w:rPr>
                <w:color w:val="000000"/>
                <w:sz w:val="22"/>
              </w:rPr>
            </w:pPr>
          </w:p>
          <w:p>
            <w:pPr>
              <w:spacing w:before="156" w:after="156"/>
              <w:rPr>
                <w:color w:val="000000"/>
                <w:sz w:val="22"/>
              </w:rPr>
            </w:pPr>
            <w:r>
              <w:rPr>
                <w:color w:val="000000"/>
                <w:sz w:val="22"/>
              </w:rPr>
              <w:t>受令人：</w:t>
            </w:r>
          </w:p>
          <w:p>
            <w:pPr>
              <w:spacing w:before="156" w:after="156"/>
              <w:rPr>
                <w:color w:val="000000"/>
                <w:sz w:val="22"/>
              </w:rPr>
            </w:pPr>
          </w:p>
          <w:p>
            <w:pPr>
              <w:spacing w:before="156" w:after="156"/>
              <w:rPr>
                <w:color w:val="000000"/>
                <w:sz w:val="22"/>
              </w:rPr>
            </w:pPr>
            <w:r>
              <w:rPr>
                <w:color w:val="000000"/>
                <w:sz w:val="22"/>
              </w:rPr>
              <w:t>时间：</w:t>
            </w:r>
          </w:p>
          <w:p>
            <w:pPr>
              <w:spacing w:before="156" w:after="156"/>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03" w:hRule="atLeast"/>
          <w:jc w:val="center"/>
        </w:trPr>
        <w:tc>
          <w:tcPr>
            <w:tcW w:w="8272" w:type="dxa"/>
            <w:gridSpan w:val="4"/>
          </w:tcPr>
          <w:p>
            <w:pPr>
              <w:spacing w:before="156" w:after="156"/>
              <w:rPr>
                <w:color w:val="000000"/>
                <w:sz w:val="22"/>
              </w:rPr>
            </w:pPr>
            <w:r>
              <w:rPr>
                <w:color w:val="000000"/>
                <w:sz w:val="22"/>
              </w:rPr>
              <w:t>备注：</w:t>
            </w:r>
          </w:p>
          <w:p>
            <w:pPr>
              <w:spacing w:before="156" w:after="156"/>
              <w:rPr>
                <w:color w:val="000000"/>
                <w:sz w:val="22"/>
              </w:rPr>
            </w:pPr>
          </w:p>
          <w:p>
            <w:pPr>
              <w:spacing w:before="156" w:after="156"/>
              <w:rPr>
                <w:color w:val="000000"/>
                <w:sz w:val="22"/>
              </w:rPr>
            </w:pPr>
          </w:p>
          <w:p>
            <w:pPr>
              <w:spacing w:before="156" w:after="156"/>
              <w:rPr>
                <w:color w:val="000000"/>
                <w:sz w:val="22"/>
              </w:rPr>
            </w:pPr>
          </w:p>
        </w:tc>
      </w:tr>
    </w:tbl>
    <w:p>
      <w:pPr>
        <w:spacing w:line="460" w:lineRule="exact"/>
        <w:jc w:val="left"/>
        <w:rPr>
          <w:color w:val="000000"/>
          <w:sz w:val="26"/>
          <w:szCs w:val="26"/>
        </w:rPr>
      </w:pPr>
      <w:r>
        <w:rPr>
          <w:color w:val="000000"/>
          <w:sz w:val="26"/>
          <w:szCs w:val="26"/>
        </w:rPr>
        <w:t>附件</w:t>
      </w:r>
      <w:r>
        <w:rPr>
          <w:rFonts w:hint="eastAsia"/>
          <w:color w:val="000000"/>
          <w:sz w:val="26"/>
          <w:szCs w:val="26"/>
        </w:rPr>
        <w:t xml:space="preserve"> </w:t>
      </w:r>
      <w:r>
        <w:rPr>
          <w:color w:val="000000"/>
          <w:sz w:val="26"/>
          <w:szCs w:val="26"/>
        </w:rPr>
        <w:t>应急状态终止令（格式）</w:t>
      </w:r>
    </w:p>
    <w:p>
      <w:pPr>
        <w:rPr>
          <w:b/>
          <w:color w:val="000000"/>
          <w:sz w:val="24"/>
        </w:rPr>
      </w:pPr>
    </w:p>
    <w:p>
      <w:pPr>
        <w:pStyle w:val="120"/>
        <w:ind w:firstLine="486"/>
        <w:jc w:val="center"/>
      </w:pPr>
      <w:r>
        <w:t>应急状态终止令（格式）</w:t>
      </w:r>
    </w:p>
    <w:tbl>
      <w:tblPr>
        <w:tblStyle w:val="54"/>
        <w:tblW w:w="82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9"/>
        <w:gridCol w:w="1798"/>
        <w:gridCol w:w="1259"/>
        <w:gridCol w:w="35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19" w:type="dxa"/>
          </w:tcPr>
          <w:p>
            <w:pPr>
              <w:spacing w:before="156" w:after="156"/>
              <w:rPr>
                <w:color w:val="000000"/>
                <w:sz w:val="22"/>
              </w:rPr>
            </w:pPr>
            <w:r>
              <w:rPr>
                <w:color w:val="000000"/>
                <w:sz w:val="22"/>
              </w:rPr>
              <w:t>签发人</w:t>
            </w:r>
          </w:p>
        </w:tc>
        <w:tc>
          <w:tcPr>
            <w:tcW w:w="1798" w:type="dxa"/>
          </w:tcPr>
          <w:p>
            <w:pPr>
              <w:spacing w:before="156" w:after="156"/>
              <w:rPr>
                <w:color w:val="000000"/>
                <w:sz w:val="22"/>
              </w:rPr>
            </w:pPr>
          </w:p>
        </w:tc>
        <w:tc>
          <w:tcPr>
            <w:tcW w:w="1259" w:type="dxa"/>
          </w:tcPr>
          <w:p>
            <w:pPr>
              <w:spacing w:before="156" w:after="156"/>
              <w:ind w:right="72" w:rightChars="34"/>
              <w:rPr>
                <w:color w:val="000000"/>
                <w:sz w:val="22"/>
              </w:rPr>
            </w:pPr>
            <w:r>
              <w:rPr>
                <w:color w:val="000000"/>
                <w:sz w:val="22"/>
              </w:rPr>
              <w:t>签发时间</w:t>
            </w:r>
          </w:p>
        </w:tc>
        <w:tc>
          <w:tcPr>
            <w:tcW w:w="3596" w:type="dxa"/>
          </w:tcPr>
          <w:p>
            <w:pPr>
              <w:spacing w:before="156" w:after="156"/>
              <w:ind w:firstLine="446" w:firstLineChars="200"/>
              <w:rPr>
                <w:color w:val="000000"/>
                <w:sz w:val="22"/>
              </w:rPr>
            </w:pPr>
            <w:r>
              <w:rPr>
                <w:color w:val="000000"/>
                <w:sz w:val="22"/>
              </w:rPr>
              <w:t>年  月   日    时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19" w:type="dxa"/>
          </w:tcPr>
          <w:p>
            <w:pPr>
              <w:spacing w:before="156" w:after="156"/>
              <w:rPr>
                <w:color w:val="000000"/>
                <w:sz w:val="22"/>
              </w:rPr>
            </w:pPr>
            <w:r>
              <w:rPr>
                <w:color w:val="000000"/>
                <w:sz w:val="22"/>
              </w:rPr>
              <w:t>传令人</w:t>
            </w:r>
          </w:p>
        </w:tc>
        <w:tc>
          <w:tcPr>
            <w:tcW w:w="1798" w:type="dxa"/>
          </w:tcPr>
          <w:p>
            <w:pPr>
              <w:spacing w:before="156" w:after="156"/>
              <w:rPr>
                <w:color w:val="000000"/>
                <w:sz w:val="22"/>
              </w:rPr>
            </w:pPr>
          </w:p>
        </w:tc>
        <w:tc>
          <w:tcPr>
            <w:tcW w:w="1259" w:type="dxa"/>
          </w:tcPr>
          <w:p>
            <w:pPr>
              <w:spacing w:before="156" w:after="156"/>
              <w:rPr>
                <w:color w:val="000000"/>
                <w:sz w:val="22"/>
              </w:rPr>
            </w:pPr>
            <w:r>
              <w:rPr>
                <w:color w:val="000000"/>
                <w:sz w:val="22"/>
              </w:rPr>
              <w:t>传令时间</w:t>
            </w:r>
          </w:p>
        </w:tc>
        <w:tc>
          <w:tcPr>
            <w:tcW w:w="3596" w:type="dxa"/>
          </w:tcPr>
          <w:p>
            <w:pPr>
              <w:spacing w:before="156" w:after="156"/>
              <w:ind w:firstLine="446" w:firstLineChars="200"/>
              <w:rPr>
                <w:color w:val="000000"/>
                <w:sz w:val="22"/>
              </w:rPr>
            </w:pPr>
            <w:r>
              <w:rPr>
                <w:color w:val="000000"/>
                <w:sz w:val="22"/>
              </w:rPr>
              <w:t>年  月   日    时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43" w:hRule="atLeast"/>
          <w:jc w:val="center"/>
        </w:trPr>
        <w:tc>
          <w:tcPr>
            <w:tcW w:w="8272" w:type="dxa"/>
            <w:gridSpan w:val="4"/>
          </w:tcPr>
          <w:p>
            <w:pPr>
              <w:spacing w:before="156" w:after="156"/>
              <w:rPr>
                <w:color w:val="000000"/>
                <w:sz w:val="22"/>
              </w:rPr>
            </w:pPr>
            <w:r>
              <w:rPr>
                <w:color w:val="000000"/>
                <w:sz w:val="22"/>
              </w:rPr>
              <w:t>命令内容：</w:t>
            </w:r>
          </w:p>
          <w:p>
            <w:pPr>
              <w:spacing w:before="156" w:after="156"/>
              <w:rPr>
                <w:color w:val="000000"/>
                <w:sz w:val="22"/>
              </w:rPr>
            </w:pPr>
            <w:r>
              <w:rPr>
                <w:color w:val="000000"/>
                <w:sz w:val="22"/>
              </w:rPr>
              <w:t xml:space="preserve">（宣布事件应急救援工作基本结束，现场基本恢复，现场指挥部（小组）撤销，相关部门认真做好善后恢复工作。） </w:t>
            </w:r>
          </w:p>
          <w:p>
            <w:pPr>
              <w:spacing w:before="156" w:after="156"/>
              <w:rPr>
                <w:color w:val="000000"/>
                <w:sz w:val="22"/>
              </w:rPr>
            </w:pPr>
          </w:p>
          <w:p>
            <w:pPr>
              <w:spacing w:before="156" w:after="156"/>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29" w:hRule="atLeast"/>
          <w:jc w:val="center"/>
        </w:trPr>
        <w:tc>
          <w:tcPr>
            <w:tcW w:w="8272" w:type="dxa"/>
            <w:gridSpan w:val="4"/>
          </w:tcPr>
          <w:p>
            <w:pPr>
              <w:spacing w:before="156" w:after="156"/>
              <w:rPr>
                <w:color w:val="000000"/>
                <w:sz w:val="22"/>
              </w:rPr>
            </w:pPr>
            <w:r>
              <w:rPr>
                <w:color w:val="000000"/>
                <w:sz w:val="22"/>
              </w:rPr>
              <w:t>受令单位：</w:t>
            </w:r>
          </w:p>
          <w:p>
            <w:pPr>
              <w:spacing w:before="156" w:after="156"/>
              <w:rPr>
                <w:color w:val="000000"/>
                <w:sz w:val="22"/>
              </w:rPr>
            </w:pPr>
          </w:p>
          <w:p>
            <w:pPr>
              <w:spacing w:before="156" w:after="156"/>
              <w:rPr>
                <w:color w:val="000000"/>
                <w:sz w:val="22"/>
              </w:rPr>
            </w:pPr>
            <w:r>
              <w:rPr>
                <w:color w:val="000000"/>
                <w:sz w:val="22"/>
              </w:rPr>
              <w:t>受令人：</w:t>
            </w:r>
          </w:p>
          <w:p>
            <w:pPr>
              <w:spacing w:before="156" w:after="156"/>
              <w:rPr>
                <w:color w:val="000000"/>
                <w:sz w:val="22"/>
              </w:rPr>
            </w:pPr>
          </w:p>
          <w:p>
            <w:pPr>
              <w:spacing w:before="156" w:after="156"/>
              <w:rPr>
                <w:color w:val="000000"/>
                <w:sz w:val="22"/>
              </w:rPr>
            </w:pPr>
            <w:r>
              <w:rPr>
                <w:color w:val="000000"/>
                <w:sz w:val="22"/>
              </w:rPr>
              <w:t>时间：</w:t>
            </w:r>
          </w:p>
          <w:p>
            <w:pPr>
              <w:spacing w:before="156" w:after="156"/>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43" w:hRule="atLeast"/>
          <w:jc w:val="center"/>
        </w:trPr>
        <w:tc>
          <w:tcPr>
            <w:tcW w:w="8272" w:type="dxa"/>
            <w:gridSpan w:val="4"/>
          </w:tcPr>
          <w:p>
            <w:pPr>
              <w:spacing w:before="156" w:after="156"/>
              <w:rPr>
                <w:color w:val="000000"/>
                <w:sz w:val="22"/>
              </w:rPr>
            </w:pPr>
            <w:r>
              <w:rPr>
                <w:color w:val="000000"/>
                <w:sz w:val="22"/>
              </w:rPr>
              <w:t>备注：</w:t>
            </w:r>
          </w:p>
          <w:p>
            <w:pPr>
              <w:spacing w:before="156" w:after="156"/>
              <w:rPr>
                <w:color w:val="000000"/>
                <w:sz w:val="22"/>
              </w:rPr>
            </w:pPr>
          </w:p>
          <w:p>
            <w:pPr>
              <w:spacing w:before="156" w:after="156"/>
              <w:rPr>
                <w:color w:val="000000"/>
                <w:sz w:val="22"/>
              </w:rPr>
            </w:pPr>
          </w:p>
        </w:tc>
      </w:tr>
    </w:tbl>
    <w:p>
      <w:pPr>
        <w:rPr>
          <w:color w:val="000000"/>
          <w:sz w:val="26"/>
          <w:szCs w:val="26"/>
        </w:rPr>
      </w:pPr>
      <w:r>
        <w:rPr>
          <w:color w:val="000000"/>
          <w:sz w:val="26"/>
          <w:szCs w:val="26"/>
        </w:rPr>
        <w:t>附件5  应急预案变更记录表</w:t>
      </w:r>
    </w:p>
    <w:p>
      <w:pPr>
        <w:pStyle w:val="120"/>
        <w:ind w:firstLine="486"/>
        <w:jc w:val="center"/>
      </w:pPr>
      <w:r>
        <w:t>应急预案变更记录表</w:t>
      </w:r>
    </w:p>
    <w:tbl>
      <w:tblPr>
        <w:tblStyle w:val="54"/>
        <w:tblW w:w="82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32" w:hRule="atLeast"/>
          <w:jc w:val="center"/>
        </w:trPr>
        <w:tc>
          <w:tcPr>
            <w:tcW w:w="8272" w:type="dxa"/>
          </w:tcPr>
          <w:p>
            <w:pPr>
              <w:spacing w:before="156" w:after="156"/>
              <w:rPr>
                <w:color w:val="000000"/>
                <w:sz w:val="22"/>
              </w:rPr>
            </w:pPr>
            <w:r>
              <w:rPr>
                <w:color w:val="000000"/>
                <w:sz w:val="22"/>
              </w:rPr>
              <w:t>变更原因、依据、时间：</w:t>
            </w:r>
          </w:p>
          <w:p>
            <w:pPr>
              <w:spacing w:before="156" w:after="156"/>
              <w:rPr>
                <w:color w:val="000000"/>
                <w:sz w:val="22"/>
              </w:rPr>
            </w:pPr>
          </w:p>
          <w:p>
            <w:pPr>
              <w:spacing w:before="156" w:after="156"/>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60" w:hRule="atLeast"/>
          <w:jc w:val="center"/>
        </w:trPr>
        <w:tc>
          <w:tcPr>
            <w:tcW w:w="8272" w:type="dxa"/>
          </w:tcPr>
          <w:p>
            <w:pPr>
              <w:spacing w:before="156" w:after="156"/>
              <w:rPr>
                <w:color w:val="000000"/>
                <w:sz w:val="22"/>
              </w:rPr>
            </w:pPr>
            <w:r>
              <w:rPr>
                <w:color w:val="000000"/>
                <w:sz w:val="22"/>
              </w:rPr>
              <w:t>变更内容（可附页）：</w:t>
            </w:r>
          </w:p>
          <w:p>
            <w:pPr>
              <w:spacing w:before="156" w:after="156"/>
              <w:rPr>
                <w:color w:val="000000"/>
                <w:sz w:val="22"/>
              </w:rPr>
            </w:pPr>
          </w:p>
          <w:p>
            <w:pPr>
              <w:spacing w:before="156" w:after="156"/>
              <w:rPr>
                <w:color w:val="000000"/>
                <w:sz w:val="22"/>
              </w:rPr>
            </w:pPr>
          </w:p>
          <w:p>
            <w:pPr>
              <w:spacing w:before="156" w:after="156"/>
              <w:rPr>
                <w:color w:val="000000"/>
                <w:sz w:val="22"/>
              </w:rPr>
            </w:pPr>
          </w:p>
          <w:p>
            <w:pPr>
              <w:spacing w:before="156" w:after="156"/>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71" w:hRule="atLeast"/>
          <w:jc w:val="center"/>
        </w:trPr>
        <w:tc>
          <w:tcPr>
            <w:tcW w:w="8272" w:type="dxa"/>
          </w:tcPr>
          <w:p>
            <w:pPr>
              <w:spacing w:before="156" w:after="156"/>
              <w:rPr>
                <w:color w:val="000000"/>
                <w:sz w:val="22"/>
              </w:rPr>
            </w:pPr>
            <w:r>
              <w:rPr>
                <w:color w:val="000000"/>
                <w:sz w:val="22"/>
              </w:rPr>
              <w:t>申报单位：</w:t>
            </w:r>
          </w:p>
          <w:p>
            <w:pPr>
              <w:spacing w:before="156" w:after="156"/>
              <w:rPr>
                <w:color w:val="000000"/>
                <w:sz w:val="22"/>
              </w:rPr>
            </w:pPr>
          </w:p>
          <w:p>
            <w:pPr>
              <w:spacing w:before="156" w:after="156"/>
              <w:rPr>
                <w:color w:val="000000"/>
                <w:sz w:val="22"/>
              </w:rPr>
            </w:pPr>
          </w:p>
          <w:p>
            <w:pPr>
              <w:spacing w:before="156" w:after="156"/>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51" w:hRule="atLeast"/>
          <w:jc w:val="center"/>
        </w:trPr>
        <w:tc>
          <w:tcPr>
            <w:tcW w:w="8272" w:type="dxa"/>
          </w:tcPr>
          <w:p>
            <w:pPr>
              <w:spacing w:before="156" w:after="156"/>
              <w:rPr>
                <w:color w:val="000000"/>
                <w:sz w:val="22"/>
              </w:rPr>
            </w:pPr>
            <w:r>
              <w:rPr>
                <w:color w:val="000000"/>
                <w:sz w:val="22"/>
              </w:rPr>
              <w:t>相关方获知情况：</w:t>
            </w:r>
          </w:p>
          <w:p>
            <w:pPr>
              <w:spacing w:before="156" w:after="156"/>
              <w:rPr>
                <w:color w:val="000000"/>
                <w:sz w:val="22"/>
              </w:rPr>
            </w:pPr>
          </w:p>
        </w:tc>
      </w:tr>
    </w:tbl>
    <w:p>
      <w:pPr>
        <w:adjustRightInd w:val="0"/>
        <w:snapToGrid w:val="0"/>
        <w:spacing w:line="360" w:lineRule="auto"/>
        <w:jc w:val="left"/>
        <w:textAlignment w:val="center"/>
        <w:rPr>
          <w:rFonts w:asciiTheme="minorEastAsia" w:hAnsiTheme="minorEastAsia" w:eastAsiaTheme="minorEastAsia"/>
          <w:color w:val="000000"/>
          <w:sz w:val="24"/>
          <w:szCs w:val="24"/>
        </w:rPr>
      </w:pPr>
    </w:p>
    <w:sectPr>
      <w:footerReference r:id="rId5" w:type="default"/>
      <w:pgSz w:w="11906" w:h="16838"/>
      <w:pgMar w:top="1440" w:right="1797" w:bottom="1440" w:left="1797" w:header="680" w:footer="624" w:gutter="0"/>
      <w:cols w:space="720" w:num="1"/>
      <w:docGrid w:type="linesAndChars" w:linePitch="312" w:charSpace="64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Arial">
    <w:panose1 w:val="020B0604020202020204"/>
    <w:charset w:val="00"/>
    <w:family w:val="swiss"/>
    <w:pitch w:val="default"/>
    <w:sig w:usb0="00007A87" w:usb1="80000000" w:usb2="00000008" w:usb3="00000000" w:csb0="400001FF" w:csb1="FFFF0000"/>
  </w:font>
  <w:font w:name="Courier New">
    <w:panose1 w:val="02070309020205020404"/>
    <w:charset w:val="00"/>
    <w:family w:val="modern"/>
    <w:pitch w:val="default"/>
    <w:sig w:usb0="00007A87" w:usb1="80000000" w:usb2="00000008" w:usb3="00000000" w:csb0="400001FF" w:csb1="FFFF0000"/>
  </w:font>
  <w:font w:name="Palatino Linotype">
    <w:panose1 w:val="02040502050505030304"/>
    <w:charset w:val="00"/>
    <w:family w:val="roman"/>
    <w:pitch w:val="default"/>
    <w:sig w:usb0="E0000387" w:usb1="40000013" w:usb2="00000000" w:usb3="00000000" w:csb0="2000019F" w:csb1="00000000"/>
  </w:font>
  <w:font w:name="Sylfaen">
    <w:altName w:val="Courier New"/>
    <w:panose1 w:val="010A0502050306030303"/>
    <w:charset w:val="00"/>
    <w:family w:val="roman"/>
    <w:pitch w:val="default"/>
    <w:sig w:usb0="00000000" w:usb1="00000000" w:usb2="00000000" w:usb3="00000000" w:csb0="0000009F" w:csb1="00000000"/>
  </w:font>
  <w:font w:name="MingLiUfalt">
    <w:altName w:val="MingLiU"/>
    <w:panose1 w:val="00000000000000000000"/>
    <w:charset w:val="88"/>
    <w:family w:val="auto"/>
    <w:pitch w:val="default"/>
    <w:sig w:usb0="00000000" w:usb1="00000000" w:usb2="00000010" w:usb3="00000000" w:csb0="00100000" w:csb1="00000000"/>
  </w:font>
  <w:font w:name="Tahoma">
    <w:panose1 w:val="020B0604030504040204"/>
    <w:charset w:val="00"/>
    <w:family w:val="swiss"/>
    <w:pitch w:val="default"/>
    <w:sig w:usb0="61007A87" w:usb1="80000000" w:usb2="00000008" w:usb3="00000000" w:csb0="200101FF" w:csb1="20280000"/>
  </w:font>
  <w:font w:name="??">
    <w:altName w:val="Times New Roman"/>
    <w:panose1 w:val="00000000000000000000"/>
    <w:charset w:val="00"/>
    <w:family w:val="roman"/>
    <w:pitch w:val="default"/>
    <w:sig w:usb0="00000000" w:usb1="00000000" w:usb2="00000000" w:usb3="00000000" w:csb0="00000001" w:csb1="00000000"/>
  </w:font>
  <w:font w:name="Arial Unicode MS">
    <w:altName w:val="Arial"/>
    <w:panose1 w:val="020B0604020202020204"/>
    <w:charset w:val="00"/>
    <w:family w:val="roman"/>
    <w:pitch w:val="default"/>
    <w:sig w:usb0="00000000" w:usb1="00000000" w:usb2="00000000" w:usb3="00000000" w:csb0="00000001" w:csb1="00000000"/>
  </w:font>
  <w:font w:name="华文中宋">
    <w:altName w:val="宋体"/>
    <w:panose1 w:val="00000000000000000000"/>
    <w:charset w:val="86"/>
    <w:family w:val="auto"/>
    <w:pitch w:val="default"/>
    <w:sig w:usb0="00000000" w:usb1="00000000" w:usb2="00000010" w:usb3="00000000" w:csb0="0004009F" w:csb1="00000000"/>
  </w:font>
  <w:font w:name="MS Sans Serif">
    <w:altName w:val="Arial"/>
    <w:panose1 w:val="00000000000000000000"/>
    <w:charset w:val="00"/>
    <w:family w:val="swiss"/>
    <w:pitch w:val="default"/>
    <w:sig w:usb0="00000000" w:usb1="00000000" w:usb2="00000000" w:usb3="00000000" w:csb0="00000001" w:csb1="00000000"/>
  </w:font>
  <w:font w:name="Verdana">
    <w:panose1 w:val="020B0604030504040204"/>
    <w:charset w:val="00"/>
    <w:family w:val="swiss"/>
    <w:pitch w:val="default"/>
    <w:sig w:usb0="00000287" w:usb1="00000000" w:usb2="00000000" w:usb3="00000000" w:csb0="2000019F" w:csb1="00000000"/>
  </w:font>
  <w:font w:name="Trebuchet MS">
    <w:panose1 w:val="020B0603020202020204"/>
    <w:charset w:val="00"/>
    <w:family w:val="swiss"/>
    <w:pitch w:val="default"/>
    <w:sig w:usb0="00000287" w:usb1="00000000" w:usb2="00000000" w:usb3="00000000" w:csb0="2000009F" w:csb1="00000000"/>
  </w:font>
  <w:font w:name="??_GB2312">
    <w:altName w:val="Times New Roman"/>
    <w:panose1 w:val="00000000000000000000"/>
    <w:charset w:val="00"/>
    <w:family w:val="auto"/>
    <w:pitch w:val="default"/>
    <w:sig w:usb0="00000000" w:usb1="00000000" w:usb2="00000000" w:usb3="00000000" w:csb0="00000001" w:csb1="00000000"/>
  </w:font>
  <w:font w:name="Vrinda">
    <w:altName w:val="Century Gothic"/>
    <w:panose1 w:val="020B0502040204020203"/>
    <w:charset w:val="00"/>
    <w:family w:val="swiss"/>
    <w:pitch w:val="default"/>
    <w:sig w:usb0="00000000" w:usb1="00000000" w:usb2="00000000" w:usb3="00000000" w:csb0="00000001" w:csb1="00000000"/>
  </w:font>
  <w:font w:name="Helv">
    <w:altName w:val="Microsoft Sans Serif"/>
    <w:panose1 w:val="020B0604020202030204"/>
    <w:charset w:val="00"/>
    <w:family w:val="swiss"/>
    <w:pitch w:val="default"/>
    <w:sig w:usb0="00000000" w:usb1="00000000" w:usb2="00000000" w:usb3="00000000" w:csb0="00000001" w:csb1="00000000"/>
  </w:font>
  <w:font w:name="Garamond">
    <w:panose1 w:val="02020404030301010803"/>
    <w:charset w:val="00"/>
    <w:family w:val="roman"/>
    <w:pitch w:val="default"/>
    <w:sig w:usb0="00000287" w:usb1="00000000" w:usb2="00000000" w:usb3="00000000" w:csb0="0000009F" w:csb1="DFD70000"/>
  </w:font>
  <w:font w:name="仿宋_GB2312">
    <w:panose1 w:val="02010609030101010101"/>
    <w:charset w:val="86"/>
    <w:family w:val="modern"/>
    <w:pitch w:val="default"/>
    <w:sig w:usb0="00000001" w:usb1="080E0000" w:usb2="00000000" w:usb3="00000000" w:csb0="00040000" w:csb1="00000000"/>
  </w:font>
  <w:font w:name="方正小标宋简体">
    <w:altName w:val="黑体"/>
    <w:panose1 w:val="00000000000000000000"/>
    <w:charset w:val="86"/>
    <w:family w:val="script"/>
    <w:pitch w:val="default"/>
    <w:sig w:usb0="00000000" w:usb1="0000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MingLiU">
    <w:panose1 w:val="02020309000000000000"/>
    <w:charset w:val="88"/>
    <w:family w:val="auto"/>
    <w:pitch w:val="default"/>
    <w:sig w:usb0="00000003" w:usb1="082E0000" w:usb2="00000016" w:usb3="00000000" w:csb0="00100001" w:csb1="00000000"/>
  </w:font>
  <w:font w:name="Century Gothic">
    <w:panose1 w:val="020B0502020202020204"/>
    <w:charset w:val="00"/>
    <w:family w:val="auto"/>
    <w:pitch w:val="default"/>
    <w:sig w:usb0="00000287" w:usb1="00000000" w:usb2="00000000" w:usb3="00000000" w:csb0="2000009F" w:csb1="DFD70000"/>
  </w:font>
  <w:font w:name="Microsoft Sans Serif">
    <w:panose1 w:val="020B0604020202020204"/>
    <w:charset w:val="00"/>
    <w:family w:val="auto"/>
    <w:pitch w:val="default"/>
    <w:sig w:usb0="61007BDF" w:usb1="80000000" w:usb2="00000008" w:usb3="00000000" w:csb0="200101FF" w:csb1="2028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r>
      <w:pict>
        <v:shape id="_x0000_s2050" o:spid="_x0000_s2050" o:spt="202" type="#_x0000_t202" style="position:absolute;left:0pt;margin-top:0pt;height:10.35pt;width:4.55pt;mso-position-horizontal:center;mso-position-horizontal-relative:margin;mso-wrap-style:none;z-index:251658240;mso-width-relative:page;mso-height-relative:page;" filled="f" stroked="f" coordsize="21600,21600">
          <v:path/>
          <v:fill on="f" focussize="0,0"/>
          <v:stroke on="f" weight="1.25pt" joinstyle="miter"/>
          <v:imagedata o:title=""/>
          <o:lock v:ext="edit"/>
          <v:textbox inset="0mm,0mm,0mm,0mm" style="mso-fit-shape-to-text:t;">
            <w:txbxContent>
              <w:p>
                <w:pPr>
                  <w:snapToGrid w:val="0"/>
                  <w:rPr>
                    <w:sz w:val="18"/>
                  </w:rPr>
                </w:pPr>
                <w:r>
                  <w:fldChar w:fldCharType="begin"/>
                </w:r>
                <w:r>
                  <w:instrText xml:space="preserve"> PAGE  \* MERGEFORMAT </w:instrText>
                </w:r>
                <w:r>
                  <w:fldChar w:fldCharType="separate"/>
                </w:r>
                <w:r>
                  <w:rPr>
                    <w:sz w:val="18"/>
                  </w:rPr>
                  <w:t>51</w:t>
                </w:r>
                <w:r>
                  <w:rPr>
                    <w:sz w:val="18"/>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rPr>
        <w:rFonts w:ascii="宋体" w:cs="宋体"/>
      </w:rPr>
    </w:pPr>
    <w:r>
      <w:rPr>
        <w:rFonts w:hint="eastAsia" w:cs="宋体" w:asciiTheme="minorEastAsia" w:hAnsiTheme="minorEastAsia" w:eastAsiaTheme="minorEastAsia"/>
        <w:bCs/>
        <w:spacing w:val="-20"/>
        <w:lang w:val="zh-CN"/>
      </w:rPr>
      <w:t>重庆市涪陵区拓源污水治理有限公司</w:t>
    </w:r>
    <w:r>
      <w:rPr>
        <w:rFonts w:hint="eastAsia" w:ascii="宋体" w:hAnsi="宋体"/>
      </w:rPr>
      <w:t>龙桥污水处理厂</w:t>
    </w:r>
    <w:r>
      <w:rPr>
        <w:rFonts w:hint="eastAsia" w:ascii="宋体" w:hAnsi="宋体" w:cs="宋体"/>
      </w:rPr>
      <w:t>突发环境事件应急预案</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8FA722"/>
    <w:multiLevelType w:val="multilevel"/>
    <w:tmpl w:val="548FA722"/>
    <w:lvl w:ilvl="0" w:tentative="0">
      <w:start w:val="9"/>
      <w:numFmt w:val="decimal"/>
      <w:suff w:val="nothing"/>
      <w:lvlText w:val="（%1）"/>
      <w:lvlJc w:val="left"/>
      <w:rPr>
        <w:rFonts w:cs="Times New Roman"/>
      </w:rPr>
    </w:lvl>
    <w:lvl w:ilvl="1" w:tentative="0">
      <w:start w:val="1"/>
      <w:numFmt w:val="decimal"/>
      <w:lvlText w:val="（）"/>
      <w:lvlJc w:val="left"/>
      <w:rPr>
        <w:rFonts w:cs="Times New Roman"/>
      </w:rPr>
    </w:lvl>
    <w:lvl w:ilvl="2" w:tentative="0">
      <w:start w:val="1"/>
      <w:numFmt w:val="decimal"/>
      <w:lvlText w:val="（）"/>
      <w:lvlJc w:val="left"/>
      <w:rPr>
        <w:rFonts w:cs="Times New Roman"/>
      </w:rPr>
    </w:lvl>
    <w:lvl w:ilvl="3" w:tentative="0">
      <w:start w:val="1"/>
      <w:numFmt w:val="decimal"/>
      <w:lvlText w:val="（）"/>
      <w:lvlJc w:val="left"/>
      <w:rPr>
        <w:rFonts w:cs="Times New Roman"/>
      </w:rPr>
    </w:lvl>
    <w:lvl w:ilvl="4" w:tentative="0">
      <w:start w:val="1"/>
      <w:numFmt w:val="decimal"/>
      <w:lvlText w:val="（）"/>
      <w:lvlJc w:val="left"/>
      <w:rPr>
        <w:rFonts w:cs="Times New Roman"/>
      </w:rPr>
    </w:lvl>
    <w:lvl w:ilvl="5" w:tentative="0">
      <w:start w:val="1"/>
      <w:numFmt w:val="decimal"/>
      <w:lvlText w:val="（）"/>
      <w:lvlJc w:val="left"/>
      <w:rPr>
        <w:rFonts w:cs="Times New Roman"/>
      </w:rPr>
    </w:lvl>
    <w:lvl w:ilvl="6" w:tentative="0">
      <w:start w:val="1"/>
      <w:numFmt w:val="decimal"/>
      <w:lvlText w:val="（）"/>
      <w:lvlJc w:val="left"/>
      <w:rPr>
        <w:rFonts w:cs="Times New Roman"/>
      </w:rPr>
    </w:lvl>
    <w:lvl w:ilvl="7" w:tentative="0">
      <w:start w:val="1"/>
      <w:numFmt w:val="decimal"/>
      <w:lvlText w:val="（）"/>
      <w:lvlJc w:val="left"/>
      <w:rPr>
        <w:rFonts w:cs="Times New Roman"/>
      </w:rPr>
    </w:lvl>
    <w:lvl w:ilvl="8" w:tentative="0">
      <w:start w:val="1"/>
      <w:numFmt w:val="decimal"/>
      <w:lvlText w:val="（）"/>
      <w:lvlJc w:val="left"/>
      <w:rPr>
        <w:rFonts w:cs="Times New Roman"/>
      </w:rPr>
    </w:lvl>
  </w:abstractNum>
  <w:abstractNum w:abstractNumId="1">
    <w:nsid w:val="548FA94D"/>
    <w:multiLevelType w:val="multilevel"/>
    <w:tmpl w:val="548FA94D"/>
    <w:lvl w:ilvl="0" w:tentative="0">
      <w:start w:val="1"/>
      <w:numFmt w:val="decimal"/>
      <w:suff w:val="nothing"/>
      <w:lvlText w:val="（%1）"/>
      <w:lvlJc w:val="left"/>
      <w:rPr>
        <w:rFonts w:cs="Times New Roman"/>
      </w:rPr>
    </w:lvl>
    <w:lvl w:ilvl="1" w:tentative="0">
      <w:start w:val="1"/>
      <w:numFmt w:val="decimal"/>
      <w:lvlText w:val="（）"/>
      <w:lvlJc w:val="left"/>
      <w:rPr>
        <w:rFonts w:cs="Times New Roman"/>
      </w:rPr>
    </w:lvl>
    <w:lvl w:ilvl="2" w:tentative="0">
      <w:start w:val="1"/>
      <w:numFmt w:val="decimal"/>
      <w:lvlText w:val="（）"/>
      <w:lvlJc w:val="left"/>
      <w:rPr>
        <w:rFonts w:cs="Times New Roman"/>
      </w:rPr>
    </w:lvl>
    <w:lvl w:ilvl="3" w:tentative="0">
      <w:start w:val="1"/>
      <w:numFmt w:val="decimal"/>
      <w:lvlText w:val="（）"/>
      <w:lvlJc w:val="left"/>
      <w:rPr>
        <w:rFonts w:cs="Times New Roman"/>
      </w:rPr>
    </w:lvl>
    <w:lvl w:ilvl="4" w:tentative="0">
      <w:start w:val="1"/>
      <w:numFmt w:val="decimal"/>
      <w:lvlText w:val="（）"/>
      <w:lvlJc w:val="left"/>
      <w:rPr>
        <w:rFonts w:cs="Times New Roman"/>
      </w:rPr>
    </w:lvl>
    <w:lvl w:ilvl="5" w:tentative="0">
      <w:start w:val="1"/>
      <w:numFmt w:val="decimal"/>
      <w:lvlText w:val="（）"/>
      <w:lvlJc w:val="left"/>
      <w:rPr>
        <w:rFonts w:cs="Times New Roman"/>
      </w:rPr>
    </w:lvl>
    <w:lvl w:ilvl="6" w:tentative="0">
      <w:start w:val="1"/>
      <w:numFmt w:val="decimal"/>
      <w:lvlText w:val="（）"/>
      <w:lvlJc w:val="left"/>
      <w:rPr>
        <w:rFonts w:cs="Times New Roman"/>
      </w:rPr>
    </w:lvl>
    <w:lvl w:ilvl="7" w:tentative="0">
      <w:start w:val="1"/>
      <w:numFmt w:val="decimal"/>
      <w:lvlText w:val="（）"/>
      <w:lvlJc w:val="left"/>
      <w:rPr>
        <w:rFonts w:cs="Times New Roman"/>
      </w:rPr>
    </w:lvl>
    <w:lvl w:ilvl="8" w:tentative="0">
      <w:start w:val="1"/>
      <w:numFmt w:val="decimal"/>
      <w:lvlText w:val="（）"/>
      <w:lvlJc w:val="left"/>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bordersDoNotSurroundHeader w:val="1"/>
  <w:bordersDoNotSurroundFooter w:val="1"/>
  <w:doNotTrackMoves/>
  <w:documentProtection w:enforcement="0"/>
  <w:defaultTabStop w:val="420"/>
  <w:drawingGridHorizontalSpacing w:val="107"/>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00835"/>
    <w:rsid w:val="0000255F"/>
    <w:rsid w:val="0000276B"/>
    <w:rsid w:val="00007CAE"/>
    <w:rsid w:val="0001003E"/>
    <w:rsid w:val="000114A3"/>
    <w:rsid w:val="00011AE5"/>
    <w:rsid w:val="00011B99"/>
    <w:rsid w:val="00014B9E"/>
    <w:rsid w:val="0002417E"/>
    <w:rsid w:val="00024CBE"/>
    <w:rsid w:val="0002739D"/>
    <w:rsid w:val="000308FB"/>
    <w:rsid w:val="00034DDF"/>
    <w:rsid w:val="00036C12"/>
    <w:rsid w:val="00043198"/>
    <w:rsid w:val="00047E99"/>
    <w:rsid w:val="00052FFA"/>
    <w:rsid w:val="00056075"/>
    <w:rsid w:val="00056944"/>
    <w:rsid w:val="00061D24"/>
    <w:rsid w:val="000631C1"/>
    <w:rsid w:val="00064120"/>
    <w:rsid w:val="000668BF"/>
    <w:rsid w:val="000677FD"/>
    <w:rsid w:val="0007170A"/>
    <w:rsid w:val="00076299"/>
    <w:rsid w:val="00080E6C"/>
    <w:rsid w:val="00081CFE"/>
    <w:rsid w:val="00094FF1"/>
    <w:rsid w:val="000B05F7"/>
    <w:rsid w:val="000B0BA4"/>
    <w:rsid w:val="000B61FC"/>
    <w:rsid w:val="000B7842"/>
    <w:rsid w:val="000C6CD0"/>
    <w:rsid w:val="000D14D8"/>
    <w:rsid w:val="000D2388"/>
    <w:rsid w:val="000D4373"/>
    <w:rsid w:val="000E2A86"/>
    <w:rsid w:val="000E4B80"/>
    <w:rsid w:val="000E4D2C"/>
    <w:rsid w:val="000E5587"/>
    <w:rsid w:val="000E559A"/>
    <w:rsid w:val="000F0F3C"/>
    <w:rsid w:val="000F299C"/>
    <w:rsid w:val="000F74E7"/>
    <w:rsid w:val="0010209C"/>
    <w:rsid w:val="001026E2"/>
    <w:rsid w:val="00103484"/>
    <w:rsid w:val="0010641D"/>
    <w:rsid w:val="00113BE0"/>
    <w:rsid w:val="0011425A"/>
    <w:rsid w:val="001143A8"/>
    <w:rsid w:val="00117278"/>
    <w:rsid w:val="001201CE"/>
    <w:rsid w:val="00122C30"/>
    <w:rsid w:val="00127E60"/>
    <w:rsid w:val="00130CE8"/>
    <w:rsid w:val="00136099"/>
    <w:rsid w:val="00136421"/>
    <w:rsid w:val="00152A2A"/>
    <w:rsid w:val="0015383D"/>
    <w:rsid w:val="00153AE3"/>
    <w:rsid w:val="001575DE"/>
    <w:rsid w:val="001621FA"/>
    <w:rsid w:val="00162EE8"/>
    <w:rsid w:val="001637DB"/>
    <w:rsid w:val="00165E0B"/>
    <w:rsid w:val="001667CA"/>
    <w:rsid w:val="00166975"/>
    <w:rsid w:val="00167612"/>
    <w:rsid w:val="00172A27"/>
    <w:rsid w:val="0018264C"/>
    <w:rsid w:val="00190466"/>
    <w:rsid w:val="001909F5"/>
    <w:rsid w:val="00193893"/>
    <w:rsid w:val="00193F12"/>
    <w:rsid w:val="00196A6F"/>
    <w:rsid w:val="001A0DCD"/>
    <w:rsid w:val="001A5D74"/>
    <w:rsid w:val="001B1755"/>
    <w:rsid w:val="001B44A1"/>
    <w:rsid w:val="001B55EA"/>
    <w:rsid w:val="001B674C"/>
    <w:rsid w:val="001C2C3D"/>
    <w:rsid w:val="001E0ED2"/>
    <w:rsid w:val="001E5B00"/>
    <w:rsid w:val="001E6C0D"/>
    <w:rsid w:val="001E7281"/>
    <w:rsid w:val="001F4256"/>
    <w:rsid w:val="001F6462"/>
    <w:rsid w:val="00201BE8"/>
    <w:rsid w:val="00202C20"/>
    <w:rsid w:val="0020385E"/>
    <w:rsid w:val="00206690"/>
    <w:rsid w:val="00206835"/>
    <w:rsid w:val="00211BA7"/>
    <w:rsid w:val="00214DB3"/>
    <w:rsid w:val="00216880"/>
    <w:rsid w:val="00217504"/>
    <w:rsid w:val="00236E2E"/>
    <w:rsid w:val="00237416"/>
    <w:rsid w:val="00243054"/>
    <w:rsid w:val="00245A2B"/>
    <w:rsid w:val="00245D4A"/>
    <w:rsid w:val="00247763"/>
    <w:rsid w:val="00250860"/>
    <w:rsid w:val="00250BC6"/>
    <w:rsid w:val="00250D2E"/>
    <w:rsid w:val="002623B5"/>
    <w:rsid w:val="00263EF0"/>
    <w:rsid w:val="002651D5"/>
    <w:rsid w:val="00265ABA"/>
    <w:rsid w:val="002675E4"/>
    <w:rsid w:val="002710FB"/>
    <w:rsid w:val="002830DE"/>
    <w:rsid w:val="00284364"/>
    <w:rsid w:val="00285452"/>
    <w:rsid w:val="002870C4"/>
    <w:rsid w:val="00287281"/>
    <w:rsid w:val="00290E38"/>
    <w:rsid w:val="002910C3"/>
    <w:rsid w:val="0029465F"/>
    <w:rsid w:val="00294851"/>
    <w:rsid w:val="00295C54"/>
    <w:rsid w:val="00296B12"/>
    <w:rsid w:val="002A57CF"/>
    <w:rsid w:val="002B16C7"/>
    <w:rsid w:val="002B5543"/>
    <w:rsid w:val="002B7280"/>
    <w:rsid w:val="002B7A40"/>
    <w:rsid w:val="002C1A4D"/>
    <w:rsid w:val="002C1A62"/>
    <w:rsid w:val="002C327B"/>
    <w:rsid w:val="002C4C2B"/>
    <w:rsid w:val="002C4F9D"/>
    <w:rsid w:val="002C78F5"/>
    <w:rsid w:val="002D1775"/>
    <w:rsid w:val="002E0F4D"/>
    <w:rsid w:val="002E4AD2"/>
    <w:rsid w:val="002E5E62"/>
    <w:rsid w:val="00301AC2"/>
    <w:rsid w:val="003020A2"/>
    <w:rsid w:val="00310C2E"/>
    <w:rsid w:val="00315D68"/>
    <w:rsid w:val="00316432"/>
    <w:rsid w:val="00322D65"/>
    <w:rsid w:val="00324953"/>
    <w:rsid w:val="00325205"/>
    <w:rsid w:val="003258C4"/>
    <w:rsid w:val="003265B9"/>
    <w:rsid w:val="00326BEB"/>
    <w:rsid w:val="00333AAC"/>
    <w:rsid w:val="003414FF"/>
    <w:rsid w:val="00344718"/>
    <w:rsid w:val="0034644C"/>
    <w:rsid w:val="003470C7"/>
    <w:rsid w:val="00347534"/>
    <w:rsid w:val="00354A99"/>
    <w:rsid w:val="00362E8C"/>
    <w:rsid w:val="00364C53"/>
    <w:rsid w:val="003674FA"/>
    <w:rsid w:val="00370A90"/>
    <w:rsid w:val="003731C2"/>
    <w:rsid w:val="00373F90"/>
    <w:rsid w:val="00374AD2"/>
    <w:rsid w:val="003762AC"/>
    <w:rsid w:val="003842AE"/>
    <w:rsid w:val="00387F4C"/>
    <w:rsid w:val="00395222"/>
    <w:rsid w:val="003A2EDF"/>
    <w:rsid w:val="003A5E82"/>
    <w:rsid w:val="003A7A96"/>
    <w:rsid w:val="003B0B2F"/>
    <w:rsid w:val="003B4A55"/>
    <w:rsid w:val="003C03E6"/>
    <w:rsid w:val="003C08CA"/>
    <w:rsid w:val="003C2FF0"/>
    <w:rsid w:val="003C4F1C"/>
    <w:rsid w:val="003C74E8"/>
    <w:rsid w:val="003E01CC"/>
    <w:rsid w:val="003E7557"/>
    <w:rsid w:val="003F4336"/>
    <w:rsid w:val="003F7FD4"/>
    <w:rsid w:val="00404020"/>
    <w:rsid w:val="0040786C"/>
    <w:rsid w:val="004104C9"/>
    <w:rsid w:val="00411AEE"/>
    <w:rsid w:val="00414242"/>
    <w:rsid w:val="004150AB"/>
    <w:rsid w:val="004159B5"/>
    <w:rsid w:val="00416997"/>
    <w:rsid w:val="00423611"/>
    <w:rsid w:val="00424E6B"/>
    <w:rsid w:val="00425A0D"/>
    <w:rsid w:val="00433E07"/>
    <w:rsid w:val="00433F3B"/>
    <w:rsid w:val="00435A8D"/>
    <w:rsid w:val="004373F8"/>
    <w:rsid w:val="00440D5B"/>
    <w:rsid w:val="00441A00"/>
    <w:rsid w:val="004436C6"/>
    <w:rsid w:val="00443EC0"/>
    <w:rsid w:val="004441D5"/>
    <w:rsid w:val="004452B3"/>
    <w:rsid w:val="0046130C"/>
    <w:rsid w:val="004626EC"/>
    <w:rsid w:val="0046622E"/>
    <w:rsid w:val="00470D5D"/>
    <w:rsid w:val="004719E1"/>
    <w:rsid w:val="00471C6C"/>
    <w:rsid w:val="00471CF5"/>
    <w:rsid w:val="004746DE"/>
    <w:rsid w:val="00474D96"/>
    <w:rsid w:val="00474DEF"/>
    <w:rsid w:val="00475FD0"/>
    <w:rsid w:val="004768C4"/>
    <w:rsid w:val="00476C2C"/>
    <w:rsid w:val="00486E3B"/>
    <w:rsid w:val="004870E7"/>
    <w:rsid w:val="004871E0"/>
    <w:rsid w:val="004A0A89"/>
    <w:rsid w:val="004A1154"/>
    <w:rsid w:val="004A191B"/>
    <w:rsid w:val="004A303A"/>
    <w:rsid w:val="004A3A21"/>
    <w:rsid w:val="004A52B0"/>
    <w:rsid w:val="004A7B58"/>
    <w:rsid w:val="004B470A"/>
    <w:rsid w:val="004C3E5D"/>
    <w:rsid w:val="004C6423"/>
    <w:rsid w:val="004D3169"/>
    <w:rsid w:val="004D7093"/>
    <w:rsid w:val="004E37D0"/>
    <w:rsid w:val="004F0CA4"/>
    <w:rsid w:val="004F1341"/>
    <w:rsid w:val="004F5475"/>
    <w:rsid w:val="004F75E4"/>
    <w:rsid w:val="00504155"/>
    <w:rsid w:val="00504980"/>
    <w:rsid w:val="00505FC6"/>
    <w:rsid w:val="005067B2"/>
    <w:rsid w:val="005137B6"/>
    <w:rsid w:val="00513A8A"/>
    <w:rsid w:val="00515BFF"/>
    <w:rsid w:val="00520525"/>
    <w:rsid w:val="00522E59"/>
    <w:rsid w:val="00526403"/>
    <w:rsid w:val="00527512"/>
    <w:rsid w:val="005276A1"/>
    <w:rsid w:val="005279C0"/>
    <w:rsid w:val="0053461D"/>
    <w:rsid w:val="00535F6D"/>
    <w:rsid w:val="00535FCA"/>
    <w:rsid w:val="005455AC"/>
    <w:rsid w:val="00545C39"/>
    <w:rsid w:val="00550171"/>
    <w:rsid w:val="0055587F"/>
    <w:rsid w:val="0056186E"/>
    <w:rsid w:val="00564CE7"/>
    <w:rsid w:val="005652E8"/>
    <w:rsid w:val="00571010"/>
    <w:rsid w:val="00573975"/>
    <w:rsid w:val="00577055"/>
    <w:rsid w:val="0057792A"/>
    <w:rsid w:val="00580539"/>
    <w:rsid w:val="00580EB9"/>
    <w:rsid w:val="005819AE"/>
    <w:rsid w:val="005957F0"/>
    <w:rsid w:val="00597E9C"/>
    <w:rsid w:val="005A07FC"/>
    <w:rsid w:val="005A4458"/>
    <w:rsid w:val="005A4DA2"/>
    <w:rsid w:val="005B43DC"/>
    <w:rsid w:val="005B6BA9"/>
    <w:rsid w:val="005B752A"/>
    <w:rsid w:val="005C1E4C"/>
    <w:rsid w:val="005C4135"/>
    <w:rsid w:val="005C6240"/>
    <w:rsid w:val="005D3953"/>
    <w:rsid w:val="005D5126"/>
    <w:rsid w:val="005D52EB"/>
    <w:rsid w:val="005E3E32"/>
    <w:rsid w:val="005E416D"/>
    <w:rsid w:val="005E4DBB"/>
    <w:rsid w:val="005F0544"/>
    <w:rsid w:val="005F1B76"/>
    <w:rsid w:val="005F79FC"/>
    <w:rsid w:val="00600988"/>
    <w:rsid w:val="006011DF"/>
    <w:rsid w:val="00605709"/>
    <w:rsid w:val="00607443"/>
    <w:rsid w:val="00611576"/>
    <w:rsid w:val="00615D93"/>
    <w:rsid w:val="00623157"/>
    <w:rsid w:val="006239CA"/>
    <w:rsid w:val="0063448A"/>
    <w:rsid w:val="00635A41"/>
    <w:rsid w:val="006360C9"/>
    <w:rsid w:val="00642230"/>
    <w:rsid w:val="00645FDC"/>
    <w:rsid w:val="00646346"/>
    <w:rsid w:val="0065602F"/>
    <w:rsid w:val="0065605E"/>
    <w:rsid w:val="006630A3"/>
    <w:rsid w:val="00665355"/>
    <w:rsid w:val="006677EE"/>
    <w:rsid w:val="00672999"/>
    <w:rsid w:val="00674561"/>
    <w:rsid w:val="00680AFA"/>
    <w:rsid w:val="00683522"/>
    <w:rsid w:val="00683A60"/>
    <w:rsid w:val="006922B3"/>
    <w:rsid w:val="006925EC"/>
    <w:rsid w:val="00695C1A"/>
    <w:rsid w:val="006A0D32"/>
    <w:rsid w:val="006A0E2C"/>
    <w:rsid w:val="006A2139"/>
    <w:rsid w:val="006A665C"/>
    <w:rsid w:val="006A66A8"/>
    <w:rsid w:val="006B15FD"/>
    <w:rsid w:val="006B5184"/>
    <w:rsid w:val="006B7107"/>
    <w:rsid w:val="006B7735"/>
    <w:rsid w:val="006C3022"/>
    <w:rsid w:val="006C7CFC"/>
    <w:rsid w:val="006D16EB"/>
    <w:rsid w:val="006E201E"/>
    <w:rsid w:val="006E37B7"/>
    <w:rsid w:val="006E456A"/>
    <w:rsid w:val="006E4EAB"/>
    <w:rsid w:val="006E6FED"/>
    <w:rsid w:val="006F1ABD"/>
    <w:rsid w:val="00704099"/>
    <w:rsid w:val="0070768C"/>
    <w:rsid w:val="00707DCB"/>
    <w:rsid w:val="00711D29"/>
    <w:rsid w:val="00717BF8"/>
    <w:rsid w:val="00722708"/>
    <w:rsid w:val="00722E17"/>
    <w:rsid w:val="00724479"/>
    <w:rsid w:val="00731DF5"/>
    <w:rsid w:val="00732179"/>
    <w:rsid w:val="00732870"/>
    <w:rsid w:val="00733A64"/>
    <w:rsid w:val="00734ACE"/>
    <w:rsid w:val="00737FDA"/>
    <w:rsid w:val="00745A09"/>
    <w:rsid w:val="007546C8"/>
    <w:rsid w:val="0075474F"/>
    <w:rsid w:val="007605C0"/>
    <w:rsid w:val="00760A0E"/>
    <w:rsid w:val="00763BEC"/>
    <w:rsid w:val="00764A29"/>
    <w:rsid w:val="00764B1E"/>
    <w:rsid w:val="00764FB8"/>
    <w:rsid w:val="00766B96"/>
    <w:rsid w:val="007675A8"/>
    <w:rsid w:val="007705DD"/>
    <w:rsid w:val="00770FCC"/>
    <w:rsid w:val="0077216E"/>
    <w:rsid w:val="007748CB"/>
    <w:rsid w:val="00776B08"/>
    <w:rsid w:val="00780829"/>
    <w:rsid w:val="007864AA"/>
    <w:rsid w:val="007918CB"/>
    <w:rsid w:val="007A0640"/>
    <w:rsid w:val="007A1616"/>
    <w:rsid w:val="007A3F7A"/>
    <w:rsid w:val="007B3498"/>
    <w:rsid w:val="007C29D1"/>
    <w:rsid w:val="007D33C4"/>
    <w:rsid w:val="007D49CE"/>
    <w:rsid w:val="007E3682"/>
    <w:rsid w:val="007E78B2"/>
    <w:rsid w:val="007F4DE7"/>
    <w:rsid w:val="007F673E"/>
    <w:rsid w:val="0081041B"/>
    <w:rsid w:val="00813017"/>
    <w:rsid w:val="00813611"/>
    <w:rsid w:val="008142B9"/>
    <w:rsid w:val="0082329A"/>
    <w:rsid w:val="00827EA7"/>
    <w:rsid w:val="00833389"/>
    <w:rsid w:val="00833790"/>
    <w:rsid w:val="00841014"/>
    <w:rsid w:val="0084253E"/>
    <w:rsid w:val="008467F8"/>
    <w:rsid w:val="00850594"/>
    <w:rsid w:val="00856EA7"/>
    <w:rsid w:val="00857C46"/>
    <w:rsid w:val="0086185B"/>
    <w:rsid w:val="008624D9"/>
    <w:rsid w:val="00872847"/>
    <w:rsid w:val="008762F0"/>
    <w:rsid w:val="00876C17"/>
    <w:rsid w:val="008809B1"/>
    <w:rsid w:val="00881A6D"/>
    <w:rsid w:val="00886FFC"/>
    <w:rsid w:val="00897921"/>
    <w:rsid w:val="008B4EDD"/>
    <w:rsid w:val="008B6CD6"/>
    <w:rsid w:val="008B72A1"/>
    <w:rsid w:val="008D11FC"/>
    <w:rsid w:val="008D1C99"/>
    <w:rsid w:val="008D28E7"/>
    <w:rsid w:val="008D2F66"/>
    <w:rsid w:val="008D3944"/>
    <w:rsid w:val="008D7B66"/>
    <w:rsid w:val="008D7D7A"/>
    <w:rsid w:val="008E09C7"/>
    <w:rsid w:val="008E114F"/>
    <w:rsid w:val="008E3592"/>
    <w:rsid w:val="008E4C2D"/>
    <w:rsid w:val="008F14CF"/>
    <w:rsid w:val="008F4DCA"/>
    <w:rsid w:val="008F7F4B"/>
    <w:rsid w:val="009017C0"/>
    <w:rsid w:val="00903B9E"/>
    <w:rsid w:val="00907B00"/>
    <w:rsid w:val="00911015"/>
    <w:rsid w:val="00912C8C"/>
    <w:rsid w:val="009157E5"/>
    <w:rsid w:val="0092009B"/>
    <w:rsid w:val="0092173F"/>
    <w:rsid w:val="00924E0A"/>
    <w:rsid w:val="0093254D"/>
    <w:rsid w:val="009355CE"/>
    <w:rsid w:val="009435B1"/>
    <w:rsid w:val="009479B5"/>
    <w:rsid w:val="009578A5"/>
    <w:rsid w:val="009604B7"/>
    <w:rsid w:val="00962546"/>
    <w:rsid w:val="009627AF"/>
    <w:rsid w:val="00964004"/>
    <w:rsid w:val="00964974"/>
    <w:rsid w:val="00965086"/>
    <w:rsid w:val="0096657C"/>
    <w:rsid w:val="00973C37"/>
    <w:rsid w:val="00973F66"/>
    <w:rsid w:val="009756CA"/>
    <w:rsid w:val="009768E9"/>
    <w:rsid w:val="00976B13"/>
    <w:rsid w:val="00977EEA"/>
    <w:rsid w:val="00985EB4"/>
    <w:rsid w:val="0099089C"/>
    <w:rsid w:val="009934AA"/>
    <w:rsid w:val="00997B06"/>
    <w:rsid w:val="009A0587"/>
    <w:rsid w:val="009B3442"/>
    <w:rsid w:val="009B463D"/>
    <w:rsid w:val="009B606C"/>
    <w:rsid w:val="009B7FFA"/>
    <w:rsid w:val="009C0D85"/>
    <w:rsid w:val="009C4C5D"/>
    <w:rsid w:val="009C6294"/>
    <w:rsid w:val="009E59D4"/>
    <w:rsid w:val="009F297E"/>
    <w:rsid w:val="009F2B87"/>
    <w:rsid w:val="00A0485E"/>
    <w:rsid w:val="00A04EB8"/>
    <w:rsid w:val="00A05C26"/>
    <w:rsid w:val="00A06105"/>
    <w:rsid w:val="00A12C2E"/>
    <w:rsid w:val="00A1301D"/>
    <w:rsid w:val="00A159BF"/>
    <w:rsid w:val="00A15E1D"/>
    <w:rsid w:val="00A23D81"/>
    <w:rsid w:val="00A2792B"/>
    <w:rsid w:val="00A30048"/>
    <w:rsid w:val="00A3113D"/>
    <w:rsid w:val="00A31697"/>
    <w:rsid w:val="00A31EA8"/>
    <w:rsid w:val="00A34366"/>
    <w:rsid w:val="00A41B32"/>
    <w:rsid w:val="00A44128"/>
    <w:rsid w:val="00A515D5"/>
    <w:rsid w:val="00A53A37"/>
    <w:rsid w:val="00A61A51"/>
    <w:rsid w:val="00A65222"/>
    <w:rsid w:val="00A65D28"/>
    <w:rsid w:val="00A66EF9"/>
    <w:rsid w:val="00A717DB"/>
    <w:rsid w:val="00A7335A"/>
    <w:rsid w:val="00A813E5"/>
    <w:rsid w:val="00A84C63"/>
    <w:rsid w:val="00A8734A"/>
    <w:rsid w:val="00A876B4"/>
    <w:rsid w:val="00A906F9"/>
    <w:rsid w:val="00A90B59"/>
    <w:rsid w:val="00A91DCA"/>
    <w:rsid w:val="00A95CCD"/>
    <w:rsid w:val="00A95F4A"/>
    <w:rsid w:val="00AA1B66"/>
    <w:rsid w:val="00AA6080"/>
    <w:rsid w:val="00AB2005"/>
    <w:rsid w:val="00AB22D3"/>
    <w:rsid w:val="00AB7463"/>
    <w:rsid w:val="00AC2BA6"/>
    <w:rsid w:val="00AC40DC"/>
    <w:rsid w:val="00AD2BB0"/>
    <w:rsid w:val="00AD3090"/>
    <w:rsid w:val="00AD4435"/>
    <w:rsid w:val="00AE56B9"/>
    <w:rsid w:val="00AE618C"/>
    <w:rsid w:val="00AF2FF3"/>
    <w:rsid w:val="00AF4562"/>
    <w:rsid w:val="00AF5B46"/>
    <w:rsid w:val="00AF6078"/>
    <w:rsid w:val="00B0578E"/>
    <w:rsid w:val="00B10826"/>
    <w:rsid w:val="00B1113C"/>
    <w:rsid w:val="00B12979"/>
    <w:rsid w:val="00B12B59"/>
    <w:rsid w:val="00B1465C"/>
    <w:rsid w:val="00B1496E"/>
    <w:rsid w:val="00B152D8"/>
    <w:rsid w:val="00B221CF"/>
    <w:rsid w:val="00B243EF"/>
    <w:rsid w:val="00B30383"/>
    <w:rsid w:val="00B32152"/>
    <w:rsid w:val="00B32585"/>
    <w:rsid w:val="00B33101"/>
    <w:rsid w:val="00B4248E"/>
    <w:rsid w:val="00B42499"/>
    <w:rsid w:val="00B4301B"/>
    <w:rsid w:val="00B449E1"/>
    <w:rsid w:val="00B4537F"/>
    <w:rsid w:val="00B45403"/>
    <w:rsid w:val="00B5484B"/>
    <w:rsid w:val="00B6712B"/>
    <w:rsid w:val="00B7158E"/>
    <w:rsid w:val="00B72A90"/>
    <w:rsid w:val="00B74BC6"/>
    <w:rsid w:val="00B76D9C"/>
    <w:rsid w:val="00B823E2"/>
    <w:rsid w:val="00B8278F"/>
    <w:rsid w:val="00B845A4"/>
    <w:rsid w:val="00B861E7"/>
    <w:rsid w:val="00B872BF"/>
    <w:rsid w:val="00B90DF2"/>
    <w:rsid w:val="00B911C3"/>
    <w:rsid w:val="00B95599"/>
    <w:rsid w:val="00BA08F1"/>
    <w:rsid w:val="00BA43CE"/>
    <w:rsid w:val="00BA4411"/>
    <w:rsid w:val="00BB02CC"/>
    <w:rsid w:val="00BB0834"/>
    <w:rsid w:val="00BC1E88"/>
    <w:rsid w:val="00BC3A0F"/>
    <w:rsid w:val="00BC44BF"/>
    <w:rsid w:val="00BC546C"/>
    <w:rsid w:val="00BD306C"/>
    <w:rsid w:val="00BF2CB3"/>
    <w:rsid w:val="00C023A8"/>
    <w:rsid w:val="00C028B6"/>
    <w:rsid w:val="00C0757D"/>
    <w:rsid w:val="00C076E6"/>
    <w:rsid w:val="00C07C97"/>
    <w:rsid w:val="00C170AC"/>
    <w:rsid w:val="00C17BDA"/>
    <w:rsid w:val="00C21763"/>
    <w:rsid w:val="00C30CEA"/>
    <w:rsid w:val="00C31FA6"/>
    <w:rsid w:val="00C32CD7"/>
    <w:rsid w:val="00C35F82"/>
    <w:rsid w:val="00C41992"/>
    <w:rsid w:val="00C4387D"/>
    <w:rsid w:val="00C521F4"/>
    <w:rsid w:val="00C55908"/>
    <w:rsid w:val="00C566D2"/>
    <w:rsid w:val="00C665F4"/>
    <w:rsid w:val="00C6665B"/>
    <w:rsid w:val="00C66ADA"/>
    <w:rsid w:val="00C676CD"/>
    <w:rsid w:val="00C703FC"/>
    <w:rsid w:val="00C82020"/>
    <w:rsid w:val="00C84E69"/>
    <w:rsid w:val="00C856B5"/>
    <w:rsid w:val="00C874CB"/>
    <w:rsid w:val="00C90528"/>
    <w:rsid w:val="00C962E5"/>
    <w:rsid w:val="00CA1267"/>
    <w:rsid w:val="00CA33AC"/>
    <w:rsid w:val="00CA45F4"/>
    <w:rsid w:val="00CA476D"/>
    <w:rsid w:val="00CA4A73"/>
    <w:rsid w:val="00CA7B71"/>
    <w:rsid w:val="00CB42F9"/>
    <w:rsid w:val="00CB5D43"/>
    <w:rsid w:val="00CB635D"/>
    <w:rsid w:val="00CB685A"/>
    <w:rsid w:val="00CC1A9C"/>
    <w:rsid w:val="00CC3981"/>
    <w:rsid w:val="00CC5E40"/>
    <w:rsid w:val="00CD26B7"/>
    <w:rsid w:val="00CD2A4F"/>
    <w:rsid w:val="00CD70E9"/>
    <w:rsid w:val="00CE0D9C"/>
    <w:rsid w:val="00CE1118"/>
    <w:rsid w:val="00CE1E50"/>
    <w:rsid w:val="00CE2B7D"/>
    <w:rsid w:val="00CE3B3A"/>
    <w:rsid w:val="00CE69CA"/>
    <w:rsid w:val="00CF0921"/>
    <w:rsid w:val="00CF76AA"/>
    <w:rsid w:val="00D10CB7"/>
    <w:rsid w:val="00D11B5E"/>
    <w:rsid w:val="00D11B86"/>
    <w:rsid w:val="00D1204B"/>
    <w:rsid w:val="00D12EC4"/>
    <w:rsid w:val="00D20306"/>
    <w:rsid w:val="00D25F20"/>
    <w:rsid w:val="00D30082"/>
    <w:rsid w:val="00D303B5"/>
    <w:rsid w:val="00D37C39"/>
    <w:rsid w:val="00D40E2B"/>
    <w:rsid w:val="00D414B4"/>
    <w:rsid w:val="00D422D6"/>
    <w:rsid w:val="00D42424"/>
    <w:rsid w:val="00D43DCC"/>
    <w:rsid w:val="00D477BD"/>
    <w:rsid w:val="00D510E6"/>
    <w:rsid w:val="00D52855"/>
    <w:rsid w:val="00D567F9"/>
    <w:rsid w:val="00D5697A"/>
    <w:rsid w:val="00D57C1D"/>
    <w:rsid w:val="00D65EBA"/>
    <w:rsid w:val="00D76E83"/>
    <w:rsid w:val="00D801A5"/>
    <w:rsid w:val="00D845BC"/>
    <w:rsid w:val="00D8721B"/>
    <w:rsid w:val="00D96561"/>
    <w:rsid w:val="00DA011A"/>
    <w:rsid w:val="00DA3AD5"/>
    <w:rsid w:val="00DA5C6D"/>
    <w:rsid w:val="00DB0F08"/>
    <w:rsid w:val="00DB3552"/>
    <w:rsid w:val="00DB3BC0"/>
    <w:rsid w:val="00DB51B3"/>
    <w:rsid w:val="00DC29FD"/>
    <w:rsid w:val="00DC4224"/>
    <w:rsid w:val="00DC5CC2"/>
    <w:rsid w:val="00DD0324"/>
    <w:rsid w:val="00DD2924"/>
    <w:rsid w:val="00DD697C"/>
    <w:rsid w:val="00DD7553"/>
    <w:rsid w:val="00DF0A4E"/>
    <w:rsid w:val="00DF5B20"/>
    <w:rsid w:val="00E01691"/>
    <w:rsid w:val="00E02044"/>
    <w:rsid w:val="00E03D3B"/>
    <w:rsid w:val="00E04BAC"/>
    <w:rsid w:val="00E11A9D"/>
    <w:rsid w:val="00E148E6"/>
    <w:rsid w:val="00E149B8"/>
    <w:rsid w:val="00E15262"/>
    <w:rsid w:val="00E325E8"/>
    <w:rsid w:val="00E37DC8"/>
    <w:rsid w:val="00E41067"/>
    <w:rsid w:val="00E42420"/>
    <w:rsid w:val="00E45633"/>
    <w:rsid w:val="00E519F2"/>
    <w:rsid w:val="00E56F25"/>
    <w:rsid w:val="00E64128"/>
    <w:rsid w:val="00E6642F"/>
    <w:rsid w:val="00E73F80"/>
    <w:rsid w:val="00E77D5B"/>
    <w:rsid w:val="00E8126A"/>
    <w:rsid w:val="00E81E06"/>
    <w:rsid w:val="00E83D22"/>
    <w:rsid w:val="00E85118"/>
    <w:rsid w:val="00E870DD"/>
    <w:rsid w:val="00E87288"/>
    <w:rsid w:val="00E90206"/>
    <w:rsid w:val="00E9056E"/>
    <w:rsid w:val="00E93882"/>
    <w:rsid w:val="00E97A52"/>
    <w:rsid w:val="00EA0EF1"/>
    <w:rsid w:val="00EB2D27"/>
    <w:rsid w:val="00EB33E9"/>
    <w:rsid w:val="00EB46AD"/>
    <w:rsid w:val="00EC440E"/>
    <w:rsid w:val="00EC44EB"/>
    <w:rsid w:val="00ED1BE2"/>
    <w:rsid w:val="00ED5A12"/>
    <w:rsid w:val="00ED7939"/>
    <w:rsid w:val="00EE1969"/>
    <w:rsid w:val="00EE1B1A"/>
    <w:rsid w:val="00EE3CCF"/>
    <w:rsid w:val="00EE4A61"/>
    <w:rsid w:val="00EE4B15"/>
    <w:rsid w:val="00EF1AE3"/>
    <w:rsid w:val="00EF263A"/>
    <w:rsid w:val="00EF31C8"/>
    <w:rsid w:val="00F07654"/>
    <w:rsid w:val="00F11CFF"/>
    <w:rsid w:val="00F15AE6"/>
    <w:rsid w:val="00F170E4"/>
    <w:rsid w:val="00F2072C"/>
    <w:rsid w:val="00F21AF5"/>
    <w:rsid w:val="00F25987"/>
    <w:rsid w:val="00F25E16"/>
    <w:rsid w:val="00F273A1"/>
    <w:rsid w:val="00F32076"/>
    <w:rsid w:val="00F379F9"/>
    <w:rsid w:val="00F430DB"/>
    <w:rsid w:val="00F44FCC"/>
    <w:rsid w:val="00F54B57"/>
    <w:rsid w:val="00F56BAE"/>
    <w:rsid w:val="00F615FA"/>
    <w:rsid w:val="00F6595D"/>
    <w:rsid w:val="00F66D4D"/>
    <w:rsid w:val="00F7049A"/>
    <w:rsid w:val="00F70ABA"/>
    <w:rsid w:val="00F7403F"/>
    <w:rsid w:val="00F7743D"/>
    <w:rsid w:val="00F83A0D"/>
    <w:rsid w:val="00F900AA"/>
    <w:rsid w:val="00F90FCF"/>
    <w:rsid w:val="00F9348C"/>
    <w:rsid w:val="00F9501A"/>
    <w:rsid w:val="00FA361B"/>
    <w:rsid w:val="00FB07B3"/>
    <w:rsid w:val="00FB163D"/>
    <w:rsid w:val="00FC2F6F"/>
    <w:rsid w:val="00FC3F7A"/>
    <w:rsid w:val="00FC7E25"/>
    <w:rsid w:val="00FD300A"/>
    <w:rsid w:val="00FD794E"/>
    <w:rsid w:val="00FE0E44"/>
    <w:rsid w:val="00FF1EC0"/>
    <w:rsid w:val="00FF54EF"/>
    <w:rsid w:val="027570B1"/>
    <w:rsid w:val="04DA5BB1"/>
    <w:rsid w:val="07A61CC5"/>
    <w:rsid w:val="08465135"/>
    <w:rsid w:val="08F4542C"/>
    <w:rsid w:val="0F6D0682"/>
    <w:rsid w:val="137A46E2"/>
    <w:rsid w:val="284938C4"/>
    <w:rsid w:val="312E27C0"/>
    <w:rsid w:val="31A41A55"/>
    <w:rsid w:val="33DB70DA"/>
    <w:rsid w:val="35752683"/>
    <w:rsid w:val="36660180"/>
    <w:rsid w:val="36D15B29"/>
    <w:rsid w:val="3B7911BC"/>
    <w:rsid w:val="3C533057"/>
    <w:rsid w:val="3C757C49"/>
    <w:rsid w:val="4BBA3A87"/>
    <w:rsid w:val="5A930D2C"/>
    <w:rsid w:val="5DBC484C"/>
    <w:rsid w:val="62926030"/>
    <w:rsid w:val="67F55427"/>
    <w:rsid w:val="706109A8"/>
    <w:rsid w:val="72CF71E2"/>
    <w:rsid w:val="7DFA2EA0"/>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_x0000_s1049"/>
        <o:r id="V:Rule2" type="connector" idref="#自选图形 1943"/>
        <o:r id="V:Rule3" type="connector" idref="#_x0000_s1089"/>
        <o:r id="V:Rule4" type="connector" idref="#_x0000_s1092"/>
        <o:r id="V:Rule5" type="connector" idref="#_x0000_s1097"/>
        <o:r id="V:Rule6" type="connector" idref="#_x0000_s1098"/>
        <o:r id="V:Rule7" type="connector" idref="#_x0000_s1099"/>
        <o:r id="V:Rule8" type="connector" idref="#_x0000_s1103"/>
        <o:r id="V:Rule9" type="connector" idref="#_x0000_s1105"/>
        <o:r id="V:Rule10" type="connector" idref="#_x0000_s1109"/>
        <o:r id="V:Rule11" type="connector" idref="#_x0000_s1110"/>
        <o:r id="V:Rule12" type="connector" idref="#_x0000_s1111"/>
        <o:r id="V:Rule13" type="connector" idref="#_x0000_s1116"/>
        <o:r id="V:Rule14" type="connector" idref="#_x0000_s1117"/>
        <o:r id="V:Rule15" type="connector" idref="#_x0000_s1118"/>
        <o:r id="V:Rule16" type="connector" idref="#_x0000_s1123"/>
        <o:r id="V:Rule17" type="connector" idref="#_x0000_s1125"/>
        <o:r id="V:Rule18" type="connector" idref="#_x0000_s1127"/>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semiHidden="0"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nhideWhenUsed="0" w:uiPriority="99" w:semiHidden="0"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qFormat="1" w:unhideWhenUsed="0" w:uiPriority="99" w:semiHidden="0" w:name="Normal Indent"/>
    <w:lsdException w:qFormat="1" w:unhideWhenUsed="0" w:uiPriority="99" w:semiHidden="0" w:name="footnote text"/>
    <w:lsdException w:uiPriority="99" w:name="annotation text" w:locked="1"/>
    <w:lsdException w:qFormat="1" w:unhideWhenUsed="0" w:uiPriority="99" w:semiHidden="0" w:name="header"/>
    <w:lsdException w:qFormat="1" w:unhideWhenUsed="0" w:uiPriority="99" w:semiHidden="0" w:name="footer"/>
    <w:lsdException w:qFormat="1" w:unhideWhenUsed="0" w:uiPriority="99" w:semiHidden="0" w:name="index heading"/>
    <w:lsdException w:qFormat="1" w:unhideWhenUsed="0" w:uiPriority="99" w:semiHidden="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uiPriority="99" w:name="List Bullet" w:locked="1"/>
    <w:lsdException w:uiPriority="99" w:name="List Number" w:locked="1"/>
    <w:lsdException w:qFormat="1" w:unhideWhenUsed="0" w:uiPriority="99" w:semiHidden="0" w:name="List 2"/>
    <w:lsdException w:uiPriority="99" w:name="List 3" w:locked="1"/>
    <w:lsdException w:uiPriority="99" w:name="List 4" w:locked="1"/>
    <w:lsdException w:qFormat="1" w:unhideWhenUsed="0" w:uiPriority="99" w:semiHidden="0" w:name="List 5"/>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uiPriority="1" w:semiHidden="0" w:name="Default Paragraph Font"/>
    <w:lsdException w:qFormat="1" w:unhideWhenUsed="0" w:uiPriority="99" w:semiHidden="0" w:name="Body Text"/>
    <w:lsdException w:qFormat="1" w:unhideWhenUsed="0" w:uiPriority="99" w:semiHidden="0" w:name="Body Text Indent"/>
    <w:lsdException w:uiPriority="99" w:name="List Continue" w:locked="1"/>
    <w:lsdException w:qFormat="1" w:unhideWhenUsed="0" w:uiPriority="99" w:semiHidden="0" w:name="List Continue 2"/>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qFormat="1" w:unhideWhenUsed="0" w:uiPriority="99" w:semiHidden="0" w:name="Date"/>
    <w:lsdException w:qFormat="1" w:unhideWhenUsed="0" w:uiPriority="99" w:semiHidden="0" w:name="Body Text First Indent"/>
    <w:lsdException w:uiPriority="99" w:name="Body Text First Indent 2" w:locked="1"/>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uiPriority="99" w:name="Block Text" w:locked="1"/>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name="Document Map"/>
    <w:lsdException w:qFormat="1" w:unhideWhenUsed="0" w:uiPriority="99"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qFormat="1" w:unhideWhenUsed="0" w:uiPriority="99" w:semiHidden="0" w:name="HTML Preformatted"/>
    <w:lsdException w:uiPriority="99" w:name="HTML Sample" w:locked="1"/>
    <w:lsdException w:qFormat="1" w:unhideWhenUsed="0" w:uiPriority="99" w:semiHidden="0" w:name="HTML Typewriter"/>
    <w:lsdException w:uiPriority="99" w:name="HTML Variable" w:locked="1"/>
    <w:lsdException w:qFormat="1" w:uiPriority="99" w:semiHidden="0"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nhideWhenUsed="0" w:uiPriority="99" w:semiHidden="0"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92"/>
    <w:qFormat/>
    <w:uiPriority w:val="0"/>
    <w:pPr>
      <w:keepNext/>
      <w:outlineLvl w:val="0"/>
    </w:pPr>
    <w:rPr>
      <w:rFonts w:ascii="黑体"/>
      <w:sz w:val="52"/>
    </w:rPr>
  </w:style>
  <w:style w:type="paragraph" w:styleId="3">
    <w:name w:val="heading 2"/>
    <w:basedOn w:val="1"/>
    <w:next w:val="1"/>
    <w:link w:val="162"/>
    <w:qFormat/>
    <w:uiPriority w:val="99"/>
    <w:pPr>
      <w:keepNext/>
      <w:keepLines/>
      <w:spacing w:before="260" w:after="260" w:line="416" w:lineRule="auto"/>
      <w:outlineLvl w:val="1"/>
    </w:pPr>
    <w:rPr>
      <w:rFonts w:ascii="Arial" w:hAnsi="Arial" w:eastAsia="黑体"/>
      <w:b/>
      <w:sz w:val="32"/>
    </w:rPr>
  </w:style>
  <w:style w:type="paragraph" w:styleId="4">
    <w:name w:val="heading 3"/>
    <w:basedOn w:val="1"/>
    <w:next w:val="1"/>
    <w:link w:val="58"/>
    <w:qFormat/>
    <w:uiPriority w:val="99"/>
    <w:pPr>
      <w:keepNext/>
      <w:keepLines/>
      <w:spacing w:before="260" w:after="260" w:line="416" w:lineRule="auto"/>
      <w:outlineLvl w:val="2"/>
    </w:pPr>
    <w:rPr>
      <w:b/>
      <w:sz w:val="32"/>
    </w:rPr>
  </w:style>
  <w:style w:type="paragraph" w:styleId="5">
    <w:name w:val="heading 4"/>
    <w:basedOn w:val="1"/>
    <w:next w:val="1"/>
    <w:link w:val="59"/>
    <w:qFormat/>
    <w:uiPriority w:val="99"/>
    <w:pPr>
      <w:keepNext/>
      <w:tabs>
        <w:tab w:val="left" w:pos="629"/>
      </w:tabs>
      <w:jc w:val="center"/>
      <w:outlineLvl w:val="3"/>
    </w:pPr>
    <w:rPr>
      <w:rFonts w:ascii="宋体" w:hAnsi="宋体"/>
      <w:sz w:val="24"/>
    </w:rPr>
  </w:style>
  <w:style w:type="paragraph" w:styleId="6">
    <w:name w:val="heading 5"/>
    <w:basedOn w:val="1"/>
    <w:next w:val="1"/>
    <w:link w:val="60"/>
    <w:qFormat/>
    <w:uiPriority w:val="99"/>
    <w:pPr>
      <w:keepNext/>
      <w:tabs>
        <w:tab w:val="left" w:pos="633"/>
      </w:tabs>
      <w:ind w:left="401" w:leftChars="-5" w:hanging="412" w:hangingChars="147"/>
      <w:jc w:val="center"/>
      <w:outlineLvl w:val="4"/>
    </w:pPr>
    <w:rPr>
      <w:rFonts w:ascii="宋体" w:hAnsi="宋体" w:eastAsia="黑体"/>
      <w:sz w:val="24"/>
    </w:rPr>
  </w:style>
  <w:style w:type="paragraph" w:styleId="7">
    <w:name w:val="heading 6"/>
    <w:basedOn w:val="1"/>
    <w:next w:val="1"/>
    <w:link w:val="61"/>
    <w:qFormat/>
    <w:uiPriority w:val="99"/>
    <w:pPr>
      <w:keepNext/>
      <w:ind w:left="192" w:leftChars="91" w:firstLine="414" w:firstLineChars="148"/>
      <w:outlineLvl w:val="5"/>
    </w:pPr>
    <w:rPr>
      <w:rFonts w:ascii="宋体" w:hAnsi="宋体" w:eastAsia="黑体"/>
      <w:sz w:val="24"/>
    </w:rPr>
  </w:style>
  <w:style w:type="paragraph" w:styleId="8">
    <w:name w:val="heading 7"/>
    <w:basedOn w:val="1"/>
    <w:next w:val="9"/>
    <w:link w:val="62"/>
    <w:qFormat/>
    <w:uiPriority w:val="99"/>
    <w:pPr>
      <w:keepNext/>
      <w:keepLines/>
      <w:spacing w:before="240" w:after="64" w:line="320" w:lineRule="auto"/>
      <w:outlineLvl w:val="6"/>
    </w:pPr>
    <w:rPr>
      <w:b/>
      <w:sz w:val="24"/>
    </w:rPr>
  </w:style>
  <w:style w:type="paragraph" w:styleId="10">
    <w:name w:val="heading 8"/>
    <w:basedOn w:val="1"/>
    <w:next w:val="9"/>
    <w:link w:val="63"/>
    <w:qFormat/>
    <w:uiPriority w:val="99"/>
    <w:pPr>
      <w:keepNext/>
      <w:keepLines/>
      <w:spacing w:before="240" w:after="64" w:line="320" w:lineRule="auto"/>
      <w:outlineLvl w:val="7"/>
    </w:pPr>
    <w:rPr>
      <w:rFonts w:ascii="Arial" w:hAnsi="Arial" w:eastAsia="黑体"/>
      <w:sz w:val="24"/>
    </w:rPr>
  </w:style>
  <w:style w:type="paragraph" w:styleId="11">
    <w:name w:val="heading 9"/>
    <w:basedOn w:val="1"/>
    <w:next w:val="9"/>
    <w:link w:val="64"/>
    <w:qFormat/>
    <w:uiPriority w:val="99"/>
    <w:pPr>
      <w:keepNext/>
      <w:keepLines/>
      <w:spacing w:before="240" w:after="64" w:line="320" w:lineRule="auto"/>
      <w:outlineLvl w:val="8"/>
    </w:pPr>
    <w:rPr>
      <w:rFonts w:ascii="Arial" w:hAnsi="Arial" w:eastAsia="黑体"/>
      <w:sz w:val="24"/>
    </w:rPr>
  </w:style>
  <w:style w:type="character" w:default="1" w:styleId="47">
    <w:name w:val="Default Paragraph Font"/>
    <w:unhideWhenUsed/>
    <w:uiPriority w:val="1"/>
  </w:style>
  <w:style w:type="table" w:default="1" w:styleId="54">
    <w:name w:val="Normal Table"/>
    <w:unhideWhenUsed/>
    <w:qFormat/>
    <w:uiPriority w:val="99"/>
    <w:tblPr>
      <w:tblLayout w:type="fixed"/>
      <w:tblCellMar>
        <w:top w:w="0" w:type="dxa"/>
        <w:left w:w="108" w:type="dxa"/>
        <w:bottom w:w="0" w:type="dxa"/>
        <w:right w:w="108" w:type="dxa"/>
      </w:tblCellMar>
    </w:tblPr>
  </w:style>
  <w:style w:type="paragraph" w:styleId="9">
    <w:name w:val="Normal Indent"/>
    <w:basedOn w:val="1"/>
    <w:qFormat/>
    <w:uiPriority w:val="99"/>
    <w:pPr>
      <w:adjustRightInd w:val="0"/>
      <w:spacing w:line="360" w:lineRule="atLeast"/>
      <w:ind w:firstLine="420"/>
      <w:jc w:val="left"/>
      <w:textAlignment w:val="baseline"/>
    </w:pPr>
    <w:rPr>
      <w:kern w:val="0"/>
      <w:sz w:val="24"/>
    </w:rPr>
  </w:style>
  <w:style w:type="paragraph" w:styleId="12">
    <w:name w:val="toc 7"/>
    <w:basedOn w:val="1"/>
    <w:next w:val="1"/>
    <w:semiHidden/>
    <w:qFormat/>
    <w:uiPriority w:val="99"/>
    <w:pPr>
      <w:ind w:left="1260"/>
      <w:jc w:val="left"/>
    </w:pPr>
    <w:rPr>
      <w:sz w:val="18"/>
      <w:szCs w:val="18"/>
    </w:rPr>
  </w:style>
  <w:style w:type="paragraph" w:styleId="13">
    <w:name w:val="Body Text First Indent"/>
    <w:basedOn w:val="14"/>
    <w:link w:val="66"/>
    <w:qFormat/>
    <w:uiPriority w:val="99"/>
    <w:pPr>
      <w:ind w:firstLine="420" w:firstLineChars="100"/>
    </w:pPr>
  </w:style>
  <w:style w:type="paragraph" w:styleId="14">
    <w:name w:val="Body Text"/>
    <w:basedOn w:val="1"/>
    <w:link w:val="65"/>
    <w:qFormat/>
    <w:uiPriority w:val="99"/>
    <w:pPr>
      <w:spacing w:after="120"/>
    </w:pPr>
    <w:rPr>
      <w:sz w:val="24"/>
    </w:rPr>
  </w:style>
  <w:style w:type="paragraph" w:styleId="15">
    <w:name w:val="Note Heading"/>
    <w:basedOn w:val="1"/>
    <w:next w:val="1"/>
    <w:link w:val="67"/>
    <w:qFormat/>
    <w:uiPriority w:val="99"/>
    <w:pPr>
      <w:jc w:val="center"/>
    </w:pPr>
    <w:rPr>
      <w:kern w:val="0"/>
      <w:sz w:val="20"/>
    </w:rPr>
  </w:style>
  <w:style w:type="paragraph" w:styleId="16">
    <w:name w:val="caption"/>
    <w:basedOn w:val="1"/>
    <w:next w:val="1"/>
    <w:qFormat/>
    <w:uiPriority w:val="99"/>
    <w:pPr>
      <w:jc w:val="center"/>
    </w:pPr>
    <w:rPr>
      <w:rFonts w:cs="Arial"/>
      <w:sz w:val="24"/>
    </w:rPr>
  </w:style>
  <w:style w:type="paragraph" w:styleId="17">
    <w:name w:val="Document Map"/>
    <w:basedOn w:val="1"/>
    <w:link w:val="68"/>
    <w:semiHidden/>
    <w:qFormat/>
    <w:uiPriority w:val="99"/>
    <w:pPr>
      <w:shd w:val="clear" w:color="auto" w:fill="000080"/>
    </w:pPr>
    <w:rPr>
      <w:kern w:val="0"/>
      <w:sz w:val="2"/>
    </w:rPr>
  </w:style>
  <w:style w:type="paragraph" w:styleId="18">
    <w:name w:val="Body Text 3"/>
    <w:basedOn w:val="1"/>
    <w:link w:val="69"/>
    <w:qFormat/>
    <w:uiPriority w:val="99"/>
    <w:pPr>
      <w:jc w:val="center"/>
    </w:pPr>
    <w:rPr>
      <w:kern w:val="0"/>
      <w:sz w:val="16"/>
      <w:szCs w:val="16"/>
    </w:rPr>
  </w:style>
  <w:style w:type="paragraph" w:styleId="19">
    <w:name w:val="Body Text Indent"/>
    <w:basedOn w:val="1"/>
    <w:link w:val="70"/>
    <w:qFormat/>
    <w:uiPriority w:val="99"/>
    <w:pPr>
      <w:ind w:left="360"/>
      <w:jc w:val="left"/>
    </w:pPr>
    <w:rPr>
      <w:rFonts w:ascii="宋体"/>
      <w:b/>
    </w:rPr>
  </w:style>
  <w:style w:type="paragraph" w:styleId="20">
    <w:name w:val="List 2"/>
    <w:basedOn w:val="1"/>
    <w:qFormat/>
    <w:uiPriority w:val="99"/>
    <w:pPr>
      <w:ind w:left="840" w:hanging="420"/>
    </w:pPr>
  </w:style>
  <w:style w:type="paragraph" w:styleId="21">
    <w:name w:val="toc 5"/>
    <w:basedOn w:val="1"/>
    <w:next w:val="1"/>
    <w:semiHidden/>
    <w:qFormat/>
    <w:uiPriority w:val="99"/>
    <w:pPr>
      <w:ind w:left="840"/>
      <w:jc w:val="left"/>
    </w:pPr>
    <w:rPr>
      <w:sz w:val="18"/>
      <w:szCs w:val="18"/>
    </w:rPr>
  </w:style>
  <w:style w:type="paragraph" w:styleId="22">
    <w:name w:val="toc 3"/>
    <w:basedOn w:val="1"/>
    <w:next w:val="1"/>
    <w:qFormat/>
    <w:uiPriority w:val="99"/>
    <w:pPr>
      <w:ind w:left="420"/>
      <w:jc w:val="left"/>
    </w:pPr>
    <w:rPr>
      <w:i/>
      <w:iCs/>
      <w:sz w:val="20"/>
    </w:rPr>
  </w:style>
  <w:style w:type="paragraph" w:styleId="23">
    <w:name w:val="Plain Text"/>
    <w:basedOn w:val="1"/>
    <w:link w:val="71"/>
    <w:qFormat/>
    <w:uiPriority w:val="99"/>
    <w:rPr>
      <w:rFonts w:ascii="宋体" w:hAnsi="Courier New"/>
    </w:rPr>
  </w:style>
  <w:style w:type="paragraph" w:styleId="24">
    <w:name w:val="toc 8"/>
    <w:basedOn w:val="1"/>
    <w:next w:val="1"/>
    <w:semiHidden/>
    <w:qFormat/>
    <w:uiPriority w:val="99"/>
    <w:pPr>
      <w:ind w:left="1470"/>
      <w:jc w:val="left"/>
    </w:pPr>
    <w:rPr>
      <w:sz w:val="18"/>
      <w:szCs w:val="18"/>
    </w:rPr>
  </w:style>
  <w:style w:type="paragraph" w:styleId="25">
    <w:name w:val="Date"/>
    <w:basedOn w:val="1"/>
    <w:next w:val="1"/>
    <w:link w:val="72"/>
    <w:qFormat/>
    <w:uiPriority w:val="99"/>
    <w:pPr>
      <w:adjustRightInd w:val="0"/>
      <w:spacing w:line="312" w:lineRule="atLeast"/>
      <w:textAlignment w:val="baseline"/>
    </w:pPr>
    <w:rPr>
      <w:kern w:val="0"/>
      <w:sz w:val="20"/>
    </w:rPr>
  </w:style>
  <w:style w:type="paragraph" w:styleId="26">
    <w:name w:val="Body Text Indent 2"/>
    <w:basedOn w:val="1"/>
    <w:link w:val="73"/>
    <w:qFormat/>
    <w:uiPriority w:val="99"/>
    <w:pPr>
      <w:spacing w:after="120" w:line="480" w:lineRule="auto"/>
      <w:ind w:left="420" w:leftChars="200"/>
    </w:pPr>
    <w:rPr>
      <w:kern w:val="0"/>
      <w:sz w:val="20"/>
    </w:rPr>
  </w:style>
  <w:style w:type="paragraph" w:styleId="27">
    <w:name w:val="Balloon Text"/>
    <w:basedOn w:val="1"/>
    <w:link w:val="74"/>
    <w:uiPriority w:val="99"/>
    <w:rPr>
      <w:sz w:val="18"/>
    </w:rPr>
  </w:style>
  <w:style w:type="paragraph" w:styleId="28">
    <w:name w:val="footer"/>
    <w:basedOn w:val="1"/>
    <w:link w:val="98"/>
    <w:qFormat/>
    <w:uiPriority w:val="99"/>
    <w:pPr>
      <w:tabs>
        <w:tab w:val="center" w:pos="4153"/>
        <w:tab w:val="right" w:pos="8306"/>
      </w:tabs>
      <w:snapToGrid w:val="0"/>
      <w:jc w:val="left"/>
    </w:pPr>
    <w:rPr>
      <w:sz w:val="18"/>
    </w:rPr>
  </w:style>
  <w:style w:type="paragraph" w:styleId="29">
    <w:name w:val="header"/>
    <w:basedOn w:val="1"/>
    <w:link w:val="158"/>
    <w:qFormat/>
    <w:uiPriority w:val="99"/>
    <w:pPr>
      <w:pBdr>
        <w:bottom w:val="single" w:color="auto" w:sz="6" w:space="1"/>
      </w:pBdr>
      <w:tabs>
        <w:tab w:val="center" w:pos="4153"/>
        <w:tab w:val="right" w:pos="8306"/>
      </w:tabs>
      <w:snapToGrid w:val="0"/>
      <w:jc w:val="center"/>
    </w:pPr>
    <w:rPr>
      <w:sz w:val="18"/>
    </w:rPr>
  </w:style>
  <w:style w:type="paragraph" w:styleId="30">
    <w:name w:val="toc 1"/>
    <w:basedOn w:val="1"/>
    <w:next w:val="1"/>
    <w:qFormat/>
    <w:uiPriority w:val="39"/>
    <w:pPr>
      <w:tabs>
        <w:tab w:val="right" w:leader="dot" w:pos="9174"/>
      </w:tabs>
      <w:spacing w:before="120" w:after="120" w:line="540" w:lineRule="exact"/>
      <w:jc w:val="left"/>
    </w:pPr>
    <w:rPr>
      <w:rFonts w:ascii="宋体" w:hAnsi="宋体"/>
      <w:bCs/>
      <w:caps/>
      <w:sz w:val="28"/>
      <w:szCs w:val="28"/>
    </w:rPr>
  </w:style>
  <w:style w:type="paragraph" w:styleId="31">
    <w:name w:val="toc 4"/>
    <w:basedOn w:val="1"/>
    <w:next w:val="1"/>
    <w:semiHidden/>
    <w:qFormat/>
    <w:uiPriority w:val="99"/>
    <w:pPr>
      <w:ind w:left="630"/>
      <w:jc w:val="left"/>
    </w:pPr>
    <w:rPr>
      <w:sz w:val="18"/>
      <w:szCs w:val="18"/>
    </w:rPr>
  </w:style>
  <w:style w:type="paragraph" w:styleId="32">
    <w:name w:val="index heading"/>
    <w:basedOn w:val="1"/>
    <w:next w:val="33"/>
    <w:qFormat/>
    <w:uiPriority w:val="99"/>
    <w:rPr>
      <w:szCs w:val="24"/>
    </w:rPr>
  </w:style>
  <w:style w:type="paragraph" w:styleId="33">
    <w:name w:val="index 1"/>
    <w:basedOn w:val="1"/>
    <w:next w:val="1"/>
    <w:semiHidden/>
    <w:qFormat/>
    <w:uiPriority w:val="99"/>
    <w:pPr>
      <w:spacing w:line="400" w:lineRule="exact"/>
    </w:pPr>
    <w:rPr>
      <w:szCs w:val="24"/>
    </w:rPr>
  </w:style>
  <w:style w:type="paragraph" w:styleId="34">
    <w:name w:val="List"/>
    <w:basedOn w:val="1"/>
    <w:qFormat/>
    <w:uiPriority w:val="99"/>
    <w:pPr>
      <w:ind w:left="200" w:hanging="200" w:hangingChars="200"/>
    </w:pPr>
    <w:rPr>
      <w:szCs w:val="24"/>
    </w:rPr>
  </w:style>
  <w:style w:type="paragraph" w:styleId="35">
    <w:name w:val="footnote text"/>
    <w:basedOn w:val="1"/>
    <w:link w:val="77"/>
    <w:qFormat/>
    <w:uiPriority w:val="99"/>
    <w:pPr>
      <w:snapToGrid w:val="0"/>
      <w:jc w:val="left"/>
    </w:pPr>
    <w:rPr>
      <w:sz w:val="18"/>
    </w:rPr>
  </w:style>
  <w:style w:type="paragraph" w:styleId="36">
    <w:name w:val="toc 6"/>
    <w:basedOn w:val="1"/>
    <w:next w:val="1"/>
    <w:semiHidden/>
    <w:qFormat/>
    <w:uiPriority w:val="99"/>
    <w:pPr>
      <w:ind w:left="1050"/>
      <w:jc w:val="left"/>
    </w:pPr>
    <w:rPr>
      <w:sz w:val="18"/>
      <w:szCs w:val="18"/>
    </w:rPr>
  </w:style>
  <w:style w:type="paragraph" w:styleId="37">
    <w:name w:val="List 5"/>
    <w:basedOn w:val="1"/>
    <w:qFormat/>
    <w:uiPriority w:val="99"/>
    <w:pPr>
      <w:tabs>
        <w:tab w:val="left" w:pos="3780"/>
      </w:tabs>
      <w:ind w:left="3780" w:hanging="420"/>
    </w:pPr>
    <w:rPr>
      <w:sz w:val="32"/>
    </w:rPr>
  </w:style>
  <w:style w:type="paragraph" w:styleId="38">
    <w:name w:val="Body Text Indent 3"/>
    <w:basedOn w:val="1"/>
    <w:link w:val="78"/>
    <w:qFormat/>
    <w:uiPriority w:val="99"/>
    <w:pPr>
      <w:tabs>
        <w:tab w:val="left" w:pos="1520"/>
      </w:tabs>
      <w:spacing w:line="600" w:lineRule="exact"/>
      <w:ind w:firstLine="480"/>
    </w:pPr>
    <w:rPr>
      <w:rFonts w:ascii="宋体" w:hAnsi="宋体"/>
      <w:sz w:val="24"/>
    </w:rPr>
  </w:style>
  <w:style w:type="paragraph" w:styleId="39">
    <w:name w:val="toc 2"/>
    <w:basedOn w:val="1"/>
    <w:next w:val="1"/>
    <w:qFormat/>
    <w:uiPriority w:val="39"/>
    <w:pPr>
      <w:ind w:left="210"/>
      <w:jc w:val="left"/>
    </w:pPr>
    <w:rPr>
      <w:smallCaps/>
      <w:sz w:val="20"/>
    </w:rPr>
  </w:style>
  <w:style w:type="paragraph" w:styleId="40">
    <w:name w:val="toc 9"/>
    <w:basedOn w:val="1"/>
    <w:next w:val="1"/>
    <w:semiHidden/>
    <w:qFormat/>
    <w:uiPriority w:val="99"/>
    <w:pPr>
      <w:ind w:left="1680"/>
      <w:jc w:val="left"/>
    </w:pPr>
    <w:rPr>
      <w:sz w:val="18"/>
      <w:szCs w:val="18"/>
    </w:rPr>
  </w:style>
  <w:style w:type="paragraph" w:styleId="41">
    <w:name w:val="Body Text 2"/>
    <w:basedOn w:val="1"/>
    <w:link w:val="79"/>
    <w:qFormat/>
    <w:uiPriority w:val="99"/>
    <w:pPr>
      <w:spacing w:after="120" w:line="480" w:lineRule="auto"/>
    </w:pPr>
  </w:style>
  <w:style w:type="paragraph" w:styleId="42">
    <w:name w:val="List Continue 2"/>
    <w:basedOn w:val="1"/>
    <w:qFormat/>
    <w:uiPriority w:val="99"/>
    <w:pPr>
      <w:spacing w:after="120"/>
      <w:ind w:left="400" w:leftChars="400"/>
    </w:pPr>
    <w:rPr>
      <w:szCs w:val="24"/>
    </w:rPr>
  </w:style>
  <w:style w:type="paragraph" w:styleId="43">
    <w:name w:val="HTML Preformatted"/>
    <w:basedOn w:val="1"/>
    <w:link w:val="80"/>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rPr>
  </w:style>
  <w:style w:type="paragraph" w:styleId="44">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45">
    <w:name w:val="index 2"/>
    <w:basedOn w:val="1"/>
    <w:next w:val="1"/>
    <w:qFormat/>
    <w:uiPriority w:val="99"/>
    <w:pPr>
      <w:ind w:left="420" w:hanging="210"/>
      <w:jc w:val="left"/>
    </w:pPr>
  </w:style>
  <w:style w:type="paragraph" w:styleId="46">
    <w:name w:val="Title"/>
    <w:basedOn w:val="1"/>
    <w:next w:val="3"/>
    <w:link w:val="81"/>
    <w:qFormat/>
    <w:uiPriority w:val="99"/>
    <w:pPr>
      <w:spacing w:beforeLines="30" w:afterLines="30" w:line="360" w:lineRule="auto"/>
      <w:ind w:firstLine="200" w:firstLineChars="200"/>
      <w:jc w:val="center"/>
      <w:outlineLvl w:val="0"/>
    </w:pPr>
    <w:rPr>
      <w:rFonts w:ascii="Arial" w:hAnsi="Arial"/>
      <w:b/>
      <w:kern w:val="0"/>
      <w:sz w:val="32"/>
    </w:rPr>
  </w:style>
  <w:style w:type="character" w:styleId="48">
    <w:name w:val="Strong"/>
    <w:basedOn w:val="47"/>
    <w:qFormat/>
    <w:uiPriority w:val="99"/>
    <w:rPr>
      <w:rFonts w:cs="Times New Roman"/>
      <w:b/>
    </w:rPr>
  </w:style>
  <w:style w:type="character" w:styleId="49">
    <w:name w:val="page number"/>
    <w:basedOn w:val="47"/>
    <w:qFormat/>
    <w:uiPriority w:val="99"/>
    <w:rPr>
      <w:rFonts w:cs="Times New Roman"/>
    </w:rPr>
  </w:style>
  <w:style w:type="character" w:styleId="50">
    <w:name w:val="FollowedHyperlink"/>
    <w:basedOn w:val="47"/>
    <w:qFormat/>
    <w:uiPriority w:val="99"/>
    <w:rPr>
      <w:rFonts w:cs="Times New Roman"/>
      <w:color w:val="800080"/>
      <w:u w:val="single"/>
    </w:rPr>
  </w:style>
  <w:style w:type="character" w:styleId="51">
    <w:name w:val="Emphasis"/>
    <w:basedOn w:val="47"/>
    <w:qFormat/>
    <w:uiPriority w:val="99"/>
    <w:rPr>
      <w:rFonts w:cs="Times New Roman"/>
      <w:i/>
    </w:rPr>
  </w:style>
  <w:style w:type="character" w:styleId="52">
    <w:name w:val="HTML Typewriter"/>
    <w:basedOn w:val="47"/>
    <w:qFormat/>
    <w:uiPriority w:val="99"/>
    <w:rPr>
      <w:rFonts w:ascii="Courier New" w:hAnsi="Courier New" w:cs="Times New Roman"/>
      <w:sz w:val="20"/>
    </w:rPr>
  </w:style>
  <w:style w:type="character" w:styleId="53">
    <w:name w:val="Hyperlink"/>
    <w:basedOn w:val="47"/>
    <w:qFormat/>
    <w:uiPriority w:val="99"/>
    <w:rPr>
      <w:rFonts w:cs="Times New Roman"/>
      <w:color w:val="0000FF"/>
      <w:u w:val="single"/>
    </w:rPr>
  </w:style>
  <w:style w:type="table" w:styleId="55">
    <w:name w:val="Table Grid"/>
    <w:basedOn w:val="54"/>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customStyle="1" w:styleId="56">
    <w:name w:val="Heading 1 Char"/>
    <w:basedOn w:val="47"/>
    <w:link w:val="2"/>
    <w:qFormat/>
    <w:locked/>
    <w:uiPriority w:val="99"/>
    <w:rPr>
      <w:rFonts w:cs="Times New Roman"/>
      <w:b/>
      <w:kern w:val="44"/>
      <w:sz w:val="44"/>
    </w:rPr>
  </w:style>
  <w:style w:type="character" w:customStyle="1" w:styleId="57">
    <w:name w:val="Heading 2 Char"/>
    <w:basedOn w:val="47"/>
    <w:link w:val="3"/>
    <w:qFormat/>
    <w:locked/>
    <w:uiPriority w:val="99"/>
    <w:rPr>
      <w:rFonts w:ascii="Arial" w:hAnsi="Arial" w:eastAsia="黑体" w:cs="Times New Roman"/>
      <w:b/>
      <w:kern w:val="2"/>
      <w:sz w:val="32"/>
    </w:rPr>
  </w:style>
  <w:style w:type="character" w:customStyle="1" w:styleId="58">
    <w:name w:val="标题 3 Char1"/>
    <w:basedOn w:val="47"/>
    <w:link w:val="4"/>
    <w:qFormat/>
    <w:locked/>
    <w:uiPriority w:val="99"/>
    <w:rPr>
      <w:rFonts w:eastAsia="宋体" w:cs="Times New Roman"/>
      <w:b/>
      <w:kern w:val="2"/>
      <w:sz w:val="32"/>
      <w:lang w:val="en-US" w:eastAsia="zh-CN"/>
    </w:rPr>
  </w:style>
  <w:style w:type="character" w:customStyle="1" w:styleId="59">
    <w:name w:val="标题 4 Char"/>
    <w:basedOn w:val="47"/>
    <w:link w:val="5"/>
    <w:qFormat/>
    <w:locked/>
    <w:uiPriority w:val="99"/>
    <w:rPr>
      <w:rFonts w:ascii="宋体" w:hAnsi="宋体" w:eastAsia="宋体" w:cs="Times New Roman"/>
      <w:kern w:val="2"/>
      <w:sz w:val="24"/>
      <w:lang w:val="en-US" w:eastAsia="zh-CN"/>
    </w:rPr>
  </w:style>
  <w:style w:type="character" w:customStyle="1" w:styleId="60">
    <w:name w:val="标题 5 Char"/>
    <w:basedOn w:val="47"/>
    <w:link w:val="6"/>
    <w:qFormat/>
    <w:locked/>
    <w:uiPriority w:val="99"/>
    <w:rPr>
      <w:rFonts w:ascii="宋体" w:hAnsi="宋体" w:eastAsia="黑体" w:cs="Times New Roman"/>
      <w:kern w:val="2"/>
      <w:sz w:val="24"/>
      <w:lang w:val="en-US" w:eastAsia="zh-CN"/>
    </w:rPr>
  </w:style>
  <w:style w:type="character" w:customStyle="1" w:styleId="61">
    <w:name w:val="标题 6 Char"/>
    <w:basedOn w:val="47"/>
    <w:link w:val="7"/>
    <w:qFormat/>
    <w:locked/>
    <w:uiPriority w:val="99"/>
    <w:rPr>
      <w:rFonts w:ascii="宋体" w:hAnsi="宋体" w:eastAsia="黑体" w:cs="Times New Roman"/>
      <w:kern w:val="2"/>
      <w:sz w:val="24"/>
      <w:lang w:val="en-US" w:eastAsia="zh-CN"/>
    </w:rPr>
  </w:style>
  <w:style w:type="character" w:customStyle="1" w:styleId="62">
    <w:name w:val="标题 7 Char"/>
    <w:basedOn w:val="47"/>
    <w:link w:val="8"/>
    <w:qFormat/>
    <w:locked/>
    <w:uiPriority w:val="99"/>
    <w:rPr>
      <w:rFonts w:eastAsia="宋体" w:cs="Times New Roman"/>
      <w:b/>
      <w:kern w:val="2"/>
      <w:sz w:val="24"/>
      <w:lang w:val="en-US" w:eastAsia="zh-CN"/>
    </w:rPr>
  </w:style>
  <w:style w:type="character" w:customStyle="1" w:styleId="63">
    <w:name w:val="标题 8 Char"/>
    <w:basedOn w:val="47"/>
    <w:link w:val="10"/>
    <w:qFormat/>
    <w:locked/>
    <w:uiPriority w:val="99"/>
    <w:rPr>
      <w:rFonts w:ascii="Arial" w:hAnsi="Arial" w:eastAsia="黑体" w:cs="Times New Roman"/>
      <w:kern w:val="2"/>
      <w:sz w:val="24"/>
      <w:lang w:val="en-US" w:eastAsia="zh-CN"/>
    </w:rPr>
  </w:style>
  <w:style w:type="character" w:customStyle="1" w:styleId="64">
    <w:name w:val="标题 9 Char"/>
    <w:basedOn w:val="47"/>
    <w:link w:val="11"/>
    <w:qFormat/>
    <w:locked/>
    <w:uiPriority w:val="99"/>
    <w:rPr>
      <w:rFonts w:ascii="Arial" w:hAnsi="Arial" w:eastAsia="黑体" w:cs="Times New Roman"/>
      <w:kern w:val="2"/>
      <w:sz w:val="24"/>
      <w:lang w:val="en-US" w:eastAsia="zh-CN"/>
    </w:rPr>
  </w:style>
  <w:style w:type="character" w:customStyle="1" w:styleId="65">
    <w:name w:val="正文文本 Char"/>
    <w:basedOn w:val="47"/>
    <w:link w:val="14"/>
    <w:qFormat/>
    <w:locked/>
    <w:uiPriority w:val="99"/>
    <w:rPr>
      <w:rFonts w:eastAsia="宋体" w:cs="Times New Roman"/>
      <w:kern w:val="2"/>
      <w:sz w:val="24"/>
      <w:lang w:val="en-US" w:eastAsia="zh-CN"/>
    </w:rPr>
  </w:style>
  <w:style w:type="character" w:customStyle="1" w:styleId="66">
    <w:name w:val="正文首行缩进 Char"/>
    <w:basedOn w:val="65"/>
    <w:link w:val="13"/>
    <w:qFormat/>
    <w:locked/>
    <w:uiPriority w:val="99"/>
    <w:rPr>
      <w:sz w:val="21"/>
    </w:rPr>
  </w:style>
  <w:style w:type="character" w:customStyle="1" w:styleId="67">
    <w:name w:val="注释标题 Char"/>
    <w:basedOn w:val="47"/>
    <w:link w:val="15"/>
    <w:semiHidden/>
    <w:qFormat/>
    <w:locked/>
    <w:uiPriority w:val="99"/>
    <w:rPr>
      <w:rFonts w:cs="Times New Roman"/>
      <w:sz w:val="20"/>
    </w:rPr>
  </w:style>
  <w:style w:type="character" w:customStyle="1" w:styleId="68">
    <w:name w:val="文档结构图 Char"/>
    <w:basedOn w:val="47"/>
    <w:link w:val="17"/>
    <w:semiHidden/>
    <w:qFormat/>
    <w:locked/>
    <w:uiPriority w:val="99"/>
    <w:rPr>
      <w:rFonts w:cs="Times New Roman"/>
      <w:sz w:val="2"/>
    </w:rPr>
  </w:style>
  <w:style w:type="character" w:customStyle="1" w:styleId="69">
    <w:name w:val="正文文本 3 Char"/>
    <w:basedOn w:val="47"/>
    <w:link w:val="18"/>
    <w:semiHidden/>
    <w:qFormat/>
    <w:locked/>
    <w:uiPriority w:val="99"/>
    <w:rPr>
      <w:rFonts w:cs="Times New Roman"/>
      <w:sz w:val="16"/>
    </w:rPr>
  </w:style>
  <w:style w:type="character" w:customStyle="1" w:styleId="70">
    <w:name w:val="正文文本缩进 Char"/>
    <w:basedOn w:val="47"/>
    <w:link w:val="19"/>
    <w:qFormat/>
    <w:locked/>
    <w:uiPriority w:val="99"/>
    <w:rPr>
      <w:rFonts w:ascii="宋体" w:eastAsia="宋体" w:cs="Times New Roman"/>
      <w:b/>
      <w:kern w:val="2"/>
      <w:sz w:val="21"/>
      <w:lang w:val="en-US" w:eastAsia="zh-CN"/>
    </w:rPr>
  </w:style>
  <w:style w:type="character" w:customStyle="1" w:styleId="71">
    <w:name w:val="纯文本 Char"/>
    <w:basedOn w:val="47"/>
    <w:link w:val="23"/>
    <w:qFormat/>
    <w:locked/>
    <w:uiPriority w:val="99"/>
    <w:rPr>
      <w:rFonts w:ascii="宋体" w:hAnsi="Courier New" w:eastAsia="宋体" w:cs="Times New Roman"/>
      <w:kern w:val="2"/>
      <w:sz w:val="21"/>
      <w:lang w:val="en-US" w:eastAsia="zh-CN"/>
    </w:rPr>
  </w:style>
  <w:style w:type="character" w:customStyle="1" w:styleId="72">
    <w:name w:val="日期 Char"/>
    <w:basedOn w:val="47"/>
    <w:link w:val="25"/>
    <w:semiHidden/>
    <w:qFormat/>
    <w:locked/>
    <w:uiPriority w:val="99"/>
    <w:rPr>
      <w:rFonts w:cs="Times New Roman"/>
      <w:sz w:val="20"/>
    </w:rPr>
  </w:style>
  <w:style w:type="character" w:customStyle="1" w:styleId="73">
    <w:name w:val="正文文本缩进 2 Char"/>
    <w:basedOn w:val="47"/>
    <w:link w:val="26"/>
    <w:semiHidden/>
    <w:qFormat/>
    <w:locked/>
    <w:uiPriority w:val="99"/>
    <w:rPr>
      <w:rFonts w:cs="Times New Roman"/>
      <w:sz w:val="20"/>
    </w:rPr>
  </w:style>
  <w:style w:type="character" w:customStyle="1" w:styleId="74">
    <w:name w:val="批注框文本 Char"/>
    <w:basedOn w:val="47"/>
    <w:link w:val="27"/>
    <w:qFormat/>
    <w:locked/>
    <w:uiPriority w:val="99"/>
    <w:rPr>
      <w:rFonts w:eastAsia="宋体" w:cs="Times New Roman"/>
      <w:kern w:val="2"/>
      <w:sz w:val="18"/>
      <w:lang w:val="en-US" w:eastAsia="zh-CN"/>
    </w:rPr>
  </w:style>
  <w:style w:type="character" w:customStyle="1" w:styleId="75">
    <w:name w:val="Footer Char"/>
    <w:basedOn w:val="47"/>
    <w:link w:val="28"/>
    <w:semiHidden/>
    <w:qFormat/>
    <w:locked/>
    <w:uiPriority w:val="99"/>
    <w:rPr>
      <w:rFonts w:cs="Times New Roman"/>
      <w:kern w:val="2"/>
      <w:sz w:val="18"/>
    </w:rPr>
  </w:style>
  <w:style w:type="character" w:customStyle="1" w:styleId="76">
    <w:name w:val="Header Char"/>
    <w:basedOn w:val="47"/>
    <w:link w:val="29"/>
    <w:semiHidden/>
    <w:qFormat/>
    <w:locked/>
    <w:uiPriority w:val="99"/>
    <w:rPr>
      <w:rFonts w:cs="Times New Roman"/>
      <w:kern w:val="2"/>
      <w:sz w:val="18"/>
    </w:rPr>
  </w:style>
  <w:style w:type="character" w:customStyle="1" w:styleId="77">
    <w:name w:val="脚注文本 Char"/>
    <w:basedOn w:val="47"/>
    <w:link w:val="35"/>
    <w:qFormat/>
    <w:locked/>
    <w:uiPriority w:val="99"/>
    <w:rPr>
      <w:rFonts w:cs="Times New Roman"/>
      <w:kern w:val="2"/>
      <w:sz w:val="18"/>
    </w:rPr>
  </w:style>
  <w:style w:type="character" w:customStyle="1" w:styleId="78">
    <w:name w:val="正文文本缩进 3 Char"/>
    <w:basedOn w:val="47"/>
    <w:link w:val="38"/>
    <w:qFormat/>
    <w:locked/>
    <w:uiPriority w:val="99"/>
    <w:rPr>
      <w:rFonts w:ascii="宋体" w:hAnsi="宋体" w:eastAsia="宋体" w:cs="Times New Roman"/>
      <w:kern w:val="2"/>
      <w:sz w:val="24"/>
      <w:lang w:val="en-US" w:eastAsia="zh-CN"/>
    </w:rPr>
  </w:style>
  <w:style w:type="character" w:customStyle="1" w:styleId="79">
    <w:name w:val="正文文本 2 Char1"/>
    <w:basedOn w:val="47"/>
    <w:link w:val="41"/>
    <w:qFormat/>
    <w:locked/>
    <w:uiPriority w:val="99"/>
    <w:rPr>
      <w:rFonts w:eastAsia="宋体" w:cs="Times New Roman"/>
      <w:kern w:val="2"/>
      <w:sz w:val="21"/>
      <w:lang w:val="en-US" w:eastAsia="zh-CN"/>
    </w:rPr>
  </w:style>
  <w:style w:type="character" w:customStyle="1" w:styleId="80">
    <w:name w:val="HTML 预设格式 Char"/>
    <w:basedOn w:val="47"/>
    <w:link w:val="43"/>
    <w:semiHidden/>
    <w:qFormat/>
    <w:locked/>
    <w:uiPriority w:val="99"/>
    <w:rPr>
      <w:rFonts w:ascii="Courier New" w:hAnsi="Courier New" w:cs="Times New Roman"/>
      <w:sz w:val="20"/>
    </w:rPr>
  </w:style>
  <w:style w:type="character" w:customStyle="1" w:styleId="81">
    <w:name w:val="标题 Char"/>
    <w:basedOn w:val="47"/>
    <w:link w:val="46"/>
    <w:qFormat/>
    <w:locked/>
    <w:uiPriority w:val="99"/>
    <w:rPr>
      <w:rFonts w:ascii="Arial" w:hAnsi="Arial" w:eastAsia="宋体" w:cs="Times New Roman"/>
      <w:b/>
      <w:snapToGrid w:val="0"/>
      <w:sz w:val="32"/>
      <w:lang w:val="en-US" w:eastAsia="zh-CN"/>
    </w:rPr>
  </w:style>
  <w:style w:type="character" w:customStyle="1" w:styleId="82">
    <w:name w:val="标题 1 Char Char"/>
    <w:qFormat/>
    <w:uiPriority w:val="99"/>
    <w:rPr>
      <w:rFonts w:ascii="黑体" w:hAnsi="宋体" w:eastAsia="黑体"/>
      <w:b/>
      <w:kern w:val="2"/>
      <w:sz w:val="24"/>
      <w:lang w:val="en-US" w:eastAsia="zh-CN"/>
    </w:rPr>
  </w:style>
  <w:style w:type="character" w:customStyle="1" w:styleId="83">
    <w:name w:val="apple-style-span"/>
    <w:qFormat/>
    <w:uiPriority w:val="99"/>
  </w:style>
  <w:style w:type="character" w:customStyle="1" w:styleId="84">
    <w:name w:val="页眉00 Char Char"/>
    <w:qFormat/>
    <w:locked/>
    <w:uiPriority w:val="99"/>
    <w:rPr>
      <w:rFonts w:ascii="宋体" w:hAnsi="宋体" w:eastAsia="宋体"/>
      <w:kern w:val="2"/>
      <w:sz w:val="18"/>
      <w:lang w:val="en-US" w:eastAsia="zh-CN"/>
    </w:rPr>
  </w:style>
  <w:style w:type="character" w:customStyle="1" w:styleId="85">
    <w:name w:val="标题 8 Char Char"/>
    <w:qFormat/>
    <w:uiPriority w:val="99"/>
    <w:rPr>
      <w:rFonts w:ascii="Arial" w:hAnsi="Arial" w:eastAsia="黑体"/>
      <w:kern w:val="2"/>
      <w:sz w:val="24"/>
      <w:lang w:val="en-US" w:eastAsia="zh-CN"/>
    </w:rPr>
  </w:style>
  <w:style w:type="character" w:customStyle="1" w:styleId="86">
    <w:name w:val="Font Style213"/>
    <w:qFormat/>
    <w:uiPriority w:val="99"/>
    <w:rPr>
      <w:rFonts w:ascii="宋体" w:eastAsia="宋体"/>
      <w:b/>
      <w:sz w:val="22"/>
    </w:rPr>
  </w:style>
  <w:style w:type="character" w:customStyle="1" w:styleId="87">
    <w:name w:val="普通(网站) Char"/>
    <w:qFormat/>
    <w:uiPriority w:val="99"/>
    <w:rPr>
      <w:rFonts w:ascii="宋体" w:hAnsi="宋体" w:eastAsia="宋体"/>
      <w:color w:val="000000"/>
      <w:sz w:val="24"/>
      <w:lang w:val="en-US" w:eastAsia="zh-CN"/>
    </w:rPr>
  </w:style>
  <w:style w:type="character" w:customStyle="1" w:styleId="88">
    <w:name w:val="正文文本 2 Char Char"/>
    <w:qFormat/>
    <w:uiPriority w:val="99"/>
    <w:rPr>
      <w:rFonts w:eastAsia="宋体"/>
      <w:kern w:val="2"/>
      <w:sz w:val="24"/>
      <w:lang w:val="en-US" w:eastAsia="zh-CN"/>
    </w:rPr>
  </w:style>
  <w:style w:type="character" w:customStyle="1" w:styleId="89">
    <w:name w:val="正文缩进 Char Char"/>
    <w:qFormat/>
    <w:uiPriority w:val="99"/>
    <w:rPr>
      <w:rFonts w:eastAsia="宋体"/>
      <w:spacing w:val="10"/>
      <w:kern w:val="2"/>
      <w:sz w:val="28"/>
      <w:lang w:val="en-US" w:eastAsia="zh-CN"/>
    </w:rPr>
  </w:style>
  <w:style w:type="character" w:customStyle="1" w:styleId="90">
    <w:name w:val="Char Char12"/>
    <w:qFormat/>
    <w:uiPriority w:val="99"/>
    <w:rPr>
      <w:b/>
      <w:kern w:val="2"/>
      <w:sz w:val="24"/>
    </w:rPr>
  </w:style>
  <w:style w:type="character" w:customStyle="1" w:styleId="91">
    <w:name w:val="Char Char7"/>
    <w:qFormat/>
    <w:uiPriority w:val="99"/>
    <w:rPr>
      <w:kern w:val="2"/>
      <w:sz w:val="24"/>
    </w:rPr>
  </w:style>
  <w:style w:type="character" w:customStyle="1" w:styleId="92">
    <w:name w:val="标题 1 Char"/>
    <w:link w:val="2"/>
    <w:qFormat/>
    <w:locked/>
    <w:uiPriority w:val="0"/>
    <w:rPr>
      <w:rFonts w:ascii="黑体" w:eastAsia="宋体"/>
      <w:kern w:val="2"/>
      <w:sz w:val="52"/>
      <w:lang w:val="en-US" w:eastAsia="zh-CN"/>
    </w:rPr>
  </w:style>
  <w:style w:type="character" w:customStyle="1" w:styleId="93">
    <w:name w:val="样式 宋体 小四"/>
    <w:qFormat/>
    <w:uiPriority w:val="99"/>
    <w:rPr>
      <w:rFonts w:ascii="宋体" w:hAnsi="宋体" w:eastAsia="宋体"/>
      <w:b/>
      <w:sz w:val="24"/>
    </w:rPr>
  </w:style>
  <w:style w:type="character" w:customStyle="1" w:styleId="94">
    <w:name w:val="Font Style120"/>
    <w:qFormat/>
    <w:uiPriority w:val="99"/>
    <w:rPr>
      <w:rFonts w:ascii="宋体" w:eastAsia="宋体"/>
      <w:sz w:val="22"/>
    </w:rPr>
  </w:style>
  <w:style w:type="character" w:customStyle="1" w:styleId="95">
    <w:name w:val="Font Style205"/>
    <w:qFormat/>
    <w:uiPriority w:val="99"/>
    <w:rPr>
      <w:rFonts w:ascii="宋体" w:eastAsia="宋体"/>
      <w:b/>
      <w:sz w:val="24"/>
    </w:rPr>
  </w:style>
  <w:style w:type="character" w:customStyle="1" w:styleId="96">
    <w:name w:val="标题 1 Char Char Char"/>
    <w:qFormat/>
    <w:uiPriority w:val="99"/>
    <w:rPr>
      <w:rFonts w:ascii="Arial" w:hAnsi="Arial" w:eastAsia="黑体"/>
      <w:snapToGrid w:val="0"/>
      <w:spacing w:val="10"/>
      <w:w w:val="90"/>
      <w:kern w:val="30"/>
      <w:sz w:val="21"/>
    </w:rPr>
  </w:style>
  <w:style w:type="character" w:customStyle="1" w:styleId="97">
    <w:name w:val="t_tag"/>
    <w:qFormat/>
    <w:uiPriority w:val="99"/>
  </w:style>
  <w:style w:type="character" w:customStyle="1" w:styleId="98">
    <w:name w:val="页脚 Char"/>
    <w:link w:val="28"/>
    <w:qFormat/>
    <w:locked/>
    <w:uiPriority w:val="99"/>
    <w:rPr>
      <w:rFonts w:eastAsia="宋体"/>
      <w:kern w:val="2"/>
      <w:sz w:val="18"/>
      <w:lang w:val="en-US" w:eastAsia="zh-CN"/>
    </w:rPr>
  </w:style>
  <w:style w:type="character" w:customStyle="1" w:styleId="99">
    <w:name w:val="Char Char2"/>
    <w:qFormat/>
    <w:uiPriority w:val="99"/>
    <w:rPr>
      <w:rFonts w:eastAsia="宋体"/>
      <w:sz w:val="18"/>
      <w:lang w:val="en-US" w:eastAsia="zh-CN"/>
    </w:rPr>
  </w:style>
  <w:style w:type="character" w:customStyle="1" w:styleId="100">
    <w:name w:val="正文首行缩进 Char Char"/>
    <w:qFormat/>
    <w:uiPriority w:val="99"/>
    <w:rPr>
      <w:rFonts w:eastAsia="宋体"/>
      <w:spacing w:val="10"/>
      <w:kern w:val="24"/>
      <w:sz w:val="24"/>
      <w:lang w:val="en-US" w:eastAsia="zh-CN"/>
    </w:rPr>
  </w:style>
  <w:style w:type="character" w:customStyle="1" w:styleId="101">
    <w:name w:val="Font Style215"/>
    <w:qFormat/>
    <w:uiPriority w:val="99"/>
    <w:rPr>
      <w:rFonts w:ascii="Palatino Linotype" w:hAnsi="Palatino Linotype"/>
      <w:b/>
      <w:i/>
      <w:sz w:val="22"/>
    </w:rPr>
  </w:style>
  <w:style w:type="character" w:customStyle="1" w:styleId="102">
    <w:name w:val="正文文本 2 Char"/>
    <w:qFormat/>
    <w:uiPriority w:val="99"/>
    <w:rPr>
      <w:kern w:val="2"/>
      <w:sz w:val="24"/>
    </w:rPr>
  </w:style>
  <w:style w:type="character" w:customStyle="1" w:styleId="103">
    <w:name w:val="news_c_da1"/>
    <w:qFormat/>
    <w:uiPriority w:val="99"/>
    <w:rPr>
      <w:b/>
      <w:color w:val="000000"/>
      <w:sz w:val="24"/>
    </w:rPr>
  </w:style>
  <w:style w:type="character" w:customStyle="1" w:styleId="104">
    <w:name w:val="正文1 Char Char Char"/>
    <w:qFormat/>
    <w:uiPriority w:val="99"/>
    <w:rPr>
      <w:rFonts w:eastAsia="宋体"/>
      <w:snapToGrid w:val="0"/>
      <w:kern w:val="21"/>
      <w:sz w:val="21"/>
      <w:lang w:val="en-US" w:eastAsia="zh-CN"/>
    </w:rPr>
  </w:style>
  <w:style w:type="character" w:customStyle="1" w:styleId="105">
    <w:name w:val="9points1"/>
    <w:qFormat/>
    <w:uiPriority w:val="99"/>
    <w:rPr>
      <w:color w:val="003366"/>
      <w:sz w:val="18"/>
      <w:u w:val="none"/>
    </w:rPr>
  </w:style>
  <w:style w:type="character" w:customStyle="1" w:styleId="106">
    <w:name w:val="样式 正文首行缩进 + 首行缩进:  1 字符2 Char Char"/>
    <w:qFormat/>
    <w:uiPriority w:val="99"/>
    <w:rPr>
      <w:rFonts w:ascii="宋体" w:eastAsia="宋体"/>
      <w:kern w:val="2"/>
      <w:sz w:val="24"/>
    </w:rPr>
  </w:style>
  <w:style w:type="character" w:customStyle="1" w:styleId="107">
    <w:name w:val="Font Style208"/>
    <w:qFormat/>
    <w:uiPriority w:val="99"/>
    <w:rPr>
      <w:rFonts w:ascii="Sylfaen" w:hAnsi="Sylfaen"/>
      <w:spacing w:val="-20"/>
      <w:sz w:val="18"/>
    </w:rPr>
  </w:style>
  <w:style w:type="character" w:customStyle="1" w:styleId="108">
    <w:name w:val="style71"/>
    <w:qFormat/>
    <w:uiPriority w:val="99"/>
    <w:rPr>
      <w:rFonts w:ascii="黑体" w:eastAsia="黑体"/>
      <w:b/>
    </w:rPr>
  </w:style>
  <w:style w:type="character" w:customStyle="1" w:styleId="109">
    <w:name w:val="Font Style191"/>
    <w:qFormat/>
    <w:uiPriority w:val="99"/>
    <w:rPr>
      <w:rFonts w:ascii="宋体" w:eastAsia="宋体"/>
      <w:sz w:val="26"/>
    </w:rPr>
  </w:style>
  <w:style w:type="character" w:customStyle="1" w:styleId="110">
    <w:name w:val="unnamed11"/>
    <w:qFormat/>
    <w:uiPriority w:val="99"/>
    <w:rPr>
      <w:rFonts w:ascii="宋体" w:hAnsi="宋体" w:eastAsia="宋体"/>
      <w:sz w:val="21"/>
    </w:rPr>
  </w:style>
  <w:style w:type="character" w:customStyle="1" w:styleId="111">
    <w:name w:val="正文1"/>
    <w:qFormat/>
    <w:uiPriority w:val="99"/>
    <w:rPr>
      <w:rFonts w:ascii="宋体" w:hAnsi="宋体" w:eastAsia="宋体"/>
      <w:color w:val="000000"/>
      <w:spacing w:val="400"/>
      <w:sz w:val="22"/>
    </w:rPr>
  </w:style>
  <w:style w:type="character" w:customStyle="1" w:styleId="112">
    <w:name w:val="正文文本 (2)_"/>
    <w:link w:val="113"/>
    <w:qFormat/>
    <w:locked/>
    <w:uiPriority w:val="99"/>
    <w:rPr>
      <w:rFonts w:ascii="MingLiUfalt" w:hAnsi="Calibri" w:eastAsia="MingLiUfalt"/>
      <w:kern w:val="0"/>
      <w:sz w:val="26"/>
    </w:rPr>
  </w:style>
  <w:style w:type="paragraph" w:customStyle="1" w:styleId="113">
    <w:name w:val="正文文本 (2)1"/>
    <w:basedOn w:val="1"/>
    <w:link w:val="112"/>
    <w:qFormat/>
    <w:uiPriority w:val="99"/>
    <w:pPr>
      <w:shd w:val="clear" w:color="auto" w:fill="FFFFFF"/>
      <w:spacing w:line="479" w:lineRule="exact"/>
      <w:jc w:val="left"/>
    </w:pPr>
    <w:rPr>
      <w:rFonts w:ascii="MingLiUfalt" w:hAnsi="Calibri" w:eastAsia="MingLiUfalt"/>
      <w:kern w:val="0"/>
      <w:sz w:val="26"/>
    </w:rPr>
  </w:style>
  <w:style w:type="character" w:customStyle="1" w:styleId="114">
    <w:name w:val="Char Char15"/>
    <w:qFormat/>
    <w:uiPriority w:val="99"/>
    <w:rPr>
      <w:rFonts w:ascii="Arial" w:hAnsi="Arial" w:eastAsia="黑体"/>
      <w:b/>
      <w:kern w:val="2"/>
      <w:sz w:val="28"/>
      <w:lang w:val="en-US" w:eastAsia="zh-CN"/>
    </w:rPr>
  </w:style>
  <w:style w:type="character" w:customStyle="1" w:styleId="115">
    <w:name w:val="normal_0020table__char"/>
    <w:qFormat/>
    <w:uiPriority w:val="99"/>
  </w:style>
  <w:style w:type="character" w:customStyle="1" w:styleId="116">
    <w:name w:val="Char Char6"/>
    <w:qFormat/>
    <w:uiPriority w:val="99"/>
    <w:rPr>
      <w:rFonts w:ascii="宋体" w:eastAsia="宋体"/>
      <w:kern w:val="2"/>
      <w:sz w:val="24"/>
    </w:rPr>
  </w:style>
  <w:style w:type="character" w:customStyle="1" w:styleId="117">
    <w:name w:val="text11"/>
    <w:qFormat/>
    <w:uiPriority w:val="99"/>
    <w:rPr>
      <w:sz w:val="21"/>
    </w:rPr>
  </w:style>
  <w:style w:type="character" w:customStyle="1" w:styleId="118">
    <w:name w:val="word3noad"/>
    <w:qFormat/>
    <w:uiPriority w:val="99"/>
  </w:style>
  <w:style w:type="character" w:customStyle="1" w:styleId="119">
    <w:name w:val="报告正文 Char Char"/>
    <w:link w:val="120"/>
    <w:qFormat/>
    <w:locked/>
    <w:uiPriority w:val="0"/>
    <w:rPr>
      <w:rFonts w:ascii="宋体" w:hAnsi="宋体" w:eastAsia="宋体"/>
      <w:color w:val="000000"/>
      <w:sz w:val="24"/>
      <w:lang w:val="en-US" w:eastAsia="zh-CN"/>
    </w:rPr>
  </w:style>
  <w:style w:type="paragraph" w:customStyle="1" w:styleId="120">
    <w:name w:val="报告正文"/>
    <w:basedOn w:val="13"/>
    <w:link w:val="119"/>
    <w:qFormat/>
    <w:uiPriority w:val="0"/>
    <w:pPr>
      <w:spacing w:after="0" w:line="600" w:lineRule="exact"/>
      <w:ind w:firstLine="200" w:firstLineChars="200"/>
      <w:jc w:val="left"/>
    </w:pPr>
    <w:rPr>
      <w:rFonts w:ascii="宋体" w:hAnsi="宋体"/>
      <w:color w:val="000000"/>
      <w:kern w:val="0"/>
    </w:rPr>
  </w:style>
  <w:style w:type="character" w:customStyle="1" w:styleId="121">
    <w:name w:val="Font Style216"/>
    <w:qFormat/>
    <w:uiPriority w:val="99"/>
    <w:rPr>
      <w:rFonts w:ascii="宋体" w:eastAsia="宋体"/>
      <w:b/>
      <w:sz w:val="22"/>
    </w:rPr>
  </w:style>
  <w:style w:type="character" w:customStyle="1" w:styleId="122">
    <w:name w:val="页脚 Char Char"/>
    <w:qFormat/>
    <w:uiPriority w:val="99"/>
    <w:rPr>
      <w:rFonts w:eastAsia="宋体"/>
      <w:kern w:val="2"/>
      <w:sz w:val="18"/>
      <w:lang w:val="en-US" w:eastAsia="zh-CN"/>
    </w:rPr>
  </w:style>
  <w:style w:type="character" w:customStyle="1" w:styleId="123">
    <w:name w:val="样式 正文缩进正文（首行缩进两字） Char表格标题正文（首行缩进两字） Char Char Char Char Char... Char"/>
    <w:qFormat/>
    <w:uiPriority w:val="99"/>
    <w:rPr>
      <w:rFonts w:ascii="宋体" w:hAnsi="宋体" w:eastAsia="宋体"/>
      <w:color w:val="000000"/>
      <w:spacing w:val="-2"/>
      <w:kern w:val="2"/>
      <w:sz w:val="28"/>
      <w:lang w:val="en-US" w:eastAsia="zh-CN"/>
    </w:rPr>
  </w:style>
  <w:style w:type="character" w:customStyle="1" w:styleId="124">
    <w:name w:val="标题1"/>
    <w:qFormat/>
    <w:uiPriority w:val="99"/>
  </w:style>
  <w:style w:type="character" w:customStyle="1" w:styleId="125">
    <w:name w:val="Font Style214"/>
    <w:qFormat/>
    <w:uiPriority w:val="99"/>
    <w:rPr>
      <w:rFonts w:ascii="宋体" w:eastAsia="宋体"/>
      <w:spacing w:val="-10"/>
      <w:w w:val="150"/>
      <w:sz w:val="14"/>
    </w:rPr>
  </w:style>
  <w:style w:type="character" w:customStyle="1" w:styleId="126">
    <w:name w:val="样式 正文首行缩进 + 首行缩进:  1 字符2 Char"/>
    <w:link w:val="127"/>
    <w:qFormat/>
    <w:locked/>
    <w:uiPriority w:val="99"/>
    <w:rPr>
      <w:rFonts w:ascii="宋体" w:eastAsia="宋体"/>
      <w:kern w:val="2"/>
      <w:sz w:val="24"/>
    </w:rPr>
  </w:style>
  <w:style w:type="paragraph" w:customStyle="1" w:styleId="127">
    <w:name w:val="样式 正文首行缩进 + 首行缩进:  1 字符2"/>
    <w:basedOn w:val="1"/>
    <w:link w:val="126"/>
    <w:qFormat/>
    <w:uiPriority w:val="99"/>
    <w:pPr>
      <w:spacing w:line="360" w:lineRule="auto"/>
      <w:ind w:firstLine="480" w:firstLineChars="200"/>
    </w:pPr>
    <w:rPr>
      <w:rFonts w:ascii="宋体"/>
      <w:sz w:val="24"/>
    </w:rPr>
  </w:style>
  <w:style w:type="character" w:customStyle="1" w:styleId="128">
    <w:name w:val="apple-converted-space"/>
    <w:qFormat/>
    <w:uiPriority w:val="99"/>
  </w:style>
  <w:style w:type="character" w:customStyle="1" w:styleId="129">
    <w:name w:val="h3 Char1"/>
    <w:qFormat/>
    <w:uiPriority w:val="99"/>
    <w:rPr>
      <w:b/>
      <w:kern w:val="2"/>
      <w:sz w:val="32"/>
    </w:rPr>
  </w:style>
  <w:style w:type="character" w:customStyle="1" w:styleId="130">
    <w:name w:val="正文首行缩进 Char Char Char"/>
    <w:qFormat/>
    <w:uiPriority w:val="99"/>
    <w:rPr>
      <w:rFonts w:eastAsia="宋体"/>
      <w:spacing w:val="10"/>
      <w:kern w:val="24"/>
      <w:sz w:val="24"/>
      <w:lang w:val="en-US" w:eastAsia="zh-CN"/>
    </w:rPr>
  </w:style>
  <w:style w:type="character" w:customStyle="1" w:styleId="131">
    <w:name w:val="环正文 Char1"/>
    <w:link w:val="132"/>
    <w:qFormat/>
    <w:locked/>
    <w:uiPriority w:val="99"/>
    <w:rPr>
      <w:rFonts w:ascii="Tahoma" w:hAnsi="Tahoma"/>
      <w:sz w:val="21"/>
    </w:rPr>
  </w:style>
  <w:style w:type="paragraph" w:customStyle="1" w:styleId="132">
    <w:name w:val="环正文"/>
    <w:basedOn w:val="1"/>
    <w:link w:val="131"/>
    <w:qFormat/>
    <w:uiPriority w:val="99"/>
    <w:pPr>
      <w:widowControl/>
      <w:suppressAutoHyphens/>
      <w:adjustRightInd w:val="0"/>
      <w:ind w:left="-59" w:leftChars="-28"/>
      <w:jc w:val="center"/>
      <w:textAlignment w:val="baseline"/>
    </w:pPr>
    <w:rPr>
      <w:rFonts w:ascii="Tahoma" w:hAnsi="Tahoma"/>
      <w:kern w:val="0"/>
    </w:rPr>
  </w:style>
  <w:style w:type="character" w:customStyle="1" w:styleId="133">
    <w:name w:val="正文缩进 Char"/>
    <w:qFormat/>
    <w:uiPriority w:val="99"/>
    <w:rPr>
      <w:rFonts w:eastAsia="宋体"/>
      <w:spacing w:val="10"/>
      <w:kern w:val="2"/>
      <w:sz w:val="28"/>
      <w:lang w:val="en-US" w:eastAsia="zh-CN"/>
    </w:rPr>
  </w:style>
  <w:style w:type="character" w:customStyle="1" w:styleId="134">
    <w:name w:val="Font Style221"/>
    <w:qFormat/>
    <w:uiPriority w:val="99"/>
    <w:rPr>
      <w:rFonts w:ascii="MingLiUfalt" w:eastAsia="MingLiUfalt"/>
      <w:spacing w:val="10"/>
      <w:sz w:val="18"/>
    </w:rPr>
  </w:style>
  <w:style w:type="character" w:customStyle="1" w:styleId="135">
    <w:name w:val="标题 3 Char"/>
    <w:qFormat/>
    <w:uiPriority w:val="99"/>
    <w:rPr>
      <w:rFonts w:ascii="黑体" w:eastAsia="黑体"/>
      <w:b/>
      <w:kern w:val="2"/>
      <w:sz w:val="24"/>
      <w:lang w:val="en-US" w:eastAsia="zh-CN"/>
    </w:rPr>
  </w:style>
  <w:style w:type="character" w:customStyle="1" w:styleId="136">
    <w:name w:val="Font Style210"/>
    <w:qFormat/>
    <w:uiPriority w:val="99"/>
    <w:rPr>
      <w:rFonts w:ascii="宋体" w:eastAsia="宋体"/>
      <w:b/>
      <w:sz w:val="24"/>
    </w:rPr>
  </w:style>
  <w:style w:type="character" w:customStyle="1" w:styleId="137">
    <w:name w:val="Char Char"/>
    <w:qFormat/>
    <w:uiPriority w:val="99"/>
    <w:rPr>
      <w:rFonts w:ascii="宋体" w:hAnsi="宋体" w:eastAsia="宋体"/>
      <w:kern w:val="2"/>
      <w:sz w:val="21"/>
      <w:lang w:val="en-US" w:eastAsia="zh-CN"/>
    </w:rPr>
  </w:style>
  <w:style w:type="character" w:customStyle="1" w:styleId="138">
    <w:name w:val="标题 7 Char Char"/>
    <w:qFormat/>
    <w:uiPriority w:val="99"/>
    <w:rPr>
      <w:rFonts w:eastAsia="宋体"/>
      <w:b/>
      <w:kern w:val="2"/>
      <w:sz w:val="24"/>
      <w:lang w:val="en-US" w:eastAsia="zh-CN"/>
    </w:rPr>
  </w:style>
  <w:style w:type="character" w:customStyle="1" w:styleId="139">
    <w:name w:val="页眉 Char Char"/>
    <w:qFormat/>
    <w:uiPriority w:val="99"/>
    <w:rPr>
      <w:rFonts w:eastAsia="宋体"/>
      <w:spacing w:val="10"/>
      <w:kern w:val="24"/>
      <w:sz w:val="18"/>
      <w:lang w:val="en-US" w:eastAsia="zh-CN"/>
    </w:rPr>
  </w:style>
  <w:style w:type="character" w:customStyle="1" w:styleId="140">
    <w:name w:val="标题 3 Char Char"/>
    <w:qFormat/>
    <w:uiPriority w:val="99"/>
    <w:rPr>
      <w:rFonts w:ascii="黑体" w:eastAsia="黑体"/>
      <w:b/>
      <w:kern w:val="2"/>
      <w:sz w:val="24"/>
      <w:lang w:val="en-US" w:eastAsia="zh-CN"/>
    </w:rPr>
  </w:style>
  <w:style w:type="character" w:customStyle="1" w:styleId="141">
    <w:name w:val="Font Style203"/>
    <w:qFormat/>
    <w:uiPriority w:val="99"/>
    <w:rPr>
      <w:rFonts w:ascii="宋体" w:eastAsia="宋体"/>
      <w:b/>
      <w:spacing w:val="-10"/>
      <w:sz w:val="28"/>
    </w:rPr>
  </w:style>
  <w:style w:type="character" w:customStyle="1" w:styleId="142">
    <w:name w:val="zw1"/>
    <w:qFormat/>
    <w:uiPriority w:val="99"/>
    <w:rPr>
      <w:rFonts w:ascii="宋体" w:hAnsi="宋体" w:eastAsia="宋体"/>
      <w:sz w:val="22"/>
    </w:rPr>
  </w:style>
  <w:style w:type="character" w:customStyle="1" w:styleId="143">
    <w:name w:val="detail1"/>
    <w:qFormat/>
    <w:uiPriority w:val="99"/>
    <w:rPr>
      <w:rFonts w:ascii="??" w:hAnsi="??"/>
      <w:sz w:val="21"/>
      <w:u w:val="none"/>
    </w:rPr>
  </w:style>
  <w:style w:type="character" w:customStyle="1" w:styleId="144">
    <w:name w:val="正文1 Char Char"/>
    <w:qFormat/>
    <w:uiPriority w:val="99"/>
    <w:rPr>
      <w:snapToGrid w:val="0"/>
      <w:kern w:val="21"/>
      <w:sz w:val="21"/>
    </w:rPr>
  </w:style>
  <w:style w:type="character" w:customStyle="1" w:styleId="145">
    <w:name w:val="标题 2 Char"/>
    <w:qFormat/>
    <w:uiPriority w:val="99"/>
    <w:rPr>
      <w:rFonts w:ascii="Arial" w:hAnsi="Arial" w:eastAsia="黑体"/>
      <w:snapToGrid w:val="0"/>
      <w:spacing w:val="10"/>
      <w:w w:val="90"/>
      <w:kern w:val="28"/>
      <w:sz w:val="28"/>
      <w:lang w:val="en-US" w:eastAsia="zh-CN"/>
    </w:rPr>
  </w:style>
  <w:style w:type="character" w:customStyle="1" w:styleId="146">
    <w:name w:val="No Spacing Char Char"/>
    <w:link w:val="147"/>
    <w:qFormat/>
    <w:locked/>
    <w:uiPriority w:val="99"/>
    <w:rPr>
      <w:rFonts w:ascii="Calibri" w:hAnsi="Calibri"/>
      <w:sz w:val="22"/>
      <w:szCs w:val="22"/>
      <w:lang w:val="en-US" w:eastAsia="zh-CN" w:bidi="ar-SA"/>
    </w:rPr>
  </w:style>
  <w:style w:type="paragraph" w:customStyle="1" w:styleId="147">
    <w:name w:val="无间隔1"/>
    <w:link w:val="146"/>
    <w:qFormat/>
    <w:uiPriority w:val="99"/>
    <w:rPr>
      <w:rFonts w:ascii="Calibri" w:hAnsi="Calibri" w:eastAsia="宋体" w:cs="Times New Roman"/>
      <w:sz w:val="22"/>
      <w:szCs w:val="22"/>
      <w:lang w:val="en-US" w:eastAsia="zh-CN" w:bidi="ar-SA"/>
    </w:rPr>
  </w:style>
  <w:style w:type="character" w:customStyle="1" w:styleId="148">
    <w:name w:val="large1"/>
    <w:qFormat/>
    <w:uiPriority w:val="99"/>
    <w:rPr>
      <w:rFonts w:ascii="宋体" w:hAnsi="宋体" w:eastAsia="宋体"/>
      <w:sz w:val="22"/>
    </w:rPr>
  </w:style>
  <w:style w:type="character" w:customStyle="1" w:styleId="149">
    <w:name w:val="Font Style194"/>
    <w:qFormat/>
    <w:uiPriority w:val="99"/>
    <w:rPr>
      <w:rFonts w:ascii="宋体" w:eastAsia="宋体"/>
      <w:b/>
      <w:sz w:val="18"/>
    </w:rPr>
  </w:style>
  <w:style w:type="character" w:customStyle="1" w:styleId="150">
    <w:name w:val="Char Char11"/>
    <w:qFormat/>
    <w:uiPriority w:val="99"/>
    <w:rPr>
      <w:rFonts w:ascii="Arial" w:hAnsi="Arial" w:eastAsia="黑体"/>
      <w:kern w:val="2"/>
      <w:sz w:val="24"/>
    </w:rPr>
  </w:style>
  <w:style w:type="character" w:customStyle="1" w:styleId="151">
    <w:name w:val="Char Char10"/>
    <w:qFormat/>
    <w:uiPriority w:val="99"/>
    <w:rPr>
      <w:rFonts w:eastAsia="宋体"/>
      <w:b/>
      <w:spacing w:val="10"/>
      <w:kern w:val="2"/>
      <w:sz w:val="32"/>
      <w:lang w:val="en-US" w:eastAsia="zh-CN"/>
    </w:rPr>
  </w:style>
  <w:style w:type="character" w:customStyle="1" w:styleId="152">
    <w:name w:val="节标题 Char1"/>
    <w:qFormat/>
    <w:uiPriority w:val="99"/>
    <w:rPr>
      <w:rFonts w:ascii="Arial" w:hAnsi="Arial" w:eastAsia="黑体"/>
      <w:b/>
      <w:kern w:val="2"/>
      <w:sz w:val="32"/>
      <w:lang w:val="en-US" w:eastAsia="zh-CN"/>
    </w:rPr>
  </w:style>
  <w:style w:type="character" w:customStyle="1" w:styleId="153">
    <w:name w:val="cont2"/>
    <w:qFormat/>
    <w:uiPriority w:val="99"/>
  </w:style>
  <w:style w:type="character" w:customStyle="1" w:styleId="154">
    <w:name w:val="样式 正文首行缩进 + 首行缩进:  1 字符2 + 首行缩进:  2 字符 Char Char"/>
    <w:link w:val="155"/>
    <w:qFormat/>
    <w:locked/>
    <w:uiPriority w:val="99"/>
    <w:rPr>
      <w:rFonts w:ascii="宋体" w:eastAsia="宋体"/>
      <w:sz w:val="24"/>
      <w:lang w:val="zh-CN"/>
    </w:rPr>
  </w:style>
  <w:style w:type="paragraph" w:customStyle="1" w:styleId="155">
    <w:name w:val="样式 正文首行缩进 + 首行缩进:  1 字符2 + 首行缩进:  2 字符"/>
    <w:basedOn w:val="1"/>
    <w:link w:val="154"/>
    <w:qFormat/>
    <w:uiPriority w:val="99"/>
    <w:pPr>
      <w:tabs>
        <w:tab w:val="left" w:pos="1575"/>
      </w:tabs>
      <w:spacing w:line="360" w:lineRule="auto"/>
      <w:ind w:firstLine="480" w:firstLineChars="200"/>
    </w:pPr>
    <w:rPr>
      <w:rFonts w:ascii="宋体"/>
      <w:kern w:val="0"/>
      <w:sz w:val="24"/>
      <w:lang w:val="zh-CN"/>
    </w:rPr>
  </w:style>
  <w:style w:type="character" w:customStyle="1" w:styleId="156">
    <w:name w:val="Char Char13"/>
    <w:qFormat/>
    <w:uiPriority w:val="99"/>
    <w:rPr>
      <w:rFonts w:ascii="宋体" w:hAnsi="宋体" w:eastAsia="黑体"/>
      <w:kern w:val="2"/>
      <w:sz w:val="24"/>
    </w:rPr>
  </w:style>
  <w:style w:type="character" w:customStyle="1" w:styleId="157">
    <w:name w:val="Char Char8"/>
    <w:qFormat/>
    <w:uiPriority w:val="99"/>
    <w:rPr>
      <w:rFonts w:eastAsia="宋体"/>
      <w:spacing w:val="10"/>
      <w:kern w:val="24"/>
      <w:sz w:val="24"/>
      <w:lang w:val="en-US" w:eastAsia="zh-CN"/>
    </w:rPr>
  </w:style>
  <w:style w:type="character" w:customStyle="1" w:styleId="158">
    <w:name w:val="页眉 Char"/>
    <w:link w:val="29"/>
    <w:qFormat/>
    <w:locked/>
    <w:uiPriority w:val="99"/>
    <w:rPr>
      <w:rFonts w:eastAsia="宋体"/>
      <w:kern w:val="2"/>
      <w:sz w:val="18"/>
      <w:lang w:val="en-US" w:eastAsia="zh-CN"/>
    </w:rPr>
  </w:style>
  <w:style w:type="character" w:customStyle="1" w:styleId="159">
    <w:name w:val="不明显强调1"/>
    <w:qFormat/>
    <w:uiPriority w:val="99"/>
    <w:rPr>
      <w:i/>
      <w:color w:val="808080"/>
    </w:rPr>
  </w:style>
  <w:style w:type="character" w:customStyle="1" w:styleId="160">
    <w:name w:val="正文1 Char"/>
    <w:qFormat/>
    <w:uiPriority w:val="99"/>
    <w:rPr>
      <w:rFonts w:eastAsia="宋体"/>
      <w:snapToGrid w:val="0"/>
      <w:kern w:val="21"/>
      <w:sz w:val="21"/>
      <w:lang w:val="en-US" w:eastAsia="zh-CN"/>
    </w:rPr>
  </w:style>
  <w:style w:type="character" w:customStyle="1" w:styleId="161">
    <w:name w:val="style11"/>
    <w:qFormat/>
    <w:uiPriority w:val="99"/>
    <w:rPr>
      <w:rFonts w:ascii="Arial" w:hAnsi="Arial"/>
      <w:sz w:val="21"/>
    </w:rPr>
  </w:style>
  <w:style w:type="character" w:customStyle="1" w:styleId="162">
    <w:name w:val="标题 2 Char1"/>
    <w:link w:val="3"/>
    <w:qFormat/>
    <w:locked/>
    <w:uiPriority w:val="99"/>
    <w:rPr>
      <w:rFonts w:ascii="Arial" w:hAnsi="Arial" w:eastAsia="黑体"/>
      <w:b/>
      <w:kern w:val="2"/>
      <w:sz w:val="32"/>
      <w:lang w:val="en-US" w:eastAsia="zh-CN"/>
    </w:rPr>
  </w:style>
  <w:style w:type="character" w:customStyle="1" w:styleId="163">
    <w:name w:val="标题 3 Char3"/>
    <w:qFormat/>
    <w:uiPriority w:val="99"/>
    <w:rPr>
      <w:rFonts w:eastAsia="宋体"/>
      <w:b/>
      <w:kern w:val="2"/>
      <w:sz w:val="32"/>
      <w:lang w:val="en-US" w:eastAsia="zh-CN"/>
    </w:rPr>
  </w:style>
  <w:style w:type="character" w:customStyle="1" w:styleId="164">
    <w:name w:val="无间隔 Char"/>
    <w:link w:val="165"/>
    <w:qFormat/>
    <w:locked/>
    <w:uiPriority w:val="99"/>
    <w:rPr>
      <w:rFonts w:ascii="Calibri" w:hAnsi="Calibri"/>
      <w:sz w:val="22"/>
      <w:szCs w:val="22"/>
      <w:lang w:val="en-US" w:eastAsia="zh-CN" w:bidi="ar-SA"/>
    </w:rPr>
  </w:style>
  <w:style w:type="paragraph" w:customStyle="1" w:styleId="165">
    <w:name w:val="无间隔2"/>
    <w:link w:val="164"/>
    <w:qFormat/>
    <w:uiPriority w:val="99"/>
    <w:rPr>
      <w:rFonts w:ascii="Calibri" w:hAnsi="Calibri" w:eastAsia="宋体" w:cs="Times New Roman"/>
      <w:sz w:val="22"/>
      <w:szCs w:val="22"/>
      <w:lang w:val="en-US" w:eastAsia="zh-CN" w:bidi="ar-SA"/>
    </w:rPr>
  </w:style>
  <w:style w:type="character" w:customStyle="1" w:styleId="166">
    <w:name w:val="h2 Char"/>
    <w:qFormat/>
    <w:uiPriority w:val="99"/>
    <w:rPr>
      <w:rFonts w:ascii="Arial" w:hAnsi="Arial" w:eastAsia="黑体"/>
      <w:b/>
      <w:kern w:val="2"/>
      <w:sz w:val="32"/>
      <w:lang w:val="en-US" w:eastAsia="zh-CN"/>
    </w:rPr>
  </w:style>
  <w:style w:type="character" w:customStyle="1" w:styleId="167">
    <w:name w:val="style81"/>
    <w:qFormat/>
    <w:uiPriority w:val="99"/>
    <w:rPr>
      <w:sz w:val="24"/>
    </w:rPr>
  </w:style>
  <w:style w:type="character" w:customStyle="1" w:styleId="168">
    <w:name w:val="ed11"/>
    <w:qFormat/>
    <w:uiPriority w:val="99"/>
    <w:rPr>
      <w:b/>
      <w:color w:val="05006C"/>
      <w:sz w:val="33"/>
    </w:rPr>
  </w:style>
  <w:style w:type="character" w:customStyle="1" w:styleId="169">
    <w:name w:val="s c c"/>
    <w:qFormat/>
    <w:uiPriority w:val="99"/>
  </w:style>
  <w:style w:type="character" w:customStyle="1" w:styleId="170">
    <w:name w:val="正文（首行缩进2字） Char"/>
    <w:qFormat/>
    <w:uiPriority w:val="99"/>
    <w:rPr>
      <w:rFonts w:eastAsia="宋体"/>
      <w:kern w:val="2"/>
      <w:sz w:val="30"/>
      <w:lang w:val="en-US" w:eastAsia="zh-CN"/>
    </w:rPr>
  </w:style>
  <w:style w:type="paragraph" w:customStyle="1" w:styleId="171">
    <w:name w:val="Char Char Char Char Char Char Char"/>
    <w:basedOn w:val="1"/>
    <w:qFormat/>
    <w:uiPriority w:val="99"/>
    <w:pPr>
      <w:spacing w:line="360" w:lineRule="auto"/>
    </w:pPr>
    <w:rPr>
      <w:sz w:val="24"/>
      <w:szCs w:val="24"/>
    </w:rPr>
  </w:style>
  <w:style w:type="paragraph" w:customStyle="1" w:styleId="172">
    <w:name w:val="列出段落1"/>
    <w:basedOn w:val="1"/>
    <w:qFormat/>
    <w:uiPriority w:val="0"/>
    <w:pPr>
      <w:ind w:firstLine="420" w:firstLineChars="200"/>
    </w:pPr>
    <w:rPr>
      <w:szCs w:val="24"/>
    </w:rPr>
  </w:style>
  <w:style w:type="paragraph" w:customStyle="1" w:styleId="173">
    <w:name w:val="xl125"/>
    <w:basedOn w:val="1"/>
    <w:qFormat/>
    <w:uiPriority w:val="99"/>
    <w:pPr>
      <w:widowControl/>
      <w:pBdr>
        <w:top w:val="single" w:color="auto" w:sz="4" w:space="0"/>
        <w:bottom w:val="single" w:color="auto" w:sz="4" w:space="0"/>
      </w:pBdr>
      <w:spacing w:before="100" w:beforeAutospacing="1" w:after="100" w:afterAutospacing="1"/>
      <w:jc w:val="left"/>
    </w:pPr>
    <w:rPr>
      <w:rFonts w:ascii="Arial Unicode MS" w:hAnsi="Arial Unicode MS" w:cs="Arial Unicode MS"/>
      <w:kern w:val="0"/>
      <w:sz w:val="24"/>
      <w:szCs w:val="24"/>
    </w:rPr>
  </w:style>
  <w:style w:type="paragraph" w:customStyle="1" w:styleId="174">
    <w:name w:val="样式2"/>
    <w:basedOn w:val="1"/>
    <w:qFormat/>
    <w:uiPriority w:val="99"/>
    <w:pPr>
      <w:tabs>
        <w:tab w:val="left" w:pos="360"/>
      </w:tabs>
      <w:adjustRightInd w:val="0"/>
      <w:snapToGrid w:val="0"/>
      <w:spacing w:beforeLines="50" w:line="300" w:lineRule="auto"/>
    </w:pPr>
    <w:rPr>
      <w:spacing w:val="20"/>
      <w:kern w:val="0"/>
      <w:sz w:val="24"/>
    </w:rPr>
  </w:style>
  <w:style w:type="paragraph" w:customStyle="1" w:styleId="175">
    <w:name w:val="标准表格"/>
    <w:basedOn w:val="1"/>
    <w:qFormat/>
    <w:uiPriority w:val="99"/>
    <w:pPr>
      <w:tabs>
        <w:tab w:val="left" w:pos="0"/>
      </w:tabs>
      <w:adjustRightInd w:val="0"/>
      <w:spacing w:line="360" w:lineRule="exact"/>
      <w:jc w:val="center"/>
      <w:textAlignment w:val="center"/>
    </w:pPr>
    <w:rPr>
      <w:rFonts w:ascii="宋体" w:hAnsi="宋体"/>
      <w:kern w:val="0"/>
    </w:rPr>
  </w:style>
  <w:style w:type="paragraph" w:customStyle="1" w:styleId="176">
    <w:name w:val="xl86"/>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pPr>
    <w:rPr>
      <w:kern w:val="0"/>
      <w:sz w:val="24"/>
      <w:szCs w:val="24"/>
    </w:rPr>
  </w:style>
  <w:style w:type="paragraph" w:customStyle="1" w:styleId="177">
    <w:name w:val="char"/>
    <w:basedOn w:val="1"/>
    <w:qFormat/>
    <w:uiPriority w:val="99"/>
    <w:pPr>
      <w:widowControl/>
      <w:spacing w:after="160" w:line="240" w:lineRule="exact"/>
      <w:jc w:val="left"/>
    </w:pPr>
    <w:rPr>
      <w:szCs w:val="24"/>
    </w:rPr>
  </w:style>
  <w:style w:type="paragraph" w:customStyle="1" w:styleId="178">
    <w:name w:val="xl87"/>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kern w:val="0"/>
      <w:sz w:val="24"/>
      <w:szCs w:val="24"/>
    </w:rPr>
  </w:style>
  <w:style w:type="paragraph" w:customStyle="1" w:styleId="179">
    <w:name w:val="Char1"/>
    <w:basedOn w:val="1"/>
    <w:qFormat/>
    <w:uiPriority w:val="99"/>
  </w:style>
  <w:style w:type="paragraph" w:customStyle="1" w:styleId="180">
    <w:name w:val="font20"/>
    <w:basedOn w:val="1"/>
    <w:qFormat/>
    <w:uiPriority w:val="99"/>
    <w:pPr>
      <w:widowControl/>
      <w:spacing w:before="100" w:beforeAutospacing="1" w:after="100" w:afterAutospacing="1"/>
      <w:jc w:val="left"/>
    </w:pPr>
    <w:rPr>
      <w:kern w:val="0"/>
      <w:sz w:val="20"/>
    </w:rPr>
  </w:style>
  <w:style w:type="paragraph" w:customStyle="1" w:styleId="181">
    <w:name w:val="正文(首行缩进)"/>
    <w:basedOn w:val="1"/>
    <w:qFormat/>
    <w:uiPriority w:val="99"/>
    <w:pPr>
      <w:tabs>
        <w:tab w:val="left" w:pos="4584"/>
      </w:tabs>
      <w:adjustRightInd w:val="0"/>
      <w:spacing w:beforeLines="50" w:line="560" w:lineRule="exact"/>
      <w:ind w:firstLine="600" w:firstLineChars="200"/>
    </w:pPr>
    <w:rPr>
      <w:rFonts w:ascii="宋体" w:hAnsi="宋体"/>
      <w:spacing w:val="10"/>
      <w:kern w:val="0"/>
      <w:sz w:val="28"/>
    </w:rPr>
  </w:style>
  <w:style w:type="paragraph" w:customStyle="1" w:styleId="182">
    <w:name w:val="xl2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color w:val="0000FF"/>
      <w:kern w:val="0"/>
      <w:sz w:val="16"/>
      <w:szCs w:val="16"/>
    </w:rPr>
  </w:style>
  <w:style w:type="paragraph" w:customStyle="1" w:styleId="183">
    <w:name w:val="Style47"/>
    <w:basedOn w:val="1"/>
    <w:qFormat/>
    <w:uiPriority w:val="99"/>
    <w:pPr>
      <w:adjustRightInd w:val="0"/>
      <w:jc w:val="left"/>
    </w:pPr>
    <w:rPr>
      <w:rFonts w:ascii="宋体"/>
      <w:kern w:val="0"/>
      <w:sz w:val="24"/>
      <w:szCs w:val="24"/>
    </w:rPr>
  </w:style>
  <w:style w:type="paragraph" w:customStyle="1" w:styleId="184">
    <w:name w:val="xl3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olor w:val="000000"/>
      <w:kern w:val="0"/>
      <w:sz w:val="16"/>
      <w:szCs w:val="16"/>
    </w:rPr>
  </w:style>
  <w:style w:type="paragraph" w:customStyle="1" w:styleId="185">
    <w:name w:val="xl78"/>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rFonts w:ascii="Arial Unicode MS" w:hAnsi="Arial Unicode MS" w:cs="Arial Unicode MS"/>
      <w:kern w:val="0"/>
      <w:sz w:val="24"/>
      <w:szCs w:val="24"/>
    </w:rPr>
  </w:style>
  <w:style w:type="paragraph" w:customStyle="1" w:styleId="186">
    <w:name w:val="font19"/>
    <w:basedOn w:val="1"/>
    <w:qFormat/>
    <w:uiPriority w:val="99"/>
    <w:pPr>
      <w:widowControl/>
      <w:spacing w:before="100" w:beforeAutospacing="1" w:after="100" w:afterAutospacing="1"/>
      <w:jc w:val="left"/>
    </w:pPr>
    <w:rPr>
      <w:rFonts w:ascii="宋体" w:hAnsi="宋体" w:cs="Arial Unicode MS"/>
      <w:kern w:val="0"/>
      <w:sz w:val="20"/>
    </w:rPr>
  </w:style>
  <w:style w:type="paragraph" w:customStyle="1" w:styleId="187">
    <w:name w:val="Char Char Char Char Char Char Char Char Char Char Char1 Char Char Char Char Char Char Char"/>
    <w:basedOn w:val="1"/>
    <w:qFormat/>
    <w:uiPriority w:val="99"/>
    <w:rPr>
      <w:szCs w:val="24"/>
    </w:rPr>
  </w:style>
  <w:style w:type="paragraph" w:customStyle="1" w:styleId="188">
    <w:name w:val="xl3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olor w:val="000000"/>
      <w:kern w:val="0"/>
      <w:sz w:val="20"/>
    </w:rPr>
  </w:style>
  <w:style w:type="paragraph" w:customStyle="1" w:styleId="189">
    <w:name w:val="xl105"/>
    <w:basedOn w:val="1"/>
    <w:qFormat/>
    <w:uiPriority w:val="99"/>
    <w:pPr>
      <w:widowControl/>
      <w:pBdr>
        <w:top w:val="single" w:color="auto" w:sz="4" w:space="0"/>
        <w:bottom w:val="single" w:color="auto" w:sz="4" w:space="0"/>
      </w:pBdr>
      <w:spacing w:before="100" w:beforeAutospacing="1" w:after="100" w:afterAutospacing="1"/>
      <w:jc w:val="center"/>
    </w:pPr>
    <w:rPr>
      <w:rFonts w:ascii="Arial Unicode MS" w:hAnsi="Arial Unicode MS" w:cs="Arial Unicode MS"/>
      <w:color w:val="FF0000"/>
      <w:kern w:val="0"/>
      <w:sz w:val="24"/>
      <w:szCs w:val="24"/>
    </w:rPr>
  </w:style>
  <w:style w:type="paragraph" w:customStyle="1" w:styleId="190">
    <w:name w:val="p0"/>
    <w:basedOn w:val="1"/>
    <w:qFormat/>
    <w:uiPriority w:val="99"/>
    <w:pPr>
      <w:widowControl/>
    </w:pPr>
    <w:rPr>
      <w:rFonts w:ascii="Calibri" w:hAnsi="Calibri" w:cs="宋体"/>
      <w:kern w:val="0"/>
      <w:szCs w:val="21"/>
    </w:rPr>
  </w:style>
  <w:style w:type="paragraph" w:customStyle="1" w:styleId="191">
    <w:name w:val="xl97"/>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rFonts w:ascii="Arial Unicode MS" w:hAnsi="Arial Unicode MS" w:cs="Arial Unicode MS"/>
      <w:color w:val="008000"/>
      <w:kern w:val="0"/>
      <w:sz w:val="24"/>
      <w:szCs w:val="24"/>
    </w:rPr>
  </w:style>
  <w:style w:type="paragraph" w:customStyle="1" w:styleId="192">
    <w:name w:val="xl124"/>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pPr>
    <w:rPr>
      <w:kern w:val="0"/>
      <w:sz w:val="24"/>
      <w:szCs w:val="24"/>
    </w:rPr>
  </w:style>
  <w:style w:type="paragraph" w:customStyle="1" w:styleId="193">
    <w:name w:val="表格"/>
    <w:basedOn w:val="1"/>
    <w:link w:val="418"/>
    <w:qFormat/>
    <w:uiPriority w:val="99"/>
    <w:pPr>
      <w:widowControl/>
      <w:snapToGrid w:val="0"/>
      <w:jc w:val="center"/>
    </w:pPr>
    <w:rPr>
      <w:kern w:val="0"/>
      <w:sz w:val="24"/>
    </w:rPr>
  </w:style>
  <w:style w:type="paragraph" w:customStyle="1" w:styleId="194">
    <w:name w:val="表格03"/>
    <w:basedOn w:val="1"/>
    <w:qFormat/>
    <w:uiPriority w:val="99"/>
    <w:pPr>
      <w:adjustRightInd w:val="0"/>
      <w:spacing w:line="400" w:lineRule="exact"/>
      <w:jc w:val="center"/>
      <w:textAlignment w:val="baseline"/>
    </w:pPr>
  </w:style>
  <w:style w:type="paragraph" w:customStyle="1" w:styleId="195">
    <w:name w:val="xl3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color w:val="0000FF"/>
      <w:kern w:val="0"/>
      <w:sz w:val="16"/>
      <w:szCs w:val="16"/>
    </w:rPr>
  </w:style>
  <w:style w:type="paragraph" w:customStyle="1" w:styleId="196">
    <w:name w:val="xl71"/>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pPr>
    <w:rPr>
      <w:kern w:val="0"/>
      <w:sz w:val="24"/>
      <w:szCs w:val="24"/>
    </w:rPr>
  </w:style>
  <w:style w:type="paragraph" w:customStyle="1" w:styleId="197">
    <w:name w:val="font9"/>
    <w:basedOn w:val="1"/>
    <w:qFormat/>
    <w:uiPriority w:val="99"/>
    <w:pPr>
      <w:widowControl/>
      <w:spacing w:before="100" w:beforeAutospacing="1" w:after="100" w:afterAutospacing="1"/>
      <w:jc w:val="left"/>
    </w:pPr>
    <w:rPr>
      <w:rFonts w:ascii="Arial" w:hAnsi="Arial" w:cs="Arial"/>
      <w:kern w:val="0"/>
      <w:sz w:val="12"/>
      <w:szCs w:val="12"/>
    </w:rPr>
  </w:style>
  <w:style w:type="paragraph" w:customStyle="1" w:styleId="198">
    <w:name w:val="xl61"/>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pPr>
    <w:rPr>
      <w:kern w:val="0"/>
      <w:sz w:val="24"/>
      <w:szCs w:val="24"/>
    </w:rPr>
  </w:style>
  <w:style w:type="paragraph" w:customStyle="1" w:styleId="199">
    <w:name w:val="段"/>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00">
    <w:name w:val="纯文本1"/>
    <w:basedOn w:val="1"/>
    <w:qFormat/>
    <w:uiPriority w:val="99"/>
    <w:pPr>
      <w:adjustRightInd w:val="0"/>
      <w:textAlignment w:val="baseline"/>
    </w:pPr>
    <w:rPr>
      <w:rFonts w:ascii="宋体" w:hAnsi="Courier New"/>
      <w:color w:val="000000"/>
      <w:kern w:val="0"/>
    </w:rPr>
  </w:style>
  <w:style w:type="paragraph" w:customStyle="1" w:styleId="201">
    <w:name w:val="xl70"/>
    <w:basedOn w:val="1"/>
    <w:qFormat/>
    <w:uiPriority w:val="99"/>
    <w:pPr>
      <w:widowControl/>
      <w:spacing w:before="100" w:after="100"/>
      <w:jc w:val="center"/>
    </w:pPr>
    <w:rPr>
      <w:kern w:val="0"/>
      <w:sz w:val="24"/>
    </w:rPr>
  </w:style>
  <w:style w:type="paragraph" w:customStyle="1" w:styleId="202">
    <w:name w:val="xl63"/>
    <w:basedOn w:val="1"/>
    <w:qFormat/>
    <w:uiPriority w:val="99"/>
    <w:pPr>
      <w:widowControl/>
      <w:pBdr>
        <w:top w:val="single" w:color="auto" w:sz="4" w:space="0"/>
        <w:left w:val="single" w:color="auto" w:sz="4" w:space="0"/>
      </w:pBdr>
      <w:spacing w:before="100" w:beforeAutospacing="1" w:after="100" w:afterAutospacing="1"/>
      <w:jc w:val="center"/>
    </w:pPr>
    <w:rPr>
      <w:color w:val="FF0000"/>
      <w:kern w:val="0"/>
      <w:sz w:val="24"/>
      <w:szCs w:val="24"/>
    </w:rPr>
  </w:style>
  <w:style w:type="paragraph" w:customStyle="1" w:styleId="203">
    <w:name w:val="样式1"/>
    <w:basedOn w:val="1"/>
    <w:qFormat/>
    <w:uiPriority w:val="99"/>
    <w:rPr>
      <w:sz w:val="24"/>
    </w:rPr>
  </w:style>
  <w:style w:type="paragraph" w:customStyle="1" w:styleId="204">
    <w:name w:val="Char2"/>
    <w:basedOn w:val="1"/>
    <w:qFormat/>
    <w:uiPriority w:val="99"/>
    <w:pPr>
      <w:ind w:left="510"/>
    </w:pPr>
    <w:rPr>
      <w:szCs w:val="24"/>
    </w:rPr>
  </w:style>
  <w:style w:type="paragraph" w:customStyle="1" w:styleId="205">
    <w:name w:val="xl93"/>
    <w:basedOn w:val="1"/>
    <w:qFormat/>
    <w:uiPriority w:val="99"/>
    <w:pPr>
      <w:widowControl/>
      <w:pBdr>
        <w:top w:val="single" w:color="auto" w:sz="4" w:space="0"/>
        <w:left w:val="single" w:color="auto" w:sz="12" w:space="0"/>
        <w:bottom w:val="single" w:color="auto" w:sz="4" w:space="0"/>
      </w:pBdr>
      <w:spacing w:before="100" w:beforeAutospacing="1" w:after="100" w:afterAutospacing="1"/>
      <w:jc w:val="left"/>
    </w:pPr>
    <w:rPr>
      <w:rFonts w:ascii="Arial Unicode MS" w:hAnsi="Arial Unicode MS" w:cs="Arial Unicode MS"/>
      <w:kern w:val="0"/>
      <w:sz w:val="24"/>
      <w:szCs w:val="24"/>
    </w:rPr>
  </w:style>
  <w:style w:type="paragraph" w:customStyle="1" w:styleId="206">
    <w:name w:val="样式4"/>
    <w:basedOn w:val="203"/>
    <w:qFormat/>
    <w:uiPriority w:val="99"/>
  </w:style>
  <w:style w:type="paragraph" w:customStyle="1" w:styleId="207">
    <w:name w:val="xl128"/>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pPr>
    <w:rPr>
      <w:color w:val="008000"/>
      <w:kern w:val="0"/>
      <w:sz w:val="24"/>
      <w:szCs w:val="24"/>
    </w:rPr>
  </w:style>
  <w:style w:type="paragraph" w:customStyle="1" w:styleId="208">
    <w:name w:val="xl6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cs="Arial Unicode MS"/>
      <w:kern w:val="0"/>
      <w:sz w:val="24"/>
      <w:szCs w:val="24"/>
    </w:rPr>
  </w:style>
  <w:style w:type="paragraph" w:customStyle="1" w:styleId="209">
    <w:name w:val="reader-word-layer reader-word-s3-12"/>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210">
    <w:name w:val="xl83"/>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cs="Arial Unicode MS"/>
      <w:kern w:val="0"/>
      <w:sz w:val="20"/>
    </w:rPr>
  </w:style>
  <w:style w:type="paragraph" w:customStyle="1" w:styleId="211">
    <w:name w:val="封面标准文稿编辑信息"/>
    <w:qFormat/>
    <w:uiPriority w:val="99"/>
    <w:pPr>
      <w:spacing w:before="180" w:line="180" w:lineRule="exact"/>
      <w:jc w:val="center"/>
    </w:pPr>
    <w:rPr>
      <w:rFonts w:ascii="宋体" w:hAnsi="Times New Roman" w:eastAsia="宋体" w:cs="Times New Roman"/>
      <w:sz w:val="21"/>
      <w:lang w:val="en-US" w:eastAsia="zh-CN" w:bidi="ar-SA"/>
    </w:rPr>
  </w:style>
  <w:style w:type="paragraph" w:customStyle="1" w:styleId="212">
    <w:name w:val="标题5"/>
    <w:basedOn w:val="9"/>
    <w:qFormat/>
    <w:uiPriority w:val="99"/>
    <w:pPr>
      <w:tabs>
        <w:tab w:val="left" w:pos="1260"/>
      </w:tabs>
      <w:adjustRightInd/>
      <w:spacing w:line="240" w:lineRule="auto"/>
      <w:ind w:left="1260" w:hanging="420"/>
      <w:jc w:val="both"/>
      <w:textAlignment w:val="auto"/>
    </w:pPr>
    <w:rPr>
      <w:b/>
      <w:spacing w:val="10"/>
      <w:kern w:val="2"/>
      <w:sz w:val="28"/>
    </w:rPr>
  </w:style>
  <w:style w:type="paragraph" w:customStyle="1" w:styleId="213">
    <w:name w:val="xl75"/>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pPr>
    <w:rPr>
      <w:kern w:val="0"/>
      <w:sz w:val="24"/>
      <w:szCs w:val="24"/>
    </w:rPr>
  </w:style>
  <w:style w:type="paragraph" w:customStyle="1" w:styleId="214">
    <w:name w:val="批注框文本 Char Char"/>
    <w:basedOn w:val="1"/>
    <w:qFormat/>
    <w:uiPriority w:val="99"/>
    <w:pPr>
      <w:adjustRightInd w:val="0"/>
      <w:spacing w:line="360" w:lineRule="atLeast"/>
      <w:jc w:val="left"/>
      <w:textAlignment w:val="baseline"/>
    </w:pPr>
    <w:rPr>
      <w:kern w:val="0"/>
      <w:sz w:val="18"/>
    </w:rPr>
  </w:style>
  <w:style w:type="paragraph" w:customStyle="1" w:styleId="215">
    <w:name w:val="a1"/>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216">
    <w:name w:val="xl101"/>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cs="Arial Unicode MS"/>
      <w:color w:val="008000"/>
      <w:kern w:val="0"/>
      <w:sz w:val="24"/>
      <w:szCs w:val="24"/>
    </w:rPr>
  </w:style>
  <w:style w:type="paragraph" w:customStyle="1" w:styleId="217">
    <w:name w:val="xl76"/>
    <w:basedOn w:val="1"/>
    <w:qFormat/>
    <w:uiPriority w:val="99"/>
    <w:pPr>
      <w:widowControl/>
      <w:pBdr>
        <w:left w:val="single" w:color="auto" w:sz="12" w:space="0"/>
        <w:bottom w:val="single" w:color="auto" w:sz="4" w:space="0"/>
        <w:right w:val="single" w:color="auto" w:sz="4" w:space="0"/>
      </w:pBdr>
      <w:spacing w:before="100" w:beforeAutospacing="1" w:after="100" w:afterAutospacing="1"/>
      <w:jc w:val="center"/>
    </w:pPr>
    <w:rPr>
      <w:color w:val="008000"/>
      <w:kern w:val="0"/>
      <w:sz w:val="24"/>
      <w:szCs w:val="24"/>
    </w:rPr>
  </w:style>
  <w:style w:type="paragraph" w:customStyle="1" w:styleId="218">
    <w:name w:val="环评正文"/>
    <w:basedOn w:val="2"/>
    <w:qFormat/>
    <w:uiPriority w:val="99"/>
    <w:pPr>
      <w:keepNext w:val="0"/>
      <w:spacing w:beforeLines="100" w:afterLines="50" w:line="400" w:lineRule="exact"/>
      <w:ind w:firstLine="480"/>
      <w:outlineLvl w:val="9"/>
    </w:pPr>
    <w:rPr>
      <w:rFonts w:ascii="Times New Roman"/>
      <w:kern w:val="44"/>
      <w:sz w:val="24"/>
    </w:rPr>
  </w:style>
  <w:style w:type="paragraph" w:customStyle="1" w:styleId="219">
    <w:name w:val="xl113"/>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cs="Arial Unicode MS"/>
      <w:color w:val="000000"/>
      <w:kern w:val="0"/>
      <w:sz w:val="24"/>
      <w:szCs w:val="24"/>
    </w:rPr>
  </w:style>
  <w:style w:type="paragraph" w:customStyle="1" w:styleId="220">
    <w:name w:val="xl108"/>
    <w:basedOn w:val="1"/>
    <w:qFormat/>
    <w:uiPriority w:val="99"/>
    <w:pPr>
      <w:widowControl/>
      <w:pBdr>
        <w:top w:val="single" w:color="auto" w:sz="4" w:space="0"/>
        <w:bottom w:val="single" w:color="auto" w:sz="4" w:space="0"/>
      </w:pBdr>
      <w:spacing w:before="100" w:beforeAutospacing="1" w:after="100" w:afterAutospacing="1"/>
      <w:jc w:val="left"/>
    </w:pPr>
    <w:rPr>
      <w:color w:val="FF0000"/>
      <w:kern w:val="0"/>
      <w:sz w:val="24"/>
      <w:szCs w:val="24"/>
    </w:rPr>
  </w:style>
  <w:style w:type="paragraph" w:customStyle="1" w:styleId="221">
    <w:name w:val="默认段落字体 Para Char Char Char Char"/>
    <w:basedOn w:val="1"/>
    <w:qFormat/>
    <w:uiPriority w:val="99"/>
    <w:rPr>
      <w:szCs w:val="24"/>
    </w:rPr>
  </w:style>
  <w:style w:type="paragraph" w:customStyle="1" w:styleId="222">
    <w:name w:val="Char Char Char Char"/>
    <w:basedOn w:val="1"/>
    <w:qFormat/>
    <w:uiPriority w:val="99"/>
  </w:style>
  <w:style w:type="paragraph" w:customStyle="1" w:styleId="223">
    <w:name w:val="font6"/>
    <w:basedOn w:val="1"/>
    <w:qFormat/>
    <w:uiPriority w:val="99"/>
    <w:pPr>
      <w:widowControl/>
      <w:spacing w:before="100" w:beforeAutospacing="1" w:after="100" w:afterAutospacing="1"/>
      <w:jc w:val="left"/>
    </w:pPr>
    <w:rPr>
      <w:rFonts w:ascii="宋体" w:hAnsi="宋体"/>
      <w:kern w:val="0"/>
      <w:sz w:val="16"/>
      <w:szCs w:val="16"/>
    </w:rPr>
  </w:style>
  <w:style w:type="paragraph" w:customStyle="1" w:styleId="224">
    <w:name w:val="xl77"/>
    <w:basedOn w:val="1"/>
    <w:qFormat/>
    <w:uiPriority w:val="99"/>
    <w:pPr>
      <w:widowControl/>
      <w:pBdr>
        <w:left w:val="single" w:color="auto" w:sz="12" w:space="0"/>
        <w:bottom w:val="single" w:color="auto" w:sz="4" w:space="0"/>
        <w:right w:val="single" w:color="auto" w:sz="4" w:space="0"/>
      </w:pBdr>
      <w:spacing w:before="100" w:beforeAutospacing="1" w:after="100" w:afterAutospacing="1"/>
      <w:jc w:val="center"/>
    </w:pPr>
    <w:rPr>
      <w:rFonts w:ascii="Arial Unicode MS" w:hAnsi="Arial Unicode MS" w:cs="Arial Unicode MS"/>
      <w:kern w:val="0"/>
      <w:sz w:val="24"/>
      <w:szCs w:val="24"/>
    </w:rPr>
  </w:style>
  <w:style w:type="paragraph" w:customStyle="1" w:styleId="225">
    <w:name w:val="表"/>
    <w:basedOn w:val="1"/>
    <w:qFormat/>
    <w:uiPriority w:val="99"/>
    <w:pPr>
      <w:ind w:right="-48" w:rightChars="-48"/>
    </w:pPr>
    <w:rPr>
      <w:kern w:val="0"/>
    </w:rPr>
  </w:style>
  <w:style w:type="paragraph" w:customStyle="1" w:styleId="226">
    <w:name w:val="Char Char Char Char Char Char Char1"/>
    <w:basedOn w:val="1"/>
    <w:qFormat/>
    <w:uiPriority w:val="99"/>
    <w:rPr>
      <w:szCs w:val="24"/>
    </w:rPr>
  </w:style>
  <w:style w:type="paragraph" w:customStyle="1" w:styleId="227">
    <w:name w:val="xl114"/>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cs="Arial Unicode MS"/>
      <w:kern w:val="0"/>
      <w:sz w:val="24"/>
      <w:szCs w:val="24"/>
    </w:rPr>
  </w:style>
  <w:style w:type="paragraph" w:customStyle="1" w:styleId="228">
    <w:name w:val="xl119"/>
    <w:basedOn w:val="1"/>
    <w:qFormat/>
    <w:uiPriority w:val="99"/>
    <w:pPr>
      <w:widowControl/>
      <w:pBdr>
        <w:top w:val="single" w:color="auto" w:sz="4" w:space="0"/>
        <w:bottom w:val="single" w:color="auto" w:sz="4" w:space="0"/>
      </w:pBdr>
      <w:spacing w:before="100" w:beforeAutospacing="1" w:after="100" w:afterAutospacing="1"/>
      <w:jc w:val="center"/>
    </w:pPr>
    <w:rPr>
      <w:rFonts w:ascii="Arial Unicode MS" w:hAnsi="Arial Unicode MS" w:cs="Arial Unicode MS"/>
      <w:kern w:val="0"/>
      <w:sz w:val="24"/>
      <w:szCs w:val="24"/>
    </w:rPr>
  </w:style>
  <w:style w:type="paragraph" w:customStyle="1" w:styleId="229">
    <w:name w:val="样式1 + 加粗"/>
    <w:basedOn w:val="203"/>
    <w:qFormat/>
    <w:uiPriority w:val="99"/>
    <w:pPr>
      <w:spacing w:line="336" w:lineRule="auto"/>
    </w:pPr>
    <w:rPr>
      <w:rFonts w:eastAsia="黑体"/>
      <w:bCs/>
      <w:szCs w:val="24"/>
    </w:rPr>
  </w:style>
  <w:style w:type="paragraph" w:customStyle="1" w:styleId="230">
    <w:name w:val="xl69"/>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cs="Arial Unicode MS"/>
      <w:kern w:val="0"/>
      <w:sz w:val="20"/>
    </w:rPr>
  </w:style>
  <w:style w:type="paragraph" w:customStyle="1" w:styleId="231">
    <w:name w:val="reader-word-layer reader-word-s3-13"/>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232">
    <w:name w:val="font7"/>
    <w:basedOn w:val="1"/>
    <w:qFormat/>
    <w:uiPriority w:val="99"/>
    <w:pPr>
      <w:widowControl/>
      <w:spacing w:before="100" w:beforeAutospacing="1" w:after="100" w:afterAutospacing="1"/>
      <w:jc w:val="left"/>
    </w:pPr>
    <w:rPr>
      <w:b/>
      <w:bCs/>
      <w:kern w:val="0"/>
      <w:sz w:val="20"/>
    </w:rPr>
  </w:style>
  <w:style w:type="paragraph" w:customStyle="1" w:styleId="233">
    <w:name w:val="xl126"/>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cs="Arial Unicode MS"/>
      <w:kern w:val="0"/>
      <w:sz w:val="24"/>
      <w:szCs w:val="24"/>
    </w:rPr>
  </w:style>
  <w:style w:type="paragraph" w:customStyle="1" w:styleId="234">
    <w:name w:val="Char4 Char Char Char"/>
    <w:basedOn w:val="1"/>
    <w:qFormat/>
    <w:uiPriority w:val="99"/>
    <w:pPr>
      <w:adjustRightInd w:val="0"/>
      <w:snapToGrid w:val="0"/>
      <w:spacing w:line="360" w:lineRule="auto"/>
      <w:ind w:firstLine="200" w:firstLineChars="200"/>
    </w:pPr>
    <w:rPr>
      <w:szCs w:val="24"/>
    </w:rPr>
  </w:style>
  <w:style w:type="paragraph" w:customStyle="1" w:styleId="235">
    <w:name w:val="日期1"/>
    <w:basedOn w:val="1"/>
    <w:next w:val="1"/>
    <w:qFormat/>
    <w:uiPriority w:val="99"/>
    <w:pPr>
      <w:adjustRightInd w:val="0"/>
      <w:textAlignment w:val="baseline"/>
    </w:pPr>
  </w:style>
  <w:style w:type="paragraph" w:customStyle="1" w:styleId="236">
    <w:name w:val="Style37"/>
    <w:basedOn w:val="1"/>
    <w:qFormat/>
    <w:uiPriority w:val="99"/>
    <w:pPr>
      <w:adjustRightInd w:val="0"/>
      <w:jc w:val="left"/>
    </w:pPr>
    <w:rPr>
      <w:rFonts w:ascii="宋体"/>
      <w:kern w:val="0"/>
      <w:sz w:val="24"/>
      <w:szCs w:val="24"/>
    </w:rPr>
  </w:style>
  <w:style w:type="paragraph" w:customStyle="1" w:styleId="237">
    <w:name w:val="表内字一"/>
    <w:basedOn w:val="238"/>
    <w:qFormat/>
    <w:uiPriority w:val="99"/>
    <w:pPr>
      <w:spacing w:line="280" w:lineRule="atLeast"/>
      <w:jc w:val="both"/>
    </w:pPr>
  </w:style>
  <w:style w:type="paragraph" w:customStyle="1" w:styleId="238">
    <w:name w:val="表内字"/>
    <w:basedOn w:val="1"/>
    <w:qFormat/>
    <w:uiPriority w:val="99"/>
    <w:pPr>
      <w:spacing w:before="80" w:after="80"/>
      <w:jc w:val="center"/>
    </w:pPr>
    <w:rPr>
      <w:color w:val="FF0000"/>
      <w:szCs w:val="24"/>
    </w:rPr>
  </w:style>
  <w:style w:type="paragraph" w:customStyle="1" w:styleId="239">
    <w:name w:val="xl121"/>
    <w:basedOn w:val="1"/>
    <w:qFormat/>
    <w:uiPriority w:val="99"/>
    <w:pPr>
      <w:widowControl/>
      <w:pBdr>
        <w:top w:val="single" w:color="auto" w:sz="4" w:space="0"/>
        <w:left w:val="single" w:color="auto" w:sz="4" w:space="0"/>
        <w:bottom w:val="single" w:color="auto" w:sz="4" w:space="0"/>
      </w:pBdr>
      <w:spacing w:before="100" w:beforeAutospacing="1" w:after="100" w:afterAutospacing="1"/>
    </w:pPr>
    <w:rPr>
      <w:kern w:val="0"/>
      <w:sz w:val="24"/>
      <w:szCs w:val="24"/>
    </w:rPr>
  </w:style>
  <w:style w:type="paragraph" w:customStyle="1" w:styleId="240">
    <w:name w:val="样式1 + 四号 居中"/>
    <w:basedOn w:val="203"/>
    <w:qFormat/>
    <w:uiPriority w:val="99"/>
    <w:pPr>
      <w:spacing w:line="336" w:lineRule="auto"/>
      <w:jc w:val="center"/>
    </w:pPr>
    <w:rPr>
      <w:sz w:val="28"/>
    </w:rPr>
  </w:style>
  <w:style w:type="paragraph" w:customStyle="1" w:styleId="241">
    <w:name w:val="Normal - Schedule"/>
    <w:qFormat/>
    <w:uiPriority w:val="99"/>
    <w:pPr>
      <w:tabs>
        <w:tab w:val="left" w:pos="454"/>
        <w:tab w:val="left" w:pos="907"/>
        <w:tab w:val="left" w:pos="1361"/>
        <w:tab w:val="left" w:pos="1814"/>
        <w:tab w:val="left" w:pos="2722"/>
      </w:tabs>
      <w:overflowPunct w:val="0"/>
      <w:autoSpaceDE w:val="0"/>
      <w:autoSpaceDN w:val="0"/>
      <w:adjustRightInd w:val="0"/>
      <w:spacing w:before="120"/>
      <w:textAlignment w:val="baseline"/>
    </w:pPr>
    <w:rPr>
      <w:rFonts w:ascii="Times New Roman" w:hAnsi="Times New Roman" w:eastAsia="宋体" w:cs="Times New Roman"/>
      <w:lang w:val="en-AU" w:eastAsia="en-US" w:bidi="ar-SA"/>
    </w:rPr>
  </w:style>
  <w:style w:type="paragraph" w:customStyle="1" w:styleId="242">
    <w:name w:val="表格文字样式"/>
    <w:basedOn w:val="1"/>
    <w:qFormat/>
    <w:uiPriority w:val="99"/>
    <w:pPr>
      <w:tabs>
        <w:tab w:val="left" w:pos="567"/>
      </w:tabs>
      <w:jc w:val="center"/>
    </w:pPr>
    <w:rPr>
      <w:rFonts w:eastAsia="华文中宋"/>
      <w:spacing w:val="20"/>
      <w:sz w:val="24"/>
    </w:rPr>
  </w:style>
  <w:style w:type="paragraph" w:customStyle="1" w:styleId="243">
    <w:name w:val="Char21"/>
    <w:basedOn w:val="1"/>
    <w:semiHidden/>
    <w:qFormat/>
    <w:uiPriority w:val="99"/>
    <w:pPr>
      <w:ind w:left="510"/>
    </w:pPr>
    <w:rPr>
      <w:szCs w:val="21"/>
    </w:rPr>
  </w:style>
  <w:style w:type="paragraph" w:customStyle="1" w:styleId="244">
    <w:name w:val="xl56"/>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pPr>
    <w:rPr>
      <w:color w:val="008000"/>
      <w:kern w:val="0"/>
      <w:sz w:val="24"/>
      <w:szCs w:val="24"/>
    </w:rPr>
  </w:style>
  <w:style w:type="paragraph" w:customStyle="1" w:styleId="245">
    <w:name w:val="xl59"/>
    <w:basedOn w:val="1"/>
    <w:qFormat/>
    <w:uiPriority w:val="99"/>
    <w:pPr>
      <w:widowControl/>
      <w:pBdr>
        <w:top w:val="single" w:color="auto" w:sz="4" w:space="0"/>
        <w:left w:val="single" w:color="auto" w:sz="4" w:space="0"/>
      </w:pBdr>
      <w:spacing w:before="100" w:beforeAutospacing="1" w:after="100" w:afterAutospacing="1"/>
      <w:jc w:val="center"/>
    </w:pPr>
    <w:rPr>
      <w:kern w:val="0"/>
      <w:sz w:val="24"/>
      <w:szCs w:val="24"/>
    </w:rPr>
  </w:style>
  <w:style w:type="paragraph" w:customStyle="1" w:styleId="246">
    <w:name w:val="1"/>
    <w:basedOn w:val="1"/>
    <w:next w:val="1"/>
    <w:qFormat/>
    <w:uiPriority w:val="99"/>
    <w:pPr>
      <w:jc w:val="center"/>
    </w:pPr>
  </w:style>
  <w:style w:type="paragraph" w:customStyle="1" w:styleId="247">
    <w:name w:val="附录章标题"/>
    <w:next w:val="199"/>
    <w:qFormat/>
    <w:uiPriority w:val="99"/>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248">
    <w:name w:val="Style67"/>
    <w:basedOn w:val="1"/>
    <w:qFormat/>
    <w:uiPriority w:val="99"/>
    <w:pPr>
      <w:adjustRightInd w:val="0"/>
      <w:jc w:val="left"/>
    </w:pPr>
    <w:rPr>
      <w:rFonts w:ascii="宋体"/>
      <w:kern w:val="0"/>
      <w:sz w:val="24"/>
      <w:szCs w:val="24"/>
    </w:rPr>
  </w:style>
  <w:style w:type="paragraph" w:customStyle="1" w:styleId="249">
    <w:name w:val="Char Char1 Char Char Char Char Char Char Char Char Char Char Char Char Char Char Char Char Char Char Char"/>
    <w:basedOn w:val="1"/>
    <w:qFormat/>
    <w:uiPriority w:val="99"/>
    <w:pPr>
      <w:widowControl/>
      <w:jc w:val="left"/>
    </w:pPr>
    <w:rPr>
      <w:rFonts w:ascii="宋体" w:hAnsi="宋体" w:cs="宋体"/>
      <w:color w:val="000000"/>
      <w:kern w:val="0"/>
      <w:sz w:val="24"/>
      <w:szCs w:val="24"/>
    </w:rPr>
  </w:style>
  <w:style w:type="paragraph" w:customStyle="1" w:styleId="250">
    <w:name w:val="font13"/>
    <w:basedOn w:val="1"/>
    <w:qFormat/>
    <w:uiPriority w:val="99"/>
    <w:pPr>
      <w:widowControl/>
      <w:spacing w:before="100" w:beforeAutospacing="1" w:after="100" w:afterAutospacing="1"/>
      <w:jc w:val="left"/>
    </w:pPr>
    <w:rPr>
      <w:color w:val="0000FF"/>
      <w:kern w:val="0"/>
      <w:sz w:val="16"/>
      <w:szCs w:val="16"/>
    </w:rPr>
  </w:style>
  <w:style w:type="paragraph" w:customStyle="1" w:styleId="251">
    <w:name w:val="xl3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MS Sans Serif" w:hAnsi="MS Sans Serif"/>
      <w:kern w:val="0"/>
      <w:sz w:val="16"/>
      <w:szCs w:val="16"/>
    </w:rPr>
  </w:style>
  <w:style w:type="paragraph" w:customStyle="1" w:styleId="252">
    <w:name w:val="xl49"/>
    <w:basedOn w:val="1"/>
    <w:qFormat/>
    <w:uiPriority w:val="99"/>
    <w:pPr>
      <w:widowControl/>
      <w:pBdr>
        <w:left w:val="single" w:color="auto" w:sz="4" w:space="0"/>
        <w:bottom w:val="single" w:color="auto" w:sz="4" w:space="0"/>
      </w:pBdr>
      <w:spacing w:before="100" w:after="100"/>
      <w:jc w:val="center"/>
      <w:textAlignment w:val="center"/>
    </w:pPr>
    <w:rPr>
      <w:rFonts w:ascii="宋体" w:hAnsi="宋体"/>
      <w:kern w:val="0"/>
      <w:sz w:val="28"/>
      <w:szCs w:val="28"/>
    </w:rPr>
  </w:style>
  <w:style w:type="paragraph" w:customStyle="1" w:styleId="253">
    <w:name w:val="表格文字"/>
    <w:basedOn w:val="1"/>
    <w:qFormat/>
    <w:uiPriority w:val="99"/>
    <w:pPr>
      <w:adjustRightInd w:val="0"/>
      <w:spacing w:line="360" w:lineRule="atLeast"/>
      <w:jc w:val="center"/>
      <w:textAlignment w:val="baseline"/>
    </w:pPr>
    <w:rPr>
      <w:kern w:val="0"/>
    </w:rPr>
  </w:style>
  <w:style w:type="paragraph" w:customStyle="1" w:styleId="254">
    <w:name w:val="xl96"/>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pPr>
    <w:rPr>
      <w:kern w:val="0"/>
      <w:sz w:val="24"/>
      <w:szCs w:val="24"/>
    </w:rPr>
  </w:style>
  <w:style w:type="paragraph" w:customStyle="1" w:styleId="255">
    <w:name w:val="缺省文本_宋体"/>
    <w:basedOn w:val="1"/>
    <w:qFormat/>
    <w:uiPriority w:val="99"/>
    <w:pPr>
      <w:tabs>
        <w:tab w:val="left" w:pos="525"/>
        <w:tab w:val="center" w:pos="5670"/>
        <w:tab w:val="right" w:pos="7655"/>
      </w:tabs>
      <w:spacing w:before="80" w:after="120" w:line="360" w:lineRule="auto"/>
      <w:outlineLvl w:val="7"/>
    </w:pPr>
    <w:rPr>
      <w:spacing w:val="16"/>
      <w:kern w:val="28"/>
      <w:sz w:val="24"/>
    </w:rPr>
  </w:style>
  <w:style w:type="paragraph" w:customStyle="1" w:styleId="256">
    <w:name w:val="wg"/>
    <w:basedOn w:val="1"/>
    <w:qFormat/>
    <w:uiPriority w:val="99"/>
    <w:rPr>
      <w:sz w:val="28"/>
    </w:rPr>
  </w:style>
  <w:style w:type="paragraph" w:customStyle="1" w:styleId="257">
    <w:name w:val="xl40"/>
    <w:basedOn w:val="1"/>
    <w:qFormat/>
    <w:uiPriority w:val="99"/>
    <w:pPr>
      <w:widowControl/>
      <w:pBdr>
        <w:left w:val="single" w:color="auto" w:sz="8" w:space="0"/>
        <w:bottom w:val="single" w:color="auto" w:sz="4" w:space="0"/>
      </w:pBdr>
      <w:spacing w:before="100" w:beforeAutospacing="1" w:after="100" w:afterAutospacing="1"/>
      <w:jc w:val="center"/>
    </w:pPr>
    <w:rPr>
      <w:rFonts w:ascii="Arial Unicode MS" w:hAnsi="Arial Unicode MS" w:cs="Arial Unicode MS"/>
      <w:kern w:val="0"/>
      <w:sz w:val="24"/>
      <w:szCs w:val="24"/>
    </w:rPr>
  </w:style>
  <w:style w:type="paragraph" w:customStyle="1" w:styleId="258">
    <w:name w:val="Style68"/>
    <w:basedOn w:val="1"/>
    <w:qFormat/>
    <w:uiPriority w:val="99"/>
    <w:pPr>
      <w:adjustRightInd w:val="0"/>
      <w:spacing w:line="274" w:lineRule="exact"/>
      <w:jc w:val="left"/>
    </w:pPr>
    <w:rPr>
      <w:rFonts w:ascii="宋体"/>
      <w:kern w:val="0"/>
      <w:sz w:val="24"/>
      <w:szCs w:val="24"/>
    </w:rPr>
  </w:style>
  <w:style w:type="paragraph" w:customStyle="1" w:styleId="259">
    <w:name w:val="xl103"/>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pPr>
    <w:rPr>
      <w:kern w:val="0"/>
      <w:sz w:val="24"/>
      <w:szCs w:val="24"/>
    </w:rPr>
  </w:style>
  <w:style w:type="paragraph" w:customStyle="1" w:styleId="260">
    <w:name w:val="xl54"/>
    <w:basedOn w:val="1"/>
    <w:qFormat/>
    <w:uiPriority w:val="99"/>
    <w:pPr>
      <w:widowControl/>
      <w:pBdr>
        <w:left w:val="single" w:color="auto" w:sz="12" w:space="0"/>
        <w:bottom w:val="single" w:color="auto" w:sz="4" w:space="0"/>
        <w:right w:val="single" w:color="auto" w:sz="4" w:space="0"/>
      </w:pBdr>
      <w:spacing w:before="100" w:beforeAutospacing="1" w:after="100" w:afterAutospacing="1"/>
      <w:jc w:val="left"/>
    </w:pPr>
    <w:rPr>
      <w:color w:val="FF0000"/>
      <w:kern w:val="0"/>
      <w:sz w:val="24"/>
      <w:szCs w:val="24"/>
    </w:rPr>
  </w:style>
  <w:style w:type="paragraph" w:customStyle="1" w:styleId="261">
    <w:name w:val="font17"/>
    <w:basedOn w:val="1"/>
    <w:qFormat/>
    <w:uiPriority w:val="99"/>
    <w:pPr>
      <w:widowControl/>
      <w:spacing w:before="100" w:beforeAutospacing="1" w:after="100" w:afterAutospacing="1"/>
      <w:jc w:val="left"/>
    </w:pPr>
    <w:rPr>
      <w:rFonts w:ascii="宋体" w:hAnsi="宋体" w:cs="Arial Unicode MS"/>
      <w:color w:val="008000"/>
      <w:kern w:val="0"/>
      <w:sz w:val="24"/>
      <w:szCs w:val="24"/>
    </w:rPr>
  </w:style>
  <w:style w:type="paragraph" w:customStyle="1" w:styleId="262">
    <w:name w:val="font22"/>
    <w:basedOn w:val="1"/>
    <w:qFormat/>
    <w:uiPriority w:val="99"/>
    <w:pPr>
      <w:widowControl/>
      <w:spacing w:before="100" w:beforeAutospacing="1" w:after="100" w:afterAutospacing="1"/>
      <w:jc w:val="left"/>
    </w:pPr>
    <w:rPr>
      <w:kern w:val="0"/>
      <w:szCs w:val="21"/>
    </w:rPr>
  </w:style>
  <w:style w:type="paragraph" w:customStyle="1" w:styleId="263">
    <w:name w:val="样式 正文（首行缩进两字） + 宋体"/>
    <w:basedOn w:val="9"/>
    <w:qFormat/>
    <w:uiPriority w:val="99"/>
    <w:pPr>
      <w:spacing w:line="240" w:lineRule="auto"/>
      <w:ind w:firstLine="0"/>
      <w:jc w:val="both"/>
      <w:textAlignment w:val="auto"/>
    </w:pPr>
    <w:rPr>
      <w:rFonts w:ascii="宋体" w:hAnsi="宋体"/>
      <w:kern w:val="2"/>
      <w:sz w:val="28"/>
    </w:rPr>
  </w:style>
  <w:style w:type="paragraph" w:customStyle="1" w:styleId="264">
    <w:name w:val="xl24"/>
    <w:basedOn w:val="1"/>
    <w:qFormat/>
    <w:uiPriority w:val="99"/>
    <w:pPr>
      <w:widowControl/>
      <w:spacing w:before="100" w:beforeAutospacing="1" w:after="100" w:afterAutospacing="1"/>
      <w:jc w:val="left"/>
      <w:textAlignment w:val="center"/>
    </w:pPr>
    <w:rPr>
      <w:kern w:val="0"/>
      <w:sz w:val="16"/>
      <w:szCs w:val="16"/>
    </w:rPr>
  </w:style>
  <w:style w:type="paragraph" w:customStyle="1" w:styleId="265">
    <w:name w:val="Char1 Char Char Char"/>
    <w:basedOn w:val="1"/>
    <w:qFormat/>
    <w:uiPriority w:val="99"/>
    <w:pPr>
      <w:widowControl/>
      <w:spacing w:after="160" w:line="240" w:lineRule="exact"/>
      <w:jc w:val="left"/>
    </w:pPr>
    <w:rPr>
      <w:rFonts w:ascii="Arial" w:hAnsi="Arial" w:cs="Verdana"/>
      <w:b/>
      <w:kern w:val="0"/>
      <w:sz w:val="24"/>
      <w:szCs w:val="24"/>
      <w:lang w:eastAsia="en-US"/>
    </w:rPr>
  </w:style>
  <w:style w:type="paragraph" w:customStyle="1" w:styleId="266">
    <w:name w:val="xl57"/>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cs="Arial Unicode MS"/>
      <w:kern w:val="0"/>
      <w:sz w:val="24"/>
      <w:szCs w:val="24"/>
    </w:rPr>
  </w:style>
  <w:style w:type="paragraph" w:customStyle="1" w:styleId="267">
    <w:name w:val="附录标识"/>
    <w:basedOn w:val="1"/>
    <w:qFormat/>
    <w:uiPriority w:val="99"/>
    <w:pPr>
      <w:widowControl/>
      <w:shd w:val="clear" w:color="FFFFFF" w:fill="FFFFFF"/>
      <w:tabs>
        <w:tab w:val="left" w:pos="6405"/>
      </w:tabs>
      <w:spacing w:before="640" w:after="200"/>
      <w:jc w:val="center"/>
      <w:outlineLvl w:val="0"/>
    </w:pPr>
    <w:rPr>
      <w:rFonts w:ascii="黑体" w:eastAsia="黑体"/>
      <w:kern w:val="0"/>
    </w:rPr>
  </w:style>
  <w:style w:type="paragraph" w:customStyle="1" w:styleId="268">
    <w:name w:val="Char Char Char Char Char Char Char Char Char Char"/>
    <w:basedOn w:val="1"/>
    <w:qFormat/>
    <w:uiPriority w:val="99"/>
    <w:rPr>
      <w:szCs w:val="24"/>
    </w:rPr>
  </w:style>
  <w:style w:type="paragraph" w:customStyle="1" w:styleId="269">
    <w:name w:val="附录五级条标题"/>
    <w:basedOn w:val="270"/>
    <w:next w:val="199"/>
    <w:qFormat/>
    <w:uiPriority w:val="99"/>
    <w:pPr>
      <w:outlineLvl w:val="6"/>
    </w:pPr>
  </w:style>
  <w:style w:type="paragraph" w:customStyle="1" w:styleId="270">
    <w:name w:val="附录四级条标题"/>
    <w:basedOn w:val="271"/>
    <w:next w:val="199"/>
    <w:qFormat/>
    <w:uiPriority w:val="99"/>
    <w:pPr>
      <w:outlineLvl w:val="5"/>
    </w:pPr>
  </w:style>
  <w:style w:type="paragraph" w:customStyle="1" w:styleId="271">
    <w:name w:val="附录三级条标题"/>
    <w:basedOn w:val="272"/>
    <w:next w:val="199"/>
    <w:qFormat/>
    <w:uiPriority w:val="99"/>
    <w:pPr>
      <w:outlineLvl w:val="4"/>
    </w:pPr>
  </w:style>
  <w:style w:type="paragraph" w:customStyle="1" w:styleId="272">
    <w:name w:val="附录二级条标题"/>
    <w:basedOn w:val="273"/>
    <w:next w:val="199"/>
    <w:qFormat/>
    <w:uiPriority w:val="99"/>
    <w:pPr>
      <w:outlineLvl w:val="3"/>
    </w:pPr>
  </w:style>
  <w:style w:type="paragraph" w:customStyle="1" w:styleId="273">
    <w:name w:val="附录一级条标题"/>
    <w:basedOn w:val="247"/>
    <w:next w:val="199"/>
    <w:qFormat/>
    <w:uiPriority w:val="99"/>
    <w:pPr>
      <w:autoSpaceDN w:val="0"/>
      <w:spacing w:beforeLines="0" w:afterLines="0"/>
      <w:outlineLvl w:val="2"/>
    </w:pPr>
  </w:style>
  <w:style w:type="paragraph" w:customStyle="1" w:styleId="274">
    <w:name w:val="zw"/>
    <w:basedOn w:val="1"/>
    <w:qFormat/>
    <w:uiPriority w:val="99"/>
    <w:pPr>
      <w:widowControl/>
      <w:spacing w:before="100" w:beforeAutospacing="1" w:after="100" w:afterAutospacing="1" w:line="440" w:lineRule="atLeast"/>
      <w:jc w:val="left"/>
    </w:pPr>
    <w:rPr>
      <w:rFonts w:ascii="宋体" w:hAnsi="宋体" w:cs="宋体"/>
      <w:kern w:val="0"/>
      <w:sz w:val="22"/>
      <w:szCs w:val="22"/>
    </w:rPr>
  </w:style>
  <w:style w:type="paragraph" w:customStyle="1" w:styleId="275">
    <w:name w:val="样式3"/>
    <w:basedOn w:val="1"/>
    <w:qFormat/>
    <w:uiPriority w:val="99"/>
    <w:pPr>
      <w:adjustRightInd w:val="0"/>
      <w:snapToGrid w:val="0"/>
      <w:spacing w:line="360" w:lineRule="auto"/>
      <w:jc w:val="center"/>
    </w:pPr>
    <w:rPr>
      <w:rFonts w:ascii="宋体" w:hAnsi="宋体"/>
      <w:b/>
      <w:bCs/>
    </w:rPr>
  </w:style>
  <w:style w:type="paragraph" w:customStyle="1" w:styleId="276">
    <w:name w:val="xl3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color w:val="000000"/>
      <w:kern w:val="0"/>
      <w:sz w:val="16"/>
      <w:szCs w:val="16"/>
    </w:rPr>
  </w:style>
  <w:style w:type="paragraph" w:customStyle="1" w:styleId="277">
    <w:name w:val="xl100"/>
    <w:basedOn w:val="1"/>
    <w:qFormat/>
    <w:uiPriority w:val="99"/>
    <w:pPr>
      <w:widowControl/>
      <w:pBdr>
        <w:top w:val="single" w:color="auto" w:sz="4" w:space="0"/>
        <w:bottom w:val="single" w:color="auto" w:sz="4" w:space="0"/>
      </w:pBdr>
      <w:spacing w:before="100" w:beforeAutospacing="1" w:after="100" w:afterAutospacing="1"/>
      <w:jc w:val="left"/>
    </w:pPr>
    <w:rPr>
      <w:rFonts w:ascii="Arial Unicode MS" w:hAnsi="Arial Unicode MS" w:cs="Arial Unicode MS"/>
      <w:color w:val="008000"/>
      <w:kern w:val="0"/>
      <w:sz w:val="24"/>
      <w:szCs w:val="24"/>
    </w:rPr>
  </w:style>
  <w:style w:type="paragraph" w:customStyle="1" w:styleId="278">
    <w:name w:val="Char11"/>
    <w:basedOn w:val="1"/>
    <w:qFormat/>
    <w:uiPriority w:val="99"/>
  </w:style>
  <w:style w:type="paragraph" w:customStyle="1" w:styleId="279">
    <w:name w:val="基准标题"/>
    <w:basedOn w:val="14"/>
    <w:next w:val="14"/>
    <w:qFormat/>
    <w:uiPriority w:val="99"/>
    <w:pPr>
      <w:spacing w:before="80" w:after="80"/>
      <w:jc w:val="center"/>
    </w:pPr>
    <w:rPr>
      <w:rFonts w:ascii="宋体" w:hAnsi="宋体"/>
      <w:kern w:val="0"/>
      <w:szCs w:val="21"/>
    </w:rPr>
  </w:style>
  <w:style w:type="paragraph" w:customStyle="1" w:styleId="280">
    <w:name w:val="xl7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color w:val="008000"/>
      <w:kern w:val="0"/>
      <w:sz w:val="24"/>
      <w:szCs w:val="24"/>
    </w:rPr>
  </w:style>
  <w:style w:type="paragraph" w:customStyle="1" w:styleId="281">
    <w:name w:val="xl110"/>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cs="Arial Unicode MS"/>
      <w:color w:val="FF0000"/>
      <w:kern w:val="0"/>
      <w:sz w:val="24"/>
      <w:szCs w:val="24"/>
    </w:rPr>
  </w:style>
  <w:style w:type="paragraph" w:customStyle="1" w:styleId="282">
    <w:name w:val="font16"/>
    <w:basedOn w:val="1"/>
    <w:qFormat/>
    <w:uiPriority w:val="99"/>
    <w:pPr>
      <w:widowControl/>
      <w:spacing w:before="100" w:beforeAutospacing="1" w:after="100" w:afterAutospacing="1"/>
      <w:jc w:val="left"/>
    </w:pPr>
    <w:rPr>
      <w:color w:val="FF0000"/>
      <w:kern w:val="0"/>
      <w:sz w:val="24"/>
      <w:szCs w:val="24"/>
    </w:rPr>
  </w:style>
  <w:style w:type="paragraph" w:customStyle="1" w:styleId="283">
    <w:name w:val="a"/>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284">
    <w:name w:val="xl95"/>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cs="Arial Unicode MS"/>
      <w:kern w:val="0"/>
      <w:sz w:val="24"/>
      <w:szCs w:val="24"/>
    </w:rPr>
  </w:style>
  <w:style w:type="paragraph" w:customStyle="1" w:styleId="285">
    <w:name w:val="样式 题注 + 首行缩进:  2 字符1"/>
    <w:basedOn w:val="16"/>
    <w:qFormat/>
    <w:uiPriority w:val="99"/>
    <w:pPr>
      <w:spacing w:afterLines="50" w:line="400" w:lineRule="exact"/>
    </w:pPr>
    <w:rPr>
      <w:rFonts w:cs="宋体"/>
    </w:rPr>
  </w:style>
  <w:style w:type="paragraph" w:customStyle="1" w:styleId="286">
    <w:name w:val="样式7"/>
    <w:basedOn w:val="1"/>
    <w:qFormat/>
    <w:uiPriority w:val="0"/>
    <w:pPr>
      <w:spacing w:line="340" w:lineRule="exact"/>
      <w:ind w:firstLine="562" w:firstLineChars="200"/>
    </w:pPr>
    <w:rPr>
      <w:b/>
      <w:bCs/>
      <w:spacing w:val="20"/>
      <w:sz w:val="24"/>
    </w:rPr>
  </w:style>
  <w:style w:type="paragraph" w:customStyle="1" w:styleId="287">
    <w:name w:val="样式 题注 + 首行缩进:  2 字符"/>
    <w:basedOn w:val="16"/>
    <w:qFormat/>
    <w:uiPriority w:val="99"/>
    <w:pPr>
      <w:spacing w:line="400" w:lineRule="exact"/>
    </w:pPr>
    <w:rPr>
      <w:rFonts w:cs="宋体"/>
    </w:rPr>
  </w:style>
  <w:style w:type="paragraph" w:customStyle="1" w:styleId="288">
    <w:name w:val="样式 段前: 7.8 磅 段后: 7.8 磅"/>
    <w:basedOn w:val="1"/>
    <w:qFormat/>
    <w:uiPriority w:val="99"/>
    <w:pPr>
      <w:spacing w:before="10" w:after="10" w:line="440" w:lineRule="exact"/>
      <w:ind w:firstLine="200" w:firstLineChars="200"/>
      <w:jc w:val="left"/>
    </w:pPr>
    <w:rPr>
      <w:rFonts w:cs="宋体"/>
      <w:sz w:val="24"/>
    </w:rPr>
  </w:style>
  <w:style w:type="paragraph" w:customStyle="1" w:styleId="289">
    <w:name w:val="xl118"/>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rFonts w:ascii="Arial Unicode MS" w:hAnsi="Arial Unicode MS" w:cs="Arial Unicode MS"/>
      <w:kern w:val="0"/>
      <w:sz w:val="24"/>
      <w:szCs w:val="24"/>
    </w:rPr>
  </w:style>
  <w:style w:type="paragraph" w:customStyle="1" w:styleId="290">
    <w:name w:val="p18"/>
    <w:basedOn w:val="1"/>
    <w:qFormat/>
    <w:uiPriority w:val="99"/>
    <w:pPr>
      <w:widowControl/>
      <w:jc w:val="left"/>
    </w:pPr>
    <w:rPr>
      <w:rFonts w:ascii="宋体" w:hAnsi="宋体" w:cs="宋体"/>
      <w:color w:val="000000"/>
      <w:kern w:val="0"/>
      <w:sz w:val="24"/>
      <w:szCs w:val="24"/>
    </w:rPr>
  </w:style>
  <w:style w:type="paragraph" w:customStyle="1" w:styleId="291">
    <w:name w:val="xl94"/>
    <w:basedOn w:val="1"/>
    <w:qFormat/>
    <w:uiPriority w:val="99"/>
    <w:pPr>
      <w:widowControl/>
      <w:pBdr>
        <w:top w:val="single" w:color="auto" w:sz="4" w:space="0"/>
        <w:bottom w:val="single" w:color="auto" w:sz="4" w:space="0"/>
      </w:pBdr>
      <w:spacing w:before="100" w:beforeAutospacing="1" w:after="100" w:afterAutospacing="1"/>
      <w:jc w:val="left"/>
    </w:pPr>
    <w:rPr>
      <w:rFonts w:ascii="Arial Unicode MS" w:hAnsi="Arial Unicode MS" w:cs="Arial Unicode MS"/>
      <w:kern w:val="0"/>
      <w:sz w:val="24"/>
      <w:szCs w:val="24"/>
    </w:rPr>
  </w:style>
  <w:style w:type="paragraph" w:customStyle="1" w:styleId="292">
    <w:name w:val="xl68"/>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cs="Arial Unicode MS"/>
      <w:kern w:val="0"/>
      <w:sz w:val="24"/>
      <w:szCs w:val="24"/>
    </w:rPr>
  </w:style>
  <w:style w:type="paragraph" w:customStyle="1" w:styleId="293">
    <w:name w:val="xl85"/>
    <w:basedOn w:val="1"/>
    <w:qFormat/>
    <w:uiPriority w:val="99"/>
    <w:pPr>
      <w:widowControl/>
      <w:pBdr>
        <w:top w:val="single" w:color="auto" w:sz="4" w:space="0"/>
        <w:bottom w:val="single" w:color="auto" w:sz="4" w:space="0"/>
      </w:pBdr>
      <w:spacing w:before="100" w:beforeAutospacing="1" w:after="100" w:afterAutospacing="1"/>
      <w:jc w:val="left"/>
    </w:pPr>
    <w:rPr>
      <w:kern w:val="0"/>
      <w:sz w:val="24"/>
      <w:szCs w:val="24"/>
    </w:rPr>
  </w:style>
  <w:style w:type="paragraph" w:customStyle="1" w:styleId="294">
    <w:name w:val="Style136"/>
    <w:basedOn w:val="1"/>
    <w:qFormat/>
    <w:uiPriority w:val="99"/>
    <w:pPr>
      <w:adjustRightInd w:val="0"/>
      <w:spacing w:line="288" w:lineRule="exact"/>
      <w:jc w:val="left"/>
    </w:pPr>
    <w:rPr>
      <w:rFonts w:ascii="宋体"/>
      <w:kern w:val="0"/>
      <w:sz w:val="24"/>
      <w:szCs w:val="24"/>
    </w:rPr>
  </w:style>
  <w:style w:type="paragraph" w:customStyle="1" w:styleId="295">
    <w:name w:val="p16"/>
    <w:basedOn w:val="1"/>
    <w:qFormat/>
    <w:uiPriority w:val="99"/>
    <w:pPr>
      <w:widowControl/>
      <w:jc w:val="left"/>
    </w:pPr>
    <w:rPr>
      <w:rFonts w:ascii="宋体" w:hAnsi="宋体" w:cs="宋体"/>
      <w:color w:val="000000"/>
      <w:kern w:val="0"/>
      <w:sz w:val="24"/>
      <w:szCs w:val="24"/>
    </w:rPr>
  </w:style>
  <w:style w:type="paragraph" w:customStyle="1" w:styleId="296">
    <w:name w:val="说明书标题"/>
    <w:basedOn w:val="1"/>
    <w:next w:val="1"/>
    <w:qFormat/>
    <w:uiPriority w:val="99"/>
    <w:pPr>
      <w:tabs>
        <w:tab w:val="left" w:pos="210"/>
        <w:tab w:val="left" w:pos="360"/>
      </w:tabs>
      <w:spacing w:line="520" w:lineRule="exact"/>
      <w:ind w:left="227" w:hanging="227"/>
    </w:pPr>
    <w:rPr>
      <w:rFonts w:ascii="Trebuchet MS" w:hAnsi="Trebuchet MS" w:eastAsia="黑体"/>
      <w:sz w:val="28"/>
    </w:rPr>
  </w:style>
  <w:style w:type="paragraph" w:customStyle="1" w:styleId="297">
    <w:name w:val="reader-word-layer reader-word-s5-2"/>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298">
    <w:name w:val="样式 样式 样式4 + 首行缩进:  1.92 字符 + 仿宋_GB2312"/>
    <w:basedOn w:val="299"/>
    <w:qFormat/>
    <w:uiPriority w:val="99"/>
    <w:rPr>
      <w:rFonts w:ascii="??_GB2312" w:eastAsia="Times New Roman"/>
      <w:szCs w:val="28"/>
    </w:rPr>
  </w:style>
  <w:style w:type="paragraph" w:customStyle="1" w:styleId="299">
    <w:name w:val="样式 样式4 + 首行缩进:  1.92 字符"/>
    <w:basedOn w:val="1"/>
    <w:qFormat/>
    <w:uiPriority w:val="99"/>
    <w:pPr>
      <w:snapToGrid w:val="0"/>
      <w:spacing w:line="300" w:lineRule="auto"/>
      <w:ind w:firstLine="538" w:firstLineChars="192"/>
    </w:pPr>
    <w:rPr>
      <w:sz w:val="28"/>
    </w:rPr>
  </w:style>
  <w:style w:type="paragraph" w:customStyle="1" w:styleId="300">
    <w:name w:val="xl44"/>
    <w:basedOn w:val="1"/>
    <w:qFormat/>
    <w:uiPriority w:val="99"/>
    <w:pPr>
      <w:widowControl/>
      <w:pBdr>
        <w:bottom w:val="single" w:color="auto" w:sz="4" w:space="0"/>
        <w:right w:val="single" w:color="auto" w:sz="4" w:space="0"/>
      </w:pBdr>
      <w:spacing w:before="100" w:beforeAutospacing="1" w:after="100" w:afterAutospacing="1"/>
      <w:jc w:val="center"/>
    </w:pPr>
    <w:rPr>
      <w:kern w:val="0"/>
      <w:sz w:val="24"/>
      <w:szCs w:val="24"/>
    </w:rPr>
  </w:style>
  <w:style w:type="paragraph" w:customStyle="1" w:styleId="301">
    <w:name w:val="xl84"/>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pPr>
    <w:rPr>
      <w:kern w:val="0"/>
      <w:sz w:val="24"/>
      <w:szCs w:val="24"/>
    </w:rPr>
  </w:style>
  <w:style w:type="paragraph" w:customStyle="1" w:styleId="302">
    <w:name w:val="xl5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szCs w:val="24"/>
    </w:rPr>
  </w:style>
  <w:style w:type="paragraph" w:customStyle="1" w:styleId="303">
    <w:name w:val="Document 1"/>
    <w:qFormat/>
    <w:uiPriority w:val="99"/>
    <w:pPr>
      <w:keepNext/>
      <w:keepLines/>
      <w:widowControl w:val="0"/>
      <w:tabs>
        <w:tab w:val="left" w:pos="-720"/>
      </w:tabs>
      <w:suppressAutoHyphens/>
    </w:pPr>
    <w:rPr>
      <w:rFonts w:ascii="Courier New" w:hAnsi="Courier New" w:eastAsia="宋体" w:cs="Vrinda"/>
      <w:lang w:val="en-US" w:eastAsia="en-US" w:bidi="ar-SA"/>
    </w:rPr>
  </w:style>
  <w:style w:type="paragraph" w:customStyle="1" w:styleId="304">
    <w:name w:val="font11"/>
    <w:basedOn w:val="1"/>
    <w:qFormat/>
    <w:uiPriority w:val="99"/>
    <w:pPr>
      <w:widowControl/>
      <w:spacing w:before="100" w:beforeAutospacing="1" w:after="100" w:afterAutospacing="1"/>
      <w:jc w:val="left"/>
    </w:pPr>
    <w:rPr>
      <w:rFonts w:ascii="宋体" w:hAnsi="宋体"/>
      <w:color w:val="0000FF"/>
      <w:kern w:val="0"/>
      <w:sz w:val="16"/>
      <w:szCs w:val="16"/>
    </w:rPr>
  </w:style>
  <w:style w:type="paragraph" w:customStyle="1" w:styleId="305">
    <w:name w:val="xl4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16"/>
      <w:szCs w:val="16"/>
    </w:rPr>
  </w:style>
  <w:style w:type="paragraph" w:customStyle="1" w:styleId="306">
    <w:name w:val="xl109"/>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pPr>
    <w:rPr>
      <w:color w:val="FF0000"/>
      <w:kern w:val="0"/>
      <w:sz w:val="24"/>
      <w:szCs w:val="24"/>
    </w:rPr>
  </w:style>
  <w:style w:type="paragraph" w:customStyle="1" w:styleId="307">
    <w:name w:val="正文文本缩进 21"/>
    <w:basedOn w:val="1"/>
    <w:qFormat/>
    <w:uiPriority w:val="99"/>
    <w:pPr>
      <w:adjustRightInd w:val="0"/>
      <w:spacing w:line="480" w:lineRule="exact"/>
      <w:ind w:firstLine="560"/>
      <w:textAlignment w:val="baseline"/>
    </w:pPr>
    <w:rPr>
      <w:color w:val="000000"/>
      <w:kern w:val="0"/>
      <w:sz w:val="24"/>
    </w:rPr>
  </w:style>
  <w:style w:type="paragraph" w:customStyle="1" w:styleId="308">
    <w:name w:val="xl3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MS Sans Serif" w:hAnsi="MS Sans Serif"/>
      <w:color w:val="000000"/>
      <w:kern w:val="0"/>
      <w:sz w:val="16"/>
      <w:szCs w:val="16"/>
    </w:rPr>
  </w:style>
  <w:style w:type="paragraph" w:customStyle="1" w:styleId="309">
    <w:name w:val="xl107"/>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pPr>
    <w:rPr>
      <w:color w:val="FF0000"/>
      <w:kern w:val="0"/>
      <w:sz w:val="24"/>
      <w:szCs w:val="24"/>
    </w:rPr>
  </w:style>
  <w:style w:type="paragraph" w:customStyle="1" w:styleId="310">
    <w:name w:val="BG1"/>
    <w:basedOn w:val="1"/>
    <w:qFormat/>
    <w:uiPriority w:val="99"/>
    <w:pPr>
      <w:adjustRightInd w:val="0"/>
      <w:jc w:val="center"/>
    </w:pPr>
    <w:rPr>
      <w:spacing w:val="20"/>
      <w:szCs w:val="24"/>
    </w:rPr>
  </w:style>
  <w:style w:type="paragraph" w:customStyle="1" w:styleId="311">
    <w:name w:val="xl112"/>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cs="Arial Unicode MS"/>
      <w:color w:val="FF0000"/>
      <w:kern w:val="0"/>
      <w:sz w:val="24"/>
      <w:szCs w:val="24"/>
    </w:rPr>
  </w:style>
  <w:style w:type="paragraph" w:customStyle="1" w:styleId="312">
    <w:name w:val="Char1 Char Char Char1"/>
    <w:basedOn w:val="1"/>
    <w:qFormat/>
    <w:uiPriority w:val="99"/>
    <w:rPr>
      <w:rFonts w:ascii="Tahoma" w:hAnsi="Tahoma"/>
      <w:sz w:val="30"/>
      <w:szCs w:val="30"/>
    </w:rPr>
  </w:style>
  <w:style w:type="paragraph" w:customStyle="1" w:styleId="313">
    <w:name w:val="xl4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16"/>
      <w:szCs w:val="16"/>
    </w:rPr>
  </w:style>
  <w:style w:type="paragraph" w:customStyle="1" w:styleId="314">
    <w:name w:val="Style60"/>
    <w:basedOn w:val="1"/>
    <w:qFormat/>
    <w:uiPriority w:val="99"/>
    <w:pPr>
      <w:adjustRightInd w:val="0"/>
      <w:spacing w:line="446" w:lineRule="exact"/>
      <w:ind w:firstLine="396"/>
      <w:jc w:val="left"/>
    </w:pPr>
    <w:rPr>
      <w:rFonts w:ascii="宋体"/>
      <w:kern w:val="0"/>
      <w:sz w:val="24"/>
      <w:szCs w:val="24"/>
    </w:rPr>
  </w:style>
  <w:style w:type="paragraph" w:customStyle="1" w:styleId="315">
    <w:name w:val="Char"/>
    <w:basedOn w:val="1"/>
    <w:qFormat/>
    <w:uiPriority w:val="99"/>
    <w:rPr>
      <w:szCs w:val="24"/>
    </w:rPr>
  </w:style>
  <w:style w:type="paragraph" w:customStyle="1" w:styleId="316">
    <w:name w:val="xl127"/>
    <w:basedOn w:val="1"/>
    <w:qFormat/>
    <w:uiPriority w:val="99"/>
    <w:pPr>
      <w:widowControl/>
      <w:pBdr>
        <w:top w:val="single" w:color="auto" w:sz="4" w:space="0"/>
        <w:bottom w:val="single" w:color="auto" w:sz="4" w:space="0"/>
      </w:pBdr>
      <w:spacing w:before="100" w:beforeAutospacing="1" w:after="100" w:afterAutospacing="1"/>
      <w:jc w:val="left"/>
    </w:pPr>
    <w:rPr>
      <w:color w:val="008000"/>
      <w:kern w:val="0"/>
      <w:sz w:val="24"/>
      <w:szCs w:val="24"/>
    </w:rPr>
  </w:style>
  <w:style w:type="paragraph" w:customStyle="1" w:styleId="317">
    <w:name w:val="xl3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16"/>
      <w:szCs w:val="16"/>
    </w:rPr>
  </w:style>
  <w:style w:type="paragraph" w:customStyle="1" w:styleId="318">
    <w:name w:val="xl3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16"/>
      <w:szCs w:val="16"/>
    </w:rPr>
  </w:style>
  <w:style w:type="paragraph" w:customStyle="1" w:styleId="319">
    <w:name w:val="xl2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16"/>
      <w:szCs w:val="16"/>
    </w:rPr>
  </w:style>
  <w:style w:type="paragraph" w:customStyle="1" w:styleId="320">
    <w:name w:val="默认段落字体 Para Char"/>
    <w:basedOn w:val="1"/>
    <w:next w:val="1"/>
    <w:qFormat/>
    <w:uiPriority w:val="99"/>
    <w:pPr>
      <w:spacing w:line="360" w:lineRule="auto"/>
      <w:ind w:firstLine="200" w:firstLineChars="200"/>
    </w:pPr>
    <w:rPr>
      <w:rFonts w:ascii="宋体" w:hAnsi="宋体" w:cs="宋体"/>
      <w:sz w:val="24"/>
      <w:szCs w:val="24"/>
    </w:rPr>
  </w:style>
  <w:style w:type="paragraph" w:customStyle="1" w:styleId="321">
    <w:name w:val="正式文"/>
    <w:basedOn w:val="1"/>
    <w:qFormat/>
    <w:uiPriority w:val="99"/>
    <w:pPr>
      <w:spacing w:line="360" w:lineRule="auto"/>
      <w:ind w:firstLine="200" w:firstLineChars="200"/>
    </w:pPr>
    <w:rPr>
      <w:rFonts w:ascii="Calibri" w:hAnsi="Calibri"/>
      <w:sz w:val="24"/>
      <w:szCs w:val="22"/>
    </w:rPr>
  </w:style>
  <w:style w:type="paragraph" w:customStyle="1" w:styleId="322">
    <w:name w:val="xl58"/>
    <w:basedOn w:val="1"/>
    <w:qFormat/>
    <w:uiPriority w:val="99"/>
    <w:pPr>
      <w:widowControl/>
      <w:pBdr>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cs="Arial Unicode MS"/>
      <w:kern w:val="0"/>
      <w:sz w:val="24"/>
      <w:szCs w:val="24"/>
    </w:rPr>
  </w:style>
  <w:style w:type="paragraph" w:customStyle="1" w:styleId="323">
    <w:name w:val="font8"/>
    <w:basedOn w:val="1"/>
    <w:qFormat/>
    <w:uiPriority w:val="99"/>
    <w:pPr>
      <w:widowControl/>
      <w:spacing w:before="100" w:beforeAutospacing="1" w:after="100" w:afterAutospacing="1"/>
      <w:jc w:val="left"/>
    </w:pPr>
    <w:rPr>
      <w:b/>
      <w:bCs/>
      <w:kern w:val="0"/>
      <w:sz w:val="20"/>
      <w:u w:val="single"/>
    </w:rPr>
  </w:style>
  <w:style w:type="paragraph" w:customStyle="1" w:styleId="324">
    <w:name w:val="xl92"/>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pPr>
    <w:rPr>
      <w:kern w:val="0"/>
      <w:sz w:val="24"/>
      <w:szCs w:val="24"/>
    </w:rPr>
  </w:style>
  <w:style w:type="paragraph" w:customStyle="1" w:styleId="325">
    <w:name w:val="xl52"/>
    <w:basedOn w:val="1"/>
    <w:qFormat/>
    <w:uiPriority w:val="99"/>
    <w:pPr>
      <w:widowControl/>
      <w:pBdr>
        <w:left w:val="single" w:color="auto" w:sz="12" w:space="0"/>
        <w:bottom w:val="single" w:color="auto" w:sz="4" w:space="0"/>
        <w:right w:val="single" w:color="auto" w:sz="4" w:space="0"/>
      </w:pBdr>
      <w:spacing w:before="100" w:beforeAutospacing="1" w:after="100" w:afterAutospacing="1"/>
      <w:jc w:val="center"/>
    </w:pPr>
    <w:rPr>
      <w:kern w:val="0"/>
      <w:sz w:val="24"/>
      <w:szCs w:val="24"/>
    </w:rPr>
  </w:style>
  <w:style w:type="paragraph" w:customStyle="1" w:styleId="326">
    <w:name w:val="xl89"/>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cs="Arial Unicode MS"/>
      <w:kern w:val="0"/>
      <w:sz w:val="22"/>
      <w:szCs w:val="22"/>
    </w:rPr>
  </w:style>
  <w:style w:type="paragraph" w:customStyle="1" w:styleId="327">
    <w:name w:val="Texte"/>
    <w:basedOn w:val="1"/>
    <w:qFormat/>
    <w:uiPriority w:val="99"/>
    <w:pPr>
      <w:widowControl/>
      <w:spacing w:before="120" w:after="120"/>
      <w:ind w:left="851" w:firstLine="200" w:firstLineChars="200"/>
    </w:pPr>
    <w:rPr>
      <w:rFonts w:ascii="Arial" w:hAnsi="Arial"/>
      <w:kern w:val="0"/>
      <w:sz w:val="22"/>
      <w:lang w:val="en-GB"/>
    </w:rPr>
  </w:style>
  <w:style w:type="paragraph" w:customStyle="1" w:styleId="328">
    <w:name w:val="xl116"/>
    <w:basedOn w:val="1"/>
    <w:qFormat/>
    <w:uiPriority w:val="99"/>
    <w:pPr>
      <w:widowControl/>
      <w:pBdr>
        <w:top w:val="single" w:color="auto" w:sz="4" w:space="0"/>
        <w:bottom w:val="single" w:color="auto" w:sz="4" w:space="0"/>
      </w:pBdr>
      <w:spacing w:before="100" w:beforeAutospacing="1" w:after="100" w:afterAutospacing="1"/>
    </w:pPr>
    <w:rPr>
      <w:rFonts w:ascii="Arial Unicode MS" w:hAnsi="Arial Unicode MS" w:cs="Arial Unicode MS"/>
      <w:kern w:val="0"/>
      <w:sz w:val="24"/>
      <w:szCs w:val="24"/>
    </w:rPr>
  </w:style>
  <w:style w:type="paragraph" w:customStyle="1" w:styleId="329">
    <w:name w:val="xl91"/>
    <w:basedOn w:val="1"/>
    <w:qFormat/>
    <w:uiPriority w:val="99"/>
    <w:pPr>
      <w:widowControl/>
      <w:pBdr>
        <w:top w:val="single" w:color="auto" w:sz="4" w:space="0"/>
        <w:bottom w:val="single" w:color="auto" w:sz="4" w:space="0"/>
      </w:pBdr>
      <w:spacing w:before="100" w:beforeAutospacing="1" w:after="100" w:afterAutospacing="1"/>
      <w:jc w:val="left"/>
    </w:pPr>
    <w:rPr>
      <w:rFonts w:ascii="Arial Unicode MS" w:hAnsi="Arial Unicode MS" w:cs="Arial Unicode MS"/>
      <w:kern w:val="0"/>
      <w:sz w:val="22"/>
      <w:szCs w:val="22"/>
    </w:rPr>
  </w:style>
  <w:style w:type="paragraph" w:customStyle="1" w:styleId="330">
    <w:name w:val="标-7"/>
    <w:basedOn w:val="1"/>
    <w:qFormat/>
    <w:uiPriority w:val="99"/>
    <w:pPr>
      <w:tabs>
        <w:tab w:val="left" w:pos="420"/>
      </w:tabs>
      <w:spacing w:before="120"/>
      <w:ind w:left="1701" w:hanging="425"/>
    </w:pPr>
    <w:rPr>
      <w:sz w:val="24"/>
    </w:rPr>
  </w:style>
  <w:style w:type="paragraph" w:customStyle="1" w:styleId="331">
    <w:name w:val="font14"/>
    <w:basedOn w:val="1"/>
    <w:qFormat/>
    <w:uiPriority w:val="99"/>
    <w:pPr>
      <w:widowControl/>
      <w:spacing w:before="100" w:beforeAutospacing="1" w:after="100" w:afterAutospacing="1"/>
      <w:jc w:val="left"/>
    </w:pPr>
    <w:rPr>
      <w:rFonts w:ascii="Helv" w:hAnsi="Helv"/>
      <w:kern w:val="0"/>
      <w:sz w:val="20"/>
    </w:rPr>
  </w:style>
  <w:style w:type="paragraph" w:customStyle="1" w:styleId="332">
    <w:name w:val="font5"/>
    <w:basedOn w:val="1"/>
    <w:qFormat/>
    <w:uiPriority w:val="99"/>
    <w:pPr>
      <w:widowControl/>
      <w:spacing w:before="100" w:beforeAutospacing="1" w:after="100" w:afterAutospacing="1"/>
      <w:jc w:val="left"/>
    </w:pPr>
    <w:rPr>
      <w:rFonts w:ascii="宋体" w:hAnsi="宋体"/>
      <w:kern w:val="0"/>
      <w:sz w:val="18"/>
      <w:szCs w:val="18"/>
    </w:rPr>
  </w:style>
  <w:style w:type="paragraph" w:customStyle="1" w:styleId="333">
    <w:name w:val="xl65"/>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pPr>
    <w:rPr>
      <w:color w:val="FF0000"/>
      <w:kern w:val="0"/>
      <w:sz w:val="24"/>
      <w:szCs w:val="24"/>
    </w:rPr>
  </w:style>
  <w:style w:type="paragraph" w:customStyle="1" w:styleId="334">
    <w:name w:val="xl115"/>
    <w:basedOn w:val="1"/>
    <w:qFormat/>
    <w:uiPriority w:val="99"/>
    <w:pPr>
      <w:widowControl/>
      <w:pBdr>
        <w:top w:val="single" w:color="auto" w:sz="4" w:space="0"/>
        <w:left w:val="single" w:color="auto" w:sz="4" w:space="0"/>
        <w:bottom w:val="single" w:color="auto" w:sz="4" w:space="0"/>
      </w:pBdr>
      <w:spacing w:before="100" w:beforeAutospacing="1" w:after="100" w:afterAutospacing="1"/>
    </w:pPr>
    <w:rPr>
      <w:rFonts w:ascii="Arial Unicode MS" w:hAnsi="Arial Unicode MS" w:cs="Arial Unicode MS"/>
      <w:kern w:val="0"/>
      <w:sz w:val="24"/>
      <w:szCs w:val="24"/>
    </w:rPr>
  </w:style>
  <w:style w:type="paragraph" w:customStyle="1" w:styleId="335">
    <w:name w:val="font12"/>
    <w:basedOn w:val="1"/>
    <w:qFormat/>
    <w:uiPriority w:val="99"/>
    <w:pPr>
      <w:widowControl/>
      <w:spacing w:before="100" w:beforeAutospacing="1" w:after="100" w:afterAutospacing="1"/>
      <w:jc w:val="left"/>
    </w:pPr>
    <w:rPr>
      <w:kern w:val="0"/>
      <w:sz w:val="16"/>
      <w:szCs w:val="16"/>
    </w:rPr>
  </w:style>
  <w:style w:type="paragraph" w:customStyle="1" w:styleId="336">
    <w:name w:val="xl53"/>
    <w:basedOn w:val="1"/>
    <w:qFormat/>
    <w:uiPriority w:val="99"/>
    <w:pPr>
      <w:widowControl/>
      <w:pBdr>
        <w:left w:val="single" w:color="auto" w:sz="12" w:space="0"/>
        <w:bottom w:val="single" w:color="auto" w:sz="4" w:space="0"/>
        <w:right w:val="single" w:color="auto" w:sz="4" w:space="0"/>
      </w:pBdr>
      <w:spacing w:before="100" w:beforeAutospacing="1" w:after="100" w:afterAutospacing="1"/>
      <w:jc w:val="left"/>
    </w:pPr>
    <w:rPr>
      <w:kern w:val="0"/>
      <w:sz w:val="24"/>
      <w:szCs w:val="24"/>
    </w:rPr>
  </w:style>
  <w:style w:type="paragraph" w:customStyle="1" w:styleId="337">
    <w:name w:val="Style59"/>
    <w:basedOn w:val="1"/>
    <w:qFormat/>
    <w:uiPriority w:val="99"/>
    <w:pPr>
      <w:adjustRightInd w:val="0"/>
      <w:spacing w:line="514" w:lineRule="exact"/>
      <w:ind w:firstLine="547"/>
    </w:pPr>
    <w:rPr>
      <w:rFonts w:ascii="宋体"/>
      <w:kern w:val="0"/>
      <w:sz w:val="24"/>
      <w:szCs w:val="24"/>
    </w:rPr>
  </w:style>
  <w:style w:type="paragraph" w:customStyle="1" w:styleId="338">
    <w:name w:val="xl74"/>
    <w:basedOn w:val="1"/>
    <w:qFormat/>
    <w:uiPriority w:val="99"/>
    <w:pPr>
      <w:widowControl/>
      <w:pBdr>
        <w:left w:val="single" w:color="auto" w:sz="12" w:space="0"/>
        <w:bottom w:val="single" w:color="auto" w:sz="4" w:space="0"/>
        <w:right w:val="single" w:color="auto" w:sz="4" w:space="0"/>
      </w:pBdr>
      <w:spacing w:before="100" w:beforeAutospacing="1" w:after="100" w:afterAutospacing="1"/>
      <w:jc w:val="left"/>
    </w:pPr>
    <w:rPr>
      <w:color w:val="008000"/>
      <w:kern w:val="0"/>
      <w:sz w:val="24"/>
      <w:szCs w:val="24"/>
    </w:rPr>
  </w:style>
  <w:style w:type="paragraph" w:customStyle="1" w:styleId="339">
    <w:name w:val="xl90"/>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cs="Arial Unicode MS"/>
      <w:kern w:val="0"/>
      <w:sz w:val="22"/>
      <w:szCs w:val="22"/>
    </w:rPr>
  </w:style>
  <w:style w:type="paragraph" w:customStyle="1" w:styleId="340">
    <w:name w:val="表文"/>
    <w:basedOn w:val="1"/>
    <w:qFormat/>
    <w:uiPriority w:val="99"/>
    <w:pPr>
      <w:spacing w:beforeLines="20" w:afterLines="20" w:line="280" w:lineRule="exact"/>
      <w:jc w:val="center"/>
    </w:pPr>
    <w:rPr>
      <w:rFonts w:ascii="黑体" w:hAnsi="宋体"/>
    </w:rPr>
  </w:style>
  <w:style w:type="paragraph" w:customStyle="1" w:styleId="341">
    <w:name w:val="font23"/>
    <w:basedOn w:val="1"/>
    <w:qFormat/>
    <w:uiPriority w:val="99"/>
    <w:pPr>
      <w:widowControl/>
      <w:spacing w:before="100" w:beforeAutospacing="1" w:after="100" w:afterAutospacing="1"/>
      <w:jc w:val="left"/>
    </w:pPr>
    <w:rPr>
      <w:color w:val="FF6600"/>
      <w:kern w:val="0"/>
      <w:szCs w:val="21"/>
    </w:rPr>
  </w:style>
  <w:style w:type="paragraph" w:customStyle="1" w:styleId="342">
    <w:name w:val="font18"/>
    <w:basedOn w:val="1"/>
    <w:qFormat/>
    <w:uiPriority w:val="99"/>
    <w:pPr>
      <w:widowControl/>
      <w:spacing w:before="100" w:beforeAutospacing="1" w:after="100" w:afterAutospacing="1"/>
      <w:jc w:val="left"/>
    </w:pPr>
    <w:rPr>
      <w:kern w:val="0"/>
      <w:sz w:val="22"/>
      <w:szCs w:val="22"/>
    </w:rPr>
  </w:style>
  <w:style w:type="paragraph" w:customStyle="1" w:styleId="343">
    <w:name w:val="xl48"/>
    <w:basedOn w:val="1"/>
    <w:qFormat/>
    <w:uiPriority w:val="99"/>
    <w:pPr>
      <w:widowControl/>
      <w:spacing w:before="100" w:beforeAutospacing="1" w:after="100" w:afterAutospacing="1"/>
      <w:jc w:val="left"/>
    </w:pPr>
    <w:rPr>
      <w:kern w:val="0"/>
      <w:sz w:val="24"/>
      <w:szCs w:val="24"/>
    </w:rPr>
  </w:style>
  <w:style w:type="paragraph" w:customStyle="1" w:styleId="344">
    <w:name w:val="xl122"/>
    <w:basedOn w:val="1"/>
    <w:qFormat/>
    <w:uiPriority w:val="99"/>
    <w:pPr>
      <w:widowControl/>
      <w:pBdr>
        <w:top w:val="single" w:color="auto" w:sz="4" w:space="0"/>
        <w:bottom w:val="single" w:color="auto" w:sz="4" w:space="0"/>
      </w:pBdr>
      <w:spacing w:before="100" w:beforeAutospacing="1" w:after="100" w:afterAutospacing="1"/>
    </w:pPr>
    <w:rPr>
      <w:kern w:val="0"/>
      <w:sz w:val="24"/>
      <w:szCs w:val="24"/>
    </w:rPr>
  </w:style>
  <w:style w:type="paragraph" w:customStyle="1" w:styleId="345">
    <w:name w:val="xl123"/>
    <w:basedOn w:val="1"/>
    <w:qFormat/>
    <w:uiPriority w:val="99"/>
    <w:pPr>
      <w:widowControl/>
      <w:pBdr>
        <w:top w:val="single" w:color="auto" w:sz="4" w:space="0"/>
        <w:bottom w:val="single" w:color="auto" w:sz="4" w:space="0"/>
        <w:right w:val="single" w:color="auto" w:sz="4" w:space="0"/>
      </w:pBdr>
      <w:spacing w:before="100" w:beforeAutospacing="1" w:after="100" w:afterAutospacing="1"/>
    </w:pPr>
    <w:rPr>
      <w:kern w:val="0"/>
      <w:sz w:val="24"/>
      <w:szCs w:val="24"/>
    </w:rPr>
  </w:style>
  <w:style w:type="paragraph" w:customStyle="1" w:styleId="346">
    <w:name w:val="标题4"/>
    <w:basedOn w:val="1"/>
    <w:link w:val="421"/>
    <w:qFormat/>
    <w:uiPriority w:val="99"/>
    <w:pPr>
      <w:tabs>
        <w:tab w:val="left" w:pos="360"/>
      </w:tabs>
      <w:adjustRightInd w:val="0"/>
      <w:snapToGrid w:val="0"/>
      <w:spacing w:beforeLines="50" w:line="360" w:lineRule="auto"/>
      <w:jc w:val="left"/>
    </w:pPr>
    <w:rPr>
      <w:rFonts w:ascii="Arial Unicode MS" w:hAnsi="Arial Unicode MS" w:eastAsia="黑体"/>
      <w:spacing w:val="20"/>
      <w:kern w:val="0"/>
      <w:sz w:val="24"/>
    </w:rPr>
  </w:style>
  <w:style w:type="paragraph" w:customStyle="1" w:styleId="347">
    <w:name w:val="简单回函地址"/>
    <w:basedOn w:val="1"/>
    <w:qFormat/>
    <w:uiPriority w:val="99"/>
    <w:rPr>
      <w:szCs w:val="24"/>
    </w:rPr>
  </w:style>
  <w:style w:type="paragraph" w:customStyle="1" w:styleId="348">
    <w:name w:val="font10"/>
    <w:basedOn w:val="1"/>
    <w:qFormat/>
    <w:uiPriority w:val="99"/>
    <w:pPr>
      <w:widowControl/>
      <w:spacing w:before="100" w:beforeAutospacing="1" w:after="100" w:afterAutospacing="1"/>
      <w:jc w:val="left"/>
    </w:pPr>
    <w:rPr>
      <w:kern w:val="0"/>
      <w:sz w:val="14"/>
      <w:szCs w:val="14"/>
    </w:rPr>
  </w:style>
  <w:style w:type="paragraph" w:customStyle="1" w:styleId="349">
    <w:name w:val="puce"/>
    <w:basedOn w:val="1"/>
    <w:qFormat/>
    <w:uiPriority w:val="99"/>
    <w:pPr>
      <w:widowControl/>
      <w:tabs>
        <w:tab w:val="left" w:pos="1040"/>
      </w:tabs>
      <w:adjustRightInd w:val="0"/>
      <w:snapToGrid w:val="0"/>
      <w:spacing w:beforeLines="50" w:after="120" w:line="360" w:lineRule="auto"/>
      <w:ind w:left="1021" w:hanging="341"/>
    </w:pPr>
    <w:rPr>
      <w:rFonts w:ascii="Arial" w:hAnsi="Arial" w:cs="Arial"/>
      <w:kern w:val="0"/>
      <w:sz w:val="24"/>
    </w:rPr>
  </w:style>
  <w:style w:type="paragraph" w:customStyle="1" w:styleId="350">
    <w:name w:val="表格内容"/>
    <w:basedOn w:val="1"/>
    <w:qFormat/>
    <w:uiPriority w:val="99"/>
    <w:pPr>
      <w:overflowPunct w:val="0"/>
      <w:adjustRightInd w:val="0"/>
      <w:snapToGrid w:val="0"/>
      <w:spacing w:line="300" w:lineRule="auto"/>
      <w:textAlignment w:val="baseline"/>
    </w:pPr>
    <w:rPr>
      <w:rFonts w:ascii="Arial" w:hAnsi="Arial"/>
      <w:kern w:val="0"/>
    </w:rPr>
  </w:style>
  <w:style w:type="paragraph" w:customStyle="1" w:styleId="351">
    <w:name w:val="xl67"/>
    <w:basedOn w:val="1"/>
    <w:qFormat/>
    <w:uiPriority w:val="99"/>
    <w:pPr>
      <w:widowControl/>
      <w:pBdr>
        <w:top w:val="single" w:color="auto" w:sz="4" w:space="0"/>
        <w:bottom w:val="single" w:color="auto" w:sz="4" w:space="0"/>
      </w:pBdr>
      <w:spacing w:before="100" w:beforeAutospacing="1" w:after="100" w:afterAutospacing="1"/>
      <w:jc w:val="left"/>
    </w:pPr>
    <w:rPr>
      <w:rFonts w:ascii="Arial Unicode MS" w:hAnsi="Arial Unicode MS" w:cs="Arial Unicode MS"/>
      <w:kern w:val="0"/>
      <w:sz w:val="24"/>
      <w:szCs w:val="24"/>
    </w:rPr>
  </w:style>
  <w:style w:type="paragraph" w:customStyle="1" w:styleId="352">
    <w:name w:val="xl102"/>
    <w:basedOn w:val="1"/>
    <w:qFormat/>
    <w:uiPriority w:val="99"/>
    <w:pPr>
      <w:widowControl/>
      <w:pBdr>
        <w:top w:val="single" w:color="auto" w:sz="4" w:space="0"/>
        <w:bottom w:val="single" w:color="auto" w:sz="4" w:space="0"/>
      </w:pBdr>
      <w:spacing w:before="100" w:beforeAutospacing="1" w:after="100" w:afterAutospacing="1"/>
      <w:jc w:val="left"/>
    </w:pPr>
    <w:rPr>
      <w:kern w:val="0"/>
      <w:sz w:val="24"/>
      <w:szCs w:val="24"/>
    </w:rPr>
  </w:style>
  <w:style w:type="paragraph" w:customStyle="1" w:styleId="353">
    <w:name w:val="xl88"/>
    <w:basedOn w:val="1"/>
    <w:qFormat/>
    <w:uiPriority w:val="99"/>
    <w:pPr>
      <w:widowControl/>
      <w:pBdr>
        <w:top w:val="single" w:color="auto" w:sz="4" w:space="0"/>
        <w:bottom w:val="single" w:color="auto" w:sz="4" w:space="0"/>
      </w:pBdr>
      <w:spacing w:before="100" w:beforeAutospacing="1" w:after="100" w:afterAutospacing="1"/>
      <w:jc w:val="center"/>
    </w:pPr>
    <w:rPr>
      <w:kern w:val="0"/>
      <w:sz w:val="24"/>
      <w:szCs w:val="24"/>
    </w:rPr>
  </w:style>
  <w:style w:type="paragraph" w:customStyle="1" w:styleId="354">
    <w:name w:val="新正文样式"/>
    <w:basedOn w:val="1"/>
    <w:qFormat/>
    <w:uiPriority w:val="99"/>
    <w:pPr>
      <w:tabs>
        <w:tab w:val="left" w:pos="567"/>
      </w:tabs>
      <w:spacing w:line="360" w:lineRule="auto"/>
      <w:ind w:firstLine="560" w:firstLineChars="200"/>
    </w:pPr>
    <w:rPr>
      <w:rFonts w:eastAsia="华文中宋"/>
      <w:spacing w:val="20"/>
      <w:sz w:val="24"/>
    </w:rPr>
  </w:style>
  <w:style w:type="paragraph" w:customStyle="1" w:styleId="355">
    <w:name w:val="正文文本 21"/>
    <w:basedOn w:val="1"/>
    <w:qFormat/>
    <w:uiPriority w:val="99"/>
    <w:pPr>
      <w:overflowPunct w:val="0"/>
      <w:autoSpaceDE w:val="0"/>
      <w:autoSpaceDN w:val="0"/>
      <w:adjustRightInd w:val="0"/>
      <w:spacing w:after="120" w:line="360" w:lineRule="auto"/>
      <w:textAlignment w:val="baseline"/>
    </w:pPr>
    <w:rPr>
      <w:sz w:val="24"/>
    </w:rPr>
  </w:style>
  <w:style w:type="paragraph" w:customStyle="1" w:styleId="356">
    <w:name w:val="xl55"/>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pPr>
    <w:rPr>
      <w:kern w:val="0"/>
      <w:sz w:val="24"/>
      <w:szCs w:val="24"/>
    </w:rPr>
  </w:style>
  <w:style w:type="paragraph" w:customStyle="1" w:styleId="357">
    <w:name w:val="xl66"/>
    <w:basedOn w:val="1"/>
    <w:qFormat/>
    <w:uiPriority w:val="99"/>
    <w:pPr>
      <w:widowControl/>
      <w:spacing w:before="100" w:after="100"/>
      <w:jc w:val="center"/>
      <w:textAlignment w:val="top"/>
    </w:pPr>
    <w:rPr>
      <w:kern w:val="0"/>
      <w:sz w:val="24"/>
      <w:szCs w:val="24"/>
    </w:rPr>
  </w:style>
  <w:style w:type="paragraph" w:customStyle="1" w:styleId="358">
    <w:name w:val="xl4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16"/>
      <w:szCs w:val="16"/>
    </w:rPr>
  </w:style>
  <w:style w:type="paragraph" w:customStyle="1" w:styleId="359">
    <w:name w:val="xl98"/>
    <w:basedOn w:val="1"/>
    <w:qFormat/>
    <w:uiPriority w:val="99"/>
    <w:pPr>
      <w:widowControl/>
      <w:pBdr>
        <w:top w:val="single" w:color="auto" w:sz="4" w:space="0"/>
        <w:bottom w:val="single" w:color="auto" w:sz="4" w:space="0"/>
      </w:pBdr>
      <w:spacing w:before="100" w:beforeAutospacing="1" w:after="100" w:afterAutospacing="1"/>
      <w:jc w:val="center"/>
    </w:pPr>
    <w:rPr>
      <w:rFonts w:ascii="Arial Unicode MS" w:hAnsi="Arial Unicode MS" w:cs="Arial Unicode MS"/>
      <w:color w:val="008000"/>
      <w:kern w:val="0"/>
      <w:sz w:val="24"/>
      <w:szCs w:val="24"/>
    </w:rPr>
  </w:style>
  <w:style w:type="paragraph" w:customStyle="1" w:styleId="360">
    <w:name w:val="表头"/>
    <w:basedOn w:val="1"/>
    <w:next w:val="1"/>
    <w:qFormat/>
    <w:uiPriority w:val="99"/>
    <w:pPr>
      <w:keepNext/>
      <w:snapToGrid w:val="0"/>
      <w:spacing w:before="60" w:after="60" w:line="400" w:lineRule="exact"/>
      <w:jc w:val="center"/>
    </w:pPr>
    <w:rPr>
      <w:rFonts w:ascii="黑体" w:eastAsia="黑体"/>
      <w:spacing w:val="10"/>
      <w:kern w:val="21"/>
    </w:rPr>
  </w:style>
  <w:style w:type="paragraph" w:customStyle="1" w:styleId="361">
    <w:name w:val="Char Char Char Char1"/>
    <w:basedOn w:val="1"/>
    <w:qFormat/>
    <w:uiPriority w:val="99"/>
  </w:style>
  <w:style w:type="paragraph" w:customStyle="1" w:styleId="362">
    <w:name w:val="基准页眉样式"/>
    <w:basedOn w:val="14"/>
    <w:qFormat/>
    <w:uiPriority w:val="99"/>
    <w:pPr>
      <w:keepLines/>
      <w:widowControl/>
      <w:tabs>
        <w:tab w:val="center" w:pos="-18551"/>
        <w:tab w:val="right" w:pos="4320"/>
      </w:tabs>
      <w:spacing w:after="0" w:line="240" w:lineRule="atLeast"/>
      <w:jc w:val="center"/>
    </w:pPr>
    <w:rPr>
      <w:rFonts w:ascii="Garamond" w:hAnsi="Garamond"/>
      <w:smallCaps/>
      <w:spacing w:val="15"/>
      <w:kern w:val="0"/>
      <w:szCs w:val="21"/>
    </w:rPr>
  </w:style>
  <w:style w:type="paragraph" w:customStyle="1" w:styleId="363">
    <w:name w:val="表体"/>
    <w:basedOn w:val="1"/>
    <w:qFormat/>
    <w:uiPriority w:val="99"/>
    <w:pPr>
      <w:spacing w:line="280" w:lineRule="exact"/>
    </w:pPr>
    <w:rPr>
      <w:rFonts w:ascii="宋体" w:hAnsi="宋体"/>
      <w:szCs w:val="24"/>
    </w:rPr>
  </w:style>
  <w:style w:type="paragraph" w:customStyle="1" w:styleId="364">
    <w:name w:val="流程图"/>
    <w:basedOn w:val="1"/>
    <w:qFormat/>
    <w:uiPriority w:val="99"/>
    <w:pPr>
      <w:tabs>
        <w:tab w:val="left" w:pos="0"/>
      </w:tabs>
      <w:autoSpaceDE w:val="0"/>
      <w:autoSpaceDN w:val="0"/>
      <w:adjustRightInd w:val="0"/>
      <w:spacing w:line="240" w:lineRule="atLeast"/>
      <w:jc w:val="center"/>
      <w:textAlignment w:val="bottom"/>
    </w:pPr>
    <w:rPr>
      <w:rFonts w:ascii="宋体"/>
    </w:rPr>
  </w:style>
  <w:style w:type="paragraph" w:customStyle="1" w:styleId="365">
    <w:name w:val="cell:ctr"/>
    <w:basedOn w:val="1"/>
    <w:qFormat/>
    <w:uiPriority w:val="99"/>
    <w:pPr>
      <w:keepLines/>
      <w:widowControl/>
      <w:overflowPunct w:val="0"/>
      <w:autoSpaceDE w:val="0"/>
      <w:autoSpaceDN w:val="0"/>
      <w:adjustRightInd w:val="0"/>
      <w:spacing w:before="20" w:after="20"/>
      <w:jc w:val="center"/>
      <w:textAlignment w:val="baseline"/>
    </w:pPr>
    <w:rPr>
      <w:kern w:val="0"/>
      <w:sz w:val="24"/>
      <w:lang w:val="en-GB"/>
    </w:rPr>
  </w:style>
  <w:style w:type="paragraph" w:customStyle="1" w:styleId="366">
    <w:name w:val="xl104"/>
    <w:basedOn w:val="1"/>
    <w:qFormat/>
    <w:uiPriority w:val="99"/>
    <w:pPr>
      <w:widowControl/>
      <w:pBdr>
        <w:left w:val="single" w:color="auto" w:sz="4" w:space="0"/>
      </w:pBdr>
      <w:spacing w:before="100" w:beforeAutospacing="1" w:after="100" w:afterAutospacing="1"/>
      <w:jc w:val="center"/>
      <w:textAlignment w:val="center"/>
    </w:pPr>
    <w:rPr>
      <w:rFonts w:ascii="宋体" w:hAnsi="宋体"/>
      <w:kern w:val="0"/>
      <w:sz w:val="24"/>
      <w:szCs w:val="24"/>
    </w:rPr>
  </w:style>
  <w:style w:type="paragraph" w:customStyle="1" w:styleId="367">
    <w:name w:val="xl60"/>
    <w:basedOn w:val="1"/>
    <w:qFormat/>
    <w:uiPriority w:val="99"/>
    <w:pPr>
      <w:widowControl/>
      <w:pBdr>
        <w:left w:val="single" w:color="auto" w:sz="8" w:space="0"/>
        <w:right w:val="single" w:color="auto" w:sz="4" w:space="0"/>
      </w:pBdr>
      <w:spacing w:before="100" w:after="100"/>
      <w:jc w:val="center"/>
      <w:textAlignment w:val="top"/>
    </w:pPr>
    <w:rPr>
      <w:kern w:val="0"/>
      <w:sz w:val="24"/>
    </w:rPr>
  </w:style>
  <w:style w:type="paragraph" w:customStyle="1" w:styleId="368">
    <w:name w:val="Style38"/>
    <w:basedOn w:val="1"/>
    <w:qFormat/>
    <w:uiPriority w:val="99"/>
    <w:pPr>
      <w:adjustRightInd w:val="0"/>
      <w:spacing w:line="436" w:lineRule="exact"/>
      <w:ind w:hanging="490"/>
      <w:jc w:val="left"/>
    </w:pPr>
    <w:rPr>
      <w:kern w:val="0"/>
      <w:sz w:val="24"/>
      <w:szCs w:val="24"/>
    </w:rPr>
  </w:style>
  <w:style w:type="paragraph" w:customStyle="1" w:styleId="369">
    <w:name w:val="xl46"/>
    <w:basedOn w:val="1"/>
    <w:qFormat/>
    <w:uiPriority w:val="99"/>
    <w:pPr>
      <w:widowControl/>
      <w:pBdr>
        <w:bottom w:val="single" w:color="auto" w:sz="4" w:space="0"/>
        <w:right w:val="single" w:color="auto" w:sz="4" w:space="0"/>
      </w:pBdr>
      <w:spacing w:before="100" w:beforeAutospacing="1" w:after="100" w:afterAutospacing="1"/>
      <w:jc w:val="left"/>
    </w:pPr>
    <w:rPr>
      <w:rFonts w:ascii="Arial Unicode MS" w:hAnsi="Arial Unicode MS" w:cs="Arial Unicode MS"/>
      <w:color w:val="FF0000"/>
      <w:kern w:val="0"/>
      <w:sz w:val="24"/>
      <w:szCs w:val="24"/>
    </w:rPr>
  </w:style>
  <w:style w:type="paragraph" w:customStyle="1" w:styleId="370">
    <w:name w:val="xl64"/>
    <w:basedOn w:val="1"/>
    <w:qFormat/>
    <w:uiPriority w:val="99"/>
    <w:pPr>
      <w:widowControl/>
      <w:pBdr>
        <w:left w:val="single" w:color="auto" w:sz="4" w:space="0"/>
        <w:bottom w:val="single" w:color="auto" w:sz="4" w:space="0"/>
        <w:right w:val="single" w:color="auto" w:sz="4" w:space="0"/>
      </w:pBdr>
      <w:spacing w:before="100" w:beforeAutospacing="1" w:after="100" w:afterAutospacing="1"/>
      <w:jc w:val="right"/>
    </w:pPr>
    <w:rPr>
      <w:color w:val="FF0000"/>
      <w:kern w:val="0"/>
      <w:sz w:val="24"/>
      <w:szCs w:val="24"/>
    </w:rPr>
  </w:style>
  <w:style w:type="paragraph" w:customStyle="1" w:styleId="371">
    <w:name w:val="Paratitre"/>
    <w:basedOn w:val="1"/>
    <w:qFormat/>
    <w:uiPriority w:val="99"/>
    <w:pPr>
      <w:widowControl/>
      <w:overflowPunct w:val="0"/>
      <w:autoSpaceDE w:val="0"/>
      <w:autoSpaceDN w:val="0"/>
      <w:adjustRightInd w:val="0"/>
      <w:spacing w:before="240"/>
      <w:ind w:left="700"/>
      <w:textAlignment w:val="baseline"/>
    </w:pPr>
    <w:rPr>
      <w:rFonts w:ascii="Arial" w:hAnsi="Arial"/>
      <w:kern w:val="0"/>
      <w:sz w:val="20"/>
      <w:lang w:val="fr-FR"/>
    </w:rPr>
  </w:style>
  <w:style w:type="paragraph" w:customStyle="1" w:styleId="372">
    <w:name w:val="xl129"/>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pPr>
    <w:rPr>
      <w:kern w:val="0"/>
      <w:sz w:val="22"/>
      <w:szCs w:val="22"/>
    </w:rPr>
  </w:style>
  <w:style w:type="paragraph" w:customStyle="1" w:styleId="373">
    <w:name w:val="xl51"/>
    <w:basedOn w:val="1"/>
    <w:qFormat/>
    <w:uiPriority w:val="99"/>
    <w:pPr>
      <w:widowControl/>
      <w:pBdr>
        <w:left w:val="single" w:color="auto" w:sz="12" w:space="0"/>
        <w:bottom w:val="single" w:color="auto" w:sz="4" w:space="0"/>
        <w:right w:val="single" w:color="auto" w:sz="4" w:space="0"/>
      </w:pBdr>
      <w:spacing w:before="100" w:beforeAutospacing="1" w:after="100" w:afterAutospacing="1"/>
      <w:jc w:val="center"/>
    </w:pPr>
    <w:rPr>
      <w:color w:val="FF0000"/>
      <w:kern w:val="0"/>
      <w:sz w:val="24"/>
      <w:szCs w:val="24"/>
    </w:rPr>
  </w:style>
  <w:style w:type="paragraph" w:customStyle="1" w:styleId="374">
    <w:name w:val="xl39"/>
    <w:basedOn w:val="1"/>
    <w:qFormat/>
    <w:uiPriority w:val="99"/>
    <w:pPr>
      <w:widowControl/>
      <w:pBdr>
        <w:top w:val="single" w:color="auto" w:sz="4" w:space="0"/>
        <w:left w:val="single" w:color="auto" w:sz="4" w:space="0"/>
        <w:bottom w:val="single" w:color="auto" w:sz="4" w:space="0"/>
        <w:right w:val="single" w:color="auto" w:sz="4" w:space="0"/>
      </w:pBdr>
      <w:shd w:val="clear" w:color="auto" w:fill="FFFF00"/>
      <w:spacing w:before="100" w:beforeAutospacing="1" w:after="100" w:afterAutospacing="1"/>
      <w:jc w:val="left"/>
      <w:textAlignment w:val="center"/>
    </w:pPr>
    <w:rPr>
      <w:rFonts w:ascii="宋体" w:hAnsi="宋体"/>
      <w:kern w:val="0"/>
      <w:sz w:val="16"/>
      <w:szCs w:val="16"/>
    </w:rPr>
  </w:style>
  <w:style w:type="paragraph" w:customStyle="1" w:styleId="375">
    <w:name w:val="font0"/>
    <w:basedOn w:val="1"/>
    <w:qFormat/>
    <w:uiPriority w:val="99"/>
    <w:pPr>
      <w:widowControl/>
      <w:spacing w:before="100" w:after="100"/>
      <w:jc w:val="left"/>
    </w:pPr>
    <w:rPr>
      <w:rFonts w:ascii="宋体" w:hAnsi="宋体"/>
      <w:kern w:val="0"/>
      <w:sz w:val="24"/>
      <w:szCs w:val="24"/>
    </w:rPr>
  </w:style>
  <w:style w:type="paragraph" w:customStyle="1" w:styleId="376">
    <w:name w:val="列出段落2"/>
    <w:basedOn w:val="1"/>
    <w:qFormat/>
    <w:uiPriority w:val="99"/>
    <w:pPr>
      <w:ind w:firstLine="420" w:firstLineChars="200"/>
    </w:pPr>
    <w:rPr>
      <w:szCs w:val="24"/>
    </w:rPr>
  </w:style>
  <w:style w:type="paragraph" w:customStyle="1" w:styleId="377">
    <w:name w:val="xl111"/>
    <w:basedOn w:val="1"/>
    <w:qFormat/>
    <w:uiPriority w:val="99"/>
    <w:pPr>
      <w:widowControl/>
      <w:pBdr>
        <w:top w:val="single" w:color="auto" w:sz="4" w:space="0"/>
        <w:bottom w:val="single" w:color="auto" w:sz="4" w:space="0"/>
      </w:pBdr>
      <w:spacing w:before="100" w:beforeAutospacing="1" w:after="100" w:afterAutospacing="1"/>
      <w:jc w:val="left"/>
    </w:pPr>
    <w:rPr>
      <w:rFonts w:ascii="Arial Unicode MS" w:hAnsi="Arial Unicode MS" w:cs="Arial Unicode MS"/>
      <w:color w:val="FF0000"/>
      <w:kern w:val="0"/>
      <w:sz w:val="24"/>
      <w:szCs w:val="24"/>
    </w:rPr>
  </w:style>
  <w:style w:type="paragraph" w:customStyle="1" w:styleId="378">
    <w:name w:val="reader-word-layer reader-word-s3-1"/>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379">
    <w:name w:val="Char Char Char Char Char Char Char Char Char Char1"/>
    <w:basedOn w:val="1"/>
    <w:qFormat/>
    <w:uiPriority w:val="99"/>
    <w:rPr>
      <w:szCs w:val="24"/>
    </w:rPr>
  </w:style>
  <w:style w:type="paragraph" w:customStyle="1" w:styleId="380">
    <w:name w:val="font15"/>
    <w:basedOn w:val="1"/>
    <w:qFormat/>
    <w:uiPriority w:val="99"/>
    <w:pPr>
      <w:widowControl/>
      <w:spacing w:before="100" w:beforeAutospacing="1" w:after="100" w:afterAutospacing="1"/>
      <w:jc w:val="left"/>
    </w:pPr>
    <w:rPr>
      <w:kern w:val="0"/>
      <w:sz w:val="24"/>
      <w:szCs w:val="24"/>
    </w:rPr>
  </w:style>
  <w:style w:type="paragraph" w:customStyle="1" w:styleId="381">
    <w:name w:val="font21"/>
    <w:basedOn w:val="1"/>
    <w:qFormat/>
    <w:uiPriority w:val="99"/>
    <w:pPr>
      <w:widowControl/>
      <w:spacing w:before="100" w:beforeAutospacing="1" w:after="100" w:afterAutospacing="1"/>
      <w:jc w:val="left"/>
    </w:pPr>
    <w:rPr>
      <w:color w:val="FF0000"/>
      <w:kern w:val="0"/>
      <w:sz w:val="24"/>
      <w:szCs w:val="24"/>
    </w:rPr>
  </w:style>
  <w:style w:type="paragraph" w:customStyle="1" w:styleId="382">
    <w:name w:val="正文段落"/>
    <w:basedOn w:val="1"/>
    <w:qFormat/>
    <w:uiPriority w:val="99"/>
    <w:pPr>
      <w:spacing w:line="500" w:lineRule="exact"/>
      <w:ind w:firstLine="480" w:firstLineChars="200"/>
    </w:pPr>
    <w:rPr>
      <w:rFonts w:ascii="宋体" w:hAnsi="宋体"/>
      <w:kern w:val="0"/>
      <w:sz w:val="24"/>
    </w:rPr>
  </w:style>
  <w:style w:type="paragraph" w:customStyle="1" w:styleId="383">
    <w:name w:val="xl34"/>
    <w:basedOn w:val="1"/>
    <w:qFormat/>
    <w:uiPriority w:val="99"/>
    <w:pPr>
      <w:widowControl/>
      <w:spacing w:before="100" w:beforeAutospacing="1" w:after="100" w:afterAutospacing="1"/>
      <w:jc w:val="left"/>
      <w:textAlignment w:val="center"/>
    </w:pPr>
    <w:rPr>
      <w:rFonts w:ascii="宋体" w:hAnsi="宋体"/>
      <w:kern w:val="0"/>
      <w:sz w:val="16"/>
      <w:szCs w:val="16"/>
    </w:rPr>
  </w:style>
  <w:style w:type="paragraph" w:customStyle="1" w:styleId="384">
    <w:name w:val="xl99"/>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cs="Arial Unicode MS"/>
      <w:color w:val="008000"/>
      <w:kern w:val="0"/>
      <w:sz w:val="24"/>
      <w:szCs w:val="24"/>
    </w:rPr>
  </w:style>
  <w:style w:type="paragraph" w:customStyle="1" w:styleId="385">
    <w:name w:val="Char3"/>
    <w:basedOn w:val="1"/>
    <w:qFormat/>
    <w:uiPriority w:val="99"/>
    <w:pPr>
      <w:spacing w:line="360" w:lineRule="auto"/>
    </w:pPr>
    <w:rPr>
      <w:rFonts w:ascii="??_GB2312" w:hAnsi="Tahoma" w:eastAsia="Times New Roman"/>
      <w:szCs w:val="21"/>
    </w:rPr>
  </w:style>
  <w:style w:type="paragraph" w:customStyle="1" w:styleId="386">
    <w:name w:val="xl45"/>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pPr>
    <w:rPr>
      <w:color w:val="FF0000"/>
      <w:kern w:val="0"/>
      <w:sz w:val="24"/>
      <w:szCs w:val="24"/>
    </w:rPr>
  </w:style>
  <w:style w:type="paragraph" w:customStyle="1" w:styleId="387">
    <w:name w:val="框图"/>
    <w:basedOn w:val="1"/>
    <w:qFormat/>
    <w:uiPriority w:val="99"/>
    <w:pPr>
      <w:autoSpaceDE w:val="0"/>
      <w:autoSpaceDN w:val="0"/>
      <w:adjustRightInd w:val="0"/>
      <w:jc w:val="center"/>
    </w:pPr>
    <w:rPr>
      <w:rFonts w:ascii="宋体" w:hAnsi="宋体"/>
      <w:spacing w:val="-8"/>
      <w:szCs w:val="24"/>
    </w:rPr>
  </w:style>
  <w:style w:type="paragraph" w:customStyle="1" w:styleId="388">
    <w:name w:val="xl47"/>
    <w:basedOn w:val="1"/>
    <w:qFormat/>
    <w:uiPriority w:val="99"/>
    <w:pPr>
      <w:widowControl/>
      <w:pBdr>
        <w:left w:val="single" w:color="auto" w:sz="4" w:space="0"/>
        <w:bottom w:val="single" w:color="auto" w:sz="4" w:space="0"/>
      </w:pBdr>
      <w:spacing w:before="100" w:beforeAutospacing="1" w:after="100" w:afterAutospacing="1"/>
      <w:jc w:val="center"/>
    </w:pPr>
    <w:rPr>
      <w:kern w:val="0"/>
      <w:sz w:val="24"/>
      <w:szCs w:val="24"/>
    </w:rPr>
  </w:style>
  <w:style w:type="paragraph" w:customStyle="1" w:styleId="389">
    <w:name w:val="xl79"/>
    <w:basedOn w:val="1"/>
    <w:qFormat/>
    <w:uiPriority w:val="99"/>
    <w:pPr>
      <w:widowControl/>
      <w:pBdr>
        <w:top w:val="single" w:color="auto" w:sz="4" w:space="0"/>
        <w:bottom w:val="single" w:color="auto" w:sz="4" w:space="0"/>
      </w:pBdr>
      <w:spacing w:before="100" w:beforeAutospacing="1" w:after="100" w:afterAutospacing="1"/>
      <w:jc w:val="center"/>
    </w:pPr>
    <w:rPr>
      <w:rFonts w:ascii="Arial Unicode MS" w:hAnsi="Arial Unicode MS" w:cs="Arial Unicode MS"/>
      <w:kern w:val="0"/>
      <w:sz w:val="24"/>
      <w:szCs w:val="24"/>
    </w:rPr>
  </w:style>
  <w:style w:type="paragraph" w:customStyle="1" w:styleId="390">
    <w:name w:val="小标题2"/>
    <w:basedOn w:val="1"/>
    <w:qFormat/>
    <w:uiPriority w:val="99"/>
    <w:pPr>
      <w:tabs>
        <w:tab w:val="left" w:pos="5400"/>
      </w:tabs>
      <w:overflowPunct w:val="0"/>
      <w:adjustRightInd w:val="0"/>
      <w:spacing w:line="336" w:lineRule="auto"/>
      <w:ind w:firstLine="600" w:firstLineChars="200"/>
    </w:pPr>
    <w:rPr>
      <w:rFonts w:ascii="宋体" w:hAnsi="宋体"/>
      <w:sz w:val="30"/>
    </w:rPr>
  </w:style>
  <w:style w:type="paragraph" w:customStyle="1" w:styleId="391">
    <w:name w:val="正文 首行缩进:  2 字符"/>
    <w:basedOn w:val="1"/>
    <w:qFormat/>
    <w:uiPriority w:val="99"/>
    <w:pPr>
      <w:ind w:firstLine="420" w:firstLineChars="200"/>
    </w:pPr>
    <w:rPr>
      <w:rFonts w:ascii="宋体" w:hAnsi="宋体"/>
      <w:sz w:val="28"/>
    </w:rPr>
  </w:style>
  <w:style w:type="paragraph" w:customStyle="1" w:styleId="392">
    <w:name w:val="Default"/>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93">
    <w:name w:val="xl117"/>
    <w:basedOn w:val="1"/>
    <w:qFormat/>
    <w:uiPriority w:val="99"/>
    <w:pPr>
      <w:widowControl/>
      <w:pBdr>
        <w:top w:val="single" w:color="auto" w:sz="4" w:space="0"/>
        <w:bottom w:val="single" w:color="auto" w:sz="4" w:space="0"/>
        <w:right w:val="single" w:color="auto" w:sz="4" w:space="0"/>
      </w:pBdr>
      <w:spacing w:before="100" w:beforeAutospacing="1" w:after="100" w:afterAutospacing="1"/>
    </w:pPr>
    <w:rPr>
      <w:rFonts w:ascii="Arial Unicode MS" w:hAnsi="Arial Unicode MS" w:cs="Arial Unicode MS"/>
      <w:kern w:val="0"/>
      <w:sz w:val="24"/>
      <w:szCs w:val="24"/>
    </w:rPr>
  </w:style>
  <w:style w:type="paragraph" w:customStyle="1" w:styleId="394">
    <w:name w:val="xl26"/>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kern w:val="0"/>
      <w:szCs w:val="21"/>
    </w:rPr>
  </w:style>
  <w:style w:type="paragraph" w:customStyle="1" w:styleId="395">
    <w:name w:val="xl106"/>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pPr>
    <w:rPr>
      <w:rFonts w:ascii="Arial Unicode MS" w:hAnsi="Arial Unicode MS" w:cs="Arial Unicode MS"/>
      <w:color w:val="FF0000"/>
      <w:kern w:val="0"/>
      <w:sz w:val="24"/>
      <w:szCs w:val="24"/>
    </w:rPr>
  </w:style>
  <w:style w:type="paragraph" w:customStyle="1" w:styleId="396">
    <w:name w:val="方框"/>
    <w:basedOn w:val="1"/>
    <w:qFormat/>
    <w:uiPriority w:val="99"/>
    <w:pPr>
      <w:widowControl/>
      <w:spacing w:line="240" w:lineRule="atLeast"/>
    </w:pPr>
    <w:rPr>
      <w:rFonts w:ascii="宋体"/>
      <w:kern w:val="0"/>
      <w:sz w:val="24"/>
    </w:rPr>
  </w:style>
  <w:style w:type="paragraph" w:customStyle="1" w:styleId="397">
    <w:name w:val="ENUM"/>
    <w:basedOn w:val="1"/>
    <w:qFormat/>
    <w:uiPriority w:val="99"/>
    <w:pPr>
      <w:widowControl/>
      <w:tabs>
        <w:tab w:val="left" w:pos="1418"/>
      </w:tabs>
      <w:spacing w:before="60" w:after="60"/>
      <w:ind w:left="1418" w:hanging="284"/>
    </w:pPr>
    <w:rPr>
      <w:rFonts w:ascii="Arial" w:hAnsi="Arial"/>
      <w:kern w:val="0"/>
      <w:sz w:val="22"/>
      <w:lang w:val="en-GB"/>
    </w:rPr>
  </w:style>
  <w:style w:type="paragraph" w:customStyle="1" w:styleId="398">
    <w:name w:val="xl81"/>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cs="Arial Unicode MS"/>
      <w:kern w:val="0"/>
      <w:sz w:val="20"/>
    </w:rPr>
  </w:style>
  <w:style w:type="paragraph" w:customStyle="1" w:styleId="399">
    <w:name w:val="xl73"/>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rFonts w:ascii="Arial Unicode MS" w:hAnsi="Arial Unicode MS" w:cs="Arial Unicode MS"/>
      <w:kern w:val="0"/>
      <w:sz w:val="24"/>
      <w:szCs w:val="24"/>
    </w:rPr>
  </w:style>
  <w:style w:type="paragraph" w:customStyle="1" w:styleId="400">
    <w:name w:val="Style53"/>
    <w:basedOn w:val="1"/>
    <w:qFormat/>
    <w:uiPriority w:val="99"/>
    <w:pPr>
      <w:adjustRightInd w:val="0"/>
      <w:jc w:val="center"/>
    </w:pPr>
    <w:rPr>
      <w:rFonts w:ascii="宋体"/>
      <w:kern w:val="0"/>
      <w:sz w:val="24"/>
      <w:szCs w:val="24"/>
    </w:rPr>
  </w:style>
  <w:style w:type="paragraph" w:customStyle="1" w:styleId="401">
    <w:name w:val="xl120"/>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pPr>
    <w:rPr>
      <w:rFonts w:ascii="Arial Unicode MS" w:hAnsi="Arial Unicode MS" w:cs="Arial Unicode MS"/>
      <w:kern w:val="0"/>
      <w:sz w:val="24"/>
      <w:szCs w:val="24"/>
    </w:rPr>
  </w:style>
  <w:style w:type="paragraph" w:customStyle="1" w:styleId="402">
    <w:name w:val="xl130"/>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pPr>
    <w:rPr>
      <w:kern w:val="0"/>
      <w:sz w:val="20"/>
    </w:rPr>
  </w:style>
  <w:style w:type="paragraph" w:customStyle="1" w:styleId="403">
    <w:name w:val="表格1"/>
    <w:basedOn w:val="1"/>
    <w:qFormat/>
    <w:uiPriority w:val="99"/>
    <w:pPr>
      <w:spacing w:line="320" w:lineRule="exact"/>
      <w:jc w:val="center"/>
    </w:pPr>
    <w:rPr>
      <w:bCs/>
      <w:color w:val="000000"/>
      <w:kern w:val="0"/>
      <w:szCs w:val="19"/>
    </w:rPr>
  </w:style>
  <w:style w:type="paragraph" w:customStyle="1" w:styleId="404">
    <w:name w:val="xl25"/>
    <w:basedOn w:val="1"/>
    <w:qFormat/>
    <w:uiPriority w:val="99"/>
    <w:pPr>
      <w:widowControl/>
      <w:spacing w:before="100" w:beforeAutospacing="1" w:after="100" w:afterAutospacing="1"/>
      <w:jc w:val="left"/>
      <w:textAlignment w:val="center"/>
    </w:pPr>
    <w:rPr>
      <w:color w:val="FF0000"/>
      <w:kern w:val="0"/>
      <w:sz w:val="16"/>
      <w:szCs w:val="16"/>
    </w:rPr>
  </w:style>
  <w:style w:type="paragraph" w:customStyle="1" w:styleId="405">
    <w:name w:val="目次、标准名称标题"/>
    <w:basedOn w:val="1"/>
    <w:next w:val="199"/>
    <w:qFormat/>
    <w:uiPriority w:val="99"/>
    <w:pPr>
      <w:widowControl/>
      <w:shd w:val="clear" w:color="FFFFFF" w:fill="FFFFFF"/>
      <w:spacing w:before="640" w:after="560" w:line="460" w:lineRule="exact"/>
      <w:jc w:val="center"/>
      <w:outlineLvl w:val="0"/>
    </w:pPr>
    <w:rPr>
      <w:rFonts w:ascii="黑体" w:eastAsia="黑体"/>
      <w:kern w:val="0"/>
      <w:sz w:val="32"/>
    </w:rPr>
  </w:style>
  <w:style w:type="paragraph" w:customStyle="1" w:styleId="406">
    <w:name w:val="xl28"/>
    <w:basedOn w:val="1"/>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16"/>
      <w:szCs w:val="16"/>
    </w:rPr>
  </w:style>
  <w:style w:type="paragraph" w:customStyle="1" w:styleId="407">
    <w:name w:val="xl80"/>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pPr>
    <w:rPr>
      <w:rFonts w:ascii="Arial Unicode MS" w:hAnsi="Arial Unicode MS" w:cs="Arial Unicode MS"/>
      <w:kern w:val="0"/>
      <w:sz w:val="24"/>
      <w:szCs w:val="24"/>
    </w:rPr>
  </w:style>
  <w:style w:type="paragraph" w:customStyle="1" w:styleId="408">
    <w:name w:val="样式 样式 环评正文 + (西文) 仿宋_GB2312 (中文) 宋体 10.5 磅 首行缩进:  2 字符 + 首行缩进:  ..."/>
    <w:basedOn w:val="1"/>
    <w:qFormat/>
    <w:uiPriority w:val="99"/>
    <w:pPr>
      <w:spacing w:line="400" w:lineRule="exact"/>
      <w:ind w:firstLine="200" w:firstLineChars="200"/>
    </w:pPr>
    <w:rPr>
      <w:rFonts w:ascii="??_GB2312" w:hAnsi="??_GB2312"/>
      <w:sz w:val="24"/>
    </w:rPr>
  </w:style>
  <w:style w:type="paragraph" w:customStyle="1" w:styleId="409">
    <w:name w:val="Style134"/>
    <w:basedOn w:val="1"/>
    <w:qFormat/>
    <w:uiPriority w:val="99"/>
    <w:pPr>
      <w:adjustRightInd w:val="0"/>
      <w:spacing w:line="173" w:lineRule="exact"/>
    </w:pPr>
    <w:rPr>
      <w:rFonts w:ascii="宋体"/>
      <w:kern w:val="0"/>
      <w:sz w:val="24"/>
      <w:szCs w:val="24"/>
    </w:rPr>
  </w:style>
  <w:style w:type="paragraph" w:customStyle="1" w:styleId="410">
    <w:name w:val="xl82"/>
    <w:basedOn w:val="1"/>
    <w:qFormat/>
    <w:uiPriority w:val="99"/>
    <w:pPr>
      <w:widowControl/>
      <w:pBdr>
        <w:top w:val="single" w:color="auto" w:sz="4" w:space="0"/>
        <w:bottom w:val="single" w:color="auto" w:sz="4" w:space="0"/>
      </w:pBdr>
      <w:spacing w:before="100" w:beforeAutospacing="1" w:after="100" w:afterAutospacing="1"/>
      <w:jc w:val="left"/>
    </w:pPr>
    <w:rPr>
      <w:rFonts w:ascii="Arial Unicode MS" w:hAnsi="Arial Unicode MS" w:cs="Arial Unicode MS"/>
      <w:kern w:val="0"/>
      <w:sz w:val="20"/>
    </w:rPr>
  </w:style>
  <w:style w:type="paragraph" w:customStyle="1" w:styleId="411">
    <w:name w:val="reader-word-layer"/>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412">
    <w:name w:val="一级标题"/>
    <w:basedOn w:val="1"/>
    <w:qFormat/>
    <w:uiPriority w:val="99"/>
    <w:rPr>
      <w:sz w:val="24"/>
      <w:szCs w:val="24"/>
    </w:rPr>
  </w:style>
  <w:style w:type="paragraph" w:customStyle="1" w:styleId="413">
    <w:name w:val="表标题"/>
    <w:basedOn w:val="1"/>
    <w:qFormat/>
    <w:uiPriority w:val="99"/>
    <w:pPr>
      <w:tabs>
        <w:tab w:val="left" w:pos="900"/>
      </w:tabs>
      <w:autoSpaceDE w:val="0"/>
      <w:autoSpaceDN w:val="0"/>
      <w:adjustRightInd w:val="0"/>
      <w:spacing w:line="520" w:lineRule="exact"/>
      <w:ind w:left="2" w:leftChars="1" w:firstLine="840" w:firstLineChars="300"/>
    </w:pPr>
    <w:rPr>
      <w:rFonts w:ascii="宋体" w:hAnsi="宋体"/>
      <w:color w:val="000000"/>
      <w:sz w:val="28"/>
      <w:szCs w:val="28"/>
    </w:rPr>
  </w:style>
  <w:style w:type="paragraph" w:customStyle="1" w:styleId="414">
    <w:name w:val="reader-word-layer reader-word-s5-6"/>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415">
    <w:name w:val="封面标准名称"/>
    <w:qFormat/>
    <w:uiPriority w:val="99"/>
    <w:pPr>
      <w:widowControl w:val="0"/>
      <w:spacing w:line="680" w:lineRule="exact"/>
      <w:jc w:val="center"/>
      <w:textAlignment w:val="center"/>
    </w:pPr>
    <w:rPr>
      <w:rFonts w:ascii="黑体" w:hAnsi="Times New Roman" w:eastAsia="黑体" w:cs="黑体"/>
      <w:sz w:val="52"/>
      <w:szCs w:val="52"/>
      <w:lang w:val="en-US" w:eastAsia="zh-CN" w:bidi="ar-SA"/>
    </w:rPr>
  </w:style>
  <w:style w:type="paragraph" w:customStyle="1" w:styleId="416">
    <w:name w:val="三级条标题"/>
    <w:basedOn w:val="1"/>
    <w:next w:val="199"/>
    <w:qFormat/>
    <w:uiPriority w:val="99"/>
    <w:pPr>
      <w:widowControl/>
      <w:tabs>
        <w:tab w:val="left" w:pos="1680"/>
      </w:tabs>
      <w:ind w:left="1680" w:hanging="420"/>
      <w:outlineLvl w:val="4"/>
    </w:pPr>
    <w:rPr>
      <w:rFonts w:ascii="黑体" w:eastAsia="黑体" w:cs="黑体"/>
      <w:szCs w:val="21"/>
    </w:rPr>
  </w:style>
  <w:style w:type="paragraph" w:customStyle="1" w:styleId="417">
    <w:name w:val="Char Char Char Char Char2 Char"/>
    <w:basedOn w:val="1"/>
    <w:semiHidden/>
    <w:qFormat/>
    <w:uiPriority w:val="99"/>
    <w:pPr>
      <w:adjustRightInd w:val="0"/>
      <w:snapToGrid w:val="0"/>
      <w:spacing w:line="360" w:lineRule="auto"/>
      <w:ind w:firstLine="200" w:firstLineChars="200"/>
    </w:pPr>
    <w:rPr>
      <w:rFonts w:ascii="宋体" w:hAnsi="宋体" w:cs="宋体"/>
      <w:sz w:val="24"/>
      <w:szCs w:val="26"/>
    </w:rPr>
  </w:style>
  <w:style w:type="character" w:customStyle="1" w:styleId="418">
    <w:name w:val="表格 Char Char"/>
    <w:link w:val="193"/>
    <w:qFormat/>
    <w:locked/>
    <w:uiPriority w:val="99"/>
    <w:rPr>
      <w:sz w:val="24"/>
    </w:rPr>
  </w:style>
  <w:style w:type="paragraph" w:customStyle="1" w:styleId="419">
    <w:name w:val="样式8"/>
    <w:basedOn w:val="4"/>
    <w:qFormat/>
    <w:uiPriority w:val="99"/>
    <w:pPr>
      <w:adjustRightInd w:val="0"/>
      <w:snapToGrid w:val="0"/>
      <w:spacing w:before="0" w:after="0" w:line="480" w:lineRule="exact"/>
    </w:pPr>
    <w:rPr>
      <w:sz w:val="26"/>
      <w:szCs w:val="24"/>
    </w:rPr>
  </w:style>
  <w:style w:type="paragraph" w:customStyle="1" w:styleId="420">
    <w:name w:val="样式10"/>
    <w:basedOn w:val="1"/>
    <w:qFormat/>
    <w:uiPriority w:val="99"/>
    <w:pPr>
      <w:adjustRightInd w:val="0"/>
      <w:snapToGrid w:val="0"/>
      <w:spacing w:line="320" w:lineRule="exact"/>
      <w:jc w:val="center"/>
    </w:pPr>
    <w:rPr>
      <w:sz w:val="22"/>
      <w:szCs w:val="22"/>
    </w:rPr>
  </w:style>
  <w:style w:type="character" w:customStyle="1" w:styleId="421">
    <w:name w:val="标题4 Char"/>
    <w:link w:val="346"/>
    <w:qFormat/>
    <w:locked/>
    <w:uiPriority w:val="99"/>
    <w:rPr>
      <w:rFonts w:ascii="Arial Unicode MS" w:hAnsi="Arial Unicode MS" w:eastAsia="黑体"/>
      <w:spacing w:val="20"/>
      <w:sz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50"/>
    <customShpInfo spid="_x0000_s1027"/>
    <customShpInfo spid="_x0000_s1028"/>
    <customShpInfo spid="_x0000_s1029"/>
    <customShpInfo spid="_x0000_s1030"/>
    <customShpInfo spid="_x0000_s1031"/>
    <customShpInfo spid="_x0000_s1032"/>
    <customShpInfo spid="_x0000_s1033"/>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34"/>
    <customShpInfo spid="_x0000_s1049"/>
    <customShpInfo spid="_x0000_s1088"/>
    <customShpInfo spid="_x0000_s1089"/>
    <customShpInfo spid="_x0000_s1090"/>
    <customShpInfo spid="_x0000_s1091"/>
    <customShpInfo spid="_x0000_s1092"/>
    <customShpInfo spid="_x0000_s1093"/>
    <customShpInfo spid="_x0000_s1094"/>
    <customShpInfo spid="_x0000_s1095"/>
    <customShpInfo spid="_x0000_s1096"/>
    <customShpInfo spid="_x0000_s1097"/>
    <customShpInfo spid="_x0000_s1098"/>
    <customShpInfo spid="_x0000_s1099"/>
    <customShpInfo spid="_x0000_s1100"/>
    <customShpInfo spid="_x0000_s1101"/>
    <customShpInfo spid="_x0000_s1102"/>
    <customShpInfo spid="_x0000_s1103"/>
    <customShpInfo spid="_x0000_s1104"/>
    <customShpInfo spid="_x0000_s1105"/>
    <customShpInfo spid="_x0000_s1106"/>
    <customShpInfo spid="_x0000_s1107"/>
    <customShpInfo spid="_x0000_s1108"/>
    <customShpInfo spid="_x0000_s1109"/>
    <customShpInfo spid="_x0000_s1110"/>
    <customShpInfo spid="_x0000_s1111"/>
    <customShpInfo spid="_x0000_s1112"/>
    <customShpInfo spid="_x0000_s1113"/>
    <customShpInfo spid="_x0000_s1114"/>
    <customShpInfo spid="_x0000_s1115"/>
    <customShpInfo spid="_x0000_s1116"/>
    <customShpInfo spid="_x0000_s1117"/>
    <customShpInfo spid="_x0000_s1118"/>
    <customShpInfo spid="_x0000_s1119"/>
    <customShpInfo spid="_x0000_s1120"/>
    <customShpInfo spid="_x0000_s1121"/>
    <customShpInfo spid="_x0000_s1122"/>
    <customShpInfo spid="_x0000_s1123"/>
    <customShpInfo spid="_x0000_s1124"/>
    <customShpInfo spid="_x0000_s1125"/>
    <customShpInfo spid="_x0000_s1126"/>
    <customShpInfo spid="_x0000_s1127"/>
    <customShpInfo spid="_x0000_s1128"/>
    <customShpInfo spid="_x0000_s1051"/>
    <customShpInfo spid="_x0000_s1052"/>
    <customShpInfo spid="_x0000_s1053"/>
    <customShpInfo spid="_x0000_s1054"/>
    <customShpInfo spid="_x0000_s1055"/>
    <customShpInfo spid="_x0000_s1056"/>
    <customShpInfo spid="_x0000_s1057"/>
    <customShpInfo spid="_x0000_s1058"/>
    <customShpInfo spid="_x0000_s1059"/>
    <customShpInfo spid="_x0000_s1060"/>
    <customShpInfo spid="_x0000_s1061"/>
    <customShpInfo spid="_x0000_s1062"/>
    <customShpInfo spid="_x0000_s1063"/>
    <customShpInfo spid="_x0000_s1064"/>
    <customShpInfo spid="_x0000_s1065"/>
    <customShpInfo spid="_x0000_s1066"/>
    <customShpInfo spid="_x0000_s1067"/>
    <customShpInfo spid="_x0000_s1068"/>
    <customShpInfo spid="_x0000_s1069"/>
    <customShpInfo spid="_x0000_s1070"/>
    <customShpInfo spid="_x0000_s1071"/>
    <customShpInfo spid="_x0000_s1072"/>
    <customShpInfo spid="_x0000_s1073"/>
    <customShpInfo spid="_x0000_s1074"/>
    <customShpInfo spid="_x0000_s1075"/>
    <customShpInfo spid="_x0000_s1076"/>
    <customShpInfo spid="_x0000_s1077"/>
    <customShpInfo spid="_x0000_s1078"/>
    <customShpInfo spid="_x0000_s1079"/>
    <customShpInfo spid="_x0000_s1080"/>
    <customShpInfo spid="_x0000_s1081"/>
    <customShpInfo spid="_x0000_s1082"/>
    <customShpInfo spid="_x0000_s1083"/>
    <customShpInfo spid="_x0000_s1084"/>
    <customShpInfo spid="_x0000_s1085"/>
    <customShpInfo spid="_x0000_s1086"/>
    <customShpInfo spid="_x0000_s1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61</Pages>
  <Words>29530</Words>
  <Characters>9029</Characters>
  <Lines>75</Lines>
  <Paragraphs>76</Paragraphs>
  <ScaleCrop>false</ScaleCrop>
  <LinksUpToDate>false</LinksUpToDate>
  <CharactersWithSpaces>38483</CharactersWithSpaces>
  <Application>WPS Office_10.1.0.6490_F1E327BC-269C-435d-A152-05C5408002CA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2014-07-10T06:00:00Z</dcterms:created>
  <dc:creator>wn</dc:creator>
  <cp:lastModifiedBy>Administrator</cp:lastModifiedBy>
  <cp:lastPrinted>2015-01-20T06:22:00Z</cp:lastPrinted>
  <dcterms:modified xsi:type="dcterms:W3CDTF">2017-05-28T09:12:54Z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