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strike/>
          <w:color w:val="000000"/>
          <w:sz w:val="28"/>
        </w:rPr>
      </w:pPr>
    </w:p>
    <w:p>
      <w:pPr>
        <w:tabs>
          <w:tab w:val="left" w:pos="3012"/>
        </w:tabs>
        <w:jc w:val="right"/>
        <w:rPr>
          <w:rFonts w:asciiTheme="minorEastAsia" w:hAnsiTheme="minorEastAsia" w:eastAsiaTheme="minorEastAsia"/>
          <w:b/>
          <w:sz w:val="30"/>
          <w:szCs w:val="30"/>
        </w:rPr>
      </w:pPr>
      <w:r>
        <w:rPr>
          <w:rFonts w:hint="eastAsia" w:asciiTheme="minorEastAsia" w:hAnsiTheme="minorEastAsia" w:eastAsiaTheme="minorEastAsia"/>
          <w:b/>
          <w:sz w:val="30"/>
          <w:szCs w:val="30"/>
        </w:rPr>
        <w:t>版本号：2017版</w:t>
      </w:r>
    </w:p>
    <w:p>
      <w:pPr>
        <w:pStyle w:val="21"/>
        <w:tabs>
          <w:tab w:val="right" w:leader="dot" w:pos="8296"/>
          <w:tab w:val="clear" w:pos="9174"/>
        </w:tabs>
        <w:jc w:val="center"/>
        <w:rPr>
          <w:rFonts w:asciiTheme="minorEastAsia" w:hAnsiTheme="minorEastAsia" w:eastAsiaTheme="minorEastAsia"/>
          <w:b/>
          <w:sz w:val="44"/>
          <w:szCs w:val="44"/>
        </w:rPr>
      </w:pPr>
    </w:p>
    <w:p>
      <w:pPr>
        <w:autoSpaceDE w:val="0"/>
        <w:autoSpaceDN w:val="0"/>
        <w:adjustRightInd w:val="0"/>
        <w:jc w:val="center"/>
        <w:rPr>
          <w:rFonts w:asciiTheme="minorEastAsia" w:hAnsiTheme="minorEastAsia" w:eastAsiaTheme="minorEastAsia"/>
          <w:b/>
          <w:bCs/>
          <w:spacing w:val="-20"/>
          <w:sz w:val="52"/>
          <w:szCs w:val="52"/>
        </w:rPr>
      </w:pPr>
      <w:r>
        <w:rPr>
          <w:rFonts w:hint="eastAsia" w:cs="宋体" w:asciiTheme="minorEastAsia" w:hAnsiTheme="minorEastAsia" w:eastAsiaTheme="minorEastAsia"/>
          <w:b/>
          <w:bCs/>
          <w:spacing w:val="-20"/>
          <w:sz w:val="52"/>
          <w:szCs w:val="52"/>
          <w:lang w:val="zh-CN"/>
        </w:rPr>
        <w:t>重庆市涪陵区拓源污水治理有限公司</w:t>
      </w:r>
    </w:p>
    <w:p>
      <w:pPr>
        <w:autoSpaceDE w:val="0"/>
        <w:autoSpaceDN w:val="0"/>
        <w:adjustRightInd w:val="0"/>
        <w:spacing w:line="680" w:lineRule="exact"/>
        <w:jc w:val="center"/>
        <w:rPr>
          <w:rFonts w:asciiTheme="minorEastAsia" w:hAnsiTheme="minorEastAsia" w:eastAsiaTheme="minorEastAsia"/>
          <w:b/>
          <w:kern w:val="0"/>
          <w:sz w:val="52"/>
          <w:szCs w:val="52"/>
        </w:rPr>
      </w:pPr>
      <w:r>
        <w:rPr>
          <w:rFonts w:hint="eastAsia" w:cs="黑体" w:asciiTheme="minorEastAsia" w:hAnsiTheme="minorEastAsia" w:eastAsiaTheme="minorEastAsia"/>
          <w:b/>
          <w:kern w:val="0"/>
          <w:sz w:val="52"/>
          <w:szCs w:val="52"/>
          <w:lang w:val="zh-CN"/>
        </w:rPr>
        <w:t>白涛潘家坝污水处理厂</w:t>
      </w:r>
    </w:p>
    <w:p>
      <w:pPr>
        <w:pStyle w:val="338"/>
        <w:rPr>
          <w:rFonts w:asciiTheme="minorEastAsia" w:hAnsiTheme="minorEastAsia" w:eastAsiaTheme="minorEastAsia"/>
        </w:rPr>
      </w:pPr>
    </w:p>
    <w:p>
      <w:pPr>
        <w:adjustRightInd w:val="0"/>
        <w:snapToGrid w:val="0"/>
        <w:spacing w:line="480" w:lineRule="auto"/>
        <w:jc w:val="center"/>
        <w:rPr>
          <w:rFonts w:asciiTheme="minorEastAsia" w:hAnsiTheme="minorEastAsia" w:eastAsiaTheme="minorEastAsia"/>
          <w:b/>
          <w:sz w:val="52"/>
        </w:rPr>
      </w:pPr>
      <w:r>
        <w:rPr>
          <w:rFonts w:hint="eastAsia" w:asciiTheme="minorEastAsia" w:hAnsiTheme="minorEastAsia" w:eastAsiaTheme="minorEastAsia"/>
          <w:b/>
          <w:sz w:val="52"/>
        </w:rPr>
        <w:t xml:space="preserve"> 突发环境事件应急预案</w:t>
      </w: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rPr>
          <w:rFonts w:asciiTheme="minorEastAsia" w:hAnsiTheme="minorEastAsia" w:eastAsiaTheme="minorEastAsia"/>
          <w:b/>
          <w:sz w:val="44"/>
          <w:szCs w:val="44"/>
        </w:rPr>
      </w:pPr>
    </w:p>
    <w:p>
      <w:pPr>
        <w:autoSpaceDE w:val="0"/>
        <w:autoSpaceDN w:val="0"/>
        <w:adjustRightInd w:val="0"/>
        <w:spacing w:line="680" w:lineRule="exact"/>
        <w:jc w:val="center"/>
        <w:rPr>
          <w:rFonts w:cs="宋体" w:asciiTheme="minorEastAsia" w:hAnsiTheme="minorEastAsia" w:eastAsiaTheme="minorEastAsia"/>
          <w:b/>
          <w:bCs/>
          <w:spacing w:val="-20"/>
          <w:sz w:val="32"/>
          <w:szCs w:val="32"/>
          <w:lang w:val="zh-CN"/>
        </w:rPr>
      </w:pPr>
      <w:r>
        <w:rPr>
          <w:rFonts w:hint="eastAsia" w:cs="宋体" w:asciiTheme="minorEastAsia" w:hAnsiTheme="minorEastAsia" w:eastAsiaTheme="minorEastAsia"/>
          <w:b/>
          <w:bCs/>
          <w:spacing w:val="-20"/>
          <w:sz w:val="32"/>
          <w:szCs w:val="32"/>
          <w:lang w:val="zh-CN"/>
        </w:rPr>
        <w:t>重庆市涪陵区拓源污水治理有限公司</w:t>
      </w:r>
    </w:p>
    <w:p>
      <w:pPr>
        <w:autoSpaceDE w:val="0"/>
        <w:autoSpaceDN w:val="0"/>
        <w:adjustRightInd w:val="0"/>
        <w:spacing w:line="680" w:lineRule="exact"/>
        <w:jc w:val="center"/>
        <w:rPr>
          <w:rFonts w:asciiTheme="minorEastAsia" w:hAnsiTheme="minorEastAsia" w:eastAsiaTheme="minorEastAsia"/>
          <w:b/>
          <w:kern w:val="0"/>
          <w:sz w:val="32"/>
          <w:szCs w:val="32"/>
        </w:rPr>
      </w:pPr>
      <w:r>
        <w:rPr>
          <w:rFonts w:hint="eastAsia" w:cs="黑体" w:asciiTheme="minorEastAsia" w:hAnsiTheme="minorEastAsia" w:eastAsiaTheme="minorEastAsia"/>
          <w:b/>
          <w:kern w:val="0"/>
          <w:sz w:val="32"/>
          <w:szCs w:val="32"/>
          <w:lang w:val="zh-CN"/>
        </w:rPr>
        <w:t>白涛潘家坝污水处理厂</w:t>
      </w:r>
    </w:p>
    <w:p>
      <w:pPr>
        <w:rPr>
          <w:rFonts w:asciiTheme="minorEastAsia" w:hAnsiTheme="minorEastAsia" w:eastAsiaTheme="minorEastAsia"/>
          <w:b/>
          <w:bCs/>
          <w:sz w:val="32"/>
          <w:szCs w:val="32"/>
        </w:rPr>
      </w:pPr>
    </w:p>
    <w:p>
      <w:pPr>
        <w:jc w:val="center"/>
        <w:rPr>
          <w:rFonts w:asciiTheme="minorEastAsia" w:hAnsiTheme="minorEastAsia" w:eastAsiaTheme="minorEastAsia"/>
        </w:rPr>
      </w:pPr>
      <w:r>
        <w:rPr>
          <w:rFonts w:hint="eastAsia" w:asciiTheme="minorEastAsia" w:hAnsiTheme="minorEastAsia" w:eastAsiaTheme="minorEastAsia"/>
          <w:b/>
          <w:bCs/>
          <w:sz w:val="32"/>
          <w:szCs w:val="32"/>
        </w:rPr>
        <w:t>编制日期：二</w:t>
      </w:r>
      <w:r>
        <w:rPr>
          <w:rFonts w:hint="eastAsia" w:asciiTheme="minorEastAsia" w:hAnsiTheme="minorEastAsia" w:eastAsiaTheme="minorEastAsia"/>
          <w:sz w:val="28"/>
          <w:szCs w:val="28"/>
        </w:rPr>
        <w:t>○</w:t>
      </w:r>
      <w:r>
        <w:rPr>
          <w:rFonts w:hint="eastAsia" w:asciiTheme="minorEastAsia" w:hAnsiTheme="minorEastAsia" w:eastAsiaTheme="minorEastAsia"/>
          <w:b/>
          <w:bCs/>
          <w:sz w:val="32"/>
          <w:szCs w:val="32"/>
        </w:rPr>
        <w:t>一七年五月</w:t>
      </w:r>
    </w:p>
    <w:p>
      <w:pPr>
        <w:spacing w:line="360" w:lineRule="auto"/>
        <w:jc w:val="center"/>
        <w:rPr>
          <w:rFonts w:asciiTheme="minorEastAsia" w:hAnsiTheme="minorEastAsia" w:eastAsiaTheme="minorEastAsia"/>
        </w:rPr>
        <w:sectPr>
          <w:headerReference r:id="rId4" w:type="first"/>
          <w:headerReference r:id="rId3" w:type="default"/>
          <w:pgSz w:w="11906" w:h="16838"/>
          <w:pgMar w:top="1440" w:right="1797" w:bottom="1440" w:left="1797" w:header="851" w:footer="510" w:gutter="0"/>
          <w:cols w:space="720" w:num="1"/>
          <w:titlePg/>
          <w:docGrid w:linePitch="381" w:charSpace="0"/>
        </w:sectPr>
      </w:pPr>
    </w:p>
    <w:p>
      <w:pPr>
        <w:spacing w:line="360" w:lineRule="auto"/>
        <w:jc w:val="center"/>
        <w:rPr>
          <w:rFonts w:cs="宋体" w:asciiTheme="minorEastAsia" w:hAnsiTheme="minorEastAsia" w:eastAsiaTheme="minorEastAsia"/>
          <w:b/>
          <w:bCs/>
          <w:color w:val="FF0000"/>
          <w:spacing w:val="-20"/>
          <w:sz w:val="44"/>
          <w:szCs w:val="44"/>
          <w:lang w:val="zh-CN"/>
        </w:rPr>
      </w:pPr>
      <w:r>
        <w:rPr>
          <w:rFonts w:hint="eastAsia" w:asciiTheme="minorEastAsia" w:hAnsiTheme="minorEastAsia" w:eastAsiaTheme="minorEastAsia"/>
          <w:b/>
          <w:bCs/>
          <w:color w:val="FF0000"/>
          <w:spacing w:val="8"/>
          <w:sz w:val="44"/>
          <w:szCs w:val="44"/>
        </w:rPr>
        <w:t>关于</w:t>
      </w:r>
      <w:r>
        <w:rPr>
          <w:rFonts w:hint="eastAsia" w:cs="宋体" w:asciiTheme="minorEastAsia" w:hAnsiTheme="minorEastAsia" w:eastAsiaTheme="minorEastAsia"/>
          <w:b/>
          <w:bCs/>
          <w:color w:val="FF0000"/>
          <w:spacing w:val="-20"/>
          <w:sz w:val="44"/>
          <w:szCs w:val="44"/>
          <w:lang w:val="zh-CN"/>
        </w:rPr>
        <w:t>重庆市涪陵区拓源污水治理有限公司</w:t>
      </w:r>
    </w:p>
    <w:p>
      <w:pPr>
        <w:spacing w:line="360" w:lineRule="auto"/>
        <w:jc w:val="center"/>
        <w:rPr>
          <w:rFonts w:asciiTheme="minorEastAsia" w:hAnsiTheme="minorEastAsia" w:eastAsiaTheme="minorEastAsia"/>
          <w:b/>
          <w:bCs/>
          <w:color w:val="FF0000"/>
          <w:spacing w:val="8"/>
          <w:sz w:val="44"/>
          <w:szCs w:val="44"/>
        </w:rPr>
      </w:pPr>
      <w:r>
        <w:rPr>
          <w:rFonts w:hint="eastAsia" w:asciiTheme="minorEastAsia" w:hAnsiTheme="minorEastAsia" w:eastAsiaTheme="minorEastAsia"/>
          <w:b/>
          <w:color w:val="FF0000"/>
          <w:sz w:val="44"/>
          <w:szCs w:val="44"/>
        </w:rPr>
        <w:t>白涛潘家坝污水处理厂</w:t>
      </w:r>
    </w:p>
    <w:p>
      <w:pPr>
        <w:spacing w:line="360" w:lineRule="auto"/>
        <w:jc w:val="center"/>
        <w:rPr>
          <w:rFonts w:asciiTheme="minorEastAsia" w:hAnsiTheme="minorEastAsia" w:eastAsiaTheme="minorEastAsia"/>
        </w:rPr>
      </w:pPr>
      <w:r>
        <w:rPr>
          <w:rFonts w:hint="eastAsia" w:asciiTheme="minorEastAsia" w:hAnsiTheme="minorEastAsia" w:eastAsiaTheme="minorEastAsia"/>
          <w:b/>
          <w:bCs/>
          <w:color w:val="FF0000"/>
          <w:spacing w:val="8"/>
          <w:sz w:val="44"/>
          <w:szCs w:val="44"/>
          <w:u w:val="double"/>
        </w:rPr>
        <w:t>《突发环境事件应急预案》实行的通知</w:t>
      </w:r>
    </w:p>
    <w:p>
      <w:pPr>
        <w:spacing w:line="370" w:lineRule="exact"/>
        <w:rPr>
          <w:rFonts w:asciiTheme="minorEastAsia" w:hAnsiTheme="minorEastAsia" w:eastAsiaTheme="minorEastAsia"/>
          <w:sz w:val="30"/>
        </w:rPr>
      </w:pPr>
    </w:p>
    <w:p>
      <w:pPr>
        <w:spacing w:line="360" w:lineRule="auto"/>
        <w:ind w:firstLine="600" w:firstLineChars="200"/>
        <w:rPr>
          <w:rFonts w:asciiTheme="minorEastAsia" w:hAnsiTheme="minorEastAsia" w:eastAsiaTheme="minorEastAsia"/>
          <w:sz w:val="30"/>
        </w:rPr>
      </w:pPr>
      <w:r>
        <w:rPr>
          <w:rFonts w:hint="eastAsia" w:asciiTheme="minorEastAsia" w:hAnsiTheme="minorEastAsia" w:eastAsiaTheme="minorEastAsia"/>
          <w:sz w:val="30"/>
        </w:rPr>
        <w:t>为贯彻《中华人民共和国环境保护法》及其他国家法律、法规及有关文件的要求，有效防范应对突发环境事件，减少单位财产损失，使本公司全体员工了解、熟悉本公司在发生突发环境事件时的应急处置程序，最大限度的减少发生突发环境事件造成的环境污染和生态损失。本单位委托相关部门和机构编制了《</w:t>
      </w:r>
      <w:r>
        <w:rPr>
          <w:rFonts w:hint="eastAsia" w:cs="宋体" w:asciiTheme="minorEastAsia" w:hAnsiTheme="minorEastAsia" w:eastAsiaTheme="minorEastAsia"/>
          <w:bCs/>
          <w:spacing w:val="-20"/>
          <w:sz w:val="30"/>
          <w:szCs w:val="30"/>
          <w:lang w:val="zh-CN"/>
        </w:rPr>
        <w:t>重庆市涪陵区拓源污水治理有限公司</w:t>
      </w:r>
      <w:r>
        <w:rPr>
          <w:rFonts w:hint="eastAsia" w:asciiTheme="minorEastAsia" w:hAnsiTheme="minorEastAsia" w:eastAsiaTheme="minorEastAsia"/>
          <w:sz w:val="30"/>
          <w:szCs w:val="30"/>
        </w:rPr>
        <w:t>白涛潘家坝污水处理厂</w:t>
      </w:r>
      <w:r>
        <w:rPr>
          <w:rFonts w:hint="eastAsia" w:asciiTheme="minorEastAsia" w:hAnsiTheme="minorEastAsia" w:eastAsiaTheme="minorEastAsia"/>
          <w:sz w:val="30"/>
        </w:rPr>
        <w:t>突发环境事件应急预案》。该预案是本单位实施应急救援的规范性文件，用于指导本单位突发环境事故的应急救援行动。</w:t>
      </w:r>
    </w:p>
    <w:p>
      <w:pPr>
        <w:spacing w:line="360" w:lineRule="auto"/>
        <w:ind w:firstLine="600" w:firstLineChars="200"/>
        <w:rPr>
          <w:rFonts w:asciiTheme="minorEastAsia" w:hAnsiTheme="minorEastAsia" w:eastAsiaTheme="minorEastAsia"/>
          <w:sz w:val="30"/>
        </w:rPr>
      </w:pPr>
      <w:r>
        <w:rPr>
          <w:rFonts w:hint="eastAsia" w:asciiTheme="minorEastAsia" w:hAnsiTheme="minorEastAsia" w:eastAsiaTheme="minorEastAsia"/>
          <w:sz w:val="30"/>
        </w:rPr>
        <w:t>本应急预案于2017 年  月  日批准发布，2017 年  月  日正式实施。</w:t>
      </w: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jc w:val="right"/>
        <w:rPr>
          <w:rFonts w:cs="宋体" w:asciiTheme="minorEastAsia" w:hAnsiTheme="minorEastAsia" w:eastAsiaTheme="minorEastAsia"/>
          <w:bCs/>
          <w:spacing w:val="-20"/>
          <w:sz w:val="30"/>
          <w:szCs w:val="30"/>
          <w:lang w:val="zh-CN"/>
        </w:rPr>
      </w:pPr>
      <w:r>
        <w:rPr>
          <w:rFonts w:hint="eastAsia" w:cs="宋体" w:asciiTheme="minorEastAsia" w:hAnsiTheme="minorEastAsia" w:eastAsiaTheme="minorEastAsia"/>
          <w:bCs/>
          <w:spacing w:val="-20"/>
          <w:sz w:val="30"/>
          <w:szCs w:val="30"/>
          <w:lang w:val="zh-CN"/>
        </w:rPr>
        <w:t>重庆市涪陵区拓源污水治理有限公司</w:t>
      </w:r>
    </w:p>
    <w:p>
      <w:pPr>
        <w:spacing w:line="370" w:lineRule="exact"/>
        <w:ind w:right="600"/>
        <w:jc w:val="right"/>
        <w:rPr>
          <w:rFonts w:asciiTheme="minorEastAsia" w:hAnsiTheme="minorEastAsia" w:eastAsiaTheme="minorEastAsia"/>
          <w:sz w:val="30"/>
          <w:szCs w:val="30"/>
        </w:rPr>
      </w:pPr>
      <w:r>
        <w:rPr>
          <w:rFonts w:hint="eastAsia" w:asciiTheme="minorEastAsia" w:hAnsiTheme="minorEastAsia" w:eastAsiaTheme="minorEastAsia"/>
          <w:sz w:val="30"/>
          <w:szCs w:val="30"/>
        </w:rPr>
        <w:t xml:space="preserve">白涛潘家坝污水处理厂                      </w:t>
      </w:r>
    </w:p>
    <w:p>
      <w:pPr>
        <w:spacing w:line="370" w:lineRule="exact"/>
        <w:rPr>
          <w:rFonts w:asciiTheme="minorEastAsia" w:hAnsiTheme="minorEastAsia" w:eastAsiaTheme="minorEastAsia"/>
          <w:sz w:val="30"/>
        </w:rPr>
      </w:pPr>
    </w:p>
    <w:p>
      <w:pPr>
        <w:spacing w:line="240" w:lineRule="atLeast"/>
        <w:rPr>
          <w:rFonts w:asciiTheme="minorEastAsia" w:hAnsiTheme="minorEastAsia" w:eastAsiaTheme="minorEastAsia"/>
          <w:color w:val="FF0000"/>
          <w:spacing w:val="-40"/>
          <w:w w:val="50"/>
          <w:sz w:val="144"/>
        </w:rPr>
      </w:pPr>
      <w:r>
        <w:rPr>
          <w:rFonts w:hint="eastAsia" w:asciiTheme="minorEastAsia" w:hAnsiTheme="minorEastAsia" w:eastAsiaTheme="minorEastAsia"/>
          <w:sz w:val="28"/>
        </w:rPr>
        <w:t xml:space="preserve">                                           2017年   月   日</w:t>
      </w:r>
    </w:p>
    <w:p>
      <w:pPr>
        <w:ind w:firstLine="0" w:firstLineChars="0"/>
        <w:jc w:val="center"/>
        <w:rPr>
          <w:rFonts w:ascii="仿宋_GB2312"/>
          <w:b/>
          <w:sz w:val="44"/>
          <w:szCs w:val="44"/>
        </w:rPr>
      </w:pPr>
      <w:r>
        <w:rPr>
          <w:rFonts w:hint="eastAsia" w:ascii="仿宋_GB2312"/>
          <w:b/>
          <w:sz w:val="44"/>
          <w:szCs w:val="44"/>
        </w:rPr>
        <w:t>目 录</w:t>
      </w:r>
    </w:p>
    <w:p>
      <w:pPr>
        <w:pStyle w:val="21"/>
        <w:tabs>
          <w:tab w:val="right" w:leader="dot" w:pos="9014"/>
          <w:tab w:val="clear" w:pos="9174"/>
        </w:tabs>
      </w:pPr>
      <w:bookmarkStart w:id="830" w:name="_GoBack"/>
      <w:bookmarkEnd w:id="830"/>
      <w:r>
        <w:rPr>
          <w:rFonts w:hint="eastAsia" w:hAnsi="Times New Roman"/>
          <w:sz w:val="24"/>
          <w:szCs w:val="24"/>
        </w:rPr>
        <w:fldChar w:fldCharType="begin"/>
      </w:r>
      <w:r>
        <w:rPr>
          <w:rFonts w:hint="eastAsia" w:hAnsi="Times New Roman"/>
          <w:sz w:val="24"/>
          <w:szCs w:val="24"/>
        </w:rPr>
        <w:instrText xml:space="preserve"> TOC \o "1-2" \h \z \u </w:instrText>
      </w:r>
      <w:r>
        <w:rPr>
          <w:rFonts w:hint="eastAsia" w:hAnsi="Times New Roman"/>
          <w:sz w:val="24"/>
          <w:szCs w:val="24"/>
        </w:rPr>
        <w:fldChar w:fldCharType="separate"/>
      </w:r>
      <w:r>
        <w:rPr>
          <w:rFonts w:hint="eastAsia" w:hAnsi="Times New Roman"/>
          <w:szCs w:val="24"/>
        </w:rPr>
        <w:fldChar w:fldCharType="begin"/>
      </w:r>
      <w:r>
        <w:rPr>
          <w:rFonts w:hint="eastAsia" w:hAnsi="Times New Roman"/>
          <w:szCs w:val="24"/>
        </w:rPr>
        <w:instrText xml:space="preserve"> HYPERLINK \l _Toc27479 </w:instrText>
      </w:r>
      <w:r>
        <w:rPr>
          <w:rFonts w:hint="eastAsia" w:hAnsi="Times New Roman"/>
          <w:szCs w:val="24"/>
        </w:rPr>
        <w:fldChar w:fldCharType="separate"/>
      </w:r>
      <w:r>
        <w:rPr>
          <w:rFonts w:hint="eastAsia" w:asciiTheme="minorEastAsia" w:hAnsiTheme="minorEastAsia" w:eastAsiaTheme="minorEastAsia"/>
          <w:b/>
        </w:rPr>
        <w:t>1总则</w:t>
      </w:r>
      <w:r>
        <w:tab/>
      </w:r>
      <w:r>
        <w:fldChar w:fldCharType="begin"/>
      </w:r>
      <w:r>
        <w:instrText xml:space="preserve"> PAGEREF _Toc27479 </w:instrText>
      </w:r>
      <w:r>
        <w:fldChar w:fldCharType="separate"/>
      </w:r>
      <w:r>
        <w:t>5</w:t>
      </w:r>
      <w:r>
        <w:fldChar w:fldCharType="end"/>
      </w:r>
      <w:r>
        <w:rPr>
          <w:rFonts w:hint="eastAsia" w:hAnsi="Times New Roman"/>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_Toc8856 </w:instrText>
      </w:r>
      <w:r>
        <w:rPr>
          <w:rFonts w:hint="eastAsia" w:ascii="仿宋_GB2312"/>
          <w:szCs w:val="24"/>
        </w:rPr>
        <w:fldChar w:fldCharType="separate"/>
      </w:r>
      <w:r>
        <w:rPr>
          <w:rFonts w:hint="eastAsia"/>
          <w:b/>
          <w:szCs w:val="28"/>
          <w:lang w:val="zh-CN"/>
        </w:rPr>
        <w:t>1.1编制目的</w:t>
      </w:r>
      <w:r>
        <w:tab/>
      </w:r>
      <w:r>
        <w:fldChar w:fldCharType="begin"/>
      </w:r>
      <w:r>
        <w:instrText xml:space="preserve"> PAGEREF _Toc8856 </w:instrText>
      </w:r>
      <w:r>
        <w:fldChar w:fldCharType="separate"/>
      </w:r>
      <w:r>
        <w:t>5</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_Toc7580 </w:instrText>
      </w:r>
      <w:r>
        <w:rPr>
          <w:rFonts w:hint="eastAsia" w:ascii="仿宋_GB2312"/>
          <w:szCs w:val="24"/>
        </w:rPr>
        <w:fldChar w:fldCharType="separate"/>
      </w:r>
      <w:r>
        <w:rPr>
          <w:rFonts w:hint="eastAsia"/>
          <w:b/>
          <w:szCs w:val="28"/>
          <w:lang w:val="zh-CN"/>
        </w:rPr>
        <w:t>1.2编制依据</w:t>
      </w:r>
      <w:r>
        <w:tab/>
      </w:r>
      <w:r>
        <w:fldChar w:fldCharType="begin"/>
      </w:r>
      <w:r>
        <w:instrText xml:space="preserve"> PAGEREF _Toc7580 </w:instrText>
      </w:r>
      <w:r>
        <w:fldChar w:fldCharType="separate"/>
      </w:r>
      <w:r>
        <w:t>5</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_Toc9127 </w:instrText>
      </w:r>
      <w:r>
        <w:rPr>
          <w:rFonts w:hint="eastAsia" w:ascii="仿宋_GB2312"/>
          <w:szCs w:val="24"/>
        </w:rPr>
        <w:fldChar w:fldCharType="separate"/>
      </w:r>
      <w:r>
        <w:rPr>
          <w:rFonts w:hint="eastAsia"/>
          <w:b/>
          <w:szCs w:val="28"/>
          <w:lang w:val="zh-CN"/>
        </w:rPr>
        <w:t>1.3 适用范围</w:t>
      </w:r>
      <w:r>
        <w:tab/>
      </w:r>
      <w:r>
        <w:fldChar w:fldCharType="begin"/>
      </w:r>
      <w:r>
        <w:instrText xml:space="preserve"> PAGEREF _Toc9127 </w:instrText>
      </w:r>
      <w:r>
        <w:fldChar w:fldCharType="separate"/>
      </w:r>
      <w:r>
        <w:t>6</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_Toc24555 </w:instrText>
      </w:r>
      <w:r>
        <w:rPr>
          <w:rFonts w:hint="eastAsia" w:ascii="仿宋_GB2312"/>
          <w:szCs w:val="24"/>
        </w:rPr>
        <w:fldChar w:fldCharType="separate"/>
      </w:r>
      <w:r>
        <w:rPr>
          <w:rFonts w:hint="eastAsia"/>
          <w:b/>
          <w:szCs w:val="28"/>
          <w:lang w:val="zh-CN"/>
        </w:rPr>
        <w:t>1.4应急预案体系</w:t>
      </w:r>
      <w:r>
        <w:tab/>
      </w:r>
      <w:r>
        <w:fldChar w:fldCharType="begin"/>
      </w:r>
      <w:r>
        <w:instrText xml:space="preserve"> PAGEREF _Toc24555 </w:instrText>
      </w:r>
      <w:r>
        <w:fldChar w:fldCharType="separate"/>
      </w:r>
      <w:r>
        <w:t>6</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_Toc25827 </w:instrText>
      </w:r>
      <w:r>
        <w:rPr>
          <w:rFonts w:hint="eastAsia" w:ascii="仿宋_GB2312"/>
          <w:szCs w:val="24"/>
        </w:rPr>
        <w:fldChar w:fldCharType="separate"/>
      </w:r>
      <w:r>
        <w:rPr>
          <w:rFonts w:hint="eastAsia"/>
          <w:b/>
          <w:szCs w:val="28"/>
          <w:lang w:val="zh-CN"/>
        </w:rPr>
        <w:t>1.5应急工作原则</w:t>
      </w:r>
      <w:r>
        <w:tab/>
      </w:r>
      <w:r>
        <w:fldChar w:fldCharType="begin"/>
      </w:r>
      <w:r>
        <w:instrText xml:space="preserve"> PAGEREF _Toc25827 </w:instrText>
      </w:r>
      <w:r>
        <w:fldChar w:fldCharType="separate"/>
      </w:r>
      <w:r>
        <w:t>7</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_Toc31204 </w:instrText>
      </w:r>
      <w:r>
        <w:rPr>
          <w:rFonts w:hint="eastAsia" w:ascii="仿宋_GB2312"/>
          <w:szCs w:val="24"/>
        </w:rPr>
        <w:fldChar w:fldCharType="separate"/>
      </w:r>
      <w:r>
        <w:rPr>
          <w:rFonts w:hint="eastAsia"/>
          <w:b/>
          <w:szCs w:val="28"/>
          <w:lang w:val="zh-CN"/>
        </w:rPr>
        <w:t>1.6 事故分级</w:t>
      </w:r>
      <w:r>
        <w:tab/>
      </w:r>
      <w:r>
        <w:fldChar w:fldCharType="begin"/>
      </w:r>
      <w:r>
        <w:instrText xml:space="preserve"> PAGEREF _Toc31204 </w:instrText>
      </w:r>
      <w:r>
        <w:fldChar w:fldCharType="separate"/>
      </w:r>
      <w:r>
        <w:t>8</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_Toc7064 </w:instrText>
      </w:r>
      <w:r>
        <w:rPr>
          <w:rFonts w:hint="eastAsia" w:ascii="仿宋_GB2312"/>
          <w:szCs w:val="24"/>
        </w:rPr>
        <w:fldChar w:fldCharType="separate"/>
      </w:r>
      <w:r>
        <w:rPr>
          <w:rFonts w:hint="eastAsia" w:asciiTheme="minorEastAsia" w:hAnsiTheme="minorEastAsia" w:eastAsiaTheme="minorEastAsia"/>
          <w:b/>
          <w:lang w:val="zh-CN"/>
        </w:rPr>
        <w:t>2企业基休信息</w:t>
      </w:r>
      <w:r>
        <w:tab/>
      </w:r>
      <w:r>
        <w:fldChar w:fldCharType="begin"/>
      </w:r>
      <w:r>
        <w:instrText xml:space="preserve"> PAGEREF _Toc7064 </w:instrText>
      </w:r>
      <w:r>
        <w:fldChar w:fldCharType="separate"/>
      </w:r>
      <w:r>
        <w:t>9</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_Toc28423 </w:instrText>
      </w:r>
      <w:r>
        <w:rPr>
          <w:rFonts w:hint="eastAsia" w:ascii="仿宋_GB2312"/>
          <w:szCs w:val="24"/>
        </w:rPr>
        <w:fldChar w:fldCharType="separate"/>
      </w:r>
      <w:r>
        <w:rPr>
          <w:rFonts w:hint="eastAsia"/>
          <w:b/>
          <w:szCs w:val="28"/>
          <w:lang w:val="zh-CN"/>
        </w:rPr>
        <w:t>2.1企业基本信息</w:t>
      </w:r>
      <w:r>
        <w:tab/>
      </w:r>
      <w:r>
        <w:fldChar w:fldCharType="begin"/>
      </w:r>
      <w:r>
        <w:instrText xml:space="preserve"> PAGEREF _Toc28423 </w:instrText>
      </w:r>
      <w:r>
        <w:fldChar w:fldCharType="separate"/>
      </w:r>
      <w:r>
        <w:t>9</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_Toc31494 </w:instrText>
      </w:r>
      <w:r>
        <w:rPr>
          <w:rFonts w:hint="eastAsia" w:ascii="仿宋_GB2312"/>
          <w:szCs w:val="24"/>
        </w:rPr>
        <w:fldChar w:fldCharType="separate"/>
      </w:r>
      <w:r>
        <w:rPr>
          <w:rFonts w:hint="eastAsia"/>
          <w:b/>
          <w:szCs w:val="28"/>
          <w:lang w:val="zh-CN"/>
        </w:rPr>
        <w:t>2.2 周边环境概况</w:t>
      </w:r>
      <w:r>
        <w:tab/>
      </w:r>
      <w:r>
        <w:fldChar w:fldCharType="begin"/>
      </w:r>
      <w:r>
        <w:instrText xml:space="preserve"> PAGEREF _Toc31494 </w:instrText>
      </w:r>
      <w:r>
        <w:fldChar w:fldCharType="separate"/>
      </w:r>
      <w:r>
        <w:t>10</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_Toc29775 </w:instrText>
      </w:r>
      <w:r>
        <w:rPr>
          <w:rFonts w:hint="eastAsia" w:ascii="仿宋_GB2312"/>
          <w:szCs w:val="24"/>
        </w:rPr>
        <w:fldChar w:fldCharType="separate"/>
      </w:r>
      <w:r>
        <w:rPr>
          <w:rFonts w:hint="eastAsia"/>
          <w:b/>
          <w:szCs w:val="28"/>
          <w:lang w:val="zh-CN"/>
        </w:rPr>
        <w:t>2.3周边环境关系</w:t>
      </w:r>
      <w:r>
        <w:tab/>
      </w:r>
      <w:r>
        <w:fldChar w:fldCharType="begin"/>
      </w:r>
      <w:r>
        <w:instrText xml:space="preserve"> PAGEREF _Toc29775 </w:instrText>
      </w:r>
      <w:r>
        <w:fldChar w:fldCharType="separate"/>
      </w:r>
      <w:r>
        <w:t>11</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_Toc24599 </w:instrText>
      </w:r>
      <w:r>
        <w:rPr>
          <w:rFonts w:hint="eastAsia" w:ascii="仿宋_GB2312"/>
          <w:szCs w:val="24"/>
        </w:rPr>
        <w:fldChar w:fldCharType="separate"/>
      </w:r>
      <w:r>
        <w:rPr>
          <w:rFonts w:hint="eastAsia"/>
          <w:b/>
          <w:szCs w:val="28"/>
          <w:lang w:val="zh-CN"/>
        </w:rPr>
        <w:t>2.4企业现有污染物及排放标准</w:t>
      </w:r>
      <w:r>
        <w:tab/>
      </w:r>
      <w:r>
        <w:fldChar w:fldCharType="begin"/>
      </w:r>
      <w:r>
        <w:instrText xml:space="preserve"> PAGEREF _Toc24599 </w:instrText>
      </w:r>
      <w:r>
        <w:fldChar w:fldCharType="separate"/>
      </w:r>
      <w:r>
        <w:t>11</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_Toc18317 </w:instrText>
      </w:r>
      <w:r>
        <w:rPr>
          <w:rFonts w:hint="eastAsia" w:ascii="仿宋_GB2312"/>
          <w:szCs w:val="24"/>
        </w:rPr>
        <w:fldChar w:fldCharType="separate"/>
      </w:r>
      <w:r>
        <w:rPr>
          <w:b/>
          <w:szCs w:val="28"/>
        </w:rPr>
        <w:t>2.</w:t>
      </w:r>
      <w:r>
        <w:rPr>
          <w:rFonts w:hint="eastAsia"/>
          <w:b/>
          <w:szCs w:val="28"/>
        </w:rPr>
        <w:t>5</w:t>
      </w:r>
      <w:r>
        <w:rPr>
          <w:b/>
          <w:szCs w:val="28"/>
        </w:rPr>
        <w:t>环境保护目标</w:t>
      </w:r>
      <w:r>
        <w:tab/>
      </w:r>
      <w:r>
        <w:fldChar w:fldCharType="begin"/>
      </w:r>
      <w:r>
        <w:instrText xml:space="preserve"> PAGEREF _Toc18317 </w:instrText>
      </w:r>
      <w:r>
        <w:fldChar w:fldCharType="separate"/>
      </w:r>
      <w:r>
        <w:t>12</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_Toc15281 </w:instrText>
      </w:r>
      <w:r>
        <w:rPr>
          <w:rFonts w:hint="eastAsia" w:ascii="仿宋_GB2312"/>
          <w:szCs w:val="24"/>
        </w:rPr>
        <w:fldChar w:fldCharType="separate"/>
      </w:r>
      <w:r>
        <w:rPr>
          <w:rFonts w:hint="eastAsia" w:asciiTheme="minorEastAsia" w:hAnsiTheme="minorEastAsia" w:eastAsiaTheme="minorEastAsia"/>
          <w:b/>
        </w:rPr>
        <w:t>3</w:t>
      </w:r>
      <w:r>
        <w:rPr>
          <w:rFonts w:hint="eastAsia" w:asciiTheme="minorEastAsia" w:hAnsiTheme="minorEastAsia" w:eastAsiaTheme="minorEastAsia"/>
          <w:b/>
          <w:lang w:val="zh-TW"/>
        </w:rPr>
        <w:t>环境风险源与环境风险评价</w:t>
      </w:r>
      <w:r>
        <w:tab/>
      </w:r>
      <w:r>
        <w:fldChar w:fldCharType="begin"/>
      </w:r>
      <w:r>
        <w:instrText xml:space="preserve"> PAGEREF _Toc15281 </w:instrText>
      </w:r>
      <w:r>
        <w:fldChar w:fldCharType="separate"/>
      </w:r>
      <w:r>
        <w:t>13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_Toc7906 </w:instrText>
      </w:r>
      <w:r>
        <w:rPr>
          <w:rFonts w:hint="eastAsia" w:ascii="仿宋_GB2312"/>
          <w:szCs w:val="24"/>
        </w:rPr>
        <w:fldChar w:fldCharType="separate"/>
      </w:r>
      <w:r>
        <w:rPr>
          <w:rFonts w:hint="eastAsia"/>
          <w:b/>
          <w:szCs w:val="28"/>
        </w:rPr>
        <w:t>3.1生产工艺简介（</w:t>
      </w:r>
      <w:r>
        <w:rPr>
          <w:rFonts w:hint="eastAsia"/>
          <w:b/>
          <w:szCs w:val="28"/>
          <w:lang w:val="zh-CN"/>
        </w:rPr>
        <w:t>水解酸化+A/O</w:t>
      </w:r>
      <w:r>
        <w:rPr>
          <w:rFonts w:hint="eastAsia"/>
          <w:b/>
          <w:szCs w:val="28"/>
        </w:rPr>
        <w:t>污水处理工艺流程）</w:t>
      </w:r>
      <w:r>
        <w:tab/>
      </w:r>
      <w:r>
        <w:fldChar w:fldCharType="begin"/>
      </w:r>
      <w:r>
        <w:instrText xml:space="preserve"> PAGEREF _Toc7906 </w:instrText>
      </w:r>
      <w:r>
        <w:fldChar w:fldCharType="separate"/>
      </w:r>
      <w:r>
        <w:t>13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_Toc14565 </w:instrText>
      </w:r>
      <w:r>
        <w:rPr>
          <w:rFonts w:hint="eastAsia" w:ascii="仿宋_GB2312"/>
          <w:szCs w:val="24"/>
        </w:rPr>
        <w:fldChar w:fldCharType="separate"/>
      </w:r>
      <w:r>
        <w:rPr>
          <w:rFonts w:hint="eastAsia"/>
          <w:b/>
          <w:szCs w:val="28"/>
        </w:rPr>
        <w:t>3</w:t>
      </w:r>
      <w:r>
        <w:rPr>
          <w:b/>
          <w:szCs w:val="28"/>
        </w:rPr>
        <w:t>.2</w:t>
      </w:r>
      <w:r>
        <w:rPr>
          <w:rFonts w:hint="eastAsia"/>
          <w:b/>
          <w:szCs w:val="28"/>
        </w:rPr>
        <w:t>企业</w:t>
      </w:r>
      <w:r>
        <w:rPr>
          <w:b/>
          <w:szCs w:val="28"/>
        </w:rPr>
        <w:t>三废产生及排放处置情况</w:t>
      </w:r>
      <w:r>
        <w:tab/>
      </w:r>
      <w:r>
        <w:fldChar w:fldCharType="begin"/>
      </w:r>
      <w:r>
        <w:instrText xml:space="preserve"> PAGEREF _Toc14565 </w:instrText>
      </w:r>
      <w:r>
        <w:fldChar w:fldCharType="separate"/>
      </w:r>
      <w:r>
        <w:t>14</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_Toc22729 </w:instrText>
      </w:r>
      <w:r>
        <w:rPr>
          <w:rFonts w:hint="eastAsia" w:ascii="仿宋_GB2312"/>
          <w:szCs w:val="24"/>
        </w:rPr>
        <w:fldChar w:fldCharType="separate"/>
      </w:r>
      <w:r>
        <w:rPr>
          <w:rFonts w:hint="eastAsia"/>
          <w:b/>
          <w:szCs w:val="28"/>
        </w:rPr>
        <w:t>3</w:t>
      </w:r>
      <w:r>
        <w:rPr>
          <w:b/>
          <w:szCs w:val="28"/>
        </w:rPr>
        <w:t>.3环境风险源识别</w:t>
      </w:r>
      <w:r>
        <w:tab/>
      </w:r>
      <w:r>
        <w:fldChar w:fldCharType="begin"/>
      </w:r>
      <w:r>
        <w:instrText xml:space="preserve"> PAGEREF _Toc22729 </w:instrText>
      </w:r>
      <w:r>
        <w:fldChar w:fldCharType="separate"/>
      </w:r>
      <w:r>
        <w:t>15</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_Toc17733 </w:instrText>
      </w:r>
      <w:r>
        <w:rPr>
          <w:rFonts w:hint="eastAsia" w:ascii="仿宋_GB2312"/>
          <w:szCs w:val="24"/>
        </w:rPr>
        <w:fldChar w:fldCharType="separate"/>
      </w:r>
      <w:r>
        <w:rPr>
          <w:rFonts w:hint="eastAsia"/>
          <w:b/>
          <w:szCs w:val="26"/>
        </w:rPr>
        <w:t>3</w:t>
      </w:r>
      <w:r>
        <w:rPr>
          <w:b/>
          <w:szCs w:val="26"/>
        </w:rPr>
        <w:t>.4重大危险源识别</w:t>
      </w:r>
      <w:r>
        <w:tab/>
      </w:r>
      <w:r>
        <w:fldChar w:fldCharType="begin"/>
      </w:r>
      <w:r>
        <w:instrText xml:space="preserve"> PAGEREF _Toc17733 </w:instrText>
      </w:r>
      <w:r>
        <w:fldChar w:fldCharType="separate"/>
      </w:r>
      <w:r>
        <w:t>16</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_Toc6531 </w:instrText>
      </w:r>
      <w:r>
        <w:rPr>
          <w:rFonts w:hint="eastAsia" w:ascii="仿宋_GB2312"/>
          <w:szCs w:val="24"/>
        </w:rPr>
        <w:fldChar w:fldCharType="separate"/>
      </w:r>
      <w:r>
        <w:rPr>
          <w:rFonts w:hint="eastAsia"/>
          <w:b/>
          <w:szCs w:val="28"/>
        </w:rPr>
        <w:t>3</w:t>
      </w:r>
      <w:r>
        <w:rPr>
          <w:b/>
          <w:szCs w:val="28"/>
        </w:rPr>
        <w:t>.5企业突发环境事件影响分析</w:t>
      </w:r>
      <w:r>
        <w:tab/>
      </w:r>
      <w:r>
        <w:fldChar w:fldCharType="begin"/>
      </w:r>
      <w:r>
        <w:instrText xml:space="preserve"> PAGEREF _Toc6531 </w:instrText>
      </w:r>
      <w:r>
        <w:fldChar w:fldCharType="separate"/>
      </w:r>
      <w:r>
        <w:t>18</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_Toc5410 </w:instrText>
      </w:r>
      <w:r>
        <w:rPr>
          <w:rFonts w:hint="eastAsia" w:ascii="仿宋_GB2312"/>
          <w:szCs w:val="24"/>
        </w:rPr>
        <w:fldChar w:fldCharType="separate"/>
      </w:r>
      <w:r>
        <w:rPr>
          <w:rFonts w:hint="eastAsia"/>
          <w:b/>
          <w:szCs w:val="28"/>
        </w:rPr>
        <w:t>3</w:t>
      </w:r>
      <w:r>
        <w:rPr>
          <w:b/>
          <w:szCs w:val="28"/>
        </w:rPr>
        <w:t>.</w:t>
      </w:r>
      <w:r>
        <w:rPr>
          <w:rFonts w:hint="eastAsia"/>
          <w:b/>
          <w:szCs w:val="28"/>
        </w:rPr>
        <w:t>5</w:t>
      </w:r>
      <w:r>
        <w:rPr>
          <w:b/>
          <w:szCs w:val="28"/>
        </w:rPr>
        <w:t>.</w:t>
      </w:r>
      <w:r>
        <w:rPr>
          <w:rFonts w:hint="eastAsia"/>
          <w:b/>
          <w:szCs w:val="28"/>
        </w:rPr>
        <w:t>1盐酸泄漏影响分析</w:t>
      </w:r>
      <w:r>
        <w:tab/>
      </w:r>
      <w:r>
        <w:fldChar w:fldCharType="begin"/>
      </w:r>
      <w:r>
        <w:instrText xml:space="preserve"> PAGEREF _Toc5410 </w:instrText>
      </w:r>
      <w:r>
        <w:fldChar w:fldCharType="separate"/>
      </w:r>
      <w:r>
        <w:t>19</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_Toc10479 </w:instrText>
      </w:r>
      <w:r>
        <w:rPr>
          <w:rFonts w:hint="eastAsia" w:ascii="仿宋_GB2312"/>
          <w:szCs w:val="24"/>
        </w:rPr>
        <w:fldChar w:fldCharType="separate"/>
      </w:r>
      <w:r>
        <w:rPr>
          <w:rFonts w:hint="eastAsia"/>
          <w:b/>
          <w:szCs w:val="28"/>
        </w:rPr>
        <w:t>3</w:t>
      </w:r>
      <w:r>
        <w:rPr>
          <w:b/>
          <w:szCs w:val="28"/>
        </w:rPr>
        <w:t>.</w:t>
      </w:r>
      <w:r>
        <w:rPr>
          <w:rFonts w:hint="eastAsia"/>
          <w:b/>
          <w:szCs w:val="28"/>
        </w:rPr>
        <w:t>5</w:t>
      </w:r>
      <w:r>
        <w:rPr>
          <w:b/>
          <w:szCs w:val="28"/>
        </w:rPr>
        <w:t>.</w:t>
      </w:r>
      <w:r>
        <w:rPr>
          <w:rFonts w:hint="eastAsia"/>
          <w:b/>
          <w:szCs w:val="28"/>
        </w:rPr>
        <w:t>2污水直接排放影响分析</w:t>
      </w:r>
      <w:r>
        <w:tab/>
      </w:r>
      <w:r>
        <w:fldChar w:fldCharType="begin"/>
      </w:r>
      <w:r>
        <w:instrText xml:space="preserve"> PAGEREF _Toc10479 </w:instrText>
      </w:r>
      <w:r>
        <w:fldChar w:fldCharType="separate"/>
      </w:r>
      <w:r>
        <w:t>19</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_Toc19073 </w:instrText>
      </w:r>
      <w:r>
        <w:rPr>
          <w:rFonts w:hint="eastAsia" w:ascii="仿宋_GB2312"/>
          <w:szCs w:val="24"/>
        </w:rPr>
        <w:fldChar w:fldCharType="separate"/>
      </w:r>
      <w:r>
        <w:rPr>
          <w:rFonts w:hint="eastAsia"/>
          <w:b/>
          <w:szCs w:val="28"/>
        </w:rPr>
        <w:t>3</w:t>
      </w:r>
      <w:r>
        <w:rPr>
          <w:b/>
          <w:szCs w:val="28"/>
        </w:rPr>
        <w:t>.</w:t>
      </w:r>
      <w:r>
        <w:rPr>
          <w:rFonts w:hint="eastAsia"/>
          <w:b/>
          <w:szCs w:val="28"/>
        </w:rPr>
        <w:t>6</w:t>
      </w:r>
      <w:r>
        <w:rPr>
          <w:b/>
          <w:szCs w:val="28"/>
        </w:rPr>
        <w:t>现有风险防范措施</w:t>
      </w:r>
      <w:r>
        <w:tab/>
      </w:r>
      <w:r>
        <w:fldChar w:fldCharType="begin"/>
      </w:r>
      <w:r>
        <w:instrText xml:space="preserve"> PAGEREF _Toc19073 </w:instrText>
      </w:r>
      <w:r>
        <w:fldChar w:fldCharType="separate"/>
      </w:r>
      <w:r>
        <w:t>19</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_Toc15373 </w:instrText>
      </w:r>
      <w:r>
        <w:rPr>
          <w:rFonts w:hint="eastAsia" w:ascii="仿宋_GB2312"/>
          <w:szCs w:val="24"/>
        </w:rPr>
        <w:fldChar w:fldCharType="separate"/>
      </w:r>
      <w:r>
        <w:rPr>
          <w:rFonts w:hint="eastAsia" w:asciiTheme="minorEastAsia" w:hAnsiTheme="minorEastAsia" w:eastAsiaTheme="minorEastAsia"/>
          <w:b/>
        </w:rPr>
        <w:t>4应急组织及职责</w:t>
      </w:r>
      <w:r>
        <w:tab/>
      </w:r>
      <w:r>
        <w:fldChar w:fldCharType="begin"/>
      </w:r>
      <w:r>
        <w:instrText xml:space="preserve"> PAGEREF _Toc15373 </w:instrText>
      </w:r>
      <w:r>
        <w:fldChar w:fldCharType="separate"/>
      </w:r>
      <w:r>
        <w:t>22</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_Toc23824 </w:instrText>
      </w:r>
      <w:r>
        <w:rPr>
          <w:rFonts w:hint="eastAsia" w:ascii="仿宋_GB2312"/>
          <w:szCs w:val="24"/>
        </w:rPr>
        <w:fldChar w:fldCharType="separate"/>
      </w:r>
      <w:r>
        <w:rPr>
          <w:rFonts w:hint="eastAsia"/>
          <w:b/>
          <w:szCs w:val="28"/>
        </w:rPr>
        <w:t>4.1应急组织机构图</w:t>
      </w:r>
      <w:r>
        <w:tab/>
      </w:r>
      <w:r>
        <w:fldChar w:fldCharType="begin"/>
      </w:r>
      <w:r>
        <w:instrText xml:space="preserve"> PAGEREF _Toc23824 </w:instrText>
      </w:r>
      <w:r>
        <w:fldChar w:fldCharType="separate"/>
      </w:r>
      <w:r>
        <w:t>22</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_Toc28612 </w:instrText>
      </w:r>
      <w:r>
        <w:rPr>
          <w:rFonts w:hint="eastAsia" w:ascii="仿宋_GB2312"/>
          <w:szCs w:val="24"/>
        </w:rPr>
        <w:fldChar w:fldCharType="separate"/>
      </w:r>
      <w:r>
        <w:rPr>
          <w:rFonts w:hint="eastAsia"/>
          <w:b/>
          <w:szCs w:val="28"/>
        </w:rPr>
        <w:t>4.2组织机构成员名单</w:t>
      </w:r>
      <w:r>
        <w:tab/>
      </w:r>
      <w:r>
        <w:fldChar w:fldCharType="begin"/>
      </w:r>
      <w:r>
        <w:instrText xml:space="preserve"> PAGEREF _Toc28612 </w:instrText>
      </w:r>
      <w:r>
        <w:fldChar w:fldCharType="separate"/>
      </w:r>
      <w:r>
        <w:t>22</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_Toc4702 </w:instrText>
      </w:r>
      <w:r>
        <w:rPr>
          <w:rFonts w:hint="eastAsia" w:ascii="仿宋_GB2312"/>
          <w:szCs w:val="24"/>
        </w:rPr>
        <w:fldChar w:fldCharType="separate"/>
      </w:r>
      <w:r>
        <w:rPr>
          <w:rFonts w:hint="eastAsia"/>
          <w:b/>
          <w:szCs w:val="28"/>
        </w:rPr>
        <w:t>4.3应急组织职责</w:t>
      </w:r>
      <w:r>
        <w:tab/>
      </w:r>
      <w:r>
        <w:fldChar w:fldCharType="begin"/>
      </w:r>
      <w:r>
        <w:instrText xml:space="preserve"> PAGEREF _Toc4702 </w:instrText>
      </w:r>
      <w:r>
        <w:fldChar w:fldCharType="separate"/>
      </w:r>
      <w:r>
        <w:t>24</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_Toc9888 </w:instrText>
      </w:r>
      <w:r>
        <w:rPr>
          <w:rFonts w:hint="eastAsia" w:ascii="仿宋_GB2312"/>
          <w:szCs w:val="24"/>
        </w:rPr>
        <w:fldChar w:fldCharType="separate"/>
      </w:r>
      <w:r>
        <w:rPr>
          <w:rFonts w:hint="eastAsia"/>
          <w:b/>
          <w:szCs w:val="28"/>
        </w:rPr>
        <w:t>4.4应急</w:t>
      </w:r>
      <w:r>
        <w:rPr>
          <w:b/>
          <w:szCs w:val="28"/>
        </w:rPr>
        <w:t>预案</w:t>
      </w:r>
      <w:r>
        <w:rPr>
          <w:rFonts w:hint="eastAsia"/>
          <w:b/>
          <w:szCs w:val="28"/>
        </w:rPr>
        <w:t>体系转换</w:t>
      </w:r>
      <w:r>
        <w:rPr>
          <w:b/>
          <w:szCs w:val="28"/>
        </w:rPr>
        <w:t>与</w:t>
      </w:r>
      <w:r>
        <w:rPr>
          <w:rFonts w:hint="eastAsia"/>
          <w:b/>
          <w:szCs w:val="28"/>
        </w:rPr>
        <w:t>衔接条件</w:t>
      </w:r>
      <w:r>
        <w:tab/>
      </w:r>
      <w:r>
        <w:fldChar w:fldCharType="begin"/>
      </w:r>
      <w:r>
        <w:instrText xml:space="preserve"> PAGEREF _Toc9888 </w:instrText>
      </w:r>
      <w:r>
        <w:fldChar w:fldCharType="separate"/>
      </w:r>
      <w:r>
        <w:t>25</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_Toc4379 </w:instrText>
      </w:r>
      <w:r>
        <w:rPr>
          <w:rFonts w:hint="eastAsia" w:ascii="仿宋_GB2312"/>
          <w:szCs w:val="24"/>
        </w:rPr>
        <w:fldChar w:fldCharType="separate"/>
      </w:r>
      <w:r>
        <w:rPr>
          <w:rFonts w:hint="eastAsia" w:asciiTheme="minorEastAsia" w:hAnsiTheme="minorEastAsia" w:eastAsiaTheme="minorEastAsia"/>
          <w:b/>
        </w:rPr>
        <w:t>5预警及信息报告</w:t>
      </w:r>
      <w:r>
        <w:tab/>
      </w:r>
      <w:r>
        <w:fldChar w:fldCharType="begin"/>
      </w:r>
      <w:r>
        <w:instrText xml:space="preserve"> PAGEREF _Toc4379 </w:instrText>
      </w:r>
      <w:r>
        <w:fldChar w:fldCharType="separate"/>
      </w:r>
      <w:r>
        <w:t>26</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_Toc18843 </w:instrText>
      </w:r>
      <w:r>
        <w:rPr>
          <w:rFonts w:hint="eastAsia" w:ascii="仿宋_GB2312"/>
          <w:szCs w:val="24"/>
        </w:rPr>
        <w:fldChar w:fldCharType="separate"/>
      </w:r>
      <w:r>
        <w:rPr>
          <w:rFonts w:hint="eastAsia"/>
          <w:b/>
          <w:szCs w:val="28"/>
        </w:rPr>
        <w:t>5.1预防措施</w:t>
      </w:r>
      <w:r>
        <w:tab/>
      </w:r>
      <w:r>
        <w:fldChar w:fldCharType="begin"/>
      </w:r>
      <w:r>
        <w:instrText xml:space="preserve"> PAGEREF _Toc18843 </w:instrText>
      </w:r>
      <w:r>
        <w:fldChar w:fldCharType="separate"/>
      </w:r>
      <w:r>
        <w:t>26</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_Toc12087 </w:instrText>
      </w:r>
      <w:r>
        <w:rPr>
          <w:rFonts w:hint="eastAsia" w:ascii="仿宋_GB2312"/>
          <w:szCs w:val="24"/>
        </w:rPr>
        <w:fldChar w:fldCharType="separate"/>
      </w:r>
      <w:r>
        <w:rPr>
          <w:rFonts w:hint="eastAsia"/>
          <w:b/>
          <w:szCs w:val="28"/>
        </w:rPr>
        <w:t>5.2预警措施</w:t>
      </w:r>
      <w:r>
        <w:tab/>
      </w:r>
      <w:r>
        <w:fldChar w:fldCharType="begin"/>
      </w:r>
      <w:r>
        <w:instrText xml:space="preserve"> PAGEREF _Toc12087 </w:instrText>
      </w:r>
      <w:r>
        <w:fldChar w:fldCharType="separate"/>
      </w:r>
      <w:r>
        <w:t>27</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_Toc11323 </w:instrText>
      </w:r>
      <w:r>
        <w:rPr>
          <w:rFonts w:hint="eastAsia" w:ascii="仿宋_GB2312"/>
          <w:szCs w:val="24"/>
        </w:rPr>
        <w:fldChar w:fldCharType="separate"/>
      </w:r>
      <w:r>
        <w:rPr>
          <w:rFonts w:hint="eastAsia"/>
          <w:b/>
          <w:szCs w:val="28"/>
        </w:rPr>
        <w:t>5.3有效报警方式</w:t>
      </w:r>
      <w:r>
        <w:tab/>
      </w:r>
      <w:r>
        <w:fldChar w:fldCharType="begin"/>
      </w:r>
      <w:r>
        <w:instrText xml:space="preserve"> PAGEREF _Toc11323 </w:instrText>
      </w:r>
      <w:r>
        <w:fldChar w:fldCharType="separate"/>
      </w:r>
      <w:r>
        <w:t>28</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_Toc23062 </w:instrText>
      </w:r>
      <w:r>
        <w:rPr>
          <w:rFonts w:hint="eastAsia" w:ascii="仿宋_GB2312"/>
          <w:szCs w:val="24"/>
        </w:rPr>
        <w:fldChar w:fldCharType="separate"/>
      </w:r>
      <w:r>
        <w:rPr>
          <w:rFonts w:hint="eastAsia"/>
          <w:b/>
          <w:szCs w:val="28"/>
        </w:rPr>
        <w:t>5.4信息报告与通报</w:t>
      </w:r>
      <w:r>
        <w:tab/>
      </w:r>
      <w:r>
        <w:fldChar w:fldCharType="begin"/>
      </w:r>
      <w:r>
        <w:instrText xml:space="preserve"> PAGEREF _Toc23062 </w:instrText>
      </w:r>
      <w:r>
        <w:fldChar w:fldCharType="separate"/>
      </w:r>
      <w:r>
        <w:t>29</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_Toc5763 </w:instrText>
      </w:r>
      <w:r>
        <w:rPr>
          <w:rFonts w:hint="eastAsia" w:ascii="仿宋_GB2312"/>
          <w:szCs w:val="24"/>
        </w:rPr>
        <w:fldChar w:fldCharType="separate"/>
      </w:r>
      <w:r>
        <w:rPr>
          <w:rFonts w:hint="eastAsia" w:asciiTheme="minorEastAsia" w:hAnsiTheme="minorEastAsia" w:eastAsiaTheme="minorEastAsia"/>
          <w:b/>
        </w:rPr>
        <w:t>6应急响应</w:t>
      </w:r>
      <w:r>
        <w:tab/>
      </w:r>
      <w:r>
        <w:fldChar w:fldCharType="begin"/>
      </w:r>
      <w:r>
        <w:instrText xml:space="preserve"> PAGEREF _Toc5763 </w:instrText>
      </w:r>
      <w:r>
        <w:fldChar w:fldCharType="separate"/>
      </w:r>
      <w:r>
        <w:t>30</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_Toc12589 </w:instrText>
      </w:r>
      <w:r>
        <w:rPr>
          <w:rFonts w:hint="eastAsia" w:ascii="仿宋_GB2312"/>
          <w:szCs w:val="24"/>
        </w:rPr>
        <w:fldChar w:fldCharType="separate"/>
      </w:r>
      <w:r>
        <w:rPr>
          <w:rFonts w:hint="eastAsia"/>
          <w:b/>
          <w:szCs w:val="28"/>
        </w:rPr>
        <w:t>6.1响应分级</w:t>
      </w:r>
      <w:r>
        <w:tab/>
      </w:r>
      <w:r>
        <w:fldChar w:fldCharType="begin"/>
      </w:r>
      <w:r>
        <w:instrText xml:space="preserve"> PAGEREF _Toc12589 </w:instrText>
      </w:r>
      <w:r>
        <w:fldChar w:fldCharType="separate"/>
      </w:r>
      <w:r>
        <w:t>30</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_Toc19340 </w:instrText>
      </w:r>
      <w:r>
        <w:rPr>
          <w:rFonts w:hint="eastAsia" w:ascii="仿宋_GB2312"/>
          <w:szCs w:val="24"/>
        </w:rPr>
        <w:fldChar w:fldCharType="separate"/>
      </w:r>
      <w:r>
        <w:rPr>
          <w:rFonts w:hint="eastAsia"/>
          <w:b/>
          <w:szCs w:val="28"/>
        </w:rPr>
        <w:t>6.2响应程序</w:t>
      </w:r>
      <w:r>
        <w:tab/>
      </w:r>
      <w:r>
        <w:fldChar w:fldCharType="begin"/>
      </w:r>
      <w:r>
        <w:instrText xml:space="preserve"> PAGEREF _Toc19340 </w:instrText>
      </w:r>
      <w:r>
        <w:fldChar w:fldCharType="separate"/>
      </w:r>
      <w:r>
        <w:t>30</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_Toc28360 </w:instrText>
      </w:r>
      <w:r>
        <w:rPr>
          <w:rFonts w:hint="eastAsia" w:ascii="仿宋_GB2312"/>
          <w:szCs w:val="24"/>
        </w:rPr>
        <w:fldChar w:fldCharType="separate"/>
      </w:r>
      <w:r>
        <w:rPr>
          <w:rFonts w:hint="eastAsia"/>
          <w:b/>
          <w:szCs w:val="28"/>
          <w:lang w:val="zh-CN"/>
        </w:rPr>
        <w:t>6.3 抢险、救援及控制措施</w:t>
      </w:r>
      <w:r>
        <w:tab/>
      </w:r>
      <w:r>
        <w:fldChar w:fldCharType="begin"/>
      </w:r>
      <w:r>
        <w:instrText xml:space="preserve"> PAGEREF _Toc28360 </w:instrText>
      </w:r>
      <w:r>
        <w:fldChar w:fldCharType="separate"/>
      </w:r>
      <w:r>
        <w:t>30</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_Toc22975 </w:instrText>
      </w:r>
      <w:r>
        <w:rPr>
          <w:rFonts w:hint="eastAsia" w:ascii="仿宋_GB2312"/>
          <w:szCs w:val="24"/>
        </w:rPr>
        <w:fldChar w:fldCharType="separate"/>
      </w:r>
      <w:r>
        <w:rPr>
          <w:rFonts w:hint="eastAsia"/>
          <w:b/>
          <w:szCs w:val="28"/>
          <w:lang w:val="zh-CN"/>
        </w:rPr>
        <w:t>6.4应急处置措施</w:t>
      </w:r>
      <w:r>
        <w:tab/>
      </w:r>
      <w:r>
        <w:fldChar w:fldCharType="begin"/>
      </w:r>
      <w:r>
        <w:instrText xml:space="preserve"> PAGEREF _Toc22975 </w:instrText>
      </w:r>
      <w:r>
        <w:fldChar w:fldCharType="separate"/>
      </w:r>
      <w:r>
        <w:t>33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_Toc22474 </w:instrText>
      </w:r>
      <w:r>
        <w:rPr>
          <w:rFonts w:hint="eastAsia" w:ascii="仿宋_GB2312"/>
          <w:szCs w:val="24"/>
        </w:rPr>
        <w:fldChar w:fldCharType="separate"/>
      </w:r>
      <w:r>
        <w:rPr>
          <w:rFonts w:hint="eastAsia"/>
          <w:b/>
          <w:szCs w:val="28"/>
          <w:lang w:val="zh-CN"/>
        </w:rPr>
        <w:t>6.4.1处置原则</w:t>
      </w:r>
      <w:r>
        <w:tab/>
      </w:r>
      <w:r>
        <w:fldChar w:fldCharType="begin"/>
      </w:r>
      <w:r>
        <w:instrText xml:space="preserve"> PAGEREF _Toc22474 </w:instrText>
      </w:r>
      <w:r>
        <w:fldChar w:fldCharType="separate"/>
      </w:r>
      <w:r>
        <w:t>33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_Toc10758 </w:instrText>
      </w:r>
      <w:r>
        <w:rPr>
          <w:rFonts w:hint="eastAsia" w:ascii="仿宋_GB2312"/>
          <w:szCs w:val="24"/>
        </w:rPr>
        <w:fldChar w:fldCharType="separate"/>
      </w:r>
      <w:r>
        <w:rPr>
          <w:rFonts w:hint="eastAsia"/>
          <w:b/>
          <w:szCs w:val="28"/>
          <w:lang w:val="zh-CN"/>
        </w:rPr>
        <w:t>6.4.2 应急流程</w:t>
      </w:r>
      <w:r>
        <w:tab/>
      </w:r>
      <w:r>
        <w:fldChar w:fldCharType="begin"/>
      </w:r>
      <w:r>
        <w:instrText xml:space="preserve"> PAGEREF _Toc10758 </w:instrText>
      </w:r>
      <w:r>
        <w:fldChar w:fldCharType="separate"/>
      </w:r>
      <w:r>
        <w:t>33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_Toc29351 </w:instrText>
      </w:r>
      <w:r>
        <w:rPr>
          <w:rFonts w:hint="eastAsia" w:ascii="仿宋_GB2312"/>
          <w:szCs w:val="24"/>
        </w:rPr>
        <w:fldChar w:fldCharType="separate"/>
      </w:r>
      <w:r>
        <w:rPr>
          <w:rFonts w:hint="eastAsia"/>
          <w:b/>
          <w:szCs w:val="28"/>
          <w:lang w:val="zh-CN"/>
        </w:rPr>
        <w:t>6.4.3一源一案</w:t>
      </w:r>
      <w:r>
        <w:tab/>
      </w:r>
      <w:r>
        <w:fldChar w:fldCharType="begin"/>
      </w:r>
      <w:r>
        <w:instrText xml:space="preserve"> PAGEREF _Toc29351 </w:instrText>
      </w:r>
      <w:r>
        <w:fldChar w:fldCharType="separate"/>
      </w:r>
      <w:r>
        <w:t>35</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_Toc11638 </w:instrText>
      </w:r>
      <w:r>
        <w:rPr>
          <w:rFonts w:hint="eastAsia" w:ascii="仿宋_GB2312"/>
          <w:szCs w:val="24"/>
        </w:rPr>
        <w:fldChar w:fldCharType="separate"/>
      </w:r>
      <w:r>
        <w:rPr>
          <w:rFonts w:hint="eastAsia"/>
          <w:b/>
          <w:szCs w:val="28"/>
          <w:lang w:val="zh-CN"/>
        </w:rPr>
        <w:t>6.5应急监测</w:t>
      </w:r>
      <w:r>
        <w:tab/>
      </w:r>
      <w:r>
        <w:fldChar w:fldCharType="begin"/>
      </w:r>
      <w:r>
        <w:instrText xml:space="preserve"> PAGEREF _Toc11638 </w:instrText>
      </w:r>
      <w:r>
        <w:fldChar w:fldCharType="separate"/>
      </w:r>
      <w:r>
        <w:t>41</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_Toc1765 </w:instrText>
      </w:r>
      <w:r>
        <w:rPr>
          <w:rFonts w:hint="eastAsia" w:ascii="仿宋_GB2312"/>
          <w:szCs w:val="24"/>
        </w:rPr>
        <w:fldChar w:fldCharType="separate"/>
      </w:r>
      <w:r>
        <w:rPr>
          <w:rFonts w:hint="eastAsia"/>
          <w:b/>
          <w:szCs w:val="28"/>
          <w:lang w:val="zh-CN"/>
        </w:rPr>
        <w:t>6.6应急终止</w:t>
      </w:r>
      <w:r>
        <w:tab/>
      </w:r>
      <w:r>
        <w:fldChar w:fldCharType="begin"/>
      </w:r>
      <w:r>
        <w:instrText xml:space="preserve"> PAGEREF _Toc1765 </w:instrText>
      </w:r>
      <w:r>
        <w:fldChar w:fldCharType="separate"/>
      </w:r>
      <w:r>
        <w:t>42</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_Toc17717 </w:instrText>
      </w:r>
      <w:r>
        <w:rPr>
          <w:rFonts w:hint="eastAsia" w:ascii="仿宋_GB2312"/>
          <w:szCs w:val="24"/>
        </w:rPr>
        <w:fldChar w:fldCharType="separate"/>
      </w:r>
      <w:r>
        <w:rPr>
          <w:rFonts w:hint="eastAsia" w:asciiTheme="minorEastAsia" w:hAnsiTheme="minorEastAsia" w:eastAsiaTheme="minorEastAsia"/>
          <w:b/>
        </w:rPr>
        <w:t>7后期处置</w:t>
      </w:r>
      <w:r>
        <w:tab/>
      </w:r>
      <w:r>
        <w:fldChar w:fldCharType="begin"/>
      </w:r>
      <w:r>
        <w:instrText xml:space="preserve"> PAGEREF _Toc17717 </w:instrText>
      </w:r>
      <w:r>
        <w:fldChar w:fldCharType="separate"/>
      </w:r>
      <w:r>
        <w:t>43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_Toc12771 </w:instrText>
      </w:r>
      <w:r>
        <w:rPr>
          <w:rFonts w:hint="eastAsia" w:ascii="仿宋_GB2312"/>
          <w:szCs w:val="24"/>
        </w:rPr>
        <w:fldChar w:fldCharType="separate"/>
      </w:r>
      <w:r>
        <w:rPr>
          <w:rFonts w:hint="eastAsia"/>
          <w:b/>
          <w:szCs w:val="28"/>
          <w:lang w:val="zh-CN"/>
        </w:rPr>
        <w:t>7.1 污染物处理</w:t>
      </w:r>
      <w:r>
        <w:tab/>
      </w:r>
      <w:r>
        <w:fldChar w:fldCharType="begin"/>
      </w:r>
      <w:r>
        <w:instrText xml:space="preserve"> PAGEREF _Toc12771 </w:instrText>
      </w:r>
      <w:r>
        <w:fldChar w:fldCharType="separate"/>
      </w:r>
      <w:r>
        <w:t>43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_Toc7852 </w:instrText>
      </w:r>
      <w:r>
        <w:rPr>
          <w:rFonts w:hint="eastAsia" w:ascii="仿宋_GB2312"/>
          <w:szCs w:val="24"/>
        </w:rPr>
        <w:fldChar w:fldCharType="separate"/>
      </w:r>
      <w:r>
        <w:rPr>
          <w:rFonts w:hint="eastAsia"/>
          <w:b/>
          <w:szCs w:val="28"/>
          <w:lang w:val="zh-CN"/>
        </w:rPr>
        <w:t>7.2生产秩序恢复</w:t>
      </w:r>
      <w:r>
        <w:tab/>
      </w:r>
      <w:r>
        <w:fldChar w:fldCharType="begin"/>
      </w:r>
      <w:r>
        <w:instrText xml:space="preserve"> PAGEREF _Toc7852 </w:instrText>
      </w:r>
      <w:r>
        <w:fldChar w:fldCharType="separate"/>
      </w:r>
      <w:r>
        <w:t>43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_Toc709 </w:instrText>
      </w:r>
      <w:r>
        <w:rPr>
          <w:rFonts w:hint="eastAsia" w:ascii="仿宋_GB2312"/>
          <w:szCs w:val="24"/>
        </w:rPr>
        <w:fldChar w:fldCharType="separate"/>
      </w:r>
      <w:r>
        <w:rPr>
          <w:rFonts w:hint="eastAsia"/>
          <w:b/>
          <w:szCs w:val="28"/>
          <w:lang w:val="zh-CN"/>
        </w:rPr>
        <w:t>7.3善后处置（医疗救治、人员安置、善后赔偿）</w:t>
      </w:r>
      <w:r>
        <w:tab/>
      </w:r>
      <w:r>
        <w:fldChar w:fldCharType="begin"/>
      </w:r>
      <w:r>
        <w:instrText xml:space="preserve"> PAGEREF _Toc709 </w:instrText>
      </w:r>
      <w:r>
        <w:fldChar w:fldCharType="separate"/>
      </w:r>
      <w:r>
        <w:t>43</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_Toc20046 </w:instrText>
      </w:r>
      <w:r>
        <w:rPr>
          <w:rFonts w:hint="eastAsia" w:ascii="仿宋_GB2312"/>
          <w:szCs w:val="24"/>
        </w:rPr>
        <w:fldChar w:fldCharType="separate"/>
      </w:r>
      <w:r>
        <w:rPr>
          <w:rFonts w:hint="eastAsia"/>
          <w:b/>
          <w:szCs w:val="28"/>
          <w:lang w:val="zh-CN"/>
        </w:rPr>
        <w:t>7.4应急救援能力评估</w:t>
      </w:r>
      <w:r>
        <w:tab/>
      </w:r>
      <w:r>
        <w:fldChar w:fldCharType="begin"/>
      </w:r>
      <w:r>
        <w:instrText xml:space="preserve"> PAGEREF _Toc20046 </w:instrText>
      </w:r>
      <w:r>
        <w:fldChar w:fldCharType="separate"/>
      </w:r>
      <w:r>
        <w:t>44</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_Toc24230 </w:instrText>
      </w:r>
      <w:r>
        <w:rPr>
          <w:rFonts w:hint="eastAsia" w:ascii="仿宋_GB2312"/>
          <w:szCs w:val="24"/>
        </w:rPr>
        <w:fldChar w:fldCharType="separate"/>
      </w:r>
      <w:r>
        <w:rPr>
          <w:rFonts w:hint="eastAsia" w:asciiTheme="minorEastAsia" w:hAnsiTheme="minorEastAsia" w:eastAsiaTheme="minorEastAsia"/>
          <w:b/>
        </w:rPr>
        <w:t>8保障措施</w:t>
      </w:r>
      <w:r>
        <w:tab/>
      </w:r>
      <w:r>
        <w:fldChar w:fldCharType="begin"/>
      </w:r>
      <w:r>
        <w:instrText xml:space="preserve"> PAGEREF _Toc24230 </w:instrText>
      </w:r>
      <w:r>
        <w:fldChar w:fldCharType="separate"/>
      </w:r>
      <w:r>
        <w:t>44</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_Toc1393 </w:instrText>
      </w:r>
      <w:r>
        <w:rPr>
          <w:rFonts w:hint="eastAsia" w:ascii="仿宋_GB2312"/>
          <w:szCs w:val="24"/>
        </w:rPr>
        <w:fldChar w:fldCharType="separate"/>
      </w:r>
      <w:r>
        <w:rPr>
          <w:rFonts w:hint="eastAsia"/>
          <w:b/>
          <w:szCs w:val="28"/>
          <w:lang w:val="zh-CN"/>
        </w:rPr>
        <w:t>8.1通信与信息保障</w:t>
      </w:r>
      <w:r>
        <w:tab/>
      </w:r>
      <w:r>
        <w:fldChar w:fldCharType="begin"/>
      </w:r>
      <w:r>
        <w:instrText xml:space="preserve"> PAGEREF _Toc1393 </w:instrText>
      </w:r>
      <w:r>
        <w:fldChar w:fldCharType="separate"/>
      </w:r>
      <w:r>
        <w:t>44</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_Toc14217 </w:instrText>
      </w:r>
      <w:r>
        <w:rPr>
          <w:rFonts w:hint="eastAsia" w:ascii="仿宋_GB2312"/>
          <w:szCs w:val="24"/>
        </w:rPr>
        <w:fldChar w:fldCharType="separate"/>
      </w:r>
      <w:r>
        <w:rPr>
          <w:rFonts w:hint="eastAsia"/>
          <w:b/>
          <w:szCs w:val="28"/>
          <w:lang w:val="zh-CN"/>
        </w:rPr>
        <w:t>8.2应急队伍保障</w:t>
      </w:r>
      <w:r>
        <w:tab/>
      </w:r>
      <w:r>
        <w:fldChar w:fldCharType="begin"/>
      </w:r>
      <w:r>
        <w:instrText xml:space="preserve"> PAGEREF _Toc14217 </w:instrText>
      </w:r>
      <w:r>
        <w:fldChar w:fldCharType="separate"/>
      </w:r>
      <w:r>
        <w:t>44</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_Toc25611 </w:instrText>
      </w:r>
      <w:r>
        <w:rPr>
          <w:rFonts w:hint="eastAsia" w:ascii="仿宋_GB2312"/>
          <w:szCs w:val="24"/>
        </w:rPr>
        <w:fldChar w:fldCharType="separate"/>
      </w:r>
      <w:r>
        <w:rPr>
          <w:rFonts w:hint="eastAsia"/>
          <w:b/>
          <w:szCs w:val="28"/>
          <w:lang w:val="zh-CN"/>
        </w:rPr>
        <w:t>8.3物资装备保障</w:t>
      </w:r>
      <w:r>
        <w:tab/>
      </w:r>
      <w:r>
        <w:fldChar w:fldCharType="begin"/>
      </w:r>
      <w:r>
        <w:instrText xml:space="preserve"> PAGEREF _Toc25611 </w:instrText>
      </w:r>
      <w:r>
        <w:fldChar w:fldCharType="separate"/>
      </w:r>
      <w:r>
        <w:t>44</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_Toc13211 </w:instrText>
      </w:r>
      <w:r>
        <w:rPr>
          <w:rFonts w:hint="eastAsia" w:ascii="仿宋_GB2312"/>
          <w:szCs w:val="24"/>
        </w:rPr>
        <w:fldChar w:fldCharType="separate"/>
      </w:r>
      <w:r>
        <w:rPr>
          <w:rFonts w:hint="eastAsia"/>
          <w:b/>
          <w:szCs w:val="28"/>
          <w:lang w:val="zh-CN"/>
        </w:rPr>
        <w:t>8.4其他保障</w:t>
      </w:r>
      <w:r>
        <w:tab/>
      </w:r>
      <w:r>
        <w:fldChar w:fldCharType="begin"/>
      </w:r>
      <w:r>
        <w:instrText xml:space="preserve"> PAGEREF _Toc13211 </w:instrText>
      </w:r>
      <w:r>
        <w:fldChar w:fldCharType="separate"/>
      </w:r>
      <w:r>
        <w:t>45</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_Toc11608 </w:instrText>
      </w:r>
      <w:r>
        <w:rPr>
          <w:rFonts w:hint="eastAsia" w:ascii="仿宋_GB2312"/>
          <w:szCs w:val="24"/>
        </w:rPr>
        <w:fldChar w:fldCharType="separate"/>
      </w:r>
      <w:r>
        <w:rPr>
          <w:rFonts w:hint="eastAsia" w:asciiTheme="minorEastAsia" w:hAnsiTheme="minorEastAsia" w:eastAsiaTheme="minorEastAsia"/>
          <w:b/>
        </w:rPr>
        <w:t>9</w:t>
      </w:r>
      <w:r>
        <w:rPr>
          <w:rFonts w:asciiTheme="minorEastAsia" w:hAnsiTheme="minorEastAsia" w:eastAsiaTheme="minorEastAsia"/>
          <w:b/>
        </w:rPr>
        <w:t>奖励与责任追究</w:t>
      </w:r>
      <w:r>
        <w:tab/>
      </w:r>
      <w:r>
        <w:fldChar w:fldCharType="begin"/>
      </w:r>
      <w:r>
        <w:instrText xml:space="preserve"> PAGEREF _Toc11608 </w:instrText>
      </w:r>
      <w:r>
        <w:fldChar w:fldCharType="separate"/>
      </w:r>
      <w:r>
        <w:t>45</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_Toc4038 </w:instrText>
      </w:r>
      <w:r>
        <w:rPr>
          <w:rFonts w:hint="eastAsia" w:ascii="仿宋_GB2312"/>
          <w:szCs w:val="24"/>
        </w:rPr>
        <w:fldChar w:fldCharType="separate"/>
      </w:r>
      <w:r>
        <w:rPr>
          <w:rFonts w:hint="eastAsia"/>
          <w:b/>
          <w:szCs w:val="28"/>
          <w:lang w:val="zh-CN"/>
        </w:rPr>
        <w:t>9.1奖励</w:t>
      </w:r>
      <w:r>
        <w:tab/>
      </w:r>
      <w:r>
        <w:fldChar w:fldCharType="begin"/>
      </w:r>
      <w:r>
        <w:instrText xml:space="preserve"> PAGEREF _Toc4038 </w:instrText>
      </w:r>
      <w:r>
        <w:fldChar w:fldCharType="separate"/>
      </w:r>
      <w:r>
        <w:t>45</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_Toc7861 </w:instrText>
      </w:r>
      <w:r>
        <w:rPr>
          <w:rFonts w:hint="eastAsia" w:ascii="仿宋_GB2312"/>
          <w:szCs w:val="24"/>
        </w:rPr>
        <w:fldChar w:fldCharType="separate"/>
      </w:r>
      <w:r>
        <w:rPr>
          <w:rFonts w:hint="eastAsia"/>
          <w:b/>
          <w:szCs w:val="28"/>
          <w:lang w:val="zh-CN"/>
        </w:rPr>
        <w:t>9.2责任追究</w:t>
      </w:r>
      <w:r>
        <w:tab/>
      </w:r>
      <w:r>
        <w:fldChar w:fldCharType="begin"/>
      </w:r>
      <w:r>
        <w:instrText xml:space="preserve"> PAGEREF _Toc7861 </w:instrText>
      </w:r>
      <w:r>
        <w:fldChar w:fldCharType="separate"/>
      </w:r>
      <w:r>
        <w:t>45</w:t>
      </w:r>
      <w:r>
        <w:fldChar w:fldCharType="end"/>
      </w:r>
      <w:r>
        <w:rPr>
          <w:rFonts w:hint="eastAsia" w:ascii="仿宋_GB2312"/>
          <w:szCs w:val="24"/>
        </w:rPr>
        <w:fldChar w:fldCharType="end"/>
      </w:r>
    </w:p>
    <w:p>
      <w:pPr>
        <w:pStyle w:val="21"/>
        <w:tabs>
          <w:tab w:val="right" w:leader="dot" w:pos="9014"/>
          <w:tab w:val="clear" w:pos="9174"/>
        </w:tabs>
      </w:pPr>
      <w:r>
        <w:rPr>
          <w:rFonts w:hint="eastAsia" w:ascii="仿宋_GB2312"/>
          <w:szCs w:val="24"/>
        </w:rPr>
        <w:fldChar w:fldCharType="begin"/>
      </w:r>
      <w:r>
        <w:rPr>
          <w:rFonts w:hint="eastAsia" w:ascii="仿宋_GB2312"/>
          <w:szCs w:val="24"/>
        </w:rPr>
        <w:instrText xml:space="preserve"> HYPERLINK \l _Toc8109 </w:instrText>
      </w:r>
      <w:r>
        <w:rPr>
          <w:rFonts w:hint="eastAsia" w:ascii="仿宋_GB2312"/>
          <w:szCs w:val="24"/>
        </w:rPr>
        <w:fldChar w:fldCharType="separate"/>
      </w:r>
      <w:r>
        <w:rPr>
          <w:rFonts w:hint="eastAsia" w:asciiTheme="minorEastAsia" w:hAnsiTheme="minorEastAsia" w:eastAsiaTheme="minorEastAsia"/>
          <w:b/>
        </w:rPr>
        <w:t>10应急预案管理</w:t>
      </w:r>
      <w:r>
        <w:tab/>
      </w:r>
      <w:r>
        <w:fldChar w:fldCharType="begin"/>
      </w:r>
      <w:r>
        <w:instrText xml:space="preserve"> PAGEREF _Toc8109 </w:instrText>
      </w:r>
      <w:r>
        <w:fldChar w:fldCharType="separate"/>
      </w:r>
      <w:r>
        <w:t>46</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_Toc25131 </w:instrText>
      </w:r>
      <w:r>
        <w:rPr>
          <w:rFonts w:hint="eastAsia" w:ascii="仿宋_GB2312"/>
          <w:szCs w:val="24"/>
        </w:rPr>
        <w:fldChar w:fldCharType="separate"/>
      </w:r>
      <w:r>
        <w:rPr>
          <w:rFonts w:hint="eastAsia"/>
          <w:b/>
          <w:szCs w:val="28"/>
          <w:lang w:val="zh-CN"/>
        </w:rPr>
        <w:t>10.1应急预案培训</w:t>
      </w:r>
      <w:r>
        <w:tab/>
      </w:r>
      <w:r>
        <w:fldChar w:fldCharType="begin"/>
      </w:r>
      <w:r>
        <w:instrText xml:space="preserve"> PAGEREF _Toc25131 </w:instrText>
      </w:r>
      <w:r>
        <w:fldChar w:fldCharType="separate"/>
      </w:r>
      <w:r>
        <w:t>46</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_Toc7795 </w:instrText>
      </w:r>
      <w:r>
        <w:rPr>
          <w:rFonts w:hint="eastAsia" w:ascii="仿宋_GB2312"/>
          <w:szCs w:val="24"/>
        </w:rPr>
        <w:fldChar w:fldCharType="separate"/>
      </w:r>
      <w:r>
        <w:rPr>
          <w:rFonts w:hint="eastAsia"/>
          <w:b/>
          <w:szCs w:val="28"/>
          <w:lang w:val="zh-CN"/>
        </w:rPr>
        <w:t>10.2应急预案演练</w:t>
      </w:r>
      <w:r>
        <w:tab/>
      </w:r>
      <w:r>
        <w:fldChar w:fldCharType="begin"/>
      </w:r>
      <w:r>
        <w:instrText xml:space="preserve"> PAGEREF _Toc7795 </w:instrText>
      </w:r>
      <w:r>
        <w:fldChar w:fldCharType="separate"/>
      </w:r>
      <w:r>
        <w:t>46</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_Toc8834 </w:instrText>
      </w:r>
      <w:r>
        <w:rPr>
          <w:rFonts w:hint="eastAsia" w:ascii="仿宋_GB2312"/>
          <w:szCs w:val="24"/>
        </w:rPr>
        <w:fldChar w:fldCharType="separate"/>
      </w:r>
      <w:r>
        <w:rPr>
          <w:rFonts w:hint="eastAsia"/>
          <w:b/>
          <w:szCs w:val="28"/>
          <w:lang w:val="zh-CN"/>
        </w:rPr>
        <w:t>10.3应急预案修订</w:t>
      </w:r>
      <w:r>
        <w:tab/>
      </w:r>
      <w:r>
        <w:fldChar w:fldCharType="begin"/>
      </w:r>
      <w:r>
        <w:instrText xml:space="preserve"> PAGEREF _Toc8834 </w:instrText>
      </w:r>
      <w:r>
        <w:fldChar w:fldCharType="separate"/>
      </w:r>
      <w:r>
        <w:t>47</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_Toc24337 </w:instrText>
      </w:r>
      <w:r>
        <w:rPr>
          <w:rFonts w:hint="eastAsia" w:ascii="仿宋_GB2312"/>
          <w:szCs w:val="24"/>
        </w:rPr>
        <w:fldChar w:fldCharType="separate"/>
      </w:r>
      <w:r>
        <w:rPr>
          <w:rFonts w:hint="eastAsia"/>
          <w:b/>
          <w:szCs w:val="28"/>
          <w:lang w:val="zh-CN"/>
        </w:rPr>
        <w:t>10.4应急预案备案</w:t>
      </w:r>
      <w:r>
        <w:tab/>
      </w:r>
      <w:r>
        <w:fldChar w:fldCharType="begin"/>
      </w:r>
      <w:r>
        <w:instrText xml:space="preserve"> PAGEREF _Toc24337 </w:instrText>
      </w:r>
      <w:r>
        <w:fldChar w:fldCharType="separate"/>
      </w:r>
      <w:r>
        <w:t>47</w:t>
      </w:r>
      <w:r>
        <w:fldChar w:fldCharType="end"/>
      </w:r>
      <w:r>
        <w:rPr>
          <w:rFonts w:hint="eastAsia" w:ascii="仿宋_GB2312"/>
          <w:szCs w:val="24"/>
        </w:rPr>
        <w:fldChar w:fldCharType="end"/>
      </w:r>
    </w:p>
    <w:p>
      <w:pPr>
        <w:pStyle w:val="25"/>
        <w:tabs>
          <w:tab w:val="right" w:leader="dot" w:pos="9014"/>
        </w:tabs>
      </w:pPr>
      <w:r>
        <w:rPr>
          <w:rFonts w:hint="eastAsia" w:ascii="仿宋_GB2312"/>
          <w:szCs w:val="24"/>
        </w:rPr>
        <w:fldChar w:fldCharType="begin"/>
      </w:r>
      <w:r>
        <w:rPr>
          <w:rFonts w:hint="eastAsia" w:ascii="仿宋_GB2312"/>
          <w:szCs w:val="24"/>
        </w:rPr>
        <w:instrText xml:space="preserve"> HYPERLINK \l _Toc13533 </w:instrText>
      </w:r>
      <w:r>
        <w:rPr>
          <w:rFonts w:hint="eastAsia" w:ascii="仿宋_GB2312"/>
          <w:szCs w:val="24"/>
        </w:rPr>
        <w:fldChar w:fldCharType="separate"/>
      </w:r>
      <w:r>
        <w:rPr>
          <w:rFonts w:hint="eastAsia"/>
          <w:b/>
          <w:szCs w:val="28"/>
          <w:lang w:val="zh-CN"/>
        </w:rPr>
        <w:t>10.5应急预案实施</w:t>
      </w:r>
      <w:r>
        <w:tab/>
      </w:r>
      <w:r>
        <w:fldChar w:fldCharType="begin"/>
      </w:r>
      <w:r>
        <w:instrText xml:space="preserve"> PAGEREF _Toc13533 </w:instrText>
      </w:r>
      <w:r>
        <w:fldChar w:fldCharType="separate"/>
      </w:r>
      <w:r>
        <w:t>47</w:t>
      </w:r>
      <w:r>
        <w:fldChar w:fldCharType="end"/>
      </w:r>
      <w:r>
        <w:rPr>
          <w:rFonts w:hint="eastAsia" w:ascii="仿宋_GB2312"/>
          <w:szCs w:val="24"/>
        </w:rPr>
        <w:fldChar w:fldCharType="end"/>
      </w:r>
    </w:p>
    <w:p>
      <w:pPr>
        <w:pageBreakBefore/>
        <w:spacing w:line="360" w:lineRule="auto"/>
        <w:jc w:val="center"/>
        <w:rPr>
          <w:rFonts w:hint="eastAsia" w:asciiTheme="minorEastAsia" w:hAnsiTheme="minorEastAsia" w:eastAsiaTheme="minorEastAsia"/>
          <w:b/>
          <w:color w:val="000000"/>
          <w:sz w:val="36"/>
          <w:szCs w:val="36"/>
        </w:rPr>
      </w:pPr>
      <w:r>
        <w:rPr>
          <w:rFonts w:hint="eastAsia" w:ascii="仿宋_GB2312"/>
          <w:szCs w:val="24"/>
        </w:rPr>
        <w:fldChar w:fldCharType="end"/>
      </w:r>
    </w:p>
    <w:p>
      <w:pPr>
        <w:tabs>
          <w:tab w:val="left" w:pos="7395"/>
        </w:tabs>
        <w:spacing w:afterLines="150" w:line="600" w:lineRule="exact"/>
        <w:jc w:val="center"/>
        <w:rPr>
          <w:rFonts w:asciiTheme="minorEastAsia" w:hAnsiTheme="minorEastAsia" w:eastAsiaTheme="minorEastAsia"/>
          <w:b/>
          <w:color w:val="000000"/>
          <w:sz w:val="32"/>
          <w:szCs w:val="32"/>
        </w:rPr>
      </w:pPr>
      <w:bookmarkStart w:id="0" w:name="_Toc262050852"/>
      <w:bookmarkStart w:id="1" w:name="_Toc196018527"/>
      <w:bookmarkStart w:id="2" w:name="_Toc262051523"/>
      <w:bookmarkStart w:id="3" w:name="_Toc229283958"/>
      <w:bookmarkStart w:id="4" w:name="_Toc183339485"/>
      <w:bookmarkStart w:id="5" w:name="_Toc262040262"/>
      <w:bookmarkStart w:id="6" w:name="_Toc198007322"/>
      <w:bookmarkStart w:id="7" w:name="_Toc262051102"/>
      <w:bookmarkStart w:id="8" w:name="_Toc197251327"/>
      <w:bookmarkStart w:id="9" w:name="_Toc185670969"/>
      <w:bookmarkStart w:id="10" w:name="_Toc183339209"/>
      <w:bookmarkStart w:id="11" w:name="_Toc198355307"/>
      <w:bookmarkStart w:id="12" w:name="_Toc179794530"/>
      <w:bookmarkStart w:id="13" w:name="_Toc304833219"/>
      <w:bookmarkStart w:id="14" w:name="_Toc196018623"/>
      <w:bookmarkStart w:id="15" w:name="_Toc184809536"/>
      <w:bookmarkStart w:id="16" w:name="_Toc184808749"/>
      <w:bookmarkStart w:id="17" w:name="_Toc196018418"/>
      <w:r>
        <w:rPr>
          <w:rFonts w:hint="eastAsia" w:asciiTheme="minorEastAsia" w:hAnsiTheme="minorEastAsia" w:eastAsiaTheme="minorEastAsia"/>
          <w:b/>
          <w:kern w:val="0"/>
          <w:sz w:val="32"/>
          <w:szCs w:val="32"/>
        </w:rPr>
        <w:t>应急预案编制小组</w:t>
      </w:r>
    </w:p>
    <w:tbl>
      <w:tblPr>
        <w:tblStyle w:val="33"/>
        <w:tblpPr w:leftFromText="180" w:rightFromText="180" w:vertAnchor="text" w:tblpY="1"/>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745"/>
        <w:gridCol w:w="198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姓  名</w:t>
            </w:r>
          </w:p>
        </w:tc>
        <w:tc>
          <w:tcPr>
            <w:tcW w:w="2745" w:type="dxa"/>
            <w:vAlign w:val="center"/>
          </w:tcPr>
          <w:p>
            <w:pPr>
              <w:tabs>
                <w:tab w:val="left" w:pos="7395"/>
              </w:tabs>
              <w:spacing w:beforeLines="50" w:after="120" w:line="600" w:lineRule="exact"/>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职务</w:t>
            </w:r>
          </w:p>
        </w:tc>
        <w:tc>
          <w:tcPr>
            <w:tcW w:w="1984" w:type="dxa"/>
            <w:vAlign w:val="center"/>
          </w:tcPr>
          <w:p>
            <w:pPr>
              <w:tabs>
                <w:tab w:val="left" w:pos="7395"/>
              </w:tabs>
              <w:spacing w:beforeLines="50" w:after="120" w:line="600" w:lineRule="exact"/>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工作职责</w:t>
            </w:r>
          </w:p>
        </w:tc>
        <w:tc>
          <w:tcPr>
            <w:tcW w:w="3011" w:type="dxa"/>
            <w:vAlign w:val="center"/>
          </w:tcPr>
          <w:p>
            <w:pPr>
              <w:tabs>
                <w:tab w:val="left" w:pos="7395"/>
              </w:tabs>
              <w:spacing w:beforeLines="50" w:after="120" w:line="600" w:lineRule="exact"/>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秦廷伟</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组长</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校验</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操 准</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预案编制</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陶建华</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风险分析</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向广川</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风险分析</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80"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cs="仿宋_GB2312" w:asciiTheme="minorEastAsia" w:hAnsiTheme="minorEastAsia" w:eastAsiaTheme="minorEastAsia"/>
                <w:sz w:val="28"/>
                <w:szCs w:val="28"/>
              </w:rPr>
              <w:t>刘江义</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预案整理收集</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bl>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应急预案审议小组</w:t>
      </w:r>
    </w:p>
    <w:tbl>
      <w:tblPr>
        <w:tblStyle w:val="33"/>
        <w:tblW w:w="9264"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0"/>
        <w:gridCol w:w="2693"/>
        <w:gridCol w:w="1988"/>
        <w:gridCol w:w="30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60"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姓名</w:t>
            </w:r>
          </w:p>
        </w:tc>
        <w:tc>
          <w:tcPr>
            <w:tcW w:w="2693"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职务</w:t>
            </w:r>
          </w:p>
        </w:tc>
        <w:tc>
          <w:tcPr>
            <w:tcW w:w="1988" w:type="dxa"/>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工作职责</w:t>
            </w:r>
          </w:p>
        </w:tc>
        <w:tc>
          <w:tcPr>
            <w:tcW w:w="3023"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sz w:val="28"/>
                <w:szCs w:val="28"/>
              </w:rPr>
              <w:t>况敬良</w:t>
            </w:r>
          </w:p>
        </w:tc>
        <w:tc>
          <w:tcPr>
            <w:tcW w:w="2693"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组长</w:t>
            </w:r>
          </w:p>
        </w:tc>
        <w:tc>
          <w:tcPr>
            <w:tcW w:w="1988" w:type="dxa"/>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批准</w:t>
            </w:r>
          </w:p>
        </w:tc>
        <w:tc>
          <w:tcPr>
            <w:tcW w:w="3023" w:type="dxa"/>
            <w:vAlign w:val="center"/>
          </w:tcPr>
          <w:p>
            <w:pPr>
              <w:adjustRightInd w:val="0"/>
              <w:snapToGrid w:val="0"/>
              <w:spacing w:line="500" w:lineRule="exact"/>
              <w:jc w:val="center"/>
              <w:rPr>
                <w:rFonts w:asciiTheme="minorEastAsia" w:hAnsiTheme="minorEastAsia" w:eastAsiaTheme="minorEastAsia"/>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cs="仿宋_GB2312" w:asciiTheme="minorEastAsia" w:hAnsiTheme="minorEastAsia" w:eastAsiaTheme="minorEastAsia"/>
                <w:sz w:val="28"/>
                <w:szCs w:val="28"/>
              </w:rPr>
              <w:t>张平生</w:t>
            </w:r>
          </w:p>
        </w:tc>
        <w:tc>
          <w:tcPr>
            <w:tcW w:w="2693"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组员</w:t>
            </w:r>
          </w:p>
        </w:tc>
        <w:tc>
          <w:tcPr>
            <w:tcW w:w="1988"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可行性审核</w:t>
            </w:r>
          </w:p>
        </w:tc>
        <w:tc>
          <w:tcPr>
            <w:tcW w:w="3023" w:type="dxa"/>
            <w:vAlign w:val="center"/>
          </w:tcPr>
          <w:p>
            <w:pPr>
              <w:adjustRightInd w:val="0"/>
              <w:snapToGrid w:val="0"/>
              <w:spacing w:line="500" w:lineRule="exact"/>
              <w:jc w:val="center"/>
              <w:rPr>
                <w:rFonts w:asciiTheme="minorEastAsia" w:hAnsiTheme="minorEastAsia" w:eastAsiaTheme="minorEastAsia"/>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cs="仿宋_GB2312" w:asciiTheme="minorEastAsia" w:hAnsiTheme="minorEastAsia" w:eastAsiaTheme="minorEastAsia"/>
                <w:sz w:val="28"/>
                <w:szCs w:val="28"/>
              </w:rPr>
              <w:t>梅杰</w:t>
            </w:r>
          </w:p>
        </w:tc>
        <w:tc>
          <w:tcPr>
            <w:tcW w:w="2693"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组员</w:t>
            </w:r>
          </w:p>
        </w:tc>
        <w:tc>
          <w:tcPr>
            <w:tcW w:w="1988"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规范性审核</w:t>
            </w:r>
          </w:p>
        </w:tc>
        <w:tc>
          <w:tcPr>
            <w:tcW w:w="3023" w:type="dxa"/>
            <w:vAlign w:val="center"/>
          </w:tcPr>
          <w:p>
            <w:pPr>
              <w:adjustRightInd w:val="0"/>
              <w:snapToGrid w:val="0"/>
              <w:spacing w:line="500" w:lineRule="exact"/>
              <w:jc w:val="center"/>
              <w:rPr>
                <w:rFonts w:asciiTheme="minorEastAsia" w:hAnsiTheme="minorEastAsia" w:eastAsiaTheme="minorEastAsia"/>
                <w:b/>
                <w:sz w:val="28"/>
                <w:szCs w:val="28"/>
              </w:rPr>
            </w:pPr>
          </w:p>
        </w:tc>
      </w:tr>
    </w:tbl>
    <w:p>
      <w:pPr>
        <w:rPr>
          <w:rFonts w:asciiTheme="minorEastAsia" w:hAnsiTheme="minorEastAsia" w:eastAsiaTheme="minorEastAsia"/>
        </w:rPr>
        <w:sectPr>
          <w:pgSz w:w="11906" w:h="16838"/>
          <w:pgMar w:top="1418" w:right="1418" w:bottom="1418" w:left="1474" w:header="709" w:footer="680" w:gutter="0"/>
          <w:pgNumType w:start="1"/>
          <w:cols w:space="720" w:num="1"/>
          <w:docGrid w:linePitch="312" w:charSpace="0"/>
        </w:sectPr>
      </w:pPr>
    </w:p>
    <w:p>
      <w:pPr>
        <w:pStyle w:val="2"/>
        <w:spacing w:before="120" w:after="120" w:line="360" w:lineRule="auto"/>
        <w:jc w:val="center"/>
        <w:rPr>
          <w:rFonts w:asciiTheme="minorEastAsia" w:hAnsiTheme="minorEastAsia" w:eastAsiaTheme="minorEastAsia"/>
          <w:b/>
          <w:color w:val="000000"/>
          <w:sz w:val="32"/>
          <w:szCs w:val="28"/>
        </w:rPr>
      </w:pPr>
      <w:bookmarkStart w:id="18" w:name="_Toc415254529"/>
      <w:bookmarkStart w:id="19" w:name="_Toc387131487"/>
      <w:bookmarkStart w:id="20" w:name="_Toc336327114"/>
      <w:bookmarkStart w:id="21" w:name="_Toc304964429"/>
      <w:bookmarkStart w:id="22" w:name="_Toc24393"/>
      <w:bookmarkStart w:id="23" w:name="_Toc336326836"/>
      <w:bookmarkStart w:id="24" w:name="_Toc387131744"/>
      <w:bookmarkStart w:id="25" w:name="_Toc27479"/>
      <w:r>
        <w:rPr>
          <w:rFonts w:hint="eastAsia" w:asciiTheme="minorEastAsia" w:hAnsiTheme="minorEastAsia" w:eastAsiaTheme="minorEastAsia"/>
          <w:b/>
          <w:color w:val="000000"/>
          <w:sz w:val="32"/>
        </w:rPr>
        <w:t>1总则</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adjustRightInd w:val="0"/>
        <w:snapToGrid w:val="0"/>
        <w:spacing w:line="460" w:lineRule="exact"/>
        <w:outlineLvl w:val="1"/>
        <w:rPr>
          <w:rFonts w:hint="eastAsia"/>
          <w:b/>
          <w:color w:val="000000"/>
          <w:sz w:val="28"/>
          <w:szCs w:val="28"/>
          <w:lang w:val="zh-CN"/>
        </w:rPr>
      </w:pPr>
      <w:bookmarkStart w:id="26" w:name="_Toc185670970"/>
      <w:bookmarkStart w:id="27" w:name="_Toc304964430"/>
      <w:bookmarkStart w:id="28" w:name="_Toc184808750"/>
      <w:bookmarkStart w:id="29" w:name="_Toc336327115"/>
      <w:bookmarkStart w:id="30" w:name="_Toc196018624"/>
      <w:bookmarkStart w:id="31" w:name="_Toc387131745"/>
      <w:bookmarkStart w:id="32" w:name="_Toc262051103"/>
      <w:bookmarkStart w:id="33" w:name="_Toc262050853"/>
      <w:bookmarkStart w:id="34" w:name="_Toc196018419"/>
      <w:bookmarkStart w:id="35" w:name="_Toc304833220"/>
      <w:bookmarkStart w:id="36" w:name="_Toc387131488"/>
      <w:bookmarkStart w:id="37" w:name="_Toc196018528"/>
      <w:bookmarkStart w:id="38" w:name="_Toc184809537"/>
      <w:bookmarkStart w:id="39" w:name="_Toc387131414"/>
      <w:bookmarkStart w:id="40" w:name="_Toc304963587"/>
      <w:bookmarkStart w:id="41" w:name="_Toc183339486"/>
      <w:bookmarkStart w:id="42" w:name="_Toc262051524"/>
      <w:bookmarkStart w:id="43" w:name="_Toc198007323"/>
      <w:bookmarkStart w:id="44" w:name="_Toc304962943"/>
      <w:bookmarkStart w:id="45" w:name="_Toc262040263"/>
      <w:bookmarkStart w:id="46" w:name="_Toc197251328"/>
      <w:bookmarkStart w:id="47" w:name="_Toc183339210"/>
      <w:bookmarkStart w:id="48" w:name="_Toc198355308"/>
      <w:bookmarkStart w:id="49" w:name="_Toc415254530"/>
      <w:bookmarkStart w:id="50" w:name="_Toc336326837"/>
      <w:bookmarkStart w:id="51" w:name="_Toc8619"/>
      <w:bookmarkStart w:id="52" w:name="_Toc229283959"/>
      <w:bookmarkStart w:id="53" w:name="_Toc179794531"/>
      <w:bookmarkStart w:id="54" w:name="_Toc8856"/>
      <w:r>
        <w:rPr>
          <w:rFonts w:hint="eastAsia"/>
          <w:b/>
          <w:color w:val="000000"/>
          <w:sz w:val="28"/>
          <w:szCs w:val="28"/>
          <w:lang w:val="zh-CN"/>
        </w:rPr>
        <w:t>1.1编制目的</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bookmarkStart w:id="55" w:name="_Toc179794532"/>
      <w:bookmarkStart w:id="56" w:name="_Toc262040264"/>
      <w:bookmarkStart w:id="57" w:name="_Toc183339211"/>
      <w:bookmarkStart w:id="58" w:name="_Toc183339487"/>
      <w:bookmarkStart w:id="59" w:name="_Toc262050854"/>
      <w:bookmarkStart w:id="60" w:name="_Toc262051104"/>
      <w:bookmarkStart w:id="61" w:name="_Toc198355309"/>
      <w:bookmarkStart w:id="62" w:name="_Toc196018420"/>
      <w:bookmarkStart w:id="63" w:name="_Toc229283960"/>
      <w:bookmarkStart w:id="64" w:name="_Toc387131489"/>
      <w:bookmarkStart w:id="65" w:name="_Toc304962944"/>
      <w:bookmarkStart w:id="66" w:name="_Toc262051525"/>
      <w:bookmarkStart w:id="67" w:name="_Toc197251329"/>
      <w:bookmarkStart w:id="68" w:name="_Toc185670971"/>
      <w:bookmarkStart w:id="69" w:name="_Toc304963588"/>
      <w:bookmarkStart w:id="70" w:name="_Toc196018625"/>
      <w:bookmarkStart w:id="71" w:name="_Toc184808751"/>
      <w:bookmarkStart w:id="72" w:name="_Toc336326838"/>
      <w:bookmarkStart w:id="73" w:name="_Toc304964431"/>
      <w:bookmarkStart w:id="74" w:name="_Toc387131746"/>
      <w:bookmarkStart w:id="75" w:name="_Toc387131415"/>
      <w:bookmarkStart w:id="76" w:name="_Toc198007324"/>
      <w:bookmarkStart w:id="77" w:name="_Toc304833221"/>
      <w:bookmarkStart w:id="78" w:name="_Toc336327116"/>
      <w:bookmarkStart w:id="79" w:name="_Toc196018529"/>
      <w:bookmarkStart w:id="80" w:name="_Toc184809538"/>
      <w:r>
        <w:rPr>
          <w:rFonts w:hint="eastAsia" w:asciiTheme="minorEastAsia" w:hAnsiTheme="minorEastAsia" w:eastAsiaTheme="minorEastAsia"/>
          <w:color w:val="000000"/>
          <w:sz w:val="24"/>
          <w:szCs w:val="24"/>
        </w:rPr>
        <w:t>为进一步增强应对和防范事故风险和事故灾难的能力，在事故、事件发生时，能以最快的速度、最大的效能，有序地实施救援，最大限度地减少事故灾难造成的人员伤亡和财产损失。本着“预防为先、自救为主、统一指挥、分工负责”的原则，根据《中华人民共和国安全生产法》、《中华人民共和国突发事件应对法》、《生产安全事故应急预案管理办法》等有关法律、法规相关要求，结合我公司实际情况，特制订本预案。</w:t>
      </w:r>
    </w:p>
    <w:p>
      <w:pPr>
        <w:adjustRightInd w:val="0"/>
        <w:snapToGrid w:val="0"/>
        <w:spacing w:line="460" w:lineRule="exact"/>
        <w:outlineLvl w:val="1"/>
        <w:rPr>
          <w:rFonts w:hint="eastAsia"/>
          <w:b/>
          <w:color w:val="000000"/>
          <w:sz w:val="28"/>
          <w:szCs w:val="28"/>
          <w:lang w:val="zh-CN"/>
        </w:rPr>
      </w:pPr>
      <w:bookmarkStart w:id="81" w:name="_Toc415254531"/>
      <w:bookmarkStart w:id="82" w:name="_Toc224"/>
      <w:bookmarkStart w:id="83" w:name="_Toc7580"/>
      <w:r>
        <w:rPr>
          <w:rFonts w:hint="eastAsia"/>
          <w:b/>
          <w:color w:val="000000"/>
          <w:sz w:val="28"/>
          <w:szCs w:val="28"/>
          <w:lang w:val="zh-CN"/>
        </w:rPr>
        <w:t>1.2编制依据</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（1）《中华人民共和国环境保护法》（中华人民共和国主席令第9号）；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（2）《中华人民共和国大气污染防治法》（中华人民共和国主席令第32号）；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（3）《中华人民共和国水污染防治法》（中华人民共和国主席令第87号）；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（4）《中华人民共和国固体废物污染环境防治法》（中华人民共和国主席令第5号2005年4月1日）；</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（5）《中华人民共和国安全生产法》（中华人民共和国主席令第13号）；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（6）《中华人民共和国消防法》（中华人民共和国主席令第6号）；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（7）《中华人民共和国职业病防治法》（中华人民共和国主席令第52号）；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（8）《国务院办公厅转发安全监管总局等部门关于加强企业应急管理工作意见的通知》（国办发〔2007〕13号）；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（9）《国务院办公厅关于加强基层应急管理工作意见》（国办发〔2007〕52号）；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（10）《国务院办公厅关于加强基层应急管理工作意见》(AQ/T9002-2006)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（11）《国家突发公共事件总体应急预案》；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（12）《国家突发环境事件应急预案》；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（13）《关于防范环境风险加强环境影响评价管理的通知》（环发〔2005〕152号）；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（14）《关于督促化工企业切实做好几项安全环保重点工作的紧急通知》（安监总危化〔2006〕10号）；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（15）《危险化学品名录》（2016版）；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（16）《剧毒化学品名录》（国家安全生产监督管理局等8部门公告2003第2号）；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（17）《国家危险废物名录》（环境保护部令 第39号 ）；</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（18）《石油化工企业环境应急预案编制指南》（环办[2010]10号）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（19）《危险化学品重大危险源辨识》（GB18218-2014）；</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（20）《建设项目环境风险评价技术导则》（HJ/T169-2004）；</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（21）《建设项目环境影响评价分类管理名录》（中华人民共和国环境保护部令第33号）；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（22）《地表水环境质量标准》（GB3838-2002）；</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（23）《环境空气质量标准》（GB3095-2012）；</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（24）《重庆市大气污染物综合排放标准》（DB 50/418-2016）；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（25）《污水综合排放标准》（GB8978-1996）；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（26）《工作场所有害因素职业接触限值化学有害因素》（GBZ2.1-2007）；</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（27）《工作场所有害因素职业接触限值物理因素》（GBZ2.2-2007）；</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（28）《恶臭污染物排放标准》（GB14554－93）；</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（29）《工业企业设计卫生标准》（GBZ1-2010）；</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（30）《重庆三峡库区流域水环境突发公共事件应急预案》；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（31）《重庆市环境保护系统突发环境事件应急处理暂行办法》；</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其他相关的法律、法规、规章及公司相关的安评、环评报告等。    </w:t>
      </w:r>
    </w:p>
    <w:p>
      <w:pPr>
        <w:adjustRightInd w:val="0"/>
        <w:snapToGrid w:val="0"/>
        <w:spacing w:line="460" w:lineRule="exact"/>
        <w:outlineLvl w:val="1"/>
        <w:rPr>
          <w:rFonts w:hint="eastAsia"/>
          <w:b/>
          <w:color w:val="000000"/>
          <w:sz w:val="28"/>
          <w:szCs w:val="28"/>
          <w:lang w:val="zh-CN"/>
        </w:rPr>
      </w:pPr>
      <w:bookmarkStart w:id="84" w:name="_Toc9127"/>
      <w:r>
        <w:rPr>
          <w:rFonts w:hint="eastAsia"/>
          <w:b/>
          <w:color w:val="000000"/>
          <w:sz w:val="28"/>
          <w:szCs w:val="28"/>
          <w:lang w:val="zh-CN"/>
        </w:rPr>
        <w:t>1.3 适用范围</w:t>
      </w:r>
      <w:bookmarkEnd w:id="84"/>
    </w:p>
    <w:p>
      <w:pPr>
        <w:spacing w:line="460" w:lineRule="exact"/>
        <w:ind w:firstLine="360" w:firstLineChars="150"/>
        <w:rPr>
          <w:rFonts w:cs="仿宋_GB2312" w:asciiTheme="minorEastAsia" w:hAnsiTheme="minorEastAsia" w:eastAsiaTheme="minorEastAsia"/>
        </w:rPr>
      </w:pPr>
      <w:r>
        <w:rPr>
          <w:rFonts w:hint="eastAsia" w:asciiTheme="minorEastAsia" w:hAnsiTheme="minorEastAsia" w:eastAsiaTheme="minorEastAsia"/>
          <w:color w:val="000000"/>
          <w:sz w:val="24"/>
          <w:szCs w:val="24"/>
        </w:rPr>
        <w:t>本预案适用于重庆市涪陵区拓源污水治理有限公司白涛潘家坝污水处理厂</w:t>
      </w:r>
      <w:r>
        <w:rPr>
          <w:rFonts w:hint="eastAsia" w:asciiTheme="minorEastAsia" w:hAnsiTheme="minorEastAsia" w:eastAsiaTheme="minorEastAsia"/>
          <w:sz w:val="24"/>
          <w:szCs w:val="24"/>
        </w:rPr>
        <w:t>范围内所发生的突发环境事件的</w:t>
      </w:r>
      <w:r>
        <w:rPr>
          <w:rFonts w:hint="eastAsia" w:asciiTheme="minorEastAsia" w:hAnsiTheme="minorEastAsia" w:eastAsiaTheme="minorEastAsia"/>
          <w:bCs/>
          <w:color w:val="000000"/>
          <w:sz w:val="24"/>
          <w:szCs w:val="24"/>
        </w:rPr>
        <w:t>预</w:t>
      </w:r>
      <w:r>
        <w:rPr>
          <w:rFonts w:hint="eastAsia" w:asciiTheme="minorEastAsia" w:hAnsiTheme="minorEastAsia" w:eastAsiaTheme="minorEastAsia"/>
          <w:color w:val="000000"/>
          <w:sz w:val="24"/>
          <w:szCs w:val="24"/>
        </w:rPr>
        <w:t>警、应急处置和救援工作，包括污染物超标排放或者自然灾害、生产安全事故因素，导致有毒有害物质进入大气、土壤、水体等环境介质突然造成或者可能造成环境质量下降，危及公众身体健康和财产安全，或造成生态环境破坏，或者重大社会影响，需要采取紧急措施予以应对的事件。</w:t>
      </w:r>
    </w:p>
    <w:p>
      <w:pPr>
        <w:adjustRightInd w:val="0"/>
        <w:snapToGrid w:val="0"/>
        <w:spacing w:line="460" w:lineRule="exact"/>
        <w:outlineLvl w:val="1"/>
        <w:rPr>
          <w:rFonts w:hint="eastAsia"/>
          <w:b/>
          <w:color w:val="000000"/>
          <w:sz w:val="28"/>
          <w:szCs w:val="28"/>
          <w:lang w:val="zh-CN"/>
        </w:rPr>
      </w:pPr>
      <w:bookmarkStart w:id="85" w:name="_Toc198007326"/>
      <w:bookmarkStart w:id="86" w:name="_Toc185670973"/>
      <w:bookmarkStart w:id="87" w:name="_Toc179794534"/>
      <w:bookmarkStart w:id="88" w:name="_Toc229283962"/>
      <w:bookmarkStart w:id="89" w:name="_Toc262050856"/>
      <w:bookmarkStart w:id="90" w:name="_Toc262051106"/>
      <w:bookmarkStart w:id="91" w:name="_Toc387131491"/>
      <w:bookmarkStart w:id="92" w:name="_Toc262040266"/>
      <w:bookmarkStart w:id="93" w:name="_Toc184808753"/>
      <w:bookmarkStart w:id="94" w:name="_Toc183339489"/>
      <w:bookmarkStart w:id="95" w:name="_Toc304964433"/>
      <w:bookmarkStart w:id="96" w:name="_Toc415254532"/>
      <w:bookmarkStart w:id="97" w:name="_Toc184809540"/>
      <w:bookmarkStart w:id="98" w:name="_Toc196018627"/>
      <w:bookmarkStart w:id="99" w:name="_Toc197251331"/>
      <w:bookmarkStart w:id="100" w:name="_Toc1186"/>
      <w:bookmarkStart w:id="101" w:name="_Toc387131417"/>
      <w:bookmarkStart w:id="102" w:name="_Toc336326840"/>
      <w:bookmarkStart w:id="103" w:name="_Toc198355311"/>
      <w:bookmarkStart w:id="104" w:name="_Toc196018422"/>
      <w:bookmarkStart w:id="105" w:name="_Toc336327118"/>
      <w:bookmarkStart w:id="106" w:name="_Toc196018531"/>
      <w:bookmarkStart w:id="107" w:name="_Toc262051527"/>
      <w:bookmarkStart w:id="108" w:name="_Toc304833223"/>
      <w:bookmarkStart w:id="109" w:name="_Toc387131748"/>
      <w:bookmarkStart w:id="110" w:name="_Toc304963590"/>
      <w:bookmarkStart w:id="111" w:name="_Toc183339213"/>
      <w:bookmarkStart w:id="112" w:name="_Toc304962946"/>
      <w:bookmarkStart w:id="113" w:name="_Toc24555"/>
      <w:r>
        <w:rPr>
          <w:rFonts w:hint="eastAsia"/>
          <w:b/>
          <w:color w:val="000000"/>
          <w:sz w:val="28"/>
          <w:szCs w:val="28"/>
          <w:lang w:val="zh-CN"/>
        </w:rPr>
        <w:t>1.4应急预案体系</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bookmarkStart w:id="114" w:name="_Toc196018423"/>
      <w:bookmarkStart w:id="115" w:name="_Toc196018532"/>
      <w:r>
        <w:rPr>
          <w:rFonts w:hint="eastAsia" w:asciiTheme="minorEastAsia" w:hAnsiTheme="minorEastAsia" w:eastAsiaTheme="minorEastAsia"/>
          <w:color w:val="000000"/>
          <w:sz w:val="24"/>
          <w:szCs w:val="24"/>
        </w:rPr>
        <w:t>当厂区风险事故不涉及企业大范围及单位周边，车间能控制事态及有效进行应急处置，按本公司现场处置方案进行处理；</w:t>
      </w:r>
      <w:bookmarkEnd w:id="114"/>
      <w:bookmarkEnd w:id="115"/>
      <w:r>
        <w:rPr>
          <w:rFonts w:hint="eastAsia" w:asciiTheme="minorEastAsia" w:hAnsiTheme="minorEastAsia" w:eastAsiaTheme="minorEastAsia"/>
          <w:color w:val="000000"/>
          <w:sz w:val="24"/>
          <w:szCs w:val="24"/>
        </w:rPr>
        <w:t>当厂区风险已蔓延到事故车间无法控制但未波及单位周边，此时按重庆市涪陵区拓源污水治理有限公司</w:t>
      </w:r>
      <w:r>
        <w:rPr>
          <w:rFonts w:hint="eastAsia" w:asciiTheme="minorEastAsia" w:hAnsiTheme="minorEastAsia" w:eastAsiaTheme="minorEastAsia"/>
          <w:color w:val="000000"/>
          <w:sz w:val="24"/>
          <w:szCs w:val="24"/>
          <w:lang w:eastAsia="zh-CN"/>
        </w:rPr>
        <w:t>白涛潘家坝</w:t>
      </w:r>
      <w:r>
        <w:rPr>
          <w:rFonts w:hint="eastAsia" w:asciiTheme="minorEastAsia" w:hAnsiTheme="minorEastAsia" w:eastAsiaTheme="minorEastAsia"/>
          <w:color w:val="000000"/>
          <w:sz w:val="24"/>
          <w:szCs w:val="24"/>
        </w:rPr>
        <w:t>污水处理厂综合预案进行处理；当厂区风险波及单位周边，超出本预案处置范围的立即报告上级政府部门启动相应预案。</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ind w:firstLine="480" w:firstLineChars="200"/>
        <w:jc w:val="left"/>
        <w:textAlignment w:val="center"/>
        <w:rPr>
          <w:rFonts w:asciiTheme="minorEastAsia" w:hAnsiTheme="minorEastAsia" w:eastAsiaTheme="minorEastAsia"/>
          <w:color w:val="000000"/>
          <w:sz w:val="24"/>
          <w:szCs w:val="24"/>
        </w:rPr>
      </w:pPr>
    </w:p>
    <w:p>
      <w:pPr>
        <w:spacing w:afterLines="150" w:line="560" w:lineRule="exact"/>
        <w:rPr>
          <w:rFonts w:asciiTheme="minorEastAsia" w:hAnsiTheme="minorEastAsia" w:eastAsiaTheme="minorEastAsia"/>
          <w:color w:val="000000"/>
          <w:sz w:val="24"/>
          <w:szCs w:val="24"/>
        </w:rPr>
      </w:pPr>
      <w:r>
        <w:rPr>
          <w:rFonts w:asciiTheme="minorEastAsia" w:hAnsiTheme="minorEastAsia" w:eastAsiaTheme="minorEastAsia"/>
        </w:rPr>
        <w:pict>
          <v:rect id="Rectangle 606" o:spid="_x0000_s1027" o:spt="1" style="position:absolute;left:0pt;margin-left:80.95pt;margin-top:21.95pt;height:34pt;width:270pt;z-index:251653120;mso-width-relative:page;mso-height-relative:page;" o:preferrelative="t" coordsize="21600,21600">
            <v:path/>
            <v:fill focussize="0,0"/>
            <v:stroke miterlimit="2"/>
            <v:imagedata o:title=""/>
            <o:lock v:ext="edit"/>
            <v:textbox>
              <w:txbxContent>
                <w:p>
                  <w:pPr>
                    <w:jc w:val="center"/>
                    <w:rPr>
                      <w:rFonts w:ascii="宋体"/>
                      <w:sz w:val="24"/>
                      <w:szCs w:val="24"/>
                    </w:rPr>
                  </w:pPr>
                  <w:r>
                    <w:rPr>
                      <w:rFonts w:hint="eastAsia" w:ascii="宋体" w:hAnsi="宋体"/>
                      <w:sz w:val="24"/>
                      <w:szCs w:val="24"/>
                    </w:rPr>
                    <w:t>涪陵区生产安全事故应急处理预案</w:t>
                  </w:r>
                </w:p>
              </w:txbxContent>
            </v:textbox>
          </v:rect>
        </w:pict>
      </w:r>
    </w:p>
    <w:p>
      <w:pPr>
        <w:spacing w:afterLines="150" w:line="560" w:lineRule="exact"/>
        <w:ind w:firstLine="420" w:firstLineChars="200"/>
        <w:rPr>
          <w:rFonts w:asciiTheme="minorEastAsia" w:hAnsiTheme="minorEastAsia" w:eastAsiaTheme="minorEastAsia"/>
          <w:color w:val="000000"/>
          <w:sz w:val="24"/>
          <w:szCs w:val="24"/>
        </w:rPr>
      </w:pPr>
      <w:r>
        <w:rPr>
          <w:rFonts w:asciiTheme="minorEastAsia" w:hAnsiTheme="minorEastAsia" w:eastAsiaTheme="minorEastAsia"/>
        </w:rPr>
        <w:pict>
          <v:line id="Line 607" o:spid="_x0000_s1028" o:spt="20" style="position:absolute;left:0pt;flip:x y;margin-left:215.35pt;margin-top:9.95pt;height:39pt;width:0.05pt;z-index:251654144;mso-width-relative:page;mso-height-relative:page;" o:preferrelative="t" coordsize="21600,21600">
            <v:path arrowok="t"/>
            <v:fill focussize="0,0"/>
            <v:stroke miterlimit="2" endarrow="block"/>
            <v:imagedata o:title=""/>
            <o:lock v:ext="edit"/>
          </v:line>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rPr>
        <w:pict>
          <v:rect id="Rectangle 605" o:spid="_x0000_s1029" o:spt="1" style="position:absolute;left:0pt;margin-left:69.5pt;margin-top:2.95pt;height:30.15pt;width:291.95pt;z-index:251655168;mso-width-relative:page;mso-height-relative:page;" o:preferrelative="t" coordsize="21600,21600">
            <v:path/>
            <v:fill focussize="0,0"/>
            <v:stroke miterlimit="2"/>
            <v:imagedata o:title=""/>
            <o:lock v:ext="edit"/>
            <v:textbox>
              <w:txbxContent>
                <w:p>
                  <w:pPr>
                    <w:jc w:val="center"/>
                    <w:rPr>
                      <w:rFonts w:ascii="宋体"/>
                      <w:sz w:val="24"/>
                      <w:szCs w:val="24"/>
                    </w:rPr>
                  </w:pPr>
                  <w:r>
                    <w:rPr>
                      <w:rFonts w:hint="eastAsia" w:ascii="宋体" w:hAnsi="宋体" w:cs="Arial"/>
                      <w:sz w:val="24"/>
                      <w:szCs w:val="24"/>
                    </w:rPr>
                    <w:t>涪陵白涛化工园区</w:t>
                  </w:r>
                  <w:r>
                    <w:rPr>
                      <w:rFonts w:hint="eastAsia" w:ascii="宋体" w:hAnsi="宋体"/>
                      <w:sz w:val="24"/>
                      <w:szCs w:val="24"/>
                    </w:rPr>
                    <w:t>生产安全事故综合应急预案</w:t>
                  </w:r>
                </w:p>
              </w:txbxContent>
            </v:textbox>
          </v:rect>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rPr>
        <w:pict>
          <v:line id="Line 609" o:spid="_x0000_s1030" o:spt="20" style="position:absolute;left:0pt;flip:y;margin-left:215.35pt;margin-top:3.1pt;height:42.25pt;width:0.05pt;z-index:251656192;mso-width-relative:page;mso-height-relative:page;" o:preferrelative="t" coordsize="21600,21600">
            <v:path arrowok="t"/>
            <v:fill focussize="0,0"/>
            <v:stroke miterlimit="2" endarrow="block"/>
            <v:imagedata o:title=""/>
            <o:lock v:ext="edit"/>
          </v:line>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rPr>
        <w:pict>
          <v:shape id="AutoShape 602" o:spid="_x0000_s1031" o:spt="109" type="#_x0000_t109" style="position:absolute;left:0pt;margin-left:80.6pt;margin-top:20.1pt;height:37.3pt;width:270pt;z-index:251657216;mso-width-relative:page;mso-height-relative:page;" o:preferrelative="t" coordsize="21600,21600">
            <v:path/>
            <v:fill focussize="0,0"/>
            <v:stroke miterlimit="2"/>
            <v:imagedata o:title=""/>
            <o:lock v:ext="edit"/>
            <v:textbox>
              <w:txbxContent>
                <w:p>
                  <w:pPr>
                    <w:rPr>
                      <w:rFonts w:ascii="宋体" w:cs="Arial"/>
                      <w:sz w:val="24"/>
                      <w:szCs w:val="24"/>
                    </w:rPr>
                  </w:pPr>
                  <w:r>
                    <w:rPr>
                      <w:rFonts w:hint="eastAsia" w:ascii="仿宋_GB2312" w:hAnsi="宋体" w:cs="仿宋_GB2312"/>
                      <w:sz w:val="24"/>
                      <w:szCs w:val="24"/>
                    </w:rPr>
                    <w:t>重庆市涪陵区拓源污水治理有限公司</w:t>
                  </w:r>
                  <w:r>
                    <w:rPr>
                      <w:rFonts w:hint="eastAsia" w:ascii="宋体" w:hAnsi="宋体"/>
                      <w:sz w:val="24"/>
                      <w:szCs w:val="24"/>
                    </w:rPr>
                    <w:t>白涛潘家坝污水处理厂</w:t>
                  </w:r>
                  <w:r>
                    <w:rPr>
                      <w:rFonts w:hint="eastAsia" w:ascii="宋体" w:hAnsi="宋体" w:cs="Arial"/>
                      <w:sz w:val="24"/>
                      <w:szCs w:val="24"/>
                    </w:rPr>
                    <w:t>生产安全事故综合应急预案</w:t>
                  </w:r>
                </w:p>
              </w:txbxContent>
            </v:textbox>
          </v:shape>
        </w:pict>
      </w:r>
    </w:p>
    <w:p>
      <w:pPr>
        <w:spacing w:beforeLines="50" w:afterLines="50" w:line="560" w:lineRule="exact"/>
        <w:rPr>
          <w:rFonts w:asciiTheme="minorEastAsia" w:hAnsiTheme="minorEastAsia" w:eastAsiaTheme="minorEastAsia"/>
          <w:color w:val="000000"/>
          <w:sz w:val="24"/>
          <w:szCs w:val="24"/>
        </w:rPr>
      </w:pPr>
      <w:r>
        <w:rPr>
          <w:rFonts w:asciiTheme="minorEastAsia" w:hAnsiTheme="minorEastAsia" w:eastAsiaTheme="minorEastAsia"/>
        </w:rPr>
        <w:pict>
          <v:line id="Line 952" o:spid="_x0000_s1032" o:spt="20" style="position:absolute;left:0pt;flip:x y;margin-left:215.35pt;margin-top:26.6pt;height:42.5pt;width:0.05pt;z-index:251658240;mso-width-relative:page;mso-height-relative:page;" o:preferrelative="t" coordsize="21600,21600">
            <v:path arrowok="t"/>
            <v:fill focussize="0,0"/>
            <v:stroke miterlimit="2" endarrow="block"/>
            <v:imagedata o:title=""/>
            <o:lock v:ext="edit"/>
          </v:line>
        </w:pict>
      </w:r>
    </w:p>
    <w:p>
      <w:pPr>
        <w:spacing w:beforeLines="50" w:afterLines="50" w:line="560" w:lineRule="exact"/>
        <w:rPr>
          <w:rFonts w:hint="eastAsia" w:asciiTheme="minorEastAsia" w:hAnsiTheme="minorEastAsia" w:eastAsiaTheme="minorEastAsia"/>
          <w:color w:val="000000"/>
          <w:sz w:val="24"/>
          <w:szCs w:val="24"/>
        </w:rPr>
      </w:pPr>
      <w:r>
        <w:rPr>
          <w:rFonts w:asciiTheme="minorEastAsia" w:hAnsiTheme="minorEastAsia" w:eastAsiaTheme="minorEastAsia"/>
        </w:rPr>
        <w:pict>
          <v:shape id="AutoShape 951" o:spid="_x0000_s1033" o:spt="109" type="#_x0000_t109" style="position:absolute;left:0pt;margin-left:199.7pt;margin-top:-66.25pt;height:219.75pt;width:29.75pt;rotation:5898240f;z-index:251659264;mso-width-relative:page;mso-height-relative:page;" o:preferrelative="t" coordsize="21600,21600">
            <v:path/>
            <v:fill focussize="0,0"/>
            <v:stroke miterlimit="2"/>
            <v:imagedata o:title=""/>
            <o:lock v:ext="edit"/>
            <v:textbox>
              <w:txbxContent>
                <w:p>
                  <w:pPr>
                    <w:jc w:val="center"/>
                    <w:rPr>
                      <w:rFonts w:ascii="宋体"/>
                      <w:sz w:val="24"/>
                      <w:szCs w:val="24"/>
                    </w:rPr>
                  </w:pPr>
                  <w:r>
                    <w:rPr>
                      <w:rFonts w:hint="eastAsia" w:ascii="宋体" w:hAnsi="宋体"/>
                      <w:sz w:val="24"/>
                      <w:szCs w:val="24"/>
                    </w:rPr>
                    <w:t>现场处置方案</w:t>
                  </w:r>
                </w:p>
              </w:txbxContent>
            </v:textbox>
          </v:shape>
        </w:pict>
      </w:r>
    </w:p>
    <w:p>
      <w:pPr>
        <w:spacing w:beforeLines="50" w:afterLines="50" w:line="560" w:lineRule="exact"/>
        <w:rPr>
          <w:rFonts w:hint="eastAsia" w:asciiTheme="minorEastAsia" w:hAnsiTheme="minorEastAsia" w:eastAsiaTheme="minorEastAsia"/>
          <w:color w:val="000000"/>
          <w:sz w:val="24"/>
          <w:szCs w:val="24"/>
        </w:rPr>
      </w:pPr>
    </w:p>
    <w:p>
      <w:pPr>
        <w:adjustRightInd w:val="0"/>
        <w:snapToGrid w:val="0"/>
        <w:spacing w:line="460" w:lineRule="exact"/>
        <w:ind w:firstLine="480" w:firstLineChars="200"/>
        <w:jc w:val="center"/>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图1-1 应急预案体系图</w:t>
      </w:r>
    </w:p>
    <w:p>
      <w:pPr>
        <w:adjustRightInd w:val="0"/>
        <w:snapToGrid w:val="0"/>
        <w:spacing w:line="460" w:lineRule="exact"/>
        <w:outlineLvl w:val="1"/>
        <w:rPr>
          <w:rFonts w:hint="eastAsia"/>
          <w:b/>
          <w:color w:val="000000"/>
          <w:sz w:val="28"/>
          <w:szCs w:val="28"/>
          <w:lang w:val="zh-CN"/>
        </w:rPr>
      </w:pPr>
      <w:bookmarkStart w:id="116" w:name="_Toc387131492"/>
      <w:bookmarkStart w:id="117" w:name="_Toc179794535"/>
      <w:bookmarkStart w:id="118" w:name="_Toc304962947"/>
      <w:bookmarkStart w:id="119" w:name="_Toc262051528"/>
      <w:bookmarkStart w:id="120" w:name="_Toc196018533"/>
      <w:bookmarkStart w:id="121" w:name="_Toc304963591"/>
      <w:bookmarkStart w:id="122" w:name="_Toc336327119"/>
      <w:bookmarkStart w:id="123" w:name="_Toc229283963"/>
      <w:bookmarkStart w:id="124" w:name="_Toc183339214"/>
      <w:bookmarkStart w:id="125" w:name="_Toc262040267"/>
      <w:bookmarkStart w:id="126" w:name="_Toc336326841"/>
      <w:bookmarkStart w:id="127" w:name="_Toc185670974"/>
      <w:bookmarkStart w:id="128" w:name="_Toc184808754"/>
      <w:bookmarkStart w:id="129" w:name="_Toc387131418"/>
      <w:bookmarkStart w:id="130" w:name="_Toc304964434"/>
      <w:bookmarkStart w:id="131" w:name="_Toc198007327"/>
      <w:bookmarkStart w:id="132" w:name="_Toc415254533"/>
      <w:bookmarkStart w:id="133" w:name="_Toc196018424"/>
      <w:bookmarkStart w:id="134" w:name="_Toc262051107"/>
      <w:bookmarkStart w:id="135" w:name="_Toc184809541"/>
      <w:bookmarkStart w:id="136" w:name="_Toc183339490"/>
      <w:bookmarkStart w:id="137" w:name="_Toc304833224"/>
      <w:bookmarkStart w:id="138" w:name="_Toc262050857"/>
      <w:bookmarkStart w:id="139" w:name="_Toc196018628"/>
      <w:bookmarkStart w:id="140" w:name="_Toc408274426"/>
      <w:bookmarkStart w:id="141" w:name="_Toc6123"/>
      <w:bookmarkStart w:id="142" w:name="_Toc197251332"/>
      <w:bookmarkStart w:id="143" w:name="_Toc387131749"/>
      <w:bookmarkStart w:id="144" w:name="_Toc198355312"/>
      <w:bookmarkStart w:id="145" w:name="_Toc25827"/>
      <w:r>
        <w:rPr>
          <w:rFonts w:hint="eastAsia"/>
          <w:b/>
          <w:color w:val="000000"/>
          <w:sz w:val="28"/>
          <w:szCs w:val="28"/>
          <w:lang w:val="zh-CN"/>
        </w:rPr>
        <w:t>1.5应急工作原则</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Start w:id="146" w:name="_Toc304962948"/>
      <w:bookmarkStart w:id="147" w:name="_Toc262051529"/>
      <w:bookmarkStart w:id="148" w:name="_Toc387131493"/>
      <w:bookmarkStart w:id="149" w:name="_Toc196018425"/>
      <w:bookmarkStart w:id="150" w:name="_Toc408274427"/>
      <w:bookmarkStart w:id="151" w:name="_Toc387131419"/>
      <w:bookmarkStart w:id="152" w:name="_Toc415254534"/>
      <w:bookmarkStart w:id="153" w:name="_Toc262051108"/>
      <w:bookmarkStart w:id="154" w:name="_Toc183339491"/>
      <w:bookmarkStart w:id="155" w:name="_Toc262040268"/>
      <w:bookmarkStart w:id="156" w:name="_Toc197251333"/>
      <w:bookmarkStart w:id="157" w:name="_Toc336326842"/>
      <w:bookmarkStart w:id="158" w:name="_Toc198007328"/>
      <w:bookmarkStart w:id="159" w:name="_Toc304833225"/>
      <w:bookmarkStart w:id="160" w:name="_Toc196018629"/>
      <w:bookmarkStart w:id="161" w:name="_Toc229283964"/>
      <w:bookmarkStart w:id="162" w:name="_Toc183339215"/>
      <w:bookmarkStart w:id="163" w:name="_Toc185670975"/>
      <w:bookmarkStart w:id="164" w:name="_Toc184809542"/>
      <w:bookmarkStart w:id="165" w:name="_Toc198355313"/>
      <w:bookmarkStart w:id="166" w:name="_Toc304964435"/>
      <w:bookmarkStart w:id="167" w:name="_Toc196018534"/>
      <w:bookmarkStart w:id="168" w:name="_Toc184808755"/>
      <w:bookmarkStart w:id="169" w:name="_Toc336327120"/>
      <w:bookmarkStart w:id="170" w:name="_Toc304963592"/>
      <w:bookmarkStart w:id="171" w:name="_Toc262050858"/>
      <w:bookmarkStart w:id="172" w:name="_Toc387131750"/>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本着实事求是、切实可行的方针，始终贯彻如下原则：</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（1）以人为本、安全第一。</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把保障员工的身体健康、生命安全作为首要任务。切实加强应急救援人员的安全防护，充分发挥专业救援力量的骨干作用。</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（2）环境优先原则。</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发生突发环境事件后，采取的应急措施行动中要体现环境重于财务的原则，优先考虑对环境的保护和减少环境影响的紧急措施。</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（3）先期处置原则。</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  一旦发生事故，事故单位应立即启动先期处置应急预案，迅速采取有效措施，尽可能的控制事态发展，以减少人员伤亡和财产损失。</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（4）快速响应、科学应急。</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发生突发环境事件后，有应急指挥中心全面负责内部的统一指挥、统一调度，按照事故内型进行针对性的处置，并配合、服从上级有关部门的统一指挥，按照各自职责，密切协作，保证处置工作的科学性、统一性和高效性。</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（5）预防为主，平战结合。</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贯彻落实“安全第一，预防为主，综合治理”的方针，坚持事故应急与预防工作相结合。做好预防、预测、预警和预报工作。加强对环境危险源的监控，实施长效监督管理机制。</w:t>
      </w:r>
    </w:p>
    <w:p>
      <w:pPr>
        <w:ind w:firstLine="560"/>
        <w:rPr>
          <w:rFonts w:asciiTheme="minorEastAsia" w:hAnsiTheme="minorEastAsia" w:eastAsiaTheme="minorEastAsia"/>
          <w:sz w:val="24"/>
          <w:szCs w:val="24"/>
        </w:rPr>
      </w:pPr>
    </w:p>
    <w:p>
      <w:pPr>
        <w:adjustRightInd w:val="0"/>
        <w:snapToGrid w:val="0"/>
        <w:spacing w:line="460" w:lineRule="exact"/>
        <w:outlineLvl w:val="1"/>
        <w:rPr>
          <w:rFonts w:hint="eastAsia"/>
          <w:b/>
          <w:color w:val="000000"/>
          <w:sz w:val="28"/>
          <w:szCs w:val="28"/>
          <w:lang w:val="zh-CN"/>
        </w:rPr>
      </w:pPr>
      <w:bookmarkStart w:id="173" w:name="_Toc346872531"/>
      <w:bookmarkStart w:id="174" w:name="_Toc458674230"/>
      <w:bookmarkStart w:id="175" w:name="_Toc483083883"/>
      <w:bookmarkStart w:id="176" w:name="_Toc31204"/>
      <w:bookmarkStart w:id="177" w:name="_Toc14936"/>
      <w:r>
        <w:rPr>
          <w:rFonts w:hint="eastAsia"/>
          <w:b/>
          <w:color w:val="000000"/>
          <w:sz w:val="28"/>
          <w:szCs w:val="28"/>
          <w:lang w:val="zh-CN"/>
        </w:rPr>
        <w:t>1.6 事故分级</w:t>
      </w:r>
      <w:bookmarkEnd w:id="173"/>
      <w:bookmarkEnd w:id="174"/>
      <w:bookmarkEnd w:id="175"/>
      <w:bookmarkEnd w:id="176"/>
    </w:p>
    <w:p>
      <w:pPr>
        <w:spacing w:line="460" w:lineRule="exact"/>
        <w:ind w:firstLine="480" w:firstLineChars="200"/>
        <w:rPr>
          <w:color w:val="000000"/>
          <w:sz w:val="26"/>
          <w:szCs w:val="26"/>
        </w:rPr>
      </w:pPr>
      <w:r>
        <w:rPr>
          <w:rFonts w:asciiTheme="minorEastAsia" w:hAnsiTheme="minorEastAsia" w:eastAsiaTheme="minorEastAsia"/>
          <w:sz w:val="24"/>
          <w:szCs w:val="24"/>
        </w:rPr>
        <w:t>按照突发事件严重性和紧急程度，突发环境事件分为特别重大环境事件(Ⅰ级)、重大环境事件(Ⅱ级)、较大环境事件(Ⅲ级)和一般环境事件(Ⅳ级)四级</w:t>
      </w:r>
      <w:r>
        <w:rPr>
          <w:color w:val="000000"/>
          <w:sz w:val="26"/>
          <w:szCs w:val="26"/>
        </w:rPr>
        <w:t>。</w:t>
      </w:r>
    </w:p>
    <w:p>
      <w:pPr>
        <w:pStyle w:val="89"/>
        <w:ind w:firstLine="0" w:firstLineChars="0"/>
        <w:rPr>
          <w:b/>
        </w:rPr>
      </w:pPr>
      <w:bookmarkStart w:id="178" w:name="_Toc458674231"/>
      <w:bookmarkStart w:id="179" w:name="_Toc346872532"/>
      <w:r>
        <w:rPr>
          <w:b/>
        </w:rPr>
        <w:t>l.</w:t>
      </w:r>
      <w:r>
        <w:rPr>
          <w:rFonts w:hint="eastAsia"/>
          <w:b/>
        </w:rPr>
        <w:t>6</w:t>
      </w:r>
      <w:r>
        <w:rPr>
          <w:b/>
        </w:rPr>
        <w:t>.1 特别重大环境事件(Ⅰ级)</w:t>
      </w:r>
      <w:bookmarkEnd w:id="178"/>
      <w:bookmarkEnd w:id="179"/>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凡符合下列情形之一的，为特别重大环境事件：</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 发生30人以上死亡，或中毒(重伤)100人以上；</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 因环境事件需疏散、转移群众5万人以上，或直接经济损失1000万元以上；</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 区域生态功能严重丧失或濒危物种生存环境遭到严重污染；</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 因环境污染使当地正常的经济、社会活动受到严重影响；</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 利用放射性物质进行人为破坏事件，或1、2类放射源失控造成大范围严重辐射污染后果；</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(6) 因环境污染造成重要城市主要水源地取水中断的污染事故；</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(7) 因危险化学品(含剧毒品)生产和贮运中发生泄漏，严重影响人民群众生产、生活的污染事故。</w:t>
      </w:r>
    </w:p>
    <w:p>
      <w:pPr>
        <w:pStyle w:val="89"/>
        <w:ind w:firstLine="0" w:firstLineChars="0"/>
        <w:rPr>
          <w:b/>
        </w:rPr>
      </w:pPr>
      <w:bookmarkStart w:id="180" w:name="_Toc458674232"/>
      <w:bookmarkStart w:id="181" w:name="_Toc346872533"/>
      <w:r>
        <w:rPr>
          <w:b/>
        </w:rPr>
        <w:t>1.</w:t>
      </w:r>
      <w:r>
        <w:rPr>
          <w:rFonts w:hint="eastAsia"/>
          <w:b/>
        </w:rPr>
        <w:t>6</w:t>
      </w:r>
      <w:r>
        <w:rPr>
          <w:b/>
        </w:rPr>
        <w:t>.2 重大环境事件(Ⅱ级)</w:t>
      </w:r>
      <w:bookmarkEnd w:id="180"/>
      <w:bookmarkEnd w:id="181"/>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凡符合下列情形之一的，为重大环境事件：</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 发生10人以上、30人以下死亡，或中毒(重伤)50人以上、100人以下；</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 区域生态功能部分丧失或濒危物种生存环境受到污染；</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 因环境污染使当地经济、社会活动受到较大影响，疏散转移群众1万人以上、5万人以下的；</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 1、2类放射源丢失、被盗或失控；</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 因环境污染造成重要河流、湖泊、水库及沿海水域大面积污染，或县级以上城镇水源地取水中断的污染事件。</w:t>
      </w:r>
    </w:p>
    <w:p>
      <w:pPr>
        <w:pStyle w:val="89"/>
        <w:ind w:firstLine="0" w:firstLineChars="0"/>
        <w:rPr>
          <w:b/>
        </w:rPr>
      </w:pPr>
      <w:bookmarkStart w:id="182" w:name="_Toc458674233"/>
      <w:bookmarkStart w:id="183" w:name="_Toc342405908"/>
      <w:bookmarkStart w:id="184" w:name="_Toc346872534"/>
      <w:r>
        <w:rPr>
          <w:b/>
        </w:rPr>
        <w:t>1.</w:t>
      </w:r>
      <w:r>
        <w:rPr>
          <w:rFonts w:hint="eastAsia"/>
          <w:b/>
        </w:rPr>
        <w:t>6</w:t>
      </w:r>
      <w:r>
        <w:rPr>
          <w:b/>
        </w:rPr>
        <w:t>.3 较大环境事件(Ⅲ级)</w:t>
      </w:r>
      <w:bookmarkEnd w:id="182"/>
      <w:bookmarkEnd w:id="183"/>
      <w:bookmarkEnd w:id="184"/>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凡符合下列情形之一的，为较大环境事件：</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 发生3人以上、10人以下死亡，或中毒(重伤)50人以下；</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 因环境污染造成跨地级行政区域纠纷，使当地经济、社会活动受到影响；</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 3类放射源丢失、被盗或失控。</w:t>
      </w:r>
    </w:p>
    <w:p>
      <w:pPr>
        <w:pStyle w:val="89"/>
        <w:ind w:firstLine="0" w:firstLineChars="0"/>
        <w:rPr>
          <w:b/>
        </w:rPr>
      </w:pPr>
      <w:bookmarkStart w:id="185" w:name="_Toc458674234"/>
      <w:bookmarkStart w:id="186" w:name="_Toc346872535"/>
      <w:r>
        <w:rPr>
          <w:b/>
        </w:rPr>
        <w:t>l.</w:t>
      </w:r>
      <w:r>
        <w:rPr>
          <w:rFonts w:hint="eastAsia"/>
          <w:b/>
        </w:rPr>
        <w:t>6</w:t>
      </w:r>
      <w:r>
        <w:rPr>
          <w:b/>
        </w:rPr>
        <w:t>.4 一般环境事件(Ⅳ级)</w:t>
      </w:r>
      <w:bookmarkEnd w:id="185"/>
      <w:bookmarkEnd w:id="186"/>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凡符合下列情形之一的，为一般环境事件：</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 发生3人以下死亡；</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 因环境污染造成跨县级行政区域纠纷，引起一般群体性影响的；</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 4、5类放射源丢失、被盗或失控。</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根据</w:t>
      </w:r>
      <w:r>
        <w:rPr>
          <w:rFonts w:hint="eastAsia" w:asciiTheme="minorEastAsia" w:hAnsiTheme="minorEastAsia" w:eastAsiaTheme="minorEastAsia"/>
          <w:sz w:val="24"/>
          <w:szCs w:val="24"/>
        </w:rPr>
        <w:t>重庆市涪陵区拓源污水治理有限公司</w:t>
      </w:r>
      <w:r>
        <w:rPr>
          <w:rFonts w:hint="eastAsia" w:asciiTheme="minorEastAsia" w:hAnsiTheme="minorEastAsia" w:eastAsiaTheme="minorEastAsia"/>
          <w:sz w:val="24"/>
          <w:szCs w:val="24"/>
          <w:lang w:eastAsia="zh-CN"/>
        </w:rPr>
        <w:t>白涛潘家坝</w:t>
      </w:r>
      <w:r>
        <w:rPr>
          <w:rFonts w:hint="eastAsia" w:asciiTheme="minorEastAsia" w:hAnsiTheme="minorEastAsia" w:eastAsiaTheme="minorEastAsia"/>
          <w:sz w:val="24"/>
          <w:szCs w:val="24"/>
        </w:rPr>
        <w:t>污水处理厂</w:t>
      </w:r>
      <w:r>
        <w:rPr>
          <w:rFonts w:asciiTheme="minorEastAsia" w:hAnsiTheme="minorEastAsia" w:eastAsiaTheme="minorEastAsia"/>
          <w:sz w:val="24"/>
          <w:szCs w:val="24"/>
        </w:rPr>
        <w:t>的地理位置及现场情况，综合可能发生事故的严重性和紧急程度，确定</w:t>
      </w:r>
      <w:r>
        <w:rPr>
          <w:rFonts w:hint="eastAsia" w:asciiTheme="minorEastAsia" w:hAnsiTheme="minorEastAsia" w:eastAsiaTheme="minorEastAsia"/>
          <w:sz w:val="24"/>
          <w:szCs w:val="24"/>
          <w:lang w:eastAsia="zh-CN"/>
        </w:rPr>
        <w:t>白涛潘家坝</w:t>
      </w:r>
      <w:r>
        <w:rPr>
          <w:rFonts w:hint="eastAsia" w:asciiTheme="minorEastAsia" w:hAnsiTheme="minorEastAsia" w:eastAsiaTheme="minorEastAsia"/>
          <w:sz w:val="24"/>
          <w:szCs w:val="24"/>
        </w:rPr>
        <w:t>污水处理厂</w:t>
      </w:r>
      <w:r>
        <w:rPr>
          <w:rFonts w:asciiTheme="minorEastAsia" w:hAnsiTheme="minorEastAsia" w:eastAsiaTheme="minorEastAsia"/>
          <w:sz w:val="24"/>
          <w:szCs w:val="24"/>
        </w:rPr>
        <w:t>的突发环境事件为</w:t>
      </w:r>
      <w:r>
        <w:rPr>
          <w:rFonts w:hint="eastAsia" w:asciiTheme="minorEastAsia" w:hAnsiTheme="minorEastAsia" w:eastAsiaTheme="minorEastAsia"/>
          <w:sz w:val="24"/>
          <w:szCs w:val="24"/>
        </w:rPr>
        <w:t>Ⅳ</w:t>
      </w:r>
      <w:r>
        <w:rPr>
          <w:rFonts w:asciiTheme="minorEastAsia" w:hAnsiTheme="minorEastAsia" w:eastAsiaTheme="minorEastAsia"/>
          <w:sz w:val="24"/>
          <w:szCs w:val="24"/>
        </w:rPr>
        <w:t>级。</w:t>
      </w:r>
    </w:p>
    <w:p>
      <w:pPr>
        <w:pStyle w:val="2"/>
        <w:spacing w:before="120" w:after="120" w:line="360" w:lineRule="auto"/>
        <w:jc w:val="center"/>
        <w:rPr>
          <w:rFonts w:hint="eastAsia" w:asciiTheme="minorEastAsia" w:hAnsiTheme="minorEastAsia" w:eastAsiaTheme="minorEastAsia"/>
          <w:b/>
          <w:color w:val="000000"/>
          <w:sz w:val="32"/>
          <w:lang w:val="zh-CN"/>
        </w:rPr>
      </w:pPr>
      <w:bookmarkStart w:id="187" w:name="_Toc7064"/>
      <w:r>
        <w:rPr>
          <w:rFonts w:hint="eastAsia" w:asciiTheme="minorEastAsia" w:hAnsiTheme="minorEastAsia" w:eastAsiaTheme="minorEastAsia"/>
          <w:b/>
          <w:color w:val="000000"/>
          <w:sz w:val="32"/>
          <w:lang w:val="zh-CN"/>
        </w:rPr>
        <w:t>2企业基休信息</w:t>
      </w:r>
      <w:bookmarkEnd w:id="187"/>
    </w:p>
    <w:p>
      <w:pPr>
        <w:adjustRightInd w:val="0"/>
        <w:snapToGrid w:val="0"/>
        <w:spacing w:line="460" w:lineRule="exact"/>
        <w:outlineLvl w:val="1"/>
        <w:rPr>
          <w:rFonts w:hint="eastAsia"/>
          <w:b/>
          <w:color w:val="000000"/>
          <w:sz w:val="28"/>
          <w:szCs w:val="28"/>
          <w:lang w:val="zh-CN"/>
        </w:rPr>
      </w:pPr>
      <w:bookmarkStart w:id="188" w:name="_Toc28423"/>
      <w:r>
        <w:rPr>
          <w:rFonts w:hint="eastAsia"/>
          <w:b/>
          <w:color w:val="000000"/>
          <w:sz w:val="28"/>
          <w:szCs w:val="28"/>
          <w:lang w:val="zh-CN"/>
        </w:rPr>
        <w:t>2.1企业基本信息</w:t>
      </w:r>
      <w:bookmarkEnd w:id="188"/>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重庆市涪陵区拓源污水治理有限公司白涛潘家坝污水处理厂位于涪陵区白涛镇新立村二组，占地38亩，总投资7359万元，现有员工12人，由涪陵区拓源污水治理有限公司负责运营管理，是一家专业处理城市生活污水和经预处理的工业废水服务为一体的民营企业。</w:t>
      </w:r>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白涛潘家坝污水处理厂 “</w:t>
      </w:r>
      <w:r>
        <w:rPr>
          <w:rFonts w:hint="eastAsia" w:asciiTheme="minorEastAsia" w:hAnsiTheme="minorEastAsia" w:eastAsiaTheme="minorEastAsia"/>
          <w:sz w:val="24"/>
          <w:szCs w:val="24"/>
          <w:lang w:val="zh-CN"/>
        </w:rPr>
        <w:t>一期污水处理规模为10000吨/日</w:t>
      </w:r>
      <w:r>
        <w:rPr>
          <w:rFonts w:hint="eastAsia" w:asciiTheme="minorEastAsia" w:hAnsiTheme="minorEastAsia" w:eastAsiaTheme="minorEastAsia"/>
          <w:sz w:val="24"/>
          <w:szCs w:val="24"/>
        </w:rPr>
        <w:t>”，于2010年5开工建设，2012年12月</w:t>
      </w:r>
      <w:r>
        <w:rPr>
          <w:rFonts w:hint="eastAsia" w:asciiTheme="minorEastAsia" w:hAnsiTheme="minorEastAsia" w:eastAsiaTheme="minorEastAsia"/>
          <w:sz w:val="24"/>
          <w:szCs w:val="24"/>
          <w:lang w:val="zh-CN"/>
        </w:rPr>
        <w:t>投入试运行；</w:t>
      </w:r>
      <w:r>
        <w:rPr>
          <w:rFonts w:hint="eastAsia" w:asciiTheme="minorEastAsia" w:hAnsiTheme="minorEastAsia" w:eastAsiaTheme="minorEastAsia"/>
          <w:sz w:val="24"/>
          <w:szCs w:val="24"/>
        </w:rPr>
        <w:t>一期工程主要负责对</w:t>
      </w:r>
      <w:r>
        <w:rPr>
          <w:rFonts w:hint="eastAsia" w:asciiTheme="minorEastAsia" w:hAnsiTheme="minorEastAsia" w:eastAsiaTheme="minorEastAsia"/>
          <w:sz w:val="24"/>
          <w:szCs w:val="24"/>
          <w:lang w:val="zh-CN"/>
        </w:rPr>
        <w:t>潘家坝上游约4km2内企业的生产废水和职工生活污水</w:t>
      </w:r>
      <w:r>
        <w:rPr>
          <w:rFonts w:hint="eastAsia" w:asciiTheme="minorEastAsia" w:hAnsiTheme="minorEastAsia" w:eastAsiaTheme="minorEastAsia"/>
          <w:sz w:val="24"/>
          <w:szCs w:val="24"/>
        </w:rPr>
        <w:t>进行收集和处理，配套污水管网9.8公里，废水经污水处理厂处理后，出水水质达《重庆市化工园区主要水污染物排放标准》（DB50-457-2012）-DB标后排入长江。已实现达标排放，</w:t>
      </w:r>
      <w:r>
        <w:rPr>
          <w:rFonts w:hint="eastAsia" w:asciiTheme="minorEastAsia" w:hAnsiTheme="minorEastAsia" w:eastAsiaTheme="minorEastAsia"/>
          <w:sz w:val="24"/>
          <w:szCs w:val="24"/>
          <w:lang w:val="zh-CN"/>
        </w:rPr>
        <w:t>并通过环保验收。</w:t>
      </w:r>
    </w:p>
    <w:p>
      <w:pPr>
        <w:pStyle w:val="117"/>
        <w:rPr>
          <w:rFonts w:asciiTheme="minorEastAsia" w:hAnsiTheme="minorEastAsia" w:eastAsiaTheme="minorEastAsia"/>
        </w:rPr>
      </w:pPr>
      <w:r>
        <w:rPr>
          <w:rFonts w:hint="eastAsia" w:asciiTheme="minorEastAsia" w:hAnsiTheme="minorEastAsia" w:eastAsiaTheme="minorEastAsia"/>
        </w:rPr>
        <w:t>表2-1 企业基本信息一览表</w:t>
      </w:r>
    </w:p>
    <w:tbl>
      <w:tblPr>
        <w:tblStyle w:val="33"/>
        <w:tblW w:w="94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60"/>
        <w:gridCol w:w="783"/>
        <w:gridCol w:w="445"/>
        <w:gridCol w:w="860"/>
        <w:gridCol w:w="370"/>
        <w:gridCol w:w="726"/>
        <w:gridCol w:w="872"/>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552" w:type="dxa"/>
            <w:tcBorders>
              <w:top w:val="thinThickSmallGap" w:color="auto" w:sz="24" w:space="0"/>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企业名称</w:t>
            </w:r>
          </w:p>
        </w:tc>
        <w:tc>
          <w:tcPr>
            <w:tcW w:w="3618" w:type="dxa"/>
            <w:gridSpan w:val="5"/>
            <w:tcBorders>
              <w:top w:val="thinThickSmallGap" w:color="auto" w:sz="24" w:space="0"/>
            </w:tcBorders>
            <w:vAlign w:val="center"/>
          </w:tcPr>
          <w:p>
            <w:pPr>
              <w:pStyle w:val="117"/>
              <w:jc w:val="both"/>
              <w:rPr>
                <w:rFonts w:asciiTheme="minorEastAsia" w:hAnsiTheme="minorEastAsia" w:eastAsiaTheme="minorEastAsia"/>
                <w:kern w:val="2"/>
                <w:sz w:val="21"/>
                <w:szCs w:val="21"/>
              </w:rPr>
            </w:pPr>
            <w:r>
              <w:rPr>
                <w:rFonts w:hint="eastAsia" w:cs="方正小标宋简体" w:asciiTheme="minorEastAsia" w:hAnsiTheme="minorEastAsia" w:eastAsiaTheme="minorEastAsia"/>
                <w:bCs/>
                <w:kern w:val="2"/>
                <w:sz w:val="21"/>
                <w:szCs w:val="24"/>
              </w:rPr>
              <w:t>重庆市涪陵区拓源污水治理限公司白涛</w:t>
            </w:r>
            <w:r>
              <w:rPr>
                <w:rFonts w:hint="eastAsia" w:asciiTheme="minorEastAsia" w:hAnsiTheme="minorEastAsia" w:eastAsiaTheme="minorEastAsia"/>
                <w:kern w:val="2"/>
                <w:sz w:val="21"/>
                <w:szCs w:val="24"/>
              </w:rPr>
              <w:t>潘家坝污水处理厂</w:t>
            </w:r>
          </w:p>
        </w:tc>
        <w:tc>
          <w:tcPr>
            <w:tcW w:w="1598" w:type="dxa"/>
            <w:gridSpan w:val="2"/>
            <w:tcBorders>
              <w:top w:val="thinThickSmallGap" w:color="auto" w:sz="24" w:space="0"/>
            </w:tcBorders>
            <w:vAlign w:val="center"/>
          </w:tcPr>
          <w:p>
            <w:pPr>
              <w:pStyle w:val="117"/>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组织机构代码</w:t>
            </w:r>
          </w:p>
        </w:tc>
        <w:tc>
          <w:tcPr>
            <w:tcW w:w="2693" w:type="dxa"/>
            <w:tcBorders>
              <w:top w:val="thinThickSmallGap" w:color="auto" w:sz="24" w:space="0"/>
              <w:right w:val="thinThickSmallGap" w:color="auto" w:sz="24" w:space="0"/>
            </w:tcBorders>
            <w:vAlign w:val="center"/>
          </w:tcPr>
          <w:p>
            <w:pPr>
              <w:pStyle w:val="117"/>
              <w:rPr>
                <w:rFonts w:asciiTheme="minorEastAsia" w:hAnsiTheme="minorEastAsia" w:eastAsiaTheme="minorEastAsia"/>
                <w:color w:val="FF0000"/>
                <w:kern w:val="2"/>
                <w:sz w:val="21"/>
                <w:szCs w:val="22"/>
              </w:rPr>
            </w:pPr>
            <w:r>
              <w:rPr>
                <w:rFonts w:hint="eastAsia" w:cs="宋体" w:asciiTheme="minorEastAsia" w:hAnsiTheme="minorEastAsia" w:eastAsiaTheme="minorEastAsia"/>
                <w:kern w:val="2"/>
                <w:sz w:val="21"/>
                <w:szCs w:val="21"/>
              </w:rPr>
              <w:t>91500102MA5U56568C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法定代表人</w:t>
            </w:r>
          </w:p>
        </w:tc>
        <w:tc>
          <w:tcPr>
            <w:tcW w:w="1160" w:type="dxa"/>
            <w:vAlign w:val="center"/>
          </w:tcPr>
          <w:p>
            <w:pPr>
              <w:pStyle w:val="117"/>
              <w:rPr>
                <w:rFonts w:asciiTheme="minorEastAsia" w:hAnsiTheme="minorEastAsia" w:eastAsiaTheme="minorEastAsia"/>
                <w:color w:val="000000"/>
                <w:kern w:val="2"/>
                <w:sz w:val="21"/>
                <w:szCs w:val="21"/>
              </w:rPr>
            </w:pPr>
            <w:r>
              <w:rPr>
                <w:rFonts w:hint="eastAsia" w:asciiTheme="minorEastAsia" w:hAnsiTheme="minorEastAsia" w:eastAsiaTheme="minorEastAsia"/>
                <w:kern w:val="2"/>
                <w:sz w:val="21"/>
                <w:szCs w:val="21"/>
              </w:rPr>
              <w:t>况敬良</w:t>
            </w:r>
          </w:p>
        </w:tc>
        <w:tc>
          <w:tcPr>
            <w:tcW w:w="1228" w:type="dxa"/>
            <w:gridSpan w:val="2"/>
            <w:vAlign w:val="center"/>
          </w:tcPr>
          <w:p>
            <w:pPr>
              <w:pStyle w:val="117"/>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联系人</w:t>
            </w:r>
          </w:p>
        </w:tc>
        <w:tc>
          <w:tcPr>
            <w:tcW w:w="1230" w:type="dxa"/>
            <w:gridSpan w:val="2"/>
            <w:vAlign w:val="center"/>
          </w:tcPr>
          <w:p>
            <w:pPr>
              <w:pStyle w:val="117"/>
              <w:rPr>
                <w:rFonts w:asciiTheme="minorEastAsia" w:hAnsiTheme="minorEastAsia" w:eastAsiaTheme="minorEastAsia"/>
                <w:kern w:val="2"/>
                <w:sz w:val="21"/>
                <w:szCs w:val="21"/>
              </w:rPr>
            </w:pPr>
            <w:r>
              <w:rPr>
                <w:rFonts w:hint="eastAsia" w:cs="仿宋_GB2312" w:asciiTheme="minorEastAsia" w:hAnsiTheme="minorEastAsia" w:eastAsiaTheme="minorEastAsia"/>
                <w:kern w:val="2"/>
                <w:sz w:val="21"/>
                <w:szCs w:val="21"/>
                <w:lang w:val="zh-CN"/>
              </w:rPr>
              <w:t>刘江义</w:t>
            </w:r>
          </w:p>
        </w:tc>
        <w:tc>
          <w:tcPr>
            <w:tcW w:w="1598" w:type="dxa"/>
            <w:gridSpan w:val="2"/>
            <w:vAlign w:val="center"/>
          </w:tcPr>
          <w:p>
            <w:pPr>
              <w:pStyle w:val="117"/>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电话</w:t>
            </w:r>
          </w:p>
        </w:tc>
        <w:tc>
          <w:tcPr>
            <w:tcW w:w="2693" w:type="dxa"/>
            <w:tcBorders>
              <w:right w:val="thinThickSmallGap" w:color="auto" w:sz="24" w:space="0"/>
            </w:tcBorders>
            <w:vAlign w:val="center"/>
          </w:tcPr>
          <w:p>
            <w:pPr>
              <w:pStyle w:val="117"/>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18983330191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通讯地址</w:t>
            </w:r>
          </w:p>
        </w:tc>
        <w:tc>
          <w:tcPr>
            <w:tcW w:w="7909" w:type="dxa"/>
            <w:gridSpan w:val="8"/>
            <w:tcBorders>
              <w:righ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重庆</w:t>
            </w:r>
            <w:r>
              <w:rPr>
                <w:rFonts w:hint="eastAsia" w:asciiTheme="minorEastAsia" w:hAnsiTheme="minorEastAsia" w:eastAsiaTheme="minorEastAsia"/>
                <w:kern w:val="2"/>
                <w:sz w:val="21"/>
                <w:szCs w:val="28"/>
              </w:rPr>
              <w:t>市</w:t>
            </w:r>
            <w:r>
              <w:rPr>
                <w:rFonts w:hint="eastAsia" w:asciiTheme="minorEastAsia" w:hAnsiTheme="minorEastAsia" w:eastAsiaTheme="minorEastAsia"/>
                <w:color w:val="000000"/>
                <w:kern w:val="2"/>
                <w:sz w:val="21"/>
                <w:szCs w:val="21"/>
              </w:rPr>
              <w:t>涪陵区白涛镇新立村二社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单位所在地</w:t>
            </w:r>
          </w:p>
        </w:tc>
        <w:tc>
          <w:tcPr>
            <w:tcW w:w="7909" w:type="dxa"/>
            <w:gridSpan w:val="8"/>
            <w:tcBorders>
              <w:righ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8"/>
              </w:rPr>
              <w:t>重庆市涪陵区白涛化工</w:t>
            </w:r>
            <w:r>
              <w:rPr>
                <w:rFonts w:hint="eastAsia" w:asciiTheme="minorEastAsia" w:hAnsiTheme="minorEastAsia" w:eastAsiaTheme="minorEastAsia"/>
                <w:kern w:val="2"/>
                <w:sz w:val="21"/>
                <w:szCs w:val="22"/>
              </w:rPr>
              <w:t>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中心经纬度</w:t>
            </w:r>
          </w:p>
        </w:tc>
        <w:tc>
          <w:tcPr>
            <w:tcW w:w="7909" w:type="dxa"/>
            <w:gridSpan w:val="8"/>
            <w:tcBorders>
              <w:right w:val="thinThickSmallGap" w:color="auto" w:sz="24" w:space="0"/>
            </w:tcBorders>
            <w:vAlign w:val="center"/>
          </w:tcPr>
          <w:p>
            <w:pPr>
              <w:pStyle w:val="117"/>
              <w:rPr>
                <w:rFonts w:asciiTheme="minorEastAsia" w:hAnsiTheme="minorEastAsia" w:eastAsiaTheme="minorEastAsia"/>
                <w:color w:val="000000"/>
                <w:kern w:val="2"/>
                <w:sz w:val="21"/>
                <w:szCs w:val="22"/>
              </w:rPr>
            </w:pPr>
            <w:r>
              <w:rPr>
                <w:rFonts w:hint="eastAsia" w:asciiTheme="minorEastAsia" w:hAnsiTheme="minorEastAsia" w:eastAsiaTheme="minorEastAsia"/>
                <w:color w:val="000000"/>
                <w:kern w:val="2"/>
                <w:sz w:val="21"/>
                <w:szCs w:val="15"/>
              </w:rPr>
              <w:t xml:space="preserve">东经E107°32′22.68′，北纬N29°34′25.13′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8"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建厂时间</w:t>
            </w:r>
          </w:p>
        </w:tc>
        <w:tc>
          <w:tcPr>
            <w:tcW w:w="2388" w:type="dxa"/>
            <w:gridSpan w:val="3"/>
            <w:vAlign w:val="center"/>
          </w:tcPr>
          <w:p>
            <w:pPr>
              <w:pStyle w:val="117"/>
              <w:rPr>
                <w:rFonts w:asciiTheme="minorEastAsia" w:hAnsiTheme="minorEastAsia" w:eastAsiaTheme="minorEastAsia"/>
                <w:kern w:val="2"/>
                <w:sz w:val="21"/>
                <w:szCs w:val="15"/>
              </w:rPr>
            </w:pPr>
            <w:r>
              <w:rPr>
                <w:rFonts w:hint="eastAsia" w:asciiTheme="minorEastAsia" w:hAnsiTheme="minorEastAsia" w:eastAsiaTheme="minorEastAsia"/>
                <w:kern w:val="2"/>
                <w:sz w:val="21"/>
                <w:szCs w:val="28"/>
              </w:rPr>
              <w:t>2010年3月</w:t>
            </w:r>
          </w:p>
        </w:tc>
        <w:tc>
          <w:tcPr>
            <w:tcW w:w="1956" w:type="dxa"/>
            <w:gridSpan w:val="3"/>
            <w:vAlign w:val="center"/>
          </w:tcPr>
          <w:p>
            <w:pPr>
              <w:pStyle w:val="117"/>
              <w:rPr>
                <w:rFonts w:asciiTheme="minorEastAsia" w:hAnsiTheme="minorEastAsia" w:eastAsiaTheme="minorEastAsia"/>
                <w:kern w:val="2"/>
                <w:sz w:val="21"/>
                <w:szCs w:val="15"/>
              </w:rPr>
            </w:pPr>
            <w:r>
              <w:rPr>
                <w:rFonts w:hint="eastAsia" w:asciiTheme="minorEastAsia" w:hAnsiTheme="minorEastAsia" w:eastAsiaTheme="minorEastAsia"/>
                <w:kern w:val="2"/>
                <w:sz w:val="21"/>
                <w:szCs w:val="15"/>
              </w:rPr>
              <w:t>投产时间</w:t>
            </w:r>
          </w:p>
        </w:tc>
        <w:tc>
          <w:tcPr>
            <w:tcW w:w="3565" w:type="dxa"/>
            <w:gridSpan w:val="2"/>
            <w:tcBorders>
              <w:right w:val="thinThickSmallGap" w:color="auto" w:sz="24" w:space="0"/>
            </w:tcBorders>
            <w:vAlign w:val="center"/>
          </w:tcPr>
          <w:p>
            <w:pPr>
              <w:pStyle w:val="117"/>
              <w:rPr>
                <w:rFonts w:asciiTheme="minorEastAsia" w:hAnsiTheme="minorEastAsia" w:eastAsiaTheme="minorEastAsia"/>
                <w:kern w:val="2"/>
                <w:sz w:val="21"/>
                <w:szCs w:val="15"/>
              </w:rPr>
            </w:pPr>
            <w:r>
              <w:rPr>
                <w:rFonts w:hint="eastAsia" w:asciiTheme="minorEastAsia" w:hAnsiTheme="minorEastAsia" w:eastAsiaTheme="minorEastAsia"/>
                <w:kern w:val="2"/>
                <w:sz w:val="21"/>
                <w:szCs w:val="28"/>
              </w:rPr>
              <w:t>2012年1月</w:t>
            </w:r>
            <w:r>
              <w:rPr>
                <w:rFonts w:hint="eastAsia" w:asciiTheme="minorEastAsia" w:hAnsiTheme="minorEastAsia" w:eastAsiaTheme="minorEastAsia"/>
                <w:kern w:val="2"/>
                <w:sz w:val="21"/>
                <w:szCs w:val="21"/>
              </w:rPr>
              <w:t>正式投入</w:t>
            </w:r>
            <w:r>
              <w:rPr>
                <w:rFonts w:hint="eastAsia" w:asciiTheme="minorEastAsia" w:hAnsiTheme="minorEastAsia" w:eastAsiaTheme="minorEastAsia"/>
                <w:kern w:val="2"/>
                <w:sz w:val="21"/>
                <w:szCs w:val="28"/>
              </w:rPr>
              <w:t>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所属行业类别</w:t>
            </w:r>
          </w:p>
        </w:tc>
        <w:tc>
          <w:tcPr>
            <w:tcW w:w="7909" w:type="dxa"/>
            <w:gridSpan w:val="8"/>
            <w:tcBorders>
              <w:right w:val="thinThickSmallGap" w:color="auto" w:sz="24" w:space="0"/>
            </w:tcBorders>
            <w:vAlign w:val="center"/>
          </w:tcPr>
          <w:p>
            <w:pPr>
              <w:pStyle w:val="117"/>
              <w:rPr>
                <w:rFonts w:asciiTheme="minorEastAsia" w:hAnsiTheme="minorEastAsia" w:eastAsiaTheme="minorEastAsia"/>
                <w:kern w:val="2"/>
                <w:sz w:val="21"/>
                <w:szCs w:val="21"/>
              </w:rPr>
            </w:pPr>
            <w:r>
              <w:rPr>
                <w:rFonts w:hint="eastAsia" w:cs="Arial" w:asciiTheme="minorEastAsia" w:hAnsiTheme="minorEastAsia" w:eastAsiaTheme="minorEastAsia"/>
                <w:color w:val="333333"/>
                <w:kern w:val="2"/>
                <w:sz w:val="21"/>
                <w:szCs w:val="21"/>
                <w:shd w:val="clear" w:color="auto" w:fill="FFFFFF"/>
              </w:rPr>
              <w:t>D4620污水处理及其再生利用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企业规模</w:t>
            </w:r>
          </w:p>
        </w:tc>
        <w:tc>
          <w:tcPr>
            <w:tcW w:w="1943" w:type="dxa"/>
            <w:gridSpan w:val="2"/>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小型</w:t>
            </w:r>
          </w:p>
        </w:tc>
        <w:tc>
          <w:tcPr>
            <w:tcW w:w="1305" w:type="dxa"/>
            <w:gridSpan w:val="2"/>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占地面积</w:t>
            </w:r>
          </w:p>
        </w:tc>
        <w:tc>
          <w:tcPr>
            <w:tcW w:w="4661" w:type="dxa"/>
            <w:gridSpan w:val="4"/>
            <w:tcBorders>
              <w:righ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38亩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劳动定员</w:t>
            </w:r>
          </w:p>
        </w:tc>
        <w:tc>
          <w:tcPr>
            <w:tcW w:w="7909" w:type="dxa"/>
            <w:gridSpan w:val="8"/>
            <w:tcBorders>
              <w:right w:val="thinThickSmallGap" w:color="auto" w:sz="24" w:space="0"/>
            </w:tcBorders>
            <w:vAlign w:val="center"/>
          </w:tcPr>
          <w:p>
            <w:pPr>
              <w:pStyle w:val="117"/>
              <w:jc w:val="left"/>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定员</w:t>
            </w:r>
            <w:r>
              <w:rPr>
                <w:rFonts w:hint="eastAsia" w:asciiTheme="minorEastAsia" w:hAnsiTheme="minorEastAsia" w:eastAsiaTheme="minorEastAsia"/>
                <w:kern w:val="2"/>
                <w:sz w:val="21"/>
                <w:szCs w:val="21"/>
              </w:rPr>
              <w:t>12人，其中管理人员2人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1552" w:type="dxa"/>
            <w:tcBorders>
              <w:left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工作制度</w:t>
            </w:r>
          </w:p>
        </w:tc>
        <w:tc>
          <w:tcPr>
            <w:tcW w:w="7909" w:type="dxa"/>
            <w:gridSpan w:val="8"/>
            <w:tcBorders>
              <w:right w:val="thinThickSmallGap" w:color="auto" w:sz="24" w:space="0"/>
            </w:tcBorders>
            <w:vAlign w:val="center"/>
          </w:tcPr>
          <w:p>
            <w:pPr>
              <w:pStyle w:val="117"/>
              <w:jc w:val="left"/>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年生产天数365，生产制度实行四班三运转，操作时数为8786小时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1552" w:type="dxa"/>
            <w:tcBorders>
              <w:left w:val="thinThickSmallGap" w:color="auto" w:sz="24" w:space="0"/>
              <w:bottom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产品方案</w:t>
            </w:r>
          </w:p>
        </w:tc>
        <w:tc>
          <w:tcPr>
            <w:tcW w:w="7909" w:type="dxa"/>
            <w:gridSpan w:val="8"/>
            <w:tcBorders>
              <w:bottom w:val="thinThickSmallGap" w:color="auto" w:sz="24" w:space="0"/>
              <w:right w:val="thinThickSmallGap" w:color="auto" w:sz="24" w:space="0"/>
            </w:tcBorders>
            <w:vAlign w:val="center"/>
          </w:tcPr>
          <w:p>
            <w:pPr>
              <w:jc w:val="left"/>
              <w:rPr>
                <w:rFonts w:asciiTheme="minorEastAsia" w:hAnsiTheme="minorEastAsia" w:eastAsiaTheme="minorEastAsia"/>
                <w:color w:val="000000"/>
                <w:szCs w:val="21"/>
              </w:rPr>
            </w:pPr>
            <w:r>
              <w:rPr>
                <w:rFonts w:hint="eastAsia" w:cs="仿宋_GB2312" w:asciiTheme="minorEastAsia" w:hAnsiTheme="minorEastAsia" w:eastAsiaTheme="minorEastAsia"/>
                <w:kern w:val="0"/>
                <w:szCs w:val="21"/>
                <w:lang w:val="zh-CN"/>
              </w:rPr>
              <w:t>污水处理规模为10000吨/日、一般</w:t>
            </w:r>
            <w:r>
              <w:rPr>
                <w:rFonts w:hint="eastAsia" w:cs="仿宋_GB2312" w:asciiTheme="minorEastAsia" w:hAnsiTheme="minorEastAsia" w:eastAsiaTheme="minorEastAsia"/>
                <w:szCs w:val="21"/>
              </w:rPr>
              <w:t>污泥</w:t>
            </w:r>
          </w:p>
        </w:tc>
      </w:tr>
    </w:tbl>
    <w:p>
      <w:pPr>
        <w:adjustRightInd w:val="0"/>
        <w:snapToGrid w:val="0"/>
        <w:spacing w:line="460" w:lineRule="exact"/>
        <w:outlineLvl w:val="1"/>
        <w:rPr>
          <w:rFonts w:hint="eastAsia"/>
          <w:b/>
          <w:color w:val="000000"/>
          <w:sz w:val="28"/>
          <w:szCs w:val="28"/>
          <w:lang w:val="zh-CN"/>
        </w:rPr>
      </w:pPr>
      <w:bookmarkStart w:id="189" w:name="_Toc31494"/>
      <w:r>
        <w:rPr>
          <w:rFonts w:hint="eastAsia"/>
          <w:b/>
          <w:color w:val="000000"/>
          <w:sz w:val="28"/>
          <w:szCs w:val="28"/>
          <w:lang w:val="zh-CN"/>
        </w:rPr>
        <w:t>2.2 周边环境概况</w:t>
      </w:r>
      <w:bookmarkEnd w:id="189"/>
    </w:p>
    <w:p>
      <w:pPr>
        <w:autoSpaceDE w:val="0"/>
        <w:autoSpaceDN w:val="0"/>
        <w:adjustRightInd w:val="0"/>
        <w:spacing w:line="460" w:lineRule="exact"/>
        <w:rPr>
          <w:rFonts w:cs="仿宋_GB2312" w:asciiTheme="minorEastAsia" w:hAnsiTheme="minorEastAsia" w:eastAsiaTheme="minorEastAsia"/>
          <w:b/>
          <w:sz w:val="28"/>
          <w:szCs w:val="28"/>
          <w:lang w:val="zh-CN"/>
        </w:rPr>
      </w:pPr>
      <w:r>
        <w:rPr>
          <w:rFonts w:hint="eastAsia" w:cs="仿宋_GB2312" w:asciiTheme="minorEastAsia" w:hAnsiTheme="minorEastAsia" w:eastAsiaTheme="minorEastAsia"/>
          <w:b/>
          <w:sz w:val="28"/>
          <w:szCs w:val="28"/>
          <w:lang w:val="zh-CN"/>
        </w:rPr>
        <w:t>2.2.1地理位置</w:t>
      </w:r>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涪陵区地处重庆市东部，位于重庆市中心区下游120km长江和乌江汇合口处，地理坐标介于东经106°56´´至107°43´´，北纬29°21´´至30°01´´之间。东邻丰都，南接武隆，西接巴南区。经319国道涪长公路、涪南公路与长寿、南川及湘鄂边区连接，出三峡与武汉、南京、上海一衣带水。东西长76km，南北宽67km，幅员面积2941.46km2。</w:t>
      </w:r>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重庆白涛化工园区位于涪陵区白涛街道办事处，乌江东岸，距白涛老镇1.5km，新镇约2.5km，距离涪陵城区约26km，距渝怀铁路白涛火车站约3km，据现有码头作业区1km。本项目位于白涛化工园区天然气化工区西南，即新立村二社潘家坝，地理位置十分优越。</w:t>
      </w:r>
    </w:p>
    <w:p>
      <w:pPr>
        <w:spacing w:line="4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2.2.2地形、地貌与地质情况</w:t>
      </w:r>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厂所处位置区属溶蚀低山地貌。地形总体起伏不大，沿白（涛）—焦（石）公路一线大部分地势开阔平缓，地形坡角一般为1-4°；在规划区其余地段主要分布有数处浑圆状溶蚀丘陵，基岩裸露，地形坡角一般为10°-25°，局部可达45°；区内最大高程分布于南西侧肖家堡一带，地面高程为411.00m，最小高程位于白涛河下游沟谷处，地面高程为203.00m，最大相对高差约210m。区内约40%的面积基岩裸露，第四系覆盖层覆盖面积相对较大，地形总体起伏不大，微地貌形态以缓坡和岩溶落水洞为主，溶蚀深度较大，地形地貌中等复杂。根据《重庆白涛化工园区总体规划》（2007-2020）地质灾害评估图可知，拟建项目所在地潘家坝属地质灾害低易发区。</w:t>
      </w:r>
    </w:p>
    <w:p>
      <w:pPr>
        <w:pStyle w:val="342"/>
        <w:ind w:firstLine="199" w:firstLineChars="71"/>
        <w:rPr>
          <w:rFonts w:asciiTheme="minorEastAsia" w:hAnsiTheme="minorEastAsia" w:eastAsiaTheme="minorEastAsia"/>
        </w:rPr>
      </w:pPr>
      <w:r>
        <w:rPr>
          <w:rFonts w:hint="eastAsia" w:asciiTheme="minorEastAsia" w:hAnsiTheme="minorEastAsia" w:eastAsiaTheme="minorEastAsia"/>
          <w:snapToGrid w:val="0"/>
          <w:sz w:val="28"/>
          <w:szCs w:val="28"/>
        </w:rPr>
        <w:t>2.2.3气候、气象</w:t>
      </w:r>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项目位置属亚热带湿润季风气候，具四季分明、雨量充沛、无霜期长、湿度大、春旱、夏热、秋多绵雨、冬干多雾的特点。据涪陵市气象资料，多年平均气温18.17°C，极端最低气温-1.5°C（1977年1月29日），最高气温43.5C（2006年8月15日）。多年平均降雨量为1104mm，但雨量在时间上分布不均，5-9月降雨量约占全年的65-70%，且多大雨、暴雨，最大年降雨量为1600mm（1998年），最小年降雨量为823mm（1993年），多年最大日平均降雨量为108mm。</w:t>
      </w:r>
    </w:p>
    <w:p>
      <w:pPr>
        <w:pStyle w:val="342"/>
        <w:ind w:firstLine="0" w:firstLineChars="0"/>
        <w:rPr>
          <w:rFonts w:asciiTheme="minorEastAsia" w:hAnsiTheme="minorEastAsia" w:eastAsiaTheme="minorEastAsia"/>
          <w:b/>
          <w:sz w:val="24"/>
          <w:szCs w:val="24"/>
        </w:rPr>
      </w:pPr>
      <w:r>
        <w:rPr>
          <w:rFonts w:hint="eastAsia" w:asciiTheme="minorEastAsia" w:hAnsiTheme="minorEastAsia" w:eastAsiaTheme="minorEastAsia"/>
          <w:b/>
          <w:snapToGrid w:val="0"/>
          <w:sz w:val="24"/>
        </w:rPr>
        <w:t>2.2.4</w:t>
      </w:r>
      <w:r>
        <w:rPr>
          <w:rFonts w:hint="eastAsia" w:asciiTheme="minorEastAsia" w:hAnsiTheme="minorEastAsia" w:eastAsiaTheme="minorEastAsia"/>
          <w:b/>
          <w:snapToGrid w:val="0"/>
        </w:rPr>
        <w:t>水文特征</w:t>
      </w:r>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厂区内分布少量鱼塘，南东侧河流地表水较发育，白涛河由北东向南西流经规划区，属常年性河流，为乌江一级支流。在规划区内河面最宽处约50m，最窄处10m。白涛河常年水位205.50-350.0m，最高洪水位210.50-355.2m（二十年一遇的洪水），多年平均流量25.2m3/s，平均纵坡降4.0%，切割深度2-16m。白涛河洪水位对化工园区规划有一定影响，在园区内河流面积0.37km2，约占园区面积的2.46％。</w:t>
      </w:r>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另在园区两侧斜坡地带发育多处季节性冲沟，常年多为干沟，主要来源于大气降雨，最终经白涛河汇入乌江。</w:t>
      </w:r>
    </w:p>
    <w:p>
      <w:pPr>
        <w:snapToGrid w:val="0"/>
        <w:spacing w:line="480" w:lineRule="atLeast"/>
        <w:jc w:val="left"/>
        <w:rPr>
          <w:rFonts w:asciiTheme="minorEastAsia" w:hAnsiTheme="minorEastAsia" w:eastAsiaTheme="minorEastAsia"/>
          <w:b/>
          <w:snapToGrid w:val="0"/>
          <w:sz w:val="28"/>
          <w:szCs w:val="28"/>
        </w:rPr>
      </w:pPr>
      <w:r>
        <w:rPr>
          <w:rFonts w:hint="eastAsia" w:asciiTheme="minorEastAsia" w:hAnsiTheme="minorEastAsia" w:eastAsiaTheme="minorEastAsia"/>
          <w:b/>
          <w:snapToGrid w:val="0"/>
          <w:sz w:val="28"/>
          <w:szCs w:val="28"/>
        </w:rPr>
        <w:t>2.2.5生态现状</w:t>
      </w:r>
    </w:p>
    <w:p>
      <w:pPr>
        <w:spacing w:line="460" w:lineRule="exact"/>
        <w:ind w:firstLine="480" w:firstLineChars="200"/>
        <w:rPr>
          <w:rFonts w:hint="eastAsia" w:asciiTheme="minorEastAsia" w:hAnsiTheme="minorEastAsia" w:eastAsiaTheme="minorEastAsia"/>
          <w:sz w:val="24"/>
          <w:szCs w:val="24"/>
          <w:lang w:val="zh-CN"/>
        </w:rPr>
      </w:pPr>
      <w:r>
        <w:rPr>
          <w:rFonts w:hint="eastAsia" w:asciiTheme="minorEastAsia" w:hAnsiTheme="minorEastAsia" w:eastAsiaTheme="minorEastAsia"/>
          <w:sz w:val="24"/>
          <w:szCs w:val="24"/>
        </w:rPr>
        <w:t>本项目园区周围区域内地带性植被为常绿阔叶林，受人类活动影响。根据涪陵生态资料，生态评价区内现有主要植被类型有：马尾松林、竹林、灌草丛、草坡以及少量农作物植被等。</w:t>
      </w:r>
      <w:r>
        <w:rPr>
          <w:rFonts w:hint="eastAsia" w:asciiTheme="minorEastAsia" w:hAnsiTheme="minorEastAsia" w:eastAsiaTheme="minorEastAsia"/>
          <w:sz w:val="24"/>
          <w:szCs w:val="24"/>
          <w:lang w:val="zh-CN"/>
        </w:rPr>
        <w:t>周围无自然保护区，居民已搬迁。</w:t>
      </w:r>
    </w:p>
    <w:p>
      <w:pPr>
        <w:adjustRightInd w:val="0"/>
        <w:snapToGrid w:val="0"/>
        <w:spacing w:line="460" w:lineRule="exact"/>
        <w:outlineLvl w:val="1"/>
        <w:rPr>
          <w:rFonts w:hint="eastAsia"/>
          <w:b/>
          <w:color w:val="000000"/>
          <w:sz w:val="28"/>
          <w:szCs w:val="28"/>
          <w:lang w:val="zh-CN"/>
        </w:rPr>
      </w:pPr>
      <w:bookmarkStart w:id="190" w:name="_Toc29775"/>
      <w:r>
        <w:rPr>
          <w:rFonts w:hint="eastAsia"/>
          <w:b/>
          <w:color w:val="000000"/>
          <w:sz w:val="28"/>
          <w:szCs w:val="28"/>
          <w:lang w:val="zh-CN"/>
        </w:rPr>
        <w:t>2.3周边环境关系</w:t>
      </w:r>
      <w:bookmarkEnd w:id="190"/>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白涛潘家坝污水处理厂位于涪陵白涛镇新立村二组，区域目前主要为农业区，根据现场调查，</w:t>
      </w:r>
      <w:r>
        <w:rPr>
          <w:rFonts w:hint="eastAsia" w:asciiTheme="minorEastAsia" w:hAnsiTheme="minorEastAsia" w:eastAsiaTheme="minorEastAsia"/>
          <w:sz w:val="24"/>
          <w:szCs w:val="24"/>
          <w:lang w:val="zh-CN"/>
        </w:rPr>
        <w:t>无</w:t>
      </w:r>
      <w:r>
        <w:rPr>
          <w:rFonts w:hint="eastAsia" w:asciiTheme="minorEastAsia" w:hAnsiTheme="minorEastAsia" w:eastAsiaTheme="minorEastAsia"/>
          <w:sz w:val="24"/>
          <w:szCs w:val="24"/>
        </w:rPr>
        <w:t>名胜古迹和自然保护区及重要的文物保护单位和医院等环境敏感点。白涛潘家坝污水处理厂周边区域涉及新立村居民共约12户，受工业园区建设开发影响，部分居民已搬迁，区域内环境敏感点见表2-2 。</w:t>
      </w:r>
    </w:p>
    <w:p>
      <w:pPr>
        <w:spacing w:line="46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项目周边5km范围内有新立村居民点。</w:t>
      </w:r>
    </w:p>
    <w:p>
      <w:pPr>
        <w:spacing w:line="460" w:lineRule="exact"/>
        <w:ind w:firstLine="480" w:firstLineChars="200"/>
        <w:rPr>
          <w:rFonts w:asciiTheme="minorEastAsia" w:hAnsiTheme="minorEastAsia" w:eastAsiaTheme="minorEastAsia"/>
          <w:snapToGrid w:val="0"/>
        </w:rPr>
      </w:pPr>
      <w:r>
        <w:rPr>
          <w:rFonts w:hint="eastAsia" w:asciiTheme="minorEastAsia" w:hAnsiTheme="minorEastAsia" w:eastAsiaTheme="minorEastAsia"/>
          <w:sz w:val="24"/>
          <w:szCs w:val="24"/>
        </w:rPr>
        <w:t>白涛河汇入乌江口下游23km对岸的乌江水泥厂生产用水取水口及下游12km的小溪口产卵场，汇合口上游1.7km的建峰工业集团的水厂因距离较远，基本不受影响，不作为敏感目标。</w:t>
      </w:r>
    </w:p>
    <w:p>
      <w:pPr>
        <w:spacing w:line="460" w:lineRule="exact"/>
        <w:ind w:right="44" w:firstLine="480"/>
        <w:jc w:val="center"/>
        <w:rPr>
          <w:rFonts w:asciiTheme="minorEastAsia" w:hAnsiTheme="minorEastAsia" w:eastAsiaTheme="minorEastAsia"/>
          <w:szCs w:val="24"/>
        </w:rPr>
      </w:pPr>
      <w:r>
        <w:rPr>
          <w:rFonts w:hint="eastAsia" w:asciiTheme="minorEastAsia" w:hAnsiTheme="minorEastAsia" w:eastAsiaTheme="minorEastAsia"/>
        </w:rPr>
        <w:t>表2</w:t>
      </w:r>
      <w:r>
        <w:rPr>
          <w:rFonts w:hint="eastAsia" w:asciiTheme="minorEastAsia" w:hAnsiTheme="minorEastAsia" w:eastAsiaTheme="minorEastAsia"/>
          <w:snapToGrid w:val="0"/>
        </w:rPr>
        <w:t>-</w:t>
      </w:r>
      <w:r>
        <w:rPr>
          <w:rFonts w:hint="eastAsia" w:asciiTheme="minorEastAsia" w:hAnsiTheme="minorEastAsia" w:eastAsiaTheme="minorEastAsia"/>
        </w:rPr>
        <w:t>2</w:t>
      </w:r>
      <w:r>
        <w:rPr>
          <w:rFonts w:hint="eastAsia" w:asciiTheme="minorEastAsia" w:hAnsiTheme="minorEastAsia" w:eastAsiaTheme="minorEastAsia"/>
          <w:szCs w:val="24"/>
        </w:rPr>
        <w:t>项目主要敏感点分布一览表</w:t>
      </w:r>
    </w:p>
    <w:tbl>
      <w:tblPr>
        <w:tblStyle w:val="33"/>
        <w:tblW w:w="9410"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701"/>
        <w:gridCol w:w="1276"/>
        <w:gridCol w:w="2835"/>
        <w:gridCol w:w="1275"/>
        <w:gridCol w:w="1682"/>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1" w:type="dxa"/>
            <w:tcBorders>
              <w:top w:val="thinThick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701" w:type="dxa"/>
            <w:tcBorders>
              <w:top w:val="thinThick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保护目标</w:t>
            </w:r>
          </w:p>
        </w:tc>
        <w:tc>
          <w:tcPr>
            <w:tcW w:w="1276" w:type="dxa"/>
            <w:tcBorders>
              <w:top w:val="thinThick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保护目标</w:t>
            </w:r>
          </w:p>
        </w:tc>
        <w:tc>
          <w:tcPr>
            <w:tcW w:w="2835" w:type="dxa"/>
            <w:tcBorders>
              <w:top w:val="thinThick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与工程关系</w:t>
            </w:r>
          </w:p>
        </w:tc>
        <w:tc>
          <w:tcPr>
            <w:tcW w:w="1275" w:type="dxa"/>
            <w:tcBorders>
              <w:top w:val="thinThickSmallGap" w:color="auto" w:sz="18" w:space="0"/>
            </w:tcBorders>
            <w:vAlign w:val="center"/>
          </w:tcPr>
          <w:p>
            <w:pPr>
              <w:spacing w:line="460" w:lineRule="exact"/>
              <w:ind w:firstLine="189" w:firstLineChars="90"/>
              <w:jc w:val="center"/>
              <w:rPr>
                <w:rFonts w:asciiTheme="minorEastAsia" w:hAnsiTheme="minorEastAsia" w:eastAsiaTheme="minorEastAsia"/>
                <w:szCs w:val="21"/>
              </w:rPr>
            </w:pPr>
            <w:r>
              <w:rPr>
                <w:rFonts w:hint="eastAsia" w:asciiTheme="minorEastAsia" w:hAnsiTheme="minorEastAsia" w:eastAsiaTheme="minorEastAsia"/>
                <w:szCs w:val="21"/>
              </w:rPr>
              <w:t>影响因素</w:t>
            </w:r>
          </w:p>
        </w:tc>
        <w:tc>
          <w:tcPr>
            <w:tcW w:w="1682" w:type="dxa"/>
            <w:tcBorders>
              <w:top w:val="thinThickSmallGap" w:color="auto" w:sz="18" w:space="0"/>
            </w:tcBorders>
            <w:vAlign w:val="center"/>
          </w:tcPr>
          <w:p>
            <w:pPr>
              <w:spacing w:line="460" w:lineRule="exact"/>
              <w:ind w:firstLine="189" w:firstLineChars="90"/>
              <w:jc w:val="center"/>
              <w:rPr>
                <w:rFonts w:asciiTheme="minorEastAsia" w:hAnsiTheme="minorEastAsia" w:eastAsiaTheme="minorEastAsia"/>
                <w:szCs w:val="21"/>
              </w:rPr>
            </w:pPr>
            <w:r>
              <w:rPr>
                <w:rFonts w:hint="eastAsia" w:asciiTheme="minorEastAsia" w:hAnsiTheme="minorEastAsia" w:eastAsiaTheme="minorEastAsia"/>
                <w:szCs w:val="21"/>
              </w:rPr>
              <w:t>变化情况</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jc w:val="center"/>
        </w:trPr>
        <w:tc>
          <w:tcPr>
            <w:tcW w:w="64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70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东北向居民点</w:t>
            </w:r>
          </w:p>
        </w:tc>
        <w:tc>
          <w:tcPr>
            <w:tcW w:w="1276"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9户35人</w:t>
            </w:r>
          </w:p>
        </w:tc>
        <w:tc>
          <w:tcPr>
            <w:tcW w:w="283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北厂界97m，产臭区126m</w:t>
            </w:r>
          </w:p>
        </w:tc>
        <w:tc>
          <w:tcPr>
            <w:tcW w:w="127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废气、噪声</w:t>
            </w:r>
          </w:p>
        </w:tc>
        <w:tc>
          <w:tcPr>
            <w:tcW w:w="1682"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已搬迁</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64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70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东南向居民点</w:t>
            </w:r>
          </w:p>
        </w:tc>
        <w:tc>
          <w:tcPr>
            <w:tcW w:w="1276"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1户5人</w:t>
            </w:r>
          </w:p>
        </w:tc>
        <w:tc>
          <w:tcPr>
            <w:tcW w:w="283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东厂界91m，产臭区103m</w:t>
            </w:r>
          </w:p>
        </w:tc>
        <w:tc>
          <w:tcPr>
            <w:tcW w:w="127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废气、噪声</w:t>
            </w:r>
          </w:p>
        </w:tc>
        <w:tc>
          <w:tcPr>
            <w:tcW w:w="1682" w:type="dxa"/>
          </w:tcPr>
          <w:p>
            <w:pPr>
              <w:ind w:firstLine="420"/>
              <w:rPr>
                <w:rFonts w:asciiTheme="minorEastAsia" w:hAnsiTheme="minorEastAsia" w:eastAsiaTheme="minorEastAsia"/>
              </w:rPr>
            </w:pPr>
            <w:r>
              <w:rPr>
                <w:rFonts w:hint="eastAsia" w:asciiTheme="minorEastAsia" w:hAnsiTheme="minorEastAsia" w:eastAsiaTheme="minorEastAsia"/>
                <w:szCs w:val="21"/>
              </w:rPr>
              <w:t>已搬迁</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64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70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西北向居民点</w:t>
            </w:r>
          </w:p>
        </w:tc>
        <w:tc>
          <w:tcPr>
            <w:tcW w:w="1276"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1户5人</w:t>
            </w:r>
          </w:p>
        </w:tc>
        <w:tc>
          <w:tcPr>
            <w:tcW w:w="283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西厂界163m，产臭区182m</w:t>
            </w:r>
          </w:p>
        </w:tc>
        <w:tc>
          <w:tcPr>
            <w:tcW w:w="127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废气、噪声</w:t>
            </w:r>
          </w:p>
        </w:tc>
        <w:tc>
          <w:tcPr>
            <w:tcW w:w="1682" w:type="dxa"/>
          </w:tcPr>
          <w:p>
            <w:pPr>
              <w:ind w:firstLine="420"/>
              <w:rPr>
                <w:rFonts w:asciiTheme="minorEastAsia" w:hAnsiTheme="minorEastAsia" w:eastAsiaTheme="minorEastAsia"/>
              </w:rPr>
            </w:pPr>
            <w:r>
              <w:rPr>
                <w:rFonts w:hint="eastAsia" w:asciiTheme="minorEastAsia" w:hAnsiTheme="minorEastAsia" w:eastAsiaTheme="minorEastAsia"/>
                <w:szCs w:val="21"/>
              </w:rPr>
              <w:t>已搬迁</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64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70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管网沿线居民</w:t>
            </w:r>
          </w:p>
        </w:tc>
        <w:tc>
          <w:tcPr>
            <w:tcW w:w="1276"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p>
        </w:tc>
        <w:tc>
          <w:tcPr>
            <w:tcW w:w="2835" w:type="dxa"/>
            <w:vAlign w:val="center"/>
          </w:tcPr>
          <w:p>
            <w:pPr>
              <w:spacing w:line="460" w:lineRule="exact"/>
              <w:ind w:firstLine="189" w:firstLineChars="90"/>
              <w:jc w:val="center"/>
              <w:rPr>
                <w:rFonts w:asciiTheme="minorEastAsia" w:hAnsiTheme="minorEastAsia" w:eastAsiaTheme="minorEastAsia"/>
                <w:szCs w:val="21"/>
              </w:rPr>
            </w:pPr>
            <w:r>
              <w:rPr>
                <w:rFonts w:hint="eastAsia" w:asciiTheme="minorEastAsia" w:hAnsiTheme="minorEastAsia" w:eastAsiaTheme="minorEastAsia"/>
                <w:szCs w:val="21"/>
              </w:rPr>
              <w:t>/</w:t>
            </w:r>
          </w:p>
        </w:tc>
        <w:tc>
          <w:tcPr>
            <w:tcW w:w="127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废气、噪声</w:t>
            </w:r>
          </w:p>
        </w:tc>
        <w:tc>
          <w:tcPr>
            <w:tcW w:w="1682" w:type="dxa"/>
            <w:vAlign w:val="center"/>
          </w:tcPr>
          <w:p>
            <w:pPr>
              <w:spacing w:line="460" w:lineRule="exact"/>
              <w:jc w:val="center"/>
              <w:rPr>
                <w:rFonts w:asciiTheme="minorEastAsia" w:hAnsiTheme="minorEastAsia" w:eastAsiaTheme="minorEastAsia"/>
                <w:szCs w:val="21"/>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64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70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白涛河段</w:t>
            </w:r>
          </w:p>
        </w:tc>
        <w:tc>
          <w:tcPr>
            <w:tcW w:w="1276"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地表水</w:t>
            </w:r>
          </w:p>
        </w:tc>
        <w:tc>
          <w:tcPr>
            <w:tcW w:w="283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纳污水体</w:t>
            </w:r>
          </w:p>
        </w:tc>
        <w:tc>
          <w:tcPr>
            <w:tcW w:w="127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废水</w:t>
            </w:r>
          </w:p>
        </w:tc>
        <w:tc>
          <w:tcPr>
            <w:tcW w:w="1682" w:type="dxa"/>
            <w:vAlign w:val="center"/>
          </w:tcPr>
          <w:p>
            <w:pPr>
              <w:spacing w:line="460" w:lineRule="exact"/>
              <w:jc w:val="center"/>
              <w:rPr>
                <w:rFonts w:asciiTheme="minorEastAsia" w:hAnsiTheme="minorEastAsia" w:eastAsiaTheme="minorEastAsia"/>
                <w:szCs w:val="21"/>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64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701" w:type="dxa"/>
            <w:vAlign w:val="center"/>
          </w:tcPr>
          <w:p>
            <w:pPr>
              <w:spacing w:line="460" w:lineRule="exact"/>
              <w:ind w:firstLine="189" w:firstLineChars="90"/>
              <w:jc w:val="center"/>
              <w:rPr>
                <w:rFonts w:asciiTheme="minorEastAsia" w:hAnsiTheme="minorEastAsia" w:eastAsiaTheme="minorEastAsia"/>
                <w:szCs w:val="21"/>
              </w:rPr>
            </w:pPr>
            <w:r>
              <w:rPr>
                <w:rFonts w:hint="eastAsia" w:asciiTheme="minorEastAsia" w:hAnsiTheme="minorEastAsia" w:eastAsiaTheme="minorEastAsia"/>
                <w:szCs w:val="21"/>
              </w:rPr>
              <w:t>乌江</w:t>
            </w:r>
          </w:p>
        </w:tc>
        <w:tc>
          <w:tcPr>
            <w:tcW w:w="1276"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地表水</w:t>
            </w:r>
          </w:p>
        </w:tc>
        <w:tc>
          <w:tcPr>
            <w:tcW w:w="283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纳污水体</w:t>
            </w:r>
          </w:p>
        </w:tc>
        <w:tc>
          <w:tcPr>
            <w:tcW w:w="127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废水</w:t>
            </w:r>
          </w:p>
        </w:tc>
        <w:tc>
          <w:tcPr>
            <w:tcW w:w="1682" w:type="dxa"/>
            <w:vAlign w:val="center"/>
          </w:tcPr>
          <w:p>
            <w:pPr>
              <w:spacing w:line="460" w:lineRule="exact"/>
              <w:jc w:val="center"/>
              <w:rPr>
                <w:rFonts w:asciiTheme="minorEastAsia" w:hAnsiTheme="minorEastAsia" w:eastAsiaTheme="minorEastAsia"/>
                <w:szCs w:val="21"/>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64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701"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乌江水泥取水口</w:t>
            </w:r>
          </w:p>
        </w:tc>
        <w:tc>
          <w:tcPr>
            <w:tcW w:w="1276"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生产用水</w:t>
            </w:r>
          </w:p>
        </w:tc>
        <w:tc>
          <w:tcPr>
            <w:tcW w:w="283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排放口下游23km</w:t>
            </w:r>
          </w:p>
        </w:tc>
        <w:tc>
          <w:tcPr>
            <w:tcW w:w="1275" w:type="dxa"/>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废水</w:t>
            </w:r>
          </w:p>
        </w:tc>
        <w:tc>
          <w:tcPr>
            <w:tcW w:w="1682" w:type="dxa"/>
            <w:vAlign w:val="center"/>
          </w:tcPr>
          <w:p>
            <w:pPr>
              <w:spacing w:line="460" w:lineRule="exact"/>
              <w:jc w:val="center"/>
              <w:rPr>
                <w:rFonts w:asciiTheme="minorEastAsia" w:hAnsiTheme="minorEastAsia" w:eastAsiaTheme="minorEastAsia"/>
                <w:szCs w:val="21"/>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641" w:type="dxa"/>
            <w:tcBorders>
              <w:bottom w:val="thickThin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701" w:type="dxa"/>
            <w:tcBorders>
              <w:bottom w:val="thickThin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小溪口产卵场</w:t>
            </w:r>
          </w:p>
        </w:tc>
        <w:tc>
          <w:tcPr>
            <w:tcW w:w="1276" w:type="dxa"/>
            <w:tcBorders>
              <w:bottom w:val="thickThin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鱼类</w:t>
            </w:r>
          </w:p>
        </w:tc>
        <w:tc>
          <w:tcPr>
            <w:tcW w:w="2835" w:type="dxa"/>
            <w:tcBorders>
              <w:bottom w:val="thickThin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排污口下游12km</w:t>
            </w:r>
          </w:p>
        </w:tc>
        <w:tc>
          <w:tcPr>
            <w:tcW w:w="1275" w:type="dxa"/>
            <w:tcBorders>
              <w:bottom w:val="thickThinSmallGap" w:color="auto" w:sz="18" w:space="0"/>
            </w:tcBorders>
            <w:vAlign w:val="center"/>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废水</w:t>
            </w:r>
          </w:p>
        </w:tc>
        <w:tc>
          <w:tcPr>
            <w:tcW w:w="1682" w:type="dxa"/>
            <w:tcBorders>
              <w:bottom w:val="thickThinSmallGap" w:color="auto" w:sz="18" w:space="0"/>
            </w:tcBorders>
            <w:vAlign w:val="center"/>
          </w:tcPr>
          <w:p>
            <w:pPr>
              <w:spacing w:line="460" w:lineRule="exact"/>
              <w:jc w:val="center"/>
              <w:rPr>
                <w:rFonts w:asciiTheme="minorEastAsia" w:hAnsiTheme="minorEastAsia" w:eastAsiaTheme="minorEastAsia"/>
                <w:szCs w:val="21"/>
              </w:rPr>
            </w:pPr>
          </w:p>
        </w:tc>
      </w:tr>
    </w:tbl>
    <w:p>
      <w:pPr>
        <w:adjustRightInd w:val="0"/>
        <w:snapToGrid w:val="0"/>
        <w:spacing w:line="460" w:lineRule="exact"/>
        <w:outlineLvl w:val="1"/>
        <w:rPr>
          <w:rFonts w:hint="eastAsia"/>
          <w:b/>
          <w:color w:val="000000"/>
          <w:sz w:val="28"/>
          <w:szCs w:val="28"/>
          <w:lang w:val="zh-CN"/>
        </w:rPr>
      </w:pPr>
      <w:bookmarkStart w:id="191" w:name="_Toc24599"/>
      <w:r>
        <w:rPr>
          <w:rFonts w:hint="eastAsia"/>
          <w:b/>
          <w:color w:val="000000"/>
          <w:sz w:val="28"/>
          <w:szCs w:val="28"/>
          <w:lang w:val="zh-CN"/>
        </w:rPr>
        <w:t>2.4企业现有污染物及排放标准</w:t>
      </w:r>
      <w:bookmarkEnd w:id="191"/>
    </w:p>
    <w:p>
      <w:pPr>
        <w:spacing w:line="460" w:lineRule="exact"/>
        <w:ind w:firstLine="480"/>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（1）废水排放标准</w:t>
      </w:r>
    </w:p>
    <w:p>
      <w:pPr>
        <w:spacing w:line="460" w:lineRule="exact"/>
        <w:ind w:firstLine="520"/>
        <w:rPr>
          <w:rFonts w:asciiTheme="minorEastAsia" w:hAnsiTheme="minorEastAsia" w:eastAsiaTheme="minorEastAsia"/>
          <w:sz w:val="24"/>
          <w:szCs w:val="24"/>
        </w:rPr>
      </w:pPr>
      <w:r>
        <w:rPr>
          <w:rFonts w:hint="eastAsia" w:asciiTheme="minorEastAsia" w:hAnsiTheme="minorEastAsia" w:eastAsiaTheme="minorEastAsia"/>
          <w:sz w:val="24"/>
          <w:szCs w:val="24"/>
        </w:rPr>
        <w:t>白涛潘家坝污水处理厂尾水直接受纳水体为乌江。出水执行《重庆市化工园区主要水污染物排放标准》（DB50-457-2012）标准，具体标准值见表2－3。</w:t>
      </w:r>
    </w:p>
    <w:p>
      <w:pPr>
        <w:spacing w:line="460" w:lineRule="exact"/>
        <w:jc w:val="center"/>
        <w:rPr>
          <w:rFonts w:asciiTheme="minorEastAsia" w:hAnsiTheme="minorEastAsia" w:eastAsiaTheme="minorEastAsia"/>
          <w:sz w:val="24"/>
          <w:szCs w:val="24"/>
        </w:rPr>
      </w:pPr>
    </w:p>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表2－3 DB50-457-2012准限值      　　　单位：mg/l</w:t>
      </w:r>
    </w:p>
    <w:tbl>
      <w:tblPr>
        <w:tblStyle w:val="33"/>
        <w:tblW w:w="9006"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289"/>
        <w:gridCol w:w="1134"/>
        <w:gridCol w:w="1418"/>
        <w:gridCol w:w="1276"/>
        <w:gridCol w:w="1275"/>
        <w:gridCol w:w="1276"/>
        <w:gridCol w:w="1338"/>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1289" w:type="dxa"/>
            <w:tcBorders>
              <w:top w:val="thinThickSmallGap" w:color="auto" w:sz="18" w:space="0"/>
              <w:right w:val="single" w:color="auto" w:sz="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项目</w:t>
            </w:r>
          </w:p>
        </w:tc>
        <w:tc>
          <w:tcPr>
            <w:tcW w:w="1134" w:type="dxa"/>
            <w:tcBorders>
              <w:top w:val="thinThickSmallGap" w:color="auto" w:sz="18" w:space="0"/>
              <w:left w:val="single" w:color="auto" w:sz="4" w:space="0"/>
              <w:right w:val="single" w:color="auto" w:sz="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COD</w:t>
            </w:r>
          </w:p>
        </w:tc>
        <w:tc>
          <w:tcPr>
            <w:tcW w:w="1418" w:type="dxa"/>
            <w:tcBorders>
              <w:top w:val="thinThickSmallGap" w:color="auto" w:sz="18" w:space="0"/>
              <w:left w:val="single" w:color="auto" w:sz="4" w:space="0"/>
              <w:right w:val="single" w:color="auto" w:sz="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BOD</w:t>
            </w:r>
            <w:r>
              <w:rPr>
                <w:rFonts w:hint="eastAsia" w:asciiTheme="minorEastAsia" w:hAnsiTheme="minorEastAsia" w:eastAsiaTheme="minorEastAsia"/>
                <w:kern w:val="2"/>
                <w:sz w:val="21"/>
                <w:szCs w:val="22"/>
                <w:vertAlign w:val="subscript"/>
              </w:rPr>
              <w:t>5</w:t>
            </w:r>
          </w:p>
        </w:tc>
        <w:tc>
          <w:tcPr>
            <w:tcW w:w="1276" w:type="dxa"/>
            <w:tcBorders>
              <w:top w:val="thinThickSmallGap" w:color="auto" w:sz="18" w:space="0"/>
              <w:left w:val="single" w:color="auto" w:sz="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SS</w:t>
            </w:r>
          </w:p>
        </w:tc>
        <w:tc>
          <w:tcPr>
            <w:tcW w:w="1275" w:type="dxa"/>
            <w:tcBorders>
              <w:top w:val="thinThickSmallGap" w:color="auto" w:sz="18" w:space="0"/>
              <w:left w:val="single" w:color="auto" w:sz="4" w:space="0"/>
              <w:right w:val="single" w:color="auto" w:sz="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石油类</w:t>
            </w:r>
          </w:p>
        </w:tc>
        <w:tc>
          <w:tcPr>
            <w:tcW w:w="1276" w:type="dxa"/>
            <w:tcBorders>
              <w:top w:val="thinThickSmallGap" w:color="auto" w:sz="18" w:space="0"/>
              <w:left w:val="single" w:color="auto" w:sz="4" w:space="0"/>
              <w:right w:val="single" w:color="auto" w:sz="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氨氮</w:t>
            </w:r>
          </w:p>
        </w:tc>
        <w:tc>
          <w:tcPr>
            <w:tcW w:w="1338" w:type="dxa"/>
            <w:tcBorders>
              <w:top w:val="thinThickSmallGap" w:color="auto" w:sz="18" w:space="0"/>
              <w:left w:val="single" w:color="auto" w:sz="4" w:space="0"/>
            </w:tcBorders>
            <w:vAlign w:val="center"/>
          </w:tcPr>
          <w:p>
            <w:pPr>
              <w:spacing w:line="460" w:lineRule="exact"/>
              <w:jc w:val="center"/>
              <w:rPr>
                <w:rFonts w:asciiTheme="minorEastAsia" w:hAnsiTheme="minorEastAsia" w:eastAsiaTheme="minorEastAsia"/>
                <w:szCs w:val="22"/>
              </w:rPr>
            </w:pPr>
            <w:r>
              <w:rPr>
                <w:rFonts w:hint="eastAsia" w:asciiTheme="minorEastAsia" w:hAnsiTheme="minorEastAsia" w:eastAsiaTheme="minorEastAsia"/>
                <w:sz w:val="22"/>
              </w:rPr>
              <w:t>pH</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1289" w:type="dxa"/>
            <w:tcBorders>
              <w:bottom w:val="thickThinSmallGap" w:color="auto" w:sz="18" w:space="0"/>
              <w:right w:val="single" w:color="auto" w:sz="4" w:space="0"/>
            </w:tcBorders>
            <w:vAlign w:val="center"/>
          </w:tcPr>
          <w:p>
            <w:pPr>
              <w:spacing w:line="460" w:lineRule="exact"/>
              <w:jc w:val="center"/>
              <w:rPr>
                <w:rFonts w:asciiTheme="minorEastAsia" w:hAnsiTheme="minorEastAsia" w:eastAsiaTheme="minorEastAsia"/>
                <w:sz w:val="22"/>
              </w:rPr>
            </w:pPr>
            <w:r>
              <w:rPr>
                <w:rFonts w:hint="eastAsia" w:asciiTheme="minorEastAsia" w:hAnsiTheme="minorEastAsia" w:eastAsiaTheme="minorEastAsia"/>
                <w:sz w:val="22"/>
              </w:rPr>
              <w:t>标准</w:t>
            </w:r>
          </w:p>
        </w:tc>
        <w:tc>
          <w:tcPr>
            <w:tcW w:w="1134" w:type="dxa"/>
            <w:tcBorders>
              <w:left w:val="single" w:color="auto" w:sz="4" w:space="0"/>
              <w:bottom w:val="thickThinSmallGap" w:color="auto" w:sz="18" w:space="0"/>
              <w:right w:val="single" w:color="auto" w:sz="4" w:space="0"/>
            </w:tcBorders>
            <w:vAlign w:val="center"/>
          </w:tcPr>
          <w:p>
            <w:pPr>
              <w:spacing w:line="460" w:lineRule="exact"/>
              <w:jc w:val="center"/>
              <w:rPr>
                <w:rFonts w:asciiTheme="minorEastAsia" w:hAnsiTheme="minorEastAsia" w:eastAsiaTheme="minorEastAsia"/>
                <w:sz w:val="22"/>
              </w:rPr>
            </w:pPr>
            <w:r>
              <w:rPr>
                <w:rFonts w:hint="eastAsia" w:asciiTheme="minorEastAsia" w:hAnsiTheme="minorEastAsia" w:eastAsiaTheme="minorEastAsia"/>
                <w:sz w:val="22"/>
              </w:rPr>
              <w:t>≤80</w:t>
            </w:r>
          </w:p>
        </w:tc>
        <w:tc>
          <w:tcPr>
            <w:tcW w:w="1418" w:type="dxa"/>
            <w:tcBorders>
              <w:left w:val="single" w:color="auto" w:sz="4" w:space="0"/>
              <w:bottom w:val="thickThinSmallGap" w:color="auto" w:sz="18" w:space="0"/>
              <w:right w:val="single" w:color="auto" w:sz="4" w:space="0"/>
            </w:tcBorders>
            <w:vAlign w:val="center"/>
          </w:tcPr>
          <w:p>
            <w:pPr>
              <w:spacing w:line="460" w:lineRule="exact"/>
              <w:jc w:val="center"/>
              <w:rPr>
                <w:rFonts w:asciiTheme="minorEastAsia" w:hAnsiTheme="minorEastAsia" w:eastAsiaTheme="minorEastAsia"/>
                <w:sz w:val="22"/>
              </w:rPr>
            </w:pPr>
            <w:r>
              <w:rPr>
                <w:rFonts w:hint="eastAsia" w:asciiTheme="minorEastAsia" w:hAnsiTheme="minorEastAsia" w:eastAsiaTheme="minorEastAsia"/>
                <w:sz w:val="22"/>
              </w:rPr>
              <w:t>≤20</w:t>
            </w:r>
          </w:p>
        </w:tc>
        <w:tc>
          <w:tcPr>
            <w:tcW w:w="1276" w:type="dxa"/>
            <w:tcBorders>
              <w:left w:val="single" w:color="auto" w:sz="4" w:space="0"/>
              <w:bottom w:val="thickThinSmallGap" w:color="auto" w:sz="18" w:space="0"/>
            </w:tcBorders>
            <w:vAlign w:val="center"/>
          </w:tcPr>
          <w:p>
            <w:pPr>
              <w:spacing w:line="460" w:lineRule="exact"/>
              <w:jc w:val="center"/>
              <w:rPr>
                <w:rFonts w:asciiTheme="minorEastAsia" w:hAnsiTheme="minorEastAsia" w:eastAsiaTheme="minorEastAsia"/>
                <w:sz w:val="22"/>
              </w:rPr>
            </w:pPr>
            <w:r>
              <w:rPr>
                <w:rFonts w:hint="eastAsia" w:asciiTheme="minorEastAsia" w:hAnsiTheme="minorEastAsia" w:eastAsiaTheme="minorEastAsia"/>
                <w:sz w:val="22"/>
              </w:rPr>
              <w:t>≤70</w:t>
            </w:r>
          </w:p>
        </w:tc>
        <w:tc>
          <w:tcPr>
            <w:tcW w:w="1275" w:type="dxa"/>
            <w:tcBorders>
              <w:left w:val="single" w:color="auto" w:sz="4" w:space="0"/>
              <w:bottom w:val="thickThinSmallGap" w:color="auto" w:sz="18" w:space="0"/>
              <w:right w:val="single" w:color="auto" w:sz="4" w:space="0"/>
            </w:tcBorders>
            <w:vAlign w:val="center"/>
          </w:tcPr>
          <w:p>
            <w:pPr>
              <w:spacing w:line="460" w:lineRule="exact"/>
              <w:jc w:val="center"/>
              <w:rPr>
                <w:rFonts w:asciiTheme="minorEastAsia" w:hAnsiTheme="minorEastAsia" w:eastAsiaTheme="minorEastAsia"/>
                <w:sz w:val="22"/>
              </w:rPr>
            </w:pPr>
            <w:r>
              <w:rPr>
                <w:rFonts w:hint="eastAsia" w:asciiTheme="minorEastAsia" w:hAnsiTheme="minorEastAsia" w:eastAsiaTheme="minorEastAsia"/>
                <w:sz w:val="22"/>
              </w:rPr>
              <w:t>≤3</w:t>
            </w:r>
          </w:p>
        </w:tc>
        <w:tc>
          <w:tcPr>
            <w:tcW w:w="1276" w:type="dxa"/>
            <w:tcBorders>
              <w:left w:val="single" w:color="auto" w:sz="4" w:space="0"/>
              <w:bottom w:val="thickThinSmallGap" w:color="auto" w:sz="18" w:space="0"/>
              <w:right w:val="single" w:color="auto" w:sz="4" w:space="0"/>
            </w:tcBorders>
            <w:vAlign w:val="center"/>
          </w:tcPr>
          <w:p>
            <w:pPr>
              <w:spacing w:line="460" w:lineRule="exact"/>
              <w:jc w:val="center"/>
              <w:rPr>
                <w:rFonts w:asciiTheme="minorEastAsia" w:hAnsiTheme="minorEastAsia" w:eastAsiaTheme="minorEastAsia"/>
                <w:sz w:val="22"/>
              </w:rPr>
            </w:pPr>
            <w:r>
              <w:rPr>
                <w:rFonts w:hint="eastAsia" w:asciiTheme="minorEastAsia" w:hAnsiTheme="minorEastAsia" w:eastAsiaTheme="minorEastAsia"/>
                <w:sz w:val="22"/>
              </w:rPr>
              <w:t>≤10</w:t>
            </w:r>
          </w:p>
        </w:tc>
        <w:tc>
          <w:tcPr>
            <w:tcW w:w="1338" w:type="dxa"/>
            <w:tcBorders>
              <w:left w:val="single" w:color="auto" w:sz="4" w:space="0"/>
              <w:bottom w:val="thickThinSmallGap" w:color="auto" w:sz="18" w:space="0"/>
            </w:tcBorders>
            <w:vAlign w:val="center"/>
          </w:tcPr>
          <w:p>
            <w:pPr>
              <w:spacing w:line="460" w:lineRule="exact"/>
              <w:jc w:val="center"/>
              <w:rPr>
                <w:rFonts w:asciiTheme="minorEastAsia" w:hAnsiTheme="minorEastAsia" w:eastAsiaTheme="minorEastAsia"/>
                <w:sz w:val="22"/>
              </w:rPr>
            </w:pPr>
            <w:r>
              <w:rPr>
                <w:rFonts w:hint="eastAsia" w:asciiTheme="minorEastAsia" w:hAnsiTheme="minorEastAsia" w:eastAsiaTheme="minorEastAsia"/>
                <w:sz w:val="22"/>
              </w:rPr>
              <w:t>6～9</w:t>
            </w:r>
          </w:p>
        </w:tc>
      </w:tr>
    </w:tbl>
    <w:p>
      <w:pPr>
        <w:spacing w:line="460" w:lineRule="exact"/>
        <w:ind w:firstLine="480"/>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色度：单位为稀释倍数。</w:t>
      </w:r>
    </w:p>
    <w:p>
      <w:pPr>
        <w:spacing w:line="460" w:lineRule="exact"/>
        <w:ind w:firstLine="480"/>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（2）大气污染物排放标准</w:t>
      </w:r>
    </w:p>
    <w:p>
      <w:pPr>
        <w:spacing w:line="460" w:lineRule="exact"/>
        <w:ind w:firstLine="52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大气排放执行《恶臭污染物排放标准》（GB14554 -93）中的二级标准。具体标准值见表2－4。</w:t>
      </w:r>
    </w:p>
    <w:p>
      <w:pPr>
        <w:spacing w:line="460" w:lineRule="exact"/>
        <w:jc w:val="center"/>
        <w:rPr>
          <w:rFonts w:asciiTheme="minorEastAsia" w:hAnsiTheme="minorEastAsia" w:eastAsiaTheme="minorEastAsia"/>
          <w:szCs w:val="24"/>
        </w:rPr>
      </w:pPr>
      <w:r>
        <w:rPr>
          <w:rFonts w:hint="eastAsia" w:asciiTheme="minorEastAsia" w:hAnsiTheme="minorEastAsia" w:eastAsiaTheme="minorEastAsia"/>
          <w:szCs w:val="24"/>
        </w:rPr>
        <w:t>表2－4         恶臭污染物厂界标准值        单位：mg/Nm3</w:t>
      </w:r>
    </w:p>
    <w:tbl>
      <w:tblPr>
        <w:tblStyle w:val="33"/>
        <w:tblW w:w="9006"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849"/>
        <w:gridCol w:w="3543"/>
        <w:gridCol w:w="2614"/>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849" w:type="dxa"/>
            <w:tcBorders>
              <w:top w:val="thinThickSmallGap" w:color="auto" w:sz="18" w:space="0"/>
              <w:righ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3543" w:type="dxa"/>
            <w:tcBorders>
              <w:top w:val="thinThickSmallGap" w:color="auto" w:sz="18" w:space="0"/>
              <w:left w:val="single" w:color="auto" w:sz="4" w:space="0"/>
              <w:righ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控制项目</w:t>
            </w:r>
          </w:p>
        </w:tc>
        <w:tc>
          <w:tcPr>
            <w:tcW w:w="2614" w:type="dxa"/>
            <w:tcBorders>
              <w:top w:val="thinThickSmallGap" w:color="auto" w:sz="18" w:space="0"/>
              <w:lef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二级标准</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849" w:type="dxa"/>
            <w:tcBorders>
              <w:righ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1</w:t>
            </w:r>
          </w:p>
        </w:tc>
        <w:tc>
          <w:tcPr>
            <w:tcW w:w="3543" w:type="dxa"/>
            <w:tcBorders>
              <w:left w:val="single" w:color="auto" w:sz="4" w:space="0"/>
              <w:righ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氨</w:t>
            </w:r>
          </w:p>
        </w:tc>
        <w:tc>
          <w:tcPr>
            <w:tcW w:w="2614" w:type="dxa"/>
            <w:tcBorders>
              <w:lef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1.5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849" w:type="dxa"/>
            <w:tcBorders>
              <w:righ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2</w:t>
            </w:r>
          </w:p>
        </w:tc>
        <w:tc>
          <w:tcPr>
            <w:tcW w:w="3543" w:type="dxa"/>
            <w:tcBorders>
              <w:left w:val="single" w:color="auto" w:sz="4" w:space="0"/>
              <w:righ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硫化氢</w:t>
            </w:r>
          </w:p>
        </w:tc>
        <w:tc>
          <w:tcPr>
            <w:tcW w:w="2614" w:type="dxa"/>
            <w:tcBorders>
              <w:lef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0.06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849" w:type="dxa"/>
            <w:tcBorders>
              <w:bottom w:val="thickThinSmallGap" w:color="auto" w:sz="18" w:space="0"/>
              <w:righ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3</w:t>
            </w:r>
          </w:p>
        </w:tc>
        <w:tc>
          <w:tcPr>
            <w:tcW w:w="3543" w:type="dxa"/>
            <w:tcBorders>
              <w:left w:val="single" w:color="auto" w:sz="4" w:space="0"/>
              <w:bottom w:val="thickThinSmallGap" w:color="auto" w:sz="18" w:space="0"/>
              <w:right w:val="single" w:color="auto" w:sz="4"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臭气浓度</w:t>
            </w:r>
          </w:p>
        </w:tc>
        <w:tc>
          <w:tcPr>
            <w:tcW w:w="2614" w:type="dxa"/>
            <w:tcBorders>
              <w:left w:val="single" w:color="auto" w:sz="4" w:space="0"/>
              <w:bottom w:val="thickThinSmallGap" w:color="auto" w:sz="18" w:space="0"/>
            </w:tcBorders>
            <w:vAlign w:val="center"/>
          </w:tcPr>
          <w:p>
            <w:pPr>
              <w:spacing w:line="460" w:lineRule="exact"/>
              <w:ind w:firstLine="480"/>
              <w:jc w:val="center"/>
              <w:rPr>
                <w:rFonts w:asciiTheme="minorEastAsia" w:hAnsiTheme="minorEastAsia" w:eastAsiaTheme="minorEastAsia"/>
                <w:szCs w:val="24"/>
              </w:rPr>
            </w:pPr>
            <w:r>
              <w:rPr>
                <w:rFonts w:hint="eastAsia" w:asciiTheme="minorEastAsia" w:hAnsiTheme="minorEastAsia" w:eastAsiaTheme="minorEastAsia"/>
                <w:szCs w:val="24"/>
              </w:rPr>
              <w:t>20（无量纲）</w:t>
            </w:r>
          </w:p>
        </w:tc>
      </w:tr>
    </w:tbl>
    <w:p>
      <w:pPr>
        <w:spacing w:line="460" w:lineRule="exact"/>
        <w:ind w:firstLine="480"/>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（3）噪声</w:t>
      </w:r>
    </w:p>
    <w:p>
      <w:pPr>
        <w:spacing w:line="460" w:lineRule="exact"/>
        <w:ind w:firstLine="52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《建筑施工场界噪声限值》（GB12523-90）；《工业企业厂界环境噪声排放标准》（GB12348-90）级标准，昼间厂界噪声限制60dB(A)、夜间55dB(A)。</w:t>
      </w:r>
    </w:p>
    <w:p>
      <w:pPr>
        <w:spacing w:line="460" w:lineRule="exact"/>
        <w:ind w:firstLine="52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有关标准分别见表2-5。</w:t>
      </w:r>
    </w:p>
    <w:p>
      <w:pPr>
        <w:pStyle w:val="117"/>
        <w:spacing w:line="460" w:lineRule="exact"/>
        <w:rPr>
          <w:rFonts w:asciiTheme="minorEastAsia" w:hAnsiTheme="minorEastAsia" w:eastAsiaTheme="minorEastAsia"/>
        </w:rPr>
      </w:pPr>
      <w:r>
        <w:rPr>
          <w:rFonts w:hint="eastAsia" w:asciiTheme="minorEastAsia" w:hAnsiTheme="minorEastAsia" w:eastAsiaTheme="minorEastAsia"/>
        </w:rPr>
        <w:t>表2</w:t>
      </w:r>
      <w:r>
        <w:rPr>
          <w:rFonts w:hint="eastAsia" w:asciiTheme="minorEastAsia" w:hAnsiTheme="minorEastAsia" w:eastAsiaTheme="minorEastAsia"/>
          <w:snapToGrid w:val="0"/>
        </w:rPr>
        <w:t>-</w:t>
      </w:r>
      <w:r>
        <w:rPr>
          <w:rFonts w:hint="eastAsia" w:asciiTheme="minorEastAsia" w:hAnsiTheme="minorEastAsia" w:eastAsiaTheme="minorEastAsia"/>
        </w:rPr>
        <w:t>5  工业企业厂界噪声标准              单位：dB</w:t>
      </w:r>
    </w:p>
    <w:tbl>
      <w:tblPr>
        <w:tblStyle w:val="33"/>
        <w:tblW w:w="8678" w:type="dxa"/>
        <w:jc w:val="center"/>
        <w:tblInd w:w="0"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3045"/>
        <w:gridCol w:w="3149"/>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484" w:type="dxa"/>
            <w:tcBorders>
              <w:top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类      别</w:t>
            </w:r>
          </w:p>
        </w:tc>
        <w:tc>
          <w:tcPr>
            <w:tcW w:w="3045" w:type="dxa"/>
            <w:tcBorders>
              <w:top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昼      间</w:t>
            </w:r>
          </w:p>
        </w:tc>
        <w:tc>
          <w:tcPr>
            <w:tcW w:w="3149" w:type="dxa"/>
            <w:tcBorders>
              <w:top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夜      间</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2484" w:type="dxa"/>
            <w:tcBorders>
              <w:bottom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GB12348-90  3类</w:t>
            </w:r>
          </w:p>
        </w:tc>
        <w:tc>
          <w:tcPr>
            <w:tcW w:w="3045" w:type="dxa"/>
            <w:tcBorders>
              <w:bottom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60</w:t>
            </w:r>
          </w:p>
        </w:tc>
        <w:tc>
          <w:tcPr>
            <w:tcW w:w="3149" w:type="dxa"/>
            <w:tcBorders>
              <w:bottom w:val="thinThickSmallGap" w:color="auto" w:sz="24" w:space="0"/>
            </w:tcBorders>
            <w:vAlign w:val="center"/>
          </w:tcPr>
          <w:p>
            <w:pPr>
              <w:pStyle w:val="117"/>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55</w:t>
            </w:r>
          </w:p>
        </w:tc>
      </w:tr>
    </w:tbl>
    <w:p>
      <w:pPr>
        <w:spacing w:line="460" w:lineRule="exact"/>
        <w:ind w:firstLine="52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（4）固体废物</w:t>
      </w:r>
    </w:p>
    <w:p>
      <w:pPr>
        <w:spacing w:line="460" w:lineRule="exact"/>
        <w:ind w:firstLine="52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《一般工业固体废物贮存、处置场污染物控制标准》（GB18599-2001）。</w:t>
      </w:r>
    </w:p>
    <w:p>
      <w:pPr>
        <w:spacing w:line="460" w:lineRule="exact"/>
        <w:ind w:firstLine="52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《危险废物贮存污染控制标准》（GB18597-2001）；</w:t>
      </w:r>
    </w:p>
    <w:p>
      <w:pPr>
        <w:spacing w:line="460" w:lineRule="exact"/>
        <w:ind w:firstLine="52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《生活垃圾填埋污染控制标准》（GB16889-2008）。</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7"/>
    </w:p>
    <w:p>
      <w:pPr>
        <w:adjustRightInd w:val="0"/>
        <w:snapToGrid w:val="0"/>
        <w:spacing w:line="460" w:lineRule="exact"/>
        <w:outlineLvl w:val="1"/>
        <w:rPr>
          <w:b/>
          <w:color w:val="000000"/>
          <w:sz w:val="28"/>
          <w:szCs w:val="28"/>
        </w:rPr>
      </w:pPr>
      <w:bookmarkStart w:id="192" w:name="_Toc483083889"/>
      <w:bookmarkStart w:id="193" w:name="_Toc458674249"/>
      <w:bookmarkStart w:id="194" w:name="_Toc18317"/>
      <w:r>
        <w:rPr>
          <w:b/>
          <w:color w:val="000000"/>
          <w:sz w:val="28"/>
          <w:szCs w:val="28"/>
        </w:rPr>
        <w:t>2.</w:t>
      </w:r>
      <w:r>
        <w:rPr>
          <w:rFonts w:hint="eastAsia"/>
          <w:b/>
          <w:color w:val="000000"/>
          <w:sz w:val="28"/>
          <w:szCs w:val="28"/>
        </w:rPr>
        <w:t>5</w:t>
      </w:r>
      <w:r>
        <w:rPr>
          <w:b/>
          <w:color w:val="000000"/>
          <w:sz w:val="28"/>
          <w:szCs w:val="28"/>
        </w:rPr>
        <w:t>环境保护目标</w:t>
      </w:r>
      <w:bookmarkEnd w:id="192"/>
      <w:bookmarkEnd w:id="193"/>
      <w:bookmarkEnd w:id="194"/>
    </w:p>
    <w:p>
      <w:pPr>
        <w:pStyle w:val="117"/>
        <w:spacing w:line="360" w:lineRule="auto"/>
        <w:ind w:firstLine="480" w:firstLineChars="200"/>
        <w:jc w:val="both"/>
        <w:rPr>
          <w:rFonts w:cs="仿宋_GB2312" w:asciiTheme="minorEastAsia" w:hAnsiTheme="minorEastAsia" w:eastAsiaTheme="minorEastAsia"/>
        </w:rPr>
      </w:pPr>
      <w:r>
        <w:rPr>
          <w:rFonts w:cs="仿宋_GB2312" w:asciiTheme="minorEastAsia" w:hAnsiTheme="minorEastAsia" w:eastAsiaTheme="minorEastAsia"/>
        </w:rPr>
        <w:t>企业本身为</w:t>
      </w:r>
      <w:r>
        <w:rPr>
          <w:rFonts w:hint="eastAsia" w:cs="Times New Roman" w:asciiTheme="minorEastAsia" w:hAnsiTheme="minorEastAsia" w:eastAsiaTheme="minorEastAsia"/>
          <w:kern w:val="2"/>
          <w:sz w:val="24"/>
          <w:szCs w:val="24"/>
          <w:lang w:val="en-US" w:eastAsia="zh-CN" w:bidi="ar-SA"/>
        </w:rPr>
        <w:t>污水处理厂，确保收集污水经厂区处理达标排放，不改变地表水体水域功能。在保护环境上，我们针对企业内部危险单元修建了风险范围措施，制定了针对突发环境事件处理应急预案，确保无人员伤亡，努力做到对周边环境影响最小、区域生态环境免遭污染、企业周围及沿线</w:t>
      </w:r>
      <w:r>
        <w:rPr>
          <w:rFonts w:cs="仿宋_GB2312" w:asciiTheme="minorEastAsia" w:hAnsiTheme="minorEastAsia" w:eastAsiaTheme="minorEastAsia"/>
        </w:rPr>
        <w:t>经济活动不受影响，不影响人民群众生产、生活。</w:t>
      </w:r>
    </w:p>
    <w:p>
      <w:pPr>
        <w:pStyle w:val="2"/>
        <w:spacing w:beforeLines="50" w:afterLines="50" w:line="560" w:lineRule="exact"/>
        <w:jc w:val="center"/>
        <w:rPr>
          <w:rFonts w:asciiTheme="minorEastAsia" w:hAnsiTheme="minorEastAsia" w:eastAsiaTheme="minorEastAsia"/>
          <w:b/>
          <w:color w:val="000000"/>
          <w:sz w:val="32"/>
          <w:lang w:val="zh-TW"/>
        </w:rPr>
      </w:pPr>
      <w:bookmarkStart w:id="195" w:name="_Toc15281"/>
      <w:r>
        <w:rPr>
          <w:rFonts w:hint="eastAsia" w:asciiTheme="minorEastAsia" w:hAnsiTheme="minorEastAsia" w:eastAsiaTheme="minorEastAsia"/>
          <w:b/>
          <w:color w:val="000000"/>
          <w:sz w:val="32"/>
        </w:rPr>
        <w:t>3</w:t>
      </w:r>
      <w:r>
        <w:rPr>
          <w:rFonts w:hint="eastAsia" w:asciiTheme="minorEastAsia" w:hAnsiTheme="minorEastAsia" w:eastAsiaTheme="minorEastAsia"/>
          <w:b/>
          <w:color w:val="000000"/>
          <w:sz w:val="32"/>
          <w:lang w:val="zh-TW"/>
        </w:rPr>
        <w:t>环境风险源与环境风险评价</w:t>
      </w:r>
      <w:bookmarkEnd w:id="195"/>
    </w:p>
    <w:p>
      <w:pPr>
        <w:adjustRightInd w:val="0"/>
        <w:snapToGrid w:val="0"/>
        <w:spacing w:line="460" w:lineRule="exact"/>
        <w:outlineLvl w:val="1"/>
        <w:rPr>
          <w:b/>
          <w:color w:val="000000"/>
          <w:sz w:val="28"/>
          <w:szCs w:val="28"/>
        </w:rPr>
      </w:pPr>
      <w:bookmarkStart w:id="196" w:name="_Toc483083891"/>
      <w:bookmarkStart w:id="197" w:name="_Toc7906"/>
      <w:bookmarkStart w:id="198" w:name="_Toc408274430"/>
      <w:bookmarkStart w:id="199" w:name="_Toc229283967"/>
      <w:bookmarkStart w:id="200" w:name="_Toc183339494"/>
      <w:bookmarkStart w:id="201" w:name="_Toc336327123"/>
      <w:bookmarkStart w:id="202" w:name="_Toc387131422"/>
      <w:bookmarkStart w:id="203" w:name="_Toc304963595"/>
      <w:bookmarkStart w:id="204" w:name="_Toc304962951"/>
      <w:bookmarkStart w:id="205" w:name="_Toc185670978"/>
      <w:bookmarkStart w:id="206" w:name="_Toc196018632"/>
      <w:bookmarkStart w:id="207" w:name="_Toc387131496"/>
      <w:bookmarkStart w:id="208" w:name="_Toc196018537"/>
      <w:bookmarkStart w:id="209" w:name="_Toc184808758"/>
      <w:bookmarkStart w:id="210" w:name="_Toc262051532"/>
      <w:bookmarkStart w:id="211" w:name="_Toc196018428"/>
      <w:bookmarkStart w:id="212" w:name="_Toc198355316"/>
      <w:bookmarkStart w:id="213" w:name="_Toc262040271"/>
      <w:bookmarkStart w:id="214" w:name="_Toc415254537"/>
      <w:bookmarkStart w:id="215" w:name="_Toc198007331"/>
      <w:bookmarkStart w:id="216" w:name="_Toc336326845"/>
      <w:bookmarkStart w:id="217" w:name="_Toc304833228"/>
      <w:bookmarkStart w:id="218" w:name="_Toc197251336"/>
      <w:bookmarkStart w:id="219" w:name="_Toc262051111"/>
      <w:bookmarkStart w:id="220" w:name="_Toc304964438"/>
      <w:bookmarkStart w:id="221" w:name="_Toc387131753"/>
      <w:bookmarkStart w:id="222" w:name="_Toc183339218"/>
      <w:bookmarkStart w:id="223" w:name="_Toc262050861"/>
      <w:bookmarkStart w:id="224" w:name="_Toc184809545"/>
      <w:r>
        <w:rPr>
          <w:rFonts w:hint="eastAsia"/>
          <w:b/>
          <w:color w:val="000000"/>
          <w:sz w:val="28"/>
          <w:szCs w:val="28"/>
        </w:rPr>
        <w:t>3.1生产工艺简介（</w:t>
      </w:r>
      <w:r>
        <w:rPr>
          <w:rFonts w:hint="eastAsia"/>
          <w:b/>
          <w:color w:val="000000"/>
          <w:sz w:val="28"/>
          <w:szCs w:val="28"/>
          <w:lang w:val="zh-CN"/>
        </w:rPr>
        <w:t>水解酸化+A/O</w:t>
      </w:r>
      <w:r>
        <w:rPr>
          <w:rFonts w:hint="eastAsia"/>
          <w:b/>
          <w:color w:val="000000"/>
          <w:sz w:val="28"/>
          <w:szCs w:val="28"/>
        </w:rPr>
        <w:t>污水处理工艺流程）</w:t>
      </w:r>
      <w:bookmarkEnd w:id="196"/>
      <w:bookmarkEnd w:id="197"/>
    </w:p>
    <w:p>
      <w:pPr>
        <w:spacing w:line="460" w:lineRule="exact"/>
        <w:ind w:firstLine="480"/>
        <w:rPr>
          <w:rFonts w:ascii="仿宋_GB2312" w:hAnsi="Calibri" w:cs="仿宋_GB2312"/>
          <w:sz w:val="24"/>
          <w:szCs w:val="24"/>
          <w:lang w:val="zh-CN"/>
        </w:rPr>
      </w:pPr>
      <w:r>
        <w:rPr>
          <w:rFonts w:hint="eastAsia" w:ascii="仿宋_GB2312"/>
          <w:sz w:val="24"/>
          <w:szCs w:val="24"/>
        </w:rPr>
        <w:t>本项目拟采用的工艺</w:t>
      </w:r>
      <w:r>
        <w:rPr>
          <w:rFonts w:hint="eastAsia" w:ascii="仿宋_GB2312" w:hAnsi="Calibri" w:cs="仿宋_GB2312"/>
          <w:kern w:val="0"/>
          <w:sz w:val="24"/>
          <w:szCs w:val="24"/>
          <w:lang w:val="zh-CN"/>
        </w:rPr>
        <w:t>为水解酸化+A/O工艺，即带有生物脱氮除磷的活性污泥法，</w:t>
      </w:r>
      <w:r>
        <w:rPr>
          <w:rFonts w:hint="eastAsia" w:ascii="仿宋_GB2312"/>
          <w:sz w:val="24"/>
          <w:szCs w:val="24"/>
        </w:rPr>
        <w:t>白涛化工园区废水经管网收集进入粗格栅池，通过粗格栅拦截较大漂浮物及大颗粒渣滓后进入集水池，集水池水泵再将废水泵入细格栅进一步除却水中的杂质后进入旋流沉砂池除去废水中的无机砂粒，减轻后续处理负担。旋流沉砂池出水进入混凝沉淀池，通过投加混凝剂和絮凝剂，使废水中的微小悬浮物形成较大的可沉絮体沉淀而除去，同时可以去除一部分有机污染物，进一步减轻后续生化处理的难度。混凝沉淀池出水进入水解酸化池进行水解酸化，使废水中的大分子有机污染物转化为生化性较好的小分子有机污物，水解酸化池出水自流进入</w:t>
      </w:r>
      <w:r>
        <w:rPr>
          <w:rFonts w:hint="eastAsia" w:ascii="仿宋_GB2312" w:hAnsi="Calibri" w:cs="仿宋_GB2312"/>
          <w:sz w:val="24"/>
          <w:szCs w:val="24"/>
          <w:lang w:val="zh-CN"/>
        </w:rPr>
        <w:t>A/O池进行生化处理，并通过设置污水及污泥回流进行废水处理系统的脱氮除磷工序，去除废水的主要的有机污染物及氮、磷等污染物后进入二沉池进行泥水分离，沉淀去除废水中的活性污泥及悬浮污染物，二沉池出水经中间水池后泵入砂滤池进行过滤处理，由于废水处理要求的SS值较低（小于或等于20mg/1）,如不经过过滤处理，则无法确保其达标，砂滤池出水进入消毒池确保废水的病毒菌等杀灭达标后排放。</w:t>
      </w:r>
      <w:r>
        <w:rPr>
          <w:rFonts w:hint="eastAsia" w:ascii="仿宋_GB2312"/>
          <w:sz w:val="24"/>
          <w:szCs w:val="24"/>
        </w:rPr>
        <w:t>其工艺流程具体可见表3</w:t>
      </w:r>
      <w:r>
        <w:rPr>
          <w:rFonts w:hint="eastAsia" w:ascii="仿宋_GB2312"/>
          <w:b/>
          <w:sz w:val="24"/>
          <w:szCs w:val="24"/>
        </w:rPr>
        <w:t>-</w:t>
      </w:r>
      <w:r>
        <w:rPr>
          <w:rFonts w:hint="eastAsia" w:ascii="仿宋_GB2312"/>
          <w:sz w:val="24"/>
          <w:szCs w:val="24"/>
        </w:rPr>
        <w:t>1。</w:t>
      </w:r>
    </w:p>
    <w:p>
      <w:pPr>
        <w:autoSpaceDE w:val="0"/>
        <w:autoSpaceDN w:val="0"/>
        <w:ind w:firstLine="420"/>
        <w:rPr>
          <w:rFonts w:ascii="仿宋_GB2312"/>
          <w:kern w:val="0"/>
          <w:szCs w:val="24"/>
        </w:rPr>
      </w:pPr>
      <w:r>
        <w:rPr>
          <w:rFonts w:hint="eastAsia" w:ascii="仿宋_GB2312" w:cs="宋体"/>
          <w:kern w:val="0"/>
          <w:sz w:val="22"/>
        </w:rPr>
        <w:drawing>
          <wp:inline distT="0" distB="0" distL="0" distR="0">
            <wp:extent cx="5702300" cy="3623310"/>
            <wp:effectExtent l="19050" t="0" r="0" b="0"/>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pic:cNvPicPr>
                      <a:picLocks noChangeAspect="1" noChangeArrowheads="1"/>
                    </pic:cNvPicPr>
                  </pic:nvPicPr>
                  <pic:blipFill>
                    <a:blip r:embed="rId7"/>
                    <a:srcRect/>
                    <a:stretch>
                      <a:fillRect/>
                    </a:stretch>
                  </pic:blipFill>
                  <pic:spPr>
                    <a:xfrm>
                      <a:off x="0" y="0"/>
                      <a:ext cx="5702300" cy="3623310"/>
                    </a:xfrm>
                    <a:prstGeom prst="rect">
                      <a:avLst/>
                    </a:prstGeom>
                    <a:noFill/>
                    <a:ln w="9525">
                      <a:noFill/>
                      <a:miter lim="800000"/>
                      <a:headEnd/>
                      <a:tailEnd/>
                    </a:ln>
                  </pic:spPr>
                </pic:pic>
              </a:graphicData>
            </a:graphic>
          </wp:inline>
        </w:drawing>
      </w:r>
    </w:p>
    <w:p>
      <w:pPr>
        <w:spacing w:line="460" w:lineRule="exact"/>
        <w:rPr>
          <w:rFonts w:ascii="仿宋_GB2312"/>
          <w:szCs w:val="24"/>
        </w:rPr>
      </w:pPr>
      <w:r>
        <w:rPr>
          <w:rFonts w:hint="eastAsia" w:ascii="仿宋_GB2312" w:cs="仿宋_GB2312"/>
          <w:kern w:val="0"/>
          <w:szCs w:val="24"/>
          <w:lang w:val="zh-CN"/>
        </w:rPr>
        <w:t xml:space="preserve">                        </w:t>
      </w:r>
      <w:r>
        <w:rPr>
          <w:rFonts w:hint="eastAsia" w:ascii="仿宋_GB2312" w:cs="仿宋_GB2312"/>
          <w:b/>
          <w:kern w:val="0"/>
          <w:szCs w:val="24"/>
          <w:lang w:val="zh-CN"/>
        </w:rPr>
        <w:t xml:space="preserve"> </w:t>
      </w:r>
      <w:r>
        <w:rPr>
          <w:rFonts w:hint="eastAsia" w:ascii="仿宋_GB2312" w:cs="仿宋_GB2312"/>
          <w:kern w:val="0"/>
          <w:szCs w:val="24"/>
          <w:lang w:val="zh-CN"/>
        </w:rPr>
        <w:t xml:space="preserve"> </w:t>
      </w:r>
      <w:r>
        <w:rPr>
          <w:rFonts w:hint="eastAsia" w:ascii="仿宋_GB2312"/>
          <w:szCs w:val="24"/>
        </w:rPr>
        <w:t xml:space="preserve">表3-1  </w:t>
      </w:r>
      <w:r>
        <w:rPr>
          <w:rFonts w:hint="eastAsia" w:ascii="仿宋_GB2312" w:hAnsi="Calibri" w:cs="仿宋_GB2312"/>
          <w:sz w:val="24"/>
          <w:szCs w:val="24"/>
          <w:lang w:val="zh-CN"/>
        </w:rPr>
        <w:t>水解酸化+A/O</w:t>
      </w:r>
      <w:r>
        <w:rPr>
          <w:rFonts w:hint="eastAsia" w:ascii="仿宋_GB2312"/>
          <w:sz w:val="24"/>
          <w:szCs w:val="24"/>
        </w:rPr>
        <w:t>污水处理工艺流程</w:t>
      </w:r>
    </w:p>
    <w:p>
      <w:pPr>
        <w:adjustRightInd w:val="0"/>
        <w:snapToGrid w:val="0"/>
        <w:spacing w:line="440" w:lineRule="exact"/>
        <w:jc w:val="left"/>
        <w:textAlignment w:val="center"/>
        <w:rPr>
          <w:rFonts w:asciiTheme="minorEastAsia" w:hAnsiTheme="minorEastAsia" w:eastAsiaTheme="minorEastAsia"/>
          <w:color w:val="000000"/>
          <w:sz w:val="24"/>
          <w:szCs w:val="24"/>
        </w:rPr>
      </w:pPr>
    </w:p>
    <w:p>
      <w:pPr>
        <w:adjustRightInd w:val="0"/>
        <w:snapToGrid w:val="0"/>
        <w:spacing w:line="460" w:lineRule="exact"/>
        <w:outlineLvl w:val="1"/>
        <w:rPr>
          <w:sz w:val="28"/>
          <w:szCs w:val="28"/>
        </w:rPr>
      </w:pPr>
      <w:bookmarkStart w:id="225" w:name="_Toc483083892"/>
      <w:bookmarkStart w:id="226" w:name="_Toc14565"/>
      <w:r>
        <w:rPr>
          <w:rFonts w:hint="eastAsia"/>
          <w:b/>
          <w:color w:val="000000"/>
          <w:sz w:val="28"/>
          <w:szCs w:val="28"/>
        </w:rPr>
        <w:t>3</w:t>
      </w:r>
      <w:r>
        <w:rPr>
          <w:b/>
          <w:color w:val="000000"/>
          <w:sz w:val="28"/>
          <w:szCs w:val="28"/>
        </w:rPr>
        <w:t>.2</w:t>
      </w:r>
      <w:r>
        <w:rPr>
          <w:rFonts w:hint="eastAsia"/>
          <w:b/>
          <w:color w:val="000000"/>
          <w:sz w:val="28"/>
          <w:szCs w:val="28"/>
        </w:rPr>
        <w:t>企业</w:t>
      </w:r>
      <w:r>
        <w:rPr>
          <w:b/>
          <w:color w:val="000000"/>
          <w:sz w:val="28"/>
          <w:szCs w:val="28"/>
        </w:rPr>
        <w:t>三废产生及排放处置情况</w:t>
      </w:r>
      <w:bookmarkEnd w:id="225"/>
      <w:bookmarkEnd w:id="226"/>
    </w:p>
    <w:p>
      <w:pPr>
        <w:spacing w:line="460" w:lineRule="exact"/>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000000"/>
          <w:sz w:val="24"/>
          <w:szCs w:val="24"/>
        </w:rPr>
        <w:t>白涛潘家坝污水处理厂</w:t>
      </w:r>
      <w:r>
        <w:rPr>
          <w:rFonts w:asciiTheme="minorEastAsia" w:hAnsiTheme="minorEastAsia" w:eastAsiaTheme="minorEastAsia"/>
          <w:color w:val="000000"/>
          <w:sz w:val="24"/>
          <w:szCs w:val="24"/>
        </w:rPr>
        <w:t>原环评报告提出的污染防治措施和已采取的污染防治措施见表3.2-1。</w:t>
      </w:r>
    </w:p>
    <w:p>
      <w:pPr>
        <w:spacing w:line="460" w:lineRule="exact"/>
        <w:ind w:firstLine="482" w:firstLineChars="200"/>
        <w:jc w:val="center"/>
        <w:rPr>
          <w:b/>
          <w:color w:val="000000"/>
          <w:sz w:val="24"/>
          <w:szCs w:val="24"/>
        </w:rPr>
      </w:pPr>
      <w:r>
        <w:rPr>
          <w:b/>
          <w:color w:val="000000"/>
          <w:sz w:val="24"/>
          <w:szCs w:val="24"/>
        </w:rPr>
        <w:t xml:space="preserve">表3.2-1     </w:t>
      </w:r>
      <w:r>
        <w:rPr>
          <w:rFonts w:hint="eastAsia"/>
          <w:b/>
          <w:color w:val="000000"/>
          <w:sz w:val="24"/>
          <w:szCs w:val="24"/>
        </w:rPr>
        <w:t>企业</w:t>
      </w:r>
      <w:r>
        <w:rPr>
          <w:b/>
          <w:color w:val="000000"/>
          <w:sz w:val="24"/>
          <w:szCs w:val="24"/>
        </w:rPr>
        <w:t>环评污染防治措施及现有防治措施</w:t>
      </w:r>
    </w:p>
    <w:tbl>
      <w:tblPr>
        <w:tblStyle w:val="33"/>
        <w:tblW w:w="8788"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89"/>
        <w:gridCol w:w="3294"/>
        <w:gridCol w:w="31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序号</w:t>
            </w:r>
          </w:p>
        </w:tc>
        <w:tc>
          <w:tcPr>
            <w:tcW w:w="1689" w:type="dxa"/>
            <w:vAlign w:val="center"/>
          </w:tcPr>
          <w:p>
            <w:pPr>
              <w:snapToGrid w:val="0"/>
              <w:jc w:val="center"/>
              <w:rPr>
                <w:snapToGrid w:val="0"/>
                <w:color w:val="000000"/>
                <w:kern w:val="0"/>
                <w:szCs w:val="21"/>
              </w:rPr>
            </w:pPr>
            <w:r>
              <w:rPr>
                <w:snapToGrid w:val="0"/>
                <w:color w:val="000000"/>
                <w:kern w:val="0"/>
                <w:szCs w:val="21"/>
              </w:rPr>
              <w:t>污染源</w:t>
            </w:r>
          </w:p>
        </w:tc>
        <w:tc>
          <w:tcPr>
            <w:tcW w:w="3294" w:type="dxa"/>
            <w:vAlign w:val="center"/>
          </w:tcPr>
          <w:p>
            <w:pPr>
              <w:snapToGrid w:val="0"/>
              <w:jc w:val="center"/>
              <w:rPr>
                <w:snapToGrid w:val="0"/>
                <w:color w:val="000000"/>
                <w:kern w:val="0"/>
                <w:szCs w:val="21"/>
              </w:rPr>
            </w:pPr>
            <w:r>
              <w:rPr>
                <w:snapToGrid w:val="0"/>
                <w:color w:val="000000"/>
                <w:kern w:val="0"/>
                <w:szCs w:val="21"/>
              </w:rPr>
              <w:t>环评报告中污染防治措施</w:t>
            </w:r>
          </w:p>
        </w:tc>
        <w:tc>
          <w:tcPr>
            <w:tcW w:w="3109" w:type="dxa"/>
            <w:vAlign w:val="center"/>
          </w:tcPr>
          <w:p>
            <w:pPr>
              <w:snapToGrid w:val="0"/>
              <w:jc w:val="center"/>
              <w:rPr>
                <w:snapToGrid w:val="0"/>
                <w:color w:val="000000"/>
                <w:kern w:val="0"/>
                <w:szCs w:val="21"/>
              </w:rPr>
            </w:pPr>
            <w:r>
              <w:rPr>
                <w:rFonts w:hint="eastAsia"/>
                <w:snapToGrid w:val="0"/>
                <w:color w:val="000000"/>
                <w:kern w:val="0"/>
                <w:szCs w:val="21"/>
              </w:rPr>
              <w:t>现污水处理</w:t>
            </w:r>
            <w:r>
              <w:rPr>
                <w:snapToGrid w:val="0"/>
                <w:color w:val="000000"/>
                <w:kern w:val="0"/>
                <w:szCs w:val="21"/>
              </w:rPr>
              <w:t>厂区已采取措施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一</w:t>
            </w:r>
          </w:p>
        </w:tc>
        <w:tc>
          <w:tcPr>
            <w:tcW w:w="8092" w:type="dxa"/>
            <w:gridSpan w:val="3"/>
            <w:vAlign w:val="center"/>
          </w:tcPr>
          <w:p>
            <w:pPr>
              <w:snapToGrid w:val="0"/>
              <w:jc w:val="center"/>
              <w:rPr>
                <w:snapToGrid w:val="0"/>
                <w:color w:val="000000"/>
                <w:kern w:val="0"/>
                <w:szCs w:val="21"/>
              </w:rPr>
            </w:pPr>
            <w:r>
              <w:rPr>
                <w:snapToGrid w:val="0"/>
                <w:color w:val="000000"/>
                <w:kern w:val="0"/>
                <w:szCs w:val="21"/>
              </w:rPr>
              <w:t>大气污染防治措施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1</w:t>
            </w:r>
          </w:p>
        </w:tc>
        <w:tc>
          <w:tcPr>
            <w:tcW w:w="1689" w:type="dxa"/>
            <w:vAlign w:val="center"/>
          </w:tcPr>
          <w:p>
            <w:pPr>
              <w:snapToGrid w:val="0"/>
              <w:jc w:val="left"/>
              <w:rPr>
                <w:snapToGrid w:val="0"/>
                <w:color w:val="000000"/>
                <w:kern w:val="0"/>
                <w:szCs w:val="21"/>
              </w:rPr>
            </w:pPr>
            <w:r>
              <w:rPr>
                <w:snapToGrid w:val="0"/>
                <w:color w:val="000000"/>
                <w:kern w:val="0"/>
                <w:szCs w:val="21"/>
              </w:rPr>
              <w:t>格栅井、氧化沟、污泥干化池</w:t>
            </w:r>
          </w:p>
        </w:tc>
        <w:tc>
          <w:tcPr>
            <w:tcW w:w="3294" w:type="dxa"/>
            <w:vAlign w:val="center"/>
          </w:tcPr>
          <w:p>
            <w:pPr>
              <w:snapToGrid w:val="0"/>
              <w:jc w:val="left"/>
              <w:rPr>
                <w:color w:val="000000"/>
                <w:szCs w:val="21"/>
              </w:rPr>
            </w:pPr>
            <w:r>
              <w:rPr>
                <w:snapToGrid w:val="0"/>
                <w:color w:val="000000"/>
                <w:kern w:val="0"/>
                <w:szCs w:val="21"/>
              </w:rPr>
              <w:t>格栅井、</w:t>
            </w:r>
            <w:r>
              <w:rPr>
                <w:rFonts w:hint="eastAsia"/>
                <w:snapToGrid w:val="0"/>
                <w:color w:val="000000"/>
                <w:kern w:val="0"/>
                <w:szCs w:val="21"/>
              </w:rPr>
              <w:t>生化池</w:t>
            </w:r>
            <w:r>
              <w:rPr>
                <w:snapToGrid w:val="0"/>
                <w:color w:val="000000"/>
                <w:kern w:val="0"/>
                <w:szCs w:val="21"/>
              </w:rPr>
              <w:t>、污泥干化池产生的硫化氢和氨气，无组织排放，在其周围设置绿化带，并设置100m的卫生防护距离</w:t>
            </w:r>
          </w:p>
        </w:tc>
        <w:tc>
          <w:tcPr>
            <w:tcW w:w="3109" w:type="dxa"/>
            <w:vAlign w:val="center"/>
          </w:tcPr>
          <w:p>
            <w:pPr>
              <w:snapToGrid w:val="0"/>
              <w:jc w:val="left"/>
              <w:rPr>
                <w:snapToGrid w:val="0"/>
                <w:color w:val="000000"/>
                <w:kern w:val="0"/>
                <w:szCs w:val="21"/>
              </w:rPr>
            </w:pPr>
            <w:r>
              <w:rPr>
                <w:snapToGrid w:val="0"/>
                <w:color w:val="000000"/>
                <w:kern w:val="0"/>
                <w:szCs w:val="21"/>
              </w:rPr>
              <w:t>格栅井、</w:t>
            </w:r>
            <w:r>
              <w:rPr>
                <w:rFonts w:hint="eastAsia"/>
                <w:snapToGrid w:val="0"/>
                <w:color w:val="000000"/>
                <w:kern w:val="0"/>
                <w:szCs w:val="21"/>
              </w:rPr>
              <w:t>生化池</w:t>
            </w:r>
            <w:r>
              <w:rPr>
                <w:snapToGrid w:val="0"/>
                <w:color w:val="000000"/>
                <w:kern w:val="0"/>
                <w:szCs w:val="21"/>
              </w:rPr>
              <w:t>、污泥干化池周围设置了绿化带，厂区设置100m的卫生防护距离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二</w:t>
            </w:r>
          </w:p>
        </w:tc>
        <w:tc>
          <w:tcPr>
            <w:tcW w:w="8092" w:type="dxa"/>
            <w:gridSpan w:val="3"/>
            <w:tcBorders>
              <w:bottom w:val="single" w:color="auto" w:sz="4" w:space="0"/>
            </w:tcBorders>
            <w:vAlign w:val="center"/>
          </w:tcPr>
          <w:p>
            <w:pPr>
              <w:snapToGrid w:val="0"/>
              <w:jc w:val="center"/>
              <w:rPr>
                <w:snapToGrid w:val="0"/>
                <w:color w:val="000000"/>
                <w:kern w:val="0"/>
                <w:szCs w:val="21"/>
              </w:rPr>
            </w:pPr>
            <w:r>
              <w:rPr>
                <w:snapToGrid w:val="0"/>
                <w:color w:val="000000"/>
                <w:kern w:val="0"/>
                <w:szCs w:val="21"/>
              </w:rPr>
              <w:t>废水污染防治措施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51"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1</w:t>
            </w:r>
          </w:p>
        </w:tc>
        <w:tc>
          <w:tcPr>
            <w:tcW w:w="1689" w:type="dxa"/>
            <w:vAlign w:val="center"/>
          </w:tcPr>
          <w:p>
            <w:pPr>
              <w:snapToGrid w:val="0"/>
              <w:jc w:val="left"/>
              <w:rPr>
                <w:color w:val="000000"/>
                <w:szCs w:val="21"/>
              </w:rPr>
            </w:pPr>
            <w:r>
              <w:rPr>
                <w:color w:val="000000"/>
                <w:szCs w:val="21"/>
              </w:rPr>
              <w:t>厂区雨水和生活污水</w:t>
            </w:r>
          </w:p>
        </w:tc>
        <w:tc>
          <w:tcPr>
            <w:tcW w:w="3294" w:type="dxa"/>
            <w:vAlign w:val="center"/>
          </w:tcPr>
          <w:p>
            <w:pPr>
              <w:snapToGrid w:val="0"/>
              <w:jc w:val="left"/>
              <w:rPr>
                <w:color w:val="000000"/>
                <w:szCs w:val="21"/>
              </w:rPr>
            </w:pPr>
            <w:r>
              <w:rPr>
                <w:color w:val="000000"/>
                <w:szCs w:val="21"/>
              </w:rPr>
              <w:t>厂区初期雨水和生活污水通过厂区排水管网送至提升井，经提升井送至厂区污水处理系统处理达标后排放</w:t>
            </w:r>
          </w:p>
        </w:tc>
        <w:tc>
          <w:tcPr>
            <w:tcW w:w="3109" w:type="dxa"/>
            <w:shd w:val="clear" w:color="auto" w:fill="auto"/>
            <w:vAlign w:val="center"/>
          </w:tcPr>
          <w:p>
            <w:pPr>
              <w:snapToGrid w:val="0"/>
              <w:jc w:val="left"/>
              <w:rPr>
                <w:color w:val="000000"/>
                <w:szCs w:val="21"/>
              </w:rPr>
            </w:pPr>
            <w:r>
              <w:rPr>
                <w:color w:val="000000"/>
                <w:szCs w:val="21"/>
              </w:rPr>
              <w:t>企业为污水处理厂，厂区雨水和污水均经厂区排水管网送至提升井，经提升井送至厂区污水处理系统处理达标后排放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1151"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2</w:t>
            </w:r>
          </w:p>
        </w:tc>
        <w:tc>
          <w:tcPr>
            <w:tcW w:w="1689" w:type="dxa"/>
            <w:vAlign w:val="center"/>
          </w:tcPr>
          <w:p>
            <w:pPr>
              <w:snapToGrid w:val="0"/>
              <w:jc w:val="center"/>
              <w:rPr>
                <w:color w:val="000000"/>
                <w:szCs w:val="21"/>
              </w:rPr>
            </w:pPr>
            <w:r>
              <w:rPr>
                <w:color w:val="000000"/>
                <w:szCs w:val="21"/>
              </w:rPr>
              <w:t>处理工艺</w:t>
            </w:r>
          </w:p>
        </w:tc>
        <w:tc>
          <w:tcPr>
            <w:tcW w:w="3294" w:type="dxa"/>
            <w:vAlign w:val="center"/>
          </w:tcPr>
          <w:p>
            <w:pPr>
              <w:snapToGrid w:val="0"/>
              <w:jc w:val="left"/>
              <w:rPr>
                <w:color w:val="000000"/>
                <w:szCs w:val="21"/>
              </w:rPr>
            </w:pPr>
            <w:r>
              <w:rPr>
                <w:color w:val="000000"/>
                <w:szCs w:val="21"/>
              </w:rPr>
              <w:t>企业污水处理系统设置</w:t>
            </w:r>
            <w:r>
              <w:rPr>
                <w:rFonts w:hint="eastAsia"/>
                <w:color w:val="000000"/>
                <w:szCs w:val="21"/>
              </w:rPr>
              <w:t>一用一备</w:t>
            </w:r>
            <w:r>
              <w:rPr>
                <w:color w:val="000000"/>
                <w:szCs w:val="21"/>
              </w:rPr>
              <w:t>运营处理工艺，厂区采用双回路电源供电，防止厂区污水处理设施故障导致污水直接或未处理达标后排放</w:t>
            </w:r>
          </w:p>
        </w:tc>
        <w:tc>
          <w:tcPr>
            <w:tcW w:w="3109" w:type="dxa"/>
            <w:shd w:val="clear" w:color="auto" w:fill="auto"/>
            <w:vAlign w:val="center"/>
          </w:tcPr>
          <w:p>
            <w:pPr>
              <w:snapToGrid w:val="0"/>
              <w:jc w:val="left"/>
              <w:rPr>
                <w:color w:val="000000"/>
                <w:szCs w:val="21"/>
              </w:rPr>
            </w:pPr>
            <w:r>
              <w:rPr>
                <w:color w:val="000000"/>
                <w:szCs w:val="21"/>
              </w:rPr>
              <w:t>企业污水处理系统为2套并联运行系统，电源采用了</w:t>
            </w:r>
            <w:r>
              <w:rPr>
                <w:rFonts w:hint="eastAsia"/>
                <w:color w:val="000000"/>
                <w:szCs w:val="21"/>
              </w:rPr>
              <w:t>单</w:t>
            </w:r>
            <w:r>
              <w:rPr>
                <w:color w:val="000000"/>
                <w:szCs w:val="21"/>
              </w:rPr>
              <w:t>回路电源，</w:t>
            </w:r>
            <w:r>
              <w:rPr>
                <w:rFonts w:hint="eastAsia"/>
                <w:color w:val="000000"/>
                <w:szCs w:val="21"/>
              </w:rPr>
              <w:t>但在配电房配置了柴油发电机作为备用电源，</w:t>
            </w:r>
            <w:r>
              <w:rPr>
                <w:color w:val="000000"/>
                <w:szCs w:val="21"/>
              </w:rPr>
              <w:t>最大可能的避免厂区污水处理设施故障。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三</w:t>
            </w:r>
          </w:p>
        </w:tc>
        <w:tc>
          <w:tcPr>
            <w:tcW w:w="8092" w:type="dxa"/>
            <w:gridSpan w:val="3"/>
            <w:vAlign w:val="center"/>
          </w:tcPr>
          <w:p>
            <w:pPr>
              <w:snapToGrid w:val="0"/>
              <w:jc w:val="center"/>
              <w:rPr>
                <w:snapToGrid w:val="0"/>
                <w:color w:val="000000"/>
                <w:kern w:val="0"/>
                <w:szCs w:val="21"/>
              </w:rPr>
            </w:pPr>
            <w:r>
              <w:rPr>
                <w:snapToGrid w:val="0"/>
                <w:color w:val="000000"/>
                <w:kern w:val="0"/>
                <w:szCs w:val="21"/>
              </w:rPr>
              <w:t>固体废物处置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1</w:t>
            </w:r>
          </w:p>
        </w:tc>
        <w:tc>
          <w:tcPr>
            <w:tcW w:w="1689" w:type="dxa"/>
            <w:vAlign w:val="center"/>
          </w:tcPr>
          <w:p>
            <w:pPr>
              <w:spacing w:line="360" w:lineRule="exact"/>
              <w:jc w:val="center"/>
              <w:rPr>
                <w:color w:val="000000"/>
                <w:szCs w:val="21"/>
              </w:rPr>
            </w:pPr>
            <w:r>
              <w:rPr>
                <w:color w:val="000000"/>
                <w:szCs w:val="21"/>
              </w:rPr>
              <w:t>废含油棉纱、手套、废机油</w:t>
            </w:r>
          </w:p>
        </w:tc>
        <w:tc>
          <w:tcPr>
            <w:tcW w:w="3294" w:type="dxa"/>
            <w:vAlign w:val="center"/>
          </w:tcPr>
          <w:p>
            <w:pPr>
              <w:spacing w:line="360" w:lineRule="exact"/>
              <w:jc w:val="left"/>
              <w:rPr>
                <w:color w:val="000000"/>
                <w:szCs w:val="21"/>
              </w:rPr>
            </w:pPr>
            <w:r>
              <w:rPr>
                <w:color w:val="000000"/>
                <w:szCs w:val="21"/>
              </w:rPr>
              <w:t>废含油棉纱、手套、废机油属于危险废物，分别在现有危废间单独设置危废收集桶进行收集，</w:t>
            </w:r>
            <w:r>
              <w:rPr>
                <w:color w:val="000000"/>
                <w:szCs w:val="21"/>
                <w:lang w:val="zh-CN"/>
              </w:rPr>
              <w:t>容器加上标签，</w:t>
            </w:r>
            <w:r>
              <w:rPr>
                <w:color w:val="000000"/>
                <w:szCs w:val="21"/>
              </w:rPr>
              <w:t>然后委托有相关资质的单位进行收集处理。</w:t>
            </w:r>
          </w:p>
        </w:tc>
        <w:tc>
          <w:tcPr>
            <w:tcW w:w="3109" w:type="dxa"/>
            <w:vAlign w:val="center"/>
          </w:tcPr>
          <w:p>
            <w:pPr>
              <w:spacing w:line="240" w:lineRule="auto"/>
              <w:jc w:val="left"/>
              <w:rPr>
                <w:color w:val="000000"/>
                <w:szCs w:val="21"/>
              </w:rPr>
            </w:pPr>
            <w:r>
              <w:rPr>
                <w:color w:val="000000"/>
                <w:szCs w:val="21"/>
              </w:rPr>
              <w:t>设置了危废暂存间，建筑面积约为10m2，暂存间进行“三防”处理，地面防渗，设置消防柜、照明、通风等设施。危险废物必须分类储存，定期转运送往具有危险废物处理资质的单位处理，转运采用“五联单”制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2</w:t>
            </w:r>
          </w:p>
        </w:tc>
        <w:tc>
          <w:tcPr>
            <w:tcW w:w="1689" w:type="dxa"/>
            <w:vAlign w:val="center"/>
          </w:tcPr>
          <w:p>
            <w:pPr>
              <w:spacing w:line="360" w:lineRule="exact"/>
              <w:jc w:val="center"/>
              <w:rPr>
                <w:color w:val="000000"/>
                <w:szCs w:val="21"/>
              </w:rPr>
            </w:pPr>
            <w:r>
              <w:rPr>
                <w:color w:val="000000"/>
                <w:szCs w:val="21"/>
              </w:rPr>
              <w:t>生活垃圾</w:t>
            </w:r>
          </w:p>
        </w:tc>
        <w:tc>
          <w:tcPr>
            <w:tcW w:w="3294" w:type="dxa"/>
            <w:vAlign w:val="center"/>
          </w:tcPr>
          <w:p>
            <w:pPr>
              <w:adjustRightInd w:val="0"/>
              <w:snapToGrid w:val="0"/>
              <w:spacing w:line="360" w:lineRule="exact"/>
              <w:jc w:val="left"/>
              <w:rPr>
                <w:bCs/>
                <w:snapToGrid w:val="0"/>
                <w:color w:val="000000"/>
                <w:kern w:val="0"/>
                <w:szCs w:val="21"/>
              </w:rPr>
            </w:pPr>
            <w:r>
              <w:rPr>
                <w:color w:val="000000"/>
                <w:szCs w:val="21"/>
              </w:rPr>
              <w:t>交由区市政环卫部门统一收集处理，禁止随意堆放</w:t>
            </w:r>
          </w:p>
        </w:tc>
        <w:tc>
          <w:tcPr>
            <w:tcW w:w="3109" w:type="dxa"/>
            <w:vAlign w:val="center"/>
          </w:tcPr>
          <w:p>
            <w:pPr>
              <w:adjustRightInd w:val="0"/>
              <w:snapToGrid w:val="0"/>
              <w:spacing w:line="360" w:lineRule="exact"/>
              <w:jc w:val="left"/>
              <w:rPr>
                <w:bCs/>
                <w:snapToGrid w:val="0"/>
                <w:color w:val="000000"/>
                <w:kern w:val="0"/>
                <w:szCs w:val="21"/>
              </w:rPr>
            </w:pPr>
            <w:r>
              <w:rPr>
                <w:color w:val="000000"/>
                <w:szCs w:val="21"/>
              </w:rPr>
              <w:t>交由区市政环卫部门统一收集处理，禁止随意堆放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3</w:t>
            </w:r>
          </w:p>
        </w:tc>
        <w:tc>
          <w:tcPr>
            <w:tcW w:w="1689" w:type="dxa"/>
            <w:vAlign w:val="center"/>
          </w:tcPr>
          <w:p>
            <w:pPr>
              <w:spacing w:line="360" w:lineRule="exact"/>
              <w:jc w:val="center"/>
              <w:rPr>
                <w:color w:val="000000"/>
                <w:szCs w:val="21"/>
              </w:rPr>
            </w:pPr>
            <w:r>
              <w:rPr>
                <w:color w:val="000000"/>
                <w:szCs w:val="21"/>
              </w:rPr>
              <w:t>污泥</w:t>
            </w:r>
          </w:p>
        </w:tc>
        <w:tc>
          <w:tcPr>
            <w:tcW w:w="3294" w:type="dxa"/>
            <w:vAlign w:val="center"/>
          </w:tcPr>
          <w:p>
            <w:pPr>
              <w:adjustRightInd w:val="0"/>
              <w:snapToGrid w:val="0"/>
              <w:spacing w:line="360" w:lineRule="exact"/>
              <w:jc w:val="left"/>
              <w:rPr>
                <w:color w:val="000000"/>
                <w:szCs w:val="21"/>
              </w:rPr>
            </w:pPr>
            <w:r>
              <w:rPr>
                <w:color w:val="000000"/>
                <w:szCs w:val="21"/>
              </w:rPr>
              <w:t>污泥进行干化处理后送相关企业进行堆肥和作为绿化肥料</w:t>
            </w:r>
          </w:p>
        </w:tc>
        <w:tc>
          <w:tcPr>
            <w:tcW w:w="3109" w:type="dxa"/>
            <w:vAlign w:val="center"/>
          </w:tcPr>
          <w:p>
            <w:pPr>
              <w:adjustRightInd w:val="0"/>
              <w:snapToGrid w:val="0"/>
              <w:spacing w:line="360" w:lineRule="exact"/>
              <w:jc w:val="left"/>
              <w:rPr>
                <w:color w:val="000000"/>
                <w:szCs w:val="21"/>
              </w:rPr>
            </w:pPr>
            <w:r>
              <w:rPr>
                <w:color w:val="000000"/>
                <w:szCs w:val="21"/>
              </w:rPr>
              <w:t>厂区设置了污泥浓缩水池和污泥干化设备，污泥经干化后由需要企业自行运输用于堆肥和绿化肥料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四</w:t>
            </w:r>
          </w:p>
        </w:tc>
        <w:tc>
          <w:tcPr>
            <w:tcW w:w="8092" w:type="dxa"/>
            <w:gridSpan w:val="3"/>
            <w:vAlign w:val="center"/>
          </w:tcPr>
          <w:p>
            <w:pPr>
              <w:snapToGrid w:val="0"/>
              <w:jc w:val="center"/>
              <w:rPr>
                <w:snapToGrid w:val="0"/>
                <w:color w:val="000000"/>
                <w:kern w:val="0"/>
                <w:szCs w:val="21"/>
              </w:rPr>
            </w:pPr>
            <w:r>
              <w:rPr>
                <w:snapToGrid w:val="0"/>
                <w:color w:val="000000"/>
                <w:kern w:val="0"/>
                <w:szCs w:val="21"/>
              </w:rPr>
              <w:t>噪声控制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1</w:t>
            </w:r>
          </w:p>
        </w:tc>
        <w:tc>
          <w:tcPr>
            <w:tcW w:w="1689" w:type="dxa"/>
            <w:vAlign w:val="center"/>
          </w:tcPr>
          <w:p>
            <w:pPr>
              <w:snapToGrid w:val="0"/>
              <w:jc w:val="center"/>
              <w:rPr>
                <w:snapToGrid w:val="0"/>
                <w:color w:val="000000"/>
                <w:kern w:val="0"/>
                <w:szCs w:val="21"/>
              </w:rPr>
            </w:pPr>
            <w:r>
              <w:rPr>
                <w:snapToGrid w:val="0"/>
                <w:color w:val="000000"/>
                <w:kern w:val="0"/>
                <w:szCs w:val="21"/>
              </w:rPr>
              <w:t>设备噪声</w:t>
            </w:r>
          </w:p>
        </w:tc>
        <w:tc>
          <w:tcPr>
            <w:tcW w:w="3294" w:type="dxa"/>
            <w:vAlign w:val="center"/>
          </w:tcPr>
          <w:p>
            <w:pPr>
              <w:snapToGrid w:val="0"/>
              <w:jc w:val="left"/>
              <w:rPr>
                <w:color w:val="000000"/>
                <w:szCs w:val="21"/>
              </w:rPr>
            </w:pPr>
            <w:r>
              <w:rPr>
                <w:color w:val="000000"/>
                <w:szCs w:val="21"/>
              </w:rPr>
              <w:t>使用低</w:t>
            </w:r>
            <w:r>
              <w:rPr>
                <w:szCs w:val="21"/>
              </w:rPr>
              <w:t>噪声、高功率的泵</w:t>
            </w:r>
            <w:r>
              <w:rPr>
                <w:color w:val="000000"/>
                <w:szCs w:val="21"/>
              </w:rPr>
              <w:t>，定期对设备进行维护、保养，确保设备运行正常，</w:t>
            </w:r>
            <w:r>
              <w:rPr>
                <w:szCs w:val="21"/>
              </w:rPr>
              <w:t>设置减震垫，厂区设置绿化带等</w:t>
            </w:r>
          </w:p>
        </w:tc>
        <w:tc>
          <w:tcPr>
            <w:tcW w:w="3109" w:type="dxa"/>
            <w:vAlign w:val="center"/>
          </w:tcPr>
          <w:p>
            <w:pPr>
              <w:snapToGrid w:val="0"/>
              <w:jc w:val="left"/>
              <w:rPr>
                <w:snapToGrid w:val="0"/>
                <w:color w:val="000000"/>
                <w:kern w:val="0"/>
                <w:szCs w:val="21"/>
              </w:rPr>
            </w:pPr>
            <w:r>
              <w:rPr>
                <w:color w:val="000000"/>
                <w:szCs w:val="21"/>
              </w:rPr>
              <w:t>企业使用了低</w:t>
            </w:r>
            <w:r>
              <w:rPr>
                <w:szCs w:val="21"/>
              </w:rPr>
              <w:t>噪声、高功率的泵</w:t>
            </w:r>
            <w:r>
              <w:rPr>
                <w:color w:val="000000"/>
                <w:szCs w:val="21"/>
              </w:rPr>
              <w:t>，并将泵置于地下或者专门泵房内，定期对设备进行了维护、保养，确保设备运行正常，</w:t>
            </w:r>
            <w:r>
              <w:rPr>
                <w:szCs w:val="21"/>
              </w:rPr>
              <w:t>设置减震垫，厂区设置了绿化带。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五</w:t>
            </w:r>
          </w:p>
        </w:tc>
        <w:tc>
          <w:tcPr>
            <w:tcW w:w="8092" w:type="dxa"/>
            <w:gridSpan w:val="3"/>
            <w:vAlign w:val="center"/>
          </w:tcPr>
          <w:p>
            <w:pPr>
              <w:snapToGrid w:val="0"/>
              <w:jc w:val="center"/>
              <w:rPr>
                <w:color w:val="000000"/>
                <w:szCs w:val="21"/>
              </w:rPr>
            </w:pPr>
            <w:r>
              <w:rPr>
                <w:color w:val="000000"/>
                <w:szCs w:val="21"/>
              </w:rPr>
              <w:t>风险防范措施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1</w:t>
            </w:r>
          </w:p>
        </w:tc>
        <w:tc>
          <w:tcPr>
            <w:tcW w:w="1689" w:type="dxa"/>
            <w:vAlign w:val="center"/>
          </w:tcPr>
          <w:p>
            <w:pPr>
              <w:snapToGrid w:val="0"/>
              <w:jc w:val="center"/>
              <w:rPr>
                <w:snapToGrid w:val="0"/>
                <w:color w:val="000000"/>
                <w:kern w:val="0"/>
                <w:szCs w:val="21"/>
              </w:rPr>
            </w:pPr>
            <w:r>
              <w:rPr>
                <w:snapToGrid w:val="0"/>
                <w:color w:val="000000"/>
                <w:kern w:val="0"/>
                <w:szCs w:val="21"/>
              </w:rPr>
              <w:t>盐酸储罐</w:t>
            </w:r>
          </w:p>
        </w:tc>
        <w:tc>
          <w:tcPr>
            <w:tcW w:w="3294" w:type="dxa"/>
            <w:vAlign w:val="center"/>
          </w:tcPr>
          <w:p>
            <w:pPr>
              <w:snapToGrid w:val="0"/>
              <w:jc w:val="left"/>
              <w:rPr>
                <w:color w:val="000000"/>
                <w:szCs w:val="21"/>
              </w:rPr>
            </w:pPr>
            <w:r>
              <w:rPr>
                <w:color w:val="000000"/>
                <w:szCs w:val="21"/>
              </w:rPr>
              <w:t>在盐酸储罐区域上设置围堰，地面进行防渗、防腐处理。</w:t>
            </w:r>
          </w:p>
        </w:tc>
        <w:tc>
          <w:tcPr>
            <w:tcW w:w="3109" w:type="dxa"/>
            <w:vAlign w:val="center"/>
          </w:tcPr>
          <w:p>
            <w:pPr>
              <w:snapToGrid w:val="0"/>
              <w:jc w:val="left"/>
              <w:rPr>
                <w:snapToGrid w:val="0"/>
                <w:color w:val="000000"/>
                <w:kern w:val="0"/>
                <w:szCs w:val="21"/>
              </w:rPr>
            </w:pPr>
            <w:r>
              <w:rPr>
                <w:color w:val="000000"/>
                <w:szCs w:val="21"/>
              </w:rPr>
              <w:t>盐酸储罐区域设置了围堰，地面进行了硬化处理。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2</w:t>
            </w:r>
          </w:p>
        </w:tc>
        <w:tc>
          <w:tcPr>
            <w:tcW w:w="1689" w:type="dxa"/>
            <w:vAlign w:val="center"/>
          </w:tcPr>
          <w:p>
            <w:pPr>
              <w:snapToGrid w:val="0"/>
              <w:jc w:val="center"/>
              <w:rPr>
                <w:snapToGrid w:val="0"/>
                <w:color w:val="000000"/>
                <w:kern w:val="0"/>
                <w:szCs w:val="21"/>
              </w:rPr>
            </w:pPr>
            <w:r>
              <w:rPr>
                <w:snapToGrid w:val="0"/>
                <w:color w:val="000000"/>
                <w:kern w:val="0"/>
                <w:szCs w:val="21"/>
              </w:rPr>
              <w:t>加氯加药间</w:t>
            </w:r>
          </w:p>
        </w:tc>
        <w:tc>
          <w:tcPr>
            <w:tcW w:w="3294" w:type="dxa"/>
            <w:vAlign w:val="center"/>
          </w:tcPr>
          <w:p>
            <w:pPr>
              <w:snapToGrid w:val="0"/>
              <w:jc w:val="left"/>
              <w:rPr>
                <w:color w:val="000000"/>
                <w:szCs w:val="21"/>
              </w:rPr>
            </w:pPr>
            <w:r>
              <w:rPr>
                <w:szCs w:val="21"/>
              </w:rPr>
              <w:t>企业盐酸、二氧化氯泄漏挥发出的氯化氢、二氧化氯气体配备了防毒面具、监控设施、喷淋中和设施等泄漏应急处置装置</w:t>
            </w:r>
          </w:p>
        </w:tc>
        <w:tc>
          <w:tcPr>
            <w:tcW w:w="3109" w:type="dxa"/>
            <w:vAlign w:val="center"/>
          </w:tcPr>
          <w:p>
            <w:pPr>
              <w:snapToGrid w:val="0"/>
              <w:jc w:val="left"/>
              <w:rPr>
                <w:snapToGrid w:val="0"/>
                <w:color w:val="000000"/>
                <w:kern w:val="0"/>
                <w:szCs w:val="21"/>
              </w:rPr>
            </w:pPr>
            <w:r>
              <w:rPr>
                <w:szCs w:val="21"/>
              </w:rPr>
              <w:t>企业针对盐酸、二氧化氯泄漏挥发出的氯化氢、二氧化氯气体配备了防毒面具、监控设施、喷淋中和设施等泄漏应急处置装置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96" w:type="dxa"/>
            <w:vAlign w:val="center"/>
          </w:tcPr>
          <w:p>
            <w:pPr>
              <w:snapToGrid w:val="0"/>
              <w:jc w:val="center"/>
              <w:rPr>
                <w:snapToGrid w:val="0"/>
                <w:color w:val="000000"/>
                <w:kern w:val="0"/>
                <w:szCs w:val="21"/>
              </w:rPr>
            </w:pPr>
            <w:r>
              <w:rPr>
                <w:snapToGrid w:val="0"/>
                <w:color w:val="000000"/>
                <w:kern w:val="0"/>
                <w:szCs w:val="21"/>
              </w:rPr>
              <w:t>3</w:t>
            </w:r>
          </w:p>
        </w:tc>
        <w:tc>
          <w:tcPr>
            <w:tcW w:w="1689" w:type="dxa"/>
            <w:vAlign w:val="center"/>
          </w:tcPr>
          <w:p>
            <w:pPr>
              <w:snapToGrid w:val="0"/>
              <w:jc w:val="center"/>
              <w:rPr>
                <w:snapToGrid w:val="0"/>
                <w:color w:val="000000"/>
                <w:kern w:val="0"/>
                <w:szCs w:val="21"/>
              </w:rPr>
            </w:pPr>
            <w:r>
              <w:rPr>
                <w:snapToGrid w:val="0"/>
                <w:color w:val="000000"/>
                <w:kern w:val="0"/>
                <w:szCs w:val="21"/>
              </w:rPr>
              <w:t>其它</w:t>
            </w:r>
          </w:p>
        </w:tc>
        <w:tc>
          <w:tcPr>
            <w:tcW w:w="3294" w:type="dxa"/>
            <w:vAlign w:val="center"/>
          </w:tcPr>
          <w:p>
            <w:pPr>
              <w:snapToGrid w:val="0"/>
              <w:jc w:val="left"/>
              <w:rPr>
                <w:color w:val="000000"/>
                <w:szCs w:val="21"/>
              </w:rPr>
            </w:pPr>
            <w:r>
              <w:rPr>
                <w:color w:val="000000"/>
                <w:szCs w:val="21"/>
              </w:rPr>
              <w:t>备置防毒面具、防护服、防护眼睛、应急灯等应急物资</w:t>
            </w:r>
          </w:p>
        </w:tc>
        <w:tc>
          <w:tcPr>
            <w:tcW w:w="3109" w:type="dxa"/>
            <w:vAlign w:val="center"/>
          </w:tcPr>
          <w:p>
            <w:pPr>
              <w:snapToGrid w:val="0"/>
              <w:jc w:val="left"/>
              <w:rPr>
                <w:color w:val="000000"/>
                <w:szCs w:val="21"/>
              </w:rPr>
            </w:pPr>
            <w:r>
              <w:rPr>
                <w:color w:val="000000"/>
                <w:szCs w:val="21"/>
              </w:rPr>
              <w:t>备置了防毒面具、防护服、防护眼睛、应急灯等应急物资</w:t>
            </w:r>
          </w:p>
        </w:tc>
      </w:tr>
    </w:tbl>
    <w:p>
      <w:pPr>
        <w:adjustRightInd w:val="0"/>
        <w:snapToGrid w:val="0"/>
        <w:spacing w:line="460" w:lineRule="exact"/>
        <w:outlineLvl w:val="1"/>
        <w:rPr>
          <w:b/>
          <w:color w:val="000000"/>
          <w:sz w:val="28"/>
          <w:szCs w:val="28"/>
        </w:rPr>
      </w:pPr>
      <w:bookmarkStart w:id="227" w:name="_Toc483083893"/>
      <w:bookmarkStart w:id="228" w:name="_Toc458674253"/>
      <w:bookmarkStart w:id="229" w:name="_Toc22729"/>
      <w:r>
        <w:rPr>
          <w:rFonts w:hint="eastAsia"/>
          <w:b/>
          <w:color w:val="000000"/>
          <w:sz w:val="28"/>
          <w:szCs w:val="28"/>
        </w:rPr>
        <w:t>3</w:t>
      </w:r>
      <w:r>
        <w:rPr>
          <w:b/>
          <w:color w:val="000000"/>
          <w:sz w:val="28"/>
          <w:szCs w:val="28"/>
        </w:rPr>
        <w:t>.3环境风险源识别</w:t>
      </w:r>
      <w:bookmarkEnd w:id="227"/>
      <w:bookmarkEnd w:id="228"/>
      <w:bookmarkEnd w:id="229"/>
    </w:p>
    <w:p>
      <w:pPr>
        <w:pStyle w:val="89"/>
        <w:ind w:firstLine="0" w:firstLineChars="0"/>
        <w:rPr>
          <w:b/>
          <w:szCs w:val="28"/>
        </w:rPr>
      </w:pPr>
      <w:bookmarkStart w:id="230" w:name="_Toc346872561"/>
      <w:bookmarkStart w:id="231" w:name="_Toc458674254"/>
      <w:bookmarkStart w:id="232" w:name="_Toc317088625"/>
      <w:bookmarkStart w:id="233" w:name="_Toc376848492"/>
      <w:r>
        <w:rPr>
          <w:rFonts w:hint="eastAsia"/>
          <w:b/>
          <w:szCs w:val="28"/>
        </w:rPr>
        <w:t>3</w:t>
      </w:r>
      <w:r>
        <w:rPr>
          <w:b/>
          <w:szCs w:val="28"/>
        </w:rPr>
        <w:t>.3.1 生产过程潜在风险识别</w:t>
      </w:r>
      <w:bookmarkEnd w:id="230"/>
      <w:bookmarkEnd w:id="231"/>
    </w:p>
    <w:p>
      <w:pPr>
        <w:pStyle w:val="9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（1）生产工艺过程</w:t>
      </w:r>
    </w:p>
    <w:p>
      <w:pPr>
        <w:pStyle w:val="96"/>
        <w:spacing w:line="500" w:lineRule="exact"/>
        <w:ind w:firstLine="480"/>
        <w:rPr>
          <w:rFonts w:hint="eastAsia" w:ascii="仿宋_GB2312" w:hAnsi="Times New Roman" w:eastAsia="宋体" w:cs="Times New Roman"/>
          <w:kern w:val="2"/>
          <w:sz w:val="24"/>
          <w:szCs w:val="24"/>
          <w:lang w:val="en-US" w:eastAsia="zh-CN" w:bidi="ar-SA"/>
        </w:rPr>
      </w:pPr>
      <w:r>
        <w:rPr>
          <w:rFonts w:hint="eastAsia" w:ascii="仿宋_GB2312" w:hAnsi="Times New Roman" w:eastAsia="宋体" w:cs="Times New Roman"/>
          <w:kern w:val="2"/>
          <w:sz w:val="24"/>
          <w:szCs w:val="24"/>
          <w:lang w:val="en-US" w:eastAsia="zh-CN" w:bidi="ar-SA"/>
        </w:rPr>
        <w:t>盐酸储罐：企业所使用的盐酸由供应商负责运输至厂区，然后由专门的保管人员验收存放于危险化学品仓库。由于装卸过程操作不当、储存管理疏忽、管道法兰等设备老化损坏破了等可能导致盐酸储罐中盐酸发生泄漏。</w:t>
      </w:r>
    </w:p>
    <w:p>
      <w:pPr>
        <w:pStyle w:val="96"/>
        <w:spacing w:line="500" w:lineRule="exact"/>
        <w:ind w:firstLine="480"/>
        <w:rPr>
          <w:rFonts w:hint="eastAsia" w:ascii="仿宋_GB2312" w:hAnsi="Times New Roman" w:eastAsia="宋体" w:cs="Times New Roman"/>
          <w:kern w:val="2"/>
          <w:sz w:val="24"/>
          <w:szCs w:val="24"/>
          <w:lang w:val="en-US" w:eastAsia="zh-CN" w:bidi="ar-SA"/>
        </w:rPr>
      </w:pPr>
      <w:r>
        <w:rPr>
          <w:rFonts w:hint="eastAsia" w:ascii="仿宋_GB2312" w:hAnsi="Times New Roman" w:eastAsia="宋体" w:cs="Times New Roman"/>
          <w:kern w:val="2"/>
          <w:sz w:val="24"/>
          <w:szCs w:val="24"/>
          <w:lang w:val="en-US" w:eastAsia="zh-CN" w:bidi="ar-SA"/>
        </w:rPr>
        <w:t>消毒车间：企业生产工艺过程中涉及到危险化学品的工序是二氧化氯消毒工艺，主要有毒化学品装置为二氧化氯发生器。二氧化氯发生器由于管道破裂等可能导致二氧化氯泄漏，但是企业二氧化发生器采用计算机自动控制，在二氧化氯发生器所在房间设置了报警装置、各管道设置了报警控制开关，一旦发生泄漏报警开关自动关闭，二氧化氯泄漏发生概率较小，且有严格的防范措施。</w:t>
      </w:r>
    </w:p>
    <w:p>
      <w:pPr>
        <w:pStyle w:val="9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（2）停电</w:t>
      </w:r>
    </w:p>
    <w:p>
      <w:pPr>
        <w:pStyle w:val="96"/>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企业为城市污水处理厂，一旦发生停电时，污水处理设备不能运转导致厂区内收集的污水直接排放到外环境，造成地表水污染，影响地表水环境及下游取水口、鱼类三场等水环境风险受体。</w:t>
      </w:r>
    </w:p>
    <w:p>
      <w:pPr>
        <w:pStyle w:val="9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（3）污染治理设施非正常运营</w:t>
      </w:r>
    </w:p>
    <w:p>
      <w:pPr>
        <w:pStyle w:val="96"/>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企业为城市污水处理厂，一旦污染治理设施不能正常运营导致污水治理效果下降使污水未达标而排放到地表水体造成地表水环境污染。</w:t>
      </w:r>
    </w:p>
    <w:p>
      <w:pPr>
        <w:pStyle w:val="9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（4）各种自然灾害、极端天气</w:t>
      </w:r>
    </w:p>
    <w:p>
      <w:pPr>
        <w:pStyle w:val="96"/>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在各</w:t>
      </w:r>
      <w:r>
        <w:rPr>
          <w:rFonts w:hint="eastAsia" w:cs="仿宋_GB2312" w:asciiTheme="minorEastAsia" w:hAnsiTheme="minorEastAsia" w:eastAsiaTheme="minorEastAsia"/>
          <w:kern w:val="0"/>
          <w:sz w:val="24"/>
        </w:rPr>
        <w:t>种</w:t>
      </w:r>
      <w:r>
        <w:rPr>
          <w:rFonts w:cs="仿宋_GB2312" w:asciiTheme="minorEastAsia" w:hAnsiTheme="minorEastAsia" w:eastAsiaTheme="minorEastAsia"/>
          <w:kern w:val="0"/>
          <w:sz w:val="24"/>
        </w:rPr>
        <w:t>自然灾害、极端天气情况下，企业突发环境事故为污水未经处理直接排放到外环境造成后果与停电情况下一致。</w:t>
      </w:r>
    </w:p>
    <w:p>
      <w:pPr>
        <w:spacing w:line="460" w:lineRule="exact"/>
        <w:ind w:firstLine="482" w:firstLineChars="200"/>
        <w:jc w:val="center"/>
        <w:rPr>
          <w:b/>
          <w:color w:val="000000"/>
          <w:sz w:val="24"/>
          <w:szCs w:val="24"/>
        </w:rPr>
      </w:pPr>
      <w:r>
        <w:rPr>
          <w:b/>
          <w:color w:val="000000"/>
          <w:sz w:val="24"/>
          <w:szCs w:val="24"/>
        </w:rPr>
        <w:t>表3.3-1  生产过程风险一览表</w:t>
      </w:r>
    </w:p>
    <w:tbl>
      <w:tblPr>
        <w:tblStyle w:val="33"/>
        <w:tblW w:w="8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204"/>
        <w:gridCol w:w="1645"/>
        <w:gridCol w:w="3041"/>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5" w:type="dxa"/>
            <w:vAlign w:val="center"/>
          </w:tcPr>
          <w:p>
            <w:pPr>
              <w:adjustRightInd w:val="0"/>
              <w:snapToGrid w:val="0"/>
              <w:jc w:val="center"/>
              <w:rPr>
                <w:color w:val="000000"/>
                <w:szCs w:val="21"/>
              </w:rPr>
            </w:pPr>
            <w:r>
              <w:rPr>
                <w:color w:val="000000"/>
                <w:szCs w:val="21"/>
              </w:rPr>
              <w:t>生产单元</w:t>
            </w:r>
          </w:p>
        </w:tc>
        <w:tc>
          <w:tcPr>
            <w:tcW w:w="1204" w:type="dxa"/>
            <w:vAlign w:val="center"/>
          </w:tcPr>
          <w:p>
            <w:pPr>
              <w:adjustRightInd w:val="0"/>
              <w:snapToGrid w:val="0"/>
              <w:jc w:val="center"/>
              <w:rPr>
                <w:color w:val="000000"/>
                <w:szCs w:val="21"/>
              </w:rPr>
            </w:pPr>
            <w:r>
              <w:rPr>
                <w:color w:val="000000"/>
                <w:szCs w:val="21"/>
              </w:rPr>
              <w:t>危险物质</w:t>
            </w:r>
          </w:p>
        </w:tc>
        <w:tc>
          <w:tcPr>
            <w:tcW w:w="1645" w:type="dxa"/>
            <w:vAlign w:val="center"/>
          </w:tcPr>
          <w:p>
            <w:pPr>
              <w:adjustRightInd w:val="0"/>
              <w:snapToGrid w:val="0"/>
              <w:jc w:val="center"/>
              <w:rPr>
                <w:color w:val="000000"/>
                <w:szCs w:val="21"/>
              </w:rPr>
            </w:pPr>
            <w:r>
              <w:rPr>
                <w:color w:val="000000"/>
                <w:szCs w:val="21"/>
              </w:rPr>
              <w:t>事故形式</w:t>
            </w:r>
          </w:p>
        </w:tc>
        <w:tc>
          <w:tcPr>
            <w:tcW w:w="3041" w:type="dxa"/>
            <w:vAlign w:val="center"/>
          </w:tcPr>
          <w:p>
            <w:pPr>
              <w:adjustRightInd w:val="0"/>
              <w:snapToGrid w:val="0"/>
              <w:jc w:val="center"/>
              <w:rPr>
                <w:color w:val="000000"/>
                <w:szCs w:val="21"/>
              </w:rPr>
            </w:pPr>
            <w:r>
              <w:rPr>
                <w:color w:val="000000"/>
                <w:szCs w:val="21"/>
              </w:rPr>
              <w:t>产生原因</w:t>
            </w:r>
          </w:p>
        </w:tc>
        <w:tc>
          <w:tcPr>
            <w:tcW w:w="1413" w:type="dxa"/>
            <w:vAlign w:val="center"/>
          </w:tcPr>
          <w:p>
            <w:pPr>
              <w:adjustRightInd w:val="0"/>
              <w:snapToGrid w:val="0"/>
              <w:jc w:val="center"/>
              <w:rPr>
                <w:color w:val="000000"/>
                <w:szCs w:val="21"/>
              </w:rPr>
            </w:pPr>
            <w:r>
              <w:rPr>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5" w:type="dxa"/>
            <w:vAlign w:val="center"/>
          </w:tcPr>
          <w:p>
            <w:pPr>
              <w:adjustRightInd w:val="0"/>
              <w:snapToGrid w:val="0"/>
              <w:jc w:val="center"/>
              <w:rPr>
                <w:color w:val="000000"/>
                <w:szCs w:val="21"/>
              </w:rPr>
            </w:pPr>
            <w:r>
              <w:rPr>
                <w:snapToGrid w:val="0"/>
                <w:szCs w:val="21"/>
              </w:rPr>
              <w:t>盐酸储罐</w:t>
            </w:r>
          </w:p>
        </w:tc>
        <w:tc>
          <w:tcPr>
            <w:tcW w:w="1204" w:type="dxa"/>
            <w:vAlign w:val="center"/>
          </w:tcPr>
          <w:p>
            <w:pPr>
              <w:adjustRightInd w:val="0"/>
              <w:snapToGrid w:val="0"/>
              <w:jc w:val="center"/>
              <w:rPr>
                <w:color w:val="000000"/>
                <w:szCs w:val="21"/>
              </w:rPr>
            </w:pPr>
            <w:r>
              <w:rPr>
                <w:color w:val="000000"/>
                <w:szCs w:val="21"/>
              </w:rPr>
              <w:t>氯化氢</w:t>
            </w:r>
          </w:p>
        </w:tc>
        <w:tc>
          <w:tcPr>
            <w:tcW w:w="1645" w:type="dxa"/>
            <w:vAlign w:val="center"/>
          </w:tcPr>
          <w:p>
            <w:pPr>
              <w:adjustRightInd w:val="0"/>
              <w:snapToGrid w:val="0"/>
              <w:jc w:val="left"/>
              <w:rPr>
                <w:color w:val="000000"/>
                <w:szCs w:val="21"/>
              </w:rPr>
            </w:pPr>
            <w:r>
              <w:rPr>
                <w:color w:val="000000"/>
                <w:szCs w:val="21"/>
              </w:rPr>
              <w:t>泄漏、中毒、环境污染</w:t>
            </w:r>
          </w:p>
        </w:tc>
        <w:tc>
          <w:tcPr>
            <w:tcW w:w="3041" w:type="dxa"/>
            <w:vAlign w:val="center"/>
          </w:tcPr>
          <w:p>
            <w:pPr>
              <w:adjustRightInd w:val="0"/>
              <w:snapToGrid w:val="0"/>
              <w:jc w:val="left"/>
              <w:rPr>
                <w:color w:val="000000"/>
                <w:szCs w:val="21"/>
              </w:rPr>
            </w:pPr>
            <w:r>
              <w:rPr>
                <w:color w:val="000000"/>
                <w:szCs w:val="21"/>
              </w:rPr>
              <w:t>阀门管道堵塞、破裂、损坏、操作失误、停电、自然灾害</w:t>
            </w:r>
          </w:p>
        </w:tc>
        <w:tc>
          <w:tcPr>
            <w:tcW w:w="1413" w:type="dxa"/>
            <w:vAlign w:val="center"/>
          </w:tcPr>
          <w:p>
            <w:pPr>
              <w:adjustRightInd w:val="0"/>
              <w:snapToGrid w:val="0"/>
              <w:jc w:val="center"/>
              <w:rPr>
                <w:color w:val="000000"/>
                <w:szCs w:val="21"/>
              </w:rPr>
            </w:pPr>
            <w:r>
              <w:rPr>
                <w:color w:val="000000"/>
                <w:szCs w:val="21"/>
              </w:rPr>
              <w:t>盐酸储罐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5" w:type="dxa"/>
            <w:vAlign w:val="center"/>
          </w:tcPr>
          <w:p>
            <w:pPr>
              <w:adjustRightInd w:val="0"/>
              <w:snapToGrid w:val="0"/>
              <w:jc w:val="center"/>
              <w:rPr>
                <w:snapToGrid w:val="0"/>
                <w:szCs w:val="21"/>
              </w:rPr>
            </w:pPr>
            <w:r>
              <w:rPr>
                <w:rFonts w:hint="eastAsia"/>
                <w:snapToGrid w:val="0"/>
                <w:szCs w:val="21"/>
              </w:rPr>
              <w:t>液碱</w:t>
            </w:r>
            <w:r>
              <w:rPr>
                <w:snapToGrid w:val="0"/>
                <w:szCs w:val="21"/>
              </w:rPr>
              <w:t>储罐</w:t>
            </w:r>
          </w:p>
        </w:tc>
        <w:tc>
          <w:tcPr>
            <w:tcW w:w="1204" w:type="dxa"/>
            <w:vAlign w:val="center"/>
          </w:tcPr>
          <w:p>
            <w:pPr>
              <w:adjustRightInd w:val="0"/>
              <w:snapToGrid w:val="0"/>
              <w:jc w:val="center"/>
              <w:rPr>
                <w:color w:val="000000"/>
                <w:szCs w:val="21"/>
              </w:rPr>
            </w:pPr>
            <w:r>
              <w:rPr>
                <w:rFonts w:hint="eastAsia"/>
                <w:color w:val="000000"/>
                <w:szCs w:val="21"/>
              </w:rPr>
              <w:t>氢气</w:t>
            </w:r>
          </w:p>
        </w:tc>
        <w:tc>
          <w:tcPr>
            <w:tcW w:w="1645" w:type="dxa"/>
            <w:vAlign w:val="center"/>
          </w:tcPr>
          <w:p>
            <w:pPr>
              <w:adjustRightInd w:val="0"/>
              <w:snapToGrid w:val="0"/>
              <w:jc w:val="left"/>
              <w:rPr>
                <w:color w:val="000000"/>
                <w:szCs w:val="21"/>
              </w:rPr>
            </w:pPr>
            <w:r>
              <w:rPr>
                <w:color w:val="000000"/>
                <w:szCs w:val="21"/>
              </w:rPr>
              <w:t>泄漏、中毒、环境污染</w:t>
            </w:r>
          </w:p>
        </w:tc>
        <w:tc>
          <w:tcPr>
            <w:tcW w:w="3041" w:type="dxa"/>
            <w:vAlign w:val="center"/>
          </w:tcPr>
          <w:p>
            <w:pPr>
              <w:adjustRightInd w:val="0"/>
              <w:snapToGrid w:val="0"/>
              <w:jc w:val="left"/>
              <w:rPr>
                <w:color w:val="000000"/>
                <w:szCs w:val="21"/>
              </w:rPr>
            </w:pPr>
            <w:r>
              <w:rPr>
                <w:color w:val="000000"/>
                <w:szCs w:val="21"/>
              </w:rPr>
              <w:t>阀门管道堵塞、破裂、损坏、操作失误、停电、自然灾害</w:t>
            </w:r>
          </w:p>
        </w:tc>
        <w:tc>
          <w:tcPr>
            <w:tcW w:w="1413" w:type="dxa"/>
            <w:vAlign w:val="center"/>
          </w:tcPr>
          <w:p>
            <w:pPr>
              <w:adjustRightInd w:val="0"/>
              <w:snapToGrid w:val="0"/>
              <w:jc w:val="center"/>
              <w:rPr>
                <w:color w:val="000000"/>
                <w:szCs w:val="21"/>
              </w:rPr>
            </w:pPr>
            <w:r>
              <w:rPr>
                <w:rFonts w:hint="eastAsia"/>
                <w:snapToGrid w:val="0"/>
                <w:szCs w:val="21"/>
              </w:rPr>
              <w:t>液碱</w:t>
            </w:r>
            <w:r>
              <w:rPr>
                <w:snapToGrid w:val="0"/>
                <w:szCs w:val="21"/>
              </w:rPr>
              <w:t>储罐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485" w:type="dxa"/>
            <w:vAlign w:val="center"/>
          </w:tcPr>
          <w:p>
            <w:pPr>
              <w:adjustRightInd w:val="0"/>
              <w:snapToGrid w:val="0"/>
              <w:jc w:val="center"/>
              <w:rPr>
                <w:snapToGrid w:val="0"/>
                <w:szCs w:val="21"/>
              </w:rPr>
            </w:pPr>
            <w:r>
              <w:rPr>
                <w:rFonts w:hint="eastAsia"/>
                <w:snapToGrid w:val="0"/>
                <w:szCs w:val="21"/>
              </w:rPr>
              <w:t>二氧化氯发生器</w:t>
            </w:r>
          </w:p>
        </w:tc>
        <w:tc>
          <w:tcPr>
            <w:tcW w:w="1204" w:type="dxa"/>
            <w:vAlign w:val="center"/>
          </w:tcPr>
          <w:p>
            <w:pPr>
              <w:adjustRightInd w:val="0"/>
              <w:snapToGrid w:val="0"/>
              <w:rPr>
                <w:color w:val="000000"/>
                <w:szCs w:val="21"/>
              </w:rPr>
            </w:pPr>
            <w:r>
              <w:rPr>
                <w:rFonts w:hint="eastAsia"/>
                <w:color w:val="000000"/>
                <w:szCs w:val="21"/>
              </w:rPr>
              <w:t>二氧化氯</w:t>
            </w:r>
          </w:p>
        </w:tc>
        <w:tc>
          <w:tcPr>
            <w:tcW w:w="1645" w:type="dxa"/>
            <w:vAlign w:val="center"/>
          </w:tcPr>
          <w:p>
            <w:pPr>
              <w:adjustRightInd w:val="0"/>
              <w:snapToGrid w:val="0"/>
              <w:jc w:val="left"/>
              <w:rPr>
                <w:color w:val="000000"/>
                <w:szCs w:val="21"/>
              </w:rPr>
            </w:pPr>
            <w:r>
              <w:rPr>
                <w:color w:val="000000"/>
                <w:szCs w:val="21"/>
              </w:rPr>
              <w:t>泄漏、中毒、环境污染</w:t>
            </w:r>
          </w:p>
        </w:tc>
        <w:tc>
          <w:tcPr>
            <w:tcW w:w="3041" w:type="dxa"/>
            <w:vAlign w:val="center"/>
          </w:tcPr>
          <w:p>
            <w:pPr>
              <w:adjustRightInd w:val="0"/>
              <w:snapToGrid w:val="0"/>
              <w:jc w:val="left"/>
              <w:rPr>
                <w:color w:val="000000"/>
                <w:szCs w:val="21"/>
              </w:rPr>
            </w:pPr>
            <w:r>
              <w:rPr>
                <w:color w:val="000000"/>
                <w:szCs w:val="21"/>
              </w:rPr>
              <w:t>阀门管道堵塞、破裂、损坏、操作失误、停电、自然灾害</w:t>
            </w:r>
          </w:p>
        </w:tc>
        <w:tc>
          <w:tcPr>
            <w:tcW w:w="1413" w:type="dxa"/>
            <w:vAlign w:val="center"/>
          </w:tcPr>
          <w:p>
            <w:pPr>
              <w:adjustRightInd w:val="0"/>
              <w:snapToGrid w:val="0"/>
              <w:jc w:val="center"/>
              <w:rPr>
                <w:color w:val="000000"/>
                <w:szCs w:val="21"/>
              </w:rPr>
            </w:pPr>
            <w:r>
              <w:rPr>
                <w:rFonts w:hint="eastAsia"/>
                <w:color w:val="000000"/>
                <w:szCs w:val="21"/>
              </w:rPr>
              <w:t>二氧化氯发生器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5" w:type="dxa"/>
            <w:vAlign w:val="center"/>
          </w:tcPr>
          <w:p>
            <w:pPr>
              <w:adjustRightInd w:val="0"/>
              <w:snapToGrid w:val="0"/>
              <w:jc w:val="center"/>
              <w:rPr>
                <w:color w:val="000000"/>
                <w:szCs w:val="21"/>
              </w:rPr>
            </w:pPr>
            <w:r>
              <w:rPr>
                <w:color w:val="000000"/>
                <w:szCs w:val="21"/>
              </w:rPr>
              <w:t>污水处理系统</w:t>
            </w:r>
          </w:p>
        </w:tc>
        <w:tc>
          <w:tcPr>
            <w:tcW w:w="1204" w:type="dxa"/>
            <w:vAlign w:val="center"/>
          </w:tcPr>
          <w:p>
            <w:pPr>
              <w:adjustRightInd w:val="0"/>
              <w:snapToGrid w:val="0"/>
              <w:jc w:val="center"/>
              <w:rPr>
                <w:color w:val="000000"/>
                <w:szCs w:val="21"/>
              </w:rPr>
            </w:pPr>
            <w:r>
              <w:rPr>
                <w:color w:val="000000"/>
                <w:szCs w:val="21"/>
              </w:rPr>
              <w:t>收集污水</w:t>
            </w:r>
          </w:p>
        </w:tc>
        <w:tc>
          <w:tcPr>
            <w:tcW w:w="1645" w:type="dxa"/>
            <w:vAlign w:val="center"/>
          </w:tcPr>
          <w:p>
            <w:pPr>
              <w:adjustRightInd w:val="0"/>
              <w:snapToGrid w:val="0"/>
              <w:jc w:val="left"/>
              <w:rPr>
                <w:color w:val="000000"/>
                <w:szCs w:val="21"/>
              </w:rPr>
            </w:pPr>
            <w:r>
              <w:rPr>
                <w:color w:val="000000"/>
                <w:szCs w:val="21"/>
              </w:rPr>
              <w:t>泄漏、环境污染</w:t>
            </w:r>
          </w:p>
        </w:tc>
        <w:tc>
          <w:tcPr>
            <w:tcW w:w="3041" w:type="dxa"/>
            <w:vAlign w:val="center"/>
          </w:tcPr>
          <w:p>
            <w:pPr>
              <w:adjustRightInd w:val="0"/>
              <w:snapToGrid w:val="0"/>
              <w:jc w:val="left"/>
              <w:rPr>
                <w:color w:val="000000"/>
                <w:szCs w:val="21"/>
              </w:rPr>
            </w:pPr>
            <w:r>
              <w:rPr>
                <w:color w:val="000000"/>
                <w:szCs w:val="21"/>
              </w:rPr>
              <w:t>污水处理设备发生故障、停电、自然灾害等</w:t>
            </w:r>
          </w:p>
        </w:tc>
        <w:tc>
          <w:tcPr>
            <w:tcW w:w="1413" w:type="dxa"/>
            <w:vAlign w:val="center"/>
          </w:tcPr>
          <w:p>
            <w:pPr>
              <w:adjustRightInd w:val="0"/>
              <w:snapToGrid w:val="0"/>
              <w:jc w:val="center"/>
              <w:rPr>
                <w:color w:val="000000"/>
                <w:szCs w:val="21"/>
              </w:rPr>
            </w:pPr>
            <w:r>
              <w:rPr>
                <w:color w:val="000000"/>
                <w:szCs w:val="21"/>
              </w:rPr>
              <w:t>污水</w:t>
            </w:r>
          </w:p>
        </w:tc>
      </w:tr>
    </w:tbl>
    <w:p>
      <w:pPr>
        <w:pStyle w:val="89"/>
        <w:ind w:firstLine="0" w:firstLineChars="0"/>
        <w:rPr>
          <w:b/>
          <w:szCs w:val="28"/>
        </w:rPr>
      </w:pPr>
      <w:bookmarkStart w:id="234" w:name="_Toc346872562"/>
      <w:bookmarkStart w:id="235" w:name="_Toc458674255"/>
      <w:r>
        <w:rPr>
          <w:rFonts w:hint="eastAsia"/>
          <w:b/>
          <w:szCs w:val="28"/>
        </w:rPr>
        <w:t>3</w:t>
      </w:r>
      <w:r>
        <w:rPr>
          <w:b/>
          <w:szCs w:val="28"/>
        </w:rPr>
        <w:t>.3.2</w:t>
      </w:r>
      <w:bookmarkEnd w:id="232"/>
      <w:bookmarkEnd w:id="234"/>
      <w:r>
        <w:rPr>
          <w:b/>
          <w:szCs w:val="28"/>
        </w:rPr>
        <w:t>运输过程潜在风险识别</w:t>
      </w:r>
      <w:bookmarkEnd w:id="235"/>
    </w:p>
    <w:p>
      <w:pPr>
        <w:pStyle w:val="96"/>
        <w:spacing w:line="500" w:lineRule="exact"/>
        <w:ind w:firstLine="480"/>
        <w:rPr>
          <w:rFonts w:cs="仿宋_GB2312" w:asciiTheme="minorEastAsia" w:hAnsiTheme="minorEastAsia" w:eastAsiaTheme="minorEastAsia"/>
          <w:kern w:val="0"/>
          <w:sz w:val="24"/>
        </w:rPr>
      </w:pPr>
      <w:bookmarkStart w:id="236" w:name="_Toc346872563"/>
      <w:bookmarkStart w:id="237" w:name="_Toc317088626"/>
      <w:r>
        <w:rPr>
          <w:rFonts w:cs="仿宋_GB2312" w:asciiTheme="minorEastAsia" w:hAnsiTheme="minorEastAsia" w:eastAsiaTheme="minorEastAsia"/>
          <w:kern w:val="0"/>
          <w:sz w:val="24"/>
        </w:rPr>
        <w:t>经核实，企业原辅材料等由供应商提供运输至厂区，运输过程中的突发环境事故风险防范应由供应商完成，</w:t>
      </w:r>
      <w:r>
        <w:rPr>
          <w:rFonts w:hint="eastAsia" w:cs="仿宋_GB2312" w:asciiTheme="minorEastAsia" w:hAnsiTheme="minorEastAsia" w:eastAsiaTheme="minorEastAsia"/>
          <w:kern w:val="0"/>
          <w:sz w:val="24"/>
        </w:rPr>
        <w:t>按照转运协议要求，运输途中出现的一切安全及其他事故由转运单位负责，污水处理厂负责配合协调处理，不纳入本次评估范围。</w:t>
      </w:r>
    </w:p>
    <w:p>
      <w:pPr>
        <w:pStyle w:val="89"/>
        <w:ind w:firstLine="0" w:firstLineChars="0"/>
        <w:rPr>
          <w:b/>
          <w:sz w:val="26"/>
          <w:szCs w:val="26"/>
        </w:rPr>
      </w:pPr>
      <w:bookmarkStart w:id="238" w:name="_Toc458674256"/>
      <w:r>
        <w:rPr>
          <w:rFonts w:hint="eastAsia"/>
          <w:b/>
        </w:rPr>
        <w:t>3</w:t>
      </w:r>
      <w:r>
        <w:rPr>
          <w:b/>
        </w:rPr>
        <w:t>.3.3 次/伴生风险识别</w:t>
      </w:r>
      <w:bookmarkEnd w:id="236"/>
      <w:bookmarkEnd w:id="237"/>
      <w:bookmarkEnd w:id="238"/>
    </w:p>
    <w:p>
      <w:pPr>
        <w:pStyle w:val="9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若发生盐酸泄漏事故，由于盐酸挥发产生氯化氢气体逸散到大气环境中造成二次污染。</w:t>
      </w:r>
    </w:p>
    <w:p>
      <w:pPr>
        <w:adjustRightInd w:val="0"/>
        <w:snapToGrid w:val="0"/>
        <w:spacing w:line="460" w:lineRule="exact"/>
        <w:outlineLvl w:val="1"/>
        <w:rPr>
          <w:b/>
          <w:color w:val="000000"/>
          <w:sz w:val="26"/>
          <w:szCs w:val="26"/>
        </w:rPr>
      </w:pPr>
      <w:bookmarkStart w:id="239" w:name="_Toc483083894"/>
      <w:bookmarkStart w:id="240" w:name="_Toc458674257"/>
      <w:bookmarkStart w:id="241" w:name="_Toc17733"/>
      <w:r>
        <w:rPr>
          <w:rFonts w:hint="eastAsia"/>
          <w:b/>
          <w:color w:val="000000"/>
          <w:sz w:val="26"/>
          <w:szCs w:val="26"/>
        </w:rPr>
        <w:t>3</w:t>
      </w:r>
      <w:r>
        <w:rPr>
          <w:b/>
          <w:color w:val="000000"/>
          <w:sz w:val="26"/>
          <w:szCs w:val="26"/>
        </w:rPr>
        <w:t>.4重大危险源识别</w:t>
      </w:r>
      <w:bookmarkEnd w:id="239"/>
      <w:bookmarkEnd w:id="240"/>
      <w:bookmarkEnd w:id="241"/>
    </w:p>
    <w:p>
      <w:pPr>
        <w:pStyle w:val="89"/>
        <w:ind w:firstLine="0" w:firstLineChars="0"/>
        <w:rPr>
          <w:b/>
        </w:rPr>
      </w:pPr>
      <w:bookmarkStart w:id="242" w:name="_Toc458674258"/>
      <w:r>
        <w:rPr>
          <w:rFonts w:hint="eastAsia"/>
          <w:b/>
        </w:rPr>
        <w:t>3</w:t>
      </w:r>
      <w:r>
        <w:rPr>
          <w:b/>
        </w:rPr>
        <w:t>.4.1 物质危险性识别</w:t>
      </w:r>
      <w:bookmarkEnd w:id="233"/>
      <w:bookmarkEnd w:id="242"/>
    </w:p>
    <w:p>
      <w:pPr>
        <w:pStyle w:val="9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（1）危险化学品</w:t>
      </w:r>
    </w:p>
    <w:p>
      <w:pPr>
        <w:ind w:firstLine="525" w:firstLineChars="250"/>
      </w:pPr>
      <w:r>
        <w:rPr>
          <w:rFonts w:hint="eastAsia" w:ascii="仿宋_GB2312"/>
          <w:szCs w:val="24"/>
        </w:rPr>
        <w:t>白涛潘家坝</w:t>
      </w:r>
      <w:r>
        <w:rPr>
          <w:rFonts w:hint="eastAsia" w:cs="仿宋_GB2312" w:asciiTheme="minorEastAsia" w:hAnsiTheme="minorEastAsia" w:eastAsiaTheme="minorEastAsia"/>
          <w:kern w:val="0"/>
          <w:sz w:val="24"/>
        </w:rPr>
        <w:t>污水处理厂</w:t>
      </w:r>
      <w:r>
        <w:rPr>
          <w:rFonts w:cs="仿宋_GB2312" w:asciiTheme="minorEastAsia" w:hAnsiTheme="minorEastAsia" w:eastAsiaTheme="minorEastAsia"/>
          <w:kern w:val="0"/>
          <w:sz w:val="24"/>
        </w:rPr>
        <w:t>污水处理工艺过程中使用到的化学试剂。根据《危险化学品名录》（2012年版）和《剧毒化学品目录》（2012年版），</w:t>
      </w:r>
      <w:r>
        <w:rPr>
          <w:rFonts w:hint="eastAsia" w:cs="仿宋_GB2312" w:asciiTheme="minorEastAsia" w:hAnsiTheme="minorEastAsia" w:eastAsiaTheme="minorEastAsia"/>
          <w:kern w:val="0"/>
          <w:sz w:val="24"/>
          <w:lang w:eastAsia="zh-CN"/>
        </w:rPr>
        <w:t>白涛潘家坝</w:t>
      </w:r>
      <w:r>
        <w:rPr>
          <w:rFonts w:hint="eastAsia" w:cs="仿宋_GB2312" w:asciiTheme="minorEastAsia" w:hAnsiTheme="minorEastAsia" w:eastAsiaTheme="minorEastAsia"/>
          <w:kern w:val="0"/>
          <w:sz w:val="24"/>
        </w:rPr>
        <w:t>污水处理厂</w:t>
      </w:r>
      <w:r>
        <w:rPr>
          <w:rFonts w:cs="仿宋_GB2312" w:asciiTheme="minorEastAsia" w:hAnsiTheme="minorEastAsia" w:eastAsiaTheme="minorEastAsia"/>
          <w:kern w:val="0"/>
          <w:sz w:val="24"/>
        </w:rPr>
        <w:t>在污水处理过程中涉及的主要危险化学品为盐酸、氯酸钠、二氧化氯、废机油等。</w:t>
      </w:r>
    </w:p>
    <w:p>
      <w:pPr>
        <w:spacing w:line="460" w:lineRule="exact"/>
        <w:jc w:val="center"/>
        <w:rPr>
          <w:sz w:val="24"/>
          <w:szCs w:val="24"/>
        </w:rPr>
      </w:pPr>
      <w:r>
        <w:rPr>
          <w:color w:val="000000"/>
          <w:sz w:val="24"/>
          <w:szCs w:val="24"/>
        </w:rPr>
        <w:t>表3.4-1</w:t>
      </w:r>
      <w:r>
        <w:rPr>
          <w:rFonts w:hint="eastAsia"/>
          <w:color w:val="000000"/>
          <w:sz w:val="24"/>
          <w:szCs w:val="24"/>
        </w:rPr>
        <w:t xml:space="preserve">  </w:t>
      </w:r>
      <w:r>
        <w:rPr>
          <w:rFonts w:hint="eastAsia"/>
          <w:sz w:val="24"/>
          <w:szCs w:val="24"/>
        </w:rPr>
        <w:t>企业</w:t>
      </w:r>
      <w:r>
        <w:rPr>
          <w:sz w:val="24"/>
          <w:szCs w:val="24"/>
        </w:rPr>
        <w:t>生产原料、产品以及“三废”中涉及的环境风险物质</w:t>
      </w:r>
      <w:r>
        <w:rPr>
          <w:rFonts w:hint="eastAsia"/>
          <w:sz w:val="24"/>
          <w:szCs w:val="24"/>
        </w:rPr>
        <w:t>储量</w:t>
      </w:r>
      <w:r>
        <w:rPr>
          <w:sz w:val="24"/>
          <w:szCs w:val="24"/>
        </w:rPr>
        <w:t>统计</w:t>
      </w:r>
      <w:r>
        <w:rPr>
          <w:rFonts w:hint="eastAsia"/>
          <w:sz w:val="24"/>
          <w:szCs w:val="24"/>
        </w:rPr>
        <w:t>表</w:t>
      </w:r>
    </w:p>
    <w:tbl>
      <w:tblPr>
        <w:tblStyle w:val="33"/>
        <w:tblW w:w="9033" w:type="dxa"/>
        <w:jc w:val="center"/>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325"/>
        <w:gridCol w:w="1418"/>
        <w:gridCol w:w="1276"/>
        <w:gridCol w:w="1701"/>
        <w:gridCol w:w="163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blHeader/>
          <w:jc w:val="center"/>
        </w:trPr>
        <w:tc>
          <w:tcPr>
            <w:tcW w:w="679" w:type="dxa"/>
            <w:vAlign w:val="center"/>
          </w:tcPr>
          <w:p>
            <w:pPr>
              <w:pStyle w:val="117"/>
              <w:spacing w:line="400" w:lineRule="exact"/>
              <w:rPr>
                <w:rFonts w:ascii="仿宋_GB2312"/>
                <w:kern w:val="2"/>
                <w:sz w:val="21"/>
                <w:szCs w:val="21"/>
              </w:rPr>
            </w:pPr>
            <w:r>
              <w:rPr>
                <w:rFonts w:hint="eastAsia" w:ascii="仿宋_GB2312"/>
                <w:kern w:val="2"/>
                <w:sz w:val="21"/>
                <w:szCs w:val="21"/>
              </w:rPr>
              <w:t>序号</w:t>
            </w:r>
          </w:p>
        </w:tc>
        <w:tc>
          <w:tcPr>
            <w:tcW w:w="2325" w:type="dxa"/>
            <w:vAlign w:val="center"/>
          </w:tcPr>
          <w:p>
            <w:pPr>
              <w:pStyle w:val="117"/>
              <w:spacing w:line="400" w:lineRule="exact"/>
              <w:rPr>
                <w:rFonts w:ascii="仿宋_GB2312"/>
                <w:kern w:val="2"/>
                <w:sz w:val="21"/>
                <w:szCs w:val="21"/>
              </w:rPr>
            </w:pPr>
            <w:r>
              <w:rPr>
                <w:rFonts w:hint="eastAsia" w:ascii="仿宋_GB2312"/>
                <w:kern w:val="2"/>
                <w:sz w:val="21"/>
                <w:szCs w:val="21"/>
              </w:rPr>
              <w:t>品种名称</w:t>
            </w:r>
          </w:p>
        </w:tc>
        <w:tc>
          <w:tcPr>
            <w:tcW w:w="1418" w:type="dxa"/>
            <w:vAlign w:val="center"/>
          </w:tcPr>
          <w:p>
            <w:pPr>
              <w:pStyle w:val="117"/>
              <w:spacing w:line="400" w:lineRule="exact"/>
              <w:rPr>
                <w:rFonts w:ascii="仿宋_GB2312"/>
                <w:kern w:val="2"/>
                <w:sz w:val="21"/>
                <w:szCs w:val="21"/>
              </w:rPr>
            </w:pPr>
            <w:r>
              <w:rPr>
                <w:rFonts w:hint="eastAsia" w:ascii="仿宋_GB2312"/>
                <w:kern w:val="2"/>
                <w:sz w:val="21"/>
                <w:szCs w:val="21"/>
              </w:rPr>
              <w:t>最大储量（t）</w:t>
            </w:r>
          </w:p>
        </w:tc>
        <w:tc>
          <w:tcPr>
            <w:tcW w:w="1276" w:type="dxa"/>
            <w:vAlign w:val="center"/>
          </w:tcPr>
          <w:p>
            <w:pPr>
              <w:pStyle w:val="117"/>
              <w:spacing w:line="400" w:lineRule="exact"/>
              <w:rPr>
                <w:rFonts w:ascii="仿宋_GB2312"/>
                <w:kern w:val="2"/>
                <w:sz w:val="21"/>
                <w:szCs w:val="21"/>
              </w:rPr>
            </w:pPr>
            <w:r>
              <w:rPr>
                <w:rFonts w:hint="eastAsia" w:ascii="仿宋_GB2312"/>
                <w:kern w:val="2"/>
                <w:sz w:val="21"/>
                <w:szCs w:val="21"/>
              </w:rPr>
              <w:t>储存方式</w:t>
            </w:r>
          </w:p>
        </w:tc>
        <w:tc>
          <w:tcPr>
            <w:tcW w:w="1701" w:type="dxa"/>
            <w:vAlign w:val="center"/>
          </w:tcPr>
          <w:p>
            <w:pPr>
              <w:pStyle w:val="117"/>
              <w:spacing w:line="400" w:lineRule="exact"/>
              <w:rPr>
                <w:rFonts w:ascii="仿宋_GB2312"/>
                <w:kern w:val="2"/>
                <w:sz w:val="21"/>
                <w:szCs w:val="21"/>
              </w:rPr>
            </w:pPr>
            <w:r>
              <w:rPr>
                <w:rFonts w:hint="eastAsia" w:ascii="仿宋_GB2312"/>
                <w:kern w:val="2"/>
                <w:sz w:val="21"/>
                <w:szCs w:val="21"/>
              </w:rPr>
              <w:t>数量（t/a）</w:t>
            </w:r>
          </w:p>
        </w:tc>
        <w:tc>
          <w:tcPr>
            <w:tcW w:w="1634" w:type="dxa"/>
            <w:vAlign w:val="center"/>
          </w:tcPr>
          <w:p>
            <w:pPr>
              <w:pStyle w:val="117"/>
              <w:spacing w:line="400" w:lineRule="exact"/>
              <w:rPr>
                <w:rFonts w:ascii="仿宋_GB2312"/>
                <w:kern w:val="2"/>
                <w:sz w:val="21"/>
                <w:szCs w:val="21"/>
              </w:rPr>
            </w:pPr>
            <w:r>
              <w:rPr>
                <w:rFonts w:hint="eastAsia" w:ascii="仿宋_GB2312"/>
                <w:kern w:val="2"/>
                <w:sz w:val="21"/>
                <w:szCs w:val="21"/>
              </w:rPr>
              <w:t>备注</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9033" w:type="dxa"/>
            <w:gridSpan w:val="6"/>
            <w:vAlign w:val="center"/>
          </w:tcPr>
          <w:p>
            <w:pPr>
              <w:pStyle w:val="117"/>
              <w:spacing w:line="400" w:lineRule="exact"/>
              <w:rPr>
                <w:rFonts w:ascii="仿宋_GB2312"/>
                <w:kern w:val="2"/>
                <w:sz w:val="21"/>
                <w:szCs w:val="21"/>
              </w:rPr>
            </w:pPr>
            <w:r>
              <w:rPr>
                <w:rFonts w:hint="eastAsia" w:ascii="仿宋_GB2312"/>
                <w:kern w:val="2"/>
                <w:sz w:val="21"/>
                <w:szCs w:val="21"/>
              </w:rPr>
              <w:t>原辅料</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1</w:t>
            </w:r>
          </w:p>
        </w:tc>
        <w:tc>
          <w:tcPr>
            <w:tcW w:w="2325" w:type="dxa"/>
            <w:vAlign w:val="center"/>
          </w:tcPr>
          <w:p>
            <w:pPr>
              <w:autoSpaceDE w:val="0"/>
              <w:autoSpaceDN w:val="0"/>
              <w:spacing w:line="460" w:lineRule="exact"/>
              <w:jc w:val="center"/>
              <w:rPr>
                <w:rFonts w:ascii="仿宋_GB2312" w:hAnsi="宋体"/>
                <w:szCs w:val="21"/>
              </w:rPr>
            </w:pPr>
            <w:r>
              <w:rPr>
                <w:rFonts w:hint="eastAsia" w:ascii="仿宋_GB2312" w:hAnsi="宋体"/>
                <w:szCs w:val="21"/>
              </w:rPr>
              <w:t>液碱</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7.5</w:t>
            </w:r>
          </w:p>
        </w:tc>
        <w:tc>
          <w:tcPr>
            <w:tcW w:w="1276" w:type="dxa"/>
            <w:vAlign w:val="center"/>
          </w:tcPr>
          <w:p>
            <w:pPr>
              <w:pStyle w:val="117"/>
              <w:rPr>
                <w:rFonts w:ascii="仿宋_GB2312"/>
                <w:kern w:val="2"/>
                <w:sz w:val="21"/>
                <w:szCs w:val="21"/>
              </w:rPr>
            </w:pPr>
            <w:r>
              <w:rPr>
                <w:rFonts w:hint="eastAsia" w:ascii="仿宋_GB2312"/>
                <w:kern w:val="2"/>
                <w:sz w:val="21"/>
                <w:szCs w:val="21"/>
              </w:rPr>
              <w:t>储罐</w:t>
            </w:r>
          </w:p>
        </w:tc>
        <w:tc>
          <w:tcPr>
            <w:tcW w:w="1701" w:type="dxa"/>
            <w:vAlign w:val="center"/>
          </w:tcPr>
          <w:p>
            <w:pPr>
              <w:pStyle w:val="117"/>
              <w:rPr>
                <w:rFonts w:ascii="仿宋_GB2312"/>
                <w:kern w:val="2"/>
                <w:sz w:val="21"/>
                <w:szCs w:val="21"/>
              </w:rPr>
            </w:pPr>
            <w:r>
              <w:rPr>
                <w:rFonts w:hint="eastAsia" w:ascii="仿宋_GB2312" w:hAnsi="宋体"/>
                <w:kern w:val="2"/>
                <w:sz w:val="21"/>
                <w:szCs w:val="21"/>
              </w:rPr>
              <w:t>1</w:t>
            </w:r>
          </w:p>
        </w:tc>
        <w:tc>
          <w:tcPr>
            <w:tcW w:w="1634" w:type="dxa"/>
            <w:vAlign w:val="center"/>
          </w:tcPr>
          <w:p>
            <w:pPr>
              <w:pStyle w:val="117"/>
              <w:rPr>
                <w:rFonts w:ascii="仿宋_GB2312"/>
                <w:kern w:val="2"/>
                <w:sz w:val="21"/>
                <w:szCs w:val="21"/>
              </w:rPr>
            </w:pPr>
            <w:r>
              <w:rPr>
                <w:rFonts w:hint="eastAsia" w:ascii="仿宋_GB2312"/>
                <w:kern w:val="2"/>
                <w:sz w:val="21"/>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2</w:t>
            </w:r>
          </w:p>
        </w:tc>
        <w:tc>
          <w:tcPr>
            <w:tcW w:w="2325" w:type="dxa"/>
            <w:vAlign w:val="center"/>
          </w:tcPr>
          <w:p>
            <w:pPr>
              <w:autoSpaceDE w:val="0"/>
              <w:autoSpaceDN w:val="0"/>
              <w:spacing w:line="460" w:lineRule="exact"/>
              <w:jc w:val="center"/>
              <w:rPr>
                <w:rFonts w:ascii="仿宋_GB2312" w:hAnsi="宋体"/>
                <w:szCs w:val="21"/>
              </w:rPr>
            </w:pPr>
            <w:r>
              <w:rPr>
                <w:rFonts w:hint="eastAsia" w:ascii="仿宋_GB2312" w:hAnsi="宋体"/>
                <w:szCs w:val="21"/>
              </w:rPr>
              <w:t>氯酸钠</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3</w:t>
            </w:r>
          </w:p>
        </w:tc>
        <w:tc>
          <w:tcPr>
            <w:tcW w:w="1276" w:type="dxa"/>
            <w:vAlign w:val="center"/>
          </w:tcPr>
          <w:p>
            <w:pPr>
              <w:pStyle w:val="117"/>
              <w:rPr>
                <w:rFonts w:ascii="仿宋_GB2312"/>
                <w:kern w:val="2"/>
                <w:sz w:val="21"/>
                <w:szCs w:val="21"/>
              </w:rPr>
            </w:pPr>
            <w:r>
              <w:rPr>
                <w:rFonts w:hint="eastAsia" w:ascii="仿宋_GB2312"/>
                <w:kern w:val="2"/>
                <w:sz w:val="21"/>
                <w:szCs w:val="21"/>
              </w:rPr>
              <w:t>储罐</w:t>
            </w:r>
          </w:p>
        </w:tc>
        <w:tc>
          <w:tcPr>
            <w:tcW w:w="1701" w:type="dxa"/>
            <w:vAlign w:val="center"/>
          </w:tcPr>
          <w:p>
            <w:pPr>
              <w:pStyle w:val="117"/>
              <w:rPr>
                <w:rFonts w:ascii="仿宋_GB2312" w:hAnsi="宋体"/>
                <w:kern w:val="2"/>
                <w:sz w:val="21"/>
                <w:szCs w:val="21"/>
              </w:rPr>
            </w:pPr>
            <w:r>
              <w:rPr>
                <w:rFonts w:hint="eastAsia" w:ascii="仿宋_GB2312" w:hAnsi="宋体"/>
                <w:kern w:val="2"/>
                <w:sz w:val="21"/>
                <w:szCs w:val="21"/>
              </w:rPr>
              <w:t>4</w:t>
            </w:r>
          </w:p>
        </w:tc>
        <w:tc>
          <w:tcPr>
            <w:tcW w:w="1634" w:type="dxa"/>
          </w:tcPr>
          <w:p>
            <w:pPr>
              <w:jc w:val="center"/>
              <w:rPr>
                <w:rFonts w:ascii="仿宋_GB2312"/>
                <w:szCs w:val="21"/>
              </w:rPr>
            </w:pPr>
            <w:r>
              <w:rPr>
                <w:rFonts w:hint="eastAsia" w:ascii="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3</w:t>
            </w:r>
          </w:p>
        </w:tc>
        <w:tc>
          <w:tcPr>
            <w:tcW w:w="2325" w:type="dxa"/>
            <w:vAlign w:val="center"/>
          </w:tcPr>
          <w:p>
            <w:pPr>
              <w:autoSpaceDE w:val="0"/>
              <w:autoSpaceDN w:val="0"/>
              <w:spacing w:line="460" w:lineRule="exact"/>
              <w:jc w:val="center"/>
              <w:rPr>
                <w:rFonts w:ascii="仿宋_GB2312" w:hAnsi="宋体"/>
                <w:szCs w:val="21"/>
              </w:rPr>
            </w:pPr>
            <w:r>
              <w:rPr>
                <w:rFonts w:hint="eastAsia" w:ascii="仿宋_GB2312"/>
                <w:szCs w:val="21"/>
              </w:rPr>
              <w:t>盐酸</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7.5</w:t>
            </w:r>
          </w:p>
        </w:tc>
        <w:tc>
          <w:tcPr>
            <w:tcW w:w="1276" w:type="dxa"/>
            <w:vAlign w:val="center"/>
          </w:tcPr>
          <w:p>
            <w:pPr>
              <w:pStyle w:val="117"/>
              <w:rPr>
                <w:rFonts w:ascii="仿宋_GB2312"/>
                <w:kern w:val="2"/>
                <w:sz w:val="21"/>
                <w:szCs w:val="21"/>
              </w:rPr>
            </w:pPr>
            <w:r>
              <w:rPr>
                <w:rFonts w:hint="eastAsia" w:ascii="仿宋_GB2312"/>
                <w:kern w:val="2"/>
                <w:sz w:val="21"/>
                <w:szCs w:val="21"/>
              </w:rPr>
              <w:t>储罐</w:t>
            </w:r>
          </w:p>
        </w:tc>
        <w:tc>
          <w:tcPr>
            <w:tcW w:w="1701" w:type="dxa"/>
            <w:vAlign w:val="center"/>
          </w:tcPr>
          <w:p>
            <w:pPr>
              <w:pStyle w:val="117"/>
              <w:rPr>
                <w:rFonts w:ascii="仿宋_GB2312" w:hAnsi="宋体"/>
                <w:kern w:val="2"/>
                <w:sz w:val="21"/>
                <w:szCs w:val="21"/>
              </w:rPr>
            </w:pPr>
            <w:r>
              <w:rPr>
                <w:rFonts w:hint="eastAsia" w:ascii="仿宋_GB2312" w:hAnsi="宋体"/>
                <w:kern w:val="2"/>
                <w:sz w:val="21"/>
                <w:szCs w:val="21"/>
              </w:rPr>
              <w:t>4.5</w:t>
            </w:r>
          </w:p>
        </w:tc>
        <w:tc>
          <w:tcPr>
            <w:tcW w:w="1634" w:type="dxa"/>
          </w:tcPr>
          <w:p>
            <w:pPr>
              <w:jc w:val="center"/>
              <w:rPr>
                <w:rFonts w:ascii="仿宋_GB2312"/>
                <w:szCs w:val="21"/>
              </w:rPr>
            </w:pPr>
            <w:r>
              <w:rPr>
                <w:rFonts w:hint="eastAsia" w:ascii="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388"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4</w:t>
            </w:r>
          </w:p>
        </w:tc>
        <w:tc>
          <w:tcPr>
            <w:tcW w:w="2325" w:type="dxa"/>
            <w:vAlign w:val="center"/>
          </w:tcPr>
          <w:p>
            <w:pPr>
              <w:autoSpaceDE w:val="0"/>
              <w:autoSpaceDN w:val="0"/>
              <w:spacing w:line="460" w:lineRule="exact"/>
              <w:jc w:val="center"/>
              <w:rPr>
                <w:rFonts w:ascii="仿宋_GB2312"/>
                <w:szCs w:val="21"/>
              </w:rPr>
            </w:pPr>
            <w:r>
              <w:rPr>
                <w:rFonts w:hint="eastAsia" w:ascii="仿宋_GB2312"/>
                <w:szCs w:val="21"/>
              </w:rPr>
              <w:t>氢氧化钠</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3</w:t>
            </w:r>
          </w:p>
        </w:tc>
        <w:tc>
          <w:tcPr>
            <w:tcW w:w="1276" w:type="dxa"/>
            <w:vAlign w:val="center"/>
          </w:tcPr>
          <w:p>
            <w:pPr>
              <w:pStyle w:val="117"/>
              <w:rPr>
                <w:rFonts w:ascii="仿宋_GB2312"/>
                <w:kern w:val="2"/>
                <w:sz w:val="21"/>
                <w:szCs w:val="21"/>
              </w:rPr>
            </w:pPr>
            <w:r>
              <w:rPr>
                <w:rFonts w:hint="eastAsia" w:ascii="仿宋_GB2312"/>
                <w:kern w:val="2"/>
                <w:sz w:val="21"/>
                <w:szCs w:val="21"/>
              </w:rPr>
              <w:t>袋装</w:t>
            </w:r>
          </w:p>
        </w:tc>
        <w:tc>
          <w:tcPr>
            <w:tcW w:w="1701" w:type="dxa"/>
            <w:vAlign w:val="center"/>
          </w:tcPr>
          <w:p>
            <w:pPr>
              <w:pStyle w:val="117"/>
              <w:rPr>
                <w:rFonts w:ascii="仿宋_GB2312" w:hAnsi="宋体"/>
                <w:kern w:val="2"/>
                <w:sz w:val="21"/>
                <w:szCs w:val="21"/>
              </w:rPr>
            </w:pPr>
            <w:r>
              <w:rPr>
                <w:rFonts w:hint="eastAsia" w:ascii="仿宋_GB2312" w:hAnsi="宋体"/>
                <w:kern w:val="2"/>
                <w:sz w:val="21"/>
                <w:szCs w:val="21"/>
              </w:rPr>
              <w:t>120</w:t>
            </w:r>
          </w:p>
        </w:tc>
        <w:tc>
          <w:tcPr>
            <w:tcW w:w="1634" w:type="dxa"/>
          </w:tcPr>
          <w:p>
            <w:pPr>
              <w:jc w:val="center"/>
              <w:rPr>
                <w:rFonts w:ascii="仿宋_GB2312"/>
                <w:szCs w:val="21"/>
              </w:rPr>
            </w:pPr>
            <w:r>
              <w:rPr>
                <w:rFonts w:hint="eastAsia" w:ascii="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5</w:t>
            </w:r>
          </w:p>
        </w:tc>
        <w:tc>
          <w:tcPr>
            <w:tcW w:w="2325" w:type="dxa"/>
            <w:vAlign w:val="center"/>
          </w:tcPr>
          <w:p>
            <w:pPr>
              <w:autoSpaceDE w:val="0"/>
              <w:autoSpaceDN w:val="0"/>
              <w:spacing w:line="460" w:lineRule="exact"/>
              <w:jc w:val="center"/>
              <w:rPr>
                <w:rFonts w:ascii="仿宋_GB2312" w:hAnsi="宋体"/>
                <w:szCs w:val="21"/>
              </w:rPr>
            </w:pPr>
            <w:r>
              <w:rPr>
                <w:rFonts w:hint="eastAsia" w:ascii="仿宋_GB2312" w:hAnsi="宋体"/>
                <w:szCs w:val="21"/>
              </w:rPr>
              <w:t>聚丙烯酰胺</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2</w:t>
            </w:r>
          </w:p>
        </w:tc>
        <w:tc>
          <w:tcPr>
            <w:tcW w:w="1276" w:type="dxa"/>
          </w:tcPr>
          <w:p>
            <w:pPr>
              <w:jc w:val="center"/>
              <w:rPr>
                <w:rFonts w:ascii="仿宋_GB2312"/>
                <w:szCs w:val="21"/>
              </w:rPr>
            </w:pPr>
            <w:r>
              <w:rPr>
                <w:rFonts w:hint="eastAsia" w:ascii="仿宋_GB2312"/>
                <w:szCs w:val="21"/>
              </w:rPr>
              <w:t>袋装</w:t>
            </w:r>
          </w:p>
        </w:tc>
        <w:tc>
          <w:tcPr>
            <w:tcW w:w="1701" w:type="dxa"/>
            <w:vAlign w:val="center"/>
          </w:tcPr>
          <w:p>
            <w:pPr>
              <w:pStyle w:val="117"/>
              <w:rPr>
                <w:rFonts w:ascii="仿宋_GB2312"/>
                <w:bCs/>
                <w:snapToGrid w:val="0"/>
                <w:kern w:val="2"/>
                <w:sz w:val="21"/>
                <w:szCs w:val="21"/>
              </w:rPr>
            </w:pPr>
            <w:r>
              <w:rPr>
                <w:rFonts w:hint="eastAsia" w:ascii="仿宋_GB2312" w:hAnsi="宋体"/>
                <w:kern w:val="2"/>
                <w:sz w:val="21"/>
                <w:szCs w:val="21"/>
              </w:rPr>
              <w:t>73</w:t>
            </w:r>
          </w:p>
        </w:tc>
        <w:tc>
          <w:tcPr>
            <w:tcW w:w="1634" w:type="dxa"/>
          </w:tcPr>
          <w:p>
            <w:pPr>
              <w:rPr>
                <w:rFonts w:ascii="仿宋_GB2312"/>
                <w:szCs w:val="21"/>
              </w:rPr>
            </w:pPr>
            <w:r>
              <w:rPr>
                <w:rFonts w:hint="eastAsia" w:ascii="仿宋_GB231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6</w:t>
            </w:r>
          </w:p>
        </w:tc>
        <w:tc>
          <w:tcPr>
            <w:tcW w:w="2325" w:type="dxa"/>
            <w:vAlign w:val="center"/>
          </w:tcPr>
          <w:p>
            <w:pPr>
              <w:autoSpaceDE w:val="0"/>
              <w:autoSpaceDN w:val="0"/>
              <w:spacing w:line="460" w:lineRule="exact"/>
              <w:jc w:val="center"/>
              <w:rPr>
                <w:rFonts w:ascii="仿宋_GB2312" w:hAnsi="宋体"/>
                <w:szCs w:val="21"/>
              </w:rPr>
            </w:pPr>
            <w:r>
              <w:rPr>
                <w:rFonts w:hint="eastAsia" w:ascii="仿宋_GB2312" w:hAnsi="宋体"/>
                <w:szCs w:val="21"/>
              </w:rPr>
              <w:t>聚合氯化铝</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20</w:t>
            </w:r>
          </w:p>
        </w:tc>
        <w:tc>
          <w:tcPr>
            <w:tcW w:w="1276" w:type="dxa"/>
          </w:tcPr>
          <w:p>
            <w:pPr>
              <w:tabs>
                <w:tab w:val="center" w:pos="529"/>
              </w:tabs>
              <w:rPr>
                <w:rFonts w:ascii="仿宋_GB2312"/>
                <w:szCs w:val="21"/>
              </w:rPr>
            </w:pPr>
            <w:r>
              <w:rPr>
                <w:rFonts w:hint="eastAsia" w:ascii="仿宋_GB2312"/>
                <w:szCs w:val="21"/>
              </w:rPr>
              <w:tab/>
            </w:r>
            <w:r>
              <w:rPr>
                <w:rFonts w:hint="eastAsia" w:ascii="仿宋_GB2312"/>
                <w:szCs w:val="21"/>
              </w:rPr>
              <w:t>袋装</w:t>
            </w:r>
          </w:p>
        </w:tc>
        <w:tc>
          <w:tcPr>
            <w:tcW w:w="1701" w:type="dxa"/>
            <w:vAlign w:val="center"/>
          </w:tcPr>
          <w:p>
            <w:pPr>
              <w:keepNext/>
              <w:spacing w:line="240" w:lineRule="atLeast"/>
              <w:ind w:firstLine="420"/>
              <w:rPr>
                <w:rFonts w:ascii="仿宋_GB2312"/>
                <w:bCs/>
                <w:snapToGrid w:val="0"/>
                <w:szCs w:val="21"/>
              </w:rPr>
            </w:pPr>
            <w:r>
              <w:rPr>
                <w:rFonts w:hint="eastAsia" w:ascii="仿宋_GB2312" w:hAnsi="宋体"/>
                <w:szCs w:val="21"/>
              </w:rPr>
              <w:t>109.5</w:t>
            </w:r>
          </w:p>
        </w:tc>
        <w:tc>
          <w:tcPr>
            <w:tcW w:w="1634" w:type="dxa"/>
          </w:tcPr>
          <w:p>
            <w:pPr>
              <w:rPr>
                <w:rFonts w:ascii="仿宋_GB2312"/>
                <w:szCs w:val="21"/>
              </w:rPr>
            </w:pPr>
            <w:r>
              <w:rPr>
                <w:rFonts w:hint="eastAsia" w:ascii="仿宋_GB231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jc w:val="center"/>
        </w:trPr>
        <w:tc>
          <w:tcPr>
            <w:tcW w:w="9033" w:type="dxa"/>
            <w:gridSpan w:val="6"/>
            <w:vAlign w:val="center"/>
          </w:tcPr>
          <w:p>
            <w:pPr>
              <w:pStyle w:val="117"/>
              <w:rPr>
                <w:rFonts w:ascii="仿宋_GB2312"/>
                <w:kern w:val="2"/>
                <w:sz w:val="21"/>
                <w:szCs w:val="21"/>
              </w:rPr>
            </w:pPr>
            <w:r>
              <w:rPr>
                <w:rFonts w:hint="eastAsia" w:ascii="仿宋_GB2312"/>
                <w:kern w:val="2"/>
                <w:sz w:val="21"/>
                <w:szCs w:val="21"/>
              </w:rPr>
              <w:t>中间产物</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1</w:t>
            </w:r>
          </w:p>
        </w:tc>
        <w:tc>
          <w:tcPr>
            <w:tcW w:w="2325" w:type="dxa"/>
            <w:vAlign w:val="center"/>
          </w:tcPr>
          <w:p>
            <w:pPr>
              <w:pStyle w:val="117"/>
              <w:rPr>
                <w:rFonts w:ascii="仿宋_GB2312"/>
                <w:kern w:val="2"/>
                <w:sz w:val="21"/>
                <w:szCs w:val="21"/>
              </w:rPr>
            </w:pPr>
            <w:r>
              <w:rPr>
                <w:rFonts w:hint="eastAsia" w:ascii="仿宋_GB2312" w:hAnsi="宋体"/>
                <w:sz w:val="21"/>
                <w:szCs w:val="21"/>
              </w:rPr>
              <w:t>二氧化氯</w:t>
            </w:r>
          </w:p>
        </w:tc>
        <w:tc>
          <w:tcPr>
            <w:tcW w:w="1418" w:type="dxa"/>
            <w:vAlign w:val="center"/>
          </w:tcPr>
          <w:p>
            <w:pPr>
              <w:pStyle w:val="117"/>
              <w:rPr>
                <w:rFonts w:ascii="仿宋_GB2312"/>
                <w:kern w:val="2"/>
                <w:sz w:val="21"/>
                <w:szCs w:val="21"/>
              </w:rPr>
            </w:pPr>
            <w:r>
              <w:rPr>
                <w:rFonts w:hint="eastAsia" w:ascii="仿宋_GB2312"/>
                <w:kern w:val="2"/>
                <w:sz w:val="21"/>
                <w:szCs w:val="21"/>
              </w:rPr>
              <w:t>/</w:t>
            </w:r>
          </w:p>
        </w:tc>
        <w:tc>
          <w:tcPr>
            <w:tcW w:w="1276" w:type="dxa"/>
            <w:vAlign w:val="center"/>
          </w:tcPr>
          <w:p>
            <w:pPr>
              <w:pStyle w:val="117"/>
              <w:rPr>
                <w:rFonts w:ascii="仿宋_GB2312"/>
                <w:kern w:val="2"/>
                <w:sz w:val="21"/>
                <w:szCs w:val="21"/>
              </w:rPr>
            </w:pPr>
            <w:r>
              <w:rPr>
                <w:rFonts w:hint="eastAsia" w:ascii="仿宋_GB2312"/>
                <w:kern w:val="2"/>
                <w:sz w:val="21"/>
                <w:szCs w:val="21"/>
              </w:rPr>
              <w:t>/</w:t>
            </w:r>
          </w:p>
        </w:tc>
        <w:tc>
          <w:tcPr>
            <w:tcW w:w="1701" w:type="dxa"/>
            <w:vAlign w:val="center"/>
          </w:tcPr>
          <w:p>
            <w:pPr>
              <w:pStyle w:val="117"/>
              <w:rPr>
                <w:rFonts w:ascii="仿宋_GB2312"/>
                <w:kern w:val="2"/>
                <w:sz w:val="21"/>
                <w:szCs w:val="21"/>
              </w:rPr>
            </w:pPr>
            <w:r>
              <w:rPr>
                <w:rFonts w:hint="eastAsia" w:ascii="仿宋_GB2312" w:hAnsi="宋体"/>
                <w:sz w:val="21"/>
                <w:szCs w:val="21"/>
              </w:rPr>
              <w:t>/</w:t>
            </w:r>
          </w:p>
        </w:tc>
        <w:tc>
          <w:tcPr>
            <w:tcW w:w="1634" w:type="dxa"/>
            <w:vAlign w:val="center"/>
          </w:tcPr>
          <w:p>
            <w:pPr>
              <w:pStyle w:val="117"/>
              <w:rPr>
                <w:rFonts w:ascii="仿宋_GB2312"/>
                <w:kern w:val="2"/>
                <w:sz w:val="21"/>
                <w:szCs w:val="21"/>
              </w:rPr>
            </w:pPr>
            <w:r>
              <w:rPr>
                <w:rFonts w:hint="eastAsia" w:ascii="仿宋_GB2312"/>
                <w:sz w:val="21"/>
                <w:szCs w:val="21"/>
              </w:rPr>
              <w:t>现用现制</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9033" w:type="dxa"/>
            <w:gridSpan w:val="6"/>
            <w:vAlign w:val="center"/>
          </w:tcPr>
          <w:p>
            <w:pPr>
              <w:pStyle w:val="117"/>
              <w:rPr>
                <w:rFonts w:ascii="仿宋_GB2312"/>
                <w:kern w:val="2"/>
                <w:sz w:val="21"/>
                <w:szCs w:val="21"/>
              </w:rPr>
            </w:pPr>
            <w:r>
              <w:rPr>
                <w:rFonts w:hint="eastAsia" w:ascii="仿宋_GB2312"/>
                <w:kern w:val="2"/>
                <w:sz w:val="21"/>
                <w:szCs w:val="21"/>
              </w:rPr>
              <w:t>产品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571"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1</w:t>
            </w:r>
          </w:p>
        </w:tc>
        <w:tc>
          <w:tcPr>
            <w:tcW w:w="2325" w:type="dxa"/>
          </w:tcPr>
          <w:p>
            <w:pPr>
              <w:jc w:val="center"/>
              <w:rPr>
                <w:rFonts w:ascii="仿宋_GB2312"/>
                <w:szCs w:val="21"/>
              </w:rPr>
            </w:pPr>
            <w:r>
              <w:rPr>
                <w:rFonts w:hint="eastAsia" w:ascii="仿宋_GB2312" w:cs="仿宋_GB2312"/>
                <w:szCs w:val="21"/>
              </w:rPr>
              <w:t>一般污泥</w:t>
            </w:r>
          </w:p>
        </w:tc>
        <w:tc>
          <w:tcPr>
            <w:tcW w:w="1418" w:type="dxa"/>
            <w:vAlign w:val="center"/>
          </w:tcPr>
          <w:p>
            <w:pPr>
              <w:pStyle w:val="117"/>
              <w:rPr>
                <w:rFonts w:ascii="仿宋_GB2312"/>
                <w:kern w:val="2"/>
                <w:sz w:val="21"/>
                <w:szCs w:val="21"/>
              </w:rPr>
            </w:pPr>
            <w:r>
              <w:rPr>
                <w:rFonts w:hint="eastAsia" w:ascii="仿宋_GB2312"/>
                <w:kern w:val="2"/>
                <w:sz w:val="21"/>
                <w:szCs w:val="21"/>
              </w:rPr>
              <w:t>30</w:t>
            </w:r>
          </w:p>
        </w:tc>
        <w:tc>
          <w:tcPr>
            <w:tcW w:w="1276" w:type="dxa"/>
            <w:vAlign w:val="center"/>
          </w:tcPr>
          <w:p>
            <w:pPr>
              <w:pStyle w:val="117"/>
              <w:rPr>
                <w:rFonts w:ascii="仿宋_GB2312"/>
                <w:kern w:val="2"/>
                <w:sz w:val="21"/>
                <w:szCs w:val="21"/>
              </w:rPr>
            </w:pPr>
            <w:r>
              <w:rPr>
                <w:rFonts w:hint="eastAsia" w:ascii="仿宋_GB2312"/>
                <w:kern w:val="2"/>
                <w:sz w:val="21"/>
                <w:szCs w:val="21"/>
              </w:rPr>
              <w:t>污泥暂存区</w:t>
            </w:r>
          </w:p>
        </w:tc>
        <w:tc>
          <w:tcPr>
            <w:tcW w:w="1701" w:type="dxa"/>
            <w:vAlign w:val="center"/>
          </w:tcPr>
          <w:p>
            <w:pPr>
              <w:pStyle w:val="117"/>
              <w:rPr>
                <w:rFonts w:ascii="仿宋_GB2312"/>
                <w:kern w:val="2"/>
                <w:sz w:val="21"/>
                <w:szCs w:val="21"/>
              </w:rPr>
            </w:pPr>
            <w:r>
              <w:rPr>
                <w:rFonts w:hint="eastAsia" w:ascii="仿宋_GB2312"/>
                <w:kern w:val="2"/>
                <w:sz w:val="21"/>
                <w:szCs w:val="21"/>
              </w:rPr>
              <w:t>3500</w:t>
            </w:r>
          </w:p>
        </w:tc>
        <w:tc>
          <w:tcPr>
            <w:tcW w:w="1634" w:type="dxa"/>
            <w:vAlign w:val="center"/>
          </w:tcPr>
          <w:p>
            <w:pPr>
              <w:pStyle w:val="117"/>
              <w:rPr>
                <w:rFonts w:ascii="仿宋_GB2312"/>
                <w:kern w:val="2"/>
                <w:sz w:val="21"/>
                <w:szCs w:val="21"/>
              </w:rPr>
            </w:pPr>
            <w:r>
              <w:rPr>
                <w:rFonts w:hint="eastAsia" w:ascii="仿宋_GB2312"/>
                <w:kern w:val="2"/>
                <w:sz w:val="21"/>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jc w:val="center"/>
        </w:trPr>
        <w:tc>
          <w:tcPr>
            <w:tcW w:w="679" w:type="dxa"/>
            <w:vAlign w:val="center"/>
          </w:tcPr>
          <w:p>
            <w:pPr>
              <w:pStyle w:val="117"/>
              <w:rPr>
                <w:rFonts w:ascii="仿宋_GB2312"/>
                <w:kern w:val="2"/>
                <w:sz w:val="21"/>
                <w:szCs w:val="21"/>
              </w:rPr>
            </w:pPr>
            <w:r>
              <w:rPr>
                <w:rFonts w:hint="eastAsia" w:ascii="仿宋_GB2312"/>
                <w:kern w:val="2"/>
                <w:sz w:val="21"/>
                <w:szCs w:val="21"/>
              </w:rPr>
              <w:t>2</w:t>
            </w:r>
          </w:p>
        </w:tc>
        <w:tc>
          <w:tcPr>
            <w:tcW w:w="2325" w:type="dxa"/>
          </w:tcPr>
          <w:p>
            <w:pPr>
              <w:jc w:val="center"/>
              <w:rPr>
                <w:rFonts w:ascii="仿宋_GB2312" w:cs="仿宋_GB2312"/>
                <w:szCs w:val="21"/>
              </w:rPr>
            </w:pPr>
            <w:r>
              <w:rPr>
                <w:rFonts w:hint="eastAsia" w:ascii="仿宋_GB2312" w:cs="仿宋_GB2312"/>
                <w:szCs w:val="21"/>
              </w:rPr>
              <w:t>废机油</w:t>
            </w:r>
          </w:p>
        </w:tc>
        <w:tc>
          <w:tcPr>
            <w:tcW w:w="1418" w:type="dxa"/>
            <w:vAlign w:val="center"/>
          </w:tcPr>
          <w:p>
            <w:pPr>
              <w:pStyle w:val="117"/>
              <w:rPr>
                <w:rFonts w:ascii="仿宋_GB2312"/>
                <w:kern w:val="2"/>
                <w:sz w:val="21"/>
                <w:szCs w:val="21"/>
              </w:rPr>
            </w:pPr>
            <w:r>
              <w:rPr>
                <w:rFonts w:hint="eastAsia" w:ascii="仿宋_GB2312"/>
                <w:kern w:val="2"/>
                <w:sz w:val="21"/>
                <w:szCs w:val="21"/>
              </w:rPr>
              <w:t>0.5</w:t>
            </w:r>
          </w:p>
        </w:tc>
        <w:tc>
          <w:tcPr>
            <w:tcW w:w="1276" w:type="dxa"/>
            <w:vAlign w:val="center"/>
          </w:tcPr>
          <w:p>
            <w:pPr>
              <w:pStyle w:val="117"/>
              <w:rPr>
                <w:rFonts w:ascii="仿宋_GB2312"/>
                <w:kern w:val="2"/>
                <w:sz w:val="21"/>
                <w:szCs w:val="21"/>
              </w:rPr>
            </w:pPr>
            <w:r>
              <w:rPr>
                <w:rFonts w:hint="eastAsia" w:ascii="仿宋_GB2312"/>
                <w:kern w:val="2"/>
                <w:sz w:val="21"/>
                <w:szCs w:val="21"/>
              </w:rPr>
              <w:t>危废储存间</w:t>
            </w:r>
          </w:p>
        </w:tc>
        <w:tc>
          <w:tcPr>
            <w:tcW w:w="1701" w:type="dxa"/>
            <w:vAlign w:val="center"/>
          </w:tcPr>
          <w:p>
            <w:pPr>
              <w:pStyle w:val="117"/>
              <w:rPr>
                <w:rFonts w:ascii="仿宋_GB2312"/>
                <w:kern w:val="2"/>
                <w:sz w:val="21"/>
                <w:szCs w:val="21"/>
              </w:rPr>
            </w:pPr>
            <w:r>
              <w:rPr>
                <w:rFonts w:hint="eastAsia" w:ascii="仿宋_GB2312"/>
                <w:kern w:val="2"/>
                <w:sz w:val="21"/>
                <w:szCs w:val="21"/>
              </w:rPr>
              <w:t>0.5</w:t>
            </w:r>
          </w:p>
        </w:tc>
        <w:tc>
          <w:tcPr>
            <w:tcW w:w="1634" w:type="dxa"/>
            <w:vAlign w:val="center"/>
          </w:tcPr>
          <w:p>
            <w:pPr>
              <w:pStyle w:val="117"/>
              <w:rPr>
                <w:rFonts w:ascii="仿宋_GB2312"/>
                <w:kern w:val="2"/>
                <w:sz w:val="21"/>
                <w:szCs w:val="21"/>
              </w:rPr>
            </w:pPr>
            <w:r>
              <w:rPr>
                <w:rFonts w:hint="eastAsia" w:ascii="仿宋_GB2312"/>
                <w:kern w:val="2"/>
                <w:sz w:val="21"/>
                <w:szCs w:val="21"/>
              </w:rPr>
              <w:t>危险废物</w:t>
            </w:r>
          </w:p>
        </w:tc>
      </w:tr>
    </w:tbl>
    <w:p>
      <w:pPr>
        <w:spacing w:line="460" w:lineRule="exact"/>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（2）危险废物</w:t>
      </w:r>
    </w:p>
    <w:p>
      <w:r>
        <w:rPr>
          <w:rFonts w:cs="仿宋_GB2312" w:asciiTheme="minorEastAsia" w:hAnsiTheme="minorEastAsia" w:eastAsiaTheme="minorEastAsia"/>
          <w:kern w:val="0"/>
          <w:sz w:val="24"/>
          <w:szCs w:val="24"/>
        </w:rPr>
        <w:t>根据《国家危废名录》，</w:t>
      </w:r>
      <w:r>
        <w:rPr>
          <w:rFonts w:hint="eastAsia" w:ascii="仿宋_GB2312"/>
          <w:szCs w:val="24"/>
        </w:rPr>
        <w:t>白涛潘家坝</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在生产过程中产生的危险废物有废含油棉纱手套、废机油等，各危险废物的危险特性见表3.4-2。</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企业现有生产区设有10m2的危险废物暂存点，用于危险废物的临时储存，暂存点进行了“三防”处理，地面采取了防渗措施，同时在危废暂存间内设置消防柜、照明、通风等设施。危险废物必须分类储存，定期转运送往具有危险废物处理资质的单位处理，转运采用“五联单”制度</w:t>
      </w:r>
    </w:p>
    <w:p>
      <w:pPr>
        <w:spacing w:line="460" w:lineRule="exact"/>
        <w:ind w:firstLine="482" w:firstLineChars="200"/>
        <w:jc w:val="center"/>
        <w:rPr>
          <w:b/>
          <w:color w:val="000000"/>
          <w:sz w:val="24"/>
          <w:szCs w:val="24"/>
        </w:rPr>
      </w:pPr>
      <w:r>
        <w:rPr>
          <w:b/>
          <w:color w:val="000000"/>
          <w:sz w:val="24"/>
          <w:szCs w:val="24"/>
        </w:rPr>
        <w:t>表3.4-2               危废危险特性表</w:t>
      </w:r>
    </w:p>
    <w:tbl>
      <w:tblPr>
        <w:tblStyle w:val="33"/>
        <w:tblW w:w="878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27"/>
        <w:gridCol w:w="1181"/>
        <w:gridCol w:w="1687"/>
        <w:gridCol w:w="1701"/>
        <w:gridCol w:w="2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废渣名称</w:t>
            </w:r>
          </w:p>
        </w:tc>
        <w:tc>
          <w:tcPr>
            <w:tcW w:w="118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产生量（t/a）</w:t>
            </w:r>
          </w:p>
        </w:tc>
        <w:tc>
          <w:tcPr>
            <w:tcW w:w="168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组成及特性</w:t>
            </w:r>
          </w:p>
        </w:tc>
        <w:tc>
          <w:tcPr>
            <w:tcW w:w="17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危险废物编号</w:t>
            </w:r>
          </w:p>
        </w:tc>
        <w:tc>
          <w:tcPr>
            <w:tcW w:w="2192" w:type="dxa"/>
            <w:tcBorders>
              <w:top w:val="single" w:color="000000" w:sz="2" w:space="0"/>
              <w:left w:val="single" w:color="000000" w:sz="4" w:space="0"/>
              <w:bottom w:val="single" w:color="000000" w:sz="2" w:space="0"/>
              <w:right w:val="single" w:color="000000" w:sz="4" w:space="0"/>
            </w:tcBorders>
            <w:vAlign w:val="center"/>
          </w:tcPr>
          <w:p>
            <w:pPr>
              <w:autoSpaceDE w:val="0"/>
              <w:autoSpaceDN w:val="0"/>
              <w:adjustRightInd w:val="0"/>
              <w:jc w:val="center"/>
              <w:rPr>
                <w:color w:val="000000"/>
                <w:kern w:val="0"/>
                <w:szCs w:val="21"/>
              </w:rPr>
            </w:pPr>
            <w:r>
              <w:rPr>
                <w:color w:val="000000"/>
                <w:kern w:val="0"/>
                <w:szCs w:val="21"/>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废含油棉纱手套</w:t>
            </w:r>
          </w:p>
        </w:tc>
        <w:tc>
          <w:tcPr>
            <w:tcW w:w="1181" w:type="dxa"/>
            <w:vMerge w:val="restart"/>
            <w:tcBorders>
              <w:top w:val="single" w:color="000000" w:sz="2" w:space="0"/>
              <w:left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0.5</w:t>
            </w:r>
          </w:p>
        </w:tc>
        <w:tc>
          <w:tcPr>
            <w:tcW w:w="168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7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900-249-08</w:t>
            </w:r>
          </w:p>
        </w:tc>
        <w:tc>
          <w:tcPr>
            <w:tcW w:w="2192" w:type="dxa"/>
            <w:vMerge w:val="restart"/>
            <w:tcBorders>
              <w:top w:val="single" w:color="000000" w:sz="2" w:space="0"/>
              <w:left w:val="single" w:color="000000" w:sz="4" w:space="0"/>
              <w:right w:val="single" w:color="000000" w:sz="4" w:space="0"/>
            </w:tcBorders>
            <w:vAlign w:val="center"/>
          </w:tcPr>
          <w:p>
            <w:pPr>
              <w:autoSpaceDE w:val="0"/>
              <w:autoSpaceDN w:val="0"/>
              <w:adjustRightInd w:val="0"/>
              <w:jc w:val="left"/>
              <w:rPr>
                <w:color w:val="000000"/>
                <w:kern w:val="0"/>
                <w:szCs w:val="21"/>
              </w:rPr>
            </w:pPr>
            <w:r>
              <w:rPr>
                <w:color w:val="000000"/>
                <w:kern w:val="0"/>
                <w:szCs w:val="21"/>
              </w:rPr>
              <w:t>厂区设危废暂存点收集暂存，定期交由具有危废处理资质单位处理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181" w:type="dxa"/>
            <w:vMerge w:val="continue"/>
            <w:tcBorders>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p>
        </w:tc>
        <w:tc>
          <w:tcPr>
            <w:tcW w:w="1687" w:type="dxa"/>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701" w:type="dxa"/>
            <w:tcBorders>
              <w:top w:val="single" w:color="auto" w:sz="4"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900-249-08</w:t>
            </w:r>
          </w:p>
        </w:tc>
        <w:tc>
          <w:tcPr>
            <w:tcW w:w="2192" w:type="dxa"/>
            <w:vMerge w:val="continue"/>
            <w:tcBorders>
              <w:left w:val="single" w:color="000000" w:sz="4" w:space="0"/>
              <w:bottom w:val="single" w:color="auto" w:sz="4" w:space="0"/>
              <w:right w:val="single" w:color="000000" w:sz="4" w:space="0"/>
            </w:tcBorders>
            <w:vAlign w:val="center"/>
          </w:tcPr>
          <w:p>
            <w:pPr>
              <w:autoSpaceDE w:val="0"/>
              <w:autoSpaceDN w:val="0"/>
              <w:adjustRightInd w:val="0"/>
              <w:jc w:val="center"/>
              <w:rPr>
                <w:color w:val="000000"/>
                <w:kern w:val="0"/>
                <w:sz w:val="22"/>
              </w:rPr>
            </w:pPr>
          </w:p>
        </w:tc>
      </w:tr>
    </w:tbl>
    <w:p>
      <w:pPr>
        <w:pStyle w:val="89"/>
        <w:ind w:firstLine="0" w:firstLineChars="0"/>
        <w:rPr>
          <w:b/>
          <w:szCs w:val="28"/>
        </w:rPr>
      </w:pPr>
      <w:r>
        <w:rPr>
          <w:rFonts w:hint="eastAsia"/>
          <w:b/>
          <w:szCs w:val="28"/>
        </w:rPr>
        <w:t>3</w:t>
      </w:r>
      <w:r>
        <w:rPr>
          <w:b/>
          <w:szCs w:val="28"/>
        </w:rPr>
        <w:t>.4.</w:t>
      </w:r>
      <w:r>
        <w:rPr>
          <w:rFonts w:hint="eastAsia"/>
          <w:b/>
          <w:szCs w:val="28"/>
        </w:rPr>
        <w:t>2</w:t>
      </w:r>
      <w:r>
        <w:rPr>
          <w:b/>
          <w:szCs w:val="28"/>
        </w:rPr>
        <w:t>重大危险源辨识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（1）物质危险性识别</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白涛潘家坝</w:t>
      </w:r>
      <w:r>
        <w:rPr>
          <w:rFonts w:hint="eastAsia" w:cs="仿宋_GB2312" w:asciiTheme="minorEastAsia" w:hAnsiTheme="minorEastAsia" w:eastAsiaTheme="minorEastAsia"/>
          <w:kern w:val="0"/>
          <w:sz w:val="24"/>
          <w:szCs w:val="24"/>
        </w:rPr>
        <w:t>坝污水处理厂突发环境事件风险评估报告》企业</w:t>
      </w:r>
      <w:r>
        <w:rPr>
          <w:rFonts w:cs="仿宋_GB2312" w:asciiTheme="minorEastAsia" w:hAnsiTheme="minorEastAsia" w:eastAsiaTheme="minorEastAsia"/>
          <w:kern w:val="0"/>
          <w:sz w:val="24"/>
          <w:szCs w:val="24"/>
        </w:rPr>
        <w:t>物质危险性识别见表3.4-</w:t>
      </w:r>
      <w:r>
        <w:rPr>
          <w:rFonts w:hint="eastAsia" w:cs="仿宋_GB2312" w:asciiTheme="minorEastAsia" w:hAnsiTheme="minorEastAsia" w:eastAsiaTheme="minorEastAsia"/>
          <w:kern w:val="0"/>
          <w:sz w:val="24"/>
          <w:szCs w:val="24"/>
        </w:rPr>
        <w:t>3。</w:t>
      </w:r>
    </w:p>
    <w:p>
      <w:pPr>
        <w:spacing w:line="460" w:lineRule="exact"/>
        <w:ind w:firstLine="482" w:firstLineChars="200"/>
        <w:jc w:val="center"/>
        <w:rPr>
          <w:b/>
          <w:sz w:val="24"/>
          <w:szCs w:val="24"/>
        </w:rPr>
      </w:pPr>
      <w:r>
        <w:rPr>
          <w:b/>
          <w:sz w:val="24"/>
          <w:szCs w:val="24"/>
        </w:rPr>
        <w:t>表3.4-</w:t>
      </w:r>
      <w:r>
        <w:rPr>
          <w:rFonts w:hint="eastAsia"/>
          <w:b/>
          <w:sz w:val="24"/>
          <w:szCs w:val="24"/>
        </w:rPr>
        <w:t>3</w:t>
      </w:r>
      <w:r>
        <w:rPr>
          <w:b/>
          <w:sz w:val="24"/>
          <w:szCs w:val="24"/>
        </w:rPr>
        <w:t xml:space="preserve">       </w:t>
      </w:r>
      <w:r>
        <w:rPr>
          <w:rFonts w:hint="eastAsia"/>
          <w:b/>
          <w:sz w:val="24"/>
          <w:szCs w:val="24"/>
        </w:rPr>
        <w:t>企业</w:t>
      </w:r>
      <w:r>
        <w:rPr>
          <w:b/>
          <w:sz w:val="24"/>
          <w:szCs w:val="24"/>
        </w:rPr>
        <w:t>物质危险性识别表</w:t>
      </w:r>
    </w:p>
    <w:tbl>
      <w:tblPr>
        <w:tblStyle w:val="33"/>
        <w:tblW w:w="8221" w:type="dxa"/>
        <w:tblInd w:w="534"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276"/>
        <w:gridCol w:w="2126"/>
        <w:gridCol w:w="992"/>
        <w:gridCol w:w="709"/>
        <w:gridCol w:w="2126"/>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992" w:type="dxa"/>
            <w:tcBorders>
              <w:top w:val="thinThickSmallGap" w:color="auto" w:sz="24" w:space="0"/>
            </w:tcBorders>
            <w:vAlign w:val="center"/>
          </w:tcPr>
          <w:p>
            <w:pPr>
              <w:pStyle w:val="117"/>
              <w:rPr>
                <w:rFonts w:ascii="仿宋_GB2312"/>
                <w:kern w:val="2"/>
                <w:szCs w:val="21"/>
              </w:rPr>
            </w:pPr>
            <w:r>
              <w:rPr>
                <w:szCs w:val="21"/>
              </w:rPr>
              <w:t>分类</w:t>
            </w:r>
          </w:p>
        </w:tc>
        <w:tc>
          <w:tcPr>
            <w:tcW w:w="1276" w:type="dxa"/>
            <w:tcBorders>
              <w:top w:val="thinThickSmallGap" w:color="auto" w:sz="24" w:space="0"/>
            </w:tcBorders>
            <w:vAlign w:val="center"/>
          </w:tcPr>
          <w:p>
            <w:pPr>
              <w:jc w:val="center"/>
              <w:rPr>
                <w:szCs w:val="21"/>
              </w:rPr>
            </w:pPr>
            <w:r>
              <w:rPr>
                <w:szCs w:val="21"/>
              </w:rPr>
              <w:t>名称</w:t>
            </w:r>
          </w:p>
        </w:tc>
        <w:tc>
          <w:tcPr>
            <w:tcW w:w="2126" w:type="dxa"/>
            <w:tcBorders>
              <w:top w:val="thinThickSmallGap" w:color="auto" w:sz="24" w:space="0"/>
            </w:tcBorders>
            <w:vAlign w:val="center"/>
          </w:tcPr>
          <w:p>
            <w:pPr>
              <w:jc w:val="center"/>
              <w:rPr>
                <w:szCs w:val="21"/>
              </w:rPr>
            </w:pPr>
            <w:r>
              <w:rPr>
                <w:szCs w:val="21"/>
              </w:rPr>
              <w:t>危险性类别</w:t>
            </w:r>
          </w:p>
        </w:tc>
        <w:tc>
          <w:tcPr>
            <w:tcW w:w="992" w:type="dxa"/>
            <w:tcBorders>
              <w:top w:val="thinThickSmallGap" w:color="auto" w:sz="24" w:space="0"/>
            </w:tcBorders>
            <w:vAlign w:val="center"/>
          </w:tcPr>
          <w:p>
            <w:pPr>
              <w:jc w:val="center"/>
              <w:rPr>
                <w:szCs w:val="21"/>
              </w:rPr>
            </w:pPr>
            <w:r>
              <w:rPr>
                <w:szCs w:val="21"/>
              </w:rPr>
              <w:t>腐蚀性</w:t>
            </w:r>
          </w:p>
        </w:tc>
        <w:tc>
          <w:tcPr>
            <w:tcW w:w="709" w:type="dxa"/>
            <w:tcBorders>
              <w:top w:val="thinThickSmallGap" w:color="auto" w:sz="24" w:space="0"/>
            </w:tcBorders>
            <w:vAlign w:val="center"/>
          </w:tcPr>
          <w:p>
            <w:pPr>
              <w:jc w:val="center"/>
              <w:rPr>
                <w:szCs w:val="21"/>
              </w:rPr>
            </w:pPr>
            <w:r>
              <w:rPr>
                <w:szCs w:val="21"/>
              </w:rPr>
              <w:t>毒性</w:t>
            </w:r>
          </w:p>
        </w:tc>
        <w:tc>
          <w:tcPr>
            <w:tcW w:w="2126" w:type="dxa"/>
            <w:tcBorders>
              <w:top w:val="thinThickSmallGap" w:color="auto" w:sz="24" w:space="0"/>
            </w:tcBorders>
            <w:vAlign w:val="center"/>
          </w:tcPr>
          <w:p>
            <w:pPr>
              <w:jc w:val="center"/>
              <w:rPr>
                <w:szCs w:val="21"/>
              </w:rPr>
            </w:pPr>
            <w:r>
              <w:rPr>
                <w:szCs w:val="21"/>
              </w:rPr>
              <w:t>是否为风险性物质</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992" w:type="dxa"/>
            <w:vMerge w:val="restart"/>
            <w:vAlign w:val="center"/>
          </w:tcPr>
          <w:p>
            <w:pPr>
              <w:pStyle w:val="117"/>
              <w:rPr>
                <w:rFonts w:ascii="仿宋_GB2312"/>
                <w:kern w:val="2"/>
                <w:szCs w:val="21"/>
              </w:rPr>
            </w:pPr>
          </w:p>
          <w:p>
            <w:pPr>
              <w:pStyle w:val="117"/>
              <w:rPr>
                <w:rFonts w:ascii="仿宋_GB2312"/>
                <w:kern w:val="2"/>
                <w:szCs w:val="21"/>
              </w:rPr>
            </w:pPr>
            <w:r>
              <w:rPr>
                <w:szCs w:val="21"/>
              </w:rPr>
              <w:t>原辅料</w:t>
            </w:r>
          </w:p>
        </w:tc>
        <w:tc>
          <w:tcPr>
            <w:tcW w:w="1276" w:type="dxa"/>
            <w:vAlign w:val="center"/>
          </w:tcPr>
          <w:p>
            <w:pPr>
              <w:jc w:val="center"/>
              <w:rPr>
                <w:szCs w:val="21"/>
              </w:rPr>
            </w:pPr>
            <w:r>
              <w:rPr>
                <w:szCs w:val="21"/>
              </w:rPr>
              <w:t>盐酸</w:t>
            </w:r>
          </w:p>
        </w:tc>
        <w:tc>
          <w:tcPr>
            <w:tcW w:w="2126" w:type="dxa"/>
            <w:vAlign w:val="center"/>
          </w:tcPr>
          <w:p>
            <w:pPr>
              <w:jc w:val="center"/>
              <w:rPr>
                <w:szCs w:val="21"/>
              </w:rPr>
            </w:pPr>
            <w:r>
              <w:rPr>
                <w:szCs w:val="21"/>
              </w:rPr>
              <w:t>第8.1类酸性腐蚀品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992" w:type="dxa"/>
            <w:vMerge w:val="continue"/>
            <w:vAlign w:val="center"/>
          </w:tcPr>
          <w:p>
            <w:pPr>
              <w:pStyle w:val="117"/>
              <w:rPr>
                <w:rFonts w:ascii="仿宋_GB2312"/>
                <w:kern w:val="2"/>
                <w:szCs w:val="21"/>
              </w:rPr>
            </w:pPr>
          </w:p>
        </w:tc>
        <w:tc>
          <w:tcPr>
            <w:tcW w:w="1276" w:type="dxa"/>
            <w:vAlign w:val="center"/>
          </w:tcPr>
          <w:p>
            <w:pPr>
              <w:jc w:val="center"/>
              <w:rPr>
                <w:szCs w:val="21"/>
              </w:rPr>
            </w:pPr>
            <w:r>
              <w:rPr>
                <w:rFonts w:hint="eastAsia"/>
                <w:szCs w:val="21"/>
              </w:rPr>
              <w:t>液碱</w:t>
            </w:r>
          </w:p>
        </w:tc>
        <w:tc>
          <w:tcPr>
            <w:tcW w:w="2126" w:type="dxa"/>
            <w:vAlign w:val="center"/>
          </w:tcPr>
          <w:p>
            <w:pPr>
              <w:rPr>
                <w:szCs w:val="21"/>
              </w:rPr>
            </w:pPr>
            <w:r>
              <w:rPr>
                <w:szCs w:val="21"/>
              </w:rPr>
              <w:t>第8.</w:t>
            </w:r>
            <w:r>
              <w:rPr>
                <w:rFonts w:hint="eastAsia"/>
                <w:szCs w:val="21"/>
              </w:rPr>
              <w:t>2</w:t>
            </w:r>
            <w:r>
              <w:rPr>
                <w:szCs w:val="21"/>
              </w:rPr>
              <w:t>类</w:t>
            </w:r>
            <w:r>
              <w:rPr>
                <w:rFonts w:hint="eastAsia"/>
                <w:szCs w:val="21"/>
              </w:rPr>
              <w:t>碱性</w:t>
            </w:r>
            <w:r>
              <w:rPr>
                <w:szCs w:val="21"/>
              </w:rPr>
              <w:t>腐蚀品</w:t>
            </w:r>
          </w:p>
        </w:tc>
        <w:tc>
          <w:tcPr>
            <w:tcW w:w="992" w:type="dxa"/>
            <w:vAlign w:val="center"/>
          </w:tcPr>
          <w:p>
            <w:pPr>
              <w:jc w:val="center"/>
              <w:rPr>
                <w:szCs w:val="21"/>
              </w:rPr>
            </w:pPr>
            <w:r>
              <w:rPr>
                <w:rFonts w:hint="eastAsia"/>
                <w:szCs w:val="21"/>
              </w:rPr>
              <w:t>是</w:t>
            </w:r>
          </w:p>
        </w:tc>
        <w:tc>
          <w:tcPr>
            <w:tcW w:w="709" w:type="dxa"/>
            <w:vAlign w:val="center"/>
          </w:tcPr>
          <w:p>
            <w:pPr>
              <w:jc w:val="center"/>
              <w:rPr>
                <w:szCs w:val="21"/>
              </w:rPr>
            </w:pPr>
            <w:r>
              <w:rPr>
                <w:rFonts w:hint="eastAsia"/>
                <w:szCs w:val="21"/>
              </w:rPr>
              <w:t>否</w:t>
            </w:r>
          </w:p>
        </w:tc>
        <w:tc>
          <w:tcPr>
            <w:tcW w:w="2126" w:type="dxa"/>
            <w:vAlign w:val="center"/>
          </w:tcPr>
          <w:p>
            <w:pPr>
              <w:jc w:val="center"/>
              <w:rPr>
                <w:szCs w:val="21"/>
              </w:rPr>
            </w:pPr>
            <w:r>
              <w:rPr>
                <w:rFonts w:hint="eastAsia"/>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992" w:type="dxa"/>
            <w:vMerge w:val="continue"/>
            <w:vAlign w:val="center"/>
          </w:tcPr>
          <w:p>
            <w:pPr>
              <w:pStyle w:val="117"/>
              <w:rPr>
                <w:rFonts w:ascii="仿宋_GB2312"/>
                <w:kern w:val="2"/>
                <w:szCs w:val="21"/>
              </w:rPr>
            </w:pPr>
          </w:p>
        </w:tc>
        <w:tc>
          <w:tcPr>
            <w:tcW w:w="1276" w:type="dxa"/>
            <w:vAlign w:val="center"/>
          </w:tcPr>
          <w:p>
            <w:pPr>
              <w:jc w:val="center"/>
              <w:rPr>
                <w:szCs w:val="21"/>
              </w:rPr>
            </w:pPr>
            <w:r>
              <w:rPr>
                <w:rFonts w:hint="eastAsia"/>
                <w:szCs w:val="21"/>
              </w:rPr>
              <w:t>氢氧化钠</w:t>
            </w:r>
          </w:p>
        </w:tc>
        <w:tc>
          <w:tcPr>
            <w:tcW w:w="2126" w:type="dxa"/>
            <w:vAlign w:val="center"/>
          </w:tcPr>
          <w:p>
            <w:pPr>
              <w:jc w:val="center"/>
              <w:rPr>
                <w:szCs w:val="21"/>
              </w:rPr>
            </w:pPr>
            <w:r>
              <w:rPr>
                <w:szCs w:val="21"/>
              </w:rPr>
              <w:t>第8.</w:t>
            </w:r>
            <w:r>
              <w:rPr>
                <w:rFonts w:hint="eastAsia"/>
                <w:szCs w:val="21"/>
              </w:rPr>
              <w:t>2</w:t>
            </w:r>
            <w:r>
              <w:rPr>
                <w:szCs w:val="21"/>
              </w:rPr>
              <w:t>类</w:t>
            </w:r>
            <w:r>
              <w:rPr>
                <w:rFonts w:hint="eastAsia"/>
                <w:szCs w:val="21"/>
              </w:rPr>
              <w:t>碱性</w:t>
            </w:r>
            <w:r>
              <w:rPr>
                <w:szCs w:val="21"/>
              </w:rPr>
              <w:t>腐蚀品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17"/>
              <w:rPr>
                <w:rFonts w:ascii="仿宋_GB2312"/>
                <w:kern w:val="2"/>
                <w:szCs w:val="21"/>
              </w:rPr>
            </w:pPr>
          </w:p>
        </w:tc>
        <w:tc>
          <w:tcPr>
            <w:tcW w:w="1276" w:type="dxa"/>
            <w:vAlign w:val="center"/>
          </w:tcPr>
          <w:p>
            <w:pPr>
              <w:jc w:val="center"/>
              <w:rPr>
                <w:szCs w:val="21"/>
              </w:rPr>
            </w:pPr>
            <w:r>
              <w:rPr>
                <w:szCs w:val="21"/>
              </w:rPr>
              <w:t>氯酸钠</w:t>
            </w:r>
          </w:p>
        </w:tc>
        <w:tc>
          <w:tcPr>
            <w:tcW w:w="2126" w:type="dxa"/>
            <w:vAlign w:val="center"/>
          </w:tcPr>
          <w:p>
            <w:pPr>
              <w:jc w:val="center"/>
              <w:rPr>
                <w:szCs w:val="21"/>
              </w:rPr>
            </w:pPr>
            <w:r>
              <w:rPr>
                <w:szCs w:val="21"/>
              </w:rPr>
              <w:t>第5.1类氧化剂</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PrEx>
        <w:trPr>
          <w:trHeight w:val="422" w:hRule="atLeast"/>
        </w:trPr>
        <w:tc>
          <w:tcPr>
            <w:tcW w:w="992" w:type="dxa"/>
            <w:vMerge w:val="continue"/>
            <w:vAlign w:val="center"/>
          </w:tcPr>
          <w:p>
            <w:pPr>
              <w:pStyle w:val="117"/>
              <w:rPr>
                <w:rFonts w:ascii="仿宋_GB2312"/>
                <w:kern w:val="2"/>
                <w:szCs w:val="21"/>
              </w:rPr>
            </w:pPr>
          </w:p>
        </w:tc>
        <w:tc>
          <w:tcPr>
            <w:tcW w:w="1276" w:type="dxa"/>
            <w:vAlign w:val="center"/>
          </w:tcPr>
          <w:p>
            <w:pPr>
              <w:jc w:val="center"/>
              <w:rPr>
                <w:szCs w:val="21"/>
              </w:rPr>
            </w:pPr>
            <w:r>
              <w:rPr>
                <w:szCs w:val="21"/>
              </w:rPr>
              <w:t>聚氯化铝</w:t>
            </w:r>
          </w:p>
        </w:tc>
        <w:tc>
          <w:tcPr>
            <w:tcW w:w="2126" w:type="dxa"/>
            <w:vAlign w:val="center"/>
          </w:tcPr>
          <w:p>
            <w:pPr>
              <w:jc w:val="center"/>
              <w:rPr>
                <w:szCs w:val="21"/>
              </w:rPr>
            </w:pPr>
            <w:r>
              <w:rPr>
                <w:szCs w:val="21"/>
              </w:rPr>
              <w:t>/</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17"/>
              <w:rPr>
                <w:rFonts w:ascii="仿宋_GB2312"/>
                <w:kern w:val="2"/>
                <w:szCs w:val="21"/>
              </w:rPr>
            </w:pPr>
          </w:p>
        </w:tc>
        <w:tc>
          <w:tcPr>
            <w:tcW w:w="1276" w:type="dxa"/>
            <w:vAlign w:val="center"/>
          </w:tcPr>
          <w:p>
            <w:pPr>
              <w:jc w:val="center"/>
              <w:rPr>
                <w:color w:val="000000"/>
                <w:szCs w:val="21"/>
              </w:rPr>
            </w:pPr>
            <w:r>
              <w:rPr>
                <w:color w:val="000000"/>
                <w:szCs w:val="21"/>
              </w:rPr>
              <w:t>聚丙烯酰胺</w:t>
            </w:r>
          </w:p>
        </w:tc>
        <w:tc>
          <w:tcPr>
            <w:tcW w:w="2126" w:type="dxa"/>
            <w:vAlign w:val="center"/>
          </w:tcPr>
          <w:p>
            <w:pPr>
              <w:jc w:val="center"/>
              <w:rPr>
                <w:color w:val="000000"/>
                <w:szCs w:val="21"/>
              </w:rPr>
            </w:pPr>
            <w:r>
              <w:rPr>
                <w:color w:val="000000"/>
                <w:szCs w:val="21"/>
              </w:rPr>
              <w:t>/</w:t>
            </w:r>
          </w:p>
        </w:tc>
        <w:tc>
          <w:tcPr>
            <w:tcW w:w="992" w:type="dxa"/>
            <w:vAlign w:val="center"/>
          </w:tcPr>
          <w:p>
            <w:pPr>
              <w:jc w:val="center"/>
              <w:rPr>
                <w:color w:val="000000"/>
                <w:szCs w:val="21"/>
              </w:rPr>
            </w:pPr>
            <w:r>
              <w:rPr>
                <w:color w:val="000000"/>
                <w:szCs w:val="21"/>
              </w:rPr>
              <w:t>是</w:t>
            </w:r>
          </w:p>
        </w:tc>
        <w:tc>
          <w:tcPr>
            <w:tcW w:w="709" w:type="dxa"/>
            <w:vAlign w:val="center"/>
          </w:tcPr>
          <w:p>
            <w:pPr>
              <w:jc w:val="center"/>
              <w:rPr>
                <w:color w:val="000000"/>
                <w:szCs w:val="21"/>
              </w:rPr>
            </w:pPr>
            <w:r>
              <w:rPr>
                <w:color w:val="000000"/>
                <w:szCs w:val="21"/>
              </w:rPr>
              <w:t>否</w:t>
            </w:r>
          </w:p>
        </w:tc>
        <w:tc>
          <w:tcPr>
            <w:tcW w:w="2126" w:type="dxa"/>
            <w:vAlign w:val="center"/>
          </w:tcPr>
          <w:p>
            <w:pPr>
              <w:jc w:val="center"/>
              <w:rPr>
                <w:color w:val="000000"/>
                <w:szCs w:val="21"/>
              </w:rPr>
            </w:pPr>
            <w:r>
              <w:rPr>
                <w:color w:val="000000"/>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17"/>
              <w:jc w:val="both"/>
              <w:rPr>
                <w:rFonts w:ascii="仿宋_GB2312"/>
                <w:kern w:val="2"/>
                <w:szCs w:val="21"/>
              </w:rPr>
            </w:pPr>
          </w:p>
        </w:tc>
        <w:tc>
          <w:tcPr>
            <w:tcW w:w="1276" w:type="dxa"/>
            <w:vAlign w:val="center"/>
          </w:tcPr>
          <w:p>
            <w:pPr>
              <w:jc w:val="center"/>
              <w:rPr>
                <w:szCs w:val="21"/>
              </w:rPr>
            </w:pPr>
            <w:r>
              <w:rPr>
                <w:szCs w:val="21"/>
              </w:rPr>
              <w:t>二氧化氯</w:t>
            </w:r>
          </w:p>
        </w:tc>
        <w:tc>
          <w:tcPr>
            <w:tcW w:w="2126" w:type="dxa"/>
            <w:vAlign w:val="center"/>
          </w:tcPr>
          <w:p>
            <w:pPr>
              <w:jc w:val="center"/>
              <w:rPr>
                <w:szCs w:val="21"/>
              </w:rPr>
            </w:pPr>
            <w:r>
              <w:rPr>
                <w:szCs w:val="21"/>
              </w:rPr>
              <w:t>第1A类剧毒品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是</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992" w:type="dxa"/>
            <w:vAlign w:val="center"/>
          </w:tcPr>
          <w:p>
            <w:pPr>
              <w:jc w:val="center"/>
              <w:rPr>
                <w:szCs w:val="21"/>
              </w:rPr>
            </w:pPr>
            <w:r>
              <w:rPr>
                <w:szCs w:val="21"/>
              </w:rPr>
              <w:t>产品</w:t>
            </w:r>
          </w:p>
        </w:tc>
        <w:tc>
          <w:tcPr>
            <w:tcW w:w="1276" w:type="dxa"/>
            <w:vAlign w:val="center"/>
          </w:tcPr>
          <w:p>
            <w:pPr>
              <w:jc w:val="center"/>
              <w:rPr>
                <w:szCs w:val="21"/>
              </w:rPr>
            </w:pPr>
            <w:r>
              <w:rPr>
                <w:szCs w:val="21"/>
              </w:rPr>
              <w:t>生活污水</w:t>
            </w:r>
          </w:p>
        </w:tc>
        <w:tc>
          <w:tcPr>
            <w:tcW w:w="2126" w:type="dxa"/>
            <w:vAlign w:val="center"/>
          </w:tcPr>
          <w:p>
            <w:pPr>
              <w:jc w:val="center"/>
              <w:rPr>
                <w:szCs w:val="21"/>
              </w:rPr>
            </w:pPr>
            <w:r>
              <w:rPr>
                <w:szCs w:val="21"/>
              </w:rPr>
              <w:t>/</w:t>
            </w:r>
          </w:p>
        </w:tc>
        <w:tc>
          <w:tcPr>
            <w:tcW w:w="992" w:type="dxa"/>
            <w:vAlign w:val="center"/>
          </w:tcPr>
          <w:p>
            <w:pPr>
              <w:jc w:val="center"/>
              <w:rPr>
                <w:szCs w:val="21"/>
              </w:rPr>
            </w:pPr>
            <w:r>
              <w:rPr>
                <w:szCs w:val="21"/>
              </w:rPr>
              <w:t>/</w:t>
            </w:r>
          </w:p>
        </w:tc>
        <w:tc>
          <w:tcPr>
            <w:tcW w:w="709" w:type="dxa"/>
            <w:vAlign w:val="center"/>
          </w:tcPr>
          <w:p>
            <w:pPr>
              <w:jc w:val="center"/>
              <w:rPr>
                <w:szCs w:val="21"/>
              </w:rPr>
            </w:pPr>
            <w:r>
              <w:rPr>
                <w:szCs w:val="21"/>
              </w:rPr>
              <w:t>/</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992" w:type="dxa"/>
            <w:vMerge w:val="restart"/>
            <w:vAlign w:val="center"/>
          </w:tcPr>
          <w:p>
            <w:pPr>
              <w:jc w:val="center"/>
              <w:rPr>
                <w:szCs w:val="21"/>
              </w:rPr>
            </w:pPr>
            <w:r>
              <w:rPr>
                <w:szCs w:val="21"/>
              </w:rPr>
              <w:t>三废</w:t>
            </w:r>
          </w:p>
        </w:tc>
        <w:tc>
          <w:tcPr>
            <w:tcW w:w="1276" w:type="dxa"/>
            <w:vAlign w:val="center"/>
          </w:tcPr>
          <w:p>
            <w:pPr>
              <w:jc w:val="center"/>
              <w:rPr>
                <w:szCs w:val="21"/>
              </w:rPr>
            </w:pPr>
            <w:r>
              <w:rPr>
                <w:szCs w:val="21"/>
              </w:rPr>
              <w:t>活性污泥</w:t>
            </w:r>
          </w:p>
        </w:tc>
        <w:tc>
          <w:tcPr>
            <w:tcW w:w="2126" w:type="dxa"/>
            <w:vAlign w:val="center"/>
          </w:tcPr>
          <w:p>
            <w:pPr>
              <w:jc w:val="center"/>
              <w:rPr>
                <w:szCs w:val="21"/>
              </w:rPr>
            </w:pPr>
            <w:r>
              <w:rPr>
                <w:szCs w:val="21"/>
              </w:rPr>
              <w:t>生产废物</w:t>
            </w:r>
          </w:p>
        </w:tc>
        <w:tc>
          <w:tcPr>
            <w:tcW w:w="992" w:type="dxa"/>
            <w:vAlign w:val="center"/>
          </w:tcPr>
          <w:p>
            <w:pPr>
              <w:jc w:val="center"/>
              <w:rPr>
                <w:szCs w:val="21"/>
              </w:rPr>
            </w:pPr>
            <w:r>
              <w:rPr>
                <w:szCs w:val="21"/>
              </w:rPr>
              <w:t>/</w:t>
            </w:r>
          </w:p>
        </w:tc>
        <w:tc>
          <w:tcPr>
            <w:tcW w:w="709" w:type="dxa"/>
            <w:vAlign w:val="center"/>
          </w:tcPr>
          <w:p>
            <w:pPr>
              <w:jc w:val="center"/>
              <w:rPr>
                <w:szCs w:val="21"/>
              </w:rPr>
            </w:pPr>
            <w:r>
              <w:rPr>
                <w:szCs w:val="21"/>
              </w:rPr>
              <w:t>/</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tcBorders>
              <w:bottom w:val="thinThickSmallGap" w:color="auto" w:sz="24" w:space="0"/>
            </w:tcBorders>
            <w:vAlign w:val="center"/>
          </w:tcPr>
          <w:p>
            <w:pPr>
              <w:pStyle w:val="117"/>
              <w:rPr>
                <w:rFonts w:ascii="仿宋_GB2312"/>
                <w:kern w:val="2"/>
                <w:szCs w:val="21"/>
              </w:rPr>
            </w:pPr>
          </w:p>
        </w:tc>
        <w:tc>
          <w:tcPr>
            <w:tcW w:w="1276" w:type="dxa"/>
            <w:tcBorders>
              <w:bottom w:val="thinThickSmallGap" w:color="auto" w:sz="24" w:space="0"/>
            </w:tcBorders>
            <w:vAlign w:val="center"/>
          </w:tcPr>
          <w:p>
            <w:pPr>
              <w:jc w:val="center"/>
              <w:rPr>
                <w:color w:val="000000"/>
                <w:szCs w:val="21"/>
              </w:rPr>
            </w:pPr>
            <w:r>
              <w:rPr>
                <w:szCs w:val="21"/>
              </w:rPr>
              <w:t>废机油</w:t>
            </w:r>
          </w:p>
        </w:tc>
        <w:tc>
          <w:tcPr>
            <w:tcW w:w="2126" w:type="dxa"/>
            <w:tcBorders>
              <w:bottom w:val="thinThickSmallGap" w:color="auto" w:sz="24" w:space="0"/>
            </w:tcBorders>
            <w:vAlign w:val="center"/>
          </w:tcPr>
          <w:p>
            <w:pPr>
              <w:jc w:val="center"/>
              <w:rPr>
                <w:color w:val="000000"/>
                <w:szCs w:val="21"/>
              </w:rPr>
            </w:pPr>
            <w:r>
              <w:rPr>
                <w:szCs w:val="21"/>
              </w:rPr>
              <w:t>/</w:t>
            </w:r>
          </w:p>
        </w:tc>
        <w:tc>
          <w:tcPr>
            <w:tcW w:w="992" w:type="dxa"/>
            <w:tcBorders>
              <w:bottom w:val="thinThickSmallGap" w:color="auto" w:sz="24" w:space="0"/>
            </w:tcBorders>
            <w:vAlign w:val="center"/>
          </w:tcPr>
          <w:p>
            <w:pPr>
              <w:jc w:val="center"/>
              <w:rPr>
                <w:color w:val="000000"/>
                <w:szCs w:val="21"/>
              </w:rPr>
            </w:pPr>
          </w:p>
        </w:tc>
        <w:tc>
          <w:tcPr>
            <w:tcW w:w="709" w:type="dxa"/>
            <w:tcBorders>
              <w:bottom w:val="thinThickSmallGap" w:color="auto" w:sz="24" w:space="0"/>
            </w:tcBorders>
            <w:vAlign w:val="center"/>
          </w:tcPr>
          <w:p>
            <w:pPr>
              <w:jc w:val="center"/>
              <w:rPr>
                <w:color w:val="000000"/>
                <w:szCs w:val="21"/>
              </w:rPr>
            </w:pPr>
          </w:p>
        </w:tc>
        <w:tc>
          <w:tcPr>
            <w:tcW w:w="2126" w:type="dxa"/>
            <w:tcBorders>
              <w:bottom w:val="thinThickSmallGap" w:color="auto" w:sz="24" w:space="0"/>
            </w:tcBorders>
            <w:vAlign w:val="center"/>
          </w:tcPr>
          <w:p>
            <w:pPr>
              <w:jc w:val="center"/>
              <w:rPr>
                <w:color w:val="000000"/>
                <w:szCs w:val="21"/>
              </w:rPr>
            </w:pPr>
            <w:r>
              <w:rPr>
                <w:szCs w:val="21"/>
              </w:rPr>
              <w:t>是</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由上表可知重庆市涪陵区拓源污水治理有限公司</w:t>
      </w:r>
      <w:r>
        <w:rPr>
          <w:rFonts w:hint="eastAsia" w:cs="仿宋_GB2312" w:asciiTheme="minorEastAsia" w:hAnsiTheme="minorEastAsia" w:eastAsiaTheme="minorEastAsia"/>
          <w:kern w:val="0"/>
          <w:sz w:val="24"/>
          <w:szCs w:val="24"/>
        </w:rPr>
        <w:t>白涛潘家坝</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使用原辅材料、产品及“三废”中属于环境风险物质的是盐酸、氯酸钠</w:t>
      </w:r>
      <w:r>
        <w:rPr>
          <w:rFonts w:hint="eastAsia" w:cs="仿宋_GB2312" w:asciiTheme="minorEastAsia" w:hAnsiTheme="minorEastAsia" w:eastAsiaTheme="minorEastAsia"/>
          <w:kern w:val="0"/>
          <w:sz w:val="24"/>
          <w:szCs w:val="24"/>
        </w:rPr>
        <w:t>、氢氧化钠、二氧化氯、</w:t>
      </w:r>
      <w:r>
        <w:rPr>
          <w:rFonts w:cs="仿宋_GB2312" w:asciiTheme="minorEastAsia" w:hAnsiTheme="minorEastAsia" w:eastAsiaTheme="minorEastAsia"/>
          <w:kern w:val="0"/>
          <w:sz w:val="24"/>
          <w:szCs w:val="24"/>
        </w:rPr>
        <w:t>废机油等。</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（2）重大危险源辨识</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白涛潘家坝</w:t>
      </w:r>
      <w:r>
        <w:rPr>
          <w:rFonts w:hint="eastAsia" w:cs="仿宋_GB2312" w:asciiTheme="minorEastAsia" w:hAnsiTheme="minorEastAsia" w:eastAsiaTheme="minorEastAsia"/>
          <w:kern w:val="0"/>
          <w:sz w:val="24"/>
          <w:szCs w:val="24"/>
        </w:rPr>
        <w:t>污水处理厂突发环境事件风险评估报告》</w:t>
      </w:r>
      <w:r>
        <w:rPr>
          <w:rFonts w:cs="仿宋_GB2312" w:asciiTheme="minorEastAsia" w:hAnsiTheme="minorEastAsia" w:eastAsiaTheme="minorEastAsia"/>
          <w:kern w:val="0"/>
          <w:sz w:val="24"/>
          <w:szCs w:val="24"/>
        </w:rPr>
        <w:t>企业厂区内所有环境风险物质与《建设项目环境风险评价技术导则（HJ/T169-2004）》（附录2有毒物质名称及临界量）对照情况见表3.4</w:t>
      </w:r>
      <w:r>
        <w:rPr>
          <w:rFonts w:hint="eastAsia" w:cs="仿宋_GB2312" w:asciiTheme="minorEastAsia" w:hAnsiTheme="minorEastAsia" w:eastAsiaTheme="minorEastAsia"/>
          <w:kern w:val="0"/>
          <w:sz w:val="24"/>
          <w:szCs w:val="24"/>
        </w:rPr>
        <w:t>-4。</w:t>
      </w:r>
    </w:p>
    <w:p>
      <w:pPr>
        <w:pStyle w:val="117"/>
        <w:spacing w:line="460" w:lineRule="exact"/>
        <w:rPr>
          <w:rFonts w:ascii="仿宋_GB2312"/>
          <w:b/>
          <w:color w:val="FF0000"/>
        </w:rPr>
      </w:pPr>
      <w:r>
        <w:rPr>
          <w:rFonts w:ascii="仿宋_GB2312"/>
          <w:b/>
        </w:rPr>
        <w:t>3.4</w:t>
      </w:r>
      <w:r>
        <w:rPr>
          <w:rFonts w:hint="eastAsia" w:ascii="仿宋_GB2312"/>
          <w:b/>
        </w:rPr>
        <w:t>-4 危险化学品储存情况一览表</w:t>
      </w:r>
    </w:p>
    <w:tbl>
      <w:tblPr>
        <w:tblStyle w:val="33"/>
        <w:tblW w:w="9214" w:type="dxa"/>
        <w:tblInd w:w="-34"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2127"/>
        <w:gridCol w:w="850"/>
        <w:gridCol w:w="992"/>
        <w:gridCol w:w="1985"/>
        <w:gridCol w:w="1417"/>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709" w:type="dxa"/>
            <w:tcBorders>
              <w:top w:val="thinThickSmallGap" w:color="auto" w:sz="24" w:space="0"/>
            </w:tcBorders>
            <w:vAlign w:val="center"/>
          </w:tcPr>
          <w:p>
            <w:pPr>
              <w:pStyle w:val="117"/>
              <w:rPr>
                <w:rFonts w:ascii="仿宋_GB2312"/>
                <w:kern w:val="2"/>
                <w:sz w:val="21"/>
                <w:szCs w:val="21"/>
              </w:rPr>
            </w:pPr>
            <w:r>
              <w:rPr>
                <w:rFonts w:hint="eastAsia" w:ascii="仿宋_GB2312"/>
                <w:kern w:val="2"/>
                <w:sz w:val="21"/>
                <w:szCs w:val="21"/>
              </w:rPr>
              <w:t>序号</w:t>
            </w:r>
          </w:p>
        </w:tc>
        <w:tc>
          <w:tcPr>
            <w:tcW w:w="1134" w:type="dxa"/>
            <w:tcBorders>
              <w:top w:val="thinThickSmallGap" w:color="auto" w:sz="24" w:space="0"/>
            </w:tcBorders>
            <w:vAlign w:val="center"/>
          </w:tcPr>
          <w:p>
            <w:pPr>
              <w:spacing w:line="240" w:lineRule="exact"/>
              <w:rPr>
                <w:rFonts w:ascii="仿宋_GB2312"/>
                <w:szCs w:val="21"/>
              </w:rPr>
            </w:pPr>
            <w:r>
              <w:rPr>
                <w:rFonts w:hint="eastAsia" w:ascii="仿宋_GB2312"/>
                <w:szCs w:val="21"/>
              </w:rPr>
              <w:t>物质名称</w:t>
            </w:r>
          </w:p>
        </w:tc>
        <w:tc>
          <w:tcPr>
            <w:tcW w:w="2127" w:type="dxa"/>
            <w:tcBorders>
              <w:top w:val="thinThickSmallGap" w:color="auto" w:sz="24" w:space="0"/>
            </w:tcBorders>
            <w:vAlign w:val="center"/>
          </w:tcPr>
          <w:p>
            <w:pPr>
              <w:pStyle w:val="117"/>
              <w:rPr>
                <w:rFonts w:ascii="仿宋_GB2312"/>
                <w:kern w:val="2"/>
                <w:sz w:val="21"/>
                <w:szCs w:val="21"/>
              </w:rPr>
            </w:pPr>
            <w:r>
              <w:rPr>
                <w:rFonts w:hint="eastAsia" w:ascii="仿宋_GB2312"/>
                <w:bCs/>
                <w:caps/>
                <w:kern w:val="2"/>
                <w:sz w:val="21"/>
                <w:szCs w:val="21"/>
              </w:rPr>
              <w:t>所属类别</w:t>
            </w:r>
          </w:p>
        </w:tc>
        <w:tc>
          <w:tcPr>
            <w:tcW w:w="850" w:type="dxa"/>
            <w:tcBorders>
              <w:top w:val="thinThickSmallGap" w:color="auto" w:sz="24" w:space="0"/>
            </w:tcBorders>
            <w:vAlign w:val="center"/>
          </w:tcPr>
          <w:p>
            <w:pPr>
              <w:pStyle w:val="117"/>
              <w:rPr>
                <w:rFonts w:ascii="仿宋_GB2312"/>
                <w:kern w:val="2"/>
                <w:sz w:val="21"/>
                <w:szCs w:val="21"/>
              </w:rPr>
            </w:pPr>
            <w:r>
              <w:rPr>
                <w:rFonts w:hint="eastAsia" w:ascii="仿宋_GB2312"/>
                <w:kern w:val="2"/>
                <w:sz w:val="21"/>
                <w:szCs w:val="21"/>
              </w:rPr>
              <w:t>临界量</w:t>
            </w:r>
          </w:p>
        </w:tc>
        <w:tc>
          <w:tcPr>
            <w:tcW w:w="992" w:type="dxa"/>
            <w:tcBorders>
              <w:top w:val="thinThickSmallGap" w:color="auto" w:sz="24" w:space="0"/>
            </w:tcBorders>
            <w:vAlign w:val="center"/>
          </w:tcPr>
          <w:p>
            <w:pPr>
              <w:pStyle w:val="117"/>
              <w:rPr>
                <w:rFonts w:ascii="仿宋_GB2312"/>
                <w:kern w:val="2"/>
                <w:sz w:val="21"/>
                <w:szCs w:val="21"/>
              </w:rPr>
            </w:pPr>
            <w:r>
              <w:rPr>
                <w:rFonts w:hint="eastAsia" w:ascii="仿宋_GB2312"/>
                <w:kern w:val="2"/>
                <w:sz w:val="21"/>
                <w:szCs w:val="21"/>
              </w:rPr>
              <w:t>实际最</w:t>
            </w:r>
          </w:p>
          <w:p>
            <w:pPr>
              <w:pStyle w:val="117"/>
              <w:rPr>
                <w:rFonts w:ascii="仿宋_GB2312"/>
                <w:kern w:val="2"/>
                <w:sz w:val="21"/>
                <w:szCs w:val="21"/>
              </w:rPr>
            </w:pPr>
            <w:r>
              <w:rPr>
                <w:rFonts w:hint="eastAsia" w:ascii="仿宋_GB2312"/>
                <w:kern w:val="2"/>
                <w:sz w:val="21"/>
                <w:szCs w:val="21"/>
              </w:rPr>
              <w:t>大贮量</w:t>
            </w:r>
          </w:p>
        </w:tc>
        <w:tc>
          <w:tcPr>
            <w:tcW w:w="1985" w:type="dxa"/>
            <w:tcBorders>
              <w:top w:val="thinThickSmallGap" w:color="auto" w:sz="24" w:space="0"/>
            </w:tcBorders>
            <w:vAlign w:val="center"/>
          </w:tcPr>
          <w:p>
            <w:pPr>
              <w:pStyle w:val="117"/>
              <w:rPr>
                <w:rFonts w:ascii="仿宋_GB2312"/>
                <w:kern w:val="2"/>
                <w:sz w:val="21"/>
                <w:szCs w:val="21"/>
              </w:rPr>
            </w:pPr>
            <w:r>
              <w:rPr>
                <w:rFonts w:hint="eastAsia" w:ascii="仿宋_GB2312"/>
                <w:bCs/>
                <w:caps/>
                <w:kern w:val="2"/>
                <w:sz w:val="21"/>
                <w:szCs w:val="21"/>
              </w:rPr>
              <w:t>辨识依据</w:t>
            </w:r>
          </w:p>
        </w:tc>
        <w:tc>
          <w:tcPr>
            <w:tcW w:w="1417" w:type="dxa"/>
            <w:tcBorders>
              <w:top w:val="thinThickSmallGap" w:color="auto" w:sz="24" w:space="0"/>
            </w:tcBorders>
            <w:vAlign w:val="center"/>
          </w:tcPr>
          <w:p>
            <w:pPr>
              <w:pStyle w:val="117"/>
              <w:rPr>
                <w:rFonts w:ascii="仿宋_GB2312"/>
                <w:kern w:val="2"/>
                <w:sz w:val="21"/>
                <w:szCs w:val="21"/>
              </w:rPr>
            </w:pPr>
            <w:r>
              <w:rPr>
                <w:rFonts w:hint="eastAsia" w:ascii="仿宋_GB2312"/>
                <w:kern w:val="2"/>
                <w:sz w:val="21"/>
                <w:szCs w:val="21"/>
              </w:rPr>
              <w:t>是否构成重大危险源</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17"/>
              <w:rPr>
                <w:rFonts w:ascii="仿宋_GB2312"/>
                <w:kern w:val="2"/>
                <w:sz w:val="21"/>
                <w:szCs w:val="21"/>
              </w:rPr>
            </w:pPr>
            <w:r>
              <w:rPr>
                <w:rFonts w:hint="eastAsia" w:ascii="仿宋_GB2312"/>
                <w:kern w:val="2"/>
                <w:sz w:val="21"/>
                <w:szCs w:val="21"/>
              </w:rPr>
              <w:t>1</w:t>
            </w:r>
          </w:p>
        </w:tc>
        <w:tc>
          <w:tcPr>
            <w:tcW w:w="1134" w:type="dxa"/>
            <w:vAlign w:val="center"/>
          </w:tcPr>
          <w:p>
            <w:pPr>
              <w:pStyle w:val="117"/>
              <w:rPr>
                <w:rFonts w:ascii="仿宋_GB2312"/>
                <w:kern w:val="2"/>
                <w:sz w:val="21"/>
                <w:szCs w:val="21"/>
              </w:rPr>
            </w:pPr>
            <w:r>
              <w:rPr>
                <w:rFonts w:hint="eastAsia" w:ascii="仿宋_GB2312"/>
                <w:kern w:val="2"/>
                <w:sz w:val="21"/>
                <w:szCs w:val="21"/>
              </w:rPr>
              <w:t>氢氧化钠</w:t>
            </w:r>
          </w:p>
        </w:tc>
        <w:tc>
          <w:tcPr>
            <w:tcW w:w="2127" w:type="dxa"/>
            <w:vAlign w:val="center"/>
          </w:tcPr>
          <w:p>
            <w:pPr>
              <w:pStyle w:val="117"/>
              <w:rPr>
                <w:rFonts w:ascii="仿宋_GB2312"/>
                <w:kern w:val="2"/>
                <w:sz w:val="21"/>
                <w:szCs w:val="21"/>
              </w:rPr>
            </w:pPr>
            <w:r>
              <w:rPr>
                <w:rFonts w:hint="eastAsia" w:ascii="仿宋_GB2312"/>
                <w:bCs/>
                <w:caps/>
                <w:kern w:val="2"/>
                <w:sz w:val="21"/>
                <w:szCs w:val="21"/>
              </w:rPr>
              <w:t>第8.2类碱性腐蚀品</w:t>
            </w:r>
          </w:p>
        </w:tc>
        <w:tc>
          <w:tcPr>
            <w:tcW w:w="850" w:type="dxa"/>
            <w:vAlign w:val="center"/>
          </w:tcPr>
          <w:p>
            <w:pPr>
              <w:pStyle w:val="117"/>
              <w:rPr>
                <w:rFonts w:ascii="仿宋_GB2312"/>
                <w:kern w:val="2"/>
                <w:sz w:val="21"/>
                <w:szCs w:val="21"/>
              </w:rPr>
            </w:pPr>
            <w:r>
              <w:rPr>
                <w:rFonts w:hint="eastAsia" w:ascii="仿宋_GB2312"/>
                <w:kern w:val="2"/>
                <w:sz w:val="21"/>
                <w:szCs w:val="21"/>
              </w:rPr>
              <w:t>50t</w:t>
            </w:r>
          </w:p>
        </w:tc>
        <w:tc>
          <w:tcPr>
            <w:tcW w:w="992" w:type="dxa"/>
            <w:vAlign w:val="center"/>
          </w:tcPr>
          <w:p>
            <w:pPr>
              <w:pStyle w:val="117"/>
              <w:rPr>
                <w:rFonts w:ascii="仿宋_GB2312"/>
                <w:kern w:val="2"/>
                <w:sz w:val="21"/>
                <w:szCs w:val="21"/>
              </w:rPr>
            </w:pPr>
            <w:r>
              <w:rPr>
                <w:rFonts w:hint="eastAsia" w:ascii="仿宋_GB2312"/>
                <w:kern w:val="2"/>
                <w:sz w:val="21"/>
                <w:szCs w:val="21"/>
              </w:rPr>
              <w:t>4t</w:t>
            </w:r>
          </w:p>
        </w:tc>
        <w:tc>
          <w:tcPr>
            <w:tcW w:w="1985" w:type="dxa"/>
            <w:vAlign w:val="center"/>
          </w:tcPr>
          <w:p>
            <w:pPr>
              <w:pStyle w:val="117"/>
              <w:rPr>
                <w:rFonts w:ascii="仿宋_GB2312"/>
                <w:kern w:val="2"/>
                <w:sz w:val="21"/>
                <w:szCs w:val="21"/>
              </w:rPr>
            </w:pPr>
            <w:r>
              <w:rPr>
                <w:rFonts w:hint="eastAsia" w:ascii="仿宋_GB2312"/>
                <w:bCs/>
                <w:caps/>
                <w:kern w:val="2"/>
                <w:sz w:val="21"/>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17"/>
              <w:rPr>
                <w:rFonts w:ascii="仿宋_GB2312"/>
                <w:kern w:val="2"/>
                <w:sz w:val="21"/>
                <w:szCs w:val="21"/>
              </w:rPr>
            </w:pPr>
            <w:r>
              <w:rPr>
                <w:rFonts w:hint="eastAsia" w:ascii="仿宋_GB2312"/>
                <w:kern w:val="2"/>
                <w:sz w:val="21"/>
                <w:szCs w:val="21"/>
              </w:rPr>
              <w:t>2</w:t>
            </w:r>
          </w:p>
        </w:tc>
        <w:tc>
          <w:tcPr>
            <w:tcW w:w="1134" w:type="dxa"/>
            <w:vAlign w:val="center"/>
          </w:tcPr>
          <w:p>
            <w:pPr>
              <w:pStyle w:val="117"/>
              <w:rPr>
                <w:rFonts w:ascii="仿宋_GB2312"/>
                <w:kern w:val="2"/>
                <w:sz w:val="21"/>
                <w:szCs w:val="21"/>
              </w:rPr>
            </w:pPr>
            <w:r>
              <w:rPr>
                <w:rFonts w:hint="eastAsia" w:ascii="仿宋_GB2312" w:hAnsi="宋体" w:cs="宋体"/>
                <w:kern w:val="2"/>
                <w:sz w:val="21"/>
                <w:szCs w:val="21"/>
              </w:rPr>
              <w:t>盐酸</w:t>
            </w:r>
          </w:p>
        </w:tc>
        <w:tc>
          <w:tcPr>
            <w:tcW w:w="2127" w:type="dxa"/>
            <w:vAlign w:val="center"/>
          </w:tcPr>
          <w:p>
            <w:pPr>
              <w:pStyle w:val="117"/>
              <w:rPr>
                <w:rFonts w:ascii="仿宋_GB2312"/>
                <w:kern w:val="2"/>
                <w:sz w:val="21"/>
                <w:szCs w:val="21"/>
              </w:rPr>
            </w:pPr>
            <w:r>
              <w:rPr>
                <w:rFonts w:hint="eastAsia" w:ascii="仿宋_GB2312"/>
                <w:bCs/>
                <w:caps/>
                <w:kern w:val="2"/>
                <w:sz w:val="21"/>
                <w:szCs w:val="21"/>
              </w:rPr>
              <w:t>第8.1类酸性腐蚀品</w:t>
            </w:r>
          </w:p>
        </w:tc>
        <w:tc>
          <w:tcPr>
            <w:tcW w:w="850" w:type="dxa"/>
            <w:vAlign w:val="center"/>
          </w:tcPr>
          <w:p>
            <w:pPr>
              <w:pStyle w:val="117"/>
              <w:rPr>
                <w:rFonts w:ascii="仿宋_GB2312"/>
                <w:kern w:val="2"/>
                <w:sz w:val="21"/>
                <w:szCs w:val="21"/>
              </w:rPr>
            </w:pPr>
            <w:r>
              <w:rPr>
                <w:rFonts w:hint="eastAsia" w:ascii="仿宋_GB2312"/>
                <w:kern w:val="2"/>
                <w:sz w:val="21"/>
                <w:szCs w:val="21"/>
              </w:rPr>
              <w:t>50t</w:t>
            </w:r>
          </w:p>
        </w:tc>
        <w:tc>
          <w:tcPr>
            <w:tcW w:w="992" w:type="dxa"/>
            <w:vAlign w:val="center"/>
          </w:tcPr>
          <w:p>
            <w:pPr>
              <w:pStyle w:val="117"/>
              <w:rPr>
                <w:rFonts w:ascii="仿宋_GB2312"/>
                <w:kern w:val="2"/>
                <w:sz w:val="21"/>
                <w:szCs w:val="21"/>
              </w:rPr>
            </w:pPr>
            <w:r>
              <w:rPr>
                <w:rFonts w:hint="eastAsia" w:ascii="仿宋_GB2312"/>
                <w:kern w:val="2"/>
                <w:sz w:val="21"/>
                <w:szCs w:val="21"/>
              </w:rPr>
              <w:t>3t</w:t>
            </w:r>
          </w:p>
        </w:tc>
        <w:tc>
          <w:tcPr>
            <w:tcW w:w="1985" w:type="dxa"/>
            <w:vAlign w:val="center"/>
          </w:tcPr>
          <w:p>
            <w:pPr>
              <w:pStyle w:val="117"/>
              <w:rPr>
                <w:rFonts w:ascii="仿宋_GB2312"/>
                <w:kern w:val="2"/>
                <w:sz w:val="21"/>
                <w:szCs w:val="21"/>
              </w:rPr>
            </w:pPr>
            <w:r>
              <w:rPr>
                <w:rFonts w:hint="eastAsia" w:ascii="仿宋_GB2312"/>
                <w:bCs/>
                <w:caps/>
                <w:kern w:val="2"/>
                <w:sz w:val="21"/>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17"/>
              <w:rPr>
                <w:rFonts w:ascii="仿宋_GB2312"/>
                <w:kern w:val="2"/>
                <w:sz w:val="21"/>
                <w:szCs w:val="21"/>
              </w:rPr>
            </w:pPr>
            <w:r>
              <w:rPr>
                <w:rFonts w:hint="eastAsia" w:ascii="仿宋_GB2312"/>
                <w:kern w:val="2"/>
                <w:sz w:val="21"/>
                <w:szCs w:val="21"/>
              </w:rPr>
              <w:t>3</w:t>
            </w:r>
          </w:p>
        </w:tc>
        <w:tc>
          <w:tcPr>
            <w:tcW w:w="1134" w:type="dxa"/>
            <w:vAlign w:val="center"/>
          </w:tcPr>
          <w:p>
            <w:pPr>
              <w:pStyle w:val="117"/>
              <w:rPr>
                <w:rFonts w:ascii="仿宋_GB2312" w:hAnsi="宋体" w:cs="宋体"/>
                <w:kern w:val="2"/>
                <w:sz w:val="21"/>
                <w:szCs w:val="21"/>
              </w:rPr>
            </w:pPr>
            <w:r>
              <w:rPr>
                <w:rFonts w:hint="eastAsia" w:ascii="仿宋_GB2312" w:cs="仿宋_GB2312"/>
                <w:kern w:val="2"/>
                <w:sz w:val="21"/>
                <w:szCs w:val="21"/>
                <w:lang w:val="zh-CN"/>
              </w:rPr>
              <w:t>氯酸钠</w:t>
            </w:r>
          </w:p>
        </w:tc>
        <w:tc>
          <w:tcPr>
            <w:tcW w:w="2127" w:type="dxa"/>
            <w:vAlign w:val="center"/>
          </w:tcPr>
          <w:p>
            <w:pPr>
              <w:pStyle w:val="117"/>
              <w:rPr>
                <w:rFonts w:ascii="仿宋_GB2312"/>
                <w:bCs/>
                <w:caps/>
                <w:kern w:val="2"/>
                <w:sz w:val="21"/>
                <w:szCs w:val="21"/>
              </w:rPr>
            </w:pPr>
            <w:r>
              <w:rPr>
                <w:rFonts w:hint="eastAsia" w:ascii="仿宋_GB2312"/>
                <w:bCs/>
                <w:caps/>
                <w:kern w:val="2"/>
                <w:sz w:val="21"/>
                <w:szCs w:val="21"/>
              </w:rPr>
              <w:t>第5.1类氧化剂</w:t>
            </w:r>
          </w:p>
        </w:tc>
        <w:tc>
          <w:tcPr>
            <w:tcW w:w="850" w:type="dxa"/>
            <w:vAlign w:val="center"/>
          </w:tcPr>
          <w:p>
            <w:pPr>
              <w:pStyle w:val="117"/>
              <w:rPr>
                <w:rFonts w:ascii="仿宋_GB2312"/>
                <w:kern w:val="2"/>
                <w:sz w:val="21"/>
                <w:szCs w:val="21"/>
              </w:rPr>
            </w:pPr>
            <w:r>
              <w:rPr>
                <w:rFonts w:hint="eastAsia" w:ascii="仿宋_GB2312"/>
                <w:kern w:val="2"/>
                <w:sz w:val="21"/>
                <w:szCs w:val="21"/>
              </w:rPr>
              <w:t>100t*</w:t>
            </w:r>
          </w:p>
        </w:tc>
        <w:tc>
          <w:tcPr>
            <w:tcW w:w="992" w:type="dxa"/>
            <w:vAlign w:val="center"/>
          </w:tcPr>
          <w:p>
            <w:pPr>
              <w:pStyle w:val="117"/>
              <w:rPr>
                <w:rFonts w:ascii="仿宋_GB2312"/>
                <w:kern w:val="2"/>
                <w:sz w:val="21"/>
                <w:szCs w:val="21"/>
              </w:rPr>
            </w:pPr>
            <w:r>
              <w:rPr>
                <w:rFonts w:hint="eastAsia" w:ascii="仿宋_GB2312"/>
                <w:kern w:val="2"/>
                <w:sz w:val="21"/>
                <w:szCs w:val="21"/>
              </w:rPr>
              <w:t>3t</w:t>
            </w:r>
          </w:p>
        </w:tc>
        <w:tc>
          <w:tcPr>
            <w:tcW w:w="1985" w:type="dxa"/>
            <w:vAlign w:val="center"/>
          </w:tcPr>
          <w:p>
            <w:pPr>
              <w:pStyle w:val="117"/>
              <w:rPr>
                <w:rFonts w:ascii="仿宋_GB2312"/>
                <w:bCs/>
                <w:caps/>
                <w:kern w:val="2"/>
                <w:sz w:val="21"/>
                <w:szCs w:val="21"/>
              </w:rPr>
            </w:pPr>
            <w:r>
              <w:rPr>
                <w:rFonts w:hint="eastAsia" w:ascii="仿宋_GB2312"/>
                <w:bCs/>
                <w:caps/>
                <w:kern w:val="2"/>
                <w:sz w:val="21"/>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tcBorders>
              <w:bottom w:val="thinThickSmallGap" w:color="auto" w:sz="24" w:space="0"/>
            </w:tcBorders>
            <w:vAlign w:val="center"/>
          </w:tcPr>
          <w:p>
            <w:pPr>
              <w:pStyle w:val="117"/>
              <w:rPr>
                <w:rFonts w:ascii="仿宋_GB2312"/>
                <w:kern w:val="2"/>
                <w:sz w:val="21"/>
                <w:szCs w:val="21"/>
              </w:rPr>
            </w:pPr>
            <w:r>
              <w:rPr>
                <w:rFonts w:hint="eastAsia" w:ascii="仿宋_GB2312"/>
                <w:kern w:val="2"/>
                <w:sz w:val="21"/>
                <w:szCs w:val="21"/>
              </w:rPr>
              <w:t>4</w:t>
            </w:r>
          </w:p>
        </w:tc>
        <w:tc>
          <w:tcPr>
            <w:tcW w:w="1134" w:type="dxa"/>
            <w:tcBorders>
              <w:bottom w:val="thinThickSmallGap" w:color="auto" w:sz="24" w:space="0"/>
            </w:tcBorders>
            <w:vAlign w:val="center"/>
          </w:tcPr>
          <w:p>
            <w:pPr>
              <w:pStyle w:val="117"/>
              <w:rPr>
                <w:rFonts w:ascii="仿宋_GB2312" w:cs="仿宋_GB2312"/>
                <w:kern w:val="2"/>
                <w:sz w:val="21"/>
                <w:szCs w:val="21"/>
                <w:lang w:val="zh-CN"/>
              </w:rPr>
            </w:pPr>
            <w:r>
              <w:rPr>
                <w:rFonts w:hint="eastAsia" w:ascii="仿宋_GB2312" w:hAnsi="宋体"/>
                <w:kern w:val="2"/>
                <w:sz w:val="21"/>
                <w:szCs w:val="21"/>
              </w:rPr>
              <w:t>二氧化氯</w:t>
            </w:r>
          </w:p>
        </w:tc>
        <w:tc>
          <w:tcPr>
            <w:tcW w:w="2127" w:type="dxa"/>
            <w:tcBorders>
              <w:bottom w:val="thinThickSmallGap" w:color="auto" w:sz="24" w:space="0"/>
            </w:tcBorders>
            <w:vAlign w:val="center"/>
          </w:tcPr>
          <w:p>
            <w:pPr>
              <w:pStyle w:val="117"/>
              <w:rPr>
                <w:rFonts w:ascii="仿宋_GB2312"/>
                <w:bCs/>
                <w:caps/>
                <w:kern w:val="2"/>
                <w:sz w:val="21"/>
                <w:szCs w:val="21"/>
              </w:rPr>
            </w:pPr>
            <w:r>
              <w:rPr>
                <w:rFonts w:hint="eastAsia" w:ascii="仿宋_GB2312"/>
                <w:bCs/>
                <w:caps/>
                <w:kern w:val="2"/>
                <w:sz w:val="21"/>
                <w:szCs w:val="21"/>
              </w:rPr>
              <w:t>第1A类剧毒品</w:t>
            </w:r>
          </w:p>
        </w:tc>
        <w:tc>
          <w:tcPr>
            <w:tcW w:w="850" w:type="dxa"/>
            <w:tcBorders>
              <w:bottom w:val="thinThickSmallGap" w:color="auto" w:sz="24" w:space="0"/>
            </w:tcBorders>
            <w:vAlign w:val="center"/>
          </w:tcPr>
          <w:p>
            <w:pPr>
              <w:pStyle w:val="117"/>
              <w:rPr>
                <w:rFonts w:ascii="仿宋_GB2312"/>
                <w:kern w:val="2"/>
                <w:sz w:val="21"/>
                <w:szCs w:val="21"/>
              </w:rPr>
            </w:pPr>
            <w:r>
              <w:rPr>
                <w:rFonts w:hint="eastAsia" w:ascii="仿宋_GB2312"/>
                <w:kern w:val="2"/>
                <w:sz w:val="21"/>
                <w:szCs w:val="21"/>
              </w:rPr>
              <w:t>0.5t</w:t>
            </w:r>
          </w:p>
        </w:tc>
        <w:tc>
          <w:tcPr>
            <w:tcW w:w="992" w:type="dxa"/>
            <w:tcBorders>
              <w:bottom w:val="thinThickSmallGap" w:color="auto" w:sz="24" w:space="0"/>
            </w:tcBorders>
            <w:vAlign w:val="center"/>
          </w:tcPr>
          <w:p>
            <w:pPr>
              <w:pStyle w:val="117"/>
              <w:rPr>
                <w:rFonts w:ascii="仿宋_GB2312"/>
                <w:kern w:val="2"/>
                <w:sz w:val="21"/>
                <w:szCs w:val="21"/>
              </w:rPr>
            </w:pPr>
            <w:r>
              <w:rPr>
                <w:rFonts w:hint="eastAsia" w:ascii="仿宋_GB2312"/>
                <w:kern w:val="2"/>
                <w:sz w:val="21"/>
                <w:szCs w:val="21"/>
              </w:rPr>
              <w:t>0</w:t>
            </w:r>
          </w:p>
        </w:tc>
        <w:tc>
          <w:tcPr>
            <w:tcW w:w="1985" w:type="dxa"/>
            <w:tcBorders>
              <w:bottom w:val="thinThickSmallGap" w:color="auto" w:sz="24" w:space="0"/>
            </w:tcBorders>
            <w:vAlign w:val="center"/>
          </w:tcPr>
          <w:p>
            <w:pPr>
              <w:pStyle w:val="117"/>
              <w:rPr>
                <w:rFonts w:ascii="仿宋_GB2312"/>
                <w:bCs/>
                <w:caps/>
                <w:kern w:val="2"/>
                <w:sz w:val="21"/>
                <w:szCs w:val="21"/>
              </w:rPr>
            </w:pPr>
            <w:r>
              <w:rPr>
                <w:rFonts w:hint="eastAsia" w:ascii="仿宋_GB2312"/>
                <w:bCs/>
                <w:caps/>
                <w:kern w:val="2"/>
                <w:sz w:val="21"/>
                <w:szCs w:val="21"/>
              </w:rPr>
              <w:t>《危险化学品名录》（2002版</w:t>
            </w:r>
          </w:p>
        </w:tc>
        <w:tc>
          <w:tcPr>
            <w:tcW w:w="1417" w:type="dxa"/>
            <w:tcBorders>
              <w:bottom w:val="thinThickSmallGap" w:color="auto" w:sz="24" w:space="0"/>
            </w:tcBorders>
            <w:vAlign w:val="center"/>
          </w:tcPr>
          <w:p>
            <w:pPr>
              <w:jc w:val="center"/>
              <w:rPr>
                <w:rFonts w:ascii="仿宋_GB2312"/>
                <w:szCs w:val="21"/>
              </w:rPr>
            </w:pPr>
            <w:r>
              <w:rPr>
                <w:rFonts w:hint="eastAsia" w:ascii="仿宋_GB2312"/>
                <w:szCs w:val="21"/>
              </w:rPr>
              <w:t>否</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*代表该种物质临界量确定参考了 GB18218-2014中氧化性物质。**代表该物质临界量参考了《突发环境事件风险物质及临界量清单》有毒物质临界量。本项目氢氧化钠、氯酸钠、盐酸、二氧化氯均不构成重大危险源。</w:t>
      </w:r>
    </w:p>
    <w:p>
      <w:pPr>
        <w:pStyle w:val="89"/>
        <w:ind w:firstLine="0" w:firstLineChars="0"/>
        <w:rPr>
          <w:b/>
          <w:szCs w:val="28"/>
        </w:rPr>
      </w:pPr>
      <w:bookmarkStart w:id="243" w:name="_Toc458674261"/>
      <w:r>
        <w:rPr>
          <w:rFonts w:hint="eastAsia"/>
          <w:b/>
          <w:szCs w:val="28"/>
        </w:rPr>
        <w:t>3</w:t>
      </w:r>
      <w:r>
        <w:rPr>
          <w:b/>
          <w:szCs w:val="28"/>
        </w:rPr>
        <w:t>.4.</w:t>
      </w:r>
      <w:r>
        <w:rPr>
          <w:rFonts w:hint="eastAsia"/>
          <w:b/>
          <w:szCs w:val="28"/>
        </w:rPr>
        <w:t>3</w:t>
      </w:r>
      <w:r>
        <w:rPr>
          <w:b/>
          <w:szCs w:val="28"/>
        </w:rPr>
        <w:t>最大可信事故</w:t>
      </w:r>
      <w:bookmarkEnd w:id="243"/>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最大可信事故是指在所有预测的概率不为零的事故中，对环境（健康）危害最严重的重大事故。其目的是针对典型事故进行环境风险分析，并不意味着其他事故不具环境风险。在项目的生产、贮存、运输等过程中，存在许多事故风险因素，风险评价不可能面面俱到，只能尽可能考虑对环境危害最大的事故风险。</w:t>
      </w:r>
    </w:p>
    <w:p>
      <w:pPr>
        <w:spacing w:line="460" w:lineRule="exact"/>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白涛潘家坝</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最主要的危险单元为盐酸储罐</w:t>
      </w:r>
      <w:r>
        <w:rPr>
          <w:rFonts w:hint="eastAsia" w:cs="仿宋_GB2312" w:asciiTheme="minorEastAsia" w:hAnsiTheme="minorEastAsia" w:eastAsiaTheme="minorEastAsia"/>
          <w:kern w:val="0"/>
          <w:sz w:val="24"/>
          <w:szCs w:val="24"/>
        </w:rPr>
        <w:t>和污水处理设施</w:t>
      </w:r>
      <w:r>
        <w:rPr>
          <w:rFonts w:cs="仿宋_GB2312" w:asciiTheme="minorEastAsia" w:hAnsiTheme="minorEastAsia" w:eastAsiaTheme="minorEastAsia"/>
          <w:kern w:val="0"/>
          <w:sz w:val="24"/>
          <w:szCs w:val="24"/>
        </w:rPr>
        <w:t>，因此最大可信事故为</w:t>
      </w:r>
      <w:r>
        <w:rPr>
          <w:rFonts w:hint="eastAsia" w:cs="仿宋_GB2312" w:asciiTheme="minorEastAsia" w:hAnsiTheme="minorEastAsia" w:eastAsiaTheme="minorEastAsia"/>
          <w:kern w:val="0"/>
          <w:sz w:val="24"/>
          <w:szCs w:val="24"/>
        </w:rPr>
        <w:t>盐酸储罐</w:t>
      </w:r>
      <w:r>
        <w:rPr>
          <w:rFonts w:cs="仿宋_GB2312" w:asciiTheme="minorEastAsia" w:hAnsiTheme="minorEastAsia" w:eastAsiaTheme="minorEastAsia"/>
          <w:kern w:val="0"/>
          <w:sz w:val="24"/>
          <w:szCs w:val="24"/>
        </w:rPr>
        <w:t>阀门和管道泄漏</w:t>
      </w:r>
      <w:r>
        <w:rPr>
          <w:rFonts w:hint="eastAsia" w:cs="仿宋_GB2312" w:asciiTheme="minorEastAsia" w:hAnsiTheme="minorEastAsia" w:eastAsiaTheme="minorEastAsia"/>
          <w:kern w:val="0"/>
          <w:sz w:val="24"/>
          <w:szCs w:val="24"/>
        </w:rPr>
        <w:t>、污水直接排放到地表水体、污水经处理后未达标排入地表水体；</w:t>
      </w:r>
      <w:r>
        <w:rPr>
          <w:rFonts w:cs="仿宋_GB2312" w:asciiTheme="minorEastAsia" w:hAnsiTheme="minorEastAsia" w:eastAsiaTheme="minorEastAsia"/>
          <w:kern w:val="0"/>
          <w:sz w:val="24"/>
          <w:szCs w:val="24"/>
        </w:rPr>
        <w:t>典型事故为阀门和管道出现损坏或腐蚀而发生连续泄漏，造成污染事故</w:t>
      </w:r>
      <w:r>
        <w:rPr>
          <w:rFonts w:hint="eastAsia" w:cs="仿宋_GB2312" w:asciiTheme="minorEastAsia" w:hAnsiTheme="minorEastAsia" w:eastAsiaTheme="minorEastAsia"/>
          <w:kern w:val="0"/>
          <w:sz w:val="24"/>
          <w:szCs w:val="24"/>
        </w:rPr>
        <w:t>；停电、自然灾害、设备设施故障导则厂区内的污水直接进入地表水体、或经处理后未达标进入地表水体，造成污染事故</w:t>
      </w:r>
      <w:r>
        <w:rPr>
          <w:rFonts w:cs="仿宋_GB2312" w:asciiTheme="minorEastAsia" w:hAnsiTheme="minorEastAsia" w:eastAsiaTheme="minorEastAsia"/>
          <w:kern w:val="0"/>
          <w:sz w:val="24"/>
          <w:szCs w:val="24"/>
        </w:rPr>
        <w:t>。</w:t>
      </w:r>
    </w:p>
    <w:p>
      <w:pPr>
        <w:adjustRightInd w:val="0"/>
        <w:snapToGrid w:val="0"/>
        <w:spacing w:line="460" w:lineRule="exact"/>
        <w:outlineLvl w:val="1"/>
        <w:rPr>
          <w:b/>
          <w:color w:val="000000"/>
          <w:sz w:val="28"/>
          <w:szCs w:val="28"/>
        </w:rPr>
      </w:pPr>
      <w:bookmarkStart w:id="244" w:name="_Toc483083895"/>
      <w:bookmarkStart w:id="245" w:name="_Toc458674263"/>
      <w:bookmarkStart w:id="246" w:name="_Toc6531"/>
      <w:r>
        <w:rPr>
          <w:rFonts w:hint="eastAsia"/>
          <w:b/>
          <w:color w:val="000000"/>
          <w:sz w:val="28"/>
          <w:szCs w:val="28"/>
        </w:rPr>
        <w:t>3</w:t>
      </w:r>
      <w:r>
        <w:rPr>
          <w:b/>
          <w:color w:val="000000"/>
          <w:sz w:val="28"/>
          <w:szCs w:val="28"/>
        </w:rPr>
        <w:t>.5企业突发环境事件影响分析</w:t>
      </w:r>
      <w:bookmarkEnd w:id="244"/>
      <w:bookmarkEnd w:id="245"/>
      <w:bookmarkEnd w:id="246"/>
    </w:p>
    <w:p>
      <w:pPr>
        <w:adjustRightInd w:val="0"/>
        <w:snapToGrid w:val="0"/>
        <w:spacing w:line="460" w:lineRule="exact"/>
        <w:outlineLvl w:val="1"/>
        <w:rPr>
          <w:b/>
          <w:color w:val="000000"/>
          <w:sz w:val="28"/>
          <w:szCs w:val="28"/>
        </w:rPr>
      </w:pPr>
      <w:bookmarkStart w:id="247" w:name="_Toc458674262"/>
      <w:bookmarkStart w:id="248" w:name="_Toc483083896"/>
      <w:bookmarkStart w:id="249" w:name="_Toc5410"/>
      <w:r>
        <w:rPr>
          <w:rFonts w:hint="eastAsia"/>
          <w:b/>
          <w:color w:val="000000"/>
          <w:sz w:val="28"/>
          <w:szCs w:val="28"/>
        </w:rPr>
        <w:t>3</w:t>
      </w:r>
      <w:r>
        <w:rPr>
          <w:b/>
          <w:color w:val="000000"/>
          <w:sz w:val="28"/>
          <w:szCs w:val="28"/>
        </w:rPr>
        <w:t>.</w:t>
      </w:r>
      <w:r>
        <w:rPr>
          <w:rFonts w:hint="eastAsia"/>
          <w:b/>
          <w:color w:val="000000"/>
          <w:sz w:val="28"/>
          <w:szCs w:val="28"/>
        </w:rPr>
        <w:t>5</w:t>
      </w:r>
      <w:r>
        <w:rPr>
          <w:b/>
          <w:color w:val="000000"/>
          <w:sz w:val="28"/>
          <w:szCs w:val="28"/>
        </w:rPr>
        <w:t>.</w:t>
      </w:r>
      <w:bookmarkEnd w:id="247"/>
      <w:r>
        <w:rPr>
          <w:rFonts w:hint="eastAsia"/>
          <w:b/>
          <w:color w:val="000000"/>
          <w:sz w:val="28"/>
          <w:szCs w:val="28"/>
        </w:rPr>
        <w:t>1盐酸泄漏影响分析</w:t>
      </w:r>
      <w:bookmarkEnd w:id="248"/>
      <w:bookmarkEnd w:id="249"/>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asciiTheme="minorEastAsia" w:hAnsiTheme="minorEastAsia" w:eastAsiaTheme="minorEastAsia"/>
          <w:sz w:val="24"/>
          <w:szCs w:val="24"/>
        </w:rPr>
        <w:t>白涛潘家坝</w:t>
      </w:r>
      <w:r>
        <w:rPr>
          <w:rFonts w:hint="eastAsia" w:cs="仿宋_GB2312" w:asciiTheme="minorEastAsia" w:hAnsiTheme="minorEastAsia" w:eastAsiaTheme="minorEastAsia"/>
          <w:kern w:val="0"/>
          <w:sz w:val="24"/>
          <w:szCs w:val="24"/>
        </w:rPr>
        <w:t>污水处理厂突发环境事件风险评估报告》，</w:t>
      </w:r>
      <w:r>
        <w:rPr>
          <w:rFonts w:cs="仿宋_GB2312" w:asciiTheme="minorEastAsia" w:hAnsiTheme="minorEastAsia" w:eastAsiaTheme="minorEastAsia"/>
          <w:kern w:val="0"/>
          <w:sz w:val="24"/>
          <w:szCs w:val="24"/>
        </w:rPr>
        <w:t>企业发生盐酸泄漏后30min内最大落地浓度为618.45mg/m3，出现14.6m处（厂界范围内）；同时会出现危险生命和健康（IDLH）浓度，最大影响范围最大约</w:t>
      </w:r>
      <w:r>
        <w:rPr>
          <w:rFonts w:hint="eastAsia" w:cs="仿宋_GB2312" w:asciiTheme="minorEastAsia" w:hAnsiTheme="minorEastAsia" w:eastAsiaTheme="minorEastAsia"/>
          <w:kern w:val="0"/>
          <w:sz w:val="24"/>
          <w:szCs w:val="24"/>
        </w:rPr>
        <w:t>50</w:t>
      </w:r>
      <w:r>
        <w:rPr>
          <w:rFonts w:cs="仿宋_GB2312" w:asciiTheme="minorEastAsia" w:hAnsiTheme="minorEastAsia" w:eastAsiaTheme="minorEastAsia"/>
          <w:kern w:val="0"/>
          <w:sz w:val="24"/>
          <w:szCs w:val="24"/>
        </w:rPr>
        <w:t>m（厂界范围内）。企业周边最近敏感点主要为零星居民，距离企业最近约为</w:t>
      </w:r>
      <w:r>
        <w:rPr>
          <w:rFonts w:hint="eastAsia" w:cs="仿宋_GB2312" w:asciiTheme="minorEastAsia" w:hAnsiTheme="minorEastAsia" w:eastAsiaTheme="minorEastAsia"/>
          <w:kern w:val="0"/>
          <w:sz w:val="24"/>
          <w:szCs w:val="24"/>
        </w:rPr>
        <w:t>500</w:t>
      </w:r>
      <w:r>
        <w:rPr>
          <w:rFonts w:cs="仿宋_GB2312" w:asciiTheme="minorEastAsia" w:hAnsiTheme="minorEastAsia" w:eastAsiaTheme="minorEastAsia"/>
          <w:kern w:val="0"/>
          <w:sz w:val="24"/>
          <w:szCs w:val="24"/>
        </w:rPr>
        <w:t>m，所以在发生泄漏事故时，不需要对周边零星居民进行疏散。</w:t>
      </w:r>
    </w:p>
    <w:p>
      <w:pPr>
        <w:adjustRightInd w:val="0"/>
        <w:snapToGrid w:val="0"/>
        <w:spacing w:line="460" w:lineRule="exact"/>
        <w:outlineLvl w:val="1"/>
        <w:rPr>
          <w:b/>
          <w:color w:val="000000"/>
          <w:sz w:val="28"/>
          <w:szCs w:val="28"/>
        </w:rPr>
      </w:pPr>
      <w:bookmarkStart w:id="250" w:name="_Toc483083897"/>
      <w:bookmarkStart w:id="251" w:name="_Toc10479"/>
      <w:r>
        <w:rPr>
          <w:rFonts w:hint="eastAsia"/>
          <w:b/>
          <w:color w:val="000000"/>
          <w:sz w:val="28"/>
          <w:szCs w:val="28"/>
        </w:rPr>
        <w:t>3</w:t>
      </w:r>
      <w:r>
        <w:rPr>
          <w:b/>
          <w:color w:val="000000"/>
          <w:sz w:val="28"/>
          <w:szCs w:val="28"/>
        </w:rPr>
        <w:t>.</w:t>
      </w:r>
      <w:r>
        <w:rPr>
          <w:rFonts w:hint="eastAsia"/>
          <w:b/>
          <w:color w:val="000000"/>
          <w:sz w:val="28"/>
          <w:szCs w:val="28"/>
        </w:rPr>
        <w:t>5</w:t>
      </w:r>
      <w:r>
        <w:rPr>
          <w:b/>
          <w:color w:val="000000"/>
          <w:sz w:val="28"/>
          <w:szCs w:val="28"/>
        </w:rPr>
        <w:t>.</w:t>
      </w:r>
      <w:r>
        <w:rPr>
          <w:rFonts w:hint="eastAsia"/>
          <w:b/>
          <w:color w:val="000000"/>
          <w:sz w:val="28"/>
          <w:szCs w:val="28"/>
        </w:rPr>
        <w:t>2污水直接排放影响分析</w:t>
      </w:r>
      <w:bookmarkEnd w:id="250"/>
      <w:bookmarkEnd w:id="251"/>
    </w:p>
    <w:p>
      <w:pPr>
        <w:spacing w:line="460" w:lineRule="exact"/>
        <w:ind w:firstLine="480" w:firstLineChars="200"/>
        <w:jc w:val="left"/>
        <w:rPr>
          <w:rFonts w:hint="eastAsia"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asciiTheme="minorEastAsia" w:hAnsiTheme="minorEastAsia" w:eastAsiaTheme="minorEastAsia"/>
          <w:sz w:val="24"/>
          <w:szCs w:val="24"/>
        </w:rPr>
        <w:t>白涛潘家坝</w:t>
      </w:r>
      <w:r>
        <w:rPr>
          <w:rFonts w:hint="eastAsia" w:cs="仿宋_GB2312" w:asciiTheme="minorEastAsia" w:hAnsiTheme="minorEastAsia" w:eastAsiaTheme="minorEastAsia"/>
          <w:kern w:val="0"/>
          <w:sz w:val="24"/>
          <w:szCs w:val="24"/>
        </w:rPr>
        <w:t>污水处理厂突发环境事件风险评估报告》，企业在突发环境事件情况下，污水直接排放到外环境中，三峡175水位（枯水期）、145m水位（丰水期）时，在</w:t>
      </w:r>
      <w:r>
        <w:rPr>
          <w:rFonts w:hint="eastAsia" w:cs="仿宋_GB2312" w:asciiTheme="minorEastAsia" w:hAnsiTheme="minorEastAsia" w:eastAsiaTheme="minorEastAsia"/>
          <w:kern w:val="0"/>
          <w:sz w:val="24"/>
          <w:szCs w:val="24"/>
          <w:lang w:eastAsia="zh-CN"/>
        </w:rPr>
        <w:t>壹</w:t>
      </w:r>
      <w:r>
        <w:rPr>
          <w:rFonts w:hint="eastAsia" w:cs="仿宋_GB2312" w:asciiTheme="minorEastAsia" w:hAnsiTheme="minorEastAsia" w:eastAsiaTheme="minorEastAsia"/>
          <w:kern w:val="0"/>
          <w:sz w:val="24"/>
          <w:szCs w:val="24"/>
        </w:rPr>
        <w:t>期非正常排污情况下，拟建项目排放的COD、氨氮、TP、石油类、挥发酚及氟化物等污染物叠加背景浓度后，乌江中相应污染物浓度有所增加，但经过消解，在下游乌江水泥厂厂取水口处均没有超标，且乌江水泥厂位于对岸，其用水为生产用水，几乎不受影响。</w:t>
      </w:r>
    </w:p>
    <w:p>
      <w:pPr>
        <w:spacing w:line="460" w:lineRule="exact"/>
        <w:ind w:firstLine="480" w:firstLineChars="200"/>
        <w:jc w:val="left"/>
        <w:rPr>
          <w:rFonts w:hint="eastAsia"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由此可见，在近期枯水及丰水期时，污水处理厂在事故排放时，排污口下游评价范围内的水质能满足《地表水质量标准》的Ⅲ类水质标准，但水质虽未出现超标，但营运期间应加强管理，尽量杜绝事故排放。</w:t>
      </w:r>
    </w:p>
    <w:p>
      <w:pPr>
        <w:adjustRightInd w:val="0"/>
        <w:snapToGrid w:val="0"/>
        <w:spacing w:line="460" w:lineRule="exact"/>
        <w:outlineLvl w:val="1"/>
        <w:rPr>
          <w:b/>
          <w:color w:val="000000"/>
          <w:sz w:val="28"/>
          <w:szCs w:val="28"/>
        </w:rPr>
      </w:pPr>
      <w:bookmarkStart w:id="252" w:name="_Toc376848495"/>
      <w:bookmarkStart w:id="253" w:name="_Toc458674265"/>
      <w:bookmarkStart w:id="254" w:name="_Toc483083899"/>
      <w:bookmarkStart w:id="255" w:name="_Toc19073"/>
      <w:r>
        <w:rPr>
          <w:rFonts w:hint="eastAsia"/>
          <w:b/>
          <w:color w:val="000000"/>
          <w:sz w:val="28"/>
          <w:szCs w:val="28"/>
        </w:rPr>
        <w:t>3</w:t>
      </w:r>
      <w:r>
        <w:rPr>
          <w:b/>
          <w:color w:val="000000"/>
          <w:sz w:val="28"/>
          <w:szCs w:val="28"/>
        </w:rPr>
        <w:t>.</w:t>
      </w:r>
      <w:r>
        <w:rPr>
          <w:rFonts w:hint="eastAsia"/>
          <w:b/>
          <w:color w:val="000000"/>
          <w:sz w:val="28"/>
          <w:szCs w:val="28"/>
        </w:rPr>
        <w:t>6</w:t>
      </w:r>
      <w:r>
        <w:rPr>
          <w:b/>
          <w:color w:val="000000"/>
          <w:sz w:val="28"/>
          <w:szCs w:val="28"/>
        </w:rPr>
        <w:t>现有风险防范措施</w:t>
      </w:r>
      <w:bookmarkEnd w:id="252"/>
      <w:bookmarkEnd w:id="253"/>
      <w:bookmarkEnd w:id="254"/>
      <w:bookmarkEnd w:id="255"/>
    </w:p>
    <w:p>
      <w:pPr>
        <w:pStyle w:val="89"/>
        <w:ind w:firstLine="0" w:firstLineChars="0"/>
        <w:rPr>
          <w:b/>
          <w:szCs w:val="28"/>
        </w:rPr>
      </w:pPr>
      <w:bookmarkStart w:id="256" w:name="_Toc346872569"/>
      <w:bookmarkStart w:id="257" w:name="_Toc317088632"/>
      <w:bookmarkStart w:id="258" w:name="_Toc458674266"/>
      <w:r>
        <w:rPr>
          <w:rFonts w:hint="eastAsia"/>
          <w:b/>
          <w:szCs w:val="28"/>
        </w:rPr>
        <w:t>3</w:t>
      </w:r>
      <w:r>
        <w:rPr>
          <w:b/>
          <w:szCs w:val="28"/>
        </w:rPr>
        <w:t>.</w:t>
      </w:r>
      <w:r>
        <w:rPr>
          <w:rFonts w:hint="eastAsia"/>
          <w:b/>
          <w:szCs w:val="28"/>
        </w:rPr>
        <w:t>6</w:t>
      </w:r>
      <w:r>
        <w:rPr>
          <w:b/>
          <w:szCs w:val="28"/>
        </w:rPr>
        <w:t>.1 总体布局</w:t>
      </w:r>
      <w:bookmarkEnd w:id="256"/>
      <w:bookmarkEnd w:id="257"/>
      <w:bookmarkEnd w:id="258"/>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总平面布置中，充分考虑了总体布置的安全性，总图布置较合理，各管线和辅助装置均按功能分区布置，并充分考虑消防和疏散通道问题，有利于风险事故的防范和处理。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总图布置符合GB50016-2006《建筑设计防火规范》和国家现行的“总图运输设计规范”及相关管理规定的要求。</w:t>
      </w:r>
    </w:p>
    <w:p>
      <w:pPr>
        <w:pStyle w:val="89"/>
        <w:ind w:firstLine="0" w:firstLineChars="0"/>
        <w:rPr>
          <w:b/>
          <w:szCs w:val="28"/>
        </w:rPr>
      </w:pPr>
      <w:bookmarkStart w:id="259" w:name="_Toc458674267"/>
      <w:bookmarkStart w:id="260" w:name="_Toc317088633"/>
      <w:bookmarkStart w:id="261" w:name="_Toc346872570"/>
      <w:r>
        <w:rPr>
          <w:rFonts w:hint="eastAsia"/>
          <w:b/>
          <w:szCs w:val="28"/>
        </w:rPr>
        <w:t>3</w:t>
      </w:r>
      <w:r>
        <w:rPr>
          <w:b/>
          <w:szCs w:val="28"/>
        </w:rPr>
        <w:t>.</w:t>
      </w:r>
      <w:r>
        <w:rPr>
          <w:rFonts w:hint="eastAsia"/>
          <w:b/>
          <w:szCs w:val="28"/>
        </w:rPr>
        <w:t>6</w:t>
      </w:r>
      <w:r>
        <w:rPr>
          <w:b/>
          <w:szCs w:val="28"/>
        </w:rPr>
        <w:t xml:space="preserve">.2 </w:t>
      </w:r>
      <w:bookmarkEnd w:id="259"/>
      <w:bookmarkEnd w:id="260"/>
      <w:bookmarkEnd w:id="261"/>
      <w:r>
        <w:rPr>
          <w:rFonts w:hint="eastAsia"/>
          <w:b/>
          <w:szCs w:val="28"/>
        </w:rPr>
        <w:t>盐酸加药间风险防范措施</w:t>
      </w:r>
    </w:p>
    <w:p>
      <w:pPr>
        <w:spacing w:line="460" w:lineRule="exact"/>
        <w:ind w:firstLine="480" w:firstLineChars="200"/>
        <w:jc w:val="left"/>
        <w:rPr>
          <w:rFonts w:cs="仿宋_GB2312" w:asciiTheme="minorEastAsia" w:hAnsiTheme="minorEastAsia" w:eastAsiaTheme="minorEastAsia"/>
          <w:kern w:val="0"/>
          <w:sz w:val="24"/>
          <w:szCs w:val="24"/>
        </w:rPr>
      </w:pPr>
      <w:bookmarkStart w:id="262" w:name="_Toc317088634"/>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各建筑物严格按照GB50016-2006《建筑设计防火规范》及相应规定要求予以设计。盐酸</w:t>
      </w:r>
      <w:r>
        <w:rPr>
          <w:rFonts w:hint="eastAsia" w:cs="仿宋_GB2312" w:asciiTheme="minorEastAsia" w:hAnsiTheme="minorEastAsia" w:eastAsiaTheme="minorEastAsia"/>
          <w:kern w:val="0"/>
          <w:sz w:val="24"/>
          <w:szCs w:val="24"/>
        </w:rPr>
        <w:t>、液碱</w:t>
      </w:r>
      <w:r>
        <w:rPr>
          <w:rFonts w:cs="仿宋_GB2312" w:asciiTheme="minorEastAsia" w:hAnsiTheme="minorEastAsia" w:eastAsiaTheme="minorEastAsia"/>
          <w:kern w:val="0"/>
          <w:sz w:val="24"/>
          <w:szCs w:val="24"/>
        </w:rPr>
        <w:t>储罐采用</w:t>
      </w:r>
      <w:r>
        <w:rPr>
          <w:rFonts w:hint="eastAsia" w:cs="仿宋_GB2312" w:asciiTheme="minorEastAsia" w:hAnsiTheme="minorEastAsia" w:eastAsiaTheme="minorEastAsia"/>
          <w:kern w:val="0"/>
          <w:sz w:val="24"/>
          <w:szCs w:val="24"/>
        </w:rPr>
        <w:t>玻璃钢</w:t>
      </w:r>
      <w:r>
        <w:rPr>
          <w:rFonts w:cs="仿宋_GB2312" w:asciiTheme="minorEastAsia" w:hAnsiTheme="minorEastAsia" w:eastAsiaTheme="minorEastAsia"/>
          <w:kern w:val="0"/>
          <w:sz w:val="24"/>
          <w:szCs w:val="24"/>
        </w:rPr>
        <w:t>体，置于</w:t>
      </w:r>
      <w:r>
        <w:rPr>
          <w:rFonts w:hint="eastAsia" w:cs="仿宋_GB2312" w:asciiTheme="minorEastAsia" w:hAnsiTheme="minorEastAsia" w:eastAsiaTheme="minorEastAsia"/>
          <w:kern w:val="0"/>
          <w:sz w:val="24"/>
          <w:szCs w:val="24"/>
        </w:rPr>
        <w:t>储罐</w:t>
      </w:r>
      <w:r>
        <w:rPr>
          <w:rFonts w:cs="仿宋_GB2312" w:asciiTheme="minorEastAsia" w:hAnsiTheme="minorEastAsia" w:eastAsiaTheme="minorEastAsia"/>
          <w:kern w:val="0"/>
          <w:sz w:val="24"/>
          <w:szCs w:val="24"/>
        </w:rPr>
        <w:t>内，并修建了围堰，地面采用混泥土进行了硬化处理。厂区各处设置了消防栓，安装摆放了消防箱，放置灭火器等。</w:t>
      </w:r>
    </w:p>
    <w:p>
      <w:pPr>
        <w:pStyle w:val="89"/>
        <w:ind w:firstLine="0" w:firstLineChars="0"/>
        <w:rPr>
          <w:b/>
          <w:szCs w:val="28"/>
        </w:rPr>
      </w:pPr>
      <w:bookmarkStart w:id="263" w:name="_Toc346872571"/>
      <w:bookmarkStart w:id="264" w:name="_Toc458674268"/>
      <w:r>
        <w:rPr>
          <w:rFonts w:hint="eastAsia"/>
          <w:b/>
          <w:szCs w:val="28"/>
        </w:rPr>
        <w:t>3</w:t>
      </w:r>
      <w:r>
        <w:rPr>
          <w:b/>
          <w:szCs w:val="28"/>
        </w:rPr>
        <w:t>.</w:t>
      </w:r>
      <w:r>
        <w:rPr>
          <w:rFonts w:hint="eastAsia"/>
          <w:b/>
          <w:szCs w:val="28"/>
        </w:rPr>
        <w:t>6</w:t>
      </w:r>
      <w:r>
        <w:rPr>
          <w:b/>
          <w:szCs w:val="28"/>
        </w:rPr>
        <w:t xml:space="preserve">.3 </w:t>
      </w:r>
      <w:bookmarkEnd w:id="262"/>
      <w:bookmarkEnd w:id="263"/>
      <w:r>
        <w:rPr>
          <w:b/>
          <w:szCs w:val="28"/>
        </w:rPr>
        <w:t>加氯加药间风险防范措施</w:t>
      </w:r>
      <w:bookmarkEnd w:id="264"/>
    </w:p>
    <w:p>
      <w:pPr>
        <w:spacing w:line="460" w:lineRule="exact"/>
        <w:ind w:firstLine="480" w:firstLineChars="200"/>
        <w:jc w:val="left"/>
        <w:rPr>
          <w:rFonts w:cs="仿宋_GB2312" w:asciiTheme="minorEastAsia" w:hAnsiTheme="minorEastAsia" w:eastAsiaTheme="minorEastAsia"/>
          <w:kern w:val="0"/>
          <w:sz w:val="24"/>
          <w:szCs w:val="24"/>
        </w:rPr>
      </w:pPr>
      <w:bookmarkStart w:id="265" w:name="_Toc317088635"/>
      <w:r>
        <w:rPr>
          <w:rFonts w:cs="仿宋_GB2312" w:asciiTheme="minorEastAsia" w:hAnsiTheme="minorEastAsia" w:eastAsiaTheme="minorEastAsia"/>
          <w:kern w:val="0"/>
          <w:sz w:val="24"/>
          <w:szCs w:val="24"/>
        </w:rPr>
        <w:t xml:space="preserve">(1) </w:t>
      </w:r>
      <w:r>
        <w:rPr>
          <w:rFonts w:hint="eastAsia" w:cs="仿宋_GB2312" w:asciiTheme="minorEastAsia" w:hAnsiTheme="minorEastAsia" w:eastAsiaTheme="minorEastAsia"/>
          <w:kern w:val="0"/>
          <w:sz w:val="24"/>
          <w:szCs w:val="24"/>
        </w:rPr>
        <w:t>氯酸钠</w:t>
      </w:r>
      <w:r>
        <w:rPr>
          <w:rFonts w:cs="仿宋_GB2312" w:asciiTheme="minorEastAsia" w:hAnsiTheme="minorEastAsia" w:eastAsiaTheme="minorEastAsia"/>
          <w:kern w:val="0"/>
          <w:sz w:val="24"/>
          <w:szCs w:val="24"/>
        </w:rPr>
        <w:t>储罐设置围堰，围堰、地面进行防渗、防腐措施。</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(2)建立环境管理与风险防范制度，制定环境风险应急预案和落实环境风险防范措施，定期开展应急预案演习，并派专人负责，杜绝跑冒滴漏现象，防止因事故引发环境污染。</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 针对盐酸、二氧化氯泄漏挥发出的氯化氢、二氧化氯气体配备气体监测报警装置。二氧化氯发生器设置了报警开关，一旦发生泄漏开关自动关闭。</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(4) 加氯加药间配备消防应急物资，设置了防毒面具、喷淋中和设施、防护服、防护眼罩、应急灯、堵漏等设施。</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(5)厂区设置风险事故应急撤离路线指示标及风向标、物料标识、危险标识，安装集中监控报警和连锁装置。加强对输送管线、各物料储存场所、闸阀、法兰、各类仪表等部位的检查和校验。</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(6)凡容易发生事故或危及生命安全的场所和设备，以及需要提醒操作人员注意的地点，均按标准设置有各种安全标志，并安装有防爆应急灯。</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(7)涉及危化品操作的人员均配置适量个人防护用具，如过滤式防毒面具、防护服等。</w:t>
      </w:r>
    </w:p>
    <w:p>
      <w:pPr>
        <w:pStyle w:val="89"/>
        <w:ind w:firstLine="0" w:firstLineChars="0"/>
        <w:rPr>
          <w:b/>
          <w:szCs w:val="28"/>
        </w:rPr>
      </w:pPr>
      <w:bookmarkStart w:id="266" w:name="_Toc458674269"/>
      <w:bookmarkStart w:id="267" w:name="_Toc346872572"/>
      <w:r>
        <w:rPr>
          <w:rFonts w:hint="eastAsia"/>
          <w:b/>
          <w:szCs w:val="28"/>
        </w:rPr>
        <w:t>3</w:t>
      </w:r>
      <w:r>
        <w:rPr>
          <w:b/>
          <w:szCs w:val="28"/>
        </w:rPr>
        <w:t>.</w:t>
      </w:r>
      <w:r>
        <w:rPr>
          <w:rFonts w:hint="eastAsia"/>
          <w:b/>
          <w:szCs w:val="28"/>
        </w:rPr>
        <w:t>6</w:t>
      </w:r>
      <w:r>
        <w:rPr>
          <w:b/>
          <w:szCs w:val="28"/>
        </w:rPr>
        <w:t>.4</w:t>
      </w:r>
      <w:bookmarkEnd w:id="265"/>
      <w:r>
        <w:rPr>
          <w:b/>
          <w:szCs w:val="28"/>
        </w:rPr>
        <w:t>污水处理设备风险防范措施</w:t>
      </w:r>
      <w:bookmarkEnd w:id="266"/>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 设置进出水水质在线监测装置，定期监测出水水质，防止污水未达标排放。</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(2)定期对污水治理设施设备进行检查，维护保养，减少设备出现故障概率。</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 配备双回路电源，防止停电发生时</w:t>
      </w:r>
      <w:r>
        <w:rPr>
          <w:rFonts w:hint="eastAsia" w:cs="仿宋_GB2312" w:asciiTheme="minorEastAsia" w:hAnsiTheme="minorEastAsia" w:eastAsiaTheme="minorEastAsia"/>
          <w:kern w:val="0"/>
          <w:sz w:val="24"/>
          <w:szCs w:val="24"/>
          <w:lang w:eastAsia="zh-CN"/>
        </w:rPr>
        <w:t>应</w:t>
      </w:r>
      <w:r>
        <w:rPr>
          <w:rFonts w:cs="仿宋_GB2312" w:asciiTheme="minorEastAsia" w:hAnsiTheme="minorEastAsia" w:eastAsiaTheme="minorEastAsia"/>
          <w:kern w:val="0"/>
          <w:sz w:val="24"/>
          <w:szCs w:val="24"/>
        </w:rPr>
        <w:t>对污水处理设备无法正常运营</w:t>
      </w:r>
      <w:r>
        <w:rPr>
          <w:rFonts w:hint="eastAsia" w:cs="仿宋_GB2312" w:asciiTheme="minorEastAsia" w:hAnsiTheme="minorEastAsia" w:eastAsiaTheme="minorEastAsia"/>
          <w:kern w:val="0"/>
          <w:sz w:val="24"/>
          <w:szCs w:val="24"/>
          <w:lang w:eastAsia="zh-CN"/>
        </w:rPr>
        <w:t>的情况</w:t>
      </w:r>
      <w:r>
        <w:rPr>
          <w:rFonts w:cs="仿宋_GB2312" w:asciiTheme="minorEastAsia" w:hAnsiTheme="minorEastAsia" w:eastAsiaTheme="minorEastAsia"/>
          <w:kern w:val="0"/>
          <w:sz w:val="24"/>
          <w:szCs w:val="24"/>
        </w:rPr>
        <w:t>。</w:t>
      </w:r>
    </w:p>
    <w:p>
      <w:pPr>
        <w:pStyle w:val="89"/>
        <w:ind w:firstLine="0" w:firstLineChars="0"/>
        <w:rPr>
          <w:b/>
          <w:szCs w:val="28"/>
        </w:rPr>
      </w:pPr>
      <w:bookmarkStart w:id="268" w:name="_Toc458674270"/>
      <w:r>
        <w:rPr>
          <w:rFonts w:hint="eastAsia"/>
          <w:b/>
          <w:szCs w:val="28"/>
        </w:rPr>
        <w:t>3</w:t>
      </w:r>
      <w:r>
        <w:rPr>
          <w:b/>
          <w:szCs w:val="28"/>
        </w:rPr>
        <w:t>.</w:t>
      </w:r>
      <w:r>
        <w:rPr>
          <w:rFonts w:hint="eastAsia"/>
          <w:b/>
          <w:szCs w:val="28"/>
        </w:rPr>
        <w:t>6</w:t>
      </w:r>
      <w:r>
        <w:rPr>
          <w:b/>
          <w:szCs w:val="28"/>
        </w:rPr>
        <w:t>.5</w:t>
      </w:r>
      <w:r>
        <w:rPr>
          <w:rFonts w:hint="eastAsia"/>
          <w:b/>
          <w:szCs w:val="28"/>
        </w:rPr>
        <w:t>工艺</w:t>
      </w:r>
      <w:r>
        <w:rPr>
          <w:b/>
          <w:szCs w:val="28"/>
        </w:rPr>
        <w:t>设备</w:t>
      </w:r>
      <w:bookmarkEnd w:id="267"/>
      <w:bookmarkEnd w:id="268"/>
      <w:r>
        <w:rPr>
          <w:rFonts w:hint="eastAsia"/>
          <w:b/>
          <w:szCs w:val="28"/>
        </w:rPr>
        <w:t>保障</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采用先进、成熟、可靠的工艺技术和设备，减少了“跑、冒、滴、漏”；在生产中应加强生产装置的安全管理，按国家规定的有关安全生产的规章制度进行定期检测，做到生产装置不带“病”上岗，保证不泄漏。</w:t>
      </w:r>
    </w:p>
    <w:p>
      <w:pPr>
        <w:pStyle w:val="89"/>
        <w:ind w:firstLine="0" w:firstLineChars="0"/>
        <w:rPr>
          <w:b/>
          <w:szCs w:val="28"/>
        </w:rPr>
      </w:pPr>
      <w:bookmarkStart w:id="269" w:name="_Toc346872573"/>
      <w:bookmarkStart w:id="270" w:name="_Toc458674271"/>
      <w:r>
        <w:rPr>
          <w:rFonts w:hint="eastAsia"/>
          <w:b/>
          <w:szCs w:val="28"/>
        </w:rPr>
        <w:t>3</w:t>
      </w:r>
      <w:r>
        <w:rPr>
          <w:b/>
          <w:szCs w:val="28"/>
        </w:rPr>
        <w:t>.</w:t>
      </w:r>
      <w:r>
        <w:rPr>
          <w:rFonts w:hint="eastAsia"/>
          <w:b/>
          <w:szCs w:val="28"/>
        </w:rPr>
        <w:t>6</w:t>
      </w:r>
      <w:r>
        <w:rPr>
          <w:b/>
          <w:szCs w:val="28"/>
        </w:rPr>
        <w:t>.6 消防依托</w:t>
      </w:r>
      <w:bookmarkEnd w:id="269"/>
      <w:bookmarkEnd w:id="270"/>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组建有自己的义务消防队，由公司当日值班人员组成。接到报警后5min能赶到现场展开应急救援工作。</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厂区配有符合消防要求的消火栓，并配备一定数量的干粉灭火器、消防沙箱，厂区内消防通道道路畅通。</w:t>
      </w:r>
    </w:p>
    <w:p>
      <w:pPr>
        <w:pStyle w:val="89"/>
        <w:ind w:firstLine="0" w:firstLineChars="0"/>
        <w:rPr>
          <w:b/>
          <w:szCs w:val="28"/>
        </w:rPr>
      </w:pPr>
      <w:bookmarkStart w:id="271" w:name="_Toc458674272"/>
      <w:r>
        <w:rPr>
          <w:rFonts w:hint="eastAsia"/>
          <w:b/>
          <w:szCs w:val="28"/>
        </w:rPr>
        <w:t>3</w:t>
      </w:r>
      <w:r>
        <w:rPr>
          <w:b/>
          <w:szCs w:val="28"/>
        </w:rPr>
        <w:t>.</w:t>
      </w:r>
      <w:r>
        <w:rPr>
          <w:rFonts w:hint="eastAsia"/>
          <w:b/>
          <w:szCs w:val="28"/>
        </w:rPr>
        <w:t>6</w:t>
      </w:r>
      <w:r>
        <w:rPr>
          <w:b/>
          <w:szCs w:val="28"/>
        </w:rPr>
        <w:t>.7 生产管理</w:t>
      </w:r>
      <w:bookmarkEnd w:id="271"/>
    </w:p>
    <w:p>
      <w:pPr>
        <w:spacing w:line="460" w:lineRule="exact"/>
        <w:ind w:firstLine="480" w:firstLineChars="200"/>
        <w:jc w:val="left"/>
        <w:rPr>
          <w:rFonts w:cs="仿宋_GB2312" w:asciiTheme="minorEastAsia" w:hAnsiTheme="minorEastAsia" w:eastAsiaTheme="minorEastAsia"/>
          <w:kern w:val="0"/>
          <w:sz w:val="24"/>
          <w:szCs w:val="24"/>
        </w:rPr>
        <w:sectPr>
          <w:pgSz w:w="11906" w:h="16838"/>
          <w:pgMar w:top="1247" w:right="1531" w:bottom="1247" w:left="1531" w:header="851" w:footer="992" w:gutter="0"/>
          <w:cols w:space="425" w:num="1"/>
          <w:docGrid w:type="linesAndChars" w:linePitch="312" w:charSpace="0"/>
        </w:sect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设置了专门的管理机构负责安全、消防和环保的管理工作，制定了完善的管理制度。每个岗位制定有相应的安全操作规程，并在车间上墙，时刻提醒工作人员规范操作。危险化学品操作人员均持证上岗，压力容器作业人员和锅炉作业人员持有特殊工种上岗证。加强对员工的安全、环保意识的教育，实行持证上岗，并配备了完善的消防设施</w:t>
      </w:r>
      <w:r>
        <w:rPr>
          <w:rFonts w:hint="eastAsia" w:cs="仿宋_GB2312" w:asciiTheme="minorEastAsia" w:hAnsiTheme="minorEastAsia" w:eastAsiaTheme="minorEastAsia"/>
          <w:kern w:val="0"/>
          <w:sz w:val="24"/>
          <w:szCs w:val="24"/>
          <w:lang w:eastAsia="zh-CN"/>
        </w:rPr>
        <w:t>。</w:t>
      </w:r>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272" w:name="_Toc15373"/>
      <w:bookmarkStart w:id="273" w:name="_Toc25300"/>
      <w:r>
        <w:rPr>
          <w:rFonts w:hint="eastAsia" w:asciiTheme="minorEastAsia" w:hAnsiTheme="minorEastAsia" w:eastAsiaTheme="minorEastAsia"/>
          <w:b/>
          <w:color w:val="000000"/>
          <w:sz w:val="32"/>
        </w:rPr>
        <w:t>4应急组织及职责</w:t>
      </w:r>
      <w:bookmarkEnd w:id="272"/>
    </w:p>
    <w:p>
      <w:pPr>
        <w:adjustRightInd w:val="0"/>
        <w:snapToGrid w:val="0"/>
        <w:spacing w:line="460" w:lineRule="exact"/>
        <w:outlineLvl w:val="1"/>
        <w:rPr>
          <w:rFonts w:hint="eastAsia"/>
          <w:b/>
          <w:color w:val="000000"/>
          <w:sz w:val="28"/>
          <w:szCs w:val="28"/>
        </w:rPr>
      </w:pPr>
      <w:bookmarkStart w:id="274" w:name="_Toc23824"/>
      <w:r>
        <w:rPr>
          <w:rFonts w:hint="eastAsia"/>
          <w:b/>
          <w:color w:val="000000"/>
          <w:sz w:val="28"/>
          <w:szCs w:val="28"/>
        </w:rPr>
        <w:t>4.1应急组织机构图</w:t>
      </w:r>
      <w:bookmarkEnd w:id="274"/>
    </w:p>
    <w:p>
      <w:pPr>
        <w:ind w:firstLine="480"/>
        <w:rPr>
          <w:rFonts w:ascii="仿宋_GB2312"/>
          <w:b/>
          <w:sz w:val="28"/>
          <w:szCs w:val="28"/>
        </w:rPr>
      </w:pPr>
      <w:r>
        <w:rPr>
          <w:rFonts w:ascii="仿宋_GB2312"/>
        </w:rPr>
        <w:pict>
          <v:group id="组合 44" o:spid="_x0000_s1180" o:spt="203" style="position:absolute;left:0pt;margin-left:23.75pt;margin-top:2.85pt;height:247.05pt;width:397pt;z-index:251707392;mso-width-relative:page;mso-height-relative:page;" coordorigin="2453,1584" coordsize="6247,4305" o:gfxdata="UEsDBAoAAAAAAIdO4kAAAAAAAAAAAAAAAAAEAAAAZHJzL1BLAwQUAAAACACHTuJAIkftytgAAAAI&#10;AQAADwAAAGRycy9kb3ducmV2LnhtbE2PwU7DMBBE70j8g7VI3KhjaGga4lSoAk4VEi0S4raNt0nU&#10;2I5iN2n/nuUEx9kZzb4pVmfbiZGG0HqnQc0SEOQqb1pXa/jcvd5lIEJEZ7DzjjRcKMCqvL4qMDd+&#10;ch80bmMtuMSFHDU0Mfa5lKFqyGKY+Z4cewc/WIwsh1qaAScut528T5JHabF1/KHBntYNVcftyWp4&#10;m3B6flAv4+Z4WF++d+n710aR1rc3KnkCEekc/8Lwi8/oUDLT3p+cCaLTMF+knNSQLkCwnc0V6z3f&#10;l8sMZFnI/wPKH1BLAwQUAAAACACHTuJA8AUuWWEEAAAPIQAADgAAAGRycy9lMm9Eb2MueG1s7VrN&#10;buM2EL4X6DsQujeWaFGShTh72GxyWbSLbts7I1E/gP5AKrFz76HHvk+fp+hrdDiUZMV2bGMXu3XX&#10;ysGRTIocDj9938zQ12/WZUGehFR5XS0t58q2iKiiOs6rdGn9+svdD4FFVMurmBd1JZbWs1DWm5vv&#10;v7teNaGgdVYXsZAEBqlUuGqWVta2TTibqSgTJVdXdSMqaExqWfIWbmU6iyVfwehlMaO27c1WtYwb&#10;WUdCKfj21jRaNzh+koio/SlJlGhJsbTAthY/JX4+6M/ZzTUPU8mbLI86M/gnWFHyvIJJh6FuecvJ&#10;o8x3hirzSNaqTtqrqC5ndZLkkcA1wGoce2s197J+bHAtabhKm8FN4NotP33ysNGPTx8kyeOlxXyL&#10;VLyEPfrnr9///vMP4rraO6smDaHTvWw+Nh9k90Vq7vSC14ks9X9YClmjX58Hv4p1SyL4ktmus7DB&#10;/RG0zZ25z+bMeD7KYHv0c9Rlc4tAs8MCnJeHUfaue96jLhinH3bnNj456yeeafsGc1YNoEhtHKU+&#10;z1EfM94I9L/SPugcBbZ3jvoZ4MWrtBDEQ6v09NBvcJQKFfhsj5fmATWrdR3PM54YfOV2fnJ8Z66b&#10;hqXysJGqvRd1SfTF0pIwPYKOP71Xrenad9GTqrrI47u8KPBGpg9vC0meOLwJd/jXjf6iW1GR1dJa&#10;MAqLjDi8kEnBW7gsG4CIqlKc78UTajywjX/7BtaG3XKVGQNwBLPwMm+FBON5mAkev6ti0j43gMIK&#10;+MLSxpQitkghgF70FfZseV6c0hN8V1TgQr0xZiv0Vbt+WMMw+vKhjp9hWx8bmacZuNRB03ULwMh0&#10;+fJ48vbgCVGh7TgJT4x6Dr49ruNPeLp0PA1E/j6vBPFR5Doova06Du/fB8OjJCny5jcNf/0edlRO&#10;fXeBoAK+Xpj3biApT+NNEzIO/jpFFWDBIYr6+nTztUjmLJgFgi8j6QYJnaAjqbyChNH+M+YCM2nF&#10;9lkn1/3+d5vvUsOXvRjvKNS3s/2tzFHp9yvSfp05BwjowGkMgXGcchwCru2bOOV1CNgIqktggP8t&#10;BLZYYBxaHIcAqIAJLV6HwMQCJi49YxYAIR+zAMr54ZBgJATewqe9EGBKwsMtIZgvAgycJyHYm3Cc&#10;gxAwSCtHEAhOiApHEAhcu48FXfoyFuxjAehgUtC+ItCnol22OsUC/3WiyWCrDAQ2hYvA17t2cqKJ&#10;+eXLMk1PBdSnIDQ6J2DBVLi4hMIFA1XYwRMKwel4otRICw1sROJGWqgXQBPiCeTnILVMhbBjJbP9&#10;ocmZFcJ0BXgbTwvc+pPxNJSRXWenZrEprNIjVYsJT98Gntw9eBrXQI4X6gPHg7hJHzw4JmLa8BMb&#10;8ATx8cRPF1CohyrYLj+NCyrH8eT5GjWIJ39L7zZ48u1J7y4ifhoOfrA8a3Lok7NyxroTU+p4W1Dq&#10;UzLocDBumlKyAykZnizDqTuewHa/ENDH+uN7PFrc/I7h5l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SBgAAW0NvbnRlbnRfVHlwZXNdLnhtbFBL&#10;AQIUAAoAAAAAAIdO4kAAAAAAAAAAAAAAAAAGAAAAAAAAAAAAEAAAALQFAABfcmVscy9QSwECFAAU&#10;AAAACACHTuJAihRmPNEAAACUAQAACwAAAAAAAAABACAAAADYBQAAX3JlbHMvLnJlbHNQSwECFAAK&#10;AAAAAACHTuJAAAAAAAAAAAAAAAAABAAAAAAAAAAAABAAAAAAAAAAZHJzL1BLAQIUABQAAAAIAIdO&#10;4kAiR+3K2AAAAAgBAAAPAAAAAAAAAAEAIAAAACIAAABkcnMvZG93bnJldi54bWxQSwECFAAUAAAA&#10;CACHTuJA8AUuWWEEAAAPIQAADgAAAAAAAAABACAAAAAnAQAAZHJzL2Uyb0RvYy54bWxQSwUGAAAA&#10;AAYABgBZAQAA+gcAAAAA&#10;">
            <o:lock v:ext="edit" aspectratio="f"/>
            <v:rect id="Rectangle 65" o:spid="_x0000_s1166" o:spt="1" style="position:absolute;left:3823;top:4166;height:1713;width:540;" fillcolor="#FFFFFF" filled="t" stroked="t" coordsize="21600,21600" o:gfxdata="UEsDBAoAAAAAAIdO4kAAAAAAAAAAAAAAAAAEAAAAZHJzL1BLAwQUAAAACACHTuJA3l7habwAAADb&#10;AAAADwAAAGRycy9kb3ducmV2LnhtbEWPQYvCMBSE78L+h/AWvGmi4qLV6GFF0aPWi7dn82zrNi+l&#10;idrdX2+EBY/DzHzDzJetrcSdGl861jDoKxDEmTMl5xqO6bo3AeEDssHKMWn4JQ/LxUdnjolxD97T&#10;/RByESHsE9RQhFAnUvqsIIu+72ri6F1cYzFE2eTSNPiIcFvJoVJf0mLJcaHAmr4Lyn4ON6vhXA6P&#10;+LdPN8pO16Owa9Pr7bTSuvs5UDMQgdrwDv+3t0bDaAy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5e4Wm8AAAA&#10;2wAAAA8AAAAAAAAAAQAgAAAAIgAAAGRycy9kb3ducmV2LnhtbFBLAQIUABQAAAAIAIdO4kAzLwWe&#10;OwAAADkAAAAQAAAAAAAAAAEAIAAAAAsBAABkcnMvc2hhcGV4bWwueG1sUEsFBgAAAAAGAAYAWwEA&#10;ALUDAAAAAA==&#10;">
              <v:path/>
              <v:fill on="t" focussize="0,0"/>
              <v:stroke color="#000000" joinstyle="miter"/>
              <v:imagedata o:title=""/>
              <o:lock v:ext="edit" aspectratio="f"/>
              <v:textbox>
                <w:txbxContent>
                  <w:p>
                    <w:pPr>
                      <w:pStyle w:val="117"/>
                      <w:rPr>
                        <w:rFonts w:ascii="宋体" w:hAnsi="宋体" w:eastAsia="宋体"/>
                      </w:rPr>
                    </w:pPr>
                    <w:r>
                      <w:rPr>
                        <w:rFonts w:hint="eastAsia" w:ascii="宋体" w:hAnsi="宋体" w:eastAsia="宋体"/>
                      </w:rPr>
                      <w:t>医疗救护组</w:t>
                    </w:r>
                  </w:p>
                </w:txbxContent>
              </v:textbox>
            </v:rect>
            <v:rect id="Rectangle 66" o:spid="_x0000_s1167" o:spt="1" style="position:absolute;left:5261;top:4176;height:1713;width:540;" fillcolor="#FFFFFF" filled="t" stroked="t" coordsize="21600,21600" o:gfxdata="UEsDBAoAAAAAAIdO4kAAAAAAAAAAAAAAAAAEAAAAZHJzL1BLAwQUAAAACACHTuJALox/Hr0AAADb&#10;AAAADwAAAGRycy9kb3ducmV2LnhtbEWPwW7CMBBE75X4B2uRemtsQEJtiOEAArVHCJfelnhJAvE6&#10;ik2S9uvrSpV6HM3MG022GW0jeup87VjDLFEgiAtnai41nPP9yysIH5ANNo5Jwxd52KwnTxmmxg18&#10;pP4UShEh7FPUUIXQplL6oiKLPnEtcfSurrMYouxKaTocItw2cq7UUlqsOS5U2NK2ouJ+elgNl3p+&#10;xu9jflD2bb8IH2N+e3zutH6eztQKRKAx/If/2u9Gw2IJ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jH8evQAA&#10;ANs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pStyle w:val="117"/>
                      <w:rPr>
                        <w:rFonts w:ascii="宋体" w:hAnsi="宋体" w:eastAsia="宋体"/>
                      </w:rPr>
                    </w:pPr>
                    <w:r>
                      <w:rPr>
                        <w:rFonts w:hint="eastAsia" w:ascii="宋体" w:hAnsi="宋体" w:eastAsia="宋体"/>
                      </w:rPr>
                      <w:t>警戒保卫组</w:t>
                    </w:r>
                  </w:p>
                </w:txbxContent>
              </v:textbox>
            </v:rect>
            <v:line id="Line 70" o:spid="_x0000_s1168" o:spt="20" style="position:absolute;left:2749;top:3759;flip:y;height:0;width:5661;" filled="f" stroked="t" coordsize="21600,21600" o:gfxdata="UEsDBAoAAAAAAIdO4kAAAAAAAAAAAAAAAAAEAAAAZHJzL1BLAwQUAAAACACHTuJA0m4qlr0AAADb&#10;AAAADwAAAGRycy9kb3ducmV2LnhtbEWPQWvCQBSE74L/YXmF3uquClVTN0HElkJBMEbPz+xrEpp9&#10;G7LbaP99t1DwOMzMN8w6u9lWDNT7xrGG6USBIC6dabjSUBxfn5YgfEA22DomDT/kIUvHozUmxl35&#10;QEMeKhEh7BPUUIfQJVL6siaLfuI64uh9ut5iiLKvpOnxGuG2lTOlnqXFhuNCjR1tayq/8m+rYXP+&#10;2M33w8W61qyq4mRsod5mWj8+TNULiEC3cA//t9+Nhvk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biqW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74" o:spid="_x0000_s1169" o:spt="20" style="position:absolute;left:5546;top:3755;height:421;width:1;" filled="f" stroked="t" coordsize="21600,21600" o:gfxdata="UEsDBAoAAAAAAIdO4kAAAAAAAAAAAAAAAAAEAAAAZHJzL1BLAwQUAAAACACHTuJA3GqszbsAAADb&#10;AAAADwAAAGRycy9kb3ducmV2LnhtbEVPy4rCMBTdC/MP4Q6407QKUjpGF4KDoKP4YNDdpbm2ZZqb&#10;kkTt/L1ZCC4P5z2dd6YRd3K+tqwgHSYgiAuray4VnI7LQQbCB2SNjWVS8E8e5rOP3hRzbR+8p/sh&#10;lCKGsM9RQRVCm0vpi4oM+qFtiSN3tc5giNCVUjt8xHDTyFGSTKTBmmNDhS0tKir+DjejYL9ZrrPf&#10;9a0r3OU73R53m5+zz5Tqf6bJF4hAXXiLX+6VVjCOY+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GqszbsAAADb&#10;AAAADwAAAAAAAAABACAAAAAiAAAAZHJzL2Rvd25yZXYueG1sUEsBAhQAFAAAAAgAh07iQDMvBZ47&#10;AAAAOQAAABAAAAAAAAAAAQAgAAAACgEAAGRycy9zaGFwZXhtbC54bWxQSwUGAAAAAAYABgBbAQAA&#10;tAMAAAAA&#10;">
              <v:path arrowok="t"/>
              <v:fill on="f" focussize="0,0"/>
              <v:stroke color="#000000" joinstyle="round" endarrow="block"/>
              <v:imagedata o:title=""/>
              <o:lock v:ext="edit" aspectratio="f"/>
            </v:line>
            <v:line id="Line 75" o:spid="_x0000_s1170" o:spt="20" style="position:absolute;left:4073;top:3755;height:404;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line id="Line 76" o:spid="_x0000_s1171" o:spt="20" style="position:absolute;left:2741;top:3755;height:421;width:1;" filled="f" stroked="t" coordsize="21600,21600" o:gfxdata="UEsDBAoAAAAAAIdO4kAAAAAAAAAAAAAAAAAEAAAAZHJzL1BLAwQUAAAACACHTuJAhGzfsLsAAADb&#10;AAAADwAAAGRycy9kb3ducmV2LnhtbEVPy4rCMBTdC/MP4Q6407QiUjpGF4KDoKP4YNDdpbm2ZZqb&#10;kkTt/L1ZCC4P5z2dd6YRd3K+tqwgHSYgiAuray4VnI7LQQbCB2SNjWVS8E8e5rOP3hRzbR+8p/sh&#10;lCKGsM9RQRVCm0vpi4oM+qFtiSN3tc5giNCVUjt8xHDTyFGSTKTBmmNDhS0tKir+DjejYL9ZrrPf&#10;9a0r3OU73R53m5+zz5Tqf6bJF4hAXXiLX+6VVjCOY+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GzfsLsAAADb&#10;AAAADwAAAAAAAAABACAAAAAiAAAAZHJzL2Rvd25yZXYueG1sUEsBAhQAFAAAAAgAh07iQDMvBZ47&#10;AAAAOQAAABAAAAAAAAAAAQAgAAAACgEAAGRycy9zaGFwZXhtbC54bWxQSwUGAAAAAAYABgBbAQAA&#10;tAMAAAAA&#10;">
              <v:path arrowok="t"/>
              <v:fill on="f" focussize="0,0"/>
              <v:stroke color="#000000" joinstyle="round" endarrow="block"/>
              <v:imagedata o:title=""/>
              <o:lock v:ext="edit" aspectratio="f"/>
            </v:line>
            <v:line id="Line 79" o:spid="_x0000_s1172" o:spt="20" style="position:absolute;left:6972;top:3753;height:398;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line id="Line 80" o:spid="_x0000_s1173" o:spt="20" style="position:absolute;left:8409;top:3742;height:409;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path arrowok="t"/>
              <v:fill on="f" focussize="0,0"/>
              <v:stroke color="#000000" joinstyle="round" endarrow="block"/>
              <v:imagedata o:title=""/>
              <o:lock v:ext="edit" aspectratio="f"/>
            </v:line>
            <v:rect id="Rectangle 87" o:spid="_x0000_s1174" o:spt="1" style="position:absolute;left:4176;top:1584;height:583;width:2728;" fillcolor="#FFFFFF" filled="t" stroked="t" coordsize="21600,21600" o:gfxdata="UEsDBAoAAAAAAIdO4kAAAAAAAAAAAAAAAAAEAAAAZHJzL1BLAwQUAAAACACHTuJAfLoCyr0AAADb&#10;AAAADwAAAGRycy9kb3ducmV2LnhtbEWPwW7CMBBE70j8g7VIvYEdK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ugLKvQAA&#10;ANs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pStyle w:val="117"/>
                      <w:rPr>
                        <w:rFonts w:ascii="宋体" w:hAnsi="宋体" w:eastAsia="宋体"/>
                        <w:sz w:val="24"/>
                      </w:rPr>
                    </w:pPr>
                    <w:r>
                      <w:rPr>
                        <w:rFonts w:ascii="宋体" w:hAnsi="宋体" w:eastAsia="宋体"/>
                        <w:sz w:val="24"/>
                      </w:rPr>
                      <w:t xml:space="preserve"> </w:t>
                    </w:r>
                    <w:r>
                      <w:rPr>
                        <w:rFonts w:hint="eastAsia" w:ascii="宋体" w:hAnsi="宋体" w:eastAsia="宋体"/>
                      </w:rPr>
                      <w:t>公司应急救援总指挥部</w:t>
                    </w:r>
                  </w:p>
                </w:txbxContent>
              </v:textbox>
            </v:rect>
            <v:rect id="Rectangle 88" o:spid="_x0000_s1175" o:spt="1" style="position:absolute;left:4222;top:2807;height:572;width:2682;" fillcolor="#FFFFFF" filled="t" stroked="t" coordsize="21600,21600" o:gfxdata="UEsDBAoAAAAAAIdO4kAAAAAAAAAAAAAAAAAEAAAAZHJzL1BLAwQUAAAACACHTuJAjGicvb0AAADb&#10;AAAADwAAAGRycy9kb3ducmV2LnhtbEWPwW7CMBBE75X4B2uReit2UhWVgMOhFVV7hHDpbYmXJBCv&#10;o9hA4OvrSkgcRzPzRrNYDrYVZ+p941hDMlEgiEtnGq40bIvVyzsIH5ANto5Jw5U8LPPR0wIz4y68&#10;pvMmVCJC2GeooQ6hy6T0ZU0W/cR1xNHbu95iiLKvpOnxEuG2lalSU2mx4bhQY0cfNZXHzclq2DXp&#10;Fm/r4kvZ2eo1/AzF4fT7qfXzOFFzEIGG8Ajf299Gw1sK/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aJy9vQAA&#10;ANs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pStyle w:val="117"/>
                      <w:rPr>
                        <w:rFonts w:ascii="宋体" w:hAnsi="宋体" w:eastAsia="宋体"/>
                      </w:rPr>
                    </w:pPr>
                    <w:r>
                      <w:rPr>
                        <w:rFonts w:ascii="宋体" w:hAnsi="宋体" w:eastAsia="宋体"/>
                        <w:sz w:val="24"/>
                      </w:rPr>
                      <w:t xml:space="preserve"> </w:t>
                    </w:r>
                    <w:r>
                      <w:rPr>
                        <w:rFonts w:hint="eastAsia" w:ascii="宋体" w:hAnsi="宋体" w:eastAsia="宋体"/>
                      </w:rPr>
                      <w:t>公司应急救援办公室</w:t>
                    </w:r>
                  </w:p>
                </w:txbxContent>
              </v:textbox>
            </v:rect>
            <v:rect id="Rectangle 92" o:spid="_x0000_s1176" o:spt="1" style="position:absolute;left:2453;top:4159;height:1720;width:540;" fillcolor="#FFFFFF" filled="t" stroked="t" coordsize="21600,21600" o:gfxdata="UEsDBAoAAAAAAIdO4kAAAAAAAAAAAAAAAAAEAAAAZHJzL1BLAwQUAAAACACHTuJA4yQ5JrwAAADb&#10;AAAADwAAAGRycy9kb3ducmV2LnhtbEWPQYvCMBSE78L+h/AWvGmi4qLV6GFF0aPWi7dn82zrNi+l&#10;idrdX2+EBY/DzHzDzJetrcSdGl861jDoKxDEmTMl5xqO6bo3AeEDssHKMWn4JQ/LxUdnjolxD97T&#10;/RByESHsE9RQhFAnUvqsIIu+72ri6F1cYzFE2eTSNPiIcFvJoVJf0mLJcaHAmr4Lyn4ON6vhXA6P&#10;+LdPN8pO16Owa9Pr7bTSuvs5UDMQgdrwDv+3t0bDeAS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kOSa8AAAA&#10;2wAAAA8AAAAAAAAAAQAgAAAAIgAAAGRycy9kb3ducmV2LnhtbFBLAQIUABQAAAAIAIdO4kAzLwWe&#10;OwAAADkAAAAQAAAAAAAAAAEAIAAAAAsBAABkcnMvc2hhcGV4bWwueG1sUEsFBgAAAAAGAAYAWwEA&#10;ALUDAAAAAA==&#10;">
              <v:path/>
              <v:fill on="t" focussize="0,0"/>
              <v:stroke color="#000000" joinstyle="miter"/>
              <v:imagedata o:title=""/>
              <o:lock v:ext="edit" aspectratio="f"/>
              <v:textbox>
                <w:txbxContent>
                  <w:p>
                    <w:pPr>
                      <w:pStyle w:val="117"/>
                      <w:rPr>
                        <w:rFonts w:ascii="宋体" w:hAnsi="宋体" w:eastAsia="宋体"/>
                      </w:rPr>
                    </w:pPr>
                    <w:r>
                      <w:rPr>
                        <w:rFonts w:hint="eastAsia" w:ascii="宋体" w:hAnsi="宋体" w:eastAsia="宋体"/>
                      </w:rPr>
                      <w:t>抢险救灾组</w:t>
                    </w:r>
                  </w:p>
                </w:txbxContent>
              </v:textbox>
            </v:rect>
            <v:rect id="Rectangle 94" o:spid="_x0000_s1177" o:spt="1" style="position:absolute;left:8160;top:4180;height:1697;width:540;" fillcolor="#FFFFFF" filled="t" stroked="t" coordsize="21600,21600" o:gfxdata="UEsDBAoAAAAAAIdO4kAAAAAAAAAAAAAAAAAEAAAAZHJzL1BLAwQUAAAACACHTuJAbM2hUr0AAADb&#10;AAAADwAAAGRycy9kb3ducmV2LnhtbEWPwW7CMBBE70j9B2srcQMbaBEEDIdWVOUI4cJtiZckEK+j&#10;2EDK12OkShxHM/NGM1+2thJXanzpWMOgr0AQZ86UnGvYpaveBIQPyAYrx6ThjzwsF2+dOSbG3XhD&#10;123IRYSwT1BDEUKdSOmzgiz6vquJo3d0jcUQZZNL0+Atwm0lh0qNpcWS40KBNX0VlJ23F6vhUA53&#10;eN+kP8pOV6OwbtPTZf+tdfd9oGYgArXhFf5v/xoNnx/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zaFSvQAA&#10;ANs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pStyle w:val="117"/>
                      <w:rPr>
                        <w:rFonts w:ascii="宋体" w:hAnsi="宋体" w:eastAsia="宋体"/>
                      </w:rPr>
                    </w:pPr>
                    <w:r>
                      <w:rPr>
                        <w:rFonts w:hint="eastAsia" w:ascii="宋体" w:hAnsi="宋体" w:eastAsia="宋体"/>
                      </w:rPr>
                      <w:t>综合协调组</w:t>
                    </w:r>
                  </w:p>
                </w:txbxContent>
              </v:textbox>
            </v:rect>
            <v:rect id="Rectangle 95" o:spid="_x0000_s1178" o:spt="1" style="position:absolute;left:6740;top:4177;height:1702;width:540;" fillcolor="#FFFFFF" filled="t" stroked="t" coordsize="21600,21600" o:gfxdata="UEsDBAoAAAAAAIdO4kAAAAAAAAAAAAAAAAAEAAAAZHJzL1BLAwQUAAAACACHTuJAA4EEyb4AAADb&#10;AAAADwAAAGRycy9kb3ducmV2LnhtbEWPwW7CMBBE75X4B2uReis2VFR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EEyb4A&#10;AADbAAAADwAAAAAAAAABACAAAAAiAAAAZHJzL2Rvd25yZXYueG1sUEsBAhQAFAAAAAgAh07iQDMv&#10;BZ47AAAAOQAAABAAAAAAAAAAAQAgAAAADQEAAGRycy9zaGFwZXhtbC54bWxQSwUGAAAAAAYABgBb&#10;AQAAtwMAAAAA&#10;">
              <v:path/>
              <v:fill on="t" focussize="0,0"/>
              <v:stroke color="#000000" joinstyle="miter"/>
              <v:imagedata o:title=""/>
              <o:lock v:ext="edit" aspectratio="f"/>
              <v:textbox>
                <w:txbxContent>
                  <w:p>
                    <w:pPr>
                      <w:pStyle w:val="117"/>
                      <w:rPr>
                        <w:rFonts w:ascii="宋体" w:hAnsi="宋体" w:eastAsia="宋体"/>
                      </w:rPr>
                    </w:pPr>
                    <w:r>
                      <w:rPr>
                        <w:rFonts w:hint="eastAsia" w:ascii="宋体" w:hAnsi="宋体" w:eastAsia="宋体"/>
                      </w:rPr>
                      <w:t>环境监测组</w:t>
                    </w:r>
                  </w:p>
                </w:txbxContent>
              </v:textbox>
            </v:rect>
            <v:line id="Line 98" o:spid="_x0000_s1179" o:spt="20" style="position:absolute;left:5553;top:2167;height:453;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group>
        </w:pict>
      </w:r>
    </w:p>
    <w:p>
      <w:pPr>
        <w:ind w:firstLine="560"/>
        <w:rPr>
          <w:rFonts w:ascii="仿宋_GB2312"/>
          <w:sz w:val="28"/>
          <w:szCs w:val="28"/>
        </w:rPr>
      </w:pPr>
    </w:p>
    <w:p>
      <w:pPr>
        <w:ind w:firstLine="560"/>
        <w:rPr>
          <w:rFonts w:ascii="仿宋_GB2312"/>
          <w:sz w:val="28"/>
          <w:szCs w:val="28"/>
        </w:rPr>
      </w:pPr>
    </w:p>
    <w:p>
      <w:pPr>
        <w:ind w:firstLine="480"/>
        <w:rPr>
          <w:rFonts w:ascii="仿宋_GB2312"/>
          <w:sz w:val="28"/>
          <w:szCs w:val="28"/>
        </w:rPr>
      </w:pPr>
      <w:r>
        <w:rPr>
          <w:rFonts w:ascii="仿宋_GB2312"/>
        </w:rPr>
        <w:pict>
          <v:shape id="自选图形 59" o:spid="_x0000_s1181" o:spt="32" type="#_x0000_t32" style="position:absolute;left:0pt;flip:x;margin-left:220.2pt;margin-top:25.1pt;height:20.85pt;width:0.1pt;z-index:251708416;mso-width-relative:page;mso-height-relative:page;" filled="f" stroked="t" coordsize="21600,21600" o:gfxdata="UEsDBAoAAAAAAIdO4kAAAAAAAAAAAAAAAAAEAAAAZHJzL1BLAwQUAAAACACHTuJAaJt33tkAAAAJ&#10;AQAADwAAAGRycy9kb3ducmV2LnhtbE2PwU7DMAyG70i8Q2QkLoglrbpp65ruAAxOaKKMe9Z6bbXG&#10;qZpsa98ec2JH259+f3+2GW0nLjj41pGGaKZAIJWuaqnWsP/ePi9B+GCoMp0j1DChh01+f5eZtHJX&#10;+sJLEWrBIeRTo6EJoU+l9GWD1viZ65H4dnSDNYHHoZbVYK4cbjsZK7WQ1rTEHxrT40uD5ak4Ww2v&#10;xW6+/Xnaj/FUfnwW78vTjqY3rR8fIrUGEXAM/zD86bM65Ox0cGeqvOg0JIlKGNUwVzEIBnixAHHQ&#10;sIpWIPNM3jbIfwFQSwMEFAAAAAgAh07iQF4SHwzrAQAApwMAAA4AAABkcnMvZTJvRG9jLnhtbK1T&#10;S44TMRDdI3EHy3vSSUTPkFY6s0gYWCCIBHOAij/dlvyTbdLJjh3iDOxYcge4zUhwC8ruTIaP2CB6&#10;YZVdr15VvapeXh2MJnsRonK2pbPJlBJhmePKdi29eXP96AklMYHloJ0VLT2KSK9WDx8sB9+Iueud&#10;5iIQJLGxGXxL+5R8U1WR9cJAnDgvLDqlCwYSXkNX8QADshtdzafTi2pwgfvgmIgRXzejk64Kv5SC&#10;pVdSRpGIbinWlsoZyrnLZ7VaQtMF8L1ipzLgH6owoCwmPVNtIAF5G9QfVEax4KKTacKcqZyUionS&#10;A3Yzm/7WzesevCi9oDjRn2WK/4+WvdxvA1G8pTVOyoLBGX17//n7uw+3H7/efvlE6kXWaPCxQeja&#10;bsPpFv025IYPMhgitfLPcfxFAmyKHIrCx7PC4pAIw8fZ/BKnwNAxv3h8uagzdzWSZDIfYnomnCHZ&#10;aGlMAVTXp7WzFifpwpgA9i9iGgPvAnKwtmRo6aKe15gBcJekhoSm8dhdtF0pLjqt+LXSOkfE0O3W&#10;OpA95O0o36mgX2A5yQZiP+KKK8Og6QXwp5aTdPQom8UFp7kEIzglWuD/kK2CTKD0PTIFBbbTf0Gj&#10;HtqiLFnzUeVs7Rw/FvHLO25DEe60uXndfr6X6Pv/a/U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Jt33tkAAAAJAQAADwAAAAAAAAABACAAAAAiAAAAZHJzL2Rvd25yZXYueG1sUEsBAhQAFAAAAAgA&#10;h07iQF4SHwzrAQAApwMAAA4AAAAAAAAAAQAgAAAAKAEAAGRycy9lMm9Eb2MueG1sUEsFBgAAAAAG&#10;AAYAWQEAAIUFAAAAAA==&#10;">
            <v:path arrowok="t"/>
            <v:fill on="f" focussize="0,0"/>
            <v:stroke color="#000000" joinstyle="round" endarrow="block"/>
            <v:imagedata o:title=""/>
            <o:lock v:ext="edit" aspectratio="f"/>
          </v:shape>
        </w:pict>
      </w:r>
    </w:p>
    <w:p>
      <w:pPr>
        <w:ind w:firstLine="560"/>
        <w:rPr>
          <w:rFonts w:ascii="仿宋_GB2312"/>
          <w:sz w:val="28"/>
          <w:szCs w:val="28"/>
        </w:rPr>
      </w:pPr>
    </w:p>
    <w:p>
      <w:pPr>
        <w:ind w:firstLine="560"/>
        <w:rPr>
          <w:rFonts w:ascii="仿宋_GB2312"/>
          <w:sz w:val="28"/>
          <w:szCs w:val="28"/>
        </w:rPr>
      </w:pPr>
    </w:p>
    <w:p>
      <w:pPr>
        <w:ind w:firstLine="560"/>
        <w:rPr>
          <w:rFonts w:ascii="仿宋_GB2312"/>
          <w:sz w:val="28"/>
          <w:szCs w:val="28"/>
        </w:rPr>
      </w:pPr>
    </w:p>
    <w:p>
      <w:pPr>
        <w:ind w:firstLine="560"/>
        <w:rPr>
          <w:rFonts w:ascii="仿宋_GB2312"/>
          <w:sz w:val="28"/>
          <w:szCs w:val="28"/>
        </w:rPr>
      </w:pPr>
    </w:p>
    <w:p>
      <w:pPr>
        <w:spacing w:line="460" w:lineRule="exact"/>
        <w:ind w:firstLine="0" w:firstLineChars="0"/>
        <w:jc w:val="center"/>
        <w:rPr>
          <w:rFonts w:ascii="仿宋_GB2312" w:hAnsi="楷体" w:cs="楷体"/>
          <w:b/>
          <w:sz w:val="28"/>
          <w:szCs w:val="28"/>
          <w:lang w:val="en-US"/>
        </w:rPr>
      </w:pPr>
      <w:r>
        <w:rPr>
          <w:rFonts w:hint="eastAsia" w:ascii="仿宋_GB2312"/>
        </w:rPr>
        <w:t>应急组织机构图</w:t>
      </w:r>
      <w:r>
        <w:rPr>
          <w:rFonts w:hint="eastAsia" w:ascii="仿宋_GB2312"/>
          <w:lang w:val="en-US" w:eastAsia="zh-CN"/>
        </w:rPr>
        <w:t>4</w:t>
      </w:r>
      <w:r>
        <w:rPr>
          <w:rFonts w:hint="eastAsia" w:ascii="仿宋_GB2312"/>
        </w:rPr>
        <w:t>-</w:t>
      </w:r>
      <w:r>
        <w:rPr>
          <w:rFonts w:hint="eastAsia" w:ascii="仿宋_GB2312"/>
          <w:lang w:val="en-US" w:eastAsia="zh-CN"/>
        </w:rPr>
        <w:t>1</w:t>
      </w:r>
    </w:p>
    <w:p>
      <w:pPr>
        <w:adjustRightInd w:val="0"/>
        <w:snapToGrid w:val="0"/>
        <w:spacing w:line="460" w:lineRule="exact"/>
        <w:outlineLvl w:val="1"/>
        <w:rPr>
          <w:rFonts w:hint="eastAsia"/>
          <w:b/>
          <w:color w:val="000000"/>
          <w:sz w:val="28"/>
          <w:szCs w:val="28"/>
        </w:rPr>
      </w:pPr>
      <w:r>
        <w:rPr>
          <w:rFonts w:hint="eastAsia"/>
          <w:b/>
          <w:color w:val="000000"/>
          <w:sz w:val="28"/>
          <w:szCs w:val="28"/>
        </w:rPr>
        <w:t xml:space="preserve"> </w:t>
      </w:r>
      <w:bookmarkStart w:id="275" w:name="_Toc28612"/>
      <w:r>
        <w:rPr>
          <w:rFonts w:hint="eastAsia"/>
          <w:b/>
          <w:color w:val="000000"/>
          <w:sz w:val="28"/>
          <w:szCs w:val="28"/>
        </w:rPr>
        <w:t>4.2组织机构成员名单</w:t>
      </w:r>
      <w:bookmarkEnd w:id="275"/>
    </w:p>
    <w:p>
      <w:pPr>
        <w:spacing w:line="460" w:lineRule="exact"/>
        <w:ind w:left="1560" w:hanging="1560" w:hangingChars="65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表4.2-1现有应急救援队伍情况一览表</w:t>
      </w:r>
    </w:p>
    <w:tbl>
      <w:tblPr>
        <w:tblStyle w:val="33"/>
        <w:tblW w:w="8961" w:type="dxa"/>
        <w:jc w:val="center"/>
        <w:tblInd w:w="595" w:type="dxa"/>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59"/>
        <w:gridCol w:w="1985"/>
        <w:gridCol w:w="2126"/>
        <w:gridCol w:w="2254"/>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037" w:type="dxa"/>
            <w:tcBorders>
              <w:top w:val="thinThickSmallGap" w:color="auto" w:sz="18" w:space="0"/>
            </w:tcBorders>
          </w:tcPr>
          <w:p>
            <w:pPr>
              <w:pStyle w:val="117"/>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序号</w:t>
            </w:r>
          </w:p>
        </w:tc>
        <w:tc>
          <w:tcPr>
            <w:tcW w:w="1559" w:type="dxa"/>
            <w:tcBorders>
              <w:top w:val="thinThickSmallGap" w:color="auto" w:sz="18" w:space="0"/>
            </w:tcBorders>
            <w:vAlign w:val="center"/>
          </w:tcPr>
          <w:p>
            <w:pPr>
              <w:pStyle w:val="117"/>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姓名</w:t>
            </w:r>
          </w:p>
        </w:tc>
        <w:tc>
          <w:tcPr>
            <w:tcW w:w="1985" w:type="dxa"/>
            <w:tcBorders>
              <w:top w:val="thinThickSmallGap" w:color="auto" w:sz="18" w:space="0"/>
            </w:tcBorders>
            <w:vAlign w:val="center"/>
          </w:tcPr>
          <w:p>
            <w:pPr>
              <w:pStyle w:val="117"/>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应急职务</w:t>
            </w:r>
          </w:p>
        </w:tc>
        <w:tc>
          <w:tcPr>
            <w:tcW w:w="2126" w:type="dxa"/>
            <w:tcBorders>
              <w:top w:val="thinThickSmallGap" w:color="auto" w:sz="18" w:space="0"/>
            </w:tcBorders>
            <w:vAlign w:val="center"/>
          </w:tcPr>
          <w:p>
            <w:pPr>
              <w:pStyle w:val="117"/>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公司职位</w:t>
            </w:r>
          </w:p>
        </w:tc>
        <w:tc>
          <w:tcPr>
            <w:tcW w:w="2254" w:type="dxa"/>
            <w:tcBorders>
              <w:top w:val="thinThickSmallGap" w:color="auto" w:sz="18" w:space="0"/>
            </w:tcBorders>
            <w:vAlign w:val="center"/>
          </w:tcPr>
          <w:p>
            <w:pPr>
              <w:pStyle w:val="117"/>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手机</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961" w:type="dxa"/>
            <w:gridSpan w:val="5"/>
            <w:tcBorders>
              <w:top w:val="thinThickSmallGap" w:color="auto" w:sz="18" w:space="0"/>
            </w:tcBorders>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楷体" w:asciiTheme="minorEastAsia" w:hAnsiTheme="minorEastAsia" w:eastAsiaTheme="minorEastAsia"/>
                <w:bCs/>
                <w:szCs w:val="21"/>
              </w:rPr>
              <w:t>应急指挥部</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17"/>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况敬良</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总经理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18983330040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17"/>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秦廷伟</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副经理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副组长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13996798479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17"/>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3</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蒲传友</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副经理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副组长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13609469333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操准</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安全生产部部长</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5</w:t>
            </w:r>
          </w:p>
        </w:tc>
        <w:tc>
          <w:tcPr>
            <w:tcW w:w="1559"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刘江义</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厂长（白涛）</w:t>
            </w:r>
          </w:p>
        </w:tc>
        <w:tc>
          <w:tcPr>
            <w:tcW w:w="2126"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color w:val="000000"/>
                <w:szCs w:val="21"/>
                <w:lang w:val="zh-CN"/>
              </w:rPr>
              <w:t>18983320191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6</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杜平兴</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7</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谭郑</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运营维修部副部长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8</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葛娅</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综合部部长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9</w:t>
            </w:r>
          </w:p>
        </w:tc>
        <w:tc>
          <w:tcPr>
            <w:tcW w:w="1559"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罗雯予</w:t>
            </w:r>
          </w:p>
        </w:tc>
        <w:tc>
          <w:tcPr>
            <w:tcW w:w="1985"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asciiTheme="minorEastAsia" w:hAnsiTheme="minorEastAsia" w:eastAsiaTheme="minorEastAsia"/>
                <w:szCs w:val="21"/>
              </w:rPr>
              <w:t>综合部副部长</w:t>
            </w:r>
          </w:p>
        </w:tc>
        <w:tc>
          <w:tcPr>
            <w:tcW w:w="2126"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10</w:t>
            </w:r>
          </w:p>
        </w:tc>
        <w:tc>
          <w:tcPr>
            <w:tcW w:w="1559"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况鳗洋</w:t>
            </w:r>
          </w:p>
        </w:tc>
        <w:tc>
          <w:tcPr>
            <w:tcW w:w="1985"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化验中心主任</w:t>
            </w:r>
          </w:p>
        </w:tc>
        <w:tc>
          <w:tcPr>
            <w:tcW w:w="2126"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宋体" w:asciiTheme="minorEastAsia" w:hAnsiTheme="minorEastAsia" w:eastAsiaTheme="minorEastAsia"/>
                <w:kern w:val="0"/>
                <w:szCs w:val="21"/>
              </w:rPr>
              <w:t>抢险救灾组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11</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杜平兴</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谭郑</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运营维修部副部长</w:t>
            </w:r>
          </w:p>
        </w:tc>
        <w:tc>
          <w:tcPr>
            <w:tcW w:w="2126"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冉家豪</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15978998799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钱祥波</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15025655051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薛文</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18983338287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16</w:t>
            </w:r>
          </w:p>
        </w:tc>
        <w:tc>
          <w:tcPr>
            <w:tcW w:w="1559" w:type="dxa"/>
            <w:vAlign w:val="center"/>
          </w:tcPr>
          <w:p>
            <w:pPr>
              <w:autoSpaceDE w:val="0"/>
              <w:autoSpaceDN w:val="0"/>
              <w:spacing w:line="460" w:lineRule="exact"/>
              <w:jc w:val="center"/>
              <w:rPr>
                <w:rFonts w:cs="??_GB2312" w:asciiTheme="minorEastAsia" w:hAnsiTheme="minorEastAsia" w:eastAsiaTheme="minorEastAsia"/>
                <w:kern w:val="0"/>
                <w:szCs w:val="21"/>
                <w:lang w:val="zh-CN"/>
              </w:rPr>
            </w:pPr>
            <w:r>
              <w:rPr>
                <w:rFonts w:hint="eastAsia" w:cs="??_GB2312" w:asciiTheme="minorEastAsia" w:hAnsiTheme="minorEastAsia" w:eastAsiaTheme="minorEastAsia"/>
                <w:kern w:val="0"/>
                <w:szCs w:val="21"/>
                <w:lang w:val="zh-CN"/>
              </w:rPr>
              <w:t>李小峰</w:t>
            </w:r>
          </w:p>
        </w:tc>
        <w:tc>
          <w:tcPr>
            <w:tcW w:w="1985"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职员</w:t>
            </w:r>
          </w:p>
        </w:tc>
        <w:tc>
          <w:tcPr>
            <w:tcW w:w="2126"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13594585786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医疗救护组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17</w:t>
            </w:r>
          </w:p>
        </w:tc>
        <w:tc>
          <w:tcPr>
            <w:tcW w:w="1559"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罗雯予</w:t>
            </w:r>
          </w:p>
        </w:tc>
        <w:tc>
          <w:tcPr>
            <w:tcW w:w="1985"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asciiTheme="minorEastAsia" w:hAnsiTheme="minorEastAsia" w:eastAsiaTheme="minorEastAsia"/>
                <w:szCs w:val="21"/>
              </w:rPr>
              <w:t>综合部副部长</w:t>
            </w:r>
          </w:p>
        </w:tc>
        <w:tc>
          <w:tcPr>
            <w:tcW w:w="2126"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组长</w:t>
            </w:r>
          </w:p>
        </w:tc>
        <w:tc>
          <w:tcPr>
            <w:tcW w:w="2254" w:type="dxa"/>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18</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rPr>
              <w:t>廖黎立</w:t>
            </w:r>
          </w:p>
        </w:tc>
        <w:tc>
          <w:tcPr>
            <w:tcW w:w="1985" w:type="dxa"/>
            <w:vAlign w:val="center"/>
          </w:tcPr>
          <w:p>
            <w:pPr>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13372786906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559" w:type="dxa"/>
            <w:vAlign w:val="center"/>
          </w:tcPr>
          <w:p>
            <w:pPr>
              <w:autoSpaceDE w:val="0"/>
              <w:autoSpaceDN w:val="0"/>
              <w:spacing w:line="460" w:lineRule="exact"/>
              <w:jc w:val="center"/>
              <w:rPr>
                <w:rFonts w:cs="仿宋_GB2312" w:asciiTheme="minorEastAsia" w:hAnsiTheme="minorEastAsia" w:eastAsiaTheme="minorEastAsia"/>
                <w:kern w:val="0"/>
                <w:szCs w:val="21"/>
                <w:lang w:val="zh-CN"/>
              </w:rPr>
            </w:pPr>
            <w:r>
              <w:rPr>
                <w:rFonts w:hint="eastAsia" w:cs="仿宋_GB2312" w:asciiTheme="minorEastAsia" w:hAnsiTheme="minorEastAsia" w:eastAsiaTheme="minorEastAsia"/>
                <w:kern w:val="0"/>
                <w:szCs w:val="21"/>
              </w:rPr>
              <w:t>张毅</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13594522854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20</w:t>
            </w:r>
          </w:p>
        </w:tc>
        <w:tc>
          <w:tcPr>
            <w:tcW w:w="1559" w:type="dxa"/>
            <w:vAlign w:val="center"/>
          </w:tcPr>
          <w:p>
            <w:pPr>
              <w:spacing w:line="460" w:lineRule="exact"/>
              <w:jc w:val="center"/>
              <w:rPr>
                <w:rFonts w:cs="楷体" w:asciiTheme="minorEastAsia" w:hAnsiTheme="minorEastAsia" w:eastAsiaTheme="minorEastAsia"/>
                <w:szCs w:val="21"/>
              </w:rPr>
            </w:pPr>
            <w:r>
              <w:rPr>
                <w:rFonts w:hint="eastAsia" w:cs="仿宋_GB2312" w:asciiTheme="minorEastAsia" w:hAnsiTheme="minorEastAsia" w:eastAsiaTheme="minorEastAsia"/>
                <w:kern w:val="0"/>
                <w:szCs w:val="21"/>
              </w:rPr>
              <w:t>杜魏</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15213681034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21</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田源</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18523651007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警戒保卫组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操准</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安全生产部部长</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23</w:t>
            </w:r>
          </w:p>
        </w:tc>
        <w:tc>
          <w:tcPr>
            <w:tcW w:w="1559"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刘江义</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厂长（白涛）</w:t>
            </w:r>
          </w:p>
        </w:tc>
        <w:tc>
          <w:tcPr>
            <w:tcW w:w="2126"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color w:val="000000"/>
                <w:szCs w:val="21"/>
                <w:lang w:val="zh-CN"/>
              </w:rPr>
              <w:t>18983320191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任波</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18225108867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李茂</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13896661651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26</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陈杰</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18512343757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27</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常东</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13983338939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环境监测组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28</w:t>
            </w:r>
          </w:p>
        </w:tc>
        <w:tc>
          <w:tcPr>
            <w:tcW w:w="1559"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况鳗洋</w:t>
            </w:r>
          </w:p>
        </w:tc>
        <w:tc>
          <w:tcPr>
            <w:tcW w:w="1985"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化验中心主任</w:t>
            </w:r>
          </w:p>
        </w:tc>
        <w:tc>
          <w:tcPr>
            <w:tcW w:w="2126"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29</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张贵风</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15123645632</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30</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任婧</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31</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晏伟</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张春梅</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18983318386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综合协调组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33</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葛娅</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综合部部长</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熊学海</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18996813477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冉德容</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rPr>
              <w:t>18983313573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36</w:t>
            </w:r>
          </w:p>
        </w:tc>
        <w:tc>
          <w:tcPr>
            <w:tcW w:w="1559" w:type="dxa"/>
            <w:vAlign w:val="center"/>
          </w:tcPr>
          <w:p>
            <w:pPr>
              <w:autoSpaceDE w:val="0"/>
              <w:autoSpaceDN w:val="0"/>
              <w:spacing w:line="460" w:lineRule="exact"/>
              <w:jc w:val="center"/>
              <w:rPr>
                <w:rFonts w:cs="仿宋_GB2312" w:asciiTheme="minorEastAsia" w:hAnsiTheme="minorEastAsia" w:eastAsiaTheme="minorEastAsia"/>
                <w:kern w:val="0"/>
                <w:szCs w:val="21"/>
                <w:lang w:val="zh-CN"/>
              </w:rPr>
            </w:pPr>
            <w:r>
              <w:rPr>
                <w:rFonts w:hint="eastAsia" w:cs="仿宋_GB2312" w:asciiTheme="minorEastAsia" w:hAnsiTheme="minorEastAsia" w:eastAsiaTheme="minorEastAsia"/>
                <w:kern w:val="0"/>
                <w:szCs w:val="21"/>
              </w:rPr>
              <w:t>陈平友</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13594557563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37</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刘元清</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15310559560</w:t>
            </w:r>
          </w:p>
        </w:tc>
      </w:tr>
    </w:tbl>
    <w:p>
      <w:pPr>
        <w:adjustRightInd w:val="0"/>
        <w:snapToGrid w:val="0"/>
        <w:spacing w:line="460" w:lineRule="exact"/>
        <w:outlineLvl w:val="1"/>
        <w:rPr>
          <w:rFonts w:hint="eastAsia"/>
          <w:b/>
          <w:color w:val="000000"/>
          <w:sz w:val="28"/>
          <w:szCs w:val="28"/>
        </w:rPr>
      </w:pPr>
      <w:bookmarkStart w:id="276" w:name="_Toc4702"/>
      <w:r>
        <w:rPr>
          <w:rFonts w:hint="eastAsia"/>
          <w:b/>
          <w:color w:val="000000"/>
          <w:sz w:val="28"/>
          <w:szCs w:val="28"/>
        </w:rPr>
        <w:t>4.3应急组织职责</w:t>
      </w:r>
      <w:bookmarkEnd w:id="276"/>
    </w:p>
    <w:p>
      <w:pPr>
        <w:spacing w:line="460" w:lineRule="exact"/>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1指挥部职责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rPr>
        <w:t>（</w:t>
      </w:r>
      <w:r>
        <w:rPr>
          <w:rFonts w:hint="eastAsia" w:asciiTheme="minorEastAsia" w:hAnsiTheme="minorEastAsia" w:eastAsiaTheme="minorEastAsia"/>
          <w:sz w:val="24"/>
          <w:szCs w:val="24"/>
        </w:rPr>
        <w:t>1）负责人员、资源配置、应急队伍的调动；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（2）协调事故现场有关工作；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（3）批准本预案的启动与终止；</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（4）组织指挥救援队伍实施救援行动，保护事故现场；</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（5)向上级和各相关部门汇报事故情况，必要时向有关单位和政府发出救援请求，并接受政府的指令和调动；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(6)组织事故调查，总结应急救援工作的经验教训。</w:t>
      </w:r>
    </w:p>
    <w:p>
      <w:pPr>
        <w:spacing w:line="460" w:lineRule="exact"/>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2总指挥职责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rPr>
        <w:t xml:space="preserve"> (</w:t>
      </w:r>
      <w:r>
        <w:rPr>
          <w:rFonts w:hint="eastAsia" w:asciiTheme="minorEastAsia" w:hAnsiTheme="minorEastAsia" w:eastAsiaTheme="minorEastAsia"/>
          <w:sz w:val="24"/>
          <w:szCs w:val="24"/>
        </w:rPr>
        <w:t>1)分析紧急状态和确定相应报警级别；</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(2)指挥、协调应急反应行动；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(3)与外部应急人员、部门、组织和机构进行联络；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(4)保证现场和企业外人员安全；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(5)协调后勤方面以支援反应组织。</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副总指挥职责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协助总指挥工作；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负责应急救援现场的协调调度；</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总指挥不在的情况下组织应急救援工作。</w:t>
      </w:r>
    </w:p>
    <w:p>
      <w:pPr>
        <w:spacing w:line="460" w:lineRule="exact"/>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3专业小组的职责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抢险救灾组：对事故现场进行营救。抢救受害人员、被事故破坏的设备及道路交通设施、关闭有害物质泄漏源、隔离其他危险源；扑灭已经发生的火灾，及时撤走易燃易爆物品或物质，控制灾害的进一步发展等。</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警戒保卫组：设置警界区域，维护现场秩序，疏通道路；按技术专家组确定的避灾路线组织危险区人员撤离；劝说围观群众离开现场，进行人员疏散，保证人员安全撤离；保证交通路线畅通，保障救灾物资（防毒设备等）安全、顺利到达事故现场；事故发生后，禁止无关人员进入现场。</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（3）医疗救援组职责：对受伤、中毒人员进行现场救护，保证救治药品和救护器材的供应。负责转运受伤人员过程的医疗监护。</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（4）环境监测组：对发生污染区域的水、大气、土壤、动植物受污染程度、危害范围进行检测，迅速作出监测报告，并进行跟踪监测，提出处理报告。</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（5）综合协调组：</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①</w:t>
      </w:r>
      <w:r>
        <w:rPr>
          <w:rFonts w:hint="eastAsia" w:asciiTheme="minorEastAsia" w:hAnsiTheme="minorEastAsia" w:eastAsiaTheme="minorEastAsia"/>
          <w:sz w:val="24"/>
          <w:szCs w:val="24"/>
        </w:rPr>
        <w:t>、(1)对受伤、中毒人员进行现场救护，保证救治药品和救护器材的供应。负责转运受伤人员过程的医疗监护。公司与（涪陵急救中心）医院签定救护协议，对较严重的受伤人员进行救护。</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②</w:t>
      </w:r>
      <w:r>
        <w:rPr>
          <w:rFonts w:hint="eastAsia" w:asciiTheme="minorEastAsia" w:hAnsiTheme="minorEastAsia" w:eastAsiaTheme="minorEastAsia"/>
          <w:sz w:val="24"/>
          <w:szCs w:val="24"/>
        </w:rPr>
        <w:t>、负责调集救援物资（如：防毒面具、防护服、抢险用具等）并组织发放，组织指挥人员和抢险人员的现场食宿安排，协助处理伤员的救护工作。</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③</w:t>
      </w:r>
      <w:r>
        <w:rPr>
          <w:rFonts w:hint="eastAsia" w:asciiTheme="minorEastAsia" w:hAnsiTheme="minorEastAsia" w:eastAsiaTheme="minorEastAsia"/>
          <w:sz w:val="24"/>
          <w:szCs w:val="24"/>
        </w:rPr>
        <w:t>、负责对死难、受伤人员家属的安抚、慰问工作，作好群众的思想稳定工作，妥善处理好善后事宜，消除各种不安全、不稳定因素。</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④</w:t>
      </w:r>
      <w:r>
        <w:rPr>
          <w:rFonts w:hint="eastAsia" w:asciiTheme="minorEastAsia" w:hAnsiTheme="minorEastAsia" w:eastAsiaTheme="minorEastAsia"/>
          <w:sz w:val="24"/>
          <w:szCs w:val="24"/>
        </w:rPr>
        <w:t>、协助相关应急小组的工作。</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73"/>
    </w:p>
    <w:p>
      <w:pPr>
        <w:adjustRightInd w:val="0"/>
        <w:snapToGrid w:val="0"/>
        <w:spacing w:line="460" w:lineRule="exact"/>
        <w:outlineLvl w:val="1"/>
        <w:rPr>
          <w:b/>
          <w:color w:val="000000"/>
          <w:sz w:val="28"/>
          <w:szCs w:val="28"/>
        </w:rPr>
      </w:pPr>
      <w:bookmarkStart w:id="277" w:name="_Toc483083904"/>
      <w:bookmarkStart w:id="278" w:name="_Toc9888"/>
      <w:r>
        <w:rPr>
          <w:rFonts w:hint="eastAsia"/>
          <w:b/>
          <w:color w:val="000000"/>
          <w:sz w:val="28"/>
          <w:szCs w:val="28"/>
        </w:rPr>
        <w:t>4.4应急</w:t>
      </w:r>
      <w:r>
        <w:rPr>
          <w:b/>
          <w:color w:val="000000"/>
          <w:sz w:val="28"/>
          <w:szCs w:val="28"/>
        </w:rPr>
        <w:t>预案</w:t>
      </w:r>
      <w:r>
        <w:rPr>
          <w:rFonts w:hint="eastAsia"/>
          <w:b/>
          <w:color w:val="000000"/>
          <w:sz w:val="28"/>
          <w:szCs w:val="28"/>
        </w:rPr>
        <w:t>体系转换</w:t>
      </w:r>
      <w:r>
        <w:rPr>
          <w:b/>
          <w:color w:val="000000"/>
          <w:sz w:val="28"/>
          <w:szCs w:val="28"/>
        </w:rPr>
        <w:t>与</w:t>
      </w:r>
      <w:r>
        <w:rPr>
          <w:rFonts w:hint="eastAsia"/>
          <w:b/>
          <w:color w:val="000000"/>
          <w:sz w:val="28"/>
          <w:szCs w:val="28"/>
        </w:rPr>
        <w:t>衔接条件</w:t>
      </w:r>
      <w:bookmarkEnd w:id="277"/>
      <w:bookmarkEnd w:id="278"/>
    </w:p>
    <w:p>
      <w:pPr>
        <w:rPr>
          <w:b/>
          <w:color w:val="000000"/>
          <w:sz w:val="28"/>
          <w:szCs w:val="28"/>
        </w:rPr>
      </w:pPr>
      <w:r>
        <w:rPr>
          <w:b/>
          <w:color w:val="000000"/>
          <w:sz w:val="28"/>
          <w:szCs w:val="28"/>
        </w:rPr>
        <w:pict>
          <v:shape id="_x0000_s1088" o:spid="_x0000_s1088" o:spt="202" type="#_x0000_t202" style="position:absolute;left:0pt;margin-left:81pt;margin-top:15.6pt;height:23.4pt;width:108pt;z-index:251663360;mso-width-relative:page;mso-height-relative:page;" coordsize="21600,21600">
            <v:path/>
            <v:fill focussize="0,0"/>
            <v:stroke joinstyle="miter"/>
            <v:imagedata o:title=""/>
            <o:lock v:ext="edit"/>
            <v:textbox>
              <w:txbxContent>
                <w:p>
                  <w:pPr>
                    <w:rPr>
                      <w:sz w:val="22"/>
                    </w:rPr>
                  </w:pPr>
                  <w:r>
                    <w:rPr>
                      <w:rFonts w:hint="eastAsia"/>
                      <w:sz w:val="22"/>
                    </w:rPr>
                    <w:t>现场环境事件发生</w:t>
                  </w:r>
                </w:p>
              </w:txbxContent>
            </v:textbox>
          </v:shape>
        </w:pict>
      </w:r>
    </w:p>
    <w:p>
      <w:pPr>
        <w:rPr>
          <w:b/>
          <w:color w:val="000000"/>
          <w:sz w:val="28"/>
          <w:szCs w:val="28"/>
        </w:rPr>
      </w:pPr>
      <w:r>
        <w:rPr>
          <w:b/>
          <w:color w:val="000000"/>
          <w:sz w:val="28"/>
          <w:szCs w:val="28"/>
        </w:rPr>
        <w:pict>
          <v:shape id="_x0000_s1089" o:spid="_x0000_s1089" o:spt="32" type="#_x0000_t32" style="position:absolute;left:0pt;margin-left:132pt;margin-top:12.9pt;height:29.25pt;width:0.75pt;z-index:25166438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090" o:spid="_x0000_s1090" o:spt="202" type="#_x0000_t202" style="position:absolute;left:0pt;margin-left:291pt;margin-top:29.25pt;height:47.25pt;width:44.25pt;z-index:251665408;mso-width-relative:page;mso-height-relative:page;" filled="f" stroked="f" coordsize="21600,21600">
            <v:path/>
            <v:fill on="f" focussize="0,0"/>
            <v:stroke on="f" joinstyle="miter"/>
            <v:imagedata o:title=""/>
            <o:lock v:ext="edit"/>
            <v:textbox>
              <w:txbxContent>
                <w:p>
                  <w:pPr>
                    <w:rPr>
                      <w:szCs w:val="21"/>
                    </w:rPr>
                  </w:pPr>
                  <w:r>
                    <w:rPr>
                      <w:rFonts w:hint="eastAsia"/>
                      <w:szCs w:val="21"/>
                    </w:rPr>
                    <w:t>事件平 息</w:t>
                  </w:r>
                </w:p>
              </w:txbxContent>
            </v:textbox>
          </v:shape>
        </w:pict>
      </w:r>
      <w:r>
        <w:rPr>
          <w:b/>
          <w:color w:val="000000"/>
          <w:sz w:val="28"/>
          <w:szCs w:val="28"/>
        </w:rPr>
        <w:pict>
          <v:shape id="_x0000_s1091" o:spid="_x0000_s1091" o:spt="202" type="#_x0000_t202" style="position:absolute;left:0pt;margin-left:244.5pt;margin-top:39pt;height:73.95pt;width:45.75pt;z-index:251666432;mso-width-relative:page;mso-height-relative:page;" coordsize="21600,21600">
            <v:path/>
            <v:fill focussize="0,0"/>
            <v:stroke joinstyle="miter"/>
            <v:imagedata o:title=""/>
            <o:lock v:ext="edit"/>
            <v:textbox>
              <w:txbxContent>
                <w:p>
                  <w:pPr>
                    <w:rPr>
                      <w:sz w:val="22"/>
                    </w:rPr>
                  </w:pPr>
                  <w:r>
                    <w:rPr>
                      <w:rFonts w:hint="eastAsia"/>
                      <w:sz w:val="22"/>
                    </w:rPr>
                    <w:t>发布单位现场预 警</w:t>
                  </w:r>
                </w:p>
              </w:txbxContent>
            </v:textbox>
          </v:shape>
        </w:pict>
      </w:r>
      <w:r>
        <w:rPr>
          <w:b/>
          <w:color w:val="000000"/>
          <w:sz w:val="28"/>
          <w:szCs w:val="28"/>
        </w:rPr>
        <w:pict>
          <v:shape id="_x0000_s1092" o:spid="_x0000_s1092" o:spt="32" type="#_x0000_t32" style="position:absolute;left:0pt;margin-left:181.5pt;margin-top:69pt;height:0pt;width:63pt;z-index:25166745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093" o:spid="_x0000_s1093" o:spt="202" type="#_x0000_t202" style="position:absolute;left:0pt;margin-left:81pt;margin-top:9.75pt;height:21.45pt;width:117pt;z-index:251668480;mso-width-relative:page;mso-height-relative:page;" coordsize="21600,21600">
            <v:path/>
            <v:fill focussize="0,0"/>
            <v:stroke joinstyle="miter"/>
            <v:imagedata o:title=""/>
            <o:lock v:ext="edit"/>
            <v:textbox>
              <w:txbxContent>
                <w:p>
                  <w:pPr>
                    <w:rPr>
                      <w:sz w:val="22"/>
                    </w:rPr>
                  </w:pPr>
                  <w:r>
                    <w:rPr>
                      <w:rFonts w:hint="eastAsia"/>
                      <w:sz w:val="22"/>
                    </w:rPr>
                    <w:t>现场应急小组组长</w:t>
                  </w:r>
                </w:p>
              </w:txbxContent>
            </v:textbox>
          </v:shape>
        </w:pict>
      </w:r>
    </w:p>
    <w:p>
      <w:pPr>
        <w:rPr>
          <w:b/>
          <w:color w:val="000000"/>
          <w:sz w:val="28"/>
          <w:szCs w:val="28"/>
        </w:rPr>
      </w:pPr>
      <w:r>
        <w:rPr>
          <w:b/>
          <w:color w:val="000000"/>
          <w:sz w:val="28"/>
          <w:szCs w:val="28"/>
        </w:rPr>
        <w:pict>
          <v:shape id="_x0000_s1094" o:spid="_x0000_s1094" o:spt="202" type="#_x0000_t202" style="position:absolute;left:0pt;margin-left:339pt;margin-top:22.05pt;height:71.55pt;width:30pt;z-index:251669504;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1095" o:spid="_x0000_s1095" o:spt="202" type="#_x0000_t202" style="position:absolute;left:0pt;margin-left:193.45pt;margin-top:17.55pt;height:30pt;width:39.75pt;z-index:251670528;mso-width-relative:page;mso-height-relative:page;" filled="f" stroked="f" coordsize="21600,21600">
            <v:path/>
            <v:fill on="f" focussize="0,0"/>
            <v:stroke on="f" joinstyle="miter"/>
            <v:imagedata o:title=""/>
            <o:lock v:ext="edit"/>
            <v:textbox>
              <w:txbxContent>
                <w:p>
                  <w:r>
                    <w:rPr>
                      <w:rFonts w:hint="eastAsia"/>
                    </w:rPr>
                    <w:t>IV级</w:t>
                  </w:r>
                </w:p>
              </w:txbxContent>
            </v:textbox>
          </v:shape>
        </w:pict>
      </w:r>
      <w:r>
        <w:rPr>
          <w:b/>
          <w:color w:val="000000"/>
          <w:sz w:val="28"/>
          <w:szCs w:val="28"/>
        </w:rPr>
        <w:pict>
          <v:shape id="_x0000_s1096" o:spid="_x0000_s1096" o:spt="202" type="#_x0000_t202" style="position:absolute;left:0pt;margin-left:90pt;margin-top:23.4pt;height:23.4pt;width:90pt;z-index:251671552;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r>
        <w:rPr>
          <w:b/>
          <w:color w:val="000000"/>
          <w:sz w:val="28"/>
          <w:szCs w:val="28"/>
        </w:rPr>
        <w:pict>
          <v:shape id="_x0000_s1097" o:spid="_x0000_s1097" o:spt="32" type="#_x0000_t32" style="position:absolute;left:0pt;margin-left:132.4pt;margin-top:0pt;height:23.25pt;width:0pt;z-index:251672576;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098" o:spid="_x0000_s1098" o:spt="32" type="#_x0000_t32" style="position:absolute;left:0pt;margin-left:290.5pt;margin-top:7.15pt;height:0pt;width:42pt;z-index:251673600;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099" o:spid="_x0000_s1099" o:spt="32" type="#_x0000_t32" style="position:absolute;left:0pt;margin-left:132.05pt;margin-top:15.6pt;height:23.25pt;width:0pt;z-index:25167462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00" o:spid="_x0000_s1100" o:spt="202" type="#_x0000_t202" style="position:absolute;left:0pt;margin-left:266.4pt;margin-top:22.9pt;height:38.25pt;width:50.25pt;z-index:251675648;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1101" o:spid="_x0000_s1101" o:spt="202" type="#_x0000_t202" style="position:absolute;left:0pt;margin-left:217.75pt;margin-top:22.25pt;height:38.25pt;width:50.25pt;z-index:251676672;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1102" o:spid="_x0000_s1102" o:spt="202" type="#_x0000_t202" style="position:absolute;left:0pt;margin-left:242.9pt;margin-top:167.35pt;height:72pt;width:46.5pt;z-index:251677696;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1103" o:spid="_x0000_s1103" o:spt="32" type="#_x0000_t32" style="position:absolute;left:0pt;flip:y;margin-left:265.4pt;margin-top:18.85pt;height:38.25pt;width:0pt;z-index:251678720;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04" o:spid="_x0000_s1104" o:spt="202" type="#_x0000_t202" style="position:absolute;left:0pt;margin-left:241.4pt;margin-top:57.1pt;height:72pt;width:46.5pt;z-index:251679744;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1105" o:spid="_x0000_s1105" o:spt="32" type="#_x0000_t32" style="position:absolute;left:0pt;flip:y;margin-left:265.4pt;margin-top:129.1pt;height:38.25pt;width:0pt;z-index:25168076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06" o:spid="_x0000_s1106" o:spt="202" type="#_x0000_t202" style="position:absolute;left:0pt;margin-left:94.55pt;margin-top:6.3pt;height:26.85pt;width:73.5pt;z-index:251681792;mso-width-relative:page;mso-height-relative:page;" coordsize="21600,21600">
            <v:path/>
            <v:fill focussize="0,0"/>
            <v:stroke joinstyle="miter"/>
            <v:imagedata o:title=""/>
            <o:lock v:ext="edit"/>
            <v:textbox>
              <w:txbxContent>
                <w:p>
                  <w:pPr>
                    <w:rPr>
                      <w:sz w:val="22"/>
                    </w:rPr>
                  </w:pPr>
                  <w:r>
                    <w:rPr>
                      <w:rFonts w:hint="eastAsia"/>
                      <w:sz w:val="22"/>
                    </w:rPr>
                    <w:t>安全环保组</w:t>
                  </w:r>
                </w:p>
              </w:txbxContent>
            </v:textbox>
          </v:shape>
        </w:pict>
      </w:r>
    </w:p>
    <w:p>
      <w:pPr>
        <w:rPr>
          <w:b/>
          <w:color w:val="000000"/>
          <w:sz w:val="28"/>
          <w:szCs w:val="28"/>
        </w:rPr>
      </w:pPr>
      <w:r>
        <w:rPr>
          <w:b/>
          <w:color w:val="000000"/>
          <w:sz w:val="28"/>
          <w:szCs w:val="28"/>
        </w:rPr>
        <w:pict>
          <v:shape id="_x0000_s1107" o:spid="_x0000_s1107" o:spt="202" type="#_x0000_t202" style="position:absolute;left:0pt;margin-left:189pt;margin-top:21.45pt;height:30pt;width:39.75pt;z-index:251682816;mso-width-relative:page;mso-height-relative:page;" filled="f" stroked="f" coordsize="21600,21600">
            <v:path/>
            <v:fill on="f" focussize="0,0"/>
            <v:stroke on="f" joinstyle="miter"/>
            <v:imagedata o:title=""/>
            <o:lock v:ext="edit"/>
            <v:textbox>
              <w:txbxContent>
                <w:p>
                  <w:r>
                    <w:rPr>
                      <w:rFonts w:hint="eastAsia"/>
                    </w:rPr>
                    <w:t>III级</w:t>
                  </w:r>
                </w:p>
              </w:txbxContent>
            </v:textbox>
          </v:shape>
        </w:pict>
      </w:r>
      <w:r>
        <w:rPr>
          <w:b/>
          <w:color w:val="000000"/>
          <w:sz w:val="28"/>
          <w:szCs w:val="28"/>
        </w:rPr>
        <w:pict>
          <v:shape id="_x0000_s1108" o:spid="_x0000_s1108" o:spt="202" type="#_x0000_t202" style="position:absolute;left:0pt;margin-left:90.55pt;margin-top:24.45pt;height:26.25pt;width:82.5pt;z-index:251683840;mso-width-relative:page;mso-height-relative:page;" coordsize="21600,21600">
            <v:path/>
            <v:fill focussize="0,0"/>
            <v:stroke joinstyle="miter"/>
            <v:imagedata o:title=""/>
            <o:lock v:ext="edit"/>
            <v:textbox>
              <w:txbxContent>
                <w:p>
                  <w:pPr>
                    <w:rPr>
                      <w:sz w:val="22"/>
                    </w:rPr>
                  </w:pPr>
                  <w:r>
                    <w:rPr>
                      <w:rFonts w:hint="eastAsia"/>
                      <w:sz w:val="22"/>
                    </w:rPr>
                    <w:t>事件等级判读</w:t>
                  </w:r>
                </w:p>
              </w:txbxContent>
            </v:textbox>
          </v:shape>
        </w:pict>
      </w:r>
      <w:r>
        <w:rPr>
          <w:b/>
          <w:color w:val="000000"/>
          <w:sz w:val="28"/>
          <w:szCs w:val="28"/>
        </w:rPr>
        <w:pict>
          <v:shape id="_x0000_s1109" o:spid="_x0000_s1109" o:spt="32" type="#_x0000_t32" style="position:absolute;left:0pt;margin-left:131.95pt;margin-top:1.95pt;height:23.25pt;width:0pt;z-index:25168486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10" o:spid="_x0000_s1110" o:spt="32" type="#_x0000_t32" style="position:absolute;left:0pt;margin-left:180pt;margin-top:7.8pt;height:0pt;width:63pt;z-index:25168588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11" o:spid="_x0000_s1111" o:spt="32" type="#_x0000_t32" style="position:absolute;left:0pt;margin-left:132pt;margin-top:21.5pt;height:23.25pt;width:0pt;z-index:25168691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12" o:spid="_x0000_s1112" o:spt="202" type="#_x0000_t202" style="position:absolute;left:0pt;margin-left:79.5pt;margin-top:13.55pt;height:24.15pt;width:100.5pt;z-index:251687936;mso-width-relative:page;mso-height-relative:page;" coordsize="21600,21600">
            <v:path/>
            <v:fill focussize="0,0"/>
            <v:stroke joinstyle="miter"/>
            <v:imagedata o:title=""/>
            <o:lock v:ext="edit"/>
            <v:textbox>
              <w:txbxContent>
                <w:p>
                  <w:pPr>
                    <w:rPr>
                      <w:sz w:val="22"/>
                    </w:rPr>
                  </w:pPr>
                  <w:r>
                    <w:rPr>
                      <w:rFonts w:hint="eastAsia"/>
                      <w:sz w:val="22"/>
                    </w:rPr>
                    <w:t>环境应急指挥部</w:t>
                  </w:r>
                </w:p>
              </w:txbxContent>
            </v:textbox>
          </v:shape>
        </w:pict>
      </w:r>
    </w:p>
    <w:p>
      <w:pPr>
        <w:rPr>
          <w:b/>
          <w:color w:val="000000"/>
          <w:sz w:val="28"/>
          <w:szCs w:val="28"/>
        </w:rPr>
      </w:pPr>
      <w:r>
        <w:rPr>
          <w:b/>
          <w:color w:val="000000"/>
          <w:sz w:val="28"/>
          <w:szCs w:val="28"/>
        </w:rPr>
        <w:pict>
          <v:shape id="_x0000_s1113" o:spid="_x0000_s1113" o:spt="202" type="#_x0000_t202" style="position:absolute;left:0pt;margin-left:189pt;margin-top:23.4pt;height:30pt;width:39.75pt;z-index:251688960;mso-width-relative:page;mso-height-relative:page;" filled="f" stroked="f" coordsize="21600,21600">
            <v:path/>
            <v:fill on="f" focussize="0,0"/>
            <v:stroke on="f" joinstyle="miter"/>
            <v:imagedata o:title=""/>
            <o:lock v:ext="edit"/>
            <v:textbox>
              <w:txbxContent>
                <w:p>
                  <w:r>
                    <w:rPr>
                      <w:rFonts w:hint="eastAsia"/>
                    </w:rPr>
                    <w:t>II级</w:t>
                  </w:r>
                </w:p>
              </w:txbxContent>
            </v:textbox>
          </v:shape>
        </w:pict>
      </w:r>
      <w:r>
        <w:rPr>
          <w:b/>
          <w:color w:val="000000"/>
          <w:sz w:val="28"/>
          <w:szCs w:val="28"/>
        </w:rPr>
        <w:pict>
          <v:shape id="_x0000_s1114" o:spid="_x0000_s1114" o:spt="202" type="#_x0000_t202" style="position:absolute;left:0pt;margin-left:269.65pt;margin-top:4.15pt;height:42.65pt;width:36.35pt;z-index:251689984;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1115" o:spid="_x0000_s1115" o:spt="202" type="#_x0000_t202" style="position:absolute;left:0pt;margin-left:217.75pt;margin-top:3.5pt;height:38.25pt;width:50.25pt;z-index:251691008;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1116" o:spid="_x0000_s1116" o:spt="32" type="#_x0000_t32" style="position:absolute;left:0pt;margin-left:131.3pt;margin-top:7.8pt;height:23.25pt;width:0pt;z-index:25169203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17" o:spid="_x0000_s1117" o:spt="32" type="#_x0000_t32" style="position:absolute;left:0pt;margin-left:180pt;margin-top:15.6pt;height:0pt;width:63pt;z-index:25169305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18" o:spid="_x0000_s1118" o:spt="32" type="#_x0000_t32" style="position:absolute;left:0pt;margin-left:130.65pt;margin-top:22.1pt;height:23.25pt;width:0pt;z-index:251694080;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19" o:spid="_x0000_s1119" o:spt="202" type="#_x0000_t202" style="position:absolute;left:0pt;margin-left:89.25pt;margin-top:-0.15pt;height:23.55pt;width:82.5pt;z-index:251695104;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r>
        <w:rPr>
          <w:b/>
          <w:color w:val="000000"/>
          <w:sz w:val="28"/>
          <w:szCs w:val="28"/>
        </w:rPr>
        <w:pict>
          <v:shape id="_x0000_s1120" o:spid="_x0000_s1120" o:spt="202" type="#_x0000_t202" style="position:absolute;left:0pt;margin-left:100.2pt;margin-top:13.5pt;height:22.95pt;width:64.5pt;z-index:251696128;mso-width-relative:page;mso-height-relative:page;" coordsize="21600,21600">
            <v:path/>
            <v:fill focussize="0,0"/>
            <v:stroke joinstyle="miter"/>
            <v:imagedata o:title=""/>
            <o:lock v:ext="edit"/>
            <v:textbox>
              <w:txbxContent>
                <w:p>
                  <w:pPr>
                    <w:rPr>
                      <w:sz w:val="22"/>
                    </w:rPr>
                  </w:pPr>
                  <w:r>
                    <w:rPr>
                      <w:rFonts w:hint="eastAsia"/>
                      <w:sz w:val="22"/>
                    </w:rPr>
                    <w:t>政府部门</w:t>
                  </w:r>
                </w:p>
              </w:txbxContent>
            </v:textbox>
          </v:shape>
        </w:pict>
      </w:r>
    </w:p>
    <w:p>
      <w:pPr>
        <w:rPr>
          <w:b/>
          <w:color w:val="000000"/>
          <w:sz w:val="28"/>
          <w:szCs w:val="28"/>
        </w:rPr>
      </w:pPr>
      <w:r>
        <w:rPr>
          <w:b/>
          <w:color w:val="000000"/>
          <w:sz w:val="28"/>
          <w:szCs w:val="28"/>
        </w:rPr>
        <w:pict>
          <v:shape id="_x0000_s1121" o:spid="_x0000_s1121" o:spt="202" type="#_x0000_t202" style="position:absolute;left:0pt;margin-left:189pt;margin-top:23.4pt;height:23.25pt;width:33.75pt;z-index:251697152;mso-width-relative:page;mso-height-relative:page;" filled="f" stroked="f" coordsize="21600,21600">
            <v:path/>
            <v:fill on="f" focussize="0,0"/>
            <v:stroke on="f" joinstyle="miter"/>
            <v:imagedata o:title=""/>
            <o:lock v:ext="edit"/>
            <v:textbox>
              <w:txbxContent>
                <w:p>
                  <w:r>
                    <w:t>I级</w:t>
                  </w:r>
                </w:p>
              </w:txbxContent>
            </v:textbox>
          </v:shape>
        </w:pict>
      </w:r>
      <w:r>
        <w:rPr>
          <w:b/>
          <w:color w:val="000000"/>
          <w:sz w:val="28"/>
          <w:szCs w:val="28"/>
        </w:rPr>
        <w:pict>
          <v:shape id="_x0000_s1122" o:spid="_x0000_s1122" o:spt="202" type="#_x0000_t202" style="position:absolute;left:0pt;margin-left:243pt;margin-top:23.4pt;height:151.5pt;width:46.5pt;z-index:251698176;mso-width-relative:page;mso-height-relative:page;" coordsize="21600,21600">
            <v:path/>
            <v:fill focussize="0,0"/>
            <v:stroke joinstyle="miter"/>
            <v:imagedata o:title=""/>
            <o:lock v:ext="edit"/>
            <v:textbox>
              <w:txbxContent>
                <w:p>
                  <w:pPr>
                    <w:rPr>
                      <w:sz w:val="22"/>
                    </w:rPr>
                  </w:pPr>
                  <w:r>
                    <w:rPr>
                      <w:rFonts w:hint="eastAsia"/>
                      <w:sz w:val="22"/>
                    </w:rPr>
                    <w:t>根据情况针对敏感区域发布响应级别预 警</w:t>
                  </w:r>
                </w:p>
              </w:txbxContent>
            </v:textbox>
          </v:shape>
        </w:pict>
      </w:r>
      <w:r>
        <w:rPr>
          <w:b/>
          <w:color w:val="000000"/>
          <w:sz w:val="28"/>
          <w:szCs w:val="28"/>
        </w:rPr>
        <w:pict>
          <v:shape id="_x0000_s1123" o:spid="_x0000_s1123" o:spt="32" type="#_x0000_t32" style="position:absolute;left:0pt;margin-left:131.3pt;margin-top:6.5pt;height:23.25pt;width:0pt;z-index:251699200;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24" o:spid="_x0000_s1124" o:spt="202" type="#_x0000_t202" style="position:absolute;left:0pt;margin-left:352.3pt;margin-top:23.4pt;height:78pt;width:25.7pt;z-index:251700224;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1125" o:spid="_x0000_s1125" o:spt="32" type="#_x0000_t32" style="position:absolute;left:0pt;margin-left:291.7pt;margin-top:56.85pt;height:0pt;width:61.5pt;z-index:25170124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26" o:spid="_x0000_s1126" o:spt="202" type="#_x0000_t202" style="position:absolute;left:0pt;margin-left:298.45pt;margin-top:9.6pt;height:47.25pt;width:39.75pt;z-index:251702272;mso-width-relative:page;mso-height-relative:page;" filled="f" stroked="f" coordsize="21600,21600">
            <v:path/>
            <v:fill on="f" focussize="0,0"/>
            <v:stroke on="f" joinstyle="miter"/>
            <v:imagedata o:title=""/>
            <o:lock v:ext="edit"/>
            <v:textbox>
              <w:txbxContent>
                <w:p>
                  <w:r>
                    <w:rPr>
                      <w:rFonts w:hint="eastAsia"/>
                    </w:rPr>
                    <w:t>事件平息</w:t>
                  </w:r>
                </w:p>
              </w:txbxContent>
            </v:textbox>
          </v:shape>
        </w:pict>
      </w:r>
      <w:r>
        <w:rPr>
          <w:b/>
          <w:color w:val="000000"/>
          <w:sz w:val="28"/>
          <w:szCs w:val="28"/>
        </w:rPr>
        <w:pict>
          <v:shape id="_x0000_s1127" o:spid="_x0000_s1127" o:spt="32" type="#_x0000_t32" style="position:absolute;left:0pt;margin-left:172.3pt;margin-top:13.65pt;height:0pt;width:63pt;z-index:25170329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28" o:spid="_x0000_s1128" o:spt="202" type="#_x0000_t202" style="position:absolute;left:0pt;margin-left:89.9pt;margin-top:-0.25pt;height:22.35pt;width:82.5pt;z-index:251704320;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p>
    <w:p>
      <w:pPr>
        <w:rPr>
          <w:b/>
          <w:color w:val="000000"/>
          <w:sz w:val="28"/>
          <w:szCs w:val="28"/>
        </w:rPr>
      </w:pPr>
    </w:p>
    <w:p>
      <w:pPr>
        <w:rPr>
          <w:b/>
          <w:color w:val="000000"/>
          <w:sz w:val="28"/>
          <w:szCs w:val="28"/>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279" w:name="_Toc336326849"/>
      <w:bookmarkStart w:id="280" w:name="_Toc198007334"/>
      <w:bookmarkStart w:id="281" w:name="_Toc262051115"/>
      <w:bookmarkStart w:id="282" w:name="_Toc183339221"/>
      <w:bookmarkStart w:id="283" w:name="_Toc304833232"/>
      <w:bookmarkStart w:id="284" w:name="_Toc197251339"/>
      <w:bookmarkStart w:id="285" w:name="_Toc304962955"/>
      <w:bookmarkStart w:id="286" w:name="_Toc198355319"/>
      <w:bookmarkStart w:id="287" w:name="_Toc183339497"/>
      <w:bookmarkStart w:id="288" w:name="_Toc229283970"/>
      <w:bookmarkStart w:id="289" w:name="_Toc262050865"/>
      <w:bookmarkStart w:id="290" w:name="_Toc336327127"/>
      <w:bookmarkStart w:id="291" w:name="_Toc196018635"/>
      <w:bookmarkStart w:id="292" w:name="_Toc262051536"/>
      <w:bookmarkStart w:id="293" w:name="_Toc179794543"/>
      <w:bookmarkStart w:id="294" w:name="_Toc262040275"/>
      <w:bookmarkStart w:id="295" w:name="_Toc304964442"/>
      <w:bookmarkStart w:id="296" w:name="_Toc185670981"/>
      <w:bookmarkStart w:id="297" w:name="_Toc304963599"/>
      <w:bookmarkStart w:id="298" w:name="_Toc196018540"/>
      <w:bookmarkStart w:id="299" w:name="_Toc196018431"/>
      <w:bookmarkStart w:id="300" w:name="_Toc184809548"/>
      <w:bookmarkStart w:id="301" w:name="_Toc184808761"/>
      <w:bookmarkStart w:id="302" w:name="_Toc387131425"/>
      <w:bookmarkStart w:id="303" w:name="_Toc408274433"/>
      <w:bookmarkStart w:id="304" w:name="_Toc387131756"/>
      <w:bookmarkStart w:id="305" w:name="_Toc19812"/>
      <w:bookmarkStart w:id="306" w:name="_Toc387131499"/>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307" w:name="_Toc4379"/>
      <w:r>
        <w:rPr>
          <w:rFonts w:hint="eastAsia" w:asciiTheme="minorEastAsia" w:hAnsiTheme="minorEastAsia" w:eastAsiaTheme="minorEastAsia"/>
          <w:b/>
          <w:color w:val="000000"/>
          <w:sz w:val="32"/>
        </w:rPr>
        <w:t>5预警</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hint="eastAsia" w:asciiTheme="minorEastAsia" w:hAnsiTheme="minorEastAsia" w:eastAsiaTheme="minorEastAsia"/>
          <w:b/>
          <w:color w:val="000000"/>
          <w:sz w:val="32"/>
        </w:rPr>
        <w:t>及信息报告</w:t>
      </w:r>
      <w:bookmarkEnd w:id="302"/>
      <w:bookmarkEnd w:id="303"/>
      <w:bookmarkEnd w:id="304"/>
      <w:bookmarkEnd w:id="305"/>
      <w:bookmarkEnd w:id="306"/>
      <w:bookmarkEnd w:id="307"/>
    </w:p>
    <w:p>
      <w:pPr>
        <w:adjustRightInd w:val="0"/>
        <w:snapToGrid w:val="0"/>
        <w:spacing w:line="460" w:lineRule="exact"/>
        <w:outlineLvl w:val="1"/>
        <w:rPr>
          <w:rFonts w:hint="eastAsia"/>
          <w:b/>
          <w:color w:val="000000"/>
          <w:sz w:val="28"/>
          <w:szCs w:val="28"/>
        </w:rPr>
      </w:pPr>
      <w:bookmarkStart w:id="308" w:name="_Toc483083906"/>
      <w:bookmarkStart w:id="309" w:name="_Toc18843"/>
      <w:r>
        <w:rPr>
          <w:rFonts w:hint="eastAsia"/>
          <w:b/>
          <w:color w:val="000000"/>
          <w:sz w:val="28"/>
          <w:szCs w:val="28"/>
        </w:rPr>
        <w:t>5.1预防措施</w:t>
      </w:r>
      <w:bookmarkEnd w:id="308"/>
      <w:bookmarkEnd w:id="309"/>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根据风险识别，项目风险源主要有储酸室储罐和生产区，企业采取的风险源监控及</w:t>
      </w:r>
      <w:r>
        <w:rPr>
          <w:rFonts w:hint="eastAsia" w:asciiTheme="minorEastAsia" w:hAnsiTheme="minorEastAsia" w:eastAsiaTheme="minorEastAsia"/>
          <w:color w:val="000000"/>
          <w:sz w:val="24"/>
          <w:szCs w:val="24"/>
        </w:rPr>
        <w:t>预防措施有：</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1、盐酸、液碱储罐区和氯酸钠储罐间风险防控措施</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（1）库房设有专人管理。定期检查。</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（2）盐酸、液碱和氯酸钠储罐区有消防器材和堵漏工具；</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（3）储罐区设置有围堰和储罐区外设置有截流沟分流系统；</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（4）地面采用混泥土进行了防渗、防腐处理。</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（5）针对盐酸、二氧化氯泄漏挥发出的氯化氢、二氧化氯气体配备气体监测报警装置。</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2、生产区风险防控措施</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（1）企业设有一个容积为</w:t>
      </w:r>
      <w:r>
        <w:rPr>
          <w:rFonts w:hint="eastAsia" w:asciiTheme="minorEastAsia" w:hAnsiTheme="minorEastAsia" w:eastAsiaTheme="minorEastAsia"/>
          <w:sz w:val="24"/>
          <w:szCs w:val="24"/>
          <w:lang w:val="zh-CN"/>
        </w:rPr>
        <w:t>6400</w:t>
      </w:r>
      <w:r>
        <w:rPr>
          <w:rFonts w:hint="eastAsia" w:asciiTheme="minorEastAsia" w:hAnsiTheme="minorEastAsia" w:eastAsiaTheme="minorEastAsia"/>
          <w:sz w:val="24"/>
          <w:szCs w:val="24"/>
        </w:rPr>
        <w:t xml:space="preserve"> m3的事故池。遇突发环境事件可作为事故应急事故池，可以保证事故状态下厂内污染污水及工业园区污水的收集；</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（2）二氧化氯车间配有气体泄漏报警仪、消防器材和堵漏工具；二氧化氯发生器设置了报警开关，一旦发生泄漏，开关自动关闭。</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（3）设置出水、进水水质在线监测装置，定期监测出水水质，防止污水未达标排放。</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定期对污水治理设施设备进行检查，维护保养，减少设备出现故障概率。</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w:t>
      </w:r>
      <w:r>
        <w:rPr>
          <w:rFonts w:asciiTheme="minorEastAsia" w:hAnsiTheme="minorEastAsia" w:eastAsiaTheme="minorEastAsia"/>
          <w:color w:val="000000"/>
          <w:sz w:val="24"/>
          <w:szCs w:val="24"/>
        </w:rPr>
        <w:t>配备双回路电源，防止停电等发生时对污水处理设备无法正常运营。</w:t>
      </w:r>
    </w:p>
    <w:p>
      <w:pPr>
        <w:adjustRightInd w:val="0"/>
        <w:snapToGrid w:val="0"/>
        <w:spacing w:line="460" w:lineRule="exact"/>
        <w:outlineLvl w:val="1"/>
        <w:rPr>
          <w:rFonts w:hint="eastAsia"/>
          <w:b/>
          <w:color w:val="000000"/>
          <w:sz w:val="28"/>
          <w:szCs w:val="28"/>
        </w:rPr>
      </w:pPr>
      <w:bookmarkStart w:id="310" w:name="_Toc483083907"/>
      <w:bookmarkStart w:id="311" w:name="_Toc12087"/>
      <w:r>
        <w:rPr>
          <w:rFonts w:hint="eastAsia"/>
          <w:b/>
          <w:color w:val="000000"/>
          <w:sz w:val="28"/>
          <w:szCs w:val="28"/>
        </w:rPr>
        <w:t>5.2预警措施</w:t>
      </w:r>
      <w:bookmarkEnd w:id="310"/>
      <w:bookmarkEnd w:id="311"/>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）在污水进水口及排放口安装有COD在线分析仪/氨氮在线分析仪/流量计，进水口平时每</w:t>
      </w:r>
      <w:r>
        <w:rPr>
          <w:rFonts w:asciiTheme="minorEastAsia" w:hAnsiTheme="minorEastAsia" w:eastAsiaTheme="minorEastAsia"/>
          <w:sz w:val="24"/>
          <w:szCs w:val="24"/>
        </w:rPr>
        <w:t>2</w:t>
      </w:r>
      <w:r>
        <w:rPr>
          <w:rFonts w:hint="eastAsia" w:asciiTheme="minorEastAsia" w:hAnsiTheme="minorEastAsia" w:eastAsiaTheme="minorEastAsia"/>
          <w:sz w:val="24"/>
          <w:szCs w:val="24"/>
        </w:rPr>
        <w:t>小时监测一次，出水口每</w:t>
      </w:r>
      <w:r>
        <w:rPr>
          <w:rFonts w:asciiTheme="minorEastAsia" w:hAnsiTheme="minorEastAsia" w:eastAsiaTheme="minorEastAsia"/>
          <w:sz w:val="24"/>
          <w:szCs w:val="24"/>
        </w:rPr>
        <w:t>1</w:t>
      </w:r>
      <w:r>
        <w:rPr>
          <w:rFonts w:hint="eastAsia" w:asciiTheme="minorEastAsia" w:hAnsiTheme="minorEastAsia" w:eastAsiaTheme="minorEastAsia"/>
          <w:sz w:val="24"/>
          <w:szCs w:val="24"/>
        </w:rPr>
        <w:t>小时监测一次。同时辅以手动监测，可随时了解进、出水水质状况；此外，设备具有自动报警系统，一旦监测值超过设定限值，设备将自动报警。</w:t>
      </w:r>
      <w:r>
        <w:rPr>
          <w:rFonts w:asciiTheme="minorEastAsia" w:hAnsiTheme="minorEastAsia" w:eastAsiaTheme="minorEastAsia"/>
          <w:sz w:val="24"/>
          <w:szCs w:val="24"/>
        </w:rPr>
        <w:t xml:space="preserve"> </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）进水口和排放口都安装有超声波明渠流量计，可随时监测进、出水的流量大小，再结合进、出水的水质状况，对处理药剂配比进行调整。</w:t>
      </w:r>
      <w:r>
        <w:rPr>
          <w:rFonts w:asciiTheme="minorEastAsia" w:hAnsiTheme="minorEastAsia" w:eastAsiaTheme="minorEastAsia"/>
          <w:sz w:val="24"/>
          <w:szCs w:val="24"/>
        </w:rPr>
        <w:t xml:space="preserve"> </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）进水口前端设有溢洪口，当暴雨水量超过处理能力时，多余的部分，将从溢洪口直接排入长江，以保证污水处理厂的正常运行。</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）定期采取进、出水口水样，对各项水质指标进行检测；同时有值班人员不定期巡视进出水质状况，通常每</w:t>
      </w:r>
      <w:r>
        <w:rPr>
          <w:rFonts w:asciiTheme="minorEastAsia" w:hAnsiTheme="minorEastAsia" w:eastAsiaTheme="minorEastAsia"/>
          <w:sz w:val="24"/>
          <w:szCs w:val="24"/>
        </w:rPr>
        <w:t>2</w:t>
      </w:r>
      <w:r>
        <w:rPr>
          <w:rFonts w:hint="eastAsia" w:asciiTheme="minorEastAsia" w:hAnsiTheme="minorEastAsia" w:eastAsiaTheme="minorEastAsia"/>
          <w:sz w:val="24"/>
          <w:szCs w:val="24"/>
        </w:rPr>
        <w:t>小时至少巡视一次，以应对水质浓度的骤变。</w:t>
      </w:r>
      <w:r>
        <w:rPr>
          <w:rFonts w:asciiTheme="minorEastAsia" w:hAnsiTheme="minorEastAsia" w:eastAsiaTheme="minorEastAsia"/>
          <w:sz w:val="24"/>
          <w:szCs w:val="24"/>
        </w:rPr>
        <w:t xml:space="preserve"> </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机修人员做好设备维护保养工作。</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水量冲击预警</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巡检组负责对天气情况进行72小时预报。</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巡检时发现提升泵井液位明显增加，立即上报</w:t>
      </w:r>
      <w:r>
        <w:rPr>
          <w:rFonts w:hint="eastAsia" w:asciiTheme="minorEastAsia" w:hAnsiTheme="minorEastAsia" w:eastAsiaTheme="minorEastAsia"/>
          <w:sz w:val="24"/>
          <w:szCs w:val="24"/>
        </w:rPr>
        <w:t>厂长</w:t>
      </w:r>
      <w:r>
        <w:rPr>
          <w:rFonts w:asciiTheme="minorEastAsia" w:hAnsiTheme="minorEastAsia" w:eastAsiaTheme="minorEastAsia"/>
          <w:sz w:val="24"/>
          <w:szCs w:val="24"/>
        </w:rPr>
        <w:t>，并采取相应防范措施。</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发生暴雨时，中控室在</w:t>
      </w:r>
      <w:r>
        <w:rPr>
          <w:rFonts w:hint="eastAsia" w:asciiTheme="minorEastAsia" w:hAnsiTheme="minorEastAsia" w:eastAsiaTheme="minorEastAsia"/>
          <w:sz w:val="24"/>
          <w:szCs w:val="24"/>
        </w:rPr>
        <w:t>岗</w:t>
      </w:r>
      <w:r>
        <w:rPr>
          <w:rFonts w:asciiTheme="minorEastAsia" w:hAnsiTheme="minorEastAsia" w:eastAsiaTheme="minorEastAsia"/>
          <w:sz w:val="24"/>
          <w:szCs w:val="24"/>
        </w:rPr>
        <w:t>人员密切观察提升泵井液位。当中控室人员发现液位上升增快时，立即上报厂长。</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水质冲击预警</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巡检过程中发现水质恶臭、浊度等异常，立即向厂长报告</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中控室发现进水水质在线监测数据超过进水标准，立即向厂长报告。</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3）厂长接到进水水质冲击报告后，立即通知化验室负责人，对进水水质进行</w:t>
      </w:r>
      <w:r>
        <w:rPr>
          <w:rFonts w:hint="eastAsia" w:asciiTheme="minorEastAsia" w:hAnsiTheme="minorEastAsia" w:eastAsiaTheme="minorEastAsia"/>
          <w:sz w:val="24"/>
          <w:szCs w:val="24"/>
        </w:rPr>
        <w:t>人工</w:t>
      </w:r>
      <w:r>
        <w:rPr>
          <w:rFonts w:asciiTheme="minorEastAsia" w:hAnsiTheme="minorEastAsia" w:eastAsiaTheme="minorEastAsia"/>
          <w:sz w:val="24"/>
          <w:szCs w:val="24"/>
        </w:rPr>
        <w:t>采样监测</w:t>
      </w:r>
      <w:r>
        <w:rPr>
          <w:rFonts w:hint="eastAsia" w:asciiTheme="minorEastAsia" w:hAnsiTheme="minorEastAsia" w:eastAsiaTheme="minorEastAsia"/>
          <w:sz w:val="24"/>
          <w:szCs w:val="24"/>
        </w:rPr>
        <w:t>，</w:t>
      </w:r>
      <w:r>
        <w:rPr>
          <w:rFonts w:asciiTheme="minorEastAsia" w:hAnsiTheme="minorEastAsia" w:eastAsiaTheme="minorEastAsia"/>
          <w:sz w:val="24"/>
          <w:szCs w:val="24"/>
        </w:rPr>
        <w:t>监测结果报厂长</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）确认进水水质超标后，厂长（书面、口头）立即向公司</w:t>
      </w:r>
      <w:r>
        <w:rPr>
          <w:rFonts w:hint="eastAsia" w:asciiTheme="minorEastAsia" w:hAnsiTheme="minorEastAsia" w:eastAsiaTheme="minorEastAsia"/>
          <w:color w:val="000000"/>
          <w:sz w:val="24"/>
          <w:szCs w:val="24"/>
        </w:rPr>
        <w:t>安全环保部、</w:t>
      </w:r>
      <w:r>
        <w:rPr>
          <w:rFonts w:asciiTheme="minorEastAsia" w:hAnsiTheme="minorEastAsia" w:eastAsiaTheme="minorEastAsia"/>
          <w:color w:val="000000"/>
          <w:sz w:val="24"/>
          <w:szCs w:val="24"/>
        </w:rPr>
        <w:t>应急指挥中心办公室报告，并且启动污水管网排查；对</w:t>
      </w:r>
      <w:r>
        <w:rPr>
          <w:rFonts w:hint="eastAsia" w:asciiTheme="minorEastAsia" w:hAnsiTheme="minorEastAsia" w:eastAsiaTheme="minorEastAsia"/>
          <w:color w:val="000000"/>
          <w:sz w:val="24"/>
          <w:szCs w:val="24"/>
        </w:rPr>
        <w:t>污水处理厂服务范围内的</w:t>
      </w:r>
      <w:r>
        <w:rPr>
          <w:rFonts w:asciiTheme="minorEastAsia" w:hAnsiTheme="minorEastAsia" w:eastAsiaTheme="minorEastAsia"/>
          <w:color w:val="000000"/>
          <w:sz w:val="24"/>
          <w:szCs w:val="24"/>
        </w:rPr>
        <w:t>企业进行排查是否有企业废水处理不达标而直接排入污水管网。对易发生险情的目标</w:t>
      </w: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加强监视和处理，发现异常立即上报厂长</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w:t>
      </w:r>
      <w:r>
        <w:rPr>
          <w:rFonts w:asciiTheme="minorEastAsia" w:hAnsiTheme="minorEastAsia" w:eastAsiaTheme="minorEastAsia"/>
          <w:color w:val="000000"/>
          <w:sz w:val="24"/>
          <w:szCs w:val="24"/>
        </w:rPr>
        <w:t>停电预警</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1）电力部门提前发布停电通知，由</w:t>
      </w:r>
      <w:r>
        <w:rPr>
          <w:rFonts w:hint="eastAsia" w:asciiTheme="minorEastAsia" w:hAnsiTheme="minorEastAsia" w:eastAsiaTheme="minorEastAsia"/>
          <w:color w:val="000000"/>
          <w:sz w:val="24"/>
          <w:szCs w:val="24"/>
        </w:rPr>
        <w:t>综合部</w:t>
      </w:r>
      <w:r>
        <w:rPr>
          <w:rFonts w:asciiTheme="minorEastAsia" w:hAnsiTheme="minorEastAsia" w:eastAsiaTheme="minorEastAsia"/>
          <w:color w:val="000000"/>
          <w:sz w:val="24"/>
          <w:szCs w:val="24"/>
        </w:rPr>
        <w:t>收集停电通知，</w:t>
      </w:r>
      <w:r>
        <w:rPr>
          <w:rFonts w:hint="eastAsia" w:asciiTheme="minorEastAsia" w:hAnsiTheme="minorEastAsia" w:eastAsiaTheme="minorEastAsia"/>
          <w:color w:val="000000"/>
          <w:sz w:val="24"/>
          <w:szCs w:val="24"/>
        </w:rPr>
        <w:t>安全生产部</w:t>
      </w:r>
      <w:r>
        <w:rPr>
          <w:rFonts w:asciiTheme="minorEastAsia" w:hAnsiTheme="minorEastAsia" w:eastAsiaTheme="minorEastAsia"/>
          <w:color w:val="000000"/>
          <w:sz w:val="24"/>
          <w:szCs w:val="24"/>
        </w:rPr>
        <w:t>提前做好备用</w:t>
      </w:r>
      <w:r>
        <w:rPr>
          <w:rFonts w:hint="eastAsia" w:asciiTheme="minorEastAsia" w:hAnsiTheme="minorEastAsia" w:eastAsiaTheme="minorEastAsia"/>
          <w:color w:val="000000"/>
          <w:sz w:val="24"/>
          <w:szCs w:val="24"/>
        </w:rPr>
        <w:t>电源供电</w:t>
      </w:r>
      <w:r>
        <w:rPr>
          <w:rFonts w:asciiTheme="minorEastAsia" w:hAnsiTheme="minorEastAsia" w:eastAsiaTheme="minorEastAsia"/>
          <w:color w:val="000000"/>
          <w:sz w:val="24"/>
          <w:szCs w:val="24"/>
        </w:rPr>
        <w:t>准备。</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2）中控室设置有断电应急灯，当发生设备断电时，应急灯亮起。</w:t>
      </w:r>
      <w:r>
        <w:rPr>
          <w:rFonts w:hint="eastAsia" w:asciiTheme="minorEastAsia" w:hAnsiTheme="minorEastAsia" w:eastAsiaTheme="minorEastAsia"/>
          <w:color w:val="000000"/>
          <w:sz w:val="24"/>
          <w:szCs w:val="24"/>
        </w:rPr>
        <w:t>安全生产部及时</w:t>
      </w:r>
      <w:r>
        <w:rPr>
          <w:rFonts w:asciiTheme="minorEastAsia" w:hAnsiTheme="minorEastAsia" w:eastAsiaTheme="minorEastAsia"/>
          <w:color w:val="000000"/>
          <w:sz w:val="24"/>
          <w:szCs w:val="24"/>
        </w:rPr>
        <w:t>启动</w:t>
      </w:r>
      <w:r>
        <w:rPr>
          <w:rFonts w:hint="eastAsia" w:asciiTheme="minorEastAsia" w:hAnsiTheme="minorEastAsia" w:eastAsiaTheme="minorEastAsia"/>
          <w:color w:val="000000"/>
          <w:sz w:val="24"/>
          <w:szCs w:val="24"/>
        </w:rPr>
        <w:t>备用电源</w:t>
      </w:r>
      <w:r>
        <w:rPr>
          <w:rFonts w:asciiTheme="minorEastAsia" w:hAnsiTheme="minorEastAsia" w:eastAsiaTheme="minorEastAsia"/>
          <w:color w:val="000000"/>
          <w:sz w:val="24"/>
          <w:szCs w:val="24"/>
        </w:rPr>
        <w:t>。</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（9）泄漏</w:t>
      </w:r>
      <w:r>
        <w:rPr>
          <w:rFonts w:asciiTheme="minorEastAsia" w:hAnsiTheme="minorEastAsia" w:eastAsiaTheme="minorEastAsia"/>
          <w:color w:val="000000"/>
          <w:sz w:val="24"/>
          <w:szCs w:val="24"/>
        </w:rPr>
        <w:t>预警</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1）二氧化氯车间设置有漏氯泄漏报警仪，与中央控制室报警相连，现场设置监控摄像头，与中央控制室电视监控设备相连。（在测氯气浓度为1mg/L时可立即自动启动）。</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2）现场人员负责对加氯间进行2小时巡检，遇报警器响或有大量刺激性气体溢出时及时向厂区应急领导报告，并采取相应防范措施。</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3）各生产班组工作人员严格执行维护保养规程，发现异常情况立即上报，机修人员及时处理确保设备运行正常。</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预警条件：当储罐区、生产区出现危险化学品发生泄漏或火灾、灼伤、爆炸等事故时，现场发现人员立即采取人工报警。</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方式、方法：现场人员可采取边报警边处理的方式，预警方式可以采用电话报警或人员现场通知的方式，要求上报要快（2分钟内）。使用电话报警时，人员必须跑到危险区域外进行报警。各级人员在接到事故信息后，要按照应急预案的规定程序及时上报，并确定解决方案，通知本单位相关人员采取防范措施或启动相应预案。各部门接到可能导致事故的信息后，要做好事故的预测与预警工作。　　</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信息发布程序：当总经理决定启动公司应急预案后，应立即告诫有关人员发生了安全事故，应进行紧急疏散和事故应急抢险。若需对外上报信息时，必须经总经理同意后，方可对外上报事故信息。</w:t>
      </w:r>
    </w:p>
    <w:p>
      <w:pPr>
        <w:adjustRightInd w:val="0"/>
        <w:snapToGrid w:val="0"/>
        <w:spacing w:line="460" w:lineRule="exact"/>
        <w:outlineLvl w:val="1"/>
        <w:rPr>
          <w:rFonts w:hint="eastAsia"/>
          <w:b/>
          <w:color w:val="000000"/>
          <w:sz w:val="28"/>
          <w:szCs w:val="28"/>
        </w:rPr>
      </w:pPr>
      <w:bookmarkStart w:id="312" w:name="_Toc483083908"/>
      <w:bookmarkStart w:id="313" w:name="_Toc11323"/>
      <w:r>
        <w:rPr>
          <w:rFonts w:hint="eastAsia"/>
          <w:b/>
          <w:color w:val="000000"/>
          <w:sz w:val="28"/>
          <w:szCs w:val="28"/>
        </w:rPr>
        <w:t>5.3有效报警方式</w:t>
      </w:r>
      <w:bookmarkEnd w:id="312"/>
      <w:bookmarkEnd w:id="313"/>
      <w:r>
        <w:rPr>
          <w:rFonts w:hint="eastAsia"/>
          <w:b/>
          <w:color w:val="000000"/>
          <w:sz w:val="28"/>
          <w:szCs w:val="28"/>
        </w:rPr>
        <w:t xml:space="preserve"> </w:t>
      </w:r>
    </w:p>
    <w:p>
      <w:pPr>
        <w:spacing w:line="460" w:lineRule="exact"/>
        <w:ind w:firstLine="480" w:firstLineChars="200"/>
        <w:jc w:val="left"/>
        <w:rPr>
          <w:rFonts w:asciiTheme="minorEastAsia" w:hAnsiTheme="minorEastAsia" w:eastAsiaTheme="minorEastAsia"/>
        </w:rPr>
      </w:pPr>
      <w:bookmarkStart w:id="314" w:name="_Toc317862352"/>
      <w:r>
        <w:rPr>
          <w:rFonts w:hint="eastAsia" w:asciiTheme="minorEastAsia" w:hAnsiTheme="minorEastAsia" w:eastAsiaTheme="minorEastAsia"/>
          <w:sz w:val="24"/>
          <w:szCs w:val="24"/>
        </w:rPr>
        <w:t>白涛潘家坝污水处理厂</w:t>
      </w:r>
      <w:r>
        <w:rPr>
          <w:rFonts w:asciiTheme="minorEastAsia" w:hAnsiTheme="minorEastAsia" w:eastAsiaTheme="minorEastAsia"/>
          <w:color w:val="000000"/>
          <w:sz w:val="24"/>
          <w:szCs w:val="24"/>
        </w:rPr>
        <w:t>应急救援指挥</w:t>
      </w:r>
      <w:r>
        <w:rPr>
          <w:rFonts w:hint="eastAsia" w:asciiTheme="minorEastAsia" w:hAnsiTheme="minorEastAsia" w:eastAsiaTheme="minorEastAsia"/>
          <w:color w:val="000000"/>
          <w:sz w:val="24"/>
          <w:szCs w:val="24"/>
        </w:rPr>
        <w:t>部</w:t>
      </w:r>
      <w:r>
        <w:rPr>
          <w:rFonts w:asciiTheme="minorEastAsia" w:hAnsiTheme="minorEastAsia" w:eastAsiaTheme="minorEastAsia"/>
          <w:color w:val="000000"/>
          <w:sz w:val="24"/>
          <w:szCs w:val="24"/>
        </w:rPr>
        <w:t>常设</w:t>
      </w:r>
      <w:r>
        <w:rPr>
          <w:rFonts w:hint="eastAsia" w:asciiTheme="minorEastAsia" w:hAnsiTheme="minorEastAsia" w:eastAsiaTheme="minorEastAsia"/>
          <w:color w:val="000000"/>
          <w:sz w:val="24"/>
          <w:szCs w:val="24"/>
        </w:rPr>
        <w:t>24小时值班报警电话：</w:t>
      </w:r>
      <w:r>
        <w:rPr>
          <w:rFonts w:asciiTheme="minorEastAsia" w:hAnsiTheme="minorEastAsia" w:eastAsiaTheme="minorEastAsia"/>
          <w:color w:val="000000"/>
          <w:sz w:val="24"/>
          <w:szCs w:val="24"/>
        </w:rPr>
        <w:t>023-72310501并</w:t>
      </w:r>
      <w:r>
        <w:rPr>
          <w:rFonts w:hint="eastAsia" w:asciiTheme="minorEastAsia" w:hAnsiTheme="minorEastAsia" w:eastAsiaTheme="minorEastAsia"/>
          <w:color w:val="000000"/>
          <w:sz w:val="24"/>
          <w:szCs w:val="24"/>
        </w:rPr>
        <w:t>派</w:t>
      </w:r>
      <w:r>
        <w:rPr>
          <w:rFonts w:asciiTheme="minorEastAsia" w:hAnsiTheme="minorEastAsia" w:eastAsiaTheme="minorEastAsia"/>
          <w:color w:val="000000"/>
          <w:sz w:val="24"/>
          <w:szCs w:val="24"/>
        </w:rPr>
        <w:t>专人值守。</w:t>
      </w:r>
      <w:r>
        <w:rPr>
          <w:rFonts w:hint="eastAsia" w:asciiTheme="minorEastAsia" w:hAnsiTheme="minorEastAsia" w:eastAsiaTheme="minorEastAsia"/>
          <w:color w:val="000000"/>
          <w:sz w:val="24"/>
          <w:szCs w:val="24"/>
        </w:rPr>
        <w:t>必须确保24小时能有人接听。</w:t>
      </w:r>
      <w:r>
        <w:rPr>
          <w:rFonts w:asciiTheme="minorEastAsia" w:hAnsiTheme="minorEastAsia" w:eastAsiaTheme="minorEastAsia"/>
          <w:sz w:val="24"/>
          <w:szCs w:val="24"/>
        </w:rPr>
        <w:t>应急救援人员之间采用内部和外部电话（包括手机、对讲机等）线路进行联系，应急救援小组的电话必须24小时开机</w:t>
      </w:r>
      <w:r>
        <w:rPr>
          <w:rFonts w:hint="eastAsia" w:asciiTheme="minorEastAsia" w:hAnsiTheme="minorEastAsia" w:eastAsiaTheme="minorEastAsia"/>
          <w:color w:val="000000"/>
          <w:sz w:val="24"/>
          <w:szCs w:val="24"/>
        </w:rPr>
        <w:t>确保手机畅通</w:t>
      </w:r>
      <w:r>
        <w:rPr>
          <w:rFonts w:asciiTheme="minorEastAsia" w:hAnsiTheme="minorEastAsia" w:eastAsiaTheme="minorEastAsia"/>
          <w:sz w:val="24"/>
          <w:szCs w:val="24"/>
        </w:rPr>
        <w:t>，禁止随意更换电话号码。特殊情况下，电话号码发生变更，必须在变更之日起48小时内向各部门、各企业单位公布。</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企业内部、企业与园区之间危险化学品事故报警方式采用内部电话和外部电话（包括手机、对讲机等）线路进行报警，由指挥部根据事态情况发布事故消息，做出紧急疏散和撤离等警报。需要向社会和周边发布警报时，由指挥部人员向政府以及周边单位发送警报消息。事态严重紧急时，通过指挥部直接联系政府以及周边单位负责人，由总指挥亲自向政府或负责人发布消息，提出要求组织撤离疏散或者请求援助，随时保持电话联系。</w:t>
      </w:r>
      <w:bookmarkEnd w:id="314"/>
      <w:bookmarkStart w:id="315" w:name="_Toc458674283"/>
    </w:p>
    <w:p>
      <w:pPr>
        <w:adjustRightInd w:val="0"/>
        <w:snapToGrid w:val="0"/>
        <w:spacing w:line="460" w:lineRule="exact"/>
        <w:outlineLvl w:val="1"/>
        <w:rPr>
          <w:rFonts w:hint="eastAsia"/>
          <w:b/>
          <w:color w:val="000000"/>
          <w:sz w:val="28"/>
          <w:szCs w:val="28"/>
        </w:rPr>
      </w:pPr>
      <w:bookmarkStart w:id="316" w:name="_Toc483083909"/>
      <w:bookmarkStart w:id="317" w:name="_Toc23062"/>
      <w:r>
        <w:rPr>
          <w:rFonts w:hint="eastAsia"/>
          <w:b/>
          <w:color w:val="000000"/>
          <w:sz w:val="28"/>
          <w:szCs w:val="28"/>
        </w:rPr>
        <w:t>5.4信息报告与通报</w:t>
      </w:r>
      <w:bookmarkEnd w:id="315"/>
      <w:bookmarkEnd w:id="316"/>
      <w:bookmarkEnd w:id="317"/>
    </w:p>
    <w:p>
      <w:pPr>
        <w:pStyle w:val="89"/>
        <w:spacing w:line="460" w:lineRule="exact"/>
        <w:ind w:firstLine="0" w:firstLineChars="0"/>
        <w:rPr>
          <w:b/>
        </w:rPr>
      </w:pPr>
      <w:bookmarkStart w:id="318" w:name="_Toc458674284"/>
      <w:r>
        <w:rPr>
          <w:rFonts w:hint="eastAsia"/>
          <w:b/>
        </w:rPr>
        <w:t>5</w:t>
      </w:r>
      <w:r>
        <w:rPr>
          <w:b/>
        </w:rPr>
        <w:t>.</w:t>
      </w:r>
      <w:r>
        <w:rPr>
          <w:rFonts w:hint="eastAsia"/>
          <w:b/>
        </w:rPr>
        <w:t>4</w:t>
      </w:r>
      <w:r>
        <w:rPr>
          <w:b/>
        </w:rPr>
        <w:t>.1突发环境事件报告时限和程序</w:t>
      </w:r>
      <w:bookmarkEnd w:id="318"/>
    </w:p>
    <w:p>
      <w:pPr>
        <w:adjustRightInd w:val="0"/>
        <w:snapToGrid w:val="0"/>
        <w:spacing w:line="46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在发生</w:t>
      </w:r>
      <w:r>
        <w:rPr>
          <w:rFonts w:hint="eastAsia" w:asciiTheme="minorEastAsia" w:hAnsiTheme="minorEastAsia" w:eastAsiaTheme="minorEastAsia"/>
          <w:color w:val="000000"/>
          <w:sz w:val="24"/>
          <w:szCs w:val="24"/>
        </w:rPr>
        <w:t>突发</w:t>
      </w:r>
      <w:r>
        <w:rPr>
          <w:rFonts w:asciiTheme="minorEastAsia" w:hAnsiTheme="minorEastAsia" w:eastAsiaTheme="minorEastAsia"/>
          <w:color w:val="000000"/>
          <w:sz w:val="24"/>
          <w:szCs w:val="24"/>
        </w:rPr>
        <w:t>环境污染事件后，</w:t>
      </w:r>
      <w:r>
        <w:rPr>
          <w:rFonts w:hint="eastAsia" w:asciiTheme="minorEastAsia" w:hAnsiTheme="minorEastAsia" w:eastAsiaTheme="minorEastAsia"/>
          <w:color w:val="000000"/>
          <w:sz w:val="24"/>
          <w:szCs w:val="24"/>
        </w:rPr>
        <w:t>事故现场有关人员应立即报告现场管理人员或当班负责人。单位主要负责人根据事故情况决定是否启动本单位现场处置方案或综合应急救援预案。每级上报时间不得超过10分钟。情况紧急时，可以直接越级上报或现场人员直接向事故发生地区县级以上人民政府安全生产监督管理部门和负有安全生产监督管理职责的有关部门报告。当厂长觉得有必要启动应急救援预案时，可直接启动</w:t>
      </w:r>
      <w:r>
        <w:rPr>
          <w:rFonts w:asciiTheme="minorEastAsia" w:hAnsiTheme="minorEastAsia" w:eastAsiaTheme="minorEastAsia"/>
          <w:color w:val="000000"/>
          <w:sz w:val="24"/>
          <w:szCs w:val="24"/>
        </w:rPr>
        <w:t>相应</w:t>
      </w:r>
      <w:r>
        <w:rPr>
          <w:rFonts w:hint="eastAsia" w:asciiTheme="minorEastAsia" w:hAnsiTheme="minorEastAsia" w:eastAsiaTheme="minorEastAsia"/>
          <w:color w:val="000000"/>
          <w:sz w:val="24"/>
          <w:szCs w:val="24"/>
        </w:rPr>
        <w:t>应急预案开展事故救援工作。</w:t>
      </w:r>
    </w:p>
    <w:p>
      <w:pPr>
        <w:pStyle w:val="89"/>
        <w:ind w:firstLine="0" w:firstLineChars="0"/>
        <w:rPr>
          <w:b/>
        </w:rPr>
      </w:pPr>
      <w:bookmarkStart w:id="319" w:name="_Toc458674285"/>
      <w:r>
        <w:rPr>
          <w:rFonts w:hint="eastAsia"/>
          <w:b/>
        </w:rPr>
        <w:t>5</w:t>
      </w:r>
      <w:r>
        <w:rPr>
          <w:b/>
        </w:rPr>
        <w:t>.</w:t>
      </w:r>
      <w:r>
        <w:rPr>
          <w:rFonts w:hint="eastAsia"/>
          <w:b/>
        </w:rPr>
        <w:t>4</w:t>
      </w:r>
      <w:r>
        <w:rPr>
          <w:b/>
        </w:rPr>
        <w:t>.2突发环境事件报告方式与内容</w:t>
      </w:r>
      <w:bookmarkEnd w:id="319"/>
    </w:p>
    <w:p>
      <w:pPr>
        <w:adjustRightInd w:val="0"/>
        <w:snapToGrid w:val="0"/>
        <w:spacing w:line="4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（1）厂内报告方式</w:t>
      </w:r>
    </w:p>
    <w:p>
      <w:pPr>
        <w:adjustRightInd w:val="0"/>
        <w:snapToGrid w:val="0"/>
        <w:spacing w:line="460" w:lineRule="exact"/>
        <w:ind w:firstLine="480" w:firstLineChars="200"/>
        <w:rPr>
          <w:color w:val="000000"/>
          <w:sz w:val="26"/>
          <w:szCs w:val="26"/>
        </w:rPr>
      </w:pP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在发生</w:t>
      </w:r>
      <w:r>
        <w:rPr>
          <w:rFonts w:hint="eastAsia" w:asciiTheme="minorEastAsia" w:hAnsiTheme="minorEastAsia" w:eastAsiaTheme="minorEastAsia"/>
          <w:color w:val="000000"/>
          <w:sz w:val="24"/>
          <w:szCs w:val="24"/>
        </w:rPr>
        <w:t>突发</w:t>
      </w:r>
      <w:r>
        <w:rPr>
          <w:rFonts w:asciiTheme="minorEastAsia" w:hAnsiTheme="minorEastAsia" w:eastAsiaTheme="minorEastAsia"/>
          <w:color w:val="000000"/>
          <w:sz w:val="24"/>
          <w:szCs w:val="24"/>
        </w:rPr>
        <w:t>环境污染事件后，</w:t>
      </w:r>
      <w:r>
        <w:rPr>
          <w:rFonts w:hint="eastAsia" w:asciiTheme="minorEastAsia" w:hAnsiTheme="minorEastAsia" w:eastAsiaTheme="minorEastAsia"/>
          <w:color w:val="000000"/>
          <w:sz w:val="24"/>
          <w:szCs w:val="24"/>
        </w:rPr>
        <w:t>事故现场有关人员应立即报告现场管理人员或当班负责人。单位主要负责人根据事故情况决定是否启动本单位现场处置方案或综合应急救援预案。每级上报时间不得超过10分钟。</w:t>
      </w:r>
      <w:r>
        <w:rPr>
          <w:rFonts w:asciiTheme="minorEastAsia" w:hAnsiTheme="minorEastAsia" w:eastAsiaTheme="minorEastAsia"/>
          <w:color w:val="000000"/>
          <w:sz w:val="24"/>
          <w:szCs w:val="24"/>
        </w:rPr>
        <w:t>各部门建立领导干部联系电话图表，予以公布。</w:t>
      </w:r>
      <w:r>
        <w:rPr>
          <w:rFonts w:hint="eastAsia" w:asciiTheme="minorEastAsia" w:hAnsiTheme="minorEastAsia" w:eastAsiaTheme="minorEastAsia"/>
          <w:color w:val="000000"/>
          <w:sz w:val="24"/>
          <w:szCs w:val="24"/>
        </w:rPr>
        <w:t>并</w:t>
      </w:r>
      <w:r>
        <w:rPr>
          <w:rFonts w:asciiTheme="minorEastAsia" w:hAnsiTheme="minorEastAsia" w:eastAsiaTheme="minorEastAsia"/>
          <w:color w:val="000000"/>
          <w:sz w:val="24"/>
          <w:szCs w:val="24"/>
        </w:rPr>
        <w:t>定期进行修订。</w:t>
      </w:r>
    </w:p>
    <w:p>
      <w:pPr>
        <w:adjustRightInd w:val="0"/>
        <w:snapToGrid w:val="0"/>
        <w:spacing w:line="460" w:lineRule="exact"/>
        <w:ind w:firstLine="480" w:firstLineChars="200"/>
        <w:rPr>
          <w:color w:val="000000"/>
          <w:sz w:val="26"/>
          <w:szCs w:val="26"/>
        </w:rPr>
      </w:pPr>
      <w:r>
        <w:rPr>
          <w:rFonts w:asciiTheme="minorEastAsia" w:hAnsiTheme="minorEastAsia" w:eastAsiaTheme="minorEastAsia"/>
          <w:color w:val="000000"/>
          <w:sz w:val="24"/>
          <w:szCs w:val="24"/>
        </w:rPr>
        <w:t>（2）厂外报告方式</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当事故信息上报至公司主要负责人后，主要负责人认为本单位应急能力不能对事故进行控制和处理时，由主要负责人直接在事故发生l小时内上报</w:t>
      </w:r>
      <w:r>
        <w:rPr>
          <w:rFonts w:hint="eastAsia" w:asciiTheme="minorEastAsia" w:hAnsiTheme="minorEastAsia" w:eastAsiaTheme="minorEastAsia"/>
          <w:color w:val="000000"/>
          <w:sz w:val="24"/>
          <w:szCs w:val="24"/>
          <w:lang w:eastAsia="zh-CN"/>
        </w:rPr>
        <w:t>上级</w:t>
      </w:r>
      <w:r>
        <w:rPr>
          <w:rFonts w:hint="eastAsia" w:asciiTheme="minorEastAsia" w:hAnsiTheme="minorEastAsia" w:eastAsiaTheme="minorEastAsia"/>
          <w:color w:val="000000"/>
          <w:sz w:val="24"/>
          <w:szCs w:val="24"/>
        </w:rPr>
        <w:t>应急部门或区安全生产监督管理部门、主管部门以及负有安全生产监督管理职责的有关部门。</w:t>
      </w:r>
    </w:p>
    <w:p>
      <w:pPr>
        <w:adjustRightInd w:val="0"/>
        <w:snapToGrid w:val="0"/>
        <w:spacing w:line="460" w:lineRule="exact"/>
        <w:ind w:firstLine="480" w:firstLineChars="200"/>
        <w:rPr>
          <w:color w:val="000000"/>
          <w:sz w:val="26"/>
          <w:szCs w:val="26"/>
        </w:rPr>
      </w:pPr>
      <w:bookmarkStart w:id="320" w:name="_Toc363593031"/>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）事件报告内容</w:t>
      </w:r>
      <w:bookmarkEnd w:id="320"/>
    </w:p>
    <w:p>
      <w:pPr>
        <w:adjustRightInd w:val="0"/>
        <w:snapToGrid w:val="0"/>
        <w:spacing w:line="460" w:lineRule="exact"/>
        <w:ind w:firstLine="480" w:firstLineChars="200"/>
        <w:rPr>
          <w:color w:val="000000"/>
          <w:sz w:val="26"/>
          <w:szCs w:val="26"/>
        </w:rPr>
      </w:pPr>
      <w:r>
        <w:rPr>
          <w:rFonts w:hint="eastAsia" w:asciiTheme="minorEastAsia" w:hAnsiTheme="minorEastAsia" w:eastAsiaTheme="minorEastAsia"/>
          <w:color w:val="000000"/>
          <w:sz w:val="24"/>
          <w:szCs w:val="24"/>
        </w:rPr>
        <w:t>报告事故的内容应当包括：事故发生单位概况；事故发生的时间、地点以及事故现场情况；事故的简要经过；事故已经造成或者可能造成的伤亡人数(包括下落不明的人数)和初步估计的直接经济损失；已经采取的措施；</w:t>
      </w:r>
      <w:r>
        <w:rPr>
          <w:rFonts w:asciiTheme="minorEastAsia" w:hAnsiTheme="minorEastAsia" w:eastAsiaTheme="minorEastAsia"/>
          <w:color w:val="000000"/>
          <w:sz w:val="24"/>
          <w:szCs w:val="24"/>
        </w:rPr>
        <w:t>潜在的危害程度，转化方式及趋向，可能受影响区域及</w:t>
      </w:r>
      <w:r>
        <w:rPr>
          <w:rFonts w:hint="eastAsia" w:asciiTheme="minorEastAsia" w:hAnsiTheme="minorEastAsia" w:eastAsiaTheme="minorEastAsia"/>
          <w:color w:val="000000"/>
          <w:sz w:val="24"/>
          <w:szCs w:val="24"/>
        </w:rPr>
        <w:t>已采取的措施和现场控制情况、其他应当报告的情况。</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涪陵区环保局电话：023-72899929</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涪陵区安监局电话：023-72230615</w:t>
      </w:r>
    </w:p>
    <w:p>
      <w:pPr>
        <w:adjustRightInd w:val="0"/>
        <w:snapToGrid w:val="0"/>
        <w:spacing w:line="360" w:lineRule="auto"/>
        <w:ind w:firstLine="480" w:firstLineChars="200"/>
        <w:jc w:val="left"/>
        <w:textAlignment w:val="center"/>
        <w:rPr>
          <w:rFonts w:asciiTheme="minorEastAsia" w:hAnsiTheme="minorEastAsia" w:eastAsiaTheme="minorEastAsia"/>
          <w:sz w:val="24"/>
        </w:rPr>
      </w:pPr>
      <w:r>
        <w:rPr>
          <w:rFonts w:hint="eastAsia" w:asciiTheme="minorEastAsia" w:hAnsiTheme="minorEastAsia" w:eastAsiaTheme="minorEastAsia"/>
          <w:color w:val="000000"/>
          <w:sz w:val="24"/>
          <w:szCs w:val="24"/>
        </w:rPr>
        <w:t>消防队电话：119</w:t>
      </w:r>
    </w:p>
    <w:p>
      <w:pPr>
        <w:pStyle w:val="89"/>
        <w:spacing w:line="360" w:lineRule="auto"/>
        <w:ind w:firstLine="480"/>
        <w:rPr>
          <w:rFonts w:asciiTheme="minorEastAsia" w:hAnsiTheme="minorEastAsia" w:eastAsiaTheme="minorEastAsia"/>
          <w:kern w:val="2"/>
        </w:rPr>
      </w:pPr>
      <w:r>
        <w:rPr>
          <w:rFonts w:asciiTheme="minorEastAsia" w:hAnsiTheme="minorEastAsia" w:eastAsiaTheme="minorEastAsia"/>
          <w:kern w:val="2"/>
        </w:rPr>
        <w:t>公司领导小组成员及各部门领导</w:t>
      </w:r>
      <w:r>
        <w:rPr>
          <w:rFonts w:hint="eastAsia" w:asciiTheme="minorEastAsia" w:hAnsiTheme="minorEastAsia" w:eastAsiaTheme="minorEastAsia"/>
          <w:kern w:val="2"/>
        </w:rPr>
        <w:t>、</w:t>
      </w:r>
      <w:r>
        <w:rPr>
          <w:rFonts w:asciiTheme="minorEastAsia" w:hAnsiTheme="minorEastAsia" w:eastAsiaTheme="minorEastAsia"/>
          <w:kern w:val="2"/>
        </w:rPr>
        <w:t>相关部门、单位的联系方式</w:t>
      </w:r>
      <w:r>
        <w:rPr>
          <w:rFonts w:hint="eastAsia" w:asciiTheme="minorEastAsia" w:hAnsiTheme="minorEastAsia" w:eastAsiaTheme="minorEastAsia"/>
          <w:kern w:val="2"/>
        </w:rPr>
        <w:t>见附件</w:t>
      </w:r>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321" w:name="_Toc183339501"/>
      <w:bookmarkStart w:id="322" w:name="_Toc336327131"/>
      <w:bookmarkStart w:id="323" w:name="_Toc304833236"/>
      <w:bookmarkStart w:id="324" w:name="_Toc387131759"/>
      <w:bookmarkStart w:id="325" w:name="_Toc262050869"/>
      <w:bookmarkStart w:id="326" w:name="_Toc229283974"/>
      <w:bookmarkStart w:id="327" w:name="_Toc387131502"/>
      <w:bookmarkStart w:id="328" w:name="_Toc262040279"/>
      <w:bookmarkStart w:id="329" w:name="_Toc415254545"/>
      <w:bookmarkStart w:id="330" w:name="_Toc198355323"/>
      <w:bookmarkStart w:id="331" w:name="_Toc196018639"/>
      <w:bookmarkStart w:id="332" w:name="_Toc183339225"/>
      <w:bookmarkStart w:id="333" w:name="_Toc262051540"/>
      <w:bookmarkStart w:id="334" w:name="_Toc184808765"/>
      <w:bookmarkStart w:id="335" w:name="_Toc387131428"/>
      <w:bookmarkStart w:id="336" w:name="_Toc304962959"/>
      <w:bookmarkStart w:id="337" w:name="_Toc185670985"/>
      <w:bookmarkStart w:id="338" w:name="_Toc198007338"/>
      <w:bookmarkStart w:id="339" w:name="_Toc304964446"/>
      <w:bookmarkStart w:id="340" w:name="_Toc197251343"/>
      <w:bookmarkStart w:id="341" w:name="_Toc179794547"/>
      <w:bookmarkStart w:id="342" w:name="_Toc196018435"/>
      <w:bookmarkStart w:id="343" w:name="_Toc262051119"/>
      <w:bookmarkStart w:id="344" w:name="_Toc196018544"/>
      <w:bookmarkStart w:id="345" w:name="_Toc304963603"/>
      <w:bookmarkStart w:id="346" w:name="_Toc184809552"/>
      <w:bookmarkStart w:id="347" w:name="_Toc336326853"/>
      <w:bookmarkStart w:id="348" w:name="_Toc3815"/>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349" w:name="_Toc5763"/>
      <w:r>
        <w:rPr>
          <w:rFonts w:hint="eastAsia" w:asciiTheme="minorEastAsia" w:hAnsiTheme="minorEastAsia" w:eastAsiaTheme="minorEastAsia"/>
          <w:b/>
          <w:color w:val="000000"/>
          <w:sz w:val="32"/>
        </w:rPr>
        <w:t>6应急响应</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Start w:id="350" w:name="_Toc183339226"/>
      <w:bookmarkStart w:id="351" w:name="_Toc198007339"/>
      <w:bookmarkStart w:id="352" w:name="_Toc197251344"/>
      <w:bookmarkStart w:id="353" w:name="_Toc184809553"/>
      <w:bookmarkStart w:id="354" w:name="_Toc262040280"/>
      <w:bookmarkStart w:id="355" w:name="_Toc336326854"/>
      <w:bookmarkStart w:id="356" w:name="_Toc29064"/>
      <w:bookmarkStart w:id="357" w:name="_Toc229283975"/>
      <w:bookmarkStart w:id="358" w:name="_Toc185670986"/>
      <w:bookmarkStart w:id="359" w:name="_Toc304962960"/>
      <w:bookmarkStart w:id="360" w:name="_Toc387131429"/>
      <w:bookmarkStart w:id="361" w:name="_Toc179794548"/>
      <w:bookmarkStart w:id="362" w:name="_Toc196018545"/>
      <w:bookmarkStart w:id="363" w:name="_Toc262051541"/>
      <w:bookmarkStart w:id="364" w:name="_Toc336327132"/>
      <w:bookmarkStart w:id="365" w:name="_Toc304833237"/>
      <w:bookmarkStart w:id="366" w:name="_Toc198355324"/>
      <w:bookmarkStart w:id="367" w:name="_Toc183339502"/>
      <w:bookmarkStart w:id="368" w:name="_Toc387131760"/>
      <w:bookmarkStart w:id="369" w:name="_Toc184808766"/>
      <w:bookmarkStart w:id="370" w:name="_Toc387131503"/>
      <w:bookmarkStart w:id="371" w:name="_Toc196018436"/>
      <w:bookmarkStart w:id="372" w:name="_Toc262051120"/>
      <w:bookmarkStart w:id="373" w:name="_Toc262050870"/>
      <w:bookmarkStart w:id="374" w:name="_Toc196018640"/>
      <w:bookmarkStart w:id="375" w:name="_Toc304964447"/>
      <w:bookmarkStart w:id="376" w:name="_Toc304963604"/>
      <w:bookmarkStart w:id="377" w:name="_Toc415254546"/>
    </w:p>
    <w:p>
      <w:pPr>
        <w:adjustRightInd w:val="0"/>
        <w:snapToGrid w:val="0"/>
        <w:spacing w:line="460" w:lineRule="exact"/>
        <w:outlineLvl w:val="1"/>
        <w:rPr>
          <w:rFonts w:hint="eastAsia"/>
          <w:b/>
          <w:color w:val="000000"/>
          <w:sz w:val="28"/>
          <w:szCs w:val="28"/>
        </w:rPr>
      </w:pPr>
      <w:bookmarkStart w:id="378" w:name="_Toc12589"/>
      <w:r>
        <w:rPr>
          <w:rFonts w:hint="eastAsia"/>
          <w:b/>
          <w:color w:val="000000"/>
          <w:sz w:val="28"/>
          <w:szCs w:val="28"/>
        </w:rPr>
        <w:t>6.1响应分级</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针对事故严重程度、影响范围和单位对事态控制的能力，将应急响应分为三级：一级响应、二级响应、三级响应。</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bookmarkStart w:id="379" w:name="_Toc15640"/>
      <w:bookmarkStart w:id="380" w:name="_Toc403509919"/>
      <w:bookmarkStart w:id="381" w:name="_Toc400018367"/>
      <w:bookmarkStart w:id="382" w:name="_Toc21753"/>
      <w:r>
        <w:rPr>
          <w:rFonts w:hint="eastAsia" w:asciiTheme="minorEastAsia" w:hAnsiTheme="minorEastAsia" w:eastAsiaTheme="minorEastAsia"/>
          <w:color w:val="000000"/>
          <w:sz w:val="24"/>
          <w:szCs w:val="24"/>
          <w:lang w:val="zh-CN"/>
        </w:rPr>
        <w:t>一级预警为事故波及单位周边；本单位无力控制事态及有效进行应急处置（外部级）。</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r>
        <w:rPr>
          <w:rFonts w:hint="eastAsia" w:asciiTheme="minorEastAsia" w:hAnsiTheme="minorEastAsia" w:eastAsiaTheme="minorEastAsia"/>
          <w:color w:val="000000"/>
          <w:sz w:val="24"/>
          <w:szCs w:val="24"/>
          <w:lang w:val="zh-CN"/>
        </w:rPr>
        <w:t>二级预警事故不波及单位周边；本单位能控制事态及有效进行应急处置（内部级）。</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r>
        <w:rPr>
          <w:rFonts w:hint="eastAsia" w:asciiTheme="minorEastAsia" w:hAnsiTheme="minorEastAsia" w:eastAsiaTheme="minorEastAsia"/>
          <w:color w:val="000000"/>
          <w:sz w:val="24"/>
          <w:szCs w:val="24"/>
          <w:lang w:val="zh-CN"/>
        </w:rPr>
        <w:t>三级预警事故为班组级，不涉及企业大范围及单位周边；班组能控制事态及有效进行应急处置（班组织）</w:t>
      </w:r>
      <w:bookmarkEnd w:id="379"/>
    </w:p>
    <w:p>
      <w:pPr>
        <w:adjustRightInd w:val="0"/>
        <w:snapToGrid w:val="0"/>
        <w:spacing w:line="460" w:lineRule="exact"/>
        <w:outlineLvl w:val="1"/>
        <w:rPr>
          <w:rFonts w:hint="eastAsia"/>
          <w:b/>
          <w:color w:val="000000"/>
          <w:sz w:val="28"/>
          <w:szCs w:val="28"/>
          <w:lang w:val="zh-CN"/>
        </w:rPr>
      </w:pPr>
      <w:bookmarkStart w:id="383" w:name="_Toc19340"/>
      <w:r>
        <w:rPr>
          <w:rFonts w:hint="eastAsia"/>
          <w:b/>
          <w:color w:val="000000"/>
          <w:sz w:val="28"/>
          <w:szCs w:val="28"/>
        </w:rPr>
        <w:t>6.2响应程序</w:t>
      </w:r>
      <w:bookmarkEnd w:id="380"/>
      <w:bookmarkEnd w:id="381"/>
      <w:bookmarkEnd w:id="382"/>
      <w:bookmarkEnd w:id="383"/>
    </w:p>
    <w:p>
      <w:pPr>
        <w:spacing w:line="360" w:lineRule="auto"/>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一级响应，现场应急指挥组长及时掌握事故应急处置情况，当事故的严重程度及发展趋势超出了本单位应急救援能力时，应及时扩大应急响应级别为一级，立即组织周边群众或单位疏散，并在</w:t>
      </w:r>
      <w:r>
        <w:rPr>
          <w:rFonts w:hint="eastAsia" w:asciiTheme="minorEastAsia" w:hAnsiTheme="minorEastAsia" w:eastAsiaTheme="minorEastAsia"/>
          <w:b/>
          <w:bCs/>
          <w:sz w:val="24"/>
          <w:szCs w:val="24"/>
          <w:lang w:val="zh-CN"/>
        </w:rPr>
        <w:t>10分钟内</w:t>
      </w:r>
      <w:r>
        <w:rPr>
          <w:rFonts w:hint="eastAsia" w:asciiTheme="minorEastAsia" w:hAnsiTheme="minorEastAsia" w:eastAsiaTheme="minorEastAsia"/>
          <w:sz w:val="24"/>
          <w:szCs w:val="24"/>
          <w:lang w:val="zh-CN"/>
        </w:rPr>
        <w:t>上报涪陵区白涛化工园区应急值班人员或涪陵区安监局，申请启动管委会或区应急救援预案。</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 xml:space="preserve">： </w:t>
      </w:r>
      <w:r>
        <w:rPr>
          <w:rFonts w:hint="eastAsia" w:asciiTheme="minorEastAsia" w:hAnsiTheme="minorEastAsia" w:eastAsiaTheme="minorEastAsia"/>
          <w:sz w:val="24"/>
          <w:szCs w:val="24"/>
          <w:u w:val="single"/>
          <w:lang w:val="zh-CN"/>
        </w:rPr>
        <w:t>总经理</w:t>
      </w:r>
      <w:r>
        <w:rPr>
          <w:rFonts w:hint="eastAsia" w:asciiTheme="minorEastAsia" w:hAnsiTheme="minorEastAsia" w:eastAsiaTheme="minorEastAsia"/>
          <w:sz w:val="24"/>
          <w:szCs w:val="24"/>
          <w:lang w:val="zh-CN"/>
        </w:rPr>
        <w:t>，</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hint="eastAsia" w:asciiTheme="minorEastAsia" w:hAnsiTheme="minorEastAsia" w:eastAsiaTheme="minorEastAsia"/>
          <w:sz w:val="24"/>
          <w:szCs w:val="24"/>
          <w:u w:val="single"/>
          <w:lang w:val="zh-CN"/>
        </w:rPr>
        <w:t xml:space="preserve"> 18983330040</w:t>
      </w:r>
    </w:p>
    <w:p>
      <w:pPr>
        <w:spacing w:line="360" w:lineRule="auto"/>
        <w:ind w:firstLine="480" w:firstLineChars="200"/>
        <w:jc w:val="left"/>
        <w:rPr>
          <w:rFonts w:asciiTheme="minorEastAsia" w:hAnsiTheme="minorEastAsia" w:eastAsiaTheme="minorEastAsia"/>
          <w:sz w:val="24"/>
          <w:szCs w:val="24"/>
          <w:u w:val="single"/>
          <w:lang w:val="zh-CN"/>
        </w:rPr>
      </w:pPr>
      <w:r>
        <w:rPr>
          <w:rFonts w:hint="eastAsia" w:asciiTheme="minorEastAsia" w:hAnsiTheme="minorEastAsia" w:eastAsiaTheme="minorEastAsia"/>
          <w:sz w:val="24"/>
          <w:szCs w:val="24"/>
          <w:lang w:val="zh-CN"/>
        </w:rPr>
        <w:t>二级响应，当班人员或现场管理人员在</w:t>
      </w:r>
      <w:r>
        <w:rPr>
          <w:rFonts w:hint="eastAsia" w:asciiTheme="minorEastAsia" w:hAnsiTheme="minorEastAsia" w:eastAsiaTheme="minorEastAsia"/>
          <w:b/>
          <w:bCs/>
          <w:sz w:val="24"/>
          <w:szCs w:val="24"/>
          <w:lang w:val="zh-CN"/>
        </w:rPr>
        <w:t>5分钟内</w:t>
      </w:r>
      <w:r>
        <w:rPr>
          <w:rFonts w:hint="eastAsia" w:asciiTheme="minorEastAsia" w:hAnsiTheme="minorEastAsia" w:eastAsiaTheme="minorEastAsia"/>
          <w:sz w:val="24"/>
          <w:szCs w:val="24"/>
          <w:lang w:val="zh-CN"/>
        </w:rPr>
        <w:t>迅速通知公司主要负责人，主要负责人召集全体应急救援人员迅速赶往事故现场，按公司综合应急救援预案实施救援。</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 xml:space="preserve">： </w:t>
      </w:r>
      <w:r>
        <w:rPr>
          <w:rFonts w:hint="eastAsia" w:asciiTheme="minorEastAsia" w:hAnsiTheme="minorEastAsia" w:eastAsiaTheme="minorEastAsia"/>
          <w:sz w:val="24"/>
          <w:szCs w:val="24"/>
          <w:u w:val="single"/>
          <w:lang w:val="zh-CN"/>
        </w:rPr>
        <w:t>生产副总</w:t>
      </w:r>
      <w:r>
        <w:rPr>
          <w:rFonts w:hint="eastAsia" w:asciiTheme="minorEastAsia" w:hAnsiTheme="minorEastAsia" w:eastAsiaTheme="minorEastAsia"/>
          <w:sz w:val="24"/>
          <w:szCs w:val="24"/>
          <w:lang w:val="zh-CN"/>
        </w:rPr>
        <w:t xml:space="preserve"> ，</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hint="eastAsia" w:asciiTheme="minorEastAsia" w:hAnsiTheme="minorEastAsia" w:eastAsiaTheme="minorEastAsia"/>
          <w:sz w:val="24"/>
          <w:szCs w:val="24"/>
          <w:u w:val="single"/>
          <w:lang w:val="zh-CN"/>
        </w:rPr>
        <w:t xml:space="preserve"> 13996798479</w:t>
      </w:r>
    </w:p>
    <w:p>
      <w:pPr>
        <w:spacing w:line="360" w:lineRule="auto"/>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三级响应，当班值班管理人员组织现场操作人员，在</w:t>
      </w:r>
      <w:r>
        <w:rPr>
          <w:rFonts w:hint="eastAsia" w:asciiTheme="minorEastAsia" w:hAnsiTheme="minorEastAsia" w:eastAsiaTheme="minorEastAsia"/>
          <w:b/>
          <w:bCs/>
          <w:sz w:val="24"/>
          <w:szCs w:val="24"/>
          <w:lang w:val="zh-CN"/>
        </w:rPr>
        <w:t>5分钟内</w:t>
      </w:r>
      <w:r>
        <w:rPr>
          <w:rFonts w:hint="eastAsia" w:asciiTheme="minorEastAsia" w:hAnsiTheme="minorEastAsia" w:eastAsiaTheme="minorEastAsia"/>
          <w:sz w:val="24"/>
          <w:szCs w:val="24"/>
          <w:lang w:val="zh-CN"/>
        </w:rPr>
        <w:t xml:space="preserve">上报班组织负责人，按本单位制定的现场处置方案实施处置救援，结束后报告公司主要负责人。 </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w:t>
      </w:r>
      <w:r>
        <w:rPr>
          <w:rFonts w:hint="eastAsia" w:asciiTheme="minorEastAsia" w:hAnsiTheme="minorEastAsia" w:eastAsiaTheme="minorEastAsia"/>
          <w:sz w:val="24"/>
          <w:szCs w:val="24"/>
          <w:u w:val="single"/>
          <w:lang w:val="zh-CN"/>
        </w:rPr>
        <w:t xml:space="preserve">生产厂长 </w:t>
      </w:r>
      <w:r>
        <w:rPr>
          <w:rFonts w:hint="eastAsia" w:asciiTheme="minorEastAsia" w:hAnsiTheme="minorEastAsia" w:eastAsiaTheme="minorEastAsia"/>
          <w:sz w:val="24"/>
          <w:szCs w:val="24"/>
          <w:lang w:val="zh-CN"/>
        </w:rPr>
        <w:t>，</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hint="eastAsia" w:asciiTheme="minorEastAsia" w:hAnsiTheme="minorEastAsia" w:eastAsiaTheme="minorEastAsia"/>
          <w:sz w:val="24"/>
          <w:szCs w:val="24"/>
          <w:u w:val="single"/>
          <w:lang w:val="zh-CN"/>
        </w:rPr>
        <w:t>18983320191</w:t>
      </w:r>
    </w:p>
    <w:p>
      <w:pPr>
        <w:adjustRightInd w:val="0"/>
        <w:snapToGrid w:val="0"/>
        <w:spacing w:line="460" w:lineRule="exact"/>
        <w:outlineLvl w:val="1"/>
        <w:rPr>
          <w:rFonts w:hint="eastAsia"/>
          <w:b/>
          <w:color w:val="000000"/>
          <w:sz w:val="28"/>
          <w:szCs w:val="28"/>
          <w:lang w:val="zh-CN"/>
        </w:rPr>
      </w:pPr>
      <w:bookmarkStart w:id="384" w:name="_Toc346872596"/>
      <w:bookmarkStart w:id="385" w:name="_Toc483083913"/>
      <w:bookmarkStart w:id="386" w:name="_Toc458674290"/>
      <w:bookmarkStart w:id="387" w:name="_Toc317088663"/>
      <w:bookmarkStart w:id="388" w:name="_Toc28360"/>
      <w:r>
        <w:rPr>
          <w:rFonts w:hint="eastAsia"/>
          <w:b/>
          <w:color w:val="000000"/>
          <w:sz w:val="28"/>
          <w:szCs w:val="28"/>
          <w:lang w:val="zh-CN"/>
        </w:rPr>
        <w:t>6.3 抢险、救援及控制措施</w:t>
      </w:r>
      <w:bookmarkEnd w:id="384"/>
      <w:bookmarkEnd w:id="385"/>
      <w:bookmarkEnd w:id="386"/>
      <w:bookmarkEnd w:id="387"/>
      <w:bookmarkEnd w:id="388"/>
    </w:p>
    <w:p>
      <w:pPr>
        <w:pStyle w:val="89"/>
        <w:ind w:firstLine="0" w:firstLineChars="0"/>
        <w:rPr>
          <w:b/>
        </w:rPr>
      </w:pPr>
      <w:bookmarkStart w:id="389" w:name="_Toc270088680"/>
      <w:bookmarkStart w:id="390" w:name="_Toc346872597"/>
      <w:bookmarkStart w:id="391" w:name="_Toc270519223"/>
      <w:bookmarkStart w:id="392" w:name="_Toc26393"/>
      <w:bookmarkStart w:id="393" w:name="_Toc317088664"/>
      <w:bookmarkStart w:id="394" w:name="_Toc458674291"/>
      <w:bookmarkStart w:id="395" w:name="_Toc288309358"/>
      <w:bookmarkStart w:id="396" w:name="_Toc27474"/>
      <w:bookmarkStart w:id="397" w:name="_Toc270087503"/>
      <w:r>
        <w:rPr>
          <w:rFonts w:hint="eastAsia"/>
          <w:b/>
        </w:rPr>
        <w:t>6</w:t>
      </w:r>
      <w:r>
        <w:rPr>
          <w:b/>
        </w:rPr>
        <w:t>.</w:t>
      </w:r>
      <w:r>
        <w:rPr>
          <w:rFonts w:hint="eastAsia"/>
          <w:b/>
        </w:rPr>
        <w:t>3</w:t>
      </w:r>
      <w:r>
        <w:rPr>
          <w:b/>
        </w:rPr>
        <w:t>.1 人员疏散方案</w:t>
      </w:r>
      <w:bookmarkEnd w:id="389"/>
      <w:bookmarkEnd w:id="390"/>
      <w:bookmarkEnd w:id="391"/>
      <w:bookmarkEnd w:id="392"/>
      <w:bookmarkEnd w:id="393"/>
      <w:bookmarkEnd w:id="394"/>
      <w:bookmarkEnd w:id="395"/>
      <w:bookmarkEnd w:id="396"/>
      <w:bookmarkEnd w:id="397"/>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听到公司疏散人员报警信号时，公司内的人员在负责人带领下迅速有序的离开危险区域，并到指定地点集合，从而避免人员伤亡，装置负责人在撤离前，利用最短时间，关闭该领域内可能会引起更大事故的电源和管道阀门等。事态严重时通知周边人员撤离。</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事故现场人员的撤离</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事故发生后当班负责人应将厂区人员有秩序的疏散到上风口的安全地带，疏散从最危险地段人员开始，相互兼顾照应，并根据风向指明集合地点，人员在安全地点集合，负责人负责清点人数，并向指挥部报告人员情况，发现缺员，应报告所缺员工的姓名和事故前所在位置，立即派人前往灾区寻找失踪人员，提供急救。</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抢救人员在撤离前、撤离后的报告</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负责抢险和救护的人员在接指挥部通知后，应立即带上防护和防护装备赶往现场，听候指令，听从指挥。由组长分工，分批进入事发点进行抢险或救护。在进入事故点前，组长必须向指挥部报告每批参加抢险或救护人员的数量和名单并登记。</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抢修或救护组完成任务后，组长向指挥部报告任务执行情况以及抢险及救护人员安全状况，申请下达撤离命令，指挥部根据事故控制情况，做出撤离或继续抢险抢救的决定，组长若接到撤离命令后，带领抢险或抢救人员撤离事故点至安全地带，清点人数，向指挥部报告。</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周边区域人员的疏散方式方法</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当事故危及周边人员时，由指挥部人员向政府以及周边单位书面发送警报，事态严重紧急时，通过喇叭告知周边人员及时撤离，同时指挥部直接联系政府以及周边单位负责人，由总指挥亲自向政府或负责人发布消息，提出要求组织撤离疏散或请求援助。在发布消息时必须发布事态的缓急程度，提出撤离的具体方法、方式和路线。撤离过程中应采取一定的预防措施，撤离路线原则上按照拟定的路线，撤离距离根据事态严重情况通知。撤离时公司应急小组负责指引周边群众有组织的撤离危险区域。</w:t>
      </w:r>
    </w:p>
    <w:p>
      <w:pPr>
        <w:pStyle w:val="89"/>
        <w:ind w:firstLine="0" w:firstLineChars="0"/>
        <w:rPr>
          <w:b/>
        </w:rPr>
      </w:pPr>
      <w:bookmarkStart w:id="398" w:name="_Toc458674292"/>
      <w:bookmarkStart w:id="399" w:name="_Toc29881"/>
      <w:bookmarkStart w:id="400" w:name="_Toc270087504"/>
      <w:bookmarkStart w:id="401" w:name="_Toc21767"/>
      <w:bookmarkStart w:id="402" w:name="_Toc317088665"/>
      <w:bookmarkStart w:id="403" w:name="_Toc346872598"/>
      <w:bookmarkStart w:id="404" w:name="_Toc270519224"/>
      <w:bookmarkStart w:id="405" w:name="_Toc270088681"/>
      <w:bookmarkStart w:id="406" w:name="_Toc288309359"/>
      <w:r>
        <w:rPr>
          <w:rFonts w:hint="eastAsia"/>
          <w:b/>
        </w:rPr>
        <w:t>6</w:t>
      </w:r>
      <w:r>
        <w:rPr>
          <w:b/>
        </w:rPr>
        <w:t>.</w:t>
      </w:r>
      <w:r>
        <w:rPr>
          <w:rFonts w:hint="eastAsia"/>
          <w:b/>
        </w:rPr>
        <w:t>3</w:t>
      </w:r>
      <w:r>
        <w:rPr>
          <w:b/>
        </w:rPr>
        <w:t>.2 事故现场隔离区的划定、方法</w:t>
      </w:r>
      <w:bookmarkEnd w:id="398"/>
      <w:bookmarkEnd w:id="399"/>
      <w:bookmarkEnd w:id="400"/>
      <w:bookmarkEnd w:id="401"/>
      <w:bookmarkEnd w:id="402"/>
      <w:bookmarkEnd w:id="403"/>
      <w:bookmarkEnd w:id="404"/>
      <w:bookmarkEnd w:id="405"/>
      <w:bookmarkEnd w:id="406"/>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为防止无关人员误入现场造成伤害，按危险区的设定，建立警戒区域，划定事故现场隔离区范围。</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警戒区域的边界应设警示标志并有专人警戒。</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除消防、应急处理人员以及必须坚守岗位的人员外，其他人员禁止进入警戒区。</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注意事故区风向，尤其是下风周围环境，对事故区厂外道路要实行临时的戒严措施。</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 戒严区域内严禁火种，迅速控制泄漏扩散区域方向可能产生明火的地点，控制室关严门窗，扑灭火种。限制车辆通行。</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(5) 泄漏的危险物质可能扩散到厂区外的的，应尽快联络通知周边民众，说明情况，要求采取避险措施。</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(6) 泄漏的危险物质可能扩散影响到更大区域，应尽快联系通知各政府职能单位，说明情况，请求协助处理。</w:t>
      </w:r>
    </w:p>
    <w:p>
      <w:pPr>
        <w:pStyle w:val="89"/>
        <w:ind w:firstLine="0" w:firstLineChars="0"/>
        <w:rPr>
          <w:b/>
        </w:rPr>
      </w:pPr>
      <w:bookmarkStart w:id="407" w:name="_Toc22419"/>
      <w:bookmarkStart w:id="408" w:name="_Toc317088666"/>
      <w:bookmarkStart w:id="409" w:name="_Toc346872599"/>
      <w:bookmarkStart w:id="410" w:name="_Toc288309360"/>
      <w:bookmarkStart w:id="411" w:name="_Toc458674293"/>
      <w:bookmarkStart w:id="412" w:name="_Toc5739"/>
      <w:r>
        <w:rPr>
          <w:rFonts w:hint="eastAsia"/>
          <w:b/>
        </w:rPr>
        <w:t>6</w:t>
      </w:r>
      <w:r>
        <w:rPr>
          <w:b/>
        </w:rPr>
        <w:t>.</w:t>
      </w:r>
      <w:r>
        <w:rPr>
          <w:rFonts w:hint="eastAsia"/>
          <w:b/>
        </w:rPr>
        <w:t>3</w:t>
      </w:r>
      <w:r>
        <w:rPr>
          <w:b/>
        </w:rPr>
        <w:t>.3 事故现场周边区域的道路隔离或交通疏导办法</w:t>
      </w:r>
      <w:bookmarkEnd w:id="407"/>
      <w:bookmarkEnd w:id="408"/>
      <w:bookmarkEnd w:id="409"/>
      <w:bookmarkEnd w:id="410"/>
      <w:bookmarkEnd w:id="411"/>
      <w:bookmarkEnd w:id="412"/>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事故中心区域的道路疏导由应急疏散组负责，在警戒区的路口上设置“事故处理，禁止通行”字样的标识。并指定专人负责指明道路绕行方向。</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事故波及区外道路由政府交通管理部门负责，禁止任何车辆和人员进入，并负责指明道路绕行方向。</w:t>
      </w:r>
    </w:p>
    <w:p>
      <w:pPr>
        <w:pStyle w:val="89"/>
        <w:ind w:firstLine="0" w:firstLineChars="0"/>
        <w:rPr>
          <w:b/>
        </w:rPr>
      </w:pPr>
      <w:bookmarkStart w:id="413" w:name="_Toc288309361"/>
      <w:bookmarkStart w:id="414" w:name="_Toc317088667"/>
      <w:bookmarkStart w:id="415" w:name="_Toc346872600"/>
      <w:bookmarkStart w:id="416" w:name="_Toc458674294"/>
      <w:bookmarkStart w:id="417" w:name="_Toc4900"/>
      <w:bookmarkStart w:id="418" w:name="_Toc270519226"/>
      <w:bookmarkStart w:id="419" w:name="_Toc270088683"/>
      <w:bookmarkStart w:id="420" w:name="_Toc8962"/>
      <w:bookmarkStart w:id="421" w:name="_Toc270087506"/>
      <w:r>
        <w:rPr>
          <w:rFonts w:hint="eastAsia"/>
          <w:b/>
        </w:rPr>
        <w:t>6</w:t>
      </w:r>
      <w:r>
        <w:rPr>
          <w:b/>
        </w:rPr>
        <w:t>.</w:t>
      </w:r>
      <w:r>
        <w:rPr>
          <w:rFonts w:hint="eastAsia"/>
          <w:b/>
        </w:rPr>
        <w:t>3</w:t>
      </w:r>
      <w:r>
        <w:rPr>
          <w:b/>
        </w:rPr>
        <w:t>.4 抢险、救援</w:t>
      </w:r>
      <w:bookmarkEnd w:id="413"/>
      <w:bookmarkEnd w:id="414"/>
      <w:bookmarkEnd w:id="415"/>
      <w:bookmarkEnd w:id="416"/>
      <w:bookmarkEnd w:id="417"/>
      <w:bookmarkEnd w:id="418"/>
      <w:bookmarkEnd w:id="419"/>
      <w:bookmarkEnd w:id="420"/>
      <w:bookmarkEnd w:id="421"/>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抢救原则：</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发生伤亡事故，抢救、急救工作要分秒必争，及时、果断、正确，不得耽误、拖延；</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救护人员进入危险区域必须两人以上分组进行；</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救护人员必须在确保自己安全的前提下进行救护；</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救护人员必须听从指挥，了解危险物质特性及现场情况，防护器具佩戴齐全；</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迅速将伤员抬离现场，搬运方法要正确。</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人员防护</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一般泄漏的防护要求：</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呼吸系统的防护：可能接触其蒸气时，必须佩带防毒面具或供气式头盔；</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眼睛防护：戴化学安全防护镜；</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防护服：穿工作服(防腐材料制作)；</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手防护：戴橡皮手套；</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参加救护、救援人员必须按规定着装，佩戴好个人防护器具，并注意风向，在昏暗地区救援时，应配备有照明灯具。</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人员监护</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以互助监护为主，按照必须在确保自身安全的前提下进行救护原则处理。在救援中因为不可预见因素而导致队员受伤的，其他救援人员发现时必须向指挥部报告，并作出是否支援的决定，若申请支援时，由指挥部下达预备救援队进入事故现场参加救援的命令，同时将受伤人员带离危险地区。</w:t>
      </w:r>
    </w:p>
    <w:p>
      <w:pPr>
        <w:adjustRightInd w:val="0"/>
        <w:snapToGrid w:val="0"/>
        <w:spacing w:line="460" w:lineRule="exact"/>
        <w:outlineLvl w:val="1"/>
        <w:rPr>
          <w:rFonts w:hint="eastAsia"/>
          <w:b/>
          <w:color w:val="000000"/>
          <w:sz w:val="28"/>
          <w:szCs w:val="28"/>
          <w:lang w:val="zh-CN"/>
        </w:rPr>
      </w:pPr>
      <w:bookmarkStart w:id="422" w:name="_Toc483083914"/>
      <w:bookmarkStart w:id="423" w:name="_Toc22975"/>
      <w:r>
        <w:rPr>
          <w:rFonts w:hint="eastAsia"/>
          <w:b/>
          <w:color w:val="000000"/>
          <w:sz w:val="28"/>
          <w:szCs w:val="28"/>
          <w:lang w:val="zh-CN"/>
        </w:rPr>
        <w:t>6.4应急处置措施</w:t>
      </w:r>
      <w:bookmarkEnd w:id="422"/>
      <w:bookmarkEnd w:id="423"/>
    </w:p>
    <w:p>
      <w:pPr>
        <w:spacing w:line="360" w:lineRule="auto"/>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确定的危险区域有</w:t>
      </w:r>
      <w:r>
        <w:rPr>
          <w:rFonts w:hint="eastAsia" w:asciiTheme="minorEastAsia" w:hAnsiTheme="minorEastAsia" w:eastAsiaTheme="minorEastAsia"/>
          <w:sz w:val="24"/>
          <w:szCs w:val="24"/>
          <w:lang w:val="zh-CN"/>
        </w:rPr>
        <w:t>①</w:t>
      </w:r>
      <w:r>
        <w:rPr>
          <w:rFonts w:asciiTheme="minorEastAsia" w:hAnsiTheme="minorEastAsia" w:eastAsiaTheme="minorEastAsia"/>
          <w:sz w:val="24"/>
          <w:szCs w:val="24"/>
          <w:lang w:val="zh-CN"/>
        </w:rPr>
        <w:t>盐酸储罐；</w:t>
      </w:r>
      <w:r>
        <w:rPr>
          <w:rFonts w:hint="eastAsia" w:asciiTheme="minorEastAsia" w:hAnsiTheme="minorEastAsia" w:eastAsiaTheme="minorEastAsia"/>
          <w:sz w:val="24"/>
          <w:szCs w:val="24"/>
          <w:lang w:val="zh-CN"/>
        </w:rPr>
        <w:t>②</w:t>
      </w:r>
      <w:r>
        <w:rPr>
          <w:rFonts w:asciiTheme="minorEastAsia" w:hAnsiTheme="minorEastAsia" w:eastAsiaTheme="minorEastAsia"/>
          <w:sz w:val="24"/>
          <w:szCs w:val="24"/>
          <w:lang w:val="zh-CN"/>
        </w:rPr>
        <w:t>厂区污水处理设施设备</w:t>
      </w:r>
      <w:r>
        <w:rPr>
          <w:rFonts w:hint="eastAsia" w:asciiTheme="minorEastAsia" w:hAnsiTheme="minorEastAsia" w:eastAsiaTheme="minorEastAsia"/>
          <w:sz w:val="24"/>
          <w:szCs w:val="24"/>
          <w:lang w:val="zh-CN"/>
        </w:rPr>
        <w:t>及厂外管网泵站</w:t>
      </w:r>
      <w:r>
        <w:rPr>
          <w:rFonts w:asciiTheme="minorEastAsia" w:hAnsiTheme="minorEastAsia" w:eastAsiaTheme="minorEastAsia"/>
          <w:sz w:val="24"/>
          <w:szCs w:val="24"/>
          <w:lang w:val="zh-CN"/>
        </w:rPr>
        <w:t>。根据分析危险源的危险类型可知，</w:t>
      </w: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发生环境事故主要是盐酸等危化品泄漏及污水处理设施设备故障导致污水直接排放或未处理达标排放到地表水体污染环境。按照国家关于危化品生产使用单位突发环境事件应急预案的要求，重大危险源必须一源一案，并做好厂区风险源标识，防范措施卡片化，便于职工操作。</w:t>
      </w:r>
    </w:p>
    <w:p>
      <w:pPr>
        <w:adjustRightInd w:val="0"/>
        <w:snapToGrid w:val="0"/>
        <w:spacing w:line="460" w:lineRule="exact"/>
        <w:outlineLvl w:val="1"/>
        <w:rPr>
          <w:rFonts w:hint="eastAsia"/>
          <w:b/>
          <w:color w:val="000000"/>
          <w:sz w:val="28"/>
          <w:szCs w:val="28"/>
          <w:lang w:val="zh-CN"/>
        </w:rPr>
      </w:pPr>
      <w:bookmarkStart w:id="424" w:name="_Toc483083915"/>
      <w:bookmarkStart w:id="425" w:name="_Toc22474"/>
      <w:r>
        <w:rPr>
          <w:rFonts w:hint="eastAsia"/>
          <w:b/>
          <w:color w:val="000000"/>
          <w:sz w:val="28"/>
          <w:szCs w:val="28"/>
          <w:lang w:val="zh-CN"/>
        </w:rPr>
        <w:t>6.4.1处置原则</w:t>
      </w:r>
      <w:bookmarkEnd w:id="424"/>
      <w:bookmarkEnd w:id="425"/>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事故或险情出现后，所属人员必须按“保障人员生命安全优先，防止事故扩大措施优先”的原则，实施先期抢险救援。主要内容：抢救受伤人员和在危险区人员；堵漏、关闭阀、停止所有电器设施、灭火、隔离危险区等；组织无关人员撤离到安全区域，清点现场人数；组织力量消除道路堵塞，为下步应急救援创造条件。</w:t>
      </w:r>
    </w:p>
    <w:p>
      <w:pPr>
        <w:adjustRightInd w:val="0"/>
        <w:snapToGrid w:val="0"/>
        <w:spacing w:line="460" w:lineRule="exact"/>
        <w:outlineLvl w:val="1"/>
        <w:rPr>
          <w:rFonts w:hint="eastAsia"/>
          <w:b/>
          <w:color w:val="000000"/>
          <w:sz w:val="28"/>
          <w:szCs w:val="28"/>
          <w:lang w:val="zh-CN"/>
        </w:rPr>
      </w:pPr>
      <w:bookmarkStart w:id="426" w:name="_Toc483083916"/>
      <w:bookmarkStart w:id="427" w:name="_Toc10758"/>
      <w:r>
        <w:rPr>
          <w:rFonts w:hint="eastAsia"/>
          <w:b/>
          <w:color w:val="000000"/>
          <w:sz w:val="28"/>
          <w:szCs w:val="28"/>
          <w:lang w:val="zh-CN"/>
        </w:rPr>
        <w:t>6.4.2 应急流程</w:t>
      </w:r>
      <w:bookmarkEnd w:id="426"/>
      <w:bookmarkEnd w:id="427"/>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当发生危险化学品泄漏、环境污染等危险事故时，其处置流程见</w:t>
      </w:r>
      <w:r>
        <w:rPr>
          <w:rFonts w:hint="eastAsia" w:asciiTheme="minorEastAsia" w:hAnsiTheme="minorEastAsia" w:eastAsiaTheme="minorEastAsia"/>
          <w:sz w:val="24"/>
          <w:szCs w:val="24"/>
          <w:lang w:val="zh-CN"/>
        </w:rPr>
        <w:t>图6-2。</w:t>
      </w: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520" w:firstLineChars="200"/>
        <w:rPr>
          <w:color w:val="000000"/>
          <w:sz w:val="26"/>
          <w:szCs w:val="26"/>
        </w:rPr>
      </w:pPr>
      <w:r>
        <w:rPr>
          <w:color w:val="000000"/>
          <w:sz w:val="26"/>
          <w:szCs w:val="26"/>
        </w:rPr>
        <w:pict>
          <v:group id="画布 1912" o:spid="_x0000_s1129" o:spt="203" style="height:577.2pt;width:456.75pt;" coordorigin="1588,3578" coordsize="9135,11544" editas="canvas">
            <o:lock v:ext="edit"/>
            <v:shape id="画布 1912" o:spid="_x0000_s1130" o:spt="75" type="#_x0000_t75" style="position:absolute;left:1588;top:3578;height:11544;width:9135;" filled="f" o:preferrelative="f" stroked="f" coordsize="21600,21600">
              <v:path/>
              <v:fill on="f" focussize="0,0"/>
              <v:stroke on="f" joinstyle="miter"/>
              <v:imagedata o:title=""/>
              <o:lock v:ext="edit" rotation="t" text="t" aspectratio="t"/>
            </v:shape>
            <v:rect id="矩形 1914" o:spid="_x0000_s1131" o:spt="1" style="position:absolute;left:5368;top:4982;height:780;width:1890;" fillcolor="#FF0000" filled="f" coordsize="21600,21600">
              <v:path/>
              <v:fill on="f" focussize="0,0"/>
              <v:stroke/>
              <v:imagedata o:title=""/>
              <o:lock v:ext="edit"/>
              <v:textbox>
                <w:txbxContent>
                  <w:p>
                    <w:pPr>
                      <w:jc w:val="center"/>
                    </w:pPr>
                    <w:r>
                      <w:rPr>
                        <w:rFonts w:hint="eastAsia"/>
                      </w:rPr>
                      <w:t>岗位人员现场紧急处置</w:t>
                    </w:r>
                  </w:p>
                </w:txbxContent>
              </v:textbox>
            </v:rect>
            <v:rect id="矩形 1915" o:spid="_x0000_s1132" o:spt="1" style="position:absolute;left:5247;top:6542;height:778;width:2116;" fillcolor="#FF0000" filled="f" coordsize="21600,21600">
              <v:path/>
              <v:fill on="f" focussize="0,0"/>
              <v:stroke/>
              <v:imagedata o:title=""/>
              <o:lock v:ext="edit"/>
              <v:textbox>
                <w:txbxContent>
                  <w:p>
                    <w:pPr>
                      <w:jc w:val="center"/>
                    </w:pPr>
                    <w:r>
                      <w:rPr>
                        <w:rFonts w:hint="eastAsia"/>
                      </w:rPr>
                      <w:t>同时报告现场管理人员</w:t>
                    </w:r>
                  </w:p>
                </w:txbxContent>
              </v:textbox>
            </v:rect>
            <v:rect id="矩形 1916" o:spid="_x0000_s1133" o:spt="1" style="position:absolute;left:5247;top:7946;height:780;width:2116;" coordsize="21600,21600">
              <v:path/>
              <v:fill focussize="0,0"/>
              <v:stroke/>
              <v:imagedata o:title=""/>
              <o:lock v:ext="edit"/>
              <v:textbox inset="2.54mm,3.3mm,2.54mm,1.27mm">
                <w:txbxContent>
                  <w:p>
                    <w:pPr>
                      <w:jc w:val="center"/>
                      <w:rPr>
                        <w:szCs w:val="21"/>
                      </w:rPr>
                    </w:pPr>
                    <w:r>
                      <w:rPr>
                        <w:rFonts w:hint="eastAsia"/>
                        <w:szCs w:val="21"/>
                      </w:rPr>
                      <w:t>启动现场处置方案</w:t>
                    </w:r>
                  </w:p>
                </w:txbxContent>
              </v:textbox>
            </v:rect>
            <v:line id="直线 1917" o:spid="_x0000_s1134" o:spt="20" style="position:absolute;left:6208;top:4202;height:780;width:0;" coordsize="21600,21600">
              <v:path arrowok="t"/>
              <v:fill focussize="0,0"/>
              <v:stroke endarrow="block"/>
              <v:imagedata o:title=""/>
              <o:lock v:ext="edit"/>
            </v:line>
            <v:line id="直线 1918" o:spid="_x0000_s1135" o:spt="20" style="position:absolute;left:6208;top:5762;height:780;width:0;" coordsize="21600,21600">
              <v:path arrowok="t"/>
              <v:fill focussize="0,0"/>
              <v:stroke endarrow="block"/>
              <v:imagedata o:title=""/>
              <o:lock v:ext="edit"/>
            </v:line>
            <v:rect id="矩形 1919" o:spid="_x0000_s1136" o:spt="1" style="position:absolute;left:6208;top:6073;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0" o:spid="_x0000_s1137" o:spt="1" style="position:absolute;left:5247;top:9659;height:780;width:2116;" coordsize="21600,21600">
              <v:path/>
              <v:fill focussize="0,0"/>
              <v:stroke/>
              <v:imagedata o:title=""/>
              <o:lock v:ext="edit"/>
              <v:textbox inset="2.54mm,3.3mm,2.54mm,1.27mm">
                <w:txbxContent>
                  <w:p>
                    <w:pPr>
                      <w:jc w:val="center"/>
                      <w:rPr>
                        <w:szCs w:val="21"/>
                      </w:rPr>
                    </w:pPr>
                    <w:r>
                      <w:rPr>
                        <w:rFonts w:hint="eastAsia"/>
                        <w:szCs w:val="21"/>
                      </w:rPr>
                      <w:t>启动综合救援预案</w:t>
                    </w:r>
                  </w:p>
                </w:txbxContent>
              </v:textbox>
            </v:rect>
            <v:rect id="矩形 1921" o:spid="_x0000_s1138" o:spt="1" style="position:absolute;left:8428;top:11222;height:780;width:1666;" coordsize="21600,21600">
              <v:path/>
              <v:fill focussize="0,0"/>
              <v:stroke/>
              <v:imagedata o:title=""/>
              <o:lock v:ext="edit"/>
              <v:textbox>
                <w:txbxContent>
                  <w:p>
                    <w:pPr>
                      <w:jc w:val="center"/>
                      <w:rPr>
                        <w:szCs w:val="21"/>
                      </w:rPr>
                    </w:pPr>
                    <w:r>
                      <w:rPr>
                        <w:rFonts w:hint="eastAsia"/>
                        <w:szCs w:val="21"/>
                      </w:rPr>
                      <w:t>启动当地政府应救援预案</w:t>
                    </w:r>
                  </w:p>
                  <w:p>
                    <w:pPr>
                      <w:rPr>
                        <w:szCs w:val="21"/>
                      </w:rPr>
                    </w:pPr>
                  </w:p>
                </w:txbxContent>
              </v:textbox>
            </v:rect>
            <v:rect id="矩形 1922" o:spid="_x0000_s1139" o:spt="1" style="position:absolute;left:5368;top:3578;height:714;width:1799;" coordsize="21600,21600">
              <v:path/>
              <v:fill focussize="0,0"/>
              <v:stroke/>
              <v:imagedata o:title=""/>
              <o:lock v:ext="edit"/>
              <v:textbox>
                <w:txbxContent>
                  <w:p>
                    <w:pPr>
                      <w:spacing w:beforeLines="50" w:afterLines="50"/>
                      <w:jc w:val="center"/>
                      <w:rPr>
                        <w:szCs w:val="21"/>
                      </w:rPr>
                    </w:pPr>
                    <w:r>
                      <w:rPr>
                        <w:rFonts w:hint="eastAsia"/>
                        <w:szCs w:val="21"/>
                      </w:rPr>
                      <w:t>事故发生</w:t>
                    </w:r>
                  </w:p>
                  <w:p>
                    <w:pPr>
                      <w:rPr>
                        <w:szCs w:val="21"/>
                      </w:rPr>
                    </w:pPr>
                  </w:p>
                </w:txbxContent>
              </v:textbox>
            </v:rect>
            <v:line id="直线 1923" o:spid="_x0000_s1140" o:spt="20" style="position:absolute;left:7348;top:11690;height:1;width:1079;" coordsize="21600,21600">
              <v:path arrowok="t"/>
              <v:fill focussize="0,0"/>
              <v:stroke endarrow="block"/>
              <v:imagedata o:title=""/>
              <o:lock v:ext="edit"/>
            </v:line>
            <v:line id="直线 1924" o:spid="_x0000_s1141" o:spt="20" style="position:absolute;left:6208;top:7322;height:624;width:0;" coordsize="21600,21600">
              <v:path arrowok="t"/>
              <v:fill focussize="0,0"/>
              <v:stroke endarrow="block"/>
              <v:imagedata o:title=""/>
              <o:lock v:ext="edit"/>
            </v:line>
            <v:line id="直线 1925" o:spid="_x0000_s1142" o:spt="20" style="position:absolute;left:6297;top:8726;height:933;width:1;" coordsize="21600,21600">
              <v:path arrowok="t"/>
              <v:fill focussize="0,0"/>
              <v:stroke endarrow="block"/>
              <v:imagedata o:title=""/>
              <o:lock v:ext="edit"/>
            </v:line>
            <v:rect id="矩形 1926" o:spid="_x0000_s1143" o:spt="1" style="position:absolute;left:7528;top:11222;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7" o:spid="_x0000_s1144" o:spt="1" style="position:absolute;left:5247;top:11174;height:750;width:2116;" coordsize="21600,21600">
              <v:path/>
              <v:fill focussize="0,0"/>
              <v:stroke/>
              <v:imagedata o:title=""/>
              <o:lock v:ext="edit"/>
              <v:textbox>
                <w:txbxContent>
                  <w:p>
                    <w:pPr>
                      <w:spacing w:beforeLines="50" w:afterLines="50"/>
                      <w:jc w:val="center"/>
                      <w:rPr>
                        <w:szCs w:val="21"/>
                      </w:rPr>
                    </w:pPr>
                    <w:r>
                      <w:rPr>
                        <w:rFonts w:hint="eastAsia"/>
                        <w:szCs w:val="21"/>
                      </w:rPr>
                      <w:t>现场处置</w:t>
                    </w:r>
                  </w:p>
                  <w:p>
                    <w:pPr>
                      <w:rPr>
                        <w:szCs w:val="21"/>
                      </w:rPr>
                    </w:pPr>
                  </w:p>
                </w:txbxContent>
              </v:textbox>
            </v:rect>
            <v:rect id="矩形 1928" o:spid="_x0000_s1145" o:spt="1" style="position:absolute;left:6298;top:10585;height:469;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29" o:spid="_x0000_s1146" o:spt="20" style="position:absolute;left:6297;top:10439;height:735;width:1;" coordsize="21600,21600">
              <v:path arrowok="t"/>
              <v:fill focussize="0,0"/>
              <v:stroke endarrow="block"/>
              <v:imagedata o:title=""/>
              <o:lock v:ext="edit"/>
            </v:line>
            <v:rect id="矩形 1930" o:spid="_x0000_s1147" o:spt="1" style="position:absolute;left:6389;top:8909;height:626;width:974;" filled="f" stroked="t" coordsize="21600,21600">
              <v:path/>
              <v:fill on="f" focussize="0,0"/>
              <v:stroke weight="1pt" color="#FFFFFF" dashstyle="dash"/>
              <v:imagedata o:title=""/>
              <o:lock v:ext="edit"/>
              <v:textbox>
                <w:txbxContent>
                  <w:p>
                    <w:pPr>
                      <w:spacing w:beforeLines="50" w:afterLines="50"/>
                      <w:jc w:val="center"/>
                      <w:rPr>
                        <w:szCs w:val="21"/>
                      </w:rPr>
                    </w:pPr>
                    <w:r>
                      <w:rPr>
                        <w:rFonts w:hint="eastAsia"/>
                        <w:szCs w:val="21"/>
                      </w:rPr>
                      <w:t>不可控</w:t>
                    </w:r>
                  </w:p>
                  <w:p>
                    <w:pPr>
                      <w:rPr>
                        <w:szCs w:val="21"/>
                      </w:rPr>
                    </w:pPr>
                  </w:p>
                </w:txbxContent>
              </v:textbox>
            </v:rect>
            <v:rect id="矩形 1931" o:spid="_x0000_s1148" o:spt="1" style="position:absolute;left:5473;top:13718;height:846;width:1694;" coordsize="21600,21600">
              <v:path/>
              <v:fill focussize="0,0"/>
              <v:stroke/>
              <v:imagedata o:title=""/>
              <o:lock v:ext="edit"/>
              <v:textbox>
                <w:txbxContent>
                  <w:p>
                    <w:pPr>
                      <w:spacing w:beforeLines="50" w:afterLines="50"/>
                      <w:jc w:val="center"/>
                      <w:rPr>
                        <w:szCs w:val="21"/>
                      </w:rPr>
                    </w:pPr>
                    <w:r>
                      <w:rPr>
                        <w:rFonts w:hint="eastAsia"/>
                        <w:szCs w:val="21"/>
                      </w:rPr>
                      <w:t>现场恢复</w:t>
                    </w:r>
                  </w:p>
                  <w:p>
                    <w:pPr>
                      <w:rPr>
                        <w:szCs w:val="21"/>
                      </w:rPr>
                    </w:pPr>
                  </w:p>
                </w:txbxContent>
              </v:textbox>
            </v:rect>
            <v:line id="直线 1932" o:spid="_x0000_s1149" o:spt="20" style="position:absolute;left:6296;top:11924;height:1794;width:1;" coordsize="21600,21600">
              <v:path arrowok="t"/>
              <v:fill focussize="0,0"/>
              <v:stroke endarrow="block"/>
              <v:imagedata o:title=""/>
              <o:lock v:ext="edit"/>
            </v:line>
            <v:line id="直线 1933" o:spid="_x0000_s1150" o:spt="20" style="position:absolute;left:6297;top:12826;flip:x;height:1;width:2955;" coordsize="21600,21600">
              <v:path arrowok="t"/>
              <v:fill focussize="0,0"/>
              <v:stroke endarrow="block"/>
              <v:imagedata o:title=""/>
              <o:lock v:ext="edit"/>
            </v:line>
            <v:line id="直线 1934" o:spid="_x0000_s1151" o:spt="20" style="position:absolute;left:9252;top:12164;flip:y;height:663;width:1;" coordsize="21600,21600">
              <v:path arrowok="t"/>
              <v:fill focussize="0,0"/>
              <v:stroke/>
              <v:imagedata o:title=""/>
              <o:lock v:ext="edit"/>
            </v:line>
            <v:rect id="矩形 1935" o:spid="_x0000_s1152" o:spt="1" style="position:absolute;left:2113;top:12314;height:624;width:1995;" coordsize="21600,21600">
              <v:path/>
              <v:fill focussize="0,0"/>
              <v:stroke/>
              <v:imagedata o:title=""/>
              <o:lock v:ext="edit"/>
              <v:textbox>
                <w:txbxContent>
                  <w:p>
                    <w:pPr>
                      <w:spacing w:beforeLines="50" w:afterLines="50"/>
                      <w:jc w:val="center"/>
                      <w:rPr>
                        <w:szCs w:val="21"/>
                      </w:rPr>
                    </w:pPr>
                    <w:r>
                      <w:rPr>
                        <w:rFonts w:hint="eastAsia"/>
                        <w:szCs w:val="21"/>
                      </w:rPr>
                      <w:t>完成事故调查报告</w:t>
                    </w:r>
                  </w:p>
                  <w:p>
                    <w:pPr>
                      <w:rPr>
                        <w:szCs w:val="21"/>
                      </w:rPr>
                    </w:pPr>
                  </w:p>
                </w:txbxContent>
              </v:textbox>
            </v:rect>
            <v:line id="直线 1936" o:spid="_x0000_s1153" o:spt="20" style="position:absolute;left:4108;top:14030;flip:x;height:0;width:1365;" coordsize="21600,21600">
              <v:path arrowok="t"/>
              <v:fill focussize="0,0"/>
              <v:stroke endarrow="block"/>
              <v:imagedata o:title=""/>
              <o:lock v:ext="edit"/>
            </v:line>
            <v:line id="直线 1937" o:spid="_x0000_s1154" o:spt="20" style="position:absolute;left:3058;top:12938;flip:y;height:780;width:0;" coordsize="21600,21600">
              <v:path arrowok="t"/>
              <v:fill focussize="0,0"/>
              <v:stroke endarrow="block"/>
              <v:imagedata o:title=""/>
              <o:lock v:ext="edit"/>
            </v:line>
            <v:line id="直线 1938" o:spid="_x0000_s1155" o:spt="20" style="position:absolute;left:3028;top:13406;flip:x;height:1;width:1604;" coordsize="21600,21600">
              <v:path arrowok="t"/>
              <v:fill focussize="0,0"/>
              <v:stroke endarrow="block"/>
              <v:imagedata o:title=""/>
              <o:lock v:ext="edit"/>
            </v:line>
            <v:rect id="矩形 1939" o:spid="_x0000_s1156" o:spt="1" style="position:absolute;left:4407;top:7868;height:468;width:840;" fillcolor="#FF0000" filled="f" stroked="f" coordsize="21600,21600">
              <v:path/>
              <v:fill on="f" focussize="0,0"/>
              <v:stroke on="f"/>
              <v:imagedata o:title=""/>
              <o:lock v:ext="edit"/>
              <v:textbox>
                <w:txbxContent>
                  <w:p>
                    <w:pPr>
                      <w:jc w:val="center"/>
                    </w:pPr>
                    <w:r>
                      <w:rPr>
                        <w:rFonts w:hint="eastAsia"/>
                      </w:rPr>
                      <w:t>可控</w:t>
                    </w:r>
                  </w:p>
                </w:txbxContent>
              </v:textbox>
            </v:rect>
            <v:rect id="矩形 1940" o:spid="_x0000_s1157" o:spt="1" style="position:absolute;left:2113;top:13718;height:1404;width:1995;" coordsize="21600,21600">
              <v:path/>
              <v:fill focussize="0,0"/>
              <v:stroke/>
              <v:imagedata o:title=""/>
              <o:lock v:ext="edit"/>
              <v:textbox>
                <w:txbxContent>
                  <w:p>
                    <w:pPr>
                      <w:jc w:val="center"/>
                      <w:rPr>
                        <w:szCs w:val="21"/>
                      </w:rPr>
                    </w:pPr>
                    <w:r>
                      <w:rPr>
                        <w:rFonts w:hint="eastAsia"/>
                        <w:szCs w:val="21"/>
                      </w:rPr>
                      <w:t>现场应急救援组</w:t>
                    </w:r>
                  </w:p>
                  <w:p>
                    <w:pPr>
                      <w:jc w:val="center"/>
                      <w:rPr>
                        <w:szCs w:val="21"/>
                      </w:rPr>
                    </w:pPr>
                    <w:r>
                      <w:rPr>
                        <w:rFonts w:hint="eastAsia"/>
                        <w:szCs w:val="21"/>
                      </w:rPr>
                      <w:t>组长：当班班长</w:t>
                    </w:r>
                  </w:p>
                </w:txbxContent>
              </v:textbox>
            </v:rect>
            <v:line id="直线 1941" o:spid="_x0000_s1158" o:spt="20" style="position:absolute;left:4272;top:5450;flip:x;height:1;width:1096;" coordsize="21600,21600">
              <v:path arrowok="t"/>
              <v:fill focussize="0,0"/>
              <v:stroke/>
              <v:imagedata o:title=""/>
              <o:lock v:ext="edit"/>
            </v:line>
            <v:line id="直线 1942" o:spid="_x0000_s1159" o:spt="20" style="position:absolute;left:4272;top:5451;height:7956;width:1;" coordsize="21600,21600">
              <v:path arrowok="t"/>
              <v:fill focussize="0,0"/>
              <v:stroke/>
              <v:imagedata o:title=""/>
              <o:lock v:ext="edit"/>
            </v:line>
            <v:shape id="自选图形 1943" o:spid="_x0000_s1160" o:spt="33" type="#_x0000_t33" style="position:absolute;left:4632;top:8336;flip:y;height:5070;width:615;rotation:11796480f;" o:connectortype="elbow" filled="f" coordsize="21600,21600" adj="-180281,26346,-180281">
              <v:path arrowok="t"/>
              <v:fill on="f" focussize="0,0"/>
              <v:stroke joinstyle="miter"/>
              <v:imagedata o:title=""/>
              <o:lock v:ext="edit"/>
            </v:shape>
            <v:rect id="矩形 1944" o:spid="_x0000_s1161" o:spt="1" style="position:absolute;left:4407;top:4982;height:468;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45" o:spid="_x0000_s1162" o:spt="20" style="position:absolute;left:5008;top:11534;height:1;width:180;" coordsize="21600,21600">
              <v:path arrowok="t"/>
              <v:fill focussize="0,0"/>
              <v:stroke/>
              <v:imagedata o:title=""/>
              <o:lock v:ext="edit"/>
            </v:line>
            <v:line id="直线 1946" o:spid="_x0000_s1163" o:spt="20" style="position:absolute;left:5008;top:11534;height:1872;width:0;" coordsize="21600,21600">
              <v:path arrowok="t"/>
              <v:fill focussize="0,0"/>
              <v:stroke/>
              <v:imagedata o:title=""/>
              <o:lock v:ext="edit"/>
            </v:line>
            <v:line id="直线 1947" o:spid="_x0000_s1164" o:spt="20" style="position:absolute;left:4648;top:13406;flip:x;height:0;width:360;" coordsize="21600,21600">
              <v:path arrowok="t"/>
              <v:fill focussize="0,0"/>
              <v:stroke/>
              <v:imagedata o:title=""/>
              <o:lock v:ext="edit"/>
            </v:line>
            <v:rect id="矩形 1948" o:spid="_x0000_s1165" o:spt="1" style="position:absolute;left:4468;top:11066;height:468;width:840;" fillcolor="#FF0000" filled="f" stroked="f" coordsize="21600,21600">
              <v:path/>
              <v:fill on="f" focussize="0,0"/>
              <v:stroke on="f"/>
              <v:imagedata o:title=""/>
              <o:lock v:ext="edit"/>
              <v:textbox>
                <w:txbxContent>
                  <w:p>
                    <w:pPr>
                      <w:jc w:val="center"/>
                    </w:pPr>
                    <w:r>
                      <w:rPr>
                        <w:rFonts w:hint="eastAsia"/>
                      </w:rPr>
                      <w:t>可控</w:t>
                    </w:r>
                  </w:p>
                </w:txbxContent>
              </v:textbox>
            </v:rect>
            <w10:wrap type="none"/>
            <w10:anchorlock/>
          </v:group>
        </w:pict>
      </w:r>
    </w:p>
    <w:p>
      <w:pPr>
        <w:adjustRightInd w:val="0"/>
        <w:snapToGrid w:val="0"/>
        <w:spacing w:line="460" w:lineRule="exact"/>
        <w:ind w:firstLine="482" w:firstLineChars="200"/>
        <w:jc w:val="center"/>
        <w:rPr>
          <w:b/>
          <w:color w:val="000000"/>
          <w:sz w:val="26"/>
          <w:szCs w:val="26"/>
        </w:rPr>
      </w:pPr>
      <w:r>
        <w:rPr>
          <w:rFonts w:hint="eastAsia" w:cs="仿宋_GB2312" w:asciiTheme="minorEastAsia" w:hAnsiTheme="minorEastAsia" w:eastAsiaTheme="minorEastAsia"/>
          <w:b/>
          <w:kern w:val="0"/>
          <w:sz w:val="24"/>
          <w:szCs w:val="24"/>
          <w:lang w:val="zh-CN"/>
        </w:rPr>
        <w:t>图6-2 应急工作流程图</w:t>
      </w:r>
    </w:p>
    <w:p>
      <w:pPr>
        <w:adjustRightInd w:val="0"/>
        <w:snapToGrid w:val="0"/>
        <w:spacing w:line="460" w:lineRule="exact"/>
        <w:outlineLvl w:val="1"/>
        <w:rPr>
          <w:rFonts w:hint="eastAsia"/>
          <w:b/>
          <w:color w:val="000000"/>
          <w:sz w:val="28"/>
          <w:szCs w:val="28"/>
        </w:rPr>
      </w:pPr>
      <w:bookmarkStart w:id="428" w:name="_Toc483083917"/>
    </w:p>
    <w:p>
      <w:pPr>
        <w:adjustRightInd w:val="0"/>
        <w:snapToGrid w:val="0"/>
        <w:spacing w:line="460" w:lineRule="exact"/>
        <w:outlineLvl w:val="1"/>
        <w:rPr>
          <w:rFonts w:hint="eastAsia"/>
          <w:b/>
          <w:color w:val="000000"/>
          <w:sz w:val="28"/>
          <w:szCs w:val="28"/>
        </w:rPr>
      </w:pPr>
    </w:p>
    <w:p>
      <w:pPr>
        <w:adjustRightInd w:val="0"/>
        <w:snapToGrid w:val="0"/>
        <w:spacing w:line="460" w:lineRule="exact"/>
        <w:outlineLvl w:val="1"/>
        <w:rPr>
          <w:rFonts w:hint="eastAsia"/>
          <w:b/>
          <w:color w:val="000000"/>
          <w:sz w:val="28"/>
          <w:szCs w:val="28"/>
        </w:rPr>
      </w:pPr>
    </w:p>
    <w:p>
      <w:pPr>
        <w:adjustRightInd w:val="0"/>
        <w:snapToGrid w:val="0"/>
        <w:spacing w:line="460" w:lineRule="exact"/>
        <w:outlineLvl w:val="1"/>
        <w:rPr>
          <w:rFonts w:hint="eastAsia"/>
          <w:b/>
          <w:color w:val="000000"/>
          <w:sz w:val="28"/>
          <w:szCs w:val="28"/>
          <w:lang w:val="zh-CN"/>
        </w:rPr>
      </w:pPr>
      <w:bookmarkStart w:id="429" w:name="_Toc29351"/>
      <w:r>
        <w:rPr>
          <w:rFonts w:hint="eastAsia"/>
          <w:b/>
          <w:color w:val="000000"/>
          <w:sz w:val="28"/>
          <w:szCs w:val="28"/>
          <w:lang w:val="zh-CN"/>
        </w:rPr>
        <w:t>6.4.3一源一案</w:t>
      </w:r>
      <w:bookmarkEnd w:id="428"/>
      <w:bookmarkEnd w:id="429"/>
    </w:p>
    <w:p>
      <w:pPr>
        <w:spacing w:line="48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6.4.3</w:t>
      </w:r>
      <w:r>
        <w:rPr>
          <w:rFonts w:hint="eastAsia" w:cs="仿宋_GB2312" w:asciiTheme="minorEastAsia" w:hAnsiTheme="minorEastAsia" w:eastAsiaTheme="minorEastAsia"/>
          <w:sz w:val="24"/>
          <w:szCs w:val="24"/>
          <w:lang w:val="zh-CN"/>
        </w:rPr>
        <w:t>.1</w:t>
      </w:r>
      <w:r>
        <w:rPr>
          <w:rFonts w:hint="eastAsia" w:asciiTheme="minorEastAsia" w:hAnsiTheme="minorEastAsia" w:eastAsiaTheme="minorEastAsia"/>
          <w:b/>
          <w:sz w:val="24"/>
          <w:szCs w:val="24"/>
        </w:rPr>
        <w:t>储罐区化学品泄漏</w:t>
      </w:r>
      <w:r>
        <w:rPr>
          <w:rFonts w:asciiTheme="minorEastAsia" w:hAnsiTheme="minorEastAsia" w:eastAsiaTheme="minorEastAsia"/>
          <w:b/>
          <w:sz w:val="24"/>
          <w:szCs w:val="24"/>
        </w:rPr>
        <w:t>事故处理</w:t>
      </w:r>
    </w:p>
    <w:p>
      <w:pPr>
        <w:spacing w:line="460" w:lineRule="exact"/>
        <w:ind w:firstLine="480" w:firstLineChars="200"/>
        <w:jc w:val="left"/>
        <w:rPr>
          <w:rFonts w:asciiTheme="minorEastAsia" w:hAnsiTheme="minorEastAsia" w:eastAsiaTheme="minorEastAsia"/>
        </w:rPr>
      </w:pPr>
      <w:r>
        <w:rPr>
          <w:rFonts w:hint="eastAsia" w:asciiTheme="minorEastAsia" w:hAnsiTheme="minorEastAsia" w:eastAsiaTheme="minorEastAsia"/>
          <w:sz w:val="24"/>
          <w:szCs w:val="24"/>
        </w:rPr>
        <w:t>白涛潘家坝</w:t>
      </w:r>
      <w:r>
        <w:rPr>
          <w:rFonts w:hint="eastAsia" w:asciiTheme="minorEastAsia" w:hAnsiTheme="minorEastAsia" w:eastAsiaTheme="minorEastAsia"/>
          <w:sz w:val="24"/>
          <w:szCs w:val="24"/>
          <w:lang w:val="zh-CN"/>
        </w:rPr>
        <w:t>污水处理厂盐酸、液碱储罐、氯酸钠储罐已按环评和环保三同时的要求对其制作了围堰，并修建了事故收集池，对围堰和事故收集池进行了“三布五油”玻璃钢防腐，能满足盐酸、液碱和氯酸钠储存时的安全。</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容易发生泄漏的只有使用和来料下车时可能发生，当发生泄漏时：</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（1）泄漏危害预防：本厂使用的为31%左右的稀盐酸，有腐蚀性，且能与氯酸钠快速发生反应，所以固体氯酸钠必须同盐酸分房间存放。</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（2）泄漏源控制：关闭阀门、停止作业等；采用合适的材料和技术手段堵住泄漏处，进行此项操作必须穿戴酸碱防护服、防毒面具。</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（3）警戒保卫组迅速设置安全警戒线，严禁无关人员和车辆进入危险区域。</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（4）泄漏物处理</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围堤堵截：液体泄漏时及时检查围堤出口阀门的状态，保证其处于关闭状态。并准备沙子备用,以防流入地沟。</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稀释与中和：向泄漏现场施放大量生石灰和水，以中和泄漏盐酸，并降低盐酸与氢氧化钙中和反应时产生的大量热。</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（5）收容（集）：对于发生大量泄漏，可选择用隔膜泵将泄漏出的物料抽入容器内或槽车内；当泄漏量小时，可用沙子吸收。</w:t>
      </w:r>
    </w:p>
    <w:p>
      <w:pPr>
        <w:spacing w:line="460" w:lineRule="exact"/>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（6）收集的中和后的泄漏物运至废物处理场所处置。用消防水冲洗剩下的少量物料，冲洗水经过检测排入污水处理系统进行处理。</w:t>
      </w:r>
    </w:p>
    <w:p>
      <w:pPr>
        <w:adjustRightInd w:val="0"/>
        <w:snapToGrid w:val="0"/>
        <w:spacing w:line="460" w:lineRule="exact"/>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6.4.3.2加药间仓库氢氧化钠泄漏处置措施</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迅速查明泄漏部位和泄漏量大小，在确保安全的情况采取如下措施：</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应急处置过程中应急处理人员必须穿戴好工作服，佩戴化学安全防护眼镜，戴耐酸碱手套。</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小量泄漏：尽可能将溢漏固体集在塑胶容器内，收集回收后用水冲洗残留物，冲洗水进入事故池，用适量盐酸中和，测定PH值等后合格后经环保部门批准排放。</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大量泄漏：若固态氢氧化钠发生大量泄漏后遇水，确认储存区围堰至事故池阀门关闭，用耐酸泵转移至专用容器中，若无法盛装，通过槽车转移至废物处理单位。残液用水冲洗，冲洗水进入事故池，用适量盐酸中和，测定PH值等合格后经环保部门批准后排放。</w:t>
      </w:r>
    </w:p>
    <w:p>
      <w:pPr>
        <w:autoSpaceDE w:val="0"/>
        <w:autoSpaceDN w:val="0"/>
        <w:spacing w:beforeLines="50" w:afterLines="50" w:line="460" w:lineRule="exact"/>
        <w:jc w:val="left"/>
        <w:rPr>
          <w:rFonts w:cs="仿宋_GB2312" w:asciiTheme="minorEastAsia" w:hAnsiTheme="minorEastAsia" w:eastAsiaTheme="minorEastAsia"/>
          <w:b/>
          <w:kern w:val="0"/>
          <w:sz w:val="24"/>
          <w:szCs w:val="24"/>
          <w:lang w:val="zh-CN"/>
        </w:rPr>
      </w:pPr>
      <w:r>
        <w:rPr>
          <w:rFonts w:hint="eastAsia" w:asciiTheme="minorEastAsia" w:hAnsiTheme="minorEastAsia" w:eastAsiaTheme="minorEastAsia"/>
          <w:b/>
          <w:sz w:val="24"/>
          <w:szCs w:val="24"/>
        </w:rPr>
        <w:t>6.4.3.3</w:t>
      </w:r>
      <w:r>
        <w:rPr>
          <w:rFonts w:hint="eastAsia" w:asciiTheme="minorEastAsia" w:hAnsiTheme="minorEastAsia" w:eastAsiaTheme="minorEastAsia"/>
          <w:b/>
          <w:sz w:val="24"/>
          <w:szCs w:val="24"/>
          <w:lang w:val="en-US" w:eastAsia="zh-CN"/>
        </w:rPr>
        <w:t xml:space="preserve"> </w:t>
      </w:r>
      <w:r>
        <w:rPr>
          <w:rFonts w:hint="eastAsia" w:cs="仿宋_GB2312" w:asciiTheme="minorEastAsia" w:hAnsiTheme="minorEastAsia" w:eastAsiaTheme="minorEastAsia"/>
          <w:b/>
          <w:kern w:val="0"/>
          <w:sz w:val="24"/>
          <w:szCs w:val="24"/>
          <w:lang w:val="zh-CN"/>
        </w:rPr>
        <w:t xml:space="preserve">氯气泄漏处理措施 </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氯气少量泄漏（无人员中毒）</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1、值班人员戴好有效的氧气呼吸器，关闭二氧化氯发生器加药系统。</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2、检查事故系统泄漏原因，能处理的及时处理、恢复使用，不能处理的及时报生技科、维修科处理解决，或调整加氯系统，恢复正常生产。由公司应急指挥部下达解除令。</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氯气一定量泄漏（操作、巡视时发生轻微中毒）</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1、由于轻微中毒一般能行走，应立即离开中毒区，迎风向高处跑，并进行求援、报告。</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2、救援人员戴好有效的氧气呼吸器，关闭事故系统管道及加氯机阀门。</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3、救护人员对轻微中毒人员进行救护，中毒人员应处在通风处，并注意防晒、防冻，吃一些保护粘膜的食物如生鸡蛋、熟猪油加糖，对中毒反应强烈者应送医院治疗。</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4、待泄漏氯气消失后，检查事故原因，修复或调整工作系统，恢复正常生产。直至有公司应急指挥小组下达解除令。</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大量泄漏等重大事故，有严重中毒人员：</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1、现场人员能及时逃生者应立即逃生，发现者立即迅速求援，报告事故指挥领导小组成员。</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指挥领导小组下达应急救援命令，各应急救援队伍、指挥领导小组立即到现场。指挥领导小组组长立即将事故发生情况向上级部门、安监、环保等相关部门汇报。报警内容包括：事故发生的时间、地点、企业名称、交通路线、联络电话、联络人姓名、危险化学品的种类、数量、事故类型（火灾、爆炸、有毒物质的大量泄漏等）、周边情况、需要支援的人员、设备、器材等。</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3、公司全体员工全面进入紧急抢险状态，所有通讯、物资、后勤保障、设备等进入24小时抢险状态，直至有公司应急指挥部下达解除令。</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4、抢险救灾组或先赶到的其他小组戴好有效氧气呼吸器，将中毒、受伤人员转移出毒区，由救护人员进行现场救护或转医院治疗。</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5、抢险救灾组人员根据扩散情况对可能危及中毒的人员有序疏散，并确保抢救道路畅通。</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6、环境监测组人员应佩带好防护用品并用设备连续测量毒区毒物浓度、扩散方向，为指挥领导小组确定救援方案以及为下一步解除应急救援命令供准确依据。</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7、抢险救灾组应佩戴好氧气呼吸器等防护用具进入现场切断气体产生源，并作简单抢险堵漏。</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8、事故指挥领导小组根据毒物浓度、生产设备情况解除应急救援命令。</w:t>
      </w:r>
    </w:p>
    <w:p>
      <w:pPr>
        <w:spacing w:beforeLines="50" w:afterLines="50" w:line="440" w:lineRule="exact"/>
        <w:rPr>
          <w:rFonts w:cs="仿宋_GB2312" w:asciiTheme="minorEastAsia" w:hAnsiTheme="minorEastAsia" w:eastAsiaTheme="minorEastAsia"/>
          <w:b/>
          <w:kern w:val="0"/>
          <w:sz w:val="24"/>
          <w:szCs w:val="24"/>
        </w:rPr>
      </w:pPr>
      <w:r>
        <w:rPr>
          <w:rFonts w:hint="eastAsia" w:asciiTheme="minorEastAsia" w:hAnsiTheme="minorEastAsia" w:eastAsiaTheme="minorEastAsia"/>
          <w:b/>
          <w:sz w:val="24"/>
          <w:szCs w:val="24"/>
        </w:rPr>
        <w:t>6.4.3.4</w:t>
      </w:r>
      <w:r>
        <w:rPr>
          <w:rFonts w:hint="eastAsia" w:cs="仿宋_GB2312" w:asciiTheme="minorEastAsia" w:hAnsiTheme="minorEastAsia" w:eastAsiaTheme="minorEastAsia"/>
          <w:b/>
          <w:kern w:val="0"/>
          <w:sz w:val="24"/>
          <w:szCs w:val="24"/>
        </w:rPr>
        <w:t>进水水质超标处置措施</w:t>
      </w:r>
    </w:p>
    <w:p>
      <w:pPr>
        <w:spacing w:line="440" w:lineRule="exact"/>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运行人员每2小时对进水在线COD、NH3-N、PH监测设备和工艺段进行巡视异常，或化验室例行数据监测报警（化验室每天将数据上传厂办公室，如进水异常，立即通知值班人）。</w:t>
      </w:r>
    </w:p>
    <w:p>
      <w:pPr>
        <w:spacing w:line="440" w:lineRule="exact"/>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主要进水数据超标（任意一项）启动应急处置方案的临界值：</w:t>
      </w:r>
    </w:p>
    <w:p>
      <w:pPr>
        <w:spacing w:line="440" w:lineRule="exact"/>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COD</w:t>
      </w:r>
      <w:r>
        <w:rPr>
          <w:rFonts w:hint="eastAsia" w:asciiTheme="minorEastAsia" w:hAnsiTheme="minorEastAsia" w:eastAsiaTheme="minorEastAsia"/>
          <w:kern w:val="0"/>
          <w:sz w:val="24"/>
          <w:szCs w:val="24"/>
        </w:rPr>
        <w:t>≧590</w:t>
      </w:r>
      <w:r>
        <w:rPr>
          <w:rFonts w:hint="eastAsia" w:cs="仿宋_GB2312" w:asciiTheme="minorEastAsia" w:hAnsiTheme="minorEastAsia" w:eastAsiaTheme="minorEastAsia"/>
          <w:kern w:val="0"/>
          <w:sz w:val="24"/>
          <w:szCs w:val="24"/>
        </w:rPr>
        <w:t>mg/L，NH3-N</w:t>
      </w:r>
      <w:r>
        <w:rPr>
          <w:rFonts w:hint="eastAsia"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56mg/L，PH</w:t>
      </w:r>
      <w:r>
        <w:rPr>
          <w:rFonts w:hint="eastAsia"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9或</w:t>
      </w:r>
      <w:r>
        <w:rPr>
          <w:rFonts w:hint="eastAsia"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6 。</w:t>
      </w:r>
    </w:p>
    <w:p>
      <w:pPr>
        <w:spacing w:line="360" w:lineRule="auto"/>
        <w:ind w:firstLine="360" w:firstLineChars="1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（1）值班人员迅速报告厂长按厂负责人指令执行。</w:t>
      </w:r>
    </w:p>
    <w:p>
      <w:pPr>
        <w:spacing w:line="360" w:lineRule="auto"/>
        <w:ind w:firstLine="360" w:firstLineChars="1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（2）厂负责人接报后现场了解情况，视情况逐级报告。</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（3）值班人员立即将中控自动切换提升泵房2#事故闸阀，将超标废水切换至事故调节池（应急运行组需保证正常情况应急池为空）。</w:t>
      </w:r>
    </w:p>
    <w:p>
      <w:pPr>
        <w:numPr>
          <w:ilvl w:val="0"/>
          <w:numId w:val="1"/>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值班人员迅速到提升泵房查看，2#阀门是否开启状态，事故调节池进水情况是否正常。</w:t>
      </w:r>
    </w:p>
    <w:p>
      <w:pPr>
        <w:numPr>
          <w:ilvl w:val="0"/>
          <w:numId w:val="1"/>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通知</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sz w:val="24"/>
          <w:szCs w:val="24"/>
        </w:rPr>
        <w:t>进行源头水排查，到重点排污企业出水口取水送化验中心立即化验，或用进水在线设备检测。</w:t>
      </w:r>
    </w:p>
    <w:p>
      <w:pPr>
        <w:numPr>
          <w:ilvl w:val="0"/>
          <w:numId w:val="1"/>
        </w:numPr>
        <w:spacing w:line="360" w:lineRule="auto"/>
        <w:ind w:left="420"/>
        <w:rPr>
          <w:rFonts w:cs="仿宋_GB2312" w:asciiTheme="minorEastAsia" w:hAnsiTheme="minorEastAsia" w:eastAsiaTheme="minorEastAsia"/>
          <w:sz w:val="24"/>
          <w:szCs w:val="24"/>
        </w:rPr>
      </w:pP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sz w:val="24"/>
          <w:szCs w:val="24"/>
        </w:rPr>
        <w:t>通知疑似超标的排污企业立即停止排放污水。</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（7）对于超标废水已进入生化系统的工艺调整应对。</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1）对于COD、NH3-N进水超标处置方法。减少当日排泥，</w:t>
      </w:r>
    </w:p>
    <w:p>
      <w:pPr>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维持较高范围的污泥浓度（3000mg/L以上）以应对负荷冲击；注意增加曝气量调整合适的溶解氧（在2mg/L以上）。同时在选择池增加pac投加量，在A/O池投加活性炭粉等方式快速吸附、沉降悬浮有机污染物。</w:t>
      </w:r>
    </w:p>
    <w:p>
      <w:pPr>
        <w:spacing w:line="360" w:lineRule="auto"/>
        <w:ind w:left="42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sz w:val="24"/>
          <w:szCs w:val="24"/>
        </w:rPr>
        <w:t xml:space="preserve">  2）对于PH超标处置方法。PH</w:t>
      </w:r>
      <w:r>
        <w:rPr>
          <w:rFonts w:hint="eastAsia"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9时在调节池投加稀盐酸调至中性，</w:t>
      </w:r>
      <w:r>
        <w:rPr>
          <w:rFonts w:hint="eastAsia" w:cs="仿宋_GB2312" w:asciiTheme="minorEastAsia" w:hAnsiTheme="minorEastAsia" w:eastAsiaTheme="minorEastAsia"/>
          <w:sz w:val="24"/>
          <w:szCs w:val="24"/>
        </w:rPr>
        <w:t>PH</w:t>
      </w:r>
      <w:r>
        <w:rPr>
          <w:rFonts w:hint="eastAsia"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6时在调节池加氢氧化钠调至中性。</w:t>
      </w:r>
    </w:p>
    <w:p>
      <w:pPr>
        <w:spacing w:line="360" w:lineRule="auto"/>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 xml:space="preserve">     3）处理任何超标废水都应该适当延长SBR周期。</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（8）待处理达标排除超标废水后，正常进水时将事故池超标废水少量分批抽入系统进行处理。</w:t>
      </w:r>
    </w:p>
    <w:p>
      <w:pPr>
        <w:numPr>
          <w:ilvl w:val="0"/>
          <w:numId w:val="2"/>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超标废水进入系统进行处理时化验室保持化验监测，当发现数据异常和系统异常，立即减少或停止进入超标废水。</w:t>
      </w:r>
    </w:p>
    <w:p>
      <w:pPr>
        <w:numPr>
          <w:ilvl w:val="0"/>
          <w:numId w:val="2"/>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与超标废水排放企业保持联系。当企业恢复正常生产，排水正常后，管网科取水送化验室监测，达标后方可排入管网。</w:t>
      </w:r>
    </w:p>
    <w:p>
      <w:pPr>
        <w:numPr>
          <w:ilvl w:val="0"/>
          <w:numId w:val="2"/>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做好超标废水排入后的处置和运行记录，并如实填报和申报。</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（12）做好超标废水排入的事故总结</w:t>
      </w:r>
      <w:r>
        <w:rPr>
          <w:rFonts w:hint="eastAsia" w:cs="仿宋_GB2312" w:asciiTheme="minorEastAsia" w:hAnsiTheme="minorEastAsia" w:eastAsiaTheme="minorEastAsia"/>
          <w:kern w:val="0"/>
          <w:sz w:val="24"/>
          <w:szCs w:val="24"/>
          <w:lang w:val="zh-CN"/>
        </w:rPr>
        <w:t>，</w:t>
      </w:r>
      <w:r>
        <w:rPr>
          <w:rFonts w:hint="eastAsia" w:cs="仿宋_GB2312" w:asciiTheme="minorEastAsia" w:hAnsiTheme="minorEastAsia" w:eastAsiaTheme="minorEastAsia"/>
          <w:sz w:val="24"/>
          <w:szCs w:val="24"/>
        </w:rPr>
        <w:t>并编写书面报告存档、备案。</w:t>
      </w:r>
    </w:p>
    <w:p>
      <w:pPr>
        <w:spacing w:beforeLines="50" w:afterLines="50" w:line="440" w:lineRule="exact"/>
        <w:rPr>
          <w:rFonts w:cs="仿宋_GB2312" w:asciiTheme="minorEastAsia" w:hAnsiTheme="minorEastAsia" w:eastAsiaTheme="minorEastAsia"/>
          <w:b/>
          <w:kern w:val="0"/>
          <w:sz w:val="28"/>
          <w:szCs w:val="28"/>
        </w:rPr>
      </w:pPr>
      <w:r>
        <w:rPr>
          <w:rFonts w:hint="eastAsia" w:asciiTheme="minorEastAsia" w:hAnsiTheme="minorEastAsia" w:eastAsiaTheme="minorEastAsia"/>
          <w:b/>
          <w:sz w:val="28"/>
          <w:szCs w:val="28"/>
        </w:rPr>
        <w:t>6.4.3.5</w:t>
      </w:r>
      <w:r>
        <w:rPr>
          <w:rFonts w:hint="eastAsia" w:cs="仿宋_GB2312" w:asciiTheme="minorEastAsia" w:hAnsiTheme="minorEastAsia" w:eastAsiaTheme="minorEastAsia"/>
          <w:b/>
          <w:kern w:val="0"/>
          <w:sz w:val="28"/>
          <w:szCs w:val="28"/>
        </w:rPr>
        <w:t>出水水质超标处置措施</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运行人员坚持每2小时对运行、待机的设备和工艺段进行巡视检查。出水在线设备COD、NH3-N仪器报警，化验室例行数据监测报警。</w:t>
      </w:r>
    </w:p>
    <w:p>
      <w:pPr>
        <w:spacing w:line="360" w:lineRule="auto"/>
        <w:ind w:firstLine="486"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主要出水数据超标（任意一项）启动应急处置方案的临界值：</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kern w:val="0"/>
          <w:sz w:val="24"/>
          <w:szCs w:val="24"/>
        </w:rPr>
        <w:t>COD</w:t>
      </w:r>
      <w:r>
        <w:rPr>
          <w:rFonts w:hint="eastAsia" w:asciiTheme="minorEastAsia" w:hAnsiTheme="minorEastAsia" w:eastAsiaTheme="minorEastAsia"/>
          <w:kern w:val="0"/>
          <w:sz w:val="24"/>
          <w:szCs w:val="24"/>
        </w:rPr>
        <w:t>≧80</w:t>
      </w:r>
      <w:r>
        <w:rPr>
          <w:rFonts w:hint="eastAsia" w:cs="仿宋_GB2312" w:asciiTheme="minorEastAsia" w:hAnsiTheme="minorEastAsia" w:eastAsiaTheme="minorEastAsia"/>
          <w:kern w:val="0"/>
          <w:sz w:val="24"/>
          <w:szCs w:val="24"/>
        </w:rPr>
        <w:t>mg/L，NH3-N</w:t>
      </w:r>
      <w:r>
        <w:rPr>
          <w:rFonts w:hint="eastAsia"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10mg/L 。</w:t>
      </w:r>
    </w:p>
    <w:p>
      <w:pPr>
        <w:numPr>
          <w:ilvl w:val="0"/>
          <w:numId w:val="3"/>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值班人员立即向厂长（负责人）汇报。</w:t>
      </w:r>
    </w:p>
    <w:p>
      <w:pPr>
        <w:numPr>
          <w:ilvl w:val="0"/>
          <w:numId w:val="3"/>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取得厂长同意后立即停止停止排水。打开消毒池放空阀，使超标废水导入提升泵房，视情况泵入应急池暂存后循环处理。</w:t>
      </w:r>
    </w:p>
    <w:p>
      <w:pPr>
        <w:numPr>
          <w:ilvl w:val="0"/>
          <w:numId w:val="3"/>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通知</w:t>
      </w:r>
      <w:r>
        <w:rPr>
          <w:rFonts w:hint="eastAsia" w:cs="仿宋_GB2312" w:asciiTheme="minorEastAsia" w:hAnsiTheme="minorEastAsia" w:eastAsiaTheme="minorEastAsia"/>
          <w:sz w:val="24"/>
          <w:szCs w:val="24"/>
          <w:lang w:val="zh-CN"/>
        </w:rPr>
        <w:t>环境监测组</w:t>
      </w:r>
      <w:r>
        <w:rPr>
          <w:rFonts w:hint="eastAsia" w:cs="仿宋_GB2312" w:asciiTheme="minorEastAsia" w:hAnsiTheme="minorEastAsia" w:eastAsiaTheme="minorEastAsia"/>
          <w:sz w:val="24"/>
          <w:szCs w:val="24"/>
        </w:rPr>
        <w:t>取水检测分析，取水位置为厂区进水口、调节池，确认出水水质超标原因。</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（4）厂长立即向应急指挥领导小组汇报出水超标情况。</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（5）如已发生出水在线监测设备数据超标（COD&gt;80mg/L，NH3-N&gt;10mg/L）,</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sz w:val="24"/>
          <w:szCs w:val="24"/>
        </w:rPr>
        <w:t>需在停止排水后立刻清理排水渠，必须在2小时内消除影响（即下一个检测数据恢复正常），并按情况向在线第三方运营单位—利也环保汇报情况。</w:t>
      </w:r>
    </w:p>
    <w:p>
      <w:pPr>
        <w:numPr>
          <w:ilvl w:val="0"/>
          <w:numId w:val="4"/>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如属进水超标导致，通知管网进行源头水排查，并同时启动进水超标处置预案。</w:t>
      </w:r>
    </w:p>
    <w:p>
      <w:pPr>
        <w:numPr>
          <w:ilvl w:val="0"/>
          <w:numId w:val="4"/>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化验室保持每4小时对各工艺段和排水口及周边水域进行一次取水监测直至出水达标。</w:t>
      </w:r>
    </w:p>
    <w:p>
      <w:pPr>
        <w:numPr>
          <w:ilvl w:val="0"/>
          <w:numId w:val="4"/>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做好出水超标后的处置和运行记录，并如实填报和申报。</w:t>
      </w:r>
    </w:p>
    <w:p>
      <w:pPr>
        <w:numPr>
          <w:ilvl w:val="0"/>
          <w:numId w:val="4"/>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做好出水超标的事故总结</w:t>
      </w:r>
      <w:r>
        <w:rPr>
          <w:rFonts w:hint="eastAsia" w:cs="仿宋_GB2312" w:asciiTheme="minorEastAsia" w:hAnsiTheme="minorEastAsia" w:eastAsiaTheme="minorEastAsia"/>
          <w:kern w:val="0"/>
          <w:sz w:val="24"/>
          <w:szCs w:val="24"/>
          <w:lang w:val="zh-CN"/>
        </w:rPr>
        <w:t>，</w:t>
      </w:r>
      <w:r>
        <w:rPr>
          <w:rFonts w:hint="eastAsia" w:cs="仿宋_GB2312" w:asciiTheme="minorEastAsia" w:hAnsiTheme="minorEastAsia" w:eastAsiaTheme="minorEastAsia"/>
          <w:sz w:val="24"/>
          <w:szCs w:val="24"/>
        </w:rPr>
        <w:t>并编写书面报告存档、备案。</w:t>
      </w:r>
      <w:r>
        <w:rPr>
          <w:rFonts w:hint="eastAsia" w:cs="仿宋_GB2312" w:asciiTheme="minorEastAsia" w:hAnsiTheme="minorEastAsia" w:eastAsiaTheme="minorEastAsia"/>
          <w:kern w:val="0"/>
          <w:sz w:val="24"/>
          <w:szCs w:val="24"/>
          <w:lang w:val="zh-CN"/>
        </w:rPr>
        <w:t>如为人为操作失职导致超标，需</w:t>
      </w:r>
      <w:r>
        <w:rPr>
          <w:rFonts w:hint="eastAsia" w:cs="仿宋_GB2312" w:asciiTheme="minorEastAsia" w:hAnsiTheme="minorEastAsia" w:eastAsiaTheme="minorEastAsia"/>
          <w:kern w:val="0"/>
          <w:sz w:val="24"/>
          <w:szCs w:val="24"/>
        </w:rPr>
        <w:t>严肃追究当事人的责任。</w:t>
      </w:r>
    </w:p>
    <w:p>
      <w:pPr>
        <w:spacing w:beforeLines="50" w:afterLines="50"/>
        <w:rPr>
          <w:rFonts w:cs="仿宋_GB2312" w:asciiTheme="minorEastAsia" w:hAnsiTheme="minorEastAsia" w:eastAsiaTheme="minorEastAsia"/>
          <w:b/>
          <w:sz w:val="28"/>
          <w:szCs w:val="28"/>
        </w:rPr>
      </w:pPr>
      <w:r>
        <w:rPr>
          <w:rFonts w:hint="eastAsia" w:asciiTheme="minorEastAsia" w:hAnsiTheme="minorEastAsia" w:eastAsiaTheme="minorEastAsia"/>
          <w:b/>
          <w:sz w:val="28"/>
          <w:szCs w:val="28"/>
        </w:rPr>
        <w:t>6.4.3.6</w:t>
      </w:r>
      <w:r>
        <w:rPr>
          <w:rFonts w:hint="eastAsia" w:cs="仿宋_GB2312" w:asciiTheme="minorEastAsia" w:hAnsiTheme="minorEastAsia" w:eastAsiaTheme="minorEastAsia"/>
          <w:b/>
          <w:sz w:val="28"/>
          <w:szCs w:val="28"/>
        </w:rPr>
        <w:t>进水量超标</w:t>
      </w:r>
      <w:r>
        <w:rPr>
          <w:rFonts w:hint="eastAsia" w:cs="仿宋_GB2312" w:asciiTheme="minorEastAsia" w:hAnsiTheme="minorEastAsia" w:eastAsiaTheme="minorEastAsia"/>
          <w:b/>
          <w:kern w:val="0"/>
          <w:sz w:val="28"/>
          <w:szCs w:val="28"/>
        </w:rPr>
        <w:t>处置措施</w:t>
      </w:r>
    </w:p>
    <w:p>
      <w:pPr>
        <w:spacing w:line="360" w:lineRule="auto"/>
        <w:ind w:firstLine="486"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白涛潘家坝污水处理厂为连续自流式进水，具体为从进水口经过粗细格栅后自流到调节池。判断进水量超标临界值为达到前日进水量的150%以上，或进水超过设计量每日10000m</w:t>
      </w:r>
      <w:r>
        <w:rPr>
          <w:rFonts w:hint="eastAsia" w:cs="仿宋_GB2312" w:asciiTheme="minorEastAsia" w:hAnsiTheme="minorEastAsia" w:eastAsiaTheme="minorEastAsia"/>
          <w:sz w:val="24"/>
          <w:szCs w:val="24"/>
          <w:vertAlign w:val="superscript"/>
        </w:rPr>
        <w:t>3</w:t>
      </w:r>
      <w:r>
        <w:rPr>
          <w:rFonts w:hint="eastAsia" w:cs="仿宋_GB2312" w:asciiTheme="minorEastAsia" w:hAnsiTheme="minorEastAsia" w:eastAsiaTheme="minorEastAsia"/>
          <w:sz w:val="24"/>
          <w:szCs w:val="24"/>
        </w:rPr>
        <w:t>。两种情况均会对活性污泥系统造成很大多负荷冲击，且使水力停留时间缩短，容易导致出水水质超标。</w:t>
      </w:r>
    </w:p>
    <w:p>
      <w:pPr>
        <w:spacing w:line="360" w:lineRule="auto"/>
        <w:ind w:firstLine="486"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处置措施</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中控平台上实时显示的进水量数据，或运行人员坚持每2小时对进水流量计及进水泵房液位进行的巡视记录。</w:t>
      </w:r>
    </w:p>
    <w:p>
      <w:pPr>
        <w:spacing w:beforeLines="50" w:afterLines="50"/>
        <w:rPr>
          <w:rFonts w:cs="仿宋_GB2312" w:asciiTheme="minorEastAsia" w:hAnsiTheme="minorEastAsia" w:eastAsiaTheme="minorEastAsia"/>
          <w:b/>
          <w:sz w:val="28"/>
          <w:szCs w:val="28"/>
        </w:rPr>
      </w:pPr>
      <w:r>
        <w:rPr>
          <w:rFonts w:hint="eastAsia" w:asciiTheme="minorEastAsia" w:hAnsiTheme="minorEastAsia" w:eastAsiaTheme="minorEastAsia"/>
          <w:b/>
          <w:sz w:val="28"/>
          <w:szCs w:val="28"/>
        </w:rPr>
        <w:t>6.4.3.</w:t>
      </w:r>
      <w:r>
        <w:rPr>
          <w:rFonts w:hint="eastAsia" w:asciiTheme="minorEastAsia" w:hAnsiTheme="minorEastAsia" w:eastAsiaTheme="minorEastAsia"/>
          <w:b/>
          <w:sz w:val="28"/>
          <w:szCs w:val="28"/>
          <w:lang w:val="en-US" w:eastAsia="zh-CN"/>
        </w:rPr>
        <w:t>7</w:t>
      </w:r>
      <w:r>
        <w:rPr>
          <w:rFonts w:hint="eastAsia" w:cs="仿宋_GB2312" w:asciiTheme="minorEastAsia" w:hAnsiTheme="minorEastAsia" w:eastAsiaTheme="minorEastAsia"/>
          <w:b/>
          <w:sz w:val="28"/>
          <w:szCs w:val="28"/>
        </w:rPr>
        <w:t>进厂废水量超标</w:t>
      </w:r>
      <w:r>
        <w:rPr>
          <w:rFonts w:hint="eastAsia" w:cs="仿宋_GB2312" w:asciiTheme="minorEastAsia" w:hAnsiTheme="minorEastAsia" w:eastAsiaTheme="minorEastAsia"/>
          <w:b/>
          <w:kern w:val="0"/>
          <w:sz w:val="28"/>
          <w:szCs w:val="28"/>
        </w:rPr>
        <w:t>处置措施</w:t>
      </w:r>
    </w:p>
    <w:p>
      <w:pPr>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一般来说污水量的增加为缓慢曲线式增加，遇到水量陡增的情况一般是有新接入官网或排水企业导致，处置方案为：</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lang w:val="zh-CN"/>
        </w:rPr>
        <w:t>环境监测组</w:t>
      </w:r>
      <w:r>
        <w:rPr>
          <w:rFonts w:hint="eastAsia" w:cs="仿宋_GB2312" w:asciiTheme="minorEastAsia" w:hAnsiTheme="minorEastAsia" w:eastAsiaTheme="minorEastAsia"/>
          <w:sz w:val="24"/>
          <w:szCs w:val="24"/>
        </w:rPr>
        <w:t>在发现进厂污水量超标时，应及时发挥事故应急池的功能，白涛潘家坝污水处理厂应急池容积为6400m</w:t>
      </w:r>
      <w:r>
        <w:rPr>
          <w:rFonts w:hint="eastAsia" w:cs="仿宋_GB2312" w:asciiTheme="minorEastAsia" w:hAnsiTheme="minorEastAsia" w:eastAsiaTheme="minorEastAsia"/>
          <w:sz w:val="24"/>
          <w:szCs w:val="24"/>
          <w:vertAlign w:val="superscript"/>
        </w:rPr>
        <w:t>3</w:t>
      </w:r>
      <w:r>
        <w:rPr>
          <w:rFonts w:hint="eastAsia" w:cs="仿宋_GB2312" w:asciiTheme="minorEastAsia" w:hAnsiTheme="minorEastAsia" w:eastAsiaTheme="minorEastAsia"/>
          <w:sz w:val="24"/>
          <w:szCs w:val="24"/>
        </w:rPr>
        <w:t>，可从提升泵房将多余废水导入应急池临时存储。</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（2）调整工艺应对水量冲击，减少当日排泥量，并增加曝气量和投药量。必要时手动调节进水频率，避免一次进水量过多造成的波动。</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（3）厂长应同时通知</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sz w:val="24"/>
          <w:szCs w:val="24"/>
        </w:rPr>
        <w:t>对园区污水管网进行排查，如是企业集中排污导致，立刻协调企业停止集中式排放。</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lang w:val="zh-CN"/>
        </w:rPr>
        <w:t>环境监测组</w:t>
      </w:r>
      <w:r>
        <w:rPr>
          <w:rFonts w:hint="eastAsia" w:cs="仿宋_GB2312" w:asciiTheme="minorEastAsia" w:hAnsiTheme="minorEastAsia" w:eastAsiaTheme="minorEastAsia"/>
          <w:sz w:val="24"/>
          <w:szCs w:val="24"/>
        </w:rPr>
        <w:t>在进水量超标期间应加强对排水水质和工艺参数的化验检测直至恢复正常。</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（5）做好详细的运行记录，必要时向本地环保部门报告。</w:t>
      </w:r>
    </w:p>
    <w:p>
      <w:pPr>
        <w:spacing w:beforeLines="50" w:afterLines="50"/>
        <w:rPr>
          <w:rFonts w:cs="仿宋_GB2312" w:asciiTheme="minorEastAsia" w:hAnsiTheme="minorEastAsia" w:eastAsiaTheme="minorEastAsia"/>
          <w:b/>
          <w:sz w:val="28"/>
          <w:szCs w:val="28"/>
        </w:rPr>
      </w:pPr>
      <w:r>
        <w:rPr>
          <w:rFonts w:hint="eastAsia" w:asciiTheme="minorEastAsia" w:hAnsiTheme="minorEastAsia" w:eastAsiaTheme="minorEastAsia"/>
          <w:b/>
          <w:sz w:val="28"/>
          <w:szCs w:val="28"/>
        </w:rPr>
        <w:t>6.4.3.</w:t>
      </w:r>
      <w:r>
        <w:rPr>
          <w:rFonts w:hint="eastAsia" w:asciiTheme="minorEastAsia" w:hAnsiTheme="minorEastAsia" w:eastAsiaTheme="minorEastAsia"/>
          <w:b/>
          <w:sz w:val="28"/>
          <w:szCs w:val="28"/>
          <w:lang w:val="en-US" w:eastAsia="zh-CN"/>
        </w:rPr>
        <w:t>8</w:t>
      </w:r>
      <w:r>
        <w:rPr>
          <w:rFonts w:hint="eastAsia" w:cs="仿宋_GB2312" w:asciiTheme="minorEastAsia" w:hAnsiTheme="minorEastAsia" w:eastAsiaTheme="minorEastAsia"/>
          <w:b/>
          <w:sz w:val="28"/>
          <w:szCs w:val="28"/>
        </w:rPr>
        <w:t xml:space="preserve"> 降雨导致的进水量超标</w:t>
      </w:r>
      <w:r>
        <w:rPr>
          <w:rFonts w:hint="eastAsia" w:cs="仿宋_GB2312" w:asciiTheme="minorEastAsia" w:hAnsiTheme="minorEastAsia" w:eastAsiaTheme="minorEastAsia"/>
          <w:b/>
          <w:kern w:val="0"/>
          <w:sz w:val="28"/>
          <w:szCs w:val="28"/>
        </w:rPr>
        <w:t>处置措施</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对于合流制或半合流制的管网会出现在暴雨后进厂水量激增的现象，且往往超过设计日处理量。处置方案为：</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sz w:val="24"/>
          <w:szCs w:val="24"/>
        </w:rPr>
        <w:t>在暴雨后应严密监测进厂水量数据，当超过设计日处理能力时，为保护活性污泥系统在报告厂长并取得同意后方能开启进厂超越。</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（2）厂长对进厂水超越行为向应急指挥小组报告，并及时用正式方式报地方环保部门备案。</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（3）当进水超标峰值过去后，立刻关闭超越系统，并详细记录开启、关闭超越的时间。</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lang w:val="zh-CN"/>
        </w:rPr>
        <w:t>环境监测组</w:t>
      </w:r>
      <w:r>
        <w:rPr>
          <w:rFonts w:hint="eastAsia" w:cs="仿宋_GB2312" w:asciiTheme="minorEastAsia" w:hAnsiTheme="minorEastAsia" w:eastAsiaTheme="minorEastAsia"/>
          <w:sz w:val="24"/>
          <w:szCs w:val="24"/>
        </w:rPr>
        <w:t>应在超越期间加强对污水处理厂总排口附近水域的采样监测，评估其环境影响。</w:t>
      </w:r>
    </w:p>
    <w:p>
      <w:pPr>
        <w:spacing w:beforeLines="50" w:afterLines="50"/>
        <w:rPr>
          <w:rFonts w:cs="仿宋_GB2312" w:asciiTheme="minorEastAsia" w:hAnsiTheme="minorEastAsia" w:eastAsiaTheme="minorEastAsia"/>
          <w:b/>
          <w:kern w:val="0"/>
          <w:sz w:val="24"/>
          <w:szCs w:val="24"/>
        </w:rPr>
      </w:pPr>
      <w:r>
        <w:rPr>
          <w:rFonts w:hint="eastAsia" w:asciiTheme="minorEastAsia" w:hAnsiTheme="minorEastAsia" w:eastAsiaTheme="minorEastAsia"/>
          <w:b/>
          <w:sz w:val="28"/>
          <w:szCs w:val="28"/>
        </w:rPr>
        <w:t>6.4.3.</w:t>
      </w:r>
      <w:r>
        <w:rPr>
          <w:rFonts w:hint="eastAsia" w:asciiTheme="minorEastAsia" w:hAnsiTheme="minorEastAsia" w:eastAsiaTheme="minorEastAsia"/>
          <w:b/>
          <w:sz w:val="28"/>
          <w:szCs w:val="28"/>
          <w:lang w:val="en-US" w:eastAsia="zh-CN"/>
        </w:rPr>
        <w:t>9</w:t>
      </w:r>
      <w:r>
        <w:rPr>
          <w:rFonts w:hint="eastAsia" w:cs="仿宋_GB2312" w:asciiTheme="minorEastAsia" w:hAnsiTheme="minorEastAsia" w:eastAsiaTheme="minorEastAsia"/>
          <w:b/>
          <w:kern w:val="0"/>
          <w:sz w:val="24"/>
          <w:szCs w:val="24"/>
        </w:rPr>
        <w:t>主要治理设备异常</w:t>
      </w:r>
      <w:r>
        <w:rPr>
          <w:rFonts w:hint="eastAsia" w:cs="仿宋_GB2312" w:asciiTheme="minorEastAsia" w:hAnsiTheme="minorEastAsia" w:eastAsiaTheme="minorEastAsia"/>
          <w:b/>
          <w:kern w:val="0"/>
          <w:sz w:val="28"/>
          <w:szCs w:val="28"/>
        </w:rPr>
        <w:t>处置措施</w:t>
      </w:r>
    </w:p>
    <w:p>
      <w:pPr>
        <w:spacing w:line="360" w:lineRule="auto"/>
        <w:ind w:firstLine="486"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白涛潘家坝污水处理厂采用水解酸化+A/O工艺，主要设备为：格栅机、提升泵、旋流沉沙机、回流泵、排泥泵、刮泥机、曝气机、反冲鼓风机。均为一备一用或一用两备。如果重要设备同时无法正常运行，可能对工艺造成较大影响，引发环境污染风险。其重要设备异常处置方案为：</w:t>
      </w:r>
    </w:p>
    <w:p>
      <w:pPr>
        <w:spacing w:line="360" w:lineRule="auto"/>
        <w:ind w:firstLine="486"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（1）运行异常但有备用设备可运行的。立即启用备用设备，运行人员报维修科维修处置，执行正常报修程序。</w:t>
      </w:r>
    </w:p>
    <w:p>
      <w:pPr>
        <w:spacing w:line="360" w:lineRule="auto"/>
        <w:ind w:firstLine="486"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（2）运行异常且无备用设备的。启动应急预案，由</w:t>
      </w:r>
      <w:r>
        <w:rPr>
          <w:rFonts w:hint="eastAsia" w:ascii="仿宋_GB2312" w:cs="仿宋_GB2312"/>
          <w:sz w:val="24"/>
          <w:szCs w:val="24"/>
          <w:lang w:val="zh-CN"/>
        </w:rPr>
        <w:t>警戒保卫组</w:t>
      </w:r>
      <w:r>
        <w:rPr>
          <w:rFonts w:hint="eastAsia" w:cs="仿宋_GB2312" w:asciiTheme="minorEastAsia" w:hAnsiTheme="minorEastAsia" w:eastAsiaTheme="minorEastAsia"/>
          <w:kern w:val="0"/>
          <w:sz w:val="24"/>
          <w:szCs w:val="24"/>
        </w:rPr>
        <w:t>报指挥组，指挥组批示</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kern w:val="0"/>
          <w:sz w:val="24"/>
          <w:szCs w:val="24"/>
        </w:rPr>
        <w:t>立刻进行抢修，生产部协助维修物资保障，必须在8小时恢复设备正常运行。</w:t>
      </w:r>
    </w:p>
    <w:p>
      <w:pPr>
        <w:spacing w:beforeLines="50" w:afterLines="50"/>
        <w:rPr>
          <w:rFonts w:cs="仿宋_GB2312" w:asciiTheme="minorEastAsia" w:hAnsiTheme="minorEastAsia" w:eastAsiaTheme="minorEastAsia"/>
          <w:b/>
          <w:kern w:val="0"/>
          <w:sz w:val="28"/>
          <w:szCs w:val="28"/>
        </w:rPr>
      </w:pPr>
      <w:r>
        <w:rPr>
          <w:rFonts w:hint="eastAsia" w:asciiTheme="minorEastAsia" w:hAnsiTheme="minorEastAsia" w:eastAsiaTheme="minorEastAsia"/>
          <w:b/>
          <w:sz w:val="28"/>
          <w:szCs w:val="28"/>
        </w:rPr>
        <w:t>6.4.3.</w:t>
      </w:r>
      <w:r>
        <w:rPr>
          <w:rFonts w:hint="eastAsia" w:asciiTheme="minorEastAsia" w:hAnsiTheme="minorEastAsia" w:eastAsiaTheme="minorEastAsia"/>
          <w:b/>
          <w:sz w:val="28"/>
          <w:szCs w:val="28"/>
          <w:lang w:val="en-US" w:eastAsia="zh-CN"/>
        </w:rPr>
        <w:t>10</w:t>
      </w:r>
      <w:r>
        <w:rPr>
          <w:rFonts w:hint="eastAsia" w:cs="仿宋_GB2312" w:asciiTheme="minorEastAsia" w:hAnsiTheme="minorEastAsia" w:eastAsiaTheme="minorEastAsia"/>
          <w:b/>
          <w:kern w:val="0"/>
          <w:sz w:val="28"/>
          <w:szCs w:val="28"/>
        </w:rPr>
        <w:t>管网堵塞、破裂污水外流处置措施</w:t>
      </w:r>
    </w:p>
    <w:p>
      <w:pPr>
        <w:spacing w:line="360" w:lineRule="auto"/>
        <w:ind w:firstLine="486" w:firstLineChars="200"/>
        <w:rPr>
          <w:rFonts w:hint="eastAsia"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本厂主要收集白涛化工园区天然气化工区企业废水共9.8km，水管网由为公司负责维护运行。存在的风险包括滑坡、沉降、人为破坏导致的管网损坏污水外流的情况，可造成局部环境污染，引发居民投诉。主要处置方案为：</w:t>
      </w:r>
    </w:p>
    <w:p>
      <w:pPr>
        <w:spacing w:beforeLines="50" w:afterLines="50" w:line="360" w:lineRule="auto"/>
        <w:ind w:firstLine="477" w:firstLineChars="196"/>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（1）滑坡或人为导致的少量管网损坏。</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kern w:val="0"/>
          <w:sz w:val="24"/>
          <w:szCs w:val="24"/>
        </w:rPr>
        <w:t>立刻到现场评估被损管网的长度，在地质条件允许的情况下，于接到报告的当天更换预备好的同管径污水管网，并做好附属的管网基础加固工作。</w:t>
      </w:r>
    </w:p>
    <w:p>
      <w:pPr>
        <w:spacing w:beforeLines="50" w:afterLines="50" w:line="360" w:lineRule="auto"/>
        <w:ind w:firstLine="477" w:firstLineChars="196"/>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（2）地址沉降、堵塞导致的无法通水。</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kern w:val="0"/>
          <w:sz w:val="24"/>
          <w:szCs w:val="24"/>
        </w:rPr>
        <w:t>应及时到现场用管网机器人探测沉降变形的管网，准确找到并记录堵塞点位，并及时统计工程量上报预算整改。同时协调该管网主要排污企业暂停排污，待恢复后排放，以减轻环境影响</w:t>
      </w:r>
    </w:p>
    <w:p>
      <w:pPr>
        <w:spacing w:beforeLines="50" w:afterLines="50" w:line="360" w:lineRule="auto"/>
        <w:ind w:firstLine="477" w:firstLineChars="196"/>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（3）管网堵塞无法通水。由管网巡视人员发现后报管网科组织清掏队伍，务必在6小时内疏通堵塞管网，为防止对环境敏感源造成影响必要时可搭接临时管网防止污水外流。</w:t>
      </w:r>
    </w:p>
    <w:p>
      <w:pPr>
        <w:spacing w:beforeLines="50" w:afterLines="50" w:line="440" w:lineRule="exact"/>
        <w:rPr>
          <w:rFonts w:cs="仿宋_GB2312" w:asciiTheme="minorEastAsia" w:hAnsiTheme="minorEastAsia" w:eastAsiaTheme="minorEastAsia"/>
          <w:b/>
          <w:kern w:val="0"/>
          <w:sz w:val="28"/>
          <w:szCs w:val="28"/>
        </w:rPr>
      </w:pPr>
      <w:r>
        <w:rPr>
          <w:rFonts w:hint="eastAsia" w:asciiTheme="minorEastAsia" w:hAnsiTheme="minorEastAsia" w:eastAsiaTheme="minorEastAsia"/>
          <w:b/>
          <w:sz w:val="28"/>
          <w:szCs w:val="28"/>
        </w:rPr>
        <w:t>6.4.3.1</w:t>
      </w:r>
      <w:r>
        <w:rPr>
          <w:rFonts w:hint="eastAsia" w:asciiTheme="minorEastAsia" w:hAnsiTheme="minorEastAsia" w:eastAsiaTheme="minorEastAsia"/>
          <w:b/>
          <w:sz w:val="28"/>
          <w:szCs w:val="28"/>
          <w:lang w:val="en-US" w:eastAsia="zh-CN"/>
        </w:rPr>
        <w:t>1</w:t>
      </w:r>
      <w:r>
        <w:rPr>
          <w:rFonts w:hint="eastAsia" w:asciiTheme="minorEastAsia" w:hAnsiTheme="minorEastAsia" w:eastAsiaTheme="minorEastAsia"/>
          <w:b/>
          <w:sz w:val="28"/>
          <w:szCs w:val="28"/>
        </w:rPr>
        <w:t>脱水</w:t>
      </w:r>
      <w:r>
        <w:rPr>
          <w:rFonts w:hint="eastAsia" w:cs="仿宋_GB2312" w:asciiTheme="minorEastAsia" w:hAnsiTheme="minorEastAsia" w:eastAsiaTheme="minorEastAsia"/>
          <w:b/>
          <w:kern w:val="0"/>
          <w:sz w:val="28"/>
          <w:szCs w:val="28"/>
        </w:rPr>
        <w:t>污泥处置措施</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白涛潘家坝区污水处理厂的脱水污泥为一般固废，公司已与重庆市涪陵区玉环固体废物污染治理有限公司签订了转运合同。污水处理厂已按照环评和“三同时”要求建设了污泥堆棚和污泥暂存场地，并设置了防雨设施和警示标识。并要求玉环公司加强对驾驶员和押运人员加强教育，预防事故的发生。</w:t>
      </w:r>
    </w:p>
    <w:p>
      <w:pPr>
        <w:spacing w:line="360" w:lineRule="auto"/>
        <w:ind w:firstLine="486"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按照转运合同要求，运输途中出现的一切安全及其他事故由玉环公司负责，污水处理厂负责配合协调处理。</w:t>
      </w:r>
    </w:p>
    <w:p>
      <w:pPr>
        <w:spacing w:line="360" w:lineRule="auto"/>
        <w:ind w:firstLine="57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当转运途中出现污泥溢流和车辆事故时。</w:t>
      </w:r>
    </w:p>
    <w:p>
      <w:pPr>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（1）立即报告区环保局。</w:t>
      </w:r>
    </w:p>
    <w:p>
      <w:pPr>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（2）配合玉环公司协调组织机具对污泥及时清运处理。</w:t>
      </w:r>
    </w:p>
    <w:p>
      <w:pPr>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（3）总结事故并如实上报。</w:t>
      </w:r>
    </w:p>
    <w:p>
      <w:pPr>
        <w:adjustRightInd w:val="0"/>
        <w:snapToGrid w:val="0"/>
        <w:spacing w:line="460" w:lineRule="exact"/>
        <w:outlineLvl w:val="1"/>
        <w:rPr>
          <w:rFonts w:hint="eastAsia"/>
          <w:b/>
          <w:color w:val="000000"/>
          <w:sz w:val="28"/>
          <w:szCs w:val="28"/>
          <w:lang w:val="zh-CN"/>
        </w:rPr>
      </w:pPr>
      <w:bookmarkStart w:id="430" w:name="_Toc483083918"/>
      <w:bookmarkStart w:id="431" w:name="_Toc11638"/>
      <w:r>
        <w:rPr>
          <w:rFonts w:hint="eastAsia"/>
          <w:b/>
          <w:color w:val="000000"/>
          <w:sz w:val="28"/>
          <w:szCs w:val="28"/>
          <w:lang w:val="zh-CN"/>
        </w:rPr>
        <w:t>6.5应急监测</w:t>
      </w:r>
      <w:bookmarkEnd w:id="430"/>
      <w:bookmarkEnd w:id="431"/>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发生风险事故的情况时，在泄漏物进入外部环境后，立即启动应急响应工作流程，即一方面立即组织实施应急程序，另一方面根据险情发展态势及时上报险情，请求相关机构提供技术援助支持。</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地表水和土壤监测安排在事故发生后4h内，大气监测安排在2h内，定性检测出污染物的种类和可能的危害，24h内定量监测出污染物的浓度、污染的程度和范围，做好记录，完成监测报告，并采取污染跟踪监测，直到污染事故处理完毕，污染警报消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1）白涛潘家坝污水处理厂在生产车间及储罐区设有气体泄漏和火灾报警器，保证在万一泄漏的情况下能够及时发现，采取处置措施，以及对环境空气进行监测。</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2)另外还可以依托涪陵区环境监测站对危化品事故产生的危害进行监测，对水体进行连续监测，同时针对人员、水体、土壤、大气采取隔离、收集和清除等方法，直至符合国家、地方环境保护标准。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3）对于不明性质物质和大气监测，由公司安全环保部邀请涪陵区环境监测站等专业机构支援。</w:t>
      </w:r>
    </w:p>
    <w:p>
      <w:pPr>
        <w:adjustRightInd w:val="0"/>
        <w:snapToGrid w:val="0"/>
        <w:spacing w:line="460" w:lineRule="exact"/>
        <w:ind w:firstLine="486" w:firstLineChars="200"/>
        <w:rPr>
          <w:rFonts w:asciiTheme="minorEastAsia" w:hAnsiTheme="minorEastAsia" w:eastAsiaTheme="minorEastAsia"/>
          <w:sz w:val="24"/>
          <w:szCs w:val="24"/>
          <w:lang w:val="zh-CN"/>
        </w:rPr>
      </w:pPr>
      <w:bookmarkStart w:id="432" w:name="_Toc458674300"/>
      <w:bookmarkStart w:id="433" w:name="_Toc346872611"/>
      <w:bookmarkStart w:id="434" w:name="_Toc317088669"/>
      <w:r>
        <w:rPr>
          <w:rFonts w:hint="eastAsia" w:asciiTheme="minorEastAsia" w:hAnsiTheme="minorEastAsia" w:eastAsiaTheme="minorEastAsia"/>
          <w:sz w:val="24"/>
          <w:szCs w:val="24"/>
          <w:lang w:val="zh-CN"/>
        </w:rPr>
        <w:t>4）</w:t>
      </w:r>
      <w:r>
        <w:rPr>
          <w:rFonts w:asciiTheme="minorEastAsia" w:hAnsiTheme="minorEastAsia" w:eastAsiaTheme="minorEastAsia"/>
          <w:sz w:val="24"/>
          <w:szCs w:val="24"/>
          <w:lang w:val="zh-CN"/>
        </w:rPr>
        <w:t>企业突发环境事故监测</w:t>
      </w:r>
      <w:bookmarkEnd w:id="432"/>
      <w:bookmarkEnd w:id="433"/>
      <w:r>
        <w:rPr>
          <w:rFonts w:hint="eastAsia" w:asciiTheme="minorEastAsia" w:hAnsiTheme="minorEastAsia" w:eastAsiaTheme="minorEastAsia"/>
          <w:sz w:val="24"/>
          <w:szCs w:val="24"/>
          <w:lang w:val="zh-CN"/>
        </w:rPr>
        <w:t>因子</w:t>
      </w:r>
    </w:p>
    <w:bookmarkEnd w:id="434"/>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环境空气：氯化氢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监测范围：加氯加药间周边5km范围。</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 xml:space="preserve">地表水：pH、COD、SS、氨氮、总磷、粪大肠菌群数、动植物油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监测范围：</w:t>
      </w:r>
      <w:r>
        <w:rPr>
          <w:rFonts w:hint="eastAsia" w:asciiTheme="minorEastAsia" w:hAnsiTheme="minorEastAsia" w:eastAsiaTheme="minorEastAsia"/>
          <w:sz w:val="24"/>
          <w:szCs w:val="24"/>
          <w:lang w:val="zh-CN"/>
        </w:rPr>
        <w:t>泄漏</w:t>
      </w:r>
      <w:r>
        <w:rPr>
          <w:rFonts w:asciiTheme="minorEastAsia" w:hAnsiTheme="minorEastAsia" w:eastAsiaTheme="minorEastAsia"/>
          <w:sz w:val="24"/>
          <w:szCs w:val="24"/>
          <w:lang w:val="zh-CN"/>
        </w:rPr>
        <w:t>物入水口至下游5km。</w:t>
      </w:r>
    </w:p>
    <w:p>
      <w:pPr>
        <w:pStyle w:val="89"/>
        <w:ind w:firstLine="486"/>
        <w:rPr>
          <w:rFonts w:asciiTheme="minorEastAsia" w:hAnsiTheme="minorEastAsia" w:eastAsiaTheme="minorEastAsia"/>
          <w:color w:val="auto"/>
          <w:kern w:val="2"/>
          <w:lang w:val="zh-CN"/>
        </w:rPr>
      </w:pPr>
      <w:bookmarkStart w:id="435" w:name="_Toc5683"/>
      <w:r>
        <w:rPr>
          <w:rFonts w:hint="eastAsia" w:asciiTheme="minorEastAsia" w:hAnsiTheme="minorEastAsia" w:eastAsiaTheme="minorEastAsia"/>
          <w:color w:val="auto"/>
          <w:kern w:val="2"/>
          <w:lang w:val="zh-CN"/>
        </w:rPr>
        <w:t>5）</w:t>
      </w:r>
      <w:r>
        <w:rPr>
          <w:rFonts w:asciiTheme="minorEastAsia" w:hAnsiTheme="minorEastAsia" w:eastAsiaTheme="minorEastAsia"/>
          <w:color w:val="auto"/>
          <w:kern w:val="2"/>
          <w:lang w:val="zh-CN"/>
        </w:rPr>
        <w:t>监测数据的报告和发布</w:t>
      </w:r>
      <w:bookmarkEnd w:id="435"/>
    </w:p>
    <w:p>
      <w:pPr>
        <w:pStyle w:val="209"/>
        <w:spacing w:line="460" w:lineRule="exact"/>
        <w:ind w:firstLine="486"/>
        <w:jc w:val="left"/>
        <w:rPr>
          <w:rFonts w:asciiTheme="minorEastAsia" w:hAnsiTheme="minorEastAsia" w:eastAsiaTheme="minorEastAsia"/>
          <w:b w:val="0"/>
          <w:bCs w:val="0"/>
          <w:spacing w:val="0"/>
          <w:szCs w:val="24"/>
          <w:lang w:val="zh-CN"/>
        </w:rPr>
      </w:pPr>
      <w:r>
        <w:rPr>
          <w:rFonts w:asciiTheme="minorEastAsia" w:hAnsiTheme="minorEastAsia" w:eastAsiaTheme="minorEastAsia"/>
          <w:b w:val="0"/>
          <w:bCs w:val="0"/>
          <w:spacing w:val="0"/>
          <w:szCs w:val="24"/>
          <w:lang w:val="zh-CN"/>
        </w:rPr>
        <w:t>监测数据应及时向应急领导小组和</w:t>
      </w:r>
      <w:r>
        <w:rPr>
          <w:rFonts w:hint="eastAsia" w:asciiTheme="minorEastAsia" w:hAnsiTheme="minorEastAsia" w:eastAsiaTheme="minorEastAsia"/>
          <w:b w:val="0"/>
          <w:bCs w:val="0"/>
          <w:spacing w:val="0"/>
          <w:szCs w:val="24"/>
          <w:lang w:val="zh-CN"/>
        </w:rPr>
        <w:t>涪陵区环境保护局</w:t>
      </w:r>
      <w:r>
        <w:rPr>
          <w:rFonts w:asciiTheme="minorEastAsia" w:hAnsiTheme="minorEastAsia" w:eastAsiaTheme="minorEastAsia"/>
          <w:b w:val="0"/>
          <w:bCs w:val="0"/>
          <w:spacing w:val="0"/>
          <w:szCs w:val="24"/>
          <w:lang w:val="zh-CN"/>
        </w:rPr>
        <w:t>汇报，应急领导小组据此展开相关应急措施；同时公开向社会发布环境应急监测数据。</w:t>
      </w:r>
    </w:p>
    <w:p>
      <w:pPr>
        <w:adjustRightInd w:val="0"/>
        <w:snapToGrid w:val="0"/>
        <w:spacing w:line="460" w:lineRule="exact"/>
        <w:outlineLvl w:val="1"/>
        <w:rPr>
          <w:rFonts w:hint="eastAsia"/>
          <w:b/>
          <w:color w:val="000000"/>
          <w:sz w:val="28"/>
          <w:szCs w:val="28"/>
          <w:lang w:val="zh-CN"/>
        </w:rPr>
      </w:pPr>
      <w:bookmarkStart w:id="436" w:name="_Toc483083919"/>
      <w:bookmarkStart w:id="437" w:name="_Toc1765"/>
      <w:r>
        <w:rPr>
          <w:rFonts w:hint="eastAsia"/>
          <w:b/>
          <w:color w:val="000000"/>
          <w:sz w:val="28"/>
          <w:szCs w:val="28"/>
          <w:lang w:val="zh-CN"/>
        </w:rPr>
        <w:t>6.6应急终止</w:t>
      </w:r>
      <w:bookmarkEnd w:id="436"/>
      <w:bookmarkEnd w:id="437"/>
    </w:p>
    <w:p>
      <w:pPr>
        <w:pStyle w:val="89"/>
        <w:spacing w:line="460" w:lineRule="exact"/>
        <w:ind w:firstLine="0" w:firstLineChars="0"/>
        <w:rPr>
          <w:b/>
        </w:rPr>
      </w:pPr>
      <w:r>
        <w:rPr>
          <w:rFonts w:hint="eastAsia"/>
          <w:b/>
        </w:rPr>
        <w:t>6.6.1 应急终止的条件</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符合下列条件</w:t>
      </w:r>
      <w:r>
        <w:rPr>
          <w:rFonts w:hint="eastAsia" w:asciiTheme="minorEastAsia" w:hAnsiTheme="minorEastAsia" w:eastAsiaTheme="minorEastAsia"/>
          <w:sz w:val="24"/>
          <w:szCs w:val="24"/>
          <w:lang w:val="zh-CN"/>
        </w:rPr>
        <w:t>之一的</w:t>
      </w:r>
      <w:r>
        <w:rPr>
          <w:rFonts w:asciiTheme="minorEastAsia" w:hAnsiTheme="minorEastAsia" w:eastAsiaTheme="minorEastAsia"/>
          <w:sz w:val="24"/>
          <w:szCs w:val="24"/>
          <w:lang w:val="zh-CN"/>
        </w:rPr>
        <w:t>，可终止应急行动：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①污染事故得到完全控制，污染危险已经消除；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②污染物的泄漏或释放，经监测符合相关规定；</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③事故所造成的危害已被彻底消除，无继发可能；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④现场各专业抢险队伍对事故相关险情已处置完毕，应急行动已无继续的必要；</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⑤采取了必要的防护措施以保护员工</w:t>
      </w:r>
      <w:r>
        <w:rPr>
          <w:rFonts w:hint="eastAsia" w:asciiTheme="minorEastAsia" w:hAnsiTheme="minorEastAsia" w:eastAsiaTheme="minorEastAsia"/>
          <w:sz w:val="24"/>
          <w:szCs w:val="24"/>
          <w:lang w:val="zh-CN"/>
        </w:rPr>
        <w:t>、周边居民（村）民</w:t>
      </w:r>
      <w:r>
        <w:rPr>
          <w:rFonts w:asciiTheme="minorEastAsia" w:hAnsiTheme="minorEastAsia" w:eastAsiaTheme="minorEastAsia"/>
          <w:sz w:val="24"/>
          <w:szCs w:val="24"/>
          <w:lang w:val="zh-CN"/>
        </w:rPr>
        <w:t>免受再次危害，并使事件可能引起的中长期影响趋于合理且尽量低的水平。</w:t>
      </w:r>
    </w:p>
    <w:p>
      <w:pPr>
        <w:pStyle w:val="89"/>
        <w:spacing w:line="460" w:lineRule="exact"/>
        <w:ind w:firstLine="0" w:firstLineChars="0"/>
        <w:rPr>
          <w:b/>
        </w:rPr>
      </w:pPr>
      <w:r>
        <w:rPr>
          <w:rFonts w:hint="eastAsia"/>
          <w:b/>
        </w:rPr>
        <w:t>6.6.2应急终止程序</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kern w:val="0"/>
          <w:sz w:val="24"/>
        </w:rPr>
        <w:t xml:space="preserve"> </w:t>
      </w:r>
      <w:r>
        <w:rPr>
          <w:rFonts w:hint="eastAsia" w:asciiTheme="minorEastAsia" w:hAnsiTheme="minorEastAsia" w:eastAsiaTheme="minorEastAsia"/>
          <w:sz w:val="24"/>
          <w:szCs w:val="24"/>
          <w:lang w:val="zh-CN"/>
        </w:rPr>
        <w:t>各应急小组负责人向应急指挥部报告事故相关险情已处置完毕，应急救援总指挥汇同应急指挥部其它成员对全厂及周边受到事故影响的区域进行危险性评估，确定符合应急终止条件后，报告应急救援总指挥，由应急救援总指挥宣布公司事故应急救援行动终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应急状态终止后，有关部门（单位）应根据指挥部指示及实际情况，继续进行环境监测、组织设备设施的抢修，尽快恢复正常生产。</w:t>
      </w:r>
    </w:p>
    <w:p>
      <w:pPr>
        <w:pStyle w:val="89"/>
        <w:spacing w:line="460" w:lineRule="exact"/>
        <w:ind w:firstLine="0" w:firstLineChars="0"/>
        <w:rPr>
          <w:b/>
        </w:rPr>
      </w:pPr>
      <w:r>
        <w:rPr>
          <w:rFonts w:hint="eastAsia"/>
          <w:b/>
        </w:rPr>
        <w:t>6.6.3应急终止后的行动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应急行动终止后，应做好以下工作：</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（1）及时通知本单位相关部门、周边企业（或事业）单位、社区、社会关注区及人员事件危险已解除；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（2）对现场中暴露的工作人员、应急行动人员和受污染设备进行清洁净化；</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（3）做好事件情况的后续报告；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（4）配合上级部门的调查，向事件调查处理小组提供相关资料；</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（5）事件原因、损失调查与责任认定；</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（6）对应急过程进行评价，对事件应急救援工作做好总结报告，突发环境事件应急预案的修订；</w:t>
      </w:r>
    </w:p>
    <w:p>
      <w:pPr>
        <w:adjustRightInd w:val="0"/>
        <w:snapToGrid w:val="0"/>
        <w:spacing w:line="460" w:lineRule="exact"/>
        <w:ind w:firstLine="486" w:firstLineChars="200"/>
        <w:rPr>
          <w:rFonts w:asciiTheme="minorEastAsia" w:hAnsiTheme="minorEastAsia" w:eastAsiaTheme="minorEastAsia"/>
          <w:b/>
          <w:color w:val="000000"/>
          <w:sz w:val="32"/>
        </w:rPr>
      </w:pPr>
      <w:r>
        <w:rPr>
          <w:rFonts w:hint="eastAsia" w:asciiTheme="minorEastAsia" w:hAnsiTheme="minorEastAsia" w:eastAsiaTheme="minorEastAsia"/>
          <w:sz w:val="24"/>
          <w:szCs w:val="24"/>
          <w:lang w:val="zh-CN"/>
        </w:rPr>
        <w:t>（7）对应急器材及时进行检查、复位、补充</w:t>
      </w:r>
      <w:bookmarkStart w:id="438" w:name="_Toc304833241"/>
      <w:bookmarkStart w:id="439" w:name="_Toc415254551"/>
      <w:bookmarkStart w:id="440" w:name="_Toc196018549"/>
      <w:bookmarkStart w:id="441" w:name="_Toc184809557"/>
      <w:bookmarkStart w:id="442" w:name="_Toc387131765"/>
      <w:bookmarkStart w:id="443" w:name="_Toc229283978"/>
      <w:bookmarkStart w:id="444" w:name="_Toc198355328"/>
      <w:bookmarkStart w:id="445" w:name="_Toc262051127"/>
      <w:bookmarkStart w:id="446" w:name="_Toc336326858"/>
      <w:bookmarkStart w:id="447" w:name="_Toc196018440"/>
      <w:bookmarkStart w:id="448" w:name="_Toc196018644"/>
      <w:bookmarkStart w:id="449" w:name="_Toc183339230"/>
      <w:bookmarkStart w:id="450" w:name="_Toc262050874"/>
      <w:bookmarkStart w:id="451" w:name="_Toc408274445"/>
      <w:bookmarkStart w:id="452" w:name="_Toc336327136"/>
      <w:bookmarkStart w:id="453" w:name="_Toc198007343"/>
      <w:bookmarkStart w:id="454" w:name="_Toc304962964"/>
      <w:bookmarkStart w:id="455" w:name="_Toc262040284"/>
      <w:bookmarkStart w:id="456" w:name="_Toc304963608"/>
      <w:bookmarkStart w:id="457" w:name="_Toc387131434"/>
      <w:bookmarkStart w:id="458" w:name="_Toc185670990"/>
      <w:bookmarkStart w:id="459" w:name="_Toc17333"/>
      <w:bookmarkStart w:id="460" w:name="_Toc304964451"/>
      <w:bookmarkStart w:id="461" w:name="_Toc183339506"/>
      <w:bookmarkStart w:id="462" w:name="_Toc184808770"/>
      <w:bookmarkStart w:id="463" w:name="_Toc262051548"/>
      <w:bookmarkStart w:id="464" w:name="_Toc197251348"/>
      <w:bookmarkStart w:id="465" w:name="_Toc387131508"/>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466" w:name="_Toc17717"/>
      <w:r>
        <w:rPr>
          <w:rFonts w:hint="eastAsia" w:asciiTheme="minorEastAsia" w:hAnsiTheme="minorEastAsia" w:eastAsiaTheme="minorEastAsia"/>
          <w:b/>
          <w:color w:val="000000"/>
          <w:sz w:val="32"/>
        </w:rPr>
        <w:t>7后期处置</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Start w:id="467" w:name="_Toc387131766"/>
      <w:bookmarkStart w:id="468" w:name="_Toc27785"/>
      <w:bookmarkStart w:id="469" w:name="_Toc350931210"/>
      <w:bookmarkStart w:id="470" w:name="_Toc415254552"/>
      <w:bookmarkStart w:id="471" w:name="_Toc387131509"/>
      <w:bookmarkStart w:id="472" w:name="_Toc387131435"/>
      <w:bookmarkStart w:id="473" w:name="_Toc304963609"/>
      <w:bookmarkStart w:id="474" w:name="_Toc183339231"/>
      <w:bookmarkStart w:id="475" w:name="_Toc262051128"/>
      <w:bookmarkStart w:id="476" w:name="_Toc184809558"/>
      <w:bookmarkStart w:id="477" w:name="_Toc304964452"/>
      <w:bookmarkStart w:id="478" w:name="_Toc184808771"/>
      <w:bookmarkStart w:id="479" w:name="_Toc229283979"/>
      <w:bookmarkStart w:id="480" w:name="_Toc196018550"/>
      <w:bookmarkStart w:id="481" w:name="_Toc198007344"/>
      <w:bookmarkStart w:id="482" w:name="_Toc183339507"/>
      <w:bookmarkStart w:id="483" w:name="_Toc336326859"/>
      <w:bookmarkStart w:id="484" w:name="_Toc185670991"/>
      <w:bookmarkStart w:id="485" w:name="_Toc196018441"/>
      <w:bookmarkStart w:id="486" w:name="_Toc304833242"/>
      <w:bookmarkStart w:id="487" w:name="_Toc262040285"/>
      <w:bookmarkStart w:id="488" w:name="_Toc336327137"/>
      <w:bookmarkStart w:id="489" w:name="_Toc197251349"/>
      <w:bookmarkStart w:id="490" w:name="_Toc198355329"/>
      <w:bookmarkStart w:id="491" w:name="_Toc262051549"/>
      <w:bookmarkStart w:id="492" w:name="_Toc262050875"/>
      <w:bookmarkStart w:id="493" w:name="_Toc196018645"/>
      <w:bookmarkStart w:id="494" w:name="_Toc304962965"/>
      <w:bookmarkStart w:id="495" w:name="_Toc179794563"/>
    </w:p>
    <w:p>
      <w:pPr>
        <w:adjustRightInd w:val="0"/>
        <w:snapToGrid w:val="0"/>
        <w:spacing w:line="460" w:lineRule="exact"/>
        <w:outlineLvl w:val="1"/>
        <w:rPr>
          <w:rFonts w:hint="eastAsia"/>
          <w:b/>
          <w:color w:val="000000"/>
          <w:sz w:val="28"/>
          <w:szCs w:val="28"/>
          <w:lang w:val="zh-CN"/>
        </w:rPr>
      </w:pPr>
      <w:bookmarkStart w:id="496" w:name="_Toc12771"/>
      <w:r>
        <w:rPr>
          <w:rFonts w:hint="eastAsia"/>
          <w:b/>
          <w:color w:val="000000"/>
          <w:sz w:val="28"/>
          <w:szCs w:val="28"/>
          <w:lang w:val="zh-CN"/>
        </w:rPr>
        <w:t>7.1 污染物处理</w:t>
      </w:r>
      <w:bookmarkEnd w:id="467"/>
      <w:bookmarkEnd w:id="468"/>
      <w:bookmarkEnd w:id="469"/>
      <w:bookmarkEnd w:id="470"/>
      <w:bookmarkEnd w:id="471"/>
      <w:bookmarkEnd w:id="472"/>
      <w:bookmarkEnd w:id="496"/>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本着科学处理、尽可能减少对周围环境污染的原则对因发生事故而产生的污染物进行处理。</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对于事故处理过程中产生事故废水，禁止直接排入下水道，应采用事故水收集系统管道送至事故水收集池收集，再集中由污水处理站按不同物料分批次处理。</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对于事故处理过程中产生的含危险废物的消防沙，以及无法再使用的危险废物，应收集在危险废物堆场，再由委托有资质的处理单位处理。</w:t>
      </w:r>
      <w:bookmarkStart w:id="497" w:name="_Toc415254553"/>
      <w:bookmarkStart w:id="498" w:name="_Toc18325"/>
      <w:bookmarkStart w:id="499" w:name="_Toc387131436"/>
      <w:bookmarkStart w:id="500" w:name="_Toc350931212"/>
      <w:bookmarkStart w:id="501" w:name="_Toc387131767"/>
      <w:bookmarkStart w:id="502" w:name="_Toc387131510"/>
    </w:p>
    <w:p>
      <w:pPr>
        <w:adjustRightInd w:val="0"/>
        <w:snapToGrid w:val="0"/>
        <w:spacing w:line="460" w:lineRule="exact"/>
        <w:outlineLvl w:val="1"/>
        <w:rPr>
          <w:rFonts w:hint="eastAsia"/>
          <w:b/>
          <w:color w:val="000000"/>
          <w:sz w:val="28"/>
          <w:szCs w:val="28"/>
          <w:lang w:val="zh-CN"/>
        </w:rPr>
      </w:pPr>
      <w:bookmarkStart w:id="503" w:name="_Toc7852"/>
      <w:r>
        <w:rPr>
          <w:rFonts w:hint="eastAsia"/>
          <w:b/>
          <w:color w:val="000000"/>
          <w:sz w:val="28"/>
          <w:szCs w:val="28"/>
          <w:lang w:val="zh-CN"/>
        </w:rPr>
        <w:t>7.2生产秩序恢复</w:t>
      </w:r>
      <w:bookmarkEnd w:id="497"/>
      <w:bookmarkEnd w:id="498"/>
      <w:bookmarkEnd w:id="499"/>
      <w:bookmarkEnd w:id="500"/>
      <w:bookmarkEnd w:id="501"/>
      <w:bookmarkEnd w:id="502"/>
      <w:bookmarkEnd w:id="503"/>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应急救援终止后，厂</w:t>
      </w:r>
      <w:r>
        <w:rPr>
          <w:rFonts w:hint="eastAsia" w:cs="宋体" w:asciiTheme="minorEastAsia" w:hAnsiTheme="minorEastAsia" w:eastAsiaTheme="minorEastAsia"/>
          <w:kern w:val="0"/>
          <w:sz w:val="24"/>
          <w:szCs w:val="24"/>
        </w:rPr>
        <w:t>抢险救灾组</w:t>
      </w:r>
      <w:r>
        <w:rPr>
          <w:rFonts w:hint="eastAsia" w:asciiTheme="minorEastAsia" w:hAnsiTheme="minorEastAsia" w:eastAsiaTheme="minorEastAsia"/>
          <w:color w:val="000000"/>
          <w:sz w:val="24"/>
          <w:szCs w:val="24"/>
        </w:rPr>
        <w:t>应制定切实可行的现场清理、修复方案，避免出现新的危险。在现场取证工作未结束前，</w:t>
      </w:r>
      <w:r>
        <w:rPr>
          <w:rFonts w:hint="eastAsia" w:cs="仿宋_GB2312" w:asciiTheme="minorEastAsia" w:hAnsiTheme="minorEastAsia" w:eastAsiaTheme="minorEastAsia"/>
          <w:kern w:val="0"/>
          <w:sz w:val="24"/>
          <w:szCs w:val="24"/>
          <w:lang w:val="zh-CN"/>
        </w:rPr>
        <w:t>警戒保卫组</w:t>
      </w:r>
      <w:r>
        <w:rPr>
          <w:rFonts w:hint="eastAsia" w:asciiTheme="minorEastAsia" w:hAnsiTheme="minorEastAsia" w:eastAsiaTheme="minorEastAsia"/>
          <w:color w:val="000000"/>
          <w:sz w:val="24"/>
          <w:szCs w:val="24"/>
        </w:rPr>
        <w:t>必须继续对现场进行保护，不得破坏有关物证资料。</w:t>
      </w:r>
      <w:r>
        <w:rPr>
          <w:rFonts w:hint="eastAsia" w:cs="仿宋_GB2312" w:asciiTheme="minorEastAsia" w:hAnsiTheme="minorEastAsia" w:eastAsiaTheme="minorEastAsia"/>
          <w:kern w:val="0"/>
          <w:sz w:val="24"/>
          <w:szCs w:val="24"/>
          <w:lang w:val="zh-CN"/>
        </w:rPr>
        <w:t>综合协调组</w:t>
      </w:r>
      <w:r>
        <w:rPr>
          <w:rFonts w:hint="eastAsia" w:asciiTheme="minorEastAsia" w:hAnsiTheme="minorEastAsia" w:eastAsiaTheme="minorEastAsia"/>
          <w:color w:val="000000"/>
          <w:sz w:val="24"/>
          <w:szCs w:val="24"/>
        </w:rPr>
        <w:t>妥善安置和慰问受害及受影响人员，保证社会稳定，尽快恢复正常秩序。</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白涛潘家坝污水处理</w:t>
      </w:r>
      <w:r>
        <w:rPr>
          <w:rFonts w:hint="eastAsia" w:asciiTheme="minorEastAsia" w:hAnsiTheme="minorEastAsia" w:eastAsiaTheme="minorEastAsia"/>
          <w:color w:val="000000"/>
          <w:sz w:val="24"/>
          <w:szCs w:val="24"/>
        </w:rPr>
        <w:t>厂按制定的现场修复方案，有序进行现场恢复。事故发生部门负责调整岗位人员、调试设备，尽快恢复生产，尽可能的降低事故损失。</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Start w:id="504" w:name="_Toc387131437"/>
      <w:bookmarkStart w:id="505" w:name="_Toc350931213"/>
      <w:bookmarkStart w:id="506" w:name="_Toc387131768"/>
      <w:bookmarkStart w:id="507" w:name="_Toc387131511"/>
      <w:bookmarkStart w:id="508" w:name="_Toc19333"/>
      <w:bookmarkStart w:id="509" w:name="_Toc415254554"/>
    </w:p>
    <w:p>
      <w:pPr>
        <w:adjustRightInd w:val="0"/>
        <w:snapToGrid w:val="0"/>
        <w:spacing w:line="460" w:lineRule="exact"/>
        <w:outlineLvl w:val="1"/>
        <w:rPr>
          <w:rFonts w:hint="eastAsia"/>
          <w:b/>
          <w:color w:val="000000"/>
          <w:sz w:val="28"/>
          <w:szCs w:val="28"/>
          <w:lang w:val="zh-CN"/>
        </w:rPr>
      </w:pPr>
      <w:bookmarkStart w:id="510" w:name="_Toc709"/>
      <w:r>
        <w:rPr>
          <w:rFonts w:hint="eastAsia"/>
          <w:b/>
          <w:color w:val="000000"/>
          <w:sz w:val="28"/>
          <w:szCs w:val="28"/>
          <w:lang w:val="zh-CN"/>
        </w:rPr>
        <w:t>7.3善后</w:t>
      </w:r>
      <w:bookmarkEnd w:id="504"/>
      <w:bookmarkEnd w:id="505"/>
      <w:bookmarkEnd w:id="506"/>
      <w:bookmarkEnd w:id="507"/>
      <w:r>
        <w:rPr>
          <w:rFonts w:hint="eastAsia"/>
          <w:b/>
          <w:color w:val="000000"/>
          <w:sz w:val="28"/>
          <w:szCs w:val="28"/>
          <w:lang w:val="zh-CN"/>
        </w:rPr>
        <w:t>处置（医疗救治、人员安置、善后赔偿）</w:t>
      </w:r>
      <w:bookmarkEnd w:id="508"/>
      <w:bookmarkEnd w:id="509"/>
      <w:bookmarkEnd w:id="510"/>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生产安全事故发生后，厂财务部、综合部应及时与保险机构联系，及时开展受灾人员、财产保险理赔工作。发生人员伤亡的，成立善后工作组，及时对伤亡人员及其家属进行安抚，商谈救治期间的费用问题；对受灾人员应妥善安置，及时解决受灾人员生活所需；安全生产部准备工伤认定材料，按照工伤上报程序进行上报。</w:t>
      </w:r>
      <w:bookmarkStart w:id="511" w:name="_Toc262040287"/>
      <w:bookmarkStart w:id="512" w:name="_Toc183339233"/>
      <w:bookmarkStart w:id="513" w:name="_Toc304964454"/>
      <w:bookmarkStart w:id="514" w:name="_Toc304963611"/>
      <w:bookmarkStart w:id="515" w:name="_Toc179794565"/>
      <w:bookmarkStart w:id="516" w:name="_Toc198355331"/>
      <w:bookmarkStart w:id="517" w:name="_Toc196018443"/>
      <w:bookmarkStart w:id="518" w:name="_Toc196018647"/>
      <w:bookmarkStart w:id="519" w:name="_Toc262050877"/>
      <w:bookmarkStart w:id="520" w:name="_Toc198007346"/>
      <w:bookmarkStart w:id="521" w:name="_Toc262051551"/>
      <w:bookmarkStart w:id="522" w:name="_Toc304833244"/>
      <w:bookmarkStart w:id="523" w:name="_Toc183339509"/>
      <w:bookmarkStart w:id="524" w:name="_Toc304962967"/>
      <w:bookmarkStart w:id="525" w:name="_Toc184809560"/>
      <w:bookmarkStart w:id="526" w:name="_Toc229283981"/>
      <w:bookmarkStart w:id="527" w:name="_Toc197251351"/>
      <w:bookmarkStart w:id="528" w:name="_Toc336327139"/>
      <w:bookmarkStart w:id="529" w:name="_Toc184808773"/>
      <w:bookmarkStart w:id="530" w:name="_Toc185670993"/>
      <w:bookmarkStart w:id="531" w:name="_Toc196018552"/>
      <w:bookmarkStart w:id="532" w:name="_Toc262051130"/>
      <w:bookmarkStart w:id="533" w:name="_Toc336326861"/>
      <w:bookmarkStart w:id="534" w:name="_Toc387131438"/>
      <w:bookmarkStart w:id="535" w:name="_Toc32621"/>
      <w:bookmarkStart w:id="536" w:name="_Toc387131769"/>
      <w:bookmarkStart w:id="537" w:name="_Toc387131512"/>
      <w:bookmarkStart w:id="538" w:name="_Toc415254555"/>
    </w:p>
    <w:p>
      <w:pPr>
        <w:adjustRightInd w:val="0"/>
        <w:snapToGrid w:val="0"/>
        <w:spacing w:line="460" w:lineRule="exact"/>
        <w:outlineLvl w:val="1"/>
        <w:rPr>
          <w:rFonts w:hint="eastAsia"/>
          <w:b/>
          <w:color w:val="000000"/>
          <w:sz w:val="28"/>
          <w:szCs w:val="28"/>
          <w:lang w:val="zh-CN"/>
        </w:rPr>
      </w:pPr>
      <w:bookmarkStart w:id="539" w:name="_Toc20046"/>
      <w:r>
        <w:rPr>
          <w:rFonts w:hint="eastAsia"/>
          <w:b/>
          <w:color w:val="000000"/>
          <w:sz w:val="28"/>
          <w:szCs w:val="28"/>
          <w:lang w:val="zh-CN"/>
        </w:rPr>
        <w:t>7.4</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Pr>
          <w:rFonts w:hint="eastAsia"/>
          <w:b/>
          <w:color w:val="000000"/>
          <w:sz w:val="28"/>
          <w:szCs w:val="28"/>
          <w:lang w:val="zh-CN"/>
        </w:rPr>
        <w:t>应急救援能力评估</w:t>
      </w:r>
      <w:bookmarkEnd w:id="534"/>
      <w:bookmarkEnd w:id="535"/>
      <w:bookmarkEnd w:id="536"/>
      <w:bookmarkEnd w:id="537"/>
      <w:bookmarkEnd w:id="538"/>
      <w:bookmarkEnd w:id="539"/>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 应急指挥部所有成员对事故进行评估，通过评估，总结经验、吸取教训，达到有效地防范事故或将事故危害减小到最低程度的目的。</w:t>
      </w:r>
    </w:p>
    <w:p>
      <w:pPr>
        <w:adjustRightInd w:val="0"/>
        <w:snapToGrid w:val="0"/>
        <w:spacing w:line="360" w:lineRule="auto"/>
        <w:ind w:firstLine="486" w:firstLineChars="200"/>
        <w:jc w:val="left"/>
        <w:textAlignment w:val="center"/>
        <w:rPr>
          <w:rFonts w:asciiTheme="minorEastAsia" w:hAnsiTheme="minorEastAsia" w:eastAsiaTheme="minorEastAsia"/>
          <w:b/>
          <w:color w:val="000000"/>
          <w:sz w:val="32"/>
        </w:rPr>
      </w:pPr>
      <w:r>
        <w:rPr>
          <w:rFonts w:hint="eastAsia" w:asciiTheme="minorEastAsia" w:hAnsiTheme="minorEastAsia" w:eastAsiaTheme="minorEastAsia"/>
          <w:color w:val="000000"/>
          <w:sz w:val="24"/>
          <w:szCs w:val="24"/>
        </w:rPr>
        <w:t>2) 生产安全事故善后处置工作结束后，安全生产部应分析总结应急救援经验教训，对抢险过程和应急救援能力进行评估，提出改进应急救援工作的建议，及时修订完善应急救援预案。</w:t>
      </w:r>
      <w:bookmarkStart w:id="540" w:name="_Toc262050878"/>
      <w:bookmarkEnd w:id="540"/>
      <w:bookmarkStart w:id="541" w:name="_Toc197251352"/>
      <w:bookmarkEnd w:id="541"/>
      <w:bookmarkStart w:id="542" w:name="_Toc198007347"/>
      <w:bookmarkEnd w:id="542"/>
      <w:bookmarkStart w:id="543" w:name="_Toc262051552"/>
      <w:bookmarkEnd w:id="543"/>
      <w:bookmarkStart w:id="544" w:name="_Toc304962968"/>
      <w:bookmarkEnd w:id="544"/>
      <w:bookmarkStart w:id="545" w:name="_Toc336326862"/>
      <w:bookmarkEnd w:id="545"/>
      <w:bookmarkStart w:id="546" w:name="_Toc196018444"/>
      <w:bookmarkEnd w:id="546"/>
      <w:bookmarkStart w:id="547" w:name="_Toc304833245"/>
      <w:bookmarkEnd w:id="547"/>
      <w:bookmarkStart w:id="548" w:name="_Toc262051131"/>
      <w:bookmarkEnd w:id="548"/>
      <w:bookmarkStart w:id="549" w:name="_Toc183339510"/>
      <w:bookmarkEnd w:id="549"/>
      <w:bookmarkStart w:id="550" w:name="_Toc336327140"/>
      <w:bookmarkEnd w:id="550"/>
      <w:bookmarkStart w:id="551" w:name="_Toc229283982"/>
      <w:bookmarkEnd w:id="551"/>
      <w:bookmarkStart w:id="552" w:name="_Toc185670994"/>
      <w:bookmarkEnd w:id="552"/>
      <w:bookmarkStart w:id="553" w:name="_Toc184809561"/>
      <w:bookmarkEnd w:id="553"/>
      <w:bookmarkStart w:id="554" w:name="_Toc184808774"/>
      <w:bookmarkEnd w:id="554"/>
      <w:bookmarkStart w:id="555" w:name="_Toc183339234"/>
      <w:bookmarkEnd w:id="555"/>
      <w:bookmarkStart w:id="556" w:name="_Toc135709128"/>
      <w:bookmarkEnd w:id="556"/>
      <w:bookmarkStart w:id="557" w:name="_Toc198355332"/>
      <w:bookmarkEnd w:id="557"/>
      <w:bookmarkStart w:id="558" w:name="_Toc196018553"/>
      <w:bookmarkEnd w:id="558"/>
      <w:bookmarkStart w:id="559" w:name="_Toc262040288"/>
      <w:bookmarkEnd w:id="559"/>
      <w:bookmarkStart w:id="560" w:name="_Toc304964455"/>
      <w:bookmarkEnd w:id="560"/>
      <w:bookmarkStart w:id="561" w:name="_Toc304963612"/>
      <w:bookmarkEnd w:id="561"/>
      <w:bookmarkStart w:id="562" w:name="_Toc196018648"/>
      <w:bookmarkEnd w:id="562"/>
      <w:bookmarkStart w:id="563" w:name="_Toc415254556"/>
      <w:bookmarkStart w:id="564" w:name="_Toc387131770"/>
      <w:bookmarkStart w:id="565" w:name="_Toc387131513"/>
      <w:bookmarkStart w:id="566" w:name="_Toc387131439"/>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567" w:name="_Toc26559"/>
      <w:bookmarkStart w:id="568" w:name="_Toc24230"/>
      <w:r>
        <w:rPr>
          <w:rFonts w:hint="eastAsia" w:asciiTheme="minorEastAsia" w:hAnsiTheme="minorEastAsia" w:eastAsiaTheme="minorEastAsia"/>
          <w:b/>
          <w:color w:val="000000"/>
          <w:sz w:val="32"/>
        </w:rPr>
        <w:t>8保障措施</w:t>
      </w:r>
      <w:bookmarkEnd w:id="563"/>
      <w:bookmarkEnd w:id="564"/>
      <w:bookmarkEnd w:id="565"/>
      <w:bookmarkEnd w:id="566"/>
      <w:bookmarkEnd w:id="567"/>
      <w:bookmarkEnd w:id="568"/>
      <w:bookmarkStart w:id="569" w:name="_Toc135709129"/>
      <w:bookmarkStart w:id="570" w:name="_Toc183339235"/>
      <w:bookmarkStart w:id="571" w:name="_Toc183339511"/>
      <w:bookmarkStart w:id="572" w:name="_Toc262050879"/>
      <w:bookmarkStart w:id="573" w:name="_Toc184809562"/>
      <w:bookmarkStart w:id="574" w:name="_Toc262040289"/>
      <w:bookmarkStart w:id="575" w:name="_Toc229283983"/>
      <w:bookmarkStart w:id="576" w:name="_Toc184808775"/>
      <w:bookmarkStart w:id="577" w:name="_Toc262051553"/>
      <w:bookmarkStart w:id="578" w:name="_Toc196018649"/>
      <w:bookmarkStart w:id="579" w:name="_Toc415254557"/>
      <w:bookmarkStart w:id="580" w:name="_Toc336326863"/>
      <w:bookmarkStart w:id="581" w:name="_Toc336327141"/>
      <w:bookmarkStart w:id="582" w:name="_Toc304963613"/>
      <w:bookmarkStart w:id="583" w:name="_Toc196018554"/>
      <w:bookmarkStart w:id="584" w:name="_Toc196018445"/>
      <w:bookmarkStart w:id="585" w:name="_Toc185670995"/>
      <w:bookmarkStart w:id="586" w:name="_Toc198355333"/>
      <w:bookmarkStart w:id="587" w:name="_Toc197251353"/>
      <w:bookmarkStart w:id="588" w:name="_Toc198007348"/>
      <w:bookmarkStart w:id="589" w:name="_Toc304964456"/>
      <w:bookmarkStart w:id="590" w:name="_Toc262051132"/>
      <w:bookmarkStart w:id="591" w:name="_Toc387131771"/>
      <w:bookmarkStart w:id="592" w:name="_Toc304962969"/>
      <w:bookmarkStart w:id="593" w:name="_Toc304833246"/>
      <w:bookmarkStart w:id="594" w:name="_Toc387131514"/>
      <w:bookmarkStart w:id="595" w:name="_Toc6425"/>
      <w:bookmarkStart w:id="596" w:name="_Toc387131440"/>
    </w:p>
    <w:p>
      <w:pPr>
        <w:adjustRightInd w:val="0"/>
        <w:snapToGrid w:val="0"/>
        <w:spacing w:line="460" w:lineRule="exact"/>
        <w:outlineLvl w:val="1"/>
        <w:rPr>
          <w:rFonts w:hint="eastAsia"/>
          <w:b/>
          <w:color w:val="000000"/>
          <w:sz w:val="28"/>
          <w:szCs w:val="28"/>
          <w:lang w:val="zh-CN"/>
        </w:rPr>
      </w:pPr>
      <w:bookmarkStart w:id="597" w:name="_Toc1393"/>
      <w:r>
        <w:rPr>
          <w:rFonts w:hint="eastAsia"/>
          <w:b/>
          <w:color w:val="000000"/>
          <w:sz w:val="28"/>
          <w:szCs w:val="28"/>
          <w:lang w:val="zh-CN"/>
        </w:rPr>
        <w:t>8.1</w:t>
      </w:r>
      <w:bookmarkEnd w:id="569"/>
      <w:bookmarkEnd w:id="570"/>
      <w:bookmarkEnd w:id="571"/>
      <w:r>
        <w:rPr>
          <w:rFonts w:hint="eastAsia"/>
          <w:b/>
          <w:color w:val="000000"/>
          <w:sz w:val="28"/>
          <w:szCs w:val="28"/>
          <w:lang w:val="zh-CN"/>
        </w:rPr>
        <w:t>通信与信息保障</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 厂建立有有线电话、无线电话和对讲机等多渠道的应急通信系统，通讯方式包括厂区行政电话系统、生产调度电话系统、无线对讲机、火灾自动报警及消防联动系统等。</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 24小时应急值守电话是：</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白涛潘家坝污水处理</w:t>
      </w:r>
      <w:r>
        <w:rPr>
          <w:rFonts w:hint="eastAsia" w:asciiTheme="minorEastAsia" w:hAnsiTheme="minorEastAsia" w:eastAsiaTheme="minorEastAsia"/>
          <w:color w:val="000000"/>
          <w:sz w:val="24"/>
          <w:szCs w:val="24"/>
        </w:rPr>
        <w:t>厂应急值班电话：</w:t>
      </w:r>
      <w:r>
        <w:rPr>
          <w:rFonts w:hint="eastAsia" w:asciiTheme="minorEastAsia" w:hAnsiTheme="minorEastAsia" w:eastAsiaTheme="minorEastAsia"/>
          <w:b/>
          <w:bCs/>
          <w:color w:val="000000"/>
          <w:sz w:val="24"/>
          <w:szCs w:val="24"/>
        </w:rPr>
        <w:t>023-721311501</w:t>
      </w:r>
      <w:r>
        <w:rPr>
          <w:rFonts w:hint="eastAsia" w:asciiTheme="minorEastAsia" w:hAnsiTheme="minorEastAsia" w:eastAsiaTheme="minorEastAsia"/>
          <w:color w:val="000000"/>
          <w:sz w:val="24"/>
          <w:szCs w:val="24"/>
        </w:rPr>
        <w:t>) 应急指挥部向全公司发布救援信号，采用移动通讯的方式。公司已经根据应急需要补偿部分员工的通讯费用，并要求他们的手机24小时处于开机状态。</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应急救援通讯联络方式见附件。</w:t>
      </w:r>
      <w:bookmarkStart w:id="598" w:name="_Toc196018650"/>
      <w:bookmarkStart w:id="599" w:name="_Toc184809563"/>
      <w:bookmarkStart w:id="600" w:name="_Toc262050880"/>
      <w:bookmarkStart w:id="601" w:name="_Toc262051554"/>
      <w:bookmarkStart w:id="602" w:name="_Toc184808776"/>
      <w:bookmarkStart w:id="603" w:name="_Toc304833247"/>
      <w:bookmarkStart w:id="604" w:name="_Toc304962970"/>
      <w:bookmarkStart w:id="605" w:name="_Toc198355334"/>
      <w:bookmarkStart w:id="606" w:name="_Toc197251354"/>
      <w:bookmarkStart w:id="607" w:name="_Toc336327142"/>
      <w:bookmarkStart w:id="608" w:name="_Toc387131772"/>
      <w:bookmarkStart w:id="609" w:name="_Toc262040290"/>
      <w:bookmarkStart w:id="610" w:name="_Toc262051133"/>
      <w:bookmarkStart w:id="611" w:name="_Toc415254558"/>
      <w:bookmarkStart w:id="612" w:name="_Toc304963614"/>
      <w:bookmarkStart w:id="613" w:name="_Toc196018446"/>
      <w:bookmarkStart w:id="614" w:name="_Toc336326864"/>
      <w:bookmarkStart w:id="615" w:name="_Toc185670996"/>
      <w:bookmarkStart w:id="616" w:name="_Toc304964457"/>
      <w:bookmarkStart w:id="617" w:name="_Toc196018555"/>
      <w:bookmarkStart w:id="618" w:name="_Toc387131441"/>
      <w:bookmarkStart w:id="619" w:name="_Toc387131515"/>
      <w:bookmarkStart w:id="620" w:name="_Toc229283984"/>
      <w:bookmarkStart w:id="621" w:name="_Toc198007349"/>
      <w:bookmarkStart w:id="622" w:name="_Toc8907"/>
    </w:p>
    <w:p>
      <w:pPr>
        <w:adjustRightInd w:val="0"/>
        <w:snapToGrid w:val="0"/>
        <w:spacing w:line="460" w:lineRule="exact"/>
        <w:outlineLvl w:val="1"/>
        <w:rPr>
          <w:rFonts w:hint="eastAsia"/>
          <w:b/>
          <w:color w:val="000000"/>
          <w:sz w:val="28"/>
          <w:szCs w:val="28"/>
          <w:lang w:val="zh-CN"/>
        </w:rPr>
      </w:pPr>
      <w:bookmarkStart w:id="623" w:name="_Toc14217"/>
      <w:r>
        <w:rPr>
          <w:rFonts w:hint="eastAsia"/>
          <w:b/>
          <w:color w:val="000000"/>
          <w:sz w:val="28"/>
          <w:szCs w:val="28"/>
          <w:lang w:val="zh-CN"/>
        </w:rPr>
        <w:t>8.2应急队伍保障</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pPr>
        <w:adjustRightInd w:val="0"/>
        <w:snapToGrid w:val="0"/>
        <w:spacing w:line="360" w:lineRule="auto"/>
        <w:ind w:firstLine="486" w:firstLineChars="200"/>
        <w:jc w:val="left"/>
        <w:textAlignment w:val="center"/>
        <w:rPr>
          <w:rFonts w:hint="eastAsia" w:asciiTheme="minorEastAsia" w:hAnsiTheme="minorEastAsia" w:eastAsiaTheme="minorEastAsia"/>
          <w:sz w:val="24"/>
          <w:szCs w:val="24"/>
        </w:rPr>
      </w:pPr>
      <w:bookmarkStart w:id="624" w:name="_Toc184809564"/>
      <w:bookmarkStart w:id="625" w:name="_Toc196018651"/>
      <w:bookmarkStart w:id="626" w:name="_Toc197251355"/>
      <w:bookmarkStart w:id="627" w:name="_Toc179794569"/>
      <w:bookmarkStart w:id="628" w:name="_Toc229283985"/>
      <w:bookmarkStart w:id="629" w:name="_Toc262051555"/>
      <w:bookmarkStart w:id="630" w:name="_Toc185670997"/>
      <w:bookmarkStart w:id="631" w:name="_Toc262051134"/>
      <w:bookmarkStart w:id="632" w:name="_Toc196018447"/>
      <w:bookmarkStart w:id="633" w:name="_Toc196018556"/>
      <w:bookmarkStart w:id="634" w:name="_Toc262040291"/>
      <w:bookmarkStart w:id="635" w:name="_Toc262050881"/>
      <w:bookmarkStart w:id="636" w:name="_Toc198007350"/>
      <w:bookmarkStart w:id="637" w:name="_Toc184808777"/>
      <w:bookmarkStart w:id="638" w:name="_Toc198355335"/>
      <w:r>
        <w:rPr>
          <w:rFonts w:hint="eastAsia" w:asciiTheme="minorEastAsia" w:hAnsiTheme="minorEastAsia" w:eastAsiaTheme="minorEastAsia"/>
          <w:sz w:val="24"/>
          <w:szCs w:val="24"/>
        </w:rPr>
        <w:t>1) 厂组建应急救援抢险队伍，包括现场抢险救灾组、</w:t>
      </w:r>
      <w:r>
        <w:rPr>
          <w:rFonts w:hint="eastAsia" w:asciiTheme="minorEastAsia" w:hAnsiTheme="minorEastAsia" w:eastAsiaTheme="minorEastAsia"/>
          <w:sz w:val="24"/>
          <w:szCs w:val="24"/>
          <w:lang w:val="zh-CN"/>
        </w:rPr>
        <w:t>医疗救护组、警戒保卫组、环境监测组、综合协调组</w:t>
      </w:r>
      <w:r>
        <w:rPr>
          <w:rFonts w:hint="eastAsia" w:asciiTheme="minorEastAsia" w:hAnsiTheme="minorEastAsia" w:eastAsiaTheme="minorEastAsia"/>
          <w:sz w:val="24"/>
          <w:szCs w:val="24"/>
        </w:rPr>
        <w:t>等。公司不断加强对应急救援队伍的专业培训和应急演练，以提高本公司应急救援队伍的素质。</w:t>
      </w:r>
    </w:p>
    <w:p>
      <w:pPr>
        <w:adjustRightInd w:val="0"/>
        <w:snapToGrid w:val="0"/>
        <w:spacing w:line="360" w:lineRule="auto"/>
        <w:ind w:firstLine="486" w:firstLineChars="200"/>
        <w:jc w:val="left"/>
        <w:textAlignment w:val="cente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本厂位于涪陵化工园区白涛镇新立村二组，园区内有天源、建峰专业化工救援队伍和重庆市涪陵区武警白涛消防中队，其能力可满足公司应急需要，可以作为公司应急资源保障。公司应急救援队伍组成见附件。</w:t>
      </w:r>
      <w:bookmarkStart w:id="639" w:name="_Toc387131442"/>
      <w:bookmarkStart w:id="640" w:name="_Toc336327143"/>
      <w:bookmarkStart w:id="641" w:name="_Toc304964458"/>
      <w:bookmarkStart w:id="642" w:name="_Toc304833248"/>
      <w:bookmarkStart w:id="643" w:name="_Toc304963615"/>
      <w:bookmarkStart w:id="644" w:name="_Toc22113"/>
      <w:bookmarkStart w:id="645" w:name="_Toc415254559"/>
      <w:bookmarkStart w:id="646" w:name="_Toc304962971"/>
      <w:bookmarkStart w:id="647" w:name="_Toc387131516"/>
      <w:bookmarkStart w:id="648" w:name="_Toc387131773"/>
      <w:bookmarkStart w:id="649" w:name="_Toc336326865"/>
    </w:p>
    <w:p>
      <w:pPr>
        <w:adjustRightInd w:val="0"/>
        <w:snapToGrid w:val="0"/>
        <w:spacing w:line="460" w:lineRule="exact"/>
        <w:outlineLvl w:val="1"/>
        <w:rPr>
          <w:rFonts w:hint="eastAsia"/>
          <w:b/>
          <w:color w:val="000000"/>
          <w:sz w:val="28"/>
          <w:szCs w:val="28"/>
          <w:lang w:val="zh-CN"/>
        </w:rPr>
      </w:pPr>
      <w:bookmarkStart w:id="650" w:name="_Toc25611"/>
      <w:r>
        <w:rPr>
          <w:rFonts w:hint="eastAsia"/>
          <w:b/>
          <w:color w:val="000000"/>
          <w:sz w:val="28"/>
          <w:szCs w:val="28"/>
          <w:lang w:val="zh-CN"/>
        </w:rPr>
        <w:t>8.3物资装备保障</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 公司自备应急救援物资</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厂生产区、罐区设有完善的消防水灭火系统、有毒气体浓度检测报警系统等，以及交通运输车、各型灭火器、消火栓、空气呼吸器、全面罩防毒面具、防护服、护目镜、防护手套，以及应急照明设施等。详见附件。该物资由公司白涛厂负责管理，其联系方式是18983320191或023-72311501) 消防设施布置图、现场平面布置图、工艺流程图、周围地区图、气象资料存放在公司资料室由安全生产部保存管理，其联系方式：0232-</w:t>
      </w:r>
      <w:r>
        <w:rPr>
          <w:rFonts w:hint="eastAsia" w:cs="仿宋_GB2312" w:asciiTheme="minorEastAsia" w:hAnsiTheme="minorEastAsia" w:eastAsiaTheme="minorEastAsia"/>
          <w:sz w:val="24"/>
          <w:szCs w:val="24"/>
        </w:rPr>
        <w:t>72881721或18623512227</w:t>
      </w:r>
      <w:r>
        <w:rPr>
          <w:rFonts w:hint="eastAsia" w:asciiTheme="minorEastAsia" w:hAnsiTheme="minorEastAsia" w:eastAsiaTheme="minorEastAsia"/>
          <w:color w:val="000000"/>
          <w:sz w:val="24"/>
          <w:szCs w:val="24"/>
        </w:rPr>
        <w:t>。</w:t>
      </w:r>
      <w:bookmarkStart w:id="651" w:name="_Toc229283989"/>
      <w:bookmarkStart w:id="652" w:name="_Toc196018451"/>
      <w:bookmarkStart w:id="653" w:name="_Toc336326866"/>
      <w:bookmarkStart w:id="654" w:name="_Toc196018560"/>
      <w:bookmarkStart w:id="655" w:name="_Toc184808781"/>
      <w:bookmarkStart w:id="656" w:name="_Toc262040295"/>
      <w:bookmarkStart w:id="657" w:name="_Toc184809568"/>
      <w:bookmarkStart w:id="658" w:name="_Toc304833249"/>
      <w:bookmarkStart w:id="659" w:name="_Toc262050885"/>
      <w:bookmarkStart w:id="660" w:name="_Toc304962972"/>
      <w:bookmarkStart w:id="661" w:name="_Toc304964459"/>
      <w:bookmarkStart w:id="662" w:name="_Toc304963616"/>
      <w:bookmarkStart w:id="663" w:name="_Toc197251359"/>
      <w:bookmarkStart w:id="664" w:name="_Toc198355339"/>
      <w:bookmarkStart w:id="665" w:name="_Toc196018655"/>
      <w:bookmarkStart w:id="666" w:name="_Toc198007354"/>
      <w:bookmarkStart w:id="667" w:name="_Toc185671001"/>
      <w:bookmarkStart w:id="668" w:name="_Toc262051138"/>
      <w:bookmarkStart w:id="669" w:name="_Toc262051559"/>
      <w:bookmarkStart w:id="670" w:name="_Toc336327144"/>
      <w:bookmarkStart w:id="671" w:name="_Toc408274454"/>
      <w:bookmarkStart w:id="672" w:name="_Toc387131774"/>
      <w:bookmarkStart w:id="673" w:name="_Toc387131517"/>
      <w:bookmarkStart w:id="674" w:name="_Toc415254560"/>
      <w:bookmarkStart w:id="675" w:name="_Toc387131443"/>
      <w:bookmarkStart w:id="676" w:name="_Toc3023"/>
    </w:p>
    <w:p>
      <w:pPr>
        <w:adjustRightInd w:val="0"/>
        <w:snapToGrid w:val="0"/>
        <w:spacing w:line="460" w:lineRule="exact"/>
        <w:outlineLvl w:val="1"/>
        <w:rPr>
          <w:rFonts w:hint="eastAsia"/>
          <w:b/>
          <w:color w:val="000000"/>
          <w:sz w:val="28"/>
          <w:szCs w:val="28"/>
          <w:lang w:val="zh-CN"/>
        </w:rPr>
      </w:pPr>
      <w:bookmarkStart w:id="677" w:name="_Toc13211"/>
      <w:r>
        <w:rPr>
          <w:rFonts w:hint="eastAsia"/>
          <w:b/>
          <w:color w:val="000000"/>
          <w:sz w:val="28"/>
          <w:szCs w:val="28"/>
          <w:lang w:val="zh-CN"/>
        </w:rPr>
        <w:t>8.4</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Pr>
          <w:rFonts w:hint="eastAsia"/>
          <w:b/>
          <w:color w:val="000000"/>
          <w:sz w:val="28"/>
          <w:szCs w:val="28"/>
          <w:lang w:val="zh-CN"/>
        </w:rPr>
        <w:t>其他保障</w:t>
      </w:r>
      <w:bookmarkEnd w:id="671"/>
      <w:bookmarkEnd w:id="672"/>
      <w:bookmarkEnd w:id="673"/>
      <w:bookmarkEnd w:id="674"/>
      <w:bookmarkEnd w:id="675"/>
      <w:bookmarkEnd w:id="676"/>
      <w:bookmarkEnd w:id="677"/>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经费保障：公司安全生产部对应急工作的日常费用作出预算，经总经理审定后列入年度预算，由公司财务予以保证；应急资金由公司安全费用中列支。</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医疗保障：园区内有白涛卫生院可以作为公司医疗保障，此外，距离公司50min车程的涪陵中心医院等也可作为公司医疗保障。</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交通保障：办公室负责交通运输保障。应急状态时，保证车辆及驾驶人员及时将应急救援人员、装备和物资送达抢险现场。</w:t>
      </w:r>
    </w:p>
    <w:p>
      <w:pPr>
        <w:adjustRightInd w:val="0"/>
        <w:snapToGrid w:val="0"/>
        <w:spacing w:line="360" w:lineRule="auto"/>
        <w:ind w:firstLine="486"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技术保障：公司每年派出了特种作业和应该持证上岗的人员进行外出培训学习，保证知识的更新，同时聘请经验丰富的专家和学者来公司培训指导，公司对相关岗位紧急停车系统，进一步保证了安全生产。</w:t>
      </w:r>
      <w:bookmarkStart w:id="678" w:name="_Toc387131444"/>
      <w:bookmarkStart w:id="679" w:name="_Toc415254561"/>
      <w:bookmarkStart w:id="680" w:name="_Toc408274455"/>
      <w:bookmarkStart w:id="681" w:name="_Toc387131518"/>
      <w:bookmarkStart w:id="682" w:name="_Toc29797"/>
      <w:bookmarkStart w:id="683" w:name="_Toc387131775"/>
    </w:p>
    <w:p>
      <w:pPr>
        <w:adjustRightInd w:val="0"/>
        <w:snapToGrid w:val="0"/>
        <w:spacing w:line="360" w:lineRule="auto"/>
        <w:ind w:firstLine="486"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684" w:name="_Toc11608"/>
      <w:r>
        <w:rPr>
          <w:rFonts w:hint="eastAsia" w:asciiTheme="minorEastAsia" w:hAnsiTheme="minorEastAsia" w:eastAsiaTheme="minorEastAsia"/>
          <w:b/>
          <w:color w:val="000000"/>
          <w:sz w:val="32"/>
        </w:rPr>
        <w:t>9</w:t>
      </w:r>
      <w:r>
        <w:rPr>
          <w:rFonts w:asciiTheme="minorEastAsia" w:hAnsiTheme="minorEastAsia" w:eastAsiaTheme="minorEastAsia"/>
          <w:b/>
          <w:color w:val="000000"/>
          <w:sz w:val="32"/>
        </w:rPr>
        <w:t>奖励与责任追究</w:t>
      </w:r>
      <w:bookmarkEnd w:id="684"/>
      <w:bookmarkStart w:id="685" w:name="_Toc317862375"/>
    </w:p>
    <w:p>
      <w:pPr>
        <w:adjustRightInd w:val="0"/>
        <w:snapToGrid w:val="0"/>
        <w:spacing w:line="460" w:lineRule="exact"/>
        <w:outlineLvl w:val="1"/>
        <w:rPr>
          <w:rFonts w:hint="eastAsia"/>
          <w:b/>
          <w:color w:val="000000"/>
          <w:sz w:val="28"/>
          <w:szCs w:val="28"/>
          <w:lang w:val="zh-CN"/>
        </w:rPr>
      </w:pPr>
      <w:bookmarkStart w:id="686" w:name="_Toc458674315"/>
      <w:bookmarkStart w:id="687" w:name="_Toc483083931"/>
      <w:bookmarkStart w:id="688" w:name="_Toc4038"/>
      <w:r>
        <w:rPr>
          <w:rFonts w:hint="eastAsia"/>
          <w:b/>
          <w:color w:val="000000"/>
          <w:sz w:val="28"/>
          <w:szCs w:val="28"/>
          <w:lang w:val="zh-CN"/>
        </w:rPr>
        <w:t>9.1奖励</w:t>
      </w:r>
      <w:bookmarkEnd w:id="685"/>
      <w:bookmarkEnd w:id="686"/>
      <w:bookmarkEnd w:id="687"/>
      <w:bookmarkEnd w:id="688"/>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在突发环境事件中，有下列事件之一的单位和个人，依据有关规定给予奖励。</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（1）出色完成突发环境事件应急处置任务，成绩显著的；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（2）对防止或挽救突发环境事件有功，使国家、集体和人民群众的生命财产免受或者减少损失的；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（3）对事件应急准备与相应提出重大建议，实施效果显著的；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（4）有其他特殊贡献的。</w:t>
      </w:r>
    </w:p>
    <w:p>
      <w:pPr>
        <w:adjustRightInd w:val="0"/>
        <w:snapToGrid w:val="0"/>
        <w:spacing w:line="460" w:lineRule="exact"/>
        <w:outlineLvl w:val="1"/>
        <w:rPr>
          <w:rFonts w:hint="eastAsia"/>
          <w:b/>
          <w:color w:val="000000"/>
          <w:sz w:val="28"/>
          <w:szCs w:val="28"/>
          <w:lang w:val="zh-CN"/>
        </w:rPr>
      </w:pPr>
      <w:bookmarkStart w:id="689" w:name="_Toc483083932"/>
      <w:bookmarkStart w:id="690" w:name="_Toc458674316"/>
      <w:bookmarkStart w:id="691" w:name="_Toc317862376"/>
      <w:bookmarkStart w:id="692" w:name="_Toc7861"/>
      <w:r>
        <w:rPr>
          <w:rFonts w:hint="eastAsia"/>
          <w:b/>
          <w:color w:val="000000"/>
          <w:sz w:val="28"/>
          <w:szCs w:val="28"/>
          <w:lang w:val="zh-CN"/>
        </w:rPr>
        <w:t>9.2责任追究</w:t>
      </w:r>
      <w:bookmarkEnd w:id="689"/>
      <w:bookmarkEnd w:id="690"/>
      <w:bookmarkEnd w:id="691"/>
      <w:bookmarkEnd w:id="692"/>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在突发环境事件应急工作中，有下列事迹之一的，按照有关法律和规定，对有关责任人员视情节和危害后果，由其所在单位或者上级机关给予行政处分；其中，国家公务员和国家行政机关任命的其他人员，分别由任免机关或者监察机关给予行政处分；构成犯罪的，由司法机关依法追究刑事责任。</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（1）不认真履行环保法律、法规而引发环境事件的；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（2）不按照规定制定突发环境事件应急预案，拒绝承担突发环境事件应急准备义务的；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（3）不按照规定报告、通报突发事件真实情况的；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（4）拒不执行突发环境事件应急预案，不服从命令和指挥，或者在事件应急相应时临阵脱逃的；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（5）盗窃、贪污、挪用环境事件应急工作资金、装备和物资的；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（6）阻碍环境事件应急工作人员依法执行职务或者进行破坏活动的；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（7）散步谣言，扰乱社会秩序的；</w:t>
      </w:r>
    </w:p>
    <w:p>
      <w:pPr>
        <w:adjustRightInd w:val="0"/>
        <w:snapToGrid w:val="0"/>
        <w:spacing w:line="460" w:lineRule="exact"/>
        <w:ind w:firstLine="486" w:firstLineChars="200"/>
        <w:rPr>
          <w:rFonts w:asciiTheme="minorEastAsia" w:hAnsiTheme="minorEastAsia" w:eastAsiaTheme="minorEastAsia"/>
          <w:b/>
          <w:color w:val="000000"/>
          <w:sz w:val="32"/>
        </w:rPr>
      </w:pPr>
      <w:r>
        <w:rPr>
          <w:rFonts w:asciiTheme="minorEastAsia" w:hAnsiTheme="minorEastAsia" w:eastAsiaTheme="minorEastAsia"/>
          <w:sz w:val="24"/>
          <w:szCs w:val="24"/>
          <w:lang w:val="zh-CN"/>
        </w:rPr>
        <w:t>（8）有其他环境事件应急工作造成损害的。</w:t>
      </w: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693" w:name="_Toc8109"/>
      <w:r>
        <w:rPr>
          <w:rFonts w:hint="eastAsia" w:asciiTheme="minorEastAsia" w:hAnsiTheme="minorEastAsia" w:eastAsiaTheme="minorEastAsia"/>
          <w:b/>
          <w:color w:val="000000"/>
          <w:sz w:val="32"/>
        </w:rPr>
        <w:t>10应急预案管理</w:t>
      </w:r>
      <w:bookmarkEnd w:id="678"/>
      <w:bookmarkEnd w:id="679"/>
      <w:bookmarkEnd w:id="680"/>
      <w:bookmarkEnd w:id="681"/>
      <w:bookmarkEnd w:id="682"/>
      <w:bookmarkEnd w:id="683"/>
      <w:bookmarkEnd w:id="693"/>
      <w:bookmarkStart w:id="694" w:name="_Toc196018658"/>
      <w:bookmarkStart w:id="695" w:name="_Toc304963619"/>
      <w:bookmarkStart w:id="696" w:name="_Toc262051562"/>
      <w:bookmarkStart w:id="697" w:name="_Toc185671004"/>
      <w:bookmarkStart w:id="698" w:name="_Toc198007357"/>
      <w:bookmarkStart w:id="699" w:name="_Toc262051141"/>
      <w:bookmarkStart w:id="700" w:name="_Toc196018563"/>
      <w:bookmarkStart w:id="701" w:name="_Toc183339514"/>
      <w:bookmarkStart w:id="702" w:name="_Toc262050888"/>
      <w:bookmarkStart w:id="703" w:name="_Toc135709136"/>
      <w:bookmarkStart w:id="704" w:name="_Toc304833252"/>
      <w:bookmarkStart w:id="705" w:name="_Toc183339238"/>
      <w:bookmarkStart w:id="706" w:name="_Toc304962975"/>
      <w:bookmarkStart w:id="707" w:name="_Toc184808784"/>
      <w:bookmarkStart w:id="708" w:name="_Toc408274456"/>
      <w:bookmarkStart w:id="709" w:name="_Toc262040298"/>
      <w:bookmarkStart w:id="710" w:name="_Toc387131445"/>
      <w:bookmarkStart w:id="711" w:name="_Toc415254562"/>
      <w:bookmarkStart w:id="712" w:name="_Toc336327147"/>
      <w:bookmarkStart w:id="713" w:name="_Toc184809571"/>
      <w:bookmarkStart w:id="714" w:name="_Toc29617"/>
      <w:bookmarkStart w:id="715" w:name="_Toc196018454"/>
      <w:bookmarkStart w:id="716" w:name="_Toc229283992"/>
      <w:bookmarkStart w:id="717" w:name="_Toc336326869"/>
      <w:bookmarkStart w:id="718" w:name="_Toc198355342"/>
      <w:bookmarkStart w:id="719" w:name="_Toc304964462"/>
      <w:bookmarkStart w:id="720" w:name="_Toc387131776"/>
      <w:bookmarkStart w:id="721" w:name="_Toc197251362"/>
      <w:bookmarkStart w:id="722" w:name="_Toc387131519"/>
    </w:p>
    <w:p>
      <w:pPr>
        <w:adjustRightInd w:val="0"/>
        <w:snapToGrid w:val="0"/>
        <w:spacing w:line="460" w:lineRule="exact"/>
        <w:outlineLvl w:val="1"/>
        <w:rPr>
          <w:rFonts w:hint="eastAsia"/>
          <w:b/>
          <w:color w:val="000000"/>
          <w:sz w:val="28"/>
          <w:szCs w:val="28"/>
          <w:lang w:val="zh-CN"/>
        </w:rPr>
      </w:pPr>
      <w:bookmarkStart w:id="723" w:name="_Toc25131"/>
      <w:r>
        <w:rPr>
          <w:rFonts w:hint="eastAsia"/>
          <w:b/>
          <w:color w:val="000000"/>
          <w:sz w:val="28"/>
          <w:szCs w:val="28"/>
          <w:lang w:val="zh-CN"/>
        </w:rPr>
        <w:t>10.1应急预案培训</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综合部会同相关部门，通过各种宣传手段，对公司员工和企业周边公众广泛宣传事故的危险危害及应急常识。</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公司安全生产部每年至少组织一次公司级综合性应急知识培训；生产部、各部门定期对各部门所属员工进行应急培训；各班组每月组织班员进行针对性的现场处置知识培训。</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对本厂员工加强应对突发事故的能力培训，具体内容包括： </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1）培训员工熟悉并掌握用身边的工具，以最快最有效地报警或发出事故警报；</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2）培训员工突发事故时怎样用现有条件进行自我保护，并相互实施救助；</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3）为避免员工事故突发时因惊慌失措而发生不必要的伤亡，培训员工怎么有序地按事先规定的路线疏散。对人员疏散的培训主要在应急演练中进行；</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4）培训员工熟悉消防等应急救援器具的使用，掌握事故初发时应急处置基本技术，使其在事故发生时不会手足无措，为控制事态赢得时机。</w:t>
      </w:r>
      <w:bookmarkStart w:id="724" w:name="_Toc304833253"/>
      <w:bookmarkStart w:id="725" w:name="_Toc184808785"/>
      <w:bookmarkStart w:id="726" w:name="_Toc304962976"/>
      <w:bookmarkStart w:id="727" w:name="_Toc262051563"/>
      <w:bookmarkStart w:id="728" w:name="_Toc304963620"/>
      <w:bookmarkStart w:id="729" w:name="_Toc185671005"/>
      <w:bookmarkStart w:id="730" w:name="_Toc408274457"/>
      <w:bookmarkStart w:id="731" w:name="_Toc415254563"/>
      <w:bookmarkStart w:id="732" w:name="_Toc262040299"/>
      <w:bookmarkStart w:id="733" w:name="_Toc183339239"/>
      <w:bookmarkStart w:id="734" w:name="_Toc229283993"/>
      <w:bookmarkStart w:id="735" w:name="_Toc196018455"/>
      <w:bookmarkStart w:id="736" w:name="_Toc198007358"/>
      <w:bookmarkStart w:id="737" w:name="_Toc262050889"/>
      <w:bookmarkStart w:id="738" w:name="_Toc183339515"/>
      <w:bookmarkStart w:id="739" w:name="_Toc197251363"/>
      <w:bookmarkStart w:id="740" w:name="_Toc184809572"/>
      <w:bookmarkStart w:id="741" w:name="_Toc198355343"/>
      <w:bookmarkStart w:id="742" w:name="_Toc336327148"/>
      <w:bookmarkStart w:id="743" w:name="_Toc262051142"/>
      <w:bookmarkStart w:id="744" w:name="_Toc3991"/>
      <w:bookmarkStart w:id="745" w:name="_Toc387131777"/>
      <w:bookmarkStart w:id="746" w:name="_Toc387131446"/>
      <w:bookmarkStart w:id="747" w:name="_Toc196018564"/>
      <w:bookmarkStart w:id="748" w:name="_Toc387131520"/>
      <w:bookmarkStart w:id="749" w:name="_Toc135709137"/>
      <w:bookmarkStart w:id="750" w:name="_Toc336326870"/>
      <w:bookmarkStart w:id="751" w:name="_Toc304964463"/>
      <w:bookmarkStart w:id="752" w:name="_Toc196018659"/>
    </w:p>
    <w:p>
      <w:pPr>
        <w:adjustRightInd w:val="0"/>
        <w:snapToGrid w:val="0"/>
        <w:spacing w:line="460" w:lineRule="exact"/>
        <w:outlineLvl w:val="1"/>
        <w:rPr>
          <w:rFonts w:hint="eastAsia"/>
          <w:b/>
          <w:color w:val="000000"/>
          <w:sz w:val="28"/>
          <w:szCs w:val="28"/>
          <w:lang w:val="zh-CN"/>
        </w:rPr>
      </w:pPr>
      <w:bookmarkStart w:id="753" w:name="_Toc7795"/>
      <w:r>
        <w:rPr>
          <w:rFonts w:hint="eastAsia"/>
          <w:b/>
          <w:color w:val="000000"/>
          <w:sz w:val="28"/>
          <w:szCs w:val="28"/>
          <w:lang w:val="zh-CN"/>
        </w:rPr>
        <w:t>10.2应急预案演练</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pPr>
        <w:spacing w:line="360" w:lineRule="auto"/>
        <w:jc w:val="left"/>
        <w:outlineLvl w:val="2"/>
        <w:rPr>
          <w:rStyle w:val="45"/>
          <w:rFonts w:asciiTheme="minorEastAsia" w:hAnsiTheme="minorEastAsia" w:eastAsiaTheme="minorEastAsia"/>
          <w:bCs/>
          <w:color w:val="000000"/>
          <w:sz w:val="28"/>
          <w:szCs w:val="28"/>
        </w:rPr>
      </w:pPr>
      <w:bookmarkStart w:id="754" w:name="_Toc272328359"/>
      <w:bookmarkStart w:id="755" w:name="_Toc262051564"/>
      <w:bookmarkStart w:id="756" w:name="_Toc262040300"/>
      <w:bookmarkStart w:id="757" w:name="_Toc262051143"/>
      <w:bookmarkStart w:id="758" w:name="_Toc262050890"/>
      <w:r>
        <w:rPr>
          <w:rStyle w:val="45"/>
          <w:rFonts w:hint="eastAsia" w:asciiTheme="minorEastAsia" w:hAnsiTheme="minorEastAsia" w:eastAsiaTheme="minorEastAsia"/>
          <w:bCs/>
          <w:color w:val="000000"/>
          <w:sz w:val="28"/>
          <w:szCs w:val="28"/>
        </w:rPr>
        <w:t>10.2.1演练频次</w:t>
      </w:r>
      <w:bookmarkEnd w:id="754"/>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综合应急预案和专项应急预案的演练由公司分管副总经理组织，每年至少进行一次。现场处置方案由生产部每半年度演练1次。</w:t>
      </w:r>
    </w:p>
    <w:p>
      <w:pPr>
        <w:spacing w:line="360" w:lineRule="auto"/>
        <w:jc w:val="left"/>
        <w:outlineLvl w:val="2"/>
        <w:rPr>
          <w:rStyle w:val="45"/>
          <w:rFonts w:asciiTheme="minorEastAsia" w:hAnsiTheme="minorEastAsia" w:eastAsiaTheme="minorEastAsia"/>
          <w:bCs/>
          <w:color w:val="000000"/>
          <w:sz w:val="28"/>
          <w:szCs w:val="28"/>
        </w:rPr>
      </w:pPr>
      <w:bookmarkStart w:id="759" w:name="_Toc272328360"/>
      <w:r>
        <w:rPr>
          <w:rStyle w:val="45"/>
          <w:rFonts w:hint="eastAsia" w:asciiTheme="minorEastAsia" w:hAnsiTheme="minorEastAsia" w:eastAsiaTheme="minorEastAsia"/>
          <w:bCs/>
          <w:color w:val="000000"/>
          <w:sz w:val="28"/>
          <w:szCs w:val="28"/>
        </w:rPr>
        <w:t>10.2.2演练要求</w:t>
      </w:r>
      <w:bookmarkEnd w:id="759"/>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每次演练应明确目的、内容；组织人员对演练进行评价，发现问题提出相应的解决措施；安排人员做好演练文字记录、图片音像资料；及时对预案进行修订完善。</w:t>
      </w:r>
    </w:p>
    <w:p>
      <w:pPr>
        <w:spacing w:line="360" w:lineRule="auto"/>
        <w:jc w:val="left"/>
        <w:outlineLvl w:val="2"/>
        <w:rPr>
          <w:rStyle w:val="45"/>
          <w:rFonts w:asciiTheme="minorEastAsia" w:hAnsiTheme="minorEastAsia" w:eastAsiaTheme="minorEastAsia"/>
          <w:bCs/>
          <w:color w:val="000000"/>
          <w:sz w:val="28"/>
          <w:szCs w:val="28"/>
        </w:rPr>
      </w:pPr>
      <w:bookmarkStart w:id="760" w:name="_Toc272328361"/>
      <w:r>
        <w:rPr>
          <w:rStyle w:val="45"/>
          <w:rFonts w:hint="eastAsia" w:asciiTheme="minorEastAsia" w:hAnsiTheme="minorEastAsia" w:eastAsiaTheme="minorEastAsia"/>
          <w:bCs/>
          <w:color w:val="000000"/>
          <w:sz w:val="28"/>
          <w:szCs w:val="28"/>
        </w:rPr>
        <w:t>10.2.3演练内容</w:t>
      </w:r>
      <w:bookmarkEnd w:id="760"/>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 通信联络、报警、信息报告程序演练。</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 疏散、人员集中清点、应急器材、物资到位演练。</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 各救援小组迅速就位演练、应急处置演练。</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 各单位间相互配合协调应急演练等。</w:t>
      </w:r>
      <w:bookmarkStart w:id="761" w:name="_Toc304962983"/>
      <w:bookmarkStart w:id="762" w:name="_Toc304964470"/>
      <w:bookmarkStart w:id="763" w:name="_Toc262051570"/>
      <w:bookmarkStart w:id="764" w:name="_Toc262051149"/>
      <w:bookmarkStart w:id="765" w:name="_Toc336326877"/>
      <w:bookmarkStart w:id="766" w:name="_Toc304963627"/>
      <w:bookmarkStart w:id="767" w:name="_Toc304833260"/>
      <w:bookmarkStart w:id="768" w:name="_Toc336327155"/>
      <w:bookmarkStart w:id="769" w:name="_Toc262050894"/>
      <w:bookmarkStart w:id="770" w:name="_Toc415254564"/>
      <w:bookmarkStart w:id="771" w:name="_Toc24500"/>
      <w:bookmarkStart w:id="772" w:name="_Toc387131447"/>
      <w:bookmarkStart w:id="773" w:name="_Toc408274458"/>
      <w:bookmarkStart w:id="774" w:name="_Toc387131521"/>
      <w:bookmarkStart w:id="775" w:name="_Toc387131778"/>
    </w:p>
    <w:p>
      <w:pPr>
        <w:adjustRightInd w:val="0"/>
        <w:snapToGrid w:val="0"/>
        <w:spacing w:line="460" w:lineRule="exact"/>
        <w:outlineLvl w:val="1"/>
        <w:rPr>
          <w:rFonts w:hint="eastAsia"/>
          <w:b/>
          <w:color w:val="000000"/>
          <w:sz w:val="28"/>
          <w:szCs w:val="28"/>
          <w:lang w:val="zh-CN"/>
        </w:rPr>
      </w:pPr>
      <w:bookmarkStart w:id="776" w:name="_Toc8834"/>
      <w:r>
        <w:rPr>
          <w:rFonts w:hint="eastAsia"/>
          <w:b/>
          <w:color w:val="000000"/>
          <w:sz w:val="28"/>
          <w:szCs w:val="28"/>
          <w:lang w:val="zh-CN"/>
        </w:rPr>
        <w:t>10.3</w:t>
      </w:r>
      <w:bookmarkEnd w:id="761"/>
      <w:bookmarkEnd w:id="762"/>
      <w:bookmarkEnd w:id="763"/>
      <w:bookmarkEnd w:id="764"/>
      <w:bookmarkEnd w:id="765"/>
      <w:bookmarkEnd w:id="766"/>
      <w:bookmarkEnd w:id="767"/>
      <w:bookmarkEnd w:id="768"/>
      <w:bookmarkEnd w:id="769"/>
      <w:r>
        <w:rPr>
          <w:rFonts w:hint="eastAsia"/>
          <w:b/>
          <w:color w:val="000000"/>
          <w:sz w:val="28"/>
          <w:szCs w:val="28"/>
          <w:lang w:val="zh-CN"/>
        </w:rPr>
        <w:t>应急预案修订</w:t>
      </w:r>
      <w:bookmarkEnd w:id="770"/>
      <w:bookmarkEnd w:id="771"/>
      <w:bookmarkEnd w:id="772"/>
      <w:bookmarkEnd w:id="773"/>
      <w:bookmarkEnd w:id="774"/>
      <w:bookmarkEnd w:id="775"/>
      <w:bookmarkEnd w:id="776"/>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 安全生产部每3年至少组织一次公司生产安全事故应急预案的修订，同时负责本预案的管理。</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2）因以下原因出现不符合项，应及时对预案进行修订、更新：</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（1）新法律法规、标准的颁布实施、相关法律法规、标准的修订；</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（2）机构重大调整、工艺改革、关键设备更换或应急资源发生变化；</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（3）预案演练或潜在事件和突发事故应急处置中发现不符合项；</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（4）其他原因。</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3）为确保预案的科学性、合理性和可操作性，在预案修订小组内部评审后，报上级应急预案管理(备案)部门组织专家评审，实现可持续改进。</w:t>
      </w:r>
      <w:bookmarkStart w:id="777" w:name="_Toc304963626"/>
      <w:bookmarkStart w:id="778" w:name="_Toc28765"/>
      <w:bookmarkStart w:id="779" w:name="_Toc336327154"/>
      <w:bookmarkStart w:id="780" w:name="_Toc304833259"/>
      <w:bookmarkStart w:id="781" w:name="_Toc387131448"/>
      <w:bookmarkStart w:id="782" w:name="_Toc336326876"/>
      <w:bookmarkStart w:id="783" w:name="_Toc304964469"/>
      <w:bookmarkStart w:id="784" w:name="_Toc387131779"/>
      <w:bookmarkStart w:id="785" w:name="_Toc304962982"/>
      <w:bookmarkStart w:id="786" w:name="_Toc415254565"/>
      <w:bookmarkStart w:id="787" w:name="_Toc408274459"/>
      <w:bookmarkStart w:id="788" w:name="_Toc387131522"/>
    </w:p>
    <w:p>
      <w:pPr>
        <w:adjustRightInd w:val="0"/>
        <w:snapToGrid w:val="0"/>
        <w:spacing w:line="460" w:lineRule="exact"/>
        <w:outlineLvl w:val="1"/>
        <w:rPr>
          <w:rFonts w:hint="eastAsia"/>
          <w:b/>
          <w:color w:val="000000"/>
          <w:sz w:val="28"/>
          <w:szCs w:val="28"/>
          <w:lang w:val="zh-CN"/>
        </w:rPr>
      </w:pPr>
      <w:bookmarkStart w:id="789" w:name="_Toc24337"/>
      <w:r>
        <w:rPr>
          <w:rFonts w:hint="eastAsia"/>
          <w:b/>
          <w:color w:val="000000"/>
          <w:sz w:val="28"/>
          <w:szCs w:val="28"/>
          <w:lang w:val="zh-CN"/>
        </w:rPr>
        <w:t>10.4应急预案备案</w:t>
      </w:r>
      <w:bookmarkEnd w:id="777"/>
      <w:bookmarkEnd w:id="778"/>
      <w:bookmarkEnd w:id="779"/>
      <w:bookmarkEnd w:id="780"/>
      <w:bookmarkEnd w:id="781"/>
      <w:bookmarkEnd w:id="782"/>
      <w:bookmarkEnd w:id="783"/>
      <w:bookmarkEnd w:id="784"/>
      <w:bookmarkEnd w:id="785"/>
      <w:bookmarkEnd w:id="786"/>
      <w:bookmarkEnd w:id="787"/>
      <w:bookmarkEnd w:id="788"/>
      <w:bookmarkEnd w:id="789"/>
      <w:bookmarkStart w:id="790" w:name="_Toc304963628"/>
      <w:bookmarkStart w:id="791" w:name="_Toc304833261"/>
      <w:bookmarkStart w:id="792" w:name="_Toc336326878"/>
      <w:bookmarkStart w:id="793" w:name="_Toc262051150"/>
      <w:bookmarkStart w:id="794" w:name="_Toc336327156"/>
      <w:bookmarkStart w:id="795" w:name="_Toc262050895"/>
      <w:bookmarkStart w:id="796" w:name="_Toc262051571"/>
      <w:bookmarkStart w:id="797" w:name="_Toc304962984"/>
      <w:bookmarkStart w:id="798" w:name="_Toc304964471"/>
      <w:bookmarkStart w:id="799" w:name="_Toc387131523"/>
      <w:bookmarkStart w:id="800" w:name="_Toc387131780"/>
      <w:bookmarkStart w:id="801" w:name="_Toc408274460"/>
      <w:bookmarkStart w:id="802" w:name="_Toc415254566"/>
      <w:bookmarkStart w:id="803" w:name="_Toc387131449"/>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按照“分类管理、分级负责”及属地管理的原则，报涪陵区环保局及涪陵区安全生产监督管理局备案。</w:t>
      </w:r>
      <w:bookmarkStart w:id="804" w:name="_Toc13844"/>
    </w:p>
    <w:p>
      <w:pPr>
        <w:adjustRightInd w:val="0"/>
        <w:snapToGrid w:val="0"/>
        <w:spacing w:line="460" w:lineRule="exact"/>
        <w:outlineLvl w:val="1"/>
        <w:rPr>
          <w:rFonts w:hint="eastAsia"/>
          <w:b/>
          <w:color w:val="000000"/>
          <w:sz w:val="28"/>
          <w:szCs w:val="28"/>
          <w:lang w:val="zh-CN"/>
        </w:rPr>
      </w:pPr>
      <w:bookmarkStart w:id="805" w:name="_Toc13533"/>
      <w:r>
        <w:rPr>
          <w:rFonts w:hint="eastAsia"/>
          <w:b/>
          <w:color w:val="000000"/>
          <w:sz w:val="28"/>
          <w:szCs w:val="28"/>
          <w:lang w:val="zh-CN"/>
        </w:rPr>
        <w:t>10.5</w:t>
      </w:r>
      <w:bookmarkEnd w:id="790"/>
      <w:bookmarkEnd w:id="791"/>
      <w:bookmarkEnd w:id="792"/>
      <w:bookmarkEnd w:id="793"/>
      <w:bookmarkEnd w:id="794"/>
      <w:bookmarkEnd w:id="795"/>
      <w:bookmarkEnd w:id="796"/>
      <w:bookmarkEnd w:id="797"/>
      <w:bookmarkEnd w:id="798"/>
      <w:r>
        <w:rPr>
          <w:rFonts w:hint="eastAsia"/>
          <w:b/>
          <w:color w:val="000000"/>
          <w:sz w:val="28"/>
          <w:szCs w:val="28"/>
          <w:lang w:val="zh-CN"/>
        </w:rPr>
        <w:t>应急预案实施</w:t>
      </w:r>
      <w:bookmarkEnd w:id="799"/>
      <w:bookmarkEnd w:id="800"/>
      <w:bookmarkEnd w:id="801"/>
      <w:bookmarkEnd w:id="802"/>
      <w:bookmarkEnd w:id="803"/>
      <w:bookmarkEnd w:id="804"/>
      <w:bookmarkEnd w:id="805"/>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bookmarkStart w:id="806" w:name="_Toc262050896"/>
      <w:bookmarkStart w:id="807" w:name="_Toc262051151"/>
      <w:bookmarkStart w:id="808" w:name="_Toc262051572"/>
      <w:r>
        <w:rPr>
          <w:rFonts w:hint="eastAsia" w:asciiTheme="minorEastAsia" w:hAnsiTheme="minorEastAsia" w:eastAsiaTheme="minorEastAsia"/>
          <w:color w:val="000000"/>
          <w:sz w:val="24"/>
          <w:szCs w:val="24"/>
        </w:rPr>
        <w:t>本预案由公司安全生产部组织制定并负责解释。</w:t>
      </w:r>
    </w:p>
    <w:p>
      <w:pPr>
        <w:adjustRightInd w:val="0"/>
        <w:snapToGrid w:val="0"/>
        <w:spacing w:line="360" w:lineRule="auto"/>
        <w:ind w:firstLine="486" w:firstLineChars="200"/>
        <w:jc w:val="center"/>
        <w:textAlignment w:val="center"/>
        <w:rPr>
          <w:rFonts w:asciiTheme="minorEastAsia" w:hAnsiTheme="minorEastAsia" w:eastAsiaTheme="minorEastAsia"/>
          <w:b/>
          <w:color w:val="000000"/>
          <w:sz w:val="32"/>
        </w:rPr>
      </w:pPr>
      <w:r>
        <w:rPr>
          <w:rFonts w:hint="eastAsia" w:asciiTheme="minorEastAsia" w:hAnsiTheme="minorEastAsia" w:eastAsiaTheme="minorEastAsia"/>
          <w:color w:val="000000"/>
          <w:sz w:val="24"/>
          <w:szCs w:val="24"/>
        </w:rPr>
        <w:t>本预案自发布之日起实施。</w:t>
      </w:r>
      <w:bookmarkEnd w:id="755"/>
      <w:bookmarkEnd w:id="756"/>
      <w:bookmarkEnd w:id="757"/>
      <w:bookmarkEnd w:id="758"/>
      <w:bookmarkEnd w:id="806"/>
      <w:bookmarkEnd w:id="807"/>
      <w:bookmarkEnd w:id="808"/>
      <w:bookmarkStart w:id="809" w:name="_Toc336326880"/>
      <w:bookmarkStart w:id="810" w:name="_Toc304962986"/>
      <w:bookmarkStart w:id="811" w:name="_Toc304963630"/>
      <w:bookmarkStart w:id="812" w:name="_Toc304833263"/>
      <w:bookmarkStart w:id="813" w:name="_Toc336327158"/>
      <w:bookmarkStart w:id="814" w:name="_Toc262040312"/>
      <w:bookmarkStart w:id="815" w:name="_Toc387131524"/>
      <w:bookmarkStart w:id="816" w:name="_Toc262051165"/>
      <w:bookmarkStart w:id="817" w:name="_Toc408274461"/>
      <w:bookmarkStart w:id="818" w:name="_Toc387131781"/>
      <w:bookmarkStart w:id="819" w:name="_Toc304964473"/>
      <w:bookmarkStart w:id="820" w:name="_Toc387131450"/>
      <w:bookmarkStart w:id="821" w:name="_Toc198355354"/>
      <w:bookmarkStart w:id="822" w:name="_Toc262051586"/>
      <w:bookmarkStart w:id="823" w:name="_Toc262050910"/>
      <w:bookmarkStart w:id="824" w:name="_Toc229284005"/>
      <w:r>
        <w:rPr>
          <w:rFonts w:hint="eastAsia" w:asciiTheme="minorEastAsia" w:hAnsiTheme="minorEastAsia" w:eastAsiaTheme="minorEastAsia"/>
          <w:b/>
          <w:color w:val="000000"/>
          <w:sz w:val="28"/>
          <w:szCs w:val="28"/>
        </w:rPr>
        <w:br w:type="page"/>
      </w:r>
      <w:bookmarkStart w:id="825" w:name="_Toc19910"/>
      <w:bookmarkStart w:id="826" w:name="_Toc415254567"/>
      <w:r>
        <w:rPr>
          <w:rFonts w:hint="eastAsia" w:asciiTheme="minorEastAsia" w:hAnsiTheme="minorEastAsia" w:eastAsiaTheme="minorEastAsia"/>
          <w:b/>
          <w:color w:val="000000"/>
          <w:sz w:val="32"/>
        </w:rPr>
        <w:t>11附件</w:t>
      </w:r>
      <w:bookmarkEnd w:id="825"/>
      <w:bookmarkEnd w:id="826"/>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附件1 </w:t>
      </w:r>
      <w:bookmarkStart w:id="827" w:name="_Toc403509937"/>
      <w:r>
        <w:rPr>
          <w:rFonts w:hint="eastAsia" w:asciiTheme="minorEastAsia" w:hAnsiTheme="minorEastAsia" w:eastAsiaTheme="minorEastAsia"/>
          <w:color w:val="000000"/>
          <w:sz w:val="24"/>
          <w:szCs w:val="24"/>
        </w:rPr>
        <w:t>专项应急预案</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附件2 </w:t>
      </w:r>
      <w:bookmarkEnd w:id="827"/>
      <w:r>
        <w:rPr>
          <w:rFonts w:hint="eastAsia" w:asciiTheme="minorEastAsia" w:hAnsiTheme="minorEastAsia" w:eastAsiaTheme="minorEastAsia"/>
          <w:color w:val="000000"/>
          <w:sz w:val="24"/>
          <w:szCs w:val="24"/>
        </w:rPr>
        <w:t>外部救援联系电话</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附件3 内部救援人员的联系方式</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bookmarkStart w:id="828" w:name="_Toc403509938"/>
      <w:r>
        <w:rPr>
          <w:rFonts w:hint="eastAsia" w:asciiTheme="minorEastAsia" w:hAnsiTheme="minorEastAsia" w:eastAsiaTheme="minorEastAsia"/>
          <w:color w:val="000000"/>
          <w:sz w:val="24"/>
          <w:szCs w:val="24"/>
        </w:rPr>
        <w:t>附件4 应急物资装备清单</w:t>
      </w:r>
      <w:bookmarkEnd w:id="828"/>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附件5 关键的路线、标识和图纸</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bookmarkStart w:id="829" w:name="_Toc403509942"/>
      <w:r>
        <w:rPr>
          <w:rFonts w:hint="eastAsia" w:asciiTheme="minorEastAsia" w:hAnsiTheme="minorEastAsia" w:eastAsiaTheme="minorEastAsia"/>
          <w:color w:val="000000"/>
          <w:sz w:val="24"/>
          <w:szCs w:val="24"/>
        </w:rPr>
        <w:t>附件6 相关应急预案目录</w:t>
      </w:r>
      <w:bookmarkEnd w:id="829"/>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附件7 应急疏散路径图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附件8 雨污管网布置图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附件9 厂区平面布置图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附件10 项目地理位置图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附件11 环境敏感点分布图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pStyle w:val="86"/>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86"/>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Pr>
        <w:pStyle w:val="86"/>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86"/>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tabs>
          <w:tab w:val="left" w:pos="4620"/>
        </w:tabs>
        <w:rPr>
          <w:rFonts w:asciiTheme="minorEastAsia" w:hAnsiTheme="minorEastAsia" w:eastAsiaTheme="minorEastAsia"/>
          <w:szCs w:val="21"/>
        </w:rPr>
      </w:pPr>
    </w:p>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突发事件报告单</w:t>
      </w:r>
    </w:p>
    <w:p>
      <w:pPr>
        <w:pStyle w:val="89"/>
        <w:ind w:firstLine="486"/>
        <w:jc w:val="center"/>
      </w:pPr>
      <w:r>
        <w:t>突发事件报告单</w:t>
      </w:r>
    </w:p>
    <w:tbl>
      <w:tblPr>
        <w:tblStyle w:val="33"/>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343"/>
        <w:gridCol w:w="1351"/>
        <w:gridCol w:w="154"/>
        <w:gridCol w:w="714"/>
        <w:gridCol w:w="202"/>
        <w:gridCol w:w="1227"/>
        <w:gridCol w:w="1114"/>
        <w:gridCol w:w="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报告单位</w:t>
            </w:r>
          </w:p>
        </w:tc>
        <w:tc>
          <w:tcPr>
            <w:tcW w:w="3764" w:type="dxa"/>
            <w:gridSpan w:val="5"/>
            <w:vAlign w:val="center"/>
          </w:tcPr>
          <w:p>
            <w:pPr>
              <w:jc w:val="center"/>
              <w:rPr>
                <w:color w:val="000000"/>
                <w:sz w:val="22"/>
              </w:rPr>
            </w:pPr>
          </w:p>
        </w:tc>
        <w:tc>
          <w:tcPr>
            <w:tcW w:w="1227" w:type="dxa"/>
            <w:vAlign w:val="center"/>
          </w:tcPr>
          <w:p>
            <w:pPr>
              <w:jc w:val="center"/>
              <w:rPr>
                <w:color w:val="000000"/>
                <w:sz w:val="22"/>
              </w:rPr>
            </w:pPr>
            <w:r>
              <w:rPr>
                <w:color w:val="000000"/>
                <w:sz w:val="22"/>
              </w:rPr>
              <w:t>报告编号</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报告时间</w:t>
            </w:r>
          </w:p>
        </w:tc>
        <w:tc>
          <w:tcPr>
            <w:tcW w:w="3764" w:type="dxa"/>
            <w:gridSpan w:val="5"/>
            <w:vAlign w:val="center"/>
          </w:tcPr>
          <w:p>
            <w:pPr>
              <w:jc w:val="center"/>
              <w:rPr>
                <w:color w:val="000000"/>
                <w:sz w:val="22"/>
              </w:rPr>
            </w:pPr>
            <w:r>
              <w:rPr>
                <w:color w:val="000000"/>
                <w:sz w:val="22"/>
              </w:rPr>
              <w:t xml:space="preserve">       年    月    日    时    分</w:t>
            </w:r>
          </w:p>
        </w:tc>
        <w:tc>
          <w:tcPr>
            <w:tcW w:w="1227" w:type="dxa"/>
            <w:vAlign w:val="center"/>
          </w:tcPr>
          <w:p>
            <w:pPr>
              <w:jc w:val="center"/>
              <w:rPr>
                <w:color w:val="000000"/>
                <w:sz w:val="22"/>
              </w:rPr>
            </w:pPr>
            <w:r>
              <w:rPr>
                <w:color w:val="000000"/>
                <w:sz w:val="22"/>
              </w:rPr>
              <w:t>收到时间</w:t>
            </w:r>
          </w:p>
        </w:tc>
        <w:tc>
          <w:tcPr>
            <w:tcW w:w="1749" w:type="dxa"/>
            <w:gridSpan w:val="2"/>
            <w:vAlign w:val="center"/>
          </w:tcPr>
          <w:p>
            <w:pPr>
              <w:rPr>
                <w:color w:val="000000"/>
                <w:sz w:val="22"/>
              </w:rPr>
            </w:pPr>
            <w:r>
              <w:rPr>
                <w:color w:val="000000"/>
                <w:sz w:val="22"/>
              </w:rPr>
              <w:t xml:space="preserve">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报告人姓名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电    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报告地点</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restart"/>
            <w:vAlign w:val="center"/>
          </w:tcPr>
          <w:p>
            <w:pPr>
              <w:jc w:val="center"/>
              <w:rPr>
                <w:color w:val="000000"/>
                <w:sz w:val="22"/>
              </w:rPr>
            </w:pPr>
            <w:r>
              <w:rPr>
                <w:color w:val="000000"/>
                <w:sz w:val="22"/>
              </w:rPr>
              <w:t>信息联系人</w:t>
            </w:r>
          </w:p>
          <w:p>
            <w:pPr>
              <w:jc w:val="center"/>
              <w:rPr>
                <w:color w:val="000000"/>
                <w:sz w:val="22"/>
              </w:rPr>
            </w:pPr>
            <w:r>
              <w:rPr>
                <w:color w:val="000000"/>
                <w:sz w:val="22"/>
              </w:rPr>
              <w:t>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联系电话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移动电话</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jc w:val="center"/>
              <w:rPr>
                <w:color w:val="000000"/>
                <w:sz w:val="22"/>
              </w:rPr>
            </w:pP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传真电话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电子邮箱</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9"/>
            <w:vAlign w:val="center"/>
          </w:tcPr>
          <w:p>
            <w:pPr>
              <w:jc w:val="center"/>
              <w:rPr>
                <w:color w:val="000000"/>
                <w:sz w:val="22"/>
              </w:rPr>
            </w:pPr>
            <w:r>
              <w:rPr>
                <w:color w:val="000000"/>
                <w:sz w:val="22"/>
              </w:rPr>
              <w:t>事件简要情况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事件发生时间</w:t>
            </w:r>
          </w:p>
        </w:tc>
        <w:tc>
          <w:tcPr>
            <w:tcW w:w="6740" w:type="dxa"/>
            <w:gridSpan w:val="8"/>
            <w:vAlign w:val="center"/>
          </w:tcPr>
          <w:p>
            <w:pPr>
              <w:jc w:val="center"/>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Align w:val="center"/>
          </w:tcPr>
          <w:p>
            <w:pPr>
              <w:jc w:val="center"/>
              <w:rPr>
                <w:color w:val="000000"/>
                <w:sz w:val="22"/>
              </w:rPr>
            </w:pPr>
            <w:r>
              <w:rPr>
                <w:color w:val="000000"/>
                <w:sz w:val="22"/>
              </w:rPr>
              <w:t>事件发生地点</w:t>
            </w:r>
          </w:p>
        </w:tc>
        <w:tc>
          <w:tcPr>
            <w:tcW w:w="6740" w:type="dxa"/>
            <w:gridSpan w:val="8"/>
            <w:vAlign w:val="center"/>
          </w:tcPr>
          <w:p>
            <w:pPr>
              <w:jc w:val="center"/>
              <w:rPr>
                <w:color w:val="000000"/>
                <w:sz w:val="22"/>
              </w:rPr>
            </w:pPr>
            <w:r>
              <w:rPr>
                <w:color w:val="000000"/>
                <w:sz w:val="22"/>
              </w:rPr>
              <w:t>省（自治区）       县（市）       乡镇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事件发生单位</w:t>
            </w:r>
          </w:p>
        </w:tc>
        <w:tc>
          <w:tcPr>
            <w:tcW w:w="6740" w:type="dxa"/>
            <w:gridSpan w:val="8"/>
            <w:vAlign w:val="center"/>
          </w:tcPr>
          <w:p>
            <w:pPr>
              <w:jc w:val="center"/>
              <w:rPr>
                <w:color w:val="000000"/>
                <w:sz w:val="22"/>
              </w:rPr>
            </w:pPr>
            <w:r>
              <w:rPr>
                <w:color w:val="000000"/>
                <w:sz w:val="22"/>
              </w:rPr>
              <w:t>（企业）          （二级单位）          （基层）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restart"/>
            <w:vAlign w:val="center"/>
          </w:tcPr>
          <w:p>
            <w:pPr>
              <w:rPr>
                <w:color w:val="000000"/>
                <w:sz w:val="22"/>
              </w:rPr>
            </w:pPr>
            <w:r>
              <w:rPr>
                <w:color w:val="000000"/>
                <w:sz w:val="22"/>
              </w:rPr>
              <w:t>事件类型</w:t>
            </w:r>
          </w:p>
          <w:p>
            <w:pPr>
              <w:rPr>
                <w:color w:val="000000"/>
                <w:sz w:val="22"/>
              </w:rPr>
            </w:pPr>
            <w:r>
              <w:rPr>
                <w:color w:val="000000"/>
                <w:sz w:val="22"/>
              </w:rPr>
              <w:t>□事故灾难</w:t>
            </w:r>
          </w:p>
          <w:p>
            <w:pPr>
              <w:rPr>
                <w:color w:val="000000"/>
                <w:sz w:val="22"/>
              </w:rPr>
            </w:pPr>
            <w:r>
              <w:rPr>
                <w:color w:val="000000"/>
                <w:sz w:val="22"/>
              </w:rPr>
              <w:t>□公共卫生</w:t>
            </w:r>
          </w:p>
          <w:p>
            <w:pPr>
              <w:rPr>
                <w:color w:val="000000"/>
                <w:sz w:val="22"/>
              </w:rPr>
            </w:pPr>
            <w:r>
              <w:rPr>
                <w:color w:val="000000"/>
                <w:sz w:val="22"/>
              </w:rPr>
              <w:t>□自然灾害</w:t>
            </w:r>
          </w:p>
          <w:p>
            <w:pPr>
              <w:rPr>
                <w:color w:val="000000"/>
                <w:sz w:val="22"/>
              </w:rPr>
            </w:pPr>
            <w:r>
              <w:rPr>
                <w:color w:val="000000"/>
                <w:sz w:val="22"/>
              </w:rPr>
              <w:t>□社会安全</w:t>
            </w:r>
          </w:p>
        </w:tc>
        <w:tc>
          <w:tcPr>
            <w:tcW w:w="2848" w:type="dxa"/>
            <w:gridSpan w:val="3"/>
            <w:vAlign w:val="center"/>
          </w:tcPr>
          <w:p>
            <w:pPr>
              <w:rPr>
                <w:color w:val="000000"/>
                <w:sz w:val="22"/>
              </w:rPr>
            </w:pPr>
            <w:r>
              <w:rPr>
                <w:color w:val="000000"/>
                <w:sz w:val="22"/>
              </w:rPr>
              <w:t>井喷失控事故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油气站库及炼化装置爆炸着火</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危险化学品泄漏失控和中毒</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长输管道事故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海洋石油开发事故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剧毒危险品运输事故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群体性事件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公共文化场所和文化活动突发事件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涉外突发事件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涉外防恐</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防恐</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火工品被盗丢失事件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网络与信息安全事故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重大自然灾害突发事件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重大公共卫生事件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突发环境事件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jc w:val="center"/>
        </w:trPr>
        <w:tc>
          <w:tcPr>
            <w:tcW w:w="1532" w:type="dxa"/>
            <w:vAlign w:val="center"/>
          </w:tcPr>
          <w:p>
            <w:pPr>
              <w:jc w:val="center"/>
              <w:rPr>
                <w:color w:val="000000"/>
                <w:sz w:val="22"/>
              </w:rPr>
            </w:pPr>
            <w:r>
              <w:rPr>
                <w:color w:val="000000"/>
                <w:sz w:val="22"/>
              </w:rPr>
              <w:t>事故经过</w:t>
            </w:r>
          </w:p>
          <w:p>
            <w:pPr>
              <w:jc w:val="center"/>
              <w:rPr>
                <w:color w:val="000000"/>
                <w:sz w:val="22"/>
              </w:rPr>
            </w:pPr>
            <w:r>
              <w:rPr>
                <w:color w:val="000000"/>
                <w:sz w:val="22"/>
              </w:rPr>
              <w:t>简要描述</w:t>
            </w:r>
          </w:p>
        </w:tc>
        <w:tc>
          <w:tcPr>
            <w:tcW w:w="6740"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jc w:val="center"/>
        </w:trPr>
        <w:tc>
          <w:tcPr>
            <w:tcW w:w="1532" w:type="dxa"/>
            <w:vAlign w:val="center"/>
          </w:tcPr>
          <w:p>
            <w:pPr>
              <w:jc w:val="center"/>
              <w:rPr>
                <w:color w:val="000000"/>
                <w:sz w:val="22"/>
              </w:rPr>
            </w:pPr>
            <w:r>
              <w:rPr>
                <w:color w:val="000000"/>
                <w:sz w:val="22"/>
              </w:rPr>
              <w:t>目前人员</w:t>
            </w:r>
          </w:p>
          <w:p>
            <w:pPr>
              <w:jc w:val="center"/>
              <w:rPr>
                <w:color w:val="000000"/>
                <w:sz w:val="22"/>
              </w:rPr>
            </w:pPr>
            <w:r>
              <w:rPr>
                <w:color w:val="000000"/>
                <w:sz w:val="22"/>
              </w:rPr>
              <w:t>伤亡情况</w:t>
            </w:r>
          </w:p>
        </w:tc>
        <w:tc>
          <w:tcPr>
            <w:tcW w:w="6740"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0" w:hRule="atLeast"/>
          <w:jc w:val="center"/>
        </w:trPr>
        <w:tc>
          <w:tcPr>
            <w:tcW w:w="1532" w:type="dxa"/>
            <w:vAlign w:val="center"/>
          </w:tcPr>
          <w:p>
            <w:pPr>
              <w:jc w:val="center"/>
              <w:rPr>
                <w:color w:val="000000"/>
                <w:sz w:val="22"/>
              </w:rPr>
            </w:pPr>
            <w:r>
              <w:rPr>
                <w:color w:val="000000"/>
                <w:sz w:val="22"/>
              </w:rPr>
              <w:t>目前环境</w:t>
            </w:r>
          </w:p>
          <w:p>
            <w:pPr>
              <w:jc w:val="center"/>
              <w:rPr>
                <w:color w:val="000000"/>
                <w:sz w:val="22"/>
              </w:rPr>
            </w:pPr>
            <w:r>
              <w:rPr>
                <w:color w:val="000000"/>
                <w:sz w:val="22"/>
              </w:rPr>
              <w:t>污染情况</w:t>
            </w:r>
          </w:p>
        </w:tc>
        <w:tc>
          <w:tcPr>
            <w:tcW w:w="6740" w:type="dxa"/>
            <w:gridSpan w:val="8"/>
            <w:vAlign w:val="center"/>
          </w:tcPr>
          <w:p>
            <w:pPr>
              <w:rPr>
                <w:color w:val="000000"/>
                <w:sz w:val="22"/>
              </w:rPr>
            </w:pPr>
          </w:p>
        </w:tc>
      </w:tr>
    </w:tbl>
    <w:p>
      <w:pPr>
        <w:rPr>
          <w:color w:val="000000"/>
          <w:sz w:val="24"/>
        </w:rPr>
      </w:pPr>
    </w:p>
    <w:tbl>
      <w:tblPr>
        <w:tblStyle w:val="3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448"/>
        <w:gridCol w:w="1575"/>
        <w:gridCol w:w="388"/>
        <w:gridCol w:w="1082"/>
        <w:gridCol w:w="21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8" w:hRule="atLeast"/>
        </w:trPr>
        <w:tc>
          <w:tcPr>
            <w:tcW w:w="1705" w:type="dxa"/>
            <w:vAlign w:val="center"/>
          </w:tcPr>
          <w:p>
            <w:pPr>
              <w:jc w:val="center"/>
              <w:rPr>
                <w:color w:val="000000"/>
                <w:sz w:val="22"/>
              </w:rPr>
            </w:pPr>
            <w:r>
              <w:rPr>
                <w:color w:val="000000"/>
                <w:sz w:val="22"/>
              </w:rPr>
              <w:t>目前造成</w:t>
            </w:r>
          </w:p>
          <w:p>
            <w:pPr>
              <w:jc w:val="center"/>
              <w:rPr>
                <w:color w:val="000000"/>
                <w:sz w:val="22"/>
              </w:rPr>
            </w:pPr>
            <w:r>
              <w:rPr>
                <w:color w:val="000000"/>
                <w:sz w:val="22"/>
              </w:rPr>
              <w:t>周边影响</w:t>
            </w:r>
          </w:p>
        </w:tc>
        <w:tc>
          <w:tcPr>
            <w:tcW w:w="6823" w:type="dxa"/>
            <w:gridSpan w:val="6"/>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Align w:val="center"/>
          </w:tcPr>
          <w:p>
            <w:pPr>
              <w:jc w:val="center"/>
              <w:rPr>
                <w:color w:val="000000"/>
                <w:sz w:val="22"/>
              </w:rPr>
            </w:pPr>
            <w:r>
              <w:rPr>
                <w:color w:val="000000"/>
                <w:sz w:val="22"/>
              </w:rPr>
              <w:t>现场负责人</w:t>
            </w:r>
          </w:p>
          <w:p>
            <w:pPr>
              <w:jc w:val="center"/>
              <w:rPr>
                <w:color w:val="000000"/>
                <w:sz w:val="22"/>
              </w:rPr>
            </w:pPr>
            <w:r>
              <w:rPr>
                <w:color w:val="000000"/>
                <w:sz w:val="22"/>
              </w:rPr>
              <w:t>姓  名</w:t>
            </w:r>
          </w:p>
        </w:tc>
        <w:tc>
          <w:tcPr>
            <w:tcW w:w="3411" w:type="dxa"/>
            <w:gridSpan w:val="3"/>
            <w:vAlign w:val="center"/>
          </w:tcPr>
          <w:p>
            <w:pPr>
              <w:jc w:val="center"/>
              <w:rPr>
                <w:color w:val="000000"/>
                <w:sz w:val="22"/>
              </w:rPr>
            </w:pP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restart"/>
            <w:vAlign w:val="center"/>
          </w:tcPr>
          <w:p>
            <w:pPr>
              <w:jc w:val="center"/>
              <w:rPr>
                <w:color w:val="000000"/>
                <w:sz w:val="22"/>
              </w:rPr>
            </w:pPr>
            <w:r>
              <w:rPr>
                <w:color w:val="000000"/>
                <w:sz w:val="22"/>
              </w:rPr>
              <w:t>企业应急</w:t>
            </w:r>
          </w:p>
          <w:p>
            <w:pPr>
              <w:jc w:val="center"/>
              <w:rPr>
                <w:color w:val="000000"/>
                <w:sz w:val="22"/>
              </w:rPr>
            </w:pPr>
            <w:r>
              <w:rPr>
                <w:color w:val="000000"/>
                <w:sz w:val="22"/>
              </w:rPr>
              <w:t>人员情况</w:t>
            </w:r>
          </w:p>
        </w:tc>
        <w:tc>
          <w:tcPr>
            <w:tcW w:w="1448" w:type="dxa"/>
            <w:vAlign w:val="center"/>
          </w:tcPr>
          <w:p>
            <w:pPr>
              <w:jc w:val="center"/>
              <w:rPr>
                <w:color w:val="000000"/>
                <w:sz w:val="22"/>
              </w:rPr>
            </w:pPr>
            <w:r>
              <w:rPr>
                <w:color w:val="000000"/>
                <w:sz w:val="22"/>
              </w:rPr>
              <w:t>应急职务</w:t>
            </w:r>
          </w:p>
        </w:tc>
        <w:tc>
          <w:tcPr>
            <w:tcW w:w="1963" w:type="dxa"/>
            <w:gridSpan w:val="2"/>
            <w:vAlign w:val="center"/>
          </w:tcPr>
          <w:p>
            <w:pPr>
              <w:jc w:val="center"/>
              <w:rPr>
                <w:color w:val="000000"/>
                <w:sz w:val="22"/>
              </w:rPr>
            </w:pPr>
            <w:r>
              <w:rPr>
                <w:color w:val="000000"/>
                <w:sz w:val="22"/>
              </w:rPr>
              <w:t>姓   名</w:t>
            </w: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r>
              <w:rPr>
                <w:color w:val="000000"/>
                <w:sz w:val="22"/>
              </w:rPr>
              <w:t>移动电话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总指挥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信息联络</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现场指挥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事件初步</w:t>
            </w:r>
          </w:p>
          <w:p>
            <w:pPr>
              <w:jc w:val="center"/>
              <w:rPr>
                <w:color w:val="000000"/>
                <w:sz w:val="22"/>
              </w:rPr>
            </w:pPr>
            <w:r>
              <w:rPr>
                <w:color w:val="000000"/>
                <w:sz w:val="22"/>
              </w:rPr>
              <w:t>原因描述</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已经实施或正在采取的控制措施</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3" w:hRule="atLeast"/>
        </w:trPr>
        <w:tc>
          <w:tcPr>
            <w:tcW w:w="1705" w:type="dxa"/>
            <w:vAlign w:val="center"/>
          </w:tcPr>
          <w:p>
            <w:pPr>
              <w:jc w:val="center"/>
              <w:rPr>
                <w:color w:val="000000"/>
                <w:sz w:val="22"/>
              </w:rPr>
            </w:pPr>
            <w:r>
              <w:rPr>
                <w:color w:val="000000"/>
                <w:sz w:val="22"/>
              </w:rPr>
              <w:t>事件潜在后果以及可能对周边造成的影响</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8" w:hRule="atLeast"/>
        </w:trPr>
        <w:tc>
          <w:tcPr>
            <w:tcW w:w="1705" w:type="dxa"/>
            <w:vAlign w:val="center"/>
          </w:tcPr>
          <w:p>
            <w:pPr>
              <w:jc w:val="center"/>
              <w:rPr>
                <w:color w:val="000000"/>
                <w:sz w:val="22"/>
              </w:rPr>
            </w:pPr>
            <w:r>
              <w:rPr>
                <w:color w:val="000000"/>
                <w:sz w:val="22"/>
              </w:rPr>
              <w:t>现场气象、海况及主要自然天气情况</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0" w:hRule="atLeast"/>
        </w:trPr>
        <w:tc>
          <w:tcPr>
            <w:tcW w:w="1705" w:type="dxa"/>
            <w:vAlign w:val="center"/>
          </w:tcPr>
          <w:p>
            <w:pPr>
              <w:jc w:val="center"/>
              <w:rPr>
                <w:color w:val="000000"/>
                <w:sz w:val="22"/>
              </w:rPr>
            </w:pPr>
            <w:r>
              <w:rPr>
                <w:color w:val="000000"/>
                <w:sz w:val="22"/>
              </w:rPr>
              <w:t>信息报送情况</w:t>
            </w:r>
          </w:p>
        </w:tc>
        <w:tc>
          <w:tcPr>
            <w:tcW w:w="6823" w:type="dxa"/>
            <w:gridSpan w:val="6"/>
          </w:tcPr>
          <w:p>
            <w:pPr>
              <w:rPr>
                <w:color w:val="000000"/>
                <w:sz w:val="22"/>
              </w:rPr>
            </w:pPr>
            <w:r>
              <w:rPr>
                <w:color w:val="000000"/>
                <w:sz w:val="22"/>
              </w:rPr>
              <w:t>□本企业领导：</w:t>
            </w:r>
          </w:p>
          <w:p>
            <w:pPr>
              <w:rPr>
                <w:color w:val="000000"/>
                <w:sz w:val="22"/>
              </w:rPr>
            </w:pPr>
            <w:r>
              <w:rPr>
                <w:color w:val="000000"/>
                <w:sz w:val="22"/>
              </w:rPr>
              <w:t>□本企业有关部门：</w:t>
            </w:r>
          </w:p>
          <w:p>
            <w:pPr>
              <w:rPr>
                <w:color w:val="000000"/>
                <w:sz w:val="22"/>
              </w:rPr>
            </w:pPr>
            <w:r>
              <w:rPr>
                <w:color w:val="000000"/>
                <w:sz w:val="22"/>
              </w:rPr>
              <w:t>□上级部门：</w:t>
            </w:r>
          </w:p>
          <w:p>
            <w:pPr>
              <w:rPr>
                <w:color w:val="000000"/>
                <w:sz w:val="22"/>
              </w:rPr>
            </w:pPr>
            <w:r>
              <w:rPr>
                <w:color w:val="000000"/>
                <w:sz w:val="22"/>
              </w:rPr>
              <w:t>□政府部门：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5" w:hRule="atLeast"/>
        </w:trPr>
        <w:tc>
          <w:tcPr>
            <w:tcW w:w="1705" w:type="dxa"/>
            <w:vAlign w:val="center"/>
          </w:tcPr>
          <w:p>
            <w:pPr>
              <w:jc w:val="center"/>
              <w:rPr>
                <w:color w:val="000000"/>
                <w:sz w:val="22"/>
              </w:rPr>
            </w:pPr>
            <w:r>
              <w:rPr>
                <w:color w:val="000000"/>
                <w:sz w:val="22"/>
              </w:rPr>
              <w:t>此报告信息</w:t>
            </w:r>
          </w:p>
          <w:p>
            <w:pPr>
              <w:jc w:val="center"/>
              <w:rPr>
                <w:color w:val="000000"/>
                <w:sz w:val="22"/>
              </w:rPr>
            </w:pPr>
            <w:r>
              <w:rPr>
                <w:color w:val="000000"/>
                <w:sz w:val="22"/>
              </w:rPr>
              <w:t>接收人</w:t>
            </w:r>
          </w:p>
        </w:tc>
        <w:tc>
          <w:tcPr>
            <w:tcW w:w="3023" w:type="dxa"/>
            <w:gridSpan w:val="2"/>
          </w:tcPr>
          <w:p>
            <w:pPr>
              <w:rPr>
                <w:color w:val="000000"/>
                <w:sz w:val="22"/>
              </w:rPr>
            </w:pPr>
          </w:p>
        </w:tc>
        <w:tc>
          <w:tcPr>
            <w:tcW w:w="1470" w:type="dxa"/>
            <w:gridSpan w:val="2"/>
            <w:vAlign w:val="center"/>
          </w:tcPr>
          <w:p>
            <w:pPr>
              <w:jc w:val="center"/>
              <w:rPr>
                <w:color w:val="000000"/>
                <w:sz w:val="22"/>
              </w:rPr>
            </w:pPr>
            <w:r>
              <w:rPr>
                <w:color w:val="000000"/>
                <w:sz w:val="22"/>
              </w:rPr>
              <w:t>接受时间</w:t>
            </w:r>
          </w:p>
        </w:tc>
        <w:tc>
          <w:tcPr>
            <w:tcW w:w="2330" w:type="dxa"/>
            <w:gridSpan w:val="2"/>
            <w:vAlign w:val="center"/>
          </w:tcPr>
          <w:p>
            <w:pPr>
              <w:ind w:firstLine="893" w:firstLineChars="400"/>
              <w:rPr>
                <w:color w:val="000000"/>
                <w:sz w:val="22"/>
              </w:rPr>
            </w:pPr>
            <w:r>
              <w:rPr>
                <w:color w:val="000000"/>
                <w:sz w:val="22"/>
              </w:rPr>
              <w:t>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1705" w:type="dxa"/>
            <w:vAlign w:val="center"/>
          </w:tcPr>
          <w:p>
            <w:pPr>
              <w:jc w:val="center"/>
              <w:rPr>
                <w:color w:val="000000"/>
                <w:sz w:val="22"/>
              </w:rPr>
            </w:pPr>
            <w:r>
              <w:rPr>
                <w:color w:val="000000"/>
                <w:sz w:val="22"/>
              </w:rPr>
              <w:t>备注</w:t>
            </w:r>
          </w:p>
        </w:tc>
        <w:tc>
          <w:tcPr>
            <w:tcW w:w="6823" w:type="dxa"/>
            <w:gridSpan w:val="6"/>
          </w:tcPr>
          <w:p>
            <w:pPr>
              <w:rPr>
                <w:color w:val="000000"/>
                <w:sz w:val="22"/>
              </w:rPr>
            </w:pPr>
          </w:p>
        </w:tc>
      </w:tr>
    </w:tbl>
    <w:p>
      <w:pPr>
        <w:rPr>
          <w:color w:val="000000"/>
          <w:sz w:val="24"/>
        </w:rPr>
      </w:pPr>
      <w:r>
        <w:rPr>
          <w:color w:val="000000"/>
          <w:sz w:val="24"/>
        </w:rPr>
        <w:t>注：此报告单可以作为快报。</w:t>
      </w:r>
    </w:p>
    <w:p>
      <w:pPr>
        <w:rPr>
          <w:color w:val="000000"/>
          <w:sz w:val="24"/>
        </w:rPr>
      </w:pPr>
    </w:p>
    <w:p>
      <w:pPr>
        <w:spacing w:line="460" w:lineRule="exact"/>
        <w:jc w:val="left"/>
        <w:rPr>
          <w:b/>
          <w:color w:val="000000"/>
          <w:sz w:val="24"/>
        </w:rPr>
      </w:pPr>
      <w:r>
        <w:rPr>
          <w:color w:val="000000"/>
          <w:sz w:val="26"/>
          <w:szCs w:val="26"/>
        </w:rPr>
        <w:t>附件</w:t>
      </w:r>
      <w:r>
        <w:rPr>
          <w:rFonts w:hint="eastAsia"/>
          <w:color w:val="000000"/>
          <w:sz w:val="26"/>
          <w:szCs w:val="26"/>
        </w:rPr>
        <w:t xml:space="preserve"> </w:t>
      </w:r>
      <w:r>
        <w:rPr>
          <w:color w:val="000000"/>
          <w:sz w:val="26"/>
          <w:szCs w:val="26"/>
        </w:rPr>
        <w:t>应急预案启动令（格式）</w:t>
      </w:r>
    </w:p>
    <w:p>
      <w:pPr>
        <w:pStyle w:val="89"/>
        <w:ind w:firstLine="486"/>
        <w:jc w:val="center"/>
      </w:pPr>
      <w:r>
        <w:t>应急预案启动令（格式）</w:t>
      </w:r>
    </w:p>
    <w:tbl>
      <w:tblPr>
        <w:tblStyle w:val="33"/>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（包括信息来源、事件现状、宣布事项） </w:t>
            </w:r>
          </w:p>
          <w:p>
            <w:pPr>
              <w:spacing w:before="156" w:after="156"/>
              <w:rPr>
                <w:color w:val="000000"/>
                <w:sz w:val="22"/>
              </w:rPr>
            </w:pPr>
          </w:p>
          <w:p>
            <w:pPr>
              <w:spacing w:before="156" w:after="156"/>
              <w:rPr>
                <w:color w:val="000000"/>
                <w:sz w:val="22"/>
              </w:rPr>
            </w:pPr>
            <w:r>
              <w:rPr>
                <w:color w:val="000000"/>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5"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p>
            <w:pPr>
              <w:spacing w:before="156" w:after="156"/>
              <w:rPr>
                <w:color w:val="000000"/>
                <w:sz w:val="22"/>
              </w:rPr>
            </w:pPr>
          </w:p>
        </w:tc>
      </w:tr>
    </w:tbl>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应急状态终止令（格式）</w:t>
      </w:r>
    </w:p>
    <w:p>
      <w:pPr>
        <w:rPr>
          <w:b/>
          <w:color w:val="000000"/>
          <w:sz w:val="24"/>
        </w:rPr>
      </w:pPr>
    </w:p>
    <w:p>
      <w:pPr>
        <w:pStyle w:val="89"/>
        <w:ind w:firstLine="486"/>
        <w:jc w:val="center"/>
      </w:pPr>
      <w:r>
        <w:t>应急状态终止令（格式）</w:t>
      </w:r>
    </w:p>
    <w:tbl>
      <w:tblPr>
        <w:tblStyle w:val="33"/>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3" w:hRule="atLeast"/>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（宣布事件应急救援工作基本结束，现场基本恢复，现场指挥部（小组）撤销，相关部门认真做好善后恢复工作。） </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9"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tc>
      </w:tr>
    </w:tbl>
    <w:p>
      <w:pPr>
        <w:rPr>
          <w:color w:val="000000"/>
          <w:sz w:val="26"/>
          <w:szCs w:val="26"/>
        </w:rPr>
      </w:pPr>
      <w:r>
        <w:rPr>
          <w:color w:val="000000"/>
          <w:sz w:val="26"/>
          <w:szCs w:val="26"/>
        </w:rPr>
        <w:t>附件5  应急预案变更记录表</w:t>
      </w:r>
    </w:p>
    <w:p>
      <w:pPr>
        <w:pStyle w:val="89"/>
        <w:ind w:firstLine="486"/>
        <w:jc w:val="center"/>
      </w:pPr>
      <w:r>
        <w:t>应急预案变更记录表</w:t>
      </w:r>
    </w:p>
    <w:tbl>
      <w:tblPr>
        <w:tblStyle w:val="33"/>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2" w:hRule="atLeast"/>
          <w:jc w:val="center"/>
        </w:trPr>
        <w:tc>
          <w:tcPr>
            <w:tcW w:w="8272" w:type="dxa"/>
          </w:tcPr>
          <w:p>
            <w:pPr>
              <w:spacing w:before="156" w:after="156"/>
              <w:rPr>
                <w:color w:val="000000"/>
                <w:sz w:val="22"/>
              </w:rPr>
            </w:pPr>
            <w:r>
              <w:rPr>
                <w:color w:val="000000"/>
                <w:sz w:val="22"/>
              </w:rPr>
              <w:t>变更原因、依据、时间：</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0" w:hRule="atLeast"/>
          <w:jc w:val="center"/>
        </w:trPr>
        <w:tc>
          <w:tcPr>
            <w:tcW w:w="8272" w:type="dxa"/>
          </w:tcPr>
          <w:p>
            <w:pPr>
              <w:spacing w:before="156" w:after="156"/>
              <w:rPr>
                <w:color w:val="000000"/>
                <w:sz w:val="22"/>
              </w:rPr>
            </w:pPr>
            <w:r>
              <w:rPr>
                <w:color w:val="000000"/>
                <w:sz w:val="22"/>
              </w:rPr>
              <w:t>变更内容（可附页）：</w:t>
            </w:r>
          </w:p>
          <w:p>
            <w:pPr>
              <w:spacing w:before="156" w:after="156"/>
              <w:rPr>
                <w:color w:val="000000"/>
                <w:sz w:val="22"/>
              </w:rPr>
            </w:pP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1" w:hRule="atLeast"/>
          <w:jc w:val="center"/>
        </w:trPr>
        <w:tc>
          <w:tcPr>
            <w:tcW w:w="8272" w:type="dxa"/>
          </w:tcPr>
          <w:p>
            <w:pPr>
              <w:spacing w:before="156" w:after="156"/>
              <w:rPr>
                <w:color w:val="000000"/>
                <w:sz w:val="22"/>
              </w:rPr>
            </w:pPr>
            <w:r>
              <w:rPr>
                <w:color w:val="000000"/>
                <w:sz w:val="22"/>
              </w:rPr>
              <w:t>申报单位：</w:t>
            </w: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1" w:hRule="atLeast"/>
          <w:jc w:val="center"/>
        </w:trPr>
        <w:tc>
          <w:tcPr>
            <w:tcW w:w="8272" w:type="dxa"/>
          </w:tcPr>
          <w:p>
            <w:pPr>
              <w:spacing w:before="156" w:after="156"/>
              <w:rPr>
                <w:color w:val="000000"/>
                <w:sz w:val="22"/>
              </w:rPr>
            </w:pPr>
            <w:r>
              <w:rPr>
                <w:color w:val="000000"/>
                <w:sz w:val="22"/>
              </w:rPr>
              <w:t>相关方获知情况：</w:t>
            </w:r>
          </w:p>
          <w:p>
            <w:pPr>
              <w:spacing w:before="156" w:after="156"/>
              <w:rPr>
                <w:color w:val="000000"/>
                <w:sz w:val="22"/>
              </w:rPr>
            </w:pPr>
          </w:p>
        </w:tc>
      </w:tr>
    </w:tbl>
    <w:p>
      <w:pPr>
        <w:tabs>
          <w:tab w:val="left" w:pos="4620"/>
        </w:tabs>
        <w:rPr>
          <w:rFonts w:asciiTheme="minorEastAsia" w:hAnsiTheme="minorEastAsia" w:eastAsiaTheme="minorEastAsia"/>
          <w:szCs w:val="21"/>
        </w:rPr>
      </w:pPr>
    </w:p>
    <w:sectPr>
      <w:footerReference r:id="rId5" w:type="default"/>
      <w:pgSz w:w="11906" w:h="16838"/>
      <w:pgMar w:top="1440" w:right="1797" w:bottom="1440" w:left="1797" w:header="680" w:footer="624" w:gutter="0"/>
      <w:cols w:space="720" w:num="1"/>
      <w:docGrid w:type="linesAndChars" w:linePitch="312"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MingLiUfalt">
    <w:altName w:val="MingLiU"/>
    <w:panose1 w:val="00000000000000000000"/>
    <w:charset w:val="88"/>
    <w:family w:val="auto"/>
    <w:pitch w:val="default"/>
    <w:sig w:usb0="00000000" w:usb1="00000000" w:usb2="00000010" w:usb3="00000000" w:csb0="00100000" w:csb1="00000000"/>
  </w:font>
  <w:font w:name="Tahoma">
    <w:panose1 w:val="020B0604030504040204"/>
    <w:charset w:val="00"/>
    <w:family w:val="swiss"/>
    <w:pitch w:val="default"/>
    <w:sig w:usb0="61007A87" w:usb1="80000000" w:usb2="00000008"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00000287" w:usb1="00000000" w:usb2="00000000" w:usb3="00000000" w:csb0="2000019F" w:csb1="00000000"/>
  </w:font>
  <w:font w:name="Trebuchet MS">
    <w:panose1 w:val="020B0603020202020204"/>
    <w:charset w:val="00"/>
    <w:family w:val="swiss"/>
    <w:pitch w:val="default"/>
    <w:sig w:usb0="00000287" w:usb1="00000000" w:usb2="00000000" w:usb3="00000000" w:csb0="2000009F" w:csb1="00000000"/>
  </w:font>
  <w:font w:name="Vrinda">
    <w:altName w:val="Courier New"/>
    <w:panose1 w:val="00000400000000000000"/>
    <w:charset w:val="01"/>
    <w:family w:val="roman"/>
    <w:pitch w:val="default"/>
    <w:sig w:usb0="00000000" w:usb1="00000000" w:usb2="00000000" w:usb3="00000000" w:csb0="00000000" w:csb1="00000000"/>
  </w:font>
  <w:font w:name="Helv">
    <w:altName w:val="Microsoft Sans Serif"/>
    <w:panose1 w:val="020B0604020202030204"/>
    <w:charset w:val="00"/>
    <w:family w:val="swiss"/>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Palatino Linotype">
    <w:panose1 w:val="02040502050505030304"/>
    <w:charset w:val="00"/>
    <w:family w:val="roman"/>
    <w:pitch w:val="default"/>
    <w:sig w:usb0="E0000387" w:usb1="40000013" w:usb2="00000000" w:usb3="00000000" w:csb0="2000019F" w:csb1="00000000"/>
  </w:font>
  <w:font w:name="Sylfaen">
    <w:altName w:val="Courier New"/>
    <w:panose1 w:val="010A0502050306030303"/>
    <w:charset w:val="00"/>
    <w:family w:val="roman"/>
    <w:pitch w:val="default"/>
    <w:sig w:usb0="00000000" w:usb1="00000000" w:usb2="00000000" w:usb3="00000000" w:csb0="0000000D" w:csb1="00000000"/>
  </w:font>
  <w:font w:name="??">
    <w:altName w:val="Times New Roman"/>
    <w:panose1 w:val="00000000000000000000"/>
    <w:charset w:val="00"/>
    <w:family w:val="roman"/>
    <w:pitch w:val="default"/>
    <w:sig w:usb0="00000000" w:usb1="00000000" w:usb2="00000000" w:usb3="00000000" w:csb0="00000001" w:csb1="00000000"/>
  </w:font>
  <w:font w:name="微软雅黑">
    <w:altName w:val="黑体"/>
    <w:panose1 w:val="020B0503020204020204"/>
    <w:charset w:val="86"/>
    <w:family w:val="swiss"/>
    <w:pitch w:val="default"/>
    <w:sig w:usb0="00000000" w:usb1="00000000" w:usb2="00000010"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楷体">
    <w:altName w:val="楷体_GB2312"/>
    <w:panose1 w:val="00000000000000000000"/>
    <w:charset w:val="86"/>
    <w:family w:val="modern"/>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MingLiU">
    <w:panose1 w:val="02020309000000000000"/>
    <w:charset w:val="88"/>
    <w:family w:val="auto"/>
    <w:pitch w:val="default"/>
    <w:sig w:usb0="00000003" w:usb1="082E0000" w:usb2="00000016" w:usb3="00000000" w:csb0="00100001" w:csb1="00000000"/>
  </w:font>
  <w:font w:name="Microsoft Sans Serif">
    <w:panose1 w:val="020B0604020202020204"/>
    <w:charset w:val="00"/>
    <w:family w:val="auto"/>
    <w:pitch w:val="default"/>
    <w:sig w:usb0="61007BDF" w:usb1="80000000" w:usb2="00000008" w:usb3="00000000" w:csb0="200101FF" w:csb1="20280000"/>
  </w:font>
  <w:font w:name="楷体_GB2312">
    <w:panose1 w:val="02010609030101010101"/>
    <w:charset w:val="86"/>
    <w:family w:val="auto"/>
    <w:pitch w:val="default"/>
    <w:sig w:usb0="00000001" w:usb1="080E0000" w:usb2="00000000" w:usb3="00000000" w:csb0="00040000" w:csb1="00000000"/>
  </w:font>
  <w:font w:name="Candara">
    <w:panose1 w:val="020E0502030303020204"/>
    <w:charset w:val="00"/>
    <w:family w:val="swiss"/>
    <w:pitch w:val="default"/>
    <w:sig w:usb0="A00002EF" w:usb1="4000204B" w:usb2="00000000" w:usb3="00000000" w:csb0="2000009F" w:csb1="00000000"/>
  </w:font>
  <w:font w:name="Bookman Old Style">
    <w:panose1 w:val="02050604050505020204"/>
    <w:charset w:val="00"/>
    <w:family w:val="roman"/>
    <w:pitch w:val="default"/>
    <w:sig w:usb0="00000287" w:usb1="00000000" w:usb2="00000000" w:usb3="00000000" w:csb0="2000009F" w:csb1="DFD70000"/>
  </w:font>
  <w:font w:name="Georgia">
    <w:panose1 w:val="02040502050405020303"/>
    <w:charset w:val="00"/>
    <w:family w:val="roman"/>
    <w:pitch w:val="default"/>
    <w:sig w:usb0="00000287" w:usb1="00000000" w:usb2="00000000" w:usb3="00000000" w:csb0="2000009F" w:csb1="00000000"/>
  </w:font>
  <w:font w:name="FrankRuehl">
    <w:altName w:val="Courier New"/>
    <w:panose1 w:val="00000000000000000000"/>
    <w:charset w:val="B1"/>
    <w:family w:val="swiss"/>
    <w:pitch w:val="default"/>
    <w:sig w:usb0="00000000" w:usb1="00000000" w:usb2="00000000" w:usb3="00000000" w:csb0="00000020" w:csb1="00000000"/>
  </w:font>
  <w:font w:name="Franklin Gothic Heavy">
    <w:altName w:val="Courier New"/>
    <w:panose1 w:val="00000000000000000000"/>
    <w:charset w:val="00"/>
    <w:family w:val="swiss"/>
    <w:pitch w:val="default"/>
    <w:sig w:usb0="00000000" w:usb1="00000000" w:usb2="00000000" w:usb3="00000000" w:csb0="0000009F" w:csb1="00000000"/>
  </w:font>
  <w:font w:name="Consolas">
    <w:panose1 w:val="020B0609020204030204"/>
    <w:charset w:val="00"/>
    <w:family w:val="modern"/>
    <w:pitch w:val="default"/>
    <w:sig w:usb0="A00002EF" w:usb1="4000204B" w:usb2="00000000" w:usb3="00000000" w:csb0="2000009F" w:csb1="00000000"/>
  </w:font>
  <w:font w:name="Impact">
    <w:panose1 w:val="020B0806030902050204"/>
    <w:charset w:val="00"/>
    <w:family w:val="swiss"/>
    <w:pitch w:val="default"/>
    <w:sig w:usb0="00000287" w:usb1="00000000" w:usb2="00000000" w:usb3="00000000" w:csb0="2000009F" w:csb1="DFD70000"/>
  </w:font>
  <w:font w:name="仿宋体">
    <w:altName w:val="仿宋_GB2312"/>
    <w:panose1 w:val="00000000000000000000"/>
    <w:charset w:val="86"/>
    <w:family w:val="roman"/>
    <w:pitch w:val="default"/>
    <w:sig w:usb0="00000000" w:usb1="00000000" w:usb2="00000010" w:usb3="00000000" w:csb0="00040000" w:csb1="00000000"/>
  </w:font>
  <w:font w:name="MingLiU_HKSCS">
    <w:altName w:val="MingLiU"/>
    <w:panose1 w:val="00000000000000000000"/>
    <w:charset w:val="88"/>
    <w:family w:val="roman"/>
    <w:pitch w:val="default"/>
    <w:sig w:usb0="00000000" w:usb1="00000000" w:usb2="00000016" w:usb3="00000000" w:csb0="00100001" w:csb1="00000000"/>
  </w:font>
  <w:font w:name="Mincho">
    <w:altName w:val="MS UI Gothic"/>
    <w:panose1 w:val="02020609040305080305"/>
    <w:charset w:val="80"/>
    <w:family w:val="roman"/>
    <w:pitch w:val="default"/>
    <w:sig w:usb0="00000000" w:usb1="00000000" w:usb2="00000010" w:usb3="00000000" w:csb0="00020000" w:csb1="00000000"/>
  </w:font>
  <w:font w:name="新宋体">
    <w:panose1 w:val="02010609030101010101"/>
    <w:charset w:val="86"/>
    <w:family w:val="modern"/>
    <w:pitch w:val="default"/>
    <w:sig w:usb0="00000003" w:usb1="080E0000" w:usb2="00000000" w:usb3="00000000" w:csb0="00040001" w:csb1="00000000"/>
  </w:font>
  <w:font w:name="仿宋">
    <w:altName w:val="新宋体"/>
    <w:panose1 w:val="00000000000000000000"/>
    <w:charset w:val="86"/>
    <w:family w:val="modern"/>
    <w:pitch w:val="default"/>
    <w:sig w:usb0="00000000" w:usb1="00000000" w:usb2="00000016" w:usb3="00000000" w:csb0="00040001" w:csb1="00000000"/>
  </w:font>
  <w:font w:name="MS UI Gothic">
    <w:panose1 w:val="020B0600070205080204"/>
    <w:charset w:val="80"/>
    <w:family w:val="auto"/>
    <w:pitch w:val="default"/>
    <w:sig w:usb0="A00002BF" w:usb1="68C7FCFB" w:usb2="00000010" w:usb3="00000000" w:csb0="4002009F" w:csb1="DFD70000"/>
  </w:font>
  <w:font w:name="华文新魏">
    <w:altName w:val="宋体"/>
    <w:panose1 w:val="02010800040101010101"/>
    <w:charset w:val="86"/>
    <w:family w:val="auto"/>
    <w:pitch w:val="default"/>
    <w:sig w:usb0="00000000" w:usb1="00000000" w:usb2="00000010" w:usb3="00000000" w:csb0="00040000" w:csb1="00000000"/>
  </w:font>
  <w:font w:name="TimesNewRoman">
    <w:altName w:val="Times New Roman"/>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Arial Narrow">
    <w:panose1 w:val="020B0606020202030204"/>
    <w:charset w:val="00"/>
    <w:family w:val="swiss"/>
    <w:pitch w:val="default"/>
    <w:sig w:usb0="00000287" w:usb1="00000800" w:usb2="00000000" w:usb3="00000000" w:csb0="2000009F" w:csb1="DFD70000"/>
  </w:font>
  <w:font w:name="方正北魏楷书简体">
    <w:altName w:val="黑体"/>
    <w:panose1 w:val="03000509000000000000"/>
    <w:charset w:val="86"/>
    <w:family w:val="script"/>
    <w:pitch w:val="default"/>
    <w:sig w:usb0="00000000" w:usb1="00000000" w:usb2="00000010" w:usb3="00000000" w:csb0="00040000" w:csb1="00000000"/>
  </w:font>
  <w:font w:name="华文宋体">
    <w:altName w:val="宋体"/>
    <w:panose1 w:val="02010600040101010101"/>
    <w:charset w:val="86"/>
    <w:family w:val="auto"/>
    <w:pitch w:val="default"/>
    <w:sig w:usb0="00000000" w:usb1="00000000" w:usb2="00000010" w:usb3="00000000" w:csb0="0004009F" w:csb1="00000000"/>
  </w:font>
  <w:font w:name="华文楷体">
    <w:altName w:val="楷体_GB2312"/>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2050" o:spid="_x0000_s2050" o:spt="202" type="#_x0000_t202" style="position:absolute;left:0pt;margin-top:0pt;height:10.35pt;width:4.55pt;mso-position-horizontal:center;mso-position-horizontal-relative:margin;mso-wrap-style:none;z-index:251658240;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35</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cs="宋体"/>
      </w:rPr>
    </w:pPr>
    <w:r>
      <w:rPr>
        <w:rFonts w:hint="eastAsia" w:ascii="宋体" w:hAnsi="宋体" w:cs="宋体"/>
        <w:bCs/>
        <w:spacing w:val="-20"/>
        <w:lang w:val="zh-CN"/>
      </w:rPr>
      <w:t>重庆市涪陵区拓源污水治理有限公司</w:t>
    </w:r>
    <w:r>
      <w:rPr>
        <w:rFonts w:hint="eastAsia" w:ascii="宋体" w:hAnsi="宋体"/>
      </w:rPr>
      <w:t>白涛潘家坝污水处理厂</w:t>
    </w:r>
    <w:r>
      <w:rPr>
        <w:rFonts w:hint="eastAsia" w:ascii="宋体" w:hAnsi="宋体" w:cs="宋体"/>
      </w:rPr>
      <w:t>突发环境事件应急预案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9"/>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1">
    <w:nsid w:val="0000000B"/>
    <w:multiLevelType w:val="multilevel"/>
    <w:tmpl w:val="0000000B"/>
    <w:lvl w:ilvl="0" w:tentative="0">
      <w:start w:val="1"/>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2">
    <w:nsid w:val="0000000C"/>
    <w:multiLevelType w:val="multilevel"/>
    <w:tmpl w:val="0000000C"/>
    <w:lvl w:ilvl="0" w:tentative="0">
      <w:start w:val="6"/>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3">
    <w:nsid w:val="0000000D"/>
    <w:multiLevelType w:val="multilevel"/>
    <w:tmpl w:val="0000000D"/>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HorizontalSpacing w:val="107"/>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8173B"/>
    <w:rsid w:val="00032B1D"/>
    <w:rsid w:val="00055443"/>
    <w:rsid w:val="000A72DB"/>
    <w:rsid w:val="000D5370"/>
    <w:rsid w:val="001261DC"/>
    <w:rsid w:val="00141CB2"/>
    <w:rsid w:val="0016320B"/>
    <w:rsid w:val="001F4B4A"/>
    <w:rsid w:val="002B053A"/>
    <w:rsid w:val="00353015"/>
    <w:rsid w:val="003C5678"/>
    <w:rsid w:val="00406DCE"/>
    <w:rsid w:val="00454381"/>
    <w:rsid w:val="004676F4"/>
    <w:rsid w:val="004F5681"/>
    <w:rsid w:val="00607A3E"/>
    <w:rsid w:val="00642EA4"/>
    <w:rsid w:val="006D0E72"/>
    <w:rsid w:val="00714EDD"/>
    <w:rsid w:val="00717184"/>
    <w:rsid w:val="00763B3D"/>
    <w:rsid w:val="0077436E"/>
    <w:rsid w:val="007C3C27"/>
    <w:rsid w:val="00802B25"/>
    <w:rsid w:val="00850F5A"/>
    <w:rsid w:val="00880E71"/>
    <w:rsid w:val="00892C50"/>
    <w:rsid w:val="008A6E7E"/>
    <w:rsid w:val="008E1ECE"/>
    <w:rsid w:val="00A248A8"/>
    <w:rsid w:val="00A554FB"/>
    <w:rsid w:val="00BA646D"/>
    <w:rsid w:val="00BD1B10"/>
    <w:rsid w:val="00BD5417"/>
    <w:rsid w:val="00BF5622"/>
    <w:rsid w:val="00BF5FED"/>
    <w:rsid w:val="00C22B5E"/>
    <w:rsid w:val="00D16D49"/>
    <w:rsid w:val="00D25B0F"/>
    <w:rsid w:val="00D77040"/>
    <w:rsid w:val="00E30BD4"/>
    <w:rsid w:val="00E64C04"/>
    <w:rsid w:val="00F026CA"/>
    <w:rsid w:val="00F56ACF"/>
    <w:rsid w:val="00F8173B"/>
    <w:rsid w:val="00FA47F4"/>
    <w:rsid w:val="0221385D"/>
    <w:rsid w:val="17B53263"/>
    <w:rsid w:val="193E259F"/>
    <w:rsid w:val="2F1E16CC"/>
    <w:rsid w:val="2F446912"/>
    <w:rsid w:val="34FE1592"/>
    <w:rsid w:val="42D47A5F"/>
    <w:rsid w:val="46825661"/>
    <w:rsid w:val="47C87CA4"/>
    <w:rsid w:val="524E2A9B"/>
    <w:rsid w:val="6DF47594"/>
    <w:rsid w:val="6EF4727A"/>
    <w:rsid w:val="747A323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89"/>
        <o:r id="V:Rule2" type="connector" idref="#_x0000_s1092"/>
        <o:r id="V:Rule3" type="connector" idref="#_x0000_s1097"/>
        <o:r id="V:Rule4" type="connector" idref="#_x0000_s1098"/>
        <o:r id="V:Rule5" type="connector" idref="#_x0000_s1099"/>
        <o:r id="V:Rule6" type="connector" idref="#_x0000_s1103"/>
        <o:r id="V:Rule7" type="connector" idref="#_x0000_s1105"/>
        <o:r id="V:Rule8" type="connector" idref="#_x0000_s1109"/>
        <o:r id="V:Rule9" type="connector" idref="#_x0000_s1110"/>
        <o:r id="V:Rule10" type="connector" idref="#_x0000_s1111"/>
        <o:r id="V:Rule11" type="connector" idref="#_x0000_s1116"/>
        <o:r id="V:Rule12" type="connector" idref="#_x0000_s1117"/>
        <o:r id="V:Rule13" type="connector" idref="#_x0000_s1118"/>
        <o:r id="V:Rule14" type="connector" idref="#_x0000_s1123"/>
        <o:r id="V:Rule15" type="connector" idref="#_x0000_s1125"/>
        <o:r id="V:Rule16" type="connector" idref="#_x0000_s1127"/>
        <o:r id="V:Rule17" type="connector" idref="#自选图形 1943"/>
        <o:r id="V:Rule18" type="connector" idref="#自选图形 5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3"/>
    <w:qFormat/>
    <w:uiPriority w:val="99"/>
    <w:pPr>
      <w:keepNext/>
      <w:outlineLvl w:val="0"/>
    </w:pPr>
    <w:rPr>
      <w:rFonts w:ascii="黑体"/>
      <w:sz w:val="52"/>
    </w:rPr>
  </w:style>
  <w:style w:type="paragraph" w:styleId="3">
    <w:name w:val="heading 2"/>
    <w:basedOn w:val="1"/>
    <w:next w:val="1"/>
    <w:link w:val="414"/>
    <w:qFormat/>
    <w:uiPriority w:val="99"/>
    <w:pPr>
      <w:keepNext/>
      <w:keepLines/>
      <w:spacing w:before="260" w:after="260" w:line="416" w:lineRule="auto"/>
      <w:outlineLvl w:val="1"/>
    </w:pPr>
    <w:rPr>
      <w:rFonts w:ascii="Arial" w:hAnsi="Arial" w:eastAsia="黑体"/>
      <w:b/>
      <w:sz w:val="32"/>
    </w:rPr>
  </w:style>
  <w:style w:type="paragraph" w:styleId="4">
    <w:name w:val="heading 3"/>
    <w:basedOn w:val="1"/>
    <w:next w:val="1"/>
    <w:link w:val="36"/>
    <w:qFormat/>
    <w:uiPriority w:val="99"/>
    <w:pPr>
      <w:keepNext/>
      <w:keepLines/>
      <w:spacing w:before="260" w:after="260" w:line="416" w:lineRule="auto"/>
      <w:outlineLvl w:val="2"/>
    </w:pPr>
    <w:rPr>
      <w:rFonts w:ascii="黑体" w:eastAsia="黑体"/>
      <w:b/>
      <w:sz w:val="24"/>
    </w:rPr>
  </w:style>
  <w:style w:type="paragraph" w:styleId="5">
    <w:name w:val="heading 4"/>
    <w:basedOn w:val="1"/>
    <w:next w:val="1"/>
    <w:link w:val="37"/>
    <w:qFormat/>
    <w:uiPriority w:val="99"/>
    <w:pPr>
      <w:keepNext/>
      <w:tabs>
        <w:tab w:val="left" w:pos="629"/>
      </w:tabs>
      <w:jc w:val="center"/>
      <w:outlineLvl w:val="3"/>
    </w:pPr>
    <w:rPr>
      <w:rFonts w:ascii="宋体" w:hAnsi="宋体"/>
      <w:sz w:val="24"/>
    </w:rPr>
  </w:style>
  <w:style w:type="paragraph" w:styleId="6">
    <w:name w:val="heading 5"/>
    <w:basedOn w:val="1"/>
    <w:next w:val="1"/>
    <w:link w:val="38"/>
    <w:qFormat/>
    <w:uiPriority w:val="99"/>
    <w:pPr>
      <w:keepNext/>
      <w:tabs>
        <w:tab w:val="left" w:pos="633"/>
      </w:tabs>
      <w:ind w:left="401" w:leftChars="-5" w:hanging="412" w:hangingChars="147"/>
      <w:jc w:val="center"/>
      <w:outlineLvl w:val="4"/>
    </w:pPr>
    <w:rPr>
      <w:rFonts w:ascii="宋体" w:hAnsi="宋体" w:eastAsia="黑体"/>
      <w:sz w:val="24"/>
    </w:rPr>
  </w:style>
  <w:style w:type="paragraph" w:styleId="7">
    <w:name w:val="heading 6"/>
    <w:basedOn w:val="1"/>
    <w:next w:val="1"/>
    <w:link w:val="39"/>
    <w:qFormat/>
    <w:uiPriority w:val="99"/>
    <w:pPr>
      <w:keepNext/>
      <w:ind w:left="192" w:leftChars="91" w:firstLine="414" w:firstLineChars="148"/>
      <w:outlineLvl w:val="5"/>
    </w:pPr>
    <w:rPr>
      <w:rFonts w:ascii="宋体" w:hAnsi="宋体" w:eastAsia="黑体"/>
      <w:sz w:val="24"/>
    </w:rPr>
  </w:style>
  <w:style w:type="paragraph" w:styleId="8">
    <w:name w:val="heading 7"/>
    <w:basedOn w:val="1"/>
    <w:next w:val="9"/>
    <w:link w:val="40"/>
    <w:qFormat/>
    <w:uiPriority w:val="99"/>
    <w:pPr>
      <w:keepNext/>
      <w:keepLines/>
      <w:spacing w:before="240" w:after="64" w:line="320" w:lineRule="auto"/>
      <w:outlineLvl w:val="6"/>
    </w:pPr>
    <w:rPr>
      <w:b/>
      <w:sz w:val="24"/>
    </w:rPr>
  </w:style>
  <w:style w:type="paragraph" w:styleId="10">
    <w:name w:val="heading 8"/>
    <w:basedOn w:val="1"/>
    <w:next w:val="9"/>
    <w:link w:val="41"/>
    <w:qFormat/>
    <w:uiPriority w:val="99"/>
    <w:pPr>
      <w:keepNext/>
      <w:keepLines/>
      <w:spacing w:before="240" w:after="64" w:line="320" w:lineRule="auto"/>
      <w:outlineLvl w:val="7"/>
    </w:pPr>
    <w:rPr>
      <w:rFonts w:ascii="Arial" w:hAnsi="Arial" w:eastAsia="黑体"/>
      <w:sz w:val="24"/>
    </w:rPr>
  </w:style>
  <w:style w:type="paragraph" w:styleId="11">
    <w:name w:val="heading 9"/>
    <w:basedOn w:val="1"/>
    <w:next w:val="9"/>
    <w:link w:val="42"/>
    <w:qFormat/>
    <w:uiPriority w:val="99"/>
    <w:pPr>
      <w:keepNext/>
      <w:keepLines/>
      <w:spacing w:before="240" w:after="64" w:line="320" w:lineRule="auto"/>
      <w:outlineLvl w:val="8"/>
    </w:pPr>
    <w:rPr>
      <w:rFonts w:ascii="Arial" w:hAnsi="Arial" w:eastAsia="黑体"/>
      <w:sz w:val="24"/>
    </w:rPr>
  </w:style>
  <w:style w:type="character" w:default="1" w:styleId="28">
    <w:name w:val="Default Paragraph Font"/>
    <w:unhideWhenUsed/>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customStyle="1" w:styleId="9">
    <w:name w:val="Normal Indent1"/>
    <w:basedOn w:val="1"/>
    <w:link w:val="52"/>
    <w:qFormat/>
    <w:uiPriority w:val="99"/>
    <w:pPr>
      <w:ind w:firstLine="420" w:firstLineChars="200"/>
    </w:pPr>
    <w:rPr>
      <w:spacing w:val="10"/>
      <w:sz w:val="28"/>
    </w:rPr>
  </w:style>
  <w:style w:type="paragraph" w:styleId="12">
    <w:name w:val="toc 7"/>
    <w:basedOn w:val="1"/>
    <w:next w:val="1"/>
    <w:qFormat/>
    <w:uiPriority w:val="99"/>
    <w:pPr>
      <w:ind w:left="1260"/>
      <w:jc w:val="left"/>
    </w:pPr>
    <w:rPr>
      <w:sz w:val="18"/>
      <w:szCs w:val="18"/>
    </w:rPr>
  </w:style>
  <w:style w:type="paragraph" w:styleId="13">
    <w:name w:val="caption"/>
    <w:basedOn w:val="1"/>
    <w:next w:val="1"/>
    <w:qFormat/>
    <w:uiPriority w:val="99"/>
    <w:pPr>
      <w:jc w:val="center"/>
    </w:pPr>
    <w:rPr>
      <w:rFonts w:cs="Arial"/>
      <w:sz w:val="24"/>
    </w:rPr>
  </w:style>
  <w:style w:type="paragraph" w:styleId="14">
    <w:name w:val="Body Text"/>
    <w:basedOn w:val="1"/>
    <w:link w:val="49"/>
    <w:qFormat/>
    <w:uiPriority w:val="99"/>
    <w:pPr>
      <w:spacing w:after="120"/>
    </w:pPr>
    <w:rPr>
      <w:sz w:val="24"/>
    </w:rPr>
  </w:style>
  <w:style w:type="paragraph" w:styleId="15">
    <w:name w:val="toc 5"/>
    <w:basedOn w:val="1"/>
    <w:next w:val="1"/>
    <w:qFormat/>
    <w:uiPriority w:val="99"/>
    <w:pPr>
      <w:ind w:left="840"/>
      <w:jc w:val="left"/>
    </w:pPr>
    <w:rPr>
      <w:sz w:val="18"/>
      <w:szCs w:val="18"/>
    </w:rPr>
  </w:style>
  <w:style w:type="paragraph" w:styleId="16">
    <w:name w:val="toc 3"/>
    <w:basedOn w:val="1"/>
    <w:next w:val="1"/>
    <w:qFormat/>
    <w:uiPriority w:val="99"/>
    <w:pPr>
      <w:ind w:left="420"/>
      <w:jc w:val="left"/>
    </w:pPr>
    <w:rPr>
      <w:i/>
      <w:iCs/>
      <w:sz w:val="20"/>
    </w:rPr>
  </w:style>
  <w:style w:type="paragraph" w:styleId="17">
    <w:name w:val="toc 8"/>
    <w:basedOn w:val="1"/>
    <w:next w:val="1"/>
    <w:qFormat/>
    <w:uiPriority w:val="99"/>
    <w:pPr>
      <w:ind w:left="1470"/>
      <w:jc w:val="left"/>
    </w:pPr>
    <w:rPr>
      <w:sz w:val="18"/>
      <w:szCs w:val="18"/>
    </w:rPr>
  </w:style>
  <w:style w:type="paragraph" w:styleId="18">
    <w:name w:val="Balloon Text"/>
    <w:basedOn w:val="1"/>
    <w:link w:val="425"/>
    <w:unhideWhenUsed/>
    <w:qFormat/>
    <w:uiPriority w:val="99"/>
    <w:rPr>
      <w:sz w:val="18"/>
      <w:szCs w:val="18"/>
    </w:rPr>
  </w:style>
  <w:style w:type="paragraph" w:styleId="19">
    <w:name w:val="footer"/>
    <w:basedOn w:val="1"/>
    <w:link w:val="66"/>
    <w:qFormat/>
    <w:uiPriority w:val="99"/>
    <w:pPr>
      <w:tabs>
        <w:tab w:val="center" w:pos="4153"/>
        <w:tab w:val="right" w:pos="8306"/>
      </w:tabs>
      <w:snapToGrid w:val="0"/>
      <w:jc w:val="left"/>
    </w:pPr>
    <w:rPr>
      <w:sz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tabs>
        <w:tab w:val="right" w:leader="dot" w:pos="9174"/>
      </w:tabs>
      <w:spacing w:before="120" w:after="120" w:line="540" w:lineRule="exact"/>
      <w:jc w:val="left"/>
    </w:pPr>
    <w:rPr>
      <w:rFonts w:ascii="宋体" w:hAnsi="宋体"/>
      <w:bCs/>
      <w:caps/>
      <w:sz w:val="28"/>
      <w:szCs w:val="28"/>
    </w:rPr>
  </w:style>
  <w:style w:type="paragraph" w:styleId="22">
    <w:name w:val="toc 4"/>
    <w:basedOn w:val="1"/>
    <w:next w:val="1"/>
    <w:qFormat/>
    <w:uiPriority w:val="99"/>
    <w:pPr>
      <w:ind w:left="630"/>
      <w:jc w:val="left"/>
    </w:pPr>
    <w:rPr>
      <w:sz w:val="18"/>
      <w:szCs w:val="18"/>
    </w:rPr>
  </w:style>
  <w:style w:type="paragraph" w:styleId="23">
    <w:name w:val="footnote text"/>
    <w:basedOn w:val="1"/>
    <w:link w:val="69"/>
    <w:qFormat/>
    <w:uiPriority w:val="99"/>
    <w:pPr>
      <w:snapToGrid w:val="0"/>
      <w:jc w:val="left"/>
    </w:pPr>
    <w:rPr>
      <w:sz w:val="18"/>
    </w:rPr>
  </w:style>
  <w:style w:type="paragraph" w:styleId="24">
    <w:name w:val="toc 6"/>
    <w:basedOn w:val="1"/>
    <w:next w:val="1"/>
    <w:qFormat/>
    <w:uiPriority w:val="99"/>
    <w:pPr>
      <w:ind w:left="1050"/>
      <w:jc w:val="left"/>
    </w:pPr>
    <w:rPr>
      <w:sz w:val="18"/>
      <w:szCs w:val="18"/>
    </w:rPr>
  </w:style>
  <w:style w:type="paragraph" w:styleId="25">
    <w:name w:val="toc 2"/>
    <w:basedOn w:val="1"/>
    <w:next w:val="1"/>
    <w:qFormat/>
    <w:uiPriority w:val="39"/>
    <w:pPr>
      <w:ind w:left="210"/>
      <w:jc w:val="left"/>
    </w:pPr>
    <w:rPr>
      <w:smallCaps/>
      <w:sz w:val="20"/>
    </w:rPr>
  </w:style>
  <w:style w:type="paragraph" w:styleId="26">
    <w:name w:val="toc 9"/>
    <w:basedOn w:val="1"/>
    <w:next w:val="1"/>
    <w:qFormat/>
    <w:uiPriority w:val="99"/>
    <w:pPr>
      <w:ind w:left="1680"/>
      <w:jc w:val="left"/>
    </w:pPr>
    <w:rPr>
      <w:sz w:val="18"/>
      <w:szCs w:val="18"/>
    </w:rPr>
  </w:style>
  <w:style w:type="paragraph" w:styleId="27">
    <w:name w:val="Title"/>
    <w:basedOn w:val="1"/>
    <w:next w:val="3"/>
    <w:link w:val="78"/>
    <w:qFormat/>
    <w:uiPriority w:val="99"/>
    <w:pPr>
      <w:spacing w:beforeLines="30" w:afterLines="30" w:line="360" w:lineRule="auto"/>
      <w:ind w:firstLine="200" w:firstLineChars="200"/>
      <w:jc w:val="center"/>
      <w:outlineLvl w:val="0"/>
    </w:pPr>
    <w:rPr>
      <w:rFonts w:ascii="Arial" w:hAnsi="Arial"/>
      <w:b/>
      <w:sz w:val="32"/>
    </w:rPr>
  </w:style>
  <w:style w:type="character" w:styleId="29">
    <w:name w:val="Strong"/>
    <w:basedOn w:val="28"/>
    <w:qFormat/>
    <w:uiPriority w:val="99"/>
    <w:rPr>
      <w:rFonts w:cs="Times New Roman"/>
      <w:b/>
    </w:rPr>
  </w:style>
  <w:style w:type="character" w:styleId="30">
    <w:name w:val="FollowedHyperlink"/>
    <w:basedOn w:val="28"/>
    <w:qFormat/>
    <w:uiPriority w:val="99"/>
    <w:rPr>
      <w:rFonts w:cs="Times New Roman"/>
      <w:color w:val="800080"/>
      <w:u w:val="single"/>
    </w:rPr>
  </w:style>
  <w:style w:type="character" w:styleId="31">
    <w:name w:val="Emphasis"/>
    <w:basedOn w:val="28"/>
    <w:qFormat/>
    <w:uiPriority w:val="99"/>
    <w:rPr>
      <w:rFonts w:cs="Times New Roman"/>
      <w:i/>
    </w:rPr>
  </w:style>
  <w:style w:type="character" w:styleId="32">
    <w:name w:val="Hyperlink"/>
    <w:basedOn w:val="28"/>
    <w:qFormat/>
    <w:uiPriority w:val="99"/>
    <w:rPr>
      <w:rFonts w:cs="Times New Roman"/>
      <w:color w:val="0000FF"/>
      <w:u w:val="single"/>
    </w:rPr>
  </w:style>
  <w:style w:type="character" w:customStyle="1" w:styleId="34">
    <w:name w:val="Heading 1 Char"/>
    <w:basedOn w:val="28"/>
    <w:link w:val="2"/>
    <w:semiHidden/>
    <w:qFormat/>
    <w:locked/>
    <w:uiPriority w:val="99"/>
    <w:rPr>
      <w:rFonts w:cs="Times New Roman"/>
      <w:b/>
      <w:kern w:val="44"/>
      <w:sz w:val="44"/>
    </w:rPr>
  </w:style>
  <w:style w:type="character" w:customStyle="1" w:styleId="35">
    <w:name w:val="Heading 2 Char"/>
    <w:basedOn w:val="28"/>
    <w:link w:val="3"/>
    <w:semiHidden/>
    <w:qFormat/>
    <w:locked/>
    <w:uiPriority w:val="99"/>
    <w:rPr>
      <w:rFonts w:ascii="Arial" w:hAnsi="Arial" w:eastAsia="黑体" w:cs="Times New Roman"/>
      <w:b/>
      <w:kern w:val="2"/>
      <w:sz w:val="32"/>
    </w:rPr>
  </w:style>
  <w:style w:type="character" w:customStyle="1" w:styleId="36">
    <w:name w:val="标题 3 Char1"/>
    <w:basedOn w:val="28"/>
    <w:link w:val="4"/>
    <w:semiHidden/>
    <w:qFormat/>
    <w:locked/>
    <w:uiPriority w:val="99"/>
    <w:rPr>
      <w:rFonts w:eastAsia="宋体" w:cs="Times New Roman"/>
      <w:b/>
      <w:kern w:val="2"/>
      <w:sz w:val="32"/>
      <w:lang w:val="en-US" w:eastAsia="zh-CN"/>
    </w:rPr>
  </w:style>
  <w:style w:type="character" w:customStyle="1" w:styleId="37">
    <w:name w:val="标题 4 Char"/>
    <w:basedOn w:val="28"/>
    <w:link w:val="5"/>
    <w:semiHidden/>
    <w:qFormat/>
    <w:locked/>
    <w:uiPriority w:val="99"/>
    <w:rPr>
      <w:rFonts w:ascii="宋体" w:hAnsi="宋体" w:eastAsia="宋体" w:cs="Times New Roman"/>
      <w:kern w:val="2"/>
      <w:sz w:val="24"/>
      <w:lang w:val="en-US" w:eastAsia="zh-CN"/>
    </w:rPr>
  </w:style>
  <w:style w:type="character" w:customStyle="1" w:styleId="38">
    <w:name w:val="标题 5 Char"/>
    <w:basedOn w:val="28"/>
    <w:link w:val="6"/>
    <w:semiHidden/>
    <w:qFormat/>
    <w:locked/>
    <w:uiPriority w:val="99"/>
    <w:rPr>
      <w:rFonts w:ascii="宋体" w:hAnsi="宋体" w:eastAsia="黑体" w:cs="Times New Roman"/>
      <w:kern w:val="2"/>
      <w:sz w:val="24"/>
      <w:lang w:val="en-US" w:eastAsia="zh-CN"/>
    </w:rPr>
  </w:style>
  <w:style w:type="character" w:customStyle="1" w:styleId="39">
    <w:name w:val="标题 6 Char"/>
    <w:basedOn w:val="28"/>
    <w:link w:val="7"/>
    <w:semiHidden/>
    <w:qFormat/>
    <w:locked/>
    <w:uiPriority w:val="99"/>
    <w:rPr>
      <w:rFonts w:ascii="宋体" w:hAnsi="宋体" w:eastAsia="黑体" w:cs="Times New Roman"/>
      <w:kern w:val="2"/>
      <w:sz w:val="24"/>
      <w:lang w:val="en-US" w:eastAsia="zh-CN"/>
    </w:rPr>
  </w:style>
  <w:style w:type="character" w:customStyle="1" w:styleId="40">
    <w:name w:val="标题 7 Char"/>
    <w:basedOn w:val="28"/>
    <w:link w:val="8"/>
    <w:semiHidden/>
    <w:qFormat/>
    <w:locked/>
    <w:uiPriority w:val="99"/>
    <w:rPr>
      <w:rFonts w:eastAsia="宋体" w:cs="Times New Roman"/>
      <w:b/>
      <w:kern w:val="2"/>
      <w:sz w:val="24"/>
      <w:lang w:val="en-US" w:eastAsia="zh-CN"/>
    </w:rPr>
  </w:style>
  <w:style w:type="character" w:customStyle="1" w:styleId="41">
    <w:name w:val="标题 8 Char"/>
    <w:basedOn w:val="28"/>
    <w:link w:val="10"/>
    <w:semiHidden/>
    <w:qFormat/>
    <w:locked/>
    <w:uiPriority w:val="99"/>
    <w:rPr>
      <w:rFonts w:ascii="Arial" w:hAnsi="Arial" w:eastAsia="黑体" w:cs="Times New Roman"/>
      <w:kern w:val="2"/>
      <w:sz w:val="24"/>
      <w:lang w:val="en-US" w:eastAsia="zh-CN"/>
    </w:rPr>
  </w:style>
  <w:style w:type="character" w:customStyle="1" w:styleId="42">
    <w:name w:val="标题 9 Char"/>
    <w:basedOn w:val="28"/>
    <w:link w:val="11"/>
    <w:semiHidden/>
    <w:qFormat/>
    <w:locked/>
    <w:uiPriority w:val="99"/>
    <w:rPr>
      <w:rFonts w:ascii="Arial" w:hAnsi="Arial" w:eastAsia="黑体" w:cs="Times New Roman"/>
      <w:kern w:val="2"/>
      <w:sz w:val="24"/>
      <w:lang w:val="en-US" w:eastAsia="zh-CN"/>
    </w:rPr>
  </w:style>
  <w:style w:type="character" w:customStyle="1" w:styleId="43">
    <w:name w:val="标题 1 Char"/>
    <w:link w:val="2"/>
    <w:semiHidden/>
    <w:qFormat/>
    <w:locked/>
    <w:uiPriority w:val="99"/>
    <w:rPr>
      <w:rFonts w:ascii="黑体" w:eastAsia="宋体"/>
      <w:kern w:val="2"/>
      <w:sz w:val="52"/>
      <w:lang w:val="en-US" w:eastAsia="zh-CN"/>
    </w:rPr>
  </w:style>
  <w:style w:type="character" w:customStyle="1" w:styleId="44">
    <w:name w:val="标题 2 Char"/>
    <w:semiHidden/>
    <w:qFormat/>
    <w:uiPriority w:val="99"/>
    <w:rPr>
      <w:rFonts w:ascii="Arial" w:hAnsi="Arial" w:eastAsia="黑体"/>
      <w:snapToGrid w:val="0"/>
      <w:spacing w:val="10"/>
      <w:w w:val="90"/>
      <w:kern w:val="28"/>
      <w:sz w:val="28"/>
      <w:lang w:val="en-US" w:eastAsia="zh-CN"/>
    </w:rPr>
  </w:style>
  <w:style w:type="character" w:customStyle="1" w:styleId="45">
    <w:name w:val="标题 3 Char"/>
    <w:semiHidden/>
    <w:qFormat/>
    <w:uiPriority w:val="99"/>
    <w:rPr>
      <w:rFonts w:ascii="黑体" w:eastAsia="黑体"/>
      <w:b/>
      <w:kern w:val="2"/>
      <w:sz w:val="24"/>
      <w:lang w:val="en-US" w:eastAsia="zh-CN"/>
    </w:rPr>
  </w:style>
  <w:style w:type="character" w:customStyle="1" w:styleId="46">
    <w:name w:val="正文首行缩进 Char"/>
    <w:basedOn w:val="47"/>
    <w:link w:val="48"/>
    <w:semiHidden/>
    <w:qFormat/>
    <w:locked/>
    <w:uiPriority w:val="99"/>
    <w:rPr>
      <w:sz w:val="21"/>
    </w:rPr>
  </w:style>
  <w:style w:type="character" w:customStyle="1" w:styleId="47">
    <w:name w:val="正文文本 Char"/>
    <w:basedOn w:val="28"/>
    <w:link w:val="14"/>
    <w:semiHidden/>
    <w:qFormat/>
    <w:locked/>
    <w:uiPriority w:val="99"/>
    <w:rPr>
      <w:rFonts w:eastAsia="宋体" w:cs="Times New Roman"/>
      <w:kern w:val="2"/>
      <w:sz w:val="24"/>
      <w:lang w:val="en-US" w:eastAsia="zh-CN"/>
    </w:rPr>
  </w:style>
  <w:style w:type="paragraph" w:customStyle="1" w:styleId="48">
    <w:name w:val="Body Text First Indent1"/>
    <w:basedOn w:val="14"/>
    <w:link w:val="46"/>
    <w:qFormat/>
    <w:uiPriority w:val="99"/>
    <w:pPr>
      <w:ind w:firstLine="420" w:firstLineChars="100"/>
    </w:pPr>
    <w:rPr>
      <w:sz w:val="21"/>
    </w:rPr>
  </w:style>
  <w:style w:type="character" w:customStyle="1" w:styleId="49">
    <w:name w:val="正文文本 Char1"/>
    <w:basedOn w:val="28"/>
    <w:link w:val="14"/>
    <w:semiHidden/>
    <w:qFormat/>
    <w:uiPriority w:val="99"/>
    <w:rPr>
      <w:szCs w:val="20"/>
    </w:rPr>
  </w:style>
  <w:style w:type="character" w:customStyle="1" w:styleId="50">
    <w:name w:val="注释标题 Char"/>
    <w:basedOn w:val="28"/>
    <w:link w:val="51"/>
    <w:semiHidden/>
    <w:qFormat/>
    <w:locked/>
    <w:uiPriority w:val="99"/>
    <w:rPr>
      <w:rFonts w:cs="Times New Roman"/>
      <w:sz w:val="20"/>
      <w:szCs w:val="20"/>
    </w:rPr>
  </w:style>
  <w:style w:type="paragraph" w:customStyle="1" w:styleId="51">
    <w:name w:val="Note Heading1"/>
    <w:basedOn w:val="1"/>
    <w:next w:val="1"/>
    <w:link w:val="50"/>
    <w:qFormat/>
    <w:uiPriority w:val="99"/>
    <w:pPr>
      <w:jc w:val="center"/>
    </w:pPr>
  </w:style>
  <w:style w:type="character" w:customStyle="1" w:styleId="52">
    <w:name w:val="正文缩进 Char"/>
    <w:link w:val="9"/>
    <w:semiHidden/>
    <w:qFormat/>
    <w:locked/>
    <w:uiPriority w:val="99"/>
    <w:rPr>
      <w:rFonts w:eastAsia="宋体"/>
      <w:spacing w:val="10"/>
      <w:kern w:val="2"/>
      <w:sz w:val="28"/>
      <w:lang w:val="en-US" w:eastAsia="zh-CN"/>
    </w:rPr>
  </w:style>
  <w:style w:type="character" w:customStyle="1" w:styleId="53">
    <w:name w:val="文档结构图 Char"/>
    <w:basedOn w:val="28"/>
    <w:link w:val="54"/>
    <w:semiHidden/>
    <w:qFormat/>
    <w:locked/>
    <w:uiPriority w:val="99"/>
    <w:rPr>
      <w:rFonts w:cs="Times New Roman"/>
      <w:sz w:val="16"/>
      <w:szCs w:val="16"/>
    </w:rPr>
  </w:style>
  <w:style w:type="paragraph" w:customStyle="1" w:styleId="54">
    <w:name w:val="Document Map1"/>
    <w:basedOn w:val="1"/>
    <w:link w:val="53"/>
    <w:qFormat/>
    <w:uiPriority w:val="99"/>
    <w:pPr>
      <w:shd w:val="clear" w:color="auto" w:fill="000080"/>
    </w:pPr>
    <w:rPr>
      <w:sz w:val="16"/>
      <w:szCs w:val="16"/>
    </w:rPr>
  </w:style>
  <w:style w:type="character" w:customStyle="1" w:styleId="55">
    <w:name w:val="正文文本 3 Char"/>
    <w:basedOn w:val="28"/>
    <w:link w:val="56"/>
    <w:semiHidden/>
    <w:qFormat/>
    <w:locked/>
    <w:uiPriority w:val="99"/>
    <w:rPr>
      <w:rFonts w:cs="Times New Roman"/>
      <w:sz w:val="16"/>
      <w:szCs w:val="16"/>
    </w:rPr>
  </w:style>
  <w:style w:type="paragraph" w:customStyle="1" w:styleId="56">
    <w:name w:val="Body Text 31"/>
    <w:basedOn w:val="1"/>
    <w:link w:val="55"/>
    <w:qFormat/>
    <w:uiPriority w:val="99"/>
    <w:pPr>
      <w:jc w:val="center"/>
    </w:pPr>
    <w:rPr>
      <w:sz w:val="16"/>
      <w:szCs w:val="16"/>
    </w:rPr>
  </w:style>
  <w:style w:type="character" w:customStyle="1" w:styleId="57">
    <w:name w:val="正文文本缩进 Char"/>
    <w:basedOn w:val="28"/>
    <w:link w:val="58"/>
    <w:semiHidden/>
    <w:qFormat/>
    <w:locked/>
    <w:uiPriority w:val="99"/>
    <w:rPr>
      <w:rFonts w:ascii="宋体" w:eastAsia="宋体" w:cs="Times New Roman"/>
      <w:b/>
      <w:kern w:val="2"/>
      <w:sz w:val="21"/>
      <w:lang w:val="en-US" w:eastAsia="zh-CN"/>
    </w:rPr>
  </w:style>
  <w:style w:type="paragraph" w:customStyle="1" w:styleId="58">
    <w:name w:val="Body Text Indent1"/>
    <w:basedOn w:val="1"/>
    <w:link w:val="57"/>
    <w:qFormat/>
    <w:uiPriority w:val="99"/>
    <w:pPr>
      <w:ind w:left="360"/>
      <w:jc w:val="left"/>
    </w:pPr>
    <w:rPr>
      <w:rFonts w:ascii="宋体"/>
      <w:b/>
    </w:rPr>
  </w:style>
  <w:style w:type="character" w:customStyle="1" w:styleId="59">
    <w:name w:val="纯文本 Char"/>
    <w:basedOn w:val="28"/>
    <w:link w:val="60"/>
    <w:semiHidden/>
    <w:qFormat/>
    <w:locked/>
    <w:uiPriority w:val="99"/>
    <w:rPr>
      <w:rFonts w:ascii="宋体" w:hAnsi="Courier New" w:eastAsia="宋体" w:cs="Times New Roman"/>
      <w:kern w:val="2"/>
      <w:sz w:val="21"/>
      <w:lang w:val="en-US" w:eastAsia="zh-CN"/>
    </w:rPr>
  </w:style>
  <w:style w:type="paragraph" w:customStyle="1" w:styleId="60">
    <w:name w:val="Plain Text1"/>
    <w:basedOn w:val="1"/>
    <w:link w:val="59"/>
    <w:qFormat/>
    <w:uiPriority w:val="99"/>
    <w:rPr>
      <w:rFonts w:ascii="宋体" w:hAnsi="Courier New"/>
    </w:rPr>
  </w:style>
  <w:style w:type="character" w:customStyle="1" w:styleId="61">
    <w:name w:val="日期 Char"/>
    <w:basedOn w:val="28"/>
    <w:link w:val="62"/>
    <w:semiHidden/>
    <w:qFormat/>
    <w:locked/>
    <w:uiPriority w:val="99"/>
    <w:rPr>
      <w:rFonts w:cs="Times New Roman"/>
      <w:sz w:val="20"/>
      <w:szCs w:val="20"/>
    </w:rPr>
  </w:style>
  <w:style w:type="paragraph" w:customStyle="1" w:styleId="62">
    <w:name w:val="Date1"/>
    <w:basedOn w:val="1"/>
    <w:next w:val="1"/>
    <w:link w:val="61"/>
    <w:qFormat/>
    <w:uiPriority w:val="99"/>
    <w:pPr>
      <w:adjustRightInd w:val="0"/>
      <w:spacing w:line="312" w:lineRule="atLeast"/>
      <w:textAlignment w:val="baseline"/>
    </w:pPr>
  </w:style>
  <w:style w:type="character" w:customStyle="1" w:styleId="63">
    <w:name w:val="正文文本缩进 2 Char"/>
    <w:basedOn w:val="28"/>
    <w:link w:val="64"/>
    <w:semiHidden/>
    <w:qFormat/>
    <w:locked/>
    <w:uiPriority w:val="99"/>
    <w:rPr>
      <w:rFonts w:cs="Times New Roman"/>
      <w:sz w:val="20"/>
      <w:szCs w:val="20"/>
    </w:rPr>
  </w:style>
  <w:style w:type="paragraph" w:customStyle="1" w:styleId="64">
    <w:name w:val="Body Text Indent 21"/>
    <w:basedOn w:val="1"/>
    <w:link w:val="63"/>
    <w:qFormat/>
    <w:uiPriority w:val="99"/>
    <w:pPr>
      <w:spacing w:after="120" w:line="480" w:lineRule="auto"/>
      <w:ind w:left="420" w:leftChars="200"/>
    </w:pPr>
  </w:style>
  <w:style w:type="character" w:customStyle="1" w:styleId="65">
    <w:name w:val="Footer Char"/>
    <w:basedOn w:val="28"/>
    <w:link w:val="19"/>
    <w:semiHidden/>
    <w:qFormat/>
    <w:locked/>
    <w:uiPriority w:val="99"/>
    <w:rPr>
      <w:rFonts w:cs="Times New Roman"/>
      <w:kern w:val="2"/>
      <w:sz w:val="18"/>
    </w:rPr>
  </w:style>
  <w:style w:type="character" w:customStyle="1" w:styleId="66">
    <w:name w:val="页脚 Char"/>
    <w:link w:val="19"/>
    <w:semiHidden/>
    <w:qFormat/>
    <w:locked/>
    <w:uiPriority w:val="99"/>
    <w:rPr>
      <w:rFonts w:eastAsia="宋体"/>
      <w:kern w:val="2"/>
      <w:sz w:val="18"/>
      <w:lang w:val="en-US" w:eastAsia="zh-CN"/>
    </w:rPr>
  </w:style>
  <w:style w:type="character" w:customStyle="1" w:styleId="67">
    <w:name w:val="Header Char"/>
    <w:basedOn w:val="28"/>
    <w:link w:val="20"/>
    <w:semiHidden/>
    <w:qFormat/>
    <w:locked/>
    <w:uiPriority w:val="99"/>
    <w:rPr>
      <w:rFonts w:cs="Times New Roman"/>
      <w:kern w:val="2"/>
      <w:sz w:val="18"/>
    </w:rPr>
  </w:style>
  <w:style w:type="character" w:customStyle="1" w:styleId="68">
    <w:name w:val="页眉 Char"/>
    <w:link w:val="20"/>
    <w:semiHidden/>
    <w:qFormat/>
    <w:locked/>
    <w:uiPriority w:val="99"/>
    <w:rPr>
      <w:rFonts w:eastAsia="宋体"/>
      <w:kern w:val="2"/>
      <w:sz w:val="18"/>
      <w:lang w:val="en-US" w:eastAsia="zh-CN"/>
    </w:rPr>
  </w:style>
  <w:style w:type="character" w:customStyle="1" w:styleId="69">
    <w:name w:val="脚注文本 Char"/>
    <w:basedOn w:val="28"/>
    <w:link w:val="23"/>
    <w:semiHidden/>
    <w:qFormat/>
    <w:locked/>
    <w:uiPriority w:val="99"/>
    <w:rPr>
      <w:rFonts w:cs="Times New Roman"/>
      <w:kern w:val="2"/>
      <w:sz w:val="18"/>
    </w:rPr>
  </w:style>
  <w:style w:type="character" w:customStyle="1" w:styleId="70">
    <w:name w:val="正文文本缩进 3 Char"/>
    <w:basedOn w:val="28"/>
    <w:link w:val="71"/>
    <w:semiHidden/>
    <w:qFormat/>
    <w:locked/>
    <w:uiPriority w:val="99"/>
    <w:rPr>
      <w:rFonts w:ascii="宋体" w:hAnsi="宋体" w:eastAsia="宋体" w:cs="Times New Roman"/>
      <w:kern w:val="2"/>
      <w:sz w:val="24"/>
      <w:lang w:val="en-US" w:eastAsia="zh-CN"/>
    </w:rPr>
  </w:style>
  <w:style w:type="paragraph" w:customStyle="1" w:styleId="71">
    <w:name w:val="Body Text Indent 31"/>
    <w:basedOn w:val="1"/>
    <w:link w:val="70"/>
    <w:qFormat/>
    <w:uiPriority w:val="99"/>
    <w:pPr>
      <w:tabs>
        <w:tab w:val="left" w:pos="1520"/>
      </w:tabs>
      <w:spacing w:line="600" w:lineRule="exact"/>
      <w:ind w:firstLine="480"/>
    </w:pPr>
    <w:rPr>
      <w:rFonts w:ascii="宋体" w:hAnsi="宋体"/>
      <w:sz w:val="24"/>
    </w:rPr>
  </w:style>
  <w:style w:type="character" w:customStyle="1" w:styleId="72">
    <w:name w:val="正文文本 2 Char"/>
    <w:semiHidden/>
    <w:qFormat/>
    <w:uiPriority w:val="99"/>
    <w:rPr>
      <w:kern w:val="2"/>
      <w:sz w:val="24"/>
    </w:rPr>
  </w:style>
  <w:style w:type="paragraph" w:customStyle="1" w:styleId="73">
    <w:name w:val="Body Text 21"/>
    <w:basedOn w:val="1"/>
    <w:link w:val="345"/>
    <w:qFormat/>
    <w:uiPriority w:val="99"/>
    <w:pPr>
      <w:spacing w:after="120" w:line="480" w:lineRule="auto"/>
    </w:pPr>
    <w:rPr>
      <w:sz w:val="24"/>
    </w:rPr>
  </w:style>
  <w:style w:type="character" w:customStyle="1" w:styleId="74">
    <w:name w:val="HTML 预设格式 Char"/>
    <w:basedOn w:val="28"/>
    <w:link w:val="75"/>
    <w:semiHidden/>
    <w:qFormat/>
    <w:locked/>
    <w:uiPriority w:val="99"/>
    <w:rPr>
      <w:rFonts w:ascii="Courier New" w:hAnsi="Courier New" w:cs="Courier New"/>
      <w:sz w:val="20"/>
      <w:szCs w:val="20"/>
    </w:rPr>
  </w:style>
  <w:style w:type="paragraph" w:customStyle="1" w:styleId="75">
    <w:name w:val="HTML Preformatted1"/>
    <w:basedOn w:val="1"/>
    <w:link w:val="7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76">
    <w:name w:val="普通(网站) Char"/>
    <w:link w:val="77"/>
    <w:semiHidden/>
    <w:qFormat/>
    <w:locked/>
    <w:uiPriority w:val="99"/>
    <w:rPr>
      <w:rFonts w:ascii="宋体" w:hAnsi="宋体" w:eastAsia="宋体"/>
      <w:color w:val="000000"/>
      <w:sz w:val="24"/>
      <w:lang w:val="en-US" w:eastAsia="zh-CN"/>
    </w:rPr>
  </w:style>
  <w:style w:type="paragraph" w:customStyle="1" w:styleId="77">
    <w:name w:val="HTML Address1"/>
    <w:basedOn w:val="1"/>
    <w:link w:val="76"/>
    <w:qFormat/>
    <w:uiPriority w:val="99"/>
    <w:rPr>
      <w:rFonts w:ascii="宋体" w:hAnsi="宋体"/>
      <w:color w:val="000000"/>
      <w:kern w:val="0"/>
      <w:sz w:val="24"/>
    </w:rPr>
  </w:style>
  <w:style w:type="character" w:customStyle="1" w:styleId="78">
    <w:name w:val="标题 Char"/>
    <w:basedOn w:val="28"/>
    <w:link w:val="27"/>
    <w:semiHidden/>
    <w:qFormat/>
    <w:locked/>
    <w:uiPriority w:val="99"/>
    <w:rPr>
      <w:rFonts w:ascii="Arial" w:hAnsi="Arial" w:eastAsia="宋体" w:cs="Times New Roman"/>
      <w:b/>
      <w:snapToGrid w:val="0"/>
      <w:sz w:val="32"/>
      <w:lang w:val="en-US" w:eastAsia="zh-CN"/>
    </w:rPr>
  </w:style>
  <w:style w:type="paragraph" w:customStyle="1" w:styleId="79">
    <w:name w:val="批注框文本 Char Char"/>
    <w:basedOn w:val="1"/>
    <w:link w:val="344"/>
    <w:qFormat/>
    <w:uiPriority w:val="99"/>
    <w:pPr>
      <w:adjustRightInd w:val="0"/>
      <w:spacing w:line="360" w:lineRule="atLeast"/>
      <w:jc w:val="left"/>
      <w:textAlignment w:val="baseline"/>
    </w:pPr>
    <w:rPr>
      <w:sz w:val="18"/>
    </w:rPr>
  </w:style>
  <w:style w:type="paragraph" w:customStyle="1" w:styleId="80">
    <w:name w:val="List 21"/>
    <w:basedOn w:val="1"/>
    <w:qFormat/>
    <w:uiPriority w:val="99"/>
    <w:pPr>
      <w:ind w:left="840" w:hanging="420"/>
    </w:pPr>
  </w:style>
  <w:style w:type="paragraph" w:customStyle="1" w:styleId="81">
    <w:name w:val="Index 11"/>
    <w:basedOn w:val="1"/>
    <w:next w:val="1"/>
    <w:qFormat/>
    <w:uiPriority w:val="99"/>
    <w:pPr>
      <w:spacing w:line="400" w:lineRule="exact"/>
    </w:pPr>
    <w:rPr>
      <w:szCs w:val="24"/>
    </w:rPr>
  </w:style>
  <w:style w:type="paragraph" w:customStyle="1" w:styleId="82">
    <w:name w:val="Index Heading1"/>
    <w:basedOn w:val="1"/>
    <w:next w:val="81"/>
    <w:qFormat/>
    <w:uiPriority w:val="99"/>
    <w:rPr>
      <w:szCs w:val="24"/>
    </w:rPr>
  </w:style>
  <w:style w:type="paragraph" w:customStyle="1" w:styleId="83">
    <w:name w:val="List1"/>
    <w:basedOn w:val="1"/>
    <w:qFormat/>
    <w:uiPriority w:val="99"/>
    <w:pPr>
      <w:ind w:left="200" w:hanging="200" w:hangingChars="200"/>
    </w:pPr>
    <w:rPr>
      <w:szCs w:val="24"/>
    </w:rPr>
  </w:style>
  <w:style w:type="paragraph" w:customStyle="1" w:styleId="84">
    <w:name w:val="List 51"/>
    <w:basedOn w:val="1"/>
    <w:qFormat/>
    <w:uiPriority w:val="99"/>
    <w:pPr>
      <w:tabs>
        <w:tab w:val="left" w:pos="3780"/>
      </w:tabs>
      <w:ind w:left="3780" w:hanging="420"/>
    </w:pPr>
    <w:rPr>
      <w:sz w:val="32"/>
    </w:rPr>
  </w:style>
  <w:style w:type="paragraph" w:customStyle="1" w:styleId="85">
    <w:name w:val="List Continue 21"/>
    <w:basedOn w:val="1"/>
    <w:qFormat/>
    <w:uiPriority w:val="99"/>
    <w:pPr>
      <w:spacing w:after="120"/>
      <w:ind w:left="400" w:leftChars="400"/>
    </w:pPr>
    <w:rPr>
      <w:szCs w:val="24"/>
    </w:rPr>
  </w:style>
  <w:style w:type="paragraph" w:customStyle="1" w:styleId="86">
    <w:name w:val="Normal (Web)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7">
    <w:name w:val="Index 21"/>
    <w:basedOn w:val="1"/>
    <w:next w:val="1"/>
    <w:qFormat/>
    <w:uiPriority w:val="99"/>
    <w:pPr>
      <w:ind w:left="420" w:hanging="210"/>
      <w:jc w:val="left"/>
    </w:pPr>
  </w:style>
  <w:style w:type="paragraph" w:customStyle="1" w:styleId="88">
    <w:name w:val="正文文本 (2)1"/>
    <w:basedOn w:val="1"/>
    <w:link w:val="374"/>
    <w:qFormat/>
    <w:uiPriority w:val="99"/>
    <w:pPr>
      <w:shd w:val="clear" w:color="auto" w:fill="FFFFFF"/>
      <w:spacing w:line="479" w:lineRule="exact"/>
      <w:jc w:val="left"/>
    </w:pPr>
    <w:rPr>
      <w:rFonts w:ascii="MingLiUfalt" w:hAnsi="Calibri" w:eastAsia="MingLiUfalt" w:cs="MingLiUfalt"/>
      <w:kern w:val="0"/>
      <w:sz w:val="26"/>
      <w:szCs w:val="26"/>
    </w:rPr>
  </w:style>
  <w:style w:type="paragraph" w:customStyle="1" w:styleId="89">
    <w:name w:val="报告正文"/>
    <w:basedOn w:val="48"/>
    <w:link w:val="380"/>
    <w:qFormat/>
    <w:uiPriority w:val="0"/>
    <w:pPr>
      <w:spacing w:after="0" w:line="600" w:lineRule="exact"/>
      <w:ind w:firstLine="200" w:firstLineChars="200"/>
      <w:jc w:val="left"/>
    </w:pPr>
    <w:rPr>
      <w:rFonts w:ascii="宋体" w:hAnsi="宋体"/>
      <w:color w:val="000000"/>
      <w:kern w:val="0"/>
      <w:sz w:val="24"/>
    </w:rPr>
  </w:style>
  <w:style w:type="paragraph" w:customStyle="1" w:styleId="90">
    <w:name w:val="样式 正文首行缩进 + 首行缩进:  1 字符2"/>
    <w:basedOn w:val="1"/>
    <w:link w:val="386"/>
    <w:qFormat/>
    <w:uiPriority w:val="99"/>
    <w:pPr>
      <w:spacing w:line="360" w:lineRule="auto"/>
      <w:ind w:firstLine="480" w:firstLineChars="200"/>
    </w:pPr>
    <w:rPr>
      <w:rFonts w:ascii="宋体"/>
      <w:sz w:val="24"/>
    </w:rPr>
  </w:style>
  <w:style w:type="paragraph" w:customStyle="1" w:styleId="91">
    <w:name w:val="环正文"/>
    <w:basedOn w:val="1"/>
    <w:link w:val="390"/>
    <w:qFormat/>
    <w:uiPriority w:val="99"/>
    <w:pPr>
      <w:widowControl/>
      <w:suppressAutoHyphens/>
      <w:adjustRightInd w:val="0"/>
      <w:ind w:left="-59" w:leftChars="-28"/>
      <w:jc w:val="center"/>
      <w:textAlignment w:val="baseline"/>
    </w:pPr>
    <w:rPr>
      <w:rFonts w:ascii="Tahoma" w:hAnsi="Tahoma"/>
      <w:kern w:val="0"/>
    </w:rPr>
  </w:style>
  <w:style w:type="paragraph" w:customStyle="1" w:styleId="92">
    <w:name w:val="无间隔1"/>
    <w:link w:val="401"/>
    <w:qFormat/>
    <w:uiPriority w:val="99"/>
    <w:rPr>
      <w:rFonts w:ascii="Calibri" w:hAnsi="Calibri" w:eastAsia="宋体" w:cs="Times New Roman"/>
      <w:sz w:val="22"/>
      <w:szCs w:val="22"/>
      <w:lang w:val="en-US" w:eastAsia="zh-CN" w:bidi="ar-SA"/>
    </w:rPr>
  </w:style>
  <w:style w:type="paragraph" w:customStyle="1" w:styleId="93">
    <w:name w:val="样式 正文首行缩进 + 首行缩进:  1 字符2 + 首行缩进:  2 字符"/>
    <w:basedOn w:val="1"/>
    <w:link w:val="408"/>
    <w:qFormat/>
    <w:uiPriority w:val="99"/>
    <w:pPr>
      <w:tabs>
        <w:tab w:val="left" w:pos="1575"/>
      </w:tabs>
      <w:spacing w:line="360" w:lineRule="auto"/>
      <w:ind w:firstLine="480" w:firstLineChars="200"/>
    </w:pPr>
    <w:rPr>
      <w:rFonts w:ascii="宋体"/>
      <w:kern w:val="0"/>
      <w:sz w:val="24"/>
      <w:lang w:val="zh-CN"/>
    </w:rPr>
  </w:style>
  <w:style w:type="paragraph" w:customStyle="1" w:styleId="94">
    <w:name w:val="No Spacing1"/>
    <w:link w:val="416"/>
    <w:qFormat/>
    <w:uiPriority w:val="99"/>
    <w:rPr>
      <w:rFonts w:ascii="Calibri" w:hAnsi="Calibri" w:eastAsia="宋体" w:cs="Times New Roman"/>
      <w:sz w:val="22"/>
      <w:szCs w:val="22"/>
      <w:lang w:val="en-US" w:eastAsia="zh-CN" w:bidi="ar-SA"/>
    </w:rPr>
  </w:style>
  <w:style w:type="paragraph" w:customStyle="1" w:styleId="95">
    <w:name w:val="Char Char Char Char Char Char Char"/>
    <w:basedOn w:val="1"/>
    <w:qFormat/>
    <w:uiPriority w:val="99"/>
    <w:pPr>
      <w:spacing w:line="360" w:lineRule="auto"/>
    </w:pPr>
    <w:rPr>
      <w:sz w:val="24"/>
      <w:szCs w:val="24"/>
    </w:rPr>
  </w:style>
  <w:style w:type="paragraph" w:customStyle="1" w:styleId="96">
    <w:name w:val="列出段落1"/>
    <w:basedOn w:val="1"/>
    <w:qFormat/>
    <w:uiPriority w:val="0"/>
    <w:pPr>
      <w:ind w:firstLine="420" w:firstLineChars="200"/>
    </w:pPr>
    <w:rPr>
      <w:szCs w:val="24"/>
    </w:rPr>
  </w:style>
  <w:style w:type="paragraph" w:customStyle="1" w:styleId="97">
    <w:name w:val="xl125"/>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98">
    <w:name w:val="样式2"/>
    <w:basedOn w:val="1"/>
    <w:qFormat/>
    <w:uiPriority w:val="99"/>
    <w:pPr>
      <w:tabs>
        <w:tab w:val="left" w:pos="360"/>
      </w:tabs>
      <w:adjustRightInd w:val="0"/>
      <w:snapToGrid w:val="0"/>
      <w:spacing w:beforeLines="50" w:line="300" w:lineRule="auto"/>
    </w:pPr>
    <w:rPr>
      <w:spacing w:val="20"/>
      <w:kern w:val="0"/>
      <w:sz w:val="24"/>
    </w:rPr>
  </w:style>
  <w:style w:type="paragraph" w:customStyle="1" w:styleId="99">
    <w:name w:val="标准表格"/>
    <w:basedOn w:val="1"/>
    <w:qFormat/>
    <w:uiPriority w:val="99"/>
    <w:pPr>
      <w:tabs>
        <w:tab w:val="left" w:pos="0"/>
      </w:tabs>
      <w:adjustRightInd w:val="0"/>
      <w:spacing w:line="360" w:lineRule="exact"/>
      <w:jc w:val="center"/>
      <w:textAlignment w:val="center"/>
    </w:pPr>
    <w:rPr>
      <w:rFonts w:ascii="宋体" w:hAnsi="宋体"/>
      <w:kern w:val="0"/>
    </w:rPr>
  </w:style>
  <w:style w:type="paragraph" w:customStyle="1" w:styleId="100">
    <w:name w:val="xl8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01">
    <w:name w:val="char"/>
    <w:basedOn w:val="1"/>
    <w:qFormat/>
    <w:uiPriority w:val="99"/>
    <w:pPr>
      <w:widowControl/>
      <w:spacing w:after="160" w:line="240" w:lineRule="exact"/>
      <w:jc w:val="left"/>
    </w:pPr>
    <w:rPr>
      <w:szCs w:val="24"/>
    </w:rPr>
  </w:style>
  <w:style w:type="paragraph" w:customStyle="1" w:styleId="102">
    <w:name w:val="xl8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24"/>
      <w:szCs w:val="24"/>
    </w:rPr>
  </w:style>
  <w:style w:type="paragraph" w:customStyle="1" w:styleId="103">
    <w:name w:val="Char1"/>
    <w:basedOn w:val="1"/>
    <w:qFormat/>
    <w:uiPriority w:val="99"/>
  </w:style>
  <w:style w:type="paragraph" w:customStyle="1" w:styleId="104">
    <w:name w:val="font20"/>
    <w:basedOn w:val="1"/>
    <w:qFormat/>
    <w:uiPriority w:val="99"/>
    <w:pPr>
      <w:widowControl/>
      <w:spacing w:before="100" w:beforeAutospacing="1" w:after="100" w:afterAutospacing="1"/>
      <w:jc w:val="left"/>
    </w:pPr>
    <w:rPr>
      <w:kern w:val="0"/>
      <w:sz w:val="20"/>
    </w:rPr>
  </w:style>
  <w:style w:type="paragraph" w:customStyle="1" w:styleId="105">
    <w:name w:val="正文(首行缩进)"/>
    <w:basedOn w:val="1"/>
    <w:qFormat/>
    <w:uiPriority w:val="99"/>
    <w:pPr>
      <w:tabs>
        <w:tab w:val="left" w:pos="4584"/>
      </w:tabs>
      <w:adjustRightInd w:val="0"/>
      <w:spacing w:beforeLines="50" w:line="560" w:lineRule="exact"/>
      <w:ind w:firstLine="600" w:firstLineChars="200"/>
    </w:pPr>
    <w:rPr>
      <w:rFonts w:ascii="宋体" w:hAnsi="宋体"/>
      <w:spacing w:val="10"/>
      <w:kern w:val="0"/>
      <w:sz w:val="28"/>
    </w:rPr>
  </w:style>
  <w:style w:type="paragraph" w:customStyle="1" w:styleId="106">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07">
    <w:name w:val="Style47"/>
    <w:basedOn w:val="1"/>
    <w:qFormat/>
    <w:uiPriority w:val="99"/>
    <w:pPr>
      <w:adjustRightInd w:val="0"/>
      <w:jc w:val="left"/>
    </w:pPr>
    <w:rPr>
      <w:rFonts w:ascii="宋体"/>
      <w:kern w:val="0"/>
      <w:sz w:val="24"/>
      <w:szCs w:val="24"/>
    </w:rPr>
  </w:style>
  <w:style w:type="paragraph" w:customStyle="1" w:styleId="108">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16"/>
      <w:szCs w:val="16"/>
    </w:rPr>
  </w:style>
  <w:style w:type="paragraph" w:customStyle="1" w:styleId="109">
    <w:name w:val="xl7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10">
    <w:name w:val="font19"/>
    <w:basedOn w:val="1"/>
    <w:qFormat/>
    <w:uiPriority w:val="99"/>
    <w:pPr>
      <w:widowControl/>
      <w:spacing w:before="100" w:beforeAutospacing="1" w:after="100" w:afterAutospacing="1"/>
      <w:jc w:val="left"/>
    </w:pPr>
    <w:rPr>
      <w:rFonts w:ascii="宋体" w:hAnsi="宋体" w:cs="Arial Unicode MS"/>
      <w:kern w:val="0"/>
      <w:sz w:val="20"/>
    </w:rPr>
  </w:style>
  <w:style w:type="paragraph" w:customStyle="1" w:styleId="111">
    <w:name w:val="Char Char Char Char Char Char Char Char Char Char Char1 Char Char Char Char Char Char Char"/>
    <w:basedOn w:val="1"/>
    <w:qFormat/>
    <w:uiPriority w:val="99"/>
    <w:rPr>
      <w:szCs w:val="24"/>
    </w:rPr>
  </w:style>
  <w:style w:type="paragraph" w:customStyle="1" w:styleId="112">
    <w:name w:val="xl3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20"/>
    </w:rPr>
  </w:style>
  <w:style w:type="paragraph" w:customStyle="1" w:styleId="113">
    <w:name w:val="xl105"/>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color w:val="FF0000"/>
      <w:kern w:val="0"/>
      <w:sz w:val="24"/>
      <w:szCs w:val="24"/>
    </w:rPr>
  </w:style>
  <w:style w:type="paragraph" w:customStyle="1" w:styleId="114">
    <w:name w:val="p0"/>
    <w:basedOn w:val="1"/>
    <w:qFormat/>
    <w:uiPriority w:val="99"/>
    <w:pPr>
      <w:widowControl/>
    </w:pPr>
    <w:rPr>
      <w:rFonts w:ascii="Calibri" w:hAnsi="Calibri" w:cs="宋体"/>
      <w:kern w:val="0"/>
      <w:szCs w:val="21"/>
    </w:rPr>
  </w:style>
  <w:style w:type="paragraph" w:customStyle="1" w:styleId="115">
    <w:name w:val="xl9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color w:val="008000"/>
      <w:kern w:val="0"/>
      <w:sz w:val="24"/>
      <w:szCs w:val="24"/>
    </w:rPr>
  </w:style>
  <w:style w:type="paragraph" w:customStyle="1" w:styleId="116">
    <w:name w:val="xl12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117">
    <w:name w:val="表格"/>
    <w:basedOn w:val="1"/>
    <w:link w:val="423"/>
    <w:qFormat/>
    <w:uiPriority w:val="99"/>
    <w:pPr>
      <w:widowControl/>
      <w:snapToGrid w:val="0"/>
      <w:jc w:val="center"/>
    </w:pPr>
    <w:rPr>
      <w:kern w:val="0"/>
      <w:sz w:val="24"/>
    </w:rPr>
  </w:style>
  <w:style w:type="paragraph" w:customStyle="1" w:styleId="118">
    <w:name w:val="表格03"/>
    <w:basedOn w:val="1"/>
    <w:qFormat/>
    <w:uiPriority w:val="99"/>
    <w:pPr>
      <w:adjustRightInd w:val="0"/>
      <w:spacing w:line="400" w:lineRule="exact"/>
      <w:jc w:val="center"/>
      <w:textAlignment w:val="baseline"/>
    </w:pPr>
  </w:style>
  <w:style w:type="paragraph" w:customStyle="1" w:styleId="119">
    <w:name w:val="xl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20">
    <w:name w:val="xl7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21">
    <w:name w:val="font9"/>
    <w:basedOn w:val="1"/>
    <w:qFormat/>
    <w:uiPriority w:val="99"/>
    <w:pPr>
      <w:widowControl/>
      <w:spacing w:before="100" w:beforeAutospacing="1" w:after="100" w:afterAutospacing="1"/>
      <w:jc w:val="left"/>
    </w:pPr>
    <w:rPr>
      <w:rFonts w:ascii="Arial" w:hAnsi="Arial" w:cs="Arial"/>
      <w:kern w:val="0"/>
      <w:sz w:val="12"/>
      <w:szCs w:val="12"/>
    </w:rPr>
  </w:style>
  <w:style w:type="paragraph" w:customStyle="1" w:styleId="122">
    <w:name w:val="xl6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23">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4">
    <w:name w:val="纯文本1"/>
    <w:basedOn w:val="1"/>
    <w:qFormat/>
    <w:uiPriority w:val="99"/>
    <w:pPr>
      <w:adjustRightInd w:val="0"/>
      <w:textAlignment w:val="baseline"/>
    </w:pPr>
    <w:rPr>
      <w:rFonts w:ascii="宋体" w:hAnsi="Courier New"/>
      <w:color w:val="000000"/>
      <w:kern w:val="0"/>
    </w:rPr>
  </w:style>
  <w:style w:type="paragraph" w:customStyle="1" w:styleId="125">
    <w:name w:val="xl70"/>
    <w:basedOn w:val="1"/>
    <w:qFormat/>
    <w:uiPriority w:val="99"/>
    <w:pPr>
      <w:widowControl/>
      <w:spacing w:before="100" w:after="100"/>
      <w:jc w:val="center"/>
    </w:pPr>
    <w:rPr>
      <w:kern w:val="0"/>
      <w:sz w:val="24"/>
    </w:rPr>
  </w:style>
  <w:style w:type="paragraph" w:customStyle="1" w:styleId="126">
    <w:name w:val="xl63"/>
    <w:basedOn w:val="1"/>
    <w:qFormat/>
    <w:uiPriority w:val="99"/>
    <w:pPr>
      <w:widowControl/>
      <w:pBdr>
        <w:top w:val="single" w:color="auto" w:sz="4" w:space="0"/>
        <w:left w:val="single" w:color="auto" w:sz="4" w:space="0"/>
      </w:pBdr>
      <w:spacing w:before="100" w:beforeAutospacing="1" w:after="100" w:afterAutospacing="1"/>
      <w:jc w:val="center"/>
    </w:pPr>
    <w:rPr>
      <w:color w:val="FF0000"/>
      <w:kern w:val="0"/>
      <w:sz w:val="24"/>
      <w:szCs w:val="24"/>
    </w:rPr>
  </w:style>
  <w:style w:type="paragraph" w:customStyle="1" w:styleId="127">
    <w:name w:val="样式1"/>
    <w:basedOn w:val="1"/>
    <w:qFormat/>
    <w:uiPriority w:val="99"/>
    <w:rPr>
      <w:sz w:val="24"/>
    </w:rPr>
  </w:style>
  <w:style w:type="paragraph" w:customStyle="1" w:styleId="128">
    <w:name w:val="Char2"/>
    <w:basedOn w:val="1"/>
    <w:qFormat/>
    <w:uiPriority w:val="99"/>
    <w:pPr>
      <w:ind w:left="510"/>
    </w:pPr>
    <w:rPr>
      <w:szCs w:val="24"/>
    </w:rPr>
  </w:style>
  <w:style w:type="paragraph" w:customStyle="1" w:styleId="129">
    <w:name w:val="xl93"/>
    <w:basedOn w:val="1"/>
    <w:qFormat/>
    <w:uiPriority w:val="99"/>
    <w:pPr>
      <w:widowControl/>
      <w:pBdr>
        <w:top w:val="single" w:color="auto" w:sz="4" w:space="0"/>
        <w:left w:val="single" w:color="auto" w:sz="12"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130">
    <w:name w:val="样式4"/>
    <w:basedOn w:val="127"/>
    <w:qFormat/>
    <w:uiPriority w:val="99"/>
  </w:style>
  <w:style w:type="paragraph" w:customStyle="1" w:styleId="131">
    <w:name w:val="xl128"/>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132">
    <w:name w:val="xl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33">
    <w:name w:val="reader-word-layer reader-word-s3-1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34">
    <w:name w:val="xl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135">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36">
    <w:name w:val="标题5"/>
    <w:basedOn w:val="9"/>
    <w:qFormat/>
    <w:uiPriority w:val="99"/>
    <w:pPr>
      <w:tabs>
        <w:tab w:val="left" w:pos="1260"/>
      </w:tabs>
      <w:ind w:left="1260" w:hanging="420"/>
    </w:pPr>
    <w:rPr>
      <w:b/>
    </w:rPr>
  </w:style>
  <w:style w:type="paragraph" w:customStyle="1" w:styleId="137">
    <w:name w:val="xl7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38">
    <w:name w:val="a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39">
    <w:name w:val="xl1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140">
    <w:name w:val="xl76"/>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color w:val="008000"/>
      <w:kern w:val="0"/>
      <w:sz w:val="24"/>
      <w:szCs w:val="24"/>
    </w:rPr>
  </w:style>
  <w:style w:type="paragraph" w:customStyle="1" w:styleId="141">
    <w:name w:val="环评正文"/>
    <w:basedOn w:val="2"/>
    <w:qFormat/>
    <w:uiPriority w:val="99"/>
    <w:pPr>
      <w:spacing w:beforeLines="100" w:afterLines="50" w:line="400" w:lineRule="exact"/>
      <w:ind w:firstLine="480"/>
      <w:outlineLvl w:val="9"/>
    </w:pPr>
    <w:rPr>
      <w:rFonts w:ascii="Times New Roman" w:eastAsia="仿宋_GB2312"/>
      <w:kern w:val="44"/>
      <w:sz w:val="24"/>
    </w:rPr>
  </w:style>
  <w:style w:type="paragraph" w:customStyle="1" w:styleId="142">
    <w:name w:val="xl113"/>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000000"/>
      <w:kern w:val="0"/>
      <w:sz w:val="24"/>
      <w:szCs w:val="24"/>
    </w:rPr>
  </w:style>
  <w:style w:type="paragraph" w:customStyle="1" w:styleId="143">
    <w:name w:val="xl108"/>
    <w:basedOn w:val="1"/>
    <w:qFormat/>
    <w:uiPriority w:val="99"/>
    <w:pPr>
      <w:widowControl/>
      <w:pBdr>
        <w:top w:val="single" w:color="auto" w:sz="4" w:space="0"/>
        <w:bottom w:val="single" w:color="auto" w:sz="4" w:space="0"/>
      </w:pBdr>
      <w:spacing w:before="100" w:beforeAutospacing="1" w:after="100" w:afterAutospacing="1"/>
      <w:jc w:val="left"/>
    </w:pPr>
    <w:rPr>
      <w:color w:val="FF0000"/>
      <w:kern w:val="0"/>
      <w:sz w:val="24"/>
      <w:szCs w:val="24"/>
    </w:rPr>
  </w:style>
  <w:style w:type="paragraph" w:customStyle="1" w:styleId="144">
    <w:name w:val="默认段落字体 Para Char Char Char Char"/>
    <w:basedOn w:val="1"/>
    <w:qFormat/>
    <w:uiPriority w:val="99"/>
    <w:rPr>
      <w:szCs w:val="24"/>
    </w:rPr>
  </w:style>
  <w:style w:type="paragraph" w:customStyle="1" w:styleId="145">
    <w:name w:val="Char Char Char Char"/>
    <w:basedOn w:val="1"/>
    <w:qFormat/>
    <w:uiPriority w:val="99"/>
  </w:style>
  <w:style w:type="paragraph" w:customStyle="1" w:styleId="146">
    <w:name w:val="font6"/>
    <w:basedOn w:val="1"/>
    <w:qFormat/>
    <w:uiPriority w:val="99"/>
    <w:pPr>
      <w:widowControl/>
      <w:spacing w:before="100" w:beforeAutospacing="1" w:after="100" w:afterAutospacing="1"/>
      <w:jc w:val="left"/>
    </w:pPr>
    <w:rPr>
      <w:rFonts w:ascii="宋体" w:hAnsi="宋体"/>
      <w:kern w:val="0"/>
      <w:sz w:val="16"/>
      <w:szCs w:val="16"/>
    </w:rPr>
  </w:style>
  <w:style w:type="paragraph" w:customStyle="1" w:styleId="147">
    <w:name w:val="xl77"/>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48">
    <w:name w:val="表"/>
    <w:basedOn w:val="1"/>
    <w:qFormat/>
    <w:uiPriority w:val="99"/>
    <w:pPr>
      <w:ind w:right="-48" w:rightChars="-48"/>
    </w:pPr>
    <w:rPr>
      <w:kern w:val="0"/>
    </w:rPr>
  </w:style>
  <w:style w:type="paragraph" w:customStyle="1" w:styleId="149">
    <w:name w:val="Char Char Char Char Char Char Char1"/>
    <w:basedOn w:val="1"/>
    <w:qFormat/>
    <w:uiPriority w:val="99"/>
    <w:rPr>
      <w:szCs w:val="24"/>
    </w:rPr>
  </w:style>
  <w:style w:type="paragraph" w:customStyle="1" w:styleId="150">
    <w:name w:val="xl11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151">
    <w:name w:val="xl119"/>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52">
    <w:name w:val="样式1 + 加粗"/>
    <w:basedOn w:val="127"/>
    <w:qFormat/>
    <w:uiPriority w:val="99"/>
    <w:pPr>
      <w:spacing w:line="336" w:lineRule="auto"/>
    </w:pPr>
    <w:rPr>
      <w:rFonts w:eastAsia="黑体"/>
      <w:bCs/>
      <w:szCs w:val="24"/>
    </w:rPr>
  </w:style>
  <w:style w:type="paragraph" w:customStyle="1" w:styleId="153">
    <w:name w:val="xl6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rPr>
  </w:style>
  <w:style w:type="paragraph" w:customStyle="1" w:styleId="154">
    <w:name w:val="reader-word-layer reader-word-s3-1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55">
    <w:name w:val="font7"/>
    <w:basedOn w:val="1"/>
    <w:qFormat/>
    <w:uiPriority w:val="99"/>
    <w:pPr>
      <w:widowControl/>
      <w:spacing w:before="100" w:beforeAutospacing="1" w:after="100" w:afterAutospacing="1"/>
      <w:jc w:val="left"/>
    </w:pPr>
    <w:rPr>
      <w:b/>
      <w:bCs/>
      <w:kern w:val="0"/>
      <w:sz w:val="20"/>
    </w:rPr>
  </w:style>
  <w:style w:type="paragraph" w:customStyle="1" w:styleId="156">
    <w:name w:val="xl12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157">
    <w:name w:val="Char4 Char Char Char"/>
    <w:basedOn w:val="1"/>
    <w:qFormat/>
    <w:uiPriority w:val="99"/>
    <w:pPr>
      <w:adjustRightInd w:val="0"/>
      <w:snapToGrid w:val="0"/>
      <w:spacing w:line="360" w:lineRule="auto"/>
      <w:ind w:firstLine="200" w:firstLineChars="200"/>
    </w:pPr>
    <w:rPr>
      <w:szCs w:val="24"/>
    </w:rPr>
  </w:style>
  <w:style w:type="paragraph" w:customStyle="1" w:styleId="158">
    <w:name w:val="日期1"/>
    <w:basedOn w:val="1"/>
    <w:next w:val="1"/>
    <w:qFormat/>
    <w:uiPriority w:val="99"/>
    <w:pPr>
      <w:adjustRightInd w:val="0"/>
      <w:textAlignment w:val="baseline"/>
    </w:pPr>
  </w:style>
  <w:style w:type="paragraph" w:customStyle="1" w:styleId="159">
    <w:name w:val="Style37"/>
    <w:basedOn w:val="1"/>
    <w:qFormat/>
    <w:uiPriority w:val="99"/>
    <w:pPr>
      <w:adjustRightInd w:val="0"/>
      <w:jc w:val="left"/>
    </w:pPr>
    <w:rPr>
      <w:rFonts w:ascii="宋体"/>
      <w:kern w:val="0"/>
      <w:sz w:val="24"/>
      <w:szCs w:val="24"/>
    </w:rPr>
  </w:style>
  <w:style w:type="paragraph" w:customStyle="1" w:styleId="160">
    <w:name w:val="表内字一"/>
    <w:basedOn w:val="161"/>
    <w:qFormat/>
    <w:uiPriority w:val="99"/>
    <w:pPr>
      <w:spacing w:line="280" w:lineRule="atLeast"/>
      <w:jc w:val="both"/>
    </w:pPr>
  </w:style>
  <w:style w:type="paragraph" w:customStyle="1" w:styleId="161">
    <w:name w:val="表内字"/>
    <w:basedOn w:val="1"/>
    <w:qFormat/>
    <w:uiPriority w:val="99"/>
    <w:pPr>
      <w:spacing w:before="80" w:after="80"/>
      <w:jc w:val="center"/>
    </w:pPr>
    <w:rPr>
      <w:color w:val="FF0000"/>
      <w:szCs w:val="24"/>
    </w:rPr>
  </w:style>
  <w:style w:type="paragraph" w:customStyle="1" w:styleId="162">
    <w:name w:val="xl121"/>
    <w:basedOn w:val="1"/>
    <w:qFormat/>
    <w:uiPriority w:val="99"/>
    <w:pPr>
      <w:widowControl/>
      <w:pBdr>
        <w:top w:val="single" w:color="auto" w:sz="4" w:space="0"/>
        <w:left w:val="single" w:color="auto" w:sz="4" w:space="0"/>
        <w:bottom w:val="single" w:color="auto" w:sz="4" w:space="0"/>
      </w:pBdr>
      <w:spacing w:before="100" w:beforeAutospacing="1" w:after="100" w:afterAutospacing="1"/>
    </w:pPr>
    <w:rPr>
      <w:kern w:val="0"/>
      <w:sz w:val="24"/>
      <w:szCs w:val="24"/>
    </w:rPr>
  </w:style>
  <w:style w:type="paragraph" w:customStyle="1" w:styleId="163">
    <w:name w:val="样式1 + 四号 居中"/>
    <w:basedOn w:val="127"/>
    <w:qFormat/>
    <w:uiPriority w:val="99"/>
    <w:pPr>
      <w:spacing w:line="336" w:lineRule="auto"/>
      <w:jc w:val="center"/>
    </w:pPr>
    <w:rPr>
      <w:sz w:val="28"/>
    </w:rPr>
  </w:style>
  <w:style w:type="paragraph" w:customStyle="1" w:styleId="164">
    <w:name w:val="Normal - Schedule"/>
    <w:qFormat/>
    <w:uiPriority w:val="99"/>
    <w:pPr>
      <w:tabs>
        <w:tab w:val="left" w:pos="454"/>
        <w:tab w:val="left" w:pos="907"/>
        <w:tab w:val="left" w:pos="1361"/>
        <w:tab w:val="left" w:pos="1814"/>
        <w:tab w:val="left" w:pos="2722"/>
      </w:tabs>
      <w:overflowPunct w:val="0"/>
      <w:autoSpaceDE w:val="0"/>
      <w:autoSpaceDN w:val="0"/>
      <w:adjustRightInd w:val="0"/>
      <w:spacing w:before="120"/>
      <w:textAlignment w:val="baseline"/>
    </w:pPr>
    <w:rPr>
      <w:rFonts w:ascii="Times New Roman" w:hAnsi="Times New Roman" w:eastAsia="宋体" w:cs="Times New Roman"/>
      <w:lang w:val="en-US" w:eastAsia="en-US" w:bidi="ar-SA"/>
    </w:rPr>
  </w:style>
  <w:style w:type="paragraph" w:customStyle="1" w:styleId="165">
    <w:name w:val="表格文字样式"/>
    <w:basedOn w:val="1"/>
    <w:qFormat/>
    <w:uiPriority w:val="99"/>
    <w:pPr>
      <w:tabs>
        <w:tab w:val="left" w:pos="567"/>
      </w:tabs>
      <w:jc w:val="center"/>
    </w:pPr>
    <w:rPr>
      <w:rFonts w:eastAsia="华文中宋"/>
      <w:spacing w:val="20"/>
      <w:sz w:val="24"/>
    </w:rPr>
  </w:style>
  <w:style w:type="paragraph" w:customStyle="1" w:styleId="166">
    <w:name w:val="Char21"/>
    <w:basedOn w:val="1"/>
    <w:qFormat/>
    <w:uiPriority w:val="99"/>
    <w:pPr>
      <w:ind w:left="510"/>
    </w:pPr>
    <w:rPr>
      <w:szCs w:val="21"/>
    </w:rPr>
  </w:style>
  <w:style w:type="paragraph" w:customStyle="1" w:styleId="167">
    <w:name w:val="xl5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008000"/>
      <w:kern w:val="0"/>
      <w:sz w:val="24"/>
      <w:szCs w:val="24"/>
    </w:rPr>
  </w:style>
  <w:style w:type="paragraph" w:customStyle="1" w:styleId="168">
    <w:name w:val="xl59"/>
    <w:basedOn w:val="1"/>
    <w:qFormat/>
    <w:uiPriority w:val="99"/>
    <w:pPr>
      <w:widowControl/>
      <w:pBdr>
        <w:top w:val="single" w:color="auto" w:sz="4" w:space="0"/>
        <w:left w:val="single" w:color="auto" w:sz="4" w:space="0"/>
      </w:pBdr>
      <w:spacing w:before="100" w:beforeAutospacing="1" w:after="100" w:afterAutospacing="1"/>
      <w:jc w:val="center"/>
    </w:pPr>
    <w:rPr>
      <w:kern w:val="0"/>
      <w:sz w:val="24"/>
      <w:szCs w:val="24"/>
    </w:rPr>
  </w:style>
  <w:style w:type="paragraph" w:customStyle="1" w:styleId="169">
    <w:name w:val="1"/>
    <w:basedOn w:val="1"/>
    <w:next w:val="1"/>
    <w:qFormat/>
    <w:uiPriority w:val="99"/>
    <w:pPr>
      <w:jc w:val="center"/>
    </w:pPr>
  </w:style>
  <w:style w:type="paragraph" w:customStyle="1" w:styleId="170">
    <w:name w:val="附录章标题"/>
    <w:next w:val="123"/>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71">
    <w:name w:val="Style67"/>
    <w:basedOn w:val="1"/>
    <w:qFormat/>
    <w:uiPriority w:val="99"/>
    <w:pPr>
      <w:adjustRightInd w:val="0"/>
      <w:jc w:val="left"/>
    </w:pPr>
    <w:rPr>
      <w:rFonts w:ascii="宋体"/>
      <w:kern w:val="0"/>
      <w:sz w:val="24"/>
      <w:szCs w:val="24"/>
    </w:rPr>
  </w:style>
  <w:style w:type="paragraph" w:customStyle="1" w:styleId="172">
    <w:name w:val="Char Char1 Char Char Char Char Char Char Char Char Char Char Char Char Char Char Char Char Char Char Char"/>
    <w:basedOn w:val="1"/>
    <w:qFormat/>
    <w:uiPriority w:val="99"/>
    <w:pPr>
      <w:widowControl/>
      <w:jc w:val="left"/>
    </w:pPr>
    <w:rPr>
      <w:rFonts w:ascii="宋体" w:hAnsi="宋体" w:cs="宋体"/>
      <w:color w:val="000000"/>
      <w:kern w:val="0"/>
      <w:sz w:val="24"/>
      <w:szCs w:val="24"/>
    </w:rPr>
  </w:style>
  <w:style w:type="paragraph" w:customStyle="1" w:styleId="173">
    <w:name w:val="font13"/>
    <w:basedOn w:val="1"/>
    <w:qFormat/>
    <w:uiPriority w:val="99"/>
    <w:pPr>
      <w:widowControl/>
      <w:spacing w:before="100" w:beforeAutospacing="1" w:after="100" w:afterAutospacing="1"/>
      <w:jc w:val="left"/>
    </w:pPr>
    <w:rPr>
      <w:color w:val="0000FF"/>
      <w:kern w:val="0"/>
      <w:sz w:val="16"/>
      <w:szCs w:val="16"/>
    </w:rPr>
  </w:style>
  <w:style w:type="paragraph" w:customStyle="1" w:styleId="174">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kern w:val="0"/>
      <w:sz w:val="16"/>
      <w:szCs w:val="16"/>
    </w:rPr>
  </w:style>
  <w:style w:type="paragraph" w:customStyle="1" w:styleId="175">
    <w:name w:val="xl49"/>
    <w:basedOn w:val="1"/>
    <w:qFormat/>
    <w:uiPriority w:val="99"/>
    <w:pPr>
      <w:widowControl/>
      <w:pBdr>
        <w:left w:val="single" w:color="auto" w:sz="4" w:space="0"/>
        <w:bottom w:val="single" w:color="auto" w:sz="4" w:space="0"/>
      </w:pBdr>
      <w:spacing w:before="100" w:after="100"/>
      <w:jc w:val="center"/>
      <w:textAlignment w:val="center"/>
    </w:pPr>
    <w:rPr>
      <w:rFonts w:ascii="宋体" w:hAnsi="宋体"/>
      <w:kern w:val="0"/>
      <w:sz w:val="28"/>
      <w:szCs w:val="28"/>
    </w:rPr>
  </w:style>
  <w:style w:type="paragraph" w:customStyle="1" w:styleId="176">
    <w:name w:val="表格文字"/>
    <w:basedOn w:val="1"/>
    <w:qFormat/>
    <w:uiPriority w:val="99"/>
    <w:pPr>
      <w:adjustRightInd w:val="0"/>
      <w:spacing w:line="360" w:lineRule="atLeast"/>
      <w:jc w:val="center"/>
      <w:textAlignment w:val="baseline"/>
    </w:pPr>
    <w:rPr>
      <w:kern w:val="0"/>
    </w:rPr>
  </w:style>
  <w:style w:type="paragraph" w:customStyle="1" w:styleId="177">
    <w:name w:val="xl9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178">
    <w:name w:val="缺省文本_宋体"/>
    <w:basedOn w:val="1"/>
    <w:qFormat/>
    <w:uiPriority w:val="99"/>
    <w:pPr>
      <w:tabs>
        <w:tab w:val="left" w:pos="525"/>
        <w:tab w:val="center" w:pos="5670"/>
        <w:tab w:val="right" w:pos="7655"/>
      </w:tabs>
      <w:spacing w:before="80" w:after="120" w:line="360" w:lineRule="auto"/>
      <w:outlineLvl w:val="7"/>
    </w:pPr>
    <w:rPr>
      <w:spacing w:val="16"/>
      <w:kern w:val="28"/>
      <w:sz w:val="24"/>
    </w:rPr>
  </w:style>
  <w:style w:type="paragraph" w:customStyle="1" w:styleId="179">
    <w:name w:val="wg"/>
    <w:basedOn w:val="1"/>
    <w:qFormat/>
    <w:uiPriority w:val="99"/>
    <w:rPr>
      <w:sz w:val="28"/>
    </w:rPr>
  </w:style>
  <w:style w:type="paragraph" w:customStyle="1" w:styleId="180">
    <w:name w:val="xl40"/>
    <w:basedOn w:val="1"/>
    <w:qFormat/>
    <w:uiPriority w:val="99"/>
    <w:pPr>
      <w:widowControl/>
      <w:pBdr>
        <w:left w:val="single" w:color="auto" w:sz="8"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81">
    <w:name w:val="Style68"/>
    <w:basedOn w:val="1"/>
    <w:qFormat/>
    <w:uiPriority w:val="99"/>
    <w:pPr>
      <w:adjustRightInd w:val="0"/>
      <w:spacing w:line="274" w:lineRule="exact"/>
      <w:jc w:val="left"/>
    </w:pPr>
    <w:rPr>
      <w:rFonts w:ascii="宋体"/>
      <w:kern w:val="0"/>
      <w:sz w:val="24"/>
      <w:szCs w:val="24"/>
    </w:rPr>
  </w:style>
  <w:style w:type="paragraph" w:customStyle="1" w:styleId="182">
    <w:name w:val="xl10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183">
    <w:name w:val="xl54"/>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color w:val="FF0000"/>
      <w:kern w:val="0"/>
      <w:sz w:val="24"/>
      <w:szCs w:val="24"/>
    </w:rPr>
  </w:style>
  <w:style w:type="paragraph" w:customStyle="1" w:styleId="184">
    <w:name w:val="font17"/>
    <w:basedOn w:val="1"/>
    <w:qFormat/>
    <w:uiPriority w:val="99"/>
    <w:pPr>
      <w:widowControl/>
      <w:spacing w:before="100" w:beforeAutospacing="1" w:after="100" w:afterAutospacing="1"/>
      <w:jc w:val="left"/>
    </w:pPr>
    <w:rPr>
      <w:rFonts w:ascii="宋体" w:hAnsi="宋体" w:cs="Arial Unicode MS"/>
      <w:color w:val="008000"/>
      <w:kern w:val="0"/>
      <w:sz w:val="24"/>
      <w:szCs w:val="24"/>
    </w:rPr>
  </w:style>
  <w:style w:type="paragraph" w:customStyle="1" w:styleId="185">
    <w:name w:val="font22"/>
    <w:basedOn w:val="1"/>
    <w:qFormat/>
    <w:uiPriority w:val="99"/>
    <w:pPr>
      <w:widowControl/>
      <w:spacing w:before="100" w:beforeAutospacing="1" w:after="100" w:afterAutospacing="1"/>
      <w:jc w:val="left"/>
    </w:pPr>
    <w:rPr>
      <w:kern w:val="0"/>
      <w:szCs w:val="21"/>
    </w:rPr>
  </w:style>
  <w:style w:type="paragraph" w:customStyle="1" w:styleId="186">
    <w:name w:val="样式 正文（首行缩进两字） + 宋体"/>
    <w:basedOn w:val="9"/>
    <w:qFormat/>
    <w:uiPriority w:val="99"/>
    <w:pPr>
      <w:ind w:firstLine="0"/>
    </w:pPr>
    <w:rPr>
      <w:rFonts w:ascii="宋体" w:hAnsi="宋体"/>
    </w:rPr>
  </w:style>
  <w:style w:type="paragraph" w:customStyle="1" w:styleId="187">
    <w:name w:val="xl24"/>
    <w:basedOn w:val="1"/>
    <w:qFormat/>
    <w:uiPriority w:val="99"/>
    <w:pPr>
      <w:widowControl/>
      <w:spacing w:before="100" w:beforeAutospacing="1" w:after="100" w:afterAutospacing="1"/>
      <w:jc w:val="left"/>
      <w:textAlignment w:val="center"/>
    </w:pPr>
    <w:rPr>
      <w:kern w:val="0"/>
      <w:sz w:val="16"/>
      <w:szCs w:val="16"/>
    </w:rPr>
  </w:style>
  <w:style w:type="paragraph" w:customStyle="1" w:styleId="188">
    <w:name w:val="Char1 Char Char Char"/>
    <w:basedOn w:val="1"/>
    <w:qFormat/>
    <w:uiPriority w:val="99"/>
    <w:pPr>
      <w:widowControl/>
      <w:spacing w:after="160" w:line="240" w:lineRule="exact"/>
      <w:jc w:val="left"/>
    </w:pPr>
    <w:rPr>
      <w:rFonts w:ascii="Arial" w:hAnsi="Arial" w:cs="Verdana"/>
      <w:b/>
      <w:kern w:val="0"/>
      <w:sz w:val="24"/>
      <w:szCs w:val="24"/>
      <w:lang w:eastAsia="en-US"/>
    </w:rPr>
  </w:style>
  <w:style w:type="paragraph" w:customStyle="1" w:styleId="189">
    <w:name w:val="xl5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90">
    <w:name w:val="附录标识"/>
    <w:basedOn w:val="1"/>
    <w:qFormat/>
    <w:uiPriority w:val="99"/>
    <w:pPr>
      <w:widowControl/>
      <w:shd w:val="clear" w:color="FFFFFF" w:fill="FFFFFF"/>
      <w:tabs>
        <w:tab w:val="left" w:pos="6405"/>
      </w:tabs>
      <w:spacing w:before="640" w:after="200"/>
      <w:jc w:val="center"/>
      <w:outlineLvl w:val="0"/>
    </w:pPr>
    <w:rPr>
      <w:rFonts w:ascii="黑体" w:eastAsia="黑体"/>
      <w:kern w:val="0"/>
    </w:rPr>
  </w:style>
  <w:style w:type="paragraph" w:customStyle="1" w:styleId="191">
    <w:name w:val="Char Char Char Char Char Char Char Char Char Char"/>
    <w:basedOn w:val="1"/>
    <w:qFormat/>
    <w:uiPriority w:val="99"/>
    <w:rPr>
      <w:szCs w:val="24"/>
    </w:rPr>
  </w:style>
  <w:style w:type="paragraph" w:customStyle="1" w:styleId="192">
    <w:name w:val="附录五级条标题"/>
    <w:basedOn w:val="193"/>
    <w:next w:val="123"/>
    <w:qFormat/>
    <w:uiPriority w:val="99"/>
    <w:pPr>
      <w:outlineLvl w:val="6"/>
    </w:pPr>
  </w:style>
  <w:style w:type="paragraph" w:customStyle="1" w:styleId="193">
    <w:name w:val="附录四级条标题"/>
    <w:basedOn w:val="194"/>
    <w:next w:val="123"/>
    <w:qFormat/>
    <w:uiPriority w:val="99"/>
    <w:pPr>
      <w:outlineLvl w:val="5"/>
    </w:pPr>
  </w:style>
  <w:style w:type="paragraph" w:customStyle="1" w:styleId="194">
    <w:name w:val="附录三级条标题"/>
    <w:basedOn w:val="195"/>
    <w:next w:val="123"/>
    <w:qFormat/>
    <w:uiPriority w:val="99"/>
    <w:pPr>
      <w:outlineLvl w:val="4"/>
    </w:pPr>
  </w:style>
  <w:style w:type="paragraph" w:customStyle="1" w:styleId="195">
    <w:name w:val="附录二级条标题"/>
    <w:basedOn w:val="196"/>
    <w:next w:val="123"/>
    <w:qFormat/>
    <w:uiPriority w:val="99"/>
    <w:pPr>
      <w:outlineLvl w:val="3"/>
    </w:pPr>
  </w:style>
  <w:style w:type="paragraph" w:customStyle="1" w:styleId="196">
    <w:name w:val="附录一级条标题"/>
    <w:basedOn w:val="170"/>
    <w:next w:val="123"/>
    <w:qFormat/>
    <w:uiPriority w:val="99"/>
    <w:pPr>
      <w:autoSpaceDN w:val="0"/>
      <w:outlineLvl w:val="2"/>
    </w:pPr>
  </w:style>
  <w:style w:type="paragraph" w:customStyle="1" w:styleId="197">
    <w:name w:val="zw"/>
    <w:basedOn w:val="1"/>
    <w:qFormat/>
    <w:uiPriority w:val="99"/>
    <w:pPr>
      <w:widowControl/>
      <w:spacing w:before="100" w:beforeAutospacing="1" w:after="100" w:afterAutospacing="1" w:line="440" w:lineRule="atLeast"/>
      <w:jc w:val="left"/>
    </w:pPr>
    <w:rPr>
      <w:rFonts w:ascii="宋体" w:hAnsi="宋体" w:cs="宋体"/>
      <w:kern w:val="0"/>
      <w:sz w:val="22"/>
      <w:szCs w:val="22"/>
    </w:rPr>
  </w:style>
  <w:style w:type="paragraph" w:customStyle="1" w:styleId="198">
    <w:name w:val="样式3"/>
    <w:basedOn w:val="1"/>
    <w:qFormat/>
    <w:uiPriority w:val="99"/>
    <w:pPr>
      <w:adjustRightInd w:val="0"/>
      <w:snapToGrid w:val="0"/>
      <w:spacing w:line="360" w:lineRule="auto"/>
      <w:jc w:val="center"/>
    </w:pPr>
    <w:rPr>
      <w:rFonts w:ascii="宋体" w:hAnsi="宋体"/>
      <w:b/>
      <w:bCs/>
    </w:rPr>
  </w:style>
  <w:style w:type="paragraph" w:customStyle="1" w:styleId="199">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color w:val="000000"/>
      <w:kern w:val="0"/>
      <w:sz w:val="16"/>
      <w:szCs w:val="16"/>
    </w:rPr>
  </w:style>
  <w:style w:type="paragraph" w:customStyle="1" w:styleId="200">
    <w:name w:val="xl100"/>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201">
    <w:name w:val="Char11"/>
    <w:basedOn w:val="1"/>
    <w:qFormat/>
    <w:uiPriority w:val="99"/>
  </w:style>
  <w:style w:type="paragraph" w:customStyle="1" w:styleId="202">
    <w:name w:val="基准标题"/>
    <w:basedOn w:val="14"/>
    <w:next w:val="14"/>
    <w:qFormat/>
    <w:uiPriority w:val="99"/>
    <w:pPr>
      <w:spacing w:before="80" w:after="80"/>
      <w:jc w:val="center"/>
    </w:pPr>
    <w:rPr>
      <w:rFonts w:ascii="宋体" w:hAnsi="宋体"/>
      <w:kern w:val="0"/>
      <w:szCs w:val="21"/>
    </w:rPr>
  </w:style>
  <w:style w:type="paragraph" w:customStyle="1" w:styleId="203">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204">
    <w:name w:val="xl11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205">
    <w:name w:val="font16"/>
    <w:basedOn w:val="1"/>
    <w:qFormat/>
    <w:uiPriority w:val="99"/>
    <w:pPr>
      <w:widowControl/>
      <w:spacing w:before="100" w:beforeAutospacing="1" w:after="100" w:afterAutospacing="1"/>
      <w:jc w:val="left"/>
    </w:pPr>
    <w:rPr>
      <w:color w:val="FF0000"/>
      <w:kern w:val="0"/>
      <w:sz w:val="24"/>
      <w:szCs w:val="24"/>
    </w:rPr>
  </w:style>
  <w:style w:type="paragraph" w:customStyle="1" w:styleId="206">
    <w:name w:val="a"/>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07">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08">
    <w:name w:val="样式 题注 + 首行缩进:  2 字符1"/>
    <w:basedOn w:val="13"/>
    <w:qFormat/>
    <w:uiPriority w:val="99"/>
    <w:pPr>
      <w:spacing w:afterLines="50" w:line="400" w:lineRule="exact"/>
    </w:pPr>
    <w:rPr>
      <w:rFonts w:cs="宋体"/>
    </w:rPr>
  </w:style>
  <w:style w:type="paragraph" w:customStyle="1" w:styleId="209">
    <w:name w:val="样式7"/>
    <w:basedOn w:val="1"/>
    <w:qFormat/>
    <w:uiPriority w:val="0"/>
    <w:pPr>
      <w:spacing w:line="340" w:lineRule="exact"/>
      <w:ind w:firstLine="562" w:firstLineChars="200"/>
    </w:pPr>
    <w:rPr>
      <w:b/>
      <w:bCs/>
      <w:spacing w:val="20"/>
      <w:sz w:val="24"/>
    </w:rPr>
  </w:style>
  <w:style w:type="paragraph" w:customStyle="1" w:styleId="210">
    <w:name w:val="样式 题注 + 首行缩进:  2 字符"/>
    <w:basedOn w:val="13"/>
    <w:qFormat/>
    <w:uiPriority w:val="99"/>
    <w:pPr>
      <w:spacing w:line="400" w:lineRule="exact"/>
    </w:pPr>
    <w:rPr>
      <w:rFonts w:cs="宋体"/>
    </w:rPr>
  </w:style>
  <w:style w:type="paragraph" w:customStyle="1" w:styleId="211">
    <w:name w:val="样式 段前: 7.8 磅 段后: 7.8 磅"/>
    <w:basedOn w:val="1"/>
    <w:qFormat/>
    <w:uiPriority w:val="99"/>
    <w:pPr>
      <w:spacing w:before="10" w:after="10" w:line="440" w:lineRule="exact"/>
      <w:ind w:firstLine="200" w:firstLineChars="200"/>
      <w:jc w:val="left"/>
    </w:pPr>
    <w:rPr>
      <w:rFonts w:cs="宋体"/>
      <w:sz w:val="24"/>
    </w:rPr>
  </w:style>
  <w:style w:type="paragraph" w:customStyle="1" w:styleId="212">
    <w:name w:val="xl11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13">
    <w:name w:val="p18"/>
    <w:basedOn w:val="1"/>
    <w:qFormat/>
    <w:uiPriority w:val="99"/>
    <w:pPr>
      <w:widowControl/>
      <w:jc w:val="left"/>
    </w:pPr>
    <w:rPr>
      <w:rFonts w:ascii="宋体" w:hAnsi="宋体" w:cs="宋体"/>
      <w:color w:val="000000"/>
      <w:kern w:val="0"/>
      <w:sz w:val="24"/>
      <w:szCs w:val="24"/>
    </w:rPr>
  </w:style>
  <w:style w:type="paragraph" w:customStyle="1" w:styleId="214">
    <w:name w:val="xl94"/>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15">
    <w:name w:val="xl68"/>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16">
    <w:name w:val="xl85"/>
    <w:basedOn w:val="1"/>
    <w:qFormat/>
    <w:uiPriority w:val="99"/>
    <w:pPr>
      <w:widowControl/>
      <w:pBdr>
        <w:top w:val="single" w:color="auto" w:sz="4" w:space="0"/>
        <w:bottom w:val="single" w:color="auto" w:sz="4" w:space="0"/>
      </w:pBdr>
      <w:spacing w:before="100" w:beforeAutospacing="1" w:after="100" w:afterAutospacing="1"/>
      <w:jc w:val="left"/>
    </w:pPr>
    <w:rPr>
      <w:kern w:val="0"/>
      <w:sz w:val="24"/>
      <w:szCs w:val="24"/>
    </w:rPr>
  </w:style>
  <w:style w:type="paragraph" w:customStyle="1" w:styleId="217">
    <w:name w:val="Style136"/>
    <w:basedOn w:val="1"/>
    <w:qFormat/>
    <w:uiPriority w:val="99"/>
    <w:pPr>
      <w:adjustRightInd w:val="0"/>
      <w:spacing w:line="288" w:lineRule="exact"/>
      <w:jc w:val="left"/>
    </w:pPr>
    <w:rPr>
      <w:rFonts w:ascii="宋体"/>
      <w:kern w:val="0"/>
      <w:sz w:val="24"/>
      <w:szCs w:val="24"/>
    </w:rPr>
  </w:style>
  <w:style w:type="paragraph" w:customStyle="1" w:styleId="218">
    <w:name w:val="p16"/>
    <w:basedOn w:val="1"/>
    <w:qFormat/>
    <w:uiPriority w:val="99"/>
    <w:pPr>
      <w:widowControl/>
      <w:jc w:val="left"/>
    </w:pPr>
    <w:rPr>
      <w:rFonts w:ascii="宋体" w:hAnsi="宋体" w:cs="宋体"/>
      <w:color w:val="000000"/>
      <w:kern w:val="0"/>
      <w:sz w:val="24"/>
      <w:szCs w:val="24"/>
    </w:rPr>
  </w:style>
  <w:style w:type="paragraph" w:customStyle="1" w:styleId="219">
    <w:name w:val="说明书标题"/>
    <w:basedOn w:val="1"/>
    <w:next w:val="1"/>
    <w:qFormat/>
    <w:uiPriority w:val="99"/>
    <w:pPr>
      <w:tabs>
        <w:tab w:val="left" w:pos="210"/>
        <w:tab w:val="left" w:pos="360"/>
      </w:tabs>
      <w:spacing w:line="520" w:lineRule="exact"/>
      <w:ind w:left="227" w:hanging="227"/>
    </w:pPr>
    <w:rPr>
      <w:rFonts w:ascii="Trebuchet MS" w:hAnsi="Trebuchet MS" w:eastAsia="黑体"/>
      <w:sz w:val="28"/>
    </w:rPr>
  </w:style>
  <w:style w:type="paragraph" w:customStyle="1" w:styleId="220">
    <w:name w:val="reader-word-layer reader-word-s5-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21">
    <w:name w:val="样式 样式 样式4 + 首行缩进:  1.92 字符 + 仿宋_GB2312"/>
    <w:basedOn w:val="222"/>
    <w:qFormat/>
    <w:uiPriority w:val="99"/>
    <w:rPr>
      <w:rFonts w:ascii="仿宋_GB2312" w:eastAsia="仿宋_GB2312"/>
      <w:szCs w:val="28"/>
    </w:rPr>
  </w:style>
  <w:style w:type="paragraph" w:customStyle="1" w:styleId="222">
    <w:name w:val="样式 样式4 + 首行缩进:  1.92 字符"/>
    <w:basedOn w:val="1"/>
    <w:qFormat/>
    <w:uiPriority w:val="99"/>
    <w:pPr>
      <w:snapToGrid w:val="0"/>
      <w:spacing w:line="300" w:lineRule="auto"/>
      <w:ind w:firstLine="538" w:firstLineChars="192"/>
    </w:pPr>
    <w:rPr>
      <w:sz w:val="28"/>
    </w:rPr>
  </w:style>
  <w:style w:type="paragraph" w:customStyle="1" w:styleId="223">
    <w:name w:val="xl44"/>
    <w:basedOn w:val="1"/>
    <w:qFormat/>
    <w:uiPriority w:val="99"/>
    <w:pPr>
      <w:widowControl/>
      <w:pBdr>
        <w:bottom w:val="single" w:color="auto" w:sz="4" w:space="0"/>
        <w:right w:val="single" w:color="auto" w:sz="4" w:space="0"/>
      </w:pBdr>
      <w:spacing w:before="100" w:beforeAutospacing="1" w:after="100" w:afterAutospacing="1"/>
      <w:jc w:val="center"/>
    </w:pPr>
    <w:rPr>
      <w:kern w:val="0"/>
      <w:sz w:val="24"/>
      <w:szCs w:val="24"/>
    </w:rPr>
  </w:style>
  <w:style w:type="paragraph" w:customStyle="1" w:styleId="224">
    <w:name w:val="xl8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225">
    <w:name w:val="xl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226">
    <w:name w:val="Document 1"/>
    <w:qFormat/>
    <w:uiPriority w:val="99"/>
    <w:pPr>
      <w:keepNext/>
      <w:keepLines/>
      <w:widowControl w:val="0"/>
      <w:tabs>
        <w:tab w:val="left" w:pos="-720"/>
      </w:tabs>
      <w:suppressAutoHyphens/>
    </w:pPr>
    <w:rPr>
      <w:rFonts w:ascii="Courier New" w:hAnsi="Courier New" w:eastAsia="宋体" w:cs="Vrinda"/>
      <w:lang w:val="en-US" w:eastAsia="en-US" w:bidi="ar-SA"/>
    </w:rPr>
  </w:style>
  <w:style w:type="paragraph" w:customStyle="1" w:styleId="227">
    <w:name w:val="font11"/>
    <w:basedOn w:val="1"/>
    <w:qFormat/>
    <w:uiPriority w:val="99"/>
    <w:pPr>
      <w:widowControl/>
      <w:spacing w:before="100" w:beforeAutospacing="1" w:after="100" w:afterAutospacing="1"/>
      <w:jc w:val="left"/>
    </w:pPr>
    <w:rPr>
      <w:rFonts w:ascii="宋体" w:hAnsi="宋体"/>
      <w:color w:val="0000FF"/>
      <w:kern w:val="0"/>
      <w:sz w:val="16"/>
      <w:szCs w:val="16"/>
    </w:rPr>
  </w:style>
  <w:style w:type="paragraph" w:customStyle="1" w:styleId="228">
    <w:name w:val="xl4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229">
    <w:name w:val="xl10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color w:val="FF0000"/>
      <w:kern w:val="0"/>
      <w:sz w:val="24"/>
      <w:szCs w:val="24"/>
    </w:rPr>
  </w:style>
  <w:style w:type="paragraph" w:customStyle="1" w:styleId="230">
    <w:name w:val="正文文本缩进 21"/>
    <w:basedOn w:val="1"/>
    <w:qFormat/>
    <w:uiPriority w:val="99"/>
    <w:pPr>
      <w:adjustRightInd w:val="0"/>
      <w:spacing w:line="480" w:lineRule="exact"/>
      <w:ind w:firstLine="560"/>
      <w:textAlignment w:val="baseline"/>
    </w:pPr>
    <w:rPr>
      <w:color w:val="000000"/>
      <w:kern w:val="0"/>
      <w:sz w:val="24"/>
    </w:rPr>
  </w:style>
  <w:style w:type="paragraph" w:customStyle="1" w:styleId="231">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color w:val="000000"/>
      <w:kern w:val="0"/>
      <w:sz w:val="16"/>
      <w:szCs w:val="16"/>
    </w:rPr>
  </w:style>
  <w:style w:type="paragraph" w:customStyle="1" w:styleId="232">
    <w:name w:val="xl10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color w:val="FF0000"/>
      <w:kern w:val="0"/>
      <w:sz w:val="24"/>
      <w:szCs w:val="24"/>
    </w:rPr>
  </w:style>
  <w:style w:type="paragraph" w:customStyle="1" w:styleId="233">
    <w:name w:val="BG1"/>
    <w:basedOn w:val="1"/>
    <w:qFormat/>
    <w:uiPriority w:val="99"/>
    <w:pPr>
      <w:adjustRightInd w:val="0"/>
      <w:jc w:val="center"/>
    </w:pPr>
    <w:rPr>
      <w:spacing w:val="20"/>
      <w:szCs w:val="24"/>
    </w:rPr>
  </w:style>
  <w:style w:type="paragraph" w:customStyle="1" w:styleId="234">
    <w:name w:val="xl11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235">
    <w:name w:val="Char1 Char Char Char1"/>
    <w:basedOn w:val="1"/>
    <w:qFormat/>
    <w:uiPriority w:val="99"/>
    <w:rPr>
      <w:rFonts w:ascii="Tahoma" w:hAnsi="Tahoma"/>
      <w:sz w:val="30"/>
      <w:szCs w:val="30"/>
    </w:rPr>
  </w:style>
  <w:style w:type="paragraph" w:customStyle="1" w:styleId="236">
    <w:name w:val="xl4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237">
    <w:name w:val="Style60"/>
    <w:basedOn w:val="1"/>
    <w:qFormat/>
    <w:uiPriority w:val="99"/>
    <w:pPr>
      <w:adjustRightInd w:val="0"/>
      <w:spacing w:line="446" w:lineRule="exact"/>
      <w:ind w:firstLine="396"/>
      <w:jc w:val="left"/>
    </w:pPr>
    <w:rPr>
      <w:rFonts w:ascii="宋体"/>
      <w:kern w:val="0"/>
      <w:sz w:val="24"/>
      <w:szCs w:val="24"/>
    </w:rPr>
  </w:style>
  <w:style w:type="paragraph" w:customStyle="1" w:styleId="238">
    <w:name w:val="Char"/>
    <w:basedOn w:val="1"/>
    <w:qFormat/>
    <w:uiPriority w:val="99"/>
    <w:rPr>
      <w:szCs w:val="24"/>
    </w:rPr>
  </w:style>
  <w:style w:type="paragraph" w:customStyle="1" w:styleId="239">
    <w:name w:val="xl127"/>
    <w:basedOn w:val="1"/>
    <w:qFormat/>
    <w:uiPriority w:val="99"/>
    <w:pPr>
      <w:widowControl/>
      <w:pBdr>
        <w:top w:val="single" w:color="auto" w:sz="4" w:space="0"/>
        <w:bottom w:val="single" w:color="auto" w:sz="4" w:space="0"/>
      </w:pBdr>
      <w:spacing w:before="100" w:beforeAutospacing="1" w:after="100" w:afterAutospacing="1"/>
      <w:jc w:val="left"/>
    </w:pPr>
    <w:rPr>
      <w:color w:val="008000"/>
      <w:kern w:val="0"/>
      <w:sz w:val="24"/>
      <w:szCs w:val="24"/>
    </w:rPr>
  </w:style>
  <w:style w:type="paragraph" w:customStyle="1" w:styleId="240">
    <w:name w:val="xl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241">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242">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243">
    <w:name w:val="默认段落字体 Para Char"/>
    <w:basedOn w:val="1"/>
    <w:next w:val="1"/>
    <w:qFormat/>
    <w:uiPriority w:val="99"/>
    <w:pPr>
      <w:spacing w:line="360" w:lineRule="auto"/>
      <w:ind w:firstLine="200" w:firstLineChars="200"/>
    </w:pPr>
    <w:rPr>
      <w:rFonts w:ascii="宋体" w:hAnsi="宋体" w:cs="宋体"/>
      <w:sz w:val="24"/>
      <w:szCs w:val="24"/>
    </w:rPr>
  </w:style>
  <w:style w:type="paragraph" w:customStyle="1" w:styleId="244">
    <w:name w:val="正式文"/>
    <w:basedOn w:val="1"/>
    <w:qFormat/>
    <w:uiPriority w:val="99"/>
    <w:pPr>
      <w:spacing w:line="360" w:lineRule="auto"/>
      <w:ind w:firstLine="200" w:firstLineChars="200"/>
    </w:pPr>
    <w:rPr>
      <w:rFonts w:ascii="Calibri" w:hAnsi="Calibri"/>
      <w:sz w:val="24"/>
      <w:szCs w:val="22"/>
    </w:rPr>
  </w:style>
  <w:style w:type="paragraph" w:customStyle="1" w:styleId="245">
    <w:name w:val="xl58"/>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46">
    <w:name w:val="font8"/>
    <w:basedOn w:val="1"/>
    <w:qFormat/>
    <w:uiPriority w:val="99"/>
    <w:pPr>
      <w:widowControl/>
      <w:spacing w:before="100" w:beforeAutospacing="1" w:after="100" w:afterAutospacing="1"/>
      <w:jc w:val="left"/>
    </w:pPr>
    <w:rPr>
      <w:b/>
      <w:bCs/>
      <w:kern w:val="0"/>
      <w:sz w:val="20"/>
      <w:u w:val="single"/>
    </w:rPr>
  </w:style>
  <w:style w:type="paragraph" w:customStyle="1" w:styleId="247">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248">
    <w:name w:val="xl52"/>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249">
    <w:name w:val="xl8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250">
    <w:name w:val="Texte"/>
    <w:basedOn w:val="1"/>
    <w:qFormat/>
    <w:uiPriority w:val="99"/>
    <w:pPr>
      <w:widowControl/>
      <w:spacing w:before="120" w:after="120"/>
      <w:ind w:left="851" w:firstLine="200" w:firstLineChars="200"/>
    </w:pPr>
    <w:rPr>
      <w:rFonts w:ascii="Arial" w:hAnsi="Arial"/>
      <w:kern w:val="0"/>
      <w:sz w:val="22"/>
    </w:rPr>
  </w:style>
  <w:style w:type="paragraph" w:customStyle="1" w:styleId="251">
    <w:name w:val="xl116"/>
    <w:basedOn w:val="1"/>
    <w:qFormat/>
    <w:uiPriority w:val="99"/>
    <w:pPr>
      <w:widowControl/>
      <w:pBdr>
        <w:top w:val="single" w:color="auto" w:sz="4" w:space="0"/>
        <w:bottom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252">
    <w:name w:val="xl91"/>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253">
    <w:name w:val="标-7"/>
    <w:basedOn w:val="1"/>
    <w:qFormat/>
    <w:uiPriority w:val="99"/>
    <w:pPr>
      <w:tabs>
        <w:tab w:val="left" w:pos="420"/>
      </w:tabs>
      <w:spacing w:before="120"/>
      <w:ind w:left="1701" w:hanging="425"/>
    </w:pPr>
    <w:rPr>
      <w:sz w:val="24"/>
    </w:rPr>
  </w:style>
  <w:style w:type="paragraph" w:customStyle="1" w:styleId="254">
    <w:name w:val="font14"/>
    <w:basedOn w:val="1"/>
    <w:qFormat/>
    <w:uiPriority w:val="99"/>
    <w:pPr>
      <w:widowControl/>
      <w:spacing w:before="100" w:beforeAutospacing="1" w:after="100" w:afterAutospacing="1"/>
      <w:jc w:val="left"/>
    </w:pPr>
    <w:rPr>
      <w:rFonts w:ascii="Helv" w:hAnsi="Helv"/>
      <w:kern w:val="0"/>
      <w:sz w:val="20"/>
    </w:rPr>
  </w:style>
  <w:style w:type="paragraph" w:customStyle="1" w:styleId="255">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256">
    <w:name w:val="xl6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257">
    <w:name w:val="xl115"/>
    <w:basedOn w:val="1"/>
    <w:qFormat/>
    <w:uiPriority w:val="99"/>
    <w:pPr>
      <w:widowControl/>
      <w:pBdr>
        <w:top w:val="single" w:color="auto" w:sz="4" w:space="0"/>
        <w:left w:val="single" w:color="auto" w:sz="4" w:space="0"/>
        <w:bottom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258">
    <w:name w:val="font12"/>
    <w:basedOn w:val="1"/>
    <w:qFormat/>
    <w:uiPriority w:val="99"/>
    <w:pPr>
      <w:widowControl/>
      <w:spacing w:before="100" w:beforeAutospacing="1" w:after="100" w:afterAutospacing="1"/>
      <w:jc w:val="left"/>
    </w:pPr>
    <w:rPr>
      <w:kern w:val="0"/>
      <w:sz w:val="16"/>
      <w:szCs w:val="16"/>
    </w:rPr>
  </w:style>
  <w:style w:type="paragraph" w:customStyle="1" w:styleId="259">
    <w:name w:val="xl53"/>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260">
    <w:name w:val="Style59"/>
    <w:basedOn w:val="1"/>
    <w:qFormat/>
    <w:uiPriority w:val="99"/>
    <w:pPr>
      <w:adjustRightInd w:val="0"/>
      <w:spacing w:line="514" w:lineRule="exact"/>
      <w:ind w:firstLine="547"/>
    </w:pPr>
    <w:rPr>
      <w:rFonts w:ascii="宋体"/>
      <w:kern w:val="0"/>
      <w:sz w:val="24"/>
      <w:szCs w:val="24"/>
    </w:rPr>
  </w:style>
  <w:style w:type="paragraph" w:customStyle="1" w:styleId="261">
    <w:name w:val="xl74"/>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262">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263">
    <w:name w:val="表文"/>
    <w:basedOn w:val="1"/>
    <w:qFormat/>
    <w:uiPriority w:val="99"/>
    <w:pPr>
      <w:spacing w:beforeLines="20" w:afterLines="20" w:line="280" w:lineRule="exact"/>
      <w:jc w:val="center"/>
    </w:pPr>
    <w:rPr>
      <w:rFonts w:ascii="黑体" w:hAnsi="宋体"/>
    </w:rPr>
  </w:style>
  <w:style w:type="paragraph" w:customStyle="1" w:styleId="264">
    <w:name w:val="font23"/>
    <w:basedOn w:val="1"/>
    <w:qFormat/>
    <w:uiPriority w:val="99"/>
    <w:pPr>
      <w:widowControl/>
      <w:spacing w:before="100" w:beforeAutospacing="1" w:after="100" w:afterAutospacing="1"/>
      <w:jc w:val="left"/>
    </w:pPr>
    <w:rPr>
      <w:color w:val="FF6600"/>
      <w:kern w:val="0"/>
      <w:szCs w:val="21"/>
    </w:rPr>
  </w:style>
  <w:style w:type="paragraph" w:customStyle="1" w:styleId="265">
    <w:name w:val="font18"/>
    <w:basedOn w:val="1"/>
    <w:qFormat/>
    <w:uiPriority w:val="99"/>
    <w:pPr>
      <w:widowControl/>
      <w:spacing w:before="100" w:beforeAutospacing="1" w:after="100" w:afterAutospacing="1"/>
      <w:jc w:val="left"/>
    </w:pPr>
    <w:rPr>
      <w:kern w:val="0"/>
      <w:sz w:val="22"/>
      <w:szCs w:val="22"/>
    </w:rPr>
  </w:style>
  <w:style w:type="paragraph" w:customStyle="1" w:styleId="266">
    <w:name w:val="xl48"/>
    <w:basedOn w:val="1"/>
    <w:qFormat/>
    <w:uiPriority w:val="99"/>
    <w:pPr>
      <w:widowControl/>
      <w:spacing w:before="100" w:beforeAutospacing="1" w:after="100" w:afterAutospacing="1"/>
      <w:jc w:val="left"/>
    </w:pPr>
    <w:rPr>
      <w:kern w:val="0"/>
      <w:sz w:val="24"/>
      <w:szCs w:val="24"/>
    </w:rPr>
  </w:style>
  <w:style w:type="paragraph" w:customStyle="1" w:styleId="267">
    <w:name w:val="xl122"/>
    <w:basedOn w:val="1"/>
    <w:qFormat/>
    <w:uiPriority w:val="99"/>
    <w:pPr>
      <w:widowControl/>
      <w:pBdr>
        <w:top w:val="single" w:color="auto" w:sz="4" w:space="0"/>
        <w:bottom w:val="single" w:color="auto" w:sz="4" w:space="0"/>
      </w:pBdr>
      <w:spacing w:before="100" w:beforeAutospacing="1" w:after="100" w:afterAutospacing="1"/>
    </w:pPr>
    <w:rPr>
      <w:kern w:val="0"/>
      <w:sz w:val="24"/>
      <w:szCs w:val="24"/>
    </w:rPr>
  </w:style>
  <w:style w:type="paragraph" w:customStyle="1" w:styleId="268">
    <w:name w:val="xl123"/>
    <w:basedOn w:val="1"/>
    <w:qFormat/>
    <w:uiPriority w:val="99"/>
    <w:pPr>
      <w:widowControl/>
      <w:pBdr>
        <w:top w:val="single" w:color="auto" w:sz="4" w:space="0"/>
        <w:bottom w:val="single" w:color="auto" w:sz="4" w:space="0"/>
        <w:right w:val="single" w:color="auto" w:sz="4" w:space="0"/>
      </w:pBdr>
      <w:spacing w:before="100" w:beforeAutospacing="1" w:after="100" w:afterAutospacing="1"/>
    </w:pPr>
    <w:rPr>
      <w:kern w:val="0"/>
      <w:sz w:val="24"/>
      <w:szCs w:val="24"/>
    </w:rPr>
  </w:style>
  <w:style w:type="paragraph" w:customStyle="1" w:styleId="269">
    <w:name w:val="标题4"/>
    <w:basedOn w:val="1"/>
    <w:link w:val="424"/>
    <w:qFormat/>
    <w:uiPriority w:val="99"/>
    <w:pPr>
      <w:tabs>
        <w:tab w:val="left" w:pos="360"/>
      </w:tabs>
      <w:adjustRightInd w:val="0"/>
      <w:snapToGrid w:val="0"/>
      <w:spacing w:beforeLines="50" w:line="360" w:lineRule="auto"/>
      <w:jc w:val="left"/>
    </w:pPr>
    <w:rPr>
      <w:rFonts w:ascii="Arial Unicode MS" w:hAnsi="Arial Unicode MS" w:eastAsia="黑体"/>
      <w:spacing w:val="20"/>
      <w:kern w:val="0"/>
      <w:sz w:val="24"/>
    </w:rPr>
  </w:style>
  <w:style w:type="paragraph" w:customStyle="1" w:styleId="270">
    <w:name w:val="简单回函地址"/>
    <w:basedOn w:val="1"/>
    <w:qFormat/>
    <w:uiPriority w:val="99"/>
    <w:rPr>
      <w:szCs w:val="24"/>
    </w:rPr>
  </w:style>
  <w:style w:type="paragraph" w:customStyle="1" w:styleId="271">
    <w:name w:val="font10"/>
    <w:basedOn w:val="1"/>
    <w:qFormat/>
    <w:uiPriority w:val="99"/>
    <w:pPr>
      <w:widowControl/>
      <w:spacing w:before="100" w:beforeAutospacing="1" w:after="100" w:afterAutospacing="1"/>
      <w:jc w:val="left"/>
    </w:pPr>
    <w:rPr>
      <w:kern w:val="0"/>
      <w:sz w:val="14"/>
      <w:szCs w:val="14"/>
    </w:rPr>
  </w:style>
  <w:style w:type="paragraph" w:customStyle="1" w:styleId="272">
    <w:name w:val="puce"/>
    <w:basedOn w:val="1"/>
    <w:qFormat/>
    <w:uiPriority w:val="99"/>
    <w:pPr>
      <w:widowControl/>
      <w:tabs>
        <w:tab w:val="left" w:pos="1040"/>
      </w:tabs>
      <w:adjustRightInd w:val="0"/>
      <w:snapToGrid w:val="0"/>
      <w:spacing w:beforeLines="50" w:after="120" w:line="360" w:lineRule="auto"/>
      <w:ind w:left="1021" w:hanging="341"/>
    </w:pPr>
    <w:rPr>
      <w:rFonts w:ascii="Arial" w:hAnsi="Arial" w:cs="Arial"/>
      <w:kern w:val="0"/>
      <w:sz w:val="24"/>
    </w:rPr>
  </w:style>
  <w:style w:type="paragraph" w:customStyle="1" w:styleId="273">
    <w:name w:val="表格内容"/>
    <w:basedOn w:val="1"/>
    <w:qFormat/>
    <w:uiPriority w:val="99"/>
    <w:pPr>
      <w:overflowPunct w:val="0"/>
      <w:adjustRightInd w:val="0"/>
      <w:snapToGrid w:val="0"/>
      <w:spacing w:line="300" w:lineRule="auto"/>
      <w:textAlignment w:val="baseline"/>
    </w:pPr>
    <w:rPr>
      <w:rFonts w:ascii="Arial" w:hAnsi="Arial" w:eastAsia="仿宋_GB2312"/>
      <w:kern w:val="0"/>
    </w:rPr>
  </w:style>
  <w:style w:type="paragraph" w:customStyle="1" w:styleId="274">
    <w:name w:val="xl67"/>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75">
    <w:name w:val="xl102"/>
    <w:basedOn w:val="1"/>
    <w:qFormat/>
    <w:uiPriority w:val="99"/>
    <w:pPr>
      <w:widowControl/>
      <w:pBdr>
        <w:top w:val="single" w:color="auto" w:sz="4" w:space="0"/>
        <w:bottom w:val="single" w:color="auto" w:sz="4" w:space="0"/>
      </w:pBdr>
      <w:spacing w:before="100" w:beforeAutospacing="1" w:after="100" w:afterAutospacing="1"/>
      <w:jc w:val="left"/>
    </w:pPr>
    <w:rPr>
      <w:kern w:val="0"/>
      <w:sz w:val="24"/>
      <w:szCs w:val="24"/>
    </w:rPr>
  </w:style>
  <w:style w:type="paragraph" w:customStyle="1" w:styleId="276">
    <w:name w:val="xl88"/>
    <w:basedOn w:val="1"/>
    <w:qFormat/>
    <w:uiPriority w:val="99"/>
    <w:pPr>
      <w:widowControl/>
      <w:pBdr>
        <w:top w:val="single" w:color="auto" w:sz="4" w:space="0"/>
        <w:bottom w:val="single" w:color="auto" w:sz="4" w:space="0"/>
      </w:pBdr>
      <w:spacing w:before="100" w:beforeAutospacing="1" w:after="100" w:afterAutospacing="1"/>
      <w:jc w:val="center"/>
    </w:pPr>
    <w:rPr>
      <w:kern w:val="0"/>
      <w:sz w:val="24"/>
      <w:szCs w:val="24"/>
    </w:rPr>
  </w:style>
  <w:style w:type="paragraph" w:customStyle="1" w:styleId="277">
    <w:name w:val="新正文样式"/>
    <w:basedOn w:val="1"/>
    <w:qFormat/>
    <w:uiPriority w:val="99"/>
    <w:pPr>
      <w:tabs>
        <w:tab w:val="left" w:pos="567"/>
      </w:tabs>
      <w:spacing w:line="360" w:lineRule="auto"/>
      <w:ind w:firstLine="560" w:firstLineChars="200"/>
    </w:pPr>
    <w:rPr>
      <w:rFonts w:eastAsia="华文中宋"/>
      <w:spacing w:val="20"/>
      <w:sz w:val="24"/>
    </w:rPr>
  </w:style>
  <w:style w:type="paragraph" w:customStyle="1" w:styleId="278">
    <w:name w:val="正文文本 21"/>
    <w:basedOn w:val="1"/>
    <w:qFormat/>
    <w:uiPriority w:val="99"/>
    <w:pPr>
      <w:overflowPunct w:val="0"/>
      <w:autoSpaceDE w:val="0"/>
      <w:autoSpaceDN w:val="0"/>
      <w:adjustRightInd w:val="0"/>
      <w:spacing w:after="120" w:line="360" w:lineRule="auto"/>
      <w:textAlignment w:val="baseline"/>
    </w:pPr>
    <w:rPr>
      <w:sz w:val="24"/>
    </w:rPr>
  </w:style>
  <w:style w:type="paragraph" w:customStyle="1" w:styleId="279">
    <w:name w:val="xl5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280">
    <w:name w:val="xl66"/>
    <w:basedOn w:val="1"/>
    <w:qFormat/>
    <w:uiPriority w:val="99"/>
    <w:pPr>
      <w:widowControl/>
      <w:spacing w:before="100" w:after="100"/>
      <w:jc w:val="center"/>
      <w:textAlignment w:val="top"/>
    </w:pPr>
    <w:rPr>
      <w:kern w:val="0"/>
      <w:sz w:val="24"/>
      <w:szCs w:val="24"/>
    </w:rPr>
  </w:style>
  <w:style w:type="paragraph" w:customStyle="1" w:styleId="281">
    <w:name w:val="xl4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282">
    <w:name w:val="xl98"/>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color w:val="008000"/>
      <w:kern w:val="0"/>
      <w:sz w:val="24"/>
      <w:szCs w:val="24"/>
    </w:rPr>
  </w:style>
  <w:style w:type="paragraph" w:customStyle="1" w:styleId="283">
    <w:name w:val="表头"/>
    <w:basedOn w:val="1"/>
    <w:next w:val="1"/>
    <w:qFormat/>
    <w:uiPriority w:val="99"/>
    <w:pPr>
      <w:keepNext/>
      <w:snapToGrid w:val="0"/>
      <w:spacing w:before="60" w:after="60" w:line="400" w:lineRule="exact"/>
      <w:jc w:val="center"/>
    </w:pPr>
    <w:rPr>
      <w:rFonts w:ascii="黑体" w:eastAsia="黑体"/>
      <w:spacing w:val="10"/>
      <w:kern w:val="21"/>
    </w:rPr>
  </w:style>
  <w:style w:type="paragraph" w:customStyle="1" w:styleId="284">
    <w:name w:val="Char Char Char Char1"/>
    <w:basedOn w:val="1"/>
    <w:qFormat/>
    <w:uiPriority w:val="99"/>
  </w:style>
  <w:style w:type="paragraph" w:customStyle="1" w:styleId="285">
    <w:name w:val="基准页眉样式"/>
    <w:basedOn w:val="14"/>
    <w:qFormat/>
    <w:uiPriority w:val="99"/>
    <w:pPr>
      <w:keepLines/>
      <w:widowControl/>
      <w:tabs>
        <w:tab w:val="center" w:pos="-18551"/>
        <w:tab w:val="right" w:pos="4320"/>
      </w:tabs>
      <w:spacing w:after="0" w:line="240" w:lineRule="atLeast"/>
      <w:jc w:val="center"/>
    </w:pPr>
    <w:rPr>
      <w:rFonts w:ascii="Garamond" w:hAnsi="Garamond"/>
      <w:smallCaps/>
      <w:spacing w:val="15"/>
      <w:kern w:val="0"/>
      <w:szCs w:val="21"/>
    </w:rPr>
  </w:style>
  <w:style w:type="paragraph" w:customStyle="1" w:styleId="286">
    <w:name w:val="表体"/>
    <w:basedOn w:val="1"/>
    <w:qFormat/>
    <w:uiPriority w:val="99"/>
    <w:pPr>
      <w:spacing w:line="280" w:lineRule="exact"/>
    </w:pPr>
    <w:rPr>
      <w:rFonts w:ascii="宋体" w:hAnsi="宋体"/>
      <w:szCs w:val="24"/>
    </w:rPr>
  </w:style>
  <w:style w:type="paragraph" w:customStyle="1" w:styleId="287">
    <w:name w:val="流程图"/>
    <w:basedOn w:val="1"/>
    <w:qFormat/>
    <w:uiPriority w:val="99"/>
    <w:pPr>
      <w:tabs>
        <w:tab w:val="left" w:pos="0"/>
      </w:tabs>
      <w:autoSpaceDE w:val="0"/>
      <w:autoSpaceDN w:val="0"/>
      <w:adjustRightInd w:val="0"/>
      <w:spacing w:line="240" w:lineRule="atLeast"/>
      <w:jc w:val="center"/>
      <w:textAlignment w:val="bottom"/>
    </w:pPr>
    <w:rPr>
      <w:rFonts w:ascii="宋体"/>
    </w:rPr>
  </w:style>
  <w:style w:type="paragraph" w:customStyle="1" w:styleId="288">
    <w:name w:val="cell:ctr"/>
    <w:basedOn w:val="1"/>
    <w:qFormat/>
    <w:uiPriority w:val="99"/>
    <w:pPr>
      <w:keepLines/>
      <w:widowControl/>
      <w:overflowPunct w:val="0"/>
      <w:autoSpaceDE w:val="0"/>
      <w:autoSpaceDN w:val="0"/>
      <w:adjustRightInd w:val="0"/>
      <w:spacing w:before="20" w:after="20"/>
      <w:jc w:val="center"/>
      <w:textAlignment w:val="baseline"/>
    </w:pPr>
    <w:rPr>
      <w:kern w:val="0"/>
      <w:sz w:val="24"/>
    </w:rPr>
  </w:style>
  <w:style w:type="paragraph" w:customStyle="1" w:styleId="289">
    <w:name w:val="xl104"/>
    <w:basedOn w:val="1"/>
    <w:qFormat/>
    <w:uiPriority w:val="99"/>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290">
    <w:name w:val="xl60"/>
    <w:basedOn w:val="1"/>
    <w:qFormat/>
    <w:uiPriority w:val="99"/>
    <w:pPr>
      <w:widowControl/>
      <w:pBdr>
        <w:left w:val="single" w:color="auto" w:sz="8" w:space="0"/>
        <w:right w:val="single" w:color="auto" w:sz="4" w:space="0"/>
      </w:pBdr>
      <w:spacing w:before="100" w:after="100"/>
      <w:jc w:val="center"/>
      <w:textAlignment w:val="top"/>
    </w:pPr>
    <w:rPr>
      <w:kern w:val="0"/>
      <w:sz w:val="24"/>
    </w:rPr>
  </w:style>
  <w:style w:type="paragraph" w:customStyle="1" w:styleId="291">
    <w:name w:val="Style38"/>
    <w:basedOn w:val="1"/>
    <w:qFormat/>
    <w:uiPriority w:val="99"/>
    <w:pPr>
      <w:adjustRightInd w:val="0"/>
      <w:spacing w:line="436" w:lineRule="exact"/>
      <w:ind w:hanging="490"/>
      <w:jc w:val="left"/>
    </w:pPr>
    <w:rPr>
      <w:kern w:val="0"/>
      <w:sz w:val="24"/>
      <w:szCs w:val="24"/>
    </w:rPr>
  </w:style>
  <w:style w:type="paragraph" w:customStyle="1" w:styleId="292">
    <w:name w:val="xl46"/>
    <w:basedOn w:val="1"/>
    <w:qFormat/>
    <w:uiPriority w:val="99"/>
    <w:pPr>
      <w:widowControl/>
      <w:pBdr>
        <w:bottom w:val="single" w:color="auto" w:sz="4" w:space="0"/>
        <w:right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293">
    <w:name w:val="xl64"/>
    <w:basedOn w:val="1"/>
    <w:qFormat/>
    <w:uiPriority w:val="99"/>
    <w:pPr>
      <w:widowControl/>
      <w:pBdr>
        <w:left w:val="single" w:color="auto" w:sz="4" w:space="0"/>
        <w:bottom w:val="single" w:color="auto" w:sz="4" w:space="0"/>
        <w:right w:val="single" w:color="auto" w:sz="4" w:space="0"/>
      </w:pBdr>
      <w:spacing w:before="100" w:beforeAutospacing="1" w:after="100" w:afterAutospacing="1"/>
      <w:jc w:val="right"/>
    </w:pPr>
    <w:rPr>
      <w:color w:val="FF0000"/>
      <w:kern w:val="0"/>
      <w:sz w:val="24"/>
      <w:szCs w:val="24"/>
    </w:rPr>
  </w:style>
  <w:style w:type="paragraph" w:customStyle="1" w:styleId="294">
    <w:name w:val="Paratitre"/>
    <w:basedOn w:val="1"/>
    <w:qFormat/>
    <w:uiPriority w:val="99"/>
    <w:pPr>
      <w:widowControl/>
      <w:overflowPunct w:val="0"/>
      <w:autoSpaceDE w:val="0"/>
      <w:autoSpaceDN w:val="0"/>
      <w:adjustRightInd w:val="0"/>
      <w:spacing w:before="240"/>
      <w:ind w:left="700"/>
      <w:textAlignment w:val="baseline"/>
    </w:pPr>
    <w:rPr>
      <w:rFonts w:ascii="Arial" w:hAnsi="Arial"/>
      <w:kern w:val="0"/>
      <w:sz w:val="20"/>
    </w:rPr>
  </w:style>
  <w:style w:type="paragraph" w:customStyle="1" w:styleId="295">
    <w:name w:val="xl129"/>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2"/>
      <w:szCs w:val="22"/>
    </w:rPr>
  </w:style>
  <w:style w:type="paragraph" w:customStyle="1" w:styleId="296">
    <w:name w:val="xl51"/>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297">
    <w:name w:val="xl39"/>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textAlignment w:val="center"/>
    </w:pPr>
    <w:rPr>
      <w:rFonts w:ascii="宋体" w:hAnsi="宋体"/>
      <w:kern w:val="0"/>
      <w:sz w:val="16"/>
      <w:szCs w:val="16"/>
    </w:rPr>
  </w:style>
  <w:style w:type="paragraph" w:customStyle="1" w:styleId="298">
    <w:name w:val="font0"/>
    <w:basedOn w:val="1"/>
    <w:qFormat/>
    <w:uiPriority w:val="99"/>
    <w:pPr>
      <w:widowControl/>
      <w:spacing w:before="100" w:after="100"/>
      <w:jc w:val="left"/>
    </w:pPr>
    <w:rPr>
      <w:rFonts w:ascii="宋体" w:hAnsi="宋体"/>
      <w:kern w:val="0"/>
      <w:sz w:val="24"/>
      <w:szCs w:val="24"/>
    </w:rPr>
  </w:style>
  <w:style w:type="paragraph" w:customStyle="1" w:styleId="299">
    <w:name w:val="List Paragraph1"/>
    <w:basedOn w:val="1"/>
    <w:qFormat/>
    <w:uiPriority w:val="99"/>
    <w:pPr>
      <w:ind w:firstLine="420" w:firstLineChars="200"/>
    </w:pPr>
    <w:rPr>
      <w:szCs w:val="24"/>
    </w:rPr>
  </w:style>
  <w:style w:type="paragraph" w:customStyle="1" w:styleId="300">
    <w:name w:val="xl111"/>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01">
    <w:name w:val="reader-word-layer reader-word-s3-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02">
    <w:name w:val="Char Char Char Char Char Char Char Char Char Char1"/>
    <w:basedOn w:val="1"/>
    <w:qFormat/>
    <w:uiPriority w:val="99"/>
    <w:rPr>
      <w:szCs w:val="24"/>
    </w:rPr>
  </w:style>
  <w:style w:type="paragraph" w:customStyle="1" w:styleId="303">
    <w:name w:val="font15"/>
    <w:basedOn w:val="1"/>
    <w:qFormat/>
    <w:uiPriority w:val="99"/>
    <w:pPr>
      <w:widowControl/>
      <w:spacing w:before="100" w:beforeAutospacing="1" w:after="100" w:afterAutospacing="1"/>
      <w:jc w:val="left"/>
    </w:pPr>
    <w:rPr>
      <w:kern w:val="0"/>
      <w:sz w:val="24"/>
      <w:szCs w:val="24"/>
    </w:rPr>
  </w:style>
  <w:style w:type="paragraph" w:customStyle="1" w:styleId="304">
    <w:name w:val="font21"/>
    <w:basedOn w:val="1"/>
    <w:qFormat/>
    <w:uiPriority w:val="99"/>
    <w:pPr>
      <w:widowControl/>
      <w:spacing w:before="100" w:beforeAutospacing="1" w:after="100" w:afterAutospacing="1"/>
      <w:jc w:val="left"/>
    </w:pPr>
    <w:rPr>
      <w:color w:val="FF0000"/>
      <w:kern w:val="0"/>
      <w:sz w:val="24"/>
      <w:szCs w:val="24"/>
    </w:rPr>
  </w:style>
  <w:style w:type="paragraph" w:customStyle="1" w:styleId="305">
    <w:name w:val="正文段落"/>
    <w:basedOn w:val="1"/>
    <w:qFormat/>
    <w:uiPriority w:val="99"/>
    <w:pPr>
      <w:spacing w:line="500" w:lineRule="exact"/>
      <w:ind w:firstLine="480" w:firstLineChars="200"/>
    </w:pPr>
    <w:rPr>
      <w:rFonts w:ascii="宋体" w:hAnsi="宋体"/>
      <w:kern w:val="0"/>
      <w:sz w:val="24"/>
    </w:rPr>
  </w:style>
  <w:style w:type="paragraph" w:customStyle="1" w:styleId="306">
    <w:name w:val="xl34"/>
    <w:basedOn w:val="1"/>
    <w:qFormat/>
    <w:uiPriority w:val="99"/>
    <w:pPr>
      <w:widowControl/>
      <w:spacing w:before="100" w:beforeAutospacing="1" w:after="100" w:afterAutospacing="1"/>
      <w:jc w:val="left"/>
      <w:textAlignment w:val="center"/>
    </w:pPr>
    <w:rPr>
      <w:rFonts w:ascii="宋体" w:hAnsi="宋体"/>
      <w:kern w:val="0"/>
      <w:sz w:val="16"/>
      <w:szCs w:val="16"/>
    </w:rPr>
  </w:style>
  <w:style w:type="paragraph" w:customStyle="1" w:styleId="307">
    <w:name w:val="xl99"/>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308">
    <w:name w:val="Char3"/>
    <w:basedOn w:val="1"/>
    <w:qFormat/>
    <w:uiPriority w:val="99"/>
    <w:pPr>
      <w:spacing w:line="360" w:lineRule="auto"/>
    </w:pPr>
    <w:rPr>
      <w:rFonts w:ascii="仿宋_GB2312" w:hAnsi="Tahoma" w:eastAsia="仿宋_GB2312"/>
      <w:szCs w:val="21"/>
    </w:rPr>
  </w:style>
  <w:style w:type="paragraph" w:customStyle="1" w:styleId="309">
    <w:name w:val="xl4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10">
    <w:name w:val="框图"/>
    <w:basedOn w:val="1"/>
    <w:qFormat/>
    <w:uiPriority w:val="99"/>
    <w:pPr>
      <w:autoSpaceDE w:val="0"/>
      <w:autoSpaceDN w:val="0"/>
      <w:adjustRightInd w:val="0"/>
      <w:jc w:val="center"/>
    </w:pPr>
    <w:rPr>
      <w:rFonts w:ascii="宋体" w:hAnsi="宋体"/>
      <w:spacing w:val="-8"/>
      <w:szCs w:val="24"/>
    </w:rPr>
  </w:style>
  <w:style w:type="paragraph" w:customStyle="1" w:styleId="311">
    <w:name w:val="xl47"/>
    <w:basedOn w:val="1"/>
    <w:qFormat/>
    <w:uiPriority w:val="99"/>
    <w:pPr>
      <w:widowControl/>
      <w:pBdr>
        <w:left w:val="single" w:color="auto" w:sz="4" w:space="0"/>
        <w:bottom w:val="single" w:color="auto" w:sz="4" w:space="0"/>
      </w:pBdr>
      <w:spacing w:before="100" w:beforeAutospacing="1" w:after="100" w:afterAutospacing="1"/>
      <w:jc w:val="center"/>
    </w:pPr>
    <w:rPr>
      <w:kern w:val="0"/>
      <w:sz w:val="24"/>
      <w:szCs w:val="24"/>
    </w:rPr>
  </w:style>
  <w:style w:type="paragraph" w:customStyle="1" w:styleId="312">
    <w:name w:val="xl79"/>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313">
    <w:name w:val="小标题2"/>
    <w:basedOn w:val="1"/>
    <w:qFormat/>
    <w:uiPriority w:val="99"/>
    <w:pPr>
      <w:tabs>
        <w:tab w:val="left" w:pos="5400"/>
      </w:tabs>
      <w:overflowPunct w:val="0"/>
      <w:adjustRightInd w:val="0"/>
      <w:spacing w:line="336" w:lineRule="auto"/>
      <w:ind w:firstLine="600" w:firstLineChars="200"/>
    </w:pPr>
    <w:rPr>
      <w:rFonts w:ascii="宋体" w:hAnsi="宋体"/>
      <w:sz w:val="30"/>
    </w:rPr>
  </w:style>
  <w:style w:type="paragraph" w:customStyle="1" w:styleId="314">
    <w:name w:val="正文 首行缩进:  2 字符"/>
    <w:basedOn w:val="1"/>
    <w:qFormat/>
    <w:uiPriority w:val="99"/>
    <w:pPr>
      <w:ind w:firstLine="420" w:firstLineChars="200"/>
    </w:pPr>
    <w:rPr>
      <w:rFonts w:ascii="宋体" w:hAnsi="宋体"/>
      <w:sz w:val="28"/>
    </w:rPr>
  </w:style>
  <w:style w:type="paragraph" w:customStyle="1" w:styleId="315">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6">
    <w:name w:val="xl117"/>
    <w:basedOn w:val="1"/>
    <w:qFormat/>
    <w:uiPriority w:val="99"/>
    <w:pPr>
      <w:widowControl/>
      <w:pBdr>
        <w:top w:val="single" w:color="auto" w:sz="4" w:space="0"/>
        <w:bottom w:val="single" w:color="auto" w:sz="4" w:space="0"/>
        <w:right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17">
    <w:name w:val="xl2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kern w:val="0"/>
      <w:szCs w:val="21"/>
    </w:rPr>
  </w:style>
  <w:style w:type="paragraph" w:customStyle="1" w:styleId="318">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color w:val="FF0000"/>
      <w:kern w:val="0"/>
      <w:sz w:val="24"/>
      <w:szCs w:val="24"/>
    </w:rPr>
  </w:style>
  <w:style w:type="paragraph" w:customStyle="1" w:styleId="319">
    <w:name w:val="方框"/>
    <w:basedOn w:val="1"/>
    <w:qFormat/>
    <w:uiPriority w:val="99"/>
    <w:pPr>
      <w:widowControl/>
      <w:spacing w:line="240" w:lineRule="atLeast"/>
    </w:pPr>
    <w:rPr>
      <w:rFonts w:ascii="宋体"/>
      <w:kern w:val="0"/>
      <w:sz w:val="24"/>
    </w:rPr>
  </w:style>
  <w:style w:type="paragraph" w:customStyle="1" w:styleId="320">
    <w:name w:val="ENUM"/>
    <w:basedOn w:val="1"/>
    <w:qFormat/>
    <w:uiPriority w:val="99"/>
    <w:pPr>
      <w:widowControl/>
      <w:tabs>
        <w:tab w:val="left" w:pos="1418"/>
      </w:tabs>
      <w:spacing w:before="60" w:after="60"/>
      <w:ind w:left="1418" w:hanging="284"/>
    </w:pPr>
    <w:rPr>
      <w:rFonts w:ascii="Arial" w:hAnsi="Arial"/>
      <w:kern w:val="0"/>
      <w:sz w:val="22"/>
    </w:rPr>
  </w:style>
  <w:style w:type="paragraph" w:customStyle="1" w:styleId="321">
    <w:name w:val="xl81"/>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322">
    <w:name w:val="xl7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323">
    <w:name w:val="Style53"/>
    <w:basedOn w:val="1"/>
    <w:qFormat/>
    <w:uiPriority w:val="99"/>
    <w:pPr>
      <w:adjustRightInd w:val="0"/>
      <w:jc w:val="center"/>
    </w:pPr>
    <w:rPr>
      <w:rFonts w:ascii="宋体"/>
      <w:kern w:val="0"/>
      <w:sz w:val="24"/>
      <w:szCs w:val="24"/>
    </w:rPr>
  </w:style>
  <w:style w:type="paragraph" w:customStyle="1" w:styleId="324">
    <w:name w:val="xl120"/>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325">
    <w:name w:val="xl13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0"/>
    </w:rPr>
  </w:style>
  <w:style w:type="paragraph" w:customStyle="1" w:styleId="326">
    <w:name w:val="表格1"/>
    <w:basedOn w:val="1"/>
    <w:qFormat/>
    <w:uiPriority w:val="99"/>
    <w:pPr>
      <w:spacing w:line="320" w:lineRule="exact"/>
      <w:jc w:val="center"/>
    </w:pPr>
    <w:rPr>
      <w:bCs/>
      <w:color w:val="000000"/>
      <w:kern w:val="0"/>
      <w:szCs w:val="19"/>
    </w:rPr>
  </w:style>
  <w:style w:type="paragraph" w:customStyle="1" w:styleId="327">
    <w:name w:val="xl25"/>
    <w:basedOn w:val="1"/>
    <w:qFormat/>
    <w:uiPriority w:val="99"/>
    <w:pPr>
      <w:widowControl/>
      <w:spacing w:before="100" w:beforeAutospacing="1" w:after="100" w:afterAutospacing="1"/>
      <w:jc w:val="left"/>
      <w:textAlignment w:val="center"/>
    </w:pPr>
    <w:rPr>
      <w:color w:val="FF0000"/>
      <w:kern w:val="0"/>
      <w:sz w:val="16"/>
      <w:szCs w:val="16"/>
    </w:rPr>
  </w:style>
  <w:style w:type="paragraph" w:customStyle="1" w:styleId="328">
    <w:name w:val="目次、标准名称标题"/>
    <w:basedOn w:val="1"/>
    <w:next w:val="123"/>
    <w:qFormat/>
    <w:uiPriority w:val="99"/>
    <w:pPr>
      <w:widowControl/>
      <w:shd w:val="clear" w:color="FFFFFF" w:fill="FFFFFF"/>
      <w:spacing w:before="640" w:after="560" w:line="460" w:lineRule="exact"/>
      <w:jc w:val="center"/>
      <w:outlineLvl w:val="0"/>
    </w:pPr>
    <w:rPr>
      <w:rFonts w:ascii="黑体" w:eastAsia="黑体"/>
      <w:kern w:val="0"/>
      <w:sz w:val="32"/>
    </w:rPr>
  </w:style>
  <w:style w:type="paragraph" w:customStyle="1" w:styleId="329">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30">
    <w:name w:val="xl80"/>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331">
    <w:name w:val="样式 样式 环评正文 + (西文) 仿宋_GB2312 (中文) 宋体 10.5 磅 首行缩进:  2 字符 + 首行缩进:  ..."/>
    <w:basedOn w:val="1"/>
    <w:qFormat/>
    <w:uiPriority w:val="99"/>
    <w:pPr>
      <w:spacing w:line="400" w:lineRule="exact"/>
      <w:ind w:firstLine="200" w:firstLineChars="200"/>
    </w:pPr>
    <w:rPr>
      <w:rFonts w:ascii="仿宋_GB2312" w:hAnsi="仿宋_GB2312"/>
      <w:sz w:val="24"/>
    </w:rPr>
  </w:style>
  <w:style w:type="paragraph" w:customStyle="1" w:styleId="332">
    <w:name w:val="Style134"/>
    <w:basedOn w:val="1"/>
    <w:qFormat/>
    <w:uiPriority w:val="99"/>
    <w:pPr>
      <w:adjustRightInd w:val="0"/>
      <w:spacing w:line="173" w:lineRule="exact"/>
    </w:pPr>
    <w:rPr>
      <w:rFonts w:ascii="宋体"/>
      <w:kern w:val="0"/>
      <w:sz w:val="24"/>
      <w:szCs w:val="24"/>
    </w:rPr>
  </w:style>
  <w:style w:type="paragraph" w:customStyle="1" w:styleId="333">
    <w:name w:val="xl82"/>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334">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35">
    <w:name w:val="一级标题"/>
    <w:basedOn w:val="1"/>
    <w:qFormat/>
    <w:uiPriority w:val="99"/>
    <w:rPr>
      <w:sz w:val="24"/>
      <w:szCs w:val="24"/>
    </w:rPr>
  </w:style>
  <w:style w:type="paragraph" w:customStyle="1" w:styleId="336">
    <w:name w:val="表标题"/>
    <w:basedOn w:val="1"/>
    <w:qFormat/>
    <w:uiPriority w:val="99"/>
    <w:pPr>
      <w:tabs>
        <w:tab w:val="left" w:pos="900"/>
      </w:tabs>
      <w:autoSpaceDE w:val="0"/>
      <w:autoSpaceDN w:val="0"/>
      <w:adjustRightInd w:val="0"/>
      <w:spacing w:line="520" w:lineRule="exact"/>
      <w:ind w:left="2" w:leftChars="1" w:firstLine="840" w:firstLineChars="300"/>
    </w:pPr>
    <w:rPr>
      <w:rFonts w:ascii="宋体" w:hAnsi="宋体"/>
      <w:color w:val="000000"/>
      <w:sz w:val="28"/>
      <w:szCs w:val="28"/>
    </w:rPr>
  </w:style>
  <w:style w:type="paragraph" w:customStyle="1" w:styleId="337">
    <w:name w:val="reader-word-layer reader-word-s5-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38">
    <w:name w:val="封面标准名称"/>
    <w:qFormat/>
    <w:uiPriority w:val="99"/>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339">
    <w:name w:val="三级条标题"/>
    <w:basedOn w:val="1"/>
    <w:next w:val="123"/>
    <w:qFormat/>
    <w:uiPriority w:val="99"/>
    <w:pPr>
      <w:widowControl/>
      <w:tabs>
        <w:tab w:val="left" w:pos="1680"/>
      </w:tabs>
      <w:ind w:left="1680" w:hanging="420"/>
      <w:outlineLvl w:val="4"/>
    </w:pPr>
    <w:rPr>
      <w:rFonts w:ascii="黑体" w:eastAsia="黑体" w:cs="黑体"/>
      <w:szCs w:val="21"/>
    </w:rPr>
  </w:style>
  <w:style w:type="paragraph" w:customStyle="1" w:styleId="340">
    <w:name w:val="Char Char Char Char Char2 Char"/>
    <w:basedOn w:val="1"/>
    <w:qFormat/>
    <w:uiPriority w:val="99"/>
    <w:pPr>
      <w:adjustRightInd w:val="0"/>
      <w:snapToGrid w:val="0"/>
      <w:spacing w:line="360" w:lineRule="auto"/>
      <w:ind w:firstLine="200" w:firstLineChars="200"/>
    </w:pPr>
    <w:rPr>
      <w:rFonts w:ascii="宋体" w:hAnsi="宋体" w:cs="宋体"/>
      <w:sz w:val="24"/>
      <w:szCs w:val="26"/>
    </w:rPr>
  </w:style>
  <w:style w:type="paragraph" w:customStyle="1" w:styleId="341">
    <w:name w:val="标题3"/>
    <w:basedOn w:val="4"/>
    <w:link w:val="422"/>
    <w:qFormat/>
    <w:uiPriority w:val="99"/>
    <w:pPr>
      <w:adjustRightInd w:val="0"/>
      <w:snapToGrid w:val="0"/>
      <w:spacing w:before="160" w:after="160" w:line="240" w:lineRule="auto"/>
    </w:pPr>
    <w:rPr>
      <w:rFonts w:eastAsia="仿宋_GB2312"/>
      <w:bCs/>
      <w:sz w:val="32"/>
      <w:szCs w:val="32"/>
    </w:rPr>
  </w:style>
  <w:style w:type="paragraph" w:customStyle="1" w:styleId="342">
    <w:name w:val="正文样式 Char"/>
    <w:basedOn w:val="1"/>
    <w:qFormat/>
    <w:uiPriority w:val="99"/>
    <w:pPr>
      <w:adjustRightInd w:val="0"/>
      <w:snapToGrid w:val="0"/>
      <w:spacing w:line="460" w:lineRule="exact"/>
      <w:ind w:firstLine="200" w:firstLineChars="200"/>
    </w:pPr>
    <w:rPr>
      <w:color w:val="000000"/>
      <w:sz w:val="26"/>
      <w:szCs w:val="26"/>
    </w:rPr>
  </w:style>
  <w:style w:type="paragraph" w:customStyle="1" w:styleId="343">
    <w:name w:val="样式8"/>
    <w:basedOn w:val="4"/>
    <w:qFormat/>
    <w:uiPriority w:val="99"/>
    <w:pPr>
      <w:adjustRightInd w:val="0"/>
      <w:snapToGrid w:val="0"/>
      <w:spacing w:before="0" w:after="0" w:line="480" w:lineRule="exact"/>
    </w:pPr>
    <w:rPr>
      <w:sz w:val="26"/>
      <w:szCs w:val="24"/>
    </w:rPr>
  </w:style>
  <w:style w:type="character" w:customStyle="1" w:styleId="344">
    <w:name w:val="批注框文本 Char Char Char Char"/>
    <w:basedOn w:val="28"/>
    <w:link w:val="79"/>
    <w:semiHidden/>
    <w:qFormat/>
    <w:locked/>
    <w:uiPriority w:val="99"/>
    <w:rPr>
      <w:rFonts w:eastAsia="宋体" w:cs="Times New Roman"/>
      <w:kern w:val="2"/>
      <w:sz w:val="18"/>
      <w:lang w:val="en-US" w:eastAsia="zh-CN"/>
    </w:rPr>
  </w:style>
  <w:style w:type="character" w:customStyle="1" w:styleId="345">
    <w:name w:val="正文文本 2 Char1"/>
    <w:basedOn w:val="28"/>
    <w:link w:val="73"/>
    <w:semiHidden/>
    <w:qFormat/>
    <w:locked/>
    <w:uiPriority w:val="99"/>
    <w:rPr>
      <w:rFonts w:eastAsia="宋体" w:cs="Times New Roman"/>
      <w:kern w:val="2"/>
      <w:sz w:val="21"/>
      <w:lang w:val="en-US" w:eastAsia="zh-CN"/>
    </w:rPr>
  </w:style>
  <w:style w:type="character" w:customStyle="1" w:styleId="346">
    <w:name w:val="Page Number1"/>
    <w:basedOn w:val="28"/>
    <w:qFormat/>
    <w:uiPriority w:val="99"/>
    <w:rPr>
      <w:rFonts w:cs="Times New Roman"/>
    </w:rPr>
  </w:style>
  <w:style w:type="character" w:customStyle="1" w:styleId="347">
    <w:name w:val="HTML Typewriter1"/>
    <w:basedOn w:val="28"/>
    <w:qFormat/>
    <w:uiPriority w:val="99"/>
    <w:rPr>
      <w:rFonts w:ascii="Courier New" w:hAnsi="Courier New" w:cs="Times New Roman"/>
      <w:sz w:val="20"/>
    </w:rPr>
  </w:style>
  <w:style w:type="character" w:customStyle="1" w:styleId="348">
    <w:name w:val="标题 1 Char Char"/>
    <w:qFormat/>
    <w:uiPriority w:val="99"/>
    <w:rPr>
      <w:rFonts w:ascii="黑体" w:hAnsi="宋体" w:eastAsia="黑体"/>
      <w:b/>
      <w:kern w:val="2"/>
      <w:sz w:val="24"/>
      <w:lang w:val="en-US" w:eastAsia="zh-CN"/>
    </w:rPr>
  </w:style>
  <w:style w:type="character" w:customStyle="1" w:styleId="349">
    <w:name w:val="apple-style-span"/>
    <w:basedOn w:val="28"/>
    <w:qFormat/>
    <w:uiPriority w:val="99"/>
    <w:rPr>
      <w:rFonts w:cs="Times New Roman"/>
    </w:rPr>
  </w:style>
  <w:style w:type="character" w:customStyle="1" w:styleId="350">
    <w:name w:val="页眉00 Char Char"/>
    <w:qFormat/>
    <w:uiPriority w:val="99"/>
    <w:rPr>
      <w:rFonts w:ascii="宋体" w:hAnsi="宋体" w:eastAsia="宋体"/>
      <w:kern w:val="2"/>
      <w:sz w:val="18"/>
      <w:lang w:val="en-US" w:eastAsia="zh-CN"/>
    </w:rPr>
  </w:style>
  <w:style w:type="character" w:customStyle="1" w:styleId="351">
    <w:name w:val="标题 8 Char Char"/>
    <w:qFormat/>
    <w:uiPriority w:val="99"/>
    <w:rPr>
      <w:rFonts w:ascii="Arial" w:hAnsi="Arial" w:eastAsia="黑体"/>
      <w:kern w:val="2"/>
      <w:sz w:val="24"/>
      <w:lang w:val="en-US" w:eastAsia="zh-CN"/>
    </w:rPr>
  </w:style>
  <w:style w:type="character" w:customStyle="1" w:styleId="352">
    <w:name w:val="Font Style213"/>
    <w:qFormat/>
    <w:uiPriority w:val="0"/>
    <w:rPr>
      <w:rFonts w:ascii="宋体" w:eastAsia="宋体"/>
      <w:b/>
      <w:sz w:val="22"/>
    </w:rPr>
  </w:style>
  <w:style w:type="character" w:customStyle="1" w:styleId="353">
    <w:name w:val="正文文本 2 Char Char"/>
    <w:qFormat/>
    <w:uiPriority w:val="99"/>
    <w:rPr>
      <w:rFonts w:eastAsia="宋体"/>
      <w:kern w:val="2"/>
      <w:sz w:val="24"/>
      <w:lang w:val="en-US" w:eastAsia="zh-CN"/>
    </w:rPr>
  </w:style>
  <w:style w:type="character" w:customStyle="1" w:styleId="354">
    <w:name w:val="正文缩进 Char Char"/>
    <w:qFormat/>
    <w:uiPriority w:val="99"/>
    <w:rPr>
      <w:rFonts w:eastAsia="宋体"/>
      <w:spacing w:val="10"/>
      <w:kern w:val="2"/>
      <w:sz w:val="28"/>
      <w:lang w:val="en-US" w:eastAsia="zh-CN"/>
    </w:rPr>
  </w:style>
  <w:style w:type="character" w:customStyle="1" w:styleId="355">
    <w:name w:val="Char Char12"/>
    <w:qFormat/>
    <w:uiPriority w:val="99"/>
    <w:rPr>
      <w:b/>
      <w:kern w:val="2"/>
      <w:sz w:val="24"/>
    </w:rPr>
  </w:style>
  <w:style w:type="character" w:customStyle="1" w:styleId="356">
    <w:name w:val="Char Char7"/>
    <w:qFormat/>
    <w:uiPriority w:val="99"/>
    <w:rPr>
      <w:kern w:val="2"/>
      <w:sz w:val="24"/>
    </w:rPr>
  </w:style>
  <w:style w:type="character" w:customStyle="1" w:styleId="357">
    <w:name w:val="样式 宋体 小四"/>
    <w:qFormat/>
    <w:uiPriority w:val="99"/>
    <w:rPr>
      <w:rFonts w:ascii="宋体" w:hAnsi="宋体" w:eastAsia="宋体"/>
      <w:b/>
      <w:sz w:val="24"/>
    </w:rPr>
  </w:style>
  <w:style w:type="character" w:customStyle="1" w:styleId="358">
    <w:name w:val="Font Style120"/>
    <w:qFormat/>
    <w:uiPriority w:val="99"/>
    <w:rPr>
      <w:rFonts w:ascii="宋体" w:eastAsia="宋体"/>
      <w:sz w:val="22"/>
    </w:rPr>
  </w:style>
  <w:style w:type="character" w:customStyle="1" w:styleId="359">
    <w:name w:val="Font Style205"/>
    <w:qFormat/>
    <w:uiPriority w:val="99"/>
    <w:rPr>
      <w:rFonts w:ascii="宋体" w:eastAsia="宋体"/>
      <w:b/>
      <w:sz w:val="24"/>
    </w:rPr>
  </w:style>
  <w:style w:type="character" w:customStyle="1" w:styleId="360">
    <w:name w:val="标题 1 Char Char Char"/>
    <w:qFormat/>
    <w:uiPriority w:val="99"/>
    <w:rPr>
      <w:rFonts w:ascii="Arial" w:hAnsi="Arial" w:eastAsia="黑体"/>
      <w:snapToGrid w:val="0"/>
      <w:spacing w:val="10"/>
      <w:w w:val="90"/>
      <w:kern w:val="30"/>
      <w:sz w:val="21"/>
    </w:rPr>
  </w:style>
  <w:style w:type="character" w:customStyle="1" w:styleId="361">
    <w:name w:val="t_tag"/>
    <w:basedOn w:val="28"/>
    <w:qFormat/>
    <w:uiPriority w:val="99"/>
    <w:rPr>
      <w:rFonts w:cs="Times New Roman"/>
    </w:rPr>
  </w:style>
  <w:style w:type="character" w:customStyle="1" w:styleId="362">
    <w:name w:val="Char Char2"/>
    <w:qFormat/>
    <w:uiPriority w:val="99"/>
    <w:rPr>
      <w:rFonts w:eastAsia="宋体"/>
      <w:sz w:val="18"/>
      <w:lang w:val="en-US" w:eastAsia="zh-CN"/>
    </w:rPr>
  </w:style>
  <w:style w:type="character" w:customStyle="1" w:styleId="363">
    <w:name w:val="正文首行缩进 Char Char"/>
    <w:qFormat/>
    <w:uiPriority w:val="99"/>
    <w:rPr>
      <w:rFonts w:eastAsia="宋体"/>
      <w:spacing w:val="10"/>
      <w:kern w:val="24"/>
      <w:sz w:val="24"/>
      <w:lang w:val="en-US" w:eastAsia="zh-CN"/>
    </w:rPr>
  </w:style>
  <w:style w:type="character" w:customStyle="1" w:styleId="364">
    <w:name w:val="Font Style215"/>
    <w:qFormat/>
    <w:uiPriority w:val="99"/>
    <w:rPr>
      <w:rFonts w:ascii="Palatino Linotype" w:hAnsi="Palatino Linotype"/>
      <w:b/>
      <w:i/>
      <w:sz w:val="22"/>
    </w:rPr>
  </w:style>
  <w:style w:type="character" w:customStyle="1" w:styleId="365">
    <w:name w:val="news_c_da1"/>
    <w:qFormat/>
    <w:uiPriority w:val="99"/>
    <w:rPr>
      <w:b/>
      <w:color w:val="000000"/>
      <w:sz w:val="24"/>
    </w:rPr>
  </w:style>
  <w:style w:type="character" w:customStyle="1" w:styleId="366">
    <w:name w:val="正文1 Char Char Char"/>
    <w:qFormat/>
    <w:uiPriority w:val="99"/>
    <w:rPr>
      <w:rFonts w:eastAsia="宋体"/>
      <w:snapToGrid w:val="0"/>
      <w:kern w:val="21"/>
      <w:sz w:val="21"/>
      <w:lang w:val="en-US" w:eastAsia="zh-CN"/>
    </w:rPr>
  </w:style>
  <w:style w:type="character" w:customStyle="1" w:styleId="367">
    <w:name w:val="9points1"/>
    <w:qFormat/>
    <w:uiPriority w:val="99"/>
    <w:rPr>
      <w:color w:val="003366"/>
      <w:sz w:val="18"/>
      <w:u w:val="none"/>
    </w:rPr>
  </w:style>
  <w:style w:type="character" w:customStyle="1" w:styleId="368">
    <w:name w:val="样式 正文首行缩进 + 首行缩进:  1 字符2 Char Char"/>
    <w:qFormat/>
    <w:uiPriority w:val="99"/>
    <w:rPr>
      <w:rFonts w:ascii="宋体" w:eastAsia="宋体"/>
      <w:kern w:val="2"/>
      <w:sz w:val="24"/>
    </w:rPr>
  </w:style>
  <w:style w:type="character" w:customStyle="1" w:styleId="369">
    <w:name w:val="Font Style208"/>
    <w:qFormat/>
    <w:uiPriority w:val="99"/>
    <w:rPr>
      <w:rFonts w:ascii="Sylfaen" w:hAnsi="Sylfaen"/>
      <w:spacing w:val="-20"/>
      <w:sz w:val="18"/>
    </w:rPr>
  </w:style>
  <w:style w:type="character" w:customStyle="1" w:styleId="370">
    <w:name w:val="style71"/>
    <w:qFormat/>
    <w:uiPriority w:val="99"/>
    <w:rPr>
      <w:rFonts w:ascii="黑体" w:eastAsia="黑体"/>
      <w:b/>
    </w:rPr>
  </w:style>
  <w:style w:type="character" w:customStyle="1" w:styleId="371">
    <w:name w:val="Font Style191"/>
    <w:qFormat/>
    <w:uiPriority w:val="99"/>
    <w:rPr>
      <w:rFonts w:ascii="宋体" w:eastAsia="宋体"/>
      <w:sz w:val="26"/>
    </w:rPr>
  </w:style>
  <w:style w:type="character" w:customStyle="1" w:styleId="372">
    <w:name w:val="unnamed11"/>
    <w:qFormat/>
    <w:uiPriority w:val="99"/>
    <w:rPr>
      <w:rFonts w:ascii="宋体" w:hAnsi="宋体" w:eastAsia="宋体"/>
      <w:sz w:val="21"/>
    </w:rPr>
  </w:style>
  <w:style w:type="character" w:customStyle="1" w:styleId="373">
    <w:name w:val="正文1"/>
    <w:qFormat/>
    <w:uiPriority w:val="99"/>
    <w:rPr>
      <w:rFonts w:ascii="宋体" w:hAnsi="宋体" w:eastAsia="宋体"/>
      <w:color w:val="000000"/>
      <w:spacing w:val="400"/>
      <w:sz w:val="22"/>
    </w:rPr>
  </w:style>
  <w:style w:type="character" w:customStyle="1" w:styleId="374">
    <w:name w:val="正文文本 (2)_"/>
    <w:basedOn w:val="28"/>
    <w:link w:val="88"/>
    <w:semiHidden/>
    <w:qFormat/>
    <w:locked/>
    <w:uiPriority w:val="99"/>
    <w:rPr>
      <w:rFonts w:ascii="MingLiUfalt" w:hAnsi="Calibri" w:eastAsia="MingLiUfalt" w:cs="MingLiUfalt"/>
      <w:kern w:val="0"/>
      <w:sz w:val="26"/>
      <w:szCs w:val="26"/>
    </w:rPr>
  </w:style>
  <w:style w:type="character" w:customStyle="1" w:styleId="375">
    <w:name w:val="Char Char15"/>
    <w:qFormat/>
    <w:uiPriority w:val="99"/>
    <w:rPr>
      <w:rFonts w:ascii="Arial" w:hAnsi="Arial" w:eastAsia="黑体"/>
      <w:b/>
      <w:kern w:val="2"/>
      <w:sz w:val="28"/>
      <w:lang w:val="en-US" w:eastAsia="zh-CN"/>
    </w:rPr>
  </w:style>
  <w:style w:type="character" w:customStyle="1" w:styleId="376">
    <w:name w:val="normal_0020table__char"/>
    <w:basedOn w:val="28"/>
    <w:qFormat/>
    <w:uiPriority w:val="99"/>
    <w:rPr>
      <w:rFonts w:cs="Times New Roman"/>
    </w:rPr>
  </w:style>
  <w:style w:type="character" w:customStyle="1" w:styleId="377">
    <w:name w:val="Char Char6"/>
    <w:qFormat/>
    <w:uiPriority w:val="99"/>
    <w:rPr>
      <w:rFonts w:ascii="宋体" w:eastAsia="宋体"/>
      <w:kern w:val="2"/>
      <w:sz w:val="24"/>
    </w:rPr>
  </w:style>
  <w:style w:type="character" w:customStyle="1" w:styleId="378">
    <w:name w:val="text11"/>
    <w:qFormat/>
    <w:uiPriority w:val="99"/>
    <w:rPr>
      <w:sz w:val="21"/>
    </w:rPr>
  </w:style>
  <w:style w:type="character" w:customStyle="1" w:styleId="379">
    <w:name w:val="word3noad"/>
    <w:basedOn w:val="28"/>
    <w:qFormat/>
    <w:uiPriority w:val="99"/>
    <w:rPr>
      <w:rFonts w:cs="Times New Roman"/>
    </w:rPr>
  </w:style>
  <w:style w:type="character" w:customStyle="1" w:styleId="380">
    <w:name w:val="报告正文 Char Char"/>
    <w:link w:val="89"/>
    <w:qFormat/>
    <w:locked/>
    <w:uiPriority w:val="0"/>
    <w:rPr>
      <w:rFonts w:ascii="宋体" w:hAnsi="宋体" w:eastAsia="宋体"/>
      <w:color w:val="000000"/>
      <w:sz w:val="24"/>
      <w:lang w:val="en-US" w:eastAsia="zh-CN"/>
    </w:rPr>
  </w:style>
  <w:style w:type="character" w:customStyle="1" w:styleId="381">
    <w:name w:val="Font Style216"/>
    <w:qFormat/>
    <w:uiPriority w:val="99"/>
    <w:rPr>
      <w:rFonts w:ascii="宋体" w:eastAsia="宋体"/>
      <w:b/>
      <w:sz w:val="22"/>
    </w:rPr>
  </w:style>
  <w:style w:type="character" w:customStyle="1" w:styleId="382">
    <w:name w:val="页脚 Char Char"/>
    <w:qFormat/>
    <w:uiPriority w:val="99"/>
    <w:rPr>
      <w:rFonts w:eastAsia="宋体"/>
      <w:kern w:val="2"/>
      <w:sz w:val="18"/>
      <w:lang w:val="en-US" w:eastAsia="zh-CN"/>
    </w:rPr>
  </w:style>
  <w:style w:type="character" w:customStyle="1" w:styleId="383">
    <w:name w:val="样式 正文缩进正文（首行缩进两字） Char表格标题正文（首行缩进两字） Char Char Char Char Char... Char"/>
    <w:qFormat/>
    <w:uiPriority w:val="99"/>
    <w:rPr>
      <w:rFonts w:ascii="宋体" w:hAnsi="宋体" w:eastAsia="宋体"/>
      <w:color w:val="000000"/>
      <w:spacing w:val="-2"/>
      <w:kern w:val="2"/>
      <w:sz w:val="28"/>
      <w:lang w:val="en-US" w:eastAsia="zh-CN"/>
    </w:rPr>
  </w:style>
  <w:style w:type="character" w:customStyle="1" w:styleId="384">
    <w:name w:val="title"/>
    <w:basedOn w:val="28"/>
    <w:qFormat/>
    <w:uiPriority w:val="99"/>
    <w:rPr>
      <w:rFonts w:cs="Times New Roman"/>
    </w:rPr>
  </w:style>
  <w:style w:type="character" w:customStyle="1" w:styleId="385">
    <w:name w:val="Font Style214"/>
    <w:qFormat/>
    <w:uiPriority w:val="99"/>
    <w:rPr>
      <w:rFonts w:ascii="宋体" w:eastAsia="宋体"/>
      <w:spacing w:val="-10"/>
      <w:w w:val="150"/>
      <w:sz w:val="14"/>
    </w:rPr>
  </w:style>
  <w:style w:type="character" w:customStyle="1" w:styleId="386">
    <w:name w:val="样式 正文首行缩进 + 首行缩进:  1 字符2 Char Char Char"/>
    <w:link w:val="90"/>
    <w:semiHidden/>
    <w:qFormat/>
    <w:locked/>
    <w:uiPriority w:val="99"/>
    <w:rPr>
      <w:rFonts w:ascii="宋体" w:eastAsia="宋体"/>
      <w:kern w:val="2"/>
      <w:sz w:val="24"/>
    </w:rPr>
  </w:style>
  <w:style w:type="character" w:customStyle="1" w:styleId="387">
    <w:name w:val="apple-converted-space"/>
    <w:basedOn w:val="28"/>
    <w:qFormat/>
    <w:uiPriority w:val="99"/>
    <w:rPr>
      <w:rFonts w:cs="Times New Roman"/>
    </w:rPr>
  </w:style>
  <w:style w:type="character" w:customStyle="1" w:styleId="388">
    <w:name w:val="h3 Char1"/>
    <w:qFormat/>
    <w:uiPriority w:val="99"/>
    <w:rPr>
      <w:b/>
      <w:kern w:val="2"/>
      <w:sz w:val="32"/>
    </w:rPr>
  </w:style>
  <w:style w:type="character" w:customStyle="1" w:styleId="389">
    <w:name w:val="正文首行缩进 Char Char Char"/>
    <w:qFormat/>
    <w:uiPriority w:val="99"/>
    <w:rPr>
      <w:rFonts w:eastAsia="宋体"/>
      <w:spacing w:val="10"/>
      <w:kern w:val="24"/>
      <w:sz w:val="24"/>
      <w:lang w:val="en-US" w:eastAsia="zh-CN"/>
    </w:rPr>
  </w:style>
  <w:style w:type="character" w:customStyle="1" w:styleId="390">
    <w:name w:val="环正文 Char1"/>
    <w:link w:val="91"/>
    <w:semiHidden/>
    <w:qFormat/>
    <w:locked/>
    <w:uiPriority w:val="99"/>
    <w:rPr>
      <w:rFonts w:ascii="Tahoma" w:hAnsi="Tahoma"/>
      <w:sz w:val="21"/>
    </w:rPr>
  </w:style>
  <w:style w:type="character" w:customStyle="1" w:styleId="391">
    <w:name w:val="Font Style221"/>
    <w:qFormat/>
    <w:uiPriority w:val="99"/>
    <w:rPr>
      <w:rFonts w:ascii="MingLiUfalt" w:eastAsia="MingLiUfalt"/>
      <w:spacing w:val="10"/>
      <w:sz w:val="18"/>
    </w:rPr>
  </w:style>
  <w:style w:type="character" w:customStyle="1" w:styleId="392">
    <w:name w:val="Font Style210"/>
    <w:qFormat/>
    <w:uiPriority w:val="99"/>
    <w:rPr>
      <w:rFonts w:ascii="宋体" w:eastAsia="宋体"/>
      <w:b/>
      <w:sz w:val="24"/>
    </w:rPr>
  </w:style>
  <w:style w:type="character" w:customStyle="1" w:styleId="393">
    <w:name w:val="Char Char Char"/>
    <w:qFormat/>
    <w:uiPriority w:val="99"/>
    <w:rPr>
      <w:rFonts w:ascii="宋体" w:hAnsi="宋体" w:eastAsia="宋体"/>
      <w:kern w:val="2"/>
      <w:sz w:val="21"/>
      <w:lang w:val="en-US" w:eastAsia="zh-CN"/>
    </w:rPr>
  </w:style>
  <w:style w:type="character" w:customStyle="1" w:styleId="394">
    <w:name w:val="标题 7 Char Char"/>
    <w:qFormat/>
    <w:uiPriority w:val="99"/>
    <w:rPr>
      <w:rFonts w:eastAsia="宋体"/>
      <w:b/>
      <w:kern w:val="2"/>
      <w:sz w:val="24"/>
      <w:lang w:val="en-US" w:eastAsia="zh-CN"/>
    </w:rPr>
  </w:style>
  <w:style w:type="character" w:customStyle="1" w:styleId="395">
    <w:name w:val="页眉 Char Char"/>
    <w:qFormat/>
    <w:uiPriority w:val="99"/>
    <w:rPr>
      <w:rFonts w:eastAsia="宋体"/>
      <w:spacing w:val="10"/>
      <w:kern w:val="24"/>
      <w:sz w:val="18"/>
      <w:lang w:val="en-US" w:eastAsia="zh-CN"/>
    </w:rPr>
  </w:style>
  <w:style w:type="character" w:customStyle="1" w:styleId="396">
    <w:name w:val="标题 3 Char Char"/>
    <w:qFormat/>
    <w:uiPriority w:val="99"/>
    <w:rPr>
      <w:rFonts w:ascii="黑体" w:eastAsia="黑体"/>
      <w:b/>
      <w:kern w:val="2"/>
      <w:sz w:val="24"/>
      <w:lang w:val="en-US" w:eastAsia="zh-CN"/>
    </w:rPr>
  </w:style>
  <w:style w:type="character" w:customStyle="1" w:styleId="397">
    <w:name w:val="Font Style203"/>
    <w:qFormat/>
    <w:uiPriority w:val="99"/>
    <w:rPr>
      <w:rFonts w:ascii="宋体" w:eastAsia="宋体"/>
      <w:b/>
      <w:spacing w:val="-10"/>
      <w:sz w:val="28"/>
    </w:rPr>
  </w:style>
  <w:style w:type="character" w:customStyle="1" w:styleId="398">
    <w:name w:val="zw1"/>
    <w:qFormat/>
    <w:uiPriority w:val="99"/>
    <w:rPr>
      <w:rFonts w:ascii="宋体" w:hAnsi="宋体" w:eastAsia="宋体"/>
      <w:sz w:val="22"/>
    </w:rPr>
  </w:style>
  <w:style w:type="character" w:customStyle="1" w:styleId="399">
    <w:name w:val="detail1"/>
    <w:qFormat/>
    <w:uiPriority w:val="99"/>
    <w:rPr>
      <w:rFonts w:ascii="??" w:hAnsi="??"/>
      <w:sz w:val="21"/>
      <w:u w:val="none"/>
    </w:rPr>
  </w:style>
  <w:style w:type="character" w:customStyle="1" w:styleId="400">
    <w:name w:val="正文1 Char Char"/>
    <w:qFormat/>
    <w:uiPriority w:val="99"/>
    <w:rPr>
      <w:snapToGrid w:val="0"/>
      <w:kern w:val="21"/>
      <w:sz w:val="21"/>
    </w:rPr>
  </w:style>
  <w:style w:type="character" w:customStyle="1" w:styleId="401">
    <w:name w:val="No Spacing Char Char"/>
    <w:link w:val="92"/>
    <w:qFormat/>
    <w:locked/>
    <w:uiPriority w:val="99"/>
    <w:rPr>
      <w:rFonts w:ascii="Calibri" w:hAnsi="Calibri"/>
      <w:sz w:val="22"/>
      <w:szCs w:val="22"/>
      <w:lang w:val="en-US" w:eastAsia="zh-CN" w:bidi="ar-SA"/>
    </w:rPr>
  </w:style>
  <w:style w:type="character" w:customStyle="1" w:styleId="402">
    <w:name w:val="large1"/>
    <w:qFormat/>
    <w:uiPriority w:val="99"/>
    <w:rPr>
      <w:rFonts w:ascii="宋体" w:hAnsi="宋体" w:eastAsia="宋体"/>
      <w:sz w:val="22"/>
    </w:rPr>
  </w:style>
  <w:style w:type="character" w:customStyle="1" w:styleId="403">
    <w:name w:val="Font Style194"/>
    <w:qFormat/>
    <w:uiPriority w:val="99"/>
    <w:rPr>
      <w:rFonts w:ascii="宋体" w:eastAsia="宋体"/>
      <w:b/>
      <w:sz w:val="18"/>
    </w:rPr>
  </w:style>
  <w:style w:type="character" w:customStyle="1" w:styleId="404">
    <w:name w:val="Char Char11"/>
    <w:qFormat/>
    <w:uiPriority w:val="99"/>
    <w:rPr>
      <w:rFonts w:ascii="Arial" w:hAnsi="Arial" w:eastAsia="黑体"/>
      <w:kern w:val="2"/>
      <w:sz w:val="24"/>
    </w:rPr>
  </w:style>
  <w:style w:type="character" w:customStyle="1" w:styleId="405">
    <w:name w:val="Char Char10"/>
    <w:qFormat/>
    <w:uiPriority w:val="99"/>
    <w:rPr>
      <w:rFonts w:eastAsia="宋体"/>
      <w:b/>
      <w:spacing w:val="10"/>
      <w:kern w:val="2"/>
      <w:sz w:val="32"/>
      <w:lang w:val="en-US" w:eastAsia="zh-CN"/>
    </w:rPr>
  </w:style>
  <w:style w:type="character" w:customStyle="1" w:styleId="406">
    <w:name w:val="节标题 Char1"/>
    <w:qFormat/>
    <w:uiPriority w:val="99"/>
    <w:rPr>
      <w:rFonts w:ascii="Arial" w:hAnsi="Arial" w:eastAsia="黑体"/>
      <w:b/>
      <w:kern w:val="2"/>
      <w:sz w:val="32"/>
      <w:lang w:val="en-US" w:eastAsia="zh-CN"/>
    </w:rPr>
  </w:style>
  <w:style w:type="character" w:customStyle="1" w:styleId="407">
    <w:name w:val="cont2"/>
    <w:basedOn w:val="28"/>
    <w:qFormat/>
    <w:uiPriority w:val="99"/>
    <w:rPr>
      <w:rFonts w:cs="Times New Roman"/>
    </w:rPr>
  </w:style>
  <w:style w:type="character" w:customStyle="1" w:styleId="408">
    <w:name w:val="样式 正文首行缩进 + 首行缩进:  1 字符2 + 首行缩进:  2 字符 Char Char"/>
    <w:link w:val="93"/>
    <w:semiHidden/>
    <w:qFormat/>
    <w:locked/>
    <w:uiPriority w:val="99"/>
    <w:rPr>
      <w:rFonts w:ascii="宋体" w:eastAsia="宋体"/>
      <w:sz w:val="24"/>
      <w:lang w:val="zh-CN"/>
    </w:rPr>
  </w:style>
  <w:style w:type="character" w:customStyle="1" w:styleId="409">
    <w:name w:val="Char Char13"/>
    <w:qFormat/>
    <w:uiPriority w:val="99"/>
    <w:rPr>
      <w:rFonts w:ascii="宋体" w:hAnsi="宋体" w:eastAsia="黑体"/>
      <w:kern w:val="2"/>
      <w:sz w:val="24"/>
    </w:rPr>
  </w:style>
  <w:style w:type="character" w:customStyle="1" w:styleId="410">
    <w:name w:val="Char Char8"/>
    <w:qFormat/>
    <w:uiPriority w:val="99"/>
    <w:rPr>
      <w:rFonts w:eastAsia="宋体"/>
      <w:spacing w:val="10"/>
      <w:kern w:val="24"/>
      <w:sz w:val="24"/>
      <w:lang w:val="en-US" w:eastAsia="zh-CN"/>
    </w:rPr>
  </w:style>
  <w:style w:type="character" w:customStyle="1" w:styleId="411">
    <w:name w:val="不明显强调1"/>
    <w:qFormat/>
    <w:uiPriority w:val="99"/>
    <w:rPr>
      <w:i/>
      <w:color w:val="808080"/>
    </w:rPr>
  </w:style>
  <w:style w:type="character" w:customStyle="1" w:styleId="412">
    <w:name w:val="正文1 Char"/>
    <w:qFormat/>
    <w:uiPriority w:val="99"/>
    <w:rPr>
      <w:rFonts w:eastAsia="宋体"/>
      <w:snapToGrid w:val="0"/>
      <w:kern w:val="21"/>
      <w:sz w:val="21"/>
      <w:lang w:val="en-US" w:eastAsia="zh-CN"/>
    </w:rPr>
  </w:style>
  <w:style w:type="character" w:customStyle="1" w:styleId="413">
    <w:name w:val="style11"/>
    <w:qFormat/>
    <w:uiPriority w:val="99"/>
    <w:rPr>
      <w:rFonts w:ascii="Arial" w:hAnsi="Arial"/>
      <w:sz w:val="21"/>
    </w:rPr>
  </w:style>
  <w:style w:type="character" w:customStyle="1" w:styleId="414">
    <w:name w:val="标题 2 Char1"/>
    <w:link w:val="3"/>
    <w:semiHidden/>
    <w:qFormat/>
    <w:locked/>
    <w:uiPriority w:val="99"/>
    <w:rPr>
      <w:rFonts w:ascii="Arial" w:hAnsi="Arial" w:eastAsia="黑体"/>
      <w:b/>
      <w:kern w:val="2"/>
      <w:sz w:val="32"/>
      <w:lang w:val="en-US" w:eastAsia="zh-CN"/>
    </w:rPr>
  </w:style>
  <w:style w:type="character" w:customStyle="1" w:styleId="415">
    <w:name w:val="标题 3 Char3"/>
    <w:qFormat/>
    <w:uiPriority w:val="99"/>
    <w:rPr>
      <w:rFonts w:eastAsia="宋体"/>
      <w:b/>
      <w:kern w:val="2"/>
      <w:sz w:val="32"/>
      <w:lang w:val="en-US" w:eastAsia="zh-CN"/>
    </w:rPr>
  </w:style>
  <w:style w:type="character" w:customStyle="1" w:styleId="416">
    <w:name w:val="无间隔 Char"/>
    <w:link w:val="94"/>
    <w:qFormat/>
    <w:locked/>
    <w:uiPriority w:val="99"/>
    <w:rPr>
      <w:rFonts w:ascii="Calibri" w:hAnsi="Calibri"/>
      <w:sz w:val="22"/>
      <w:szCs w:val="22"/>
      <w:lang w:val="en-US" w:eastAsia="zh-CN" w:bidi="ar-SA"/>
    </w:rPr>
  </w:style>
  <w:style w:type="character" w:customStyle="1" w:styleId="417">
    <w:name w:val="h2 Char"/>
    <w:qFormat/>
    <w:uiPriority w:val="99"/>
    <w:rPr>
      <w:rFonts w:ascii="Arial" w:hAnsi="Arial" w:eastAsia="黑体"/>
      <w:b/>
      <w:kern w:val="2"/>
      <w:sz w:val="32"/>
      <w:lang w:val="en-US" w:eastAsia="zh-CN"/>
    </w:rPr>
  </w:style>
  <w:style w:type="character" w:customStyle="1" w:styleId="418">
    <w:name w:val="style81"/>
    <w:qFormat/>
    <w:uiPriority w:val="99"/>
    <w:rPr>
      <w:sz w:val="24"/>
    </w:rPr>
  </w:style>
  <w:style w:type="character" w:customStyle="1" w:styleId="419">
    <w:name w:val="ed11"/>
    <w:qFormat/>
    <w:uiPriority w:val="99"/>
    <w:rPr>
      <w:b/>
      <w:color w:val="05006C"/>
      <w:sz w:val="33"/>
    </w:rPr>
  </w:style>
  <w:style w:type="character" w:customStyle="1" w:styleId="420">
    <w:name w:val="s c c"/>
    <w:basedOn w:val="28"/>
    <w:qFormat/>
    <w:uiPriority w:val="99"/>
    <w:rPr>
      <w:rFonts w:cs="Times New Roman"/>
    </w:rPr>
  </w:style>
  <w:style w:type="character" w:customStyle="1" w:styleId="421">
    <w:name w:val="正文（首行缩进2字） Char"/>
    <w:qFormat/>
    <w:uiPriority w:val="99"/>
    <w:rPr>
      <w:rFonts w:eastAsia="宋体"/>
      <w:kern w:val="2"/>
      <w:sz w:val="30"/>
      <w:lang w:val="en-US" w:eastAsia="zh-CN"/>
    </w:rPr>
  </w:style>
  <w:style w:type="character" w:customStyle="1" w:styleId="422">
    <w:name w:val="标题3 Char Char"/>
    <w:basedOn w:val="45"/>
    <w:link w:val="341"/>
    <w:semiHidden/>
    <w:qFormat/>
    <w:locked/>
    <w:uiPriority w:val="99"/>
    <w:rPr>
      <w:rFonts w:eastAsia="仿宋_GB2312" w:cs="Times New Roman"/>
      <w:bCs/>
      <w:sz w:val="32"/>
      <w:szCs w:val="32"/>
    </w:rPr>
  </w:style>
  <w:style w:type="character" w:customStyle="1" w:styleId="423">
    <w:name w:val="表格 Char Char"/>
    <w:link w:val="117"/>
    <w:qFormat/>
    <w:locked/>
    <w:uiPriority w:val="99"/>
    <w:rPr>
      <w:sz w:val="24"/>
    </w:rPr>
  </w:style>
  <w:style w:type="character" w:customStyle="1" w:styleId="424">
    <w:name w:val="标题4 Char Char"/>
    <w:link w:val="269"/>
    <w:semiHidden/>
    <w:qFormat/>
    <w:locked/>
    <w:uiPriority w:val="99"/>
    <w:rPr>
      <w:rFonts w:ascii="Arial Unicode MS" w:hAnsi="Arial Unicode MS" w:eastAsia="黑体"/>
      <w:spacing w:val="20"/>
      <w:sz w:val="24"/>
    </w:rPr>
  </w:style>
  <w:style w:type="character" w:customStyle="1" w:styleId="425">
    <w:name w:val="批注框文本 Char"/>
    <w:basedOn w:val="28"/>
    <w:link w:val="18"/>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1027"/>
    <customShpInfo spid="_x0000_s1028"/>
    <customShpInfo spid="_x0000_s1029"/>
    <customShpInfo spid="_x0000_s1030"/>
    <customShpInfo spid="_x0000_s1031"/>
    <customShpInfo spid="_x0000_s1032"/>
    <customShpInfo spid="_x0000_s1033"/>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1"/>
    <customShpInfo spid="_x0000_s1152"/>
    <customShpInfo spid="_x0000_s1153"/>
    <customShpInfo spid="_x0000_s1154"/>
    <customShpInfo spid="_x0000_s1155"/>
    <customShpInfo spid="_x0000_s1156"/>
    <customShpInfo spid="_x0000_s1157"/>
    <customShpInfo spid="_x0000_s1158"/>
    <customShpInfo spid="_x0000_s1159"/>
    <customShpInfo spid="_x0000_s1160"/>
    <customShpInfo spid="_x0000_s1161"/>
    <customShpInfo spid="_x0000_s1162"/>
    <customShpInfo spid="_x0000_s1163"/>
    <customShpInfo spid="_x0000_s1164"/>
    <customShpInfo spid="_x0000_s1165"/>
    <customShpInfo spid="_x0000_s11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BFFCA6-4BBE-493E-A9C8-B533D9237D8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58</Pages>
  <Words>29551</Words>
  <Characters>8996</Characters>
  <Lines>74</Lines>
  <Paragraphs>76</Paragraphs>
  <ScaleCrop>false</ScaleCrop>
  <LinksUpToDate>false</LinksUpToDate>
  <CharactersWithSpaces>38471</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2017-04-14T14:46:00Z</dcterms:created>
  <dc:creator>wn</dc:creator>
  <cp:lastModifiedBy>Administrator</cp:lastModifiedBy>
  <cp:lastPrinted>2015-01-20T22:22:00Z</cp:lastPrinted>
  <dcterms:modified xsi:type="dcterms:W3CDTF">2017-05-28T11:22:17Z</dcterms:modified>
  <dc:title>Administrator</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