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eastAsiaTheme="minorEastAsia"/>
          <w:strike/>
          <w:color w:val="000000"/>
          <w:sz w:val="28"/>
        </w:rPr>
      </w:pPr>
    </w:p>
    <w:p>
      <w:pPr>
        <w:tabs>
          <w:tab w:val="left" w:pos="3012"/>
        </w:tabs>
        <w:jc w:val="right"/>
        <w:rPr>
          <w:rFonts w:asciiTheme="minorEastAsia" w:hAnsiTheme="minorEastAsia" w:eastAsiaTheme="minorEastAsia"/>
          <w:b/>
          <w:sz w:val="30"/>
          <w:szCs w:val="30"/>
        </w:rPr>
      </w:pPr>
      <w:r>
        <w:rPr>
          <w:rFonts w:hint="eastAsia" w:asciiTheme="minorEastAsia" w:hAnsiTheme="minorEastAsia" w:eastAsiaTheme="minorEastAsia"/>
          <w:b/>
          <w:sz w:val="30"/>
          <w:szCs w:val="30"/>
        </w:rPr>
        <w:t>版本号：</w:t>
      </w:r>
      <w:r>
        <w:rPr>
          <w:rFonts w:asciiTheme="minorEastAsia" w:hAnsiTheme="minorEastAsia" w:eastAsiaTheme="minorEastAsia"/>
          <w:b/>
          <w:sz w:val="30"/>
          <w:szCs w:val="30"/>
        </w:rPr>
        <w:t>2017</w:t>
      </w:r>
      <w:r>
        <w:rPr>
          <w:rFonts w:hint="eastAsia" w:asciiTheme="minorEastAsia" w:hAnsiTheme="minorEastAsia" w:eastAsiaTheme="minorEastAsia"/>
          <w:b/>
          <w:sz w:val="30"/>
          <w:szCs w:val="30"/>
        </w:rPr>
        <w:t>版</w:t>
      </w:r>
    </w:p>
    <w:p>
      <w:pPr>
        <w:pStyle w:val="30"/>
        <w:tabs>
          <w:tab w:val="right" w:leader="dot" w:pos="8296"/>
          <w:tab w:val="clear" w:pos="9174"/>
        </w:tabs>
        <w:jc w:val="center"/>
        <w:rPr>
          <w:rFonts w:asciiTheme="minorEastAsia" w:hAnsiTheme="minorEastAsia" w:eastAsiaTheme="minorEastAsia"/>
          <w:b/>
          <w:sz w:val="44"/>
          <w:szCs w:val="44"/>
        </w:rPr>
      </w:pPr>
    </w:p>
    <w:p>
      <w:pPr>
        <w:autoSpaceDE w:val="0"/>
        <w:autoSpaceDN w:val="0"/>
        <w:adjustRightInd w:val="0"/>
        <w:jc w:val="center"/>
        <w:rPr>
          <w:rFonts w:asciiTheme="minorEastAsia" w:hAnsiTheme="minorEastAsia" w:eastAsiaTheme="minorEastAsia"/>
          <w:b/>
          <w:bCs/>
          <w:spacing w:val="-20"/>
          <w:sz w:val="52"/>
          <w:szCs w:val="52"/>
        </w:rPr>
      </w:pPr>
      <w:r>
        <w:rPr>
          <w:rFonts w:hint="eastAsia" w:cs="宋体" w:asciiTheme="minorEastAsia" w:hAnsiTheme="minorEastAsia" w:eastAsiaTheme="minorEastAsia"/>
          <w:b/>
          <w:bCs/>
          <w:spacing w:val="-20"/>
          <w:sz w:val="52"/>
          <w:szCs w:val="52"/>
          <w:lang w:val="zh-CN"/>
        </w:rPr>
        <w:t>重庆市涪陵区拓源污水治理有限公司</w:t>
      </w:r>
    </w:p>
    <w:p>
      <w:pPr>
        <w:pStyle w:val="415"/>
        <w:rPr>
          <w:rFonts w:asciiTheme="minorEastAsia" w:hAnsiTheme="minorEastAsia" w:eastAsiaTheme="minorEastAsia"/>
          <w:b/>
        </w:rPr>
      </w:pPr>
      <w:r>
        <w:rPr>
          <w:rFonts w:asciiTheme="minorEastAsia" w:hAnsiTheme="minorEastAsia" w:eastAsiaTheme="minorEastAsia"/>
          <w:b/>
        </w:rPr>
        <w:t xml:space="preserve">  </w:t>
      </w:r>
      <w:r>
        <w:rPr>
          <w:rFonts w:hint="eastAsia" w:asciiTheme="minorEastAsia" w:hAnsiTheme="minorEastAsia" w:eastAsiaTheme="minorEastAsia"/>
          <w:b/>
        </w:rPr>
        <w:t>清溪园区污水处理厂</w:t>
      </w:r>
    </w:p>
    <w:p>
      <w:pPr>
        <w:pStyle w:val="415"/>
        <w:rPr>
          <w:rFonts w:asciiTheme="minorEastAsia" w:hAnsiTheme="minorEastAsia" w:eastAsiaTheme="minorEastAsia"/>
        </w:rPr>
      </w:pPr>
    </w:p>
    <w:p>
      <w:pPr>
        <w:adjustRightInd w:val="0"/>
        <w:snapToGrid w:val="0"/>
        <w:spacing w:line="480" w:lineRule="auto"/>
        <w:jc w:val="center"/>
        <w:rPr>
          <w:rFonts w:asciiTheme="minorEastAsia" w:hAnsiTheme="minorEastAsia" w:eastAsiaTheme="minorEastAsia"/>
          <w:b/>
          <w:sz w:val="52"/>
        </w:rPr>
      </w:pPr>
      <w:r>
        <w:rPr>
          <w:rFonts w:asciiTheme="minorEastAsia" w:hAnsiTheme="minorEastAsia" w:eastAsiaTheme="minorEastAsia"/>
          <w:b/>
          <w:sz w:val="52"/>
        </w:rPr>
        <w:t xml:space="preserve"> </w:t>
      </w:r>
      <w:r>
        <w:rPr>
          <w:rFonts w:hint="eastAsia" w:asciiTheme="minorEastAsia" w:hAnsiTheme="minorEastAsia" w:eastAsiaTheme="minorEastAsia"/>
          <w:b/>
          <w:sz w:val="52"/>
        </w:rPr>
        <w:t>突发环境事件应急预案</w:t>
      </w: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rPr>
          <w:rFonts w:asciiTheme="minorEastAsia" w:hAnsiTheme="minorEastAsia" w:eastAsiaTheme="minorEastAsia"/>
          <w:b/>
          <w:sz w:val="44"/>
          <w:szCs w:val="44"/>
        </w:rPr>
      </w:pPr>
    </w:p>
    <w:p>
      <w:pPr>
        <w:autoSpaceDE w:val="0"/>
        <w:autoSpaceDN w:val="0"/>
        <w:adjustRightInd w:val="0"/>
        <w:jc w:val="center"/>
        <w:rPr>
          <w:rFonts w:asciiTheme="minorEastAsia" w:hAnsiTheme="minorEastAsia" w:eastAsiaTheme="minorEastAsia"/>
          <w:b/>
          <w:bCs/>
          <w:spacing w:val="-20"/>
          <w:sz w:val="30"/>
          <w:szCs w:val="30"/>
        </w:rPr>
      </w:pPr>
      <w:r>
        <w:rPr>
          <w:rFonts w:hint="eastAsia" w:asciiTheme="minorEastAsia" w:hAnsiTheme="minorEastAsia" w:eastAsiaTheme="minorEastAsia"/>
          <w:b/>
          <w:bCs/>
          <w:sz w:val="30"/>
          <w:szCs w:val="30"/>
        </w:rPr>
        <w:t>评价单位：</w:t>
      </w:r>
      <w:r>
        <w:rPr>
          <w:rFonts w:hint="eastAsia" w:cs="宋体" w:asciiTheme="minorEastAsia" w:hAnsiTheme="minorEastAsia" w:eastAsiaTheme="minorEastAsia"/>
          <w:b/>
          <w:bCs/>
          <w:spacing w:val="-20"/>
          <w:sz w:val="30"/>
          <w:szCs w:val="30"/>
          <w:lang w:val="zh-CN"/>
        </w:rPr>
        <w:t>重庆市涪陵区拓源污水治理有限公司</w:t>
      </w:r>
      <w:r>
        <w:rPr>
          <w:rFonts w:hint="eastAsia" w:asciiTheme="minorEastAsia" w:hAnsiTheme="minorEastAsia" w:eastAsiaTheme="minorEastAsia"/>
          <w:b/>
          <w:sz w:val="30"/>
          <w:szCs w:val="30"/>
        </w:rPr>
        <w:t>清溪园区污水处理厂</w:t>
      </w:r>
    </w:p>
    <w:p>
      <w:pPr>
        <w:jc w:val="center"/>
        <w:rPr>
          <w:rFonts w:asciiTheme="minorEastAsia" w:hAnsiTheme="minorEastAsia" w:eastAsiaTheme="minorEastAsia"/>
          <w:b/>
          <w:bCs/>
          <w:sz w:val="32"/>
          <w:szCs w:val="32"/>
        </w:rPr>
      </w:pPr>
    </w:p>
    <w:p>
      <w:pPr>
        <w:jc w:val="center"/>
        <w:rPr>
          <w:rFonts w:asciiTheme="minorEastAsia" w:hAnsiTheme="minorEastAsia" w:eastAsiaTheme="minorEastAsia"/>
        </w:rPr>
      </w:pPr>
      <w:r>
        <w:rPr>
          <w:rFonts w:hint="eastAsia" w:asciiTheme="minorEastAsia" w:hAnsiTheme="minorEastAsia" w:eastAsiaTheme="minorEastAsia"/>
          <w:b/>
          <w:bCs/>
          <w:sz w:val="32"/>
          <w:szCs w:val="32"/>
        </w:rPr>
        <w:t>编制日期：二</w:t>
      </w:r>
      <w:r>
        <w:rPr>
          <w:rFonts w:hint="eastAsia" w:asciiTheme="minorEastAsia" w:hAnsiTheme="minorEastAsia" w:eastAsiaTheme="minorEastAsia"/>
          <w:sz w:val="28"/>
          <w:szCs w:val="28"/>
        </w:rPr>
        <w:t>○</w:t>
      </w:r>
      <w:r>
        <w:rPr>
          <w:rFonts w:hint="eastAsia" w:asciiTheme="minorEastAsia" w:hAnsiTheme="minorEastAsia" w:eastAsiaTheme="minorEastAsia"/>
          <w:b/>
          <w:bCs/>
          <w:sz w:val="32"/>
          <w:szCs w:val="32"/>
        </w:rPr>
        <w:t>一七年五月</w:t>
      </w:r>
    </w:p>
    <w:p>
      <w:pPr>
        <w:spacing w:line="360" w:lineRule="auto"/>
        <w:jc w:val="center"/>
        <w:rPr>
          <w:rFonts w:asciiTheme="minorEastAsia" w:hAnsiTheme="minorEastAsia" w:eastAsiaTheme="minorEastAsia"/>
          <w:b/>
          <w:bCs/>
          <w:color w:val="FF0000"/>
          <w:spacing w:val="8"/>
          <w:sz w:val="44"/>
          <w:szCs w:val="44"/>
        </w:rPr>
        <w:sectPr>
          <w:headerReference r:id="rId4" w:type="first"/>
          <w:headerReference r:id="rId3" w:type="default"/>
          <w:pgSz w:w="11906" w:h="16838"/>
          <w:pgMar w:top="1440" w:right="1797" w:bottom="1440" w:left="1797" w:header="851" w:footer="510" w:gutter="0"/>
          <w:cols w:space="720" w:num="1"/>
          <w:titlePg/>
          <w:docGrid w:linePitch="381" w:charSpace="0"/>
        </w:sectPr>
      </w:pPr>
    </w:p>
    <w:p>
      <w:pPr>
        <w:spacing w:line="360" w:lineRule="auto"/>
        <w:jc w:val="center"/>
        <w:rPr>
          <w:rFonts w:cs="宋体" w:asciiTheme="minorEastAsia" w:hAnsiTheme="minorEastAsia" w:eastAsiaTheme="minorEastAsia"/>
          <w:b/>
          <w:bCs/>
          <w:color w:val="FF0000"/>
          <w:spacing w:val="-20"/>
          <w:sz w:val="44"/>
          <w:szCs w:val="44"/>
          <w:lang w:val="zh-CN"/>
        </w:rPr>
      </w:pPr>
      <w:r>
        <w:rPr>
          <w:rFonts w:hint="eastAsia" w:asciiTheme="minorEastAsia" w:hAnsiTheme="minorEastAsia" w:eastAsiaTheme="minorEastAsia"/>
          <w:b/>
          <w:bCs/>
          <w:color w:val="FF0000"/>
          <w:spacing w:val="8"/>
          <w:sz w:val="44"/>
          <w:szCs w:val="44"/>
        </w:rPr>
        <w:t>关于</w:t>
      </w:r>
      <w:r>
        <w:rPr>
          <w:rFonts w:hint="eastAsia" w:cs="宋体" w:asciiTheme="minorEastAsia" w:hAnsiTheme="minorEastAsia" w:eastAsiaTheme="minorEastAsia"/>
          <w:b/>
          <w:bCs/>
          <w:color w:val="FF0000"/>
          <w:spacing w:val="-20"/>
          <w:sz w:val="44"/>
          <w:szCs w:val="44"/>
          <w:lang w:val="zh-CN"/>
        </w:rPr>
        <w:t>重庆市涪陵区拓源污水治理有限公司</w:t>
      </w:r>
    </w:p>
    <w:p>
      <w:pPr>
        <w:spacing w:line="360" w:lineRule="auto"/>
        <w:jc w:val="center"/>
        <w:rPr>
          <w:rFonts w:asciiTheme="minorEastAsia" w:hAnsiTheme="minorEastAsia" w:eastAsiaTheme="minorEastAsia"/>
          <w:b/>
          <w:bCs/>
          <w:color w:val="FF0000"/>
          <w:spacing w:val="8"/>
          <w:sz w:val="44"/>
          <w:szCs w:val="44"/>
        </w:rPr>
      </w:pPr>
      <w:r>
        <w:rPr>
          <w:rFonts w:hint="eastAsia" w:asciiTheme="minorEastAsia" w:hAnsiTheme="minorEastAsia" w:eastAsiaTheme="minorEastAsia"/>
          <w:b/>
          <w:color w:val="FF0000"/>
          <w:sz w:val="44"/>
          <w:szCs w:val="44"/>
        </w:rPr>
        <w:t>清溪园区污水处理厂</w:t>
      </w:r>
    </w:p>
    <w:p>
      <w:pPr>
        <w:spacing w:line="360" w:lineRule="auto"/>
        <w:jc w:val="center"/>
        <w:rPr>
          <w:rFonts w:asciiTheme="minorEastAsia" w:hAnsiTheme="minorEastAsia" w:eastAsiaTheme="minorEastAsia"/>
        </w:rPr>
      </w:pPr>
      <w:r>
        <w:rPr>
          <w:rFonts w:hint="eastAsia" w:asciiTheme="minorEastAsia" w:hAnsiTheme="minorEastAsia" w:eastAsiaTheme="minorEastAsia"/>
          <w:b/>
          <w:bCs/>
          <w:color w:val="FF0000"/>
          <w:spacing w:val="8"/>
          <w:sz w:val="44"/>
          <w:szCs w:val="44"/>
          <w:u w:val="double"/>
        </w:rPr>
        <w:t>《突发环境事件应急预案》实行的通知</w:t>
      </w:r>
    </w:p>
    <w:p>
      <w:pPr>
        <w:spacing w:line="370" w:lineRule="exact"/>
        <w:rPr>
          <w:rFonts w:asciiTheme="minorEastAsia" w:hAnsiTheme="minorEastAsia" w:eastAsiaTheme="minorEastAsia"/>
          <w:sz w:val="30"/>
        </w:rPr>
      </w:pPr>
      <w:r>
        <w:rPr>
          <w:rFonts w:asciiTheme="minorEastAsia" w:hAnsiTheme="minorEastAsia" w:eastAsiaTheme="minorEastAsia"/>
          <w:sz w:val="30"/>
        </w:rPr>
        <w:t xml:space="preserve">    </w:t>
      </w:r>
    </w:p>
    <w:p>
      <w:pPr>
        <w:spacing w:line="360" w:lineRule="auto"/>
        <w:ind w:firstLine="600" w:firstLineChars="200"/>
        <w:rPr>
          <w:rFonts w:asciiTheme="minorEastAsia" w:hAnsiTheme="minorEastAsia" w:eastAsiaTheme="minorEastAsia"/>
          <w:sz w:val="30"/>
        </w:rPr>
      </w:pPr>
      <w:r>
        <w:rPr>
          <w:rFonts w:hint="eastAsia" w:asciiTheme="minorEastAsia" w:hAnsiTheme="minorEastAsia" w:eastAsiaTheme="minorEastAsia"/>
          <w:sz w:val="30"/>
        </w:rPr>
        <w:t>为贯彻《中华人民共和国环境保护法》及其他国家法律、法规及有关文件的要求，有效防范应对突发环境事件，减少单位财产损失，使本公司全体员工了解、熟悉本公司在发生突发环境事件时的应急处置程序，最大限度的减少发生突发环境事件造成的环境污染和生态损失。本单位委托相关部门和机构编制了《</w:t>
      </w:r>
      <w:r>
        <w:rPr>
          <w:rFonts w:hint="eastAsia" w:cs="宋体" w:asciiTheme="minorEastAsia" w:hAnsiTheme="minorEastAsia" w:eastAsiaTheme="minorEastAsia"/>
          <w:bCs/>
          <w:spacing w:val="-20"/>
          <w:sz w:val="30"/>
          <w:szCs w:val="30"/>
          <w:lang w:val="zh-CN"/>
        </w:rPr>
        <w:t>重庆市涪陵区拓源污水治理有限公司</w:t>
      </w:r>
      <w:r>
        <w:rPr>
          <w:rFonts w:hint="eastAsia" w:asciiTheme="minorEastAsia" w:hAnsiTheme="minorEastAsia" w:eastAsiaTheme="minorEastAsia"/>
          <w:sz w:val="30"/>
          <w:szCs w:val="30"/>
        </w:rPr>
        <w:t>清溪园区污水处理厂</w:t>
      </w:r>
      <w:r>
        <w:rPr>
          <w:rFonts w:hint="eastAsia" w:asciiTheme="minorEastAsia" w:hAnsiTheme="minorEastAsia" w:eastAsiaTheme="minorEastAsia"/>
          <w:sz w:val="30"/>
        </w:rPr>
        <w:t>突发环境事件应急预案》。该预案是本单位实施应急救援的规范性文件，用于指导本单位突发环境事故的应急救援行动。</w:t>
      </w:r>
    </w:p>
    <w:p>
      <w:pPr>
        <w:spacing w:line="360" w:lineRule="auto"/>
        <w:ind w:firstLine="600" w:firstLineChars="200"/>
        <w:rPr>
          <w:rFonts w:asciiTheme="minorEastAsia" w:hAnsiTheme="minorEastAsia" w:eastAsiaTheme="minorEastAsia"/>
          <w:sz w:val="30"/>
        </w:rPr>
      </w:pPr>
      <w:r>
        <w:rPr>
          <w:rFonts w:hint="eastAsia" w:asciiTheme="minorEastAsia" w:hAnsiTheme="minorEastAsia" w:eastAsiaTheme="minorEastAsia"/>
          <w:sz w:val="30"/>
        </w:rPr>
        <w:t>本应急预案于</w:t>
      </w:r>
      <w:r>
        <w:rPr>
          <w:rFonts w:asciiTheme="minorEastAsia" w:hAnsiTheme="minorEastAsia" w:eastAsiaTheme="minorEastAsia"/>
          <w:sz w:val="30"/>
        </w:rPr>
        <w:t xml:space="preserve">2017 </w:t>
      </w:r>
      <w:r>
        <w:rPr>
          <w:rFonts w:hint="eastAsia" w:asciiTheme="minorEastAsia" w:hAnsiTheme="minorEastAsia" w:eastAsiaTheme="minorEastAsia"/>
          <w:sz w:val="30"/>
        </w:rPr>
        <w:t>年</w:t>
      </w:r>
      <w:r>
        <w:rPr>
          <w:rFonts w:asciiTheme="minorEastAsia" w:hAnsiTheme="minorEastAsia" w:eastAsiaTheme="minorEastAsia"/>
          <w:sz w:val="30"/>
        </w:rPr>
        <w:t xml:space="preserve">  </w:t>
      </w:r>
      <w:r>
        <w:rPr>
          <w:rFonts w:hint="eastAsia" w:asciiTheme="minorEastAsia" w:hAnsiTheme="minorEastAsia" w:eastAsiaTheme="minorEastAsia"/>
          <w:sz w:val="30"/>
        </w:rPr>
        <w:t>月</w:t>
      </w:r>
      <w:r>
        <w:rPr>
          <w:rFonts w:asciiTheme="minorEastAsia" w:hAnsiTheme="minorEastAsia" w:eastAsiaTheme="minorEastAsia"/>
          <w:sz w:val="30"/>
        </w:rPr>
        <w:t xml:space="preserve">  </w:t>
      </w:r>
      <w:r>
        <w:rPr>
          <w:rFonts w:hint="eastAsia" w:asciiTheme="minorEastAsia" w:hAnsiTheme="minorEastAsia" w:eastAsiaTheme="minorEastAsia"/>
          <w:sz w:val="30"/>
        </w:rPr>
        <w:t>日批准发布，</w:t>
      </w:r>
      <w:r>
        <w:rPr>
          <w:rFonts w:asciiTheme="minorEastAsia" w:hAnsiTheme="minorEastAsia" w:eastAsiaTheme="minorEastAsia"/>
          <w:sz w:val="30"/>
        </w:rPr>
        <w:t xml:space="preserve">2017 </w:t>
      </w:r>
      <w:r>
        <w:rPr>
          <w:rFonts w:hint="eastAsia" w:asciiTheme="minorEastAsia" w:hAnsiTheme="minorEastAsia" w:eastAsiaTheme="minorEastAsia"/>
          <w:sz w:val="30"/>
        </w:rPr>
        <w:t>年</w:t>
      </w:r>
      <w:r>
        <w:rPr>
          <w:rFonts w:asciiTheme="minorEastAsia" w:hAnsiTheme="minorEastAsia" w:eastAsiaTheme="minorEastAsia"/>
          <w:sz w:val="30"/>
        </w:rPr>
        <w:t xml:space="preserve">  </w:t>
      </w:r>
      <w:r>
        <w:rPr>
          <w:rFonts w:hint="eastAsia" w:asciiTheme="minorEastAsia" w:hAnsiTheme="minorEastAsia" w:eastAsiaTheme="minorEastAsia"/>
          <w:sz w:val="30"/>
        </w:rPr>
        <w:t>月</w:t>
      </w:r>
      <w:r>
        <w:rPr>
          <w:rFonts w:asciiTheme="minorEastAsia" w:hAnsiTheme="minorEastAsia" w:eastAsiaTheme="minorEastAsia"/>
          <w:sz w:val="30"/>
        </w:rPr>
        <w:t xml:space="preserve">  </w:t>
      </w:r>
      <w:r>
        <w:rPr>
          <w:rFonts w:hint="eastAsia" w:asciiTheme="minorEastAsia" w:hAnsiTheme="minorEastAsia" w:eastAsiaTheme="minorEastAsia"/>
          <w:sz w:val="30"/>
        </w:rPr>
        <w:t>日正式实施。</w:t>
      </w: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rPr>
          <w:rFonts w:asciiTheme="minorEastAsia" w:hAnsiTheme="minorEastAsia" w:eastAsiaTheme="minorEastAsia"/>
          <w:sz w:val="30"/>
        </w:rPr>
      </w:pPr>
    </w:p>
    <w:p>
      <w:pPr>
        <w:spacing w:line="370" w:lineRule="exact"/>
        <w:jc w:val="right"/>
        <w:rPr>
          <w:rFonts w:cs="宋体" w:asciiTheme="minorEastAsia" w:hAnsiTheme="minorEastAsia" w:eastAsiaTheme="minorEastAsia"/>
          <w:bCs/>
          <w:spacing w:val="-20"/>
          <w:sz w:val="30"/>
          <w:szCs w:val="30"/>
          <w:lang w:val="zh-CN"/>
        </w:rPr>
      </w:pPr>
      <w:r>
        <w:rPr>
          <w:rFonts w:hint="eastAsia" w:cs="宋体" w:asciiTheme="minorEastAsia" w:hAnsiTheme="minorEastAsia" w:eastAsiaTheme="minorEastAsia"/>
          <w:bCs/>
          <w:spacing w:val="-20"/>
          <w:sz w:val="30"/>
          <w:szCs w:val="30"/>
          <w:lang w:val="zh-CN"/>
        </w:rPr>
        <w:t>重庆市涪陵区拓源污水治理有限公司</w:t>
      </w:r>
    </w:p>
    <w:p>
      <w:pPr>
        <w:spacing w:line="370" w:lineRule="exact"/>
        <w:ind w:right="600"/>
        <w:jc w:val="center"/>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清溪园区污水处理厂</w:t>
      </w:r>
    </w:p>
    <w:p>
      <w:pPr>
        <w:spacing w:line="370" w:lineRule="exact"/>
        <w:rPr>
          <w:rFonts w:asciiTheme="minorEastAsia" w:hAnsiTheme="minorEastAsia" w:eastAsiaTheme="minorEastAsia"/>
          <w:sz w:val="30"/>
        </w:rPr>
      </w:pPr>
      <w:r>
        <w:rPr>
          <w:rFonts w:asciiTheme="minorEastAsia" w:hAnsiTheme="minorEastAsia" w:eastAsiaTheme="minorEastAsia"/>
          <w:sz w:val="30"/>
        </w:rPr>
        <w:t xml:space="preserve">     </w:t>
      </w:r>
    </w:p>
    <w:p>
      <w:pPr>
        <w:spacing w:line="240" w:lineRule="atLeast"/>
        <w:rPr>
          <w:rFonts w:asciiTheme="minorEastAsia" w:hAnsiTheme="minorEastAsia" w:eastAsiaTheme="minorEastAsia"/>
          <w:color w:val="FF0000"/>
          <w:spacing w:val="-40"/>
          <w:w w:val="50"/>
          <w:sz w:val="144"/>
        </w:rPr>
      </w:pPr>
      <w:r>
        <w:rPr>
          <w:rFonts w:asciiTheme="minorEastAsia" w:hAnsiTheme="minorEastAsia" w:eastAsiaTheme="minorEastAsia"/>
          <w:sz w:val="28"/>
        </w:rPr>
        <w:t xml:space="preserve">                                           2017</w:t>
      </w:r>
      <w:r>
        <w:rPr>
          <w:rFonts w:hint="eastAsia" w:asciiTheme="minorEastAsia" w:hAnsiTheme="minorEastAsia" w:eastAsiaTheme="minorEastAsia"/>
          <w:sz w:val="28"/>
        </w:rPr>
        <w:t>年</w:t>
      </w:r>
      <w:r>
        <w:rPr>
          <w:rFonts w:asciiTheme="minorEastAsia" w:hAnsiTheme="minorEastAsia" w:eastAsiaTheme="minorEastAsia"/>
          <w:sz w:val="28"/>
        </w:rPr>
        <w:t xml:space="preserve">   </w:t>
      </w:r>
      <w:r>
        <w:rPr>
          <w:rFonts w:hint="eastAsia" w:asciiTheme="minorEastAsia" w:hAnsiTheme="minorEastAsia" w:eastAsiaTheme="minorEastAsia"/>
          <w:sz w:val="28"/>
        </w:rPr>
        <w:t>月</w:t>
      </w:r>
      <w:r>
        <w:rPr>
          <w:rFonts w:asciiTheme="minorEastAsia" w:hAnsiTheme="minorEastAsia" w:eastAsiaTheme="minorEastAsia"/>
          <w:sz w:val="28"/>
        </w:rPr>
        <w:t xml:space="preserve">   </w:t>
      </w:r>
      <w:r>
        <w:rPr>
          <w:rFonts w:hint="eastAsia" w:asciiTheme="minorEastAsia" w:hAnsiTheme="minorEastAsia" w:eastAsiaTheme="minorEastAsia"/>
          <w:sz w:val="28"/>
        </w:rPr>
        <w:t>日</w:t>
      </w:r>
    </w:p>
    <w:p>
      <w:pPr>
        <w:pageBreakBefore/>
        <w:spacing w:line="360" w:lineRule="auto"/>
        <w:jc w:val="center"/>
        <w:rPr>
          <w:rFonts w:asciiTheme="minorEastAsia" w:hAnsiTheme="minorEastAsia" w:eastAsiaTheme="minorEastAsia"/>
          <w:b/>
          <w:color w:val="000000"/>
          <w:sz w:val="36"/>
          <w:szCs w:val="36"/>
        </w:rPr>
      </w:pPr>
      <w:r>
        <w:rPr>
          <w:rFonts w:hint="eastAsia" w:asciiTheme="minorEastAsia" w:hAnsiTheme="minorEastAsia" w:eastAsiaTheme="minorEastAsia"/>
          <w:b/>
          <w:color w:val="000000"/>
          <w:sz w:val="36"/>
          <w:szCs w:val="36"/>
        </w:rPr>
        <w:t>目</w:t>
      </w:r>
      <w:r>
        <w:rPr>
          <w:rFonts w:asciiTheme="minorEastAsia" w:hAnsiTheme="minorEastAsia" w:eastAsiaTheme="minorEastAsia"/>
          <w:b/>
          <w:color w:val="000000"/>
          <w:sz w:val="36"/>
          <w:szCs w:val="36"/>
        </w:rPr>
        <w:t xml:space="preserve">  </w:t>
      </w:r>
      <w:r>
        <w:rPr>
          <w:rFonts w:hint="eastAsia" w:asciiTheme="minorEastAsia" w:hAnsiTheme="minorEastAsia" w:eastAsiaTheme="minorEastAsia"/>
          <w:b/>
          <w:color w:val="000000"/>
          <w:sz w:val="36"/>
          <w:szCs w:val="36"/>
        </w:rPr>
        <w:t>录</w:t>
      </w:r>
    </w:p>
    <w:p>
      <w:pPr>
        <w:pStyle w:val="30"/>
        <w:tabs>
          <w:tab w:val="right" w:leader="dot" w:pos="9014"/>
          <w:tab w:val="clear" w:pos="9174"/>
        </w:tabs>
      </w:pPr>
      <w:bookmarkStart w:id="0" w:name="_Toc179794530"/>
      <w:bookmarkStart w:id="1" w:name="_Toc185670969"/>
      <w:bookmarkStart w:id="2" w:name="_Toc262051102"/>
      <w:bookmarkStart w:id="3" w:name="_Toc262040262"/>
      <w:bookmarkStart w:id="4" w:name="_Toc262050852"/>
      <w:bookmarkStart w:id="5" w:name="_Toc262051523"/>
      <w:bookmarkStart w:id="6" w:name="_Toc196018527"/>
      <w:bookmarkStart w:id="7" w:name="_Toc184808749"/>
      <w:bookmarkStart w:id="8" w:name="_Toc196018623"/>
      <w:bookmarkStart w:id="9" w:name="_Toc229283958"/>
      <w:bookmarkStart w:id="10" w:name="_Toc197251327"/>
      <w:bookmarkStart w:id="11" w:name="_Toc196018418"/>
      <w:bookmarkStart w:id="12" w:name="_Toc183339209"/>
      <w:bookmarkStart w:id="13" w:name="_Toc184809536"/>
      <w:bookmarkStart w:id="14" w:name="_Toc304833219"/>
      <w:bookmarkStart w:id="15" w:name="_Toc183339485"/>
      <w:bookmarkStart w:id="16" w:name="_Toc198007322"/>
      <w:bookmarkStart w:id="17" w:name="_Toc198355307"/>
      <w:r>
        <w:rPr>
          <w:smallCaps/>
          <w:color w:val="000000"/>
          <w:sz w:val="24"/>
          <w:szCs w:val="24"/>
        </w:rPr>
        <w:fldChar w:fldCharType="begin"/>
      </w:r>
      <w:r>
        <w:rPr>
          <w:color w:val="000000"/>
          <w:sz w:val="24"/>
          <w:szCs w:val="24"/>
        </w:rPr>
        <w:instrText xml:space="preserve">TOC \o "1-2" \h \u </w:instrText>
      </w:r>
      <w:r>
        <w:rPr>
          <w:smallCaps/>
          <w:color w:val="000000"/>
          <w:sz w:val="24"/>
          <w:szCs w:val="24"/>
        </w:rPr>
        <w:fldChar w:fldCharType="separate"/>
      </w:r>
      <w:r>
        <w:rPr>
          <w:smallCaps/>
          <w:color w:val="000000"/>
          <w:szCs w:val="24"/>
        </w:rPr>
        <w:fldChar w:fldCharType="begin"/>
      </w:r>
      <w:r>
        <w:rPr>
          <w:smallCaps/>
          <w:szCs w:val="24"/>
        </w:rPr>
        <w:instrText xml:space="preserve"> HYPERLINK \l _Toc17381 </w:instrText>
      </w:r>
      <w:r>
        <w:rPr>
          <w:smallCaps/>
          <w:szCs w:val="24"/>
        </w:rPr>
        <w:fldChar w:fldCharType="separate"/>
      </w:r>
      <w:r>
        <w:rPr>
          <w:rFonts w:hint="eastAsia" w:asciiTheme="minorEastAsia" w:hAnsiTheme="minorEastAsia" w:eastAsiaTheme="minorEastAsia"/>
          <w:b/>
        </w:rPr>
        <w:t>1总则</w:t>
      </w:r>
      <w:r>
        <w:tab/>
      </w:r>
      <w:r>
        <w:fldChar w:fldCharType="begin"/>
      </w:r>
      <w:r>
        <w:instrText xml:space="preserve"> PAGEREF _Toc17381 </w:instrText>
      </w:r>
      <w:r>
        <w:fldChar w:fldCharType="separate"/>
      </w:r>
      <w:r>
        <w:t>5</w:t>
      </w:r>
      <w:r>
        <w:fldChar w:fldCharType="end"/>
      </w:r>
      <w:r>
        <w:rPr>
          <w:smallCaps/>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_Toc1792 </w:instrText>
      </w:r>
      <w:r>
        <w:rPr>
          <w:rFonts w:ascii="宋体" w:hAnsi="宋体"/>
          <w:szCs w:val="24"/>
        </w:rPr>
        <w:fldChar w:fldCharType="separate"/>
      </w:r>
      <w:r>
        <w:rPr>
          <w:rFonts w:hint="eastAsia"/>
          <w:b/>
          <w:szCs w:val="26"/>
        </w:rPr>
        <w:t>1.1编制目的</w:t>
      </w:r>
      <w:r>
        <w:tab/>
      </w:r>
      <w:r>
        <w:fldChar w:fldCharType="begin"/>
      </w:r>
      <w:r>
        <w:instrText xml:space="preserve"> PAGEREF _Toc1792 </w:instrText>
      </w:r>
      <w:r>
        <w:fldChar w:fldCharType="separate"/>
      </w:r>
      <w:r>
        <w:t>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_Toc17543 </w:instrText>
      </w:r>
      <w:r>
        <w:rPr>
          <w:rFonts w:ascii="宋体" w:hAnsi="宋体"/>
          <w:szCs w:val="24"/>
        </w:rPr>
        <w:fldChar w:fldCharType="separate"/>
      </w:r>
      <w:r>
        <w:rPr>
          <w:rFonts w:hint="eastAsia"/>
          <w:b/>
          <w:szCs w:val="26"/>
        </w:rPr>
        <w:t>1.2编制依据</w:t>
      </w:r>
      <w:r>
        <w:tab/>
      </w:r>
      <w:r>
        <w:fldChar w:fldCharType="begin"/>
      </w:r>
      <w:r>
        <w:instrText xml:space="preserve"> PAGEREF _Toc17543 </w:instrText>
      </w:r>
      <w:r>
        <w:fldChar w:fldCharType="separate"/>
      </w:r>
      <w:r>
        <w:t>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_Toc22366 </w:instrText>
      </w:r>
      <w:r>
        <w:rPr>
          <w:rFonts w:ascii="宋体" w:hAnsi="宋体"/>
          <w:szCs w:val="24"/>
        </w:rPr>
        <w:fldChar w:fldCharType="separate"/>
      </w:r>
      <w:r>
        <w:rPr>
          <w:rFonts w:hint="eastAsia"/>
          <w:b/>
          <w:szCs w:val="26"/>
        </w:rPr>
        <w:t>1.3 适用范围</w:t>
      </w:r>
      <w:r>
        <w:tab/>
      </w:r>
      <w:r>
        <w:fldChar w:fldCharType="begin"/>
      </w:r>
      <w:r>
        <w:instrText xml:space="preserve"> PAGEREF _Toc22366 </w:instrText>
      </w:r>
      <w:r>
        <w:fldChar w:fldCharType="separate"/>
      </w:r>
      <w:r>
        <w:t>6</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_Toc23753 </w:instrText>
      </w:r>
      <w:r>
        <w:rPr>
          <w:rFonts w:ascii="宋体" w:hAnsi="宋体"/>
          <w:szCs w:val="24"/>
        </w:rPr>
        <w:fldChar w:fldCharType="separate"/>
      </w:r>
      <w:r>
        <w:rPr>
          <w:rFonts w:hint="eastAsia"/>
          <w:b/>
          <w:szCs w:val="26"/>
        </w:rPr>
        <w:t>1.4应急预案体系</w:t>
      </w:r>
      <w:r>
        <w:tab/>
      </w:r>
      <w:r>
        <w:fldChar w:fldCharType="begin"/>
      </w:r>
      <w:r>
        <w:instrText xml:space="preserve"> PAGEREF _Toc23753 </w:instrText>
      </w:r>
      <w:r>
        <w:fldChar w:fldCharType="separate"/>
      </w:r>
      <w:r>
        <w:t>6</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_Toc29219 </w:instrText>
      </w:r>
      <w:r>
        <w:rPr>
          <w:rFonts w:ascii="宋体" w:hAnsi="宋体"/>
          <w:szCs w:val="24"/>
        </w:rPr>
        <w:fldChar w:fldCharType="separate"/>
      </w:r>
      <w:r>
        <w:rPr>
          <w:rFonts w:hint="eastAsia"/>
          <w:b/>
          <w:szCs w:val="26"/>
        </w:rPr>
        <w:t>1.5应急工作原则</w:t>
      </w:r>
      <w:r>
        <w:tab/>
      </w:r>
      <w:r>
        <w:fldChar w:fldCharType="begin"/>
      </w:r>
      <w:r>
        <w:instrText xml:space="preserve"> PAGEREF _Toc29219 </w:instrText>
      </w:r>
      <w:r>
        <w:fldChar w:fldCharType="separate"/>
      </w:r>
      <w:r>
        <w:t>7</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_Toc25327 </w:instrText>
      </w:r>
      <w:r>
        <w:rPr>
          <w:rFonts w:ascii="宋体" w:hAnsi="宋体"/>
          <w:szCs w:val="24"/>
        </w:rPr>
        <w:fldChar w:fldCharType="separate"/>
      </w:r>
      <w:r>
        <w:rPr>
          <w:rFonts w:hint="eastAsia" w:asciiTheme="minorEastAsia" w:hAnsiTheme="minorEastAsia" w:eastAsiaTheme="minorEastAsia"/>
          <w:b/>
          <w:lang w:val="zh-CN"/>
        </w:rPr>
        <w:t>2企业基休信息</w:t>
      </w:r>
      <w:r>
        <w:tab/>
      </w:r>
      <w:r>
        <w:fldChar w:fldCharType="begin"/>
      </w:r>
      <w:r>
        <w:instrText xml:space="preserve"> PAGEREF _Toc25327 </w:instrText>
      </w:r>
      <w:r>
        <w:fldChar w:fldCharType="separate"/>
      </w:r>
      <w:r>
        <w:t>8</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_Toc22766 </w:instrText>
      </w:r>
      <w:r>
        <w:rPr>
          <w:rFonts w:ascii="宋体" w:hAnsi="宋体"/>
          <w:szCs w:val="24"/>
        </w:rPr>
        <w:fldChar w:fldCharType="separate"/>
      </w:r>
      <w:r>
        <w:rPr>
          <w:rFonts w:hint="eastAsia"/>
          <w:b/>
          <w:szCs w:val="26"/>
          <w:lang w:val="zh-CN"/>
        </w:rPr>
        <w:t>2.1企业基休信息</w:t>
      </w:r>
      <w:r>
        <w:tab/>
      </w:r>
      <w:r>
        <w:fldChar w:fldCharType="begin"/>
      </w:r>
      <w:r>
        <w:instrText xml:space="preserve"> PAGEREF _Toc22766 </w:instrText>
      </w:r>
      <w:r>
        <w:fldChar w:fldCharType="separate"/>
      </w:r>
      <w:r>
        <w:t>8</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_Toc19707 </w:instrText>
      </w:r>
      <w:r>
        <w:rPr>
          <w:rFonts w:ascii="宋体" w:hAnsi="宋体"/>
          <w:szCs w:val="24"/>
        </w:rPr>
        <w:fldChar w:fldCharType="separate"/>
      </w:r>
      <w:r>
        <w:rPr>
          <w:rFonts w:hint="eastAsia"/>
          <w:b/>
          <w:szCs w:val="26"/>
          <w:lang w:val="zh-CN"/>
        </w:rPr>
        <w:t>2.2 周边环境概况</w:t>
      </w:r>
      <w:r>
        <w:tab/>
      </w:r>
      <w:r>
        <w:fldChar w:fldCharType="begin"/>
      </w:r>
      <w:r>
        <w:instrText xml:space="preserve"> PAGEREF _Toc19707 </w:instrText>
      </w:r>
      <w:r>
        <w:fldChar w:fldCharType="separate"/>
      </w:r>
      <w:r>
        <w:t>8</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_Toc8486 </w:instrText>
      </w:r>
      <w:r>
        <w:rPr>
          <w:rFonts w:ascii="宋体" w:hAnsi="宋体"/>
          <w:szCs w:val="24"/>
        </w:rPr>
        <w:fldChar w:fldCharType="separate"/>
      </w:r>
      <w:r>
        <w:rPr>
          <w:rFonts w:hint="eastAsia"/>
          <w:b/>
          <w:szCs w:val="26"/>
          <w:lang w:val="zh-CN"/>
        </w:rPr>
        <w:t>2.3周边环境关系</w:t>
      </w:r>
      <w:r>
        <w:tab/>
      </w:r>
      <w:r>
        <w:fldChar w:fldCharType="begin"/>
      </w:r>
      <w:r>
        <w:instrText xml:space="preserve"> PAGEREF _Toc8486 </w:instrText>
      </w:r>
      <w:r>
        <w:fldChar w:fldCharType="separate"/>
      </w:r>
      <w:r>
        <w:t>10</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_Toc15454 </w:instrText>
      </w:r>
      <w:r>
        <w:rPr>
          <w:rFonts w:ascii="宋体" w:hAnsi="宋体"/>
          <w:szCs w:val="24"/>
        </w:rPr>
        <w:fldChar w:fldCharType="separate"/>
      </w:r>
      <w:r>
        <w:rPr>
          <w:rFonts w:hint="eastAsia"/>
          <w:b/>
          <w:szCs w:val="26"/>
          <w:lang w:val="zh-CN"/>
        </w:rPr>
        <w:t>2.4企业现有污染物及排放标准</w:t>
      </w:r>
      <w:r>
        <w:tab/>
      </w:r>
      <w:r>
        <w:fldChar w:fldCharType="begin"/>
      </w:r>
      <w:r>
        <w:instrText xml:space="preserve"> PAGEREF _Toc15454 </w:instrText>
      </w:r>
      <w:r>
        <w:fldChar w:fldCharType="separate"/>
      </w:r>
      <w:r>
        <w:t>11</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_Toc27003 </w:instrText>
      </w:r>
      <w:r>
        <w:rPr>
          <w:rFonts w:ascii="宋体" w:hAnsi="宋体"/>
          <w:szCs w:val="24"/>
        </w:rPr>
        <w:fldChar w:fldCharType="separate"/>
      </w:r>
      <w:r>
        <w:rPr>
          <w:rFonts w:asciiTheme="minorEastAsia" w:hAnsiTheme="minorEastAsia" w:eastAsiaTheme="minorEastAsia"/>
          <w:b/>
          <w:szCs w:val="32"/>
        </w:rPr>
        <w:t>3</w:t>
      </w:r>
      <w:r>
        <w:rPr>
          <w:rFonts w:hint="eastAsia" w:asciiTheme="minorEastAsia" w:hAnsiTheme="minorEastAsia" w:eastAsiaTheme="minorEastAsia"/>
          <w:b/>
          <w:szCs w:val="32"/>
          <w:lang w:val="zh-TW"/>
        </w:rPr>
        <w:t>环境风险源与环境风险评价</w:t>
      </w:r>
      <w:r>
        <w:tab/>
      </w:r>
      <w:r>
        <w:fldChar w:fldCharType="begin"/>
      </w:r>
      <w:r>
        <w:instrText xml:space="preserve"> PAGEREF _Toc27003 </w:instrText>
      </w:r>
      <w:r>
        <w:fldChar w:fldCharType="separate"/>
      </w:r>
      <w:r>
        <w:t>12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_Toc21508 </w:instrText>
      </w:r>
      <w:r>
        <w:rPr>
          <w:rFonts w:ascii="宋体" w:hAnsi="宋体"/>
          <w:szCs w:val="24"/>
        </w:rPr>
        <w:fldChar w:fldCharType="separate"/>
      </w:r>
      <w:r>
        <w:rPr>
          <w:rFonts w:hint="eastAsia"/>
          <w:b/>
          <w:szCs w:val="26"/>
          <w:lang w:val="zh-CN"/>
        </w:rPr>
        <w:t>3.1生产工艺简介工艺流程介绍</w:t>
      </w:r>
      <w:r>
        <w:tab/>
      </w:r>
      <w:r>
        <w:fldChar w:fldCharType="begin"/>
      </w:r>
      <w:r>
        <w:instrText xml:space="preserve"> PAGEREF _Toc21508 </w:instrText>
      </w:r>
      <w:r>
        <w:fldChar w:fldCharType="separate"/>
      </w:r>
      <w:r>
        <w:t>12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_Toc13372 </w:instrText>
      </w:r>
      <w:r>
        <w:rPr>
          <w:rFonts w:ascii="宋体" w:hAnsi="宋体"/>
          <w:szCs w:val="24"/>
        </w:rPr>
        <w:fldChar w:fldCharType="separate"/>
      </w:r>
      <w:r>
        <w:rPr>
          <w:rFonts w:hint="eastAsia"/>
          <w:b/>
          <w:szCs w:val="26"/>
          <w:lang w:val="zh-CN"/>
        </w:rPr>
        <w:t>3.2企业三废产生及排放处置情况</w:t>
      </w:r>
      <w:r>
        <w:tab/>
      </w:r>
      <w:r>
        <w:fldChar w:fldCharType="begin"/>
      </w:r>
      <w:r>
        <w:instrText xml:space="preserve"> PAGEREF _Toc13372 </w:instrText>
      </w:r>
      <w:r>
        <w:fldChar w:fldCharType="separate"/>
      </w:r>
      <w:r>
        <w:t>13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_Toc5066 </w:instrText>
      </w:r>
      <w:r>
        <w:rPr>
          <w:rFonts w:ascii="宋体" w:hAnsi="宋体"/>
          <w:szCs w:val="24"/>
        </w:rPr>
        <w:fldChar w:fldCharType="separate"/>
      </w:r>
      <w:r>
        <w:rPr>
          <w:rFonts w:hint="eastAsia"/>
          <w:b/>
          <w:szCs w:val="26"/>
          <w:lang w:val="zh-CN"/>
        </w:rPr>
        <w:t>3.3环境风险源识别</w:t>
      </w:r>
      <w:r>
        <w:tab/>
      </w:r>
      <w:r>
        <w:fldChar w:fldCharType="begin"/>
      </w:r>
      <w:r>
        <w:instrText xml:space="preserve"> PAGEREF _Toc5066 </w:instrText>
      </w:r>
      <w:r>
        <w:fldChar w:fldCharType="separate"/>
      </w:r>
      <w:r>
        <w:t>14</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_Toc5493 </w:instrText>
      </w:r>
      <w:r>
        <w:rPr>
          <w:rFonts w:ascii="宋体" w:hAnsi="宋体"/>
          <w:szCs w:val="24"/>
        </w:rPr>
        <w:fldChar w:fldCharType="separate"/>
      </w:r>
      <w:r>
        <w:rPr>
          <w:rFonts w:hint="eastAsia"/>
          <w:b/>
          <w:szCs w:val="26"/>
          <w:lang w:val="zh-CN"/>
        </w:rPr>
        <w:t>3.4重大危险源识别</w:t>
      </w:r>
      <w:r>
        <w:tab/>
      </w:r>
      <w:r>
        <w:fldChar w:fldCharType="begin"/>
      </w:r>
      <w:r>
        <w:instrText xml:space="preserve"> PAGEREF _Toc5493 </w:instrText>
      </w:r>
      <w:r>
        <w:fldChar w:fldCharType="separate"/>
      </w:r>
      <w:r>
        <w:t>15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_Toc3235 </w:instrText>
      </w:r>
      <w:r>
        <w:rPr>
          <w:rFonts w:ascii="宋体" w:hAnsi="宋体"/>
          <w:szCs w:val="24"/>
        </w:rPr>
        <w:fldChar w:fldCharType="separate"/>
      </w:r>
      <w:r>
        <w:rPr>
          <w:rFonts w:hint="eastAsia"/>
          <w:b/>
          <w:szCs w:val="26"/>
          <w:lang w:val="zh-CN"/>
        </w:rPr>
        <w:t>3.5企业突发环境事件影响分析</w:t>
      </w:r>
      <w:r>
        <w:tab/>
      </w:r>
      <w:r>
        <w:fldChar w:fldCharType="begin"/>
      </w:r>
      <w:r>
        <w:instrText xml:space="preserve"> PAGEREF _Toc3235 </w:instrText>
      </w:r>
      <w:r>
        <w:fldChar w:fldCharType="separate"/>
      </w:r>
      <w:r>
        <w:t>17</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_Toc23291 </w:instrText>
      </w:r>
      <w:r>
        <w:rPr>
          <w:rFonts w:ascii="宋体" w:hAnsi="宋体"/>
          <w:szCs w:val="24"/>
        </w:rPr>
        <w:fldChar w:fldCharType="separate"/>
      </w:r>
      <w:r>
        <w:rPr>
          <w:rFonts w:hint="eastAsia"/>
          <w:b/>
          <w:szCs w:val="26"/>
          <w:lang w:val="zh-CN"/>
        </w:rPr>
        <w:t>3.6现有风险防范措施</w:t>
      </w:r>
      <w:r>
        <w:tab/>
      </w:r>
      <w:r>
        <w:fldChar w:fldCharType="begin"/>
      </w:r>
      <w:r>
        <w:instrText xml:space="preserve"> PAGEREF _Toc23291 </w:instrText>
      </w:r>
      <w:r>
        <w:fldChar w:fldCharType="separate"/>
      </w:r>
      <w:r>
        <w:t>18</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_Toc6908 </w:instrText>
      </w:r>
      <w:r>
        <w:rPr>
          <w:rFonts w:ascii="宋体" w:hAnsi="宋体"/>
          <w:szCs w:val="24"/>
        </w:rPr>
        <w:fldChar w:fldCharType="separate"/>
      </w:r>
      <w:r>
        <w:rPr>
          <w:rFonts w:asciiTheme="minorEastAsia" w:hAnsiTheme="minorEastAsia" w:eastAsiaTheme="minorEastAsia"/>
          <w:b/>
        </w:rPr>
        <w:t>4</w:t>
      </w:r>
      <w:r>
        <w:rPr>
          <w:rFonts w:hint="eastAsia" w:asciiTheme="minorEastAsia" w:hAnsiTheme="minorEastAsia" w:eastAsiaTheme="minorEastAsia"/>
          <w:b/>
        </w:rPr>
        <w:t>应急组织及职责</w:t>
      </w:r>
      <w:r>
        <w:tab/>
      </w:r>
      <w:r>
        <w:fldChar w:fldCharType="begin"/>
      </w:r>
      <w:r>
        <w:instrText xml:space="preserve"> PAGEREF _Toc6908 </w:instrText>
      </w:r>
      <w:r>
        <w:fldChar w:fldCharType="separate"/>
      </w:r>
      <w:r>
        <w:t>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_Toc17866 </w:instrText>
      </w:r>
      <w:r>
        <w:rPr>
          <w:rFonts w:ascii="宋体" w:hAnsi="宋体"/>
          <w:szCs w:val="24"/>
        </w:rPr>
        <w:fldChar w:fldCharType="separate"/>
      </w:r>
      <w:r>
        <w:rPr>
          <w:rFonts w:hint="eastAsia"/>
          <w:b/>
          <w:szCs w:val="26"/>
          <w:lang w:val="zh-CN"/>
        </w:rPr>
        <w:t>4.1应急组织机构图</w:t>
      </w:r>
      <w:r>
        <w:tab/>
      </w:r>
      <w:r>
        <w:fldChar w:fldCharType="begin"/>
      </w:r>
      <w:r>
        <w:instrText xml:space="preserve"> PAGEREF _Toc17866 </w:instrText>
      </w:r>
      <w:r>
        <w:fldChar w:fldCharType="separate"/>
      </w:r>
      <w:r>
        <w:t>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_Toc284 </w:instrText>
      </w:r>
      <w:r>
        <w:rPr>
          <w:rFonts w:ascii="宋体" w:hAnsi="宋体"/>
          <w:szCs w:val="24"/>
        </w:rPr>
        <w:fldChar w:fldCharType="separate"/>
      </w:r>
      <w:r>
        <w:rPr>
          <w:rFonts w:hint="eastAsia"/>
          <w:b/>
          <w:szCs w:val="26"/>
          <w:lang w:val="zh-CN"/>
        </w:rPr>
        <w:t>4.2组织机构成员名单</w:t>
      </w:r>
      <w:r>
        <w:tab/>
      </w:r>
      <w:r>
        <w:fldChar w:fldCharType="begin"/>
      </w:r>
      <w:r>
        <w:instrText xml:space="preserve"> PAGEREF _Toc284 </w:instrText>
      </w:r>
      <w:r>
        <w:fldChar w:fldCharType="separate"/>
      </w:r>
      <w:r>
        <w:t>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_Toc26467 </w:instrText>
      </w:r>
      <w:r>
        <w:rPr>
          <w:rFonts w:ascii="宋体" w:hAnsi="宋体"/>
          <w:szCs w:val="24"/>
        </w:rPr>
        <w:fldChar w:fldCharType="separate"/>
      </w:r>
      <w:r>
        <w:rPr>
          <w:rFonts w:hint="eastAsia"/>
          <w:b/>
          <w:szCs w:val="26"/>
          <w:lang w:val="zh-CN"/>
        </w:rPr>
        <w:t>4.3应急组织职责</w:t>
      </w:r>
      <w:r>
        <w:tab/>
      </w:r>
      <w:r>
        <w:fldChar w:fldCharType="begin"/>
      </w:r>
      <w:r>
        <w:instrText xml:space="preserve"> PAGEREF _Toc26467 </w:instrText>
      </w:r>
      <w:r>
        <w:fldChar w:fldCharType="separate"/>
      </w:r>
      <w:r>
        <w:t>4</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_Toc18827 </w:instrText>
      </w:r>
      <w:r>
        <w:rPr>
          <w:rFonts w:ascii="宋体" w:hAnsi="宋体"/>
          <w:szCs w:val="24"/>
        </w:rPr>
        <w:fldChar w:fldCharType="separate"/>
      </w:r>
      <w:r>
        <w:rPr>
          <w:rFonts w:hint="eastAsia"/>
          <w:b/>
          <w:szCs w:val="26"/>
          <w:lang w:val="zh-CN"/>
        </w:rPr>
        <w:t>4.4应急预案体系转换与衔接条件</w:t>
      </w:r>
      <w:r>
        <w:tab/>
      </w:r>
      <w:r>
        <w:fldChar w:fldCharType="begin"/>
      </w:r>
      <w:r>
        <w:instrText xml:space="preserve"> PAGEREF _Toc18827 </w:instrText>
      </w:r>
      <w:r>
        <w:fldChar w:fldCharType="separate"/>
      </w:r>
      <w:r>
        <w:t>6</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_Toc2826 </w:instrText>
      </w:r>
      <w:r>
        <w:rPr>
          <w:rFonts w:ascii="宋体" w:hAnsi="宋体"/>
          <w:szCs w:val="24"/>
        </w:rPr>
        <w:fldChar w:fldCharType="separate"/>
      </w:r>
      <w:r>
        <w:rPr>
          <w:rFonts w:asciiTheme="minorEastAsia" w:hAnsiTheme="minorEastAsia" w:eastAsiaTheme="minorEastAsia"/>
          <w:b/>
        </w:rPr>
        <w:t>5</w:t>
      </w:r>
      <w:r>
        <w:rPr>
          <w:rFonts w:hint="eastAsia" w:asciiTheme="minorEastAsia" w:hAnsiTheme="minorEastAsia" w:eastAsiaTheme="minorEastAsia"/>
          <w:b/>
        </w:rPr>
        <w:t>预警及信息报告</w:t>
      </w:r>
      <w:r>
        <w:tab/>
      </w:r>
      <w:r>
        <w:fldChar w:fldCharType="begin"/>
      </w:r>
      <w:r>
        <w:instrText xml:space="preserve"> PAGEREF _Toc2826 </w:instrText>
      </w:r>
      <w:r>
        <w:fldChar w:fldCharType="separate"/>
      </w:r>
      <w:r>
        <w:t>7</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_Toc22994 </w:instrText>
      </w:r>
      <w:r>
        <w:rPr>
          <w:rFonts w:ascii="宋体" w:hAnsi="宋体"/>
          <w:szCs w:val="24"/>
        </w:rPr>
        <w:fldChar w:fldCharType="separate"/>
      </w:r>
      <w:r>
        <w:rPr>
          <w:rFonts w:hint="eastAsia"/>
          <w:b/>
          <w:szCs w:val="26"/>
          <w:lang w:val="zh-CN"/>
        </w:rPr>
        <w:t>5.1预防</w:t>
      </w:r>
      <w:r>
        <w:rPr>
          <w:rFonts w:hint="eastAsia"/>
          <w:b/>
          <w:szCs w:val="26"/>
          <w:lang w:val="zh-CN" w:eastAsia="zh-CN"/>
        </w:rPr>
        <w:t>措施</w:t>
      </w:r>
      <w:r>
        <w:tab/>
      </w:r>
      <w:r>
        <w:fldChar w:fldCharType="begin"/>
      </w:r>
      <w:r>
        <w:instrText xml:space="preserve"> PAGEREF _Toc22994 </w:instrText>
      </w:r>
      <w:r>
        <w:fldChar w:fldCharType="separate"/>
      </w:r>
      <w:r>
        <w:t>7</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_Toc4636 </w:instrText>
      </w:r>
      <w:r>
        <w:rPr>
          <w:rFonts w:ascii="宋体" w:hAnsi="宋体"/>
          <w:szCs w:val="24"/>
        </w:rPr>
        <w:fldChar w:fldCharType="separate"/>
      </w:r>
      <w:r>
        <w:rPr>
          <w:rFonts w:hint="eastAsia"/>
          <w:b/>
          <w:szCs w:val="26"/>
          <w:lang w:val="zh-CN"/>
        </w:rPr>
        <w:t>5.2预警</w:t>
      </w:r>
      <w:r>
        <w:rPr>
          <w:rFonts w:hint="eastAsia"/>
          <w:b/>
          <w:szCs w:val="26"/>
          <w:lang w:val="zh-CN" w:eastAsia="zh-CN"/>
        </w:rPr>
        <w:t>措施</w:t>
      </w:r>
      <w:r>
        <w:tab/>
      </w:r>
      <w:r>
        <w:fldChar w:fldCharType="begin"/>
      </w:r>
      <w:r>
        <w:instrText xml:space="preserve"> PAGEREF _Toc4636 </w:instrText>
      </w:r>
      <w:r>
        <w:fldChar w:fldCharType="separate"/>
      </w:r>
      <w:r>
        <w:t>7</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_Toc8203 </w:instrText>
      </w:r>
      <w:r>
        <w:rPr>
          <w:rFonts w:ascii="宋体" w:hAnsi="宋体"/>
          <w:szCs w:val="24"/>
        </w:rPr>
        <w:fldChar w:fldCharType="separate"/>
      </w:r>
      <w:r>
        <w:rPr>
          <w:rFonts w:hint="eastAsia"/>
          <w:b/>
          <w:szCs w:val="26"/>
          <w:lang w:val="zh-CN"/>
        </w:rPr>
        <w:t>5.3信息报告</w:t>
      </w:r>
      <w:r>
        <w:tab/>
      </w:r>
      <w:r>
        <w:fldChar w:fldCharType="begin"/>
      </w:r>
      <w:r>
        <w:instrText xml:space="preserve"> PAGEREF _Toc8203 </w:instrText>
      </w:r>
      <w:r>
        <w:fldChar w:fldCharType="separate"/>
      </w:r>
      <w:r>
        <w:t>8</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_Toc9162 </w:instrText>
      </w:r>
      <w:r>
        <w:rPr>
          <w:rFonts w:ascii="宋体" w:hAnsi="宋体"/>
          <w:szCs w:val="24"/>
        </w:rPr>
        <w:fldChar w:fldCharType="separate"/>
      </w:r>
      <w:r>
        <w:rPr>
          <w:rFonts w:asciiTheme="minorEastAsia" w:hAnsiTheme="minorEastAsia" w:eastAsiaTheme="minorEastAsia"/>
          <w:b/>
        </w:rPr>
        <w:t>6</w:t>
      </w:r>
      <w:r>
        <w:rPr>
          <w:rFonts w:hint="eastAsia" w:asciiTheme="minorEastAsia" w:hAnsiTheme="minorEastAsia" w:eastAsiaTheme="minorEastAsia"/>
          <w:b/>
        </w:rPr>
        <w:t>应急响应</w:t>
      </w:r>
      <w:r>
        <w:tab/>
      </w:r>
      <w:r>
        <w:fldChar w:fldCharType="begin"/>
      </w:r>
      <w:r>
        <w:instrText xml:space="preserve"> PAGEREF _Toc9162 </w:instrText>
      </w:r>
      <w:r>
        <w:fldChar w:fldCharType="separate"/>
      </w:r>
      <w:r>
        <w:t>10</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_Toc23064 </w:instrText>
      </w:r>
      <w:r>
        <w:rPr>
          <w:rFonts w:ascii="宋体" w:hAnsi="宋体"/>
          <w:szCs w:val="24"/>
        </w:rPr>
        <w:fldChar w:fldCharType="separate"/>
      </w:r>
      <w:r>
        <w:rPr>
          <w:rFonts w:hint="eastAsia"/>
          <w:b/>
          <w:szCs w:val="26"/>
          <w:lang w:val="zh-CN"/>
        </w:rPr>
        <w:t>6.1响应分级</w:t>
      </w:r>
      <w:r>
        <w:tab/>
      </w:r>
      <w:r>
        <w:fldChar w:fldCharType="begin"/>
      </w:r>
      <w:r>
        <w:instrText xml:space="preserve"> PAGEREF _Toc23064 </w:instrText>
      </w:r>
      <w:r>
        <w:fldChar w:fldCharType="separate"/>
      </w:r>
      <w:r>
        <w:t>10</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_Toc21503 </w:instrText>
      </w:r>
      <w:r>
        <w:rPr>
          <w:rFonts w:ascii="宋体" w:hAnsi="宋体"/>
          <w:szCs w:val="24"/>
        </w:rPr>
        <w:fldChar w:fldCharType="separate"/>
      </w:r>
      <w:r>
        <w:rPr>
          <w:rFonts w:hint="eastAsia"/>
          <w:b/>
          <w:szCs w:val="26"/>
          <w:lang w:val="zh-CN"/>
        </w:rPr>
        <w:t>6.2响应程序</w:t>
      </w:r>
      <w:r>
        <w:tab/>
      </w:r>
      <w:r>
        <w:fldChar w:fldCharType="begin"/>
      </w:r>
      <w:r>
        <w:instrText xml:space="preserve"> PAGEREF _Toc21503 </w:instrText>
      </w:r>
      <w:r>
        <w:fldChar w:fldCharType="separate"/>
      </w:r>
      <w:r>
        <w:t>10</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_Toc11138 </w:instrText>
      </w:r>
      <w:r>
        <w:rPr>
          <w:rFonts w:ascii="宋体" w:hAnsi="宋体"/>
          <w:szCs w:val="24"/>
        </w:rPr>
        <w:fldChar w:fldCharType="separate"/>
      </w:r>
      <w:r>
        <w:rPr>
          <w:rFonts w:hint="eastAsia"/>
          <w:b/>
          <w:szCs w:val="26"/>
          <w:lang w:val="zh-CN"/>
        </w:rPr>
        <w:t>6.3 抢险、救援及控制措施</w:t>
      </w:r>
      <w:r>
        <w:tab/>
      </w:r>
      <w:r>
        <w:fldChar w:fldCharType="begin"/>
      </w:r>
      <w:r>
        <w:instrText xml:space="preserve"> PAGEREF _Toc11138 </w:instrText>
      </w:r>
      <w:r>
        <w:fldChar w:fldCharType="separate"/>
      </w:r>
      <w:r>
        <w:t>11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_Toc16966 </w:instrText>
      </w:r>
      <w:r>
        <w:rPr>
          <w:rFonts w:ascii="宋体" w:hAnsi="宋体"/>
          <w:szCs w:val="24"/>
        </w:rPr>
        <w:fldChar w:fldCharType="separate"/>
      </w:r>
      <w:r>
        <w:rPr>
          <w:rFonts w:hint="eastAsia"/>
          <w:b/>
          <w:szCs w:val="26"/>
          <w:lang w:val="zh-CN"/>
        </w:rPr>
        <w:t>6.4应急处置措施</w:t>
      </w:r>
      <w:r>
        <w:tab/>
      </w:r>
      <w:r>
        <w:fldChar w:fldCharType="begin"/>
      </w:r>
      <w:r>
        <w:instrText xml:space="preserve"> PAGEREF _Toc16966 </w:instrText>
      </w:r>
      <w:r>
        <w:fldChar w:fldCharType="separate"/>
      </w:r>
      <w:r>
        <w:t>13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_Toc8005 </w:instrText>
      </w:r>
      <w:r>
        <w:rPr>
          <w:rFonts w:ascii="宋体" w:hAnsi="宋体"/>
          <w:szCs w:val="24"/>
        </w:rPr>
        <w:fldChar w:fldCharType="separate"/>
      </w:r>
      <w:r>
        <w:rPr>
          <w:rFonts w:hint="eastAsia"/>
          <w:b/>
          <w:szCs w:val="26"/>
          <w:lang w:val="zh-CN"/>
        </w:rPr>
        <w:t>6.4.1处置原则</w:t>
      </w:r>
      <w:r>
        <w:tab/>
      </w:r>
      <w:r>
        <w:fldChar w:fldCharType="begin"/>
      </w:r>
      <w:r>
        <w:instrText xml:space="preserve"> PAGEREF _Toc8005 </w:instrText>
      </w:r>
      <w:r>
        <w:fldChar w:fldCharType="separate"/>
      </w:r>
      <w:r>
        <w:t>13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_Toc30936 </w:instrText>
      </w:r>
      <w:r>
        <w:rPr>
          <w:rFonts w:ascii="宋体" w:hAnsi="宋体"/>
          <w:szCs w:val="24"/>
        </w:rPr>
        <w:fldChar w:fldCharType="separate"/>
      </w:r>
      <w:r>
        <w:rPr>
          <w:rFonts w:hint="eastAsia"/>
          <w:b/>
          <w:szCs w:val="26"/>
          <w:lang w:val="zh-CN"/>
        </w:rPr>
        <w:t>6.4.2 应急流程</w:t>
      </w:r>
      <w:r>
        <w:tab/>
      </w:r>
      <w:r>
        <w:fldChar w:fldCharType="begin"/>
      </w:r>
      <w:r>
        <w:instrText xml:space="preserve"> PAGEREF _Toc30936 </w:instrText>
      </w:r>
      <w:r>
        <w:fldChar w:fldCharType="separate"/>
      </w:r>
      <w:r>
        <w:t>13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_Toc23835 </w:instrText>
      </w:r>
      <w:r>
        <w:rPr>
          <w:rFonts w:ascii="宋体" w:hAnsi="宋体"/>
          <w:szCs w:val="24"/>
        </w:rPr>
        <w:fldChar w:fldCharType="separate"/>
      </w:r>
      <w:r>
        <w:rPr>
          <w:rFonts w:hint="eastAsia"/>
          <w:b/>
          <w:szCs w:val="26"/>
          <w:lang w:val="zh-CN"/>
        </w:rPr>
        <w:t>6.4.3一源一案</w:t>
      </w:r>
      <w:r>
        <w:tab/>
      </w:r>
      <w:r>
        <w:fldChar w:fldCharType="begin"/>
      </w:r>
      <w:r>
        <w:instrText xml:space="preserve"> PAGEREF _Toc23835 </w:instrText>
      </w:r>
      <w:r>
        <w:fldChar w:fldCharType="separate"/>
      </w:r>
      <w:r>
        <w:t>15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_Toc21834 </w:instrText>
      </w:r>
      <w:r>
        <w:rPr>
          <w:rFonts w:ascii="宋体" w:hAnsi="宋体"/>
          <w:szCs w:val="24"/>
        </w:rPr>
        <w:fldChar w:fldCharType="separate"/>
      </w:r>
      <w:r>
        <w:rPr>
          <w:rFonts w:hint="eastAsia"/>
          <w:b/>
          <w:szCs w:val="26"/>
          <w:lang w:val="zh-CN"/>
        </w:rPr>
        <w:t>6.5应急监测</w:t>
      </w:r>
      <w:r>
        <w:tab/>
      </w:r>
      <w:r>
        <w:fldChar w:fldCharType="begin"/>
      </w:r>
      <w:r>
        <w:instrText xml:space="preserve"> PAGEREF _Toc21834 </w:instrText>
      </w:r>
      <w:r>
        <w:fldChar w:fldCharType="separate"/>
      </w:r>
      <w:r>
        <w:t>19</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_Toc22022 </w:instrText>
      </w:r>
      <w:r>
        <w:rPr>
          <w:rFonts w:ascii="宋体" w:hAnsi="宋体"/>
          <w:szCs w:val="24"/>
        </w:rPr>
        <w:fldChar w:fldCharType="separate"/>
      </w:r>
      <w:r>
        <w:rPr>
          <w:rFonts w:hint="eastAsia"/>
          <w:b/>
          <w:szCs w:val="26"/>
          <w:lang w:val="zh-CN"/>
        </w:rPr>
        <w:t>6.6应急终止</w:t>
      </w:r>
      <w:r>
        <w:tab/>
      </w:r>
      <w:r>
        <w:fldChar w:fldCharType="begin"/>
      </w:r>
      <w:r>
        <w:instrText xml:space="preserve"> PAGEREF _Toc22022 </w:instrText>
      </w:r>
      <w:r>
        <w:fldChar w:fldCharType="separate"/>
      </w:r>
      <w:r>
        <w:t>20</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_Toc20330 </w:instrText>
      </w:r>
      <w:r>
        <w:rPr>
          <w:rFonts w:ascii="宋体" w:hAnsi="宋体"/>
          <w:szCs w:val="24"/>
        </w:rPr>
        <w:fldChar w:fldCharType="separate"/>
      </w:r>
      <w:r>
        <w:rPr>
          <w:rFonts w:asciiTheme="minorEastAsia" w:hAnsiTheme="minorEastAsia" w:eastAsiaTheme="minorEastAsia"/>
          <w:b/>
        </w:rPr>
        <w:t>7</w:t>
      </w:r>
      <w:r>
        <w:rPr>
          <w:rFonts w:hint="eastAsia" w:asciiTheme="minorEastAsia" w:hAnsiTheme="minorEastAsia" w:eastAsiaTheme="minorEastAsia"/>
          <w:b/>
        </w:rPr>
        <w:t>后期处置</w:t>
      </w:r>
      <w:r>
        <w:tab/>
      </w:r>
      <w:r>
        <w:fldChar w:fldCharType="begin"/>
      </w:r>
      <w:r>
        <w:instrText xml:space="preserve"> PAGEREF _Toc20330 </w:instrText>
      </w:r>
      <w:r>
        <w:fldChar w:fldCharType="separate"/>
      </w:r>
      <w:r>
        <w:t>21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_Toc2591 </w:instrText>
      </w:r>
      <w:r>
        <w:rPr>
          <w:rFonts w:ascii="宋体" w:hAnsi="宋体"/>
          <w:szCs w:val="24"/>
        </w:rPr>
        <w:fldChar w:fldCharType="separate"/>
      </w:r>
      <w:r>
        <w:rPr>
          <w:rFonts w:hint="eastAsia"/>
          <w:b/>
          <w:szCs w:val="26"/>
          <w:lang w:val="zh-CN"/>
        </w:rPr>
        <w:t>7.1 污染物处理</w:t>
      </w:r>
      <w:r>
        <w:tab/>
      </w:r>
      <w:r>
        <w:fldChar w:fldCharType="begin"/>
      </w:r>
      <w:r>
        <w:instrText xml:space="preserve"> PAGEREF _Toc2591 </w:instrText>
      </w:r>
      <w:r>
        <w:fldChar w:fldCharType="separate"/>
      </w:r>
      <w:r>
        <w:t>21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_Toc22610 </w:instrText>
      </w:r>
      <w:r>
        <w:rPr>
          <w:rFonts w:ascii="宋体" w:hAnsi="宋体"/>
          <w:szCs w:val="24"/>
        </w:rPr>
        <w:fldChar w:fldCharType="separate"/>
      </w:r>
      <w:r>
        <w:rPr>
          <w:rFonts w:hint="eastAsia"/>
          <w:b/>
          <w:szCs w:val="26"/>
          <w:lang w:val="zh-CN"/>
        </w:rPr>
        <w:t>7.2生产秩序恢复</w:t>
      </w:r>
      <w:r>
        <w:tab/>
      </w:r>
      <w:r>
        <w:fldChar w:fldCharType="begin"/>
      </w:r>
      <w:r>
        <w:instrText xml:space="preserve"> PAGEREF _Toc22610 </w:instrText>
      </w:r>
      <w:r>
        <w:fldChar w:fldCharType="separate"/>
      </w:r>
      <w:r>
        <w:t>21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_Toc23033 </w:instrText>
      </w:r>
      <w:r>
        <w:rPr>
          <w:rFonts w:ascii="宋体" w:hAnsi="宋体"/>
          <w:szCs w:val="24"/>
        </w:rPr>
        <w:fldChar w:fldCharType="separate"/>
      </w:r>
      <w:r>
        <w:rPr>
          <w:rFonts w:hint="eastAsia"/>
          <w:b/>
          <w:szCs w:val="26"/>
          <w:lang w:val="zh-CN"/>
        </w:rPr>
        <w:t>7.3善后处置（医疗救治、人员安置、善后赔偿）</w:t>
      </w:r>
      <w:r>
        <w:tab/>
      </w:r>
      <w:r>
        <w:fldChar w:fldCharType="begin"/>
      </w:r>
      <w:r>
        <w:instrText xml:space="preserve"> PAGEREF _Toc23033 </w:instrText>
      </w:r>
      <w:r>
        <w:fldChar w:fldCharType="separate"/>
      </w:r>
      <w:r>
        <w:t>21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_Toc6836 </w:instrText>
      </w:r>
      <w:r>
        <w:rPr>
          <w:rFonts w:ascii="宋体" w:hAnsi="宋体"/>
          <w:szCs w:val="24"/>
        </w:rPr>
        <w:fldChar w:fldCharType="separate"/>
      </w:r>
      <w:r>
        <w:rPr>
          <w:rFonts w:hint="eastAsia"/>
          <w:b/>
          <w:szCs w:val="26"/>
          <w:lang w:val="zh-CN"/>
        </w:rPr>
        <w:t>7.4应急救援能力评估</w:t>
      </w:r>
      <w:r>
        <w:tab/>
      </w:r>
      <w:r>
        <w:fldChar w:fldCharType="begin"/>
      </w:r>
      <w:r>
        <w:instrText xml:space="preserve"> PAGEREF _Toc6836 </w:instrText>
      </w:r>
      <w:r>
        <w:fldChar w:fldCharType="separate"/>
      </w:r>
      <w:r>
        <w:t>21</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_Toc10272 </w:instrText>
      </w:r>
      <w:r>
        <w:rPr>
          <w:rFonts w:ascii="宋体" w:hAnsi="宋体"/>
          <w:szCs w:val="24"/>
        </w:rPr>
        <w:fldChar w:fldCharType="separate"/>
      </w:r>
      <w:r>
        <w:rPr>
          <w:rFonts w:asciiTheme="minorEastAsia" w:hAnsiTheme="minorEastAsia" w:eastAsiaTheme="minorEastAsia"/>
          <w:b/>
        </w:rPr>
        <w:t>8</w:t>
      </w:r>
      <w:r>
        <w:rPr>
          <w:rFonts w:hint="eastAsia" w:asciiTheme="minorEastAsia" w:hAnsiTheme="minorEastAsia" w:eastAsiaTheme="minorEastAsia"/>
          <w:b/>
        </w:rPr>
        <w:t>保障措施</w:t>
      </w:r>
      <w:r>
        <w:tab/>
      </w:r>
      <w:r>
        <w:fldChar w:fldCharType="begin"/>
      </w:r>
      <w:r>
        <w:instrText xml:space="preserve"> PAGEREF _Toc10272 </w:instrText>
      </w:r>
      <w:r>
        <w:fldChar w:fldCharType="separate"/>
      </w:r>
      <w:r>
        <w:t>22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_Toc28400 </w:instrText>
      </w:r>
      <w:r>
        <w:rPr>
          <w:rFonts w:ascii="宋体" w:hAnsi="宋体"/>
          <w:szCs w:val="24"/>
        </w:rPr>
        <w:fldChar w:fldCharType="separate"/>
      </w:r>
      <w:r>
        <w:rPr>
          <w:rFonts w:hint="eastAsia"/>
          <w:b/>
          <w:szCs w:val="26"/>
          <w:lang w:val="zh-CN"/>
        </w:rPr>
        <w:t>8.1通信与信息保障</w:t>
      </w:r>
      <w:r>
        <w:tab/>
      </w:r>
      <w:r>
        <w:fldChar w:fldCharType="begin"/>
      </w:r>
      <w:r>
        <w:instrText xml:space="preserve"> PAGEREF _Toc28400 </w:instrText>
      </w:r>
      <w:r>
        <w:fldChar w:fldCharType="separate"/>
      </w:r>
      <w:r>
        <w:t>22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_Toc29559 </w:instrText>
      </w:r>
      <w:r>
        <w:rPr>
          <w:rFonts w:ascii="宋体" w:hAnsi="宋体"/>
          <w:szCs w:val="24"/>
        </w:rPr>
        <w:fldChar w:fldCharType="separate"/>
      </w:r>
      <w:r>
        <w:rPr>
          <w:rFonts w:hint="eastAsia"/>
          <w:b/>
          <w:szCs w:val="26"/>
          <w:lang w:val="zh-CN"/>
        </w:rPr>
        <w:t>8.2应急队伍保障</w:t>
      </w:r>
      <w:r>
        <w:tab/>
      </w:r>
      <w:r>
        <w:fldChar w:fldCharType="begin"/>
      </w:r>
      <w:r>
        <w:instrText xml:space="preserve"> PAGEREF _Toc29559 </w:instrText>
      </w:r>
      <w:r>
        <w:fldChar w:fldCharType="separate"/>
      </w:r>
      <w:r>
        <w:t>22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_Toc10355 </w:instrText>
      </w:r>
      <w:r>
        <w:rPr>
          <w:rFonts w:ascii="宋体" w:hAnsi="宋体"/>
          <w:szCs w:val="24"/>
        </w:rPr>
        <w:fldChar w:fldCharType="separate"/>
      </w:r>
      <w:r>
        <w:rPr>
          <w:rFonts w:hint="eastAsia"/>
          <w:b/>
          <w:szCs w:val="26"/>
          <w:lang w:val="zh-CN"/>
        </w:rPr>
        <w:t>8.3物资装备保障</w:t>
      </w:r>
      <w:r>
        <w:tab/>
      </w:r>
      <w:r>
        <w:fldChar w:fldCharType="begin"/>
      </w:r>
      <w:r>
        <w:instrText xml:space="preserve"> PAGEREF _Toc10355 </w:instrText>
      </w:r>
      <w:r>
        <w:fldChar w:fldCharType="separate"/>
      </w:r>
      <w:r>
        <w:t>22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_Toc6520 </w:instrText>
      </w:r>
      <w:r>
        <w:rPr>
          <w:rFonts w:ascii="宋体" w:hAnsi="宋体"/>
          <w:szCs w:val="24"/>
        </w:rPr>
        <w:fldChar w:fldCharType="separate"/>
      </w:r>
      <w:r>
        <w:rPr>
          <w:rFonts w:hint="eastAsia"/>
          <w:b/>
          <w:szCs w:val="26"/>
          <w:lang w:val="zh-CN"/>
        </w:rPr>
        <w:t>8.4其他保障</w:t>
      </w:r>
      <w:r>
        <w:tab/>
      </w:r>
      <w:r>
        <w:fldChar w:fldCharType="begin"/>
      </w:r>
      <w:r>
        <w:instrText xml:space="preserve"> PAGEREF _Toc6520 </w:instrText>
      </w:r>
      <w:r>
        <w:fldChar w:fldCharType="separate"/>
      </w:r>
      <w:r>
        <w:t>22</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_Toc20334 </w:instrText>
      </w:r>
      <w:r>
        <w:rPr>
          <w:rFonts w:ascii="宋体" w:hAnsi="宋体"/>
          <w:szCs w:val="24"/>
        </w:rPr>
        <w:fldChar w:fldCharType="separate"/>
      </w:r>
      <w:r>
        <w:rPr>
          <w:rFonts w:asciiTheme="minorEastAsia" w:hAnsiTheme="minorEastAsia" w:eastAsiaTheme="minorEastAsia"/>
          <w:b/>
        </w:rPr>
        <w:t>9</w:t>
      </w:r>
      <w:r>
        <w:rPr>
          <w:rFonts w:hint="eastAsia" w:asciiTheme="minorEastAsia" w:hAnsiTheme="minorEastAsia" w:eastAsiaTheme="minorEastAsia"/>
          <w:b/>
        </w:rPr>
        <w:t>应急预案管理</w:t>
      </w:r>
      <w:r>
        <w:tab/>
      </w:r>
      <w:r>
        <w:fldChar w:fldCharType="begin"/>
      </w:r>
      <w:r>
        <w:instrText xml:space="preserve"> PAGEREF _Toc20334 </w:instrText>
      </w:r>
      <w:r>
        <w:fldChar w:fldCharType="separate"/>
      </w:r>
      <w:r>
        <w:t>23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_Toc10161 </w:instrText>
      </w:r>
      <w:r>
        <w:rPr>
          <w:rFonts w:ascii="宋体" w:hAnsi="宋体"/>
          <w:szCs w:val="24"/>
        </w:rPr>
        <w:fldChar w:fldCharType="separate"/>
      </w:r>
      <w:r>
        <w:rPr>
          <w:rFonts w:hint="eastAsia"/>
          <w:b/>
          <w:szCs w:val="26"/>
          <w:lang w:val="zh-CN"/>
        </w:rPr>
        <w:t>9.1应急预案培训</w:t>
      </w:r>
      <w:r>
        <w:tab/>
      </w:r>
      <w:r>
        <w:fldChar w:fldCharType="begin"/>
      </w:r>
      <w:r>
        <w:instrText xml:space="preserve"> PAGEREF _Toc10161 </w:instrText>
      </w:r>
      <w:r>
        <w:fldChar w:fldCharType="separate"/>
      </w:r>
      <w:r>
        <w:t>23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_Toc12520 </w:instrText>
      </w:r>
      <w:r>
        <w:rPr>
          <w:rFonts w:ascii="宋体" w:hAnsi="宋体"/>
          <w:szCs w:val="24"/>
        </w:rPr>
        <w:fldChar w:fldCharType="separate"/>
      </w:r>
      <w:r>
        <w:rPr>
          <w:rFonts w:hint="eastAsia"/>
          <w:b/>
          <w:szCs w:val="26"/>
          <w:lang w:val="zh-CN"/>
        </w:rPr>
        <w:t>9.2应急预案演练</w:t>
      </w:r>
      <w:r>
        <w:tab/>
      </w:r>
      <w:r>
        <w:fldChar w:fldCharType="begin"/>
      </w:r>
      <w:r>
        <w:instrText xml:space="preserve"> PAGEREF _Toc12520 </w:instrText>
      </w:r>
      <w:r>
        <w:fldChar w:fldCharType="separate"/>
      </w:r>
      <w:r>
        <w:t>23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_Toc7666 </w:instrText>
      </w:r>
      <w:r>
        <w:rPr>
          <w:rFonts w:ascii="宋体" w:hAnsi="宋体"/>
          <w:szCs w:val="24"/>
        </w:rPr>
        <w:fldChar w:fldCharType="separate"/>
      </w:r>
      <w:r>
        <w:rPr>
          <w:rFonts w:hint="eastAsia"/>
          <w:b/>
          <w:szCs w:val="26"/>
          <w:lang w:val="zh-CN"/>
        </w:rPr>
        <w:t>9.3应急预案修订</w:t>
      </w:r>
      <w:r>
        <w:tab/>
      </w:r>
      <w:r>
        <w:fldChar w:fldCharType="begin"/>
      </w:r>
      <w:r>
        <w:instrText xml:space="preserve"> PAGEREF _Toc7666 </w:instrText>
      </w:r>
      <w:r>
        <w:fldChar w:fldCharType="separate"/>
      </w:r>
      <w:r>
        <w:t>24</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_Toc16564 </w:instrText>
      </w:r>
      <w:r>
        <w:rPr>
          <w:rFonts w:ascii="宋体" w:hAnsi="宋体"/>
          <w:szCs w:val="24"/>
        </w:rPr>
        <w:fldChar w:fldCharType="separate"/>
      </w:r>
      <w:r>
        <w:rPr>
          <w:rFonts w:hint="eastAsia"/>
          <w:b/>
          <w:szCs w:val="26"/>
          <w:lang w:val="zh-CN"/>
        </w:rPr>
        <w:t>9.4应急预案备案</w:t>
      </w:r>
      <w:r>
        <w:tab/>
      </w:r>
      <w:r>
        <w:fldChar w:fldCharType="begin"/>
      </w:r>
      <w:r>
        <w:instrText xml:space="preserve"> PAGEREF _Toc16564 </w:instrText>
      </w:r>
      <w:r>
        <w:fldChar w:fldCharType="separate"/>
      </w:r>
      <w:r>
        <w:t>24</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_Toc20222 </w:instrText>
      </w:r>
      <w:r>
        <w:rPr>
          <w:rFonts w:ascii="宋体" w:hAnsi="宋体"/>
          <w:szCs w:val="24"/>
        </w:rPr>
        <w:fldChar w:fldCharType="separate"/>
      </w:r>
      <w:r>
        <w:rPr>
          <w:rFonts w:hint="eastAsia"/>
          <w:b/>
          <w:szCs w:val="26"/>
          <w:lang w:val="zh-CN"/>
        </w:rPr>
        <w:t>9.5应急预案实施</w:t>
      </w:r>
      <w:r>
        <w:tab/>
      </w:r>
      <w:r>
        <w:fldChar w:fldCharType="begin"/>
      </w:r>
      <w:r>
        <w:instrText xml:space="preserve"> PAGEREF _Toc20222 </w:instrText>
      </w:r>
      <w:r>
        <w:fldChar w:fldCharType="separate"/>
      </w:r>
      <w:r>
        <w:t>24</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_Toc25563 </w:instrText>
      </w:r>
      <w:r>
        <w:rPr>
          <w:rFonts w:ascii="宋体" w:hAnsi="宋体"/>
          <w:szCs w:val="24"/>
        </w:rPr>
        <w:fldChar w:fldCharType="separate"/>
      </w:r>
      <w:r>
        <w:rPr>
          <w:rFonts w:hint="eastAsia" w:asciiTheme="minorEastAsia" w:hAnsiTheme="minorEastAsia" w:eastAsiaTheme="minorEastAsia"/>
          <w:b/>
        </w:rPr>
        <w:t>10应急预案管理</w:t>
      </w:r>
      <w:r>
        <w:tab/>
      </w:r>
      <w:r>
        <w:fldChar w:fldCharType="begin"/>
      </w:r>
      <w:r>
        <w:instrText xml:space="preserve"> PAGEREF _Toc25563 </w:instrText>
      </w:r>
      <w:r>
        <w:fldChar w:fldCharType="separate"/>
      </w:r>
      <w:r>
        <w:t>25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_Toc15302 </w:instrText>
      </w:r>
      <w:r>
        <w:rPr>
          <w:rFonts w:ascii="宋体" w:hAnsi="宋体"/>
          <w:szCs w:val="24"/>
        </w:rPr>
        <w:fldChar w:fldCharType="separate"/>
      </w:r>
      <w:r>
        <w:rPr>
          <w:rFonts w:hint="eastAsia"/>
          <w:b/>
          <w:szCs w:val="26"/>
          <w:lang w:val="zh-CN"/>
        </w:rPr>
        <w:t>10.1应急预案培训</w:t>
      </w:r>
      <w:r>
        <w:tab/>
      </w:r>
      <w:r>
        <w:fldChar w:fldCharType="begin"/>
      </w:r>
      <w:r>
        <w:instrText xml:space="preserve"> PAGEREF _Toc15302 </w:instrText>
      </w:r>
      <w:r>
        <w:fldChar w:fldCharType="separate"/>
      </w:r>
      <w:r>
        <w:t>25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_Toc12141 </w:instrText>
      </w:r>
      <w:r>
        <w:rPr>
          <w:rFonts w:ascii="宋体" w:hAnsi="宋体"/>
          <w:szCs w:val="24"/>
        </w:rPr>
        <w:fldChar w:fldCharType="separate"/>
      </w:r>
      <w:r>
        <w:rPr>
          <w:rFonts w:hint="eastAsia"/>
          <w:b/>
          <w:szCs w:val="26"/>
          <w:lang w:val="zh-CN"/>
        </w:rPr>
        <w:t>10.2应急预案演练</w:t>
      </w:r>
      <w:r>
        <w:tab/>
      </w:r>
      <w:r>
        <w:fldChar w:fldCharType="begin"/>
      </w:r>
      <w:r>
        <w:instrText xml:space="preserve"> PAGEREF _Toc12141 </w:instrText>
      </w:r>
      <w:r>
        <w:fldChar w:fldCharType="separate"/>
      </w:r>
      <w:r>
        <w:t>25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_Toc25971 </w:instrText>
      </w:r>
      <w:r>
        <w:rPr>
          <w:rFonts w:ascii="宋体" w:hAnsi="宋体"/>
          <w:szCs w:val="24"/>
        </w:rPr>
        <w:fldChar w:fldCharType="separate"/>
      </w:r>
      <w:r>
        <w:rPr>
          <w:rFonts w:hint="eastAsia"/>
          <w:b/>
          <w:szCs w:val="26"/>
          <w:lang w:val="zh-CN"/>
        </w:rPr>
        <w:t>10.3应急预案修订</w:t>
      </w:r>
      <w:r>
        <w:tab/>
      </w:r>
      <w:r>
        <w:fldChar w:fldCharType="begin"/>
      </w:r>
      <w:r>
        <w:instrText xml:space="preserve"> PAGEREF _Toc25971 </w:instrText>
      </w:r>
      <w:r>
        <w:fldChar w:fldCharType="separate"/>
      </w:r>
      <w:r>
        <w:t>25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_Toc18144 </w:instrText>
      </w:r>
      <w:r>
        <w:rPr>
          <w:rFonts w:ascii="宋体" w:hAnsi="宋体"/>
          <w:szCs w:val="24"/>
        </w:rPr>
        <w:fldChar w:fldCharType="separate"/>
      </w:r>
      <w:r>
        <w:rPr>
          <w:rFonts w:hint="eastAsia"/>
          <w:b/>
          <w:szCs w:val="26"/>
          <w:lang w:val="zh-CN"/>
        </w:rPr>
        <w:t>10.4应急预案备案</w:t>
      </w:r>
      <w:r>
        <w:tab/>
      </w:r>
      <w:r>
        <w:fldChar w:fldCharType="begin"/>
      </w:r>
      <w:r>
        <w:instrText xml:space="preserve"> PAGEREF _Toc18144 </w:instrText>
      </w:r>
      <w:r>
        <w:fldChar w:fldCharType="separate"/>
      </w:r>
      <w:r>
        <w:t>26</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_Toc13515 </w:instrText>
      </w:r>
      <w:r>
        <w:rPr>
          <w:rFonts w:ascii="宋体" w:hAnsi="宋体"/>
          <w:szCs w:val="24"/>
        </w:rPr>
        <w:fldChar w:fldCharType="separate"/>
      </w:r>
      <w:r>
        <w:rPr>
          <w:rFonts w:hint="eastAsia"/>
          <w:b/>
          <w:szCs w:val="26"/>
          <w:lang w:val="zh-CN"/>
        </w:rPr>
        <w:t>10.5应急预案实施</w:t>
      </w:r>
      <w:r>
        <w:tab/>
      </w:r>
      <w:r>
        <w:fldChar w:fldCharType="begin"/>
      </w:r>
      <w:r>
        <w:instrText xml:space="preserve"> PAGEREF _Toc13515 </w:instrText>
      </w:r>
      <w:r>
        <w:fldChar w:fldCharType="separate"/>
      </w:r>
      <w:r>
        <w:t>26</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_Toc7782 </w:instrText>
      </w:r>
      <w:r>
        <w:rPr>
          <w:rFonts w:ascii="宋体" w:hAnsi="宋体"/>
          <w:szCs w:val="24"/>
        </w:rPr>
        <w:fldChar w:fldCharType="separate"/>
      </w:r>
      <w:r>
        <w:rPr>
          <w:rFonts w:hint="eastAsia" w:asciiTheme="minorEastAsia" w:hAnsiTheme="minorEastAsia" w:eastAsiaTheme="minorEastAsia"/>
          <w:b/>
        </w:rPr>
        <w:t>11 附件</w:t>
      </w:r>
      <w:r>
        <w:tab/>
      </w:r>
      <w:r>
        <w:fldChar w:fldCharType="begin"/>
      </w:r>
      <w:r>
        <w:instrText xml:space="preserve"> PAGEREF _Toc7782 </w:instrText>
      </w:r>
      <w:r>
        <w:fldChar w:fldCharType="separate"/>
      </w:r>
      <w:r>
        <w:t>27</w:t>
      </w:r>
      <w:r>
        <w:fldChar w:fldCharType="end"/>
      </w:r>
      <w:r>
        <w:rPr>
          <w:rFonts w:ascii="宋体" w:hAnsi="宋体"/>
          <w:color w:val="000000"/>
          <w:szCs w:val="24"/>
        </w:rPr>
        <w:fldChar w:fldCharType="end"/>
      </w:r>
    </w:p>
    <w:p>
      <w:pPr>
        <w:pageBreakBefore/>
        <w:spacing w:line="360" w:lineRule="auto"/>
        <w:jc w:val="center"/>
        <w:rPr>
          <w:rFonts w:ascii="宋体"/>
          <w:color w:val="000000"/>
          <w:sz w:val="24"/>
          <w:szCs w:val="24"/>
        </w:rPr>
      </w:pPr>
      <w:r>
        <w:rPr>
          <w:rFonts w:ascii="宋体" w:hAnsi="宋体"/>
          <w:color w:val="000000"/>
          <w:szCs w:val="24"/>
        </w:rPr>
        <w:fldChar w:fldCharType="end"/>
      </w:r>
      <w:r>
        <w:rPr>
          <w:rFonts w:hint="eastAsia" w:ascii="宋体" w:hAnsi="宋体"/>
          <w:b/>
          <w:kern w:val="0"/>
          <w:sz w:val="32"/>
          <w:szCs w:val="32"/>
        </w:rPr>
        <w:t>应急预案编制小组</w:t>
      </w:r>
    </w:p>
    <w:tbl>
      <w:tblPr>
        <w:tblStyle w:val="54"/>
        <w:tblpPr w:leftFromText="180" w:rightFromText="180" w:vertAnchor="text" w:tblpY="1"/>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745"/>
        <w:gridCol w:w="1984"/>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440" w:type="dxa"/>
            <w:vAlign w:val="center"/>
          </w:tcPr>
          <w:p>
            <w:pPr>
              <w:tabs>
                <w:tab w:val="left" w:pos="7395"/>
              </w:tabs>
              <w:spacing w:beforeLines="50" w:after="120" w:line="600" w:lineRule="exact"/>
              <w:jc w:val="center"/>
              <w:rPr>
                <w:rFonts w:ascii="宋体"/>
                <w:b/>
                <w:color w:val="000000"/>
                <w:sz w:val="28"/>
                <w:szCs w:val="28"/>
              </w:rPr>
            </w:pPr>
            <w:r>
              <w:rPr>
                <w:rFonts w:hint="eastAsia" w:ascii="宋体" w:hAnsi="宋体"/>
                <w:b/>
                <w:color w:val="000000"/>
                <w:sz w:val="28"/>
                <w:szCs w:val="28"/>
              </w:rPr>
              <w:t>姓</w:t>
            </w:r>
            <w:r>
              <w:rPr>
                <w:rFonts w:ascii="宋体" w:hAnsi="宋体"/>
                <w:b/>
                <w:color w:val="000000"/>
                <w:sz w:val="28"/>
                <w:szCs w:val="28"/>
              </w:rPr>
              <w:t xml:space="preserve">  </w:t>
            </w:r>
            <w:r>
              <w:rPr>
                <w:rFonts w:hint="eastAsia" w:ascii="宋体" w:hAnsi="宋体"/>
                <w:b/>
                <w:color w:val="000000"/>
                <w:sz w:val="28"/>
                <w:szCs w:val="28"/>
              </w:rPr>
              <w:t>名</w:t>
            </w:r>
          </w:p>
        </w:tc>
        <w:tc>
          <w:tcPr>
            <w:tcW w:w="2745" w:type="dxa"/>
            <w:vAlign w:val="center"/>
          </w:tcPr>
          <w:p>
            <w:pPr>
              <w:tabs>
                <w:tab w:val="left" w:pos="7395"/>
              </w:tabs>
              <w:spacing w:beforeLines="50" w:after="120" w:line="600" w:lineRule="exact"/>
              <w:jc w:val="center"/>
              <w:rPr>
                <w:rFonts w:ascii="宋体"/>
                <w:b/>
                <w:color w:val="000000"/>
                <w:sz w:val="28"/>
                <w:szCs w:val="28"/>
              </w:rPr>
            </w:pPr>
            <w:r>
              <w:rPr>
                <w:rFonts w:hint="eastAsia" w:ascii="宋体" w:hAnsi="宋体"/>
                <w:b/>
                <w:color w:val="000000"/>
                <w:sz w:val="28"/>
                <w:szCs w:val="28"/>
              </w:rPr>
              <w:t>职务</w:t>
            </w:r>
          </w:p>
        </w:tc>
        <w:tc>
          <w:tcPr>
            <w:tcW w:w="1984" w:type="dxa"/>
            <w:vAlign w:val="center"/>
          </w:tcPr>
          <w:p>
            <w:pPr>
              <w:tabs>
                <w:tab w:val="left" w:pos="7395"/>
              </w:tabs>
              <w:spacing w:beforeLines="50" w:after="120" w:line="600" w:lineRule="exact"/>
              <w:jc w:val="center"/>
              <w:rPr>
                <w:rFonts w:ascii="宋体"/>
                <w:b/>
                <w:color w:val="000000"/>
                <w:sz w:val="28"/>
                <w:szCs w:val="28"/>
              </w:rPr>
            </w:pPr>
            <w:r>
              <w:rPr>
                <w:rFonts w:hint="eastAsia" w:ascii="宋体" w:hAnsi="宋体"/>
                <w:b/>
                <w:color w:val="000000"/>
                <w:sz w:val="28"/>
                <w:szCs w:val="28"/>
              </w:rPr>
              <w:t>工作职责</w:t>
            </w:r>
          </w:p>
        </w:tc>
        <w:tc>
          <w:tcPr>
            <w:tcW w:w="3011" w:type="dxa"/>
            <w:vAlign w:val="center"/>
          </w:tcPr>
          <w:p>
            <w:pPr>
              <w:tabs>
                <w:tab w:val="left" w:pos="7395"/>
              </w:tabs>
              <w:spacing w:beforeLines="50" w:after="120" w:line="600" w:lineRule="exact"/>
              <w:jc w:val="center"/>
              <w:rPr>
                <w:rFonts w:ascii="宋体"/>
                <w:b/>
                <w:color w:val="000000"/>
                <w:sz w:val="28"/>
                <w:szCs w:val="28"/>
              </w:rPr>
            </w:pPr>
            <w:r>
              <w:rPr>
                <w:rFonts w:hint="eastAsia" w:ascii="宋体" w:hAnsi="宋体"/>
                <w:b/>
                <w:color w:val="000000"/>
                <w:sz w:val="28"/>
                <w:szCs w:val="28"/>
              </w:rPr>
              <w:t>签</w:t>
            </w:r>
            <w:r>
              <w:rPr>
                <w:rFonts w:ascii="宋体" w:hAnsi="宋体"/>
                <w:b/>
                <w:color w:val="000000"/>
                <w:sz w:val="28"/>
                <w:szCs w:val="28"/>
              </w:rPr>
              <w:t xml:space="preserve">  </w:t>
            </w:r>
            <w:r>
              <w:rPr>
                <w:rFonts w:hint="eastAsia" w:ascii="宋体" w:hAnsi="宋体"/>
                <w:b/>
                <w:color w:val="000000"/>
                <w:sz w:val="28"/>
                <w:szCs w:val="28"/>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sz w:val="28"/>
                <w:szCs w:val="28"/>
              </w:rPr>
              <w:t>秦廷伟</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组长</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校验</w:t>
            </w:r>
          </w:p>
        </w:tc>
        <w:tc>
          <w:tcPr>
            <w:tcW w:w="3011" w:type="dxa"/>
            <w:vAlign w:val="center"/>
          </w:tcPr>
          <w:p>
            <w:pPr>
              <w:tabs>
                <w:tab w:val="left" w:pos="7395"/>
              </w:tabs>
              <w:spacing w:beforeLines="50" w:after="120" w:line="600" w:lineRule="exact"/>
              <w:jc w:val="center"/>
              <w:rPr>
                <w:rFonts w:asci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sz w:val="28"/>
                <w:szCs w:val="28"/>
              </w:rPr>
              <w:t>操 准</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组员</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预案编制</w:t>
            </w:r>
          </w:p>
        </w:tc>
        <w:tc>
          <w:tcPr>
            <w:tcW w:w="3011" w:type="dxa"/>
            <w:vAlign w:val="center"/>
          </w:tcPr>
          <w:p>
            <w:pPr>
              <w:tabs>
                <w:tab w:val="left" w:pos="7395"/>
              </w:tabs>
              <w:spacing w:beforeLines="50" w:after="120" w:line="600" w:lineRule="exact"/>
              <w:jc w:val="center"/>
              <w:rPr>
                <w:rFonts w:asci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sz w:val="28"/>
                <w:szCs w:val="28"/>
              </w:rPr>
              <w:t>陶建华</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组员</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风险分析</w:t>
            </w:r>
          </w:p>
        </w:tc>
        <w:tc>
          <w:tcPr>
            <w:tcW w:w="3011" w:type="dxa"/>
            <w:vAlign w:val="center"/>
          </w:tcPr>
          <w:p>
            <w:pPr>
              <w:tabs>
                <w:tab w:val="left" w:pos="7395"/>
              </w:tabs>
              <w:spacing w:beforeLines="50" w:after="120" w:line="600" w:lineRule="exact"/>
              <w:jc w:val="center"/>
              <w:rPr>
                <w:rFonts w:asci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sz w:val="28"/>
                <w:szCs w:val="28"/>
              </w:rPr>
              <w:t>向广川</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组员</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风险分析</w:t>
            </w:r>
          </w:p>
        </w:tc>
        <w:tc>
          <w:tcPr>
            <w:tcW w:w="3011" w:type="dxa"/>
            <w:vAlign w:val="center"/>
          </w:tcPr>
          <w:p>
            <w:pPr>
              <w:tabs>
                <w:tab w:val="left" w:pos="7395"/>
              </w:tabs>
              <w:spacing w:beforeLines="50" w:after="120" w:line="600" w:lineRule="exact"/>
              <w:jc w:val="center"/>
              <w:rPr>
                <w:rFonts w:asci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s="仿宋_GB2312"/>
                <w:sz w:val="28"/>
                <w:szCs w:val="28"/>
              </w:rPr>
              <w:t>张平生</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组员</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预案整理收集</w:t>
            </w:r>
          </w:p>
        </w:tc>
        <w:tc>
          <w:tcPr>
            <w:tcW w:w="3011" w:type="dxa"/>
            <w:vAlign w:val="center"/>
          </w:tcPr>
          <w:p>
            <w:pPr>
              <w:tabs>
                <w:tab w:val="left" w:pos="7395"/>
              </w:tabs>
              <w:spacing w:beforeLines="50" w:after="120" w:line="600" w:lineRule="exact"/>
              <w:jc w:val="center"/>
              <w:rPr>
                <w:rFonts w:ascii="宋体"/>
                <w:color w:val="000000"/>
                <w:sz w:val="28"/>
                <w:szCs w:val="28"/>
              </w:rPr>
            </w:pPr>
          </w:p>
        </w:tc>
      </w:tr>
    </w:tbl>
    <w:p>
      <w:pPr>
        <w:adjustRightInd w:val="0"/>
        <w:snapToGrid w:val="0"/>
        <w:spacing w:line="500" w:lineRule="exact"/>
        <w:jc w:val="center"/>
        <w:rPr>
          <w:rFonts w:ascii="宋体"/>
          <w:b/>
          <w:sz w:val="28"/>
          <w:szCs w:val="28"/>
        </w:rPr>
      </w:pPr>
      <w:r>
        <w:rPr>
          <w:rFonts w:hint="eastAsia" w:ascii="宋体" w:hAnsi="宋体"/>
          <w:b/>
          <w:sz w:val="28"/>
          <w:szCs w:val="28"/>
        </w:rPr>
        <w:t>应急预案审议小组</w:t>
      </w:r>
    </w:p>
    <w:tbl>
      <w:tblPr>
        <w:tblStyle w:val="54"/>
        <w:tblW w:w="9264"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0"/>
        <w:gridCol w:w="2693"/>
        <w:gridCol w:w="2126"/>
        <w:gridCol w:w="28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60" w:type="dxa"/>
            <w:vAlign w:val="center"/>
          </w:tcPr>
          <w:p>
            <w:pPr>
              <w:adjustRightInd w:val="0"/>
              <w:snapToGrid w:val="0"/>
              <w:spacing w:line="500" w:lineRule="exact"/>
              <w:jc w:val="center"/>
              <w:rPr>
                <w:rFonts w:ascii="宋体"/>
                <w:b/>
                <w:sz w:val="28"/>
                <w:szCs w:val="28"/>
              </w:rPr>
            </w:pPr>
            <w:r>
              <w:rPr>
                <w:rFonts w:hint="eastAsia" w:ascii="宋体" w:hAnsi="宋体"/>
                <w:b/>
                <w:sz w:val="28"/>
                <w:szCs w:val="28"/>
              </w:rPr>
              <w:t>姓名</w:t>
            </w:r>
          </w:p>
        </w:tc>
        <w:tc>
          <w:tcPr>
            <w:tcW w:w="2693" w:type="dxa"/>
            <w:vAlign w:val="center"/>
          </w:tcPr>
          <w:p>
            <w:pPr>
              <w:adjustRightInd w:val="0"/>
              <w:snapToGrid w:val="0"/>
              <w:spacing w:line="500" w:lineRule="exact"/>
              <w:jc w:val="center"/>
              <w:rPr>
                <w:rFonts w:ascii="宋体"/>
                <w:b/>
                <w:sz w:val="28"/>
                <w:szCs w:val="28"/>
              </w:rPr>
            </w:pPr>
            <w:r>
              <w:rPr>
                <w:rFonts w:hint="eastAsia" w:ascii="宋体" w:hAnsi="宋体"/>
                <w:b/>
                <w:sz w:val="28"/>
                <w:szCs w:val="28"/>
              </w:rPr>
              <w:t>职务</w:t>
            </w:r>
          </w:p>
        </w:tc>
        <w:tc>
          <w:tcPr>
            <w:tcW w:w="2126" w:type="dxa"/>
          </w:tcPr>
          <w:p>
            <w:pPr>
              <w:adjustRightInd w:val="0"/>
              <w:snapToGrid w:val="0"/>
              <w:spacing w:line="500" w:lineRule="exact"/>
              <w:jc w:val="center"/>
              <w:rPr>
                <w:rFonts w:ascii="宋体"/>
                <w:b/>
                <w:sz w:val="28"/>
                <w:szCs w:val="28"/>
              </w:rPr>
            </w:pPr>
            <w:r>
              <w:rPr>
                <w:rFonts w:hint="eastAsia" w:ascii="宋体" w:hAnsi="宋体"/>
                <w:b/>
                <w:sz w:val="28"/>
                <w:szCs w:val="28"/>
              </w:rPr>
              <w:t>工作职责</w:t>
            </w:r>
          </w:p>
        </w:tc>
        <w:tc>
          <w:tcPr>
            <w:tcW w:w="2885" w:type="dxa"/>
            <w:vAlign w:val="center"/>
          </w:tcPr>
          <w:p>
            <w:pPr>
              <w:adjustRightInd w:val="0"/>
              <w:snapToGrid w:val="0"/>
              <w:spacing w:line="500" w:lineRule="exact"/>
              <w:jc w:val="center"/>
              <w:rPr>
                <w:rFonts w:ascii="宋体"/>
                <w:b/>
                <w:sz w:val="28"/>
                <w:szCs w:val="28"/>
              </w:rPr>
            </w:pPr>
            <w:r>
              <w:rPr>
                <w:rFonts w:hint="eastAsia" w:ascii="宋体" w:hAnsi="宋体"/>
                <w:b/>
                <w:sz w:val="28"/>
                <w:szCs w:val="28"/>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宋体"/>
                <w:b/>
                <w:sz w:val="28"/>
                <w:szCs w:val="28"/>
              </w:rPr>
            </w:pPr>
            <w:r>
              <w:rPr>
                <w:rFonts w:hint="eastAsia" w:ascii="宋体" w:hAnsi="宋体"/>
                <w:sz w:val="28"/>
                <w:szCs w:val="28"/>
              </w:rPr>
              <w:t>况敬良</w:t>
            </w:r>
          </w:p>
        </w:tc>
        <w:tc>
          <w:tcPr>
            <w:tcW w:w="2693" w:type="dxa"/>
            <w:vAlign w:val="center"/>
          </w:tcPr>
          <w:p>
            <w:pPr>
              <w:adjustRightInd w:val="0"/>
              <w:snapToGrid w:val="0"/>
              <w:spacing w:line="500" w:lineRule="exact"/>
              <w:jc w:val="center"/>
              <w:rPr>
                <w:rFonts w:ascii="宋体"/>
                <w:sz w:val="28"/>
                <w:szCs w:val="28"/>
              </w:rPr>
            </w:pPr>
            <w:r>
              <w:rPr>
                <w:rFonts w:hint="eastAsia" w:ascii="宋体" w:hAnsi="宋体"/>
                <w:sz w:val="28"/>
                <w:szCs w:val="28"/>
              </w:rPr>
              <w:t>组长</w:t>
            </w:r>
          </w:p>
        </w:tc>
        <w:tc>
          <w:tcPr>
            <w:tcW w:w="2126" w:type="dxa"/>
          </w:tcPr>
          <w:p>
            <w:pPr>
              <w:adjustRightInd w:val="0"/>
              <w:snapToGrid w:val="0"/>
              <w:spacing w:line="500" w:lineRule="exact"/>
              <w:jc w:val="center"/>
              <w:rPr>
                <w:rFonts w:ascii="宋体"/>
                <w:sz w:val="28"/>
                <w:szCs w:val="28"/>
              </w:rPr>
            </w:pPr>
            <w:r>
              <w:rPr>
                <w:rFonts w:hint="eastAsia" w:ascii="宋体" w:hAnsi="宋体"/>
                <w:sz w:val="28"/>
                <w:szCs w:val="28"/>
              </w:rPr>
              <w:t>批准</w:t>
            </w:r>
          </w:p>
        </w:tc>
        <w:tc>
          <w:tcPr>
            <w:tcW w:w="2885" w:type="dxa"/>
            <w:vAlign w:val="center"/>
          </w:tcPr>
          <w:p>
            <w:pPr>
              <w:adjustRightInd w:val="0"/>
              <w:snapToGrid w:val="0"/>
              <w:spacing w:line="500" w:lineRule="exact"/>
              <w:jc w:val="center"/>
              <w:rPr>
                <w:rFonts w:ascii="宋体"/>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宋体"/>
                <w:b/>
                <w:sz w:val="28"/>
                <w:szCs w:val="28"/>
              </w:rPr>
            </w:pPr>
            <w:r>
              <w:rPr>
                <w:rFonts w:hint="eastAsia" w:ascii="宋体" w:hAnsi="宋体" w:cs="仿宋_GB2312"/>
                <w:sz w:val="28"/>
                <w:szCs w:val="28"/>
              </w:rPr>
              <w:t>梅杰</w:t>
            </w:r>
          </w:p>
        </w:tc>
        <w:tc>
          <w:tcPr>
            <w:tcW w:w="2693" w:type="dxa"/>
            <w:vAlign w:val="center"/>
          </w:tcPr>
          <w:p>
            <w:pPr>
              <w:adjustRightInd w:val="0"/>
              <w:snapToGrid w:val="0"/>
              <w:spacing w:line="500" w:lineRule="exact"/>
              <w:jc w:val="center"/>
              <w:rPr>
                <w:rFonts w:ascii="宋体"/>
                <w:sz w:val="28"/>
                <w:szCs w:val="28"/>
              </w:rPr>
            </w:pPr>
            <w:r>
              <w:rPr>
                <w:rFonts w:hint="eastAsia" w:ascii="宋体" w:hAnsi="宋体"/>
                <w:sz w:val="28"/>
                <w:szCs w:val="28"/>
              </w:rPr>
              <w:t>组员</w:t>
            </w:r>
          </w:p>
        </w:tc>
        <w:tc>
          <w:tcPr>
            <w:tcW w:w="2126" w:type="dxa"/>
            <w:vAlign w:val="center"/>
          </w:tcPr>
          <w:p>
            <w:pPr>
              <w:adjustRightInd w:val="0"/>
              <w:snapToGrid w:val="0"/>
              <w:spacing w:line="500" w:lineRule="exact"/>
              <w:jc w:val="center"/>
              <w:rPr>
                <w:rFonts w:ascii="宋体"/>
                <w:sz w:val="28"/>
                <w:szCs w:val="28"/>
              </w:rPr>
            </w:pPr>
            <w:r>
              <w:rPr>
                <w:rFonts w:hint="eastAsia" w:ascii="宋体" w:hAnsi="宋体"/>
                <w:sz w:val="28"/>
                <w:szCs w:val="28"/>
              </w:rPr>
              <w:t>可行性审核</w:t>
            </w:r>
          </w:p>
        </w:tc>
        <w:tc>
          <w:tcPr>
            <w:tcW w:w="2885" w:type="dxa"/>
            <w:vAlign w:val="center"/>
          </w:tcPr>
          <w:p>
            <w:pPr>
              <w:adjustRightInd w:val="0"/>
              <w:snapToGrid w:val="0"/>
              <w:spacing w:line="500" w:lineRule="exact"/>
              <w:jc w:val="center"/>
              <w:rPr>
                <w:rFonts w:ascii="宋体"/>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宋体"/>
                <w:b/>
                <w:sz w:val="28"/>
                <w:szCs w:val="28"/>
              </w:rPr>
            </w:pPr>
            <w:r>
              <w:rPr>
                <w:rFonts w:hint="eastAsia" w:ascii="宋体" w:hAnsi="宋体" w:cs="仿宋_GB2312"/>
                <w:sz w:val="28"/>
                <w:szCs w:val="28"/>
              </w:rPr>
              <w:t>刘江义</w:t>
            </w:r>
          </w:p>
        </w:tc>
        <w:tc>
          <w:tcPr>
            <w:tcW w:w="2693" w:type="dxa"/>
            <w:vAlign w:val="center"/>
          </w:tcPr>
          <w:p>
            <w:pPr>
              <w:adjustRightInd w:val="0"/>
              <w:snapToGrid w:val="0"/>
              <w:spacing w:line="500" w:lineRule="exact"/>
              <w:jc w:val="center"/>
              <w:rPr>
                <w:rFonts w:ascii="宋体"/>
                <w:sz w:val="28"/>
                <w:szCs w:val="28"/>
              </w:rPr>
            </w:pPr>
            <w:r>
              <w:rPr>
                <w:rFonts w:hint="eastAsia" w:ascii="宋体" w:hAnsi="宋体"/>
                <w:sz w:val="28"/>
                <w:szCs w:val="28"/>
              </w:rPr>
              <w:t>组员</w:t>
            </w:r>
          </w:p>
        </w:tc>
        <w:tc>
          <w:tcPr>
            <w:tcW w:w="2126" w:type="dxa"/>
            <w:vAlign w:val="center"/>
          </w:tcPr>
          <w:p>
            <w:pPr>
              <w:adjustRightInd w:val="0"/>
              <w:snapToGrid w:val="0"/>
              <w:spacing w:line="500" w:lineRule="exact"/>
              <w:jc w:val="center"/>
              <w:rPr>
                <w:rFonts w:ascii="宋体"/>
                <w:sz w:val="28"/>
                <w:szCs w:val="28"/>
              </w:rPr>
            </w:pPr>
            <w:r>
              <w:rPr>
                <w:rFonts w:hint="eastAsia" w:ascii="宋体" w:hAnsi="宋体"/>
                <w:sz w:val="28"/>
                <w:szCs w:val="28"/>
              </w:rPr>
              <w:t>规范性审核</w:t>
            </w:r>
          </w:p>
        </w:tc>
        <w:tc>
          <w:tcPr>
            <w:tcW w:w="2885" w:type="dxa"/>
            <w:vAlign w:val="center"/>
          </w:tcPr>
          <w:p>
            <w:pPr>
              <w:adjustRightInd w:val="0"/>
              <w:snapToGrid w:val="0"/>
              <w:spacing w:line="500" w:lineRule="exact"/>
              <w:jc w:val="center"/>
              <w:rPr>
                <w:rFonts w:ascii="宋体"/>
                <w:b/>
                <w:sz w:val="28"/>
                <w:szCs w:val="28"/>
              </w:rPr>
            </w:pPr>
          </w:p>
        </w:tc>
      </w:tr>
    </w:tbl>
    <w:p>
      <w:pPr>
        <w:rPr>
          <w:rFonts w:ascii="宋体"/>
          <w:color w:val="000000"/>
          <w:sz w:val="24"/>
          <w:szCs w:val="24"/>
        </w:rPr>
        <w:sectPr>
          <w:pgSz w:w="11906" w:h="16838"/>
          <w:pgMar w:top="1418" w:right="1418" w:bottom="1418" w:left="1474" w:header="709" w:footer="680" w:gutter="0"/>
          <w:pgNumType w:start="1"/>
          <w:cols w:space="720" w:num="1"/>
          <w:docGrid w:linePitch="312" w:charSpace="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2"/>
        <w:spacing w:before="120" w:after="120" w:line="360" w:lineRule="auto"/>
        <w:jc w:val="center"/>
        <w:rPr>
          <w:rFonts w:asciiTheme="minorEastAsia" w:hAnsiTheme="minorEastAsia" w:eastAsiaTheme="minorEastAsia"/>
          <w:b/>
          <w:color w:val="000000"/>
          <w:sz w:val="32"/>
          <w:szCs w:val="28"/>
        </w:rPr>
      </w:pPr>
      <w:bookmarkStart w:id="18" w:name="_Toc415254529"/>
      <w:bookmarkStart w:id="19" w:name="_Toc304964429"/>
      <w:bookmarkStart w:id="20" w:name="_Toc336326836"/>
      <w:bookmarkStart w:id="21" w:name="_Toc387131487"/>
      <w:bookmarkStart w:id="22" w:name="_Toc336327114"/>
      <w:bookmarkStart w:id="23" w:name="_Toc17381"/>
      <w:bookmarkStart w:id="24" w:name="_Toc387131744"/>
      <w:r>
        <w:rPr>
          <w:rFonts w:hint="eastAsia" w:asciiTheme="minorEastAsia" w:hAnsiTheme="minorEastAsia" w:eastAsiaTheme="minorEastAsia"/>
          <w:b/>
          <w:color w:val="000000"/>
          <w:sz w:val="32"/>
        </w:rPr>
        <w:t>1总则</w:t>
      </w:r>
      <w:bookmarkEnd w:id="18"/>
      <w:bookmarkEnd w:id="19"/>
      <w:bookmarkEnd w:id="20"/>
      <w:bookmarkEnd w:id="21"/>
      <w:bookmarkEnd w:id="22"/>
      <w:bookmarkEnd w:id="23"/>
      <w:bookmarkEnd w:id="24"/>
    </w:p>
    <w:p>
      <w:pPr>
        <w:adjustRightInd w:val="0"/>
        <w:snapToGrid w:val="0"/>
        <w:spacing w:line="460" w:lineRule="exact"/>
        <w:outlineLvl w:val="1"/>
        <w:rPr>
          <w:b/>
          <w:color w:val="000000"/>
          <w:sz w:val="26"/>
          <w:szCs w:val="26"/>
        </w:rPr>
      </w:pPr>
      <w:bookmarkStart w:id="25" w:name="_Toc179794531"/>
      <w:bookmarkStart w:id="26" w:name="_Toc262040263"/>
      <w:bookmarkStart w:id="27" w:name="_Toc196018528"/>
      <w:bookmarkStart w:id="28" w:name="_Toc304963587"/>
      <w:bookmarkStart w:id="29" w:name="_Toc336326837"/>
      <w:bookmarkStart w:id="30" w:name="_Toc196018419"/>
      <w:bookmarkStart w:id="31" w:name="_Toc229283959"/>
      <w:bookmarkStart w:id="32" w:name="_Toc184808750"/>
      <w:bookmarkStart w:id="33" w:name="_Toc184809537"/>
      <w:bookmarkStart w:id="34" w:name="_Toc1792"/>
      <w:bookmarkStart w:id="35" w:name="_Toc387131745"/>
      <w:bookmarkStart w:id="36" w:name="_Toc183339486"/>
      <w:bookmarkStart w:id="37" w:name="_Toc304964430"/>
      <w:bookmarkStart w:id="38" w:name="_Toc304833220"/>
      <w:bookmarkStart w:id="39" w:name="_Toc387131414"/>
      <w:bookmarkStart w:id="40" w:name="_Toc262050853"/>
      <w:bookmarkStart w:id="41" w:name="_Toc196018624"/>
      <w:bookmarkStart w:id="42" w:name="_Toc336327115"/>
      <w:bookmarkStart w:id="43" w:name="_Toc415254530"/>
      <w:bookmarkStart w:id="44" w:name="_Toc198355308"/>
      <w:bookmarkStart w:id="45" w:name="_Toc198007323"/>
      <w:bookmarkStart w:id="46" w:name="_Toc304962943"/>
      <w:bookmarkStart w:id="47" w:name="_Toc262051103"/>
      <w:bookmarkStart w:id="48" w:name="_Toc183339210"/>
      <w:bookmarkStart w:id="49" w:name="_Toc197251328"/>
      <w:bookmarkStart w:id="50" w:name="_Toc185670970"/>
      <w:bookmarkStart w:id="51" w:name="_Toc387131488"/>
      <w:bookmarkStart w:id="52" w:name="_Toc262051524"/>
      <w:r>
        <w:rPr>
          <w:rFonts w:hint="eastAsia"/>
          <w:b/>
          <w:color w:val="000000"/>
          <w:sz w:val="26"/>
          <w:szCs w:val="26"/>
        </w:rPr>
        <w:t>1.1编制目的</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bookmarkStart w:id="53" w:name="_Toc304963588"/>
      <w:bookmarkStart w:id="54" w:name="_Toc198007324"/>
      <w:bookmarkStart w:id="55" w:name="_Toc304962944"/>
      <w:bookmarkStart w:id="56" w:name="_Toc185670971"/>
      <w:bookmarkStart w:id="57" w:name="_Toc304833221"/>
      <w:bookmarkStart w:id="58" w:name="_Toc262051525"/>
      <w:bookmarkStart w:id="59" w:name="_Toc196018529"/>
      <w:bookmarkStart w:id="60" w:name="_Toc336326838"/>
      <w:bookmarkStart w:id="61" w:name="_Toc262051104"/>
      <w:bookmarkStart w:id="62" w:name="_Toc304964431"/>
      <w:bookmarkStart w:id="63" w:name="_Toc387131415"/>
      <w:bookmarkStart w:id="64" w:name="_Toc198355309"/>
      <w:bookmarkStart w:id="65" w:name="_Toc262050854"/>
      <w:bookmarkStart w:id="66" w:name="_Toc196018420"/>
      <w:bookmarkStart w:id="67" w:name="_Toc387131489"/>
      <w:bookmarkStart w:id="68" w:name="_Toc229283960"/>
      <w:bookmarkStart w:id="69" w:name="_Toc336327116"/>
      <w:bookmarkStart w:id="70" w:name="_Toc183339211"/>
      <w:bookmarkStart w:id="71" w:name="_Toc179794532"/>
      <w:bookmarkStart w:id="72" w:name="_Toc183339487"/>
      <w:bookmarkStart w:id="73" w:name="_Toc387131746"/>
      <w:bookmarkStart w:id="74" w:name="_Toc197251329"/>
      <w:bookmarkStart w:id="75" w:name="_Toc262040264"/>
      <w:bookmarkStart w:id="76" w:name="_Toc184808751"/>
      <w:bookmarkStart w:id="77" w:name="_Toc196018625"/>
      <w:bookmarkStart w:id="78" w:name="_Toc184809538"/>
      <w:r>
        <w:rPr>
          <w:rFonts w:hint="eastAsia" w:asciiTheme="minorEastAsia" w:hAnsiTheme="minorEastAsia" w:eastAsiaTheme="minorEastAsia"/>
          <w:color w:val="000000"/>
          <w:sz w:val="24"/>
          <w:szCs w:val="24"/>
        </w:rPr>
        <w:t>为进一步增强应对和防范事故风险和事故灾难的能力，在事故、事件发生时，能以最快的速度、最大的效能，有序地实施救援，最大限度地减少事故灾难造成的人员伤亡和财产损失。本着“预防为先、自救为主、统一指挥、分工负责”的原则，根据《中华人民共和国安全生产法》、《中华人民共和国突发事件应对法》、《生产安全事故应急预案管理办法》等有关法律、法规相关要求，结合我公司实际情况，特制订本预案。</w:t>
      </w:r>
    </w:p>
    <w:p>
      <w:pPr>
        <w:adjustRightInd w:val="0"/>
        <w:snapToGrid w:val="0"/>
        <w:spacing w:line="460" w:lineRule="exact"/>
        <w:outlineLvl w:val="1"/>
        <w:rPr>
          <w:b/>
          <w:color w:val="000000"/>
          <w:sz w:val="26"/>
          <w:szCs w:val="26"/>
        </w:rPr>
      </w:pPr>
      <w:bookmarkStart w:id="79" w:name="_Toc415254531"/>
      <w:bookmarkStart w:id="80" w:name="_Toc17543"/>
      <w:r>
        <w:rPr>
          <w:rFonts w:hint="eastAsia"/>
          <w:b/>
          <w:color w:val="000000"/>
          <w:sz w:val="26"/>
          <w:szCs w:val="26"/>
        </w:rPr>
        <w:t>1.2编制依据</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（1）《中华人民共和国环境保护法》（中华人民共和国主席令第9号）；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（2）《中华人民共和国大气污染防治法》（中华人民共和国主席令第32号）；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（3）《中华人民共和国水污染防治法》（中华人民共和国主席令第87号）；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（4）《中华人民共和国固体废物污染环境防治法》（中华人民共和国主席令第5号2005年4月1日）；</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（5）《中华人民共和国安全生产法》（中华人民共和国主席令第13号）；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（6）《中华人民共和国消防法》（中华人民共和国主席令第6号）；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（7）《中华人民共和国职业病防治法》（中华人民共和国主席令第52号）；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（8）《国务院办公厅转发安全监管总局等部门关于加强企业应急管理工作意见的通知》（国办发〔2007〕13号）；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（9）《国务院办公厅关于加强基层应急管理工作意见》（国办发〔2007〕52号）；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（10）《国务院办公厅关于加强基层应急管理工作意见》(AQ/T9002-2006)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（11）《国家突发公共事件总体应急预案》；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（12）《国家突发环境事件应急预案》；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（13）《关于防范环境风险加强环境影响评价管理的通知》（环发〔2005〕152号）；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（14）《关于督促化工企业切实做好几项安全环保重点工作的紧急通知》（安监总危化〔2006〕10号）；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（15）《危险化学品名录》（2016版）；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（16）《剧毒化学品名录》（国家安全生产监督管理局等8部门公告2003第2号）；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（17）《国家危险废物名录》（环境保护部令 第39号 ）；</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（18）《石油化工企业环境应急预案编制指南》（环办[2010]10号）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（19）《危险化学品重大危险源辨识》（GB18218-2014）；</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（20）《建设项目环境风险评价技术导则》（HJ/T169-2004）；</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（21）《建设项目环境影响评价分类管理名录》（中华人民共和国环境保护部令第33号）；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（22）《地表水环境质量标准》（GB3838-2002）；</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（23）《环境空气质量标准》（GB3095-2012）；</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（24）《重庆市大气污染物综合排放标准》（DB 50/418-2016）；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（25）《污水综合排放标准》（GB8978-1996）；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（26）《工作场所有害因素职业接触限值化学有害因素》（GBZ2.1-2007）；</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（27）《工作场所有害因素职业接触限值物理因素》（GBZ2.2-2007）；</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（28）《恶臭污染物排放标准》（GB14554－93）；</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（29）《工业企业设计卫生标准》（GBZ1-2010）；</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（30）《重庆三峡库区流域水环境突发公共事件应急预案》；</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（31）《重庆市环境保护系统突发环境事件应急处理暂行办法》；</w:t>
      </w:r>
    </w:p>
    <w:p>
      <w:pPr>
        <w:adjustRightInd w:val="0"/>
        <w:snapToGrid w:val="0"/>
        <w:spacing w:line="460" w:lineRule="exact"/>
        <w:ind w:firstLine="480" w:firstLineChars="200"/>
        <w:jc w:val="left"/>
        <w:textAlignment w:val="center"/>
        <w:rPr>
          <w:rFonts w:asciiTheme="minorEastAsia" w:hAnsiTheme="minorEastAsia" w:eastAsiaTheme="minorEastAsia"/>
          <w:b/>
          <w:bCs/>
          <w:sz w:val="32"/>
          <w:szCs w:val="32"/>
        </w:rPr>
      </w:pPr>
      <w:r>
        <w:rPr>
          <w:rFonts w:hint="eastAsia" w:asciiTheme="minorEastAsia" w:hAnsiTheme="minorEastAsia" w:eastAsiaTheme="minorEastAsia"/>
          <w:color w:val="000000"/>
          <w:sz w:val="24"/>
          <w:szCs w:val="24"/>
        </w:rPr>
        <w:t xml:space="preserve">其他相关的法律、法规、规章及公司相关的安评、环评报告等。    </w:t>
      </w:r>
      <w:r>
        <w:rPr>
          <w:rFonts w:hint="eastAsia" w:asciiTheme="minorEastAsia" w:hAnsiTheme="minorEastAsia" w:eastAsiaTheme="minorEastAsia"/>
          <w:b/>
          <w:bCs/>
          <w:sz w:val="32"/>
          <w:szCs w:val="32"/>
        </w:rPr>
        <w:t xml:space="preserve">   </w:t>
      </w:r>
    </w:p>
    <w:p>
      <w:pPr>
        <w:adjustRightInd w:val="0"/>
        <w:snapToGrid w:val="0"/>
        <w:spacing w:line="460" w:lineRule="exact"/>
        <w:outlineLvl w:val="1"/>
        <w:rPr>
          <w:b/>
          <w:color w:val="000000"/>
          <w:sz w:val="26"/>
          <w:szCs w:val="26"/>
        </w:rPr>
      </w:pPr>
      <w:bookmarkStart w:id="81" w:name="_Toc22366"/>
      <w:r>
        <w:rPr>
          <w:rFonts w:hint="eastAsia"/>
          <w:b/>
          <w:color w:val="000000"/>
          <w:sz w:val="26"/>
          <w:szCs w:val="26"/>
        </w:rPr>
        <w:t>1.3 适用范围</w:t>
      </w:r>
      <w:bookmarkEnd w:id="81"/>
    </w:p>
    <w:p>
      <w:pPr>
        <w:spacing w:line="460" w:lineRule="exact"/>
        <w:ind w:firstLine="360" w:firstLineChars="150"/>
        <w:rPr>
          <w:rFonts w:cs="仿宋_GB2312" w:asciiTheme="minorEastAsia" w:hAnsiTheme="minorEastAsia" w:eastAsiaTheme="minorEastAsia"/>
        </w:rPr>
      </w:pPr>
      <w:bookmarkStart w:id="82" w:name="_Toc336327118"/>
      <w:bookmarkStart w:id="83" w:name="_Toc262040266"/>
      <w:bookmarkStart w:id="84" w:name="_Toc262050856"/>
      <w:bookmarkStart w:id="85" w:name="_Toc387131491"/>
      <w:bookmarkStart w:id="86" w:name="_Toc387131417"/>
      <w:bookmarkStart w:id="87" w:name="_Toc198355311"/>
      <w:bookmarkStart w:id="88" w:name="_Toc196018531"/>
      <w:bookmarkStart w:id="89" w:name="_Toc304964433"/>
      <w:bookmarkStart w:id="90" w:name="_Toc184808753"/>
      <w:bookmarkStart w:id="91" w:name="_Toc229283962"/>
      <w:bookmarkStart w:id="92" w:name="_Toc185670973"/>
      <w:bookmarkStart w:id="93" w:name="_Toc198007326"/>
      <w:bookmarkStart w:id="94" w:name="_Toc183339213"/>
      <w:bookmarkStart w:id="95" w:name="_Toc179794534"/>
      <w:bookmarkStart w:id="96" w:name="_Toc262051527"/>
      <w:bookmarkStart w:id="97" w:name="_Toc197251331"/>
      <w:bookmarkStart w:id="98" w:name="_Toc304962946"/>
      <w:bookmarkStart w:id="99" w:name="_Toc304963590"/>
      <w:bookmarkStart w:id="100" w:name="_Toc262051106"/>
      <w:bookmarkStart w:id="101" w:name="_Toc415254532"/>
      <w:bookmarkStart w:id="102" w:name="_Toc304833223"/>
      <w:bookmarkStart w:id="103" w:name="_Toc183339489"/>
      <w:bookmarkStart w:id="104" w:name="_Toc196018422"/>
      <w:bookmarkStart w:id="105" w:name="_Toc196018627"/>
      <w:bookmarkStart w:id="106" w:name="_Toc336326840"/>
      <w:bookmarkStart w:id="107" w:name="_Toc387131748"/>
      <w:bookmarkStart w:id="108" w:name="_Toc184809540"/>
      <w:r>
        <w:rPr>
          <w:rFonts w:hint="eastAsia" w:asciiTheme="minorEastAsia" w:hAnsiTheme="minorEastAsia" w:eastAsiaTheme="minorEastAsia"/>
          <w:color w:val="000000"/>
          <w:sz w:val="24"/>
          <w:szCs w:val="24"/>
        </w:rPr>
        <w:t>本预案适用于</w:t>
      </w:r>
      <w:r>
        <w:rPr>
          <w:rFonts w:hint="eastAsia" w:cs="仿宋_GB2312" w:asciiTheme="minorEastAsia" w:hAnsiTheme="minorEastAsia" w:eastAsiaTheme="minorEastAsia"/>
          <w:sz w:val="24"/>
          <w:szCs w:val="24"/>
        </w:rPr>
        <w:t>重庆市涪陵区拓源污水治理有限公司</w:t>
      </w:r>
      <w:r>
        <w:rPr>
          <w:rFonts w:hint="eastAsia" w:asciiTheme="minorEastAsia" w:hAnsiTheme="minorEastAsia" w:eastAsiaTheme="minorEastAsia"/>
          <w:sz w:val="24"/>
          <w:szCs w:val="24"/>
        </w:rPr>
        <w:t>清溪园区污水处理厂范围内所发生的突发环境事件的</w:t>
      </w:r>
      <w:r>
        <w:rPr>
          <w:rFonts w:hint="eastAsia" w:asciiTheme="minorEastAsia" w:hAnsiTheme="minorEastAsia" w:eastAsiaTheme="minorEastAsia"/>
          <w:bCs/>
          <w:color w:val="000000"/>
          <w:sz w:val="24"/>
          <w:szCs w:val="24"/>
        </w:rPr>
        <w:t>预</w:t>
      </w:r>
      <w:r>
        <w:rPr>
          <w:rFonts w:hint="eastAsia" w:asciiTheme="minorEastAsia" w:hAnsiTheme="minorEastAsia" w:eastAsiaTheme="minorEastAsia"/>
          <w:color w:val="000000"/>
          <w:sz w:val="24"/>
          <w:szCs w:val="24"/>
        </w:rPr>
        <w:t>警、应急处置和救援工作，包括污染物超标排放或者自然灾害、生产安全事故因素，导致有毒有害物质进入大气、土壤、水体等环境介质突然造成或者可能造成环境质量下降，危及公众身体健康和财产安全，或造成生态环境破坏，或者重大社会影响，需要采取紧急措施予以应对的事件。</w:t>
      </w:r>
    </w:p>
    <w:p>
      <w:pPr>
        <w:adjustRightInd w:val="0"/>
        <w:snapToGrid w:val="0"/>
        <w:spacing w:line="460" w:lineRule="exact"/>
        <w:outlineLvl w:val="1"/>
        <w:rPr>
          <w:b/>
          <w:color w:val="000000"/>
          <w:sz w:val="26"/>
          <w:szCs w:val="26"/>
        </w:rPr>
      </w:pPr>
      <w:bookmarkStart w:id="109" w:name="_Toc23753"/>
      <w:r>
        <w:rPr>
          <w:rFonts w:hint="eastAsia"/>
          <w:b/>
          <w:color w:val="000000"/>
          <w:sz w:val="26"/>
          <w:szCs w:val="26"/>
        </w:rPr>
        <w:t>1.4应急预案体系</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bookmarkStart w:id="110" w:name="_Toc196018423"/>
      <w:bookmarkStart w:id="111" w:name="_Toc196018532"/>
      <w:r>
        <w:rPr>
          <w:rFonts w:hint="eastAsia" w:asciiTheme="minorEastAsia" w:hAnsiTheme="minorEastAsia" w:eastAsiaTheme="minorEastAsia"/>
          <w:color w:val="000000"/>
          <w:sz w:val="24"/>
          <w:szCs w:val="24"/>
        </w:rPr>
        <w:t>当厂区风险事故不涉及企业大范围及单位周边，车间能控制事态及有效进行应急处置，按本公司现场处置方案进行处理；</w:t>
      </w:r>
      <w:bookmarkEnd w:id="110"/>
      <w:bookmarkEnd w:id="111"/>
      <w:r>
        <w:rPr>
          <w:rFonts w:hint="eastAsia" w:asciiTheme="minorEastAsia" w:hAnsiTheme="minorEastAsia" w:eastAsiaTheme="minorEastAsia"/>
          <w:color w:val="000000"/>
          <w:sz w:val="24"/>
          <w:szCs w:val="24"/>
        </w:rPr>
        <w:t>当厂区风险已蔓延到事故车间无法控制但未波及单位周边，此时按重庆市涪陵区拓源污水治理有限公司</w:t>
      </w:r>
      <w:r>
        <w:rPr>
          <w:rFonts w:hint="eastAsia" w:asciiTheme="minorEastAsia" w:hAnsiTheme="minorEastAsia" w:eastAsiaTheme="minorEastAsia"/>
          <w:sz w:val="24"/>
          <w:szCs w:val="24"/>
        </w:rPr>
        <w:t>清溪园区</w:t>
      </w:r>
      <w:r>
        <w:rPr>
          <w:rFonts w:hint="eastAsia" w:asciiTheme="minorEastAsia" w:hAnsiTheme="minorEastAsia" w:eastAsiaTheme="minorEastAsia"/>
          <w:color w:val="000000"/>
          <w:sz w:val="24"/>
          <w:szCs w:val="24"/>
        </w:rPr>
        <w:t>污水处理厂综合预案进行处理；当厂区风险波及单位周边，超出本预案处置范围的立即报告上级政府部门启动相应预案。</w:t>
      </w: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p>
    <w:p>
      <w:pPr>
        <w:adjustRightInd w:val="0"/>
        <w:snapToGrid w:val="0"/>
        <w:spacing w:line="460" w:lineRule="exact"/>
        <w:ind w:firstLine="480" w:firstLineChars="200"/>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ind w:firstLine="42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rPr>
        <w:pict>
          <v:rect id="Rectangle 606" o:spid="_x0000_s1027" o:spt="1" style="position:absolute;left:0pt;margin-left:80.95pt;margin-top:-2.05pt;height:34pt;width:270pt;z-index:1024;mso-width-relative:page;mso-height-relative:page;" coordsize="21600,21600">
            <v:path/>
            <v:fill focussize="0,0"/>
            <v:stroke/>
            <v:imagedata o:title=""/>
            <o:lock v:ext="edit"/>
            <v:textbox>
              <w:txbxContent>
                <w:p>
                  <w:pPr>
                    <w:jc w:val="center"/>
                    <w:rPr>
                      <w:rFonts w:ascii="宋体"/>
                      <w:sz w:val="24"/>
                      <w:szCs w:val="24"/>
                    </w:rPr>
                  </w:pPr>
                  <w:r>
                    <w:rPr>
                      <w:rFonts w:hint="eastAsia" w:ascii="宋体" w:hAnsi="宋体"/>
                      <w:sz w:val="24"/>
                      <w:szCs w:val="24"/>
                    </w:rPr>
                    <w:t>涪陵区生产安全事故应急处理预案</w:t>
                  </w:r>
                </w:p>
              </w:txbxContent>
            </v:textbox>
          </v:rect>
        </w:pict>
      </w:r>
    </w:p>
    <w:p>
      <w:pPr>
        <w:spacing w:afterLines="150" w:line="560" w:lineRule="exact"/>
        <w:ind w:firstLine="420" w:firstLineChars="200"/>
        <w:rPr>
          <w:rFonts w:asciiTheme="minorEastAsia" w:hAnsiTheme="minorEastAsia" w:eastAsiaTheme="minorEastAsia"/>
          <w:color w:val="000000"/>
          <w:sz w:val="24"/>
          <w:szCs w:val="24"/>
        </w:rPr>
      </w:pPr>
      <w:r>
        <w:rPr>
          <w:rFonts w:asciiTheme="minorEastAsia" w:hAnsiTheme="minorEastAsia" w:eastAsiaTheme="minorEastAsia"/>
        </w:rPr>
        <w:pict>
          <v:line id="Line 607" o:spid="_x0000_s1028" o:spt="20" style="position:absolute;left:0pt;flip:x y;margin-left:215.35pt;margin-top:9.95pt;height:39pt;width:0pt;z-index:1024;mso-width-relative:page;mso-height-relative:page;" coordsize="21600,21600">
            <v:path arrowok="t"/>
            <v:fill focussize="0,0"/>
            <v:stroke endarrow="block"/>
            <v:imagedata o:title=""/>
            <o:lock v:ext="edit"/>
          </v:line>
        </w:pict>
      </w:r>
    </w:p>
    <w:p>
      <w:pPr>
        <w:spacing w:line="600" w:lineRule="exact"/>
        <w:rPr>
          <w:rFonts w:asciiTheme="minorEastAsia" w:hAnsiTheme="minorEastAsia" w:eastAsiaTheme="minorEastAsia"/>
          <w:color w:val="000000"/>
          <w:sz w:val="24"/>
          <w:szCs w:val="24"/>
        </w:rPr>
      </w:pPr>
      <w:r>
        <w:rPr>
          <w:rFonts w:asciiTheme="minorEastAsia" w:hAnsiTheme="minorEastAsia" w:eastAsiaTheme="minorEastAsia"/>
        </w:rPr>
        <w:pict>
          <v:rect id="Rectangle 605" o:spid="_x0000_s1029" o:spt="1" style="position:absolute;left:0pt;margin-left:69.5pt;margin-top:2.95pt;height:30.15pt;width:291.95pt;z-index:1024;mso-width-relative:page;mso-height-relative:page;" coordsize="21600,21600">
            <v:path/>
            <v:fill focussize="0,0"/>
            <v:stroke/>
            <v:imagedata o:title=""/>
            <o:lock v:ext="edit"/>
            <v:textbox>
              <w:txbxContent>
                <w:p>
                  <w:pPr>
                    <w:jc w:val="center"/>
                    <w:rPr>
                      <w:rFonts w:ascii="宋体"/>
                      <w:sz w:val="24"/>
                      <w:szCs w:val="24"/>
                    </w:rPr>
                  </w:pPr>
                  <w:r>
                    <w:rPr>
                      <w:rFonts w:hint="eastAsia" w:ascii="宋体" w:hAnsi="宋体" w:cs="Arial"/>
                      <w:sz w:val="24"/>
                      <w:szCs w:val="24"/>
                    </w:rPr>
                    <w:t>涪陵清溪工业园区</w:t>
                  </w:r>
                  <w:r>
                    <w:rPr>
                      <w:rFonts w:hint="eastAsia" w:ascii="宋体" w:hAnsi="宋体"/>
                      <w:sz w:val="24"/>
                      <w:szCs w:val="24"/>
                    </w:rPr>
                    <w:t>生产安全事故综合应急预案</w:t>
                  </w:r>
                </w:p>
              </w:txbxContent>
            </v:textbox>
          </v:rect>
        </w:pict>
      </w:r>
    </w:p>
    <w:p>
      <w:pPr>
        <w:spacing w:line="600" w:lineRule="exact"/>
        <w:rPr>
          <w:rFonts w:asciiTheme="minorEastAsia" w:hAnsiTheme="minorEastAsia" w:eastAsiaTheme="minorEastAsia"/>
          <w:color w:val="000000"/>
          <w:sz w:val="24"/>
          <w:szCs w:val="24"/>
        </w:rPr>
      </w:pPr>
      <w:r>
        <w:rPr>
          <w:rFonts w:asciiTheme="minorEastAsia" w:hAnsiTheme="minorEastAsia" w:eastAsiaTheme="minorEastAsia"/>
        </w:rPr>
        <w:pict>
          <v:line id="Line 609" o:spid="_x0000_s1030" o:spt="20" style="position:absolute;left:0pt;flip:y;margin-left:215.35pt;margin-top:3.1pt;height:42.25pt;width:0pt;z-index:1024;mso-width-relative:page;mso-height-relative:page;" coordsize="21600,21600">
            <v:path arrowok="t"/>
            <v:fill focussize="0,0"/>
            <v:stroke endarrow="block"/>
            <v:imagedata o:title=""/>
            <o:lock v:ext="edit"/>
          </v:line>
        </w:pict>
      </w:r>
    </w:p>
    <w:p>
      <w:pPr>
        <w:spacing w:line="600" w:lineRule="exact"/>
        <w:rPr>
          <w:rFonts w:asciiTheme="minorEastAsia" w:hAnsiTheme="minorEastAsia" w:eastAsiaTheme="minorEastAsia"/>
          <w:color w:val="000000"/>
          <w:sz w:val="24"/>
          <w:szCs w:val="24"/>
        </w:rPr>
      </w:pPr>
      <w:r>
        <w:rPr>
          <w:rFonts w:asciiTheme="minorEastAsia" w:hAnsiTheme="minorEastAsia" w:eastAsiaTheme="minorEastAsia"/>
        </w:rPr>
        <w:pict>
          <v:shape id="AutoShape 602" o:spid="_x0000_s1031" o:spt="109" type="#_x0000_t109" style="position:absolute;left:0pt;margin-left:80.6pt;margin-top:20.1pt;height:37.3pt;width:270pt;z-index:1024;mso-width-relative:page;mso-height-relative:page;" coordsize="21600,21600">
            <v:path/>
            <v:fill focussize="0,0"/>
            <v:stroke joinstyle="miter"/>
            <v:imagedata o:title=""/>
            <o:lock v:ext="edit"/>
            <v:textbox>
              <w:txbxContent>
                <w:p>
                  <w:pPr>
                    <w:rPr>
                      <w:rFonts w:ascii="宋体" w:cs="Arial"/>
                      <w:sz w:val="24"/>
                      <w:szCs w:val="24"/>
                    </w:rPr>
                  </w:pPr>
                  <w:r>
                    <w:rPr>
                      <w:rFonts w:hint="eastAsia" w:ascii="仿宋_GB2312" w:hAnsi="宋体" w:cs="仿宋_GB2312"/>
                      <w:sz w:val="24"/>
                      <w:szCs w:val="24"/>
                    </w:rPr>
                    <w:t>重庆市涪陵区拓源污水治理有限公司</w:t>
                  </w:r>
                  <w:r>
                    <w:rPr>
                      <w:rFonts w:hint="eastAsia" w:ascii="宋体" w:hAnsi="宋体"/>
                      <w:sz w:val="24"/>
                      <w:szCs w:val="24"/>
                    </w:rPr>
                    <w:t>清溪园区污水处理厂</w:t>
                  </w:r>
                  <w:r>
                    <w:rPr>
                      <w:rFonts w:hint="eastAsia" w:ascii="宋体" w:hAnsi="宋体" w:cs="Arial"/>
                      <w:sz w:val="24"/>
                      <w:szCs w:val="24"/>
                    </w:rPr>
                    <w:t>生产安全事故综合应急预案</w:t>
                  </w:r>
                </w:p>
              </w:txbxContent>
            </v:textbox>
          </v:shape>
        </w:pict>
      </w:r>
    </w:p>
    <w:p>
      <w:pPr>
        <w:spacing w:beforeLines="50" w:afterLines="50" w:line="560" w:lineRule="exact"/>
        <w:rPr>
          <w:rFonts w:asciiTheme="minorEastAsia" w:hAnsiTheme="minorEastAsia" w:eastAsiaTheme="minorEastAsia"/>
          <w:color w:val="000000"/>
          <w:sz w:val="24"/>
          <w:szCs w:val="24"/>
        </w:rPr>
      </w:pPr>
      <w:r>
        <w:rPr>
          <w:rFonts w:asciiTheme="minorEastAsia" w:hAnsiTheme="minorEastAsia" w:eastAsiaTheme="minorEastAsia"/>
        </w:rPr>
        <w:pict>
          <v:line id="Line 952" o:spid="_x0000_s1032" o:spt="20" style="position:absolute;left:0pt;flip:x y;margin-left:215.35pt;margin-top:26.6pt;height:42.5pt;width:0pt;z-index:1024;mso-width-relative:page;mso-height-relative:page;" coordsize="21600,21600">
            <v:path arrowok="t"/>
            <v:fill focussize="0,0"/>
            <v:stroke endarrow="block"/>
            <v:imagedata o:title=""/>
            <o:lock v:ext="edit"/>
          </v:line>
        </w:pict>
      </w:r>
    </w:p>
    <w:p>
      <w:pPr>
        <w:spacing w:beforeLines="50" w:afterLines="50" w:line="560" w:lineRule="exact"/>
        <w:rPr>
          <w:rFonts w:asciiTheme="minorEastAsia" w:hAnsiTheme="minorEastAsia" w:eastAsiaTheme="minorEastAsia"/>
          <w:color w:val="000000"/>
          <w:sz w:val="24"/>
          <w:szCs w:val="24"/>
        </w:rPr>
      </w:pPr>
      <w:r>
        <w:rPr>
          <w:rFonts w:asciiTheme="minorEastAsia" w:hAnsiTheme="minorEastAsia" w:eastAsiaTheme="minorEastAsia"/>
        </w:rPr>
        <w:pict>
          <v:shape id="AutoShape 951" o:spid="_x0000_s1033" o:spt="109" type="#_x0000_t109" style="position:absolute;left:0pt;margin-left:199.7pt;margin-top:-66.35pt;height:219.75pt;width:29.75pt;rotation:5898240f;z-index:1024;mso-width-relative:page;mso-height-relative:page;" coordsize="21600,21600">
            <v:path/>
            <v:fill focussize="0,0"/>
            <v:stroke joinstyle="miter"/>
            <v:imagedata o:title=""/>
            <o:lock v:ext="edit"/>
            <v:textbox>
              <w:txbxContent>
                <w:p>
                  <w:pPr>
                    <w:jc w:val="center"/>
                    <w:rPr>
                      <w:rFonts w:ascii="宋体"/>
                      <w:sz w:val="24"/>
                      <w:szCs w:val="24"/>
                    </w:rPr>
                  </w:pPr>
                  <w:r>
                    <w:rPr>
                      <w:rFonts w:hint="eastAsia" w:ascii="宋体" w:hAnsi="宋体"/>
                      <w:sz w:val="24"/>
                      <w:szCs w:val="24"/>
                    </w:rPr>
                    <w:t>现场处置方案</w:t>
                  </w:r>
                </w:p>
              </w:txbxContent>
            </v:textbox>
          </v:shape>
        </w:pict>
      </w:r>
    </w:p>
    <w:p>
      <w:pPr>
        <w:spacing w:beforeLines="50" w:afterLines="50" w:line="560" w:lineRule="exact"/>
        <w:rPr>
          <w:rFonts w:asciiTheme="minorEastAsia" w:hAnsiTheme="minorEastAsia" w:eastAsiaTheme="minorEastAsia"/>
          <w:color w:val="000000"/>
          <w:sz w:val="24"/>
          <w:szCs w:val="24"/>
        </w:rPr>
      </w:pPr>
    </w:p>
    <w:p>
      <w:pPr>
        <w:adjustRightInd w:val="0"/>
        <w:snapToGrid w:val="0"/>
        <w:spacing w:line="440" w:lineRule="exact"/>
        <w:jc w:val="center"/>
        <w:textAlignment w:val="center"/>
        <w:rPr>
          <w:rFonts w:hint="eastAsia" w:asciiTheme="minorEastAsia" w:hAnsiTheme="minorEastAsia" w:eastAsiaTheme="minorEastAsia"/>
          <w:color w:val="000000"/>
          <w:sz w:val="24"/>
          <w:szCs w:val="24"/>
        </w:rPr>
      </w:pPr>
      <w:bookmarkStart w:id="112" w:name="_Toc183339214"/>
      <w:bookmarkStart w:id="113" w:name="_Toc229283963"/>
      <w:bookmarkStart w:id="114" w:name="_Toc197251332"/>
      <w:bookmarkStart w:id="115" w:name="_Toc196018424"/>
      <w:bookmarkStart w:id="116" w:name="_Toc408274426"/>
      <w:bookmarkStart w:id="117" w:name="_Toc184808754"/>
      <w:bookmarkStart w:id="118" w:name="_Toc196018628"/>
      <w:bookmarkStart w:id="119" w:name="_Toc304964434"/>
      <w:bookmarkStart w:id="120" w:name="_Toc387131418"/>
      <w:bookmarkStart w:id="121" w:name="_Toc198007327"/>
      <w:bookmarkStart w:id="122" w:name="_Toc196018533"/>
      <w:bookmarkStart w:id="123" w:name="_Toc336326841"/>
      <w:bookmarkStart w:id="124" w:name="_Toc304962947"/>
      <w:bookmarkStart w:id="125" w:name="_Toc6123"/>
      <w:bookmarkStart w:id="126" w:name="_Toc262040267"/>
      <w:bookmarkStart w:id="127" w:name="_Toc262051528"/>
      <w:bookmarkStart w:id="128" w:name="_Toc387131749"/>
      <w:bookmarkStart w:id="129" w:name="_Toc262051107"/>
      <w:bookmarkStart w:id="130" w:name="_Toc179794535"/>
      <w:bookmarkStart w:id="131" w:name="_Toc183339490"/>
      <w:bookmarkStart w:id="132" w:name="_Toc304833224"/>
      <w:bookmarkStart w:id="133" w:name="_Toc415254533"/>
      <w:bookmarkStart w:id="134" w:name="_Toc184809541"/>
      <w:bookmarkStart w:id="135" w:name="_Toc185670974"/>
      <w:bookmarkStart w:id="136" w:name="_Toc304963591"/>
      <w:bookmarkStart w:id="137" w:name="_Toc387131492"/>
      <w:bookmarkStart w:id="138" w:name="_Toc198355312"/>
      <w:bookmarkStart w:id="139" w:name="_Toc336327119"/>
      <w:bookmarkStart w:id="140" w:name="_Toc262050857"/>
      <w:r>
        <w:rPr>
          <w:rFonts w:hint="eastAsia" w:asciiTheme="minorEastAsia" w:hAnsiTheme="minorEastAsia" w:eastAsiaTheme="minorEastAsia"/>
          <w:color w:val="000000"/>
          <w:sz w:val="24"/>
          <w:szCs w:val="24"/>
        </w:rPr>
        <w:t>图</w:t>
      </w:r>
      <w:r>
        <w:rPr>
          <w:rFonts w:asciiTheme="minorEastAsia" w:hAnsiTheme="minorEastAsia" w:eastAsiaTheme="minorEastAsia"/>
          <w:color w:val="000000"/>
          <w:sz w:val="24"/>
          <w:szCs w:val="24"/>
        </w:rPr>
        <w:t xml:space="preserve">1-1 </w:t>
      </w:r>
      <w:r>
        <w:rPr>
          <w:rFonts w:hint="eastAsia" w:asciiTheme="minorEastAsia" w:hAnsiTheme="minorEastAsia" w:eastAsiaTheme="minorEastAsia"/>
          <w:color w:val="000000"/>
          <w:sz w:val="24"/>
          <w:szCs w:val="24"/>
        </w:rPr>
        <w:t>应急预案体系图</w:t>
      </w:r>
    </w:p>
    <w:p>
      <w:pPr>
        <w:adjustRightInd w:val="0"/>
        <w:snapToGrid w:val="0"/>
        <w:spacing w:line="460" w:lineRule="exact"/>
        <w:outlineLvl w:val="1"/>
        <w:rPr>
          <w:rFonts w:hint="eastAsia"/>
          <w:b/>
          <w:color w:val="000000"/>
          <w:sz w:val="26"/>
          <w:szCs w:val="26"/>
        </w:rPr>
      </w:pPr>
      <w:bookmarkStart w:id="141" w:name="_Toc29219"/>
      <w:r>
        <w:rPr>
          <w:rFonts w:hint="eastAsia"/>
          <w:b/>
          <w:color w:val="000000"/>
          <w:sz w:val="26"/>
          <w:szCs w:val="26"/>
        </w:rPr>
        <w:t>1.5应急工作原则</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Start w:id="142" w:name="_Toc197251333"/>
      <w:bookmarkStart w:id="143" w:name="_Toc196018534"/>
      <w:bookmarkStart w:id="144" w:name="_Toc415254534"/>
      <w:bookmarkStart w:id="145" w:name="_Toc336326842"/>
      <w:bookmarkStart w:id="146" w:name="_Toc196018425"/>
      <w:bookmarkStart w:id="147" w:name="_Toc304833225"/>
      <w:bookmarkStart w:id="148" w:name="_Toc304962948"/>
      <w:bookmarkStart w:id="149" w:name="_Toc304964435"/>
      <w:bookmarkStart w:id="150" w:name="_Toc262051529"/>
      <w:bookmarkStart w:id="151" w:name="_Toc387131750"/>
      <w:bookmarkStart w:id="152" w:name="_Toc336327120"/>
      <w:bookmarkStart w:id="153" w:name="_Toc229283964"/>
      <w:bookmarkStart w:id="154" w:name="_Toc387131493"/>
      <w:bookmarkStart w:id="155" w:name="_Toc198007328"/>
      <w:bookmarkStart w:id="156" w:name="_Toc304963592"/>
      <w:bookmarkStart w:id="157" w:name="_Toc262050858"/>
      <w:bookmarkStart w:id="158" w:name="_Toc196018629"/>
      <w:bookmarkStart w:id="159" w:name="_Toc408274427"/>
      <w:bookmarkStart w:id="160" w:name="_Toc183339215"/>
      <w:bookmarkStart w:id="161" w:name="_Toc184808755"/>
      <w:bookmarkStart w:id="162" w:name="_Toc184809542"/>
      <w:bookmarkStart w:id="163" w:name="_Toc198355313"/>
      <w:bookmarkStart w:id="164" w:name="_Toc387131419"/>
      <w:bookmarkStart w:id="165" w:name="_Toc183339491"/>
      <w:bookmarkStart w:id="166" w:name="_Toc262040268"/>
      <w:bookmarkStart w:id="167" w:name="_Toc185670975"/>
      <w:bookmarkStart w:id="168" w:name="_Toc262051108"/>
    </w:p>
    <w:p>
      <w:pPr>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本着实事求是、切实可行的方针，始终贯彻如下原则：</w:t>
      </w:r>
    </w:p>
    <w:p>
      <w:pPr>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）以人为本、安全第一。</w:t>
      </w:r>
    </w:p>
    <w:p>
      <w:pPr>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把保障员工的身体健康、生命安全作为首要任务。切实加强应急救援人员的安全防护，充分发挥专业救援力量的骨干作用。</w:t>
      </w:r>
    </w:p>
    <w:p>
      <w:pPr>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）环境优先原则。</w:t>
      </w:r>
    </w:p>
    <w:p>
      <w:pPr>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发生突发环境事件后，采取的应急措施行动中要体现环境重于财产的原则，优先考虑对环境的保护和减少环境影响的紧急措施。</w:t>
      </w:r>
    </w:p>
    <w:p>
      <w:pPr>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）先期处置原则。</w:t>
      </w:r>
    </w:p>
    <w:p>
      <w:pPr>
        <w:ind w:firstLine="360" w:firstLineChars="150"/>
        <w:rPr>
          <w:rFonts w:asciiTheme="minorEastAsia" w:hAnsiTheme="minorEastAsia" w:eastAsiaTheme="minorEastAsia"/>
          <w:sz w:val="24"/>
          <w:szCs w:val="24"/>
        </w:rPr>
      </w:pP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一旦发生事故，事故单位应立即启动先期处置应急预案，迅速采取有效措施，尽可能的控制事态发展，以减少人员伤亡和财产损失。</w:t>
      </w:r>
    </w:p>
    <w:p>
      <w:pPr>
        <w:ind w:firstLine="56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（4）快速响应、科学应急。</w:t>
      </w:r>
    </w:p>
    <w:p>
      <w:pPr>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发生突发环境事件后，有应急指挥中心全面负责内部的统一指挥、统一调度，按照事故内型进行针对性的处置，并配合、服从上级有关部门的统一指挥，按照各自职责，密切协作，保证处置工作的科学性、统一性和高效性。</w:t>
      </w:r>
    </w:p>
    <w:p>
      <w:pPr>
        <w:ind w:firstLine="56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（5）预防为主，平战结合。</w:t>
      </w:r>
    </w:p>
    <w:p>
      <w:pPr>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贯彻落实“安全第一，预防为主，综合治理”的方针，坚持事故应急与预防工作相结合。做好预防、预测、预警和预报工作。加强对环境危险源的监控，实施长效监督管理机制。</w:t>
      </w:r>
    </w:p>
    <w:p>
      <w:pPr>
        <w:autoSpaceDE w:val="0"/>
        <w:autoSpaceDN w:val="0"/>
        <w:adjustRightInd w:val="0"/>
        <w:spacing w:line="460" w:lineRule="exact"/>
        <w:jc w:val="center"/>
        <w:rPr>
          <w:rFonts w:hint="eastAsia" w:cs="仿宋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hint="eastAsia" w:cs="仿宋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hint="eastAsia" w:cs="仿宋_GB2312" w:asciiTheme="minorEastAsia" w:hAnsiTheme="minorEastAsia" w:eastAsiaTheme="minorEastAsia"/>
          <w:b/>
          <w:kern w:val="0"/>
          <w:sz w:val="32"/>
          <w:szCs w:val="32"/>
          <w:lang w:val="zh-CN"/>
        </w:rPr>
      </w:pPr>
    </w:p>
    <w:p>
      <w:pPr>
        <w:pStyle w:val="2"/>
        <w:spacing w:before="120" w:after="120" w:line="360" w:lineRule="auto"/>
        <w:jc w:val="center"/>
        <w:rPr>
          <w:rFonts w:hint="eastAsia" w:asciiTheme="minorEastAsia" w:hAnsiTheme="minorEastAsia" w:eastAsiaTheme="minorEastAsia"/>
          <w:b/>
          <w:color w:val="000000"/>
          <w:sz w:val="32"/>
          <w:lang w:val="zh-CN"/>
        </w:rPr>
      </w:pPr>
      <w:bookmarkStart w:id="169" w:name="_Toc25327"/>
      <w:r>
        <w:rPr>
          <w:rFonts w:hint="eastAsia" w:asciiTheme="minorEastAsia" w:hAnsiTheme="minorEastAsia" w:eastAsiaTheme="minorEastAsia"/>
          <w:b/>
          <w:color w:val="000000"/>
          <w:sz w:val="32"/>
          <w:lang w:val="zh-CN"/>
        </w:rPr>
        <w:t>2企业基休信息</w:t>
      </w:r>
      <w:bookmarkEnd w:id="169"/>
    </w:p>
    <w:p>
      <w:pPr>
        <w:adjustRightInd w:val="0"/>
        <w:snapToGrid w:val="0"/>
        <w:spacing w:line="460" w:lineRule="exact"/>
        <w:outlineLvl w:val="1"/>
        <w:rPr>
          <w:rFonts w:hint="eastAsia"/>
          <w:b/>
          <w:color w:val="000000"/>
          <w:sz w:val="26"/>
          <w:szCs w:val="26"/>
          <w:lang w:val="zh-CN"/>
        </w:rPr>
      </w:pPr>
      <w:bookmarkStart w:id="170" w:name="_Toc22766"/>
      <w:r>
        <w:rPr>
          <w:rFonts w:hint="eastAsia"/>
          <w:b/>
          <w:color w:val="000000"/>
          <w:sz w:val="26"/>
          <w:szCs w:val="26"/>
          <w:lang w:val="zh-CN"/>
        </w:rPr>
        <w:t>2.1企业基休信息</w:t>
      </w:r>
      <w:bookmarkEnd w:id="170"/>
    </w:p>
    <w:p>
      <w:pPr>
        <w:autoSpaceDE w:val="0"/>
        <w:autoSpaceDN w:val="0"/>
        <w:spacing w:line="460" w:lineRule="exact"/>
        <w:ind w:firstLine="480" w:firstLineChars="200"/>
        <w:rPr>
          <w:rFonts w:cs="仿宋_GB2312" w:asciiTheme="minorEastAsia" w:hAnsiTheme="minorEastAsia" w:eastAsiaTheme="minorEastAsia"/>
          <w:kern w:val="0"/>
          <w:sz w:val="24"/>
          <w:szCs w:val="24"/>
        </w:rPr>
      </w:pPr>
      <w:r>
        <w:rPr>
          <w:rFonts w:hint="eastAsia" w:cs="方正小标宋简体" w:asciiTheme="minorEastAsia" w:hAnsiTheme="minorEastAsia" w:eastAsiaTheme="minorEastAsia"/>
          <w:bCs/>
          <w:sz w:val="24"/>
          <w:szCs w:val="24"/>
        </w:rPr>
        <w:t>重庆市涪陵区拓源污水治理有限公司</w:t>
      </w:r>
      <w:r>
        <w:rPr>
          <w:rFonts w:hint="eastAsia" w:asciiTheme="minorEastAsia" w:hAnsiTheme="minorEastAsia" w:eastAsiaTheme="minorEastAsia"/>
          <w:bCs/>
          <w:sz w:val="24"/>
          <w:szCs w:val="24"/>
        </w:rPr>
        <w:t>清溪园区污水处理厂</w:t>
      </w:r>
      <w:r>
        <w:rPr>
          <w:rFonts w:hint="eastAsia" w:asciiTheme="minorEastAsia" w:hAnsiTheme="minorEastAsia" w:eastAsiaTheme="minorEastAsia"/>
          <w:snapToGrid w:val="0"/>
          <w:sz w:val="24"/>
          <w:szCs w:val="24"/>
        </w:rPr>
        <w:t>地处重庆市</w:t>
      </w:r>
      <w:r>
        <w:rPr>
          <w:rFonts w:hint="eastAsia" w:asciiTheme="minorEastAsia" w:hAnsiTheme="minorEastAsia" w:eastAsiaTheme="minorEastAsia"/>
          <w:bCs/>
          <w:sz w:val="24"/>
          <w:szCs w:val="24"/>
        </w:rPr>
        <w:t>涪陵区清溪再生有色金属特色产业园区清溪镇平原村麻柳沱。</w:t>
      </w:r>
      <w:r>
        <w:rPr>
          <w:rFonts w:hint="eastAsia" w:cs="仿宋_GB2312" w:asciiTheme="minorEastAsia" w:hAnsiTheme="minorEastAsia" w:eastAsiaTheme="minorEastAsia"/>
          <w:sz w:val="24"/>
          <w:szCs w:val="24"/>
        </w:rPr>
        <w:t>占地面积</w:t>
      </w:r>
      <w:r>
        <w:rPr>
          <w:rFonts w:cs="仿宋_GB2312" w:asciiTheme="minorEastAsia" w:hAnsiTheme="minorEastAsia" w:eastAsiaTheme="minorEastAsia"/>
          <w:sz w:val="24"/>
          <w:szCs w:val="24"/>
        </w:rPr>
        <w:t>5709</w:t>
      </w:r>
      <w:r>
        <w:rPr>
          <w:rFonts w:hint="eastAsia" w:cs="仿宋_GB2312" w:asciiTheme="minorEastAsia" w:hAnsiTheme="minorEastAsia" w:eastAsiaTheme="minorEastAsia"/>
          <w:sz w:val="24"/>
          <w:szCs w:val="24"/>
        </w:rPr>
        <w:t>平方米，</w:t>
      </w:r>
      <w:r>
        <w:rPr>
          <w:rFonts w:hint="eastAsia" w:cs="仿宋" w:asciiTheme="minorEastAsia" w:hAnsiTheme="minorEastAsia" w:eastAsiaTheme="minorEastAsia"/>
          <w:sz w:val="24"/>
          <w:szCs w:val="24"/>
        </w:rPr>
        <w:t>总投资</w:t>
      </w:r>
      <w:r>
        <w:rPr>
          <w:rFonts w:cs="仿宋" w:asciiTheme="minorEastAsia" w:hAnsiTheme="minorEastAsia" w:eastAsiaTheme="minorEastAsia"/>
          <w:sz w:val="24"/>
          <w:szCs w:val="24"/>
        </w:rPr>
        <w:t>2254.99</w:t>
      </w:r>
      <w:r>
        <w:rPr>
          <w:rFonts w:hint="eastAsia" w:cs="仿宋" w:asciiTheme="minorEastAsia" w:hAnsiTheme="minorEastAsia" w:eastAsiaTheme="minorEastAsia"/>
          <w:sz w:val="24"/>
          <w:szCs w:val="24"/>
        </w:rPr>
        <w:t>万元，其中环保投资</w:t>
      </w:r>
      <w:r>
        <w:rPr>
          <w:rFonts w:cs="仿宋" w:asciiTheme="minorEastAsia" w:hAnsiTheme="minorEastAsia" w:eastAsiaTheme="minorEastAsia"/>
          <w:sz w:val="24"/>
          <w:szCs w:val="24"/>
        </w:rPr>
        <w:t>28.5</w:t>
      </w:r>
      <w:r>
        <w:rPr>
          <w:rFonts w:hint="eastAsia" w:cs="仿宋" w:asciiTheme="minorEastAsia" w:hAnsiTheme="minorEastAsia" w:eastAsiaTheme="minorEastAsia"/>
          <w:sz w:val="24"/>
          <w:szCs w:val="24"/>
        </w:rPr>
        <w:t>万元</w:t>
      </w:r>
      <w:r>
        <w:rPr>
          <w:rFonts w:hint="eastAsia" w:cs="仿宋_GB2312" w:asciiTheme="minorEastAsia" w:hAnsiTheme="minorEastAsia" w:eastAsiaTheme="minorEastAsia"/>
          <w:kern w:val="0"/>
          <w:sz w:val="24"/>
          <w:szCs w:val="24"/>
        </w:rPr>
        <w:t>，</w:t>
      </w:r>
      <w:r>
        <w:rPr>
          <w:rFonts w:hint="eastAsia" w:cs="仿宋_GB2312" w:asciiTheme="minorEastAsia" w:hAnsiTheme="minorEastAsia" w:eastAsiaTheme="minorEastAsia"/>
          <w:sz w:val="24"/>
          <w:szCs w:val="24"/>
        </w:rPr>
        <w:t>现有员工</w:t>
      </w:r>
      <w:r>
        <w:rPr>
          <w:rFonts w:cs="仿宋_GB2312" w:asciiTheme="minorEastAsia" w:hAnsiTheme="minorEastAsia" w:eastAsiaTheme="minorEastAsia"/>
          <w:sz w:val="24"/>
          <w:szCs w:val="24"/>
        </w:rPr>
        <w:t>12</w:t>
      </w:r>
      <w:r>
        <w:rPr>
          <w:rFonts w:hint="eastAsia" w:cs="仿宋_GB2312" w:asciiTheme="minorEastAsia" w:hAnsiTheme="minorEastAsia" w:eastAsiaTheme="minorEastAsia"/>
          <w:sz w:val="24"/>
          <w:szCs w:val="24"/>
        </w:rPr>
        <w:t>人</w:t>
      </w:r>
      <w:r>
        <w:rPr>
          <w:rFonts w:hint="eastAsia" w:cs="仿宋" w:asciiTheme="minorEastAsia" w:hAnsiTheme="minorEastAsia" w:eastAsiaTheme="minorEastAsia"/>
          <w:sz w:val="24"/>
          <w:szCs w:val="24"/>
        </w:rPr>
        <w:t>，</w:t>
      </w:r>
      <w:r>
        <w:rPr>
          <w:rFonts w:hint="eastAsia" w:cs="仿宋_GB2312" w:asciiTheme="minorEastAsia" w:hAnsiTheme="minorEastAsia" w:eastAsiaTheme="minorEastAsia"/>
          <w:sz w:val="24"/>
          <w:szCs w:val="24"/>
        </w:rPr>
        <w:t>由重庆市涪陵区拓源污水治理有限公司负责运营管理，</w:t>
      </w:r>
      <w:r>
        <w:rPr>
          <w:rFonts w:hint="eastAsia" w:asciiTheme="minorEastAsia" w:hAnsiTheme="minorEastAsia" w:eastAsiaTheme="minorEastAsia"/>
          <w:sz w:val="24"/>
          <w:szCs w:val="24"/>
        </w:rPr>
        <w:t>是一家专业处理</w:t>
      </w:r>
      <w:r>
        <w:rPr>
          <w:rFonts w:hint="eastAsia" w:asciiTheme="minorEastAsia" w:hAnsiTheme="minorEastAsia" w:eastAsiaTheme="minorEastAsia"/>
          <w:color w:val="000000"/>
          <w:sz w:val="24"/>
          <w:szCs w:val="24"/>
        </w:rPr>
        <w:t>城市生活污水和经预处理的工业废水服务为一体的民营企业。</w:t>
      </w:r>
      <w:r>
        <w:rPr>
          <w:rFonts w:cs="仿宋_GB2312" w:asciiTheme="minorEastAsia" w:hAnsiTheme="minorEastAsia" w:eastAsiaTheme="minorEastAsia"/>
          <w:kern w:val="0"/>
          <w:sz w:val="24"/>
          <w:szCs w:val="24"/>
        </w:rPr>
        <w:t xml:space="preserve"> </w:t>
      </w:r>
    </w:p>
    <w:p>
      <w:pPr>
        <w:spacing w:line="460" w:lineRule="exact"/>
        <w:ind w:firstLine="480"/>
        <w:rPr>
          <w:rFonts w:cs="方正小标宋简体" w:asciiTheme="minorEastAsia" w:hAnsiTheme="minorEastAsia" w:eastAsiaTheme="minorEastAsia"/>
          <w:bCs/>
          <w:sz w:val="24"/>
          <w:szCs w:val="24"/>
        </w:rPr>
      </w:pPr>
      <w:r>
        <w:rPr>
          <w:rFonts w:hint="eastAsia" w:asciiTheme="minorEastAsia" w:hAnsiTheme="minorEastAsia" w:eastAsiaTheme="minorEastAsia"/>
          <w:bCs/>
          <w:sz w:val="24"/>
          <w:szCs w:val="24"/>
        </w:rPr>
        <w:t>清溪园区</w:t>
      </w:r>
      <w:r>
        <w:rPr>
          <w:rFonts w:hint="eastAsia" w:asciiTheme="minorEastAsia" w:hAnsiTheme="minorEastAsia" w:eastAsiaTheme="minorEastAsia"/>
          <w:snapToGrid w:val="0"/>
          <w:sz w:val="24"/>
          <w:szCs w:val="24"/>
        </w:rPr>
        <w:t>污水处理厂</w:t>
      </w:r>
      <w:r>
        <w:rPr>
          <w:rFonts w:hint="eastAsia" w:cs="仿宋_GB2312" w:asciiTheme="minorEastAsia" w:hAnsiTheme="minorEastAsia" w:eastAsiaTheme="minorEastAsia"/>
          <w:kern w:val="0"/>
          <w:sz w:val="24"/>
          <w:szCs w:val="24"/>
          <w:lang w:val="zh-CN"/>
        </w:rPr>
        <w:t>近期污水处理规模为</w:t>
      </w:r>
      <w:r>
        <w:rPr>
          <w:rFonts w:cs="仿宋_GB2312" w:asciiTheme="minorEastAsia" w:hAnsiTheme="minorEastAsia" w:eastAsiaTheme="minorEastAsia"/>
          <w:kern w:val="0"/>
          <w:sz w:val="24"/>
          <w:szCs w:val="24"/>
          <w:lang w:val="zh-CN"/>
        </w:rPr>
        <w:t>3000</w:t>
      </w:r>
      <w:r>
        <w:rPr>
          <w:rFonts w:hint="eastAsia" w:cs="仿宋_GB2312" w:asciiTheme="minorEastAsia" w:hAnsiTheme="minorEastAsia" w:eastAsiaTheme="minorEastAsia"/>
          <w:kern w:val="0"/>
          <w:sz w:val="24"/>
          <w:szCs w:val="24"/>
          <w:lang w:val="zh-CN"/>
        </w:rPr>
        <w:t>吨</w:t>
      </w:r>
      <w:r>
        <w:rPr>
          <w:rFonts w:cs="仿宋_GB2312" w:asciiTheme="minorEastAsia" w:hAnsiTheme="minorEastAsia" w:eastAsiaTheme="minorEastAsia"/>
          <w:kern w:val="0"/>
          <w:sz w:val="24"/>
          <w:szCs w:val="24"/>
          <w:lang w:val="zh-CN"/>
        </w:rPr>
        <w:t>/</w:t>
      </w:r>
      <w:r>
        <w:rPr>
          <w:rFonts w:hint="eastAsia" w:cs="仿宋_GB2312" w:asciiTheme="minorEastAsia" w:hAnsiTheme="minorEastAsia" w:eastAsiaTheme="minorEastAsia"/>
          <w:kern w:val="0"/>
          <w:sz w:val="24"/>
          <w:szCs w:val="24"/>
          <w:lang w:val="zh-CN"/>
        </w:rPr>
        <w:t>日</w:t>
      </w:r>
      <w:r>
        <w:rPr>
          <w:rFonts w:hint="eastAsia" w:asciiTheme="minorEastAsia" w:hAnsiTheme="minorEastAsia" w:eastAsiaTheme="minorEastAsia"/>
          <w:color w:val="000000"/>
          <w:sz w:val="24"/>
          <w:szCs w:val="24"/>
        </w:rPr>
        <w:t>，于</w:t>
      </w:r>
      <w:r>
        <w:rPr>
          <w:rFonts w:asciiTheme="minorEastAsia" w:hAnsiTheme="minorEastAsia" w:eastAsiaTheme="minorEastAsia"/>
          <w:color w:val="000000"/>
          <w:sz w:val="24"/>
          <w:szCs w:val="24"/>
        </w:rPr>
        <w:t>2015</w:t>
      </w:r>
      <w:r>
        <w:rPr>
          <w:rFonts w:hint="eastAsia" w:asciiTheme="minorEastAsia" w:hAnsiTheme="minorEastAsia" w:eastAsiaTheme="minorEastAsia"/>
          <w:color w:val="000000"/>
          <w:sz w:val="24"/>
          <w:szCs w:val="24"/>
        </w:rPr>
        <w:t>年</w:t>
      </w: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月开工建设，</w:t>
      </w:r>
      <w:r>
        <w:rPr>
          <w:rFonts w:asciiTheme="minorEastAsia" w:hAnsiTheme="minorEastAsia" w:eastAsiaTheme="minorEastAsia"/>
          <w:color w:val="000000"/>
          <w:sz w:val="24"/>
          <w:szCs w:val="24"/>
        </w:rPr>
        <w:t>2015</w:t>
      </w:r>
      <w:r>
        <w:rPr>
          <w:rFonts w:hint="eastAsia" w:asciiTheme="minorEastAsia" w:hAnsiTheme="minorEastAsia" w:eastAsiaTheme="minorEastAsia"/>
          <w:color w:val="000000"/>
          <w:sz w:val="24"/>
          <w:szCs w:val="24"/>
        </w:rPr>
        <w:t>年</w:t>
      </w:r>
      <w:r>
        <w:rPr>
          <w:rFonts w:asciiTheme="minorEastAsia" w:hAnsiTheme="minorEastAsia" w:eastAsiaTheme="minorEastAsia"/>
          <w:color w:val="000000"/>
          <w:sz w:val="24"/>
          <w:szCs w:val="24"/>
        </w:rPr>
        <w:t>12</w:t>
      </w:r>
      <w:r>
        <w:rPr>
          <w:rFonts w:hint="eastAsia" w:asciiTheme="minorEastAsia" w:hAnsiTheme="minorEastAsia" w:eastAsiaTheme="minorEastAsia"/>
          <w:color w:val="000000"/>
          <w:sz w:val="24"/>
          <w:szCs w:val="24"/>
        </w:rPr>
        <w:t>月</w:t>
      </w:r>
      <w:r>
        <w:rPr>
          <w:rFonts w:hint="eastAsia" w:cs="仿宋_GB2312" w:asciiTheme="minorEastAsia" w:hAnsiTheme="minorEastAsia" w:eastAsiaTheme="minorEastAsia"/>
          <w:kern w:val="0"/>
          <w:sz w:val="24"/>
          <w:szCs w:val="24"/>
          <w:lang w:val="zh-CN"/>
        </w:rPr>
        <w:t>投入试运行；</w:t>
      </w:r>
      <w:r>
        <w:rPr>
          <w:rFonts w:hint="eastAsia" w:asciiTheme="minorEastAsia" w:hAnsiTheme="minorEastAsia" w:eastAsiaTheme="minorEastAsia"/>
          <w:color w:val="000000"/>
          <w:sz w:val="24"/>
          <w:szCs w:val="24"/>
        </w:rPr>
        <w:t>远期工程（</w:t>
      </w:r>
      <w:r>
        <w:rPr>
          <w:rFonts w:asciiTheme="minorEastAsia" w:hAnsiTheme="minorEastAsia" w:eastAsiaTheme="minorEastAsia"/>
          <w:color w:val="000000"/>
          <w:sz w:val="24"/>
          <w:szCs w:val="24"/>
        </w:rPr>
        <w:t>2020</w:t>
      </w:r>
      <w:r>
        <w:rPr>
          <w:rFonts w:hint="eastAsia" w:asciiTheme="minorEastAsia" w:hAnsiTheme="minorEastAsia" w:eastAsiaTheme="minorEastAsia"/>
          <w:color w:val="000000"/>
          <w:sz w:val="24"/>
          <w:szCs w:val="24"/>
        </w:rPr>
        <w:t>年）建成规模为日处理</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万吨。</w:t>
      </w:r>
      <w:r>
        <w:rPr>
          <w:rFonts w:hint="eastAsia" w:cs="仿宋_GB2312" w:asciiTheme="minorEastAsia" w:hAnsiTheme="minorEastAsia" w:eastAsiaTheme="minorEastAsia"/>
          <w:sz w:val="24"/>
          <w:szCs w:val="24"/>
        </w:rPr>
        <w:t>主要负责</w:t>
      </w:r>
      <w:r>
        <w:rPr>
          <w:rFonts w:hint="eastAsia" w:asciiTheme="minorEastAsia" w:hAnsiTheme="minorEastAsia" w:eastAsiaTheme="minorEastAsia"/>
          <w:bCs/>
          <w:sz w:val="24"/>
          <w:szCs w:val="24"/>
        </w:rPr>
        <w:t>对园区装备制造、汽摩配件、铝精深加工、铝型材加工等企业</w:t>
      </w:r>
      <w:r>
        <w:rPr>
          <w:rFonts w:hint="eastAsia" w:asciiTheme="minorEastAsia" w:hAnsiTheme="minorEastAsia" w:eastAsiaTheme="minorEastAsia"/>
          <w:color w:val="000000"/>
          <w:sz w:val="24"/>
          <w:szCs w:val="24"/>
        </w:rPr>
        <w:t>经预处理</w:t>
      </w:r>
      <w:r>
        <w:rPr>
          <w:rFonts w:hint="eastAsia" w:asciiTheme="minorEastAsia" w:hAnsiTheme="minorEastAsia" w:eastAsiaTheme="minorEastAsia"/>
          <w:bCs/>
          <w:sz w:val="24"/>
          <w:szCs w:val="24"/>
        </w:rPr>
        <w:t>排放的工业废水和职工生活污水</w:t>
      </w:r>
      <w:r>
        <w:rPr>
          <w:rFonts w:hint="eastAsia" w:cs="仿宋_GB2312" w:asciiTheme="minorEastAsia" w:hAnsiTheme="minorEastAsia" w:eastAsiaTheme="minorEastAsia"/>
          <w:sz w:val="24"/>
          <w:szCs w:val="24"/>
        </w:rPr>
        <w:t>进行收集和处理</w:t>
      </w:r>
      <w:r>
        <w:rPr>
          <w:rFonts w:hint="eastAsia" w:asciiTheme="minorEastAsia" w:hAnsiTheme="minorEastAsia" w:eastAsiaTheme="minorEastAsia"/>
          <w:snapToGrid w:val="0"/>
          <w:kern w:val="0"/>
          <w:sz w:val="24"/>
          <w:szCs w:val="24"/>
        </w:rPr>
        <w:t>，污</w:t>
      </w:r>
      <w:r>
        <w:rPr>
          <w:rFonts w:hint="eastAsia" w:asciiTheme="minorEastAsia" w:hAnsiTheme="minorEastAsia" w:eastAsiaTheme="minorEastAsia"/>
          <w:color w:val="000000"/>
          <w:sz w:val="24"/>
          <w:szCs w:val="24"/>
        </w:rPr>
        <w:t>配套污水管网</w:t>
      </w:r>
      <w:r>
        <w:rPr>
          <w:rFonts w:asciiTheme="minorEastAsia" w:hAnsiTheme="minorEastAsia" w:eastAsiaTheme="minorEastAsia"/>
          <w:color w:val="000000"/>
          <w:sz w:val="24"/>
          <w:szCs w:val="24"/>
        </w:rPr>
        <w:t>1.2</w:t>
      </w:r>
      <w:r>
        <w:rPr>
          <w:rFonts w:hint="eastAsia" w:asciiTheme="minorEastAsia" w:hAnsiTheme="minorEastAsia" w:eastAsiaTheme="minorEastAsia"/>
          <w:color w:val="000000"/>
          <w:sz w:val="24"/>
          <w:szCs w:val="24"/>
        </w:rPr>
        <w:t>公里，</w:t>
      </w:r>
      <w:r>
        <w:rPr>
          <w:rFonts w:hint="eastAsia" w:cs="方正小标宋简体" w:asciiTheme="minorEastAsia" w:hAnsiTheme="minorEastAsia" w:eastAsiaTheme="minorEastAsia"/>
          <w:bCs/>
          <w:sz w:val="24"/>
          <w:szCs w:val="24"/>
        </w:rPr>
        <w:t>废水经污水处理厂处理后， 出水水质达《污水综合排放标准》（GB8978-1996）一级B标准后排入长江。</w:t>
      </w:r>
      <w:r>
        <w:rPr>
          <w:rFonts w:hint="eastAsia" w:asciiTheme="minorEastAsia" w:hAnsiTheme="minorEastAsia" w:eastAsiaTheme="minorEastAsia"/>
          <w:color w:val="000000"/>
          <w:sz w:val="24"/>
          <w:szCs w:val="24"/>
        </w:rPr>
        <w:t>已实现达标排放，</w:t>
      </w:r>
      <w:r>
        <w:rPr>
          <w:rFonts w:hint="eastAsia" w:cs="??_GB2312" w:asciiTheme="minorEastAsia" w:hAnsiTheme="minorEastAsia" w:eastAsiaTheme="minorEastAsia"/>
          <w:kern w:val="0"/>
          <w:sz w:val="24"/>
          <w:szCs w:val="24"/>
          <w:lang w:val="zh-CN"/>
        </w:rPr>
        <w:t>并通过环保验收。</w:t>
      </w:r>
    </w:p>
    <w:p>
      <w:pPr>
        <w:spacing w:line="460" w:lineRule="exact"/>
        <w:ind w:firstLine="480"/>
        <w:rPr>
          <w:rFonts w:asciiTheme="minorEastAsia" w:hAnsiTheme="minorEastAsia" w:eastAsiaTheme="minorEastAsia"/>
        </w:rPr>
      </w:pPr>
      <w:r>
        <w:rPr>
          <w:rFonts w:asciiTheme="minorEastAsia" w:hAnsiTheme="minorEastAsia" w:eastAsiaTheme="minorEastAsia"/>
        </w:rPr>
        <w:t>2-1</w:t>
      </w:r>
      <w:r>
        <w:rPr>
          <w:rFonts w:hint="eastAsia" w:asciiTheme="minorEastAsia" w:hAnsiTheme="minorEastAsia" w:eastAsiaTheme="minorEastAsia"/>
        </w:rPr>
        <w:t>企业基本信息一览表</w:t>
      </w:r>
    </w:p>
    <w:tbl>
      <w:tblPr>
        <w:tblStyle w:val="54"/>
        <w:tblW w:w="92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182"/>
        <w:gridCol w:w="519"/>
        <w:gridCol w:w="567"/>
        <w:gridCol w:w="1134"/>
        <w:gridCol w:w="1559"/>
        <w:gridCol w:w="2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530" w:type="dxa"/>
            <w:tcBorders>
              <w:top w:val="thinThickSmallGap" w:color="auto" w:sz="24" w:space="0"/>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企业名称</w:t>
            </w:r>
          </w:p>
        </w:tc>
        <w:tc>
          <w:tcPr>
            <w:tcW w:w="3402" w:type="dxa"/>
            <w:gridSpan w:val="4"/>
            <w:tcBorders>
              <w:top w:val="thinThickSmallGap" w:color="auto" w:sz="24" w:space="0"/>
            </w:tcBorders>
            <w:vAlign w:val="center"/>
          </w:tcPr>
          <w:p>
            <w:pPr>
              <w:pStyle w:val="193"/>
              <w:jc w:val="both"/>
              <w:rPr>
                <w:rFonts w:cs="方正小标宋简体" w:asciiTheme="minorEastAsia" w:hAnsiTheme="minorEastAsia" w:eastAsiaTheme="minorEastAsia"/>
                <w:bCs/>
                <w:sz w:val="21"/>
                <w:szCs w:val="21"/>
              </w:rPr>
            </w:pPr>
            <w:r>
              <w:rPr>
                <w:rFonts w:hint="eastAsia" w:cs="方正小标宋简体" w:asciiTheme="minorEastAsia" w:hAnsiTheme="minorEastAsia" w:eastAsiaTheme="minorEastAsia"/>
                <w:bCs/>
                <w:sz w:val="21"/>
                <w:szCs w:val="21"/>
              </w:rPr>
              <w:t>重庆市涪陵区拓源污水治理有限公司</w:t>
            </w:r>
            <w:r>
              <w:rPr>
                <w:rFonts w:hint="eastAsia" w:asciiTheme="minorEastAsia" w:hAnsiTheme="minorEastAsia" w:eastAsiaTheme="minorEastAsia"/>
                <w:bCs/>
                <w:sz w:val="21"/>
                <w:szCs w:val="21"/>
              </w:rPr>
              <w:t>清溪园区污水处理厂</w:t>
            </w:r>
          </w:p>
        </w:tc>
        <w:tc>
          <w:tcPr>
            <w:tcW w:w="1559" w:type="dxa"/>
            <w:tcBorders>
              <w:top w:val="thinThickSmallGap" w:color="auto" w:sz="24" w:space="0"/>
            </w:tcBorders>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组织机构代码</w:t>
            </w:r>
          </w:p>
        </w:tc>
        <w:tc>
          <w:tcPr>
            <w:tcW w:w="2713" w:type="dxa"/>
            <w:tcBorders>
              <w:top w:val="thinThickSmallGap" w:color="auto" w:sz="24" w:space="0"/>
              <w:right w:val="thinThickSmallGap" w:color="auto" w:sz="24" w:space="0"/>
            </w:tcBorders>
            <w:vAlign w:val="center"/>
          </w:tcPr>
          <w:p>
            <w:pPr>
              <w:pStyle w:val="193"/>
              <w:rPr>
                <w:rFonts w:asciiTheme="minorEastAsia" w:hAnsiTheme="minorEastAsia" w:eastAsiaTheme="minorEastAsia"/>
                <w:color w:val="FF0000"/>
                <w:sz w:val="21"/>
                <w:szCs w:val="24"/>
              </w:rPr>
            </w:pPr>
            <w:r>
              <w:rPr>
                <w:rFonts w:cs="宋体" w:asciiTheme="minorEastAsia" w:hAnsiTheme="minorEastAsia" w:eastAsiaTheme="minorEastAsia"/>
                <w:sz w:val="21"/>
                <w:szCs w:val="21"/>
              </w:rPr>
              <w:t>91500102MA5U56568C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1530" w:type="dxa"/>
            <w:tcBorders>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法定代表人</w:t>
            </w:r>
          </w:p>
        </w:tc>
        <w:tc>
          <w:tcPr>
            <w:tcW w:w="1182" w:type="dxa"/>
            <w:vAlign w:val="center"/>
          </w:tcPr>
          <w:p>
            <w:pPr>
              <w:pStyle w:val="193"/>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rPr>
              <w:t>况敬良</w:t>
            </w:r>
          </w:p>
        </w:tc>
        <w:tc>
          <w:tcPr>
            <w:tcW w:w="1086" w:type="dxa"/>
            <w:gridSpan w:val="2"/>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联系人</w:t>
            </w:r>
          </w:p>
        </w:tc>
        <w:tc>
          <w:tcPr>
            <w:tcW w:w="1134" w:type="dxa"/>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向广川</w:t>
            </w:r>
          </w:p>
        </w:tc>
        <w:tc>
          <w:tcPr>
            <w:tcW w:w="1559" w:type="dxa"/>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电话</w:t>
            </w:r>
          </w:p>
        </w:tc>
        <w:tc>
          <w:tcPr>
            <w:tcW w:w="2713" w:type="dxa"/>
            <w:tcBorders>
              <w:right w:val="thinThickSmallGap" w:color="auto" w:sz="24" w:space="0"/>
            </w:tcBorders>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15123643138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1530" w:type="dxa"/>
            <w:tcBorders>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通讯地址</w:t>
            </w:r>
          </w:p>
        </w:tc>
        <w:tc>
          <w:tcPr>
            <w:tcW w:w="7674" w:type="dxa"/>
            <w:gridSpan w:val="6"/>
            <w:tcBorders>
              <w:right w:val="thinThickSmallGap" w:color="auto" w:sz="24" w:space="0"/>
            </w:tcBorders>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重庆市涪陵区</w:t>
            </w:r>
            <w:r>
              <w:rPr>
                <w:rFonts w:hint="eastAsia" w:asciiTheme="minorEastAsia" w:hAnsiTheme="minorEastAsia" w:eastAsiaTheme="minorEastAsia"/>
                <w:bCs/>
                <w:sz w:val="21"/>
                <w:szCs w:val="21"/>
              </w:rPr>
              <w:t>清溪镇平原村麻柳沱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1530" w:type="dxa"/>
            <w:tcBorders>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单位所在地</w:t>
            </w:r>
          </w:p>
        </w:tc>
        <w:tc>
          <w:tcPr>
            <w:tcW w:w="7674" w:type="dxa"/>
            <w:gridSpan w:val="6"/>
            <w:tcBorders>
              <w:right w:val="thinThickSmallGap" w:color="auto" w:sz="24" w:space="0"/>
            </w:tcBorders>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bCs/>
                <w:sz w:val="21"/>
                <w:szCs w:val="21"/>
              </w:rPr>
              <w:t>重庆市涪陵区清溪再生有色金属特色产业园区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1530" w:type="dxa"/>
            <w:tcBorders>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中心经纬度</w:t>
            </w:r>
          </w:p>
        </w:tc>
        <w:tc>
          <w:tcPr>
            <w:tcW w:w="7674" w:type="dxa"/>
            <w:gridSpan w:val="6"/>
            <w:tcBorders>
              <w:right w:val="thinThickSmallGap" w:color="auto" w:sz="24" w:space="0"/>
            </w:tcBorders>
            <w:vAlign w:val="center"/>
          </w:tcPr>
          <w:p>
            <w:pPr>
              <w:pStyle w:val="193"/>
              <w:rPr>
                <w:rFonts w:asciiTheme="minorEastAsia" w:hAnsiTheme="minorEastAsia" w:eastAsiaTheme="minorEastAsia"/>
                <w:color w:val="000000"/>
                <w:sz w:val="21"/>
                <w:szCs w:val="24"/>
              </w:rPr>
            </w:pPr>
            <w:r>
              <w:rPr>
                <w:rFonts w:hint="eastAsia" w:asciiTheme="minorEastAsia" w:hAnsiTheme="minorEastAsia" w:eastAsiaTheme="minorEastAsia"/>
                <w:color w:val="000000"/>
                <w:sz w:val="21"/>
                <w:szCs w:val="15"/>
              </w:rPr>
              <w:t>东经</w:t>
            </w:r>
            <w:r>
              <w:rPr>
                <w:rFonts w:asciiTheme="minorEastAsia" w:hAnsiTheme="minorEastAsia" w:eastAsiaTheme="minorEastAsia"/>
                <w:color w:val="000000"/>
                <w:sz w:val="21"/>
                <w:szCs w:val="15"/>
              </w:rPr>
              <w:t>E107</w:t>
            </w:r>
            <w:r>
              <w:rPr>
                <w:rFonts w:hint="eastAsia" w:asciiTheme="minorEastAsia" w:hAnsiTheme="minorEastAsia" w:eastAsiaTheme="minorEastAsia"/>
                <w:color w:val="000000"/>
                <w:sz w:val="21"/>
                <w:szCs w:val="15"/>
              </w:rPr>
              <w:t>°</w:t>
            </w:r>
            <w:r>
              <w:rPr>
                <w:rFonts w:asciiTheme="minorEastAsia" w:hAnsiTheme="minorEastAsia" w:eastAsiaTheme="minorEastAsia"/>
                <w:color w:val="000000"/>
                <w:sz w:val="21"/>
                <w:szCs w:val="15"/>
              </w:rPr>
              <w:t>27</w:t>
            </w:r>
            <w:r>
              <w:rPr>
                <w:rFonts w:hint="eastAsia" w:asciiTheme="minorEastAsia" w:hAnsiTheme="minorEastAsia" w:eastAsiaTheme="minorEastAsia"/>
                <w:color w:val="000000"/>
                <w:sz w:val="21"/>
                <w:szCs w:val="15"/>
              </w:rPr>
              <w:t>′</w:t>
            </w:r>
            <w:r>
              <w:rPr>
                <w:rFonts w:asciiTheme="minorEastAsia" w:hAnsiTheme="minorEastAsia" w:eastAsiaTheme="minorEastAsia"/>
                <w:color w:val="000000"/>
                <w:sz w:val="21"/>
                <w:szCs w:val="15"/>
              </w:rPr>
              <w:t>42.55</w:t>
            </w:r>
            <w:r>
              <w:rPr>
                <w:rFonts w:hint="eastAsia" w:asciiTheme="minorEastAsia" w:hAnsiTheme="minorEastAsia" w:eastAsiaTheme="minorEastAsia"/>
                <w:color w:val="000000"/>
                <w:sz w:val="21"/>
                <w:szCs w:val="15"/>
              </w:rPr>
              <w:t>′，北纬</w:t>
            </w:r>
            <w:r>
              <w:rPr>
                <w:rFonts w:asciiTheme="minorEastAsia" w:hAnsiTheme="minorEastAsia" w:eastAsiaTheme="minorEastAsia"/>
                <w:color w:val="000000"/>
                <w:sz w:val="21"/>
                <w:szCs w:val="15"/>
              </w:rPr>
              <w:t>N29</w:t>
            </w:r>
            <w:r>
              <w:rPr>
                <w:rFonts w:hint="eastAsia" w:asciiTheme="minorEastAsia" w:hAnsiTheme="minorEastAsia" w:eastAsiaTheme="minorEastAsia"/>
                <w:color w:val="000000"/>
                <w:sz w:val="21"/>
                <w:szCs w:val="15"/>
              </w:rPr>
              <w:t>°</w:t>
            </w:r>
            <w:r>
              <w:rPr>
                <w:rFonts w:asciiTheme="minorEastAsia" w:hAnsiTheme="minorEastAsia" w:eastAsiaTheme="minorEastAsia"/>
                <w:color w:val="000000"/>
                <w:sz w:val="21"/>
                <w:szCs w:val="15"/>
              </w:rPr>
              <w:t>48</w:t>
            </w:r>
            <w:r>
              <w:rPr>
                <w:rFonts w:hint="eastAsia" w:asciiTheme="minorEastAsia" w:hAnsiTheme="minorEastAsia" w:eastAsiaTheme="minorEastAsia"/>
                <w:color w:val="000000"/>
                <w:sz w:val="21"/>
                <w:szCs w:val="15"/>
              </w:rPr>
              <w:t>′</w:t>
            </w:r>
            <w:r>
              <w:rPr>
                <w:rFonts w:asciiTheme="minorEastAsia" w:hAnsiTheme="minorEastAsia" w:eastAsiaTheme="minorEastAsia"/>
                <w:color w:val="000000"/>
                <w:sz w:val="21"/>
                <w:szCs w:val="15"/>
              </w:rPr>
              <w:t>08.39</w:t>
            </w:r>
            <w:r>
              <w:rPr>
                <w:rFonts w:hint="eastAsia" w:asciiTheme="minorEastAsia" w:hAnsiTheme="minorEastAsia" w:eastAsiaTheme="minorEastAsia"/>
                <w:color w:val="000000"/>
                <w:sz w:val="21"/>
                <w:szCs w:val="15"/>
              </w:rPr>
              <w:t>′</w:t>
            </w:r>
            <w:r>
              <w:rPr>
                <w:rFonts w:asciiTheme="minorEastAsia" w:hAnsiTheme="minorEastAsia" w:eastAsiaTheme="minorEastAsia"/>
                <w:color w:val="000000"/>
                <w:sz w:val="21"/>
                <w:szCs w:val="15"/>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8" w:hRule="atLeast"/>
          <w:jc w:val="center"/>
        </w:trPr>
        <w:tc>
          <w:tcPr>
            <w:tcW w:w="1530" w:type="dxa"/>
            <w:tcBorders>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建厂时间</w:t>
            </w:r>
          </w:p>
        </w:tc>
        <w:tc>
          <w:tcPr>
            <w:tcW w:w="2268" w:type="dxa"/>
            <w:gridSpan w:val="3"/>
            <w:vAlign w:val="center"/>
          </w:tcPr>
          <w:p>
            <w:pPr>
              <w:pStyle w:val="193"/>
              <w:rPr>
                <w:rFonts w:asciiTheme="minorEastAsia" w:hAnsiTheme="minorEastAsia" w:eastAsiaTheme="minorEastAsia"/>
                <w:sz w:val="21"/>
                <w:szCs w:val="15"/>
              </w:rPr>
            </w:pPr>
            <w:r>
              <w:rPr>
                <w:rFonts w:asciiTheme="minorEastAsia" w:hAnsiTheme="minorEastAsia" w:eastAsiaTheme="minorEastAsia"/>
                <w:sz w:val="21"/>
                <w:szCs w:val="28"/>
              </w:rPr>
              <w:t>2015</w:t>
            </w:r>
            <w:r>
              <w:rPr>
                <w:rFonts w:hint="eastAsia" w:asciiTheme="minorEastAsia" w:hAnsiTheme="minorEastAsia" w:eastAsiaTheme="minorEastAsia"/>
                <w:sz w:val="21"/>
                <w:szCs w:val="28"/>
              </w:rPr>
              <w:t>年</w:t>
            </w:r>
            <w:r>
              <w:rPr>
                <w:rFonts w:asciiTheme="minorEastAsia" w:hAnsiTheme="minorEastAsia" w:eastAsiaTheme="minorEastAsia"/>
                <w:sz w:val="21"/>
                <w:szCs w:val="28"/>
              </w:rPr>
              <w:t>1</w:t>
            </w:r>
            <w:r>
              <w:rPr>
                <w:rFonts w:hint="eastAsia" w:asciiTheme="minorEastAsia" w:hAnsiTheme="minorEastAsia" w:eastAsiaTheme="minorEastAsia"/>
                <w:sz w:val="21"/>
                <w:szCs w:val="28"/>
              </w:rPr>
              <w:t>月</w:t>
            </w:r>
          </w:p>
        </w:tc>
        <w:tc>
          <w:tcPr>
            <w:tcW w:w="1134" w:type="dxa"/>
            <w:vAlign w:val="center"/>
          </w:tcPr>
          <w:p>
            <w:pPr>
              <w:pStyle w:val="193"/>
              <w:rPr>
                <w:rFonts w:asciiTheme="minorEastAsia" w:hAnsiTheme="minorEastAsia" w:eastAsiaTheme="minorEastAsia"/>
                <w:sz w:val="21"/>
                <w:szCs w:val="15"/>
              </w:rPr>
            </w:pPr>
            <w:r>
              <w:rPr>
                <w:rFonts w:hint="eastAsia" w:asciiTheme="minorEastAsia" w:hAnsiTheme="minorEastAsia" w:eastAsiaTheme="minorEastAsia"/>
                <w:sz w:val="21"/>
                <w:szCs w:val="15"/>
              </w:rPr>
              <w:t>投产时间</w:t>
            </w:r>
          </w:p>
        </w:tc>
        <w:tc>
          <w:tcPr>
            <w:tcW w:w="4272" w:type="dxa"/>
            <w:gridSpan w:val="2"/>
            <w:tcBorders>
              <w:right w:val="thinThickSmallGap" w:color="auto" w:sz="24" w:space="0"/>
            </w:tcBorders>
            <w:vAlign w:val="center"/>
          </w:tcPr>
          <w:p>
            <w:pPr>
              <w:pStyle w:val="193"/>
              <w:rPr>
                <w:rFonts w:asciiTheme="minorEastAsia" w:hAnsiTheme="minorEastAsia" w:eastAsiaTheme="minorEastAsia"/>
                <w:sz w:val="21"/>
                <w:szCs w:val="15"/>
              </w:rPr>
            </w:pPr>
            <w:r>
              <w:rPr>
                <w:rFonts w:asciiTheme="minorEastAsia" w:hAnsiTheme="minorEastAsia" w:eastAsiaTheme="minorEastAsia"/>
                <w:sz w:val="21"/>
                <w:szCs w:val="28"/>
              </w:rPr>
              <w:t>2015</w:t>
            </w:r>
            <w:r>
              <w:rPr>
                <w:rFonts w:hint="eastAsia" w:asciiTheme="minorEastAsia" w:hAnsiTheme="minorEastAsia" w:eastAsiaTheme="minorEastAsia"/>
                <w:sz w:val="21"/>
                <w:szCs w:val="28"/>
              </w:rPr>
              <w:t>年</w:t>
            </w:r>
            <w:r>
              <w:rPr>
                <w:rFonts w:asciiTheme="minorEastAsia" w:hAnsiTheme="minorEastAsia" w:eastAsiaTheme="minorEastAsia"/>
                <w:sz w:val="21"/>
                <w:szCs w:val="28"/>
              </w:rPr>
              <w:t>12</w:t>
            </w:r>
            <w:r>
              <w:rPr>
                <w:rFonts w:hint="eastAsia" w:asciiTheme="minorEastAsia" w:hAnsiTheme="minorEastAsia" w:eastAsiaTheme="minorEastAsia"/>
                <w:sz w:val="21"/>
                <w:szCs w:val="28"/>
              </w:rPr>
              <w:t>月</w:t>
            </w:r>
            <w:r>
              <w:rPr>
                <w:rFonts w:hint="eastAsia" w:asciiTheme="minorEastAsia" w:hAnsiTheme="minorEastAsia" w:eastAsiaTheme="minorEastAsia"/>
                <w:sz w:val="21"/>
                <w:szCs w:val="21"/>
              </w:rPr>
              <w:t>试</w:t>
            </w:r>
            <w:r>
              <w:rPr>
                <w:rFonts w:hint="eastAsia" w:asciiTheme="minorEastAsia" w:hAnsiTheme="minorEastAsia" w:eastAsiaTheme="minorEastAsia"/>
                <w:sz w:val="21"/>
                <w:szCs w:val="28"/>
              </w:rPr>
              <w:t>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530" w:type="dxa"/>
            <w:tcBorders>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所属行业类别</w:t>
            </w:r>
          </w:p>
        </w:tc>
        <w:tc>
          <w:tcPr>
            <w:tcW w:w="7674" w:type="dxa"/>
            <w:gridSpan w:val="6"/>
            <w:tcBorders>
              <w:right w:val="thinThickSmallGap" w:color="auto" w:sz="24" w:space="0"/>
            </w:tcBorders>
            <w:vAlign w:val="center"/>
          </w:tcPr>
          <w:p>
            <w:pPr>
              <w:pStyle w:val="193"/>
              <w:rPr>
                <w:rFonts w:asciiTheme="minorEastAsia" w:hAnsiTheme="minorEastAsia" w:eastAsiaTheme="minorEastAsia"/>
                <w:sz w:val="21"/>
                <w:szCs w:val="21"/>
              </w:rPr>
            </w:pPr>
            <w:r>
              <w:rPr>
                <w:rFonts w:cs="Arial" w:asciiTheme="minorEastAsia" w:hAnsiTheme="minorEastAsia" w:eastAsiaTheme="minorEastAsia"/>
                <w:color w:val="333333"/>
                <w:sz w:val="21"/>
                <w:szCs w:val="21"/>
                <w:shd w:val="clear" w:color="auto" w:fill="FFFFFF"/>
              </w:rPr>
              <w:t>D4620</w:t>
            </w:r>
            <w:r>
              <w:rPr>
                <w:rFonts w:hint="eastAsia" w:cs="Arial" w:asciiTheme="minorEastAsia" w:hAnsiTheme="minorEastAsia" w:eastAsiaTheme="minorEastAsia"/>
                <w:color w:val="333333"/>
                <w:sz w:val="21"/>
                <w:szCs w:val="21"/>
                <w:shd w:val="clear" w:color="auto" w:fill="FFFFFF"/>
              </w:rPr>
              <w:t>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530" w:type="dxa"/>
            <w:tcBorders>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企业规模</w:t>
            </w:r>
          </w:p>
        </w:tc>
        <w:tc>
          <w:tcPr>
            <w:tcW w:w="1701" w:type="dxa"/>
            <w:gridSpan w:val="2"/>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小型</w:t>
            </w:r>
          </w:p>
        </w:tc>
        <w:tc>
          <w:tcPr>
            <w:tcW w:w="1701" w:type="dxa"/>
            <w:gridSpan w:val="2"/>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占地面积</w:t>
            </w:r>
          </w:p>
        </w:tc>
        <w:tc>
          <w:tcPr>
            <w:tcW w:w="4272" w:type="dxa"/>
            <w:gridSpan w:val="2"/>
            <w:tcBorders>
              <w:right w:val="thinThickSmallGap" w:color="auto" w:sz="24" w:space="0"/>
            </w:tcBorders>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5709 m</w:t>
            </w:r>
            <w:r>
              <w:rPr>
                <w:rFonts w:asciiTheme="minorEastAsia" w:hAnsiTheme="minorEastAsia" w:eastAsiaTheme="minorEastAsia"/>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1530" w:type="dxa"/>
            <w:tcBorders>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劳动定员</w:t>
            </w:r>
          </w:p>
        </w:tc>
        <w:tc>
          <w:tcPr>
            <w:tcW w:w="7674" w:type="dxa"/>
            <w:gridSpan w:val="6"/>
            <w:tcBorders>
              <w:right w:val="thinThickSmallGap" w:color="auto" w:sz="24" w:space="0"/>
            </w:tcBorders>
            <w:vAlign w:val="center"/>
          </w:tcPr>
          <w:p>
            <w:pPr>
              <w:pStyle w:val="193"/>
              <w:jc w:val="left"/>
              <w:rPr>
                <w:rFonts w:asciiTheme="minorEastAsia" w:hAnsiTheme="minorEastAsia" w:eastAsiaTheme="minorEastAsia"/>
                <w:sz w:val="21"/>
                <w:szCs w:val="24"/>
              </w:rPr>
            </w:pPr>
            <w:r>
              <w:rPr>
                <w:rFonts w:hint="eastAsia" w:asciiTheme="minorEastAsia" w:hAnsiTheme="minorEastAsia" w:eastAsiaTheme="minorEastAsia"/>
                <w:sz w:val="21"/>
                <w:szCs w:val="24"/>
              </w:rPr>
              <w:t>定员</w:t>
            </w:r>
            <w:r>
              <w:rPr>
                <w:rFonts w:asciiTheme="minorEastAsia" w:hAnsiTheme="minorEastAsia" w:eastAsiaTheme="minorEastAsia"/>
                <w:sz w:val="21"/>
                <w:szCs w:val="24"/>
              </w:rPr>
              <w:t>10</w:t>
            </w:r>
            <w:r>
              <w:rPr>
                <w:rFonts w:hint="eastAsia" w:asciiTheme="minorEastAsia" w:hAnsiTheme="minorEastAsia" w:eastAsiaTheme="minorEastAsia"/>
                <w:sz w:val="21"/>
                <w:szCs w:val="24"/>
              </w:rPr>
              <w:t>人，</w:t>
            </w:r>
            <w:r>
              <w:rPr>
                <w:rFonts w:hint="eastAsia" w:asciiTheme="minorEastAsia" w:hAnsiTheme="minorEastAsia" w:eastAsiaTheme="minorEastAsia"/>
                <w:sz w:val="21"/>
                <w:szCs w:val="21"/>
              </w:rPr>
              <w:t>其中管理人员</w:t>
            </w:r>
            <w:r>
              <w:rPr>
                <w:rFonts w:asciiTheme="minorEastAsia" w:hAnsiTheme="minorEastAsia" w:eastAsiaTheme="minorEastAsia"/>
                <w:sz w:val="21"/>
                <w:szCs w:val="21"/>
              </w:rPr>
              <w:t>2</w:t>
            </w:r>
            <w:r>
              <w:rPr>
                <w:rFonts w:hint="eastAsia" w:asciiTheme="minorEastAsia" w:hAnsiTheme="minorEastAsia" w:eastAsiaTheme="minorEastAsia"/>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1530" w:type="dxa"/>
            <w:tcBorders>
              <w:left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工作制度</w:t>
            </w:r>
          </w:p>
        </w:tc>
        <w:tc>
          <w:tcPr>
            <w:tcW w:w="7674" w:type="dxa"/>
            <w:gridSpan w:val="6"/>
            <w:tcBorders>
              <w:right w:val="thinThickSmallGap" w:color="auto" w:sz="24" w:space="0"/>
            </w:tcBorders>
            <w:vAlign w:val="center"/>
          </w:tcPr>
          <w:p>
            <w:pPr>
              <w:pStyle w:val="193"/>
              <w:jc w:val="left"/>
              <w:rPr>
                <w:rFonts w:asciiTheme="minorEastAsia" w:hAnsiTheme="minorEastAsia" w:eastAsiaTheme="minorEastAsia"/>
                <w:sz w:val="21"/>
                <w:szCs w:val="24"/>
              </w:rPr>
            </w:pPr>
            <w:r>
              <w:rPr>
                <w:rFonts w:hint="eastAsia" w:asciiTheme="minorEastAsia" w:hAnsiTheme="minorEastAsia" w:eastAsiaTheme="minorEastAsia"/>
                <w:sz w:val="21"/>
                <w:szCs w:val="24"/>
              </w:rPr>
              <w:t>年生产天数</w:t>
            </w:r>
            <w:r>
              <w:rPr>
                <w:rFonts w:asciiTheme="minorEastAsia" w:hAnsiTheme="minorEastAsia" w:eastAsiaTheme="minorEastAsia"/>
                <w:sz w:val="21"/>
                <w:szCs w:val="24"/>
              </w:rPr>
              <w:t>365</w:t>
            </w:r>
            <w:r>
              <w:rPr>
                <w:rFonts w:hint="eastAsia" w:asciiTheme="minorEastAsia" w:hAnsiTheme="minorEastAsia" w:eastAsiaTheme="minorEastAsia"/>
                <w:sz w:val="21"/>
                <w:szCs w:val="24"/>
              </w:rPr>
              <w:t>，生产制度实行四班三运转，操作时数为</w:t>
            </w:r>
            <w:r>
              <w:rPr>
                <w:rFonts w:asciiTheme="minorEastAsia" w:hAnsiTheme="minorEastAsia" w:eastAsiaTheme="minorEastAsia"/>
                <w:sz w:val="21"/>
                <w:szCs w:val="24"/>
              </w:rPr>
              <w:t>8786</w:t>
            </w:r>
            <w:r>
              <w:rPr>
                <w:rFonts w:hint="eastAsia" w:asciiTheme="minorEastAsia" w:hAnsiTheme="minorEastAsia" w:eastAsiaTheme="minorEastAsia"/>
                <w:sz w:val="21"/>
                <w:szCs w:val="24"/>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1530" w:type="dxa"/>
            <w:tcBorders>
              <w:left w:val="thinThickSmallGap" w:color="auto" w:sz="24" w:space="0"/>
              <w:bottom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产品方案</w:t>
            </w:r>
          </w:p>
        </w:tc>
        <w:tc>
          <w:tcPr>
            <w:tcW w:w="7674" w:type="dxa"/>
            <w:gridSpan w:val="6"/>
            <w:tcBorders>
              <w:bottom w:val="thinThickSmallGap" w:color="auto" w:sz="24" w:space="0"/>
              <w:right w:val="thinThickSmallGap" w:color="auto" w:sz="24" w:space="0"/>
            </w:tcBorders>
            <w:vAlign w:val="center"/>
          </w:tcPr>
          <w:p>
            <w:pPr>
              <w:rPr>
                <w:rFonts w:asciiTheme="minorEastAsia" w:hAnsiTheme="minorEastAsia" w:eastAsiaTheme="minorEastAsia"/>
                <w:color w:val="000000"/>
                <w:szCs w:val="21"/>
              </w:rPr>
            </w:pPr>
            <w:r>
              <w:rPr>
                <w:rFonts w:hint="eastAsia" w:cs="仿宋_GB2312" w:asciiTheme="minorEastAsia" w:hAnsiTheme="minorEastAsia" w:eastAsiaTheme="minorEastAsia"/>
                <w:kern w:val="0"/>
                <w:szCs w:val="21"/>
                <w:lang w:val="zh-CN"/>
              </w:rPr>
              <w:t>污水处理规模为</w:t>
            </w:r>
            <w:r>
              <w:rPr>
                <w:rFonts w:cs="仿宋_GB2312" w:asciiTheme="minorEastAsia" w:hAnsiTheme="minorEastAsia" w:eastAsiaTheme="minorEastAsia"/>
                <w:kern w:val="0"/>
                <w:szCs w:val="21"/>
                <w:lang w:val="zh-CN"/>
              </w:rPr>
              <w:t>3000</w:t>
            </w:r>
            <w:r>
              <w:rPr>
                <w:rFonts w:hint="eastAsia" w:cs="仿宋_GB2312" w:asciiTheme="minorEastAsia" w:hAnsiTheme="minorEastAsia" w:eastAsiaTheme="minorEastAsia"/>
                <w:kern w:val="0"/>
                <w:szCs w:val="21"/>
                <w:lang w:val="zh-CN"/>
              </w:rPr>
              <w:t>吨</w:t>
            </w:r>
            <w:r>
              <w:rPr>
                <w:rFonts w:cs="仿宋_GB2312" w:asciiTheme="minorEastAsia" w:hAnsiTheme="minorEastAsia" w:eastAsiaTheme="minorEastAsia"/>
                <w:kern w:val="0"/>
                <w:szCs w:val="21"/>
                <w:lang w:val="zh-CN"/>
              </w:rPr>
              <w:t>/</w:t>
            </w:r>
            <w:r>
              <w:rPr>
                <w:rFonts w:hint="eastAsia" w:cs="仿宋_GB2312" w:asciiTheme="minorEastAsia" w:hAnsiTheme="minorEastAsia" w:eastAsiaTheme="minorEastAsia"/>
                <w:kern w:val="0"/>
                <w:szCs w:val="21"/>
                <w:lang w:val="zh-CN"/>
              </w:rPr>
              <w:t>日、</w:t>
            </w:r>
            <w:r>
              <w:rPr>
                <w:rFonts w:hint="eastAsia" w:cs="仿宋_GB2312" w:asciiTheme="minorEastAsia" w:hAnsiTheme="minorEastAsia" w:eastAsiaTheme="minorEastAsia"/>
                <w:kern w:val="0"/>
                <w:szCs w:val="21"/>
              </w:rPr>
              <w:t>一般</w:t>
            </w:r>
            <w:r>
              <w:rPr>
                <w:rFonts w:hint="eastAsia" w:cs="仿宋_GB2312" w:asciiTheme="minorEastAsia" w:hAnsiTheme="minorEastAsia" w:eastAsiaTheme="minorEastAsia"/>
                <w:szCs w:val="21"/>
              </w:rPr>
              <w:t>污泥</w:t>
            </w:r>
          </w:p>
        </w:tc>
      </w:tr>
    </w:tbl>
    <w:p>
      <w:pPr>
        <w:adjustRightInd w:val="0"/>
        <w:snapToGrid w:val="0"/>
        <w:spacing w:line="460" w:lineRule="exact"/>
        <w:outlineLvl w:val="1"/>
        <w:rPr>
          <w:rFonts w:hint="eastAsia"/>
          <w:b/>
          <w:color w:val="000000"/>
          <w:sz w:val="26"/>
          <w:szCs w:val="26"/>
          <w:lang w:val="zh-CN"/>
        </w:rPr>
      </w:pPr>
      <w:bookmarkStart w:id="171" w:name="_Toc19707"/>
      <w:r>
        <w:rPr>
          <w:rFonts w:hint="eastAsia"/>
          <w:b/>
          <w:color w:val="000000"/>
          <w:sz w:val="26"/>
          <w:szCs w:val="26"/>
          <w:lang w:val="zh-CN"/>
        </w:rPr>
        <w:t>2.2 周边环境概况</w:t>
      </w:r>
      <w:bookmarkEnd w:id="171"/>
    </w:p>
    <w:p>
      <w:pPr>
        <w:autoSpaceDE w:val="0"/>
        <w:autoSpaceDN w:val="0"/>
        <w:adjustRightInd w:val="0"/>
        <w:spacing w:line="460" w:lineRule="exact"/>
        <w:rPr>
          <w:rFonts w:cs="仿宋_GB2312" w:asciiTheme="minorEastAsia" w:hAnsiTheme="minorEastAsia" w:eastAsiaTheme="minorEastAsia"/>
          <w:b/>
          <w:sz w:val="28"/>
          <w:szCs w:val="28"/>
          <w:lang w:val="zh-CN"/>
        </w:rPr>
      </w:pPr>
      <w:r>
        <w:rPr>
          <w:rFonts w:cs="仿宋_GB2312" w:asciiTheme="minorEastAsia" w:hAnsiTheme="minorEastAsia" w:eastAsiaTheme="minorEastAsia"/>
          <w:b/>
          <w:sz w:val="28"/>
          <w:szCs w:val="28"/>
          <w:lang w:val="zh-CN"/>
        </w:rPr>
        <w:t>2.2.1</w:t>
      </w:r>
      <w:r>
        <w:rPr>
          <w:rFonts w:hint="eastAsia" w:cs="仿宋_GB2312" w:asciiTheme="minorEastAsia" w:hAnsiTheme="minorEastAsia" w:eastAsiaTheme="minorEastAsia"/>
          <w:b/>
          <w:sz w:val="28"/>
          <w:szCs w:val="28"/>
          <w:lang w:val="zh-CN"/>
        </w:rPr>
        <w:t>地理位置</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涪陵区地处重庆市东部，位于重庆市中心区下游</w:t>
      </w:r>
      <w:r>
        <w:rPr>
          <w:rFonts w:asciiTheme="minorEastAsia" w:hAnsiTheme="minorEastAsia" w:eastAsiaTheme="minorEastAsia"/>
          <w:sz w:val="24"/>
          <w:szCs w:val="24"/>
        </w:rPr>
        <w:t>120km</w:t>
      </w:r>
      <w:r>
        <w:rPr>
          <w:rFonts w:hint="eastAsia" w:asciiTheme="minorEastAsia" w:hAnsiTheme="minorEastAsia" w:eastAsiaTheme="minorEastAsia"/>
          <w:sz w:val="24"/>
          <w:szCs w:val="24"/>
        </w:rPr>
        <w:t>长江和乌江汇合口处，地理坐标介于东经</w:t>
      </w:r>
      <w:r>
        <w:rPr>
          <w:rFonts w:asciiTheme="minorEastAsia" w:hAnsiTheme="minorEastAsia" w:eastAsiaTheme="minorEastAsia"/>
          <w:sz w:val="24"/>
          <w:szCs w:val="24"/>
        </w:rPr>
        <w:t>106</w:t>
      </w:r>
      <w:r>
        <w:rPr>
          <w:rFonts w:hint="eastAsia" w:asciiTheme="minorEastAsia" w:hAnsiTheme="minorEastAsia" w:eastAsiaTheme="minorEastAsia"/>
          <w:sz w:val="24"/>
          <w:szCs w:val="24"/>
        </w:rPr>
        <w:t>°</w:t>
      </w:r>
      <w:r>
        <w:rPr>
          <w:rFonts w:asciiTheme="minorEastAsia" w:hAnsiTheme="minorEastAsia" w:eastAsiaTheme="minorEastAsia"/>
          <w:sz w:val="24"/>
          <w:szCs w:val="24"/>
        </w:rPr>
        <w:t>56</w:t>
      </w:r>
      <w:r>
        <w:rPr>
          <w:rFonts w:hint="eastAsia" w:cs="宋体" w:asciiTheme="minorEastAsia" w:hAnsiTheme="minorEastAsia" w:eastAsiaTheme="minorEastAsia"/>
          <w:sz w:val="24"/>
          <w:szCs w:val="24"/>
        </w:rPr>
        <w:t>´´</w:t>
      </w:r>
      <w:r>
        <w:rPr>
          <w:rFonts w:hint="eastAsia" w:cs="仿宋_GB2312" w:asciiTheme="minorEastAsia" w:hAnsiTheme="minorEastAsia" w:eastAsiaTheme="minorEastAsia"/>
          <w:sz w:val="24"/>
          <w:szCs w:val="24"/>
        </w:rPr>
        <w:t>至</w:t>
      </w:r>
      <w:r>
        <w:rPr>
          <w:rFonts w:asciiTheme="minorEastAsia" w:hAnsiTheme="minorEastAsia" w:eastAsiaTheme="minorEastAsia"/>
          <w:sz w:val="24"/>
          <w:szCs w:val="24"/>
        </w:rPr>
        <w:t>107</w:t>
      </w:r>
      <w:r>
        <w:rPr>
          <w:rFonts w:hint="eastAsia" w:asciiTheme="minorEastAsia" w:hAnsiTheme="minorEastAsia" w:eastAsiaTheme="minorEastAsia"/>
          <w:sz w:val="24"/>
          <w:szCs w:val="24"/>
        </w:rPr>
        <w:t>°</w:t>
      </w:r>
      <w:r>
        <w:rPr>
          <w:rFonts w:asciiTheme="minorEastAsia" w:hAnsiTheme="minorEastAsia" w:eastAsiaTheme="minorEastAsia"/>
          <w:sz w:val="24"/>
          <w:szCs w:val="24"/>
        </w:rPr>
        <w:t>43</w:t>
      </w:r>
      <w:r>
        <w:rPr>
          <w:rFonts w:hint="eastAsia" w:cs="宋体" w:asciiTheme="minorEastAsia" w:hAnsiTheme="minorEastAsia" w:eastAsiaTheme="minorEastAsia"/>
          <w:sz w:val="24"/>
          <w:szCs w:val="24"/>
        </w:rPr>
        <w:t>´´</w:t>
      </w:r>
      <w:r>
        <w:rPr>
          <w:rFonts w:hint="eastAsia" w:cs="仿宋_GB2312" w:asciiTheme="minorEastAsia" w:hAnsiTheme="minorEastAsia" w:eastAsiaTheme="minorEastAsia"/>
          <w:sz w:val="24"/>
          <w:szCs w:val="24"/>
        </w:rPr>
        <w:t>，北纬</w:t>
      </w:r>
      <w:r>
        <w:rPr>
          <w:rFonts w:asciiTheme="minorEastAsia" w:hAnsiTheme="minorEastAsia" w:eastAsiaTheme="minorEastAsia"/>
          <w:sz w:val="24"/>
          <w:szCs w:val="24"/>
        </w:rPr>
        <w:t>29</w:t>
      </w:r>
      <w:r>
        <w:rPr>
          <w:rFonts w:hint="eastAsia" w:asciiTheme="minorEastAsia" w:hAnsiTheme="minorEastAsia" w:eastAsiaTheme="minorEastAsia"/>
          <w:sz w:val="24"/>
          <w:szCs w:val="24"/>
        </w:rPr>
        <w:t>°</w:t>
      </w:r>
      <w:r>
        <w:rPr>
          <w:rFonts w:asciiTheme="minorEastAsia" w:hAnsiTheme="minorEastAsia" w:eastAsiaTheme="minorEastAsia"/>
          <w:sz w:val="24"/>
          <w:szCs w:val="24"/>
        </w:rPr>
        <w:t>21</w:t>
      </w:r>
      <w:r>
        <w:rPr>
          <w:rFonts w:hint="eastAsia" w:cs="宋体" w:asciiTheme="minorEastAsia" w:hAnsiTheme="minorEastAsia" w:eastAsiaTheme="minorEastAsia"/>
          <w:sz w:val="24"/>
          <w:szCs w:val="24"/>
        </w:rPr>
        <w:t>´´</w:t>
      </w:r>
      <w:r>
        <w:rPr>
          <w:rFonts w:hint="eastAsia" w:cs="仿宋_GB2312" w:asciiTheme="minorEastAsia" w:hAnsiTheme="minorEastAsia" w:eastAsiaTheme="minorEastAsia"/>
          <w:sz w:val="24"/>
          <w:szCs w:val="24"/>
        </w:rPr>
        <w:t>至</w:t>
      </w:r>
      <w:r>
        <w:rPr>
          <w:rFonts w:asciiTheme="minorEastAsia" w:hAnsiTheme="minorEastAsia" w:eastAsiaTheme="minorEastAsia"/>
          <w:sz w:val="24"/>
          <w:szCs w:val="24"/>
        </w:rPr>
        <w:t>30</w:t>
      </w:r>
      <w:r>
        <w:rPr>
          <w:rFonts w:hint="eastAsia" w:asciiTheme="minorEastAsia" w:hAnsiTheme="minorEastAsia" w:eastAsiaTheme="minorEastAsia"/>
          <w:sz w:val="24"/>
          <w:szCs w:val="24"/>
        </w:rPr>
        <w:t>°</w:t>
      </w:r>
      <w:r>
        <w:rPr>
          <w:rFonts w:asciiTheme="minorEastAsia" w:hAnsiTheme="minorEastAsia" w:eastAsiaTheme="minorEastAsia"/>
          <w:sz w:val="24"/>
          <w:szCs w:val="24"/>
        </w:rPr>
        <w:t>01</w:t>
      </w:r>
      <w:r>
        <w:rPr>
          <w:rFonts w:hint="eastAsia" w:cs="宋体" w:asciiTheme="minorEastAsia" w:hAnsiTheme="minorEastAsia" w:eastAsiaTheme="minorEastAsia"/>
          <w:sz w:val="24"/>
          <w:szCs w:val="24"/>
        </w:rPr>
        <w:t>´´</w:t>
      </w:r>
      <w:r>
        <w:rPr>
          <w:rFonts w:hint="eastAsia" w:cs="仿宋_GB2312" w:asciiTheme="minorEastAsia" w:hAnsiTheme="minorEastAsia" w:eastAsiaTheme="minorEastAsia"/>
          <w:sz w:val="24"/>
          <w:szCs w:val="24"/>
        </w:rPr>
        <w:t>之间。东邻丰都，南接武隆，西接巴南区。经</w:t>
      </w:r>
      <w:r>
        <w:rPr>
          <w:rFonts w:asciiTheme="minorEastAsia" w:hAnsiTheme="minorEastAsia" w:eastAsiaTheme="minorEastAsia"/>
          <w:sz w:val="24"/>
          <w:szCs w:val="24"/>
        </w:rPr>
        <w:t>319</w:t>
      </w:r>
      <w:r>
        <w:rPr>
          <w:rFonts w:hint="eastAsia" w:asciiTheme="minorEastAsia" w:hAnsiTheme="minorEastAsia" w:eastAsiaTheme="minorEastAsia"/>
          <w:sz w:val="24"/>
          <w:szCs w:val="24"/>
        </w:rPr>
        <w:t>国道涪长公路、涪南公路与长寿、南川及湘鄂边区连接，出三峡与武汉、南京、上海一衣带水。东西长</w:t>
      </w:r>
      <w:r>
        <w:rPr>
          <w:rFonts w:asciiTheme="minorEastAsia" w:hAnsiTheme="minorEastAsia" w:eastAsiaTheme="minorEastAsia"/>
          <w:sz w:val="24"/>
          <w:szCs w:val="24"/>
        </w:rPr>
        <w:t>76km</w:t>
      </w:r>
      <w:r>
        <w:rPr>
          <w:rFonts w:hint="eastAsia" w:asciiTheme="minorEastAsia" w:hAnsiTheme="minorEastAsia" w:eastAsiaTheme="minorEastAsia"/>
          <w:sz w:val="24"/>
          <w:szCs w:val="24"/>
        </w:rPr>
        <w:t>，南北宽</w:t>
      </w:r>
      <w:r>
        <w:rPr>
          <w:rFonts w:asciiTheme="minorEastAsia" w:hAnsiTheme="minorEastAsia" w:eastAsiaTheme="minorEastAsia"/>
          <w:sz w:val="24"/>
          <w:szCs w:val="24"/>
        </w:rPr>
        <w:t>67km</w:t>
      </w:r>
      <w:r>
        <w:rPr>
          <w:rFonts w:hint="eastAsia" w:asciiTheme="minorEastAsia" w:hAnsiTheme="minorEastAsia" w:eastAsiaTheme="minorEastAsia"/>
          <w:sz w:val="24"/>
          <w:szCs w:val="24"/>
        </w:rPr>
        <w:t>，幅员面积</w:t>
      </w:r>
      <w:r>
        <w:rPr>
          <w:rFonts w:asciiTheme="minorEastAsia" w:hAnsiTheme="minorEastAsia" w:eastAsiaTheme="minorEastAsia"/>
          <w:sz w:val="24"/>
          <w:szCs w:val="24"/>
        </w:rPr>
        <w:t>2941.46km</w:t>
      </w:r>
      <w:r>
        <w:rPr>
          <w:rFonts w:asciiTheme="minorEastAsia" w:hAnsiTheme="minorEastAsia" w:eastAsiaTheme="minorEastAsia"/>
          <w:sz w:val="24"/>
          <w:szCs w:val="24"/>
          <w:vertAlign w:val="superscript"/>
        </w:rPr>
        <w:t>2</w:t>
      </w:r>
      <w:r>
        <w:rPr>
          <w:rFonts w:hint="eastAsia" w:asciiTheme="minorEastAsia" w:hAnsiTheme="minorEastAsia" w:eastAsiaTheme="minorEastAsia"/>
          <w:sz w:val="24"/>
          <w:szCs w:val="24"/>
        </w:rPr>
        <w:t>。</w:t>
      </w:r>
      <w:r>
        <w:rPr>
          <w:rFonts w:hint="eastAsia" w:asciiTheme="minorEastAsia" w:hAnsiTheme="minorEastAsia" w:eastAsiaTheme="minorEastAsia"/>
          <w:kern w:val="0"/>
          <w:sz w:val="24"/>
          <w:szCs w:val="24"/>
        </w:rPr>
        <w:t>清溪污水处理厂位于涪陵区清溪镇平原村麻柳沱，距主城区约</w:t>
      </w:r>
      <w:r>
        <w:rPr>
          <w:rFonts w:asciiTheme="minorEastAsia" w:hAnsiTheme="minorEastAsia" w:eastAsiaTheme="minorEastAsia"/>
          <w:kern w:val="0"/>
          <w:sz w:val="24"/>
          <w:szCs w:val="24"/>
        </w:rPr>
        <w:t>15km</w:t>
      </w:r>
      <w:r>
        <w:rPr>
          <w:rFonts w:hint="eastAsia" w:asciiTheme="minorEastAsia" w:hAnsiTheme="minorEastAsia" w:eastAsiaTheme="minorEastAsia"/>
          <w:kern w:val="0"/>
          <w:sz w:val="24"/>
          <w:szCs w:val="24"/>
        </w:rPr>
        <w:t>。</w:t>
      </w:r>
      <w:r>
        <w:rPr>
          <w:rFonts w:hint="eastAsia" w:asciiTheme="minorEastAsia" w:hAnsiTheme="minorEastAsia" w:eastAsiaTheme="minorEastAsia"/>
          <w:sz w:val="24"/>
          <w:szCs w:val="24"/>
        </w:rPr>
        <w:t>地理位置十分优越。</w:t>
      </w:r>
    </w:p>
    <w:p>
      <w:pPr>
        <w:autoSpaceDE w:val="0"/>
        <w:autoSpaceDN w:val="0"/>
        <w:adjustRightInd w:val="0"/>
        <w:spacing w:line="460" w:lineRule="exact"/>
        <w:rPr>
          <w:rFonts w:cs="仿宋_GB2312" w:asciiTheme="minorEastAsia" w:hAnsiTheme="minorEastAsia" w:eastAsiaTheme="minorEastAsia"/>
          <w:b/>
          <w:sz w:val="28"/>
          <w:szCs w:val="28"/>
          <w:lang w:val="zh-CN"/>
        </w:rPr>
      </w:pPr>
      <w:r>
        <w:rPr>
          <w:rFonts w:cs="仿宋_GB2312" w:asciiTheme="minorEastAsia" w:hAnsiTheme="minorEastAsia" w:eastAsiaTheme="minorEastAsia"/>
          <w:b/>
          <w:sz w:val="28"/>
          <w:szCs w:val="28"/>
          <w:lang w:val="zh-CN"/>
        </w:rPr>
        <w:t>2.2.2</w:t>
      </w:r>
      <w:r>
        <w:rPr>
          <w:rFonts w:hint="eastAsia" w:cs="仿宋_GB2312" w:asciiTheme="minorEastAsia" w:hAnsiTheme="minorEastAsia" w:eastAsiaTheme="minorEastAsia"/>
          <w:b/>
          <w:sz w:val="28"/>
          <w:szCs w:val="28"/>
          <w:lang w:val="zh-CN"/>
        </w:rPr>
        <w:t>地形、地貌与地质情况</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bCs/>
          <w:sz w:val="24"/>
          <w:szCs w:val="24"/>
        </w:rPr>
        <w:t>清溪园区污水处理厂所处区域大地构造单元位于扬子准地台四川台拗川东南褶皱束垫江拗褶带内。该拗褶带形成于喜马拉雅运动早期，由一系列不对称的背向斜组成。从</w:t>
      </w:r>
      <w:r>
        <w:rPr>
          <w:rFonts w:asciiTheme="minorEastAsia" w:hAnsiTheme="minorEastAsia" w:eastAsiaTheme="minorEastAsia"/>
          <w:bCs/>
          <w:sz w:val="24"/>
          <w:szCs w:val="24"/>
        </w:rPr>
        <w:t>NW</w:t>
      </w:r>
      <w:r>
        <w:rPr>
          <w:rFonts w:hint="eastAsia" w:asciiTheme="minorEastAsia" w:hAnsiTheme="minorEastAsia" w:eastAsiaTheme="minorEastAsia"/>
          <w:bCs/>
          <w:sz w:val="24"/>
          <w:szCs w:val="24"/>
        </w:rPr>
        <w:t>往</w:t>
      </w:r>
      <w:r>
        <w:rPr>
          <w:rFonts w:asciiTheme="minorEastAsia" w:hAnsiTheme="minorEastAsia" w:eastAsiaTheme="minorEastAsia"/>
          <w:bCs/>
          <w:sz w:val="24"/>
          <w:szCs w:val="24"/>
        </w:rPr>
        <w:t>SE</w:t>
      </w:r>
      <w:r>
        <w:rPr>
          <w:rFonts w:hint="eastAsia" w:asciiTheme="minorEastAsia" w:hAnsiTheme="minorEastAsia" w:eastAsiaTheme="minorEastAsia"/>
          <w:bCs/>
          <w:sz w:val="24"/>
          <w:szCs w:val="24"/>
        </w:rPr>
        <w:t>依次有任市向斜、假角山背斜、梁平向斜、黄泥塘背斜、拔山寺向斜、箐口背斜、珍珠场向斜、大池干井背斜、丰都向斜、方斗山背斜和石柱向斜等。背、向斜轴向</w:t>
      </w:r>
      <w:r>
        <w:rPr>
          <w:rFonts w:asciiTheme="minorEastAsia" w:hAnsiTheme="minorEastAsia" w:eastAsiaTheme="minorEastAsia"/>
          <w:bCs/>
          <w:sz w:val="24"/>
          <w:szCs w:val="24"/>
        </w:rPr>
        <w:t>NE35</w:t>
      </w:r>
      <w:r>
        <w:rPr>
          <w:rFonts w:hint="eastAsia" w:asciiTheme="minorEastAsia" w:hAnsiTheme="minorEastAsia" w:eastAsiaTheme="minorEastAsia"/>
          <w:bCs/>
          <w:sz w:val="24"/>
          <w:szCs w:val="24"/>
        </w:rPr>
        <w:t>～</w:t>
      </w:r>
      <w:r>
        <w:rPr>
          <w:rFonts w:asciiTheme="minorEastAsia" w:hAnsiTheme="minorEastAsia" w:eastAsiaTheme="minorEastAsia"/>
          <w:bCs/>
          <w:sz w:val="24"/>
          <w:szCs w:val="24"/>
        </w:rPr>
        <w:t>45</w:t>
      </w:r>
      <w:r>
        <w:rPr>
          <w:rFonts w:hint="eastAsia" w:asciiTheme="minorEastAsia" w:hAnsiTheme="minorEastAsia" w:eastAsiaTheme="minorEastAsia"/>
          <w:bCs/>
          <w:sz w:val="24"/>
          <w:szCs w:val="24"/>
        </w:rPr>
        <w:t>°，呈雁列展布，背斜狭长，东翼陡，西翼缓，向斜开阔组成典型的隔挡式褶皱。在背斜轴部常分布有伴生走向断裂，多为高角度逆断层，走向长仅</w:t>
      </w:r>
      <w:r>
        <w:rPr>
          <w:rFonts w:asciiTheme="minorEastAsia" w:hAnsiTheme="minorEastAsia" w:eastAsiaTheme="minorEastAsia"/>
          <w:bCs/>
          <w:sz w:val="24"/>
          <w:szCs w:val="24"/>
        </w:rPr>
        <w:t>10</w:t>
      </w:r>
      <w:r>
        <w:rPr>
          <w:rFonts w:hint="eastAsia" w:asciiTheme="minorEastAsia" w:hAnsiTheme="minorEastAsia" w:eastAsiaTheme="minorEastAsia"/>
          <w:bCs/>
          <w:sz w:val="24"/>
          <w:szCs w:val="24"/>
        </w:rPr>
        <w:t>～</w:t>
      </w:r>
      <w:r>
        <w:rPr>
          <w:rFonts w:asciiTheme="minorEastAsia" w:hAnsiTheme="minorEastAsia" w:eastAsiaTheme="minorEastAsia"/>
          <w:bCs/>
          <w:sz w:val="24"/>
          <w:szCs w:val="24"/>
        </w:rPr>
        <w:t>30km</w:t>
      </w:r>
      <w:r>
        <w:rPr>
          <w:rFonts w:hint="eastAsia" w:asciiTheme="minorEastAsia" w:hAnsiTheme="minorEastAsia" w:eastAsiaTheme="minorEastAsia"/>
          <w:bCs/>
          <w:sz w:val="24"/>
          <w:szCs w:val="24"/>
        </w:rPr>
        <w:t>，主要倾向</w:t>
      </w:r>
      <w:r>
        <w:rPr>
          <w:rFonts w:asciiTheme="minorEastAsia" w:hAnsiTheme="minorEastAsia" w:eastAsiaTheme="minorEastAsia"/>
          <w:bCs/>
          <w:sz w:val="24"/>
          <w:szCs w:val="24"/>
        </w:rPr>
        <w:t xml:space="preserve">NW </w:t>
      </w:r>
      <w:r>
        <w:rPr>
          <w:rFonts w:hint="eastAsia" w:asciiTheme="minorEastAsia" w:hAnsiTheme="minorEastAsia" w:eastAsiaTheme="minorEastAsia"/>
          <w:bCs/>
          <w:sz w:val="24"/>
          <w:szCs w:val="24"/>
        </w:rPr>
        <w:t>。除方斗山背斜隆起较高出露有二叠系地层外，其余背斜隆起较低，仅出露中、上三叠统地层，偶见下三叠统嘉陵江灰岩。向斜轴部常保留有大片侏罗系上统蓬莱镇组地层。在该坳褶带南端，有少量南北向构造形迹，是川黔经向构造向北延伸逐渐减弱的部分。从西往东依次有珍溪向斜、四合场背斜、堡子场向斜、苟家场背斜、梓里背斜、土地垭向斜、大耳山～羊角背斜、甘田湾向斜和接龙场背斜，南北向构造形迹以较平缓的短轴褶皱为主，部分前斜比较紧凑，断裂不多，背斜核部地层出露从西往东逐渐由新到老，羊角背斜出露核部地层为志留系。</w:t>
      </w:r>
    </w:p>
    <w:p>
      <w:pPr>
        <w:pStyle w:val="419"/>
        <w:spacing w:line="460" w:lineRule="exact"/>
        <w:rPr>
          <w:rFonts w:asciiTheme="minorEastAsia" w:hAnsiTheme="minorEastAsia" w:eastAsiaTheme="minorEastAsia"/>
          <w:snapToGrid w:val="0"/>
          <w:sz w:val="28"/>
          <w:szCs w:val="28"/>
        </w:rPr>
      </w:pPr>
      <w:r>
        <w:rPr>
          <w:rFonts w:asciiTheme="minorEastAsia" w:hAnsiTheme="minorEastAsia" w:eastAsiaTheme="minorEastAsia"/>
          <w:snapToGrid w:val="0"/>
          <w:sz w:val="28"/>
          <w:szCs w:val="28"/>
        </w:rPr>
        <w:t>2.2.3</w:t>
      </w:r>
      <w:r>
        <w:rPr>
          <w:rFonts w:hint="eastAsia" w:asciiTheme="minorEastAsia" w:hAnsiTheme="minorEastAsia" w:eastAsiaTheme="minorEastAsia"/>
          <w:snapToGrid w:val="0"/>
          <w:sz w:val="28"/>
          <w:szCs w:val="28"/>
        </w:rPr>
        <w:t>气候、气象</w:t>
      </w:r>
    </w:p>
    <w:p>
      <w:pPr>
        <w:spacing w:line="460" w:lineRule="exact"/>
        <w:ind w:firstLine="480"/>
        <w:rPr>
          <w:rFonts w:asciiTheme="minorEastAsia" w:hAnsiTheme="minorEastAsia" w:eastAsiaTheme="minorEastAsia"/>
          <w:sz w:val="26"/>
          <w:szCs w:val="26"/>
        </w:rPr>
      </w:pPr>
      <w:r>
        <w:rPr>
          <w:rFonts w:hint="eastAsia" w:asciiTheme="minorEastAsia" w:hAnsiTheme="minorEastAsia" w:eastAsiaTheme="minorEastAsia"/>
          <w:sz w:val="26"/>
          <w:szCs w:val="26"/>
        </w:rPr>
        <w:t>本项目所在涪陵区地区气候为中亚热带湿润季风气候，年平均气温</w:t>
      </w:r>
      <w:r>
        <w:rPr>
          <w:rFonts w:asciiTheme="minorEastAsia" w:hAnsiTheme="minorEastAsia" w:eastAsiaTheme="minorEastAsia"/>
          <w:sz w:val="26"/>
          <w:szCs w:val="26"/>
        </w:rPr>
        <w:t>18.2</w:t>
      </w:r>
      <w:r>
        <w:rPr>
          <w:rFonts w:hint="eastAsia" w:cs="宋体" w:asciiTheme="minorEastAsia" w:hAnsiTheme="minorEastAsia" w:eastAsiaTheme="minorEastAsia"/>
          <w:sz w:val="26"/>
          <w:szCs w:val="26"/>
        </w:rPr>
        <w:t>℃</w:t>
      </w:r>
      <w:r>
        <w:rPr>
          <w:rFonts w:hint="eastAsia" w:asciiTheme="minorEastAsia" w:hAnsiTheme="minorEastAsia" w:eastAsiaTheme="minorEastAsia"/>
          <w:sz w:val="26"/>
          <w:szCs w:val="26"/>
        </w:rPr>
        <w:t>，冬季一月平均气温</w:t>
      </w:r>
      <w:r>
        <w:rPr>
          <w:rFonts w:asciiTheme="minorEastAsia" w:hAnsiTheme="minorEastAsia" w:eastAsiaTheme="minorEastAsia"/>
          <w:sz w:val="26"/>
          <w:szCs w:val="26"/>
        </w:rPr>
        <w:t>3</w:t>
      </w:r>
      <w:r>
        <w:rPr>
          <w:rFonts w:hint="eastAsia" w:cs="宋体" w:asciiTheme="minorEastAsia" w:hAnsiTheme="minorEastAsia" w:eastAsiaTheme="minorEastAsia"/>
          <w:sz w:val="26"/>
          <w:szCs w:val="26"/>
        </w:rPr>
        <w:t>℃</w:t>
      </w:r>
      <w:r>
        <w:rPr>
          <w:rFonts w:hint="eastAsia" w:asciiTheme="minorEastAsia" w:hAnsiTheme="minorEastAsia" w:eastAsiaTheme="minorEastAsia"/>
          <w:sz w:val="26"/>
          <w:szCs w:val="26"/>
        </w:rPr>
        <w:t>，极端低温</w:t>
      </w:r>
      <w:r>
        <w:rPr>
          <w:rFonts w:asciiTheme="minorEastAsia" w:hAnsiTheme="minorEastAsia" w:eastAsiaTheme="minorEastAsia"/>
          <w:sz w:val="26"/>
          <w:szCs w:val="26"/>
        </w:rPr>
        <w:t>-4</w:t>
      </w:r>
      <w:r>
        <w:rPr>
          <w:rFonts w:hint="eastAsia" w:cs="宋体" w:asciiTheme="minorEastAsia" w:hAnsiTheme="minorEastAsia" w:eastAsiaTheme="minorEastAsia"/>
          <w:sz w:val="26"/>
          <w:szCs w:val="26"/>
        </w:rPr>
        <w:t>℃</w:t>
      </w:r>
      <w:r>
        <w:rPr>
          <w:rFonts w:hint="eastAsia" w:asciiTheme="minorEastAsia" w:hAnsiTheme="minorEastAsia" w:eastAsiaTheme="minorEastAsia"/>
          <w:sz w:val="26"/>
          <w:szCs w:val="26"/>
        </w:rPr>
        <w:t>，夏季七月平均气温</w:t>
      </w:r>
      <w:r>
        <w:rPr>
          <w:rFonts w:asciiTheme="minorEastAsia" w:hAnsiTheme="minorEastAsia" w:eastAsiaTheme="minorEastAsia"/>
          <w:sz w:val="26"/>
          <w:szCs w:val="26"/>
        </w:rPr>
        <w:t>28</w:t>
      </w:r>
      <w:r>
        <w:rPr>
          <w:rFonts w:hint="eastAsia" w:cs="宋体" w:asciiTheme="minorEastAsia" w:hAnsiTheme="minorEastAsia" w:eastAsiaTheme="minorEastAsia"/>
          <w:sz w:val="26"/>
          <w:szCs w:val="26"/>
        </w:rPr>
        <w:t>℃</w:t>
      </w:r>
      <w:r>
        <w:rPr>
          <w:rFonts w:hint="eastAsia" w:asciiTheme="minorEastAsia" w:hAnsiTheme="minorEastAsia" w:eastAsiaTheme="minorEastAsia"/>
          <w:sz w:val="26"/>
          <w:szCs w:val="26"/>
        </w:rPr>
        <w:t>，最高温度达</w:t>
      </w:r>
      <w:r>
        <w:rPr>
          <w:rFonts w:asciiTheme="minorEastAsia" w:hAnsiTheme="minorEastAsia" w:eastAsiaTheme="minorEastAsia"/>
          <w:sz w:val="26"/>
          <w:szCs w:val="26"/>
        </w:rPr>
        <w:t>42</w:t>
      </w:r>
      <w:r>
        <w:rPr>
          <w:rFonts w:hint="eastAsia" w:cs="宋体" w:asciiTheme="minorEastAsia" w:hAnsiTheme="minorEastAsia" w:eastAsiaTheme="minorEastAsia"/>
          <w:sz w:val="26"/>
          <w:szCs w:val="26"/>
        </w:rPr>
        <w:t>℃</w:t>
      </w:r>
      <w:r>
        <w:rPr>
          <w:rFonts w:hint="eastAsia" w:asciiTheme="minorEastAsia" w:hAnsiTheme="minorEastAsia" w:eastAsiaTheme="minorEastAsia"/>
          <w:sz w:val="26"/>
          <w:szCs w:val="26"/>
        </w:rPr>
        <w:t>，</w:t>
      </w:r>
      <w:r>
        <w:rPr>
          <w:rFonts w:asciiTheme="minorEastAsia" w:hAnsiTheme="minorEastAsia" w:eastAsiaTheme="minorEastAsia"/>
          <w:sz w:val="26"/>
          <w:szCs w:val="26"/>
        </w:rPr>
        <w:t>5~10</w:t>
      </w:r>
      <w:r>
        <w:rPr>
          <w:rFonts w:hint="eastAsia" w:asciiTheme="minorEastAsia" w:hAnsiTheme="minorEastAsia" w:eastAsiaTheme="minorEastAsia"/>
          <w:sz w:val="26"/>
          <w:szCs w:val="26"/>
        </w:rPr>
        <w:t>月为雨季，常年降雨量为</w:t>
      </w:r>
      <w:r>
        <w:rPr>
          <w:rFonts w:asciiTheme="minorEastAsia" w:hAnsiTheme="minorEastAsia" w:eastAsiaTheme="minorEastAsia"/>
          <w:sz w:val="26"/>
          <w:szCs w:val="26"/>
        </w:rPr>
        <w:t>1200~1400mm</w:t>
      </w:r>
      <w:r>
        <w:rPr>
          <w:rFonts w:hint="eastAsia" w:asciiTheme="minorEastAsia" w:hAnsiTheme="minorEastAsia" w:eastAsiaTheme="minorEastAsia"/>
          <w:sz w:val="26"/>
          <w:szCs w:val="26"/>
        </w:rPr>
        <w:t>左右，</w:t>
      </w:r>
      <w:r>
        <w:rPr>
          <w:rFonts w:asciiTheme="minorEastAsia" w:hAnsiTheme="minorEastAsia" w:eastAsiaTheme="minorEastAsia"/>
          <w:sz w:val="26"/>
          <w:szCs w:val="26"/>
        </w:rPr>
        <w:t>4~8</w:t>
      </w:r>
      <w:r>
        <w:rPr>
          <w:rFonts w:hint="eastAsia" w:asciiTheme="minorEastAsia" w:hAnsiTheme="minorEastAsia" w:eastAsiaTheme="minorEastAsia"/>
          <w:sz w:val="26"/>
          <w:szCs w:val="26"/>
        </w:rPr>
        <w:t>月易出现大风暴雨，容易引发洪水、滑坡等自然灾害。水系发育，山溪河流四季不断流。无霜雪天约</w:t>
      </w:r>
      <w:r>
        <w:rPr>
          <w:rFonts w:asciiTheme="minorEastAsia" w:hAnsiTheme="minorEastAsia" w:eastAsiaTheme="minorEastAsia"/>
          <w:sz w:val="26"/>
          <w:szCs w:val="26"/>
        </w:rPr>
        <w:t>317</w:t>
      </w:r>
      <w:r>
        <w:rPr>
          <w:rFonts w:hint="eastAsia" w:asciiTheme="minorEastAsia" w:hAnsiTheme="minorEastAsia" w:eastAsiaTheme="minorEastAsia"/>
          <w:sz w:val="26"/>
          <w:szCs w:val="26"/>
        </w:rPr>
        <w:t>天，日照</w:t>
      </w:r>
      <w:r>
        <w:rPr>
          <w:rFonts w:asciiTheme="minorEastAsia" w:hAnsiTheme="minorEastAsia" w:eastAsiaTheme="minorEastAsia"/>
          <w:sz w:val="26"/>
          <w:szCs w:val="26"/>
        </w:rPr>
        <w:t>1327.5</w:t>
      </w:r>
      <w:r>
        <w:rPr>
          <w:rFonts w:hint="eastAsia" w:asciiTheme="minorEastAsia" w:hAnsiTheme="minorEastAsia" w:eastAsiaTheme="minorEastAsia"/>
          <w:sz w:val="26"/>
          <w:szCs w:val="26"/>
        </w:rPr>
        <w:t>多小时。多年平均风速</w:t>
      </w:r>
      <w:r>
        <w:rPr>
          <w:rFonts w:asciiTheme="minorEastAsia" w:hAnsiTheme="minorEastAsia" w:eastAsiaTheme="minorEastAsia"/>
          <w:sz w:val="26"/>
          <w:szCs w:val="26"/>
        </w:rPr>
        <w:t>1.85m/s</w:t>
      </w:r>
      <w:r>
        <w:rPr>
          <w:rFonts w:hint="eastAsia" w:asciiTheme="minorEastAsia" w:hAnsiTheme="minorEastAsia" w:eastAsiaTheme="minorEastAsia"/>
          <w:sz w:val="26"/>
          <w:szCs w:val="26"/>
        </w:rPr>
        <w:t>，最大风速</w:t>
      </w:r>
      <w:r>
        <w:rPr>
          <w:rFonts w:asciiTheme="minorEastAsia" w:hAnsiTheme="minorEastAsia" w:eastAsiaTheme="minorEastAsia"/>
          <w:sz w:val="26"/>
          <w:szCs w:val="26"/>
        </w:rPr>
        <w:t>16m/s</w:t>
      </w:r>
      <w:r>
        <w:rPr>
          <w:rFonts w:hint="eastAsia" w:asciiTheme="minorEastAsia" w:hAnsiTheme="minorEastAsia" w:eastAsiaTheme="minorEastAsia"/>
          <w:sz w:val="26"/>
          <w:szCs w:val="26"/>
        </w:rPr>
        <w:t>，静风频率</w:t>
      </w:r>
      <w:r>
        <w:rPr>
          <w:rFonts w:asciiTheme="minorEastAsia" w:hAnsiTheme="minorEastAsia" w:eastAsiaTheme="minorEastAsia"/>
          <w:sz w:val="26"/>
          <w:szCs w:val="26"/>
        </w:rPr>
        <w:t>54%</w:t>
      </w:r>
      <w:r>
        <w:rPr>
          <w:rFonts w:hint="eastAsia" w:asciiTheme="minorEastAsia" w:hAnsiTheme="minorEastAsia" w:eastAsiaTheme="minorEastAsia"/>
          <w:sz w:val="26"/>
          <w:szCs w:val="26"/>
        </w:rPr>
        <w:t>，主导风向为东北风。</w:t>
      </w:r>
    </w:p>
    <w:p>
      <w:pPr>
        <w:pStyle w:val="419"/>
        <w:rPr>
          <w:rFonts w:asciiTheme="minorEastAsia" w:hAnsiTheme="minorEastAsia" w:eastAsiaTheme="minorEastAsia"/>
          <w:snapToGrid w:val="0"/>
          <w:sz w:val="28"/>
          <w:szCs w:val="28"/>
        </w:rPr>
      </w:pPr>
      <w:r>
        <w:rPr>
          <w:rFonts w:asciiTheme="minorEastAsia" w:hAnsiTheme="minorEastAsia" w:eastAsiaTheme="minorEastAsia"/>
          <w:snapToGrid w:val="0"/>
          <w:sz w:val="28"/>
          <w:szCs w:val="28"/>
        </w:rPr>
        <w:t>2.2.4</w:t>
      </w:r>
      <w:r>
        <w:rPr>
          <w:rFonts w:hint="eastAsia" w:asciiTheme="minorEastAsia" w:hAnsiTheme="minorEastAsia" w:eastAsiaTheme="minorEastAsia"/>
          <w:snapToGrid w:val="0"/>
          <w:sz w:val="28"/>
          <w:szCs w:val="28"/>
        </w:rPr>
        <w:t>水文特征</w:t>
      </w:r>
    </w:p>
    <w:p>
      <w:pPr>
        <w:keepNext/>
        <w:keepLines/>
        <w:adjustRightInd w:val="0"/>
        <w:snapToGrid w:val="0"/>
        <w:spacing w:before="24" w:line="480" w:lineRule="exact"/>
        <w:ind w:firstLine="480" w:firstLineChars="200"/>
        <w:outlineLvl w:val="2"/>
        <w:rPr>
          <w:rFonts w:asciiTheme="minorEastAsia" w:hAnsiTheme="minorEastAsia" w:eastAsiaTheme="minorEastAsia"/>
          <w:sz w:val="24"/>
          <w:szCs w:val="24"/>
        </w:rPr>
      </w:pPr>
      <w:r>
        <w:rPr>
          <w:rFonts w:hint="eastAsia" w:asciiTheme="minorEastAsia" w:hAnsiTheme="minorEastAsia" w:eastAsiaTheme="minorEastAsia"/>
          <w:sz w:val="24"/>
          <w:szCs w:val="24"/>
        </w:rPr>
        <w:t>涪陵区境内长江流程</w:t>
      </w:r>
      <w:r>
        <w:rPr>
          <w:rFonts w:asciiTheme="minorEastAsia" w:hAnsiTheme="minorEastAsia" w:eastAsiaTheme="minorEastAsia"/>
          <w:sz w:val="24"/>
          <w:szCs w:val="24"/>
        </w:rPr>
        <w:t>77km</w:t>
      </w:r>
      <w:r>
        <w:rPr>
          <w:rFonts w:hint="eastAsia" w:asciiTheme="minorEastAsia" w:hAnsiTheme="minorEastAsia" w:eastAsiaTheme="minorEastAsia"/>
          <w:sz w:val="24"/>
          <w:szCs w:val="24"/>
        </w:rPr>
        <w:t>，乌江流程</w:t>
      </w:r>
      <w:r>
        <w:rPr>
          <w:rFonts w:asciiTheme="minorEastAsia" w:hAnsiTheme="minorEastAsia" w:eastAsiaTheme="minorEastAsia"/>
          <w:sz w:val="24"/>
          <w:szCs w:val="24"/>
        </w:rPr>
        <w:t>33km</w:t>
      </w:r>
      <w:r>
        <w:rPr>
          <w:rFonts w:hint="eastAsia" w:asciiTheme="minorEastAsia" w:hAnsiTheme="minorEastAsia" w:eastAsiaTheme="minorEastAsia"/>
          <w:sz w:val="24"/>
          <w:szCs w:val="24"/>
        </w:rPr>
        <w:t>。汇入长江的一级支流</w:t>
      </w:r>
      <w:r>
        <w:rPr>
          <w:rFonts w:asciiTheme="minorEastAsia" w:hAnsiTheme="minorEastAsia" w:eastAsiaTheme="minorEastAsia"/>
          <w:sz w:val="24"/>
          <w:szCs w:val="24"/>
        </w:rPr>
        <w:t>35</w:t>
      </w:r>
      <w:r>
        <w:rPr>
          <w:rFonts w:hint="eastAsia" w:asciiTheme="minorEastAsia" w:hAnsiTheme="minorEastAsia" w:eastAsiaTheme="minorEastAsia"/>
          <w:sz w:val="24"/>
          <w:szCs w:val="24"/>
        </w:rPr>
        <w:t>条，其中流域面积大于</w:t>
      </w:r>
      <w:r>
        <w:rPr>
          <w:rFonts w:asciiTheme="minorEastAsia" w:hAnsiTheme="minorEastAsia" w:eastAsiaTheme="minorEastAsia"/>
          <w:sz w:val="24"/>
          <w:szCs w:val="24"/>
        </w:rPr>
        <w:t>100km</w:t>
      </w:r>
      <w:r>
        <w:rPr>
          <w:rFonts w:asciiTheme="minorEastAsia" w:hAnsiTheme="minorEastAsia" w:eastAsiaTheme="minorEastAsia"/>
          <w:sz w:val="24"/>
          <w:szCs w:val="24"/>
          <w:vertAlign w:val="superscript"/>
        </w:rPr>
        <w:t>2</w:t>
      </w:r>
      <w:r>
        <w:rPr>
          <w:rFonts w:hint="eastAsia" w:asciiTheme="minorEastAsia" w:hAnsiTheme="minorEastAsia" w:eastAsiaTheme="minorEastAsia"/>
          <w:sz w:val="24"/>
          <w:szCs w:val="24"/>
        </w:rPr>
        <w:t>的河流有乌江、梨香溪、小溪、渠溪河等</w:t>
      </w:r>
      <w:r>
        <w:rPr>
          <w:rFonts w:asciiTheme="minorEastAsia" w:hAnsiTheme="minorEastAsia" w:eastAsiaTheme="minorEastAsia"/>
          <w:sz w:val="24"/>
          <w:szCs w:val="24"/>
        </w:rPr>
        <w:t>12</w:t>
      </w:r>
      <w:r>
        <w:rPr>
          <w:rFonts w:hint="eastAsia" w:asciiTheme="minorEastAsia" w:hAnsiTheme="minorEastAsia" w:eastAsiaTheme="minorEastAsia"/>
          <w:sz w:val="24"/>
          <w:szCs w:val="24"/>
        </w:rPr>
        <w:t>条。境内河流大多为雨源补给型，径流因季风降水而比较丰富，多夏洪秋汛，暴涨暴落，水位变幅大。</w:t>
      </w:r>
    </w:p>
    <w:p>
      <w:pPr>
        <w:keepNext/>
        <w:keepLines/>
        <w:adjustRightInd w:val="0"/>
        <w:snapToGrid w:val="0"/>
        <w:spacing w:before="24" w:line="480" w:lineRule="exact"/>
        <w:ind w:firstLine="480" w:firstLineChars="200"/>
        <w:outlineLvl w:val="2"/>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根据《重庆市人民政府批转重庆市地表水环境功能类别调整方案的通知》（渝府发</w:t>
      </w:r>
      <w:r>
        <w:rPr>
          <w:rFonts w:asciiTheme="minorEastAsia" w:hAnsiTheme="minorEastAsia" w:eastAsiaTheme="minorEastAsia"/>
          <w:color w:val="000000"/>
          <w:sz w:val="24"/>
          <w:szCs w:val="24"/>
        </w:rPr>
        <w:t>[2012]4</w:t>
      </w:r>
      <w:r>
        <w:rPr>
          <w:rFonts w:hint="eastAsia" w:asciiTheme="minorEastAsia" w:hAnsiTheme="minorEastAsia" w:eastAsiaTheme="minorEastAsia"/>
          <w:color w:val="000000"/>
          <w:sz w:val="24"/>
          <w:szCs w:val="24"/>
        </w:rPr>
        <w:t>号），本项目接纳排污口的小河沟无水域功能，小河沟所汇入长江段为</w:t>
      </w:r>
      <w:r>
        <w:rPr>
          <w:rFonts w:hint="eastAsia" w:cs="宋体" w:asciiTheme="minorEastAsia" w:hAnsiTheme="minorEastAsia" w:eastAsiaTheme="minorEastAsia"/>
          <w:color w:val="000000"/>
          <w:sz w:val="24"/>
          <w:szCs w:val="24"/>
        </w:rPr>
        <w:t>Ⅲ</w:t>
      </w:r>
      <w:r>
        <w:rPr>
          <w:rFonts w:hint="eastAsia" w:asciiTheme="minorEastAsia" w:hAnsiTheme="minorEastAsia" w:eastAsiaTheme="minorEastAsia"/>
          <w:color w:val="000000"/>
          <w:sz w:val="24"/>
          <w:szCs w:val="24"/>
        </w:rPr>
        <w:t>类水体，下游约</w:t>
      </w:r>
      <w:r>
        <w:rPr>
          <w:rFonts w:asciiTheme="minorEastAsia" w:hAnsiTheme="minorEastAsia" w:eastAsiaTheme="minorEastAsia"/>
          <w:color w:val="000000"/>
          <w:sz w:val="24"/>
          <w:szCs w:val="24"/>
        </w:rPr>
        <w:t>2.3km</w:t>
      </w:r>
      <w:r>
        <w:rPr>
          <w:rFonts w:hint="eastAsia" w:asciiTheme="minorEastAsia" w:hAnsiTheme="minorEastAsia" w:eastAsiaTheme="minorEastAsia"/>
          <w:color w:val="000000"/>
          <w:sz w:val="24"/>
          <w:szCs w:val="24"/>
        </w:rPr>
        <w:t>为</w:t>
      </w:r>
      <w:r>
        <w:rPr>
          <w:rFonts w:hint="eastAsia" w:cs="宋体" w:asciiTheme="minorEastAsia" w:hAnsiTheme="minorEastAsia" w:eastAsiaTheme="minorEastAsia"/>
          <w:color w:val="000000"/>
          <w:sz w:val="24"/>
          <w:szCs w:val="24"/>
        </w:rPr>
        <w:t>Ⅱ</w:t>
      </w:r>
      <w:r>
        <w:rPr>
          <w:rFonts w:hint="eastAsia" w:asciiTheme="minorEastAsia" w:hAnsiTheme="minorEastAsia" w:eastAsiaTheme="minorEastAsia"/>
          <w:color w:val="000000"/>
          <w:sz w:val="24"/>
          <w:szCs w:val="24"/>
        </w:rPr>
        <w:t>类水体。</w:t>
      </w:r>
    </w:p>
    <w:p>
      <w:pPr>
        <w:snapToGrid w:val="0"/>
        <w:spacing w:line="480" w:lineRule="atLeast"/>
        <w:jc w:val="left"/>
        <w:rPr>
          <w:rFonts w:asciiTheme="minorEastAsia" w:hAnsiTheme="minorEastAsia" w:eastAsiaTheme="minorEastAsia"/>
          <w:b/>
          <w:snapToGrid w:val="0"/>
          <w:sz w:val="28"/>
          <w:szCs w:val="28"/>
        </w:rPr>
      </w:pPr>
      <w:r>
        <w:rPr>
          <w:rFonts w:asciiTheme="minorEastAsia" w:hAnsiTheme="minorEastAsia" w:eastAsiaTheme="minorEastAsia"/>
          <w:b/>
          <w:snapToGrid w:val="0"/>
          <w:sz w:val="28"/>
          <w:szCs w:val="28"/>
        </w:rPr>
        <w:t>2.2.5</w:t>
      </w:r>
      <w:r>
        <w:rPr>
          <w:rFonts w:hint="eastAsia" w:asciiTheme="minorEastAsia" w:hAnsiTheme="minorEastAsia" w:eastAsiaTheme="minorEastAsia"/>
          <w:b/>
          <w:snapToGrid w:val="0"/>
          <w:sz w:val="28"/>
          <w:szCs w:val="28"/>
        </w:rPr>
        <w:t>生态现状</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结合近年来三峡库区长江段已公开发表的浮游植物文献，整理得到长江涪陵段浮游植物</w:t>
      </w:r>
      <w:r>
        <w:rPr>
          <w:rFonts w:asciiTheme="minorEastAsia" w:hAnsiTheme="minorEastAsia" w:eastAsiaTheme="minorEastAsia"/>
          <w:sz w:val="24"/>
          <w:szCs w:val="24"/>
        </w:rPr>
        <w:t>7</w:t>
      </w:r>
      <w:r>
        <w:rPr>
          <w:rFonts w:hint="eastAsia" w:asciiTheme="minorEastAsia" w:hAnsiTheme="minorEastAsia" w:eastAsiaTheme="minorEastAsia"/>
          <w:sz w:val="24"/>
          <w:szCs w:val="24"/>
        </w:rPr>
        <w:t>门，</w:t>
      </w:r>
      <w:r>
        <w:rPr>
          <w:rFonts w:asciiTheme="minorEastAsia" w:hAnsiTheme="minorEastAsia" w:eastAsiaTheme="minorEastAsia"/>
          <w:sz w:val="24"/>
          <w:szCs w:val="24"/>
        </w:rPr>
        <w:t>9</w:t>
      </w:r>
      <w:r>
        <w:rPr>
          <w:rFonts w:hint="eastAsia" w:asciiTheme="minorEastAsia" w:hAnsiTheme="minorEastAsia" w:eastAsiaTheme="minorEastAsia"/>
          <w:sz w:val="24"/>
          <w:szCs w:val="24"/>
        </w:rPr>
        <w:t>纲，</w:t>
      </w:r>
      <w:r>
        <w:rPr>
          <w:rFonts w:asciiTheme="minorEastAsia" w:hAnsiTheme="minorEastAsia" w:eastAsiaTheme="minorEastAsia"/>
          <w:sz w:val="24"/>
          <w:szCs w:val="24"/>
        </w:rPr>
        <w:t>20</w:t>
      </w:r>
      <w:r>
        <w:rPr>
          <w:rFonts w:hint="eastAsia" w:asciiTheme="minorEastAsia" w:hAnsiTheme="minorEastAsia" w:eastAsiaTheme="minorEastAsia"/>
          <w:sz w:val="24"/>
          <w:szCs w:val="24"/>
        </w:rPr>
        <w:t>目，</w:t>
      </w:r>
      <w:r>
        <w:rPr>
          <w:rFonts w:asciiTheme="minorEastAsia" w:hAnsiTheme="minorEastAsia" w:eastAsiaTheme="minorEastAsia"/>
          <w:sz w:val="24"/>
          <w:szCs w:val="24"/>
        </w:rPr>
        <w:t>55</w:t>
      </w:r>
      <w:r>
        <w:rPr>
          <w:rFonts w:hint="eastAsia" w:asciiTheme="minorEastAsia" w:hAnsiTheme="minorEastAsia" w:eastAsiaTheme="minorEastAsia"/>
          <w:sz w:val="24"/>
          <w:szCs w:val="24"/>
        </w:rPr>
        <w:t>属，</w:t>
      </w:r>
      <w:r>
        <w:rPr>
          <w:rFonts w:asciiTheme="minorEastAsia" w:hAnsiTheme="minorEastAsia" w:eastAsiaTheme="minorEastAsia"/>
          <w:sz w:val="24"/>
          <w:szCs w:val="24"/>
        </w:rPr>
        <w:t>107</w:t>
      </w:r>
      <w:r>
        <w:rPr>
          <w:rFonts w:hint="eastAsia" w:asciiTheme="minorEastAsia" w:hAnsiTheme="minorEastAsia" w:eastAsiaTheme="minorEastAsia"/>
          <w:sz w:val="24"/>
          <w:szCs w:val="24"/>
        </w:rPr>
        <w:t>种。硅藻门和绿藻门占总数的</w:t>
      </w:r>
      <w:r>
        <w:rPr>
          <w:rFonts w:asciiTheme="minorEastAsia" w:hAnsiTheme="minorEastAsia" w:eastAsiaTheme="minorEastAsia"/>
          <w:sz w:val="24"/>
          <w:szCs w:val="24"/>
        </w:rPr>
        <w:t>74.77%</w:t>
      </w:r>
      <w:r>
        <w:rPr>
          <w:rFonts w:hint="eastAsia" w:asciiTheme="minorEastAsia" w:hAnsiTheme="minorEastAsia" w:eastAsiaTheme="minorEastAsia"/>
          <w:sz w:val="24"/>
          <w:szCs w:val="24"/>
        </w:rPr>
        <w:t>，其中硅藻门占绝对优势。水生维管束植物则以狗牙根、双穗雀稗、扁穗牛鞭草等为主。</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根据涪陵区渔政部门提供的资料，全区长江流域中现有鱼类</w:t>
      </w:r>
      <w:r>
        <w:rPr>
          <w:rFonts w:asciiTheme="minorEastAsia" w:hAnsiTheme="minorEastAsia" w:eastAsiaTheme="minorEastAsia"/>
          <w:sz w:val="24"/>
          <w:szCs w:val="24"/>
        </w:rPr>
        <w:t>145</w:t>
      </w:r>
      <w:r>
        <w:rPr>
          <w:rFonts w:hint="eastAsia" w:asciiTheme="minorEastAsia" w:hAnsiTheme="minorEastAsia" w:eastAsiaTheme="minorEastAsia"/>
          <w:sz w:val="24"/>
          <w:szCs w:val="24"/>
        </w:rPr>
        <w:t>种（含亚种），分隶于</w:t>
      </w:r>
      <w:r>
        <w:rPr>
          <w:rFonts w:asciiTheme="minorEastAsia" w:hAnsiTheme="minorEastAsia" w:eastAsiaTheme="minorEastAsia"/>
          <w:sz w:val="24"/>
          <w:szCs w:val="24"/>
        </w:rPr>
        <w:t>7</w:t>
      </w:r>
      <w:r>
        <w:rPr>
          <w:rFonts w:hint="eastAsia" w:asciiTheme="minorEastAsia" w:hAnsiTheme="minorEastAsia" w:eastAsiaTheme="minorEastAsia"/>
          <w:sz w:val="24"/>
          <w:szCs w:val="24"/>
        </w:rPr>
        <w:t>目，</w:t>
      </w:r>
      <w:r>
        <w:rPr>
          <w:rFonts w:asciiTheme="minorEastAsia" w:hAnsiTheme="minorEastAsia" w:eastAsiaTheme="minorEastAsia"/>
          <w:sz w:val="24"/>
          <w:szCs w:val="24"/>
        </w:rPr>
        <w:t>17</w:t>
      </w:r>
      <w:r>
        <w:rPr>
          <w:rFonts w:hint="eastAsia" w:asciiTheme="minorEastAsia" w:hAnsiTheme="minorEastAsia" w:eastAsiaTheme="minorEastAsia"/>
          <w:sz w:val="24"/>
          <w:szCs w:val="24"/>
        </w:rPr>
        <w:t>科（不包括近年来引进的叉尾鮰、云斑鮰、虹鳟、俄罗斯鲟、匙吻鲟、加洲鲈鱼、锦鲤等品种）。属国家一级保护的水生野生动物有中华鲟、乌江鲟、白鲟</w:t>
      </w:r>
      <w:r>
        <w:rPr>
          <w:rFonts w:asciiTheme="minorEastAsia" w:hAnsiTheme="minorEastAsia" w:eastAsiaTheme="minorEastAsia"/>
          <w:sz w:val="24"/>
          <w:szCs w:val="24"/>
        </w:rPr>
        <w:t>3</w:t>
      </w:r>
      <w:r>
        <w:rPr>
          <w:rFonts w:hint="eastAsia" w:asciiTheme="minorEastAsia" w:hAnsiTheme="minorEastAsia" w:eastAsiaTheme="minorEastAsia"/>
          <w:sz w:val="24"/>
          <w:szCs w:val="24"/>
        </w:rPr>
        <w:t>种；属国家二级保护的水生野生动物有胭脂鱼、大鲵、水獭</w:t>
      </w:r>
      <w:r>
        <w:rPr>
          <w:rFonts w:asciiTheme="minorEastAsia" w:hAnsiTheme="minorEastAsia" w:eastAsiaTheme="minorEastAsia"/>
          <w:sz w:val="24"/>
          <w:szCs w:val="24"/>
        </w:rPr>
        <w:t>3</w:t>
      </w:r>
      <w:r>
        <w:rPr>
          <w:rFonts w:hint="eastAsia" w:asciiTheme="minorEastAsia" w:hAnsiTheme="minorEastAsia" w:eastAsiaTheme="minorEastAsia"/>
          <w:sz w:val="24"/>
          <w:szCs w:val="24"/>
        </w:rPr>
        <w:t>种；属市级重点保护的水生野生动物有鲈鲤、岩原鲤、鯮、鳤、中华间吸鳅、四川华吸鳅、长薄鳅、乌龟等</w:t>
      </w:r>
      <w:r>
        <w:rPr>
          <w:rFonts w:asciiTheme="minorEastAsia" w:hAnsiTheme="minorEastAsia" w:eastAsiaTheme="minorEastAsia"/>
          <w:sz w:val="24"/>
          <w:szCs w:val="24"/>
        </w:rPr>
        <w:t>8</w:t>
      </w:r>
      <w:r>
        <w:rPr>
          <w:rFonts w:hint="eastAsia" w:asciiTheme="minorEastAsia" w:hAnsiTheme="minorEastAsia" w:eastAsiaTheme="minorEastAsia"/>
          <w:sz w:val="24"/>
          <w:szCs w:val="24"/>
        </w:rPr>
        <w:t>种。项目所在长江段以鲤科鱼类为最多，主要经济鱼类有草鱼、青鱼、鲢鱼、鲤、鲫等，无珍稀保护鱼类。</w:t>
      </w:r>
    </w:p>
    <w:p>
      <w:pPr>
        <w:adjustRightInd w:val="0"/>
        <w:snapToGrid w:val="0"/>
        <w:spacing w:line="460" w:lineRule="exact"/>
        <w:outlineLvl w:val="1"/>
        <w:rPr>
          <w:rFonts w:hint="eastAsia"/>
          <w:b/>
          <w:color w:val="000000"/>
          <w:sz w:val="26"/>
          <w:szCs w:val="26"/>
          <w:lang w:val="zh-CN"/>
        </w:rPr>
      </w:pPr>
      <w:bookmarkStart w:id="172" w:name="_Toc8486"/>
      <w:r>
        <w:rPr>
          <w:rFonts w:hint="eastAsia"/>
          <w:b/>
          <w:color w:val="000000"/>
          <w:sz w:val="26"/>
          <w:szCs w:val="26"/>
          <w:lang w:val="zh-CN"/>
        </w:rPr>
        <w:t>2.3周边环境关系</w:t>
      </w:r>
      <w:bookmarkEnd w:id="172"/>
    </w:p>
    <w:p>
      <w:pPr>
        <w:spacing w:line="48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清溪园区污水处理厂位于涪陵清溪镇平原村麻柳沱，周围</w:t>
      </w:r>
      <w:r>
        <w:rPr>
          <w:rFonts w:hint="eastAsia" w:asciiTheme="minorEastAsia" w:hAnsiTheme="minorEastAsia" w:eastAsiaTheme="minorEastAsia"/>
          <w:sz w:val="24"/>
          <w:szCs w:val="24"/>
          <w:lang w:val="zh-CN"/>
        </w:rPr>
        <w:t>无</w:t>
      </w:r>
      <w:r>
        <w:rPr>
          <w:rFonts w:hint="eastAsia" w:asciiTheme="minorEastAsia" w:hAnsiTheme="minorEastAsia" w:eastAsiaTheme="minorEastAsia"/>
          <w:sz w:val="24"/>
          <w:szCs w:val="24"/>
        </w:rPr>
        <w:t>名胜古迹和自然保护区及重要的文物保护单位和医院等环境敏感点。厂东侧为区域内环境敏感点，见表2-2和附图。</w:t>
      </w:r>
    </w:p>
    <w:p>
      <w:pPr>
        <w:spacing w:line="48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项目周边5km范围内有平原村及平原小学。</w:t>
      </w:r>
    </w:p>
    <w:p>
      <w:pPr>
        <w:spacing w:line="48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清溪河汇入长江下游10km无取水口。</w:t>
      </w:r>
    </w:p>
    <w:p>
      <w:pPr>
        <w:spacing w:line="460" w:lineRule="exact"/>
        <w:ind w:right="44" w:firstLine="48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表</w:t>
      </w:r>
      <w:r>
        <w:rPr>
          <w:rFonts w:asciiTheme="minorEastAsia" w:hAnsiTheme="minorEastAsia" w:eastAsiaTheme="minorEastAsia"/>
          <w:sz w:val="24"/>
          <w:szCs w:val="24"/>
        </w:rPr>
        <w:t>2-2</w:t>
      </w:r>
      <w:r>
        <w:rPr>
          <w:rFonts w:hint="eastAsia" w:asciiTheme="minorEastAsia" w:hAnsiTheme="minorEastAsia" w:eastAsiaTheme="minorEastAsia"/>
          <w:sz w:val="24"/>
          <w:szCs w:val="24"/>
        </w:rPr>
        <w:t>项目主要敏感点分布一览表</w:t>
      </w:r>
    </w:p>
    <w:tbl>
      <w:tblPr>
        <w:tblStyle w:val="54"/>
        <w:tblW w:w="9317" w:type="dxa"/>
        <w:tblInd w:w="-318"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76"/>
        <w:gridCol w:w="1134"/>
        <w:gridCol w:w="708"/>
        <w:gridCol w:w="709"/>
        <w:gridCol w:w="4071"/>
        <w:gridCol w:w="709"/>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710" w:type="dxa"/>
            <w:tcBorders>
              <w:top w:val="thinThickSmallGap" w:color="auto" w:sz="12" w:space="0"/>
            </w:tcBorders>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环境要素</w:t>
            </w:r>
          </w:p>
        </w:tc>
        <w:tc>
          <w:tcPr>
            <w:tcW w:w="1276" w:type="dxa"/>
            <w:tcBorders>
              <w:top w:val="thinThickSmallGap" w:color="auto" w:sz="12" w:space="0"/>
            </w:tcBorders>
            <w:vAlign w:val="center"/>
          </w:tcPr>
          <w:p>
            <w:pPr>
              <w:pStyle w:val="9"/>
              <w:spacing w:line="280" w:lineRule="atLeast"/>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敏感</w:t>
            </w:r>
          </w:p>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点名称</w:t>
            </w:r>
          </w:p>
        </w:tc>
        <w:tc>
          <w:tcPr>
            <w:tcW w:w="1134" w:type="dxa"/>
            <w:tcBorders>
              <w:top w:val="thinThickSmallGap" w:color="auto" w:sz="12" w:space="0"/>
            </w:tcBorders>
            <w:vAlign w:val="center"/>
          </w:tcPr>
          <w:p>
            <w:pPr>
              <w:pStyle w:val="9"/>
              <w:spacing w:line="280" w:lineRule="atLeast"/>
              <w:ind w:firstLine="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距场界</w:t>
            </w:r>
          </w:p>
          <w:p>
            <w:pPr>
              <w:pStyle w:val="9"/>
              <w:spacing w:line="280" w:lineRule="atLeast"/>
              <w:ind w:firstLine="0"/>
              <w:jc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距离</w:t>
            </w:r>
          </w:p>
        </w:tc>
        <w:tc>
          <w:tcPr>
            <w:tcW w:w="708" w:type="dxa"/>
            <w:tcBorders>
              <w:top w:val="thinThickSmallGap" w:color="auto" w:sz="12" w:space="0"/>
            </w:tcBorders>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方位</w:t>
            </w:r>
          </w:p>
        </w:tc>
        <w:tc>
          <w:tcPr>
            <w:tcW w:w="709" w:type="dxa"/>
            <w:tcBorders>
              <w:top w:val="thinThickSmallGap" w:color="auto" w:sz="12" w:space="0"/>
            </w:tcBorders>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高差</w:t>
            </w:r>
          </w:p>
        </w:tc>
        <w:tc>
          <w:tcPr>
            <w:tcW w:w="4071" w:type="dxa"/>
            <w:tcBorders>
              <w:top w:val="thinThickSmallGap" w:color="auto" w:sz="12" w:space="0"/>
            </w:tcBorders>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敏感点特征</w:t>
            </w:r>
          </w:p>
        </w:tc>
        <w:tc>
          <w:tcPr>
            <w:tcW w:w="709" w:type="dxa"/>
            <w:tcBorders>
              <w:top w:val="thinThickSmallGap" w:color="auto" w:sz="12" w:space="0"/>
            </w:tcBorders>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影响因素</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710"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1</w:t>
            </w:r>
          </w:p>
        </w:tc>
        <w:tc>
          <w:tcPr>
            <w:tcW w:w="1276"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1#</w:t>
            </w:r>
            <w:r>
              <w:rPr>
                <w:rFonts w:hint="eastAsia" w:asciiTheme="minorEastAsia" w:hAnsiTheme="minorEastAsia" w:eastAsiaTheme="minorEastAsia"/>
                <w:sz w:val="21"/>
                <w:szCs w:val="21"/>
              </w:rPr>
              <w:t>居民点</w:t>
            </w:r>
          </w:p>
        </w:tc>
        <w:tc>
          <w:tcPr>
            <w:tcW w:w="1134"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25-92m</w:t>
            </w:r>
          </w:p>
        </w:tc>
        <w:tc>
          <w:tcPr>
            <w:tcW w:w="708"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NE</w:t>
            </w:r>
          </w:p>
        </w:tc>
        <w:tc>
          <w:tcPr>
            <w:tcW w:w="709"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+3m</w:t>
            </w:r>
          </w:p>
        </w:tc>
        <w:tc>
          <w:tcPr>
            <w:tcW w:w="4071"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3</w:t>
            </w:r>
            <w:r>
              <w:rPr>
                <w:rFonts w:hint="eastAsia" w:asciiTheme="minorEastAsia" w:hAnsiTheme="minorEastAsia" w:eastAsiaTheme="minorEastAsia"/>
                <w:sz w:val="21"/>
                <w:szCs w:val="21"/>
              </w:rPr>
              <w:t>户，</w:t>
            </w:r>
            <w:r>
              <w:rPr>
                <w:rFonts w:asciiTheme="minorEastAsia" w:hAnsiTheme="minorEastAsia" w:eastAsiaTheme="minorEastAsia"/>
                <w:sz w:val="21"/>
                <w:szCs w:val="21"/>
              </w:rPr>
              <w:t>1-2</w:t>
            </w:r>
            <w:r>
              <w:rPr>
                <w:rFonts w:hint="eastAsia" w:asciiTheme="minorEastAsia" w:hAnsiTheme="minorEastAsia" w:eastAsiaTheme="minorEastAsia"/>
                <w:sz w:val="21"/>
                <w:szCs w:val="21"/>
              </w:rPr>
              <w:t>层砖混、砖木房屋为主，平原村</w:t>
            </w:r>
          </w:p>
        </w:tc>
        <w:tc>
          <w:tcPr>
            <w:tcW w:w="709" w:type="dxa"/>
            <w:vMerge w:val="restart"/>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噪声恶臭气体</w:t>
            </w:r>
          </w:p>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排放</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exact"/>
        </w:trPr>
        <w:tc>
          <w:tcPr>
            <w:tcW w:w="710"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2</w:t>
            </w:r>
          </w:p>
        </w:tc>
        <w:tc>
          <w:tcPr>
            <w:tcW w:w="1276" w:type="dxa"/>
            <w:vAlign w:val="center"/>
          </w:tcPr>
          <w:p>
            <w:pPr>
              <w:pStyle w:val="193"/>
              <w:rPr>
                <w:rFonts w:asciiTheme="minorEastAsia" w:hAnsiTheme="minorEastAsia" w:eastAsiaTheme="minorEastAsia"/>
                <w:bCs/>
                <w:snapToGrid w:val="0"/>
                <w:sz w:val="21"/>
                <w:szCs w:val="21"/>
              </w:rPr>
            </w:pPr>
            <w:r>
              <w:rPr>
                <w:rFonts w:asciiTheme="minorEastAsia" w:hAnsiTheme="minorEastAsia" w:eastAsiaTheme="minorEastAsia"/>
                <w:sz w:val="21"/>
                <w:szCs w:val="21"/>
              </w:rPr>
              <w:t>2#</w:t>
            </w:r>
            <w:r>
              <w:rPr>
                <w:rFonts w:hint="eastAsia" w:asciiTheme="minorEastAsia" w:hAnsiTheme="minorEastAsia" w:eastAsiaTheme="minorEastAsia"/>
                <w:sz w:val="21"/>
                <w:szCs w:val="21"/>
              </w:rPr>
              <w:t>居民点</w:t>
            </w:r>
          </w:p>
        </w:tc>
        <w:tc>
          <w:tcPr>
            <w:tcW w:w="1134"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102-250m</w:t>
            </w:r>
          </w:p>
        </w:tc>
        <w:tc>
          <w:tcPr>
            <w:tcW w:w="708"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NW</w:t>
            </w:r>
          </w:p>
        </w:tc>
        <w:tc>
          <w:tcPr>
            <w:tcW w:w="709"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-19m</w:t>
            </w:r>
          </w:p>
        </w:tc>
        <w:tc>
          <w:tcPr>
            <w:tcW w:w="4071"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18</w:t>
            </w:r>
            <w:r>
              <w:rPr>
                <w:rFonts w:hint="eastAsia" w:asciiTheme="minorEastAsia" w:hAnsiTheme="minorEastAsia" w:eastAsiaTheme="minorEastAsia"/>
                <w:sz w:val="21"/>
                <w:szCs w:val="21"/>
              </w:rPr>
              <w:t>户，</w:t>
            </w:r>
            <w:r>
              <w:rPr>
                <w:rFonts w:asciiTheme="minorEastAsia" w:hAnsiTheme="minorEastAsia" w:eastAsiaTheme="minorEastAsia"/>
                <w:sz w:val="21"/>
                <w:szCs w:val="21"/>
              </w:rPr>
              <w:t>1-2</w:t>
            </w:r>
            <w:r>
              <w:rPr>
                <w:rFonts w:hint="eastAsia" w:asciiTheme="minorEastAsia" w:hAnsiTheme="minorEastAsia" w:eastAsiaTheme="minorEastAsia"/>
                <w:sz w:val="21"/>
                <w:szCs w:val="21"/>
              </w:rPr>
              <w:t>层砖混结构房屋为主，平原村</w:t>
            </w:r>
          </w:p>
        </w:tc>
        <w:tc>
          <w:tcPr>
            <w:tcW w:w="709" w:type="dxa"/>
            <w:vMerge w:val="continue"/>
            <w:vAlign w:val="center"/>
          </w:tcPr>
          <w:p>
            <w:pPr>
              <w:widowControl/>
              <w:ind w:firstLine="420"/>
              <w:rPr>
                <w:rFonts w:asciiTheme="minorEastAsia" w:hAnsiTheme="minorEastAsia" w:eastAsiaTheme="minorEastAsia"/>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34" w:hRule="exact"/>
        </w:trPr>
        <w:tc>
          <w:tcPr>
            <w:tcW w:w="710"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3</w:t>
            </w:r>
          </w:p>
        </w:tc>
        <w:tc>
          <w:tcPr>
            <w:tcW w:w="1276"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3#</w:t>
            </w:r>
            <w:r>
              <w:rPr>
                <w:rFonts w:hint="eastAsia" w:asciiTheme="minorEastAsia" w:hAnsiTheme="minorEastAsia" w:eastAsiaTheme="minorEastAsia"/>
                <w:sz w:val="21"/>
                <w:szCs w:val="21"/>
              </w:rPr>
              <w:t>居民点</w:t>
            </w:r>
          </w:p>
        </w:tc>
        <w:tc>
          <w:tcPr>
            <w:tcW w:w="1134"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52-220m</w:t>
            </w:r>
          </w:p>
        </w:tc>
        <w:tc>
          <w:tcPr>
            <w:tcW w:w="708"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S</w:t>
            </w:r>
          </w:p>
        </w:tc>
        <w:tc>
          <w:tcPr>
            <w:tcW w:w="709"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+1m</w:t>
            </w:r>
          </w:p>
        </w:tc>
        <w:tc>
          <w:tcPr>
            <w:tcW w:w="4071" w:type="dxa"/>
            <w:vAlign w:val="center"/>
          </w:tcPr>
          <w:p>
            <w:pPr>
              <w:pStyle w:val="9"/>
              <w:spacing w:line="280" w:lineRule="atLeast"/>
              <w:ind w:firstLine="0"/>
              <w:rPr>
                <w:rFonts w:asciiTheme="minorEastAsia" w:hAnsiTheme="minorEastAsia" w:eastAsiaTheme="minorEastAsia"/>
                <w:kern w:val="2"/>
                <w:sz w:val="21"/>
                <w:szCs w:val="21"/>
              </w:rPr>
            </w:pPr>
            <w:r>
              <w:rPr>
                <w:rFonts w:asciiTheme="minorEastAsia" w:hAnsiTheme="minorEastAsia" w:eastAsiaTheme="minorEastAsia"/>
                <w:sz w:val="21"/>
                <w:szCs w:val="21"/>
              </w:rPr>
              <w:t>10</w:t>
            </w:r>
            <w:r>
              <w:rPr>
                <w:rFonts w:hint="eastAsia" w:asciiTheme="minorEastAsia" w:hAnsiTheme="minorEastAsia" w:eastAsiaTheme="minorEastAsia"/>
                <w:sz w:val="21"/>
                <w:szCs w:val="21"/>
              </w:rPr>
              <w:t>户，</w:t>
            </w:r>
            <w:r>
              <w:rPr>
                <w:rFonts w:asciiTheme="minorEastAsia" w:hAnsiTheme="minorEastAsia" w:eastAsiaTheme="minorEastAsia"/>
                <w:sz w:val="21"/>
                <w:szCs w:val="21"/>
              </w:rPr>
              <w:t>1-2</w:t>
            </w:r>
            <w:r>
              <w:rPr>
                <w:rFonts w:hint="eastAsia" w:asciiTheme="minorEastAsia" w:hAnsiTheme="minorEastAsia" w:eastAsiaTheme="minorEastAsia"/>
                <w:sz w:val="21"/>
                <w:szCs w:val="21"/>
              </w:rPr>
              <w:t>层砖混、砖木房屋为主，平原村</w:t>
            </w:r>
          </w:p>
        </w:tc>
        <w:tc>
          <w:tcPr>
            <w:tcW w:w="709" w:type="dxa"/>
            <w:vMerge w:val="continue"/>
            <w:vAlign w:val="center"/>
          </w:tcPr>
          <w:p>
            <w:pPr>
              <w:widowControl/>
              <w:ind w:firstLine="420"/>
              <w:rPr>
                <w:rFonts w:asciiTheme="minorEastAsia" w:hAnsiTheme="minorEastAsia" w:eastAsiaTheme="minorEastAsia"/>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trPr>
        <w:tc>
          <w:tcPr>
            <w:tcW w:w="710"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4</w:t>
            </w:r>
          </w:p>
        </w:tc>
        <w:tc>
          <w:tcPr>
            <w:tcW w:w="1276"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4#</w:t>
            </w:r>
            <w:r>
              <w:rPr>
                <w:rFonts w:hint="eastAsia" w:asciiTheme="minorEastAsia" w:hAnsiTheme="minorEastAsia" w:eastAsiaTheme="minorEastAsia"/>
                <w:sz w:val="21"/>
                <w:szCs w:val="21"/>
              </w:rPr>
              <w:t>居民点</w:t>
            </w:r>
          </w:p>
        </w:tc>
        <w:tc>
          <w:tcPr>
            <w:tcW w:w="1134"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86-260m</w:t>
            </w:r>
          </w:p>
        </w:tc>
        <w:tc>
          <w:tcPr>
            <w:tcW w:w="708"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SE</w:t>
            </w:r>
          </w:p>
        </w:tc>
        <w:tc>
          <w:tcPr>
            <w:tcW w:w="709"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+2m</w:t>
            </w:r>
          </w:p>
        </w:tc>
        <w:tc>
          <w:tcPr>
            <w:tcW w:w="4071" w:type="dxa"/>
            <w:vAlign w:val="center"/>
          </w:tcPr>
          <w:p>
            <w:pPr>
              <w:pStyle w:val="9"/>
              <w:spacing w:line="280" w:lineRule="atLeast"/>
              <w:ind w:firstLine="0"/>
              <w:rPr>
                <w:rFonts w:asciiTheme="minorEastAsia" w:hAnsiTheme="minorEastAsia" w:eastAsiaTheme="minorEastAsia"/>
                <w:kern w:val="2"/>
                <w:sz w:val="21"/>
                <w:szCs w:val="21"/>
              </w:rPr>
            </w:pPr>
            <w:r>
              <w:rPr>
                <w:rFonts w:asciiTheme="minorEastAsia" w:hAnsiTheme="minorEastAsia" w:eastAsiaTheme="minorEastAsia"/>
                <w:sz w:val="21"/>
                <w:szCs w:val="21"/>
              </w:rPr>
              <w:t>12</w:t>
            </w:r>
            <w:r>
              <w:rPr>
                <w:rFonts w:hint="eastAsia" w:asciiTheme="minorEastAsia" w:hAnsiTheme="minorEastAsia" w:eastAsiaTheme="minorEastAsia"/>
                <w:sz w:val="21"/>
                <w:szCs w:val="21"/>
              </w:rPr>
              <w:t>户，</w:t>
            </w:r>
            <w:r>
              <w:rPr>
                <w:rFonts w:asciiTheme="minorEastAsia" w:hAnsiTheme="minorEastAsia" w:eastAsiaTheme="minorEastAsia"/>
                <w:sz w:val="21"/>
                <w:szCs w:val="21"/>
              </w:rPr>
              <w:t>1-2</w:t>
            </w:r>
            <w:r>
              <w:rPr>
                <w:rFonts w:hint="eastAsia" w:asciiTheme="minorEastAsia" w:hAnsiTheme="minorEastAsia" w:eastAsiaTheme="minorEastAsia"/>
                <w:sz w:val="21"/>
                <w:szCs w:val="21"/>
              </w:rPr>
              <w:t>层砖混、砖木房屋为主，平原村</w:t>
            </w:r>
          </w:p>
        </w:tc>
        <w:tc>
          <w:tcPr>
            <w:tcW w:w="709" w:type="dxa"/>
            <w:vMerge w:val="continue"/>
            <w:vAlign w:val="center"/>
          </w:tcPr>
          <w:p>
            <w:pPr>
              <w:widowControl/>
              <w:ind w:firstLine="420"/>
              <w:rPr>
                <w:rFonts w:asciiTheme="minorEastAsia" w:hAnsiTheme="minorEastAsia" w:eastAsiaTheme="minorEastAsia"/>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PrEx>
        <w:trPr>
          <w:trHeight w:val="456" w:hRule="exact"/>
        </w:trPr>
        <w:tc>
          <w:tcPr>
            <w:tcW w:w="710"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5</w:t>
            </w:r>
          </w:p>
        </w:tc>
        <w:tc>
          <w:tcPr>
            <w:tcW w:w="1276"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5#</w:t>
            </w:r>
            <w:r>
              <w:rPr>
                <w:rFonts w:hint="eastAsia" w:asciiTheme="minorEastAsia" w:hAnsiTheme="minorEastAsia" w:eastAsiaTheme="minorEastAsia"/>
                <w:sz w:val="21"/>
                <w:szCs w:val="21"/>
              </w:rPr>
              <w:t>平原小学</w:t>
            </w:r>
          </w:p>
        </w:tc>
        <w:tc>
          <w:tcPr>
            <w:tcW w:w="1134"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160-220m</w:t>
            </w:r>
          </w:p>
        </w:tc>
        <w:tc>
          <w:tcPr>
            <w:tcW w:w="708"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NE</w:t>
            </w:r>
          </w:p>
        </w:tc>
        <w:tc>
          <w:tcPr>
            <w:tcW w:w="709"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+7m</w:t>
            </w:r>
          </w:p>
        </w:tc>
        <w:tc>
          <w:tcPr>
            <w:tcW w:w="4071" w:type="dxa"/>
            <w:vAlign w:val="center"/>
          </w:tcPr>
          <w:p>
            <w:pPr>
              <w:pStyle w:val="9"/>
              <w:spacing w:line="280" w:lineRule="atLeast"/>
              <w:jc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全校师生约</w:t>
            </w:r>
            <w:r>
              <w:rPr>
                <w:rFonts w:asciiTheme="minorEastAsia" w:hAnsiTheme="minorEastAsia" w:eastAsiaTheme="minorEastAsia"/>
                <w:sz w:val="21"/>
                <w:szCs w:val="21"/>
              </w:rPr>
              <w:t>400</w:t>
            </w:r>
            <w:r>
              <w:rPr>
                <w:rFonts w:hint="eastAsia" w:asciiTheme="minorEastAsia" w:hAnsiTheme="minorEastAsia" w:eastAsiaTheme="minorEastAsia"/>
                <w:sz w:val="21"/>
                <w:szCs w:val="21"/>
              </w:rPr>
              <w:t>人</w:t>
            </w:r>
          </w:p>
        </w:tc>
        <w:tc>
          <w:tcPr>
            <w:tcW w:w="709" w:type="dxa"/>
            <w:vMerge w:val="continue"/>
            <w:vAlign w:val="center"/>
          </w:tcPr>
          <w:p>
            <w:pPr>
              <w:widowControl/>
              <w:ind w:firstLine="420"/>
              <w:rPr>
                <w:rFonts w:asciiTheme="minorEastAsia" w:hAnsiTheme="minorEastAsia" w:eastAsiaTheme="minorEastAsia"/>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8" w:hRule="exact"/>
        </w:trPr>
        <w:tc>
          <w:tcPr>
            <w:tcW w:w="710"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6</w:t>
            </w:r>
          </w:p>
        </w:tc>
        <w:tc>
          <w:tcPr>
            <w:tcW w:w="1276"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6#</w:t>
            </w:r>
            <w:r>
              <w:rPr>
                <w:rFonts w:hint="eastAsia" w:asciiTheme="minorEastAsia" w:hAnsiTheme="minorEastAsia" w:eastAsiaTheme="minorEastAsia"/>
                <w:sz w:val="21"/>
                <w:szCs w:val="21"/>
              </w:rPr>
              <w:t>居民点</w:t>
            </w:r>
          </w:p>
        </w:tc>
        <w:tc>
          <w:tcPr>
            <w:tcW w:w="1134"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190-280m</w:t>
            </w:r>
          </w:p>
        </w:tc>
        <w:tc>
          <w:tcPr>
            <w:tcW w:w="708"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NE</w:t>
            </w:r>
          </w:p>
        </w:tc>
        <w:tc>
          <w:tcPr>
            <w:tcW w:w="709" w:type="dxa"/>
            <w:vAlign w:val="center"/>
          </w:tcPr>
          <w:p>
            <w:pPr>
              <w:widowControl/>
              <w:ind w:firstLine="420"/>
              <w:rPr>
                <w:rFonts w:asciiTheme="minorEastAsia" w:hAnsiTheme="minorEastAsia" w:eastAsiaTheme="minorEastAsia"/>
                <w:szCs w:val="21"/>
              </w:rPr>
            </w:pPr>
          </w:p>
        </w:tc>
        <w:tc>
          <w:tcPr>
            <w:tcW w:w="4071" w:type="dxa"/>
            <w:vAlign w:val="center"/>
          </w:tcPr>
          <w:p>
            <w:pPr>
              <w:pStyle w:val="9"/>
              <w:spacing w:line="280" w:lineRule="atLeast"/>
              <w:ind w:firstLine="0"/>
              <w:rPr>
                <w:rFonts w:asciiTheme="minorEastAsia" w:hAnsiTheme="minorEastAsia" w:eastAsiaTheme="minorEastAsia"/>
                <w:kern w:val="2"/>
                <w:sz w:val="21"/>
                <w:szCs w:val="21"/>
              </w:rPr>
            </w:pPr>
            <w:r>
              <w:rPr>
                <w:rFonts w:asciiTheme="minorEastAsia" w:hAnsiTheme="minorEastAsia" w:eastAsiaTheme="minorEastAsia"/>
                <w:sz w:val="21"/>
                <w:szCs w:val="21"/>
              </w:rPr>
              <w:t>4</w:t>
            </w:r>
            <w:r>
              <w:rPr>
                <w:rFonts w:hint="eastAsia" w:asciiTheme="minorEastAsia" w:hAnsiTheme="minorEastAsia" w:eastAsiaTheme="minorEastAsia"/>
                <w:sz w:val="21"/>
                <w:szCs w:val="21"/>
              </w:rPr>
              <w:t>户，</w:t>
            </w:r>
            <w:r>
              <w:rPr>
                <w:rFonts w:asciiTheme="minorEastAsia" w:hAnsiTheme="minorEastAsia" w:eastAsiaTheme="minorEastAsia"/>
                <w:sz w:val="21"/>
                <w:szCs w:val="21"/>
              </w:rPr>
              <w:t>1-2</w:t>
            </w:r>
            <w:r>
              <w:rPr>
                <w:rFonts w:hint="eastAsia" w:asciiTheme="minorEastAsia" w:hAnsiTheme="minorEastAsia" w:eastAsiaTheme="minorEastAsia"/>
                <w:sz w:val="21"/>
                <w:szCs w:val="21"/>
              </w:rPr>
              <w:t>层砖混、砖木房屋为主，平原村</w:t>
            </w:r>
          </w:p>
        </w:tc>
        <w:tc>
          <w:tcPr>
            <w:tcW w:w="709" w:type="dxa"/>
            <w:vMerge w:val="continue"/>
            <w:vAlign w:val="center"/>
          </w:tcPr>
          <w:p>
            <w:pPr>
              <w:widowControl/>
              <w:ind w:firstLine="420"/>
              <w:rPr>
                <w:rFonts w:asciiTheme="minorEastAsia" w:hAnsiTheme="minorEastAsia" w:eastAsiaTheme="minorEastAsia"/>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trPr>
        <w:tc>
          <w:tcPr>
            <w:tcW w:w="710" w:type="dxa"/>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7</w:t>
            </w:r>
          </w:p>
        </w:tc>
        <w:tc>
          <w:tcPr>
            <w:tcW w:w="1276" w:type="dxa"/>
            <w:vAlign w:val="center"/>
          </w:tcPr>
          <w:p>
            <w:pPr>
              <w:pStyle w:val="9"/>
              <w:spacing w:line="280" w:lineRule="atLeast"/>
              <w:ind w:firstLine="0"/>
              <w:jc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零散居民</w:t>
            </w:r>
          </w:p>
        </w:tc>
        <w:tc>
          <w:tcPr>
            <w:tcW w:w="1134"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5-200m</w:t>
            </w:r>
          </w:p>
        </w:tc>
        <w:tc>
          <w:tcPr>
            <w:tcW w:w="708"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w:t>
            </w:r>
          </w:p>
        </w:tc>
        <w:tc>
          <w:tcPr>
            <w:tcW w:w="709" w:type="dxa"/>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w:t>
            </w:r>
          </w:p>
        </w:tc>
        <w:tc>
          <w:tcPr>
            <w:tcW w:w="4071" w:type="dxa"/>
            <w:vAlign w:val="center"/>
          </w:tcPr>
          <w:p>
            <w:pPr>
              <w:pStyle w:val="9"/>
              <w:spacing w:line="280" w:lineRule="atLeast"/>
              <w:ind w:firstLine="0"/>
              <w:rPr>
                <w:rFonts w:asciiTheme="minorEastAsia" w:hAnsiTheme="minorEastAsia" w:eastAsiaTheme="minorEastAsia"/>
                <w:kern w:val="2"/>
                <w:sz w:val="21"/>
                <w:szCs w:val="21"/>
              </w:rPr>
            </w:pPr>
            <w:r>
              <w:rPr>
                <w:rFonts w:hint="eastAsia" w:asciiTheme="minorEastAsia" w:hAnsiTheme="minorEastAsia" w:eastAsiaTheme="minorEastAsia"/>
                <w:sz w:val="21"/>
                <w:szCs w:val="21"/>
              </w:rPr>
              <w:t>管网工程两侧约</w:t>
            </w:r>
            <w:r>
              <w:rPr>
                <w:rFonts w:asciiTheme="minorEastAsia" w:hAnsiTheme="minorEastAsia" w:eastAsiaTheme="minorEastAsia"/>
                <w:sz w:val="21"/>
                <w:szCs w:val="21"/>
              </w:rPr>
              <w:t>10</w:t>
            </w:r>
            <w:r>
              <w:rPr>
                <w:rFonts w:hint="eastAsia" w:asciiTheme="minorEastAsia" w:hAnsiTheme="minorEastAsia" w:eastAsiaTheme="minorEastAsia"/>
                <w:sz w:val="21"/>
                <w:szCs w:val="21"/>
              </w:rPr>
              <w:t>户，平原村零散居民</w:t>
            </w:r>
          </w:p>
        </w:tc>
        <w:tc>
          <w:tcPr>
            <w:tcW w:w="709" w:type="dxa"/>
            <w:vAlign w:val="center"/>
          </w:tcPr>
          <w:p>
            <w:pPr>
              <w:pStyle w:val="193"/>
              <w:rPr>
                <w:rFonts w:asciiTheme="minorEastAsia" w:hAnsiTheme="minorEastAsia" w:eastAsiaTheme="minorEastAsia"/>
                <w:sz w:val="21"/>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373" w:hRule="exact"/>
        </w:trPr>
        <w:tc>
          <w:tcPr>
            <w:tcW w:w="710" w:type="dxa"/>
            <w:tcBorders>
              <w:bottom w:val="thinThickSmallGap" w:color="auto" w:sz="12" w:space="0"/>
            </w:tcBorders>
            <w:vAlign w:val="center"/>
          </w:tcPr>
          <w:p>
            <w:pPr>
              <w:pStyle w:val="193"/>
              <w:rPr>
                <w:rFonts w:asciiTheme="minorEastAsia" w:hAnsiTheme="minorEastAsia" w:eastAsiaTheme="minorEastAsia"/>
                <w:sz w:val="21"/>
                <w:szCs w:val="21"/>
              </w:rPr>
            </w:pPr>
            <w:r>
              <w:rPr>
                <w:rFonts w:asciiTheme="minorEastAsia" w:hAnsiTheme="minorEastAsia" w:eastAsiaTheme="minorEastAsia"/>
                <w:sz w:val="21"/>
                <w:szCs w:val="21"/>
              </w:rPr>
              <w:t>8</w:t>
            </w:r>
          </w:p>
        </w:tc>
        <w:tc>
          <w:tcPr>
            <w:tcW w:w="1276" w:type="dxa"/>
            <w:tcBorders>
              <w:bottom w:val="thinThickSmallGap" w:color="auto" w:sz="12" w:space="0"/>
            </w:tcBorders>
            <w:vAlign w:val="center"/>
          </w:tcPr>
          <w:p>
            <w:pPr>
              <w:pStyle w:val="9"/>
              <w:spacing w:line="280" w:lineRule="atLeast"/>
              <w:jc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长江</w:t>
            </w:r>
          </w:p>
        </w:tc>
        <w:tc>
          <w:tcPr>
            <w:tcW w:w="1134" w:type="dxa"/>
            <w:tcBorders>
              <w:bottom w:val="thinThickSmallGap" w:color="auto" w:sz="12" w:space="0"/>
            </w:tcBorders>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234m</w:t>
            </w:r>
          </w:p>
        </w:tc>
        <w:tc>
          <w:tcPr>
            <w:tcW w:w="708" w:type="dxa"/>
            <w:tcBorders>
              <w:bottom w:val="thinThickSmallGap" w:color="auto" w:sz="12" w:space="0"/>
            </w:tcBorders>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W</w:t>
            </w:r>
          </w:p>
        </w:tc>
        <w:tc>
          <w:tcPr>
            <w:tcW w:w="709" w:type="dxa"/>
            <w:tcBorders>
              <w:bottom w:val="thinThickSmallGap" w:color="auto" w:sz="12" w:space="0"/>
            </w:tcBorders>
            <w:vAlign w:val="center"/>
          </w:tcPr>
          <w:p>
            <w:pPr>
              <w:pStyle w:val="9"/>
              <w:spacing w:line="280" w:lineRule="atLeast"/>
              <w:ind w:firstLine="0"/>
              <w:jc w:val="center"/>
              <w:rPr>
                <w:rFonts w:asciiTheme="minorEastAsia" w:hAnsiTheme="minorEastAsia" w:eastAsiaTheme="minorEastAsia"/>
                <w:kern w:val="2"/>
                <w:sz w:val="21"/>
                <w:szCs w:val="21"/>
              </w:rPr>
            </w:pPr>
            <w:r>
              <w:rPr>
                <w:rFonts w:asciiTheme="minorEastAsia" w:hAnsiTheme="minorEastAsia" w:eastAsiaTheme="minorEastAsia"/>
                <w:sz w:val="21"/>
                <w:szCs w:val="21"/>
              </w:rPr>
              <w:t>/</w:t>
            </w:r>
          </w:p>
        </w:tc>
        <w:tc>
          <w:tcPr>
            <w:tcW w:w="4071" w:type="dxa"/>
            <w:tcBorders>
              <w:bottom w:val="thinThickSmallGap" w:color="auto" w:sz="12" w:space="0"/>
            </w:tcBorders>
            <w:vAlign w:val="center"/>
          </w:tcPr>
          <w:p>
            <w:pPr>
              <w:pStyle w:val="9"/>
              <w:spacing w:line="280" w:lineRule="atLeast"/>
              <w:jc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长江水域功能为</w:t>
            </w:r>
            <w:r>
              <w:rPr>
                <w:rFonts w:asciiTheme="minorEastAsia" w:hAnsiTheme="minorEastAsia" w:eastAsiaTheme="minorEastAsia"/>
                <w:sz w:val="21"/>
                <w:szCs w:val="21"/>
              </w:rPr>
              <w:t>III</w:t>
            </w:r>
            <w:r>
              <w:rPr>
                <w:rFonts w:hint="eastAsia" w:asciiTheme="minorEastAsia" w:hAnsiTheme="minorEastAsia" w:eastAsiaTheme="minorEastAsia"/>
                <w:sz w:val="21"/>
                <w:szCs w:val="21"/>
              </w:rPr>
              <w:t>类。</w:t>
            </w:r>
          </w:p>
        </w:tc>
        <w:tc>
          <w:tcPr>
            <w:tcW w:w="709" w:type="dxa"/>
            <w:tcBorders>
              <w:bottom w:val="thinThickSmallGap" w:color="auto" w:sz="12" w:space="0"/>
            </w:tcBorders>
            <w:vAlign w:val="center"/>
          </w:tcPr>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环境</w:t>
            </w:r>
          </w:p>
          <w:p>
            <w:pPr>
              <w:pStyle w:val="193"/>
              <w:rPr>
                <w:rFonts w:asciiTheme="minorEastAsia" w:hAnsiTheme="minorEastAsia" w:eastAsiaTheme="minorEastAsia"/>
                <w:sz w:val="21"/>
                <w:szCs w:val="21"/>
              </w:rPr>
            </w:pPr>
            <w:r>
              <w:rPr>
                <w:rFonts w:hint="eastAsia" w:asciiTheme="minorEastAsia" w:hAnsiTheme="minorEastAsia" w:eastAsiaTheme="minorEastAsia"/>
                <w:sz w:val="21"/>
                <w:szCs w:val="21"/>
              </w:rPr>
              <w:t>风险尾水排放</w:t>
            </w:r>
          </w:p>
        </w:tc>
      </w:tr>
    </w:tbl>
    <w:p>
      <w:pPr>
        <w:adjustRightInd w:val="0"/>
        <w:snapToGrid w:val="0"/>
        <w:spacing w:line="460" w:lineRule="exact"/>
        <w:outlineLvl w:val="1"/>
        <w:rPr>
          <w:rFonts w:hint="eastAsia"/>
          <w:b/>
          <w:color w:val="000000"/>
          <w:sz w:val="26"/>
          <w:szCs w:val="26"/>
          <w:lang w:val="zh-CN"/>
        </w:rPr>
      </w:pPr>
      <w:bookmarkStart w:id="173" w:name="_Toc15454"/>
      <w:r>
        <w:rPr>
          <w:rFonts w:hint="eastAsia"/>
          <w:b/>
          <w:color w:val="000000"/>
          <w:sz w:val="26"/>
          <w:szCs w:val="26"/>
          <w:lang w:val="zh-CN"/>
        </w:rPr>
        <w:t>2.4企业现有污染物及排放标准</w:t>
      </w:r>
      <w:bookmarkEnd w:id="173"/>
    </w:p>
    <w:p>
      <w:pPr>
        <w:spacing w:line="460" w:lineRule="exact"/>
        <w:ind w:firstLine="480"/>
        <w:rPr>
          <w:rFonts w:asciiTheme="minorEastAsia" w:hAnsiTheme="minorEastAsia" w:eastAsiaTheme="minorEastAsia"/>
          <w:b/>
          <w:snapToGrid w:val="0"/>
          <w:sz w:val="24"/>
          <w:szCs w:val="24"/>
        </w:rPr>
      </w:pPr>
      <w:r>
        <w:rPr>
          <w:rFonts w:hint="eastAsia" w:asciiTheme="minorEastAsia" w:hAnsiTheme="minorEastAsia" w:eastAsiaTheme="minorEastAsia"/>
          <w:b/>
          <w:snapToGrid w:val="0"/>
          <w:sz w:val="24"/>
          <w:szCs w:val="24"/>
        </w:rPr>
        <w:t>（</w:t>
      </w:r>
      <w:r>
        <w:rPr>
          <w:rFonts w:asciiTheme="minorEastAsia" w:hAnsiTheme="minorEastAsia" w:eastAsiaTheme="minorEastAsia"/>
          <w:b/>
          <w:snapToGrid w:val="0"/>
          <w:sz w:val="24"/>
          <w:szCs w:val="24"/>
        </w:rPr>
        <w:t>1</w:t>
      </w:r>
      <w:r>
        <w:rPr>
          <w:rFonts w:hint="eastAsia" w:asciiTheme="minorEastAsia" w:hAnsiTheme="minorEastAsia" w:eastAsiaTheme="minorEastAsia"/>
          <w:b/>
          <w:snapToGrid w:val="0"/>
          <w:sz w:val="24"/>
          <w:szCs w:val="24"/>
        </w:rPr>
        <w:t>）废气</w:t>
      </w:r>
    </w:p>
    <w:p>
      <w:pPr>
        <w:spacing w:line="480" w:lineRule="exact"/>
        <w:ind w:firstLine="540" w:firstLineChars="225"/>
        <w:rPr>
          <w:rFonts w:ascii="宋体"/>
          <w:sz w:val="24"/>
          <w:szCs w:val="24"/>
        </w:rPr>
      </w:pPr>
      <w:r>
        <w:rPr>
          <w:rFonts w:hint="eastAsia" w:asciiTheme="minorEastAsia" w:hAnsiTheme="minorEastAsia" w:eastAsiaTheme="minorEastAsia"/>
          <w:sz w:val="24"/>
          <w:szCs w:val="24"/>
        </w:rPr>
        <w:t>根据《重庆市大气污染物综合排放标准》（DB50/418-2012），臭气执行《恶臭污染物排放标准》（GB14554-93）厂界标准二级，</w:t>
      </w:r>
      <w:r>
        <w:rPr>
          <w:rFonts w:hint="eastAsia" w:ascii="仿宋_GB2312"/>
          <w:snapToGrid w:val="0"/>
          <w:sz w:val="24"/>
          <w:szCs w:val="24"/>
        </w:rPr>
        <w:t>见表</w:t>
      </w:r>
      <w:r>
        <w:rPr>
          <w:rFonts w:ascii="仿宋_GB2312"/>
          <w:snapToGrid w:val="0"/>
          <w:sz w:val="24"/>
          <w:szCs w:val="24"/>
        </w:rPr>
        <w:t>2-3</w:t>
      </w:r>
      <w:r>
        <w:rPr>
          <w:rFonts w:hint="eastAsia" w:ascii="仿宋_GB2312"/>
          <w:snapToGrid w:val="0"/>
          <w:sz w:val="24"/>
          <w:szCs w:val="24"/>
        </w:rPr>
        <w:t>。</w:t>
      </w:r>
    </w:p>
    <w:p>
      <w:pPr>
        <w:pStyle w:val="193"/>
        <w:rPr>
          <w:rFonts w:asciiTheme="minorEastAsia" w:hAnsiTheme="minorEastAsia" w:eastAsiaTheme="minorEastAsia"/>
          <w:snapToGrid w:val="0"/>
        </w:rPr>
      </w:pPr>
      <w:r>
        <w:rPr>
          <w:rFonts w:ascii="仿宋_GB2312"/>
          <w:snapToGrid w:val="0"/>
        </w:rPr>
        <w:t xml:space="preserve">        </w:t>
      </w:r>
      <w:r>
        <w:rPr>
          <w:rFonts w:asciiTheme="minorEastAsia" w:hAnsiTheme="minorEastAsia" w:eastAsiaTheme="minorEastAsia"/>
          <w:snapToGrid w:val="0"/>
        </w:rPr>
        <w:t xml:space="preserve">  </w:t>
      </w:r>
      <w:r>
        <w:rPr>
          <w:rFonts w:hint="eastAsia" w:asciiTheme="minorEastAsia" w:hAnsiTheme="minorEastAsia" w:eastAsiaTheme="minorEastAsia"/>
          <w:snapToGrid w:val="0"/>
        </w:rPr>
        <w:t>表</w:t>
      </w:r>
      <w:r>
        <w:rPr>
          <w:rFonts w:asciiTheme="minorEastAsia" w:hAnsiTheme="minorEastAsia" w:eastAsiaTheme="minorEastAsia"/>
          <w:snapToGrid w:val="0"/>
        </w:rPr>
        <w:t xml:space="preserve">2-3  </w:t>
      </w:r>
      <w:r>
        <w:rPr>
          <w:rFonts w:hint="eastAsia" w:asciiTheme="minorEastAsia" w:hAnsiTheme="minorEastAsia" w:eastAsiaTheme="minorEastAsia"/>
          <w:snapToGrid w:val="0"/>
        </w:rPr>
        <w:t>废气排放标准</w:t>
      </w:r>
      <w:r>
        <w:rPr>
          <w:rFonts w:asciiTheme="minorEastAsia" w:hAnsiTheme="minorEastAsia" w:eastAsiaTheme="minorEastAsia"/>
          <w:snapToGrid w:val="0"/>
        </w:rPr>
        <w:t xml:space="preserve">                   </w:t>
      </w:r>
      <w:r>
        <w:rPr>
          <w:rFonts w:hint="eastAsia" w:asciiTheme="minorEastAsia" w:hAnsiTheme="minorEastAsia" w:eastAsiaTheme="minorEastAsia"/>
          <w:snapToGrid w:val="0"/>
        </w:rPr>
        <w:t>单位：</w:t>
      </w:r>
      <w:r>
        <w:rPr>
          <w:rFonts w:asciiTheme="minorEastAsia" w:hAnsiTheme="minorEastAsia" w:eastAsiaTheme="minorEastAsia"/>
          <w:snapToGrid w:val="0"/>
        </w:rPr>
        <w:t>mg/m</w:t>
      </w:r>
      <w:r>
        <w:rPr>
          <w:rFonts w:asciiTheme="minorEastAsia" w:hAnsiTheme="minorEastAsia" w:eastAsiaTheme="minorEastAsia"/>
          <w:snapToGrid w:val="0"/>
          <w:vertAlign w:val="superscript"/>
        </w:rPr>
        <w:t>3</w:t>
      </w:r>
    </w:p>
    <w:tbl>
      <w:tblPr>
        <w:tblStyle w:val="54"/>
        <w:tblW w:w="9006" w:type="dxa"/>
        <w:jc w:val="center"/>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423"/>
        <w:gridCol w:w="2127"/>
        <w:gridCol w:w="4456"/>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423" w:type="dxa"/>
            <w:tcBorders>
              <w:top w:val="thinThickSmallGap" w:color="auto" w:sz="18" w:space="0"/>
              <w:righ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污染物名称</w:t>
            </w:r>
          </w:p>
        </w:tc>
        <w:tc>
          <w:tcPr>
            <w:tcW w:w="2127" w:type="dxa"/>
            <w:tcBorders>
              <w:top w:val="thinThickSmallGap" w:color="auto" w:sz="18" w:space="0"/>
              <w:lef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周界外浓度最高点</w:t>
            </w:r>
          </w:p>
        </w:tc>
        <w:tc>
          <w:tcPr>
            <w:tcW w:w="4456" w:type="dxa"/>
            <w:tcBorders>
              <w:top w:val="thinThickSmallGap" w:color="auto" w:sz="18" w:space="0"/>
              <w:lef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依</w:t>
            </w:r>
            <w:r>
              <w:rPr>
                <w:rFonts w:asciiTheme="minorEastAsia" w:hAnsiTheme="minorEastAsia" w:eastAsiaTheme="minorEastAsia"/>
                <w:sz w:val="21"/>
                <w:szCs w:val="24"/>
              </w:rPr>
              <w:t xml:space="preserve"> </w:t>
            </w:r>
            <w:r>
              <w:rPr>
                <w:rFonts w:hint="eastAsia" w:asciiTheme="minorEastAsia" w:hAnsiTheme="minorEastAsia" w:eastAsiaTheme="minorEastAsia"/>
                <w:sz w:val="21"/>
                <w:szCs w:val="24"/>
              </w:rPr>
              <w:t>据</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423" w:type="dxa"/>
            <w:tcBorders>
              <w:righ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臭气</w:t>
            </w:r>
          </w:p>
        </w:tc>
        <w:tc>
          <w:tcPr>
            <w:tcW w:w="2127" w:type="dxa"/>
            <w:tcBorders>
              <w:lef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20</w:t>
            </w:r>
          </w:p>
        </w:tc>
        <w:tc>
          <w:tcPr>
            <w:tcW w:w="4456" w:type="dxa"/>
            <w:tcBorders>
              <w:lef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《恶臭污染物排放标准》（</w:t>
            </w:r>
            <w:r>
              <w:rPr>
                <w:rFonts w:asciiTheme="minorEastAsia" w:hAnsiTheme="minorEastAsia" w:eastAsiaTheme="minorEastAsia"/>
                <w:sz w:val="21"/>
                <w:szCs w:val="24"/>
              </w:rPr>
              <w:t>GB14554-93</w:t>
            </w:r>
            <w:r>
              <w:rPr>
                <w:rFonts w:hint="eastAsia" w:asciiTheme="minorEastAsia" w:hAnsiTheme="minorEastAsia" w:eastAsiaTheme="minorEastAsia"/>
                <w:sz w:val="21"/>
                <w:szCs w:val="24"/>
              </w:rPr>
              <w:t>）</w:t>
            </w:r>
          </w:p>
        </w:tc>
      </w:tr>
    </w:tbl>
    <w:p>
      <w:pPr>
        <w:pStyle w:val="193"/>
        <w:jc w:val="both"/>
        <w:rPr>
          <w:rFonts w:asciiTheme="minorEastAsia" w:hAnsiTheme="minorEastAsia" w:eastAsiaTheme="minorEastAsia"/>
          <w:b/>
        </w:rPr>
      </w:pPr>
      <w:r>
        <w:rPr>
          <w:rFonts w:asciiTheme="minorEastAsia" w:hAnsiTheme="minorEastAsia" w:eastAsiaTheme="minorEastAsia"/>
        </w:rPr>
        <w:t xml:space="preserve">     </w:t>
      </w:r>
      <w:r>
        <w:rPr>
          <w:rFonts w:hint="eastAsia" w:asciiTheme="minorEastAsia" w:hAnsiTheme="minorEastAsia" w:eastAsiaTheme="minorEastAsia"/>
          <w:b/>
          <w:snapToGrid w:val="0"/>
        </w:rPr>
        <w:t>（</w:t>
      </w:r>
      <w:r>
        <w:rPr>
          <w:rFonts w:asciiTheme="minorEastAsia" w:hAnsiTheme="minorEastAsia" w:eastAsiaTheme="minorEastAsia"/>
          <w:b/>
          <w:snapToGrid w:val="0"/>
        </w:rPr>
        <w:t>2</w:t>
      </w:r>
      <w:r>
        <w:rPr>
          <w:rFonts w:hint="eastAsia" w:asciiTheme="minorEastAsia" w:hAnsiTheme="minorEastAsia" w:eastAsiaTheme="minorEastAsia"/>
          <w:b/>
          <w:snapToGrid w:val="0"/>
        </w:rPr>
        <w:t>）废水</w:t>
      </w:r>
    </w:p>
    <w:p>
      <w:pPr>
        <w:spacing w:line="460" w:lineRule="exact"/>
        <w:ind w:firstLine="480"/>
        <w:rPr>
          <w:rFonts w:asciiTheme="minorEastAsia" w:hAnsiTheme="minorEastAsia" w:eastAsiaTheme="minorEastAsia"/>
        </w:rPr>
      </w:pPr>
      <w:r>
        <w:rPr>
          <w:rFonts w:hint="eastAsia" w:ascii="仿宋_GB2312"/>
          <w:sz w:val="24"/>
          <w:szCs w:val="24"/>
        </w:rPr>
        <w:t>污水处理厂处理达到《污水综合排放标准》（</w:t>
      </w:r>
      <w:r>
        <w:rPr>
          <w:rFonts w:ascii="仿宋_GB2312"/>
          <w:sz w:val="24"/>
          <w:szCs w:val="24"/>
        </w:rPr>
        <w:t>GB8978-1996</w:t>
      </w:r>
      <w:r>
        <w:rPr>
          <w:rFonts w:hint="eastAsia" w:ascii="仿宋_GB2312"/>
          <w:sz w:val="24"/>
          <w:szCs w:val="24"/>
        </w:rPr>
        <w:t>）中第二类污染物（</w:t>
      </w:r>
      <w:r>
        <w:rPr>
          <w:rFonts w:ascii="仿宋_GB2312"/>
          <w:sz w:val="24"/>
          <w:szCs w:val="24"/>
        </w:rPr>
        <w:t>1998</w:t>
      </w:r>
      <w:r>
        <w:rPr>
          <w:rFonts w:hint="eastAsia" w:ascii="仿宋_GB2312"/>
          <w:sz w:val="24"/>
          <w:szCs w:val="24"/>
        </w:rPr>
        <w:t>年</w:t>
      </w:r>
      <w:r>
        <w:rPr>
          <w:rFonts w:ascii="仿宋_GB2312"/>
          <w:sz w:val="24"/>
          <w:szCs w:val="24"/>
        </w:rPr>
        <w:t>1</w:t>
      </w:r>
      <w:r>
        <w:rPr>
          <w:rFonts w:hint="eastAsia" w:ascii="仿宋_GB2312"/>
          <w:sz w:val="24"/>
          <w:szCs w:val="24"/>
        </w:rPr>
        <w:t>月</w:t>
      </w:r>
      <w:r>
        <w:rPr>
          <w:rFonts w:ascii="仿宋_GB2312"/>
          <w:sz w:val="24"/>
          <w:szCs w:val="24"/>
        </w:rPr>
        <w:t>1</w:t>
      </w:r>
      <w:r>
        <w:rPr>
          <w:rFonts w:hint="eastAsia" w:ascii="仿宋_GB2312"/>
          <w:sz w:val="24"/>
          <w:szCs w:val="24"/>
        </w:rPr>
        <w:t>日后建设的单位）一级标准后，</w:t>
      </w:r>
      <w:r>
        <w:rPr>
          <w:rFonts w:hint="eastAsia" w:ascii="仿宋_GB2312"/>
          <w:color w:val="000000"/>
          <w:sz w:val="24"/>
          <w:szCs w:val="24"/>
        </w:rPr>
        <w:t>污水处理达标后通过尾水排放管排入长江</w:t>
      </w:r>
      <w:r>
        <w:rPr>
          <w:rFonts w:hint="eastAsia" w:ascii="仿宋_GB2312"/>
          <w:sz w:val="24"/>
          <w:szCs w:val="24"/>
        </w:rPr>
        <w:t>。废水排放标准，见表</w:t>
      </w:r>
      <w:r>
        <w:rPr>
          <w:rFonts w:ascii="仿宋_GB2312"/>
          <w:sz w:val="24"/>
          <w:szCs w:val="24"/>
        </w:rPr>
        <w:t>2-4</w:t>
      </w:r>
      <w:r>
        <w:rPr>
          <w:rFonts w:asciiTheme="minorEastAsia" w:hAnsiTheme="minorEastAsia" w:eastAsiaTheme="minorEastAsia"/>
        </w:rPr>
        <w:t xml:space="preserve">                        </w:t>
      </w:r>
    </w:p>
    <w:p>
      <w:pPr>
        <w:pStyle w:val="193"/>
        <w:rPr>
          <w:rFonts w:asciiTheme="minorEastAsia" w:hAnsiTheme="minorEastAsia" w:eastAsiaTheme="minorEastAsia"/>
        </w:rPr>
      </w:pPr>
      <w:r>
        <w:rPr>
          <w:rFonts w:asciiTheme="minorEastAsia" w:hAnsiTheme="minorEastAsia" w:eastAsiaTheme="minorEastAsia"/>
          <w:b/>
        </w:rPr>
        <w:t xml:space="preserve">                   </w:t>
      </w:r>
      <w:r>
        <w:rPr>
          <w:rFonts w:asciiTheme="minorEastAsia" w:hAnsiTheme="minorEastAsia" w:eastAsiaTheme="minorEastAsia"/>
        </w:rPr>
        <w:t xml:space="preserve"> </w:t>
      </w:r>
    </w:p>
    <w:p>
      <w:pPr>
        <w:pStyle w:val="193"/>
        <w:rPr>
          <w:rFonts w:asciiTheme="minorEastAsia" w:hAnsiTheme="minorEastAsia" w:eastAsiaTheme="minorEastAsia"/>
        </w:rPr>
      </w:pPr>
      <w:r>
        <w:rPr>
          <w:rFonts w:asciiTheme="minorEastAsia" w:hAnsiTheme="minorEastAsia" w:eastAsiaTheme="minorEastAsia"/>
        </w:rPr>
        <w:t xml:space="preserve"> </w:t>
      </w:r>
      <w:r>
        <w:rPr>
          <w:rFonts w:hint="eastAsia" w:asciiTheme="minorEastAsia" w:hAnsiTheme="minorEastAsia" w:eastAsiaTheme="minorEastAsia"/>
        </w:rPr>
        <w:t>表</w:t>
      </w:r>
      <w:r>
        <w:rPr>
          <w:rFonts w:asciiTheme="minorEastAsia" w:hAnsiTheme="minorEastAsia" w:eastAsiaTheme="minorEastAsia"/>
        </w:rPr>
        <w:t>2-4</w:t>
      </w:r>
      <w:r>
        <w:rPr>
          <w:rFonts w:hint="eastAsia" w:asciiTheme="minorEastAsia" w:hAnsiTheme="minorEastAsia" w:eastAsiaTheme="minorEastAsia"/>
        </w:rPr>
        <w:t>废水排放标准</w:t>
      </w:r>
      <w:r>
        <w:rPr>
          <w:rFonts w:asciiTheme="minorEastAsia" w:hAnsiTheme="minorEastAsia" w:eastAsiaTheme="minorEastAsia"/>
        </w:rPr>
        <w:t xml:space="preserve">               </w:t>
      </w:r>
      <w:r>
        <w:rPr>
          <w:rFonts w:hint="eastAsia" w:asciiTheme="minorEastAsia" w:hAnsiTheme="minorEastAsia" w:eastAsiaTheme="minorEastAsia"/>
        </w:rPr>
        <w:t>单位：</w:t>
      </w:r>
      <w:r>
        <w:rPr>
          <w:rFonts w:asciiTheme="minorEastAsia" w:hAnsiTheme="minorEastAsia" w:eastAsiaTheme="minorEastAsia"/>
        </w:rPr>
        <w:t>mg/L</w:t>
      </w:r>
    </w:p>
    <w:tbl>
      <w:tblPr>
        <w:tblStyle w:val="54"/>
        <w:tblW w:w="8896" w:type="dxa"/>
        <w:jc w:val="center"/>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935"/>
        <w:gridCol w:w="3121"/>
        <w:gridCol w:w="2840"/>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9" w:hRule="atLeast"/>
          <w:jc w:val="center"/>
        </w:trPr>
        <w:tc>
          <w:tcPr>
            <w:tcW w:w="2935" w:type="dxa"/>
            <w:tcBorders>
              <w:top w:val="thinThickSmallGap" w:color="auto" w:sz="18" w:space="0"/>
              <w:righ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污染物名称</w:t>
            </w:r>
          </w:p>
        </w:tc>
        <w:tc>
          <w:tcPr>
            <w:tcW w:w="3121" w:type="dxa"/>
            <w:tcBorders>
              <w:top w:val="thinThickSmallGap" w:color="auto" w:sz="18" w:space="0"/>
              <w:lef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一级标准</w:t>
            </w:r>
          </w:p>
        </w:tc>
        <w:tc>
          <w:tcPr>
            <w:tcW w:w="2840" w:type="dxa"/>
            <w:tcBorders>
              <w:top w:val="thinThickSmallGap" w:color="auto" w:sz="18" w:space="0"/>
              <w:lef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依据</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9" w:hRule="atLeast"/>
          <w:jc w:val="center"/>
        </w:trPr>
        <w:tc>
          <w:tcPr>
            <w:tcW w:w="2935" w:type="dxa"/>
            <w:tcBorders>
              <w:righ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pH</w:t>
            </w:r>
          </w:p>
        </w:tc>
        <w:tc>
          <w:tcPr>
            <w:tcW w:w="3121" w:type="dxa"/>
            <w:tcBorders>
              <w:lef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6</w:t>
            </w:r>
            <w:r>
              <w:rPr>
                <w:rFonts w:hint="eastAsia" w:asciiTheme="minorEastAsia" w:hAnsiTheme="minorEastAsia" w:eastAsiaTheme="minorEastAsia"/>
                <w:sz w:val="21"/>
                <w:szCs w:val="24"/>
              </w:rPr>
              <w:t>～</w:t>
            </w:r>
            <w:r>
              <w:rPr>
                <w:rFonts w:asciiTheme="minorEastAsia" w:hAnsiTheme="minorEastAsia" w:eastAsiaTheme="minorEastAsia"/>
                <w:sz w:val="21"/>
                <w:szCs w:val="24"/>
              </w:rPr>
              <w:t>9</w:t>
            </w:r>
          </w:p>
        </w:tc>
        <w:tc>
          <w:tcPr>
            <w:tcW w:w="2840" w:type="dxa"/>
            <w:tcBorders>
              <w:left w:val="single" w:color="auto" w:sz="4" w:space="0"/>
            </w:tcBorders>
            <w:vAlign w:val="center"/>
          </w:tcPr>
          <w:p>
            <w:pPr>
              <w:ind w:firstLine="480"/>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righ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COD</w:t>
            </w:r>
          </w:p>
        </w:tc>
        <w:tc>
          <w:tcPr>
            <w:tcW w:w="3121" w:type="dxa"/>
            <w:tcBorders>
              <w:lef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100</w:t>
            </w:r>
          </w:p>
        </w:tc>
        <w:tc>
          <w:tcPr>
            <w:tcW w:w="2840" w:type="dxa"/>
            <w:vMerge w:val="restart"/>
            <w:tcBorders>
              <w:lef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《污水综合排放标准》（</w:t>
            </w:r>
            <w:r>
              <w:rPr>
                <w:rFonts w:asciiTheme="minorEastAsia" w:hAnsiTheme="minorEastAsia" w:eastAsiaTheme="minorEastAsia"/>
                <w:sz w:val="21"/>
                <w:szCs w:val="24"/>
              </w:rPr>
              <w:t>GB8978-1996</w:t>
            </w:r>
            <w:r>
              <w:rPr>
                <w:rFonts w:hint="eastAsia" w:asciiTheme="minorEastAsia" w:hAnsiTheme="minorEastAsia" w:eastAsiaTheme="minorEastAsia"/>
                <w:sz w:val="21"/>
                <w:szCs w:val="24"/>
              </w:rPr>
              <w:t>）</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righ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BOD</w:t>
            </w:r>
            <w:r>
              <w:rPr>
                <w:rFonts w:asciiTheme="minorEastAsia" w:hAnsiTheme="minorEastAsia" w:eastAsiaTheme="minorEastAsia"/>
                <w:sz w:val="21"/>
                <w:szCs w:val="24"/>
                <w:vertAlign w:val="subscript"/>
              </w:rPr>
              <w:t>5</w:t>
            </w:r>
          </w:p>
        </w:tc>
        <w:tc>
          <w:tcPr>
            <w:tcW w:w="3121" w:type="dxa"/>
            <w:tcBorders>
              <w:lef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20</w:t>
            </w:r>
          </w:p>
        </w:tc>
        <w:tc>
          <w:tcPr>
            <w:tcW w:w="2840" w:type="dxa"/>
            <w:vMerge w:val="continue"/>
            <w:tcBorders>
              <w:left w:val="single" w:color="auto" w:sz="4" w:space="0"/>
            </w:tcBorders>
            <w:vAlign w:val="center"/>
          </w:tcPr>
          <w:p>
            <w:pPr>
              <w:ind w:firstLine="480"/>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righ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氨氮</w:t>
            </w:r>
          </w:p>
        </w:tc>
        <w:tc>
          <w:tcPr>
            <w:tcW w:w="3121" w:type="dxa"/>
            <w:tcBorders>
              <w:lef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15</w:t>
            </w:r>
          </w:p>
        </w:tc>
        <w:tc>
          <w:tcPr>
            <w:tcW w:w="2840" w:type="dxa"/>
            <w:vMerge w:val="continue"/>
            <w:tcBorders>
              <w:left w:val="single" w:color="auto" w:sz="4" w:space="0"/>
            </w:tcBorders>
            <w:vAlign w:val="center"/>
          </w:tcPr>
          <w:p>
            <w:pPr>
              <w:ind w:firstLine="480"/>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PrEx>
        <w:trPr>
          <w:cantSplit/>
          <w:trHeight w:val="53" w:hRule="atLeast"/>
          <w:jc w:val="center"/>
        </w:trPr>
        <w:tc>
          <w:tcPr>
            <w:tcW w:w="2935" w:type="dxa"/>
            <w:tcBorders>
              <w:righ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SS</w:t>
            </w:r>
          </w:p>
        </w:tc>
        <w:tc>
          <w:tcPr>
            <w:tcW w:w="3121" w:type="dxa"/>
            <w:tcBorders>
              <w:lef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70</w:t>
            </w:r>
          </w:p>
        </w:tc>
        <w:tc>
          <w:tcPr>
            <w:tcW w:w="2840" w:type="dxa"/>
            <w:vMerge w:val="continue"/>
            <w:tcBorders>
              <w:left w:val="single" w:color="auto" w:sz="4" w:space="0"/>
            </w:tcBorders>
            <w:vAlign w:val="center"/>
          </w:tcPr>
          <w:p>
            <w:pPr>
              <w:ind w:firstLine="480"/>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righ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1"/>
              </w:rPr>
              <w:t>TP</w:t>
            </w:r>
          </w:p>
        </w:tc>
        <w:tc>
          <w:tcPr>
            <w:tcW w:w="3121" w:type="dxa"/>
            <w:tcBorders>
              <w:lef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0.5</w:t>
            </w:r>
          </w:p>
        </w:tc>
        <w:tc>
          <w:tcPr>
            <w:tcW w:w="2840" w:type="dxa"/>
            <w:vMerge w:val="continue"/>
            <w:tcBorders>
              <w:left w:val="single" w:color="auto" w:sz="4" w:space="0"/>
            </w:tcBorders>
            <w:vAlign w:val="center"/>
          </w:tcPr>
          <w:p>
            <w:pPr>
              <w:ind w:firstLine="480"/>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righ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石油类</w:t>
            </w:r>
          </w:p>
        </w:tc>
        <w:tc>
          <w:tcPr>
            <w:tcW w:w="3121" w:type="dxa"/>
            <w:tcBorders>
              <w:left w:val="single" w:color="auto" w:sz="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3</w:t>
            </w:r>
          </w:p>
        </w:tc>
        <w:tc>
          <w:tcPr>
            <w:tcW w:w="2840" w:type="dxa"/>
            <w:vMerge w:val="continue"/>
            <w:tcBorders>
              <w:left w:val="single" w:color="auto" w:sz="4" w:space="0"/>
            </w:tcBorders>
            <w:vAlign w:val="center"/>
          </w:tcPr>
          <w:p>
            <w:pPr>
              <w:ind w:firstLine="480"/>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bottom w:val="thickThinSmallGap" w:color="auto" w:sz="18" w:space="0"/>
              <w:right w:val="single" w:color="auto" w:sz="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氟化物</w:t>
            </w:r>
          </w:p>
        </w:tc>
        <w:tc>
          <w:tcPr>
            <w:tcW w:w="3121" w:type="dxa"/>
            <w:tcBorders>
              <w:left w:val="single" w:color="auto" w:sz="4" w:space="0"/>
              <w:bottom w:val="thickThinSmallGap" w:color="auto" w:sz="18"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10</w:t>
            </w:r>
          </w:p>
        </w:tc>
        <w:tc>
          <w:tcPr>
            <w:tcW w:w="2840" w:type="dxa"/>
            <w:vMerge w:val="continue"/>
            <w:tcBorders>
              <w:left w:val="single" w:color="auto" w:sz="4" w:space="0"/>
              <w:bottom w:val="thickThinSmallGap" w:color="auto" w:sz="18" w:space="0"/>
            </w:tcBorders>
            <w:vAlign w:val="center"/>
          </w:tcPr>
          <w:p>
            <w:pPr>
              <w:ind w:firstLine="480"/>
              <w:rPr>
                <w:rFonts w:asciiTheme="minorEastAsia" w:hAnsiTheme="minorEastAsia" w:eastAsiaTheme="minorEastAsia"/>
              </w:rPr>
            </w:pPr>
          </w:p>
        </w:tc>
      </w:tr>
    </w:tbl>
    <w:p>
      <w:pPr>
        <w:spacing w:line="460" w:lineRule="exact"/>
        <w:rPr>
          <w:rFonts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w:t>
      </w:r>
      <w:r>
        <w:rPr>
          <w:rFonts w:asciiTheme="minorEastAsia" w:hAnsiTheme="minorEastAsia" w:eastAsiaTheme="minorEastAsia"/>
          <w:snapToGrid w:val="0"/>
          <w:sz w:val="24"/>
          <w:szCs w:val="24"/>
        </w:rPr>
        <w:t>3</w:t>
      </w:r>
      <w:r>
        <w:rPr>
          <w:rFonts w:hint="eastAsia" w:asciiTheme="minorEastAsia" w:hAnsiTheme="minorEastAsia" w:eastAsiaTheme="minorEastAsia"/>
          <w:snapToGrid w:val="0"/>
          <w:sz w:val="24"/>
          <w:szCs w:val="24"/>
        </w:rPr>
        <w:t>）噪声</w:t>
      </w:r>
    </w:p>
    <w:p>
      <w:pPr>
        <w:spacing w:line="460" w:lineRule="exact"/>
        <w:ind w:firstLine="480"/>
        <w:rPr>
          <w:rFonts w:asciiTheme="minorEastAsia" w:hAnsiTheme="minorEastAsia" w:eastAsiaTheme="minorEastAsia"/>
          <w:snapToGrid w:val="0"/>
          <w:sz w:val="24"/>
          <w:szCs w:val="24"/>
        </w:rPr>
      </w:pPr>
      <w:r>
        <w:rPr>
          <w:rFonts w:hint="eastAsia" w:asciiTheme="minorEastAsia" w:hAnsiTheme="minorEastAsia" w:eastAsiaTheme="minorEastAsia"/>
          <w:kern w:val="0"/>
          <w:sz w:val="24"/>
          <w:szCs w:val="24"/>
        </w:rPr>
        <w:t>清溪园区污水处理厂噪声主要来源于水泵、污泥泵、鼓风曝气机等</w:t>
      </w:r>
      <w:r>
        <w:rPr>
          <w:rFonts w:hint="eastAsia" w:asciiTheme="minorEastAsia" w:hAnsiTheme="minorEastAsia" w:eastAsiaTheme="minorEastAsia"/>
          <w:snapToGrid w:val="0"/>
          <w:sz w:val="24"/>
          <w:szCs w:val="24"/>
        </w:rPr>
        <w:t>，根据《建筑施工场界噪声限值》（</w:t>
      </w:r>
      <w:r>
        <w:rPr>
          <w:rFonts w:asciiTheme="minorEastAsia" w:hAnsiTheme="minorEastAsia" w:eastAsiaTheme="minorEastAsia"/>
          <w:snapToGrid w:val="0"/>
          <w:sz w:val="24"/>
          <w:szCs w:val="24"/>
        </w:rPr>
        <w:t>GB12523-90</w:t>
      </w:r>
      <w:r>
        <w:rPr>
          <w:rFonts w:hint="eastAsia" w:asciiTheme="minorEastAsia" w:hAnsiTheme="minorEastAsia" w:eastAsiaTheme="minorEastAsia"/>
          <w:snapToGrid w:val="0"/>
          <w:sz w:val="24"/>
          <w:szCs w:val="24"/>
        </w:rPr>
        <w:t>）；《工业企业厂界环境噪声排放标准》（</w:t>
      </w:r>
      <w:r>
        <w:rPr>
          <w:rFonts w:asciiTheme="minorEastAsia" w:hAnsiTheme="minorEastAsia" w:eastAsiaTheme="minorEastAsia"/>
          <w:snapToGrid w:val="0"/>
          <w:sz w:val="24"/>
          <w:szCs w:val="24"/>
        </w:rPr>
        <w:t>GB12348-90</w:t>
      </w:r>
      <w:r>
        <w:rPr>
          <w:rFonts w:hint="eastAsia" w:asciiTheme="minorEastAsia" w:hAnsiTheme="minorEastAsia" w:eastAsiaTheme="minorEastAsia"/>
          <w:snapToGrid w:val="0"/>
          <w:sz w:val="24"/>
          <w:szCs w:val="24"/>
        </w:rPr>
        <w:t>）</w:t>
      </w:r>
      <w:r>
        <w:rPr>
          <w:rFonts w:asciiTheme="minorEastAsia" w:hAnsiTheme="minorEastAsia" w:eastAsiaTheme="minorEastAsia"/>
          <w:snapToGrid w:val="0"/>
          <w:sz w:val="24"/>
          <w:szCs w:val="24"/>
        </w:rPr>
        <w:t>3</w:t>
      </w:r>
      <w:r>
        <w:rPr>
          <w:rFonts w:hint="eastAsia" w:asciiTheme="minorEastAsia" w:hAnsiTheme="minorEastAsia" w:eastAsiaTheme="minorEastAsia"/>
          <w:snapToGrid w:val="0"/>
          <w:sz w:val="24"/>
          <w:szCs w:val="24"/>
        </w:rPr>
        <w:t>级标准，昼间厂界噪声限制</w:t>
      </w:r>
      <w:r>
        <w:rPr>
          <w:rFonts w:asciiTheme="minorEastAsia" w:hAnsiTheme="minorEastAsia" w:eastAsiaTheme="minorEastAsia"/>
          <w:snapToGrid w:val="0"/>
          <w:sz w:val="24"/>
          <w:szCs w:val="24"/>
        </w:rPr>
        <w:t>65dB(A)</w:t>
      </w:r>
      <w:r>
        <w:rPr>
          <w:rFonts w:hint="eastAsia" w:asciiTheme="minorEastAsia" w:hAnsiTheme="minorEastAsia" w:eastAsiaTheme="minorEastAsia"/>
          <w:snapToGrid w:val="0"/>
          <w:sz w:val="24"/>
          <w:szCs w:val="24"/>
        </w:rPr>
        <w:t>、夜间</w:t>
      </w:r>
      <w:r>
        <w:rPr>
          <w:rFonts w:asciiTheme="minorEastAsia" w:hAnsiTheme="minorEastAsia" w:eastAsiaTheme="minorEastAsia"/>
          <w:snapToGrid w:val="0"/>
          <w:sz w:val="24"/>
          <w:szCs w:val="24"/>
        </w:rPr>
        <w:t>55dB(A)</w:t>
      </w:r>
      <w:r>
        <w:rPr>
          <w:rFonts w:hint="eastAsia" w:asciiTheme="minorEastAsia" w:hAnsiTheme="minorEastAsia" w:eastAsiaTheme="minorEastAsia"/>
          <w:snapToGrid w:val="0"/>
          <w:sz w:val="24"/>
          <w:szCs w:val="24"/>
        </w:rPr>
        <w:t>。</w:t>
      </w:r>
    </w:p>
    <w:p>
      <w:pPr>
        <w:spacing w:line="460" w:lineRule="exact"/>
        <w:ind w:firstLine="480"/>
        <w:rPr>
          <w:rFonts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有关标准分别见表</w:t>
      </w:r>
      <w:r>
        <w:rPr>
          <w:rFonts w:asciiTheme="minorEastAsia" w:hAnsiTheme="minorEastAsia" w:eastAsiaTheme="minorEastAsia"/>
          <w:snapToGrid w:val="0"/>
          <w:sz w:val="24"/>
          <w:szCs w:val="24"/>
        </w:rPr>
        <w:t>2-5</w:t>
      </w:r>
      <w:r>
        <w:rPr>
          <w:rFonts w:hint="eastAsia" w:asciiTheme="minorEastAsia" w:hAnsiTheme="minorEastAsia" w:eastAsiaTheme="minorEastAsia"/>
          <w:snapToGrid w:val="0"/>
          <w:sz w:val="24"/>
          <w:szCs w:val="24"/>
        </w:rPr>
        <w:t>。</w:t>
      </w:r>
    </w:p>
    <w:p>
      <w:pPr>
        <w:pStyle w:val="193"/>
        <w:spacing w:line="460" w:lineRule="exact"/>
        <w:rPr>
          <w:rFonts w:asciiTheme="minorEastAsia" w:hAnsiTheme="minorEastAsia" w:eastAsiaTheme="minorEastAsia"/>
        </w:rPr>
      </w:pPr>
      <w:r>
        <w:rPr>
          <w:rFonts w:asciiTheme="minorEastAsia" w:hAnsiTheme="minorEastAsia" w:eastAsiaTheme="minorEastAsia"/>
        </w:rPr>
        <w:t xml:space="preserve">                  </w:t>
      </w:r>
      <w:r>
        <w:rPr>
          <w:rFonts w:asciiTheme="minorEastAsia" w:hAnsiTheme="minorEastAsia" w:eastAsiaTheme="minorEastAsia"/>
          <w:b/>
        </w:rPr>
        <w:t xml:space="preserve"> </w:t>
      </w:r>
      <w:r>
        <w:rPr>
          <w:rFonts w:hint="eastAsia" w:asciiTheme="minorEastAsia" w:hAnsiTheme="minorEastAsia" w:eastAsiaTheme="minorEastAsia"/>
        </w:rPr>
        <w:t>表</w:t>
      </w:r>
      <w:r>
        <w:rPr>
          <w:rFonts w:asciiTheme="minorEastAsia" w:hAnsiTheme="minorEastAsia" w:eastAsiaTheme="minorEastAsia"/>
        </w:rPr>
        <w:t xml:space="preserve">2-5  </w:t>
      </w:r>
      <w:r>
        <w:rPr>
          <w:rFonts w:hint="eastAsia" w:asciiTheme="minorEastAsia" w:hAnsiTheme="minorEastAsia" w:eastAsiaTheme="minorEastAsia"/>
        </w:rPr>
        <w:t>工业企业厂界噪声标准</w:t>
      </w:r>
      <w:r>
        <w:rPr>
          <w:rFonts w:asciiTheme="minorEastAsia" w:hAnsiTheme="minorEastAsia" w:eastAsiaTheme="minorEastAsia"/>
        </w:rPr>
        <w:t xml:space="preserve">              </w:t>
      </w:r>
      <w:r>
        <w:rPr>
          <w:rFonts w:hint="eastAsia" w:asciiTheme="minorEastAsia" w:hAnsiTheme="minorEastAsia" w:eastAsiaTheme="minorEastAsia"/>
        </w:rPr>
        <w:t>单位：</w:t>
      </w:r>
      <w:r>
        <w:rPr>
          <w:rFonts w:asciiTheme="minorEastAsia" w:hAnsiTheme="minorEastAsia" w:eastAsiaTheme="minorEastAsia"/>
        </w:rPr>
        <w:t>dB</w:t>
      </w:r>
    </w:p>
    <w:tbl>
      <w:tblPr>
        <w:tblStyle w:val="54"/>
        <w:tblW w:w="8678" w:type="dxa"/>
        <w:jc w:val="center"/>
        <w:tblInd w:w="0"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3045"/>
        <w:gridCol w:w="3149"/>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484" w:type="dxa"/>
            <w:tcBorders>
              <w:top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类</w:t>
            </w:r>
            <w:r>
              <w:rPr>
                <w:rFonts w:asciiTheme="minorEastAsia" w:hAnsiTheme="minorEastAsia" w:eastAsiaTheme="minorEastAsia"/>
                <w:sz w:val="21"/>
                <w:szCs w:val="24"/>
              </w:rPr>
              <w:t xml:space="preserve">      </w:t>
            </w:r>
            <w:r>
              <w:rPr>
                <w:rFonts w:hint="eastAsia" w:asciiTheme="minorEastAsia" w:hAnsiTheme="minorEastAsia" w:eastAsiaTheme="minorEastAsia"/>
                <w:sz w:val="21"/>
                <w:szCs w:val="24"/>
              </w:rPr>
              <w:t>别</w:t>
            </w:r>
          </w:p>
        </w:tc>
        <w:tc>
          <w:tcPr>
            <w:tcW w:w="3045" w:type="dxa"/>
            <w:tcBorders>
              <w:top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昼</w:t>
            </w:r>
            <w:r>
              <w:rPr>
                <w:rFonts w:asciiTheme="minorEastAsia" w:hAnsiTheme="minorEastAsia" w:eastAsiaTheme="minorEastAsia"/>
                <w:sz w:val="21"/>
                <w:szCs w:val="24"/>
              </w:rPr>
              <w:t xml:space="preserve">      </w:t>
            </w:r>
            <w:r>
              <w:rPr>
                <w:rFonts w:hint="eastAsia" w:asciiTheme="minorEastAsia" w:hAnsiTheme="minorEastAsia" w:eastAsiaTheme="minorEastAsia"/>
                <w:sz w:val="21"/>
                <w:szCs w:val="24"/>
              </w:rPr>
              <w:t>间</w:t>
            </w:r>
          </w:p>
        </w:tc>
        <w:tc>
          <w:tcPr>
            <w:tcW w:w="3149" w:type="dxa"/>
            <w:tcBorders>
              <w:top w:val="thinThickSmallGap" w:color="auto" w:sz="24" w:space="0"/>
            </w:tcBorders>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夜</w:t>
            </w:r>
            <w:r>
              <w:rPr>
                <w:rFonts w:asciiTheme="minorEastAsia" w:hAnsiTheme="minorEastAsia" w:eastAsiaTheme="minorEastAsia"/>
                <w:sz w:val="21"/>
                <w:szCs w:val="24"/>
              </w:rPr>
              <w:t xml:space="preserve">      </w:t>
            </w:r>
            <w:r>
              <w:rPr>
                <w:rFonts w:hint="eastAsia" w:asciiTheme="minorEastAsia" w:hAnsiTheme="minorEastAsia" w:eastAsiaTheme="minorEastAsia"/>
                <w:sz w:val="21"/>
                <w:szCs w:val="24"/>
              </w:rPr>
              <w:t>间</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2484" w:type="dxa"/>
            <w:tcBorders>
              <w:bottom w:val="thinThickSmallGap" w:color="auto" w:sz="2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GB12348-90  3</w:t>
            </w:r>
            <w:r>
              <w:rPr>
                <w:rFonts w:hint="eastAsia" w:asciiTheme="minorEastAsia" w:hAnsiTheme="minorEastAsia" w:eastAsiaTheme="minorEastAsia"/>
                <w:sz w:val="21"/>
                <w:szCs w:val="24"/>
              </w:rPr>
              <w:t>类</w:t>
            </w:r>
          </w:p>
        </w:tc>
        <w:tc>
          <w:tcPr>
            <w:tcW w:w="3045" w:type="dxa"/>
            <w:tcBorders>
              <w:bottom w:val="thinThickSmallGap" w:color="auto" w:sz="2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65</w:t>
            </w:r>
          </w:p>
        </w:tc>
        <w:tc>
          <w:tcPr>
            <w:tcW w:w="3149" w:type="dxa"/>
            <w:tcBorders>
              <w:bottom w:val="thinThickSmallGap" w:color="auto" w:sz="24" w:space="0"/>
            </w:tcBorders>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55</w:t>
            </w:r>
          </w:p>
        </w:tc>
      </w:tr>
    </w:tbl>
    <w:p>
      <w:pPr>
        <w:spacing w:line="460" w:lineRule="exact"/>
        <w:ind w:firstLine="480"/>
        <w:rPr>
          <w:rFonts w:asciiTheme="minorEastAsia" w:hAnsiTheme="minorEastAsia" w:eastAsiaTheme="minorEastAsia"/>
          <w:snapToGrid w:val="0"/>
          <w:sz w:val="24"/>
          <w:szCs w:val="24"/>
        </w:rPr>
      </w:pPr>
      <w:r>
        <w:rPr>
          <w:rFonts w:hint="eastAsia" w:asciiTheme="minorEastAsia" w:hAnsiTheme="minorEastAsia" w:eastAsiaTheme="minorEastAsia"/>
          <w:snapToGrid w:val="0"/>
        </w:rPr>
        <w:t>（</w:t>
      </w:r>
      <w:r>
        <w:rPr>
          <w:rFonts w:asciiTheme="minorEastAsia" w:hAnsiTheme="minorEastAsia" w:eastAsiaTheme="minorEastAsia"/>
          <w:snapToGrid w:val="0"/>
          <w:sz w:val="24"/>
          <w:szCs w:val="24"/>
        </w:rPr>
        <w:t>4</w:t>
      </w:r>
      <w:r>
        <w:rPr>
          <w:rFonts w:hint="eastAsia" w:asciiTheme="minorEastAsia" w:hAnsiTheme="minorEastAsia" w:eastAsiaTheme="minorEastAsia"/>
          <w:snapToGrid w:val="0"/>
          <w:sz w:val="24"/>
          <w:szCs w:val="24"/>
        </w:rPr>
        <w:t>）固体废物</w:t>
      </w:r>
    </w:p>
    <w:p>
      <w:pPr>
        <w:spacing w:line="480" w:lineRule="exact"/>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本厂固体废物主要为格栅处的栅渣</w:t>
      </w:r>
      <w:r>
        <w:rPr>
          <w:rFonts w:hint="eastAsia" w:asciiTheme="minorEastAsia" w:hAnsiTheme="minorEastAsia" w:eastAsiaTheme="minorEastAsia"/>
          <w:bCs/>
          <w:sz w:val="24"/>
          <w:szCs w:val="24"/>
        </w:rPr>
        <w:t>产生量为</w:t>
      </w:r>
      <w:r>
        <w:rPr>
          <w:rFonts w:asciiTheme="minorEastAsia" w:hAnsiTheme="minorEastAsia" w:eastAsiaTheme="minorEastAsia"/>
          <w:bCs/>
          <w:sz w:val="24"/>
          <w:szCs w:val="24"/>
        </w:rPr>
        <w:t>0.57</w:t>
      </w:r>
      <w:r>
        <w:rPr>
          <w:rFonts w:asciiTheme="minorEastAsia" w:hAnsiTheme="minorEastAsia" w:eastAsiaTheme="minorEastAsia"/>
          <w:sz w:val="24"/>
          <w:szCs w:val="24"/>
        </w:rPr>
        <w:t>t/d</w:t>
      </w:r>
      <w:r>
        <w:rPr>
          <w:rFonts w:hint="eastAsia" w:asciiTheme="minorEastAsia" w:hAnsiTheme="minorEastAsia" w:eastAsiaTheme="minorEastAsia"/>
          <w:sz w:val="24"/>
          <w:szCs w:val="24"/>
        </w:rPr>
        <w:t>（</w:t>
      </w:r>
      <w:r>
        <w:rPr>
          <w:rFonts w:asciiTheme="minorEastAsia" w:hAnsiTheme="minorEastAsia" w:eastAsiaTheme="minorEastAsia"/>
          <w:sz w:val="24"/>
          <w:szCs w:val="24"/>
        </w:rPr>
        <w:t>208.05t/a</w:t>
      </w:r>
      <w:r>
        <w:rPr>
          <w:rFonts w:hint="eastAsia" w:asciiTheme="minorEastAsia" w:hAnsiTheme="minorEastAsia" w:eastAsiaTheme="minorEastAsia"/>
          <w:sz w:val="24"/>
          <w:szCs w:val="24"/>
        </w:rPr>
        <w:t>），</w:t>
      </w:r>
      <w:r>
        <w:rPr>
          <w:rFonts w:hint="eastAsia" w:asciiTheme="minorEastAsia" w:hAnsiTheme="minorEastAsia" w:eastAsiaTheme="minorEastAsia"/>
          <w:bCs/>
          <w:sz w:val="24"/>
          <w:szCs w:val="24"/>
        </w:rPr>
        <w:t>含水率为</w:t>
      </w:r>
      <w:r>
        <w:rPr>
          <w:rFonts w:asciiTheme="minorEastAsia" w:hAnsiTheme="minorEastAsia" w:eastAsiaTheme="minorEastAsia"/>
          <w:bCs/>
          <w:sz w:val="24"/>
          <w:szCs w:val="24"/>
        </w:rPr>
        <w:t>60%</w:t>
      </w:r>
      <w:r>
        <w:rPr>
          <w:rFonts w:hint="eastAsia" w:asciiTheme="minorEastAsia" w:hAnsiTheme="minorEastAsia" w:eastAsiaTheme="minorEastAsia"/>
          <w:sz w:val="24"/>
          <w:szCs w:val="24"/>
        </w:rPr>
        <w:t>；初沉池污泥、生化池等污泥脱水后的泥饼</w:t>
      </w:r>
      <w:r>
        <w:rPr>
          <w:rFonts w:asciiTheme="minorEastAsia" w:hAnsiTheme="minorEastAsia" w:eastAsiaTheme="minorEastAsia"/>
          <w:bCs/>
          <w:sz w:val="24"/>
          <w:szCs w:val="24"/>
        </w:rPr>
        <w:t>3.63</w:t>
      </w:r>
      <w:r>
        <w:rPr>
          <w:rFonts w:asciiTheme="minorEastAsia" w:hAnsiTheme="minorEastAsia" w:eastAsiaTheme="minorEastAsia"/>
          <w:sz w:val="24"/>
          <w:szCs w:val="24"/>
        </w:rPr>
        <w:t>t/d</w:t>
      </w:r>
      <w:r>
        <w:rPr>
          <w:rFonts w:hint="eastAsia" w:asciiTheme="minorEastAsia" w:hAnsiTheme="minorEastAsia" w:eastAsiaTheme="minorEastAsia"/>
          <w:sz w:val="24"/>
          <w:szCs w:val="24"/>
        </w:rPr>
        <w:t>（</w:t>
      </w:r>
      <w:r>
        <w:rPr>
          <w:rFonts w:asciiTheme="minorEastAsia" w:hAnsiTheme="minorEastAsia" w:eastAsiaTheme="minorEastAsia"/>
          <w:sz w:val="24"/>
          <w:szCs w:val="24"/>
        </w:rPr>
        <w:t>1324.95t/a</w:t>
      </w:r>
      <w:r>
        <w:rPr>
          <w:rFonts w:hint="eastAsia" w:asciiTheme="minorEastAsia" w:hAnsiTheme="minorEastAsia" w:eastAsiaTheme="minorEastAsia"/>
          <w:sz w:val="24"/>
          <w:szCs w:val="24"/>
        </w:rPr>
        <w:t>），</w:t>
      </w:r>
      <w:r>
        <w:rPr>
          <w:rFonts w:hint="eastAsia" w:asciiTheme="minorEastAsia" w:hAnsiTheme="minorEastAsia" w:eastAsiaTheme="minorEastAsia"/>
          <w:bCs/>
          <w:sz w:val="24"/>
          <w:szCs w:val="24"/>
        </w:rPr>
        <w:t>含水率为</w:t>
      </w:r>
      <w:r>
        <w:rPr>
          <w:rFonts w:asciiTheme="minorEastAsia" w:hAnsiTheme="minorEastAsia" w:eastAsiaTheme="minorEastAsia"/>
          <w:bCs/>
          <w:sz w:val="24"/>
          <w:szCs w:val="24"/>
        </w:rPr>
        <w:t>80%</w:t>
      </w:r>
      <w:r>
        <w:rPr>
          <w:rFonts w:hint="eastAsia" w:asciiTheme="minorEastAsia" w:hAnsiTheme="minorEastAsia" w:eastAsiaTheme="minorEastAsia"/>
          <w:bCs/>
          <w:sz w:val="24"/>
          <w:szCs w:val="24"/>
        </w:rPr>
        <w:t>；</w:t>
      </w:r>
      <w:r>
        <w:rPr>
          <w:rFonts w:hint="eastAsia" w:asciiTheme="minorEastAsia" w:hAnsiTheme="minorEastAsia" w:eastAsiaTheme="minorEastAsia"/>
          <w:sz w:val="24"/>
          <w:szCs w:val="24"/>
        </w:rPr>
        <w:t>以及生活垃圾</w:t>
      </w:r>
      <w:r>
        <w:rPr>
          <w:rFonts w:asciiTheme="minorEastAsia" w:hAnsiTheme="minorEastAsia" w:eastAsiaTheme="minorEastAsia"/>
          <w:sz w:val="24"/>
          <w:szCs w:val="24"/>
        </w:rPr>
        <w:t>1.46t/a</w:t>
      </w:r>
      <w:r>
        <w:rPr>
          <w:rFonts w:hint="eastAsia" w:asciiTheme="minorEastAsia" w:hAnsiTheme="minorEastAsia" w:eastAsiaTheme="minorEastAsia"/>
          <w:sz w:val="24"/>
          <w:szCs w:val="24"/>
        </w:rPr>
        <w:t>。</w:t>
      </w:r>
    </w:p>
    <w:p>
      <w:pPr>
        <w:spacing w:line="460" w:lineRule="exact"/>
        <w:ind w:firstLine="480"/>
        <w:rPr>
          <w:rFonts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《一般工业固体废物贮存、处置场污染物控制标准》（</w:t>
      </w:r>
      <w:r>
        <w:rPr>
          <w:rFonts w:asciiTheme="minorEastAsia" w:hAnsiTheme="minorEastAsia" w:eastAsiaTheme="minorEastAsia"/>
          <w:snapToGrid w:val="0"/>
          <w:sz w:val="24"/>
          <w:szCs w:val="24"/>
        </w:rPr>
        <w:t>GB18599-2001</w:t>
      </w:r>
      <w:r>
        <w:rPr>
          <w:rFonts w:hint="eastAsia" w:asciiTheme="minorEastAsia" w:hAnsiTheme="minorEastAsia" w:eastAsiaTheme="minorEastAsia"/>
          <w:snapToGrid w:val="0"/>
          <w:sz w:val="24"/>
          <w:szCs w:val="24"/>
        </w:rPr>
        <w:t>）。</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《危险废物贮存污染控制标准》（</w:t>
      </w:r>
      <w:r>
        <w:rPr>
          <w:rFonts w:asciiTheme="minorEastAsia" w:hAnsiTheme="minorEastAsia" w:eastAsiaTheme="minorEastAsia"/>
          <w:sz w:val="24"/>
          <w:szCs w:val="24"/>
        </w:rPr>
        <w:t>GB18597-2001</w:t>
      </w:r>
      <w:r>
        <w:rPr>
          <w:rFonts w:hint="eastAsia" w:asciiTheme="minorEastAsia" w:hAnsiTheme="minorEastAsia" w:eastAsiaTheme="minorEastAsia"/>
          <w:sz w:val="24"/>
          <w:szCs w:val="24"/>
        </w:rPr>
        <w:t>）；</w:t>
      </w:r>
    </w:p>
    <w:p>
      <w:pPr>
        <w:spacing w:line="46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《生活垃圾填埋污染控制标准》（</w:t>
      </w:r>
      <w:r>
        <w:rPr>
          <w:rFonts w:asciiTheme="minorEastAsia" w:hAnsiTheme="minorEastAsia" w:eastAsiaTheme="minorEastAsia"/>
          <w:sz w:val="24"/>
          <w:szCs w:val="24"/>
        </w:rPr>
        <w:t>GB16889-2008</w:t>
      </w:r>
      <w:r>
        <w:rPr>
          <w:rFonts w:hint="eastAsia" w:asciiTheme="minorEastAsia" w:hAnsiTheme="minorEastAsia" w:eastAsiaTheme="minorEastAsia"/>
          <w:sz w:val="24"/>
          <w:szCs w:val="24"/>
        </w:rPr>
        <w: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pPr>
        <w:pStyle w:val="2"/>
        <w:keepNext w:val="0"/>
        <w:spacing w:beforeLines="50" w:afterLines="50" w:line="560" w:lineRule="exact"/>
        <w:jc w:val="center"/>
        <w:rPr>
          <w:rFonts w:asciiTheme="minorEastAsia" w:hAnsiTheme="minorEastAsia" w:eastAsiaTheme="minorEastAsia"/>
          <w:b/>
          <w:color w:val="000000"/>
          <w:sz w:val="32"/>
          <w:szCs w:val="32"/>
          <w:lang w:val="zh-TW"/>
        </w:rPr>
      </w:pPr>
      <w:bookmarkStart w:id="174" w:name="_Toc27003"/>
      <w:r>
        <w:rPr>
          <w:rFonts w:asciiTheme="minorEastAsia" w:hAnsiTheme="minorEastAsia" w:eastAsiaTheme="minorEastAsia"/>
          <w:b/>
          <w:color w:val="000000"/>
          <w:sz w:val="32"/>
          <w:szCs w:val="32"/>
        </w:rPr>
        <w:t>3</w:t>
      </w:r>
      <w:r>
        <w:rPr>
          <w:rFonts w:hint="eastAsia" w:asciiTheme="minorEastAsia" w:hAnsiTheme="minorEastAsia" w:eastAsiaTheme="minorEastAsia"/>
          <w:b/>
          <w:color w:val="000000"/>
          <w:sz w:val="32"/>
          <w:szCs w:val="32"/>
          <w:lang w:val="zh-TW"/>
        </w:rPr>
        <w:t>环境风险源与环境风险评价</w:t>
      </w:r>
      <w:bookmarkEnd w:id="174"/>
    </w:p>
    <w:p>
      <w:pPr>
        <w:adjustRightInd w:val="0"/>
        <w:snapToGrid w:val="0"/>
        <w:spacing w:line="460" w:lineRule="exact"/>
        <w:outlineLvl w:val="1"/>
        <w:rPr>
          <w:rFonts w:hint="eastAsia"/>
          <w:b/>
          <w:color w:val="000000"/>
          <w:sz w:val="26"/>
          <w:szCs w:val="26"/>
          <w:lang w:val="zh-CN"/>
        </w:rPr>
      </w:pPr>
      <w:bookmarkStart w:id="175" w:name="_Toc21508"/>
      <w:bookmarkStart w:id="176" w:name="_Toc196018632"/>
      <w:bookmarkStart w:id="177" w:name="_Toc196018537"/>
      <w:bookmarkStart w:id="178" w:name="_Toc183339218"/>
      <w:bookmarkStart w:id="179" w:name="_Toc196018428"/>
      <w:bookmarkStart w:id="180" w:name="_Toc185670978"/>
      <w:bookmarkStart w:id="181" w:name="_Toc183339494"/>
      <w:bookmarkStart w:id="182" w:name="_Toc262050861"/>
      <w:bookmarkStart w:id="183" w:name="_Toc229283967"/>
      <w:bookmarkStart w:id="184" w:name="_Toc262051532"/>
      <w:bookmarkStart w:id="185" w:name="_Toc198007331"/>
      <w:bookmarkStart w:id="186" w:name="_Toc184809545"/>
      <w:bookmarkStart w:id="187" w:name="_Toc184808758"/>
      <w:bookmarkStart w:id="188" w:name="_Toc262040271"/>
      <w:bookmarkStart w:id="189" w:name="_Toc197251336"/>
      <w:bookmarkStart w:id="190" w:name="_Toc198355316"/>
      <w:bookmarkStart w:id="191" w:name="_Toc262051111"/>
      <w:bookmarkStart w:id="192" w:name="_Toc304962951"/>
      <w:bookmarkStart w:id="193" w:name="_Toc408274430"/>
      <w:bookmarkStart w:id="194" w:name="_Toc387131496"/>
      <w:bookmarkStart w:id="195" w:name="_Toc304964438"/>
      <w:bookmarkStart w:id="196" w:name="_Toc304833228"/>
      <w:bookmarkStart w:id="197" w:name="_Toc336326845"/>
      <w:bookmarkStart w:id="198" w:name="_Toc304963595"/>
      <w:bookmarkStart w:id="199" w:name="_Toc415254537"/>
      <w:bookmarkStart w:id="200" w:name="_Toc387131422"/>
      <w:bookmarkStart w:id="201" w:name="_Toc387131753"/>
      <w:bookmarkStart w:id="202" w:name="_Toc336327123"/>
      <w:r>
        <w:rPr>
          <w:rFonts w:hint="eastAsia"/>
          <w:b/>
          <w:color w:val="000000"/>
          <w:sz w:val="26"/>
          <w:szCs w:val="26"/>
          <w:lang w:val="zh-CN"/>
        </w:rPr>
        <w:t>3.1生产工艺简介工艺流程介绍</w:t>
      </w:r>
      <w:bookmarkEnd w:id="175"/>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color w:val="000000"/>
          <w:sz w:val="24"/>
          <w:szCs w:val="24"/>
        </w:rPr>
        <w:t>清溪园区污水处理厂采用生化处理工艺</w:t>
      </w:r>
      <w:r>
        <w:rPr>
          <w:rFonts w:hint="eastAsia" w:asciiTheme="minorEastAsia" w:hAnsiTheme="minorEastAsia" w:eastAsiaTheme="minorEastAsia"/>
          <w:color w:val="000000"/>
          <w:sz w:val="24"/>
          <w:szCs w:val="24"/>
        </w:rPr>
        <w:t>:</w:t>
      </w:r>
      <w:r>
        <w:rPr>
          <w:rFonts w:hint="eastAsia" w:cs="??_GB2312" w:asciiTheme="minorEastAsia" w:hAnsiTheme="minorEastAsia" w:eastAsiaTheme="minorEastAsia"/>
          <w:kern w:val="0"/>
          <w:sz w:val="24"/>
          <w:szCs w:val="24"/>
        </w:rPr>
        <w:t xml:space="preserve"> </w:t>
      </w:r>
      <w:r>
        <w:rPr>
          <w:rFonts w:hint="eastAsia" w:cs="宋体" w:asciiTheme="minorEastAsia" w:hAnsiTheme="minorEastAsia" w:eastAsiaTheme="minorEastAsia"/>
          <w:kern w:val="0"/>
          <w:sz w:val="24"/>
          <w:szCs w:val="24"/>
        </w:rPr>
        <w:t>水解酸化</w:t>
      </w:r>
      <w:r>
        <w:rPr>
          <w:rFonts w:hint="eastAsia" w:cs="??_GB2312" w:asciiTheme="minorEastAsia" w:hAnsiTheme="minorEastAsia" w:eastAsiaTheme="minorEastAsia"/>
          <w:kern w:val="0"/>
          <w:sz w:val="24"/>
          <w:szCs w:val="24"/>
        </w:rPr>
        <w:t>+</w:t>
      </w:r>
      <w:r>
        <w:rPr>
          <w:rFonts w:hint="eastAsia" w:cs="宋体" w:asciiTheme="minorEastAsia" w:hAnsiTheme="minorEastAsia" w:eastAsiaTheme="minorEastAsia"/>
          <w:kern w:val="0"/>
          <w:sz w:val="24"/>
          <w:szCs w:val="24"/>
        </w:rPr>
        <w:t>生物接触氧化池的处理工艺</w:t>
      </w:r>
      <w:r>
        <w:rPr>
          <w:rFonts w:hint="eastAsia" w:cs="宋体" w:asciiTheme="minorEastAsia" w:hAnsiTheme="minorEastAsia" w:eastAsiaTheme="minorEastAsia"/>
          <w:sz w:val="24"/>
          <w:szCs w:val="24"/>
        </w:rPr>
        <w:t>。</w:t>
      </w:r>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w:t>
      </w:r>
      <w:r>
        <w:rPr>
          <w:rFonts w:hint="eastAsia" w:asciiTheme="minorEastAsia" w:hAnsiTheme="minorEastAsia" w:eastAsiaTheme="minorEastAsia"/>
          <w:sz w:val="24"/>
          <w:szCs w:val="24"/>
        </w:rPr>
        <w:t>1</w:t>
      </w:r>
      <w:r>
        <w:rPr>
          <w:rFonts w:hint="eastAsia" w:cs="宋体" w:asciiTheme="minorEastAsia" w:hAnsiTheme="minorEastAsia" w:eastAsiaTheme="minorEastAsia"/>
          <w:sz w:val="24"/>
          <w:szCs w:val="24"/>
        </w:rPr>
        <w:t>）进厂污水首先经</w:t>
      </w:r>
      <w:r>
        <w:rPr>
          <w:rFonts w:hint="eastAsia" w:cs="宋体" w:asciiTheme="minorEastAsia" w:hAnsiTheme="minorEastAsia" w:eastAsiaTheme="minorEastAsia"/>
          <w:color w:val="000000"/>
          <w:sz w:val="24"/>
          <w:szCs w:val="24"/>
        </w:rPr>
        <w:t>格栅</w:t>
      </w:r>
      <w:r>
        <w:rPr>
          <w:rFonts w:hint="eastAsia" w:cs="宋体" w:asciiTheme="minorEastAsia" w:hAnsiTheme="minorEastAsia" w:eastAsiaTheme="minorEastAsia"/>
          <w:sz w:val="24"/>
          <w:szCs w:val="24"/>
        </w:rPr>
        <w:t>去除大块杂物之后进初沉调节池，污</w:t>
      </w:r>
      <w:r>
        <w:rPr>
          <w:rFonts w:hint="eastAsia" w:cs="宋体" w:asciiTheme="minorEastAsia" w:hAnsiTheme="minorEastAsia" w:eastAsiaTheme="minorEastAsia"/>
          <w:color w:val="000000"/>
          <w:sz w:val="24"/>
          <w:szCs w:val="24"/>
        </w:rPr>
        <w:t>水在初沉调节池内</w:t>
      </w:r>
      <w:r>
        <w:rPr>
          <w:rFonts w:hint="eastAsia" w:cs="宋体" w:asciiTheme="minorEastAsia" w:hAnsiTheme="minorEastAsia" w:eastAsiaTheme="minorEastAsia"/>
          <w:sz w:val="24"/>
          <w:szCs w:val="24"/>
        </w:rPr>
        <w:t>进行水量调节和水质均化，同时去除污水中的颗粒物。再由</w:t>
      </w:r>
      <w:r>
        <w:rPr>
          <w:rFonts w:hint="eastAsia" w:cs="宋体" w:asciiTheme="minorEastAsia" w:hAnsiTheme="minorEastAsia" w:eastAsiaTheme="minorEastAsia"/>
          <w:color w:val="000000"/>
          <w:sz w:val="24"/>
          <w:szCs w:val="24"/>
        </w:rPr>
        <w:t>提升泵提</w:t>
      </w:r>
      <w:r>
        <w:rPr>
          <w:rFonts w:hint="eastAsia" w:cs="宋体" w:asciiTheme="minorEastAsia" w:hAnsiTheme="minorEastAsia" w:eastAsiaTheme="minorEastAsia"/>
          <w:sz w:val="24"/>
          <w:szCs w:val="24"/>
        </w:rPr>
        <w:t>升加压至混凝反应池，投加混凝剂和絮凝剂，通过初沉池去除污水中的氟化物和悬浮物</w:t>
      </w:r>
      <w:r>
        <w:rPr>
          <w:rFonts w:hint="eastAsia" w:cs="宋体" w:asciiTheme="minorEastAsia" w:hAnsiTheme="minorEastAsia" w:eastAsiaTheme="minorEastAsia"/>
          <w:color w:val="000000"/>
          <w:sz w:val="24"/>
          <w:szCs w:val="24"/>
        </w:rPr>
        <w:t>，混凝池的出水自流水解酸化池</w:t>
      </w:r>
      <w:r>
        <w:rPr>
          <w:rFonts w:hint="eastAsia" w:cs="宋体" w:asciiTheme="minorEastAsia" w:hAnsiTheme="minorEastAsia" w:eastAsiaTheme="minorEastAsia"/>
          <w:sz w:val="24"/>
          <w:szCs w:val="24"/>
        </w:rPr>
        <w:t>，废水中大分子的有机物在水解酸化菌的作用下分解成小分子的有机物，接着污水进入生物接触氧化池，</w:t>
      </w:r>
      <w:r>
        <w:rPr>
          <w:rFonts w:hint="eastAsia" w:cs="宋体" w:asciiTheme="minorEastAsia" w:hAnsiTheme="minorEastAsia" w:eastAsiaTheme="minorEastAsia"/>
          <w:color w:val="000000"/>
          <w:sz w:val="24"/>
          <w:szCs w:val="24"/>
        </w:rPr>
        <w:t>在经过曝气之后，</w:t>
      </w:r>
      <w:r>
        <w:rPr>
          <w:rFonts w:hint="eastAsia" w:cs="宋体" w:asciiTheme="minorEastAsia" w:hAnsiTheme="minorEastAsia" w:eastAsiaTheme="minorEastAsia"/>
          <w:sz w:val="24"/>
          <w:szCs w:val="24"/>
        </w:rPr>
        <w:t>污水中的有机物、氨氮、磷等污染物得到去除，混合液</w:t>
      </w:r>
      <w:r>
        <w:rPr>
          <w:rFonts w:hint="eastAsia" w:cs="宋体" w:asciiTheme="minorEastAsia" w:hAnsiTheme="minorEastAsia" w:eastAsiaTheme="minorEastAsia"/>
          <w:color w:val="000000"/>
          <w:sz w:val="24"/>
          <w:szCs w:val="24"/>
        </w:rPr>
        <w:t>进入二沉池进行</w:t>
      </w:r>
      <w:r>
        <w:rPr>
          <w:rFonts w:hint="eastAsia" w:cs="宋体" w:asciiTheme="minorEastAsia" w:hAnsiTheme="minorEastAsia" w:eastAsiaTheme="minorEastAsia"/>
          <w:sz w:val="24"/>
          <w:szCs w:val="24"/>
        </w:rPr>
        <w:t>泥水分离，出水达标后进入清水池，达到《污水综合排放标准》（</w:t>
      </w:r>
      <w:r>
        <w:rPr>
          <w:rFonts w:hint="eastAsia" w:asciiTheme="minorEastAsia" w:hAnsiTheme="minorEastAsia" w:eastAsiaTheme="minorEastAsia"/>
          <w:sz w:val="24"/>
          <w:szCs w:val="24"/>
        </w:rPr>
        <w:t>GB8978-1996</w:t>
      </w:r>
      <w:r>
        <w:rPr>
          <w:rFonts w:hint="eastAsia" w:cs="宋体" w:asciiTheme="minorEastAsia" w:hAnsiTheme="minorEastAsia" w:eastAsiaTheme="minorEastAsia"/>
          <w:sz w:val="24"/>
          <w:szCs w:val="24"/>
        </w:rPr>
        <w:t>）的一级标准，经由排水计量渠排放。初沉调节池的污泥、气浮池的浮渣以及二沉池的污泥进入污泥浓缩池，经浓缩污泥泵送入压滤机进行脱水，脱水后的干泥外运。</w:t>
      </w:r>
    </w:p>
    <w:p>
      <w:pPr>
        <w:spacing w:line="460" w:lineRule="exact"/>
        <w:ind w:firstLine="480"/>
        <w:rPr>
          <w:rFonts w:ascii="仿宋_GB2312"/>
          <w:b/>
          <w:szCs w:val="24"/>
        </w:rPr>
      </w:pPr>
      <w:r>
        <w:rPr>
          <w:rStyle w:val="421"/>
          <w:rFonts w:hint="eastAsia" w:cs="宋体" w:asciiTheme="minorEastAsia" w:hAnsiTheme="minorEastAsia" w:eastAsiaTheme="minorEastAsia"/>
          <w:b w:val="0"/>
          <w:szCs w:val="24"/>
        </w:rPr>
        <w:t>（</w:t>
      </w:r>
      <w:r>
        <w:rPr>
          <w:rStyle w:val="421"/>
          <w:rFonts w:hint="eastAsia" w:asciiTheme="minorEastAsia" w:hAnsiTheme="minorEastAsia" w:eastAsiaTheme="minorEastAsia"/>
          <w:b w:val="0"/>
          <w:szCs w:val="24"/>
        </w:rPr>
        <w:t>2</w:t>
      </w:r>
      <w:r>
        <w:rPr>
          <w:rStyle w:val="421"/>
          <w:rFonts w:hint="eastAsia" w:cs="宋体" w:asciiTheme="minorEastAsia" w:hAnsiTheme="minorEastAsia" w:eastAsiaTheme="minorEastAsia"/>
          <w:b w:val="0"/>
          <w:szCs w:val="24"/>
        </w:rPr>
        <w:t>）氟化物的去除：氟化物是铝加工过程中的主要特征污染物，主要以气态的形式存在。本污水处理厂处理的为低浓度含氟废水（</w:t>
      </w:r>
      <w:r>
        <w:rPr>
          <w:rStyle w:val="421"/>
          <w:rFonts w:hint="eastAsia" w:asciiTheme="minorEastAsia" w:hAnsiTheme="minorEastAsia" w:eastAsiaTheme="minorEastAsia"/>
          <w:b w:val="0"/>
          <w:szCs w:val="24"/>
        </w:rPr>
        <w:t>10~15mg/L</w:t>
      </w:r>
      <w:r>
        <w:rPr>
          <w:rStyle w:val="421"/>
          <w:rFonts w:hint="eastAsia" w:cs="宋体" w:asciiTheme="minorEastAsia" w:hAnsiTheme="minorEastAsia" w:eastAsiaTheme="minorEastAsia"/>
          <w:b w:val="0"/>
          <w:szCs w:val="24"/>
        </w:rPr>
        <w:t>），设计进水氟化物浓度为</w:t>
      </w:r>
      <w:r>
        <w:rPr>
          <w:rStyle w:val="421"/>
          <w:rFonts w:hint="eastAsia" w:asciiTheme="minorEastAsia" w:hAnsiTheme="minorEastAsia" w:eastAsiaTheme="minorEastAsia"/>
          <w:b w:val="0"/>
          <w:szCs w:val="24"/>
        </w:rPr>
        <w:t>20mg/L</w:t>
      </w:r>
      <w:r>
        <w:rPr>
          <w:rStyle w:val="421"/>
          <w:rFonts w:hint="eastAsia" w:cs="宋体" w:asciiTheme="minorEastAsia" w:hAnsiTheme="minorEastAsia" w:eastAsiaTheme="minorEastAsia"/>
          <w:b w:val="0"/>
          <w:szCs w:val="24"/>
        </w:rPr>
        <w:t>，处理工艺为投加钙盐生成氟化钙，在投加混凝沉淀剂</w:t>
      </w:r>
      <w:r>
        <w:rPr>
          <w:rStyle w:val="421"/>
          <w:rFonts w:hint="eastAsia" w:asciiTheme="minorEastAsia" w:hAnsiTheme="minorEastAsia" w:eastAsiaTheme="minorEastAsia"/>
          <w:b w:val="0"/>
          <w:szCs w:val="24"/>
        </w:rPr>
        <w:t>PAC</w:t>
      </w:r>
      <w:r>
        <w:rPr>
          <w:rStyle w:val="421"/>
          <w:rFonts w:hint="eastAsia" w:cs="宋体" w:asciiTheme="minorEastAsia" w:hAnsiTheme="minorEastAsia" w:eastAsiaTheme="minorEastAsia"/>
          <w:b w:val="0"/>
          <w:szCs w:val="24"/>
        </w:rPr>
        <w:t>协助氟化钙沉淀，利用利用</w:t>
      </w:r>
      <w:r>
        <w:rPr>
          <w:rStyle w:val="421"/>
          <w:rFonts w:hint="eastAsia" w:asciiTheme="minorEastAsia" w:hAnsiTheme="minorEastAsia" w:eastAsiaTheme="minorEastAsia"/>
          <w:b w:val="0"/>
          <w:szCs w:val="24"/>
        </w:rPr>
        <w:t>Al</w:t>
      </w:r>
      <w:r>
        <w:rPr>
          <w:rStyle w:val="421"/>
          <w:rFonts w:hint="eastAsia" w:asciiTheme="minorEastAsia" w:hAnsiTheme="minorEastAsia" w:eastAsiaTheme="minorEastAsia"/>
          <w:b w:val="0"/>
          <w:szCs w:val="24"/>
          <w:vertAlign w:val="superscript"/>
        </w:rPr>
        <w:t>3+</w:t>
      </w:r>
      <w:r>
        <w:rPr>
          <w:rStyle w:val="421"/>
          <w:rFonts w:hint="eastAsia" w:cs="宋体" w:asciiTheme="minorEastAsia" w:hAnsiTheme="minorEastAsia" w:eastAsiaTheme="minorEastAsia"/>
          <w:b w:val="0"/>
          <w:szCs w:val="24"/>
        </w:rPr>
        <w:t>与</w:t>
      </w:r>
      <w:r>
        <w:rPr>
          <w:rStyle w:val="421"/>
          <w:rFonts w:hint="eastAsia" w:asciiTheme="minorEastAsia" w:hAnsiTheme="minorEastAsia" w:eastAsiaTheme="minorEastAsia"/>
          <w:b w:val="0"/>
          <w:szCs w:val="24"/>
        </w:rPr>
        <w:t>F</w:t>
      </w:r>
      <w:r>
        <w:rPr>
          <w:rStyle w:val="421"/>
          <w:rFonts w:hint="eastAsia" w:asciiTheme="minorEastAsia" w:hAnsiTheme="minorEastAsia" w:eastAsiaTheme="minorEastAsia"/>
          <w:b w:val="0"/>
          <w:szCs w:val="24"/>
          <w:vertAlign w:val="superscript"/>
        </w:rPr>
        <w:t>-</w:t>
      </w:r>
      <w:r>
        <w:rPr>
          <w:rStyle w:val="421"/>
          <w:rFonts w:hint="eastAsia" w:cs="宋体" w:asciiTheme="minorEastAsia" w:hAnsiTheme="minorEastAsia" w:eastAsiaTheme="minorEastAsia"/>
          <w:b w:val="0"/>
          <w:szCs w:val="24"/>
        </w:rPr>
        <w:t>的络合以及铝盐水解中间产物和最后生成的</w:t>
      </w:r>
      <w:r>
        <w:rPr>
          <w:rStyle w:val="421"/>
          <w:rFonts w:hint="eastAsia" w:asciiTheme="minorEastAsia" w:hAnsiTheme="minorEastAsia" w:eastAsiaTheme="minorEastAsia"/>
          <w:b w:val="0"/>
          <w:szCs w:val="24"/>
        </w:rPr>
        <w:t>Al(OH)</w:t>
      </w:r>
      <w:r>
        <w:rPr>
          <w:rStyle w:val="421"/>
          <w:rFonts w:hint="eastAsia" w:asciiTheme="minorEastAsia" w:hAnsiTheme="minorEastAsia" w:eastAsiaTheme="minorEastAsia"/>
          <w:b w:val="0"/>
          <w:szCs w:val="24"/>
          <w:vertAlign w:val="subscript"/>
        </w:rPr>
        <w:t>3</w:t>
      </w:r>
      <w:r>
        <w:rPr>
          <w:rStyle w:val="421"/>
          <w:rFonts w:hint="eastAsia" w:cs="宋体" w:asciiTheme="minorEastAsia" w:hAnsiTheme="minorEastAsia" w:eastAsiaTheme="minorEastAsia"/>
          <w:b w:val="0"/>
          <w:szCs w:val="24"/>
        </w:rPr>
        <w:t>矾花对氟离子的配体交换、物理吸附、卷扫作用去除水中的氟</w:t>
      </w:r>
      <w:r>
        <w:rPr>
          <w:rStyle w:val="421"/>
          <w:rFonts w:hint="eastAsia" w:cs="宋体" w:asciiTheme="minorEastAsia" w:hAnsiTheme="minorEastAsia" w:eastAsiaTheme="minorEastAsia"/>
          <w:szCs w:val="24"/>
        </w:rPr>
        <w:t>离子。</w:t>
      </w:r>
      <w:r>
        <w:rPr>
          <w:rFonts w:hint="eastAsia" w:cs="宋体" w:asciiTheme="minorEastAsia" w:hAnsiTheme="minorEastAsia" w:eastAsiaTheme="minorEastAsia"/>
          <w:sz w:val="24"/>
          <w:szCs w:val="24"/>
        </w:rPr>
        <w:t>水解酸化</w:t>
      </w:r>
      <w:r>
        <w:rPr>
          <w:rFonts w:hint="eastAsia" w:cs="??_GB2312" w:asciiTheme="minorEastAsia" w:hAnsiTheme="minorEastAsia" w:eastAsiaTheme="minorEastAsia"/>
          <w:sz w:val="24"/>
          <w:szCs w:val="24"/>
        </w:rPr>
        <w:t>+</w:t>
      </w:r>
      <w:r>
        <w:rPr>
          <w:rFonts w:hint="eastAsia" w:cs="宋体" w:asciiTheme="minorEastAsia" w:hAnsiTheme="minorEastAsia" w:eastAsiaTheme="minorEastAsia"/>
          <w:sz w:val="24"/>
          <w:szCs w:val="24"/>
        </w:rPr>
        <w:t>生物接触氧化池</w:t>
      </w:r>
      <w:r>
        <w:rPr>
          <w:rFonts w:hint="eastAsia" w:asciiTheme="minorEastAsia" w:hAnsiTheme="minorEastAsia" w:eastAsiaTheme="minorEastAsia"/>
          <w:sz w:val="24"/>
          <w:szCs w:val="24"/>
        </w:rPr>
        <w:t>工艺流程见图3-17。</w:t>
      </w:r>
    </w:p>
    <w:p>
      <w:pPr>
        <w:jc w:val="center"/>
        <w:rPr>
          <w:rFonts w:ascii="仿宋_GB2312"/>
          <w:szCs w:val="24"/>
        </w:rPr>
      </w:pPr>
      <w:r>
        <w:rPr>
          <w:rFonts w:ascii="仿宋_GB2312"/>
          <w:szCs w:val="24"/>
        </w:rPr>
        <w:drawing>
          <wp:inline distT="0" distB="0" distL="0" distR="0">
            <wp:extent cx="5408295" cy="2800985"/>
            <wp:effectExtent l="19050" t="0" r="1851" b="0"/>
            <wp:docPr id="14" name="图片 42" descr="G:\突发事件环境风险评估汇总\污水处理厂风评评审项目汇总20170501\清溪风评及环评资料\清溪园区污水处理厂\工艺流程图-清溪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2" descr="G:\突发事件环境风险评估汇总\污水处理厂风评评审项目汇总20170501\清溪风评及环评资料\清溪园区污水处理厂\工艺流程图-清溪 .png"/>
                    <pic:cNvPicPr>
                      <a:picLocks noChangeAspect="1" noChangeArrowheads="1"/>
                    </pic:cNvPicPr>
                  </pic:nvPicPr>
                  <pic:blipFill>
                    <a:blip r:embed="rId7"/>
                    <a:srcRect/>
                    <a:stretch>
                      <a:fillRect/>
                    </a:stretch>
                  </pic:blipFill>
                  <pic:spPr>
                    <a:xfrm>
                      <a:off x="0" y="0"/>
                      <a:ext cx="5413144" cy="2804050"/>
                    </a:xfrm>
                    <a:prstGeom prst="rect">
                      <a:avLst/>
                    </a:prstGeom>
                    <a:noFill/>
                    <a:ln w="9525">
                      <a:noFill/>
                      <a:miter lim="800000"/>
                      <a:headEnd/>
                      <a:tailEnd/>
                    </a:ln>
                  </pic:spPr>
                </pic:pic>
              </a:graphicData>
            </a:graphic>
          </wp:inline>
        </w:drawing>
      </w:r>
    </w:p>
    <w:p>
      <w:pPr>
        <w:jc w:val="center"/>
        <w:rPr>
          <w:rFonts w:ascii="仿宋_GB2312"/>
          <w:szCs w:val="24"/>
        </w:rPr>
      </w:pPr>
      <w:r>
        <w:rPr>
          <w:rFonts w:hint="eastAsia" w:ascii="仿宋_GB2312"/>
          <w:szCs w:val="24"/>
        </w:rPr>
        <w:t>3-17</w:t>
      </w:r>
      <w:r>
        <w:rPr>
          <w:rFonts w:hint="eastAsia" w:ascii="仿宋_GB2312" w:hAnsi="宋体" w:cs="宋体"/>
        </w:rPr>
        <w:t>水解酸化</w:t>
      </w:r>
      <w:r>
        <w:rPr>
          <w:rFonts w:hint="eastAsia" w:ascii="仿宋_GB2312" w:hAnsi="Calibri" w:cs="??_GB2312"/>
        </w:rPr>
        <w:t>+</w:t>
      </w:r>
      <w:r>
        <w:rPr>
          <w:rFonts w:hint="eastAsia" w:ascii="仿宋_GB2312" w:hAnsi="宋体" w:cs="宋体"/>
        </w:rPr>
        <w:t>生物接触氧化池</w:t>
      </w:r>
      <w:r>
        <w:rPr>
          <w:rFonts w:hint="eastAsia" w:ascii="仿宋_GB2312"/>
          <w:szCs w:val="24"/>
        </w:rPr>
        <w:t>工艺流程图</w:t>
      </w:r>
    </w:p>
    <w:p>
      <w:pPr>
        <w:adjustRightInd w:val="0"/>
        <w:snapToGrid w:val="0"/>
        <w:spacing w:line="460" w:lineRule="exact"/>
        <w:outlineLvl w:val="1"/>
        <w:rPr>
          <w:rFonts w:hint="eastAsia"/>
          <w:b/>
          <w:color w:val="000000"/>
          <w:sz w:val="26"/>
          <w:szCs w:val="26"/>
          <w:lang w:val="zh-CN"/>
        </w:rPr>
      </w:pPr>
      <w:bookmarkStart w:id="203" w:name="_Toc13372"/>
      <w:r>
        <w:rPr>
          <w:rFonts w:hint="eastAsia"/>
          <w:b/>
          <w:color w:val="000000"/>
          <w:sz w:val="26"/>
          <w:szCs w:val="26"/>
          <w:lang w:val="zh-CN"/>
        </w:rPr>
        <w:t>3.2企业三废产生及排放处置情况</w:t>
      </w:r>
      <w:bookmarkEnd w:id="203"/>
    </w:p>
    <w:p>
      <w:pPr>
        <w:spacing w:line="460" w:lineRule="exact"/>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bCs/>
          <w:sz w:val="24"/>
          <w:szCs w:val="24"/>
        </w:rPr>
        <w:t>清溪园区</w:t>
      </w:r>
      <w:r>
        <w:rPr>
          <w:rFonts w:hint="eastAsia" w:asciiTheme="minorEastAsia" w:hAnsiTheme="minorEastAsia" w:eastAsiaTheme="minorEastAsia"/>
          <w:color w:val="000000"/>
          <w:sz w:val="24"/>
          <w:szCs w:val="24"/>
        </w:rPr>
        <w:t>污水处理厂</w:t>
      </w:r>
      <w:r>
        <w:rPr>
          <w:rFonts w:asciiTheme="minorEastAsia" w:hAnsiTheme="minorEastAsia" w:eastAsiaTheme="minorEastAsia"/>
          <w:color w:val="000000"/>
          <w:sz w:val="24"/>
          <w:szCs w:val="24"/>
        </w:rPr>
        <w:t>原环评报告提出的污染防治措施和已采取的污染防治措施见表3.2-1。</w:t>
      </w:r>
    </w:p>
    <w:p>
      <w:pPr>
        <w:spacing w:line="460" w:lineRule="exact"/>
        <w:ind w:firstLine="480" w:firstLineChars="20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表3.2-1       </w:t>
      </w: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环评污染防治措施及现有防治措施</w:t>
      </w:r>
    </w:p>
    <w:tbl>
      <w:tblPr>
        <w:tblStyle w:val="54"/>
        <w:tblW w:w="8788"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677"/>
        <w:gridCol w:w="3321"/>
        <w:gridCol w:w="31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序号</w:t>
            </w:r>
          </w:p>
        </w:tc>
        <w:tc>
          <w:tcPr>
            <w:tcW w:w="1677"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污染源</w:t>
            </w:r>
          </w:p>
        </w:tc>
        <w:tc>
          <w:tcPr>
            <w:tcW w:w="3321"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环评报告中污染防治措施</w:t>
            </w:r>
          </w:p>
        </w:tc>
        <w:tc>
          <w:tcPr>
            <w:tcW w:w="3114" w:type="dxa"/>
            <w:vAlign w:val="center"/>
          </w:tcPr>
          <w:p>
            <w:pPr>
              <w:snapToGrid w:val="0"/>
              <w:jc w:val="center"/>
              <w:rPr>
                <w:rFonts w:asciiTheme="minorEastAsia" w:hAnsiTheme="minorEastAsia" w:eastAsiaTheme="minorEastAsia"/>
                <w:snapToGrid w:val="0"/>
                <w:color w:val="000000"/>
                <w:kern w:val="0"/>
                <w:szCs w:val="21"/>
              </w:rPr>
            </w:pPr>
            <w:r>
              <w:rPr>
                <w:rFonts w:hint="eastAsia" w:asciiTheme="minorEastAsia" w:hAnsiTheme="minorEastAsia" w:eastAsiaTheme="minorEastAsia"/>
                <w:snapToGrid w:val="0"/>
                <w:color w:val="000000"/>
                <w:kern w:val="0"/>
                <w:szCs w:val="21"/>
              </w:rPr>
              <w:t>现污水处理</w:t>
            </w:r>
            <w:r>
              <w:rPr>
                <w:rFonts w:asciiTheme="minorEastAsia" w:hAnsiTheme="minorEastAsia" w:eastAsiaTheme="minorEastAsia"/>
                <w:snapToGrid w:val="0"/>
                <w:color w:val="000000"/>
                <w:kern w:val="0"/>
                <w:szCs w:val="21"/>
              </w:rPr>
              <w:t>厂区已采取措施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一</w:t>
            </w:r>
          </w:p>
        </w:tc>
        <w:tc>
          <w:tcPr>
            <w:tcW w:w="8112" w:type="dxa"/>
            <w:gridSpan w:val="3"/>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大气污染防治措施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1</w:t>
            </w:r>
          </w:p>
        </w:tc>
        <w:tc>
          <w:tcPr>
            <w:tcW w:w="1677" w:type="dxa"/>
            <w:vAlign w:val="center"/>
          </w:tcPr>
          <w:p>
            <w:pPr>
              <w:snapToGrid w:val="0"/>
              <w:jc w:val="left"/>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格栅井、氧化</w:t>
            </w:r>
            <w:r>
              <w:rPr>
                <w:rFonts w:hint="eastAsia" w:asciiTheme="minorEastAsia" w:hAnsiTheme="minorEastAsia" w:eastAsiaTheme="minorEastAsia"/>
                <w:snapToGrid w:val="0"/>
                <w:color w:val="000000"/>
                <w:kern w:val="0"/>
                <w:szCs w:val="21"/>
              </w:rPr>
              <w:t>池</w:t>
            </w:r>
            <w:r>
              <w:rPr>
                <w:rFonts w:asciiTheme="minorEastAsia" w:hAnsiTheme="minorEastAsia" w:eastAsiaTheme="minorEastAsia"/>
                <w:snapToGrid w:val="0"/>
                <w:color w:val="000000"/>
                <w:kern w:val="0"/>
                <w:szCs w:val="21"/>
              </w:rPr>
              <w:t>、污泥干化池</w:t>
            </w:r>
          </w:p>
        </w:tc>
        <w:tc>
          <w:tcPr>
            <w:tcW w:w="3321" w:type="dxa"/>
            <w:vAlign w:val="center"/>
          </w:tcPr>
          <w:p>
            <w:pPr>
              <w:snapToGrid w:val="0"/>
              <w:jc w:val="left"/>
              <w:rPr>
                <w:rFonts w:asciiTheme="minorEastAsia" w:hAnsiTheme="minorEastAsia" w:eastAsiaTheme="minorEastAsia"/>
                <w:color w:val="000000"/>
                <w:szCs w:val="21"/>
              </w:rPr>
            </w:pPr>
            <w:r>
              <w:rPr>
                <w:rFonts w:asciiTheme="minorEastAsia" w:hAnsiTheme="minorEastAsia" w:eastAsiaTheme="minorEastAsia"/>
                <w:snapToGrid w:val="0"/>
                <w:color w:val="000000"/>
                <w:kern w:val="0"/>
                <w:szCs w:val="21"/>
              </w:rPr>
              <w:t>格栅井、</w:t>
            </w:r>
            <w:r>
              <w:rPr>
                <w:rFonts w:hint="eastAsia" w:asciiTheme="minorEastAsia" w:hAnsiTheme="minorEastAsia" w:eastAsiaTheme="minorEastAsia"/>
                <w:snapToGrid w:val="0"/>
                <w:color w:val="000000"/>
                <w:kern w:val="0"/>
                <w:szCs w:val="21"/>
              </w:rPr>
              <w:t>生化池</w:t>
            </w:r>
            <w:r>
              <w:rPr>
                <w:rFonts w:asciiTheme="minorEastAsia" w:hAnsiTheme="minorEastAsia" w:eastAsiaTheme="minorEastAsia"/>
                <w:snapToGrid w:val="0"/>
                <w:color w:val="000000"/>
                <w:kern w:val="0"/>
                <w:szCs w:val="21"/>
              </w:rPr>
              <w:t>、污泥干化池产生的硫化氢和氨气，无组织排放，在其周围设置绿化带，并设置100m的卫生防护距离</w:t>
            </w:r>
          </w:p>
        </w:tc>
        <w:tc>
          <w:tcPr>
            <w:tcW w:w="3114" w:type="dxa"/>
            <w:vAlign w:val="center"/>
          </w:tcPr>
          <w:p>
            <w:pPr>
              <w:snapToGrid w:val="0"/>
              <w:jc w:val="left"/>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格栅井、</w:t>
            </w:r>
            <w:r>
              <w:rPr>
                <w:rFonts w:hint="eastAsia" w:asciiTheme="minorEastAsia" w:hAnsiTheme="minorEastAsia" w:eastAsiaTheme="minorEastAsia"/>
                <w:snapToGrid w:val="0"/>
                <w:color w:val="000000"/>
                <w:kern w:val="0"/>
                <w:szCs w:val="21"/>
              </w:rPr>
              <w:t>生化池</w:t>
            </w:r>
            <w:r>
              <w:rPr>
                <w:rFonts w:asciiTheme="minorEastAsia" w:hAnsiTheme="minorEastAsia" w:eastAsiaTheme="minorEastAsia"/>
                <w:snapToGrid w:val="0"/>
                <w:color w:val="000000"/>
                <w:kern w:val="0"/>
                <w:szCs w:val="21"/>
              </w:rPr>
              <w:t>、污泥干化池周围设置了绿化带，厂区设置100m的卫生防护距离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二</w:t>
            </w:r>
          </w:p>
        </w:tc>
        <w:tc>
          <w:tcPr>
            <w:tcW w:w="8112" w:type="dxa"/>
            <w:gridSpan w:val="3"/>
            <w:tcBorders>
              <w:bottom w:val="single" w:color="auto" w:sz="4" w:space="0"/>
            </w:tcBorders>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废水污染防治措施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51"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1</w:t>
            </w:r>
          </w:p>
        </w:tc>
        <w:tc>
          <w:tcPr>
            <w:tcW w:w="1677" w:type="dxa"/>
            <w:vAlign w:val="center"/>
          </w:tcPr>
          <w:p>
            <w:pPr>
              <w:snapToGrid w:val="0"/>
              <w:jc w:val="left"/>
              <w:rPr>
                <w:rFonts w:asciiTheme="minorEastAsia" w:hAnsiTheme="minorEastAsia" w:eastAsiaTheme="minorEastAsia"/>
                <w:color w:val="000000"/>
                <w:szCs w:val="21"/>
              </w:rPr>
            </w:pPr>
            <w:r>
              <w:rPr>
                <w:rFonts w:asciiTheme="minorEastAsia" w:hAnsiTheme="minorEastAsia" w:eastAsiaTheme="minorEastAsia"/>
                <w:color w:val="000000"/>
                <w:szCs w:val="21"/>
              </w:rPr>
              <w:t>厂区雨水和生活污水</w:t>
            </w:r>
          </w:p>
        </w:tc>
        <w:tc>
          <w:tcPr>
            <w:tcW w:w="3321" w:type="dxa"/>
            <w:vAlign w:val="center"/>
          </w:tcPr>
          <w:p>
            <w:pPr>
              <w:snapToGrid w:val="0"/>
              <w:jc w:val="left"/>
              <w:rPr>
                <w:rFonts w:asciiTheme="minorEastAsia" w:hAnsiTheme="minorEastAsia" w:eastAsiaTheme="minorEastAsia"/>
                <w:color w:val="000000"/>
                <w:szCs w:val="21"/>
              </w:rPr>
            </w:pPr>
            <w:r>
              <w:rPr>
                <w:rFonts w:asciiTheme="minorEastAsia" w:hAnsiTheme="minorEastAsia" w:eastAsiaTheme="minorEastAsia"/>
                <w:color w:val="000000"/>
                <w:szCs w:val="21"/>
              </w:rPr>
              <w:t>厂区初期雨水和生活污水通过厂区排水管网送至提升井，经提升井送至厂区污水处理系统处理达标后排放</w:t>
            </w:r>
          </w:p>
        </w:tc>
        <w:tc>
          <w:tcPr>
            <w:tcW w:w="3114" w:type="dxa"/>
            <w:shd w:val="clear" w:color="auto" w:fill="auto"/>
            <w:vAlign w:val="center"/>
          </w:tcPr>
          <w:p>
            <w:pPr>
              <w:snapToGrid w:val="0"/>
              <w:jc w:val="left"/>
              <w:rPr>
                <w:rFonts w:asciiTheme="minorEastAsia" w:hAnsiTheme="minorEastAsia" w:eastAsiaTheme="minorEastAsia"/>
                <w:color w:val="000000"/>
                <w:szCs w:val="21"/>
              </w:rPr>
            </w:pPr>
            <w:r>
              <w:rPr>
                <w:rFonts w:asciiTheme="minorEastAsia" w:hAnsiTheme="minorEastAsia" w:eastAsiaTheme="minorEastAsia"/>
                <w:color w:val="000000"/>
                <w:szCs w:val="21"/>
              </w:rPr>
              <w:t>企业为污水处理厂，厂区雨水和污水均经厂区排水管网送至提升井，经提升井送至厂区污水处理系统处理达标后排放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1151"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2</w:t>
            </w:r>
          </w:p>
        </w:tc>
        <w:tc>
          <w:tcPr>
            <w:tcW w:w="1677" w:type="dxa"/>
            <w:vAlign w:val="center"/>
          </w:tcPr>
          <w:p>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处理工艺</w:t>
            </w:r>
          </w:p>
        </w:tc>
        <w:tc>
          <w:tcPr>
            <w:tcW w:w="3321" w:type="dxa"/>
            <w:vAlign w:val="center"/>
          </w:tcPr>
          <w:p>
            <w:pPr>
              <w:snapToGrid w:val="0"/>
              <w:jc w:val="left"/>
              <w:rPr>
                <w:rFonts w:asciiTheme="minorEastAsia" w:hAnsiTheme="minorEastAsia" w:eastAsiaTheme="minorEastAsia"/>
                <w:color w:val="000000"/>
                <w:szCs w:val="21"/>
              </w:rPr>
            </w:pPr>
            <w:r>
              <w:rPr>
                <w:rFonts w:asciiTheme="minorEastAsia" w:hAnsiTheme="minorEastAsia" w:eastAsiaTheme="minorEastAsia"/>
                <w:color w:val="000000"/>
                <w:szCs w:val="21"/>
              </w:rPr>
              <w:t>企业污水处理系统设置</w:t>
            </w:r>
            <w:r>
              <w:rPr>
                <w:rFonts w:hint="eastAsia" w:asciiTheme="minorEastAsia" w:hAnsiTheme="minorEastAsia" w:eastAsiaTheme="minorEastAsia"/>
                <w:color w:val="000000"/>
                <w:szCs w:val="21"/>
              </w:rPr>
              <w:t>一用一备</w:t>
            </w:r>
            <w:r>
              <w:rPr>
                <w:rFonts w:asciiTheme="minorEastAsia" w:hAnsiTheme="minorEastAsia" w:eastAsiaTheme="minorEastAsia"/>
                <w:color w:val="000000"/>
                <w:szCs w:val="21"/>
              </w:rPr>
              <w:t>运营处理工艺，厂区采用双回路电源供电，防止厂区污水处理设施故障导致污水直接或未处理达标后排放</w:t>
            </w:r>
          </w:p>
        </w:tc>
        <w:tc>
          <w:tcPr>
            <w:tcW w:w="3114" w:type="dxa"/>
            <w:shd w:val="clear" w:color="auto" w:fill="auto"/>
            <w:vAlign w:val="center"/>
          </w:tcPr>
          <w:p>
            <w:pPr>
              <w:snapToGrid w:val="0"/>
              <w:jc w:val="left"/>
              <w:rPr>
                <w:rFonts w:asciiTheme="minorEastAsia" w:hAnsiTheme="minorEastAsia" w:eastAsiaTheme="minorEastAsia"/>
                <w:color w:val="000000"/>
                <w:szCs w:val="21"/>
              </w:rPr>
            </w:pPr>
            <w:r>
              <w:rPr>
                <w:rFonts w:asciiTheme="minorEastAsia" w:hAnsiTheme="minorEastAsia" w:eastAsiaTheme="minorEastAsia"/>
                <w:color w:val="000000"/>
                <w:szCs w:val="21"/>
              </w:rPr>
              <w:t>企业污水处理系统为2套并联运行系统，电源采用了</w:t>
            </w:r>
            <w:r>
              <w:rPr>
                <w:rFonts w:hint="eastAsia" w:asciiTheme="minorEastAsia" w:hAnsiTheme="minorEastAsia" w:eastAsiaTheme="minorEastAsia"/>
                <w:color w:val="000000"/>
                <w:szCs w:val="21"/>
              </w:rPr>
              <w:t>单</w:t>
            </w:r>
            <w:r>
              <w:rPr>
                <w:rFonts w:asciiTheme="minorEastAsia" w:hAnsiTheme="minorEastAsia" w:eastAsiaTheme="minorEastAsia"/>
                <w:color w:val="000000"/>
                <w:szCs w:val="21"/>
              </w:rPr>
              <w:t>回路电源，</w:t>
            </w:r>
            <w:r>
              <w:rPr>
                <w:rFonts w:hint="eastAsia" w:asciiTheme="minorEastAsia" w:hAnsiTheme="minorEastAsia" w:eastAsiaTheme="minorEastAsia"/>
                <w:color w:val="000000"/>
                <w:szCs w:val="21"/>
              </w:rPr>
              <w:t>但在配电房配置了柴油发电机作为备用电源，</w:t>
            </w:r>
            <w:r>
              <w:rPr>
                <w:rFonts w:asciiTheme="minorEastAsia" w:hAnsiTheme="minorEastAsia" w:eastAsiaTheme="minorEastAsia"/>
                <w:color w:val="000000"/>
                <w:szCs w:val="21"/>
              </w:rPr>
              <w:t>最大可能的避免厂区污水处理设施故障。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三</w:t>
            </w:r>
          </w:p>
        </w:tc>
        <w:tc>
          <w:tcPr>
            <w:tcW w:w="8112" w:type="dxa"/>
            <w:gridSpan w:val="3"/>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固体废物处置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1</w:t>
            </w:r>
          </w:p>
        </w:tc>
        <w:tc>
          <w:tcPr>
            <w:tcW w:w="1677" w:type="dxa"/>
            <w:vAlign w:val="center"/>
          </w:tcPr>
          <w:p>
            <w:pPr>
              <w:spacing w:line="36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废含油棉纱、手套、废机油</w:t>
            </w:r>
          </w:p>
        </w:tc>
        <w:tc>
          <w:tcPr>
            <w:tcW w:w="3321" w:type="dxa"/>
            <w:vAlign w:val="center"/>
          </w:tcPr>
          <w:p>
            <w:pPr>
              <w:spacing w:line="360" w:lineRule="exact"/>
              <w:jc w:val="left"/>
              <w:rPr>
                <w:rFonts w:asciiTheme="minorEastAsia" w:hAnsiTheme="minorEastAsia" w:eastAsiaTheme="minorEastAsia"/>
                <w:color w:val="000000"/>
                <w:szCs w:val="21"/>
              </w:rPr>
            </w:pPr>
            <w:r>
              <w:rPr>
                <w:rFonts w:asciiTheme="minorEastAsia" w:hAnsiTheme="minorEastAsia" w:eastAsiaTheme="minorEastAsia"/>
                <w:color w:val="000000"/>
                <w:szCs w:val="21"/>
              </w:rPr>
              <w:t>废含油棉纱、手套、废机油属于危险废物，分别在现有危废间单独设置危废收集桶进行收集，</w:t>
            </w:r>
            <w:r>
              <w:rPr>
                <w:rFonts w:asciiTheme="minorEastAsia" w:hAnsiTheme="minorEastAsia" w:eastAsiaTheme="minorEastAsia"/>
                <w:color w:val="000000"/>
                <w:szCs w:val="21"/>
                <w:lang w:val="zh-CN"/>
              </w:rPr>
              <w:t>容器加上标签，</w:t>
            </w:r>
            <w:r>
              <w:rPr>
                <w:rFonts w:asciiTheme="minorEastAsia" w:hAnsiTheme="minorEastAsia" w:eastAsiaTheme="minorEastAsia"/>
                <w:color w:val="000000"/>
                <w:szCs w:val="21"/>
              </w:rPr>
              <w:t>然后委托有相关资质的单位进行收集处理。</w:t>
            </w:r>
          </w:p>
        </w:tc>
        <w:tc>
          <w:tcPr>
            <w:tcW w:w="3114" w:type="dxa"/>
            <w:vAlign w:val="center"/>
          </w:tcPr>
          <w:p>
            <w:pPr>
              <w:spacing w:line="360" w:lineRule="exact"/>
              <w:jc w:val="left"/>
              <w:rPr>
                <w:rFonts w:asciiTheme="minorEastAsia" w:hAnsiTheme="minorEastAsia" w:eastAsiaTheme="minorEastAsia"/>
                <w:color w:val="000000"/>
                <w:szCs w:val="21"/>
              </w:rPr>
            </w:pPr>
            <w:r>
              <w:rPr>
                <w:rFonts w:asciiTheme="minorEastAsia" w:hAnsiTheme="minorEastAsia" w:eastAsiaTheme="minorEastAsia"/>
                <w:color w:val="000000"/>
                <w:szCs w:val="21"/>
              </w:rPr>
              <w:t>设置了危废暂存间，建筑面积约为10m</w:t>
            </w:r>
            <w:r>
              <w:rPr>
                <w:rFonts w:asciiTheme="minorEastAsia" w:hAnsiTheme="minorEastAsia" w:eastAsiaTheme="minorEastAsia"/>
                <w:color w:val="000000"/>
                <w:szCs w:val="21"/>
                <w:vertAlign w:val="superscript"/>
              </w:rPr>
              <w:t>2</w:t>
            </w:r>
            <w:r>
              <w:rPr>
                <w:rFonts w:asciiTheme="minorEastAsia" w:hAnsiTheme="minorEastAsia" w:eastAsiaTheme="minorEastAsia"/>
                <w:color w:val="000000"/>
                <w:szCs w:val="21"/>
              </w:rPr>
              <w:t>，暂存间进行“三防”处理，地面防渗，设置消防柜、照明、通风等设施。危险废物必须分类储存，定期转运送往具有危险废物处理资质的单位处理，转运采用“五联单”制度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2</w:t>
            </w:r>
          </w:p>
        </w:tc>
        <w:tc>
          <w:tcPr>
            <w:tcW w:w="1677" w:type="dxa"/>
            <w:vAlign w:val="center"/>
          </w:tcPr>
          <w:p>
            <w:pPr>
              <w:spacing w:line="36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生活垃圾</w:t>
            </w:r>
          </w:p>
        </w:tc>
        <w:tc>
          <w:tcPr>
            <w:tcW w:w="3321" w:type="dxa"/>
            <w:vAlign w:val="center"/>
          </w:tcPr>
          <w:p>
            <w:pPr>
              <w:adjustRightInd w:val="0"/>
              <w:snapToGrid w:val="0"/>
              <w:spacing w:line="360" w:lineRule="exact"/>
              <w:jc w:val="left"/>
              <w:rPr>
                <w:rFonts w:asciiTheme="minorEastAsia" w:hAnsiTheme="minorEastAsia" w:eastAsiaTheme="minorEastAsia"/>
                <w:bCs/>
                <w:snapToGrid w:val="0"/>
                <w:color w:val="000000"/>
                <w:kern w:val="0"/>
                <w:szCs w:val="21"/>
              </w:rPr>
            </w:pPr>
            <w:r>
              <w:rPr>
                <w:rFonts w:asciiTheme="minorEastAsia" w:hAnsiTheme="minorEastAsia" w:eastAsiaTheme="minorEastAsia"/>
                <w:color w:val="000000"/>
                <w:szCs w:val="21"/>
              </w:rPr>
              <w:t>交由区市政环卫部门统一收集处理，禁止随意堆放</w:t>
            </w:r>
          </w:p>
        </w:tc>
        <w:tc>
          <w:tcPr>
            <w:tcW w:w="3114" w:type="dxa"/>
            <w:vAlign w:val="center"/>
          </w:tcPr>
          <w:p>
            <w:pPr>
              <w:adjustRightInd w:val="0"/>
              <w:snapToGrid w:val="0"/>
              <w:spacing w:line="360" w:lineRule="exact"/>
              <w:jc w:val="left"/>
              <w:rPr>
                <w:rFonts w:asciiTheme="minorEastAsia" w:hAnsiTheme="minorEastAsia" w:eastAsiaTheme="minorEastAsia"/>
                <w:bCs/>
                <w:snapToGrid w:val="0"/>
                <w:color w:val="000000"/>
                <w:kern w:val="0"/>
                <w:szCs w:val="21"/>
              </w:rPr>
            </w:pPr>
            <w:r>
              <w:rPr>
                <w:rFonts w:asciiTheme="minorEastAsia" w:hAnsiTheme="minorEastAsia" w:eastAsiaTheme="minorEastAsia"/>
                <w:color w:val="000000"/>
                <w:szCs w:val="21"/>
              </w:rPr>
              <w:t>交由区市政环卫部门统一收集处理，禁止随意堆放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3</w:t>
            </w:r>
          </w:p>
        </w:tc>
        <w:tc>
          <w:tcPr>
            <w:tcW w:w="1677" w:type="dxa"/>
            <w:vAlign w:val="center"/>
          </w:tcPr>
          <w:p>
            <w:pPr>
              <w:spacing w:line="36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污泥</w:t>
            </w:r>
          </w:p>
        </w:tc>
        <w:tc>
          <w:tcPr>
            <w:tcW w:w="3321" w:type="dxa"/>
            <w:vAlign w:val="center"/>
          </w:tcPr>
          <w:p>
            <w:pPr>
              <w:adjustRightInd w:val="0"/>
              <w:snapToGrid w:val="0"/>
              <w:spacing w:line="360" w:lineRule="exact"/>
              <w:jc w:val="left"/>
              <w:rPr>
                <w:rFonts w:asciiTheme="minorEastAsia" w:hAnsiTheme="minorEastAsia" w:eastAsiaTheme="minorEastAsia"/>
                <w:color w:val="000000"/>
                <w:szCs w:val="21"/>
              </w:rPr>
            </w:pPr>
            <w:r>
              <w:rPr>
                <w:rFonts w:asciiTheme="minorEastAsia" w:hAnsiTheme="minorEastAsia" w:eastAsiaTheme="minorEastAsia"/>
                <w:color w:val="000000"/>
                <w:szCs w:val="21"/>
              </w:rPr>
              <w:t>污泥进行干化处理后送相关企业进行堆肥和作为绿化肥料</w:t>
            </w:r>
          </w:p>
        </w:tc>
        <w:tc>
          <w:tcPr>
            <w:tcW w:w="3114" w:type="dxa"/>
            <w:vAlign w:val="center"/>
          </w:tcPr>
          <w:p>
            <w:pPr>
              <w:adjustRightInd w:val="0"/>
              <w:snapToGrid w:val="0"/>
              <w:spacing w:line="360" w:lineRule="exact"/>
              <w:jc w:val="left"/>
              <w:rPr>
                <w:rFonts w:asciiTheme="minorEastAsia" w:hAnsiTheme="minorEastAsia" w:eastAsiaTheme="minorEastAsia"/>
                <w:color w:val="000000"/>
                <w:szCs w:val="21"/>
              </w:rPr>
            </w:pPr>
            <w:r>
              <w:rPr>
                <w:rFonts w:asciiTheme="minorEastAsia" w:hAnsiTheme="minorEastAsia" w:eastAsiaTheme="minorEastAsia"/>
                <w:color w:val="000000"/>
                <w:szCs w:val="21"/>
              </w:rPr>
              <w:t>厂区设置了污泥浓缩水池和污泥干化设备，污泥经干化后由需要企业自行运输用于堆肥和绿化肥料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四</w:t>
            </w:r>
          </w:p>
        </w:tc>
        <w:tc>
          <w:tcPr>
            <w:tcW w:w="8112" w:type="dxa"/>
            <w:gridSpan w:val="3"/>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噪声控制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1</w:t>
            </w:r>
          </w:p>
        </w:tc>
        <w:tc>
          <w:tcPr>
            <w:tcW w:w="1677"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设备噪声</w:t>
            </w:r>
          </w:p>
        </w:tc>
        <w:tc>
          <w:tcPr>
            <w:tcW w:w="3321" w:type="dxa"/>
            <w:vAlign w:val="center"/>
          </w:tcPr>
          <w:p>
            <w:pPr>
              <w:snapToGrid w:val="0"/>
              <w:jc w:val="left"/>
              <w:rPr>
                <w:rFonts w:asciiTheme="minorEastAsia" w:hAnsiTheme="minorEastAsia" w:eastAsiaTheme="minorEastAsia"/>
                <w:color w:val="000000"/>
                <w:szCs w:val="21"/>
              </w:rPr>
            </w:pPr>
            <w:r>
              <w:rPr>
                <w:rFonts w:asciiTheme="minorEastAsia" w:hAnsiTheme="minorEastAsia" w:eastAsiaTheme="minorEastAsia"/>
                <w:color w:val="000000"/>
                <w:szCs w:val="21"/>
              </w:rPr>
              <w:t>使用低</w:t>
            </w:r>
            <w:r>
              <w:rPr>
                <w:rFonts w:asciiTheme="minorEastAsia" w:hAnsiTheme="minorEastAsia" w:eastAsiaTheme="minorEastAsia"/>
                <w:szCs w:val="21"/>
              </w:rPr>
              <w:t>噪声、高功率的泵</w:t>
            </w:r>
            <w:r>
              <w:rPr>
                <w:rFonts w:asciiTheme="minorEastAsia" w:hAnsiTheme="minorEastAsia" w:eastAsiaTheme="minorEastAsia"/>
                <w:color w:val="000000"/>
                <w:szCs w:val="21"/>
              </w:rPr>
              <w:t>，定期对设备进行维护、保养，确保设备运行正常，</w:t>
            </w:r>
            <w:r>
              <w:rPr>
                <w:rFonts w:asciiTheme="minorEastAsia" w:hAnsiTheme="minorEastAsia" w:eastAsiaTheme="minorEastAsia"/>
                <w:szCs w:val="21"/>
              </w:rPr>
              <w:t>设置减震垫，厂区设置绿化带等</w:t>
            </w:r>
          </w:p>
        </w:tc>
        <w:tc>
          <w:tcPr>
            <w:tcW w:w="3114" w:type="dxa"/>
            <w:vAlign w:val="center"/>
          </w:tcPr>
          <w:p>
            <w:pPr>
              <w:snapToGrid w:val="0"/>
              <w:jc w:val="left"/>
              <w:rPr>
                <w:rFonts w:asciiTheme="minorEastAsia" w:hAnsiTheme="minorEastAsia" w:eastAsiaTheme="minorEastAsia"/>
                <w:snapToGrid w:val="0"/>
                <w:color w:val="000000"/>
                <w:kern w:val="0"/>
                <w:szCs w:val="21"/>
              </w:rPr>
            </w:pPr>
            <w:r>
              <w:rPr>
                <w:rFonts w:asciiTheme="minorEastAsia" w:hAnsiTheme="minorEastAsia" w:eastAsiaTheme="minorEastAsia"/>
                <w:color w:val="000000"/>
                <w:szCs w:val="21"/>
              </w:rPr>
              <w:t>企业使用了低</w:t>
            </w:r>
            <w:r>
              <w:rPr>
                <w:rFonts w:asciiTheme="minorEastAsia" w:hAnsiTheme="minorEastAsia" w:eastAsiaTheme="minorEastAsia"/>
                <w:szCs w:val="21"/>
              </w:rPr>
              <w:t>噪声、高功率的泵</w:t>
            </w:r>
            <w:r>
              <w:rPr>
                <w:rFonts w:asciiTheme="minorEastAsia" w:hAnsiTheme="minorEastAsia" w:eastAsiaTheme="minorEastAsia"/>
                <w:color w:val="000000"/>
                <w:szCs w:val="21"/>
              </w:rPr>
              <w:t>，并将泵置于地下或者专门泵房内，定期对设备进行了维护、保养，确保设备运行正常，</w:t>
            </w:r>
            <w:r>
              <w:rPr>
                <w:rFonts w:asciiTheme="minorEastAsia" w:hAnsiTheme="minorEastAsia" w:eastAsiaTheme="minorEastAsia"/>
                <w:szCs w:val="21"/>
              </w:rPr>
              <w:t>设置减震垫，厂区设置了绿化带。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五</w:t>
            </w:r>
          </w:p>
        </w:tc>
        <w:tc>
          <w:tcPr>
            <w:tcW w:w="8112" w:type="dxa"/>
            <w:gridSpan w:val="3"/>
            <w:vAlign w:val="center"/>
          </w:tcPr>
          <w:p>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风险防范措施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rFonts w:asciiTheme="minorEastAsia" w:hAnsiTheme="minorEastAsia" w:eastAsiaTheme="minorEastAsia"/>
                <w:snapToGrid w:val="0"/>
                <w:color w:val="000000"/>
                <w:kern w:val="0"/>
                <w:szCs w:val="21"/>
              </w:rPr>
            </w:pPr>
            <w:r>
              <w:rPr>
                <w:rFonts w:hint="eastAsia" w:asciiTheme="minorEastAsia" w:hAnsiTheme="minorEastAsia" w:eastAsiaTheme="minorEastAsia"/>
                <w:snapToGrid w:val="0"/>
                <w:color w:val="000000"/>
                <w:kern w:val="0"/>
                <w:szCs w:val="21"/>
              </w:rPr>
              <w:t>1</w:t>
            </w:r>
          </w:p>
        </w:tc>
        <w:tc>
          <w:tcPr>
            <w:tcW w:w="1677" w:type="dxa"/>
            <w:vAlign w:val="center"/>
          </w:tcPr>
          <w:p>
            <w:pPr>
              <w:snapToGrid w:val="0"/>
              <w:jc w:val="center"/>
              <w:rPr>
                <w:rFonts w:asciiTheme="minorEastAsia" w:hAnsiTheme="minorEastAsia" w:eastAsiaTheme="minorEastAsia"/>
                <w:snapToGrid w:val="0"/>
                <w:color w:val="000000"/>
                <w:kern w:val="0"/>
                <w:szCs w:val="21"/>
              </w:rPr>
            </w:pPr>
            <w:r>
              <w:rPr>
                <w:rFonts w:asciiTheme="minorEastAsia" w:hAnsiTheme="minorEastAsia" w:eastAsiaTheme="minorEastAsia"/>
                <w:snapToGrid w:val="0"/>
                <w:color w:val="000000"/>
                <w:kern w:val="0"/>
                <w:szCs w:val="21"/>
              </w:rPr>
              <w:t>其它</w:t>
            </w:r>
          </w:p>
        </w:tc>
        <w:tc>
          <w:tcPr>
            <w:tcW w:w="3321" w:type="dxa"/>
            <w:vAlign w:val="center"/>
          </w:tcPr>
          <w:p>
            <w:pPr>
              <w:snapToGrid w:val="0"/>
              <w:jc w:val="left"/>
              <w:rPr>
                <w:rFonts w:asciiTheme="minorEastAsia" w:hAnsiTheme="minorEastAsia" w:eastAsiaTheme="minorEastAsia"/>
                <w:color w:val="000000"/>
                <w:szCs w:val="21"/>
              </w:rPr>
            </w:pPr>
            <w:r>
              <w:rPr>
                <w:rFonts w:asciiTheme="minorEastAsia" w:hAnsiTheme="minorEastAsia" w:eastAsiaTheme="minorEastAsia"/>
                <w:color w:val="000000"/>
                <w:szCs w:val="21"/>
              </w:rPr>
              <w:t>备置防毒面具、防护服、防护眼睛、应急灯等应急物资</w:t>
            </w:r>
          </w:p>
        </w:tc>
        <w:tc>
          <w:tcPr>
            <w:tcW w:w="3114" w:type="dxa"/>
            <w:vAlign w:val="center"/>
          </w:tcPr>
          <w:p>
            <w:pPr>
              <w:snapToGrid w:val="0"/>
              <w:jc w:val="left"/>
              <w:rPr>
                <w:rFonts w:asciiTheme="minorEastAsia" w:hAnsiTheme="minorEastAsia" w:eastAsiaTheme="minorEastAsia"/>
                <w:color w:val="000000"/>
                <w:szCs w:val="21"/>
              </w:rPr>
            </w:pPr>
            <w:r>
              <w:rPr>
                <w:rFonts w:asciiTheme="minorEastAsia" w:hAnsiTheme="minorEastAsia" w:eastAsiaTheme="minorEastAsia"/>
                <w:color w:val="000000"/>
                <w:szCs w:val="21"/>
              </w:rPr>
              <w:t>备置了防毒面具、防护服、防护眼睛、应急灯等应急物资</w:t>
            </w:r>
          </w:p>
        </w:tc>
      </w:tr>
    </w:tbl>
    <w:p>
      <w:pPr>
        <w:adjustRightInd w:val="0"/>
        <w:snapToGrid w:val="0"/>
        <w:spacing w:line="460" w:lineRule="exact"/>
        <w:outlineLvl w:val="1"/>
        <w:rPr>
          <w:rFonts w:hint="eastAsia"/>
          <w:b/>
          <w:color w:val="000000"/>
          <w:sz w:val="26"/>
          <w:szCs w:val="26"/>
          <w:lang w:val="zh-CN"/>
        </w:rPr>
      </w:pPr>
      <w:bookmarkStart w:id="204" w:name="_Toc5066"/>
      <w:bookmarkStart w:id="205" w:name="_Toc458674253"/>
      <w:r>
        <w:rPr>
          <w:rFonts w:hint="eastAsia"/>
          <w:b/>
          <w:color w:val="000000"/>
          <w:sz w:val="26"/>
          <w:szCs w:val="26"/>
          <w:lang w:val="zh-CN"/>
        </w:rPr>
        <w:t>3.3环境风险源识别</w:t>
      </w:r>
      <w:bookmarkEnd w:id="204"/>
      <w:bookmarkEnd w:id="205"/>
    </w:p>
    <w:p>
      <w:pPr>
        <w:pStyle w:val="120"/>
        <w:ind w:firstLine="0" w:firstLineChars="0"/>
        <w:rPr>
          <w:b/>
        </w:rPr>
      </w:pPr>
      <w:bookmarkStart w:id="206" w:name="_Toc346872561"/>
      <w:bookmarkStart w:id="207" w:name="_Toc458674254"/>
      <w:bookmarkStart w:id="208" w:name="_Toc317088625"/>
      <w:bookmarkStart w:id="209" w:name="_Toc376848492"/>
      <w:r>
        <w:rPr>
          <w:rFonts w:hint="eastAsia"/>
          <w:b/>
        </w:rPr>
        <w:t>3</w:t>
      </w:r>
      <w:r>
        <w:rPr>
          <w:b/>
        </w:rPr>
        <w:t>.3.1 生产过程潜在风险识别</w:t>
      </w:r>
      <w:bookmarkEnd w:id="206"/>
      <w:bookmarkEnd w:id="207"/>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（1）生产工艺过程</w:t>
      </w:r>
    </w:p>
    <w:p>
      <w:pPr>
        <w:pStyle w:val="172"/>
        <w:spacing w:line="500" w:lineRule="exact"/>
        <w:ind w:firstLine="480"/>
        <w:rPr>
          <w:rFonts w:ascii="仿宋_GB2312"/>
          <w:sz w:val="24"/>
        </w:rPr>
      </w:pPr>
      <w:r>
        <w:rPr>
          <w:rFonts w:hint="eastAsia" w:ascii="仿宋_GB2312"/>
          <w:sz w:val="24"/>
        </w:rPr>
        <w:t>氢氧化钠加药间</w:t>
      </w:r>
      <w:r>
        <w:rPr>
          <w:rFonts w:cs="仿宋_GB2312" w:asciiTheme="minorEastAsia" w:hAnsiTheme="minorEastAsia" w:eastAsiaTheme="minorEastAsia"/>
          <w:kern w:val="0"/>
          <w:sz w:val="24"/>
        </w:rPr>
        <w:t>：企业所使用的</w:t>
      </w:r>
      <w:r>
        <w:rPr>
          <w:rFonts w:hint="eastAsia" w:ascii="仿宋_GB2312"/>
          <w:sz w:val="24"/>
        </w:rPr>
        <w:t>氢氧化钠（固体片碱）</w:t>
      </w:r>
      <w:r>
        <w:rPr>
          <w:rFonts w:cs="仿宋_GB2312" w:asciiTheme="minorEastAsia" w:hAnsiTheme="minorEastAsia" w:eastAsiaTheme="minorEastAsia"/>
          <w:kern w:val="0"/>
          <w:sz w:val="24"/>
        </w:rPr>
        <w:t>由供应商负责运输至厂区，然后由专门的保管人员验收存放于危险化学品仓库。</w:t>
      </w:r>
      <w:r>
        <w:rPr>
          <w:rFonts w:hint="eastAsia" w:ascii="仿宋_GB2312"/>
          <w:sz w:val="24"/>
        </w:rPr>
        <w:t>在氢氧化钠装卸使用过程中，安排专人现场监督，整个装卸使用过程必须全程处于监控状态，杜绝装卸使用过程中氢氧化钠泄漏，或一旦装卸使用过程发生泄漏能得到及时有效的处理，</w:t>
      </w:r>
      <w:r>
        <w:rPr>
          <w:rFonts w:hint="eastAsia" w:cs="仿宋_GB2312" w:asciiTheme="minorEastAsia" w:hAnsiTheme="minorEastAsia" w:eastAsiaTheme="minorEastAsia"/>
          <w:kern w:val="0"/>
          <w:sz w:val="24"/>
        </w:rPr>
        <w:t>可控制在加药间内。</w:t>
      </w:r>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（2）停电</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企业为城市污水处理厂，一旦发生停电时，污水处理设备不能运转导致厂区内收集的污水直接排放到外环境，造成地表水污染，影响地表水环境及下游取水口、鱼类三场等水环境风险受体。</w:t>
      </w:r>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（3）污染治理设施非正常运营</w:t>
      </w:r>
    </w:p>
    <w:p>
      <w:pPr>
        <w:spacing w:line="460" w:lineRule="exact"/>
        <w:ind w:firstLine="480" w:firstLineChars="200"/>
        <w:rPr>
          <w:sz w:val="24"/>
          <w:szCs w:val="24"/>
        </w:rPr>
      </w:pPr>
      <w:r>
        <w:rPr>
          <w:rFonts w:cs="仿宋_GB2312" w:asciiTheme="minorEastAsia" w:hAnsiTheme="minorEastAsia" w:eastAsiaTheme="minorEastAsia"/>
          <w:kern w:val="0"/>
          <w:sz w:val="24"/>
          <w:szCs w:val="24"/>
        </w:rPr>
        <w:t>企业为</w:t>
      </w:r>
      <w:r>
        <w:rPr>
          <w:rFonts w:hint="eastAsia" w:cs="仿宋_GB2312" w:asciiTheme="minorEastAsia" w:hAnsiTheme="minorEastAsia" w:eastAsiaTheme="minorEastAsia"/>
          <w:kern w:val="0"/>
          <w:sz w:val="24"/>
          <w:szCs w:val="24"/>
        </w:rPr>
        <w:t>榨工业废水</w:t>
      </w:r>
      <w:r>
        <w:rPr>
          <w:rFonts w:cs="仿宋_GB2312" w:asciiTheme="minorEastAsia" w:hAnsiTheme="minorEastAsia" w:eastAsiaTheme="minorEastAsia"/>
          <w:kern w:val="0"/>
          <w:sz w:val="24"/>
          <w:szCs w:val="24"/>
        </w:rPr>
        <w:t>处理厂，一旦污染治理设施不能正常运营导致污水治理效果下降使污水未达标而排放到地表水体造成地表水环境污染。</w:t>
      </w:r>
    </w:p>
    <w:p>
      <w:pPr>
        <w:pStyle w:val="172"/>
        <w:spacing w:line="46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（4）各种自然灾害、极端天气</w:t>
      </w:r>
    </w:p>
    <w:p>
      <w:pPr>
        <w:pStyle w:val="172"/>
        <w:spacing w:line="46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在各</w:t>
      </w:r>
      <w:r>
        <w:rPr>
          <w:rFonts w:hint="eastAsia" w:cs="仿宋_GB2312" w:asciiTheme="minorEastAsia" w:hAnsiTheme="minorEastAsia" w:eastAsiaTheme="minorEastAsia"/>
          <w:kern w:val="0"/>
          <w:sz w:val="24"/>
        </w:rPr>
        <w:t>种</w:t>
      </w:r>
      <w:r>
        <w:rPr>
          <w:rFonts w:cs="仿宋_GB2312" w:asciiTheme="minorEastAsia" w:hAnsiTheme="minorEastAsia" w:eastAsiaTheme="minorEastAsia"/>
          <w:kern w:val="0"/>
          <w:sz w:val="24"/>
        </w:rPr>
        <w:t>自然灾害、极端天气情况下，企业突发环境事故为污水未经处理直接排放到外环境造成后果与停电情况下一致。</w:t>
      </w:r>
    </w:p>
    <w:p>
      <w:pPr>
        <w:spacing w:line="460" w:lineRule="exact"/>
        <w:ind w:firstLine="520" w:firstLineChars="200"/>
        <w:jc w:val="center"/>
        <w:rPr>
          <w:color w:val="000000"/>
          <w:sz w:val="26"/>
          <w:szCs w:val="26"/>
        </w:rPr>
      </w:pPr>
      <w:r>
        <w:rPr>
          <w:color w:val="000000"/>
          <w:sz w:val="26"/>
          <w:szCs w:val="26"/>
        </w:rPr>
        <w:t>表3.3-1              生产过程风险一览表</w:t>
      </w:r>
    </w:p>
    <w:tbl>
      <w:tblPr>
        <w:tblStyle w:val="54"/>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134"/>
        <w:gridCol w:w="1578"/>
        <w:gridCol w:w="2861"/>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2" w:type="dxa"/>
            <w:vAlign w:val="center"/>
          </w:tcPr>
          <w:p>
            <w:pPr>
              <w:adjustRightInd w:val="0"/>
              <w:snapToGrid w:val="0"/>
              <w:jc w:val="center"/>
              <w:rPr>
                <w:color w:val="000000"/>
                <w:szCs w:val="21"/>
              </w:rPr>
            </w:pPr>
            <w:r>
              <w:rPr>
                <w:color w:val="000000"/>
                <w:szCs w:val="21"/>
              </w:rPr>
              <w:t>生产单元</w:t>
            </w:r>
          </w:p>
        </w:tc>
        <w:tc>
          <w:tcPr>
            <w:tcW w:w="1134" w:type="dxa"/>
            <w:vAlign w:val="center"/>
          </w:tcPr>
          <w:p>
            <w:pPr>
              <w:adjustRightInd w:val="0"/>
              <w:snapToGrid w:val="0"/>
              <w:jc w:val="center"/>
              <w:rPr>
                <w:color w:val="000000"/>
                <w:szCs w:val="21"/>
              </w:rPr>
            </w:pPr>
            <w:r>
              <w:rPr>
                <w:color w:val="000000"/>
                <w:szCs w:val="21"/>
              </w:rPr>
              <w:t>危险物质</w:t>
            </w:r>
          </w:p>
        </w:tc>
        <w:tc>
          <w:tcPr>
            <w:tcW w:w="1578" w:type="dxa"/>
            <w:vAlign w:val="center"/>
          </w:tcPr>
          <w:p>
            <w:pPr>
              <w:adjustRightInd w:val="0"/>
              <w:snapToGrid w:val="0"/>
              <w:jc w:val="center"/>
              <w:rPr>
                <w:color w:val="000000"/>
                <w:szCs w:val="21"/>
              </w:rPr>
            </w:pPr>
            <w:r>
              <w:rPr>
                <w:color w:val="000000"/>
                <w:szCs w:val="21"/>
              </w:rPr>
              <w:t>事故形式</w:t>
            </w:r>
          </w:p>
        </w:tc>
        <w:tc>
          <w:tcPr>
            <w:tcW w:w="2861" w:type="dxa"/>
            <w:vAlign w:val="center"/>
          </w:tcPr>
          <w:p>
            <w:pPr>
              <w:adjustRightInd w:val="0"/>
              <w:snapToGrid w:val="0"/>
              <w:jc w:val="center"/>
              <w:rPr>
                <w:color w:val="000000"/>
                <w:szCs w:val="21"/>
              </w:rPr>
            </w:pPr>
            <w:r>
              <w:rPr>
                <w:color w:val="000000"/>
                <w:szCs w:val="21"/>
              </w:rPr>
              <w:t>产生原因</w:t>
            </w:r>
          </w:p>
        </w:tc>
        <w:tc>
          <w:tcPr>
            <w:tcW w:w="1535" w:type="dxa"/>
            <w:vAlign w:val="center"/>
          </w:tcPr>
          <w:p>
            <w:pPr>
              <w:adjustRightInd w:val="0"/>
              <w:snapToGrid w:val="0"/>
              <w:jc w:val="center"/>
              <w:rPr>
                <w:color w:val="000000"/>
                <w:szCs w:val="21"/>
              </w:rPr>
            </w:pPr>
            <w:r>
              <w:rPr>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2" w:type="dxa"/>
            <w:vAlign w:val="center"/>
          </w:tcPr>
          <w:p>
            <w:pPr>
              <w:adjustRightInd w:val="0"/>
              <w:snapToGrid w:val="0"/>
              <w:jc w:val="center"/>
              <w:rPr>
                <w:color w:val="000000"/>
                <w:szCs w:val="21"/>
              </w:rPr>
            </w:pPr>
            <w:r>
              <w:rPr>
                <w:rFonts w:hint="eastAsia" w:ascii="仿宋_GB2312"/>
                <w:szCs w:val="21"/>
              </w:rPr>
              <w:t>氢氧化钠加药间</w:t>
            </w:r>
          </w:p>
        </w:tc>
        <w:tc>
          <w:tcPr>
            <w:tcW w:w="1134" w:type="dxa"/>
            <w:vAlign w:val="center"/>
          </w:tcPr>
          <w:p>
            <w:pPr>
              <w:adjustRightInd w:val="0"/>
              <w:snapToGrid w:val="0"/>
              <w:jc w:val="center"/>
              <w:rPr>
                <w:color w:val="000000"/>
                <w:szCs w:val="21"/>
              </w:rPr>
            </w:pPr>
            <w:r>
              <w:rPr>
                <w:rFonts w:hint="eastAsia"/>
                <w:color w:val="000000"/>
                <w:szCs w:val="21"/>
              </w:rPr>
              <w:t>氢气</w:t>
            </w:r>
          </w:p>
        </w:tc>
        <w:tc>
          <w:tcPr>
            <w:tcW w:w="1578" w:type="dxa"/>
            <w:vAlign w:val="center"/>
          </w:tcPr>
          <w:p>
            <w:pPr>
              <w:adjustRightInd w:val="0"/>
              <w:snapToGrid w:val="0"/>
              <w:jc w:val="left"/>
              <w:rPr>
                <w:color w:val="000000"/>
                <w:szCs w:val="21"/>
              </w:rPr>
            </w:pPr>
            <w:r>
              <w:rPr>
                <w:color w:val="000000"/>
                <w:szCs w:val="21"/>
              </w:rPr>
              <w:t>泄漏、</w:t>
            </w:r>
            <w:r>
              <w:rPr>
                <w:rFonts w:hint="eastAsia" w:ascii="仿宋_GB2312"/>
                <w:szCs w:val="21"/>
              </w:rPr>
              <w:t>化学灼伤</w:t>
            </w:r>
            <w:r>
              <w:rPr>
                <w:color w:val="000000"/>
                <w:szCs w:val="21"/>
              </w:rPr>
              <w:t>、环境污染</w:t>
            </w:r>
          </w:p>
        </w:tc>
        <w:tc>
          <w:tcPr>
            <w:tcW w:w="2861" w:type="dxa"/>
            <w:vAlign w:val="center"/>
          </w:tcPr>
          <w:p>
            <w:pPr>
              <w:autoSpaceDE w:val="0"/>
              <w:autoSpaceDN w:val="0"/>
              <w:jc w:val="left"/>
              <w:rPr>
                <w:rFonts w:ascii="仿宋_GB2312"/>
                <w:kern w:val="0"/>
                <w:szCs w:val="21"/>
              </w:rPr>
            </w:pPr>
            <w:r>
              <w:rPr>
                <w:rFonts w:hint="eastAsia" w:ascii="仿宋_GB2312"/>
                <w:szCs w:val="21"/>
              </w:rPr>
              <w:t>操作使用、储存不当造成泄漏</w:t>
            </w:r>
          </w:p>
        </w:tc>
        <w:tc>
          <w:tcPr>
            <w:tcW w:w="1535" w:type="dxa"/>
            <w:vAlign w:val="center"/>
          </w:tcPr>
          <w:p>
            <w:pPr>
              <w:adjustRightInd w:val="0"/>
              <w:snapToGrid w:val="0"/>
              <w:jc w:val="center"/>
              <w:rPr>
                <w:rFonts w:hint="eastAsia" w:ascii="仿宋_GB2312"/>
                <w:szCs w:val="21"/>
              </w:rPr>
            </w:pPr>
            <w:r>
              <w:rPr>
                <w:rFonts w:hint="eastAsia" w:ascii="仿宋_GB2312"/>
                <w:szCs w:val="21"/>
              </w:rPr>
              <w:t>氢氧化钠</w:t>
            </w:r>
          </w:p>
          <w:p>
            <w:pPr>
              <w:adjustRightInd w:val="0"/>
              <w:snapToGrid w:val="0"/>
              <w:jc w:val="center"/>
              <w:rPr>
                <w:color w:val="000000"/>
                <w:szCs w:val="21"/>
              </w:rPr>
            </w:pPr>
            <w:r>
              <w:rPr>
                <w:rFonts w:hint="eastAsia" w:ascii="仿宋_GB2312"/>
                <w:szCs w:val="21"/>
              </w:rPr>
              <w:t>加药间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2" w:type="dxa"/>
            <w:vAlign w:val="center"/>
          </w:tcPr>
          <w:p>
            <w:pPr>
              <w:adjustRightInd w:val="0"/>
              <w:snapToGrid w:val="0"/>
              <w:jc w:val="center"/>
              <w:rPr>
                <w:color w:val="000000"/>
                <w:szCs w:val="21"/>
              </w:rPr>
            </w:pPr>
            <w:r>
              <w:rPr>
                <w:color w:val="000000"/>
                <w:szCs w:val="21"/>
              </w:rPr>
              <w:t>污水处理系统</w:t>
            </w:r>
          </w:p>
        </w:tc>
        <w:tc>
          <w:tcPr>
            <w:tcW w:w="1134" w:type="dxa"/>
            <w:vAlign w:val="center"/>
          </w:tcPr>
          <w:p>
            <w:pPr>
              <w:adjustRightInd w:val="0"/>
              <w:snapToGrid w:val="0"/>
              <w:jc w:val="center"/>
              <w:rPr>
                <w:color w:val="000000"/>
                <w:szCs w:val="21"/>
              </w:rPr>
            </w:pPr>
            <w:r>
              <w:rPr>
                <w:color w:val="000000"/>
                <w:szCs w:val="21"/>
              </w:rPr>
              <w:t>收集污水</w:t>
            </w:r>
          </w:p>
        </w:tc>
        <w:tc>
          <w:tcPr>
            <w:tcW w:w="1578" w:type="dxa"/>
            <w:vAlign w:val="center"/>
          </w:tcPr>
          <w:p>
            <w:pPr>
              <w:adjustRightInd w:val="0"/>
              <w:snapToGrid w:val="0"/>
              <w:jc w:val="left"/>
              <w:rPr>
                <w:color w:val="000000"/>
                <w:szCs w:val="21"/>
              </w:rPr>
            </w:pPr>
            <w:r>
              <w:rPr>
                <w:color w:val="000000"/>
                <w:szCs w:val="21"/>
              </w:rPr>
              <w:t>泄漏、环境污染</w:t>
            </w:r>
          </w:p>
        </w:tc>
        <w:tc>
          <w:tcPr>
            <w:tcW w:w="2861" w:type="dxa"/>
            <w:vAlign w:val="center"/>
          </w:tcPr>
          <w:p>
            <w:pPr>
              <w:adjustRightInd w:val="0"/>
              <w:snapToGrid w:val="0"/>
              <w:jc w:val="left"/>
              <w:rPr>
                <w:color w:val="000000"/>
                <w:szCs w:val="21"/>
              </w:rPr>
            </w:pPr>
            <w:r>
              <w:rPr>
                <w:color w:val="000000"/>
                <w:szCs w:val="21"/>
              </w:rPr>
              <w:t>污水处理设备发生故障、停电、自然灾害等</w:t>
            </w:r>
          </w:p>
        </w:tc>
        <w:tc>
          <w:tcPr>
            <w:tcW w:w="1535" w:type="dxa"/>
            <w:vAlign w:val="center"/>
          </w:tcPr>
          <w:p>
            <w:pPr>
              <w:adjustRightInd w:val="0"/>
              <w:snapToGrid w:val="0"/>
              <w:jc w:val="center"/>
              <w:rPr>
                <w:color w:val="000000"/>
                <w:szCs w:val="21"/>
              </w:rPr>
            </w:pPr>
            <w:r>
              <w:rPr>
                <w:color w:val="000000"/>
                <w:szCs w:val="21"/>
              </w:rPr>
              <w:t>污水</w:t>
            </w:r>
          </w:p>
        </w:tc>
      </w:tr>
    </w:tbl>
    <w:p>
      <w:pPr>
        <w:pStyle w:val="120"/>
        <w:ind w:firstLine="0" w:firstLineChars="0"/>
        <w:rPr>
          <w:b/>
        </w:rPr>
      </w:pPr>
      <w:bookmarkStart w:id="210" w:name="_Toc346872562"/>
      <w:bookmarkStart w:id="211" w:name="_Toc458674255"/>
      <w:r>
        <w:rPr>
          <w:rFonts w:hint="eastAsia"/>
          <w:b/>
        </w:rPr>
        <w:t>3</w:t>
      </w:r>
      <w:r>
        <w:rPr>
          <w:b/>
        </w:rPr>
        <w:t>.3.2</w:t>
      </w:r>
      <w:bookmarkEnd w:id="208"/>
      <w:bookmarkEnd w:id="210"/>
      <w:r>
        <w:rPr>
          <w:b/>
        </w:rPr>
        <w:t>运输过程潜在风险识别</w:t>
      </w:r>
      <w:bookmarkEnd w:id="211"/>
    </w:p>
    <w:p>
      <w:pPr>
        <w:pStyle w:val="172"/>
        <w:spacing w:line="500" w:lineRule="exact"/>
        <w:ind w:firstLine="480"/>
        <w:rPr>
          <w:rFonts w:cs="仿宋_GB2312" w:asciiTheme="minorEastAsia" w:hAnsiTheme="minorEastAsia" w:eastAsiaTheme="minorEastAsia"/>
          <w:kern w:val="0"/>
          <w:sz w:val="24"/>
        </w:rPr>
      </w:pPr>
      <w:bookmarkStart w:id="212" w:name="_Toc317088626"/>
      <w:bookmarkStart w:id="213" w:name="_Toc346872563"/>
      <w:r>
        <w:rPr>
          <w:rFonts w:cs="仿宋_GB2312" w:asciiTheme="minorEastAsia" w:hAnsiTheme="minorEastAsia" w:eastAsiaTheme="minorEastAsia"/>
          <w:kern w:val="0"/>
          <w:sz w:val="24"/>
        </w:rPr>
        <w:t>经核实，企业原辅材料等由供应商提供运输至厂区，运输过程中的突发环境事故风险防范应由供应商完成，</w:t>
      </w:r>
      <w:r>
        <w:rPr>
          <w:rFonts w:hint="eastAsia" w:cs="仿宋_GB2312" w:asciiTheme="minorEastAsia" w:hAnsiTheme="minorEastAsia" w:eastAsiaTheme="minorEastAsia"/>
          <w:kern w:val="0"/>
          <w:sz w:val="24"/>
        </w:rPr>
        <w:t>按照转运协议要求，运输途中出现的一切安全及其他事故由转运单位负责，污水处理厂负责配合协调处理，不纳入本次评估范围。</w:t>
      </w:r>
    </w:p>
    <w:p>
      <w:pPr>
        <w:pStyle w:val="120"/>
        <w:ind w:firstLine="0" w:firstLineChars="0"/>
        <w:rPr>
          <w:b/>
          <w:sz w:val="26"/>
          <w:szCs w:val="26"/>
        </w:rPr>
      </w:pPr>
      <w:bookmarkStart w:id="214" w:name="_Toc458674256"/>
      <w:r>
        <w:rPr>
          <w:rFonts w:hint="eastAsia"/>
          <w:b/>
        </w:rPr>
        <w:t>3</w:t>
      </w:r>
      <w:r>
        <w:rPr>
          <w:b/>
        </w:rPr>
        <w:t>.3.3 次/伴生风险识别</w:t>
      </w:r>
      <w:bookmarkEnd w:id="212"/>
      <w:bookmarkEnd w:id="213"/>
      <w:bookmarkEnd w:id="214"/>
    </w:p>
    <w:p>
      <w:pPr>
        <w:pStyle w:val="172"/>
        <w:spacing w:line="500" w:lineRule="exact"/>
        <w:ind w:firstLine="315" w:firstLineChars="150"/>
        <w:rPr>
          <w:rFonts w:cs="仿宋_GB2312" w:asciiTheme="minorEastAsia" w:hAnsiTheme="minorEastAsia" w:eastAsiaTheme="minorEastAsia"/>
          <w:kern w:val="0"/>
          <w:sz w:val="24"/>
        </w:rPr>
      </w:pPr>
      <w:r>
        <w:rPr>
          <w:rFonts w:hint="eastAsia" w:asciiTheme="minorEastAsia" w:hAnsiTheme="minorEastAsia" w:eastAsiaTheme="minorEastAsia"/>
          <w:szCs w:val="21"/>
        </w:rPr>
        <w:t>氢氧化钠</w:t>
      </w:r>
      <w:r>
        <w:rPr>
          <w:rFonts w:cs="仿宋_GB2312" w:asciiTheme="minorEastAsia" w:hAnsiTheme="minorEastAsia" w:eastAsiaTheme="minorEastAsia"/>
          <w:kern w:val="0"/>
          <w:sz w:val="24"/>
        </w:rPr>
        <w:t>若</w:t>
      </w:r>
      <w:r>
        <w:rPr>
          <w:rFonts w:hint="eastAsia" w:asciiTheme="minorEastAsia" w:hAnsiTheme="minorEastAsia" w:eastAsiaTheme="minorEastAsia"/>
          <w:szCs w:val="22"/>
        </w:rPr>
        <w:t>遇水和水蒸气大量放热，形成腐蚀性溶液</w:t>
      </w:r>
      <w:r>
        <w:rPr>
          <w:rFonts w:cs="仿宋_GB2312" w:asciiTheme="minorEastAsia" w:hAnsiTheme="minorEastAsia" w:eastAsiaTheme="minorEastAsia"/>
          <w:kern w:val="0"/>
          <w:sz w:val="24"/>
        </w:rPr>
        <w:t>发生泄漏事故，</w:t>
      </w:r>
      <w:r>
        <w:rPr>
          <w:rFonts w:hint="eastAsia" w:asciiTheme="minorEastAsia" w:hAnsiTheme="minorEastAsia" w:eastAsiaTheme="minorEastAsia"/>
        </w:rPr>
        <w:t>导致环境污染。</w:t>
      </w:r>
    </w:p>
    <w:p>
      <w:pPr>
        <w:adjustRightInd w:val="0"/>
        <w:snapToGrid w:val="0"/>
        <w:spacing w:line="460" w:lineRule="exact"/>
        <w:outlineLvl w:val="1"/>
        <w:rPr>
          <w:rFonts w:hint="eastAsia"/>
          <w:b/>
          <w:color w:val="000000"/>
          <w:sz w:val="26"/>
          <w:szCs w:val="26"/>
          <w:lang w:val="zh-CN"/>
        </w:rPr>
      </w:pPr>
      <w:bookmarkStart w:id="215" w:name="_Toc5493"/>
      <w:bookmarkStart w:id="216" w:name="_Toc458674257"/>
      <w:r>
        <w:rPr>
          <w:rFonts w:hint="eastAsia"/>
          <w:b/>
          <w:color w:val="000000"/>
          <w:sz w:val="26"/>
          <w:szCs w:val="26"/>
          <w:lang w:val="zh-CN"/>
        </w:rPr>
        <w:t>3.4重大危险源识别</w:t>
      </w:r>
      <w:bookmarkEnd w:id="215"/>
      <w:bookmarkEnd w:id="216"/>
    </w:p>
    <w:p>
      <w:pPr>
        <w:pStyle w:val="120"/>
        <w:ind w:firstLine="0" w:firstLineChars="0"/>
        <w:rPr>
          <w:b/>
        </w:rPr>
      </w:pPr>
      <w:bookmarkStart w:id="217" w:name="_Toc458674258"/>
      <w:r>
        <w:rPr>
          <w:rFonts w:hint="eastAsia"/>
          <w:b/>
        </w:rPr>
        <w:t>3</w:t>
      </w:r>
      <w:r>
        <w:rPr>
          <w:b/>
        </w:rPr>
        <w:t>.4.1 物质危险性识别</w:t>
      </w:r>
      <w:bookmarkEnd w:id="209"/>
      <w:bookmarkEnd w:id="217"/>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（1）危险化学品</w:t>
      </w:r>
    </w:p>
    <w:p>
      <w:pPr>
        <w:pStyle w:val="172"/>
        <w:spacing w:line="500" w:lineRule="exact"/>
        <w:ind w:firstLine="480"/>
        <w:rPr>
          <w:color w:val="000000"/>
          <w:sz w:val="26"/>
          <w:szCs w:val="26"/>
        </w:rPr>
      </w:pPr>
      <w:r>
        <w:rPr>
          <w:rFonts w:hint="eastAsia" w:cs="仿宋_GB2312" w:asciiTheme="minorEastAsia" w:hAnsiTheme="minorEastAsia" w:eastAsiaTheme="minorEastAsia"/>
          <w:kern w:val="0"/>
          <w:sz w:val="24"/>
        </w:rPr>
        <w:t>清溪园区污水处理厂</w:t>
      </w:r>
      <w:r>
        <w:rPr>
          <w:rFonts w:cs="仿宋_GB2312" w:asciiTheme="minorEastAsia" w:hAnsiTheme="minorEastAsia" w:eastAsiaTheme="minorEastAsia"/>
          <w:kern w:val="0"/>
          <w:sz w:val="24"/>
        </w:rPr>
        <w:t>污水处理工艺过程中使用到的化学试剂。根据《危险化学品名录》（2012年版），</w:t>
      </w:r>
      <w:r>
        <w:rPr>
          <w:rFonts w:hint="eastAsia" w:cs="仿宋_GB2312" w:asciiTheme="minorEastAsia" w:hAnsiTheme="minorEastAsia" w:eastAsiaTheme="minorEastAsia"/>
          <w:kern w:val="0"/>
          <w:sz w:val="24"/>
        </w:rPr>
        <w:t>清溪园区污水处理厂</w:t>
      </w:r>
      <w:r>
        <w:rPr>
          <w:rFonts w:cs="仿宋_GB2312" w:asciiTheme="minorEastAsia" w:hAnsiTheme="minorEastAsia" w:eastAsiaTheme="minorEastAsia"/>
          <w:kern w:val="0"/>
          <w:sz w:val="24"/>
        </w:rPr>
        <w:t>在污水处理过程中涉及的主要危险化学品为</w:t>
      </w:r>
      <w:r>
        <w:rPr>
          <w:rFonts w:hint="eastAsia" w:asciiTheme="minorEastAsia" w:hAnsiTheme="minorEastAsia" w:eastAsiaTheme="minorEastAsia"/>
          <w:szCs w:val="21"/>
        </w:rPr>
        <w:t>氢氧化钠</w:t>
      </w:r>
      <w:r>
        <w:rPr>
          <w:rFonts w:cs="仿宋_GB2312" w:asciiTheme="minorEastAsia" w:hAnsiTheme="minorEastAsia" w:eastAsiaTheme="minorEastAsia"/>
          <w:kern w:val="0"/>
          <w:sz w:val="24"/>
        </w:rPr>
        <w:t>、废机油等。</w:t>
      </w:r>
    </w:p>
    <w:p>
      <w:pPr>
        <w:spacing w:line="460" w:lineRule="exact"/>
        <w:rPr>
          <w:sz w:val="26"/>
          <w:szCs w:val="26"/>
        </w:rPr>
      </w:pPr>
      <w:r>
        <w:rPr>
          <w:color w:val="000000"/>
          <w:sz w:val="26"/>
          <w:szCs w:val="26"/>
        </w:rPr>
        <w:t>表3.4-1</w:t>
      </w:r>
      <w:r>
        <w:rPr>
          <w:rFonts w:hint="eastAsia"/>
          <w:color w:val="000000"/>
          <w:sz w:val="26"/>
          <w:szCs w:val="26"/>
        </w:rPr>
        <w:t xml:space="preserve">  </w:t>
      </w:r>
      <w:r>
        <w:rPr>
          <w:rFonts w:hint="eastAsia"/>
          <w:sz w:val="26"/>
          <w:szCs w:val="26"/>
        </w:rPr>
        <w:t>企业</w:t>
      </w:r>
      <w:r>
        <w:rPr>
          <w:sz w:val="26"/>
          <w:szCs w:val="26"/>
        </w:rPr>
        <w:t>生产原料、产品以及“三废”中涉及的环境风险物质</w:t>
      </w:r>
      <w:r>
        <w:rPr>
          <w:rFonts w:hint="eastAsia"/>
          <w:sz w:val="26"/>
          <w:szCs w:val="26"/>
        </w:rPr>
        <w:t>储量</w:t>
      </w:r>
      <w:r>
        <w:rPr>
          <w:sz w:val="26"/>
          <w:szCs w:val="26"/>
        </w:rPr>
        <w:t>统计</w:t>
      </w:r>
      <w:r>
        <w:rPr>
          <w:rFonts w:hint="eastAsia"/>
          <w:sz w:val="26"/>
          <w:szCs w:val="26"/>
        </w:rPr>
        <w:t>表</w:t>
      </w:r>
    </w:p>
    <w:tbl>
      <w:tblPr>
        <w:tblStyle w:val="54"/>
        <w:tblW w:w="9033" w:type="dxa"/>
        <w:jc w:val="center"/>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467"/>
        <w:gridCol w:w="1418"/>
        <w:gridCol w:w="1365"/>
        <w:gridCol w:w="1470"/>
        <w:gridCol w:w="1634"/>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blHeader/>
          <w:jc w:val="center"/>
        </w:trPr>
        <w:tc>
          <w:tcPr>
            <w:tcW w:w="679"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序号</w:t>
            </w:r>
          </w:p>
        </w:tc>
        <w:tc>
          <w:tcPr>
            <w:tcW w:w="2467"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品种名称</w:t>
            </w:r>
          </w:p>
        </w:tc>
        <w:tc>
          <w:tcPr>
            <w:tcW w:w="1418"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最大储量（t）</w:t>
            </w:r>
          </w:p>
        </w:tc>
        <w:tc>
          <w:tcPr>
            <w:tcW w:w="1365"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储存方式</w:t>
            </w:r>
          </w:p>
        </w:tc>
        <w:tc>
          <w:tcPr>
            <w:tcW w:w="1470"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年用量（t）</w:t>
            </w:r>
          </w:p>
        </w:tc>
        <w:tc>
          <w:tcPr>
            <w:tcW w:w="1634"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备注</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6"/>
            <w:vAlign w:val="center"/>
          </w:tcPr>
          <w:p>
            <w:pPr>
              <w:pStyle w:val="193"/>
              <w:spacing w:line="400" w:lineRule="exact"/>
              <w:rPr>
                <w:rFonts w:ascii="仿宋_GB2312"/>
                <w:kern w:val="2"/>
                <w:szCs w:val="21"/>
              </w:rPr>
            </w:pPr>
            <w:r>
              <w:rPr>
                <w:rFonts w:hint="eastAsia" w:ascii="仿宋_GB2312"/>
                <w:kern w:val="2"/>
                <w:szCs w:val="21"/>
              </w:rPr>
              <w:t>原辅料</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kern w:val="2"/>
                <w:szCs w:val="21"/>
              </w:rPr>
            </w:pPr>
            <w:r>
              <w:rPr>
                <w:rFonts w:hint="eastAsia" w:ascii="仿宋_GB2312"/>
                <w:kern w:val="2"/>
                <w:szCs w:val="21"/>
              </w:rPr>
              <w:t>3</w:t>
            </w:r>
          </w:p>
        </w:tc>
        <w:tc>
          <w:tcPr>
            <w:tcW w:w="2467" w:type="dxa"/>
            <w:vAlign w:val="center"/>
          </w:tcPr>
          <w:p>
            <w:pPr>
              <w:autoSpaceDE w:val="0"/>
              <w:autoSpaceDN w:val="0"/>
              <w:spacing w:line="460" w:lineRule="exact"/>
              <w:jc w:val="center"/>
              <w:rPr>
                <w:rFonts w:ascii="仿宋_GB2312"/>
                <w:szCs w:val="21"/>
              </w:rPr>
            </w:pPr>
            <w:r>
              <w:rPr>
                <w:rFonts w:hint="eastAsia" w:ascii="仿宋_GB2312"/>
                <w:szCs w:val="21"/>
              </w:rPr>
              <w:t>氢氧化钠</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4</w:t>
            </w:r>
          </w:p>
        </w:tc>
        <w:tc>
          <w:tcPr>
            <w:tcW w:w="1365" w:type="dxa"/>
            <w:vAlign w:val="center"/>
          </w:tcPr>
          <w:p>
            <w:pPr>
              <w:pStyle w:val="193"/>
              <w:rPr>
                <w:rFonts w:ascii="仿宋_GB2312"/>
                <w:kern w:val="2"/>
                <w:szCs w:val="21"/>
              </w:rPr>
            </w:pPr>
            <w:r>
              <w:rPr>
                <w:rFonts w:hint="eastAsia" w:ascii="仿宋_GB2312"/>
                <w:kern w:val="2"/>
                <w:szCs w:val="21"/>
              </w:rPr>
              <w:t>袋装</w:t>
            </w:r>
          </w:p>
        </w:tc>
        <w:tc>
          <w:tcPr>
            <w:tcW w:w="1470" w:type="dxa"/>
            <w:vAlign w:val="center"/>
          </w:tcPr>
          <w:p>
            <w:pPr>
              <w:pStyle w:val="193"/>
              <w:rPr>
                <w:rFonts w:ascii="仿宋_GB2312" w:hAnsi="宋体"/>
                <w:kern w:val="2"/>
                <w:szCs w:val="21"/>
              </w:rPr>
            </w:pPr>
            <w:r>
              <w:rPr>
                <w:rFonts w:hint="eastAsia" w:ascii="仿宋_GB2312" w:hAnsi="宋体"/>
                <w:kern w:val="2"/>
                <w:szCs w:val="21"/>
              </w:rPr>
              <w:t>120</w:t>
            </w:r>
          </w:p>
        </w:tc>
        <w:tc>
          <w:tcPr>
            <w:tcW w:w="1634" w:type="dxa"/>
          </w:tcPr>
          <w:p>
            <w:pPr>
              <w:jc w:val="center"/>
              <w:rPr>
                <w:rFonts w:ascii="仿宋_GB2312"/>
                <w:szCs w:val="21"/>
              </w:rPr>
            </w:pPr>
            <w:r>
              <w:rPr>
                <w:rFonts w:hint="eastAsia" w:ascii="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6"/>
            <w:vAlign w:val="center"/>
          </w:tcPr>
          <w:p>
            <w:pPr>
              <w:pStyle w:val="193"/>
              <w:rPr>
                <w:rFonts w:ascii="仿宋_GB2312"/>
                <w:kern w:val="2"/>
                <w:szCs w:val="21"/>
              </w:rPr>
            </w:pPr>
            <w:r>
              <w:rPr>
                <w:rFonts w:hint="eastAsia" w:ascii="仿宋_GB2312"/>
              </w:rPr>
              <w:t>三废</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kern w:val="2"/>
                <w:szCs w:val="21"/>
              </w:rPr>
            </w:pPr>
            <w:r>
              <w:rPr>
                <w:rFonts w:hint="eastAsia" w:ascii="仿宋_GB2312"/>
                <w:kern w:val="2"/>
                <w:szCs w:val="21"/>
              </w:rPr>
              <w:t>1</w:t>
            </w:r>
          </w:p>
        </w:tc>
        <w:tc>
          <w:tcPr>
            <w:tcW w:w="2467" w:type="dxa"/>
          </w:tcPr>
          <w:p>
            <w:pPr>
              <w:jc w:val="center"/>
              <w:rPr>
                <w:rFonts w:ascii="仿宋_GB2312"/>
                <w:szCs w:val="21"/>
              </w:rPr>
            </w:pPr>
            <w:r>
              <w:rPr>
                <w:rFonts w:hint="eastAsia" w:ascii="仿宋_GB2312" w:cs="仿宋_GB2312"/>
                <w:szCs w:val="21"/>
              </w:rPr>
              <w:t>一般污泥</w:t>
            </w:r>
          </w:p>
        </w:tc>
        <w:tc>
          <w:tcPr>
            <w:tcW w:w="1418" w:type="dxa"/>
            <w:vAlign w:val="center"/>
          </w:tcPr>
          <w:p>
            <w:pPr>
              <w:pStyle w:val="193"/>
              <w:rPr>
                <w:rFonts w:ascii="仿宋_GB2312"/>
                <w:kern w:val="2"/>
                <w:szCs w:val="21"/>
              </w:rPr>
            </w:pPr>
            <w:r>
              <w:rPr>
                <w:rFonts w:hint="eastAsia" w:ascii="仿宋_GB2312"/>
                <w:kern w:val="2"/>
                <w:szCs w:val="21"/>
              </w:rPr>
              <w:t>20</w:t>
            </w:r>
          </w:p>
        </w:tc>
        <w:tc>
          <w:tcPr>
            <w:tcW w:w="1365" w:type="dxa"/>
            <w:vAlign w:val="center"/>
          </w:tcPr>
          <w:p>
            <w:pPr>
              <w:pStyle w:val="193"/>
              <w:rPr>
                <w:rFonts w:ascii="仿宋_GB2312"/>
                <w:kern w:val="2"/>
                <w:szCs w:val="21"/>
              </w:rPr>
            </w:pPr>
            <w:r>
              <w:rPr>
                <w:rFonts w:hint="eastAsia" w:ascii="仿宋_GB2312"/>
                <w:kern w:val="2"/>
                <w:szCs w:val="21"/>
              </w:rPr>
              <w:t>污泥暂存区</w:t>
            </w:r>
          </w:p>
        </w:tc>
        <w:tc>
          <w:tcPr>
            <w:tcW w:w="1470" w:type="dxa"/>
            <w:vAlign w:val="center"/>
          </w:tcPr>
          <w:p>
            <w:pPr>
              <w:pStyle w:val="193"/>
              <w:rPr>
                <w:rFonts w:ascii="仿宋_GB2312"/>
                <w:kern w:val="2"/>
                <w:szCs w:val="21"/>
              </w:rPr>
            </w:pPr>
            <w:r>
              <w:rPr>
                <w:rFonts w:hint="eastAsia" w:ascii="仿宋_GB2312"/>
                <w:kern w:val="2"/>
                <w:szCs w:val="21"/>
              </w:rPr>
              <w:t>1600</w:t>
            </w:r>
          </w:p>
        </w:tc>
        <w:tc>
          <w:tcPr>
            <w:tcW w:w="1634" w:type="dxa"/>
            <w:vAlign w:val="center"/>
          </w:tcPr>
          <w:p>
            <w:pPr>
              <w:pStyle w:val="193"/>
              <w:rPr>
                <w:rFonts w:ascii="仿宋_GB2312"/>
                <w:kern w:val="2"/>
                <w:szCs w:val="21"/>
              </w:rPr>
            </w:pPr>
            <w:r>
              <w:rPr>
                <w:rFonts w:hint="eastAsia" w:ascii="仿宋_GB2312"/>
                <w:kern w:val="2"/>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PrEx>
        <w:trPr>
          <w:trHeight w:val="388" w:hRule="atLeast"/>
          <w:jc w:val="center"/>
        </w:trPr>
        <w:tc>
          <w:tcPr>
            <w:tcW w:w="679" w:type="dxa"/>
            <w:vAlign w:val="center"/>
          </w:tcPr>
          <w:p>
            <w:pPr>
              <w:pStyle w:val="193"/>
              <w:rPr>
                <w:rFonts w:ascii="仿宋_GB2312"/>
                <w:kern w:val="2"/>
                <w:szCs w:val="21"/>
              </w:rPr>
            </w:pPr>
            <w:r>
              <w:rPr>
                <w:rFonts w:hint="eastAsia" w:ascii="仿宋_GB2312"/>
                <w:kern w:val="2"/>
                <w:szCs w:val="21"/>
              </w:rPr>
              <w:t>2</w:t>
            </w:r>
          </w:p>
        </w:tc>
        <w:tc>
          <w:tcPr>
            <w:tcW w:w="2467" w:type="dxa"/>
          </w:tcPr>
          <w:p>
            <w:pPr>
              <w:jc w:val="center"/>
              <w:rPr>
                <w:rFonts w:ascii="仿宋_GB2312" w:cs="仿宋_GB2312"/>
                <w:szCs w:val="21"/>
              </w:rPr>
            </w:pPr>
            <w:r>
              <w:rPr>
                <w:rFonts w:hint="eastAsia" w:ascii="仿宋_GB2312" w:cs="仿宋_GB2312"/>
                <w:szCs w:val="21"/>
              </w:rPr>
              <w:t>废机油</w:t>
            </w:r>
          </w:p>
        </w:tc>
        <w:tc>
          <w:tcPr>
            <w:tcW w:w="1418" w:type="dxa"/>
            <w:vAlign w:val="center"/>
          </w:tcPr>
          <w:p>
            <w:pPr>
              <w:pStyle w:val="193"/>
              <w:rPr>
                <w:rFonts w:ascii="仿宋_GB2312"/>
                <w:kern w:val="2"/>
                <w:szCs w:val="21"/>
              </w:rPr>
            </w:pPr>
            <w:r>
              <w:rPr>
                <w:rFonts w:hint="eastAsia" w:ascii="仿宋_GB2312"/>
                <w:kern w:val="2"/>
                <w:szCs w:val="21"/>
              </w:rPr>
              <w:t>0.5</w:t>
            </w:r>
          </w:p>
        </w:tc>
        <w:tc>
          <w:tcPr>
            <w:tcW w:w="1365" w:type="dxa"/>
            <w:vAlign w:val="center"/>
          </w:tcPr>
          <w:p>
            <w:pPr>
              <w:pStyle w:val="193"/>
              <w:rPr>
                <w:rFonts w:ascii="仿宋_GB2312"/>
                <w:kern w:val="2"/>
                <w:szCs w:val="21"/>
              </w:rPr>
            </w:pPr>
            <w:r>
              <w:rPr>
                <w:rFonts w:ascii="仿宋_GB2312"/>
                <w:kern w:val="2"/>
                <w:szCs w:val="21"/>
              </w:rPr>
              <w:t>危废储存</w:t>
            </w:r>
          </w:p>
        </w:tc>
        <w:tc>
          <w:tcPr>
            <w:tcW w:w="1470" w:type="dxa"/>
            <w:vAlign w:val="center"/>
          </w:tcPr>
          <w:p>
            <w:pPr>
              <w:pStyle w:val="193"/>
              <w:rPr>
                <w:rFonts w:ascii="仿宋_GB2312"/>
                <w:kern w:val="2"/>
                <w:szCs w:val="21"/>
              </w:rPr>
            </w:pPr>
            <w:r>
              <w:rPr>
                <w:rFonts w:hint="eastAsia" w:ascii="仿宋_GB2312"/>
                <w:kern w:val="2"/>
                <w:szCs w:val="21"/>
              </w:rPr>
              <w:t>0.5</w:t>
            </w:r>
          </w:p>
        </w:tc>
        <w:tc>
          <w:tcPr>
            <w:tcW w:w="1634" w:type="dxa"/>
            <w:vAlign w:val="center"/>
          </w:tcPr>
          <w:p>
            <w:pPr>
              <w:pStyle w:val="193"/>
              <w:rPr>
                <w:rFonts w:ascii="仿宋_GB2312"/>
                <w:kern w:val="2"/>
                <w:szCs w:val="21"/>
              </w:rPr>
            </w:pPr>
            <w:r>
              <w:rPr>
                <w:rFonts w:hint="eastAsia" w:ascii="仿宋_GB2312"/>
                <w:kern w:val="2"/>
                <w:szCs w:val="21"/>
              </w:rPr>
              <w:t>危险废物</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（2）危险废物</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根据《国家危废名录》，</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在生产过程中产生的危险废物有废含油棉纱手套、废机油等，各危险废物的危险特性见表3.4-2。</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企业现有生产区设有10m2的危险废物暂存点，用于危险废物的临时储存，暂存点进行了“三防”处理，地面采取了防渗措施，同时在危废暂存间内设置消防柜、照明、通风等设施。危险废物必须分类储存，定期转运送往具有危险废物处理资质的单位处理，转运采用“五联单”制度</w:t>
      </w:r>
    </w:p>
    <w:p>
      <w:pPr>
        <w:spacing w:line="460" w:lineRule="exact"/>
        <w:ind w:firstLine="520" w:firstLineChars="200"/>
        <w:jc w:val="center"/>
        <w:rPr>
          <w:color w:val="000000"/>
          <w:sz w:val="26"/>
          <w:szCs w:val="26"/>
        </w:rPr>
      </w:pPr>
      <w:r>
        <w:rPr>
          <w:color w:val="000000"/>
          <w:sz w:val="26"/>
          <w:szCs w:val="26"/>
        </w:rPr>
        <w:t>表3.4-2                危废危险特性表</w:t>
      </w:r>
    </w:p>
    <w:tbl>
      <w:tblPr>
        <w:tblStyle w:val="54"/>
        <w:tblW w:w="878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27"/>
        <w:gridCol w:w="1181"/>
        <w:gridCol w:w="1687"/>
        <w:gridCol w:w="1701"/>
        <w:gridCol w:w="2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废渣名称</w:t>
            </w:r>
          </w:p>
        </w:tc>
        <w:tc>
          <w:tcPr>
            <w:tcW w:w="118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产生量（t/a）</w:t>
            </w:r>
          </w:p>
        </w:tc>
        <w:tc>
          <w:tcPr>
            <w:tcW w:w="168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组成及特性</w:t>
            </w:r>
          </w:p>
        </w:tc>
        <w:tc>
          <w:tcPr>
            <w:tcW w:w="17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危险废物编号</w:t>
            </w:r>
          </w:p>
        </w:tc>
        <w:tc>
          <w:tcPr>
            <w:tcW w:w="2192" w:type="dxa"/>
            <w:tcBorders>
              <w:top w:val="single" w:color="000000" w:sz="2" w:space="0"/>
              <w:left w:val="single" w:color="000000" w:sz="4" w:space="0"/>
              <w:bottom w:val="single" w:color="000000" w:sz="2" w:space="0"/>
              <w:right w:val="single" w:color="000000" w:sz="4" w:space="0"/>
            </w:tcBorders>
            <w:vAlign w:val="center"/>
          </w:tcPr>
          <w:p>
            <w:pPr>
              <w:autoSpaceDE w:val="0"/>
              <w:autoSpaceDN w:val="0"/>
              <w:adjustRightInd w:val="0"/>
              <w:jc w:val="center"/>
              <w:rPr>
                <w:color w:val="000000"/>
                <w:kern w:val="0"/>
                <w:sz w:val="22"/>
              </w:rPr>
            </w:pPr>
            <w:r>
              <w:rPr>
                <w:color w:val="000000"/>
                <w:kern w:val="0"/>
                <w:sz w:val="22"/>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废含油棉纱手套</w:t>
            </w:r>
          </w:p>
        </w:tc>
        <w:tc>
          <w:tcPr>
            <w:tcW w:w="1181" w:type="dxa"/>
            <w:vMerge w:val="restart"/>
            <w:tcBorders>
              <w:top w:val="single" w:color="000000" w:sz="2" w:space="0"/>
              <w:left w:val="single" w:color="000000" w:sz="2"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0.5</w:t>
            </w:r>
          </w:p>
        </w:tc>
        <w:tc>
          <w:tcPr>
            <w:tcW w:w="168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废机油</w:t>
            </w:r>
          </w:p>
        </w:tc>
        <w:tc>
          <w:tcPr>
            <w:tcW w:w="17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900-249-08</w:t>
            </w:r>
          </w:p>
        </w:tc>
        <w:tc>
          <w:tcPr>
            <w:tcW w:w="2192" w:type="dxa"/>
            <w:vMerge w:val="restart"/>
            <w:tcBorders>
              <w:top w:val="single" w:color="000000" w:sz="2" w:space="0"/>
              <w:left w:val="single" w:color="000000" w:sz="4" w:space="0"/>
              <w:right w:val="single" w:color="000000" w:sz="4" w:space="0"/>
            </w:tcBorders>
            <w:vAlign w:val="center"/>
          </w:tcPr>
          <w:p>
            <w:pPr>
              <w:autoSpaceDE w:val="0"/>
              <w:autoSpaceDN w:val="0"/>
              <w:adjustRightInd w:val="0"/>
              <w:jc w:val="left"/>
              <w:rPr>
                <w:color w:val="000000"/>
                <w:kern w:val="0"/>
                <w:sz w:val="22"/>
              </w:rPr>
            </w:pPr>
            <w:r>
              <w:rPr>
                <w:color w:val="000000"/>
                <w:kern w:val="0"/>
                <w:sz w:val="22"/>
              </w:rPr>
              <w:t>厂区设危废暂存点收集暂存，定期交由具有危废处理资质单位处理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废机油</w:t>
            </w:r>
          </w:p>
        </w:tc>
        <w:tc>
          <w:tcPr>
            <w:tcW w:w="1181" w:type="dxa"/>
            <w:vMerge w:val="continue"/>
            <w:tcBorders>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 w:val="22"/>
              </w:rPr>
            </w:pPr>
          </w:p>
        </w:tc>
        <w:tc>
          <w:tcPr>
            <w:tcW w:w="1687" w:type="dxa"/>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废机油</w:t>
            </w:r>
          </w:p>
        </w:tc>
        <w:tc>
          <w:tcPr>
            <w:tcW w:w="1701" w:type="dxa"/>
            <w:tcBorders>
              <w:top w:val="single" w:color="auto" w:sz="4"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900-249-08</w:t>
            </w:r>
          </w:p>
        </w:tc>
        <w:tc>
          <w:tcPr>
            <w:tcW w:w="2192" w:type="dxa"/>
            <w:vMerge w:val="continue"/>
            <w:tcBorders>
              <w:left w:val="single" w:color="000000" w:sz="4" w:space="0"/>
              <w:bottom w:val="single" w:color="auto" w:sz="4" w:space="0"/>
              <w:right w:val="single" w:color="000000" w:sz="4" w:space="0"/>
            </w:tcBorders>
            <w:vAlign w:val="center"/>
          </w:tcPr>
          <w:p>
            <w:pPr>
              <w:autoSpaceDE w:val="0"/>
              <w:autoSpaceDN w:val="0"/>
              <w:adjustRightInd w:val="0"/>
              <w:jc w:val="center"/>
              <w:rPr>
                <w:color w:val="000000"/>
                <w:kern w:val="0"/>
                <w:sz w:val="22"/>
              </w:rPr>
            </w:pPr>
          </w:p>
        </w:tc>
      </w:tr>
    </w:tbl>
    <w:p>
      <w:pPr>
        <w:pStyle w:val="120"/>
        <w:ind w:firstLine="0" w:firstLineChars="0"/>
        <w:rPr>
          <w:b/>
        </w:rPr>
      </w:pPr>
      <w:r>
        <w:rPr>
          <w:rFonts w:hint="eastAsia"/>
          <w:b/>
        </w:rPr>
        <w:t>3</w:t>
      </w:r>
      <w:r>
        <w:rPr>
          <w:b/>
        </w:rPr>
        <w:t>.4.</w:t>
      </w:r>
      <w:r>
        <w:rPr>
          <w:rFonts w:hint="eastAsia"/>
          <w:b/>
        </w:rPr>
        <w:t>2</w:t>
      </w:r>
      <w:r>
        <w:rPr>
          <w:b/>
        </w:rPr>
        <w:t>重大危险源辨识</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（1）物质危险性识别</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污水处理厂突发环境事件风险评估报告》企业</w:t>
      </w:r>
      <w:r>
        <w:rPr>
          <w:rFonts w:cs="仿宋_GB2312" w:asciiTheme="minorEastAsia" w:hAnsiTheme="minorEastAsia" w:eastAsiaTheme="minorEastAsia"/>
          <w:kern w:val="0"/>
          <w:sz w:val="24"/>
          <w:szCs w:val="24"/>
        </w:rPr>
        <w:t>物质危险性识别见表3.4-</w:t>
      </w:r>
      <w:r>
        <w:rPr>
          <w:rFonts w:hint="eastAsia" w:cs="仿宋_GB2312" w:asciiTheme="minorEastAsia" w:hAnsiTheme="minorEastAsia" w:eastAsiaTheme="minorEastAsia"/>
          <w:kern w:val="0"/>
          <w:sz w:val="24"/>
          <w:szCs w:val="24"/>
        </w:rPr>
        <w:t>3</w:t>
      </w:r>
    </w:p>
    <w:p>
      <w:pPr>
        <w:spacing w:line="460" w:lineRule="exact"/>
        <w:ind w:firstLine="520" w:firstLineChars="200"/>
        <w:jc w:val="center"/>
        <w:rPr>
          <w:sz w:val="26"/>
          <w:szCs w:val="26"/>
        </w:rPr>
      </w:pPr>
      <w:r>
        <w:rPr>
          <w:sz w:val="26"/>
          <w:szCs w:val="26"/>
        </w:rPr>
        <w:t>表3.4-</w:t>
      </w:r>
      <w:r>
        <w:rPr>
          <w:rFonts w:hint="eastAsia"/>
          <w:sz w:val="26"/>
          <w:szCs w:val="26"/>
        </w:rPr>
        <w:t>3</w:t>
      </w:r>
      <w:r>
        <w:rPr>
          <w:sz w:val="26"/>
          <w:szCs w:val="26"/>
        </w:rPr>
        <w:t xml:space="preserve">       </w:t>
      </w:r>
      <w:r>
        <w:rPr>
          <w:rFonts w:hint="eastAsia"/>
          <w:sz w:val="26"/>
          <w:szCs w:val="26"/>
        </w:rPr>
        <w:t xml:space="preserve">    企业</w:t>
      </w:r>
      <w:r>
        <w:rPr>
          <w:sz w:val="26"/>
          <w:szCs w:val="26"/>
        </w:rPr>
        <w:t>物质危险性识别表</w:t>
      </w:r>
    </w:p>
    <w:tbl>
      <w:tblPr>
        <w:tblStyle w:val="54"/>
        <w:tblW w:w="79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41"/>
        <w:gridCol w:w="1355"/>
        <w:gridCol w:w="1985"/>
        <w:gridCol w:w="992"/>
        <w:gridCol w:w="85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Align w:val="center"/>
          </w:tcPr>
          <w:p>
            <w:pPr>
              <w:jc w:val="center"/>
              <w:rPr>
                <w:sz w:val="22"/>
              </w:rPr>
            </w:pPr>
            <w:r>
              <w:rPr>
                <w:sz w:val="22"/>
              </w:rPr>
              <w:t>分类</w:t>
            </w:r>
          </w:p>
        </w:tc>
        <w:tc>
          <w:tcPr>
            <w:tcW w:w="1355" w:type="dxa"/>
            <w:vAlign w:val="center"/>
          </w:tcPr>
          <w:p>
            <w:pPr>
              <w:jc w:val="center"/>
              <w:rPr>
                <w:sz w:val="22"/>
              </w:rPr>
            </w:pPr>
            <w:r>
              <w:rPr>
                <w:sz w:val="22"/>
              </w:rPr>
              <w:t>名称</w:t>
            </w:r>
          </w:p>
        </w:tc>
        <w:tc>
          <w:tcPr>
            <w:tcW w:w="1985" w:type="dxa"/>
            <w:vAlign w:val="center"/>
          </w:tcPr>
          <w:p>
            <w:pPr>
              <w:jc w:val="center"/>
              <w:rPr>
                <w:sz w:val="22"/>
              </w:rPr>
            </w:pPr>
            <w:r>
              <w:rPr>
                <w:sz w:val="22"/>
              </w:rPr>
              <w:t>危险性类别</w:t>
            </w:r>
          </w:p>
        </w:tc>
        <w:tc>
          <w:tcPr>
            <w:tcW w:w="992" w:type="dxa"/>
            <w:vAlign w:val="center"/>
          </w:tcPr>
          <w:p>
            <w:pPr>
              <w:jc w:val="center"/>
              <w:rPr>
                <w:sz w:val="22"/>
              </w:rPr>
            </w:pPr>
            <w:r>
              <w:rPr>
                <w:sz w:val="22"/>
              </w:rPr>
              <w:t>腐蚀性</w:t>
            </w:r>
          </w:p>
        </w:tc>
        <w:tc>
          <w:tcPr>
            <w:tcW w:w="851" w:type="dxa"/>
            <w:vAlign w:val="center"/>
          </w:tcPr>
          <w:p>
            <w:pPr>
              <w:jc w:val="center"/>
              <w:rPr>
                <w:sz w:val="22"/>
              </w:rPr>
            </w:pPr>
            <w:r>
              <w:rPr>
                <w:sz w:val="22"/>
              </w:rPr>
              <w:t>毒性</w:t>
            </w:r>
          </w:p>
        </w:tc>
        <w:tc>
          <w:tcPr>
            <w:tcW w:w="1842" w:type="dxa"/>
            <w:vAlign w:val="center"/>
          </w:tcPr>
          <w:p>
            <w:pPr>
              <w:jc w:val="center"/>
              <w:rPr>
                <w:sz w:val="22"/>
              </w:rPr>
            </w:pPr>
            <w:r>
              <w:rPr>
                <w:sz w:val="22"/>
              </w:rPr>
              <w:t>是否为风险性物质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Merge w:val="restart"/>
            <w:vAlign w:val="center"/>
          </w:tcPr>
          <w:p>
            <w:pPr>
              <w:jc w:val="center"/>
              <w:rPr>
                <w:sz w:val="22"/>
              </w:rPr>
            </w:pPr>
          </w:p>
        </w:tc>
        <w:tc>
          <w:tcPr>
            <w:tcW w:w="1355" w:type="dxa"/>
            <w:vAlign w:val="center"/>
          </w:tcPr>
          <w:p>
            <w:pPr>
              <w:jc w:val="center"/>
              <w:rPr>
                <w:sz w:val="22"/>
              </w:rPr>
            </w:pPr>
            <w:r>
              <w:rPr>
                <w:rFonts w:hint="eastAsia"/>
                <w:sz w:val="22"/>
              </w:rPr>
              <w:t>氢氧化钠</w:t>
            </w:r>
          </w:p>
        </w:tc>
        <w:tc>
          <w:tcPr>
            <w:tcW w:w="1985" w:type="dxa"/>
            <w:vAlign w:val="center"/>
          </w:tcPr>
          <w:p>
            <w:pPr>
              <w:jc w:val="center"/>
              <w:rPr>
                <w:sz w:val="22"/>
              </w:rPr>
            </w:pPr>
            <w:r>
              <w:rPr>
                <w:sz w:val="22"/>
              </w:rPr>
              <w:t>第8.</w:t>
            </w:r>
            <w:r>
              <w:rPr>
                <w:rFonts w:hint="eastAsia"/>
                <w:sz w:val="22"/>
              </w:rPr>
              <w:t>2</w:t>
            </w:r>
            <w:r>
              <w:rPr>
                <w:sz w:val="22"/>
              </w:rPr>
              <w:t>类</w:t>
            </w:r>
            <w:r>
              <w:rPr>
                <w:rFonts w:hint="eastAsia"/>
                <w:sz w:val="22"/>
              </w:rPr>
              <w:t>碱性</w:t>
            </w:r>
            <w:r>
              <w:rPr>
                <w:sz w:val="22"/>
              </w:rPr>
              <w:t>腐蚀品</w:t>
            </w:r>
          </w:p>
        </w:tc>
        <w:tc>
          <w:tcPr>
            <w:tcW w:w="992" w:type="dxa"/>
            <w:vAlign w:val="center"/>
          </w:tcPr>
          <w:p>
            <w:pPr>
              <w:jc w:val="center"/>
              <w:rPr>
                <w:sz w:val="22"/>
              </w:rPr>
            </w:pPr>
            <w:r>
              <w:rPr>
                <w:sz w:val="22"/>
              </w:rPr>
              <w:t>是</w:t>
            </w:r>
          </w:p>
        </w:tc>
        <w:tc>
          <w:tcPr>
            <w:tcW w:w="851" w:type="dxa"/>
            <w:vAlign w:val="center"/>
          </w:tcPr>
          <w:p>
            <w:pPr>
              <w:jc w:val="center"/>
              <w:rPr>
                <w:sz w:val="22"/>
              </w:rPr>
            </w:pPr>
            <w:r>
              <w:rPr>
                <w:sz w:val="22"/>
              </w:rPr>
              <w:t>否</w:t>
            </w:r>
          </w:p>
        </w:tc>
        <w:tc>
          <w:tcPr>
            <w:tcW w:w="1842" w:type="dxa"/>
            <w:vAlign w:val="center"/>
          </w:tcPr>
          <w:p>
            <w:pPr>
              <w:jc w:val="center"/>
              <w:rPr>
                <w:sz w:val="22"/>
              </w:rPr>
            </w:pPr>
            <w:r>
              <w:rPr>
                <w:sz w:val="22"/>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Merge w:val="continue"/>
            <w:vAlign w:val="center"/>
          </w:tcPr>
          <w:p>
            <w:pPr>
              <w:jc w:val="center"/>
              <w:rPr>
                <w:sz w:val="22"/>
              </w:rPr>
            </w:pPr>
          </w:p>
        </w:tc>
        <w:tc>
          <w:tcPr>
            <w:tcW w:w="1355" w:type="dxa"/>
            <w:vAlign w:val="center"/>
          </w:tcPr>
          <w:p>
            <w:pPr>
              <w:jc w:val="center"/>
              <w:rPr>
                <w:sz w:val="22"/>
              </w:rPr>
            </w:pPr>
            <w:r>
              <w:rPr>
                <w:sz w:val="22"/>
              </w:rPr>
              <w:t>聚氯化铝</w:t>
            </w:r>
          </w:p>
        </w:tc>
        <w:tc>
          <w:tcPr>
            <w:tcW w:w="1985" w:type="dxa"/>
            <w:vAlign w:val="center"/>
          </w:tcPr>
          <w:p>
            <w:pPr>
              <w:jc w:val="center"/>
              <w:rPr>
                <w:sz w:val="22"/>
              </w:rPr>
            </w:pPr>
            <w:r>
              <w:rPr>
                <w:sz w:val="22"/>
              </w:rPr>
              <w:t>/</w:t>
            </w:r>
          </w:p>
        </w:tc>
        <w:tc>
          <w:tcPr>
            <w:tcW w:w="992" w:type="dxa"/>
            <w:vAlign w:val="center"/>
          </w:tcPr>
          <w:p>
            <w:pPr>
              <w:jc w:val="center"/>
              <w:rPr>
                <w:sz w:val="22"/>
              </w:rPr>
            </w:pPr>
            <w:r>
              <w:rPr>
                <w:sz w:val="22"/>
              </w:rPr>
              <w:t>是</w:t>
            </w:r>
          </w:p>
        </w:tc>
        <w:tc>
          <w:tcPr>
            <w:tcW w:w="851" w:type="dxa"/>
            <w:vAlign w:val="center"/>
          </w:tcPr>
          <w:p>
            <w:pPr>
              <w:jc w:val="center"/>
              <w:rPr>
                <w:sz w:val="22"/>
              </w:rPr>
            </w:pPr>
            <w:r>
              <w:rPr>
                <w:sz w:val="22"/>
              </w:rPr>
              <w:t>否</w:t>
            </w:r>
          </w:p>
        </w:tc>
        <w:tc>
          <w:tcPr>
            <w:tcW w:w="1842" w:type="dxa"/>
            <w:vAlign w:val="center"/>
          </w:tcPr>
          <w:p>
            <w:pPr>
              <w:jc w:val="center"/>
              <w:rPr>
                <w:sz w:val="22"/>
              </w:rPr>
            </w:pPr>
            <w:r>
              <w:rPr>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41" w:type="dxa"/>
            <w:vMerge w:val="continue"/>
            <w:vAlign w:val="center"/>
          </w:tcPr>
          <w:p>
            <w:pPr>
              <w:jc w:val="center"/>
              <w:rPr>
                <w:sz w:val="22"/>
              </w:rPr>
            </w:pPr>
          </w:p>
        </w:tc>
        <w:tc>
          <w:tcPr>
            <w:tcW w:w="1355" w:type="dxa"/>
            <w:vAlign w:val="center"/>
          </w:tcPr>
          <w:p>
            <w:pPr>
              <w:jc w:val="center"/>
              <w:rPr>
                <w:color w:val="000000"/>
                <w:sz w:val="22"/>
              </w:rPr>
            </w:pPr>
            <w:r>
              <w:rPr>
                <w:color w:val="000000"/>
                <w:sz w:val="22"/>
              </w:rPr>
              <w:t>聚丙烯酰胺</w:t>
            </w:r>
          </w:p>
        </w:tc>
        <w:tc>
          <w:tcPr>
            <w:tcW w:w="1985" w:type="dxa"/>
            <w:vAlign w:val="center"/>
          </w:tcPr>
          <w:p>
            <w:pPr>
              <w:jc w:val="center"/>
              <w:rPr>
                <w:color w:val="000000"/>
                <w:sz w:val="22"/>
              </w:rPr>
            </w:pPr>
            <w:r>
              <w:rPr>
                <w:color w:val="000000"/>
                <w:sz w:val="22"/>
              </w:rPr>
              <w:t>/</w:t>
            </w:r>
          </w:p>
        </w:tc>
        <w:tc>
          <w:tcPr>
            <w:tcW w:w="992" w:type="dxa"/>
            <w:vAlign w:val="center"/>
          </w:tcPr>
          <w:p>
            <w:pPr>
              <w:jc w:val="center"/>
              <w:rPr>
                <w:color w:val="000000"/>
                <w:sz w:val="22"/>
              </w:rPr>
            </w:pPr>
            <w:r>
              <w:rPr>
                <w:color w:val="000000"/>
                <w:sz w:val="22"/>
              </w:rPr>
              <w:t>是</w:t>
            </w:r>
          </w:p>
        </w:tc>
        <w:tc>
          <w:tcPr>
            <w:tcW w:w="851" w:type="dxa"/>
            <w:vAlign w:val="center"/>
          </w:tcPr>
          <w:p>
            <w:pPr>
              <w:jc w:val="center"/>
              <w:rPr>
                <w:color w:val="000000"/>
                <w:sz w:val="22"/>
              </w:rPr>
            </w:pPr>
            <w:r>
              <w:rPr>
                <w:color w:val="000000"/>
                <w:sz w:val="22"/>
              </w:rPr>
              <w:t>否</w:t>
            </w:r>
          </w:p>
        </w:tc>
        <w:tc>
          <w:tcPr>
            <w:tcW w:w="1842" w:type="dxa"/>
            <w:vAlign w:val="center"/>
          </w:tcPr>
          <w:p>
            <w:pPr>
              <w:jc w:val="center"/>
              <w:rPr>
                <w:color w:val="000000"/>
                <w:sz w:val="22"/>
              </w:rPr>
            </w:pPr>
            <w:r>
              <w:rPr>
                <w:color w:val="000000"/>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Align w:val="center"/>
          </w:tcPr>
          <w:p>
            <w:pPr>
              <w:jc w:val="center"/>
              <w:rPr>
                <w:sz w:val="22"/>
              </w:rPr>
            </w:pPr>
            <w:r>
              <w:rPr>
                <w:sz w:val="22"/>
              </w:rPr>
              <w:t>产品</w:t>
            </w:r>
          </w:p>
        </w:tc>
        <w:tc>
          <w:tcPr>
            <w:tcW w:w="1355" w:type="dxa"/>
            <w:vAlign w:val="center"/>
          </w:tcPr>
          <w:p>
            <w:pPr>
              <w:jc w:val="center"/>
              <w:rPr>
                <w:sz w:val="22"/>
              </w:rPr>
            </w:pPr>
            <w:r>
              <w:rPr>
                <w:sz w:val="22"/>
              </w:rPr>
              <w:t>生活污水</w:t>
            </w:r>
          </w:p>
        </w:tc>
        <w:tc>
          <w:tcPr>
            <w:tcW w:w="1985" w:type="dxa"/>
            <w:vAlign w:val="center"/>
          </w:tcPr>
          <w:p>
            <w:pPr>
              <w:jc w:val="center"/>
              <w:rPr>
                <w:sz w:val="22"/>
              </w:rPr>
            </w:pPr>
            <w:r>
              <w:rPr>
                <w:sz w:val="22"/>
              </w:rPr>
              <w:t>/</w:t>
            </w:r>
          </w:p>
        </w:tc>
        <w:tc>
          <w:tcPr>
            <w:tcW w:w="992" w:type="dxa"/>
            <w:vAlign w:val="center"/>
          </w:tcPr>
          <w:p>
            <w:pPr>
              <w:jc w:val="center"/>
              <w:rPr>
                <w:sz w:val="22"/>
              </w:rPr>
            </w:pPr>
            <w:r>
              <w:rPr>
                <w:sz w:val="22"/>
              </w:rPr>
              <w:t>/</w:t>
            </w:r>
          </w:p>
        </w:tc>
        <w:tc>
          <w:tcPr>
            <w:tcW w:w="851" w:type="dxa"/>
            <w:vAlign w:val="center"/>
          </w:tcPr>
          <w:p>
            <w:pPr>
              <w:jc w:val="center"/>
              <w:rPr>
                <w:sz w:val="22"/>
              </w:rPr>
            </w:pPr>
            <w:r>
              <w:rPr>
                <w:sz w:val="22"/>
              </w:rPr>
              <w:t>/</w:t>
            </w:r>
          </w:p>
        </w:tc>
        <w:tc>
          <w:tcPr>
            <w:tcW w:w="1842" w:type="dxa"/>
            <w:vAlign w:val="center"/>
          </w:tcPr>
          <w:p>
            <w:pPr>
              <w:jc w:val="center"/>
              <w:rPr>
                <w:sz w:val="22"/>
              </w:rPr>
            </w:pPr>
            <w:r>
              <w:rPr>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Merge w:val="restart"/>
            <w:vAlign w:val="center"/>
          </w:tcPr>
          <w:p>
            <w:pPr>
              <w:jc w:val="center"/>
              <w:rPr>
                <w:sz w:val="22"/>
              </w:rPr>
            </w:pPr>
            <w:r>
              <w:rPr>
                <w:sz w:val="22"/>
              </w:rPr>
              <w:t>三废</w:t>
            </w:r>
          </w:p>
        </w:tc>
        <w:tc>
          <w:tcPr>
            <w:tcW w:w="1355" w:type="dxa"/>
            <w:vAlign w:val="center"/>
          </w:tcPr>
          <w:p>
            <w:pPr>
              <w:jc w:val="center"/>
              <w:rPr>
                <w:sz w:val="22"/>
              </w:rPr>
            </w:pPr>
            <w:r>
              <w:rPr>
                <w:sz w:val="22"/>
              </w:rPr>
              <w:t>活性污泥</w:t>
            </w:r>
          </w:p>
        </w:tc>
        <w:tc>
          <w:tcPr>
            <w:tcW w:w="1985" w:type="dxa"/>
            <w:vAlign w:val="center"/>
          </w:tcPr>
          <w:p>
            <w:pPr>
              <w:jc w:val="center"/>
              <w:rPr>
                <w:sz w:val="22"/>
              </w:rPr>
            </w:pPr>
            <w:r>
              <w:rPr>
                <w:sz w:val="22"/>
              </w:rPr>
              <w:t>生产废物</w:t>
            </w:r>
          </w:p>
        </w:tc>
        <w:tc>
          <w:tcPr>
            <w:tcW w:w="992" w:type="dxa"/>
            <w:vAlign w:val="center"/>
          </w:tcPr>
          <w:p>
            <w:pPr>
              <w:jc w:val="center"/>
              <w:rPr>
                <w:sz w:val="22"/>
              </w:rPr>
            </w:pPr>
            <w:r>
              <w:rPr>
                <w:sz w:val="22"/>
              </w:rPr>
              <w:t>/</w:t>
            </w:r>
          </w:p>
        </w:tc>
        <w:tc>
          <w:tcPr>
            <w:tcW w:w="851" w:type="dxa"/>
            <w:vAlign w:val="center"/>
          </w:tcPr>
          <w:p>
            <w:pPr>
              <w:jc w:val="center"/>
              <w:rPr>
                <w:sz w:val="22"/>
              </w:rPr>
            </w:pPr>
            <w:r>
              <w:rPr>
                <w:sz w:val="22"/>
              </w:rPr>
              <w:t>/</w:t>
            </w:r>
          </w:p>
        </w:tc>
        <w:tc>
          <w:tcPr>
            <w:tcW w:w="1842" w:type="dxa"/>
            <w:vAlign w:val="center"/>
          </w:tcPr>
          <w:p>
            <w:pPr>
              <w:jc w:val="center"/>
              <w:rPr>
                <w:sz w:val="22"/>
              </w:rPr>
            </w:pPr>
            <w:r>
              <w:rPr>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Merge w:val="continue"/>
            <w:vAlign w:val="center"/>
          </w:tcPr>
          <w:p>
            <w:pPr>
              <w:jc w:val="center"/>
              <w:rPr>
                <w:sz w:val="22"/>
              </w:rPr>
            </w:pPr>
          </w:p>
        </w:tc>
        <w:tc>
          <w:tcPr>
            <w:tcW w:w="1355" w:type="dxa"/>
            <w:vAlign w:val="center"/>
          </w:tcPr>
          <w:p>
            <w:pPr>
              <w:jc w:val="center"/>
              <w:rPr>
                <w:sz w:val="22"/>
              </w:rPr>
            </w:pPr>
            <w:r>
              <w:rPr>
                <w:sz w:val="22"/>
              </w:rPr>
              <w:t>废机油</w:t>
            </w:r>
          </w:p>
        </w:tc>
        <w:tc>
          <w:tcPr>
            <w:tcW w:w="1985" w:type="dxa"/>
            <w:vAlign w:val="center"/>
          </w:tcPr>
          <w:p>
            <w:pPr>
              <w:jc w:val="center"/>
              <w:rPr>
                <w:sz w:val="22"/>
              </w:rPr>
            </w:pPr>
            <w:r>
              <w:rPr>
                <w:sz w:val="22"/>
              </w:rPr>
              <w:t>/</w:t>
            </w:r>
          </w:p>
        </w:tc>
        <w:tc>
          <w:tcPr>
            <w:tcW w:w="992" w:type="dxa"/>
            <w:vAlign w:val="center"/>
          </w:tcPr>
          <w:p>
            <w:pPr>
              <w:jc w:val="center"/>
              <w:rPr>
                <w:sz w:val="22"/>
              </w:rPr>
            </w:pPr>
          </w:p>
        </w:tc>
        <w:tc>
          <w:tcPr>
            <w:tcW w:w="851" w:type="dxa"/>
            <w:vAlign w:val="center"/>
          </w:tcPr>
          <w:p>
            <w:pPr>
              <w:jc w:val="center"/>
              <w:rPr>
                <w:sz w:val="22"/>
              </w:rPr>
            </w:pPr>
          </w:p>
        </w:tc>
        <w:tc>
          <w:tcPr>
            <w:tcW w:w="1842" w:type="dxa"/>
            <w:vAlign w:val="center"/>
          </w:tcPr>
          <w:p>
            <w:pPr>
              <w:jc w:val="center"/>
              <w:rPr>
                <w:sz w:val="22"/>
              </w:rPr>
            </w:pPr>
            <w:r>
              <w:rPr>
                <w:sz w:val="22"/>
              </w:rPr>
              <w:t>是</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由上表可知重庆市涪陵区拓源污水治理有限公司</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使用原辅材料、产品及“三废”中属于环境风险物质的是</w:t>
      </w:r>
      <w:r>
        <w:rPr>
          <w:rFonts w:hint="eastAsia" w:cs="仿宋_GB2312" w:asciiTheme="minorEastAsia" w:hAnsiTheme="minorEastAsia" w:eastAsiaTheme="minorEastAsia"/>
          <w:kern w:val="0"/>
          <w:sz w:val="24"/>
          <w:szCs w:val="24"/>
        </w:rPr>
        <w:t>氢氧化钠、</w:t>
      </w:r>
      <w:r>
        <w:rPr>
          <w:rFonts w:cs="仿宋_GB2312" w:asciiTheme="minorEastAsia" w:hAnsiTheme="minorEastAsia" w:eastAsiaTheme="minorEastAsia"/>
          <w:kern w:val="0"/>
          <w:sz w:val="24"/>
          <w:szCs w:val="24"/>
        </w:rPr>
        <w:t>废机油等。</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（2）重大危险源辨识</w:t>
      </w:r>
    </w:p>
    <w:p>
      <w:pPr>
        <w:spacing w:line="460" w:lineRule="exact"/>
        <w:ind w:firstLine="480" w:firstLineChars="200"/>
        <w:jc w:val="left"/>
        <w:rPr>
          <w:rFonts w:cs="仿宋_GB2312" w:asciiTheme="minorEastAsia" w:hAnsiTheme="minorEastAsia" w:eastAsiaTheme="minorEastAsia"/>
          <w:kern w:val="0"/>
          <w:sz w:val="24"/>
          <w:szCs w:val="24"/>
        </w:rPr>
      </w:pPr>
      <w:bookmarkStart w:id="218" w:name="_Toc246994508"/>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rPr>
        <w:t>清溪园区污水</w:t>
      </w:r>
      <w:r>
        <w:rPr>
          <w:rFonts w:hint="eastAsia" w:cs="仿宋_GB2312" w:asciiTheme="minorEastAsia" w:hAnsiTheme="minorEastAsia" w:eastAsiaTheme="minorEastAsia"/>
          <w:kern w:val="0"/>
          <w:sz w:val="24"/>
          <w:szCs w:val="24"/>
        </w:rPr>
        <w:t>处理厂突发环境事件风险评估报告》</w:t>
      </w:r>
      <w:r>
        <w:rPr>
          <w:rFonts w:cs="仿宋_GB2312" w:asciiTheme="minorEastAsia" w:hAnsiTheme="minorEastAsia" w:eastAsiaTheme="minorEastAsia"/>
          <w:kern w:val="0"/>
          <w:sz w:val="24"/>
          <w:szCs w:val="24"/>
        </w:rPr>
        <w:t>企业厂区内所有环境风险物质与《建设项目环境风险评价技术导则（HJ/T169-2004）》对照情况见表3.4</w:t>
      </w:r>
      <w:r>
        <w:rPr>
          <w:rFonts w:hint="eastAsia" w:cs="仿宋_GB2312" w:asciiTheme="minorEastAsia" w:hAnsiTheme="minorEastAsia" w:eastAsiaTheme="minorEastAsia"/>
          <w:kern w:val="0"/>
          <w:sz w:val="24"/>
          <w:szCs w:val="24"/>
        </w:rPr>
        <w:t>-4。</w:t>
      </w:r>
    </w:p>
    <w:p>
      <w:pPr>
        <w:pStyle w:val="193"/>
        <w:spacing w:line="460" w:lineRule="exact"/>
        <w:rPr>
          <w:rFonts w:ascii="仿宋_GB2312"/>
          <w:color w:val="FF0000"/>
        </w:rPr>
      </w:pPr>
      <w:r>
        <w:rPr>
          <w:rFonts w:ascii="仿宋_GB2312"/>
        </w:rPr>
        <w:t>3.4</w:t>
      </w:r>
      <w:r>
        <w:rPr>
          <w:rFonts w:hint="eastAsia" w:ascii="仿宋_GB2312"/>
        </w:rPr>
        <w:t>-4 危险化学品储存情况一览表</w:t>
      </w:r>
    </w:p>
    <w:tbl>
      <w:tblPr>
        <w:tblStyle w:val="54"/>
        <w:tblW w:w="9214" w:type="dxa"/>
        <w:tblInd w:w="-34"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843"/>
        <w:gridCol w:w="992"/>
        <w:gridCol w:w="1276"/>
        <w:gridCol w:w="1701"/>
        <w:gridCol w:w="1417"/>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709" w:type="dxa"/>
            <w:tcBorders>
              <w:top w:val="thinThickSmallGap" w:color="auto" w:sz="24" w:space="0"/>
            </w:tcBorders>
            <w:vAlign w:val="center"/>
          </w:tcPr>
          <w:p>
            <w:pPr>
              <w:pStyle w:val="193"/>
              <w:rPr>
                <w:rFonts w:ascii="仿宋_GB2312"/>
                <w:kern w:val="2"/>
                <w:szCs w:val="22"/>
              </w:rPr>
            </w:pPr>
            <w:r>
              <w:rPr>
                <w:rFonts w:hint="eastAsia" w:ascii="仿宋_GB2312"/>
                <w:kern w:val="2"/>
                <w:szCs w:val="22"/>
              </w:rPr>
              <w:t>序号</w:t>
            </w:r>
          </w:p>
        </w:tc>
        <w:tc>
          <w:tcPr>
            <w:tcW w:w="1276" w:type="dxa"/>
            <w:tcBorders>
              <w:top w:val="thinThickSmallGap" w:color="auto" w:sz="24" w:space="0"/>
            </w:tcBorders>
            <w:vAlign w:val="center"/>
          </w:tcPr>
          <w:p>
            <w:pPr>
              <w:spacing w:line="240" w:lineRule="exact"/>
              <w:rPr>
                <w:rFonts w:ascii="仿宋_GB2312"/>
                <w:szCs w:val="21"/>
              </w:rPr>
            </w:pPr>
            <w:r>
              <w:rPr>
                <w:rFonts w:hint="eastAsia" w:ascii="仿宋_GB2312"/>
                <w:szCs w:val="21"/>
              </w:rPr>
              <w:t>物质名称</w:t>
            </w:r>
          </w:p>
        </w:tc>
        <w:tc>
          <w:tcPr>
            <w:tcW w:w="1843" w:type="dxa"/>
            <w:tcBorders>
              <w:top w:val="thinThickSmallGap" w:color="auto" w:sz="24" w:space="0"/>
            </w:tcBorders>
            <w:vAlign w:val="center"/>
          </w:tcPr>
          <w:p>
            <w:pPr>
              <w:pStyle w:val="193"/>
              <w:rPr>
                <w:rFonts w:ascii="仿宋_GB2312"/>
                <w:kern w:val="2"/>
                <w:szCs w:val="21"/>
              </w:rPr>
            </w:pPr>
            <w:r>
              <w:rPr>
                <w:rFonts w:hint="eastAsia" w:ascii="仿宋_GB2312"/>
                <w:bCs/>
                <w:caps/>
                <w:kern w:val="2"/>
                <w:szCs w:val="21"/>
              </w:rPr>
              <w:t>所属类别</w:t>
            </w:r>
          </w:p>
        </w:tc>
        <w:tc>
          <w:tcPr>
            <w:tcW w:w="992" w:type="dxa"/>
            <w:tcBorders>
              <w:top w:val="thinThickSmallGap" w:color="auto" w:sz="24" w:space="0"/>
            </w:tcBorders>
            <w:vAlign w:val="center"/>
          </w:tcPr>
          <w:p>
            <w:pPr>
              <w:pStyle w:val="193"/>
              <w:rPr>
                <w:rFonts w:ascii="仿宋_GB2312"/>
                <w:kern w:val="2"/>
                <w:szCs w:val="21"/>
              </w:rPr>
            </w:pPr>
            <w:r>
              <w:rPr>
                <w:rFonts w:hint="eastAsia" w:ascii="仿宋_GB2312"/>
                <w:kern w:val="2"/>
                <w:szCs w:val="22"/>
              </w:rPr>
              <w:t>临界量</w:t>
            </w:r>
          </w:p>
        </w:tc>
        <w:tc>
          <w:tcPr>
            <w:tcW w:w="1276" w:type="dxa"/>
            <w:tcBorders>
              <w:top w:val="thinThickSmallGap" w:color="auto" w:sz="24" w:space="0"/>
            </w:tcBorders>
            <w:vAlign w:val="center"/>
          </w:tcPr>
          <w:p>
            <w:pPr>
              <w:pStyle w:val="193"/>
              <w:rPr>
                <w:rFonts w:ascii="仿宋_GB2312"/>
                <w:kern w:val="2"/>
                <w:szCs w:val="22"/>
              </w:rPr>
            </w:pPr>
            <w:r>
              <w:rPr>
                <w:rFonts w:hint="eastAsia" w:ascii="仿宋_GB2312"/>
                <w:kern w:val="2"/>
                <w:szCs w:val="22"/>
              </w:rPr>
              <w:t>实际最</w:t>
            </w:r>
          </w:p>
          <w:p>
            <w:pPr>
              <w:pStyle w:val="193"/>
              <w:rPr>
                <w:rFonts w:ascii="仿宋_GB2312"/>
                <w:kern w:val="2"/>
                <w:szCs w:val="21"/>
              </w:rPr>
            </w:pPr>
            <w:r>
              <w:rPr>
                <w:rFonts w:hint="eastAsia" w:ascii="仿宋_GB2312"/>
                <w:kern w:val="2"/>
                <w:szCs w:val="22"/>
              </w:rPr>
              <w:t>大贮量</w:t>
            </w:r>
          </w:p>
        </w:tc>
        <w:tc>
          <w:tcPr>
            <w:tcW w:w="1701" w:type="dxa"/>
            <w:tcBorders>
              <w:top w:val="thinThickSmallGap" w:color="auto" w:sz="24" w:space="0"/>
            </w:tcBorders>
            <w:vAlign w:val="center"/>
          </w:tcPr>
          <w:p>
            <w:pPr>
              <w:pStyle w:val="193"/>
              <w:rPr>
                <w:rFonts w:ascii="仿宋_GB2312"/>
                <w:kern w:val="2"/>
                <w:szCs w:val="21"/>
              </w:rPr>
            </w:pPr>
            <w:r>
              <w:rPr>
                <w:rFonts w:hint="eastAsia" w:ascii="仿宋_GB2312"/>
                <w:bCs/>
                <w:caps/>
                <w:kern w:val="2"/>
                <w:szCs w:val="21"/>
              </w:rPr>
              <w:t>辨识依据</w:t>
            </w:r>
          </w:p>
        </w:tc>
        <w:tc>
          <w:tcPr>
            <w:tcW w:w="1417" w:type="dxa"/>
            <w:tcBorders>
              <w:top w:val="thinThickSmallGap" w:color="auto" w:sz="24" w:space="0"/>
            </w:tcBorders>
            <w:vAlign w:val="center"/>
          </w:tcPr>
          <w:p>
            <w:pPr>
              <w:pStyle w:val="193"/>
              <w:rPr>
                <w:rFonts w:ascii="仿宋_GB2312"/>
                <w:kern w:val="2"/>
                <w:szCs w:val="21"/>
              </w:rPr>
            </w:pPr>
            <w:r>
              <w:rPr>
                <w:rFonts w:hint="eastAsia" w:ascii="仿宋_GB2312"/>
                <w:kern w:val="2"/>
                <w:szCs w:val="22"/>
              </w:rPr>
              <w:t>是否构成重大危险源</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93"/>
              <w:rPr>
                <w:rFonts w:ascii="仿宋_GB2312"/>
                <w:kern w:val="2"/>
                <w:szCs w:val="22"/>
              </w:rPr>
            </w:pPr>
            <w:r>
              <w:rPr>
                <w:rFonts w:hint="eastAsia" w:ascii="仿宋_GB2312"/>
                <w:kern w:val="2"/>
                <w:szCs w:val="22"/>
              </w:rPr>
              <w:t>1</w:t>
            </w:r>
          </w:p>
        </w:tc>
        <w:tc>
          <w:tcPr>
            <w:tcW w:w="1276" w:type="dxa"/>
            <w:vAlign w:val="center"/>
          </w:tcPr>
          <w:p>
            <w:pPr>
              <w:pStyle w:val="193"/>
              <w:rPr>
                <w:rFonts w:ascii="仿宋_GB2312"/>
                <w:kern w:val="2"/>
                <w:szCs w:val="21"/>
              </w:rPr>
            </w:pPr>
            <w:r>
              <w:rPr>
                <w:rFonts w:hint="eastAsia" w:ascii="仿宋_GB2312"/>
                <w:kern w:val="2"/>
                <w:szCs w:val="21"/>
              </w:rPr>
              <w:t>氢氧化钠</w:t>
            </w:r>
          </w:p>
        </w:tc>
        <w:tc>
          <w:tcPr>
            <w:tcW w:w="1843" w:type="dxa"/>
            <w:vAlign w:val="center"/>
          </w:tcPr>
          <w:p>
            <w:pPr>
              <w:pStyle w:val="193"/>
              <w:rPr>
                <w:rFonts w:hint="eastAsia" w:ascii="仿宋_GB2312"/>
                <w:bCs/>
                <w:caps/>
                <w:kern w:val="2"/>
                <w:szCs w:val="21"/>
              </w:rPr>
            </w:pPr>
            <w:r>
              <w:rPr>
                <w:rFonts w:hint="eastAsia" w:ascii="仿宋_GB2312"/>
                <w:bCs/>
                <w:caps/>
                <w:kern w:val="2"/>
                <w:szCs w:val="21"/>
              </w:rPr>
              <w:t>第8.2类碱</w:t>
            </w:r>
          </w:p>
          <w:p>
            <w:pPr>
              <w:pStyle w:val="193"/>
              <w:rPr>
                <w:rFonts w:ascii="仿宋_GB2312"/>
                <w:kern w:val="2"/>
                <w:szCs w:val="21"/>
              </w:rPr>
            </w:pPr>
            <w:r>
              <w:rPr>
                <w:rFonts w:hint="eastAsia" w:ascii="仿宋_GB2312"/>
                <w:bCs/>
                <w:caps/>
                <w:kern w:val="2"/>
                <w:szCs w:val="21"/>
              </w:rPr>
              <w:t>性腐蚀品</w:t>
            </w:r>
          </w:p>
        </w:tc>
        <w:tc>
          <w:tcPr>
            <w:tcW w:w="992" w:type="dxa"/>
            <w:vAlign w:val="center"/>
          </w:tcPr>
          <w:p>
            <w:pPr>
              <w:pStyle w:val="193"/>
              <w:rPr>
                <w:rFonts w:ascii="仿宋_GB2312"/>
                <w:kern w:val="2"/>
              </w:rPr>
            </w:pPr>
            <w:r>
              <w:rPr>
                <w:rFonts w:hint="eastAsia" w:ascii="仿宋_GB2312"/>
                <w:kern w:val="2"/>
              </w:rPr>
              <w:t>50t</w:t>
            </w:r>
          </w:p>
        </w:tc>
        <w:tc>
          <w:tcPr>
            <w:tcW w:w="1276" w:type="dxa"/>
            <w:vAlign w:val="center"/>
          </w:tcPr>
          <w:p>
            <w:pPr>
              <w:pStyle w:val="193"/>
              <w:rPr>
                <w:rFonts w:ascii="仿宋_GB2312"/>
                <w:kern w:val="2"/>
              </w:rPr>
            </w:pPr>
            <w:r>
              <w:rPr>
                <w:rFonts w:hint="eastAsia" w:ascii="仿宋_GB2312"/>
                <w:kern w:val="2"/>
              </w:rPr>
              <w:t>1.6t</w:t>
            </w:r>
          </w:p>
        </w:tc>
        <w:tc>
          <w:tcPr>
            <w:tcW w:w="1701" w:type="dxa"/>
            <w:vAlign w:val="center"/>
          </w:tcPr>
          <w:p>
            <w:pPr>
              <w:pStyle w:val="193"/>
              <w:rPr>
                <w:rFonts w:ascii="仿宋_GB2312"/>
                <w:kern w:val="2"/>
                <w:szCs w:val="21"/>
              </w:rPr>
            </w:pPr>
            <w:r>
              <w:rPr>
                <w:rFonts w:hint="eastAsia" w:ascii="仿宋_GB2312"/>
                <w:bCs/>
                <w:caps/>
                <w:kern w:val="2"/>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*代表该种物质临界量确定参考了 GB18218-2014中氧化性物质。**代表该物质临界量参考了《突发环境事件风险物质及临界量清单》有毒物质临界量。本项目氢氧化钠不构成重大危险源。</w:t>
      </w:r>
    </w:p>
    <w:p>
      <w:pPr>
        <w:pStyle w:val="120"/>
        <w:ind w:firstLine="0" w:firstLineChars="0"/>
        <w:rPr>
          <w:b/>
        </w:rPr>
      </w:pPr>
      <w:bookmarkStart w:id="219" w:name="_Toc458674261"/>
      <w:r>
        <w:rPr>
          <w:rFonts w:hint="eastAsia"/>
          <w:b/>
        </w:rPr>
        <w:t>3</w:t>
      </w:r>
      <w:r>
        <w:rPr>
          <w:b/>
        </w:rPr>
        <w:t>.4.</w:t>
      </w:r>
      <w:r>
        <w:rPr>
          <w:rFonts w:hint="eastAsia"/>
          <w:b/>
        </w:rPr>
        <w:t>3</w:t>
      </w:r>
      <w:r>
        <w:rPr>
          <w:b/>
        </w:rPr>
        <w:t>最大可信事故</w:t>
      </w:r>
      <w:bookmarkEnd w:id="218"/>
      <w:bookmarkEnd w:id="219"/>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最大可信事故是指在所有预测的概率不为零的事故中，对环境（健康）危害最严重的重大事故。其目的是针对典型事故进行环境风险分析，并不意味着其他事故不具环境风险。在项目的生产、贮存、运输等过程中，存在许多事故风险因素，风险评价不可能面面俱到，只能尽可能考虑对环境危害最大的事故风险。</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最主要的危险单元为</w:t>
      </w:r>
      <w:r>
        <w:rPr>
          <w:rFonts w:hint="eastAsia" w:cs="仿宋_GB2312" w:asciiTheme="minorEastAsia" w:hAnsiTheme="minorEastAsia" w:eastAsiaTheme="minorEastAsia"/>
          <w:kern w:val="0"/>
          <w:sz w:val="24"/>
          <w:szCs w:val="24"/>
        </w:rPr>
        <w:t>氢氧化钠加药间和污水处理设施</w:t>
      </w:r>
      <w:r>
        <w:rPr>
          <w:rFonts w:cs="仿宋_GB2312" w:asciiTheme="minorEastAsia" w:hAnsiTheme="minorEastAsia" w:eastAsiaTheme="minorEastAsia"/>
          <w:kern w:val="0"/>
          <w:sz w:val="24"/>
          <w:szCs w:val="24"/>
        </w:rPr>
        <w:t>，因此最大可信事故为</w:t>
      </w:r>
      <w:r>
        <w:rPr>
          <w:rFonts w:hint="eastAsia" w:cs="仿宋_GB2312" w:asciiTheme="minorEastAsia" w:hAnsiTheme="minorEastAsia" w:eastAsiaTheme="minorEastAsia"/>
          <w:kern w:val="0"/>
          <w:sz w:val="24"/>
          <w:szCs w:val="24"/>
        </w:rPr>
        <w:t>氢氧化钠遇水放热发生</w:t>
      </w:r>
      <w:r>
        <w:rPr>
          <w:rFonts w:cs="仿宋_GB2312" w:asciiTheme="minorEastAsia" w:hAnsiTheme="minorEastAsia" w:eastAsiaTheme="minorEastAsia"/>
          <w:kern w:val="0"/>
          <w:sz w:val="24"/>
          <w:szCs w:val="24"/>
        </w:rPr>
        <w:t>泄漏</w:t>
      </w:r>
      <w:r>
        <w:rPr>
          <w:rFonts w:hint="eastAsia" w:cs="仿宋_GB2312" w:asciiTheme="minorEastAsia" w:hAnsiTheme="minorEastAsia" w:eastAsiaTheme="minorEastAsia"/>
          <w:kern w:val="0"/>
          <w:sz w:val="24"/>
          <w:szCs w:val="24"/>
        </w:rPr>
        <w:t>、污水直接排放到地表水体、污水经处理后未达标排入地表水体；</w:t>
      </w:r>
      <w:r>
        <w:rPr>
          <w:rFonts w:cs="仿宋_GB2312" w:asciiTheme="minorEastAsia" w:hAnsiTheme="minorEastAsia" w:eastAsiaTheme="minorEastAsia"/>
          <w:kern w:val="0"/>
          <w:sz w:val="24"/>
          <w:szCs w:val="24"/>
        </w:rPr>
        <w:t>典型事故为阀门和管道出现损坏或腐蚀而发生连续泄漏，造成污染事故</w:t>
      </w:r>
      <w:r>
        <w:rPr>
          <w:rFonts w:hint="eastAsia" w:cs="仿宋_GB2312" w:asciiTheme="minorEastAsia" w:hAnsiTheme="minorEastAsia" w:eastAsiaTheme="minorEastAsia"/>
          <w:kern w:val="0"/>
          <w:sz w:val="24"/>
          <w:szCs w:val="24"/>
        </w:rPr>
        <w:t>；停电、自然灾害、设备设施故障导则厂区内的污水直接进入地表水体、或经处理后未达标进入地表水体，造成污染事故</w:t>
      </w:r>
      <w:r>
        <w:rPr>
          <w:rFonts w:cs="仿宋_GB2312" w:asciiTheme="minorEastAsia" w:hAnsiTheme="minorEastAsia" w:eastAsiaTheme="minorEastAsia"/>
          <w:kern w:val="0"/>
          <w:sz w:val="24"/>
          <w:szCs w:val="24"/>
        </w:rPr>
        <w:t>。</w:t>
      </w:r>
    </w:p>
    <w:p>
      <w:pPr>
        <w:adjustRightInd w:val="0"/>
        <w:snapToGrid w:val="0"/>
        <w:spacing w:line="460" w:lineRule="exact"/>
        <w:outlineLvl w:val="1"/>
        <w:rPr>
          <w:rFonts w:hint="eastAsia"/>
          <w:b/>
          <w:color w:val="000000"/>
          <w:sz w:val="26"/>
          <w:szCs w:val="26"/>
          <w:lang w:val="zh-CN"/>
        </w:rPr>
      </w:pPr>
      <w:bookmarkStart w:id="220" w:name="_Toc3235"/>
      <w:bookmarkStart w:id="221" w:name="_Toc458674263"/>
      <w:r>
        <w:rPr>
          <w:rFonts w:hint="eastAsia"/>
          <w:b/>
          <w:color w:val="000000"/>
          <w:sz w:val="26"/>
          <w:szCs w:val="26"/>
          <w:lang w:val="zh-CN"/>
        </w:rPr>
        <w:t>3.5企业突发环境事件影响分析</w:t>
      </w:r>
      <w:bookmarkEnd w:id="220"/>
      <w:bookmarkEnd w:id="221"/>
    </w:p>
    <w:p>
      <w:pPr>
        <w:rPr>
          <w:rFonts w:hint="eastAsia" w:ascii="仿宋_GB2312" w:hAnsi="仿宋_GB2312" w:eastAsia="仿宋_GB2312" w:cs="仿宋_GB2312"/>
          <w:b/>
          <w:bCs/>
          <w:sz w:val="24"/>
          <w:szCs w:val="24"/>
        </w:rPr>
      </w:pPr>
      <w:bookmarkStart w:id="222" w:name="_Toc458674262"/>
      <w:r>
        <w:rPr>
          <w:rFonts w:hint="eastAsia" w:ascii="仿宋_GB2312" w:hAnsi="仿宋_GB2312" w:eastAsia="仿宋_GB2312" w:cs="仿宋_GB2312"/>
          <w:b/>
          <w:bCs/>
          <w:sz w:val="24"/>
          <w:szCs w:val="24"/>
        </w:rPr>
        <w:t>3.5.</w:t>
      </w:r>
      <w:bookmarkEnd w:id="222"/>
      <w:r>
        <w:rPr>
          <w:rFonts w:hint="eastAsia" w:ascii="仿宋_GB2312" w:hAnsi="仿宋_GB2312" w:eastAsia="仿宋_GB2312" w:cs="仿宋_GB2312"/>
          <w:b/>
          <w:bCs/>
          <w:sz w:val="24"/>
          <w:szCs w:val="24"/>
        </w:rPr>
        <w:t>1氢氧化钠泄漏影响分析</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污水处理厂突发环境事件风险评估报告》，</w:t>
      </w:r>
      <w:r>
        <w:rPr>
          <w:rFonts w:cs="仿宋_GB2312" w:asciiTheme="minorEastAsia" w:hAnsiTheme="minorEastAsia" w:eastAsiaTheme="minorEastAsia"/>
          <w:kern w:val="0"/>
          <w:sz w:val="24"/>
          <w:szCs w:val="24"/>
        </w:rPr>
        <w:t>企业发生</w:t>
      </w:r>
      <w:r>
        <w:rPr>
          <w:rFonts w:hint="eastAsia" w:cs="仿宋_GB2312" w:asciiTheme="minorEastAsia" w:hAnsiTheme="minorEastAsia" w:eastAsiaTheme="minorEastAsia"/>
          <w:kern w:val="0"/>
          <w:sz w:val="24"/>
          <w:szCs w:val="24"/>
        </w:rPr>
        <w:t>氢氧化钠</w:t>
      </w:r>
      <w:r>
        <w:rPr>
          <w:rFonts w:cs="仿宋_GB2312" w:asciiTheme="minorEastAsia" w:hAnsiTheme="minorEastAsia" w:eastAsiaTheme="minorEastAsia"/>
          <w:kern w:val="0"/>
          <w:sz w:val="24"/>
          <w:szCs w:val="24"/>
        </w:rPr>
        <w:t>泄漏后</w:t>
      </w:r>
      <w:r>
        <w:rPr>
          <w:rFonts w:hint="eastAsia" w:cs="仿宋_GB2312" w:asciiTheme="minorEastAsia" w:hAnsiTheme="minorEastAsia" w:eastAsiaTheme="minorEastAsia"/>
          <w:kern w:val="0"/>
          <w:sz w:val="24"/>
          <w:szCs w:val="24"/>
        </w:rPr>
        <w:t>可控制在加药间内</w:t>
      </w:r>
      <w:r>
        <w:rPr>
          <w:rFonts w:cs="仿宋_GB2312" w:asciiTheme="minorEastAsia" w:hAnsiTheme="minorEastAsia" w:eastAsiaTheme="minorEastAsia"/>
          <w:kern w:val="0"/>
          <w:sz w:val="24"/>
          <w:szCs w:val="24"/>
        </w:rPr>
        <w:t>，</w:t>
      </w:r>
      <w:r>
        <w:rPr>
          <w:rFonts w:hint="eastAsia" w:cs="仿宋_GB2312" w:asciiTheme="minorEastAsia" w:hAnsiTheme="minorEastAsia" w:eastAsiaTheme="minorEastAsia"/>
          <w:kern w:val="0"/>
          <w:sz w:val="24"/>
          <w:szCs w:val="24"/>
        </w:rPr>
        <w:t>不会影响到</w:t>
      </w:r>
      <w:r>
        <w:rPr>
          <w:rFonts w:cs="仿宋_GB2312" w:asciiTheme="minorEastAsia" w:hAnsiTheme="minorEastAsia" w:eastAsiaTheme="minorEastAsia"/>
          <w:kern w:val="0"/>
          <w:sz w:val="24"/>
          <w:szCs w:val="24"/>
        </w:rPr>
        <w:t>企业周边</w:t>
      </w:r>
      <w:r>
        <w:rPr>
          <w:rFonts w:hint="eastAsia" w:cs="仿宋_GB2312" w:asciiTheme="minorEastAsia" w:hAnsiTheme="minorEastAsia" w:eastAsiaTheme="minorEastAsia"/>
          <w:kern w:val="0"/>
          <w:sz w:val="24"/>
          <w:szCs w:val="24"/>
        </w:rPr>
        <w:t>。</w:t>
      </w:r>
    </w:p>
    <w:p>
      <w:pP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3.5.2污水直接排放影响分析</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污水处理厂突发环境事件风险评估报告》，企业在突发环境事件情况下，污水直接排放到外环境中，对地表水（高水位+175m）环境的影响预测结果如下：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COD、NH3-N的浓度整体随河流流向逐渐衰减，随河流横向河宽逐渐衰减。其中COD、NH3-N在河流横向河宽100m处预测接近背景浓度，在河流流向2000m处预测浓度接近背景浓度，因此，企业</w:t>
      </w:r>
      <w:r>
        <w:rPr>
          <w:rFonts w:hint="eastAsia" w:cs="仿宋_GB2312" w:asciiTheme="minorEastAsia" w:hAnsiTheme="minorEastAsia" w:eastAsiaTheme="minorEastAsia"/>
          <w:kern w:val="0"/>
          <w:sz w:val="24"/>
          <w:szCs w:val="24"/>
          <w:lang w:eastAsia="zh-CN"/>
        </w:rPr>
        <w:t>突</w:t>
      </w:r>
      <w:r>
        <w:rPr>
          <w:rFonts w:cs="仿宋_GB2312" w:asciiTheme="minorEastAsia" w:hAnsiTheme="minorEastAsia" w:eastAsiaTheme="minorEastAsia"/>
          <w:kern w:val="0"/>
          <w:sz w:val="24"/>
          <w:szCs w:val="24"/>
        </w:rPr>
        <w:t>发环境事件污水直接排放对地表水的影响范围为横向1～100m，流向1～2000m范围。COD、NH3-N最大浓度贡献值与现状监测值叠加后，预测浓度值分别在</w:t>
      </w:r>
      <w:r>
        <w:rPr>
          <w:rFonts w:hint="eastAsia" w:cs="仿宋_GB2312" w:asciiTheme="minorEastAsia" w:hAnsiTheme="minorEastAsia" w:eastAsiaTheme="minorEastAsia"/>
          <w:kern w:val="0"/>
          <w:sz w:val="24"/>
          <w:szCs w:val="24"/>
        </w:rPr>
        <w:t>14.00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28.83</w:t>
      </w:r>
      <w:r>
        <w:rPr>
          <w:rFonts w:cs="仿宋_GB2312" w:asciiTheme="minorEastAsia" w:hAnsiTheme="minorEastAsia" w:eastAsiaTheme="minorEastAsia"/>
          <w:kern w:val="0"/>
          <w:sz w:val="24"/>
          <w:szCs w:val="24"/>
        </w:rPr>
        <w:t>mg/L、0.</w:t>
      </w:r>
      <w:r>
        <w:rPr>
          <w:rFonts w:hint="eastAsia" w:cs="仿宋_GB2312" w:asciiTheme="minorEastAsia" w:hAnsiTheme="minorEastAsia" w:eastAsiaTheme="minorEastAsia"/>
          <w:kern w:val="0"/>
          <w:sz w:val="24"/>
          <w:szCs w:val="24"/>
        </w:rPr>
        <w:t>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1.66</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28.83</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1.66</w:t>
      </w:r>
      <w:r>
        <w:rPr>
          <w:rFonts w:cs="仿宋_GB2312" w:asciiTheme="minorEastAsia" w:hAnsiTheme="minorEastAsia" w:eastAsiaTheme="minorEastAsia"/>
          <w:kern w:val="0"/>
          <w:sz w:val="24"/>
          <w:szCs w:val="24"/>
        </w:rPr>
        <w:t>mg/Lmg/L，其中NH3-N均满足《地表水环境质量标准》Ⅲ类水域水质标准要求，COD超过《地表水环境质量标准》Ⅲ类水域水质标准要求，超标区域为COD：横向河宽1~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5</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12</w:t>
      </w:r>
      <w:r>
        <w:rPr>
          <w:rFonts w:cs="仿宋_GB2312" w:asciiTheme="minorEastAsia" w:hAnsiTheme="minorEastAsia" w:eastAsiaTheme="minorEastAsia"/>
          <w:kern w:val="0"/>
          <w:sz w:val="24"/>
          <w:szCs w:val="24"/>
        </w:rPr>
        <w:t>m。根据企业周边地表水环境风险受体调查，高水位（+175m）时段，</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突发环境事件直接排放情况下，对长江水环境有一定的影响，</w:t>
      </w:r>
      <w:r>
        <w:rPr>
          <w:rFonts w:hint="eastAsia" w:cs="仿宋_GB2312" w:asciiTheme="minorEastAsia" w:hAnsiTheme="minorEastAsia" w:eastAsiaTheme="minorEastAsia"/>
          <w:kern w:val="0"/>
          <w:sz w:val="24"/>
          <w:szCs w:val="24"/>
          <w:lang w:eastAsia="zh-CN"/>
        </w:rPr>
        <w:t>对</w:t>
      </w:r>
      <w:r>
        <w:rPr>
          <w:rFonts w:cs="仿宋_GB2312" w:asciiTheme="minorEastAsia" w:hAnsiTheme="minorEastAsia" w:eastAsiaTheme="minorEastAsia"/>
          <w:kern w:val="0"/>
          <w:sz w:val="24"/>
          <w:szCs w:val="24"/>
        </w:rPr>
        <w:t>地表</w:t>
      </w:r>
      <w:r>
        <w:rPr>
          <w:rFonts w:hint="eastAsia" w:cs="仿宋_GB2312" w:asciiTheme="minorEastAsia" w:hAnsiTheme="minorEastAsia" w:eastAsiaTheme="minorEastAsia"/>
          <w:kern w:val="0"/>
          <w:sz w:val="24"/>
          <w:szCs w:val="24"/>
          <w:lang w:eastAsia="zh-CN"/>
        </w:rPr>
        <w:t>水</w:t>
      </w:r>
      <w:r>
        <w:rPr>
          <w:rFonts w:cs="仿宋_GB2312" w:asciiTheme="minorEastAsia" w:hAnsiTheme="minorEastAsia" w:eastAsiaTheme="minorEastAsia"/>
          <w:kern w:val="0"/>
          <w:sz w:val="24"/>
          <w:szCs w:val="24"/>
        </w:rPr>
        <w:t>风险受体影响较小。</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污水处理厂突发环境事件风险评估报告》，企业在突发环境事件情况下，污水直接排放到外环境中，对地表水（低水位+145m）环境的影响预测结果如下：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COD、NH3-N的浓度整体随河流流向逐渐衰减，随河流横向河宽逐渐衰减。其中COD、NH3-N在河流横向河宽200m处预测接近背景浓度，在河流流向4000m处预测浓度接近背景浓度，因此，企业</w:t>
      </w:r>
      <w:r>
        <w:rPr>
          <w:rFonts w:hint="eastAsia" w:cs="仿宋_GB2312" w:asciiTheme="minorEastAsia" w:hAnsiTheme="minorEastAsia" w:eastAsiaTheme="minorEastAsia"/>
          <w:kern w:val="0"/>
          <w:sz w:val="24"/>
          <w:szCs w:val="24"/>
          <w:lang w:eastAsia="zh-CN"/>
        </w:rPr>
        <w:t>突</w:t>
      </w:r>
      <w:r>
        <w:rPr>
          <w:rFonts w:cs="仿宋_GB2312" w:asciiTheme="minorEastAsia" w:hAnsiTheme="minorEastAsia" w:eastAsiaTheme="minorEastAsia"/>
          <w:kern w:val="0"/>
          <w:sz w:val="24"/>
          <w:szCs w:val="24"/>
        </w:rPr>
        <w:t>发环境事件污水直接排放对地表水的影响范围为横向1～</w:t>
      </w:r>
      <w:r>
        <w:rPr>
          <w:rFonts w:hint="eastAsia" w:cs="仿宋_GB2312" w:asciiTheme="minorEastAsia" w:hAnsiTheme="minorEastAsia" w:eastAsiaTheme="minorEastAsia"/>
          <w:kern w:val="0"/>
          <w:sz w:val="24"/>
          <w:szCs w:val="24"/>
        </w:rPr>
        <w:t>1</w:t>
      </w:r>
      <w:r>
        <w:rPr>
          <w:rFonts w:cs="仿宋_GB2312" w:asciiTheme="minorEastAsia" w:hAnsiTheme="minorEastAsia" w:eastAsiaTheme="minorEastAsia"/>
          <w:kern w:val="0"/>
          <w:sz w:val="24"/>
          <w:szCs w:val="24"/>
        </w:rPr>
        <w:t>0m，流向1～4000m范围。COD、NH3-N最大浓度贡献值与现状监测值叠加后，预测浓度值分别在</w:t>
      </w:r>
      <w:r>
        <w:rPr>
          <w:rFonts w:hint="eastAsia" w:cs="仿宋_GB2312" w:asciiTheme="minorEastAsia" w:hAnsiTheme="minorEastAsia" w:eastAsiaTheme="minorEastAsia"/>
          <w:kern w:val="0"/>
          <w:sz w:val="24"/>
          <w:szCs w:val="24"/>
        </w:rPr>
        <w:t>14.0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mg/L，其中NH3-N均满足《地表水环境质量标准》Ⅲ类水域水质标准要求，COD超过《地表水环境质量标准》Ⅲ类水域水质标准要求，超标区域为COD：横向河宽～1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3</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6</w:t>
      </w:r>
      <w:r>
        <w:rPr>
          <w:rFonts w:cs="仿宋_GB2312" w:asciiTheme="minorEastAsia" w:hAnsiTheme="minorEastAsia" w:eastAsiaTheme="minorEastAsia"/>
          <w:kern w:val="0"/>
          <w:sz w:val="24"/>
          <w:szCs w:val="24"/>
        </w:rPr>
        <w:t>m。根据企业周边地表水环境风险受体调查，低水位（+145m）时段，</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突发环境事件直接排放情况下，对长江地表水</w:t>
      </w:r>
      <w:r>
        <w:rPr>
          <w:rFonts w:hint="eastAsia" w:cs="仿宋_GB2312" w:asciiTheme="minorEastAsia" w:hAnsiTheme="minorEastAsia" w:eastAsiaTheme="minorEastAsia"/>
          <w:kern w:val="0"/>
          <w:sz w:val="24"/>
          <w:szCs w:val="24"/>
        </w:rPr>
        <w:t>环境影响较小</w:t>
      </w:r>
      <w:r>
        <w:rPr>
          <w:rFonts w:cs="仿宋_GB2312" w:asciiTheme="minorEastAsia" w:hAnsiTheme="minorEastAsia" w:eastAsiaTheme="minorEastAsia"/>
          <w:kern w:val="0"/>
          <w:sz w:val="24"/>
          <w:szCs w:val="24"/>
        </w:rPr>
        <w:t>。</w:t>
      </w:r>
    </w:p>
    <w:p>
      <w:pP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3.5.3污水经处理后未达标排放影响分析</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污水处理厂突发环境事件风险评估报告》，企业在突发环境事件情况下，污水经处理后，由于处理效果不</w:t>
      </w:r>
      <w:r>
        <w:rPr>
          <w:rFonts w:hint="eastAsia" w:cs="仿宋_GB2312" w:asciiTheme="minorEastAsia" w:hAnsiTheme="minorEastAsia" w:eastAsiaTheme="minorEastAsia"/>
          <w:kern w:val="0"/>
          <w:sz w:val="24"/>
          <w:szCs w:val="24"/>
          <w:lang w:eastAsia="zh-CN"/>
        </w:rPr>
        <w:t>理想</w:t>
      </w:r>
      <w:r>
        <w:rPr>
          <w:rFonts w:hint="eastAsia" w:cs="仿宋_GB2312" w:asciiTheme="minorEastAsia" w:hAnsiTheme="minorEastAsia" w:eastAsiaTheme="minorEastAsia"/>
          <w:kern w:val="0"/>
          <w:sz w:val="24"/>
          <w:szCs w:val="24"/>
        </w:rPr>
        <w:t>未达标排放到外环境中，对地表水（高水位+175m）环境的影响预测结果如下：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3000m处预测浓度接近背景浓度，因此，企业他发环境事件污水直接排放对地表水的影响范围为横向1~100m，流向1~3000m范围。COD、NH3-N最大浓度贡献值与现状监测值叠加后，预测浓度值分别在</w:t>
      </w:r>
      <w:r>
        <w:rPr>
          <w:rFonts w:hint="eastAsia" w:cs="仿宋_GB2312" w:asciiTheme="minorEastAsia" w:hAnsiTheme="minorEastAsia" w:eastAsiaTheme="minorEastAsia"/>
          <w:kern w:val="0"/>
          <w:sz w:val="24"/>
          <w:szCs w:val="24"/>
        </w:rPr>
        <w:t>14.0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20.17</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0.87</w:t>
      </w:r>
      <w:r>
        <w:rPr>
          <w:rFonts w:cs="仿宋_GB2312" w:asciiTheme="minorEastAsia" w:hAnsiTheme="minorEastAsia" w:eastAsiaTheme="minorEastAsia"/>
          <w:kern w:val="0"/>
          <w:sz w:val="24"/>
          <w:szCs w:val="24"/>
        </w:rPr>
        <w:t>mg/L之间，最大浓度值分别为9.65mg/L、1.53mg/L，其中NH3-N满足《地表水环境质量标准》Ⅲ类水域水质标准要求，COD超过《地表水环境质量标准》Ⅲ类水域水质标准要求，超标区域为COD：横向河宽1～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2</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5</w:t>
      </w:r>
      <w:r>
        <w:rPr>
          <w:rFonts w:cs="仿宋_GB2312" w:asciiTheme="minorEastAsia" w:hAnsiTheme="minorEastAsia" w:eastAsiaTheme="minorEastAsia"/>
          <w:kern w:val="0"/>
          <w:sz w:val="24"/>
          <w:szCs w:val="24"/>
        </w:rPr>
        <w:t>m。根据企业周边地表水环境风险受体调查，高水位（+175m）时段，</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突发环境事件直接排放情况下，对长江水环境有一定的影响，</w:t>
      </w:r>
      <w:r>
        <w:rPr>
          <w:rFonts w:hint="eastAsia" w:cs="仿宋_GB2312" w:asciiTheme="minorEastAsia" w:hAnsiTheme="minorEastAsia" w:eastAsiaTheme="minorEastAsia"/>
          <w:kern w:val="0"/>
          <w:sz w:val="24"/>
          <w:szCs w:val="24"/>
          <w:lang w:eastAsia="zh-CN"/>
        </w:rPr>
        <w:t>对</w:t>
      </w:r>
      <w:r>
        <w:rPr>
          <w:rFonts w:cs="仿宋_GB2312" w:asciiTheme="minorEastAsia" w:hAnsiTheme="minorEastAsia" w:eastAsiaTheme="minorEastAsia"/>
          <w:kern w:val="0"/>
          <w:sz w:val="24"/>
          <w:szCs w:val="24"/>
        </w:rPr>
        <w:t>地表</w:t>
      </w:r>
      <w:r>
        <w:rPr>
          <w:rFonts w:hint="eastAsia" w:cs="仿宋_GB2312" w:asciiTheme="minorEastAsia" w:hAnsiTheme="minorEastAsia" w:eastAsiaTheme="minorEastAsia"/>
          <w:kern w:val="0"/>
          <w:sz w:val="24"/>
          <w:szCs w:val="24"/>
          <w:lang w:eastAsia="zh-CN"/>
        </w:rPr>
        <w:t>水</w:t>
      </w:r>
      <w:r>
        <w:rPr>
          <w:rFonts w:cs="仿宋_GB2312" w:asciiTheme="minorEastAsia" w:hAnsiTheme="minorEastAsia" w:eastAsiaTheme="minorEastAsia"/>
          <w:kern w:val="0"/>
          <w:sz w:val="24"/>
          <w:szCs w:val="24"/>
        </w:rPr>
        <w:t>风险受体影响较小。</w:t>
      </w:r>
    </w:p>
    <w:p>
      <w:pPr>
        <w:spacing w:line="460" w:lineRule="exact"/>
        <w:ind w:firstLine="480" w:firstLineChars="200"/>
        <w:jc w:val="left"/>
        <w:rPr>
          <w:rFonts w:hint="eastAsia"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污水处理厂突发环境事件风险评估报告》，企业在突发环境事件情况下，污水经处理后，由于处理效果不</w:t>
      </w:r>
      <w:r>
        <w:rPr>
          <w:rFonts w:hint="eastAsia" w:cs="仿宋_GB2312" w:asciiTheme="minorEastAsia" w:hAnsiTheme="minorEastAsia" w:eastAsiaTheme="minorEastAsia"/>
          <w:kern w:val="0"/>
          <w:sz w:val="24"/>
          <w:szCs w:val="24"/>
          <w:lang w:eastAsia="zh-CN"/>
        </w:rPr>
        <w:t>理想</w:t>
      </w:r>
      <w:r>
        <w:rPr>
          <w:rFonts w:hint="eastAsia" w:cs="仿宋_GB2312" w:asciiTheme="minorEastAsia" w:hAnsiTheme="minorEastAsia" w:eastAsiaTheme="minorEastAsia"/>
          <w:kern w:val="0"/>
          <w:sz w:val="24"/>
          <w:szCs w:val="24"/>
        </w:rPr>
        <w:t>未达标排放到外环境中，对地表水（高水位+145m）环境的影响预测结果如下：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1500m处预测浓度接近背景浓度，因此，企业他发环境事件污水直接排放对地表水的影响范围为横向1~100m，流向1~1500m范围。COD、NH3-N最大浓度贡献值与现状监测值叠加后，预测浓度值分别在</w:t>
      </w:r>
      <w:r>
        <w:rPr>
          <w:rFonts w:hint="eastAsia" w:cs="仿宋_GB2312" w:asciiTheme="minorEastAsia" w:hAnsiTheme="minorEastAsia" w:eastAsiaTheme="minorEastAsia"/>
          <w:kern w:val="0"/>
          <w:sz w:val="24"/>
          <w:szCs w:val="24"/>
        </w:rPr>
        <w:t>14.00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其中NH3-N满足《地表水环境质量标准》Ⅲ类水域水质标准要求，COD超过《地表水环境质量标准》Ⅲ类水域水质标准要求，超标区域为COD：横向河宽1～20m，流向1～100m.。根据企业周边地表水环境风险受体调查，低水位（+145m）时段，</w:t>
      </w:r>
      <w:r>
        <w:rPr>
          <w:rFonts w:hint="eastAsia" w:cs="仿宋_GB2312" w:asciiTheme="minorEastAsia" w:hAnsiTheme="minorEastAsia" w:eastAsiaTheme="minorEastAsia"/>
          <w:kern w:val="0"/>
          <w:sz w:val="24"/>
        </w:rPr>
        <w:t>清溪园区</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突发环境事件污染物未达标排放情况下，对长江水环境及地表水风险受体</w:t>
      </w:r>
      <w:r>
        <w:rPr>
          <w:rFonts w:hint="eastAsia" w:cs="仿宋_GB2312" w:asciiTheme="minorEastAsia" w:hAnsiTheme="minorEastAsia" w:eastAsiaTheme="minorEastAsia"/>
          <w:kern w:val="0"/>
          <w:sz w:val="24"/>
          <w:szCs w:val="24"/>
        </w:rPr>
        <w:t>影响较小。</w:t>
      </w:r>
    </w:p>
    <w:p>
      <w:pPr>
        <w:adjustRightInd w:val="0"/>
        <w:snapToGrid w:val="0"/>
        <w:spacing w:line="460" w:lineRule="exact"/>
        <w:outlineLvl w:val="1"/>
        <w:rPr>
          <w:rFonts w:hint="eastAsia"/>
          <w:b/>
          <w:color w:val="000000"/>
          <w:sz w:val="26"/>
          <w:szCs w:val="26"/>
          <w:lang w:val="zh-CN"/>
        </w:rPr>
      </w:pPr>
      <w:bookmarkStart w:id="223" w:name="_Toc458674265"/>
      <w:bookmarkStart w:id="224" w:name="_Toc376848495"/>
      <w:bookmarkStart w:id="225" w:name="_Toc23291"/>
      <w:r>
        <w:rPr>
          <w:rFonts w:hint="eastAsia"/>
          <w:b/>
          <w:color w:val="000000"/>
          <w:sz w:val="26"/>
          <w:szCs w:val="26"/>
          <w:lang w:val="zh-CN"/>
        </w:rPr>
        <w:t>3.6现有风险防范措施</w:t>
      </w:r>
      <w:bookmarkEnd w:id="223"/>
      <w:bookmarkEnd w:id="224"/>
      <w:bookmarkEnd w:id="225"/>
    </w:p>
    <w:p>
      <w:pPr>
        <w:pStyle w:val="120"/>
        <w:ind w:firstLine="0" w:firstLineChars="0"/>
        <w:rPr>
          <w:b/>
        </w:rPr>
      </w:pPr>
      <w:bookmarkStart w:id="226" w:name="_Toc458674266"/>
      <w:bookmarkStart w:id="227" w:name="_Toc317088632"/>
      <w:bookmarkStart w:id="228" w:name="_Toc346872569"/>
      <w:r>
        <w:rPr>
          <w:rFonts w:hint="eastAsia"/>
          <w:b/>
        </w:rPr>
        <w:t>3</w:t>
      </w:r>
      <w:r>
        <w:rPr>
          <w:b/>
        </w:rPr>
        <w:t>.</w:t>
      </w:r>
      <w:r>
        <w:rPr>
          <w:rFonts w:hint="eastAsia"/>
          <w:b/>
        </w:rPr>
        <w:t>6</w:t>
      </w:r>
      <w:r>
        <w:rPr>
          <w:b/>
        </w:rPr>
        <w:t>.1 总体布局</w:t>
      </w:r>
      <w:bookmarkEnd w:id="226"/>
      <w:bookmarkEnd w:id="227"/>
      <w:bookmarkEnd w:id="228"/>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总平面布置中，充分考虑了总体布置的安全性，总图布置较合理，各管线和辅助装置均按功能分区布置，并充分考虑消防和疏散通道问题，有利于风险事故的防范和处理。</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总图布置符合GB50016-2006《建筑设计防火规范》和国家现行的“总图运输设计规范”及相关管理规定的要求。</w:t>
      </w:r>
    </w:p>
    <w:p>
      <w:pPr>
        <w:pStyle w:val="120"/>
        <w:ind w:firstLine="0" w:firstLineChars="0"/>
        <w:rPr>
          <w:b/>
        </w:rPr>
      </w:pPr>
      <w:bookmarkStart w:id="229" w:name="_Toc317088633"/>
      <w:bookmarkStart w:id="230" w:name="_Toc458674267"/>
      <w:bookmarkStart w:id="231" w:name="_Toc346872570"/>
      <w:r>
        <w:rPr>
          <w:rFonts w:hint="eastAsia"/>
          <w:b/>
        </w:rPr>
        <w:t>3</w:t>
      </w:r>
      <w:r>
        <w:rPr>
          <w:b/>
        </w:rPr>
        <w:t>.</w:t>
      </w:r>
      <w:r>
        <w:rPr>
          <w:rFonts w:hint="eastAsia"/>
          <w:b/>
        </w:rPr>
        <w:t>6</w:t>
      </w:r>
      <w:r>
        <w:rPr>
          <w:b/>
        </w:rPr>
        <w:t>.2</w:t>
      </w:r>
      <w:bookmarkEnd w:id="229"/>
      <w:bookmarkEnd w:id="230"/>
      <w:bookmarkEnd w:id="231"/>
      <w:r>
        <w:rPr>
          <w:rFonts w:hint="eastAsia" w:cs="仿宋_GB2312" w:asciiTheme="minorEastAsia" w:hAnsiTheme="minorEastAsia" w:eastAsiaTheme="minorEastAsia"/>
          <w:b/>
          <w:szCs w:val="24"/>
        </w:rPr>
        <w:t>氢氧化钠</w:t>
      </w:r>
      <w:r>
        <w:rPr>
          <w:rFonts w:hint="eastAsia"/>
          <w:b/>
        </w:rPr>
        <w:t>加药间风险防范措施</w:t>
      </w:r>
    </w:p>
    <w:p>
      <w:pPr>
        <w:spacing w:line="460" w:lineRule="exact"/>
        <w:ind w:firstLine="480" w:firstLineChars="200"/>
        <w:jc w:val="left"/>
        <w:rPr>
          <w:rFonts w:hint="eastAsia" w:cs="仿宋_GB2312" w:asciiTheme="minorEastAsia" w:hAnsiTheme="minorEastAsia" w:eastAsiaTheme="minorEastAsia"/>
          <w:kern w:val="0"/>
          <w:sz w:val="24"/>
          <w:szCs w:val="24"/>
        </w:rPr>
      </w:pPr>
      <w:bookmarkStart w:id="232" w:name="_Toc317088634"/>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各建筑物严格按照GB50016-2006《建筑设计防火规范》及相应规定要求予以设计</w:t>
      </w:r>
      <w:r>
        <w:rPr>
          <w:rFonts w:hint="eastAsia" w:cs="仿宋_GB2312" w:asciiTheme="minorEastAsia" w:hAnsiTheme="minorEastAsia" w:eastAsiaTheme="minorEastAsia"/>
          <w:kern w:val="0"/>
          <w:sz w:val="24"/>
          <w:szCs w:val="24"/>
        </w:rPr>
        <w:t>，</w:t>
      </w:r>
      <w:r>
        <w:rPr>
          <w:rFonts w:hint="eastAsia" w:ascii="仿宋_GB2312"/>
          <w:sz w:val="24"/>
          <w:szCs w:val="24"/>
        </w:rPr>
        <w:t>严格管理，操作正确，保证加药罐、存放桶不受破坏，建立有效的事故应急体系。</w:t>
      </w:r>
      <w:r>
        <w:rPr>
          <w:rFonts w:hint="eastAsia" w:cs="仿宋_GB2312" w:asciiTheme="minorEastAsia" w:hAnsiTheme="minorEastAsia" w:eastAsiaTheme="minorEastAsia"/>
          <w:kern w:val="0"/>
          <w:sz w:val="24"/>
          <w:szCs w:val="24"/>
        </w:rPr>
        <w:t>氢氧化钠</w:t>
      </w:r>
      <w:r>
        <w:rPr>
          <w:rFonts w:hint="eastAsia" w:cs="仿宋_GB2312" w:asciiTheme="minorEastAsia" w:hAnsiTheme="minorEastAsia" w:eastAsiaTheme="minorEastAsia"/>
          <w:kern w:val="0"/>
          <w:sz w:val="24"/>
          <w:szCs w:val="24"/>
          <w:lang w:eastAsia="zh-CN"/>
        </w:rPr>
        <w:t>（片碱）袋装</w:t>
      </w:r>
      <w:r>
        <w:rPr>
          <w:rFonts w:cs="仿宋_GB2312" w:asciiTheme="minorEastAsia" w:hAnsiTheme="minorEastAsia" w:eastAsiaTheme="minorEastAsia"/>
          <w:kern w:val="0"/>
          <w:sz w:val="24"/>
          <w:szCs w:val="24"/>
        </w:rPr>
        <w:t>置于</w:t>
      </w:r>
      <w:r>
        <w:rPr>
          <w:rFonts w:hint="eastAsia" w:cs="仿宋_GB2312" w:asciiTheme="minorEastAsia" w:hAnsiTheme="minorEastAsia" w:eastAsiaTheme="minorEastAsia"/>
          <w:kern w:val="0"/>
          <w:sz w:val="24"/>
          <w:szCs w:val="24"/>
        </w:rPr>
        <w:t>加药间</w:t>
      </w:r>
      <w:r>
        <w:rPr>
          <w:rFonts w:cs="仿宋_GB2312" w:asciiTheme="minorEastAsia" w:hAnsiTheme="minorEastAsia" w:eastAsiaTheme="minorEastAsia"/>
          <w:kern w:val="0"/>
          <w:sz w:val="24"/>
          <w:szCs w:val="24"/>
        </w:rPr>
        <w:t>内，</w:t>
      </w:r>
      <w:r>
        <w:rPr>
          <w:rFonts w:hint="eastAsia" w:cs="仿宋_GB2312" w:asciiTheme="minorEastAsia" w:hAnsiTheme="minorEastAsia" w:eastAsiaTheme="minorEastAsia"/>
          <w:kern w:val="0"/>
          <w:sz w:val="24"/>
          <w:szCs w:val="24"/>
          <w:lang w:eastAsia="zh-CN"/>
        </w:rPr>
        <w:t>放于防潮木板上，</w:t>
      </w:r>
      <w:r>
        <w:rPr>
          <w:rFonts w:cs="仿宋_GB2312" w:asciiTheme="minorEastAsia" w:hAnsiTheme="minorEastAsia" w:eastAsiaTheme="minorEastAsia"/>
          <w:kern w:val="0"/>
          <w:sz w:val="24"/>
          <w:szCs w:val="24"/>
        </w:rPr>
        <w:t>地面采用混泥土进行了硬化处理。厂区各处设置了消防栓，安装摆放了消防箱，放置灭火器等应急装置。</w:t>
      </w:r>
      <w:bookmarkEnd w:id="232"/>
    </w:p>
    <w:p>
      <w:pPr>
        <w:pStyle w:val="120"/>
        <w:ind w:firstLine="0" w:firstLineChars="0"/>
        <w:rPr>
          <w:b/>
        </w:rPr>
      </w:pPr>
      <w:bookmarkStart w:id="233" w:name="_Toc317088635"/>
      <w:bookmarkStart w:id="234" w:name="_Toc458674269"/>
      <w:bookmarkStart w:id="235" w:name="_Toc346872572"/>
      <w:r>
        <w:rPr>
          <w:rFonts w:hint="eastAsia"/>
          <w:b/>
        </w:rPr>
        <w:t>3</w:t>
      </w:r>
      <w:r>
        <w:rPr>
          <w:b/>
        </w:rPr>
        <w:t>.</w:t>
      </w:r>
      <w:r>
        <w:rPr>
          <w:rFonts w:hint="eastAsia"/>
          <w:b/>
        </w:rPr>
        <w:t>6</w:t>
      </w:r>
      <w:r>
        <w:rPr>
          <w:b/>
        </w:rPr>
        <w:t>.</w:t>
      </w:r>
      <w:bookmarkEnd w:id="233"/>
      <w:r>
        <w:rPr>
          <w:rFonts w:hint="eastAsia"/>
          <w:b/>
          <w:lang w:val="en-US" w:eastAsia="zh-CN"/>
        </w:rPr>
        <w:t>3</w:t>
      </w:r>
      <w:r>
        <w:rPr>
          <w:b/>
        </w:rPr>
        <w:t>污水处理设备风险防范措施</w:t>
      </w:r>
      <w:bookmarkEnd w:id="234"/>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 设置出水、进水水质在线监测装置，定期监测出水水质，防止污水未达标排放。</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(2)定期对污水治理设施设备进行检查，维护保养，减少设备出现故障概率。</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 配备双回路电源，防止停电发生时</w:t>
      </w:r>
      <w:r>
        <w:rPr>
          <w:rFonts w:hint="eastAsia" w:cs="仿宋_GB2312" w:asciiTheme="minorEastAsia" w:hAnsiTheme="minorEastAsia" w:eastAsiaTheme="minorEastAsia"/>
          <w:kern w:val="0"/>
          <w:sz w:val="24"/>
          <w:szCs w:val="24"/>
          <w:lang w:eastAsia="zh-CN"/>
        </w:rPr>
        <w:t>应</w:t>
      </w:r>
      <w:r>
        <w:rPr>
          <w:rFonts w:cs="仿宋_GB2312" w:asciiTheme="minorEastAsia" w:hAnsiTheme="minorEastAsia" w:eastAsiaTheme="minorEastAsia"/>
          <w:kern w:val="0"/>
          <w:sz w:val="24"/>
          <w:szCs w:val="24"/>
        </w:rPr>
        <w:t>对污水处理设备无法正常运营</w:t>
      </w:r>
      <w:r>
        <w:rPr>
          <w:rFonts w:hint="eastAsia" w:cs="仿宋_GB2312" w:asciiTheme="minorEastAsia" w:hAnsiTheme="minorEastAsia" w:eastAsiaTheme="minorEastAsia"/>
          <w:kern w:val="0"/>
          <w:sz w:val="24"/>
          <w:szCs w:val="24"/>
          <w:lang w:eastAsia="zh-CN"/>
        </w:rPr>
        <w:t>的情况</w:t>
      </w:r>
      <w:r>
        <w:rPr>
          <w:rFonts w:cs="仿宋_GB2312" w:asciiTheme="minorEastAsia" w:hAnsiTheme="minorEastAsia" w:eastAsiaTheme="minorEastAsia"/>
          <w:kern w:val="0"/>
          <w:sz w:val="24"/>
          <w:szCs w:val="24"/>
        </w:rPr>
        <w:t>。</w:t>
      </w:r>
    </w:p>
    <w:p>
      <w:pPr>
        <w:pStyle w:val="120"/>
        <w:ind w:firstLine="0" w:firstLineChars="0"/>
        <w:rPr>
          <w:rFonts w:hint="eastAsia"/>
          <w:b/>
        </w:rPr>
      </w:pPr>
      <w:bookmarkStart w:id="236" w:name="_Toc458674270"/>
      <w:r>
        <w:rPr>
          <w:rFonts w:hint="eastAsia"/>
          <w:b/>
        </w:rPr>
        <w:t>3</w:t>
      </w:r>
      <w:r>
        <w:rPr>
          <w:b/>
        </w:rPr>
        <w:t>.</w:t>
      </w:r>
      <w:r>
        <w:rPr>
          <w:rFonts w:hint="eastAsia"/>
          <w:b/>
        </w:rPr>
        <w:t>6</w:t>
      </w:r>
      <w:r>
        <w:rPr>
          <w:b/>
        </w:rPr>
        <w:t>.</w:t>
      </w:r>
      <w:r>
        <w:rPr>
          <w:rFonts w:hint="eastAsia"/>
          <w:b/>
          <w:lang w:val="en-US" w:eastAsia="zh-CN"/>
        </w:rPr>
        <w:t>4</w:t>
      </w:r>
      <w:r>
        <w:rPr>
          <w:rFonts w:hint="eastAsia"/>
          <w:b/>
        </w:rPr>
        <w:t>工艺</w:t>
      </w:r>
      <w:r>
        <w:rPr>
          <w:b/>
        </w:rPr>
        <w:t>设备</w:t>
      </w:r>
      <w:bookmarkEnd w:id="235"/>
      <w:bookmarkEnd w:id="236"/>
      <w:r>
        <w:rPr>
          <w:rFonts w:hint="eastAsia"/>
          <w:b/>
        </w:rPr>
        <w:t>保障</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采用先进、成熟、可靠的工艺技术和设备，减少了“跑、冒、滴、漏”；在生产中应加强生产装置的安全管理，按国家规定的有关安全生产的规章制度进行定期检测，做到生产装置不带“病”上岗，保证不泄漏。</w:t>
      </w:r>
    </w:p>
    <w:p>
      <w:pPr>
        <w:spacing w:line="460" w:lineRule="exact"/>
        <w:ind w:firstLine="480" w:firstLineChars="200"/>
        <w:jc w:val="left"/>
        <w:rPr>
          <w:rFonts w:cs="仿宋_GB2312" w:asciiTheme="minorEastAsia" w:hAnsiTheme="minorEastAsia" w:eastAsiaTheme="minorEastAsia"/>
          <w:kern w:val="0"/>
          <w:sz w:val="24"/>
          <w:szCs w:val="24"/>
        </w:rPr>
        <w:sectPr>
          <w:pgSz w:w="11906" w:h="16838"/>
          <w:pgMar w:top="1247" w:right="1531" w:bottom="1247" w:left="1531" w:header="851" w:footer="992" w:gutter="0"/>
          <w:cols w:space="425" w:num="1"/>
          <w:docGrid w:type="linesAndChars" w:linePitch="312" w:charSpace="0"/>
        </w:sectPr>
      </w:pPr>
    </w:p>
    <w:p>
      <w:pPr>
        <w:pStyle w:val="120"/>
        <w:ind w:firstLine="0" w:firstLineChars="0"/>
        <w:rPr>
          <w:b/>
        </w:rPr>
      </w:pPr>
      <w:bookmarkStart w:id="237" w:name="_Toc346872573"/>
      <w:bookmarkStart w:id="238" w:name="_Toc458674271"/>
      <w:r>
        <w:rPr>
          <w:rFonts w:hint="eastAsia"/>
          <w:b/>
        </w:rPr>
        <w:t>3</w:t>
      </w:r>
      <w:r>
        <w:rPr>
          <w:b/>
        </w:rPr>
        <w:t>.</w:t>
      </w:r>
      <w:r>
        <w:rPr>
          <w:rFonts w:hint="eastAsia"/>
          <w:b/>
        </w:rPr>
        <w:t>6</w:t>
      </w:r>
      <w:r>
        <w:rPr>
          <w:b/>
        </w:rPr>
        <w:t>.</w:t>
      </w:r>
      <w:r>
        <w:rPr>
          <w:rFonts w:hint="eastAsia"/>
          <w:b/>
          <w:lang w:val="en-US" w:eastAsia="zh-CN"/>
        </w:rPr>
        <w:t>5</w:t>
      </w:r>
      <w:r>
        <w:rPr>
          <w:b/>
        </w:rPr>
        <w:t xml:space="preserve"> 消防依托</w:t>
      </w:r>
      <w:bookmarkEnd w:id="237"/>
      <w:bookmarkEnd w:id="238"/>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组建有自己的义务消防队，由公司当日值班人员组成。接到报警后5min能赶到现场展开应急救援工作。</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厂区配有符合消防要求的消火栓，并配备一定数量的干粉灭火器、消防沙箱，厂区内消防通道道路畅通。</w:t>
      </w:r>
    </w:p>
    <w:p>
      <w:pPr>
        <w:pStyle w:val="120"/>
        <w:ind w:firstLine="0" w:firstLineChars="0"/>
        <w:rPr>
          <w:b/>
        </w:rPr>
      </w:pPr>
      <w:bookmarkStart w:id="239" w:name="_Toc458674272"/>
      <w:r>
        <w:rPr>
          <w:rFonts w:hint="eastAsia"/>
          <w:b/>
        </w:rPr>
        <w:t>3</w:t>
      </w:r>
      <w:r>
        <w:rPr>
          <w:b/>
        </w:rPr>
        <w:t>.</w:t>
      </w:r>
      <w:r>
        <w:rPr>
          <w:rFonts w:hint="eastAsia"/>
          <w:b/>
        </w:rPr>
        <w:t>6</w:t>
      </w:r>
      <w:r>
        <w:rPr>
          <w:b/>
        </w:rPr>
        <w:t>.</w:t>
      </w:r>
      <w:r>
        <w:rPr>
          <w:rFonts w:hint="eastAsia"/>
          <w:b/>
          <w:lang w:val="en-US" w:eastAsia="zh-CN"/>
        </w:rPr>
        <w:t>6</w:t>
      </w:r>
      <w:r>
        <w:rPr>
          <w:b/>
        </w:rPr>
        <w:t xml:space="preserve"> 生产管理</w:t>
      </w:r>
      <w:bookmarkEnd w:id="239"/>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设置了专门的管理机构负责安全、消防和环保的管理工作，制定了完善的管理制度。每个岗位制定有相应的安全操作规程，并在车间上墙，时刻提醒工作人员规范操作。加强对员工的安全、环保意识的教育，实行持证上岗，并配备了完善的消防设施。</w:t>
      </w: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hint="eastAsia" w:asciiTheme="minorEastAsia" w:hAnsiTheme="minorEastAsia" w:eastAsiaTheme="minorEastAsia"/>
          <w:color w:val="000000"/>
          <w:sz w:val="24"/>
          <w:szCs w:val="24"/>
        </w:rPr>
      </w:pPr>
    </w:p>
    <w:p>
      <w:pPr>
        <w:adjustRightInd w:val="0"/>
        <w:snapToGrid w:val="0"/>
        <w:spacing w:line="440" w:lineRule="exact"/>
        <w:jc w:val="left"/>
        <w:textAlignment w:val="center"/>
        <w:rPr>
          <w:rFonts w:asciiTheme="minorEastAsia" w:hAnsiTheme="minorEastAsia" w:eastAsiaTheme="minorEastAsia"/>
          <w:b/>
          <w:color w:val="000000"/>
          <w:sz w:val="32"/>
        </w:rPr>
      </w:pP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240" w:name="_Toc25300"/>
      <w:bookmarkStart w:id="241" w:name="_Toc6908"/>
      <w:r>
        <w:rPr>
          <w:rFonts w:asciiTheme="minorEastAsia" w:hAnsiTheme="minorEastAsia" w:eastAsiaTheme="minorEastAsia"/>
          <w:b/>
          <w:color w:val="000000"/>
          <w:sz w:val="32"/>
        </w:rPr>
        <w:t>4</w:t>
      </w:r>
      <w:r>
        <w:rPr>
          <w:rFonts w:hint="eastAsia" w:asciiTheme="minorEastAsia" w:hAnsiTheme="minorEastAsia" w:eastAsiaTheme="minorEastAsia"/>
          <w:b/>
          <w:color w:val="000000"/>
          <w:sz w:val="32"/>
        </w:rPr>
        <w:t>应急组织及职责</w:t>
      </w:r>
      <w:bookmarkEnd w:id="192"/>
      <w:bookmarkEnd w:id="193"/>
      <w:bookmarkEnd w:id="194"/>
      <w:bookmarkEnd w:id="195"/>
      <w:bookmarkEnd w:id="196"/>
      <w:bookmarkEnd w:id="197"/>
      <w:bookmarkEnd w:id="198"/>
      <w:bookmarkEnd w:id="199"/>
      <w:bookmarkEnd w:id="200"/>
      <w:bookmarkEnd w:id="201"/>
      <w:bookmarkEnd w:id="202"/>
      <w:bookmarkEnd w:id="240"/>
      <w:bookmarkEnd w:id="241"/>
    </w:p>
    <w:p>
      <w:pPr>
        <w:adjustRightInd w:val="0"/>
        <w:snapToGrid w:val="0"/>
        <w:spacing w:line="460" w:lineRule="exact"/>
        <w:outlineLvl w:val="1"/>
        <w:rPr>
          <w:rFonts w:hint="eastAsia"/>
          <w:b/>
          <w:color w:val="000000"/>
          <w:sz w:val="26"/>
          <w:szCs w:val="26"/>
          <w:lang w:val="zh-CN"/>
        </w:rPr>
      </w:pPr>
      <w:bookmarkStart w:id="242" w:name="_Toc17866"/>
      <w:bookmarkStart w:id="243" w:name="_Toc351319181"/>
      <w:bookmarkStart w:id="244" w:name="_Toc387131497"/>
      <w:bookmarkStart w:id="245" w:name="_Toc408274431"/>
      <w:bookmarkStart w:id="246" w:name="_Toc304964440"/>
      <w:bookmarkStart w:id="247" w:name="_Toc304833230"/>
      <w:bookmarkStart w:id="248" w:name="_Toc387131754"/>
      <w:bookmarkStart w:id="249" w:name="_Toc262040272"/>
      <w:bookmarkStart w:id="250" w:name="_Toc304963597"/>
      <w:bookmarkStart w:id="251" w:name="_Toc1469"/>
      <w:bookmarkStart w:id="252" w:name="_Toc310581485"/>
      <w:bookmarkStart w:id="253" w:name="_Toc310580998"/>
      <w:bookmarkStart w:id="254" w:name="_Toc415254538"/>
      <w:bookmarkStart w:id="255" w:name="_Toc351103342"/>
      <w:bookmarkStart w:id="256" w:name="_Toc262051533"/>
      <w:bookmarkStart w:id="257" w:name="_Toc262050862"/>
      <w:bookmarkStart w:id="258" w:name="_Toc304962952"/>
      <w:bookmarkStart w:id="259" w:name="_Toc387131423"/>
      <w:bookmarkStart w:id="260" w:name="_Toc304962953"/>
      <w:bookmarkStart w:id="261" w:name="_Toc336326847"/>
      <w:bookmarkStart w:id="262" w:name="_Toc336327125"/>
      <w:bookmarkStart w:id="263" w:name="_Toc262051112"/>
      <w:bookmarkStart w:id="264" w:name="_Toc304833229"/>
      <w:bookmarkStart w:id="265" w:name="_Toc304963596"/>
      <w:bookmarkStart w:id="266" w:name="_Toc304964439"/>
      <w:r>
        <w:rPr>
          <w:rFonts w:hint="eastAsia"/>
          <w:b/>
          <w:color w:val="000000"/>
          <w:sz w:val="26"/>
          <w:szCs w:val="26"/>
          <w:lang w:val="zh-CN"/>
        </w:rPr>
        <w:t>4.1应急组织机构图</w:t>
      </w:r>
      <w:bookmarkEnd w:id="242"/>
    </w:p>
    <w:p>
      <w:pPr>
        <w:ind w:firstLine="480"/>
        <w:rPr>
          <w:rFonts w:asciiTheme="minorEastAsia" w:hAnsiTheme="minorEastAsia" w:eastAsiaTheme="minorEastAsia"/>
          <w:b/>
          <w:sz w:val="28"/>
          <w:szCs w:val="28"/>
        </w:rPr>
      </w:pPr>
      <w:r>
        <w:rPr>
          <w:rFonts w:asciiTheme="minorEastAsia" w:hAnsiTheme="minorEastAsia" w:eastAsiaTheme="minorEastAsia"/>
          <w:szCs w:val="22"/>
        </w:rPr>
        <w:pict>
          <v:group id="_x0000_s1088" o:spid="_x0000_s1088" o:spt="203" style="position:absolute;left:0pt;margin-left:23.75pt;margin-top:2.85pt;height:247.05pt;width:397pt;z-index:1024;mso-width-relative:page;mso-height-relative:page;" coordorigin="2453,1584" coordsize="6247,4305">
            <o:lock v:ext="edit"/>
            <v:rect id="Rectangle 65" o:spid="_x0000_s1089" o:spt="1" style="position:absolute;left:3823;top:4166;height:1713;width:540;" coordsize="21600,21600">
              <v:path/>
              <v:fill focussize="0,0"/>
              <v:stroke/>
              <v:imagedata o:title=""/>
              <o:lock v:ext="edit"/>
              <v:textbox>
                <w:txbxContent>
                  <w:p>
                    <w:pPr>
                      <w:pStyle w:val="193"/>
                      <w:rPr>
                        <w:rFonts w:ascii="宋体" w:hAnsi="宋体"/>
                      </w:rPr>
                    </w:pPr>
                    <w:r>
                      <w:rPr>
                        <w:rFonts w:hint="eastAsia" w:ascii="宋体" w:hAnsi="宋体"/>
                      </w:rPr>
                      <w:t>医疗救护组</w:t>
                    </w:r>
                  </w:p>
                </w:txbxContent>
              </v:textbox>
            </v:rect>
            <v:rect id="Rectangle 66" o:spid="_x0000_s1090" o:spt="1" style="position:absolute;left:5261;top:4176;height:1713;width:540;" coordsize="21600,21600">
              <v:path/>
              <v:fill focussize="0,0"/>
              <v:stroke/>
              <v:imagedata o:title=""/>
              <o:lock v:ext="edit"/>
              <v:textbox>
                <w:txbxContent>
                  <w:p>
                    <w:pPr>
                      <w:pStyle w:val="193"/>
                      <w:rPr>
                        <w:rFonts w:ascii="宋体" w:hAnsi="宋体"/>
                      </w:rPr>
                    </w:pPr>
                    <w:r>
                      <w:rPr>
                        <w:rFonts w:hint="eastAsia" w:ascii="宋体" w:hAnsi="宋体"/>
                      </w:rPr>
                      <w:t>警戒保卫组</w:t>
                    </w:r>
                  </w:p>
                </w:txbxContent>
              </v:textbox>
            </v:rect>
            <v:line id="Line 70" o:spid="_x0000_s1091" o:spt="20" style="position:absolute;left:2749;top:3759;flip:y;height:0;width:5661;" coordsize="21600,21600">
              <v:path arrowok="t"/>
              <v:fill focussize="0,0"/>
              <v:stroke/>
              <v:imagedata o:title=""/>
              <o:lock v:ext="edit"/>
            </v:line>
            <v:line id="Line 74" o:spid="_x0000_s1092" o:spt="20" style="position:absolute;left:5546;top:3755;height:421;width:1;" coordsize="21600,21600">
              <v:path arrowok="t"/>
              <v:fill focussize="0,0"/>
              <v:stroke endarrow="block"/>
              <v:imagedata o:title=""/>
              <o:lock v:ext="edit"/>
            </v:line>
            <v:line id="Line 75" o:spid="_x0000_s1093" o:spt="20" style="position:absolute;left:4073;top:3755;height:404;width:1;" coordsize="21600,21600">
              <v:path arrowok="t"/>
              <v:fill focussize="0,0"/>
              <v:stroke endarrow="block"/>
              <v:imagedata o:title=""/>
              <o:lock v:ext="edit"/>
            </v:line>
            <v:line id="Line 76" o:spid="_x0000_s1094" o:spt="20" style="position:absolute;left:2741;top:3755;height:421;width:1;" coordsize="21600,21600">
              <v:path arrowok="t"/>
              <v:fill focussize="0,0"/>
              <v:stroke endarrow="block"/>
              <v:imagedata o:title=""/>
              <o:lock v:ext="edit"/>
            </v:line>
            <v:line id="Line 79" o:spid="_x0000_s1095" o:spt="20" style="position:absolute;left:6972;top:3753;height:398;width:1;" coordsize="21600,21600">
              <v:path arrowok="t"/>
              <v:fill focussize="0,0"/>
              <v:stroke endarrow="block"/>
              <v:imagedata o:title=""/>
              <o:lock v:ext="edit"/>
            </v:line>
            <v:line id="Line 80" o:spid="_x0000_s1096" o:spt="20" style="position:absolute;left:8409;top:3742;height:409;width:1;" coordsize="21600,21600">
              <v:path arrowok="t"/>
              <v:fill focussize="0,0"/>
              <v:stroke endarrow="block"/>
              <v:imagedata o:title=""/>
              <o:lock v:ext="edit"/>
            </v:line>
            <v:rect id="Rectangle 87" o:spid="_x0000_s1097" o:spt="1" style="position:absolute;left:4176;top:1584;height:583;width:2728;" coordsize="21600,21600">
              <v:path/>
              <v:fill focussize="0,0"/>
              <v:stroke/>
              <v:imagedata o:title=""/>
              <o:lock v:ext="edit"/>
              <v:textbox>
                <w:txbxContent>
                  <w:p>
                    <w:pPr>
                      <w:pStyle w:val="193"/>
                      <w:rPr>
                        <w:rFonts w:ascii="宋体" w:hAnsi="宋体"/>
                      </w:rPr>
                    </w:pPr>
                    <w:r>
                      <w:rPr>
                        <w:rFonts w:hint="eastAsia" w:ascii="宋体" w:hAnsi="宋体"/>
                      </w:rPr>
                      <w:t xml:space="preserve"> 公司应急救援总指挥部</w:t>
                    </w:r>
                  </w:p>
                </w:txbxContent>
              </v:textbox>
            </v:rect>
            <v:rect id="Rectangle 88" o:spid="_x0000_s1098" o:spt="1" style="position:absolute;left:4222;top:2807;height:572;width:2682;" coordsize="21600,21600">
              <v:path/>
              <v:fill focussize="0,0"/>
              <v:stroke/>
              <v:imagedata o:title=""/>
              <o:lock v:ext="edit"/>
              <v:textbox>
                <w:txbxContent>
                  <w:p>
                    <w:pPr>
                      <w:pStyle w:val="193"/>
                      <w:rPr>
                        <w:rFonts w:ascii="宋体" w:hAnsi="宋体"/>
                      </w:rPr>
                    </w:pPr>
                    <w:r>
                      <w:rPr>
                        <w:rFonts w:hint="eastAsia" w:ascii="宋体" w:hAnsi="宋体"/>
                      </w:rPr>
                      <w:t xml:space="preserve"> 公司应急救援办公室</w:t>
                    </w:r>
                  </w:p>
                </w:txbxContent>
              </v:textbox>
            </v:rect>
            <v:rect id="Rectangle 92" o:spid="_x0000_s1099" o:spt="1" style="position:absolute;left:2453;top:4159;height:1720;width:540;" coordsize="21600,21600">
              <v:path/>
              <v:fill focussize="0,0"/>
              <v:stroke/>
              <v:imagedata o:title=""/>
              <o:lock v:ext="edit"/>
              <v:textbox>
                <w:txbxContent>
                  <w:p>
                    <w:pPr>
                      <w:pStyle w:val="193"/>
                      <w:rPr>
                        <w:rFonts w:ascii="宋体" w:hAnsi="宋体"/>
                      </w:rPr>
                    </w:pPr>
                    <w:r>
                      <w:rPr>
                        <w:rFonts w:hint="eastAsia" w:ascii="宋体" w:hAnsi="宋体"/>
                      </w:rPr>
                      <w:t>抢险救灾组</w:t>
                    </w:r>
                  </w:p>
                </w:txbxContent>
              </v:textbox>
            </v:rect>
            <v:rect id="Rectangle 94" o:spid="_x0000_s1100" o:spt="1" style="position:absolute;left:8160;top:4180;height:1697;width:540;" coordsize="21600,21600">
              <v:path/>
              <v:fill focussize="0,0"/>
              <v:stroke/>
              <v:imagedata o:title=""/>
              <o:lock v:ext="edit"/>
              <v:textbox>
                <w:txbxContent>
                  <w:p>
                    <w:pPr>
                      <w:pStyle w:val="193"/>
                      <w:rPr>
                        <w:rFonts w:ascii="宋体" w:hAnsi="宋体"/>
                      </w:rPr>
                    </w:pPr>
                    <w:r>
                      <w:rPr>
                        <w:rFonts w:hint="eastAsia" w:ascii="宋体" w:hAnsi="宋体"/>
                      </w:rPr>
                      <w:t>综合协调组</w:t>
                    </w:r>
                  </w:p>
                </w:txbxContent>
              </v:textbox>
            </v:rect>
            <v:rect id="Rectangle 95" o:spid="_x0000_s1101" o:spt="1" style="position:absolute;left:6740;top:4177;height:1702;width:540;" coordsize="21600,21600">
              <v:path/>
              <v:fill focussize="0,0"/>
              <v:stroke/>
              <v:imagedata o:title=""/>
              <o:lock v:ext="edit"/>
              <v:textbox>
                <w:txbxContent>
                  <w:p>
                    <w:pPr>
                      <w:pStyle w:val="193"/>
                      <w:rPr>
                        <w:rFonts w:ascii="宋体" w:hAnsi="宋体"/>
                      </w:rPr>
                    </w:pPr>
                    <w:r>
                      <w:rPr>
                        <w:rFonts w:hint="eastAsia" w:ascii="宋体" w:hAnsi="宋体"/>
                      </w:rPr>
                      <w:t>环境监测组</w:t>
                    </w:r>
                  </w:p>
                </w:txbxContent>
              </v:textbox>
            </v:rect>
            <v:line id="Line 98" o:spid="_x0000_s1102" o:spt="20" style="position:absolute;left:5553;top:2167;height:453;width:1;" coordsize="21600,21600">
              <v:path arrowok="t"/>
              <v:fill focussize="0,0"/>
              <v:stroke endarrow="block"/>
              <v:imagedata o:title=""/>
              <o:lock v:ext="edit"/>
            </v:line>
          </v:group>
        </w:pict>
      </w:r>
      <w:r>
        <w:rPr>
          <w:rFonts w:asciiTheme="minorEastAsia" w:hAnsiTheme="minorEastAsia" w:eastAsiaTheme="minorEastAsia"/>
          <w:szCs w:val="22"/>
        </w:rPr>
        <w:pict>
          <v:shape id="_x0000_s1103" o:spid="_x0000_s1103" o:spt="32" type="#_x0000_t32" style="position:absolute;left:0pt;flip:x;margin-left:220.8pt;margin-top:106pt;height:20.85pt;width:0.1pt;z-index:1024;mso-width-relative:page;mso-height-relative:page;" o:connectortype="straight" filled="f" coordsize="21600,21600">
            <v:path arrowok="t"/>
            <v:fill on="f" focussize="0,0"/>
            <v:stroke endarrow="block"/>
            <v:imagedata o:title=""/>
            <o:lock v:ext="edit"/>
          </v:shape>
        </w:pict>
      </w: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spacing w:line="460" w:lineRule="exact"/>
        <w:ind w:left="1365" w:hanging="1365" w:hangingChars="650"/>
        <w:rPr>
          <w:rFonts w:cs="楷体" w:asciiTheme="minorEastAsia" w:hAnsiTheme="minorEastAsia" w:eastAsiaTheme="minorEastAsia"/>
          <w:sz w:val="24"/>
          <w:szCs w:val="24"/>
        </w:rPr>
      </w:pPr>
      <w:r>
        <w:rPr>
          <w:rFonts w:hint="eastAsia" w:cs="楷体" w:asciiTheme="minorEastAsia" w:hAnsiTheme="minorEastAsia" w:eastAsiaTheme="minorEastAsia"/>
          <w:szCs w:val="24"/>
        </w:rPr>
        <w:t xml:space="preserve"> </w:t>
      </w:r>
    </w:p>
    <w:p>
      <w:pPr>
        <w:adjustRightInd w:val="0"/>
        <w:snapToGrid w:val="0"/>
        <w:spacing w:line="460" w:lineRule="exact"/>
        <w:outlineLvl w:val="1"/>
        <w:rPr>
          <w:rFonts w:hint="eastAsia"/>
          <w:b/>
          <w:color w:val="000000"/>
          <w:sz w:val="26"/>
          <w:szCs w:val="26"/>
          <w:lang w:val="zh-CN"/>
        </w:rPr>
      </w:pPr>
      <w:bookmarkStart w:id="267" w:name="_Toc284"/>
      <w:r>
        <w:rPr>
          <w:rFonts w:hint="eastAsia"/>
          <w:b/>
          <w:color w:val="000000"/>
          <w:sz w:val="26"/>
          <w:szCs w:val="26"/>
          <w:lang w:val="zh-CN"/>
        </w:rPr>
        <w:t>4.2组织机构成员名单</w:t>
      </w:r>
      <w:bookmarkEnd w:id="267"/>
    </w:p>
    <w:p>
      <w:pPr>
        <w:spacing w:line="460" w:lineRule="exact"/>
        <w:ind w:left="1560" w:hanging="1560" w:hangingChars="65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表</w:t>
      </w:r>
      <w:r>
        <w:rPr>
          <w:rFonts w:asciiTheme="minorEastAsia" w:hAnsiTheme="minorEastAsia" w:eastAsiaTheme="minorEastAsia"/>
          <w:sz w:val="24"/>
          <w:szCs w:val="24"/>
        </w:rPr>
        <w:t>3-25</w:t>
      </w:r>
      <w:r>
        <w:rPr>
          <w:rFonts w:hint="eastAsia" w:asciiTheme="minorEastAsia" w:hAnsiTheme="minorEastAsia" w:eastAsiaTheme="minorEastAsia"/>
          <w:sz w:val="24"/>
          <w:szCs w:val="24"/>
        </w:rPr>
        <w:t>现有应急救援队伍情况一览表</w:t>
      </w:r>
    </w:p>
    <w:tbl>
      <w:tblPr>
        <w:tblStyle w:val="54"/>
        <w:tblW w:w="8961" w:type="dxa"/>
        <w:jc w:val="center"/>
        <w:tblInd w:w="595" w:type="dxa"/>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59"/>
        <w:gridCol w:w="1985"/>
        <w:gridCol w:w="2126"/>
        <w:gridCol w:w="2254"/>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037" w:type="dxa"/>
            <w:tcBorders>
              <w:top w:val="thinThickSmallGap" w:color="auto" w:sz="18" w:space="0"/>
            </w:tcBorders>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序号</w:t>
            </w:r>
          </w:p>
        </w:tc>
        <w:tc>
          <w:tcPr>
            <w:tcW w:w="1559" w:type="dxa"/>
            <w:tcBorders>
              <w:top w:val="thinThickSmallGap" w:color="auto" w:sz="18" w:space="0"/>
            </w:tcBorders>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姓名</w:t>
            </w:r>
          </w:p>
        </w:tc>
        <w:tc>
          <w:tcPr>
            <w:tcW w:w="1985" w:type="dxa"/>
            <w:tcBorders>
              <w:top w:val="thinThickSmallGap" w:color="auto" w:sz="18" w:space="0"/>
            </w:tcBorders>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应急职务</w:t>
            </w:r>
          </w:p>
        </w:tc>
        <w:tc>
          <w:tcPr>
            <w:tcW w:w="2126" w:type="dxa"/>
            <w:tcBorders>
              <w:top w:val="thinThickSmallGap" w:color="auto" w:sz="18" w:space="0"/>
            </w:tcBorders>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公司职位</w:t>
            </w:r>
          </w:p>
        </w:tc>
        <w:tc>
          <w:tcPr>
            <w:tcW w:w="2254" w:type="dxa"/>
            <w:tcBorders>
              <w:top w:val="thinThickSmallGap" w:color="auto" w:sz="18" w:space="0"/>
            </w:tcBorders>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手机</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961" w:type="dxa"/>
            <w:gridSpan w:val="5"/>
            <w:tcBorders>
              <w:top w:val="thinThickSmallGap" w:color="auto" w:sz="18" w:space="0"/>
            </w:tcBorders>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楷体" w:asciiTheme="minorEastAsia" w:hAnsiTheme="minorEastAsia" w:eastAsiaTheme="minorEastAsia"/>
                <w:bCs/>
                <w:szCs w:val="21"/>
              </w:rPr>
              <w:t>应急指挥部</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况敬良</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总经理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18983330040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秦廷伟</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副经理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副组长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13996798479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3</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蒲传友</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副经理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副组长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13609469333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操准</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安全生产部部长</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5</w:t>
            </w:r>
          </w:p>
        </w:tc>
        <w:tc>
          <w:tcPr>
            <w:tcW w:w="1559"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向广川</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厂长（清溪）</w:t>
            </w:r>
          </w:p>
        </w:tc>
        <w:tc>
          <w:tcPr>
            <w:tcW w:w="2126"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15123643138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6</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杜平兴</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7</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谭郑</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运营维修部副部长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8</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葛娅</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综合部部长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9</w:t>
            </w:r>
          </w:p>
        </w:tc>
        <w:tc>
          <w:tcPr>
            <w:tcW w:w="1559"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罗雯予</w:t>
            </w:r>
          </w:p>
        </w:tc>
        <w:tc>
          <w:tcPr>
            <w:tcW w:w="1985"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asciiTheme="minorEastAsia" w:hAnsiTheme="minorEastAsia" w:eastAsiaTheme="minorEastAsia"/>
                <w:szCs w:val="21"/>
              </w:rPr>
              <w:t>综合部副部长</w:t>
            </w:r>
          </w:p>
        </w:tc>
        <w:tc>
          <w:tcPr>
            <w:tcW w:w="2126"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10</w:t>
            </w:r>
          </w:p>
        </w:tc>
        <w:tc>
          <w:tcPr>
            <w:tcW w:w="1559"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况鳗洋</w:t>
            </w:r>
          </w:p>
        </w:tc>
        <w:tc>
          <w:tcPr>
            <w:tcW w:w="1985"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化验中心主任</w:t>
            </w:r>
          </w:p>
        </w:tc>
        <w:tc>
          <w:tcPr>
            <w:tcW w:w="2126"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宋体" w:asciiTheme="minorEastAsia" w:hAnsiTheme="minorEastAsia" w:eastAsiaTheme="minorEastAsia"/>
                <w:kern w:val="0"/>
                <w:szCs w:val="21"/>
              </w:rPr>
              <w:t>抢险救灾组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11</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杜平兴</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谭郑</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运营维修部副部长</w:t>
            </w:r>
          </w:p>
        </w:tc>
        <w:tc>
          <w:tcPr>
            <w:tcW w:w="2126"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冉家豪</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15978998799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钱祥波</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15025655051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薛文</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18983338287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16</w:t>
            </w:r>
          </w:p>
        </w:tc>
        <w:tc>
          <w:tcPr>
            <w:tcW w:w="1559" w:type="dxa"/>
            <w:vAlign w:val="center"/>
          </w:tcPr>
          <w:p>
            <w:pPr>
              <w:autoSpaceDE w:val="0"/>
              <w:autoSpaceDN w:val="0"/>
              <w:spacing w:line="460" w:lineRule="exact"/>
              <w:jc w:val="center"/>
              <w:rPr>
                <w:rFonts w:cs="??_GB2312" w:asciiTheme="minorEastAsia" w:hAnsiTheme="minorEastAsia" w:eastAsiaTheme="minorEastAsia"/>
                <w:kern w:val="0"/>
                <w:szCs w:val="21"/>
                <w:lang w:val="zh-CN"/>
              </w:rPr>
            </w:pPr>
            <w:r>
              <w:rPr>
                <w:rFonts w:hint="eastAsia" w:cs="??_GB2312" w:asciiTheme="minorEastAsia" w:hAnsiTheme="minorEastAsia" w:eastAsiaTheme="minorEastAsia"/>
                <w:kern w:val="0"/>
                <w:szCs w:val="21"/>
                <w:lang w:val="zh-CN"/>
              </w:rPr>
              <w:t>李小峰</w:t>
            </w:r>
          </w:p>
        </w:tc>
        <w:tc>
          <w:tcPr>
            <w:tcW w:w="1985"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职员</w:t>
            </w:r>
          </w:p>
        </w:tc>
        <w:tc>
          <w:tcPr>
            <w:tcW w:w="2126"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13594585786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医疗救护组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17</w:t>
            </w:r>
          </w:p>
        </w:tc>
        <w:tc>
          <w:tcPr>
            <w:tcW w:w="1559"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罗雯予</w:t>
            </w:r>
          </w:p>
        </w:tc>
        <w:tc>
          <w:tcPr>
            <w:tcW w:w="1985"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asciiTheme="minorEastAsia" w:hAnsiTheme="minorEastAsia" w:eastAsiaTheme="minorEastAsia"/>
                <w:szCs w:val="21"/>
              </w:rPr>
              <w:t>综合部副部长</w:t>
            </w:r>
          </w:p>
        </w:tc>
        <w:tc>
          <w:tcPr>
            <w:tcW w:w="2126"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组长</w:t>
            </w:r>
          </w:p>
        </w:tc>
        <w:tc>
          <w:tcPr>
            <w:tcW w:w="2254" w:type="dxa"/>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18</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rPr>
              <w:t>廖黎立</w:t>
            </w:r>
          </w:p>
        </w:tc>
        <w:tc>
          <w:tcPr>
            <w:tcW w:w="1985" w:type="dxa"/>
            <w:vAlign w:val="center"/>
          </w:tcPr>
          <w:p>
            <w:pPr>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13372786906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559" w:type="dxa"/>
            <w:vAlign w:val="center"/>
          </w:tcPr>
          <w:p>
            <w:pPr>
              <w:autoSpaceDE w:val="0"/>
              <w:autoSpaceDN w:val="0"/>
              <w:spacing w:line="460" w:lineRule="exact"/>
              <w:jc w:val="center"/>
              <w:rPr>
                <w:rFonts w:cs="仿宋_GB2312" w:asciiTheme="minorEastAsia" w:hAnsiTheme="minorEastAsia" w:eastAsiaTheme="minorEastAsia"/>
                <w:kern w:val="0"/>
                <w:szCs w:val="21"/>
                <w:lang w:val="zh-CN"/>
              </w:rPr>
            </w:pPr>
            <w:r>
              <w:rPr>
                <w:rFonts w:hint="eastAsia" w:cs="仿宋_GB2312" w:asciiTheme="minorEastAsia" w:hAnsiTheme="minorEastAsia" w:eastAsiaTheme="minorEastAsia"/>
                <w:kern w:val="0"/>
                <w:szCs w:val="21"/>
              </w:rPr>
              <w:t>张毅</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13594522854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20</w:t>
            </w:r>
          </w:p>
        </w:tc>
        <w:tc>
          <w:tcPr>
            <w:tcW w:w="1559" w:type="dxa"/>
            <w:vAlign w:val="center"/>
          </w:tcPr>
          <w:p>
            <w:pPr>
              <w:spacing w:line="460" w:lineRule="exact"/>
              <w:jc w:val="center"/>
              <w:rPr>
                <w:rFonts w:cs="楷体" w:asciiTheme="minorEastAsia" w:hAnsiTheme="minorEastAsia" w:eastAsiaTheme="minorEastAsia"/>
                <w:szCs w:val="21"/>
              </w:rPr>
            </w:pPr>
            <w:r>
              <w:rPr>
                <w:rFonts w:hint="eastAsia" w:cs="仿宋_GB2312" w:asciiTheme="minorEastAsia" w:hAnsiTheme="minorEastAsia" w:eastAsiaTheme="minorEastAsia"/>
                <w:kern w:val="0"/>
                <w:szCs w:val="21"/>
              </w:rPr>
              <w:t>杜魏</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15213681034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21</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田源</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18523651007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警戒保卫组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操准</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安全生产部部长</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23</w:t>
            </w:r>
          </w:p>
        </w:tc>
        <w:tc>
          <w:tcPr>
            <w:tcW w:w="1559"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向广川</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厂长（清溪）</w:t>
            </w:r>
          </w:p>
        </w:tc>
        <w:tc>
          <w:tcPr>
            <w:tcW w:w="2126"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15123643138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任波</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18225108867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李茂</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13896661651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26</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陈杰</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18512343757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27</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常东</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13983338939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环境监测组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28</w:t>
            </w:r>
          </w:p>
        </w:tc>
        <w:tc>
          <w:tcPr>
            <w:tcW w:w="1559"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况鳗洋</w:t>
            </w:r>
          </w:p>
        </w:tc>
        <w:tc>
          <w:tcPr>
            <w:tcW w:w="1985"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化验中心主任</w:t>
            </w:r>
          </w:p>
        </w:tc>
        <w:tc>
          <w:tcPr>
            <w:tcW w:w="2126"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29</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张贵风</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15123645632</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30</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任婧</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31</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晏伟</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张春梅</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18983318386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综合协调组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33</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葛娅</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综合部部长</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熊学海</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18996813477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冉德容</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rPr>
              <w:t>18983313573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36</w:t>
            </w:r>
          </w:p>
        </w:tc>
        <w:tc>
          <w:tcPr>
            <w:tcW w:w="1559" w:type="dxa"/>
            <w:vAlign w:val="center"/>
          </w:tcPr>
          <w:p>
            <w:pPr>
              <w:autoSpaceDE w:val="0"/>
              <w:autoSpaceDN w:val="0"/>
              <w:spacing w:line="460" w:lineRule="exact"/>
              <w:jc w:val="center"/>
              <w:rPr>
                <w:rFonts w:cs="仿宋_GB2312" w:asciiTheme="minorEastAsia" w:hAnsiTheme="minorEastAsia" w:eastAsiaTheme="minorEastAsia"/>
                <w:kern w:val="0"/>
                <w:szCs w:val="21"/>
                <w:lang w:val="zh-CN"/>
              </w:rPr>
            </w:pPr>
            <w:r>
              <w:rPr>
                <w:rFonts w:hint="eastAsia" w:cs="仿宋_GB2312" w:asciiTheme="minorEastAsia" w:hAnsiTheme="minorEastAsia" w:eastAsiaTheme="minorEastAsia"/>
                <w:kern w:val="0"/>
                <w:szCs w:val="21"/>
              </w:rPr>
              <w:t>陈平友</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13594557563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37</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刘元清</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15310559560</w:t>
            </w:r>
          </w:p>
        </w:tc>
      </w:tr>
    </w:tbl>
    <w:p>
      <w:pPr>
        <w:adjustRightInd w:val="0"/>
        <w:snapToGrid w:val="0"/>
        <w:spacing w:line="460" w:lineRule="exact"/>
        <w:outlineLvl w:val="1"/>
        <w:rPr>
          <w:rFonts w:hint="eastAsia"/>
          <w:b/>
          <w:color w:val="000000"/>
          <w:sz w:val="26"/>
          <w:szCs w:val="26"/>
          <w:lang w:val="zh-CN"/>
        </w:rPr>
      </w:pPr>
      <w:bookmarkStart w:id="268" w:name="_Toc26467"/>
      <w:r>
        <w:rPr>
          <w:rFonts w:hint="eastAsia"/>
          <w:b/>
          <w:color w:val="000000"/>
          <w:sz w:val="26"/>
          <w:szCs w:val="26"/>
          <w:lang w:val="zh-CN"/>
        </w:rPr>
        <w:t>4.3应急组织职责</w:t>
      </w:r>
      <w:bookmarkEnd w:id="268"/>
    </w:p>
    <w:p>
      <w:pPr>
        <w:spacing w:line="460" w:lineRule="exact"/>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rPr>
        <w:t>指挥部职责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）负责人员、资源配置、应急队伍的调动；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）协调事故现场有关工作；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）批准本预案的启动与终止；</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）组织指挥救援队伍实施救援行动，保护事故现场；</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5)</w:t>
      </w:r>
      <w:r>
        <w:rPr>
          <w:rFonts w:hint="eastAsia" w:asciiTheme="minorEastAsia" w:hAnsiTheme="minorEastAsia" w:eastAsiaTheme="minorEastAsia"/>
          <w:sz w:val="24"/>
          <w:szCs w:val="24"/>
        </w:rPr>
        <w:t>向上级和各相关部门汇报事故情况，必要时向有关单位和政府发出救援请求，并接受政府的指令和调动；</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(6)</w:t>
      </w:r>
      <w:r>
        <w:rPr>
          <w:rFonts w:hint="eastAsia" w:asciiTheme="minorEastAsia" w:hAnsiTheme="minorEastAsia" w:eastAsiaTheme="minorEastAsia"/>
          <w:sz w:val="24"/>
          <w:szCs w:val="24"/>
        </w:rPr>
        <w:t>组织事故调查，总结应急救援工作的经验教训。</w:t>
      </w:r>
    </w:p>
    <w:p>
      <w:pPr>
        <w:spacing w:line="460" w:lineRule="exact"/>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rPr>
        <w:t>总指挥职责</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rPr>
        <w:t xml:space="preserve"> (</w:t>
      </w:r>
      <w:r>
        <w:rPr>
          <w:rFonts w:asciiTheme="minorEastAsia" w:hAnsiTheme="minorEastAsia" w:eastAsiaTheme="minorEastAsia"/>
          <w:sz w:val="24"/>
          <w:szCs w:val="24"/>
        </w:rPr>
        <w:t>1)</w:t>
      </w:r>
      <w:r>
        <w:rPr>
          <w:rFonts w:hint="eastAsia" w:asciiTheme="minorEastAsia" w:hAnsiTheme="minorEastAsia" w:eastAsiaTheme="minorEastAsia"/>
          <w:sz w:val="24"/>
          <w:szCs w:val="24"/>
        </w:rPr>
        <w:t>分析紧急状态和确定相应报警级别；</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(2)</w:t>
      </w:r>
      <w:r>
        <w:rPr>
          <w:rFonts w:hint="eastAsia" w:asciiTheme="minorEastAsia" w:hAnsiTheme="minorEastAsia" w:eastAsiaTheme="minorEastAsia"/>
          <w:sz w:val="24"/>
          <w:szCs w:val="24"/>
        </w:rPr>
        <w:t>指挥、协调应急反应行动；</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(3)</w:t>
      </w:r>
      <w:r>
        <w:rPr>
          <w:rFonts w:hint="eastAsia" w:asciiTheme="minorEastAsia" w:hAnsiTheme="minorEastAsia" w:eastAsiaTheme="minorEastAsia"/>
          <w:sz w:val="24"/>
          <w:szCs w:val="24"/>
        </w:rPr>
        <w:t>与外部应急人员、部门、组织和机构进行联络；</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(4)</w:t>
      </w:r>
      <w:r>
        <w:rPr>
          <w:rFonts w:hint="eastAsia" w:asciiTheme="minorEastAsia" w:hAnsiTheme="minorEastAsia" w:eastAsiaTheme="minorEastAsia"/>
          <w:sz w:val="24"/>
          <w:szCs w:val="24"/>
        </w:rPr>
        <w:t>保证现场和企业外人员安全；</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(5)</w:t>
      </w:r>
      <w:r>
        <w:rPr>
          <w:rFonts w:hint="eastAsia" w:asciiTheme="minorEastAsia" w:hAnsiTheme="minorEastAsia" w:eastAsiaTheme="minorEastAsia"/>
          <w:sz w:val="24"/>
          <w:szCs w:val="24"/>
        </w:rPr>
        <w:t>协调后勤方面以支援反应组织。</w:t>
      </w:r>
    </w:p>
    <w:p>
      <w:pPr>
        <w:spacing w:line="460" w:lineRule="exact"/>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副总指挥职责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协助总指挥工作；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负责应急救援现场的协调调度；</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总指挥不在的情况下组织应急救援工作。</w:t>
      </w:r>
    </w:p>
    <w:p>
      <w:pPr>
        <w:spacing w:line="460" w:lineRule="exact"/>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专业小组的职责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抢险救灾组：对事故现场进行营救。抢救受害人员、被事故破坏的设备及道路交通设施、关闭有害物质泄漏源、隔离其他危险源；扑灭已经发生的火灾，及时撤走易燃易爆物品或物质，控制灾害的进一步发展等。</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警戒保卫组：设置警界区域，维护现场秩序，疏通道路；按技术专家组确定的避灾路线组织危险区人员撤离；劝说围观群众离开现场，进行人员疏散，保证人员安全撤离；保证交通路线畅通，保障救灾物资（防毒设备等）安全、顺利到达事故现场；事故发生后，禁止无关人员进入现场。</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）医疗救援组职责：对受伤、中毒人员进行现场救护，保证救治药品和救护器材的供应。负责转运受伤人员过程的医疗监护。</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）环境监测组：对发生污染区域的水、大气、土壤、动植物受污染程度、危害范围进行检测，迅速作出监测报告，并进行跟踪监测，提出处理报告。</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5</w:t>
      </w:r>
      <w:r>
        <w:rPr>
          <w:rFonts w:hint="eastAsia" w:asciiTheme="minorEastAsia" w:hAnsiTheme="minorEastAsia" w:eastAsiaTheme="minorEastAsia"/>
          <w:sz w:val="24"/>
          <w:szCs w:val="24"/>
        </w:rPr>
        <w:t>）综合协调组：</w:t>
      </w:r>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①</w:t>
      </w:r>
      <w:r>
        <w:rPr>
          <w:rFonts w:hint="eastAsia" w:asciiTheme="minorEastAsia" w:hAnsiTheme="minorEastAsia" w:eastAsiaTheme="minorEastAsia"/>
          <w:sz w:val="24"/>
          <w:szCs w:val="24"/>
        </w:rPr>
        <w:t>、对受伤、中毒人员进行现场救护，保证救治药品和救护器材的供应。负责转运受伤人员过程的医疗监护。公司与（涪陵急救中心）医院签定救护协议，对较严重的受伤人员进行救护。</w:t>
      </w:r>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②</w:t>
      </w:r>
      <w:r>
        <w:rPr>
          <w:rFonts w:hint="eastAsia" w:asciiTheme="minorEastAsia" w:hAnsiTheme="minorEastAsia" w:eastAsiaTheme="minorEastAsia"/>
          <w:sz w:val="24"/>
          <w:szCs w:val="24"/>
        </w:rPr>
        <w:t>、负责调集救援物资（如：防毒面具、防护服、抢险用具等）并组织发放，组织指挥人员和抢险人员的现场食宿安排，协助处理伤员的救护工作。</w:t>
      </w:r>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③</w:t>
      </w:r>
      <w:r>
        <w:rPr>
          <w:rFonts w:hint="eastAsia" w:asciiTheme="minorEastAsia" w:hAnsiTheme="minorEastAsia" w:eastAsiaTheme="minorEastAsia"/>
          <w:sz w:val="24"/>
          <w:szCs w:val="24"/>
        </w:rPr>
        <w:t>、负责对死难、受伤人员家属的安抚、慰问工作，作好群众的思想稳定工作，妥善处理好善后事宜，消除各种不安全、不稳定因素。</w:t>
      </w:r>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④</w:t>
      </w:r>
      <w:r>
        <w:rPr>
          <w:rFonts w:hint="eastAsia" w:asciiTheme="minorEastAsia" w:hAnsiTheme="minorEastAsia" w:eastAsiaTheme="minorEastAsia"/>
          <w:sz w:val="24"/>
          <w:szCs w:val="24"/>
        </w:rPr>
        <w:t>、协助相关应急小组的工作。</w:t>
      </w:r>
    </w:p>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Pr>
        <w:adjustRightInd w:val="0"/>
        <w:snapToGrid w:val="0"/>
        <w:spacing w:line="460" w:lineRule="exact"/>
        <w:outlineLvl w:val="1"/>
        <w:rPr>
          <w:rFonts w:hint="eastAsia"/>
          <w:b/>
          <w:color w:val="000000"/>
          <w:sz w:val="26"/>
          <w:szCs w:val="26"/>
          <w:lang w:val="zh-CN"/>
        </w:rPr>
      </w:pPr>
      <w:bookmarkStart w:id="269" w:name="_Toc183339221"/>
      <w:bookmarkStart w:id="270" w:name="_Toc183339497"/>
      <w:bookmarkStart w:id="271" w:name="_Toc196018635"/>
      <w:bookmarkStart w:id="272" w:name="_Toc196018540"/>
      <w:bookmarkStart w:id="273" w:name="_Toc184809548"/>
      <w:bookmarkStart w:id="274" w:name="_Toc304964442"/>
      <w:bookmarkStart w:id="275" w:name="_Toc179794543"/>
      <w:bookmarkStart w:id="276" w:name="_Toc185670981"/>
      <w:bookmarkStart w:id="277" w:name="_Toc262050865"/>
      <w:bookmarkStart w:id="278" w:name="_Toc304962955"/>
      <w:bookmarkStart w:id="279" w:name="_Toc184808761"/>
      <w:bookmarkStart w:id="280" w:name="_Toc262051115"/>
      <w:bookmarkStart w:id="281" w:name="_Toc336327127"/>
      <w:bookmarkStart w:id="282" w:name="_Toc198007334"/>
      <w:bookmarkStart w:id="283" w:name="_Toc304963599"/>
      <w:bookmarkStart w:id="284" w:name="_Toc229283970"/>
      <w:bookmarkStart w:id="285" w:name="_Toc304833232"/>
      <w:bookmarkStart w:id="286" w:name="_Toc262040275"/>
      <w:bookmarkStart w:id="287" w:name="_Toc197251339"/>
      <w:bookmarkStart w:id="288" w:name="_Toc196018431"/>
      <w:bookmarkStart w:id="289" w:name="_Toc262051536"/>
      <w:bookmarkStart w:id="290" w:name="_Toc336326849"/>
      <w:bookmarkStart w:id="291" w:name="_Toc198355319"/>
      <w:bookmarkStart w:id="292" w:name="_Toc387131499"/>
      <w:bookmarkStart w:id="293" w:name="_Toc408274433"/>
      <w:bookmarkStart w:id="294" w:name="_Toc19812"/>
      <w:bookmarkStart w:id="295" w:name="_Toc387131425"/>
      <w:bookmarkStart w:id="296" w:name="_Toc387131756"/>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bookmarkStart w:id="297" w:name="_Toc18827"/>
      <w:r>
        <w:rPr>
          <w:rFonts w:hint="eastAsia"/>
          <w:b/>
          <w:color w:val="000000"/>
          <w:sz w:val="26"/>
          <w:szCs w:val="26"/>
          <w:lang w:val="zh-CN"/>
        </w:rPr>
        <w:t>4.4应急预案体系转换与衔接条件</w:t>
      </w:r>
      <w:bookmarkEnd w:id="297"/>
    </w:p>
    <w:p>
      <w:pPr>
        <w:rPr>
          <w:b/>
          <w:color w:val="000000"/>
          <w:sz w:val="28"/>
          <w:szCs w:val="28"/>
        </w:rPr>
      </w:pPr>
      <w:r>
        <w:rPr>
          <w:b/>
          <w:color w:val="000000"/>
          <w:sz w:val="28"/>
          <w:szCs w:val="28"/>
        </w:rPr>
        <w:pict>
          <v:shape id="_x0000_s1142" o:spid="_x0000_s1142" o:spt="202" type="#_x0000_t202" style="position:absolute;left:0pt;margin-left:81pt;margin-top:15.6pt;height:23.4pt;width:108pt;z-index:251660288;mso-width-relative:page;mso-height-relative:page;" coordsize="21600,21600">
            <v:path/>
            <v:fill focussize="0,0"/>
            <v:stroke joinstyle="miter"/>
            <v:imagedata o:title=""/>
            <o:lock v:ext="edit"/>
            <v:textbox>
              <w:txbxContent>
                <w:p>
                  <w:pPr>
                    <w:rPr>
                      <w:sz w:val="22"/>
                    </w:rPr>
                  </w:pPr>
                  <w:r>
                    <w:rPr>
                      <w:rFonts w:hint="eastAsia"/>
                      <w:sz w:val="22"/>
                    </w:rPr>
                    <w:t>现场环境事件发生</w:t>
                  </w:r>
                </w:p>
              </w:txbxContent>
            </v:textbox>
          </v:shape>
        </w:pict>
      </w:r>
    </w:p>
    <w:p>
      <w:pPr>
        <w:rPr>
          <w:b/>
          <w:color w:val="000000"/>
          <w:sz w:val="28"/>
          <w:szCs w:val="28"/>
        </w:rPr>
      </w:pPr>
      <w:r>
        <w:rPr>
          <w:b/>
          <w:color w:val="000000"/>
          <w:sz w:val="28"/>
          <w:szCs w:val="28"/>
        </w:rPr>
        <w:pict>
          <v:shape id="_x0000_s1143" o:spid="_x0000_s1143" o:spt="32" type="#_x0000_t32" style="position:absolute;left:0pt;margin-left:132pt;margin-top:12.9pt;height:29.25pt;width:0.75pt;z-index:25166131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44" o:spid="_x0000_s1144" o:spt="202" type="#_x0000_t202" style="position:absolute;left:0pt;margin-left:291pt;margin-top:29.25pt;height:47.25pt;width:44.25pt;z-index:251662336;mso-width-relative:page;mso-height-relative:page;" filled="f" stroked="f" coordsize="21600,21600">
            <v:path/>
            <v:fill on="f" focussize="0,0"/>
            <v:stroke on="f" joinstyle="miter"/>
            <v:imagedata o:title=""/>
            <o:lock v:ext="edit"/>
            <v:textbox>
              <w:txbxContent>
                <w:p>
                  <w:pPr>
                    <w:rPr>
                      <w:szCs w:val="21"/>
                    </w:rPr>
                  </w:pPr>
                  <w:r>
                    <w:rPr>
                      <w:rFonts w:hint="eastAsia"/>
                      <w:szCs w:val="21"/>
                    </w:rPr>
                    <w:t>事件平 息</w:t>
                  </w:r>
                </w:p>
              </w:txbxContent>
            </v:textbox>
          </v:shape>
        </w:pict>
      </w:r>
      <w:r>
        <w:rPr>
          <w:b/>
          <w:color w:val="000000"/>
          <w:sz w:val="28"/>
          <w:szCs w:val="28"/>
        </w:rPr>
        <w:pict>
          <v:shape id="_x0000_s1145" o:spid="_x0000_s1145" o:spt="202" type="#_x0000_t202" style="position:absolute;left:0pt;margin-left:244.5pt;margin-top:39pt;height:73.95pt;width:45.75pt;z-index:251663360;mso-width-relative:page;mso-height-relative:page;" coordsize="21600,21600">
            <v:path/>
            <v:fill focussize="0,0"/>
            <v:stroke joinstyle="miter"/>
            <v:imagedata o:title=""/>
            <o:lock v:ext="edit"/>
            <v:textbox>
              <w:txbxContent>
                <w:p>
                  <w:pPr>
                    <w:rPr>
                      <w:sz w:val="22"/>
                    </w:rPr>
                  </w:pPr>
                  <w:r>
                    <w:rPr>
                      <w:rFonts w:hint="eastAsia"/>
                      <w:sz w:val="22"/>
                    </w:rPr>
                    <w:t>发布单位现场预 警</w:t>
                  </w:r>
                </w:p>
              </w:txbxContent>
            </v:textbox>
          </v:shape>
        </w:pict>
      </w:r>
      <w:r>
        <w:rPr>
          <w:b/>
          <w:color w:val="000000"/>
          <w:sz w:val="28"/>
          <w:szCs w:val="28"/>
        </w:rPr>
        <w:pict>
          <v:shape id="_x0000_s1146" o:spid="_x0000_s1146" o:spt="32" type="#_x0000_t32" style="position:absolute;left:0pt;margin-left:181.5pt;margin-top:69pt;height:0pt;width:63pt;z-index:251664384;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47" o:spid="_x0000_s1147" o:spt="202" type="#_x0000_t202" style="position:absolute;left:0pt;margin-left:81pt;margin-top:9.75pt;height:21.45pt;width:117pt;z-index:251665408;mso-width-relative:page;mso-height-relative:page;" coordsize="21600,21600">
            <v:path/>
            <v:fill focussize="0,0"/>
            <v:stroke joinstyle="miter"/>
            <v:imagedata o:title=""/>
            <o:lock v:ext="edit"/>
            <v:textbox>
              <w:txbxContent>
                <w:p>
                  <w:pPr>
                    <w:rPr>
                      <w:sz w:val="22"/>
                    </w:rPr>
                  </w:pPr>
                  <w:r>
                    <w:rPr>
                      <w:rFonts w:hint="eastAsia"/>
                      <w:sz w:val="22"/>
                    </w:rPr>
                    <w:t>现场应急小组组长</w:t>
                  </w:r>
                </w:p>
              </w:txbxContent>
            </v:textbox>
          </v:shape>
        </w:pict>
      </w:r>
    </w:p>
    <w:p>
      <w:pPr>
        <w:rPr>
          <w:b/>
          <w:color w:val="000000"/>
          <w:sz w:val="28"/>
          <w:szCs w:val="28"/>
        </w:rPr>
      </w:pPr>
      <w:r>
        <w:rPr>
          <w:b/>
          <w:color w:val="000000"/>
          <w:sz w:val="28"/>
          <w:szCs w:val="28"/>
        </w:rPr>
        <w:pict>
          <v:shape id="_x0000_s1148" o:spid="_x0000_s1148" o:spt="202" type="#_x0000_t202" style="position:absolute;left:0pt;margin-left:339pt;margin-top:22.05pt;height:71.55pt;width:30pt;z-index:251666432;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1149" o:spid="_x0000_s1149" o:spt="202" type="#_x0000_t202" style="position:absolute;left:0pt;margin-left:193.45pt;margin-top:17.55pt;height:30pt;width:39.75pt;z-index:251667456;mso-width-relative:page;mso-height-relative:page;" filled="f" stroked="f" coordsize="21600,21600">
            <v:path/>
            <v:fill on="f" focussize="0,0"/>
            <v:stroke on="f" joinstyle="miter"/>
            <v:imagedata o:title=""/>
            <o:lock v:ext="edit"/>
            <v:textbox>
              <w:txbxContent>
                <w:p>
                  <w:r>
                    <w:rPr>
                      <w:rFonts w:hint="eastAsia"/>
                    </w:rPr>
                    <w:t>IV级</w:t>
                  </w:r>
                </w:p>
              </w:txbxContent>
            </v:textbox>
          </v:shape>
        </w:pict>
      </w:r>
      <w:r>
        <w:rPr>
          <w:b/>
          <w:color w:val="000000"/>
          <w:sz w:val="28"/>
          <w:szCs w:val="28"/>
        </w:rPr>
        <w:pict>
          <v:shape id="_x0000_s1150" o:spid="_x0000_s1150" o:spt="202" type="#_x0000_t202" style="position:absolute;left:0pt;margin-left:90pt;margin-top:23.4pt;height:23.4pt;width:90pt;z-index:251668480;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r>
        <w:rPr>
          <w:b/>
          <w:color w:val="000000"/>
          <w:sz w:val="28"/>
          <w:szCs w:val="28"/>
        </w:rPr>
        <w:pict>
          <v:shape id="_x0000_s1151" o:spid="_x0000_s1151" o:spt="32" type="#_x0000_t32" style="position:absolute;left:0pt;margin-left:132.4pt;margin-top:0pt;height:23.25pt;width:0pt;z-index:251669504;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52" o:spid="_x0000_s1152" o:spt="32" type="#_x0000_t32" style="position:absolute;left:0pt;margin-left:290.5pt;margin-top:7.15pt;height:0pt;width:42pt;z-index:25167052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53" o:spid="_x0000_s1153" o:spt="32" type="#_x0000_t32" style="position:absolute;left:0pt;margin-left:132.05pt;margin-top:15.6pt;height:23.25pt;width:0pt;z-index:25167155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54" o:spid="_x0000_s1154" o:spt="202" type="#_x0000_t202" style="position:absolute;left:0pt;margin-left:266.4pt;margin-top:22.9pt;height:38.25pt;width:50.25pt;z-index:251672576;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1155" o:spid="_x0000_s1155" o:spt="202" type="#_x0000_t202" style="position:absolute;left:0pt;margin-left:217.75pt;margin-top:22.25pt;height:38.25pt;width:50.25pt;z-index:251673600;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1156" o:spid="_x0000_s1156" o:spt="202" type="#_x0000_t202" style="position:absolute;left:0pt;margin-left:242.9pt;margin-top:167.35pt;height:72pt;width:46.5pt;z-index:251674624;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1157" o:spid="_x0000_s1157" o:spt="32" type="#_x0000_t32" style="position:absolute;left:0pt;flip:y;margin-left:265.4pt;margin-top:18.85pt;height:38.25pt;width:0pt;z-index:25167564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58" o:spid="_x0000_s1158" o:spt="202" type="#_x0000_t202" style="position:absolute;left:0pt;margin-left:241.4pt;margin-top:57.1pt;height:72pt;width:46.5pt;z-index:251676672;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1159" o:spid="_x0000_s1159" o:spt="32" type="#_x0000_t32" style="position:absolute;left:0pt;flip:y;margin-left:265.4pt;margin-top:129.1pt;height:38.25pt;width:0pt;z-index:25167769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60" o:spid="_x0000_s1160" o:spt="202" type="#_x0000_t202" style="position:absolute;left:0pt;margin-left:94.55pt;margin-top:6.3pt;height:26.85pt;width:73.5pt;z-index:251678720;mso-width-relative:page;mso-height-relative:page;" coordsize="21600,21600">
            <v:path/>
            <v:fill focussize="0,0"/>
            <v:stroke joinstyle="miter"/>
            <v:imagedata o:title=""/>
            <o:lock v:ext="edit"/>
            <v:textbox>
              <w:txbxContent>
                <w:p>
                  <w:pPr>
                    <w:rPr>
                      <w:sz w:val="22"/>
                    </w:rPr>
                  </w:pPr>
                  <w:r>
                    <w:rPr>
                      <w:rFonts w:hint="eastAsia"/>
                      <w:sz w:val="22"/>
                    </w:rPr>
                    <w:t>安全环保组</w:t>
                  </w:r>
                </w:p>
              </w:txbxContent>
            </v:textbox>
          </v:shape>
        </w:pict>
      </w:r>
    </w:p>
    <w:p>
      <w:pPr>
        <w:rPr>
          <w:b/>
          <w:color w:val="000000"/>
          <w:sz w:val="28"/>
          <w:szCs w:val="28"/>
        </w:rPr>
      </w:pPr>
      <w:r>
        <w:rPr>
          <w:b/>
          <w:color w:val="000000"/>
          <w:sz w:val="28"/>
          <w:szCs w:val="28"/>
        </w:rPr>
        <w:pict>
          <v:shape id="_x0000_s1161" o:spid="_x0000_s1161" o:spt="202" type="#_x0000_t202" style="position:absolute;left:0pt;margin-left:189pt;margin-top:21.45pt;height:30pt;width:39.75pt;z-index:251679744;mso-width-relative:page;mso-height-relative:page;" filled="f" stroked="f" coordsize="21600,21600">
            <v:path/>
            <v:fill on="f" focussize="0,0"/>
            <v:stroke on="f" joinstyle="miter"/>
            <v:imagedata o:title=""/>
            <o:lock v:ext="edit"/>
            <v:textbox>
              <w:txbxContent>
                <w:p>
                  <w:r>
                    <w:rPr>
                      <w:rFonts w:hint="eastAsia"/>
                    </w:rPr>
                    <w:t>III级</w:t>
                  </w:r>
                </w:p>
              </w:txbxContent>
            </v:textbox>
          </v:shape>
        </w:pict>
      </w:r>
      <w:r>
        <w:rPr>
          <w:b/>
          <w:color w:val="000000"/>
          <w:sz w:val="28"/>
          <w:szCs w:val="28"/>
        </w:rPr>
        <w:pict>
          <v:shape id="_x0000_s1162" o:spid="_x0000_s1162" o:spt="202" type="#_x0000_t202" style="position:absolute;left:0pt;margin-left:90.55pt;margin-top:24.45pt;height:26.25pt;width:82.5pt;z-index:251680768;mso-width-relative:page;mso-height-relative:page;" coordsize="21600,21600">
            <v:path/>
            <v:fill focussize="0,0"/>
            <v:stroke joinstyle="miter"/>
            <v:imagedata o:title=""/>
            <o:lock v:ext="edit"/>
            <v:textbox>
              <w:txbxContent>
                <w:p>
                  <w:pPr>
                    <w:rPr>
                      <w:sz w:val="22"/>
                    </w:rPr>
                  </w:pPr>
                  <w:r>
                    <w:rPr>
                      <w:rFonts w:hint="eastAsia"/>
                      <w:sz w:val="22"/>
                    </w:rPr>
                    <w:t>事件等级判读</w:t>
                  </w:r>
                </w:p>
              </w:txbxContent>
            </v:textbox>
          </v:shape>
        </w:pict>
      </w:r>
      <w:r>
        <w:rPr>
          <w:b/>
          <w:color w:val="000000"/>
          <w:sz w:val="28"/>
          <w:szCs w:val="28"/>
        </w:rPr>
        <w:pict>
          <v:shape id="_x0000_s1163" o:spid="_x0000_s1163" o:spt="32" type="#_x0000_t32" style="position:absolute;left:0pt;margin-left:131.95pt;margin-top:1.95pt;height:23.25pt;width:0pt;z-index:25168179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64" o:spid="_x0000_s1164" o:spt="32" type="#_x0000_t32" style="position:absolute;left:0pt;margin-left:180pt;margin-top:7.8pt;height:0pt;width:63pt;z-index:25168281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65" o:spid="_x0000_s1165" o:spt="32" type="#_x0000_t32" style="position:absolute;left:0pt;margin-left:132pt;margin-top:21.5pt;height:23.25pt;width:0pt;z-index:251683840;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66" o:spid="_x0000_s1166" o:spt="202" type="#_x0000_t202" style="position:absolute;left:0pt;margin-left:79.5pt;margin-top:13.55pt;height:24.15pt;width:100.5pt;z-index:251684864;mso-width-relative:page;mso-height-relative:page;" coordsize="21600,21600">
            <v:path/>
            <v:fill focussize="0,0"/>
            <v:stroke joinstyle="miter"/>
            <v:imagedata o:title=""/>
            <o:lock v:ext="edit"/>
            <v:textbox>
              <w:txbxContent>
                <w:p>
                  <w:pPr>
                    <w:rPr>
                      <w:sz w:val="22"/>
                    </w:rPr>
                  </w:pPr>
                  <w:r>
                    <w:rPr>
                      <w:rFonts w:hint="eastAsia"/>
                      <w:sz w:val="22"/>
                    </w:rPr>
                    <w:t>环境应急指挥部</w:t>
                  </w:r>
                </w:p>
              </w:txbxContent>
            </v:textbox>
          </v:shape>
        </w:pict>
      </w:r>
    </w:p>
    <w:p>
      <w:pPr>
        <w:rPr>
          <w:b/>
          <w:color w:val="000000"/>
          <w:sz w:val="28"/>
          <w:szCs w:val="28"/>
        </w:rPr>
      </w:pPr>
      <w:r>
        <w:rPr>
          <w:b/>
          <w:color w:val="000000"/>
          <w:sz w:val="28"/>
          <w:szCs w:val="28"/>
        </w:rPr>
        <w:pict>
          <v:shape id="_x0000_s1167" o:spid="_x0000_s1167" o:spt="202" type="#_x0000_t202" style="position:absolute;left:0pt;margin-left:189pt;margin-top:23.4pt;height:30pt;width:39.75pt;z-index:251685888;mso-width-relative:page;mso-height-relative:page;" filled="f" stroked="f" coordsize="21600,21600">
            <v:path/>
            <v:fill on="f" focussize="0,0"/>
            <v:stroke on="f" joinstyle="miter"/>
            <v:imagedata o:title=""/>
            <o:lock v:ext="edit"/>
            <v:textbox>
              <w:txbxContent>
                <w:p>
                  <w:r>
                    <w:rPr>
                      <w:rFonts w:hint="eastAsia"/>
                    </w:rPr>
                    <w:t>II级</w:t>
                  </w:r>
                </w:p>
              </w:txbxContent>
            </v:textbox>
          </v:shape>
        </w:pict>
      </w:r>
      <w:r>
        <w:rPr>
          <w:b/>
          <w:color w:val="000000"/>
          <w:sz w:val="28"/>
          <w:szCs w:val="28"/>
        </w:rPr>
        <w:pict>
          <v:shape id="_x0000_s1168" o:spid="_x0000_s1168" o:spt="202" type="#_x0000_t202" style="position:absolute;left:0pt;margin-left:269.65pt;margin-top:4.15pt;height:42.65pt;width:36.35pt;z-index:251686912;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1169" o:spid="_x0000_s1169" o:spt="202" type="#_x0000_t202" style="position:absolute;left:0pt;margin-left:217.75pt;margin-top:3.5pt;height:38.25pt;width:50.25pt;z-index:251687936;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1170" o:spid="_x0000_s1170" o:spt="32" type="#_x0000_t32" style="position:absolute;left:0pt;margin-left:131.3pt;margin-top:7.8pt;height:23.25pt;width:0pt;z-index:251688960;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71" o:spid="_x0000_s1171" o:spt="32" type="#_x0000_t32" style="position:absolute;left:0pt;margin-left:180pt;margin-top:15.6pt;height:0pt;width:63pt;z-index:251689984;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72" o:spid="_x0000_s1172" o:spt="32" type="#_x0000_t32" style="position:absolute;left:0pt;margin-left:130.65pt;margin-top:22.1pt;height:23.25pt;width:0pt;z-index:25169100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73" o:spid="_x0000_s1173" o:spt="202" type="#_x0000_t202" style="position:absolute;left:0pt;margin-left:89.25pt;margin-top:-0.15pt;height:23.55pt;width:82.5pt;z-index:251692032;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r>
        <w:rPr>
          <w:b/>
          <w:color w:val="000000"/>
          <w:sz w:val="28"/>
          <w:szCs w:val="28"/>
        </w:rPr>
        <w:pict>
          <v:shape id="_x0000_s1174" o:spid="_x0000_s1174" o:spt="202" type="#_x0000_t202" style="position:absolute;left:0pt;margin-left:100.2pt;margin-top:13.5pt;height:22.95pt;width:64.5pt;z-index:251693056;mso-width-relative:page;mso-height-relative:page;" coordsize="21600,21600">
            <v:path/>
            <v:fill focussize="0,0"/>
            <v:stroke joinstyle="miter"/>
            <v:imagedata o:title=""/>
            <o:lock v:ext="edit"/>
            <v:textbox>
              <w:txbxContent>
                <w:p>
                  <w:pPr>
                    <w:rPr>
                      <w:sz w:val="22"/>
                    </w:rPr>
                  </w:pPr>
                  <w:r>
                    <w:rPr>
                      <w:rFonts w:hint="eastAsia"/>
                      <w:sz w:val="22"/>
                    </w:rPr>
                    <w:t>政府部门</w:t>
                  </w:r>
                </w:p>
              </w:txbxContent>
            </v:textbox>
          </v:shape>
        </w:pict>
      </w:r>
    </w:p>
    <w:p>
      <w:pPr>
        <w:rPr>
          <w:b/>
          <w:color w:val="000000"/>
          <w:sz w:val="28"/>
          <w:szCs w:val="28"/>
        </w:rPr>
      </w:pPr>
      <w:r>
        <w:rPr>
          <w:b/>
          <w:color w:val="000000"/>
          <w:sz w:val="28"/>
          <w:szCs w:val="28"/>
        </w:rPr>
        <w:pict>
          <v:shape id="_x0000_s1175" o:spid="_x0000_s1175" o:spt="202" type="#_x0000_t202" style="position:absolute;left:0pt;margin-left:189pt;margin-top:23.4pt;height:23.25pt;width:33.75pt;z-index:251694080;mso-width-relative:page;mso-height-relative:page;" filled="f" stroked="f" coordsize="21600,21600">
            <v:path/>
            <v:fill on="f" focussize="0,0"/>
            <v:stroke on="f" joinstyle="miter"/>
            <v:imagedata o:title=""/>
            <o:lock v:ext="edit"/>
            <v:textbox>
              <w:txbxContent>
                <w:p>
                  <w:r>
                    <w:t>I级</w:t>
                  </w:r>
                </w:p>
              </w:txbxContent>
            </v:textbox>
          </v:shape>
        </w:pict>
      </w:r>
      <w:r>
        <w:rPr>
          <w:b/>
          <w:color w:val="000000"/>
          <w:sz w:val="28"/>
          <w:szCs w:val="28"/>
        </w:rPr>
        <w:pict>
          <v:shape id="_x0000_s1176" o:spid="_x0000_s1176" o:spt="202" type="#_x0000_t202" style="position:absolute;left:0pt;margin-left:243pt;margin-top:23.4pt;height:151.5pt;width:46.5pt;z-index:251695104;mso-width-relative:page;mso-height-relative:page;" coordsize="21600,21600">
            <v:path/>
            <v:fill focussize="0,0"/>
            <v:stroke joinstyle="miter"/>
            <v:imagedata o:title=""/>
            <o:lock v:ext="edit"/>
            <v:textbox>
              <w:txbxContent>
                <w:p>
                  <w:pPr>
                    <w:rPr>
                      <w:sz w:val="22"/>
                    </w:rPr>
                  </w:pPr>
                  <w:r>
                    <w:rPr>
                      <w:rFonts w:hint="eastAsia"/>
                      <w:sz w:val="22"/>
                    </w:rPr>
                    <w:t>根据情况针对敏感区域发布响应级别预 警</w:t>
                  </w:r>
                </w:p>
              </w:txbxContent>
            </v:textbox>
          </v:shape>
        </w:pict>
      </w:r>
      <w:r>
        <w:rPr>
          <w:b/>
          <w:color w:val="000000"/>
          <w:sz w:val="28"/>
          <w:szCs w:val="28"/>
        </w:rPr>
        <w:pict>
          <v:shape id="_x0000_s1177" o:spid="_x0000_s1177" o:spt="32" type="#_x0000_t32" style="position:absolute;left:0pt;margin-left:131.3pt;margin-top:6.5pt;height:23.25pt;width:0pt;z-index:251696128;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78" o:spid="_x0000_s1178" o:spt="202" type="#_x0000_t202" style="position:absolute;left:0pt;margin-left:352.3pt;margin-top:23.4pt;height:78pt;width:25.7pt;z-index:251697152;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1179" o:spid="_x0000_s1179" o:spt="32" type="#_x0000_t32" style="position:absolute;left:0pt;margin-left:291.7pt;margin-top:56.85pt;height:0pt;width:61.5pt;z-index:25169817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80" o:spid="_x0000_s1180" o:spt="202" type="#_x0000_t202" style="position:absolute;left:0pt;margin-left:298.45pt;margin-top:9.6pt;height:47.25pt;width:39.75pt;z-index:251699200;mso-width-relative:page;mso-height-relative:page;" filled="f" stroked="f" coordsize="21600,21600">
            <v:path/>
            <v:fill on="f" focussize="0,0"/>
            <v:stroke on="f" joinstyle="miter"/>
            <v:imagedata o:title=""/>
            <o:lock v:ext="edit"/>
            <v:textbox>
              <w:txbxContent>
                <w:p>
                  <w:r>
                    <w:rPr>
                      <w:rFonts w:hint="eastAsia"/>
                    </w:rPr>
                    <w:t>事件平息</w:t>
                  </w:r>
                </w:p>
              </w:txbxContent>
            </v:textbox>
          </v:shape>
        </w:pict>
      </w:r>
      <w:r>
        <w:rPr>
          <w:b/>
          <w:color w:val="000000"/>
          <w:sz w:val="28"/>
          <w:szCs w:val="28"/>
        </w:rPr>
        <w:pict>
          <v:shape id="_x0000_s1181" o:spid="_x0000_s1181" o:spt="32" type="#_x0000_t32" style="position:absolute;left:0pt;margin-left:172.3pt;margin-top:13.65pt;height:0pt;width:63pt;z-index:251700224;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82" o:spid="_x0000_s1182" o:spt="202" type="#_x0000_t202" style="position:absolute;left:0pt;margin-left:89.9pt;margin-top:-0.25pt;height:22.35pt;width:82.5pt;z-index:251701248;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60" w:lineRule="exact"/>
        <w:jc w:val="center"/>
        <w:textAlignment w:val="center"/>
        <w:outlineLvl w:val="0"/>
        <w:rPr>
          <w:rFonts w:hint="eastAsia" w:asciiTheme="minorEastAsia" w:hAnsiTheme="minorEastAsia" w:eastAsiaTheme="minorEastAsia"/>
          <w:b/>
          <w:color w:val="000000"/>
          <w:sz w:val="32"/>
        </w:rPr>
      </w:pPr>
    </w:p>
    <w:p>
      <w:pPr>
        <w:adjustRightInd w:val="0"/>
        <w:snapToGrid w:val="0"/>
        <w:spacing w:line="460" w:lineRule="exact"/>
        <w:jc w:val="center"/>
        <w:textAlignment w:val="center"/>
        <w:outlineLvl w:val="0"/>
        <w:rPr>
          <w:rFonts w:hint="eastAsia" w:asciiTheme="minorEastAsia" w:hAnsiTheme="minorEastAsia" w:eastAsiaTheme="minorEastAsia"/>
          <w:b/>
          <w:color w:val="000000"/>
          <w:sz w:val="32"/>
        </w:rPr>
      </w:pPr>
    </w:p>
    <w:p>
      <w:pPr>
        <w:adjustRightInd w:val="0"/>
        <w:snapToGrid w:val="0"/>
        <w:spacing w:line="460" w:lineRule="exact"/>
        <w:jc w:val="center"/>
        <w:textAlignment w:val="center"/>
        <w:outlineLvl w:val="0"/>
        <w:rPr>
          <w:rFonts w:hint="eastAsia" w:asciiTheme="minorEastAsia" w:hAnsiTheme="minorEastAsia" w:eastAsiaTheme="minorEastAsia"/>
          <w:b/>
          <w:color w:val="000000"/>
          <w:sz w:val="32"/>
        </w:rPr>
      </w:pPr>
    </w:p>
    <w:p>
      <w:pPr>
        <w:adjustRightInd w:val="0"/>
        <w:snapToGrid w:val="0"/>
        <w:spacing w:line="460" w:lineRule="exact"/>
        <w:jc w:val="center"/>
        <w:textAlignment w:val="center"/>
        <w:outlineLvl w:val="0"/>
        <w:rPr>
          <w:rFonts w:hint="eastAsia" w:asciiTheme="minorEastAsia" w:hAnsiTheme="minorEastAsia" w:eastAsiaTheme="minorEastAsia"/>
          <w:b/>
          <w:color w:val="000000"/>
          <w:sz w:val="32"/>
        </w:rPr>
      </w:pPr>
    </w:p>
    <w:p>
      <w:pPr>
        <w:adjustRightInd w:val="0"/>
        <w:snapToGrid w:val="0"/>
        <w:spacing w:line="460" w:lineRule="exact"/>
        <w:jc w:val="center"/>
        <w:textAlignment w:val="center"/>
        <w:outlineLvl w:val="0"/>
        <w:rPr>
          <w:rFonts w:asciiTheme="minorEastAsia" w:hAnsiTheme="minorEastAsia" w:eastAsiaTheme="minorEastAsia"/>
          <w:b/>
          <w:color w:val="000000"/>
          <w:sz w:val="32"/>
        </w:rPr>
      </w:pPr>
      <w:bookmarkStart w:id="298" w:name="_Toc2826"/>
      <w:r>
        <w:rPr>
          <w:rFonts w:asciiTheme="minorEastAsia" w:hAnsiTheme="minorEastAsia" w:eastAsiaTheme="minorEastAsia"/>
          <w:b/>
          <w:color w:val="000000"/>
          <w:sz w:val="32"/>
        </w:rPr>
        <w:t>5</w:t>
      </w:r>
      <w:r>
        <w:rPr>
          <w:rFonts w:hint="eastAsia" w:asciiTheme="minorEastAsia" w:hAnsiTheme="minorEastAsia" w:eastAsiaTheme="minorEastAsia"/>
          <w:b/>
          <w:color w:val="000000"/>
          <w:sz w:val="32"/>
        </w:rPr>
        <w:t>预警</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rFonts w:hint="eastAsia" w:asciiTheme="minorEastAsia" w:hAnsiTheme="minorEastAsia" w:eastAsiaTheme="minorEastAsia"/>
          <w:b/>
          <w:color w:val="000000"/>
          <w:sz w:val="32"/>
        </w:rPr>
        <w:t>及信息报告</w:t>
      </w:r>
      <w:bookmarkEnd w:id="292"/>
      <w:bookmarkEnd w:id="293"/>
      <w:bookmarkEnd w:id="294"/>
      <w:bookmarkEnd w:id="295"/>
      <w:bookmarkEnd w:id="296"/>
      <w:bookmarkEnd w:id="298"/>
    </w:p>
    <w:p>
      <w:pPr>
        <w:adjustRightInd w:val="0"/>
        <w:snapToGrid w:val="0"/>
        <w:spacing w:line="460" w:lineRule="exact"/>
        <w:outlineLvl w:val="1"/>
        <w:rPr>
          <w:rFonts w:hint="eastAsia"/>
          <w:b/>
          <w:color w:val="000000"/>
          <w:sz w:val="26"/>
          <w:szCs w:val="26"/>
          <w:lang w:val="zh-CN"/>
        </w:rPr>
      </w:pPr>
      <w:bookmarkStart w:id="299" w:name="_Toc22994"/>
      <w:bookmarkStart w:id="300" w:name="_Toc198007337"/>
      <w:bookmarkStart w:id="301" w:name="_Toc197251342"/>
      <w:bookmarkStart w:id="302" w:name="_Toc196018543"/>
      <w:bookmarkStart w:id="303" w:name="_Toc196018638"/>
      <w:bookmarkStart w:id="304" w:name="_Toc196018434"/>
      <w:bookmarkStart w:id="305" w:name="_Toc185670984"/>
      <w:bookmarkStart w:id="306" w:name="_Toc184809551"/>
      <w:bookmarkStart w:id="307" w:name="_Toc336326852"/>
      <w:bookmarkStart w:id="308" w:name="_Toc304964445"/>
      <w:bookmarkStart w:id="309" w:name="_Toc304963602"/>
      <w:bookmarkStart w:id="310" w:name="_Toc304962958"/>
      <w:bookmarkStart w:id="311" w:name="_Toc304833235"/>
      <w:bookmarkStart w:id="312" w:name="_Toc30959"/>
      <w:bookmarkStart w:id="313" w:name="_Toc387131501"/>
      <w:bookmarkStart w:id="314" w:name="_Toc336327130"/>
      <w:bookmarkStart w:id="315" w:name="_Toc387131427"/>
      <w:bookmarkStart w:id="316" w:name="_Toc184808764"/>
      <w:bookmarkStart w:id="317" w:name="_Toc183339500"/>
      <w:bookmarkStart w:id="318" w:name="_Toc179794546"/>
      <w:bookmarkStart w:id="319" w:name="_Toc183339224"/>
      <w:bookmarkStart w:id="320" w:name="_Toc262040278"/>
      <w:bookmarkStart w:id="321" w:name="_Toc262051118"/>
      <w:bookmarkStart w:id="322" w:name="_Toc262051539"/>
      <w:bookmarkStart w:id="323" w:name="_Toc262050868"/>
      <w:bookmarkStart w:id="324" w:name="_Toc415254541"/>
      <w:bookmarkStart w:id="325" w:name="_Toc387131758"/>
      <w:bookmarkStart w:id="326" w:name="_Toc229283973"/>
      <w:bookmarkStart w:id="327" w:name="_Toc198355322"/>
      <w:r>
        <w:rPr>
          <w:rFonts w:hint="eastAsia"/>
          <w:b/>
          <w:color w:val="000000"/>
          <w:sz w:val="26"/>
          <w:szCs w:val="26"/>
          <w:lang w:val="zh-CN"/>
        </w:rPr>
        <w:t>5.1预防</w:t>
      </w:r>
      <w:r>
        <w:rPr>
          <w:rFonts w:hint="eastAsia"/>
          <w:b/>
          <w:color w:val="000000"/>
          <w:sz w:val="26"/>
          <w:szCs w:val="26"/>
          <w:lang w:val="zh-CN" w:eastAsia="zh-CN"/>
        </w:rPr>
        <w:t>措施</w:t>
      </w:r>
      <w:bookmarkEnd w:id="299"/>
    </w:p>
    <w:p>
      <w:pPr>
        <w:spacing w:line="460" w:lineRule="exact"/>
        <w:ind w:firstLine="480" w:firstLineChars="200"/>
        <w:rPr>
          <w:rFonts w:ascii="宋体"/>
          <w:color w:val="000000"/>
          <w:sz w:val="24"/>
          <w:szCs w:val="24"/>
        </w:rPr>
      </w:pPr>
      <w:r>
        <w:rPr>
          <w:rFonts w:hint="eastAsia" w:ascii="宋体" w:hAnsi="宋体"/>
          <w:sz w:val="24"/>
          <w:szCs w:val="24"/>
        </w:rPr>
        <w:t>根据风险识别，项目风险源主要有仓库氢氧化钠和生产区，企业采取的风险源监控及</w:t>
      </w:r>
      <w:r>
        <w:rPr>
          <w:rFonts w:hint="eastAsia" w:ascii="宋体" w:hAnsi="宋体"/>
          <w:color w:val="000000"/>
          <w:sz w:val="24"/>
          <w:szCs w:val="24"/>
        </w:rPr>
        <w:t>预防措施有：</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w:t>
      </w:r>
      <w:r>
        <w:rPr>
          <w:rFonts w:hint="eastAsia" w:ascii="宋体" w:hAnsi="宋体"/>
          <w:sz w:val="24"/>
          <w:szCs w:val="24"/>
        </w:rPr>
        <w:t>氢氧化钠仓库</w:t>
      </w:r>
      <w:r>
        <w:rPr>
          <w:rFonts w:hint="eastAsia" w:asciiTheme="minorEastAsia" w:hAnsiTheme="minorEastAsia" w:eastAsiaTheme="minorEastAsia"/>
          <w:color w:val="000000"/>
          <w:sz w:val="24"/>
          <w:szCs w:val="24"/>
        </w:rPr>
        <w:t>风险防控措施</w:t>
      </w:r>
    </w:p>
    <w:p>
      <w:pPr>
        <w:pStyle w:val="193"/>
        <w:spacing w:line="276" w:lineRule="auto"/>
        <w:ind w:firstLine="480" w:firstLineChars="200"/>
        <w:jc w:val="left"/>
        <w:rPr>
          <w:rFonts w:asciiTheme="minorEastAsia" w:hAnsiTheme="minorEastAsia" w:eastAsiaTheme="minorEastAsia"/>
        </w:rPr>
      </w:pPr>
      <w:r>
        <w:rPr>
          <w:rFonts w:hint="eastAsia" w:asciiTheme="minorEastAsia" w:hAnsiTheme="minorEastAsia" w:eastAsiaTheme="minorEastAsia"/>
          <w:color w:val="000000"/>
        </w:rPr>
        <w:t>（1）库房设有专人管理。定期检查；</w:t>
      </w:r>
    </w:p>
    <w:p>
      <w:pPr>
        <w:spacing w:line="276"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（2）设置</w:t>
      </w:r>
      <w:r>
        <w:rPr>
          <w:rFonts w:hint="eastAsia" w:ascii="宋体" w:hAnsi="宋体"/>
          <w:color w:val="000000"/>
          <w:sz w:val="24"/>
          <w:szCs w:val="24"/>
        </w:rPr>
        <w:t>有消防器材、消防系统</w:t>
      </w:r>
      <w:r>
        <w:rPr>
          <w:rFonts w:hint="eastAsia" w:asciiTheme="minorEastAsia" w:hAnsiTheme="minorEastAsia" w:eastAsiaTheme="minorEastAsia"/>
          <w:color w:val="000000"/>
          <w:sz w:val="24"/>
          <w:szCs w:val="24"/>
        </w:rPr>
        <w:t>；</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地面采用混泥土进行了防渗、防腐</w:t>
      </w:r>
      <w:r>
        <w:rPr>
          <w:rFonts w:hint="eastAsia" w:asciiTheme="minorEastAsia" w:hAnsiTheme="minorEastAsia" w:eastAsiaTheme="minorEastAsia"/>
          <w:color w:val="000000"/>
          <w:sz w:val="24"/>
          <w:szCs w:val="24"/>
          <w:lang w:eastAsia="zh-CN"/>
        </w:rPr>
        <w:t>、防潮</w:t>
      </w:r>
      <w:r>
        <w:rPr>
          <w:rFonts w:asciiTheme="minorEastAsia" w:hAnsiTheme="minorEastAsia" w:eastAsiaTheme="minorEastAsia"/>
          <w:color w:val="000000"/>
          <w:sz w:val="24"/>
          <w:szCs w:val="24"/>
        </w:rPr>
        <w:t>处理。</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设置喷淋措施、洗眼设施等应急装置。</w:t>
      </w:r>
    </w:p>
    <w:p>
      <w:pPr>
        <w:spacing w:line="46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2、生产区风险防控措施</w:t>
      </w:r>
    </w:p>
    <w:p>
      <w:pPr>
        <w:autoSpaceDE w:val="0"/>
        <w:autoSpaceDN w:val="0"/>
        <w:spacing w:line="460" w:lineRule="exact"/>
        <w:ind w:firstLine="420"/>
        <w:rPr>
          <w:rFonts w:ascii="仿宋_GB2312"/>
          <w:sz w:val="24"/>
          <w:szCs w:val="24"/>
        </w:rPr>
      </w:pPr>
      <w:r>
        <w:rPr>
          <w:rFonts w:hint="eastAsia" w:ascii="仿宋_GB2312" w:cs="仿宋_GB2312"/>
          <w:sz w:val="24"/>
          <w:szCs w:val="24"/>
          <w:lang w:val="zh-CN"/>
        </w:rPr>
        <w:t>一般来说污水量的增加为缓慢曲线式增加，遇到水量陡增的情况一般是有新接入官网或排水企业导致，处置方案为：</w:t>
      </w:r>
    </w:p>
    <w:p>
      <w:pPr>
        <w:spacing w:line="460" w:lineRule="exact"/>
        <w:ind w:firstLine="480" w:firstLineChars="200"/>
        <w:rPr>
          <w:rFonts w:ascii="仿宋_GB2312"/>
          <w:sz w:val="24"/>
          <w:szCs w:val="24"/>
        </w:rPr>
      </w:pPr>
      <w:r>
        <w:rPr>
          <w:rFonts w:hint="eastAsia" w:asciiTheme="minorEastAsia" w:hAnsiTheme="minorEastAsia" w:eastAsiaTheme="minorEastAsia"/>
          <w:color w:val="000000"/>
          <w:sz w:val="24"/>
          <w:szCs w:val="24"/>
        </w:rPr>
        <w:t>（1）</w:t>
      </w:r>
      <w:r>
        <w:rPr>
          <w:rFonts w:hint="eastAsia" w:ascii="仿宋_GB2312" w:hAnsi="宋体" w:cs="宋体"/>
          <w:kern w:val="0"/>
          <w:sz w:val="24"/>
          <w:szCs w:val="24"/>
        </w:rPr>
        <w:t>抢险救灾组</w:t>
      </w:r>
      <w:r>
        <w:rPr>
          <w:rFonts w:hint="eastAsia" w:ascii="仿宋_GB2312"/>
          <w:sz w:val="24"/>
          <w:szCs w:val="24"/>
        </w:rPr>
        <w:t>在发现进厂污水量超标时，应及时发挥事故应急池的功能，可从提升泵房将多余废水导入调节池临时存储。</w:t>
      </w:r>
    </w:p>
    <w:p>
      <w:pPr>
        <w:autoSpaceDE w:val="0"/>
        <w:autoSpaceDN w:val="0"/>
        <w:spacing w:line="460" w:lineRule="exact"/>
        <w:ind w:firstLine="480" w:firstLineChars="200"/>
        <w:rPr>
          <w:rFonts w:ascii="仿宋_GB2312" w:cs="仿宋_GB2312"/>
          <w:sz w:val="24"/>
          <w:szCs w:val="24"/>
          <w:lang w:val="zh-CN"/>
        </w:rPr>
      </w:pPr>
      <w:r>
        <w:rPr>
          <w:rFonts w:hint="eastAsia" w:ascii="仿宋_GB2312"/>
          <w:sz w:val="24"/>
          <w:szCs w:val="24"/>
        </w:rPr>
        <w:t>（</w:t>
      </w:r>
      <w:r>
        <w:rPr>
          <w:rFonts w:ascii="仿宋_GB2312"/>
          <w:sz w:val="24"/>
          <w:szCs w:val="24"/>
        </w:rPr>
        <w:t>2</w:t>
      </w:r>
      <w:r>
        <w:rPr>
          <w:rFonts w:hint="eastAsia" w:ascii="仿宋_GB2312"/>
          <w:sz w:val="24"/>
          <w:szCs w:val="24"/>
        </w:rPr>
        <w:t>）调整工艺应对水量冲击，减少当日排泥量，并增加曝气量和投药量。必要时手动调节进水频率，避免一次进水量过多造成的波动</w:t>
      </w:r>
      <w:r>
        <w:rPr>
          <w:rFonts w:hint="eastAsia" w:ascii="仿宋_GB2312" w:cs="仿宋_GB2312"/>
          <w:sz w:val="24"/>
          <w:szCs w:val="24"/>
          <w:lang w:val="zh-CN"/>
        </w:rPr>
        <w:t>应急运行组在发现进厂污水量超标时，应及时发挥事故应急池的功能。</w:t>
      </w:r>
      <w:r>
        <w:rPr>
          <w:rFonts w:ascii="仿宋_GB2312" w:cs="仿宋_GB2312"/>
          <w:sz w:val="24"/>
          <w:szCs w:val="24"/>
          <w:lang w:val="zh-CN"/>
        </w:rPr>
        <w:t xml:space="preserve"> </w:t>
      </w:r>
    </w:p>
    <w:p>
      <w:pPr>
        <w:autoSpaceDE w:val="0"/>
        <w:autoSpaceDN w:val="0"/>
        <w:spacing w:line="460" w:lineRule="exact"/>
        <w:ind w:firstLine="480" w:firstLineChars="200"/>
        <w:rPr>
          <w:rFonts w:ascii="仿宋_GB2312" w:hAnsi="Calibri" w:cs="仿宋_GB2312"/>
          <w:sz w:val="24"/>
          <w:szCs w:val="24"/>
        </w:rPr>
      </w:pPr>
      <w:r>
        <w:rPr>
          <w:rFonts w:hint="eastAsia" w:ascii="仿宋_GB2312" w:hAnsi="Calibri" w:cs="仿宋_GB2312"/>
          <w:sz w:val="24"/>
          <w:szCs w:val="24"/>
        </w:rPr>
        <w:t>（</w:t>
      </w:r>
      <w:r>
        <w:rPr>
          <w:rFonts w:ascii="仿宋_GB2312" w:hAnsi="Calibri" w:cs="仿宋_GB2312"/>
          <w:sz w:val="24"/>
          <w:szCs w:val="24"/>
        </w:rPr>
        <w:t>3</w:t>
      </w:r>
      <w:r>
        <w:rPr>
          <w:rFonts w:hint="eastAsia" w:ascii="仿宋_GB2312" w:hAnsi="Calibri" w:cs="仿宋_GB2312"/>
          <w:sz w:val="24"/>
          <w:szCs w:val="24"/>
        </w:rPr>
        <w:t>）在工艺允许保证溶解氧的情况下适当缩短</w:t>
      </w:r>
      <w:r>
        <w:rPr>
          <w:rFonts w:ascii="仿宋_GB2312" w:hAnsi="Calibri" w:cs="仿宋_GB2312"/>
          <w:sz w:val="24"/>
          <w:szCs w:val="24"/>
        </w:rPr>
        <w:t>SBR</w:t>
      </w:r>
      <w:r>
        <w:rPr>
          <w:rFonts w:hint="eastAsia" w:ascii="仿宋_GB2312" w:hAnsi="Calibri" w:cs="仿宋_GB2312"/>
          <w:sz w:val="24"/>
          <w:szCs w:val="24"/>
        </w:rPr>
        <w:t>周期，提高当日</w:t>
      </w:r>
      <w:r>
        <w:rPr>
          <w:rFonts w:ascii="仿宋_GB2312" w:hAnsi="Calibri" w:cs="仿宋_GB2312"/>
          <w:sz w:val="24"/>
          <w:szCs w:val="24"/>
        </w:rPr>
        <w:t>SBR</w:t>
      </w:r>
      <w:r>
        <w:rPr>
          <w:rFonts w:hint="eastAsia" w:ascii="仿宋_GB2312" w:hAnsi="Calibri" w:cs="仿宋_GB2312"/>
          <w:sz w:val="24"/>
          <w:szCs w:val="24"/>
        </w:rPr>
        <w:t>运行周期数，水量峰值过去后及时处理导入应急池的废水。</w:t>
      </w:r>
    </w:p>
    <w:p>
      <w:pPr>
        <w:autoSpaceDE w:val="0"/>
        <w:autoSpaceDN w:val="0"/>
        <w:spacing w:line="460" w:lineRule="exact"/>
        <w:ind w:firstLine="480" w:firstLineChars="200"/>
        <w:rPr>
          <w:rFonts w:hint="eastAsia" w:ascii="仿宋_GB2312" w:hAnsi="Calibri" w:cs="仿宋_GB2312"/>
          <w:sz w:val="24"/>
          <w:szCs w:val="24"/>
        </w:rPr>
      </w:pPr>
      <w:r>
        <w:rPr>
          <w:rFonts w:hint="eastAsia" w:ascii="仿宋_GB2312" w:hAnsi="Calibri" w:cs="仿宋_GB2312"/>
          <w:sz w:val="24"/>
          <w:szCs w:val="24"/>
        </w:rPr>
        <w:t>（</w:t>
      </w:r>
      <w:r>
        <w:rPr>
          <w:rFonts w:hint="eastAsia" w:ascii="仿宋_GB2312" w:hAnsi="Calibri" w:cs="仿宋_GB2312"/>
          <w:sz w:val="24"/>
          <w:szCs w:val="24"/>
          <w:lang w:val="en-US" w:eastAsia="zh-CN"/>
        </w:rPr>
        <w:t>4</w:t>
      </w:r>
      <w:r>
        <w:rPr>
          <w:rFonts w:hint="eastAsia" w:ascii="仿宋_GB2312" w:hAnsi="Calibri" w:cs="仿宋_GB2312"/>
          <w:sz w:val="24"/>
          <w:szCs w:val="24"/>
        </w:rPr>
        <w:t>）厂长应同时通知抢险救灾组对园区污水管网进行排查，如是企业集中排污导致，立刻协调企业停止集中式排放。</w:t>
      </w:r>
    </w:p>
    <w:p>
      <w:pPr>
        <w:autoSpaceDE w:val="0"/>
        <w:autoSpaceDN w:val="0"/>
        <w:spacing w:line="460" w:lineRule="exact"/>
        <w:ind w:firstLine="480" w:firstLineChars="200"/>
        <w:rPr>
          <w:rFonts w:ascii="仿宋_GB2312" w:hAnsi="Calibri" w:cs="仿宋_GB2312"/>
          <w:sz w:val="24"/>
          <w:szCs w:val="24"/>
        </w:rPr>
      </w:pPr>
      <w:r>
        <w:rPr>
          <w:rFonts w:hint="eastAsia" w:ascii="仿宋_GB2312" w:hAnsi="Calibri" w:cs="仿宋_GB2312"/>
          <w:sz w:val="24"/>
          <w:szCs w:val="24"/>
        </w:rPr>
        <w:t>（</w:t>
      </w:r>
      <w:r>
        <w:rPr>
          <w:rFonts w:hint="eastAsia" w:ascii="仿宋_GB2312" w:hAnsi="Calibri" w:cs="仿宋_GB2312"/>
          <w:sz w:val="24"/>
          <w:szCs w:val="24"/>
          <w:lang w:val="en-US" w:eastAsia="zh-CN"/>
        </w:rPr>
        <w:t>5</w:t>
      </w:r>
      <w:r>
        <w:rPr>
          <w:rFonts w:hint="eastAsia" w:ascii="仿宋_GB2312" w:hAnsi="Calibri" w:cs="仿宋_GB2312"/>
          <w:sz w:val="24"/>
          <w:szCs w:val="24"/>
        </w:rPr>
        <w:t>）</w:t>
      </w:r>
      <w:r>
        <w:rPr>
          <w:rFonts w:hint="eastAsia" w:ascii="仿宋_GB2312" w:cs="仿宋_GB2312"/>
          <w:kern w:val="0"/>
          <w:sz w:val="24"/>
          <w:szCs w:val="24"/>
          <w:lang w:val="zh-CN"/>
        </w:rPr>
        <w:t>环境监测组</w:t>
      </w:r>
      <w:r>
        <w:rPr>
          <w:rFonts w:hint="eastAsia" w:ascii="仿宋_GB2312" w:hAnsi="Calibri" w:cs="仿宋_GB2312"/>
          <w:sz w:val="24"/>
          <w:szCs w:val="24"/>
        </w:rPr>
        <w:t>在进水量超标期间应加强对排水水质和工艺参数的化验检测直至恢复正常。</w:t>
      </w:r>
    </w:p>
    <w:p>
      <w:pPr>
        <w:pStyle w:val="193"/>
        <w:spacing w:line="460" w:lineRule="exact"/>
        <w:ind w:firstLine="480" w:firstLineChars="200"/>
        <w:jc w:val="left"/>
        <w:rPr>
          <w:rFonts w:hint="eastAsia" w:ascii="仿宋_GB2312" w:hAnsi="Calibri" w:cs="仿宋_GB2312"/>
          <w:szCs w:val="24"/>
        </w:rPr>
      </w:pPr>
      <w:r>
        <w:rPr>
          <w:rFonts w:hint="eastAsia" w:ascii="仿宋_GB2312" w:hAnsi="Calibri" w:cs="仿宋_GB2312"/>
          <w:sz w:val="24"/>
          <w:szCs w:val="24"/>
        </w:rPr>
        <w:t>（</w:t>
      </w:r>
      <w:r>
        <w:rPr>
          <w:rFonts w:hint="eastAsia" w:ascii="仿宋_GB2312" w:hAnsi="Calibri" w:cs="仿宋_GB2312"/>
          <w:sz w:val="24"/>
          <w:szCs w:val="24"/>
          <w:lang w:val="en-US" w:eastAsia="zh-CN"/>
        </w:rPr>
        <w:t>6</w:t>
      </w:r>
      <w:r>
        <w:rPr>
          <w:rFonts w:hint="eastAsia" w:ascii="仿宋_GB2312" w:hAnsi="Calibri" w:cs="仿宋_GB2312"/>
          <w:sz w:val="24"/>
          <w:szCs w:val="24"/>
        </w:rPr>
        <w:t>）</w:t>
      </w:r>
      <w:r>
        <w:rPr>
          <w:rFonts w:hint="eastAsia" w:ascii="仿宋_GB2312" w:hAnsi="Calibri" w:cs="仿宋_GB2312"/>
          <w:szCs w:val="24"/>
        </w:rPr>
        <w:t>做好详细的运行记录，必要时向本地环保部门报告。</w:t>
      </w:r>
    </w:p>
    <w:p>
      <w:pPr>
        <w:pStyle w:val="193"/>
        <w:spacing w:line="460" w:lineRule="exact"/>
        <w:ind w:firstLine="480" w:firstLineChars="200"/>
        <w:jc w:val="left"/>
        <w:rPr>
          <w:rFonts w:hint="eastAsia" w:asciiTheme="minorEastAsia" w:hAnsiTheme="minorEastAsia" w:eastAsiaTheme="minorEastAsia"/>
          <w:color w:val="000000"/>
          <w:szCs w:val="24"/>
        </w:rPr>
      </w:pPr>
      <w:r>
        <w:rPr>
          <w:rFonts w:hint="eastAsia" w:asciiTheme="minorEastAsia" w:hAnsiTheme="minorEastAsia" w:eastAsiaTheme="minorEastAsia"/>
          <w:color w:val="000000"/>
          <w:szCs w:val="24"/>
        </w:rPr>
        <w:t>（7）</w:t>
      </w:r>
      <w:r>
        <w:rPr>
          <w:rFonts w:asciiTheme="minorEastAsia" w:hAnsiTheme="minorEastAsia" w:eastAsiaTheme="minorEastAsia"/>
          <w:color w:val="000000"/>
          <w:szCs w:val="24"/>
        </w:rPr>
        <w:t>设置出水、进水水质在线监测装置，定期监测出水水质，防止污水未达标排放。</w:t>
      </w:r>
    </w:p>
    <w:p>
      <w:pPr>
        <w:pStyle w:val="193"/>
        <w:spacing w:line="460" w:lineRule="exact"/>
        <w:ind w:firstLine="480" w:firstLineChars="200"/>
        <w:jc w:val="left"/>
        <w:rPr>
          <w:rFonts w:asciiTheme="minorEastAsia" w:hAnsiTheme="minorEastAsia" w:eastAsiaTheme="minorEastAsia"/>
          <w:szCs w:val="24"/>
        </w:rPr>
      </w:pPr>
      <w:r>
        <w:rPr>
          <w:rFonts w:hint="eastAsia" w:asciiTheme="minorEastAsia" w:hAnsiTheme="minorEastAsia" w:eastAsiaTheme="minorEastAsia"/>
          <w:color w:val="000000"/>
          <w:szCs w:val="24"/>
        </w:rPr>
        <w:t>（8）</w:t>
      </w:r>
      <w:r>
        <w:rPr>
          <w:rFonts w:asciiTheme="minorEastAsia" w:hAnsiTheme="minorEastAsia" w:eastAsiaTheme="minorEastAsia"/>
          <w:color w:val="000000"/>
          <w:szCs w:val="24"/>
        </w:rPr>
        <w:t>定期对污水治理设施设备进行检查，维护保养，减少设备出现故障概率。</w:t>
      </w:r>
    </w:p>
    <w:p>
      <w:pPr>
        <w:adjustRightInd w:val="0"/>
        <w:snapToGrid w:val="0"/>
        <w:spacing w:line="460" w:lineRule="exact"/>
        <w:outlineLvl w:val="1"/>
        <w:rPr>
          <w:rFonts w:hint="eastAsia"/>
          <w:b/>
          <w:color w:val="000000"/>
          <w:sz w:val="26"/>
          <w:szCs w:val="26"/>
          <w:lang w:val="zh-CN"/>
        </w:rPr>
      </w:pPr>
      <w:bookmarkStart w:id="328" w:name="_Toc4636"/>
      <w:r>
        <w:rPr>
          <w:rFonts w:hint="eastAsia"/>
          <w:b/>
          <w:color w:val="000000"/>
          <w:sz w:val="26"/>
          <w:szCs w:val="26"/>
          <w:lang w:val="zh-CN"/>
        </w:rPr>
        <w:t>5.2预警</w:t>
      </w:r>
      <w:r>
        <w:rPr>
          <w:rFonts w:hint="eastAsia"/>
          <w:b/>
          <w:color w:val="000000"/>
          <w:sz w:val="26"/>
          <w:szCs w:val="26"/>
          <w:lang w:val="zh-CN" w:eastAsia="zh-CN"/>
        </w:rPr>
        <w:t>措施</w:t>
      </w:r>
      <w:bookmarkEnd w:id="328"/>
    </w:p>
    <w:p>
      <w:pPr>
        <w:spacing w:line="360" w:lineRule="auto"/>
        <w:rPr>
          <w:rFonts w:asciiTheme="minorEastAsia" w:hAnsiTheme="minorEastAsia" w:eastAsiaTheme="minorEastAsia"/>
          <w:sz w:val="24"/>
          <w:szCs w:val="24"/>
        </w:rPr>
      </w:pPr>
      <w:r>
        <w:rPr>
          <w:rFonts w:hint="eastAsia" w:asciiTheme="minorEastAsia" w:hAnsiTheme="minorEastAsia" w:eastAsiaTheme="minorEastAsia"/>
          <w:color w:val="000000"/>
          <w:sz w:val="24"/>
          <w:szCs w:val="24"/>
        </w:rPr>
        <w:t>（1）在污水进水口及排放口安装有COD在线分析仪/氨氮在线分析仪/流量计，进水口平时每2小时监测一次，出水口每1小时监测一次。同时辅以手动监测，可随时了解进、出水水质状况；此外，设备具有自动报警系统，一旦监测值超过设定限值，设备将自动报警。</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）进水口和排放口都安装有超声波明渠流量计，可随时监测进、出水的流量大小，再结合进、出水的水质状况，对处理药剂配比进行调整。</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）进水口前端设有溢洪口，当暴雨水量超过处理能力时，多余的部分，将从溢洪口直接排入长江，以保证污水处理厂的正常运行。</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）定期采取进、出水口水样，对各项水质指标进行检测；同时有值班人员不定期巡视进出水质状况，通常每</w:t>
      </w:r>
      <w:r>
        <w:rPr>
          <w:rFonts w:asciiTheme="minorEastAsia" w:hAnsiTheme="minorEastAsia" w:eastAsiaTheme="minorEastAsia"/>
          <w:sz w:val="24"/>
          <w:szCs w:val="24"/>
        </w:rPr>
        <w:t>2</w:t>
      </w:r>
      <w:r>
        <w:rPr>
          <w:rFonts w:hint="eastAsia" w:asciiTheme="minorEastAsia" w:hAnsiTheme="minorEastAsia" w:eastAsiaTheme="minorEastAsia"/>
          <w:sz w:val="24"/>
          <w:szCs w:val="24"/>
        </w:rPr>
        <w:t>小时至少巡视一次，以应对水质浓度的骤变。</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机修人员做好设备维护保养工作。</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水量冲击预警</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巡检组负责对天气情况进行72小时预报。</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巡检时发现提升泵井液位明显增加，立即上报</w:t>
      </w:r>
      <w:r>
        <w:rPr>
          <w:rFonts w:hint="eastAsia" w:asciiTheme="minorEastAsia" w:hAnsiTheme="minorEastAsia" w:eastAsiaTheme="minorEastAsia"/>
          <w:sz w:val="24"/>
          <w:szCs w:val="24"/>
        </w:rPr>
        <w:t>厂长</w:t>
      </w:r>
      <w:r>
        <w:rPr>
          <w:rFonts w:asciiTheme="minorEastAsia" w:hAnsiTheme="minorEastAsia" w:eastAsiaTheme="minorEastAsia"/>
          <w:sz w:val="24"/>
          <w:szCs w:val="24"/>
        </w:rPr>
        <w:t>，并采取相应防范措施。</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发生暴雨时，中控室在</w:t>
      </w:r>
      <w:r>
        <w:rPr>
          <w:rFonts w:hint="eastAsia" w:asciiTheme="minorEastAsia" w:hAnsiTheme="minorEastAsia" w:eastAsiaTheme="minorEastAsia"/>
          <w:sz w:val="24"/>
          <w:szCs w:val="24"/>
        </w:rPr>
        <w:t>岗</w:t>
      </w:r>
      <w:r>
        <w:rPr>
          <w:rFonts w:asciiTheme="minorEastAsia" w:hAnsiTheme="minorEastAsia" w:eastAsiaTheme="minorEastAsia"/>
          <w:sz w:val="24"/>
          <w:szCs w:val="24"/>
        </w:rPr>
        <w:t>人员密切观察提升泵井液位。当中控室人员发现液位上升增快时，立即上报厂长。</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（7）</w:t>
      </w:r>
      <w:r>
        <w:rPr>
          <w:rFonts w:asciiTheme="minorEastAsia" w:hAnsiTheme="minorEastAsia" w:eastAsiaTheme="minorEastAsia"/>
          <w:sz w:val="24"/>
          <w:szCs w:val="24"/>
        </w:rPr>
        <w:t>水质冲击预警</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巡检过程中发现水质恶臭、浊度等异常，立即向厂长报告</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中控室发现进水水质在线监测数据超过进水标准，立即向厂长报告。</w:t>
      </w:r>
    </w:p>
    <w:p>
      <w:pPr>
        <w:spacing w:line="360" w:lineRule="auto"/>
        <w:ind w:firstLine="486" w:firstLineChars="200"/>
        <w:rPr>
          <w:rFonts w:asciiTheme="minorEastAsia" w:hAnsiTheme="minorEastAsia" w:eastAsiaTheme="minorEastAsia"/>
          <w:sz w:val="24"/>
          <w:szCs w:val="24"/>
        </w:rPr>
      </w:pPr>
      <w:r>
        <w:rPr>
          <w:rFonts w:asciiTheme="minorEastAsia" w:hAnsiTheme="minorEastAsia" w:eastAsiaTheme="minorEastAsia"/>
          <w:sz w:val="24"/>
          <w:szCs w:val="24"/>
        </w:rPr>
        <w:t>3）厂长接到进水水质冲击报告后，立即通知化验室负责人，对进水水质进行</w:t>
      </w:r>
      <w:r>
        <w:rPr>
          <w:rFonts w:hint="eastAsia" w:asciiTheme="minorEastAsia" w:hAnsiTheme="minorEastAsia" w:eastAsiaTheme="minorEastAsia"/>
          <w:sz w:val="24"/>
          <w:szCs w:val="24"/>
        </w:rPr>
        <w:t>人工</w:t>
      </w:r>
      <w:r>
        <w:rPr>
          <w:rFonts w:asciiTheme="minorEastAsia" w:hAnsiTheme="minorEastAsia" w:eastAsiaTheme="minorEastAsia"/>
          <w:sz w:val="24"/>
          <w:szCs w:val="24"/>
        </w:rPr>
        <w:t>采样监测</w:t>
      </w:r>
      <w:r>
        <w:rPr>
          <w:rFonts w:hint="eastAsia" w:asciiTheme="minorEastAsia" w:hAnsiTheme="minorEastAsia" w:eastAsiaTheme="minorEastAsia"/>
          <w:sz w:val="24"/>
          <w:szCs w:val="24"/>
        </w:rPr>
        <w:t>，</w:t>
      </w:r>
      <w:r>
        <w:rPr>
          <w:rFonts w:asciiTheme="minorEastAsia" w:hAnsiTheme="minorEastAsia" w:eastAsiaTheme="minorEastAsia"/>
          <w:sz w:val="24"/>
          <w:szCs w:val="24"/>
        </w:rPr>
        <w:t>监测结果报厂长</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）确认进水水质超标后，厂长（书面、口头）立即向公司</w:t>
      </w:r>
      <w:r>
        <w:rPr>
          <w:rFonts w:hint="eastAsia" w:asciiTheme="minorEastAsia" w:hAnsiTheme="minorEastAsia" w:eastAsiaTheme="minorEastAsia"/>
          <w:color w:val="000000"/>
          <w:sz w:val="24"/>
          <w:szCs w:val="24"/>
        </w:rPr>
        <w:t>安全环保部、</w:t>
      </w:r>
      <w:r>
        <w:rPr>
          <w:rFonts w:asciiTheme="minorEastAsia" w:hAnsiTheme="minorEastAsia" w:eastAsiaTheme="minorEastAsia"/>
          <w:color w:val="000000"/>
          <w:sz w:val="24"/>
          <w:szCs w:val="24"/>
        </w:rPr>
        <w:t>应急指挥中心办公室报告，并且启动污水管网排查；对</w:t>
      </w:r>
      <w:r>
        <w:rPr>
          <w:rFonts w:hint="eastAsia" w:asciiTheme="minorEastAsia" w:hAnsiTheme="minorEastAsia" w:eastAsiaTheme="minorEastAsia"/>
          <w:color w:val="000000"/>
          <w:sz w:val="24"/>
          <w:szCs w:val="24"/>
        </w:rPr>
        <w:t>污水处理厂服务范围内的</w:t>
      </w:r>
      <w:r>
        <w:rPr>
          <w:rFonts w:asciiTheme="minorEastAsia" w:hAnsiTheme="minorEastAsia" w:eastAsiaTheme="minorEastAsia"/>
          <w:color w:val="000000"/>
          <w:sz w:val="24"/>
          <w:szCs w:val="24"/>
        </w:rPr>
        <w:t>企业进行排查是否有企业废水处理不达标而直接排入污水管网。对易发生险情的目标</w:t>
      </w: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加强监视和处理，发现异常立即上报厂长</w:t>
      </w:r>
    </w:p>
    <w:p>
      <w:pPr>
        <w:adjustRightInd w:val="0"/>
        <w:snapToGrid w:val="0"/>
        <w:spacing w:line="360" w:lineRule="auto"/>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w:t>
      </w:r>
      <w:r>
        <w:rPr>
          <w:rFonts w:asciiTheme="minorEastAsia" w:hAnsiTheme="minorEastAsia" w:eastAsiaTheme="minorEastAsia"/>
          <w:color w:val="000000"/>
          <w:sz w:val="24"/>
          <w:szCs w:val="24"/>
        </w:rPr>
        <w:t>停电预警</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1）电力部门提前发布停电通知，由</w:t>
      </w:r>
      <w:r>
        <w:rPr>
          <w:rFonts w:hint="eastAsia" w:asciiTheme="minorEastAsia" w:hAnsiTheme="minorEastAsia" w:eastAsiaTheme="minorEastAsia"/>
          <w:color w:val="000000"/>
          <w:sz w:val="24"/>
          <w:szCs w:val="24"/>
        </w:rPr>
        <w:t>综合部</w:t>
      </w:r>
      <w:r>
        <w:rPr>
          <w:rFonts w:asciiTheme="minorEastAsia" w:hAnsiTheme="minorEastAsia" w:eastAsiaTheme="minorEastAsia"/>
          <w:color w:val="000000"/>
          <w:sz w:val="24"/>
          <w:szCs w:val="24"/>
        </w:rPr>
        <w:t>收集停电通知，</w:t>
      </w:r>
      <w:r>
        <w:rPr>
          <w:rFonts w:hint="eastAsia" w:asciiTheme="minorEastAsia" w:hAnsiTheme="minorEastAsia" w:eastAsiaTheme="minorEastAsia"/>
          <w:color w:val="000000"/>
          <w:sz w:val="24"/>
          <w:szCs w:val="24"/>
        </w:rPr>
        <w:t>安全生产部</w:t>
      </w:r>
      <w:r>
        <w:rPr>
          <w:rFonts w:asciiTheme="minorEastAsia" w:hAnsiTheme="minorEastAsia" w:eastAsiaTheme="minorEastAsia"/>
          <w:color w:val="000000"/>
          <w:sz w:val="24"/>
          <w:szCs w:val="24"/>
        </w:rPr>
        <w:t>提前做好备用</w:t>
      </w:r>
      <w:r>
        <w:rPr>
          <w:rFonts w:hint="eastAsia" w:asciiTheme="minorEastAsia" w:hAnsiTheme="minorEastAsia" w:eastAsiaTheme="minorEastAsia"/>
          <w:color w:val="000000"/>
          <w:sz w:val="24"/>
          <w:szCs w:val="24"/>
        </w:rPr>
        <w:t>电源供电</w:t>
      </w:r>
      <w:r>
        <w:rPr>
          <w:rFonts w:asciiTheme="minorEastAsia" w:hAnsiTheme="minorEastAsia" w:eastAsiaTheme="minorEastAsia"/>
          <w:color w:val="000000"/>
          <w:sz w:val="24"/>
          <w:szCs w:val="24"/>
        </w:rPr>
        <w:t>准备。</w:t>
      </w:r>
    </w:p>
    <w:p>
      <w:pPr>
        <w:adjustRightInd w:val="0"/>
        <w:snapToGrid w:val="0"/>
        <w:spacing w:line="360" w:lineRule="auto"/>
        <w:ind w:firstLine="486" w:firstLineChars="200"/>
        <w:jc w:val="left"/>
        <w:textAlignment w:val="center"/>
        <w:rPr>
          <w:rFonts w:ascii="宋体"/>
          <w:color w:val="000000"/>
          <w:sz w:val="24"/>
          <w:szCs w:val="24"/>
        </w:rPr>
      </w:pPr>
      <w:r>
        <w:rPr>
          <w:rFonts w:asciiTheme="minorEastAsia" w:hAnsiTheme="minorEastAsia" w:eastAsiaTheme="minorEastAsia"/>
          <w:color w:val="000000"/>
          <w:sz w:val="24"/>
          <w:szCs w:val="24"/>
        </w:rPr>
        <w:t>2）中控室设置有断电应急灯，当发生设备断电时，应急灯亮起。</w:t>
      </w:r>
      <w:r>
        <w:rPr>
          <w:rFonts w:hint="eastAsia" w:asciiTheme="minorEastAsia" w:hAnsiTheme="minorEastAsia" w:eastAsiaTheme="minorEastAsia"/>
          <w:color w:val="000000"/>
          <w:sz w:val="24"/>
          <w:szCs w:val="24"/>
        </w:rPr>
        <w:t>安全生产部及时</w:t>
      </w:r>
      <w:r>
        <w:rPr>
          <w:rFonts w:asciiTheme="minorEastAsia" w:hAnsiTheme="minorEastAsia" w:eastAsiaTheme="minorEastAsia"/>
          <w:color w:val="000000"/>
          <w:sz w:val="24"/>
          <w:szCs w:val="24"/>
        </w:rPr>
        <w:t>启动</w:t>
      </w:r>
      <w:r>
        <w:rPr>
          <w:rFonts w:hint="eastAsia" w:asciiTheme="minorEastAsia" w:hAnsiTheme="minorEastAsia" w:eastAsiaTheme="minorEastAsia"/>
          <w:color w:val="000000"/>
          <w:sz w:val="24"/>
          <w:szCs w:val="24"/>
        </w:rPr>
        <w:t>备用电源</w:t>
      </w:r>
      <w:r>
        <w:rPr>
          <w:rFonts w:asciiTheme="minorEastAsia" w:hAnsiTheme="minorEastAsia" w:eastAsiaTheme="minorEastAsia"/>
          <w:color w:val="000000"/>
          <w:sz w:val="24"/>
          <w:szCs w:val="24"/>
        </w:rPr>
        <w:t>。</w:t>
      </w:r>
      <w:r>
        <w:rPr>
          <w:rFonts w:hint="eastAsia" w:ascii="宋体" w:hAnsi="宋体"/>
          <w:color w:val="000000"/>
          <w:sz w:val="24"/>
          <w:szCs w:val="24"/>
        </w:rPr>
        <w:t>　　</w:t>
      </w:r>
    </w:p>
    <w:p>
      <w:pPr>
        <w:adjustRightInd w:val="0"/>
        <w:snapToGrid w:val="0"/>
        <w:spacing w:line="460" w:lineRule="exact"/>
        <w:outlineLvl w:val="1"/>
        <w:rPr>
          <w:rFonts w:hint="eastAsia"/>
          <w:b/>
          <w:color w:val="000000"/>
          <w:sz w:val="26"/>
          <w:szCs w:val="26"/>
          <w:lang w:val="zh-CN"/>
        </w:rPr>
      </w:pPr>
      <w:bookmarkStart w:id="329" w:name="_Toc8203"/>
      <w:r>
        <w:rPr>
          <w:rFonts w:hint="eastAsia"/>
          <w:b/>
          <w:color w:val="000000"/>
          <w:sz w:val="26"/>
          <w:szCs w:val="26"/>
          <w:lang w:val="zh-CN"/>
        </w:rPr>
        <w:t>5.3信息报告</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p>
    <w:p>
      <w:pPr>
        <w:pStyle w:val="4"/>
        <w:spacing w:before="0" w:after="0" w:line="460" w:lineRule="exact"/>
        <w:jc w:val="left"/>
        <w:rPr>
          <w:rFonts w:asciiTheme="minorEastAsia" w:hAnsiTheme="minorEastAsia" w:eastAsiaTheme="minorEastAsia"/>
          <w:sz w:val="28"/>
        </w:rPr>
      </w:pPr>
      <w:bookmarkStart w:id="330" w:name="_Toc415254542"/>
      <w:bookmarkStart w:id="331" w:name="_Toc408274436"/>
      <w:r>
        <w:rPr>
          <w:rFonts w:asciiTheme="minorEastAsia" w:hAnsiTheme="minorEastAsia" w:eastAsiaTheme="minorEastAsia"/>
          <w:sz w:val="28"/>
        </w:rPr>
        <w:t>5.3.1</w:t>
      </w:r>
      <w:r>
        <w:rPr>
          <w:rFonts w:hint="eastAsia" w:asciiTheme="minorEastAsia" w:hAnsiTheme="minorEastAsia" w:eastAsiaTheme="minorEastAsia"/>
          <w:sz w:val="28"/>
        </w:rPr>
        <w:t>信息接收与通报</w:t>
      </w:r>
      <w:bookmarkEnd w:id="330"/>
      <w:bookmarkEnd w:id="331"/>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清溪园区污水处理厂</w:t>
      </w:r>
      <w:r>
        <w:rPr>
          <w:rFonts w:asciiTheme="minorEastAsia" w:hAnsiTheme="minorEastAsia" w:eastAsiaTheme="minorEastAsia"/>
          <w:color w:val="000000"/>
          <w:sz w:val="24"/>
          <w:szCs w:val="24"/>
        </w:rPr>
        <w:t>24</w:t>
      </w:r>
      <w:r>
        <w:rPr>
          <w:rFonts w:hint="eastAsia" w:asciiTheme="minorEastAsia" w:hAnsiTheme="minorEastAsia" w:eastAsiaTheme="minorEastAsia"/>
          <w:color w:val="000000"/>
          <w:sz w:val="24"/>
          <w:szCs w:val="24"/>
        </w:rPr>
        <w:t>小时开通的通讯系统、视频监控系统和生产、仓库装置等安全监控报警系统。</w:t>
      </w:r>
    </w:p>
    <w:p>
      <w:pPr>
        <w:autoSpaceDE w:val="0"/>
        <w:autoSpaceDN w:val="0"/>
        <w:adjustRightInd w:val="0"/>
        <w:spacing w:line="460" w:lineRule="exact"/>
        <w:ind w:firstLine="480" w:firstLineChars="200"/>
        <w:rPr>
          <w:rFonts w:cs="仿宋_GB2312" w:asciiTheme="minorEastAsia" w:hAnsiTheme="minorEastAsia" w:eastAsiaTheme="minorEastAsia"/>
          <w:b/>
          <w:sz w:val="24"/>
          <w:szCs w:val="24"/>
        </w:rPr>
      </w:pPr>
      <w:r>
        <w:rPr>
          <w:rFonts w:asciiTheme="minorEastAsia" w:hAnsiTheme="minorEastAsia" w:eastAsiaTheme="minorEastAsia"/>
          <w:color w:val="000000"/>
          <w:sz w:val="24"/>
          <w:szCs w:val="24"/>
        </w:rPr>
        <w:t>24</w:t>
      </w:r>
      <w:r>
        <w:rPr>
          <w:rFonts w:hint="eastAsia" w:asciiTheme="minorEastAsia" w:hAnsiTheme="minorEastAsia" w:eastAsiaTheme="minorEastAsia"/>
          <w:color w:val="000000"/>
          <w:sz w:val="24"/>
          <w:szCs w:val="24"/>
        </w:rPr>
        <w:t>小时值班报警电话：</w:t>
      </w:r>
      <w:r>
        <w:rPr>
          <w:rFonts w:asciiTheme="minorEastAsia" w:hAnsiTheme="minorEastAsia" w:eastAsiaTheme="minorEastAsia"/>
          <w:b/>
          <w:bCs/>
          <w:color w:val="000000"/>
          <w:sz w:val="24"/>
          <w:szCs w:val="24"/>
        </w:rPr>
        <w:t>023-</w:t>
      </w:r>
      <w:r>
        <w:rPr>
          <w:rFonts w:cs="仿宋_GB2312" w:asciiTheme="minorEastAsia" w:hAnsiTheme="minorEastAsia" w:eastAsiaTheme="minorEastAsia"/>
          <w:b/>
          <w:sz w:val="24"/>
          <w:szCs w:val="24"/>
        </w:rPr>
        <w:t>72716059</w:t>
      </w:r>
      <w:r>
        <w:rPr>
          <w:rFonts w:hint="eastAsia" w:asciiTheme="minorEastAsia" w:hAnsiTheme="minorEastAsia" w:eastAsiaTheme="minorEastAsia"/>
          <w:color w:val="000000"/>
          <w:sz w:val="24"/>
          <w:szCs w:val="24"/>
        </w:rPr>
        <w:t>，必须确保</w:t>
      </w:r>
      <w:r>
        <w:rPr>
          <w:rFonts w:asciiTheme="minorEastAsia" w:hAnsiTheme="minorEastAsia" w:eastAsiaTheme="minorEastAsia"/>
          <w:color w:val="000000"/>
          <w:sz w:val="24"/>
          <w:szCs w:val="24"/>
        </w:rPr>
        <w:t>24</w:t>
      </w:r>
      <w:r>
        <w:rPr>
          <w:rFonts w:hint="eastAsia" w:asciiTheme="minorEastAsia" w:hAnsiTheme="minorEastAsia" w:eastAsiaTheme="minorEastAsia"/>
          <w:color w:val="000000"/>
          <w:sz w:val="24"/>
          <w:szCs w:val="24"/>
        </w:rPr>
        <w:t>小时能有人接听。与事故应急处置有关的人员必须确保</w:t>
      </w:r>
      <w:r>
        <w:rPr>
          <w:rFonts w:asciiTheme="minorEastAsia" w:hAnsiTheme="minorEastAsia" w:eastAsiaTheme="minorEastAsia"/>
          <w:color w:val="000000"/>
          <w:sz w:val="24"/>
          <w:szCs w:val="24"/>
        </w:rPr>
        <w:t>24</w:t>
      </w:r>
      <w:r>
        <w:rPr>
          <w:rFonts w:hint="eastAsia" w:asciiTheme="minorEastAsia" w:hAnsiTheme="minorEastAsia" w:eastAsiaTheme="minorEastAsia"/>
          <w:color w:val="000000"/>
          <w:sz w:val="24"/>
          <w:szCs w:val="24"/>
        </w:rPr>
        <w:t>小时手机畅通。</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bookmarkStart w:id="332" w:name="_Toc415254543"/>
      <w:bookmarkStart w:id="333" w:name="_Toc408274437"/>
      <w:r>
        <w:rPr>
          <w:rFonts w:hint="eastAsia" w:asciiTheme="minorEastAsia" w:hAnsiTheme="minorEastAsia" w:eastAsiaTheme="minorEastAsia"/>
          <w:color w:val="000000"/>
          <w:sz w:val="24"/>
          <w:szCs w:val="24"/>
        </w:rPr>
        <w:t>上报程序：事故发生后，事故现场有关人员应立即报告现场管理人员或当班负责人。单位主要负责人根据事故情况决定是否启动本单位现场处置方案或综合应急救援预案。每级上报时间不得超过</w:t>
      </w:r>
      <w:r>
        <w:rPr>
          <w:rFonts w:asciiTheme="minorEastAsia" w:hAnsiTheme="minorEastAsia" w:eastAsiaTheme="minorEastAsia"/>
          <w:color w:val="000000"/>
          <w:sz w:val="24"/>
          <w:szCs w:val="24"/>
        </w:rPr>
        <w:t>10</w:t>
      </w:r>
      <w:r>
        <w:rPr>
          <w:rFonts w:hint="eastAsia" w:asciiTheme="minorEastAsia" w:hAnsiTheme="minorEastAsia" w:eastAsiaTheme="minorEastAsia"/>
          <w:color w:val="000000"/>
          <w:sz w:val="24"/>
          <w:szCs w:val="24"/>
        </w:rPr>
        <w:t>分钟。情况紧急时，可以直接越级上报或现场人员直接向事故发生地区县级以上人民政府安全生产监督管理部门和负有安全生产监督管理职责的有关部门报告。当厂长觉得有必要启动应急救援预案时，可直接启动厂综合预案开展事故救援工作。</w:t>
      </w:r>
    </w:p>
    <w:p>
      <w:pPr>
        <w:pStyle w:val="4"/>
        <w:spacing w:before="0" w:after="0" w:line="460" w:lineRule="exact"/>
        <w:jc w:val="left"/>
        <w:rPr>
          <w:rFonts w:asciiTheme="minorEastAsia" w:hAnsiTheme="minorEastAsia" w:eastAsiaTheme="minorEastAsia"/>
          <w:sz w:val="28"/>
        </w:rPr>
      </w:pPr>
      <w:r>
        <w:rPr>
          <w:rFonts w:asciiTheme="minorEastAsia" w:hAnsiTheme="minorEastAsia" w:eastAsiaTheme="minorEastAsia"/>
          <w:sz w:val="28"/>
        </w:rPr>
        <w:t>5.3.2</w:t>
      </w:r>
      <w:r>
        <w:rPr>
          <w:rFonts w:hint="eastAsia" w:asciiTheme="minorEastAsia" w:hAnsiTheme="minorEastAsia" w:eastAsiaTheme="minorEastAsia"/>
          <w:sz w:val="28"/>
        </w:rPr>
        <w:t>信息上报</w:t>
      </w:r>
      <w:bookmarkEnd w:id="332"/>
      <w:bookmarkEnd w:id="333"/>
      <w:r>
        <w:rPr>
          <w:rFonts w:hint="eastAsia" w:asciiTheme="minorEastAsia" w:hAnsiTheme="minorEastAsia" w:eastAsiaTheme="minorEastAsia"/>
          <w:sz w:val="28"/>
          <w:lang w:eastAsia="zh-CN"/>
        </w:rPr>
        <w:t>与发布</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bookmarkStart w:id="334" w:name="_Toc408274438"/>
      <w:r>
        <w:rPr>
          <w:rFonts w:hint="eastAsia" w:asciiTheme="minorEastAsia" w:hAnsiTheme="minorEastAsia" w:eastAsiaTheme="minorEastAsia"/>
          <w:color w:val="000000"/>
          <w:sz w:val="24"/>
          <w:szCs w:val="24"/>
        </w:rPr>
        <w:t>当事故信息上报至公司主要负责人后，主要负责人认为本单位应急能力不能对事故进行控制和处理时，由主要负责人直接在事故发生</w:t>
      </w:r>
      <w:r>
        <w:rPr>
          <w:rFonts w:asciiTheme="minorEastAsia" w:hAnsiTheme="minorEastAsia" w:eastAsiaTheme="minorEastAsia"/>
          <w:color w:val="000000"/>
          <w:sz w:val="24"/>
          <w:szCs w:val="24"/>
        </w:rPr>
        <w:t>l</w:t>
      </w:r>
      <w:r>
        <w:rPr>
          <w:rFonts w:hint="eastAsia" w:asciiTheme="minorEastAsia" w:hAnsiTheme="minorEastAsia" w:eastAsiaTheme="minorEastAsia"/>
          <w:color w:val="000000"/>
          <w:sz w:val="24"/>
          <w:szCs w:val="24"/>
        </w:rPr>
        <w:t>小时内上报清溪镇政府应急部门或区安全生产监督管理部门、主管部门以及负有安全生产监督管理职责的有关部门。</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bookmarkStart w:id="335" w:name="_Toc415254544"/>
      <w:r>
        <w:rPr>
          <w:rFonts w:hint="eastAsia" w:asciiTheme="minorEastAsia" w:hAnsiTheme="minorEastAsia" w:eastAsiaTheme="minorEastAsia"/>
          <w:color w:val="000000"/>
          <w:sz w:val="24"/>
          <w:szCs w:val="24"/>
        </w:rPr>
        <w:t>报告事故的内容应当包括：事故发生单位概况；事故发生的时间、地点以及事故现场情况；事故的简要经过；事故已经造成或者可能造成的伤亡人数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包括下落不明的人数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和初步估计的直接经济损失；已经采取的措施；其他应当报告的情况。</w:t>
      </w:r>
      <w:r>
        <w:rPr>
          <w:rFonts w:asciiTheme="minorEastAsia" w:hAnsiTheme="minorEastAsia" w:eastAsiaTheme="minorEastAsia"/>
          <w:color w:val="000000"/>
          <w:sz w:val="24"/>
          <w:szCs w:val="24"/>
        </w:rPr>
        <w:t xml:space="preserve">  </w:t>
      </w:r>
    </w:p>
    <w:p>
      <w:pPr>
        <w:pStyle w:val="4"/>
        <w:spacing w:before="0" w:after="0" w:line="360" w:lineRule="auto"/>
        <w:jc w:val="left"/>
        <w:rPr>
          <w:rFonts w:asciiTheme="minorEastAsia" w:hAnsiTheme="minorEastAsia" w:eastAsiaTheme="minorEastAsia"/>
          <w:sz w:val="28"/>
        </w:rPr>
      </w:pPr>
      <w:r>
        <w:rPr>
          <w:rFonts w:asciiTheme="minorEastAsia" w:hAnsiTheme="minorEastAsia" w:eastAsiaTheme="minorEastAsia"/>
          <w:sz w:val="28"/>
        </w:rPr>
        <w:t>5.3.3</w:t>
      </w:r>
      <w:r>
        <w:rPr>
          <w:rFonts w:hint="eastAsia" w:asciiTheme="minorEastAsia" w:hAnsiTheme="minorEastAsia" w:eastAsiaTheme="minorEastAsia"/>
          <w:sz w:val="28"/>
        </w:rPr>
        <w:t>信息传递</w:t>
      </w:r>
      <w:bookmarkEnd w:id="334"/>
      <w:bookmarkEnd w:id="335"/>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bookmarkStart w:id="336" w:name="_Toc262051540"/>
      <w:bookmarkStart w:id="337" w:name="_Toc196018544"/>
      <w:bookmarkStart w:id="338" w:name="_Toc196018639"/>
      <w:bookmarkStart w:id="339" w:name="_Toc197251343"/>
      <w:bookmarkStart w:id="340" w:name="_Toc198007338"/>
      <w:bookmarkStart w:id="341" w:name="_Toc304833236"/>
      <w:bookmarkStart w:id="342" w:name="_Toc304962959"/>
      <w:bookmarkStart w:id="343" w:name="_Toc304963603"/>
      <w:bookmarkStart w:id="344" w:name="_Toc304964446"/>
      <w:bookmarkStart w:id="345" w:name="_Toc179794547"/>
      <w:bookmarkStart w:id="346" w:name="_Toc185670985"/>
      <w:bookmarkStart w:id="347" w:name="_Toc196018435"/>
      <w:bookmarkStart w:id="348" w:name="_Toc229283974"/>
      <w:bookmarkStart w:id="349" w:name="_Toc262040279"/>
      <w:bookmarkStart w:id="350" w:name="_Toc262050869"/>
      <w:bookmarkStart w:id="351" w:name="_Toc262051119"/>
      <w:bookmarkStart w:id="352" w:name="_Toc198355323"/>
      <w:bookmarkStart w:id="353" w:name="_Toc336327131"/>
      <w:bookmarkStart w:id="354" w:name="_Toc387131428"/>
      <w:bookmarkStart w:id="355" w:name="_Toc387131502"/>
      <w:bookmarkStart w:id="356" w:name="_Toc387131759"/>
      <w:bookmarkStart w:id="357" w:name="_Toc415254545"/>
      <w:bookmarkStart w:id="358" w:name="_Toc183339225"/>
      <w:bookmarkStart w:id="359" w:name="_Toc183339501"/>
      <w:bookmarkStart w:id="360" w:name="_Toc184808765"/>
      <w:bookmarkStart w:id="361" w:name="_Toc184809552"/>
      <w:bookmarkStart w:id="362" w:name="_Toc336326853"/>
      <w:r>
        <w:rPr>
          <w:rFonts w:hint="eastAsia" w:asciiTheme="minorEastAsia" w:hAnsiTheme="minorEastAsia" w:eastAsiaTheme="minorEastAsia"/>
          <w:color w:val="000000"/>
          <w:sz w:val="24"/>
          <w:szCs w:val="24"/>
        </w:rPr>
        <w:t>信息传递方式：现场岗位电话、移动电话等。上报事故信息的程序：</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I</w:t>
      </w:r>
      <w:r>
        <w:rPr>
          <w:rFonts w:hint="eastAsia" w:asciiTheme="minorEastAsia" w:hAnsiTheme="minorEastAsia" w:eastAsiaTheme="minorEastAsia"/>
          <w:color w:val="000000"/>
          <w:sz w:val="24"/>
          <w:szCs w:val="24"/>
        </w:rPr>
        <w:t>级应急响应信息传递。现场人员在明确事故发生后，立即通知现场管理人员，事故较严重时可直接上报本单位主要负责人。情况紧急时，可以直接越级上报，或现场人员直接向事故发生地区县级以上人民政府安全生产监督管理部门和负有安全生产监督管理职责的有关部门报告。</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Ⅱ级应急响应信息传递。现场人员在明确事故发生后，立即通知本单位现场管理人员或本单位负责人，本单位主要负责人启动本单位应急救援预案。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发生事故后，各级人员应按照逐级上报的原则，立即向公司管理层报告，发生重伤及以上事故，还应立即向公司主要负责人报告，主要负责人应于</w:t>
      </w: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小时内向主管部门（涪陵区环保局）报告。事故报告的内容主要包括：发生事故的单位、时间、地点、事故类型、伤亡情况、事故的简要经过，初步分析事故原因，已采取的措施和现场控制情况。</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涪陵区环保局电话：</w:t>
      </w:r>
      <w:r>
        <w:rPr>
          <w:rFonts w:asciiTheme="minorEastAsia" w:hAnsiTheme="minorEastAsia" w:eastAsiaTheme="minorEastAsia"/>
          <w:color w:val="000000"/>
          <w:sz w:val="24"/>
          <w:szCs w:val="24"/>
        </w:rPr>
        <w:t>023-72899929</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涪陵区安监局电话：</w:t>
      </w:r>
      <w:r>
        <w:rPr>
          <w:rFonts w:asciiTheme="minorEastAsia" w:hAnsiTheme="minorEastAsia" w:eastAsiaTheme="minorEastAsia"/>
          <w:color w:val="000000"/>
          <w:sz w:val="24"/>
          <w:szCs w:val="24"/>
        </w:rPr>
        <w:t>023-72230615</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消防队电话：</w:t>
      </w:r>
      <w:r>
        <w:rPr>
          <w:rFonts w:asciiTheme="minorEastAsia" w:hAnsiTheme="minorEastAsia" w:eastAsiaTheme="minorEastAsia"/>
          <w:color w:val="000000"/>
          <w:sz w:val="24"/>
          <w:szCs w:val="24"/>
        </w:rPr>
        <w:t>119</w:t>
      </w:r>
    </w:p>
    <w:p>
      <w:pPr>
        <w:adjustRightInd w:val="0"/>
        <w:snapToGrid w:val="0"/>
        <w:spacing w:line="360" w:lineRule="auto"/>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事故发生启动本预案后，统一由公司主要负责人上报告事故救援和人员伤亡情况等信息。</w:t>
      </w:r>
    </w:p>
    <w:p>
      <w:pPr>
        <w:adjustRightInd w:val="0"/>
        <w:snapToGrid w:val="0"/>
        <w:spacing w:line="440" w:lineRule="exact"/>
        <w:textAlignment w:val="center"/>
        <w:outlineLvl w:val="0"/>
        <w:rPr>
          <w:rFonts w:asciiTheme="minorEastAsia" w:hAnsiTheme="minorEastAsia" w:eastAsiaTheme="minorEastAsia"/>
          <w:b/>
          <w:color w:val="000000"/>
          <w:sz w:val="32"/>
        </w:rPr>
      </w:pPr>
      <w:bookmarkStart w:id="363" w:name="_Toc3815"/>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364" w:name="_Toc9162"/>
      <w:r>
        <w:rPr>
          <w:rFonts w:asciiTheme="minorEastAsia" w:hAnsiTheme="minorEastAsia" w:eastAsiaTheme="minorEastAsia"/>
          <w:b/>
          <w:color w:val="000000"/>
          <w:sz w:val="32"/>
        </w:rPr>
        <w:t>6</w:t>
      </w:r>
      <w:r>
        <w:rPr>
          <w:rFonts w:hint="eastAsia" w:asciiTheme="minorEastAsia" w:hAnsiTheme="minorEastAsia" w:eastAsiaTheme="minorEastAsia"/>
          <w:b/>
          <w:color w:val="000000"/>
          <w:sz w:val="32"/>
        </w:rPr>
        <w:t>应急响应</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pPr>
        <w:adjustRightInd w:val="0"/>
        <w:snapToGrid w:val="0"/>
        <w:spacing w:line="460" w:lineRule="exact"/>
        <w:outlineLvl w:val="1"/>
        <w:rPr>
          <w:rFonts w:hint="eastAsia"/>
          <w:b/>
          <w:color w:val="000000"/>
          <w:sz w:val="26"/>
          <w:szCs w:val="26"/>
          <w:lang w:val="zh-CN"/>
        </w:rPr>
      </w:pPr>
      <w:bookmarkStart w:id="365" w:name="_Toc229283975"/>
      <w:bookmarkStart w:id="366" w:name="_Toc262040280"/>
      <w:bookmarkStart w:id="367" w:name="_Toc262050870"/>
      <w:bookmarkStart w:id="368" w:name="_Toc262051120"/>
      <w:bookmarkStart w:id="369" w:name="_Toc262051541"/>
      <w:bookmarkStart w:id="370" w:name="_Toc184809553"/>
      <w:bookmarkStart w:id="371" w:name="_Toc185670986"/>
      <w:bookmarkStart w:id="372" w:name="_Toc197251344"/>
      <w:bookmarkStart w:id="373" w:name="_Toc198007339"/>
      <w:bookmarkStart w:id="374" w:name="_Toc198355324"/>
      <w:bookmarkStart w:id="375" w:name="_Toc336327132"/>
      <w:bookmarkStart w:id="376" w:name="_Toc387131429"/>
      <w:bookmarkStart w:id="377" w:name="_Toc387131503"/>
      <w:bookmarkStart w:id="378" w:name="_Toc387131760"/>
      <w:bookmarkStart w:id="379" w:name="_Toc415254546"/>
      <w:bookmarkStart w:id="380" w:name="_Toc196018545"/>
      <w:bookmarkStart w:id="381" w:name="_Toc179794548"/>
      <w:bookmarkStart w:id="382" w:name="_Toc183339226"/>
      <w:bookmarkStart w:id="383" w:name="_Toc183339502"/>
      <w:bookmarkStart w:id="384" w:name="_Toc184808766"/>
      <w:bookmarkStart w:id="385" w:name="_Toc196018640"/>
      <w:bookmarkStart w:id="386" w:name="_Toc196018436"/>
      <w:bookmarkStart w:id="387" w:name="_Toc304833237"/>
      <w:bookmarkStart w:id="388" w:name="_Toc304962960"/>
      <w:bookmarkStart w:id="389" w:name="_Toc304963604"/>
      <w:bookmarkStart w:id="390" w:name="_Toc304964447"/>
      <w:bookmarkStart w:id="391" w:name="_Toc336326854"/>
      <w:bookmarkStart w:id="392" w:name="_Toc29064"/>
      <w:bookmarkStart w:id="393" w:name="_Toc23064"/>
      <w:r>
        <w:rPr>
          <w:rFonts w:hint="eastAsia"/>
          <w:b/>
          <w:color w:val="000000"/>
          <w:sz w:val="26"/>
          <w:szCs w:val="26"/>
          <w:lang w:val="zh-CN"/>
        </w:rPr>
        <w:t>6.1响应分级</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针对事故严重程度、影响范围和单位对事态控制的能力，将应急响应分为三级：一级响应、二级响应、三级响应。</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lang w:val="zh-CN"/>
        </w:rPr>
      </w:pPr>
      <w:bookmarkStart w:id="394" w:name="_Toc15640"/>
      <w:bookmarkStart w:id="395" w:name="_Toc400018367"/>
      <w:bookmarkStart w:id="396" w:name="_Toc21753"/>
      <w:bookmarkStart w:id="397" w:name="_Toc403509919"/>
      <w:r>
        <w:rPr>
          <w:rFonts w:hint="eastAsia" w:asciiTheme="minorEastAsia" w:hAnsiTheme="minorEastAsia" w:eastAsiaTheme="minorEastAsia"/>
          <w:color w:val="000000"/>
          <w:sz w:val="24"/>
          <w:szCs w:val="24"/>
          <w:lang w:val="zh-CN"/>
        </w:rPr>
        <w:t>一级预警为事故波及单位周边；本单位无力控制事态及有效进行应急处置（外部级）。</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lang w:val="zh-CN"/>
        </w:rPr>
      </w:pPr>
      <w:r>
        <w:rPr>
          <w:rFonts w:hint="eastAsia" w:asciiTheme="minorEastAsia" w:hAnsiTheme="minorEastAsia" w:eastAsiaTheme="minorEastAsia"/>
          <w:color w:val="000000"/>
          <w:sz w:val="24"/>
          <w:szCs w:val="24"/>
          <w:lang w:val="zh-CN"/>
        </w:rPr>
        <w:t>二级预警事故不波及单位周边；本单位能控制事态及有效进行应急处置（内部级）。</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lang w:val="zh-CN"/>
        </w:rPr>
      </w:pPr>
      <w:r>
        <w:rPr>
          <w:rFonts w:hint="eastAsia" w:asciiTheme="minorEastAsia" w:hAnsiTheme="minorEastAsia" w:eastAsiaTheme="minorEastAsia"/>
          <w:color w:val="000000"/>
          <w:sz w:val="24"/>
          <w:szCs w:val="24"/>
          <w:lang w:val="zh-CN"/>
        </w:rPr>
        <w:t>三级预警事故为班组级，不涉及企业大范围及单位周边；班组能控制事态及有效进行应急处置（班组级）</w:t>
      </w:r>
      <w:bookmarkEnd w:id="394"/>
      <w:r>
        <w:rPr>
          <w:rFonts w:asciiTheme="minorEastAsia" w:hAnsiTheme="minorEastAsia" w:eastAsiaTheme="minorEastAsia"/>
          <w:color w:val="000000"/>
          <w:sz w:val="24"/>
          <w:szCs w:val="24"/>
          <w:lang w:val="zh-CN"/>
        </w:rPr>
        <w:t xml:space="preserve">  </w:t>
      </w:r>
    </w:p>
    <w:p>
      <w:pPr>
        <w:adjustRightInd w:val="0"/>
        <w:snapToGrid w:val="0"/>
        <w:spacing w:line="460" w:lineRule="exact"/>
        <w:outlineLvl w:val="1"/>
        <w:rPr>
          <w:rFonts w:hint="eastAsia"/>
          <w:b/>
          <w:color w:val="000000"/>
          <w:sz w:val="26"/>
          <w:szCs w:val="26"/>
          <w:lang w:val="zh-CN"/>
        </w:rPr>
      </w:pPr>
      <w:bookmarkStart w:id="398" w:name="_Toc21503"/>
      <w:r>
        <w:rPr>
          <w:rFonts w:hint="eastAsia"/>
          <w:b/>
          <w:color w:val="000000"/>
          <w:sz w:val="26"/>
          <w:szCs w:val="26"/>
          <w:lang w:val="zh-CN"/>
        </w:rPr>
        <w:t>6.2响应程序</w:t>
      </w:r>
      <w:bookmarkEnd w:id="395"/>
      <w:bookmarkEnd w:id="396"/>
      <w:bookmarkEnd w:id="397"/>
      <w:bookmarkEnd w:id="398"/>
    </w:p>
    <w:p>
      <w:pPr>
        <w:spacing w:line="360" w:lineRule="auto"/>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一级响应，现场应急指挥组长及时掌握事故应急处置情况，当事故的严重程度及发展趋势超出了本单位应急救援能力时，应及时扩大应急响应级别为一级，立即组织周边群众或单位疏散，并在</w:t>
      </w:r>
      <w:r>
        <w:rPr>
          <w:rFonts w:asciiTheme="minorEastAsia" w:hAnsiTheme="minorEastAsia" w:eastAsiaTheme="minorEastAsia"/>
          <w:b/>
          <w:bCs/>
          <w:sz w:val="24"/>
          <w:szCs w:val="24"/>
          <w:lang w:val="zh-CN"/>
        </w:rPr>
        <w:t>10</w:t>
      </w:r>
      <w:r>
        <w:rPr>
          <w:rFonts w:hint="eastAsia" w:asciiTheme="minorEastAsia" w:hAnsiTheme="minorEastAsia" w:eastAsiaTheme="minorEastAsia"/>
          <w:b/>
          <w:bCs/>
          <w:sz w:val="24"/>
          <w:szCs w:val="24"/>
          <w:lang w:val="zh-CN"/>
        </w:rPr>
        <w:t>分钟内</w:t>
      </w:r>
      <w:r>
        <w:rPr>
          <w:rFonts w:hint="eastAsia" w:asciiTheme="minorEastAsia" w:hAnsiTheme="minorEastAsia" w:eastAsiaTheme="minorEastAsia"/>
          <w:sz w:val="24"/>
          <w:szCs w:val="24"/>
          <w:lang w:val="zh-CN"/>
        </w:rPr>
        <w:t>上报涪陵区清溪工业园区应急值班人员或涪陵区环保局，申请启动园区管委会或涪陵区应急救援预案。</w:t>
      </w:r>
      <w:r>
        <w:rPr>
          <w:rFonts w:hint="eastAsia" w:asciiTheme="minorEastAsia" w:hAnsiTheme="minorEastAsia" w:eastAsiaTheme="minorEastAsia"/>
          <w:b/>
          <w:bCs/>
          <w:sz w:val="24"/>
          <w:szCs w:val="24"/>
          <w:lang w:val="zh-CN"/>
        </w:rPr>
        <w:t>上报人</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lang w:val="zh-CN"/>
        </w:rPr>
        <w:t xml:space="preserve"> </w:t>
      </w:r>
      <w:r>
        <w:rPr>
          <w:rFonts w:hint="eastAsia" w:asciiTheme="minorEastAsia" w:hAnsiTheme="minorEastAsia" w:eastAsiaTheme="minorEastAsia"/>
          <w:sz w:val="24"/>
          <w:szCs w:val="24"/>
          <w:u w:val="single"/>
          <w:lang w:val="zh-CN"/>
        </w:rPr>
        <w:t>总经理</w:t>
      </w:r>
      <w:r>
        <w:rPr>
          <w:rFonts w:hint="eastAsia" w:asciiTheme="minorEastAsia" w:hAnsiTheme="minorEastAsia" w:eastAsiaTheme="minorEastAsia"/>
          <w:sz w:val="24"/>
          <w:szCs w:val="24"/>
          <w:lang w:val="zh-CN"/>
        </w:rPr>
        <w:t>，</w:t>
      </w:r>
      <w:r>
        <w:rPr>
          <w:rFonts w:hint="eastAsia" w:asciiTheme="minorEastAsia" w:hAnsiTheme="minorEastAsia" w:eastAsiaTheme="minorEastAsia"/>
          <w:b/>
          <w:bCs/>
          <w:sz w:val="24"/>
          <w:szCs w:val="24"/>
          <w:lang w:val="zh-CN"/>
        </w:rPr>
        <w:t>联系电话</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u w:val="single"/>
          <w:lang w:val="zh-CN"/>
        </w:rPr>
        <w:t xml:space="preserve"> 18983330040</w:t>
      </w:r>
    </w:p>
    <w:p>
      <w:pPr>
        <w:spacing w:line="360" w:lineRule="auto"/>
        <w:ind w:firstLine="480" w:firstLineChars="200"/>
        <w:jc w:val="left"/>
        <w:rPr>
          <w:rFonts w:asciiTheme="minorEastAsia" w:hAnsiTheme="minorEastAsia" w:eastAsiaTheme="minorEastAsia"/>
          <w:sz w:val="24"/>
          <w:szCs w:val="24"/>
          <w:u w:val="single"/>
          <w:lang w:val="zh-CN"/>
        </w:rPr>
      </w:pPr>
      <w:r>
        <w:rPr>
          <w:rFonts w:hint="eastAsia" w:asciiTheme="minorEastAsia" w:hAnsiTheme="minorEastAsia" w:eastAsiaTheme="minorEastAsia"/>
          <w:sz w:val="24"/>
          <w:szCs w:val="24"/>
          <w:lang w:val="zh-CN"/>
        </w:rPr>
        <w:t>二级响应，当班人员或现场管理人员在</w:t>
      </w:r>
      <w:r>
        <w:rPr>
          <w:rFonts w:asciiTheme="minorEastAsia" w:hAnsiTheme="minorEastAsia" w:eastAsiaTheme="minorEastAsia"/>
          <w:b/>
          <w:bCs/>
          <w:sz w:val="24"/>
          <w:szCs w:val="24"/>
          <w:lang w:val="zh-CN"/>
        </w:rPr>
        <w:t>5</w:t>
      </w:r>
      <w:r>
        <w:rPr>
          <w:rFonts w:hint="eastAsia" w:asciiTheme="minorEastAsia" w:hAnsiTheme="minorEastAsia" w:eastAsiaTheme="minorEastAsia"/>
          <w:b/>
          <w:bCs/>
          <w:sz w:val="24"/>
          <w:szCs w:val="24"/>
          <w:lang w:val="zh-CN"/>
        </w:rPr>
        <w:t>分钟内</w:t>
      </w:r>
      <w:r>
        <w:rPr>
          <w:rFonts w:hint="eastAsia" w:asciiTheme="minorEastAsia" w:hAnsiTheme="minorEastAsia" w:eastAsiaTheme="minorEastAsia"/>
          <w:sz w:val="24"/>
          <w:szCs w:val="24"/>
          <w:lang w:val="zh-CN"/>
        </w:rPr>
        <w:t>迅速通知公司主要负责人，主要负责人召集全体应急救援人员迅速赶往事故现场，按公司综合应急救援预案实施救援。</w:t>
      </w:r>
      <w:r>
        <w:rPr>
          <w:rFonts w:hint="eastAsia" w:asciiTheme="minorEastAsia" w:hAnsiTheme="minorEastAsia" w:eastAsiaTheme="minorEastAsia"/>
          <w:b/>
          <w:bCs/>
          <w:sz w:val="24"/>
          <w:szCs w:val="24"/>
          <w:lang w:val="zh-CN"/>
        </w:rPr>
        <w:t>上报人</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lang w:val="zh-CN"/>
        </w:rPr>
        <w:t xml:space="preserve"> </w:t>
      </w:r>
      <w:r>
        <w:rPr>
          <w:rFonts w:hint="eastAsia" w:asciiTheme="minorEastAsia" w:hAnsiTheme="minorEastAsia" w:eastAsiaTheme="minorEastAsia"/>
          <w:sz w:val="24"/>
          <w:szCs w:val="24"/>
          <w:u w:val="single"/>
          <w:lang w:val="zh-CN"/>
        </w:rPr>
        <w:t>生产副总</w:t>
      </w:r>
      <w:r>
        <w:rPr>
          <w:rFonts w:asciiTheme="minorEastAsia" w:hAnsiTheme="minorEastAsia" w:eastAsiaTheme="minorEastAsia"/>
          <w:sz w:val="24"/>
          <w:szCs w:val="24"/>
          <w:lang w:val="zh-CN"/>
        </w:rPr>
        <w:t xml:space="preserve"> </w:t>
      </w:r>
      <w:r>
        <w:rPr>
          <w:rFonts w:hint="eastAsia" w:asciiTheme="minorEastAsia" w:hAnsiTheme="minorEastAsia" w:eastAsiaTheme="minorEastAsia"/>
          <w:sz w:val="24"/>
          <w:szCs w:val="24"/>
          <w:lang w:val="zh-CN"/>
        </w:rPr>
        <w:t>，</w:t>
      </w:r>
      <w:r>
        <w:rPr>
          <w:rFonts w:hint="eastAsia" w:asciiTheme="minorEastAsia" w:hAnsiTheme="minorEastAsia" w:eastAsiaTheme="minorEastAsia"/>
          <w:b/>
          <w:bCs/>
          <w:sz w:val="24"/>
          <w:szCs w:val="24"/>
          <w:lang w:val="zh-CN"/>
        </w:rPr>
        <w:t>联系电话</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u w:val="single"/>
          <w:lang w:val="zh-CN"/>
        </w:rPr>
        <w:t xml:space="preserve"> 13996798479</w:t>
      </w:r>
    </w:p>
    <w:p>
      <w:pPr>
        <w:spacing w:line="360" w:lineRule="auto"/>
        <w:ind w:firstLine="480" w:firstLineChars="200"/>
        <w:jc w:val="left"/>
        <w:rPr>
          <w:rFonts w:cs="仿宋_GB2312" w:asciiTheme="minorEastAsia" w:hAnsiTheme="minorEastAsia" w:eastAsiaTheme="minorEastAsia"/>
          <w:kern w:val="0"/>
          <w:sz w:val="28"/>
          <w:szCs w:val="28"/>
          <w:lang w:val="zh-CN"/>
        </w:rPr>
      </w:pPr>
      <w:r>
        <w:rPr>
          <w:rFonts w:hint="eastAsia" w:asciiTheme="minorEastAsia" w:hAnsiTheme="minorEastAsia" w:eastAsiaTheme="minorEastAsia"/>
          <w:sz w:val="24"/>
          <w:szCs w:val="24"/>
          <w:lang w:val="zh-CN"/>
        </w:rPr>
        <w:t>三级响应，当班值班管理人员组织现场操作人员，在</w:t>
      </w:r>
      <w:r>
        <w:rPr>
          <w:rFonts w:asciiTheme="minorEastAsia" w:hAnsiTheme="minorEastAsia" w:eastAsiaTheme="minorEastAsia"/>
          <w:b/>
          <w:bCs/>
          <w:sz w:val="24"/>
          <w:szCs w:val="24"/>
          <w:lang w:val="zh-CN"/>
        </w:rPr>
        <w:t>5</w:t>
      </w:r>
      <w:r>
        <w:rPr>
          <w:rFonts w:hint="eastAsia" w:asciiTheme="minorEastAsia" w:hAnsiTheme="minorEastAsia" w:eastAsiaTheme="minorEastAsia"/>
          <w:b/>
          <w:bCs/>
          <w:sz w:val="24"/>
          <w:szCs w:val="24"/>
          <w:lang w:val="zh-CN"/>
        </w:rPr>
        <w:t>分钟内</w:t>
      </w:r>
      <w:r>
        <w:rPr>
          <w:rFonts w:hint="eastAsia" w:asciiTheme="minorEastAsia" w:hAnsiTheme="minorEastAsia" w:eastAsiaTheme="minorEastAsia"/>
          <w:sz w:val="24"/>
          <w:szCs w:val="24"/>
          <w:lang w:val="zh-CN"/>
        </w:rPr>
        <w:t>上报班组织负责人，按本单位制定的现场处置方案实施处置救援，结束后报告公司主要负责人。</w:t>
      </w:r>
      <w:r>
        <w:rPr>
          <w:rFonts w:asciiTheme="minorEastAsia" w:hAnsiTheme="minorEastAsia" w:eastAsiaTheme="minorEastAsia"/>
          <w:sz w:val="24"/>
          <w:szCs w:val="24"/>
          <w:lang w:val="zh-CN"/>
        </w:rPr>
        <w:t xml:space="preserve"> </w:t>
      </w:r>
      <w:r>
        <w:rPr>
          <w:rFonts w:hint="eastAsia" w:asciiTheme="minorEastAsia" w:hAnsiTheme="minorEastAsia" w:eastAsiaTheme="minorEastAsia"/>
          <w:b/>
          <w:bCs/>
          <w:sz w:val="24"/>
          <w:szCs w:val="24"/>
          <w:lang w:val="zh-CN"/>
        </w:rPr>
        <w:t>上报人</w:t>
      </w:r>
      <w:r>
        <w:rPr>
          <w:rFonts w:hint="eastAsia" w:asciiTheme="minorEastAsia" w:hAnsiTheme="minorEastAsia" w:eastAsiaTheme="minorEastAsia"/>
          <w:sz w:val="24"/>
          <w:szCs w:val="24"/>
          <w:lang w:val="zh-CN"/>
        </w:rPr>
        <w:t>：</w:t>
      </w:r>
      <w:r>
        <w:rPr>
          <w:rFonts w:hint="eastAsia" w:asciiTheme="minorEastAsia" w:hAnsiTheme="minorEastAsia" w:eastAsiaTheme="minorEastAsia"/>
          <w:sz w:val="24"/>
          <w:szCs w:val="24"/>
          <w:u w:val="single"/>
          <w:lang w:val="zh-CN"/>
        </w:rPr>
        <w:t>生产厂长</w:t>
      </w:r>
      <w:r>
        <w:rPr>
          <w:rFonts w:asciiTheme="minorEastAsia" w:hAnsiTheme="minorEastAsia" w:eastAsiaTheme="minorEastAsia"/>
          <w:sz w:val="24"/>
          <w:szCs w:val="24"/>
          <w:u w:val="single"/>
          <w:lang w:val="zh-CN"/>
        </w:rPr>
        <w:t xml:space="preserve"> </w:t>
      </w:r>
      <w:r>
        <w:rPr>
          <w:rFonts w:hint="eastAsia" w:asciiTheme="minorEastAsia" w:hAnsiTheme="minorEastAsia" w:eastAsiaTheme="minorEastAsia"/>
          <w:sz w:val="24"/>
          <w:szCs w:val="24"/>
          <w:lang w:val="zh-CN"/>
        </w:rPr>
        <w:t>，</w:t>
      </w:r>
      <w:r>
        <w:rPr>
          <w:rFonts w:hint="eastAsia" w:asciiTheme="minorEastAsia" w:hAnsiTheme="minorEastAsia" w:eastAsiaTheme="minorEastAsia"/>
          <w:b/>
          <w:bCs/>
          <w:sz w:val="24"/>
          <w:szCs w:val="24"/>
          <w:lang w:val="zh-CN"/>
        </w:rPr>
        <w:t>联系电话</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u w:val="single"/>
          <w:lang w:val="zh-CN"/>
        </w:rPr>
        <w:t>15123643138</w:t>
      </w:r>
    </w:p>
    <w:p>
      <w:pPr>
        <w:adjustRightInd w:val="0"/>
        <w:snapToGrid w:val="0"/>
        <w:spacing w:line="460" w:lineRule="exact"/>
        <w:outlineLvl w:val="1"/>
        <w:rPr>
          <w:rFonts w:hint="eastAsia"/>
          <w:b/>
          <w:color w:val="000000"/>
          <w:sz w:val="26"/>
          <w:szCs w:val="26"/>
          <w:lang w:val="zh-CN"/>
        </w:rPr>
      </w:pPr>
      <w:bookmarkStart w:id="399" w:name="_Toc346872596"/>
      <w:bookmarkStart w:id="400" w:name="_Toc458674290"/>
      <w:bookmarkStart w:id="401" w:name="_Toc11138"/>
      <w:bookmarkStart w:id="402" w:name="_Toc317088663"/>
      <w:bookmarkStart w:id="403" w:name="_Toc415254548"/>
      <w:bookmarkStart w:id="404" w:name="_Toc387131762"/>
      <w:bookmarkStart w:id="405" w:name="_Toc387131431"/>
      <w:bookmarkStart w:id="406" w:name="_Toc387131505"/>
      <w:bookmarkStart w:id="407" w:name="_Toc24027"/>
      <w:r>
        <w:rPr>
          <w:rFonts w:hint="eastAsia"/>
          <w:b/>
          <w:color w:val="000000"/>
          <w:sz w:val="26"/>
          <w:szCs w:val="26"/>
          <w:lang w:val="zh-CN"/>
        </w:rPr>
        <w:t>6.3 抢险、救援及控制措施</w:t>
      </w:r>
      <w:bookmarkEnd w:id="399"/>
      <w:bookmarkEnd w:id="400"/>
      <w:bookmarkEnd w:id="401"/>
      <w:bookmarkEnd w:id="402"/>
    </w:p>
    <w:p>
      <w:pPr>
        <w:pStyle w:val="120"/>
        <w:ind w:firstLine="0" w:firstLineChars="0"/>
        <w:rPr>
          <w:b/>
        </w:rPr>
      </w:pPr>
      <w:bookmarkStart w:id="408" w:name="_Toc270087503"/>
      <w:bookmarkStart w:id="409" w:name="_Toc317088664"/>
      <w:bookmarkStart w:id="410" w:name="_Toc346872597"/>
      <w:bookmarkStart w:id="411" w:name="_Toc458674291"/>
      <w:bookmarkStart w:id="412" w:name="_Toc270088680"/>
      <w:bookmarkStart w:id="413" w:name="_Toc270519223"/>
      <w:bookmarkStart w:id="414" w:name="_Toc26393"/>
      <w:bookmarkStart w:id="415" w:name="_Toc27474"/>
      <w:bookmarkStart w:id="416" w:name="_Toc288309358"/>
      <w:r>
        <w:rPr>
          <w:rFonts w:hint="eastAsia"/>
          <w:b/>
        </w:rPr>
        <w:t>6</w:t>
      </w:r>
      <w:r>
        <w:rPr>
          <w:b/>
        </w:rPr>
        <w:t>.</w:t>
      </w:r>
      <w:r>
        <w:rPr>
          <w:rFonts w:hint="eastAsia"/>
          <w:b/>
        </w:rPr>
        <w:t>3</w:t>
      </w:r>
      <w:r>
        <w:rPr>
          <w:b/>
        </w:rPr>
        <w:t>.1 人员疏散方案</w:t>
      </w:r>
      <w:bookmarkEnd w:id="408"/>
      <w:bookmarkEnd w:id="409"/>
      <w:bookmarkEnd w:id="410"/>
      <w:bookmarkEnd w:id="411"/>
      <w:bookmarkEnd w:id="412"/>
      <w:bookmarkEnd w:id="413"/>
      <w:bookmarkEnd w:id="414"/>
      <w:bookmarkEnd w:id="415"/>
      <w:bookmarkEnd w:id="416"/>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听到公司疏散人员报警信号时，公司内的人员在负责人带领下迅速有序的离开危险区域，并到指定地点集合，从而避免人员伤亡，装置负责人在撤离前，利用最短时间，关闭该领域内可能会引起更大事故的电源和管道阀门等。事态严重时通知周边人员撤离。</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事故现场人员的撤离</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事故发生后当班负责人应将厂区人员有秩序的疏散到上风口的安全地带，疏散从最危险地段人员开始，相互兼顾照应，并根据风向指明集合地点，人员在安全地点集合，负责人负责清点人数，并向指挥部报告人员情况，发现缺员，应报告所缺员工的姓名和事故前所在位置，立即派人前往灾区寻找失踪人员，提供急救。</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抢救人员在撤离前、撤离后的报告</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负责抢险和救护的人员在接指挥部通知后，应立即带上防护和防护装备赶往现场，听候指令，听从指挥。由组长分工，分批进入事发点进行抢险或救护。在进入事故点前，组长必须向指挥部报告每批参加抢险或救护人员的数量和名单并登记。</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抢修或救护组完成任务后，组长向指挥部报告任务执行情况以及抢险及救护人员安全状况，申请下达撤离命令，指挥部根据事故控制情况，做出撤离或继续抢险抢救的决定，组长若接到撤离命令后，带领抢险或抢救人员撤离事故点至安全地带，清点人数，向指挥部报告。</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周边区域人员的疏散方式方法</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当事故危及周边人员时，由指挥部人员向政府以及周边单位书面发送警报，事态严重紧急时，通过喇叭告知周边人员及时撤离，同时指挥部直接联系政府以及周边单位负责人，由总指挥亲自向政府或负责人发布消息，提出要求组织撤离疏散或请求援助。在发布消息时必须发布事态的缓急程度，提出撤离的具体方法、方式和路线。撤离过程中应采取一定的预防措施，撤离路线原则上按照拟定的路线，撤离距离根据事态严重情况通知。撤离时公司应急小组负责指引周边群众有组织的撤离危险区域。</w:t>
      </w:r>
    </w:p>
    <w:p>
      <w:pPr>
        <w:pStyle w:val="120"/>
        <w:ind w:firstLine="0" w:firstLineChars="0"/>
        <w:rPr>
          <w:b/>
        </w:rPr>
      </w:pPr>
      <w:bookmarkStart w:id="417" w:name="_Toc29881"/>
      <w:bookmarkStart w:id="418" w:name="_Toc21767"/>
      <w:bookmarkStart w:id="419" w:name="_Toc288309359"/>
      <w:bookmarkStart w:id="420" w:name="_Toc317088665"/>
      <w:bookmarkStart w:id="421" w:name="_Toc346872598"/>
      <w:bookmarkStart w:id="422" w:name="_Toc458674292"/>
      <w:bookmarkStart w:id="423" w:name="_Toc270087504"/>
      <w:bookmarkStart w:id="424" w:name="_Toc270088681"/>
      <w:bookmarkStart w:id="425" w:name="_Toc270519224"/>
      <w:r>
        <w:rPr>
          <w:rFonts w:hint="eastAsia"/>
          <w:b/>
        </w:rPr>
        <w:t>6</w:t>
      </w:r>
      <w:r>
        <w:rPr>
          <w:b/>
        </w:rPr>
        <w:t>.</w:t>
      </w:r>
      <w:r>
        <w:rPr>
          <w:rFonts w:hint="eastAsia"/>
          <w:b/>
        </w:rPr>
        <w:t>3</w:t>
      </w:r>
      <w:r>
        <w:rPr>
          <w:b/>
        </w:rPr>
        <w:t>.2 事故现场隔离区的划定、方法</w:t>
      </w:r>
      <w:bookmarkEnd w:id="417"/>
      <w:bookmarkEnd w:id="418"/>
      <w:bookmarkEnd w:id="419"/>
      <w:bookmarkEnd w:id="420"/>
      <w:bookmarkEnd w:id="421"/>
      <w:bookmarkEnd w:id="422"/>
      <w:bookmarkEnd w:id="423"/>
      <w:bookmarkEnd w:id="424"/>
      <w:bookmarkEnd w:id="425"/>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为防止无关人员误入现场造成伤害，按危险区的设定，建立警戒区域，划定事故现场隔离区范围。</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警戒区域的边界应设警示标志并有专人警戒。</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除消防、应急处理人员以及必须坚守岗位的人员外，其他人员禁止进入警戒区。</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注意事故区风向，尤其是下风周围环境，对事故区厂外道路要实行临时的戒严措施。</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 戒严区域内严禁火种，迅速控制泄漏扩散区域方向可能产生明火的地点，控制室关严门窗，扑灭火种。限制车辆通行。</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(5) 泄漏的危险物质可能扩散到厂区外的的，应尽快联络通知周边民众，说明情况，要求采取避险措施。</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(6) 泄漏的危险物质可能扩散影响到更大区域，应尽快联系通知各政府职能单位，说明情况，请求协助处理。</w:t>
      </w:r>
    </w:p>
    <w:p>
      <w:pPr>
        <w:pStyle w:val="120"/>
        <w:ind w:firstLine="0" w:firstLineChars="0"/>
        <w:rPr>
          <w:b/>
        </w:rPr>
      </w:pPr>
      <w:bookmarkStart w:id="426" w:name="_Toc22419"/>
      <w:bookmarkStart w:id="427" w:name="_Toc5739"/>
      <w:bookmarkStart w:id="428" w:name="_Toc288309360"/>
      <w:bookmarkStart w:id="429" w:name="_Toc317088666"/>
      <w:bookmarkStart w:id="430" w:name="_Toc346872599"/>
      <w:bookmarkStart w:id="431" w:name="_Toc458674293"/>
      <w:r>
        <w:rPr>
          <w:rFonts w:hint="eastAsia"/>
          <w:b/>
        </w:rPr>
        <w:t>6</w:t>
      </w:r>
      <w:r>
        <w:rPr>
          <w:b/>
        </w:rPr>
        <w:t>.</w:t>
      </w:r>
      <w:r>
        <w:rPr>
          <w:rFonts w:hint="eastAsia"/>
          <w:b/>
        </w:rPr>
        <w:t>3</w:t>
      </w:r>
      <w:r>
        <w:rPr>
          <w:b/>
        </w:rPr>
        <w:t>.3 事故现场周边区域的道路隔离或交通疏导办法</w:t>
      </w:r>
      <w:bookmarkEnd w:id="426"/>
      <w:bookmarkEnd w:id="427"/>
      <w:bookmarkEnd w:id="428"/>
      <w:bookmarkEnd w:id="429"/>
      <w:bookmarkEnd w:id="430"/>
      <w:bookmarkEnd w:id="431"/>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事故中心区域的道路疏导由应急疏散组负责，在警戒区的路口上设置“事故处理，禁止通行”字样的标识。并指定专人负责指明道路绕行方向。</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事故波及区外道路由政府交通管理部门负责，禁止任何车辆和人员进入，并负责指明道路绕行方向。</w:t>
      </w:r>
    </w:p>
    <w:p>
      <w:pPr>
        <w:pStyle w:val="120"/>
        <w:ind w:firstLine="0" w:firstLineChars="0"/>
        <w:rPr>
          <w:b/>
        </w:rPr>
      </w:pPr>
      <w:bookmarkStart w:id="432" w:name="_Toc270087506"/>
      <w:bookmarkStart w:id="433" w:name="_Toc270088683"/>
      <w:bookmarkStart w:id="434" w:name="_Toc270519226"/>
      <w:bookmarkStart w:id="435" w:name="_Toc8962"/>
      <w:bookmarkStart w:id="436" w:name="_Toc4900"/>
      <w:bookmarkStart w:id="437" w:name="_Toc288309361"/>
      <w:bookmarkStart w:id="438" w:name="_Toc317088667"/>
      <w:bookmarkStart w:id="439" w:name="_Toc346872600"/>
      <w:bookmarkStart w:id="440" w:name="_Toc458674294"/>
      <w:r>
        <w:rPr>
          <w:rFonts w:hint="eastAsia"/>
          <w:b/>
        </w:rPr>
        <w:t>6</w:t>
      </w:r>
      <w:r>
        <w:rPr>
          <w:b/>
        </w:rPr>
        <w:t>.</w:t>
      </w:r>
      <w:r>
        <w:rPr>
          <w:rFonts w:hint="eastAsia"/>
          <w:b/>
        </w:rPr>
        <w:t>3</w:t>
      </w:r>
      <w:r>
        <w:rPr>
          <w:b/>
        </w:rPr>
        <w:t>.4 抢险、救援</w:t>
      </w:r>
      <w:bookmarkEnd w:id="432"/>
      <w:bookmarkEnd w:id="433"/>
      <w:bookmarkEnd w:id="434"/>
      <w:bookmarkEnd w:id="435"/>
      <w:bookmarkEnd w:id="436"/>
      <w:bookmarkEnd w:id="437"/>
      <w:bookmarkEnd w:id="438"/>
      <w:bookmarkEnd w:id="439"/>
      <w:bookmarkEnd w:id="440"/>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抢救原则：</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发生伤亡事故，抢救、急救工作要分秒必争，及时、果断、正确，不得耽误、拖延；</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救护人员进入危险区域必须两人以上分组进行；</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救护人员必须在确保自己安全的前提下进行救护；</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救护人员必须听从指挥，了解危险物质特性及现场情况，防护器具佩戴齐全；</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迅速将伤员抬离现场，搬运方法要正确。</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人员防护</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一般泄漏的防护要求：</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呼吸系统的防护：可能接触其蒸气时，必须佩带防毒面具或供气式头盔；</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眼睛防护：戴化学安全防护镜；</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防护服：穿工作服(防腐材料制作)；</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手防护：戴橡皮手套；</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参加救护、救援人员必须按规定着装，佩戴好个人防护器具，并注意风向，在昏暗地区救援时，应配备有照明灯具。</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人员监护</w:t>
      </w:r>
    </w:p>
    <w:p>
      <w:pPr>
        <w:spacing w:line="360" w:lineRule="auto"/>
        <w:ind w:firstLine="480" w:firstLineChars="200"/>
        <w:jc w:val="left"/>
        <w:rPr>
          <w:rFonts w:hint="eastAsia"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以互助监护为主，按照必须在确保自身安全的前提下进行救护原则处理。在救援中因为不可预见因素而导致队员受伤的，其他救援人员发现时必须向指挥部报告，并作出是否支援的决定，若申请支援时，由指挥部下达预备救援队进入事故现场参加救援的命令，同时将受伤人员带离危险地区。</w:t>
      </w:r>
    </w:p>
    <w:p>
      <w:pPr>
        <w:adjustRightInd w:val="0"/>
        <w:snapToGrid w:val="0"/>
        <w:spacing w:line="460" w:lineRule="exact"/>
        <w:outlineLvl w:val="1"/>
        <w:rPr>
          <w:rFonts w:hint="eastAsia"/>
          <w:b/>
          <w:color w:val="000000"/>
          <w:sz w:val="26"/>
          <w:szCs w:val="26"/>
          <w:lang w:val="zh-CN"/>
        </w:rPr>
      </w:pPr>
      <w:bookmarkStart w:id="441" w:name="_Toc16966"/>
      <w:r>
        <w:rPr>
          <w:rFonts w:hint="eastAsia"/>
          <w:b/>
          <w:color w:val="000000"/>
          <w:sz w:val="26"/>
          <w:szCs w:val="26"/>
          <w:lang w:val="zh-CN"/>
        </w:rPr>
        <w:t>6.4应急处置措施</w:t>
      </w:r>
      <w:bookmarkEnd w:id="441"/>
    </w:p>
    <w:p>
      <w:pPr>
        <w:spacing w:line="360" w:lineRule="auto"/>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确定的危险区域有</w:t>
      </w:r>
      <w:r>
        <w:rPr>
          <w:rFonts w:hint="eastAsia" w:asciiTheme="minorEastAsia" w:hAnsiTheme="minorEastAsia" w:eastAsiaTheme="minorEastAsia"/>
          <w:sz w:val="24"/>
          <w:szCs w:val="24"/>
          <w:lang w:val="zh-CN"/>
        </w:rPr>
        <w:t>①氢氧化钠加药间</w:t>
      </w:r>
      <w:r>
        <w:rPr>
          <w:rFonts w:asciiTheme="minorEastAsia" w:hAnsiTheme="minorEastAsia" w:eastAsiaTheme="minorEastAsia"/>
          <w:sz w:val="24"/>
          <w:szCs w:val="24"/>
          <w:lang w:val="zh-CN"/>
        </w:rPr>
        <w:t>；</w:t>
      </w:r>
      <w:r>
        <w:rPr>
          <w:rFonts w:hint="eastAsia" w:asciiTheme="minorEastAsia" w:hAnsiTheme="minorEastAsia" w:eastAsiaTheme="minorEastAsia"/>
          <w:sz w:val="24"/>
          <w:szCs w:val="24"/>
          <w:lang w:val="zh-CN"/>
        </w:rPr>
        <w:t>②</w:t>
      </w:r>
      <w:r>
        <w:rPr>
          <w:rFonts w:asciiTheme="minorEastAsia" w:hAnsiTheme="minorEastAsia" w:eastAsiaTheme="minorEastAsia"/>
          <w:sz w:val="24"/>
          <w:szCs w:val="24"/>
          <w:lang w:val="zh-CN"/>
        </w:rPr>
        <w:t>厂区污水处理设施设备</w:t>
      </w:r>
      <w:r>
        <w:rPr>
          <w:rFonts w:hint="eastAsia" w:asciiTheme="minorEastAsia" w:hAnsiTheme="minorEastAsia" w:eastAsiaTheme="minorEastAsia"/>
          <w:sz w:val="24"/>
          <w:szCs w:val="24"/>
          <w:lang w:val="zh-CN"/>
        </w:rPr>
        <w:t>及厂外管网泵站</w:t>
      </w:r>
      <w:r>
        <w:rPr>
          <w:rFonts w:asciiTheme="minorEastAsia" w:hAnsiTheme="minorEastAsia" w:eastAsiaTheme="minorEastAsia"/>
          <w:sz w:val="24"/>
          <w:szCs w:val="24"/>
          <w:lang w:val="zh-CN"/>
        </w:rPr>
        <w:t>。根据分析危险源的危险类型可知，</w:t>
      </w: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发生环境事故主要是盐酸等危化品泄漏及污水处理设施设备故障导致污水直接排放或未处理达标排放到地表水体污染环境。按照国家关于危化品生产使用单位突发环境事件应急预案的要求，重大危险源必须一源一案，并做好厂区风险源标识，防范措施卡片化，便于职工操作。</w:t>
      </w:r>
    </w:p>
    <w:p>
      <w:pPr>
        <w:adjustRightInd w:val="0"/>
        <w:snapToGrid w:val="0"/>
        <w:spacing w:line="460" w:lineRule="exact"/>
        <w:outlineLvl w:val="1"/>
        <w:rPr>
          <w:rFonts w:hint="eastAsia"/>
          <w:b/>
          <w:color w:val="000000"/>
          <w:sz w:val="26"/>
          <w:szCs w:val="26"/>
          <w:lang w:val="zh-CN"/>
        </w:rPr>
      </w:pPr>
      <w:bookmarkStart w:id="442" w:name="_Toc8005"/>
      <w:r>
        <w:rPr>
          <w:rFonts w:hint="eastAsia"/>
          <w:b/>
          <w:color w:val="000000"/>
          <w:sz w:val="26"/>
          <w:szCs w:val="26"/>
          <w:lang w:val="zh-CN"/>
        </w:rPr>
        <w:t>6.4.1处置原则</w:t>
      </w:r>
      <w:bookmarkEnd w:id="442"/>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事故或险情出现后，所属人员必须按“保障人员生命安全优先，防止事故扩大措施优先”的原则，实施先期抢险救援。主要内容：抢救受伤人员和在危险区人员；堵漏、关闭阀、停止所有电器设施、灭火、隔离危险区等；组织无关人员撤离到安全区域，清点现场人数；组织力量消除道路堵塞，为下步应急救援创造条件。</w:t>
      </w:r>
    </w:p>
    <w:p>
      <w:pPr>
        <w:adjustRightInd w:val="0"/>
        <w:snapToGrid w:val="0"/>
        <w:spacing w:line="460" w:lineRule="exact"/>
        <w:outlineLvl w:val="1"/>
        <w:rPr>
          <w:rFonts w:hint="eastAsia"/>
          <w:b/>
          <w:color w:val="000000"/>
          <w:sz w:val="26"/>
          <w:szCs w:val="26"/>
          <w:lang w:val="zh-CN"/>
        </w:rPr>
      </w:pPr>
      <w:bookmarkStart w:id="443" w:name="_Toc30936"/>
      <w:r>
        <w:rPr>
          <w:rFonts w:hint="eastAsia"/>
          <w:b/>
          <w:color w:val="000000"/>
          <w:sz w:val="26"/>
          <w:szCs w:val="26"/>
          <w:lang w:val="zh-CN"/>
        </w:rPr>
        <w:t>6.4.2 应急流程</w:t>
      </w:r>
      <w:bookmarkEnd w:id="443"/>
    </w:p>
    <w:p>
      <w:pPr>
        <w:spacing w:line="360" w:lineRule="auto"/>
        <w:ind w:firstLine="480" w:firstLineChars="200"/>
        <w:jc w:val="left"/>
        <w:rPr>
          <w:rFonts w:hint="eastAsia" w:asciiTheme="minorEastAsia" w:hAnsiTheme="minorEastAsia" w:eastAsiaTheme="minorEastAsia"/>
          <w:sz w:val="24"/>
          <w:szCs w:val="24"/>
          <w:lang w:val="zh-CN"/>
        </w:rPr>
      </w:pPr>
      <w:r>
        <w:rPr>
          <w:rFonts w:asciiTheme="minorEastAsia" w:hAnsiTheme="minorEastAsia" w:eastAsiaTheme="minorEastAsia"/>
          <w:sz w:val="24"/>
          <w:szCs w:val="24"/>
          <w:lang w:val="zh-CN"/>
        </w:rPr>
        <w:t>当发生危险化学品泄漏、环境污染等危险事故时，其处置流程见</w:t>
      </w:r>
      <w:r>
        <w:rPr>
          <w:rFonts w:hint="eastAsia" w:asciiTheme="minorEastAsia" w:hAnsiTheme="minorEastAsia" w:eastAsiaTheme="minorEastAsia"/>
          <w:sz w:val="24"/>
          <w:szCs w:val="24"/>
          <w:lang w:val="zh-CN"/>
        </w:rPr>
        <w:t>图6-2。</w:t>
      </w:r>
    </w:p>
    <w:p>
      <w:pPr>
        <w:spacing w:line="360" w:lineRule="auto"/>
        <w:ind w:firstLine="480" w:firstLineChars="200"/>
        <w:jc w:val="left"/>
        <w:rPr>
          <w:rFonts w:hint="eastAsia" w:asciiTheme="minorEastAsia" w:hAnsiTheme="minorEastAsia" w:eastAsiaTheme="minorEastAsia"/>
          <w:sz w:val="24"/>
          <w:szCs w:val="24"/>
          <w:lang w:val="zh-CN"/>
        </w:rPr>
      </w:pPr>
    </w:p>
    <w:p>
      <w:pPr>
        <w:adjustRightInd w:val="0"/>
        <w:snapToGrid w:val="0"/>
        <w:spacing w:line="460" w:lineRule="exact"/>
        <w:ind w:firstLine="520" w:firstLineChars="200"/>
        <w:rPr>
          <w:color w:val="000000"/>
          <w:sz w:val="26"/>
          <w:szCs w:val="26"/>
        </w:rPr>
      </w:pPr>
    </w:p>
    <w:p>
      <w:pPr>
        <w:spacing w:line="360" w:lineRule="auto"/>
        <w:jc w:val="left"/>
        <w:rPr>
          <w:rFonts w:asciiTheme="minorEastAsia" w:hAnsiTheme="minorEastAsia" w:eastAsiaTheme="minorEastAsia"/>
          <w:sz w:val="24"/>
          <w:szCs w:val="24"/>
          <w:lang w:val="zh-CN"/>
        </w:rPr>
      </w:pPr>
    </w:p>
    <w:p>
      <w:pPr>
        <w:adjustRightInd w:val="0"/>
        <w:snapToGrid w:val="0"/>
        <w:spacing w:line="460" w:lineRule="exact"/>
        <w:ind w:firstLine="520" w:firstLineChars="200"/>
        <w:rPr>
          <w:color w:val="000000"/>
          <w:sz w:val="26"/>
          <w:szCs w:val="26"/>
        </w:rPr>
      </w:pPr>
    </w:p>
    <w:p>
      <w:pPr>
        <w:adjustRightInd w:val="0"/>
        <w:snapToGrid w:val="0"/>
        <w:spacing w:line="460" w:lineRule="exact"/>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520" w:firstLineChars="200"/>
        <w:rPr>
          <w:color w:val="000000"/>
          <w:sz w:val="26"/>
          <w:szCs w:val="26"/>
        </w:rPr>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420" w:firstLineChars="200"/>
      </w:pPr>
    </w:p>
    <w:p>
      <w:pPr>
        <w:adjustRightInd w:val="0"/>
        <w:snapToGrid w:val="0"/>
        <w:spacing w:line="460" w:lineRule="exact"/>
        <w:ind w:firstLine="520" w:firstLineChars="200"/>
        <w:rPr>
          <w:color w:val="000000"/>
          <w:sz w:val="26"/>
          <w:szCs w:val="26"/>
        </w:rPr>
      </w:pPr>
      <w:r>
        <w:rPr>
          <w:color w:val="000000"/>
          <w:sz w:val="26"/>
          <w:szCs w:val="26"/>
        </w:rPr>
        <w:pict>
          <v:group id="画布 1912" o:spid="_x0000_s1183" o:spt="203" style="height:577.2pt;width:456.75pt;" coordorigin="1588,3578" coordsize="9135,11544" editas="canvas">
            <o:lock v:ext="edit"/>
            <v:shape id="画布 1912" o:spid="_x0000_s1184" o:spt="75" type="#_x0000_t75" style="position:absolute;left:1588;top:3578;height:11544;width:9135;" filled="f" o:preferrelative="f" stroked="f" coordsize="21600,21600">
              <v:path/>
              <v:fill on="f" focussize="0,0"/>
              <v:stroke on="f" joinstyle="miter"/>
              <v:imagedata o:title=""/>
              <o:lock v:ext="edit" rotation="t" text="t" aspectratio="t"/>
            </v:shape>
            <v:rect id="矩形 1914" o:spid="_x0000_s1185" o:spt="1" style="position:absolute;left:5368;top:4982;height:780;width:1890;" fillcolor="#FF0000" filled="f" coordsize="21600,21600">
              <v:path/>
              <v:fill on="f" focussize="0,0"/>
              <v:stroke/>
              <v:imagedata o:title=""/>
              <o:lock v:ext="edit"/>
              <v:textbox>
                <w:txbxContent>
                  <w:p>
                    <w:pPr>
                      <w:jc w:val="center"/>
                    </w:pPr>
                    <w:r>
                      <w:rPr>
                        <w:rFonts w:hint="eastAsia"/>
                      </w:rPr>
                      <w:t>岗位人员现场紧急处置</w:t>
                    </w:r>
                  </w:p>
                </w:txbxContent>
              </v:textbox>
            </v:rect>
            <v:rect id="矩形 1915" o:spid="_x0000_s1186" o:spt="1" style="position:absolute;left:5247;top:6542;height:778;width:2116;" fillcolor="#FF0000" filled="f" coordsize="21600,21600">
              <v:path/>
              <v:fill on="f" focussize="0,0"/>
              <v:stroke/>
              <v:imagedata o:title=""/>
              <o:lock v:ext="edit"/>
              <v:textbox>
                <w:txbxContent>
                  <w:p>
                    <w:pPr>
                      <w:jc w:val="center"/>
                    </w:pPr>
                    <w:r>
                      <w:rPr>
                        <w:rFonts w:hint="eastAsia"/>
                      </w:rPr>
                      <w:t>同时报告现场管理人员</w:t>
                    </w:r>
                  </w:p>
                </w:txbxContent>
              </v:textbox>
            </v:rect>
            <v:rect id="矩形 1916" o:spid="_x0000_s1187" o:spt="1" style="position:absolute;left:5247;top:7946;height:780;width:2116;" coordsize="21600,21600">
              <v:path/>
              <v:fill focussize="0,0"/>
              <v:stroke/>
              <v:imagedata o:title=""/>
              <o:lock v:ext="edit"/>
              <v:textbox inset="2.54mm,3.3mm,2.54mm,1.27mm">
                <w:txbxContent>
                  <w:p>
                    <w:pPr>
                      <w:jc w:val="center"/>
                      <w:rPr>
                        <w:szCs w:val="21"/>
                      </w:rPr>
                    </w:pPr>
                    <w:r>
                      <w:rPr>
                        <w:rFonts w:hint="eastAsia"/>
                        <w:szCs w:val="21"/>
                      </w:rPr>
                      <w:t>启动现场处置方案</w:t>
                    </w:r>
                  </w:p>
                </w:txbxContent>
              </v:textbox>
            </v:rect>
            <v:line id="直线 1917" o:spid="_x0000_s1188" o:spt="20" style="position:absolute;left:6208;top:4202;height:780;width:0;" coordsize="21600,21600">
              <v:path arrowok="t"/>
              <v:fill focussize="0,0"/>
              <v:stroke endarrow="block"/>
              <v:imagedata o:title=""/>
              <o:lock v:ext="edit"/>
            </v:line>
            <v:line id="直线 1918" o:spid="_x0000_s1189" o:spt="20" style="position:absolute;left:6208;top:5762;height:780;width:0;" coordsize="21600,21600">
              <v:path arrowok="t"/>
              <v:fill focussize="0,0"/>
              <v:stroke endarrow="block"/>
              <v:imagedata o:title=""/>
              <o:lock v:ext="edit"/>
            </v:line>
            <v:rect id="矩形 1919" o:spid="_x0000_s1190" o:spt="1" style="position:absolute;left:6208;top:6073;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0" o:spid="_x0000_s1191" o:spt="1" style="position:absolute;left:5247;top:9659;height:780;width:2116;" coordsize="21600,21600">
              <v:path/>
              <v:fill focussize="0,0"/>
              <v:stroke/>
              <v:imagedata o:title=""/>
              <o:lock v:ext="edit"/>
              <v:textbox inset="2.54mm,3.3mm,2.54mm,1.27mm">
                <w:txbxContent>
                  <w:p>
                    <w:pPr>
                      <w:jc w:val="center"/>
                      <w:rPr>
                        <w:szCs w:val="21"/>
                      </w:rPr>
                    </w:pPr>
                    <w:r>
                      <w:rPr>
                        <w:rFonts w:hint="eastAsia"/>
                        <w:szCs w:val="21"/>
                      </w:rPr>
                      <w:t>启动综合救援预案</w:t>
                    </w:r>
                  </w:p>
                </w:txbxContent>
              </v:textbox>
            </v:rect>
            <v:rect id="矩形 1921" o:spid="_x0000_s1192" o:spt="1" style="position:absolute;left:8428;top:11222;height:780;width:1666;" coordsize="21600,21600">
              <v:path/>
              <v:fill focussize="0,0"/>
              <v:stroke/>
              <v:imagedata o:title=""/>
              <o:lock v:ext="edit"/>
              <v:textbox>
                <w:txbxContent>
                  <w:p>
                    <w:pPr>
                      <w:jc w:val="center"/>
                      <w:rPr>
                        <w:szCs w:val="21"/>
                      </w:rPr>
                    </w:pPr>
                    <w:r>
                      <w:rPr>
                        <w:rFonts w:hint="eastAsia"/>
                        <w:szCs w:val="21"/>
                      </w:rPr>
                      <w:t>启动当地政府应救援预案</w:t>
                    </w:r>
                  </w:p>
                  <w:p>
                    <w:pPr>
                      <w:rPr>
                        <w:szCs w:val="21"/>
                      </w:rPr>
                    </w:pPr>
                  </w:p>
                </w:txbxContent>
              </v:textbox>
            </v:rect>
            <v:rect id="矩形 1922" o:spid="_x0000_s1193" o:spt="1" style="position:absolute;left:5368;top:3578;height:714;width:1799;" coordsize="21600,21600">
              <v:path/>
              <v:fill focussize="0,0"/>
              <v:stroke/>
              <v:imagedata o:title=""/>
              <o:lock v:ext="edit"/>
              <v:textbox>
                <w:txbxContent>
                  <w:p>
                    <w:pPr>
                      <w:spacing w:beforeLines="50" w:afterLines="50"/>
                      <w:jc w:val="center"/>
                      <w:rPr>
                        <w:szCs w:val="21"/>
                      </w:rPr>
                    </w:pPr>
                    <w:r>
                      <w:rPr>
                        <w:rFonts w:hint="eastAsia"/>
                        <w:szCs w:val="21"/>
                      </w:rPr>
                      <w:t>事故发生</w:t>
                    </w:r>
                  </w:p>
                  <w:p>
                    <w:pPr>
                      <w:rPr>
                        <w:szCs w:val="21"/>
                      </w:rPr>
                    </w:pPr>
                  </w:p>
                </w:txbxContent>
              </v:textbox>
            </v:rect>
            <v:line id="直线 1923" o:spid="_x0000_s1194" o:spt="20" style="position:absolute;left:7348;top:11690;height:1;width:1079;" coordsize="21600,21600">
              <v:path arrowok="t"/>
              <v:fill focussize="0,0"/>
              <v:stroke endarrow="block"/>
              <v:imagedata o:title=""/>
              <o:lock v:ext="edit"/>
            </v:line>
            <v:line id="直线 1924" o:spid="_x0000_s1195" o:spt="20" style="position:absolute;left:6208;top:7322;height:624;width:0;" coordsize="21600,21600">
              <v:path arrowok="t"/>
              <v:fill focussize="0,0"/>
              <v:stroke endarrow="block"/>
              <v:imagedata o:title=""/>
              <o:lock v:ext="edit"/>
            </v:line>
            <v:line id="直线 1925" o:spid="_x0000_s1196" o:spt="20" style="position:absolute;left:6297;top:8726;height:933;width:1;" coordsize="21600,21600">
              <v:path arrowok="t"/>
              <v:fill focussize="0,0"/>
              <v:stroke endarrow="block"/>
              <v:imagedata o:title=""/>
              <o:lock v:ext="edit"/>
            </v:line>
            <v:rect id="矩形 1926" o:spid="_x0000_s1197" o:spt="1" style="position:absolute;left:7528;top:11222;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7" o:spid="_x0000_s1198" o:spt="1" style="position:absolute;left:5247;top:11174;height:750;width:2116;" coordsize="21600,21600">
              <v:path/>
              <v:fill focussize="0,0"/>
              <v:stroke/>
              <v:imagedata o:title=""/>
              <o:lock v:ext="edit"/>
              <v:textbox>
                <w:txbxContent>
                  <w:p>
                    <w:pPr>
                      <w:spacing w:beforeLines="50" w:afterLines="50"/>
                      <w:jc w:val="center"/>
                      <w:rPr>
                        <w:szCs w:val="21"/>
                      </w:rPr>
                    </w:pPr>
                    <w:r>
                      <w:rPr>
                        <w:rFonts w:hint="eastAsia"/>
                        <w:szCs w:val="21"/>
                      </w:rPr>
                      <w:t>现场处置</w:t>
                    </w:r>
                  </w:p>
                  <w:p>
                    <w:pPr>
                      <w:rPr>
                        <w:szCs w:val="21"/>
                      </w:rPr>
                    </w:pPr>
                  </w:p>
                </w:txbxContent>
              </v:textbox>
            </v:rect>
            <v:rect id="矩形 1928" o:spid="_x0000_s1199" o:spt="1" style="position:absolute;left:6298;top:10585;height:469;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29" o:spid="_x0000_s1200" o:spt="20" style="position:absolute;left:6297;top:10439;height:735;width:1;" coordsize="21600,21600">
              <v:path arrowok="t"/>
              <v:fill focussize="0,0"/>
              <v:stroke endarrow="block"/>
              <v:imagedata o:title=""/>
              <o:lock v:ext="edit"/>
            </v:line>
            <v:rect id="矩形 1930" o:spid="_x0000_s1201" o:spt="1" style="position:absolute;left:6389;top:8909;height:626;width:974;" filled="f" stroked="t" coordsize="21600,21600">
              <v:path/>
              <v:fill on="f" focussize="0,0"/>
              <v:stroke weight="1pt" color="#FFFFFF" dashstyle="dash"/>
              <v:imagedata o:title=""/>
              <o:lock v:ext="edit"/>
              <v:textbox>
                <w:txbxContent>
                  <w:p>
                    <w:pPr>
                      <w:spacing w:beforeLines="50" w:afterLines="50"/>
                      <w:jc w:val="center"/>
                      <w:rPr>
                        <w:szCs w:val="21"/>
                      </w:rPr>
                    </w:pPr>
                    <w:r>
                      <w:rPr>
                        <w:rFonts w:hint="eastAsia"/>
                        <w:szCs w:val="21"/>
                      </w:rPr>
                      <w:t>不可控</w:t>
                    </w:r>
                  </w:p>
                  <w:p>
                    <w:pPr>
                      <w:rPr>
                        <w:szCs w:val="21"/>
                      </w:rPr>
                    </w:pPr>
                  </w:p>
                </w:txbxContent>
              </v:textbox>
            </v:rect>
            <v:rect id="矩形 1931" o:spid="_x0000_s1202" o:spt="1" style="position:absolute;left:5473;top:13718;height:846;width:1694;" coordsize="21600,21600">
              <v:path/>
              <v:fill focussize="0,0"/>
              <v:stroke/>
              <v:imagedata o:title=""/>
              <o:lock v:ext="edit"/>
              <v:textbox>
                <w:txbxContent>
                  <w:p>
                    <w:pPr>
                      <w:spacing w:beforeLines="50" w:afterLines="50"/>
                      <w:jc w:val="center"/>
                      <w:rPr>
                        <w:szCs w:val="21"/>
                      </w:rPr>
                    </w:pPr>
                    <w:r>
                      <w:rPr>
                        <w:rFonts w:hint="eastAsia"/>
                        <w:szCs w:val="21"/>
                      </w:rPr>
                      <w:t>现场恢复</w:t>
                    </w:r>
                  </w:p>
                  <w:p>
                    <w:pPr>
                      <w:rPr>
                        <w:szCs w:val="21"/>
                      </w:rPr>
                    </w:pPr>
                  </w:p>
                </w:txbxContent>
              </v:textbox>
            </v:rect>
            <v:line id="直线 1932" o:spid="_x0000_s1203" o:spt="20" style="position:absolute;left:6296;top:11924;height:1794;width:1;" coordsize="21600,21600">
              <v:path arrowok="t"/>
              <v:fill focussize="0,0"/>
              <v:stroke endarrow="block"/>
              <v:imagedata o:title=""/>
              <o:lock v:ext="edit"/>
            </v:line>
            <v:line id="直线 1933" o:spid="_x0000_s1204" o:spt="20" style="position:absolute;left:6297;top:12826;flip:x;height:1;width:2955;" coordsize="21600,21600">
              <v:path arrowok="t"/>
              <v:fill focussize="0,0"/>
              <v:stroke endarrow="block"/>
              <v:imagedata o:title=""/>
              <o:lock v:ext="edit"/>
            </v:line>
            <v:line id="直线 1934" o:spid="_x0000_s1205" o:spt="20" style="position:absolute;left:9252;top:12164;flip:y;height:663;width:1;" coordsize="21600,21600">
              <v:path arrowok="t"/>
              <v:fill focussize="0,0"/>
              <v:stroke/>
              <v:imagedata o:title=""/>
              <o:lock v:ext="edit"/>
            </v:line>
            <v:rect id="矩形 1935" o:spid="_x0000_s1206" o:spt="1" style="position:absolute;left:2113;top:12314;height:624;width:1995;" coordsize="21600,21600">
              <v:path/>
              <v:fill focussize="0,0"/>
              <v:stroke/>
              <v:imagedata o:title=""/>
              <o:lock v:ext="edit"/>
              <v:textbox>
                <w:txbxContent>
                  <w:p>
                    <w:pPr>
                      <w:spacing w:beforeLines="50" w:afterLines="50"/>
                      <w:jc w:val="center"/>
                      <w:rPr>
                        <w:szCs w:val="21"/>
                      </w:rPr>
                    </w:pPr>
                    <w:r>
                      <w:rPr>
                        <w:rFonts w:hint="eastAsia"/>
                        <w:szCs w:val="21"/>
                      </w:rPr>
                      <w:t>完成事故调查报告</w:t>
                    </w:r>
                  </w:p>
                  <w:p>
                    <w:pPr>
                      <w:rPr>
                        <w:szCs w:val="21"/>
                      </w:rPr>
                    </w:pPr>
                  </w:p>
                </w:txbxContent>
              </v:textbox>
            </v:rect>
            <v:line id="直线 1936" o:spid="_x0000_s1207" o:spt="20" style="position:absolute;left:4108;top:14030;flip:x;height:0;width:1365;" coordsize="21600,21600">
              <v:path arrowok="t"/>
              <v:fill focussize="0,0"/>
              <v:stroke endarrow="block"/>
              <v:imagedata o:title=""/>
              <o:lock v:ext="edit"/>
            </v:line>
            <v:line id="直线 1937" o:spid="_x0000_s1208" o:spt="20" style="position:absolute;left:3058;top:12938;flip:y;height:780;width:0;" coordsize="21600,21600">
              <v:path arrowok="t"/>
              <v:fill focussize="0,0"/>
              <v:stroke endarrow="block"/>
              <v:imagedata o:title=""/>
              <o:lock v:ext="edit"/>
            </v:line>
            <v:line id="直线 1938" o:spid="_x0000_s1209" o:spt="20" style="position:absolute;left:3028;top:13406;flip:x;height:1;width:1604;" coordsize="21600,21600">
              <v:path arrowok="t"/>
              <v:fill focussize="0,0"/>
              <v:stroke endarrow="block"/>
              <v:imagedata o:title=""/>
              <o:lock v:ext="edit"/>
            </v:line>
            <v:rect id="矩形 1939" o:spid="_x0000_s1210" o:spt="1" style="position:absolute;left:4407;top:7868;height:468;width:840;" fillcolor="#FF0000" filled="f" stroked="f" coordsize="21600,21600">
              <v:path/>
              <v:fill on="f" focussize="0,0"/>
              <v:stroke on="f"/>
              <v:imagedata o:title=""/>
              <o:lock v:ext="edit"/>
              <v:textbox>
                <w:txbxContent>
                  <w:p>
                    <w:pPr>
                      <w:jc w:val="center"/>
                    </w:pPr>
                    <w:r>
                      <w:rPr>
                        <w:rFonts w:hint="eastAsia"/>
                      </w:rPr>
                      <w:t>可控</w:t>
                    </w:r>
                  </w:p>
                </w:txbxContent>
              </v:textbox>
            </v:rect>
            <v:rect id="矩形 1940" o:spid="_x0000_s1211" o:spt="1" style="position:absolute;left:2113;top:13718;height:1404;width:1995;" coordsize="21600,21600">
              <v:path/>
              <v:fill focussize="0,0"/>
              <v:stroke/>
              <v:imagedata o:title=""/>
              <o:lock v:ext="edit"/>
              <v:textbox>
                <w:txbxContent>
                  <w:p>
                    <w:pPr>
                      <w:jc w:val="center"/>
                      <w:rPr>
                        <w:szCs w:val="21"/>
                      </w:rPr>
                    </w:pPr>
                    <w:r>
                      <w:rPr>
                        <w:rFonts w:hint="eastAsia"/>
                        <w:szCs w:val="21"/>
                      </w:rPr>
                      <w:t>现场应急救援组</w:t>
                    </w:r>
                  </w:p>
                  <w:p>
                    <w:pPr>
                      <w:jc w:val="center"/>
                      <w:rPr>
                        <w:szCs w:val="21"/>
                      </w:rPr>
                    </w:pPr>
                    <w:r>
                      <w:rPr>
                        <w:rFonts w:hint="eastAsia"/>
                        <w:szCs w:val="21"/>
                      </w:rPr>
                      <w:t>组长：当班班长</w:t>
                    </w:r>
                  </w:p>
                </w:txbxContent>
              </v:textbox>
            </v:rect>
            <v:line id="直线 1941" o:spid="_x0000_s1212" o:spt="20" style="position:absolute;left:4272;top:5450;flip:x;height:1;width:1096;" coordsize="21600,21600">
              <v:path arrowok="t"/>
              <v:fill focussize="0,0"/>
              <v:stroke/>
              <v:imagedata o:title=""/>
              <o:lock v:ext="edit"/>
            </v:line>
            <v:line id="直线 1942" o:spid="_x0000_s1213" o:spt="20" style="position:absolute;left:4272;top:5451;height:7956;width:1;" coordsize="21600,21600">
              <v:path arrowok="t"/>
              <v:fill focussize="0,0"/>
              <v:stroke/>
              <v:imagedata o:title=""/>
              <o:lock v:ext="edit"/>
            </v:line>
            <v:shape id="自选图形 1943" o:spid="_x0000_s1214" o:spt="33" type="#_x0000_t33" style="position:absolute;left:4632;top:8336;flip:y;height:5070;width:615;rotation:11796480f;" o:connectortype="elbow" filled="f" coordsize="21600,21600" adj="-180281,26346,-180281">
              <v:path arrowok="t"/>
              <v:fill on="f" focussize="0,0"/>
              <v:stroke joinstyle="miter"/>
              <v:imagedata o:title=""/>
              <o:lock v:ext="edit"/>
            </v:shape>
            <v:rect id="矩形 1944" o:spid="_x0000_s1215" o:spt="1" style="position:absolute;left:4407;top:4982;height:468;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45" o:spid="_x0000_s1216" o:spt="20" style="position:absolute;left:5008;top:11534;height:1;width:180;" coordsize="21600,21600">
              <v:path arrowok="t"/>
              <v:fill focussize="0,0"/>
              <v:stroke/>
              <v:imagedata o:title=""/>
              <o:lock v:ext="edit"/>
            </v:line>
            <v:line id="直线 1946" o:spid="_x0000_s1217" o:spt="20" style="position:absolute;left:5008;top:11534;height:1872;width:0;" coordsize="21600,21600">
              <v:path arrowok="t"/>
              <v:fill focussize="0,0"/>
              <v:stroke/>
              <v:imagedata o:title=""/>
              <o:lock v:ext="edit"/>
            </v:line>
            <v:line id="直线 1947" o:spid="_x0000_s1218" o:spt="20" style="position:absolute;left:4648;top:13406;flip:x;height:0;width:360;" coordsize="21600,21600">
              <v:path arrowok="t"/>
              <v:fill focussize="0,0"/>
              <v:stroke/>
              <v:imagedata o:title=""/>
              <o:lock v:ext="edit"/>
            </v:line>
            <v:rect id="矩形 1948" o:spid="_x0000_s1219" o:spt="1" style="position:absolute;left:4468;top:11066;height:468;width:840;" fillcolor="#FF0000" filled="f" stroked="f" coordsize="21600,21600">
              <v:path/>
              <v:fill on="f" focussize="0,0"/>
              <v:stroke on="f"/>
              <v:imagedata o:title=""/>
              <o:lock v:ext="edit"/>
              <v:textbox>
                <w:txbxContent>
                  <w:p>
                    <w:pPr>
                      <w:jc w:val="center"/>
                    </w:pPr>
                    <w:r>
                      <w:rPr>
                        <w:rFonts w:hint="eastAsia"/>
                      </w:rPr>
                      <w:t>可控</w:t>
                    </w:r>
                  </w:p>
                </w:txbxContent>
              </v:textbox>
            </v:rect>
            <w10:wrap type="none"/>
            <w10:anchorlock/>
          </v:group>
        </w:pict>
      </w:r>
    </w:p>
    <w:p>
      <w:pPr>
        <w:adjustRightInd w:val="0"/>
        <w:snapToGrid w:val="0"/>
        <w:spacing w:line="460" w:lineRule="exact"/>
        <w:ind w:firstLine="482" w:firstLineChars="200"/>
        <w:jc w:val="center"/>
        <w:rPr>
          <w:b/>
          <w:color w:val="000000"/>
          <w:sz w:val="26"/>
          <w:szCs w:val="26"/>
        </w:rPr>
      </w:pPr>
      <w:r>
        <w:rPr>
          <w:rFonts w:hint="eastAsia" w:cs="仿宋_GB2312" w:asciiTheme="minorEastAsia" w:hAnsiTheme="minorEastAsia" w:eastAsiaTheme="minorEastAsia"/>
          <w:b/>
          <w:kern w:val="0"/>
          <w:sz w:val="24"/>
          <w:szCs w:val="24"/>
          <w:lang w:val="zh-CN"/>
        </w:rPr>
        <w:t>图6-1 应急工作流程图</w:t>
      </w: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bookmarkStart w:id="444" w:name="_Toc23835"/>
      <w:r>
        <w:rPr>
          <w:rFonts w:hint="eastAsia"/>
          <w:b/>
          <w:color w:val="000000"/>
          <w:sz w:val="26"/>
          <w:szCs w:val="26"/>
          <w:lang w:val="zh-CN"/>
        </w:rPr>
        <w:t>6.4.3一源一案</w:t>
      </w:r>
      <w:bookmarkEnd w:id="444"/>
    </w:p>
    <w:p>
      <w:pPr>
        <w:spacing w:line="480" w:lineRule="exact"/>
        <w:rPr>
          <w:rFonts w:asciiTheme="minorEastAsia" w:hAnsiTheme="minorEastAsia" w:eastAsiaTheme="minorEastAsia"/>
          <w:b/>
          <w:sz w:val="24"/>
          <w:szCs w:val="24"/>
          <w:lang w:val="zh-CN"/>
        </w:rPr>
      </w:pPr>
      <w:r>
        <w:rPr>
          <w:rFonts w:hint="eastAsia" w:asciiTheme="minorEastAsia" w:hAnsiTheme="minorEastAsia" w:eastAsiaTheme="minorEastAsia"/>
          <w:b/>
          <w:sz w:val="24"/>
          <w:szCs w:val="24"/>
        </w:rPr>
        <w:t>6.4.3</w:t>
      </w:r>
      <w:r>
        <w:rPr>
          <w:rFonts w:hint="eastAsia" w:cs="仿宋_GB2312" w:asciiTheme="minorEastAsia" w:hAnsiTheme="minorEastAsia" w:eastAsiaTheme="minorEastAsia"/>
          <w:b/>
          <w:sz w:val="24"/>
          <w:szCs w:val="24"/>
          <w:lang w:val="zh-CN"/>
        </w:rPr>
        <w:t>.1</w:t>
      </w:r>
      <w:r>
        <w:rPr>
          <w:rFonts w:hint="eastAsia" w:asciiTheme="minorEastAsia" w:hAnsiTheme="minorEastAsia" w:eastAsiaTheme="minorEastAsia"/>
          <w:b/>
          <w:sz w:val="24"/>
          <w:szCs w:val="24"/>
        </w:rPr>
        <w:t>氢氧化钠泄漏处置措施</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迅速查明泄漏部位和泄漏量大小，在确保安全的情况采取如下措施：</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应急处置过程中应急处理人员必须穿戴好工作服，佩戴化学安全防护眼镜，戴耐酸碱手套。</w:t>
      </w:r>
    </w:p>
    <w:p>
      <w:pPr>
        <w:adjustRightInd w:val="0"/>
        <w:snapToGrid w:val="0"/>
        <w:spacing w:line="46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小量泄漏：尽可能将溢漏固体集在塑胶容器内，收集回收后用水冲洗残留物，冲洗水进入事故池，用适量盐酸中和，测定PH值等后合格后经环保部门批准排放。</w:t>
      </w:r>
    </w:p>
    <w:p>
      <w:pPr>
        <w:adjustRightInd w:val="0"/>
        <w:snapToGrid w:val="0"/>
        <w:spacing w:line="460" w:lineRule="exact"/>
        <w:ind w:firstLine="480" w:firstLineChars="200"/>
        <w:rPr>
          <w:rFonts w:hint="eastAsia"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大量泄漏：若固态氢氧化钠发生大量泄漏后遇水，确认储存区围堰至事故池阀门关闭，用耐酸泵转移至专用容器中，若无法盛装，通过槽车转移至废物处理单位。残液用水冲洗，冲洗水进入事故池，用适量盐酸中和，测定PH值等合格后经环保部门批准后排放。</w:t>
      </w:r>
    </w:p>
    <w:bookmarkEnd w:id="403"/>
    <w:bookmarkEnd w:id="404"/>
    <w:bookmarkEnd w:id="405"/>
    <w:bookmarkEnd w:id="406"/>
    <w:bookmarkEnd w:id="407"/>
    <w:p>
      <w:pPr>
        <w:spacing w:beforeLines="50" w:afterLines="50" w:line="440" w:lineRule="exact"/>
        <w:rPr>
          <w:rFonts w:cs="仿宋_GB2312" w:asciiTheme="minorEastAsia" w:hAnsiTheme="minorEastAsia" w:eastAsiaTheme="minorEastAsia"/>
          <w:b/>
          <w:kern w:val="0"/>
          <w:sz w:val="24"/>
          <w:szCs w:val="24"/>
        </w:rPr>
      </w:pPr>
      <w:r>
        <w:rPr>
          <w:rFonts w:asciiTheme="minorEastAsia" w:hAnsiTheme="minorEastAsia" w:eastAsiaTheme="minorEastAsia"/>
          <w:b/>
          <w:sz w:val="24"/>
          <w:szCs w:val="24"/>
        </w:rPr>
        <w:t>6.</w:t>
      </w:r>
      <w:r>
        <w:rPr>
          <w:rFonts w:hint="eastAsia" w:asciiTheme="minorEastAsia" w:hAnsiTheme="minorEastAsia" w:eastAsiaTheme="minorEastAsia"/>
          <w:b/>
          <w:sz w:val="24"/>
          <w:szCs w:val="24"/>
        </w:rPr>
        <w:t>4</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3</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2</w:t>
      </w:r>
      <w:r>
        <w:rPr>
          <w:rFonts w:hint="eastAsia" w:cs="仿宋_GB2312" w:asciiTheme="minorEastAsia" w:hAnsiTheme="minorEastAsia" w:eastAsiaTheme="minorEastAsia"/>
          <w:b/>
          <w:kern w:val="0"/>
          <w:sz w:val="24"/>
          <w:szCs w:val="24"/>
        </w:rPr>
        <w:t>进水水质超标</w:t>
      </w:r>
      <w:r>
        <w:rPr>
          <w:rFonts w:hint="eastAsia" w:asciiTheme="minorEastAsia" w:hAnsiTheme="minorEastAsia" w:eastAsiaTheme="minorEastAsia"/>
          <w:b/>
          <w:sz w:val="24"/>
          <w:szCs w:val="24"/>
        </w:rPr>
        <w:t>处置措施</w:t>
      </w:r>
    </w:p>
    <w:p>
      <w:pPr>
        <w:spacing w:line="440" w:lineRule="exact"/>
        <w:ind w:firstLine="480"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运行人员每</w:t>
      </w:r>
      <w:r>
        <w:rPr>
          <w:rFonts w:cs="仿宋_GB2312" w:asciiTheme="minorEastAsia" w:hAnsiTheme="minorEastAsia" w:eastAsiaTheme="minorEastAsia"/>
          <w:kern w:val="0"/>
          <w:sz w:val="24"/>
          <w:szCs w:val="24"/>
        </w:rPr>
        <w:t>2</w:t>
      </w:r>
      <w:r>
        <w:rPr>
          <w:rFonts w:hint="eastAsia" w:cs="仿宋_GB2312" w:asciiTheme="minorEastAsia" w:hAnsiTheme="minorEastAsia" w:eastAsiaTheme="minorEastAsia"/>
          <w:kern w:val="0"/>
          <w:sz w:val="24"/>
          <w:szCs w:val="24"/>
        </w:rPr>
        <w:t>小时对进水在线</w:t>
      </w:r>
      <w:r>
        <w:rPr>
          <w:rFonts w:cs="仿宋_GB2312" w:asciiTheme="minorEastAsia" w:hAnsiTheme="minorEastAsia" w:eastAsiaTheme="minorEastAsia"/>
          <w:kern w:val="0"/>
          <w:sz w:val="24"/>
          <w:szCs w:val="24"/>
        </w:rPr>
        <w:t>COD</w:t>
      </w:r>
      <w:r>
        <w:rPr>
          <w:rFonts w:hint="eastAsia" w:cs="仿宋_GB2312"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NH3-N</w:t>
      </w:r>
      <w:r>
        <w:rPr>
          <w:rFonts w:hint="eastAsia" w:cs="仿宋_GB2312"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PH</w:t>
      </w:r>
      <w:r>
        <w:rPr>
          <w:rFonts w:hint="eastAsia" w:cs="仿宋_GB2312" w:asciiTheme="minorEastAsia" w:hAnsiTheme="minorEastAsia" w:eastAsiaTheme="minorEastAsia"/>
          <w:kern w:val="0"/>
          <w:sz w:val="24"/>
          <w:szCs w:val="24"/>
        </w:rPr>
        <w:t>监测设备和工艺段进行巡视异常，或化验室例行数据监测报警（化验室每天将数据上传厂办公室，如进水异常，立即通知值班人）。</w:t>
      </w:r>
    </w:p>
    <w:p>
      <w:pPr>
        <w:spacing w:line="440" w:lineRule="exact"/>
        <w:ind w:firstLine="480"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主要进水数据超标（任意一项）启动应急处置方案的临界值：</w:t>
      </w:r>
    </w:p>
    <w:p>
      <w:pPr>
        <w:spacing w:line="360" w:lineRule="auto"/>
        <w:ind w:firstLine="480" w:firstLineChars="200"/>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COD</w:t>
      </w:r>
      <w:r>
        <w:rPr>
          <w:rFonts w:hint="eastAsia" w:asciiTheme="minorEastAsia" w:hAnsiTheme="minorEastAsia" w:eastAsiaTheme="minorEastAsia"/>
          <w:kern w:val="0"/>
          <w:sz w:val="24"/>
          <w:szCs w:val="24"/>
        </w:rPr>
        <w:t>≧</w:t>
      </w:r>
      <w:r>
        <w:rPr>
          <w:rFonts w:asciiTheme="minorEastAsia" w:hAnsiTheme="minorEastAsia" w:eastAsiaTheme="minorEastAsia"/>
          <w:kern w:val="0"/>
          <w:sz w:val="24"/>
          <w:szCs w:val="24"/>
        </w:rPr>
        <w:t>6</w:t>
      </w:r>
      <w:r>
        <w:rPr>
          <w:rFonts w:cs="仿宋_GB2312" w:asciiTheme="minorEastAsia" w:hAnsiTheme="minorEastAsia" w:eastAsiaTheme="minorEastAsia"/>
          <w:kern w:val="0"/>
          <w:sz w:val="24"/>
          <w:szCs w:val="24"/>
        </w:rPr>
        <w:t>00mg/L</w:t>
      </w:r>
      <w:r>
        <w:rPr>
          <w:rFonts w:hint="eastAsia" w:cs="仿宋_GB2312"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NH3-N</w:t>
      </w:r>
      <w:r>
        <w:rPr>
          <w:rFonts w:hint="eastAsia" w:asciiTheme="minorEastAsia" w:hAnsiTheme="minorEastAsia" w:eastAsiaTheme="minorEastAsia"/>
          <w:kern w:val="0"/>
          <w:sz w:val="24"/>
          <w:szCs w:val="24"/>
        </w:rPr>
        <w:t>≧</w:t>
      </w:r>
      <w:r>
        <w:rPr>
          <w:rFonts w:asciiTheme="minorEastAsia" w:hAnsiTheme="minorEastAsia" w:eastAsiaTheme="minorEastAsia"/>
          <w:kern w:val="0"/>
          <w:sz w:val="24"/>
          <w:szCs w:val="24"/>
        </w:rPr>
        <w:t>35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PH</w:t>
      </w:r>
      <w:r>
        <w:rPr>
          <w:rFonts w:hint="eastAsia"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9</w:t>
      </w:r>
      <w:r>
        <w:rPr>
          <w:rFonts w:hint="eastAsia" w:cs="仿宋_GB2312" w:asciiTheme="minorEastAsia" w:hAnsiTheme="minorEastAsia" w:eastAsiaTheme="minorEastAsia"/>
          <w:kern w:val="0"/>
          <w:sz w:val="24"/>
          <w:szCs w:val="24"/>
        </w:rPr>
        <w:t>或</w:t>
      </w:r>
      <w:r>
        <w:rPr>
          <w:rFonts w:hint="eastAsia"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 xml:space="preserve">6 </w:t>
      </w:r>
      <w:r>
        <w:rPr>
          <w:rFonts w:hint="eastAsia" w:cs="仿宋_GB2312" w:asciiTheme="minorEastAsia" w:hAnsiTheme="minorEastAsia" w:eastAsiaTheme="minorEastAsia"/>
          <w:kern w:val="0"/>
          <w:sz w:val="24"/>
          <w:szCs w:val="24"/>
        </w:rPr>
        <w:t>。</w:t>
      </w:r>
    </w:p>
    <w:p>
      <w:pPr>
        <w:spacing w:line="360" w:lineRule="auto"/>
        <w:ind w:firstLine="360" w:firstLineChars="1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）值班人员迅速报告厂长按厂负责人指令执行。</w:t>
      </w:r>
    </w:p>
    <w:p>
      <w:pPr>
        <w:spacing w:line="360" w:lineRule="auto"/>
        <w:ind w:firstLine="360" w:firstLineChars="1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）厂负责人接报后现场了解情况，视情况逐级报告。</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）值班人员立即手动关闭调节池进水闸阀，同时开启事故池闸阀，将超标废水切换至事故调节池（应急运行组需保证正常情况应急池为空）。</w:t>
      </w:r>
    </w:p>
    <w:p>
      <w:pPr>
        <w:numPr>
          <w:ilvl w:val="0"/>
          <w:numId w:val="1"/>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值班人员迅速到闸阀处查看，事故调节池进水情况是否正常。</w:t>
      </w:r>
    </w:p>
    <w:p>
      <w:pPr>
        <w:numPr>
          <w:ilvl w:val="0"/>
          <w:numId w:val="1"/>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通知管网抢修组进行源头水排查，到重点排污企业出水口取水送化验中心立即化验，或用进水在线设备检测。</w:t>
      </w:r>
    </w:p>
    <w:p>
      <w:pPr>
        <w:numPr>
          <w:ilvl w:val="0"/>
          <w:numId w:val="1"/>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管网抢修组通知疑似超标的排污企业立即停止排放污水。</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7</w:t>
      </w:r>
      <w:r>
        <w:rPr>
          <w:rFonts w:hint="eastAsia" w:cs="仿宋_GB2312" w:asciiTheme="minorEastAsia" w:hAnsiTheme="minorEastAsia" w:eastAsiaTheme="minorEastAsia"/>
          <w:sz w:val="24"/>
          <w:szCs w:val="24"/>
        </w:rPr>
        <w:t>）对于超标废水已进入生化系统的工艺调整应对。</w:t>
      </w:r>
    </w:p>
    <w:p>
      <w:pPr>
        <w:spacing w:line="360" w:lineRule="auto"/>
        <w:ind w:firstLine="480" w:firstLineChars="200"/>
        <w:jc w:val="left"/>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）对于</w:t>
      </w:r>
      <w:r>
        <w:rPr>
          <w:rFonts w:cs="仿宋_GB2312" w:asciiTheme="minorEastAsia" w:hAnsiTheme="minorEastAsia" w:eastAsiaTheme="minorEastAsia"/>
          <w:sz w:val="24"/>
          <w:szCs w:val="24"/>
        </w:rPr>
        <w:t>COD</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NH3-N</w:t>
      </w:r>
      <w:r>
        <w:rPr>
          <w:rFonts w:hint="eastAsia" w:cs="仿宋_GB2312" w:asciiTheme="minorEastAsia" w:hAnsiTheme="minorEastAsia" w:eastAsiaTheme="minorEastAsia"/>
          <w:sz w:val="24"/>
          <w:szCs w:val="24"/>
        </w:rPr>
        <w:t>进水超标处置方法。减少当日排泥，维持较高范围的污泥浓度（</w:t>
      </w:r>
      <w:r>
        <w:rPr>
          <w:rFonts w:cs="仿宋_GB2312" w:asciiTheme="minorEastAsia" w:hAnsiTheme="minorEastAsia" w:eastAsiaTheme="minorEastAsia"/>
          <w:sz w:val="24"/>
          <w:szCs w:val="24"/>
        </w:rPr>
        <w:t>3000mg/L</w:t>
      </w:r>
      <w:r>
        <w:rPr>
          <w:rFonts w:hint="eastAsia" w:cs="仿宋_GB2312" w:asciiTheme="minorEastAsia" w:hAnsiTheme="minorEastAsia" w:eastAsiaTheme="minorEastAsia"/>
          <w:sz w:val="24"/>
          <w:szCs w:val="24"/>
        </w:rPr>
        <w:t>以上）以应对负荷冲击；注意增加曝气量调整合适的溶解氧（在</w:t>
      </w:r>
      <w:r>
        <w:rPr>
          <w:rFonts w:cs="仿宋_GB2312" w:asciiTheme="minorEastAsia" w:hAnsiTheme="minorEastAsia" w:eastAsiaTheme="minorEastAsia"/>
          <w:sz w:val="24"/>
          <w:szCs w:val="24"/>
        </w:rPr>
        <w:t>2mg/L</w:t>
      </w:r>
      <w:r>
        <w:rPr>
          <w:rFonts w:hint="eastAsia" w:cs="仿宋_GB2312" w:asciiTheme="minorEastAsia" w:hAnsiTheme="minorEastAsia" w:eastAsiaTheme="minorEastAsia"/>
          <w:sz w:val="24"/>
          <w:szCs w:val="24"/>
        </w:rPr>
        <w:t>以上）。同时在混凝搅拌池增加</w:t>
      </w:r>
      <w:r>
        <w:rPr>
          <w:rFonts w:cs="仿宋_GB2312" w:asciiTheme="minorEastAsia" w:hAnsiTheme="minorEastAsia" w:eastAsiaTheme="minorEastAsia"/>
          <w:sz w:val="24"/>
          <w:szCs w:val="24"/>
        </w:rPr>
        <w:t>pac</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pam</w:t>
      </w:r>
      <w:r>
        <w:rPr>
          <w:rFonts w:hint="eastAsia" w:cs="仿宋_GB2312" w:asciiTheme="minorEastAsia" w:hAnsiTheme="minorEastAsia" w:eastAsiaTheme="minorEastAsia"/>
          <w:sz w:val="24"/>
          <w:szCs w:val="24"/>
        </w:rPr>
        <w:t>投加量，在生物接触氧化池投加活性炭粉等方式快速吸附、沉降悬浮有机污染物。</w:t>
      </w:r>
    </w:p>
    <w:p>
      <w:pPr>
        <w:spacing w:line="360" w:lineRule="auto"/>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）对于</w:t>
      </w:r>
      <w:r>
        <w:rPr>
          <w:rFonts w:cs="仿宋_GB2312" w:asciiTheme="minorEastAsia" w:hAnsiTheme="minorEastAsia" w:eastAsiaTheme="minorEastAsia"/>
          <w:sz w:val="24"/>
          <w:szCs w:val="24"/>
        </w:rPr>
        <w:t>PH</w:t>
      </w:r>
      <w:r>
        <w:rPr>
          <w:rFonts w:hint="eastAsia" w:cs="仿宋_GB2312" w:asciiTheme="minorEastAsia" w:hAnsiTheme="minorEastAsia" w:eastAsiaTheme="minorEastAsia"/>
          <w:sz w:val="24"/>
          <w:szCs w:val="24"/>
        </w:rPr>
        <w:t>超标处置方法。</w:t>
      </w:r>
      <w:r>
        <w:rPr>
          <w:rFonts w:cs="仿宋_GB2312" w:asciiTheme="minorEastAsia" w:hAnsiTheme="minorEastAsia" w:eastAsiaTheme="minorEastAsia"/>
          <w:sz w:val="24"/>
          <w:szCs w:val="24"/>
        </w:rPr>
        <w:t>PH</w:t>
      </w:r>
      <w:r>
        <w:rPr>
          <w:rFonts w:hint="eastAsia"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9</w:t>
      </w:r>
      <w:r>
        <w:rPr>
          <w:rFonts w:hint="eastAsia" w:cs="仿宋_GB2312" w:asciiTheme="minorEastAsia" w:hAnsiTheme="minorEastAsia" w:eastAsiaTheme="minorEastAsia"/>
          <w:kern w:val="0"/>
          <w:sz w:val="24"/>
          <w:szCs w:val="24"/>
        </w:rPr>
        <w:t>时在混凝反应池投加稀盐酸调至中性，</w:t>
      </w:r>
      <w:r>
        <w:rPr>
          <w:rFonts w:cs="仿宋_GB2312" w:asciiTheme="minorEastAsia" w:hAnsiTheme="minorEastAsia" w:eastAsiaTheme="minorEastAsia"/>
          <w:sz w:val="24"/>
          <w:szCs w:val="24"/>
        </w:rPr>
        <w:t>PH</w:t>
      </w:r>
      <w:r>
        <w:rPr>
          <w:rFonts w:hint="eastAsia"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6</w:t>
      </w:r>
      <w:r>
        <w:rPr>
          <w:rFonts w:hint="eastAsia" w:cs="仿宋_GB2312" w:asciiTheme="minorEastAsia" w:hAnsiTheme="minorEastAsia" w:eastAsiaTheme="minorEastAsia"/>
          <w:kern w:val="0"/>
          <w:sz w:val="24"/>
          <w:szCs w:val="24"/>
        </w:rPr>
        <w:t>时在混凝反应池加氢氧化钠调至中性。</w:t>
      </w:r>
    </w:p>
    <w:p>
      <w:pPr>
        <w:spacing w:line="360" w:lineRule="auto"/>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w:t>
      </w:r>
      <w:r>
        <w:rPr>
          <w:rFonts w:hint="eastAsia" w:cs="仿宋_GB2312" w:asciiTheme="minorEastAsia" w:hAnsiTheme="minorEastAsia" w:eastAsiaTheme="minorEastAsia"/>
          <w:kern w:val="0"/>
          <w:sz w:val="24"/>
          <w:szCs w:val="24"/>
        </w:rPr>
        <w:t>）处理任何超标废水都应该适当延长</w:t>
      </w:r>
      <w:r>
        <w:rPr>
          <w:rFonts w:hint="eastAsia" w:cs="仿宋_GB2312" w:asciiTheme="minorEastAsia" w:hAnsiTheme="minorEastAsia" w:eastAsiaTheme="minorEastAsia"/>
          <w:sz w:val="24"/>
          <w:szCs w:val="24"/>
        </w:rPr>
        <w:t>水力停留时间</w:t>
      </w:r>
      <w:r>
        <w:rPr>
          <w:rFonts w:hint="eastAsia" w:cs="仿宋_GB2312" w:asciiTheme="minorEastAsia" w:hAnsiTheme="minorEastAsia" w:eastAsiaTheme="minorEastAsia"/>
          <w:kern w:val="0"/>
          <w:sz w:val="24"/>
          <w:szCs w:val="24"/>
        </w:rPr>
        <w:t>。</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（8）待处理达标排除超标废水后，正常进水时将事故池超标废水少量分批抽入系统进行处理。</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（9）超标废水进入系统进行处理时化验室保持化验监测，当发现数据异常和系统异常，立即减少或停止进入超标废水。</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（10）与超标废水排放企业保持联系。当企业恢复正常生产，排水正常后，管网科取水送化验室监测，达标后方可排入管网。</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（11）做好超标废水排入后的处置和运行记录，并如实填报和申报。</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2）做好超标废水排入的事故总结</w:t>
      </w:r>
      <w:r>
        <w:rPr>
          <w:rFonts w:hint="eastAsia" w:cs="仿宋_GB2312" w:asciiTheme="minorEastAsia" w:hAnsiTheme="minorEastAsia" w:eastAsiaTheme="minorEastAsia"/>
          <w:kern w:val="0"/>
          <w:sz w:val="24"/>
          <w:szCs w:val="24"/>
          <w:lang w:val="zh-CN"/>
        </w:rPr>
        <w:t>，</w:t>
      </w:r>
      <w:r>
        <w:rPr>
          <w:rFonts w:hint="eastAsia" w:cs="仿宋_GB2312" w:asciiTheme="minorEastAsia" w:hAnsiTheme="minorEastAsia" w:eastAsiaTheme="minorEastAsia"/>
          <w:sz w:val="24"/>
          <w:szCs w:val="24"/>
        </w:rPr>
        <w:t>并编写书面报告存档、备案。</w:t>
      </w:r>
    </w:p>
    <w:p>
      <w:pPr>
        <w:spacing w:beforeLines="50" w:afterLines="50" w:line="440" w:lineRule="exact"/>
        <w:rPr>
          <w:rFonts w:cs="仿宋_GB2312" w:asciiTheme="minorEastAsia" w:hAnsiTheme="minorEastAsia" w:eastAsiaTheme="minorEastAsia"/>
          <w:b/>
          <w:kern w:val="0"/>
          <w:sz w:val="24"/>
          <w:szCs w:val="24"/>
        </w:rPr>
      </w:pPr>
      <w:r>
        <w:rPr>
          <w:rFonts w:cs="仿宋_GB2312" w:asciiTheme="minorEastAsia" w:hAnsiTheme="minorEastAsia" w:eastAsiaTheme="minorEastAsia"/>
          <w:b/>
          <w:kern w:val="0"/>
          <w:sz w:val="24"/>
          <w:szCs w:val="24"/>
        </w:rPr>
        <w:t xml:space="preserve"> </w:t>
      </w:r>
      <w:r>
        <w:rPr>
          <w:rFonts w:asciiTheme="minorEastAsia" w:hAnsiTheme="minorEastAsia" w:eastAsiaTheme="minorEastAsia"/>
          <w:b/>
          <w:sz w:val="24"/>
          <w:szCs w:val="24"/>
        </w:rPr>
        <w:t>6.</w:t>
      </w:r>
      <w:r>
        <w:rPr>
          <w:rFonts w:hint="eastAsia" w:asciiTheme="minorEastAsia" w:hAnsiTheme="minorEastAsia" w:eastAsiaTheme="minorEastAsia"/>
          <w:b/>
          <w:sz w:val="24"/>
          <w:szCs w:val="24"/>
        </w:rPr>
        <w:t>4</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3</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3</w:t>
      </w:r>
      <w:r>
        <w:rPr>
          <w:rFonts w:hint="eastAsia" w:cs="仿宋_GB2312" w:asciiTheme="minorEastAsia" w:hAnsiTheme="minorEastAsia" w:eastAsiaTheme="minorEastAsia"/>
          <w:b/>
          <w:kern w:val="0"/>
          <w:sz w:val="24"/>
          <w:szCs w:val="24"/>
        </w:rPr>
        <w:t>出水水质超标</w:t>
      </w:r>
      <w:r>
        <w:rPr>
          <w:rFonts w:hint="eastAsia" w:asciiTheme="minorEastAsia" w:hAnsiTheme="minorEastAsia" w:eastAsiaTheme="minorEastAsia"/>
          <w:b/>
          <w:sz w:val="24"/>
          <w:szCs w:val="24"/>
        </w:rPr>
        <w:t>处置措施</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运行人员坚持每</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小时对运行、待机的设备和工艺段进行巡视检查。出水在线设备</w:t>
      </w:r>
      <w:r>
        <w:rPr>
          <w:rFonts w:cs="仿宋_GB2312" w:asciiTheme="minorEastAsia" w:hAnsiTheme="minorEastAsia" w:eastAsiaTheme="minorEastAsia"/>
          <w:sz w:val="24"/>
          <w:szCs w:val="24"/>
        </w:rPr>
        <w:t>COD</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NH3-N</w:t>
      </w:r>
      <w:r>
        <w:rPr>
          <w:rFonts w:hint="eastAsia" w:cs="仿宋_GB2312" w:asciiTheme="minorEastAsia" w:hAnsiTheme="minorEastAsia" w:eastAsiaTheme="minorEastAsia"/>
          <w:sz w:val="24"/>
          <w:szCs w:val="24"/>
        </w:rPr>
        <w:t>仪器报警，化验室例行数据监测报警。</w:t>
      </w:r>
    </w:p>
    <w:p>
      <w:pPr>
        <w:spacing w:line="360" w:lineRule="auto"/>
        <w:ind w:firstLine="480"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主要出水数据超标（任意一项）启动应急处置方案的临界值：</w:t>
      </w:r>
    </w:p>
    <w:p>
      <w:pPr>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kern w:val="0"/>
          <w:sz w:val="24"/>
          <w:szCs w:val="24"/>
        </w:rPr>
        <w:t>COD</w:t>
      </w:r>
      <w:r>
        <w:rPr>
          <w:rFonts w:hint="eastAsia"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90mg/L</w:t>
      </w:r>
      <w:r>
        <w:rPr>
          <w:rFonts w:hint="eastAsia" w:cs="仿宋_GB2312"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NH3-N</w:t>
      </w:r>
      <w:r>
        <w:rPr>
          <w:rFonts w:hint="eastAsia"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 xml:space="preserve">13mg/L </w:t>
      </w:r>
      <w:r>
        <w:rPr>
          <w:rFonts w:hint="eastAsia" w:cs="仿宋_GB2312" w:asciiTheme="minorEastAsia" w:hAnsiTheme="minorEastAsia" w:eastAsiaTheme="minorEastAsia"/>
          <w:kern w:val="0"/>
          <w:sz w:val="24"/>
          <w:szCs w:val="24"/>
        </w:rPr>
        <w:t>。</w:t>
      </w:r>
    </w:p>
    <w:p>
      <w:pPr>
        <w:numPr>
          <w:ilvl w:val="0"/>
          <w:numId w:val="2"/>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值班人员立即向厂长（负责人）汇报。</w:t>
      </w:r>
    </w:p>
    <w:p>
      <w:pPr>
        <w:numPr>
          <w:ilvl w:val="0"/>
          <w:numId w:val="2"/>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取得厂长同意后立即停止设备运行，停止排水。打开清水池反冲洗泵，将超标废水导入应急池，在应急池暂存后循环处理。</w:t>
      </w:r>
    </w:p>
    <w:p>
      <w:pPr>
        <w:numPr>
          <w:ilvl w:val="0"/>
          <w:numId w:val="2"/>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通知环保监测组取水检测分析，取水位置为厂区进水口、调节池、二沉池，清水池确认出水水质超标原因。</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）厂长立即向应急指挥领导小组汇报出水超标情况。</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）如已发生出水在线监测设备数据超标（</w:t>
      </w:r>
      <w:r>
        <w:rPr>
          <w:rFonts w:cs="仿宋_GB2312" w:asciiTheme="minorEastAsia" w:hAnsiTheme="minorEastAsia" w:eastAsiaTheme="minorEastAsia"/>
          <w:sz w:val="24"/>
          <w:szCs w:val="24"/>
        </w:rPr>
        <w:t>COD&gt;100mg/L</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NH3-N&gt;15mg/L</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w:t>
      </w:r>
      <w:r>
        <w:rPr>
          <w:rFonts w:cs="宋体" w:asciiTheme="minorEastAsia" w:hAnsiTheme="minorEastAsia" w:eastAsiaTheme="minorEastAsia"/>
          <w:kern w:val="0"/>
          <w:sz w:val="24"/>
          <w:szCs w:val="24"/>
        </w:rPr>
        <w:t xml:space="preserve"> </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sz w:val="24"/>
          <w:szCs w:val="24"/>
        </w:rPr>
        <w:t>需在停止排水后立刻清理排水渠，必须在</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小时内消除影响（即下一个检测数据恢复正常），并按情况向在线第三方运营单位</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利也环保汇报情况。</w:t>
      </w:r>
    </w:p>
    <w:p>
      <w:pPr>
        <w:numPr>
          <w:ilvl w:val="0"/>
          <w:numId w:val="3"/>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调整工艺，增加曝气量，检查各工艺段运行情况，并延长曝气时间、水力停留时间。</w:t>
      </w:r>
    </w:p>
    <w:p>
      <w:pPr>
        <w:numPr>
          <w:ilvl w:val="0"/>
          <w:numId w:val="3"/>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如属进水超标导致，通知管网进行源头水排查，并同时启动进水超标处置预案。</w:t>
      </w:r>
    </w:p>
    <w:p>
      <w:pPr>
        <w:numPr>
          <w:ilvl w:val="0"/>
          <w:numId w:val="3"/>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化验室保持每</w:t>
      </w: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小时对各工艺段和排水口及周边水域进行一次取水监测直至出水达标。</w:t>
      </w:r>
    </w:p>
    <w:p>
      <w:pPr>
        <w:numPr>
          <w:ilvl w:val="0"/>
          <w:numId w:val="3"/>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做好出水超标后的处置和运行记录，并如实填报和申报。</w:t>
      </w:r>
    </w:p>
    <w:p>
      <w:pPr>
        <w:numPr>
          <w:ilvl w:val="0"/>
          <w:numId w:val="3"/>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做好出水超标的事故总结</w:t>
      </w:r>
      <w:r>
        <w:rPr>
          <w:rFonts w:hint="eastAsia" w:cs="仿宋_GB2312" w:asciiTheme="minorEastAsia" w:hAnsiTheme="minorEastAsia" w:eastAsiaTheme="minorEastAsia"/>
          <w:kern w:val="0"/>
          <w:sz w:val="24"/>
          <w:szCs w:val="24"/>
          <w:lang w:val="zh-CN"/>
        </w:rPr>
        <w:t>，</w:t>
      </w:r>
      <w:r>
        <w:rPr>
          <w:rFonts w:hint="eastAsia" w:cs="仿宋_GB2312" w:asciiTheme="minorEastAsia" w:hAnsiTheme="minorEastAsia" w:eastAsiaTheme="minorEastAsia"/>
          <w:sz w:val="24"/>
          <w:szCs w:val="24"/>
        </w:rPr>
        <w:t>并编写书面报告存档、备案。</w:t>
      </w:r>
      <w:r>
        <w:rPr>
          <w:rFonts w:hint="eastAsia" w:cs="仿宋_GB2312" w:asciiTheme="minorEastAsia" w:hAnsiTheme="minorEastAsia" w:eastAsiaTheme="minorEastAsia"/>
          <w:kern w:val="0"/>
          <w:sz w:val="24"/>
          <w:szCs w:val="24"/>
          <w:lang w:val="zh-CN"/>
        </w:rPr>
        <w:t>如为人为操作失职导致超标，需</w:t>
      </w:r>
      <w:r>
        <w:rPr>
          <w:rFonts w:hint="eastAsia" w:cs="仿宋_GB2312" w:asciiTheme="minorEastAsia" w:hAnsiTheme="minorEastAsia" w:eastAsiaTheme="minorEastAsia"/>
          <w:kern w:val="0"/>
          <w:sz w:val="24"/>
          <w:szCs w:val="24"/>
        </w:rPr>
        <w:t>严肃追究当事人的责任。</w:t>
      </w:r>
    </w:p>
    <w:p>
      <w:pPr>
        <w:spacing w:beforeLines="50" w:afterLines="50" w:line="440" w:lineRule="exact"/>
        <w:rPr>
          <w:rFonts w:cs="仿宋_GB2312" w:asciiTheme="minorEastAsia" w:hAnsiTheme="minorEastAsia" w:eastAsiaTheme="minorEastAsia"/>
          <w:b/>
          <w:kern w:val="0"/>
          <w:sz w:val="24"/>
          <w:szCs w:val="24"/>
        </w:rPr>
      </w:pPr>
      <w:r>
        <w:rPr>
          <w:rFonts w:asciiTheme="minorEastAsia" w:hAnsiTheme="minorEastAsia" w:eastAsiaTheme="minorEastAsia"/>
          <w:b/>
          <w:sz w:val="24"/>
          <w:szCs w:val="24"/>
        </w:rPr>
        <w:t>6.</w:t>
      </w:r>
      <w:r>
        <w:rPr>
          <w:rFonts w:hint="eastAsia" w:asciiTheme="minorEastAsia" w:hAnsiTheme="minorEastAsia" w:eastAsiaTheme="minorEastAsia"/>
          <w:b/>
          <w:sz w:val="24"/>
          <w:szCs w:val="24"/>
        </w:rPr>
        <w:t>4</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3</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4</w:t>
      </w:r>
      <w:r>
        <w:rPr>
          <w:rFonts w:hint="eastAsia" w:cs="仿宋_GB2312" w:asciiTheme="minorEastAsia" w:hAnsiTheme="minorEastAsia" w:eastAsiaTheme="minorEastAsia"/>
          <w:b/>
          <w:sz w:val="24"/>
          <w:szCs w:val="24"/>
        </w:rPr>
        <w:t>进水量超标</w:t>
      </w:r>
      <w:r>
        <w:rPr>
          <w:rFonts w:hint="eastAsia" w:asciiTheme="minorEastAsia" w:hAnsiTheme="minorEastAsia" w:eastAsiaTheme="minorEastAsia"/>
          <w:b/>
          <w:sz w:val="24"/>
          <w:szCs w:val="24"/>
        </w:rPr>
        <w:t>处置措施</w:t>
      </w:r>
    </w:p>
    <w:p>
      <w:pPr>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清溪园区污水处理厂现在为间歇式进水，现在水量取决于万丰，判断进水量超标临界值为达到前日进水量的</w:t>
      </w:r>
      <w:r>
        <w:rPr>
          <w:rFonts w:cs="仿宋_GB2312" w:asciiTheme="minorEastAsia" w:hAnsiTheme="minorEastAsia" w:eastAsiaTheme="minorEastAsia"/>
          <w:sz w:val="24"/>
          <w:szCs w:val="24"/>
        </w:rPr>
        <w:t>200%</w:t>
      </w:r>
      <w:r>
        <w:rPr>
          <w:rFonts w:hint="eastAsia" w:cs="仿宋_GB2312" w:asciiTheme="minorEastAsia" w:hAnsiTheme="minorEastAsia" w:eastAsiaTheme="minorEastAsia"/>
          <w:sz w:val="24"/>
          <w:szCs w:val="24"/>
        </w:rPr>
        <w:t>以上，或进水超过设计量每日</w:t>
      </w:r>
      <w:r>
        <w:rPr>
          <w:rFonts w:cs="仿宋_GB2312" w:asciiTheme="minorEastAsia" w:hAnsiTheme="minorEastAsia" w:eastAsiaTheme="minorEastAsia"/>
          <w:sz w:val="24"/>
          <w:szCs w:val="24"/>
        </w:rPr>
        <w:t>3000m</w:t>
      </w:r>
      <w:r>
        <w:rPr>
          <w:rFonts w:cs="仿宋_GB2312" w:asciiTheme="minorEastAsia" w:hAnsiTheme="minorEastAsia" w:eastAsiaTheme="minorEastAsia"/>
          <w:sz w:val="24"/>
          <w:szCs w:val="24"/>
          <w:vertAlign w:val="superscript"/>
        </w:rPr>
        <w:t>3</w:t>
      </w:r>
      <w:r>
        <w:rPr>
          <w:rFonts w:hint="eastAsia" w:cs="仿宋_GB2312" w:asciiTheme="minorEastAsia" w:hAnsiTheme="minorEastAsia" w:eastAsiaTheme="minorEastAsia"/>
          <w:sz w:val="24"/>
          <w:szCs w:val="24"/>
        </w:rPr>
        <w:t>。两种情况均会对活性污泥系统造成很大多负荷冲击，且使水力停留时间缩短，容易导致出水水质超标。</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处置措施</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中控平台上实时显示的调节池液位计液位高度数据，或运行人员坚持每</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小时对进水流量计及调节池液位进行的巡视。</w:t>
      </w:r>
    </w:p>
    <w:p>
      <w:pPr>
        <w:spacing w:beforeLines="50" w:afterLines="50" w:line="440" w:lineRule="exact"/>
        <w:rPr>
          <w:rFonts w:cs="仿宋_GB2312" w:asciiTheme="minorEastAsia" w:hAnsiTheme="minorEastAsia" w:eastAsiaTheme="minorEastAsia"/>
          <w:b/>
          <w:kern w:val="0"/>
          <w:sz w:val="24"/>
          <w:szCs w:val="24"/>
        </w:rPr>
      </w:pPr>
      <w:r>
        <w:rPr>
          <w:rFonts w:asciiTheme="minorEastAsia" w:hAnsiTheme="minorEastAsia" w:eastAsiaTheme="minorEastAsia"/>
          <w:b/>
          <w:sz w:val="24"/>
          <w:szCs w:val="24"/>
        </w:rPr>
        <w:t>6.</w:t>
      </w:r>
      <w:r>
        <w:rPr>
          <w:rFonts w:hint="eastAsia" w:asciiTheme="minorEastAsia" w:hAnsiTheme="minorEastAsia" w:eastAsiaTheme="minorEastAsia"/>
          <w:b/>
          <w:sz w:val="24"/>
          <w:szCs w:val="24"/>
        </w:rPr>
        <w:t>4</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3</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5</w:t>
      </w:r>
      <w:r>
        <w:rPr>
          <w:rFonts w:hint="eastAsia" w:cs="仿宋_GB2312" w:asciiTheme="minorEastAsia" w:hAnsiTheme="minorEastAsia" w:eastAsiaTheme="minorEastAsia"/>
          <w:b/>
          <w:sz w:val="24"/>
          <w:szCs w:val="24"/>
        </w:rPr>
        <w:t>进厂废水量超标</w:t>
      </w:r>
      <w:r>
        <w:rPr>
          <w:rFonts w:hint="eastAsia" w:asciiTheme="minorEastAsia" w:hAnsiTheme="minorEastAsia" w:eastAsiaTheme="minorEastAsia"/>
          <w:b/>
          <w:sz w:val="24"/>
          <w:szCs w:val="24"/>
        </w:rPr>
        <w:t>处置措施</w:t>
      </w:r>
    </w:p>
    <w:p>
      <w:pPr>
        <w:spacing w:line="360" w:lineRule="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一般来说污水量的增加为缓慢曲线式增加，遇到水量陡增的情况一般是有新接入管网或排水企业导致，处置方案为：</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sz w:val="24"/>
          <w:szCs w:val="24"/>
        </w:rPr>
        <w:t>在发现进厂污水量超标时，应及时发挥事故应急池的功能，清溪园区污水处理厂应急池池容为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lang w:val="en-US" w:eastAsia="zh-CN"/>
        </w:rPr>
        <w:t>8</w:t>
      </w:r>
      <w:r>
        <w:rPr>
          <w:rFonts w:cs="仿宋_GB2312" w:asciiTheme="minorEastAsia" w:hAnsiTheme="minorEastAsia" w:eastAsiaTheme="minorEastAsia"/>
          <w:sz w:val="24"/>
          <w:szCs w:val="24"/>
        </w:rPr>
        <w:t>.8m</w:t>
      </w:r>
      <w:r>
        <w:rPr>
          <w:rFonts w:cs="仿宋_GB2312" w:asciiTheme="minorEastAsia" w:hAnsiTheme="minorEastAsia" w:eastAsiaTheme="minorEastAsia"/>
          <w:sz w:val="24"/>
          <w:szCs w:val="24"/>
          <w:vertAlign w:val="superscript"/>
        </w:rPr>
        <w:t>3</w:t>
      </w:r>
      <w:r>
        <w:rPr>
          <w:rFonts w:hint="eastAsia" w:cs="仿宋_GB2312" w:asciiTheme="minorEastAsia" w:hAnsiTheme="minorEastAsia" w:eastAsiaTheme="minorEastAsia"/>
          <w:sz w:val="24"/>
          <w:szCs w:val="24"/>
        </w:rPr>
        <w:t>，可切换阀门将多余废水导入应急池临时存储</w:t>
      </w:r>
      <w:r>
        <w:rPr>
          <w:rFonts w:hint="eastAsia" w:cs="仿宋_GB2312" w:asciiTheme="minorEastAsia" w:hAnsiTheme="minorEastAsia" w:eastAsiaTheme="minorEastAsia"/>
          <w:sz w:val="24"/>
          <w:szCs w:val="24"/>
          <w:lang w:val="en-US" w:eastAsia="zh-CN"/>
        </w:rPr>
        <w:t>.</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）调整工艺应对水量冲击，减少当日排泥量，并增加曝气量和投药量。</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）在工艺允许保证溶解氧的情况下适当缩短水力停留周期，提高当日</w:t>
      </w:r>
      <w:r>
        <w:rPr>
          <w:rFonts w:cs="仿宋_GB2312" w:asciiTheme="minorEastAsia" w:hAnsiTheme="minorEastAsia" w:eastAsiaTheme="minorEastAsia"/>
          <w:sz w:val="24"/>
          <w:szCs w:val="24"/>
        </w:rPr>
        <w:t>SBR</w:t>
      </w:r>
      <w:r>
        <w:rPr>
          <w:rFonts w:hint="eastAsia" w:cs="仿宋_GB2312" w:asciiTheme="minorEastAsia" w:hAnsiTheme="minorEastAsia" w:eastAsiaTheme="minorEastAsia"/>
          <w:sz w:val="24"/>
          <w:szCs w:val="24"/>
        </w:rPr>
        <w:t>运行周期数，水量峰值过去后及时处理导入应急池的废水</w:t>
      </w:r>
      <w:bookmarkStart w:id="860" w:name="_GoBack"/>
      <w:bookmarkEnd w:id="860"/>
      <w:r>
        <w:rPr>
          <w:rFonts w:hint="eastAsia" w:cs="仿宋_GB2312" w:asciiTheme="minorEastAsia" w:hAnsiTheme="minorEastAsia" w:eastAsiaTheme="minorEastAsia"/>
          <w:sz w:val="24"/>
          <w:szCs w:val="24"/>
        </w:rPr>
        <w:t>。</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）厂长应同时通知</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sz w:val="24"/>
          <w:szCs w:val="24"/>
        </w:rPr>
        <w:t>对园区污水管网进行排查，如是企业集中排污导致，立刻协调企业停止集中式排放。</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kern w:val="0"/>
          <w:sz w:val="24"/>
          <w:szCs w:val="24"/>
          <w:lang w:val="zh-CN"/>
        </w:rPr>
        <w:t>环境监测组</w:t>
      </w:r>
      <w:r>
        <w:rPr>
          <w:rFonts w:hint="eastAsia" w:cs="仿宋_GB2312" w:asciiTheme="minorEastAsia" w:hAnsiTheme="minorEastAsia" w:eastAsiaTheme="minorEastAsia"/>
          <w:sz w:val="24"/>
          <w:szCs w:val="24"/>
        </w:rPr>
        <w:t>在进水量超标期间应加强对排水水质和工艺参数的化验检测直至恢复正常。</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6</w:t>
      </w:r>
      <w:r>
        <w:rPr>
          <w:rFonts w:hint="eastAsia" w:cs="仿宋_GB2312" w:asciiTheme="minorEastAsia" w:hAnsiTheme="minorEastAsia" w:eastAsiaTheme="minorEastAsia"/>
          <w:sz w:val="24"/>
          <w:szCs w:val="24"/>
        </w:rPr>
        <w:t>）做好详细的运行记录，必要时向本地环保部门报告。</w:t>
      </w:r>
    </w:p>
    <w:p>
      <w:pPr>
        <w:spacing w:beforeLines="50" w:afterLines="50" w:line="440" w:lineRule="exact"/>
        <w:rPr>
          <w:rFonts w:cs="仿宋_GB2312" w:asciiTheme="minorEastAsia" w:hAnsiTheme="minorEastAsia" w:eastAsiaTheme="minorEastAsia"/>
          <w:b/>
          <w:kern w:val="0"/>
          <w:sz w:val="24"/>
          <w:szCs w:val="24"/>
        </w:rPr>
      </w:pPr>
      <w:r>
        <w:rPr>
          <w:rFonts w:ascii="宋体" w:hAnsi="宋体"/>
          <w:b/>
          <w:sz w:val="24"/>
          <w:szCs w:val="24"/>
        </w:rPr>
        <w:t>6.</w:t>
      </w:r>
      <w:r>
        <w:rPr>
          <w:rFonts w:hint="eastAsia" w:ascii="宋体" w:hAnsi="宋体"/>
          <w:b/>
          <w:sz w:val="24"/>
          <w:szCs w:val="24"/>
        </w:rPr>
        <w:t>4</w:t>
      </w:r>
      <w:r>
        <w:rPr>
          <w:rFonts w:ascii="宋体" w:hAnsi="宋体"/>
          <w:b/>
          <w:sz w:val="24"/>
          <w:szCs w:val="24"/>
        </w:rPr>
        <w:t>.</w:t>
      </w:r>
      <w:r>
        <w:rPr>
          <w:rFonts w:hint="eastAsia" w:ascii="宋体" w:hAnsi="宋体"/>
          <w:b/>
          <w:sz w:val="24"/>
          <w:szCs w:val="24"/>
        </w:rPr>
        <w:t>3</w:t>
      </w:r>
      <w:r>
        <w:rPr>
          <w:rFonts w:ascii="宋体" w:hAnsi="宋体"/>
          <w:b/>
          <w:sz w:val="24"/>
          <w:szCs w:val="24"/>
        </w:rPr>
        <w:t>.</w:t>
      </w:r>
      <w:r>
        <w:rPr>
          <w:rFonts w:hint="eastAsia" w:ascii="宋体" w:hAnsi="宋体" w:cs="仿宋_GB2312"/>
          <w:b/>
          <w:sz w:val="24"/>
          <w:szCs w:val="24"/>
        </w:rPr>
        <w:t>6降雨导致的进水量超标</w:t>
      </w:r>
      <w:r>
        <w:rPr>
          <w:rFonts w:hint="eastAsia" w:asciiTheme="minorEastAsia" w:hAnsiTheme="minorEastAsia" w:eastAsiaTheme="minorEastAsia"/>
          <w:b/>
          <w:sz w:val="24"/>
          <w:szCs w:val="24"/>
        </w:rPr>
        <w:t>处置措施</w:t>
      </w:r>
    </w:p>
    <w:p>
      <w:pPr>
        <w:spacing w:line="360" w:lineRule="auto"/>
        <w:ind w:firstLine="480" w:firstLineChars="200"/>
        <w:rPr>
          <w:rFonts w:ascii="宋体" w:cs="仿宋_GB2312"/>
          <w:sz w:val="24"/>
          <w:szCs w:val="24"/>
        </w:rPr>
      </w:pPr>
      <w:r>
        <w:rPr>
          <w:rFonts w:hint="eastAsia" w:ascii="宋体" w:hAnsi="宋体" w:cs="仿宋_GB2312"/>
          <w:sz w:val="24"/>
          <w:szCs w:val="24"/>
        </w:rPr>
        <w:t>对于合流制或半合流制的管网会出现在暴雨后进厂水量激增的现象，且往往超过设计日处理量。处置方案为：</w:t>
      </w:r>
    </w:p>
    <w:p>
      <w:pPr>
        <w:spacing w:line="360" w:lineRule="auto"/>
        <w:ind w:firstLine="480"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1</w:t>
      </w:r>
      <w:r>
        <w:rPr>
          <w:rFonts w:hint="eastAsia" w:ascii="宋体" w:hAnsi="宋体" w:cs="仿宋_GB2312"/>
          <w:sz w:val="24"/>
          <w:szCs w:val="24"/>
        </w:rPr>
        <w:t>）</w:t>
      </w:r>
      <w:r>
        <w:rPr>
          <w:rFonts w:hint="eastAsia" w:ascii="宋体" w:hAnsi="宋体" w:cs="宋体"/>
          <w:kern w:val="0"/>
          <w:sz w:val="24"/>
          <w:szCs w:val="24"/>
        </w:rPr>
        <w:t>抢险救灾组</w:t>
      </w:r>
      <w:r>
        <w:rPr>
          <w:rFonts w:hint="eastAsia" w:ascii="宋体" w:hAnsi="宋体" w:cs="仿宋_GB2312"/>
          <w:sz w:val="24"/>
          <w:szCs w:val="24"/>
        </w:rPr>
        <w:t>在暴雨后应严密监测进厂水量数据，当超过设计日处理能力时，为保护活性污泥系统在报告厂长并取得同意后方能开启进厂超越。</w:t>
      </w:r>
    </w:p>
    <w:p>
      <w:pPr>
        <w:spacing w:line="360" w:lineRule="auto"/>
        <w:ind w:firstLine="480"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2</w:t>
      </w:r>
      <w:r>
        <w:rPr>
          <w:rFonts w:hint="eastAsia" w:ascii="宋体" w:hAnsi="宋体" w:cs="仿宋_GB2312"/>
          <w:sz w:val="24"/>
          <w:szCs w:val="24"/>
        </w:rPr>
        <w:t>）厂长对进厂水超越行为向应急指挥小组报告，并及时用正式方式报地方环保部门备案。</w:t>
      </w:r>
    </w:p>
    <w:p>
      <w:pPr>
        <w:spacing w:line="360" w:lineRule="auto"/>
        <w:ind w:firstLine="480"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3</w:t>
      </w:r>
      <w:r>
        <w:rPr>
          <w:rFonts w:hint="eastAsia" w:ascii="宋体" w:hAnsi="宋体" w:cs="仿宋_GB2312"/>
          <w:sz w:val="24"/>
          <w:szCs w:val="24"/>
        </w:rPr>
        <w:t>）当进水超标峰值过去后，立刻关闭超越系统，并详细记录开启、关闭超越的时间。</w:t>
      </w:r>
    </w:p>
    <w:p>
      <w:pPr>
        <w:spacing w:line="360" w:lineRule="auto"/>
        <w:ind w:firstLine="480"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4</w:t>
      </w:r>
      <w:r>
        <w:rPr>
          <w:rFonts w:hint="eastAsia" w:ascii="宋体" w:hAnsi="宋体" w:cs="仿宋_GB2312"/>
          <w:sz w:val="24"/>
          <w:szCs w:val="24"/>
        </w:rPr>
        <w:t>）</w:t>
      </w:r>
      <w:r>
        <w:rPr>
          <w:rFonts w:hint="eastAsia" w:ascii="仿宋_GB2312" w:cs="仿宋_GB2312"/>
          <w:sz w:val="24"/>
          <w:szCs w:val="24"/>
          <w:lang w:val="zh-CN"/>
        </w:rPr>
        <w:t>环境监测组</w:t>
      </w:r>
      <w:r>
        <w:rPr>
          <w:rFonts w:hint="eastAsia" w:ascii="宋体" w:hAnsi="宋体" w:cs="仿宋_GB2312"/>
          <w:sz w:val="24"/>
          <w:szCs w:val="24"/>
        </w:rPr>
        <w:t>应在超越期间加强对污水处理厂总排口附近水域的采样监测，评估其环境影响。</w:t>
      </w:r>
    </w:p>
    <w:p>
      <w:pPr>
        <w:spacing w:beforeLines="50" w:afterLines="50" w:line="440" w:lineRule="exact"/>
        <w:rPr>
          <w:rFonts w:cs="仿宋_GB2312" w:asciiTheme="minorEastAsia" w:hAnsiTheme="minorEastAsia" w:eastAsiaTheme="minorEastAsia"/>
          <w:b/>
          <w:kern w:val="0"/>
          <w:sz w:val="24"/>
          <w:szCs w:val="24"/>
        </w:rPr>
      </w:pPr>
      <w:r>
        <w:rPr>
          <w:rFonts w:asciiTheme="minorEastAsia" w:hAnsiTheme="minorEastAsia" w:eastAsiaTheme="minorEastAsia"/>
          <w:b/>
          <w:sz w:val="24"/>
          <w:szCs w:val="24"/>
        </w:rPr>
        <w:t>6.</w:t>
      </w:r>
      <w:r>
        <w:rPr>
          <w:rFonts w:hint="eastAsia" w:asciiTheme="minorEastAsia" w:hAnsiTheme="minorEastAsia" w:eastAsiaTheme="minorEastAsia"/>
          <w:b/>
          <w:sz w:val="24"/>
          <w:szCs w:val="24"/>
        </w:rPr>
        <w:t>4</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3</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7</w:t>
      </w:r>
      <w:r>
        <w:rPr>
          <w:rFonts w:hint="eastAsia" w:cs="仿宋_GB2312" w:asciiTheme="minorEastAsia" w:hAnsiTheme="minorEastAsia" w:eastAsiaTheme="minorEastAsia"/>
          <w:b/>
          <w:kern w:val="0"/>
          <w:sz w:val="24"/>
          <w:szCs w:val="24"/>
        </w:rPr>
        <w:t>主要治理设备异常</w:t>
      </w:r>
      <w:r>
        <w:rPr>
          <w:rFonts w:hint="eastAsia" w:asciiTheme="minorEastAsia" w:hAnsiTheme="minorEastAsia" w:eastAsiaTheme="minorEastAsia"/>
          <w:b/>
          <w:sz w:val="24"/>
          <w:szCs w:val="24"/>
        </w:rPr>
        <w:t>处置措施</w:t>
      </w:r>
    </w:p>
    <w:p>
      <w:pPr>
        <w:autoSpaceDE w:val="0"/>
        <w:autoSpaceDN w:val="0"/>
        <w:adjustRightInd w:val="0"/>
        <w:spacing w:line="360" w:lineRule="auto"/>
        <w:ind w:firstLine="64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清溪园区污水处理厂采用水解酸化</w:t>
      </w:r>
      <w:r>
        <w:rPr>
          <w:rFonts w:cs="仿宋_GB2312" w:asciiTheme="minorEastAsia" w:hAnsiTheme="minorEastAsia" w:eastAsiaTheme="minorEastAsia"/>
          <w:kern w:val="0"/>
          <w:sz w:val="24"/>
          <w:szCs w:val="24"/>
        </w:rPr>
        <w:t>+</w:t>
      </w:r>
      <w:r>
        <w:rPr>
          <w:rFonts w:hint="eastAsia" w:cs="仿宋_GB2312" w:asciiTheme="minorEastAsia" w:hAnsiTheme="minorEastAsia" w:eastAsiaTheme="minorEastAsia"/>
          <w:kern w:val="0"/>
          <w:sz w:val="24"/>
          <w:szCs w:val="24"/>
        </w:rPr>
        <w:t>生物接触氧化工艺，主要设备为：提升泵、加药泵、搅拌机、推流器、刮泥机、鼓风机、压滤机、排泥泵、回流泵、反冲洗泵。均为一备一用或一用两备。如果重要设备同时无法正常运行，可能对工艺造成较大影响，引发环境污染风险。其重要设备异常处置方案为：</w:t>
      </w:r>
    </w:p>
    <w:p>
      <w:pPr>
        <w:spacing w:line="360" w:lineRule="auto"/>
        <w:ind w:firstLine="480" w:firstLineChars="200"/>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w:t>
      </w:r>
      <w:r>
        <w:rPr>
          <w:rFonts w:hint="eastAsia" w:cs="仿宋_GB2312" w:asciiTheme="minorEastAsia" w:hAnsiTheme="minorEastAsia" w:eastAsiaTheme="minorEastAsia"/>
          <w:kern w:val="0"/>
          <w:sz w:val="24"/>
          <w:szCs w:val="24"/>
        </w:rPr>
        <w:t>、运行异常但有备用设备可运行的。立即启用备用设备，运行人员报运行维护部维修处置，执行正常报修程序。</w:t>
      </w:r>
    </w:p>
    <w:p>
      <w:pPr>
        <w:spacing w:line="360" w:lineRule="auto"/>
        <w:ind w:firstLine="480" w:firstLineChars="200"/>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w:t>
      </w:r>
      <w:r>
        <w:rPr>
          <w:rFonts w:hint="eastAsia" w:cs="仿宋_GB2312" w:asciiTheme="minorEastAsia" w:hAnsiTheme="minorEastAsia" w:eastAsiaTheme="minorEastAsia"/>
          <w:kern w:val="0"/>
          <w:sz w:val="24"/>
          <w:szCs w:val="24"/>
        </w:rPr>
        <w:t>、运行异常且无备用设备的。启动应急预案，由</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kern w:val="0"/>
          <w:sz w:val="24"/>
          <w:szCs w:val="24"/>
        </w:rPr>
        <w:t>报指挥组，指挥组批示</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kern w:val="0"/>
          <w:sz w:val="24"/>
          <w:szCs w:val="24"/>
        </w:rPr>
        <w:t>立刻进行抢修，生产安全部协助维修物资保障，必须在</w:t>
      </w:r>
      <w:r>
        <w:rPr>
          <w:rFonts w:cs="仿宋_GB2312" w:asciiTheme="minorEastAsia" w:hAnsiTheme="minorEastAsia" w:eastAsiaTheme="minorEastAsia"/>
          <w:kern w:val="0"/>
          <w:sz w:val="24"/>
          <w:szCs w:val="24"/>
        </w:rPr>
        <w:t>8</w:t>
      </w:r>
      <w:r>
        <w:rPr>
          <w:rFonts w:hint="eastAsia" w:cs="仿宋_GB2312" w:asciiTheme="minorEastAsia" w:hAnsiTheme="minorEastAsia" w:eastAsiaTheme="minorEastAsia"/>
          <w:kern w:val="0"/>
          <w:sz w:val="24"/>
          <w:szCs w:val="24"/>
        </w:rPr>
        <w:t>小时恢复设备正常运行。</w:t>
      </w:r>
    </w:p>
    <w:p>
      <w:pPr>
        <w:spacing w:beforeLines="50" w:afterLines="50" w:line="440" w:lineRule="exact"/>
        <w:rPr>
          <w:rFonts w:cs="仿宋_GB2312" w:asciiTheme="minorEastAsia" w:hAnsiTheme="minorEastAsia" w:eastAsiaTheme="minorEastAsia"/>
          <w:b/>
          <w:kern w:val="0"/>
          <w:sz w:val="24"/>
          <w:szCs w:val="24"/>
        </w:rPr>
      </w:pPr>
      <w:r>
        <w:rPr>
          <w:rFonts w:asciiTheme="minorEastAsia" w:hAnsiTheme="minorEastAsia" w:eastAsiaTheme="minorEastAsia"/>
          <w:b/>
          <w:sz w:val="24"/>
          <w:szCs w:val="24"/>
        </w:rPr>
        <w:t>6.</w:t>
      </w:r>
      <w:r>
        <w:rPr>
          <w:rFonts w:hint="eastAsia" w:asciiTheme="minorEastAsia" w:hAnsiTheme="minorEastAsia" w:eastAsiaTheme="minorEastAsia"/>
          <w:b/>
          <w:sz w:val="24"/>
          <w:szCs w:val="24"/>
        </w:rPr>
        <w:t>4</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3</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8</w:t>
      </w:r>
      <w:r>
        <w:rPr>
          <w:rFonts w:hint="eastAsia" w:cs="仿宋_GB2312" w:asciiTheme="minorEastAsia" w:hAnsiTheme="minorEastAsia" w:eastAsiaTheme="minorEastAsia"/>
          <w:b/>
          <w:kern w:val="0"/>
          <w:sz w:val="24"/>
          <w:szCs w:val="24"/>
        </w:rPr>
        <w:t>管网堵塞、破裂污水外流</w:t>
      </w:r>
      <w:r>
        <w:rPr>
          <w:rFonts w:hint="eastAsia" w:asciiTheme="minorEastAsia" w:hAnsiTheme="minorEastAsia" w:eastAsiaTheme="minorEastAsia"/>
          <w:b/>
          <w:sz w:val="24"/>
          <w:szCs w:val="24"/>
        </w:rPr>
        <w:t>处置措施</w:t>
      </w:r>
    </w:p>
    <w:p>
      <w:pPr>
        <w:autoSpaceDE w:val="0"/>
        <w:autoSpaceDN w:val="0"/>
        <w:adjustRightInd w:val="0"/>
        <w:spacing w:before="120" w:after="120" w:line="360" w:lineRule="auto"/>
        <w:ind w:firstLine="64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清溪园区污水厂管网主要收集园区企业生产废水，管网干管厂</w:t>
      </w:r>
      <w:r>
        <w:rPr>
          <w:rFonts w:cs="仿宋_GB2312" w:asciiTheme="minorEastAsia" w:hAnsiTheme="minorEastAsia" w:eastAsiaTheme="minorEastAsia"/>
          <w:kern w:val="0"/>
          <w:sz w:val="24"/>
          <w:szCs w:val="24"/>
        </w:rPr>
        <w:t>1.2km</w:t>
      </w:r>
      <w:r>
        <w:rPr>
          <w:rFonts w:hint="eastAsia" w:cs="仿宋_GB2312" w:asciiTheme="minorEastAsia" w:hAnsiTheme="minorEastAsia" w:eastAsiaTheme="minorEastAsia"/>
          <w:kern w:val="0"/>
          <w:sz w:val="24"/>
          <w:szCs w:val="24"/>
        </w:rPr>
        <w:t>，由我公司负责巡查维护。存在的风险包括滑坡、沉降、人为破坏导致的管网损坏污水外流的情况，可造成局部环境污染，引发居民投诉。主要处置方案为：</w:t>
      </w:r>
    </w:p>
    <w:p>
      <w:pPr>
        <w:spacing w:beforeLines="50" w:afterLines="50" w:line="360" w:lineRule="auto"/>
        <w:ind w:firstLine="480"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（1）滑坡或人为导致的少量管网损坏。</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kern w:val="0"/>
          <w:sz w:val="24"/>
          <w:szCs w:val="24"/>
        </w:rPr>
        <w:t>立刻到现场评估被损管网的长度，在地质条件允许的情况下，于接到报告的当天更换预备好的同管径污水管网，并做好附属的管网基础加固工作。</w:t>
      </w:r>
    </w:p>
    <w:p>
      <w:pPr>
        <w:spacing w:beforeLines="50" w:afterLines="50" w:line="360" w:lineRule="auto"/>
        <w:ind w:firstLine="480"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（2）地址沉降、堵塞导致的无法通水。</w:t>
      </w:r>
      <w:r>
        <w:rPr>
          <w:rFonts w:hint="eastAsia" w:cs="宋体" w:asciiTheme="minorEastAsia" w:hAnsiTheme="minorEastAsia" w:eastAsiaTheme="minorEastAsia"/>
          <w:kern w:val="0"/>
          <w:sz w:val="24"/>
          <w:szCs w:val="24"/>
        </w:rPr>
        <w:t>抢险救灾组</w:t>
      </w:r>
      <w:r>
        <w:rPr>
          <w:rFonts w:hint="eastAsia" w:cs="仿宋_GB2312" w:asciiTheme="minorEastAsia" w:hAnsiTheme="minorEastAsia" w:eastAsiaTheme="minorEastAsia"/>
          <w:kern w:val="0"/>
          <w:sz w:val="24"/>
          <w:szCs w:val="24"/>
        </w:rPr>
        <w:t>应及时到现场用管网机器人探测沉降变形的管网，准确找到并记录堵塞点位，并及时统计工程量上报预算整改。同时协调该管网主要排污企业暂停排污，待恢复后排放，以减轻环境影响</w:t>
      </w:r>
    </w:p>
    <w:p>
      <w:pPr>
        <w:spacing w:beforeLines="50" w:afterLines="50" w:line="360" w:lineRule="auto"/>
        <w:ind w:firstLine="480" w:firstLineChars="20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（3）管网堵塞无法通水。由管网巡视人员发现后报运行维护部组织清掏队伍，务必在</w:t>
      </w:r>
      <w:r>
        <w:rPr>
          <w:rFonts w:cs="仿宋_GB2312" w:asciiTheme="minorEastAsia" w:hAnsiTheme="minorEastAsia" w:eastAsiaTheme="minorEastAsia"/>
          <w:kern w:val="0"/>
          <w:sz w:val="24"/>
          <w:szCs w:val="24"/>
        </w:rPr>
        <w:t>6</w:t>
      </w:r>
      <w:r>
        <w:rPr>
          <w:rFonts w:hint="eastAsia" w:cs="仿宋_GB2312" w:asciiTheme="minorEastAsia" w:hAnsiTheme="minorEastAsia" w:eastAsiaTheme="minorEastAsia"/>
          <w:kern w:val="0"/>
          <w:sz w:val="24"/>
          <w:szCs w:val="24"/>
        </w:rPr>
        <w:t>小时内疏通堵塞管网，为防止对环境敏感源造成影响必要时可搭接临时管网防止污水外流。</w:t>
      </w:r>
    </w:p>
    <w:p>
      <w:pPr>
        <w:spacing w:beforeLines="50" w:afterLines="50" w:line="440" w:lineRule="exact"/>
        <w:rPr>
          <w:rFonts w:cs="仿宋_GB2312" w:asciiTheme="minorEastAsia" w:hAnsiTheme="minorEastAsia" w:eastAsiaTheme="minorEastAsia"/>
          <w:b/>
          <w:kern w:val="0"/>
          <w:sz w:val="24"/>
          <w:szCs w:val="24"/>
        </w:rPr>
      </w:pPr>
      <w:r>
        <w:rPr>
          <w:rFonts w:asciiTheme="minorEastAsia" w:hAnsiTheme="minorEastAsia" w:eastAsiaTheme="minorEastAsia"/>
          <w:b/>
          <w:sz w:val="24"/>
          <w:szCs w:val="24"/>
        </w:rPr>
        <w:t>6.</w:t>
      </w:r>
      <w:r>
        <w:rPr>
          <w:rFonts w:hint="eastAsia" w:asciiTheme="minorEastAsia" w:hAnsiTheme="minorEastAsia" w:eastAsiaTheme="minorEastAsia"/>
          <w:b/>
          <w:sz w:val="24"/>
          <w:szCs w:val="24"/>
        </w:rPr>
        <w:t>4</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3</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9</w:t>
      </w:r>
      <w:r>
        <w:rPr>
          <w:rFonts w:hint="eastAsia" w:cs="仿宋_GB2312" w:asciiTheme="minorEastAsia" w:hAnsiTheme="minorEastAsia" w:eastAsiaTheme="minorEastAsia"/>
          <w:b/>
          <w:kern w:val="0"/>
          <w:sz w:val="24"/>
          <w:szCs w:val="24"/>
        </w:rPr>
        <w:t>污泥处置</w:t>
      </w:r>
      <w:r>
        <w:rPr>
          <w:rFonts w:hint="eastAsia" w:asciiTheme="minorEastAsia" w:hAnsiTheme="minorEastAsia" w:eastAsiaTheme="minorEastAsia"/>
          <w:b/>
          <w:sz w:val="24"/>
          <w:szCs w:val="24"/>
        </w:rPr>
        <w:t>措施</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清溪园区污水处理厂的脱水污泥为一般固废，公司已与</w:t>
      </w:r>
      <w:r>
        <w:rPr>
          <w:rFonts w:hint="eastAsia" w:cs="仿宋_GB2312" w:asciiTheme="minorEastAsia" w:hAnsiTheme="minorEastAsia" w:eastAsiaTheme="minorEastAsia"/>
          <w:sz w:val="24"/>
          <w:szCs w:val="24"/>
          <w:lang w:eastAsia="zh-CN"/>
        </w:rPr>
        <w:t>重庆</w:t>
      </w:r>
      <w:r>
        <w:rPr>
          <w:rFonts w:hint="eastAsia" w:cs="仿宋_GB2312" w:asciiTheme="minorEastAsia" w:hAnsiTheme="minorEastAsia" w:eastAsiaTheme="minorEastAsia"/>
          <w:sz w:val="24"/>
          <w:szCs w:val="24"/>
        </w:rPr>
        <w:t>环保公司签订了处置合同。污水处理厂已经安放了污泥清运箱，并委托专门的运输公司转运脱水污泥，并对驾驶员和押运人员加强教育，预防事故的发生。</w:t>
      </w:r>
    </w:p>
    <w:p>
      <w:pPr>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按照转运合同要求，运输途中出现的一切安全及其他事故由运输公司负责，污水处理厂负责配合协调处理。</w:t>
      </w:r>
    </w:p>
    <w:p>
      <w:pPr>
        <w:spacing w:line="360" w:lineRule="auto"/>
        <w:ind w:firstLine="57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当转运途中出现污泥溢流和车辆事故时。</w:t>
      </w:r>
    </w:p>
    <w:p>
      <w:pPr>
        <w:spacing w:line="360" w:lineRule="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）立即报告区环保局。</w:t>
      </w:r>
    </w:p>
    <w:p>
      <w:pPr>
        <w:spacing w:line="360" w:lineRule="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）配合运输公司组织机具对污泥及时清运处理。</w:t>
      </w:r>
    </w:p>
    <w:p>
      <w:pPr>
        <w:spacing w:line="360" w:lineRule="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）总结事故并如实上报。</w:t>
      </w:r>
    </w:p>
    <w:p>
      <w:pPr>
        <w:adjustRightInd w:val="0"/>
        <w:snapToGrid w:val="0"/>
        <w:spacing w:line="460" w:lineRule="exact"/>
        <w:outlineLvl w:val="1"/>
        <w:rPr>
          <w:rFonts w:hint="eastAsia"/>
          <w:b/>
          <w:color w:val="000000"/>
          <w:sz w:val="26"/>
          <w:szCs w:val="26"/>
          <w:lang w:val="zh-CN"/>
        </w:rPr>
      </w:pPr>
      <w:bookmarkStart w:id="445" w:name="_Toc22481"/>
      <w:bookmarkStart w:id="446" w:name="_Toc25546"/>
      <w:bookmarkStart w:id="447" w:name="_Toc21834"/>
      <w:bookmarkStart w:id="448" w:name="_Toc2231"/>
      <w:bookmarkStart w:id="449" w:name="_Toc387131764"/>
      <w:bookmarkStart w:id="450" w:name="_Toc304963607"/>
      <w:bookmarkStart w:id="451" w:name="_Toc262051123"/>
      <w:bookmarkStart w:id="452" w:name="_Toc262051544"/>
      <w:bookmarkStart w:id="453" w:name="_Toc408274444"/>
      <w:bookmarkStart w:id="454" w:name="_Toc304964450"/>
      <w:bookmarkStart w:id="455" w:name="_Toc262040283"/>
      <w:bookmarkStart w:id="456" w:name="_Toc387131433"/>
      <w:bookmarkStart w:id="457" w:name="_Toc336326857"/>
      <w:bookmarkStart w:id="458" w:name="_Toc304962963"/>
      <w:bookmarkStart w:id="459" w:name="_Toc415254550"/>
      <w:bookmarkStart w:id="460" w:name="_Toc304833240"/>
      <w:bookmarkStart w:id="461" w:name="_Toc387131507"/>
      <w:bookmarkStart w:id="462" w:name="_Toc336327135"/>
      <w:bookmarkStart w:id="463" w:name="_Toc262050873"/>
      <w:r>
        <w:rPr>
          <w:rFonts w:hint="eastAsia"/>
          <w:b/>
          <w:color w:val="000000"/>
          <w:sz w:val="26"/>
          <w:szCs w:val="26"/>
          <w:lang w:val="zh-CN"/>
        </w:rPr>
        <w:t>6.5应急监测</w:t>
      </w:r>
      <w:bookmarkEnd w:id="445"/>
      <w:bookmarkEnd w:id="446"/>
      <w:bookmarkEnd w:id="447"/>
      <w:bookmarkEnd w:id="448"/>
    </w:p>
    <w:p>
      <w:pPr>
        <w:adjustRightInd w:val="0"/>
        <w:snapToGrid w:val="0"/>
        <w:spacing w:line="360" w:lineRule="auto"/>
        <w:ind w:firstLine="470" w:firstLineChars="196"/>
        <w:jc w:val="left"/>
        <w:rPr>
          <w:rFonts w:hint="eastAsia" w:asciiTheme="minorEastAsia" w:hAnsiTheme="minorEastAsia" w:eastAsiaTheme="minorEastAsia"/>
          <w:kern w:val="0"/>
          <w:sz w:val="24"/>
        </w:rPr>
      </w:pPr>
      <w:bookmarkStart w:id="464" w:name="_Toc278981746"/>
    </w:p>
    <w:p>
      <w:pPr>
        <w:adjustRightInd w:val="0"/>
        <w:snapToGrid w:val="0"/>
        <w:spacing w:line="360" w:lineRule="auto"/>
        <w:ind w:firstLine="470" w:firstLineChars="196"/>
        <w:jc w:val="left"/>
        <w:rPr>
          <w:rFonts w:asciiTheme="minorEastAsia" w:hAnsiTheme="minorEastAsia" w:eastAsiaTheme="minorEastAsia"/>
          <w:kern w:val="0"/>
          <w:sz w:val="24"/>
        </w:rPr>
      </w:pPr>
      <w:r>
        <w:rPr>
          <w:rFonts w:hint="eastAsia" w:asciiTheme="minorEastAsia" w:hAnsiTheme="minorEastAsia" w:eastAsiaTheme="minorEastAsia"/>
          <w:kern w:val="0"/>
          <w:sz w:val="24"/>
        </w:rPr>
        <w:t>（1）清溪园区污水处理厂在生产配置有监控、消防水系统和火灾报警系统，保证在万一泄漏的情况下能够及时发现，采取处置措施，以及对环境空气进行监测。</w:t>
      </w:r>
    </w:p>
    <w:p>
      <w:pPr>
        <w:adjustRightInd w:val="0"/>
        <w:snapToGrid w:val="0"/>
        <w:spacing w:line="360" w:lineRule="auto"/>
        <w:ind w:firstLine="470" w:firstLineChars="196"/>
        <w:jc w:val="left"/>
        <w:rPr>
          <w:rFonts w:asciiTheme="minorEastAsia" w:hAnsiTheme="minorEastAsia" w:eastAsiaTheme="minorEastAsia"/>
          <w:kern w:val="0"/>
          <w:sz w:val="24"/>
        </w:rPr>
      </w:pPr>
      <w:r>
        <w:rPr>
          <w:rFonts w:asciiTheme="minorEastAsia" w:hAnsiTheme="minorEastAsia" w:eastAsiaTheme="minorEastAsia"/>
          <w:kern w:val="0"/>
          <w:sz w:val="24"/>
        </w:rPr>
        <w:t>(</w:t>
      </w:r>
      <w:r>
        <w:rPr>
          <w:rFonts w:hint="eastAsia" w:asciiTheme="minorEastAsia" w:hAnsiTheme="minorEastAsia" w:eastAsiaTheme="minorEastAsia"/>
          <w:kern w:val="0"/>
          <w:sz w:val="24"/>
        </w:rPr>
        <w:t>2</w:t>
      </w:r>
      <w:r>
        <w:rPr>
          <w:rFonts w:asciiTheme="minorEastAsia" w:hAnsiTheme="minorEastAsia" w:eastAsiaTheme="minorEastAsia"/>
          <w:kern w:val="0"/>
          <w:sz w:val="24"/>
        </w:rPr>
        <w:t>)</w:t>
      </w:r>
      <w:r>
        <w:rPr>
          <w:rFonts w:hint="eastAsia" w:asciiTheme="minorEastAsia" w:hAnsiTheme="minorEastAsia" w:eastAsiaTheme="minorEastAsia"/>
          <w:kern w:val="0"/>
          <w:sz w:val="24"/>
        </w:rPr>
        <w:t>另外还可以依托涪陵区环境监测站对危化品事故产生的危害进行监测，对水体进行连续监测，同时针对人员、水体、土壤、大气采取隔离、收集和清除等方法，直至符合国家、地方环境保护标准。</w:t>
      </w:r>
      <w:bookmarkEnd w:id="464"/>
    </w:p>
    <w:p>
      <w:pPr>
        <w:adjustRightInd w:val="0"/>
        <w:snapToGrid w:val="0"/>
        <w:spacing w:line="360" w:lineRule="auto"/>
        <w:ind w:firstLine="470" w:firstLineChars="196"/>
        <w:jc w:val="left"/>
        <w:rPr>
          <w:rFonts w:hint="eastAsia" w:asciiTheme="minorEastAsia" w:hAnsiTheme="minorEastAsia" w:eastAsiaTheme="minorEastAsia"/>
          <w:kern w:val="0"/>
          <w:sz w:val="24"/>
        </w:rPr>
      </w:pPr>
      <w:bookmarkStart w:id="465" w:name="_Toc278981747"/>
      <w:r>
        <w:rPr>
          <w:rFonts w:hint="eastAsia" w:asciiTheme="minorEastAsia" w:hAnsiTheme="minorEastAsia" w:eastAsiaTheme="minorEastAsia"/>
          <w:kern w:val="0"/>
          <w:sz w:val="24"/>
        </w:rPr>
        <w:t>（3）对于不明性质物质</w:t>
      </w:r>
      <w:r>
        <w:rPr>
          <w:rFonts w:hint="eastAsia" w:asciiTheme="minorEastAsia" w:hAnsiTheme="minorEastAsia" w:eastAsiaTheme="minorEastAsia"/>
          <w:kern w:val="0"/>
          <w:sz w:val="24"/>
          <w:lang w:eastAsia="zh-CN"/>
        </w:rPr>
        <w:t>的</w:t>
      </w:r>
      <w:r>
        <w:rPr>
          <w:rFonts w:hint="eastAsia" w:asciiTheme="minorEastAsia" w:hAnsiTheme="minorEastAsia" w:eastAsiaTheme="minorEastAsia"/>
          <w:kern w:val="0"/>
          <w:sz w:val="24"/>
        </w:rPr>
        <w:t>大气监测，由公司安保部邀请涪陵区环境监测站等专业机构支援。</w:t>
      </w:r>
      <w:bookmarkEnd w:id="465"/>
    </w:p>
    <w:p>
      <w:pPr>
        <w:adjustRightInd w:val="0"/>
        <w:snapToGrid w:val="0"/>
        <w:spacing w:line="360" w:lineRule="auto"/>
        <w:ind w:firstLine="470" w:firstLineChars="196"/>
        <w:jc w:val="left"/>
        <w:rPr>
          <w:rFonts w:hint="eastAsia" w:asciiTheme="minorEastAsia" w:hAnsiTheme="minorEastAsia" w:eastAsiaTheme="minorEastAsia"/>
          <w:kern w:val="0"/>
          <w:sz w:val="24"/>
        </w:rPr>
      </w:pPr>
    </w:p>
    <w:p>
      <w:pPr>
        <w:adjustRightInd w:val="0"/>
        <w:snapToGrid w:val="0"/>
        <w:spacing w:line="360" w:lineRule="auto"/>
        <w:ind w:firstLine="470" w:firstLineChars="196"/>
        <w:jc w:val="left"/>
        <w:rPr>
          <w:rFonts w:hint="eastAsia" w:asciiTheme="minorEastAsia" w:hAnsiTheme="minorEastAsia" w:eastAsiaTheme="minorEastAsia"/>
          <w:kern w:val="0"/>
          <w:sz w:val="24"/>
        </w:rPr>
      </w:pPr>
    </w:p>
    <w:p>
      <w:pPr>
        <w:pStyle w:val="193"/>
        <w:rPr>
          <w:rFonts w:asciiTheme="minorEastAsia" w:hAnsiTheme="minorEastAsia" w:eastAsiaTheme="minorEastAsia"/>
          <w:b/>
          <w:bCs/>
        </w:rPr>
      </w:pPr>
      <w:r>
        <w:rPr>
          <w:rFonts w:hint="eastAsia" w:asciiTheme="minorEastAsia" w:hAnsiTheme="minorEastAsia" w:eastAsiaTheme="minorEastAsia"/>
        </w:rPr>
        <w:t>应急监测方案</w:t>
      </w:r>
    </w:p>
    <w:tbl>
      <w:tblPr>
        <w:tblStyle w:val="54"/>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145"/>
        <w:gridCol w:w="2673"/>
        <w:gridCol w:w="2822"/>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863" w:type="dxa"/>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类别</w:t>
            </w:r>
          </w:p>
        </w:tc>
        <w:tc>
          <w:tcPr>
            <w:tcW w:w="1145" w:type="dxa"/>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事故点</w:t>
            </w:r>
          </w:p>
        </w:tc>
        <w:tc>
          <w:tcPr>
            <w:tcW w:w="2673" w:type="dxa"/>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监测点</w:t>
            </w:r>
          </w:p>
        </w:tc>
        <w:tc>
          <w:tcPr>
            <w:tcW w:w="2822" w:type="dxa"/>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监测频率、分析方法</w:t>
            </w:r>
          </w:p>
        </w:tc>
        <w:tc>
          <w:tcPr>
            <w:tcW w:w="1568" w:type="dxa"/>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监测因子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8" w:hRule="atLeast"/>
        </w:trPr>
        <w:tc>
          <w:tcPr>
            <w:tcW w:w="863" w:type="dxa"/>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地表水</w:t>
            </w:r>
          </w:p>
        </w:tc>
        <w:tc>
          <w:tcPr>
            <w:tcW w:w="1145" w:type="dxa"/>
            <w:vAlign w:val="center"/>
          </w:tcPr>
          <w:p>
            <w:pPr>
              <w:pStyle w:val="193"/>
              <w:rPr>
                <w:rFonts w:asciiTheme="minorEastAsia" w:hAnsiTheme="minorEastAsia" w:eastAsiaTheme="minorEastAsia"/>
                <w:sz w:val="21"/>
                <w:szCs w:val="24"/>
              </w:rPr>
            </w:pPr>
            <w:r>
              <w:rPr>
                <w:rFonts w:hint="eastAsia" w:asciiTheme="minorEastAsia" w:hAnsiTheme="minorEastAsia" w:eastAsiaTheme="minorEastAsia"/>
                <w:sz w:val="21"/>
                <w:szCs w:val="24"/>
              </w:rPr>
              <w:t>污水处理厂</w:t>
            </w:r>
          </w:p>
        </w:tc>
        <w:tc>
          <w:tcPr>
            <w:tcW w:w="2673" w:type="dxa"/>
            <w:vAlign w:val="center"/>
          </w:tcPr>
          <w:p>
            <w:pPr>
              <w:pStyle w:val="193"/>
              <w:jc w:val="left"/>
              <w:rPr>
                <w:rFonts w:asciiTheme="minorEastAsia" w:hAnsiTheme="minorEastAsia" w:eastAsiaTheme="minorEastAsia"/>
                <w:sz w:val="21"/>
                <w:szCs w:val="24"/>
              </w:rPr>
            </w:pPr>
            <w:r>
              <w:rPr>
                <w:rFonts w:hint="eastAsia" w:asciiTheme="minorEastAsia" w:hAnsiTheme="minorEastAsia" w:eastAsiaTheme="minorEastAsia"/>
                <w:sz w:val="21"/>
                <w:szCs w:val="24"/>
              </w:rPr>
              <w:t>污水处理设施排放口、清溪园区污水处理厂下游断面长江约</w:t>
            </w:r>
            <w:r>
              <w:rPr>
                <w:rFonts w:asciiTheme="minorEastAsia" w:hAnsiTheme="minorEastAsia" w:eastAsiaTheme="minorEastAsia"/>
                <w:sz w:val="21"/>
                <w:szCs w:val="24"/>
              </w:rPr>
              <w:t>200m</w:t>
            </w:r>
            <w:r>
              <w:rPr>
                <w:rFonts w:hint="eastAsia" w:asciiTheme="minorEastAsia" w:hAnsiTheme="minorEastAsia" w:eastAsiaTheme="minorEastAsia"/>
                <w:sz w:val="21"/>
                <w:szCs w:val="24"/>
              </w:rPr>
              <w:t>处</w:t>
            </w:r>
          </w:p>
        </w:tc>
        <w:tc>
          <w:tcPr>
            <w:tcW w:w="2822" w:type="dxa"/>
            <w:vAlign w:val="center"/>
          </w:tcPr>
          <w:p>
            <w:pPr>
              <w:pStyle w:val="193"/>
              <w:rPr>
                <w:rFonts w:asciiTheme="minorEastAsia" w:hAnsiTheme="minorEastAsia" w:eastAsiaTheme="minorEastAsia"/>
                <w:bCs/>
                <w:sz w:val="21"/>
                <w:szCs w:val="21"/>
              </w:rPr>
            </w:pPr>
            <w:r>
              <w:rPr>
                <w:rFonts w:hint="eastAsia" w:asciiTheme="minorEastAsia" w:hAnsiTheme="minorEastAsia" w:eastAsiaTheme="minorEastAsia"/>
                <w:bCs/>
                <w:sz w:val="21"/>
                <w:szCs w:val="21"/>
              </w:rPr>
              <w:t>采样</w:t>
            </w:r>
            <w:r>
              <w:rPr>
                <w:rFonts w:asciiTheme="minorEastAsia" w:hAnsiTheme="minorEastAsia" w:eastAsiaTheme="minorEastAsia"/>
                <w:bCs/>
                <w:sz w:val="21"/>
                <w:szCs w:val="21"/>
              </w:rPr>
              <w:t>1</w:t>
            </w:r>
            <w:r>
              <w:rPr>
                <w:rFonts w:hint="eastAsia" w:asciiTheme="minorEastAsia" w:hAnsiTheme="minorEastAsia" w:eastAsiaTheme="minorEastAsia"/>
                <w:bCs/>
                <w:sz w:val="21"/>
                <w:szCs w:val="21"/>
              </w:rPr>
              <w:t>次</w:t>
            </w:r>
            <w:r>
              <w:rPr>
                <w:rFonts w:asciiTheme="minorEastAsia" w:hAnsiTheme="minorEastAsia" w:eastAsiaTheme="minorEastAsia"/>
                <w:bCs/>
                <w:sz w:val="21"/>
                <w:szCs w:val="21"/>
              </w:rPr>
              <w:t>/30min</w:t>
            </w: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1h</w:t>
            </w:r>
            <w:r>
              <w:rPr>
                <w:rFonts w:hint="eastAsia" w:asciiTheme="minorEastAsia" w:hAnsiTheme="minorEastAsia" w:eastAsiaTheme="minorEastAsia"/>
                <w:bCs/>
                <w:sz w:val="21"/>
                <w:szCs w:val="21"/>
              </w:rPr>
              <w:t>向指挥部报数据</w:t>
            </w:r>
            <w:r>
              <w:rPr>
                <w:rFonts w:asciiTheme="minorEastAsia" w:hAnsiTheme="minorEastAsia" w:eastAsiaTheme="minorEastAsia"/>
                <w:bCs/>
                <w:sz w:val="21"/>
                <w:szCs w:val="21"/>
              </w:rPr>
              <w:t>1</w:t>
            </w:r>
            <w:r>
              <w:rPr>
                <w:rFonts w:hint="eastAsia" w:asciiTheme="minorEastAsia" w:hAnsiTheme="minorEastAsia" w:eastAsiaTheme="minorEastAsia"/>
                <w:bCs/>
                <w:sz w:val="21"/>
                <w:szCs w:val="21"/>
              </w:rPr>
              <w:t>次；</w:t>
            </w:r>
            <w:r>
              <w:rPr>
                <w:rFonts w:asciiTheme="minorEastAsia" w:hAnsiTheme="minorEastAsia" w:eastAsiaTheme="minorEastAsia"/>
                <w:bCs/>
                <w:sz w:val="21"/>
                <w:szCs w:val="21"/>
              </w:rPr>
              <w:t>pH</w:t>
            </w:r>
            <w:r>
              <w:rPr>
                <w:rFonts w:hint="eastAsia" w:asciiTheme="minorEastAsia" w:hAnsiTheme="minorEastAsia" w:eastAsiaTheme="minorEastAsia"/>
                <w:bCs/>
                <w:sz w:val="21"/>
                <w:szCs w:val="21"/>
              </w:rPr>
              <w:t>计、重铬酸钾法，五日培养法</w:t>
            </w:r>
          </w:p>
        </w:tc>
        <w:tc>
          <w:tcPr>
            <w:tcW w:w="1568" w:type="dxa"/>
            <w:vAlign w:val="center"/>
          </w:tcPr>
          <w:p>
            <w:pPr>
              <w:pStyle w:val="193"/>
              <w:rPr>
                <w:rFonts w:asciiTheme="minorEastAsia" w:hAnsiTheme="minorEastAsia" w:eastAsiaTheme="minorEastAsia"/>
                <w:sz w:val="21"/>
                <w:szCs w:val="24"/>
              </w:rPr>
            </w:pPr>
            <w:r>
              <w:rPr>
                <w:rFonts w:asciiTheme="minorEastAsia" w:hAnsiTheme="minorEastAsia" w:eastAsiaTheme="minorEastAsia"/>
                <w:sz w:val="21"/>
                <w:szCs w:val="24"/>
              </w:rPr>
              <w:t>pH</w:t>
            </w:r>
            <w:r>
              <w:rPr>
                <w:rFonts w:hint="eastAsia" w:asciiTheme="minorEastAsia" w:hAnsiTheme="minorEastAsia" w:eastAsiaTheme="minorEastAsia"/>
                <w:sz w:val="21"/>
                <w:szCs w:val="24"/>
              </w:rPr>
              <w:t>、</w:t>
            </w:r>
            <w:r>
              <w:rPr>
                <w:rFonts w:asciiTheme="minorEastAsia" w:hAnsiTheme="minorEastAsia" w:eastAsiaTheme="minorEastAsia"/>
                <w:sz w:val="21"/>
                <w:szCs w:val="24"/>
              </w:rPr>
              <w:t>BOD</w:t>
            </w:r>
            <w:r>
              <w:rPr>
                <w:rFonts w:hint="eastAsia" w:asciiTheme="minorEastAsia" w:hAnsiTheme="minorEastAsia" w:eastAsiaTheme="minorEastAsia"/>
                <w:sz w:val="21"/>
                <w:szCs w:val="24"/>
              </w:rPr>
              <w:t>、</w:t>
            </w:r>
            <w:r>
              <w:rPr>
                <w:rFonts w:asciiTheme="minorEastAsia" w:hAnsiTheme="minorEastAsia" w:eastAsiaTheme="minorEastAsia"/>
                <w:sz w:val="21"/>
                <w:szCs w:val="24"/>
              </w:rPr>
              <w:t>COD</w:t>
            </w:r>
          </w:p>
        </w:tc>
      </w:tr>
    </w:tbl>
    <w:p>
      <w:pPr>
        <w:adjustRightInd w:val="0"/>
        <w:snapToGrid w:val="0"/>
        <w:spacing w:line="460" w:lineRule="exact"/>
        <w:outlineLvl w:val="1"/>
        <w:rPr>
          <w:rFonts w:hint="eastAsia"/>
          <w:b/>
          <w:color w:val="000000"/>
          <w:sz w:val="26"/>
          <w:szCs w:val="26"/>
          <w:lang w:val="zh-CN"/>
        </w:rPr>
      </w:pPr>
      <w:bookmarkStart w:id="466" w:name="_Toc22022"/>
      <w:bookmarkStart w:id="467" w:name="_Toc31531"/>
      <w:bookmarkStart w:id="468" w:name="_Toc6563"/>
      <w:bookmarkStart w:id="469" w:name="_Toc25668"/>
      <w:r>
        <w:rPr>
          <w:rFonts w:hint="eastAsia"/>
          <w:b/>
          <w:color w:val="000000"/>
          <w:sz w:val="26"/>
          <w:szCs w:val="26"/>
          <w:lang w:val="zh-CN"/>
        </w:rPr>
        <w:t>6.6应急终止</w:t>
      </w:r>
      <w:bookmarkEnd w:id="466"/>
      <w:bookmarkEnd w:id="467"/>
      <w:bookmarkEnd w:id="468"/>
      <w:bookmarkEnd w:id="469"/>
    </w:p>
    <w:p>
      <w:pPr>
        <w:spacing w:line="360" w:lineRule="auto"/>
        <w:jc w:val="left"/>
        <w:rPr>
          <w:rFonts w:asciiTheme="minorEastAsia" w:hAnsiTheme="minorEastAsia" w:eastAsiaTheme="minorEastAsia"/>
          <w:b/>
          <w:color w:val="000000"/>
          <w:sz w:val="28"/>
          <w:szCs w:val="28"/>
        </w:rPr>
      </w:pPr>
      <w:bookmarkStart w:id="470" w:name="_Toc354653995"/>
      <w:bookmarkStart w:id="471" w:name="_Toc9648"/>
      <w:bookmarkStart w:id="472" w:name="_Toc11392"/>
      <w:bookmarkStart w:id="473" w:name="_Toc8834"/>
      <w:r>
        <w:rPr>
          <w:rFonts w:asciiTheme="minorEastAsia" w:hAnsiTheme="minorEastAsia" w:eastAsiaTheme="minorEastAsia"/>
          <w:b/>
          <w:color w:val="000000"/>
          <w:sz w:val="28"/>
          <w:szCs w:val="28"/>
        </w:rPr>
        <w:t xml:space="preserve">6.6.1  </w:t>
      </w:r>
      <w:r>
        <w:rPr>
          <w:rFonts w:hint="eastAsia" w:asciiTheme="minorEastAsia" w:hAnsiTheme="minorEastAsia" w:eastAsiaTheme="minorEastAsia"/>
          <w:b/>
          <w:color w:val="000000"/>
          <w:sz w:val="28"/>
          <w:szCs w:val="28"/>
        </w:rPr>
        <w:t>应急终止的条件：</w:t>
      </w:r>
      <w:bookmarkEnd w:id="470"/>
      <w:bookmarkEnd w:id="471"/>
      <w:bookmarkEnd w:id="472"/>
      <w:bookmarkEnd w:id="473"/>
    </w:p>
    <w:p>
      <w:pPr>
        <w:adjustRightInd w:val="0"/>
        <w:snapToGrid w:val="0"/>
        <w:spacing w:line="360" w:lineRule="auto"/>
        <w:ind w:firstLine="470" w:firstLineChars="196"/>
        <w:jc w:val="left"/>
        <w:rPr>
          <w:rFonts w:asciiTheme="minorEastAsia" w:hAnsiTheme="minorEastAsia" w:eastAsiaTheme="minorEastAsia"/>
          <w:kern w:val="0"/>
          <w:sz w:val="24"/>
        </w:rPr>
      </w:pPr>
      <w:bookmarkStart w:id="474" w:name="_Toc354653996"/>
      <w:r>
        <w:rPr>
          <w:rFonts w:hint="eastAsia" w:asciiTheme="minorEastAsia" w:hAnsiTheme="minorEastAsia" w:eastAsiaTheme="minorEastAsia"/>
          <w:kern w:val="0"/>
          <w:sz w:val="24"/>
        </w:rPr>
        <w:t>符合下列条件之一的，即满足应急终止条件：</w:t>
      </w:r>
      <w:bookmarkEnd w:id="474"/>
    </w:p>
    <w:p>
      <w:pPr>
        <w:adjustRightInd w:val="0"/>
        <w:snapToGrid w:val="0"/>
        <w:spacing w:line="360" w:lineRule="auto"/>
        <w:ind w:firstLine="470" w:firstLineChars="196"/>
        <w:jc w:val="left"/>
        <w:rPr>
          <w:rFonts w:asciiTheme="minorEastAsia" w:hAnsiTheme="minorEastAsia" w:eastAsiaTheme="minorEastAsia"/>
          <w:kern w:val="0"/>
          <w:sz w:val="24"/>
        </w:rPr>
      </w:pPr>
      <w:bookmarkStart w:id="475" w:name="_Toc354653997"/>
      <w:r>
        <w:rPr>
          <w:rFonts w:hint="eastAsia" w:asciiTheme="minorEastAsia" w:hAnsiTheme="minorEastAsia" w:eastAsiaTheme="minorEastAsia"/>
          <w:kern w:val="0"/>
          <w:sz w:val="24"/>
        </w:rPr>
        <w:t>（</w:t>
      </w:r>
      <w:r>
        <w:rPr>
          <w:rFonts w:asciiTheme="minorEastAsia" w:hAnsiTheme="minorEastAsia" w:eastAsiaTheme="minorEastAsia"/>
          <w:kern w:val="0"/>
          <w:sz w:val="24"/>
        </w:rPr>
        <w:t>1</w:t>
      </w:r>
      <w:r>
        <w:rPr>
          <w:rFonts w:hint="eastAsia" w:asciiTheme="minorEastAsia" w:hAnsiTheme="minorEastAsia" w:eastAsiaTheme="minorEastAsia"/>
          <w:kern w:val="0"/>
          <w:sz w:val="24"/>
        </w:rPr>
        <w:t>）事件现场得到控制，事件条件已消除。</w:t>
      </w:r>
      <w:bookmarkEnd w:id="475"/>
    </w:p>
    <w:p>
      <w:pPr>
        <w:adjustRightInd w:val="0"/>
        <w:snapToGrid w:val="0"/>
        <w:spacing w:line="360" w:lineRule="auto"/>
        <w:ind w:firstLine="470" w:firstLineChars="196"/>
        <w:jc w:val="left"/>
        <w:rPr>
          <w:rFonts w:asciiTheme="minorEastAsia" w:hAnsiTheme="minorEastAsia" w:eastAsiaTheme="minorEastAsia"/>
          <w:kern w:val="0"/>
          <w:sz w:val="24"/>
        </w:rPr>
      </w:pPr>
      <w:bookmarkStart w:id="476" w:name="_Toc354653998"/>
      <w:r>
        <w:rPr>
          <w:rFonts w:hint="eastAsia" w:asciiTheme="minorEastAsia" w:hAnsiTheme="minorEastAsia" w:eastAsiaTheme="minorEastAsia"/>
          <w:kern w:val="0"/>
          <w:sz w:val="24"/>
        </w:rPr>
        <w:t>（</w:t>
      </w:r>
      <w:r>
        <w:rPr>
          <w:rFonts w:asciiTheme="minorEastAsia" w:hAnsiTheme="minorEastAsia" w:eastAsiaTheme="minorEastAsia"/>
          <w:kern w:val="0"/>
          <w:sz w:val="24"/>
        </w:rPr>
        <w:t>2</w:t>
      </w:r>
      <w:r>
        <w:rPr>
          <w:rFonts w:hint="eastAsia" w:asciiTheme="minorEastAsia" w:hAnsiTheme="minorEastAsia" w:eastAsiaTheme="minorEastAsia"/>
          <w:kern w:val="0"/>
          <w:sz w:val="24"/>
        </w:rPr>
        <w:t>）事件所造成的危害已经被彻底消除，无继发可能。</w:t>
      </w:r>
      <w:bookmarkEnd w:id="476"/>
    </w:p>
    <w:p>
      <w:pPr>
        <w:adjustRightInd w:val="0"/>
        <w:snapToGrid w:val="0"/>
        <w:spacing w:line="360" w:lineRule="auto"/>
        <w:ind w:firstLine="470" w:firstLineChars="196"/>
        <w:jc w:val="left"/>
        <w:rPr>
          <w:rFonts w:asciiTheme="minorEastAsia" w:hAnsiTheme="minorEastAsia" w:eastAsiaTheme="minorEastAsia"/>
          <w:kern w:val="0"/>
          <w:sz w:val="24"/>
        </w:rPr>
      </w:pPr>
      <w:bookmarkStart w:id="477" w:name="_Toc354653999"/>
      <w:r>
        <w:rPr>
          <w:rFonts w:hint="eastAsia" w:asciiTheme="minorEastAsia" w:hAnsiTheme="minorEastAsia" w:eastAsiaTheme="minorEastAsia"/>
          <w:kern w:val="0"/>
          <w:sz w:val="24"/>
        </w:rPr>
        <w:t>（</w:t>
      </w:r>
      <w:r>
        <w:rPr>
          <w:rFonts w:asciiTheme="minorEastAsia" w:hAnsiTheme="minorEastAsia" w:eastAsiaTheme="minorEastAsia"/>
          <w:kern w:val="0"/>
          <w:sz w:val="24"/>
        </w:rPr>
        <w:t>3</w:t>
      </w:r>
      <w:r>
        <w:rPr>
          <w:rFonts w:hint="eastAsia" w:asciiTheme="minorEastAsia" w:hAnsiTheme="minorEastAsia" w:eastAsiaTheme="minorEastAsia"/>
          <w:kern w:val="0"/>
          <w:sz w:val="24"/>
        </w:rPr>
        <w:t>）事件现场的各种专业应急处置行动已无继续必要。</w:t>
      </w:r>
      <w:bookmarkEnd w:id="477"/>
    </w:p>
    <w:p>
      <w:pPr>
        <w:adjustRightInd w:val="0"/>
        <w:snapToGrid w:val="0"/>
        <w:spacing w:line="360" w:lineRule="auto"/>
        <w:ind w:firstLine="470" w:firstLineChars="196"/>
        <w:jc w:val="left"/>
        <w:rPr>
          <w:rFonts w:asciiTheme="minorEastAsia" w:hAnsiTheme="minorEastAsia" w:eastAsiaTheme="minorEastAsia"/>
          <w:kern w:val="0"/>
          <w:sz w:val="24"/>
        </w:rPr>
      </w:pPr>
      <w:bookmarkStart w:id="478" w:name="_Toc354654000"/>
      <w:r>
        <w:rPr>
          <w:rFonts w:hint="eastAsia" w:asciiTheme="minorEastAsia" w:hAnsiTheme="minorEastAsia" w:eastAsiaTheme="minorEastAsia"/>
          <w:kern w:val="0"/>
          <w:sz w:val="24"/>
        </w:rPr>
        <w:t>（</w:t>
      </w:r>
      <w:r>
        <w:rPr>
          <w:rFonts w:asciiTheme="minorEastAsia" w:hAnsiTheme="minorEastAsia" w:eastAsiaTheme="minorEastAsia"/>
          <w:kern w:val="0"/>
          <w:sz w:val="24"/>
        </w:rPr>
        <w:t>4</w:t>
      </w:r>
      <w:r>
        <w:rPr>
          <w:rFonts w:hint="eastAsia" w:asciiTheme="minorEastAsia" w:hAnsiTheme="minorEastAsia" w:eastAsiaTheme="minorEastAsia"/>
          <w:kern w:val="0"/>
          <w:sz w:val="24"/>
        </w:rPr>
        <w:t>）采取了必要的防护措施，以保护员工，周边居民（村）民免受再次危害，并使事件不能引起的中长期影响趋于合理且尽量降低水平。</w:t>
      </w:r>
      <w:bookmarkEnd w:id="478"/>
    </w:p>
    <w:p>
      <w:pPr>
        <w:adjustRightInd w:val="0"/>
        <w:snapToGrid w:val="0"/>
        <w:spacing w:line="360" w:lineRule="auto"/>
        <w:jc w:val="left"/>
        <w:rPr>
          <w:rFonts w:asciiTheme="minorEastAsia" w:hAnsiTheme="minorEastAsia" w:eastAsiaTheme="minorEastAsia"/>
          <w:b/>
          <w:bCs/>
          <w:kern w:val="0"/>
          <w:sz w:val="28"/>
          <w:szCs w:val="28"/>
        </w:rPr>
      </w:pPr>
      <w:bookmarkStart w:id="479" w:name="_Toc1269"/>
      <w:bookmarkStart w:id="480" w:name="_Toc22640"/>
      <w:bookmarkStart w:id="481" w:name="_Toc7004"/>
      <w:bookmarkStart w:id="482" w:name="_Toc354654001"/>
      <w:r>
        <w:rPr>
          <w:rFonts w:asciiTheme="minorEastAsia" w:hAnsiTheme="minorEastAsia" w:eastAsiaTheme="minorEastAsia"/>
          <w:b/>
          <w:bCs/>
          <w:kern w:val="0"/>
          <w:sz w:val="28"/>
          <w:szCs w:val="28"/>
        </w:rPr>
        <w:t>6.6.2</w:t>
      </w:r>
      <w:r>
        <w:rPr>
          <w:rFonts w:hint="eastAsia" w:asciiTheme="minorEastAsia" w:hAnsiTheme="minorEastAsia" w:eastAsiaTheme="minorEastAsia"/>
          <w:b/>
          <w:bCs/>
          <w:kern w:val="0"/>
          <w:sz w:val="28"/>
          <w:szCs w:val="28"/>
        </w:rPr>
        <w:t>应急终止程序</w:t>
      </w:r>
      <w:bookmarkEnd w:id="479"/>
      <w:bookmarkEnd w:id="480"/>
      <w:bookmarkEnd w:id="481"/>
      <w:bookmarkEnd w:id="482"/>
    </w:p>
    <w:p>
      <w:pPr>
        <w:adjustRightInd w:val="0"/>
        <w:snapToGrid w:val="0"/>
        <w:spacing w:line="360" w:lineRule="auto"/>
        <w:ind w:firstLine="470" w:firstLineChars="196"/>
        <w:jc w:val="left"/>
        <w:rPr>
          <w:rFonts w:asciiTheme="minorEastAsia" w:hAnsiTheme="minorEastAsia" w:eastAsiaTheme="minorEastAsia"/>
          <w:kern w:val="0"/>
          <w:sz w:val="24"/>
        </w:rPr>
      </w:pPr>
      <w:r>
        <w:rPr>
          <w:rFonts w:asciiTheme="minorEastAsia" w:hAnsiTheme="minorEastAsia" w:eastAsiaTheme="minorEastAsia"/>
          <w:kern w:val="0"/>
          <w:sz w:val="24"/>
        </w:rPr>
        <w:t xml:space="preserve"> </w:t>
      </w:r>
      <w:r>
        <w:rPr>
          <w:rFonts w:hint="eastAsia" w:asciiTheme="minorEastAsia" w:hAnsiTheme="minorEastAsia" w:eastAsiaTheme="minorEastAsia"/>
          <w:kern w:val="0"/>
          <w:sz w:val="24"/>
        </w:rPr>
        <w:t>各应急小组负责人向应急指挥部报告事故相关险情已处置完毕，应急救援副总指挥汇同应急指挥部其它成员对全公司及周边受到事故影响的区域进行危险性评估，确定符合应急终止条件后，报告应急救援总指挥，由应急救援总指挥宣布公司事故应急救援行动终止。</w:t>
      </w:r>
    </w:p>
    <w:p>
      <w:pPr>
        <w:adjustRightInd w:val="0"/>
        <w:snapToGrid w:val="0"/>
        <w:spacing w:line="360" w:lineRule="auto"/>
        <w:ind w:firstLine="470" w:firstLineChars="196"/>
        <w:jc w:val="left"/>
        <w:rPr>
          <w:rFonts w:asciiTheme="minorEastAsia" w:hAnsiTheme="minorEastAsia" w:eastAsiaTheme="minorEastAsia"/>
        </w:rPr>
      </w:pPr>
      <w:r>
        <w:rPr>
          <w:rFonts w:hint="eastAsia" w:asciiTheme="minorEastAsia" w:hAnsiTheme="minorEastAsia" w:eastAsiaTheme="minorEastAsia"/>
          <w:kern w:val="0"/>
          <w:sz w:val="24"/>
        </w:rPr>
        <w:t>应急状态终止后，有关部门（单位）应根据指挥部指示及实际情况，继续进行环境监测、组织设备设施的抢修，尽快恢复正常生产。</w:t>
      </w:r>
    </w:p>
    <w:p>
      <w:pPr>
        <w:adjustRightInd w:val="0"/>
        <w:snapToGrid w:val="0"/>
        <w:spacing w:line="360" w:lineRule="auto"/>
        <w:jc w:val="left"/>
        <w:rPr>
          <w:rFonts w:asciiTheme="minorEastAsia" w:hAnsiTheme="minorEastAsia" w:eastAsiaTheme="minorEastAsia"/>
          <w:b/>
          <w:bCs/>
          <w:kern w:val="0"/>
          <w:sz w:val="28"/>
          <w:szCs w:val="28"/>
        </w:rPr>
      </w:pPr>
      <w:bookmarkStart w:id="483" w:name="_Toc19038"/>
      <w:bookmarkStart w:id="484" w:name="_Toc10247"/>
      <w:bookmarkStart w:id="485" w:name="_Toc354654005"/>
      <w:bookmarkStart w:id="486" w:name="_Toc10509"/>
      <w:r>
        <w:rPr>
          <w:rFonts w:asciiTheme="minorEastAsia" w:hAnsiTheme="minorEastAsia" w:eastAsiaTheme="minorEastAsia"/>
          <w:b/>
          <w:bCs/>
          <w:kern w:val="0"/>
          <w:sz w:val="28"/>
          <w:szCs w:val="28"/>
        </w:rPr>
        <w:t>6.6.3</w:t>
      </w:r>
      <w:r>
        <w:rPr>
          <w:rFonts w:hint="eastAsia" w:asciiTheme="minorEastAsia" w:hAnsiTheme="minorEastAsia" w:eastAsiaTheme="minorEastAsia"/>
          <w:b/>
          <w:bCs/>
          <w:kern w:val="0"/>
          <w:sz w:val="28"/>
          <w:szCs w:val="28"/>
        </w:rPr>
        <w:t>应急终止后的行动</w:t>
      </w:r>
      <w:bookmarkEnd w:id="483"/>
      <w:bookmarkEnd w:id="484"/>
      <w:bookmarkEnd w:id="485"/>
      <w:bookmarkEnd w:id="486"/>
    </w:p>
    <w:p>
      <w:pPr>
        <w:adjustRightInd w:val="0"/>
        <w:snapToGrid w:val="0"/>
        <w:spacing w:line="360" w:lineRule="auto"/>
        <w:ind w:firstLine="470" w:firstLineChars="196"/>
        <w:jc w:val="left"/>
        <w:rPr>
          <w:rFonts w:asciiTheme="minorEastAsia" w:hAnsiTheme="minorEastAsia" w:eastAsiaTheme="minorEastAsia"/>
          <w:kern w:val="0"/>
          <w:sz w:val="24"/>
        </w:rPr>
      </w:pPr>
      <w:r>
        <w:rPr>
          <w:rFonts w:hint="eastAsia" w:asciiTheme="minorEastAsia" w:hAnsiTheme="minorEastAsia" w:eastAsiaTheme="minorEastAsia"/>
          <w:kern w:val="0"/>
          <w:sz w:val="24"/>
        </w:rPr>
        <w:t>应急行动终止后，应做好以下工作：</w:t>
      </w:r>
    </w:p>
    <w:p>
      <w:pPr>
        <w:adjustRightInd w:val="0"/>
        <w:snapToGrid w:val="0"/>
        <w:spacing w:line="360" w:lineRule="auto"/>
        <w:ind w:firstLine="470" w:firstLineChars="196"/>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1</w:t>
      </w:r>
      <w:r>
        <w:rPr>
          <w:rFonts w:hint="eastAsia" w:asciiTheme="minorEastAsia" w:hAnsiTheme="minorEastAsia" w:eastAsiaTheme="minorEastAsia"/>
          <w:kern w:val="0"/>
          <w:sz w:val="24"/>
        </w:rPr>
        <w:t>）及时通知本单位相关部门、周边企业（或事业）单位、社区、社会关注区及人员事件危险已解除；</w:t>
      </w:r>
    </w:p>
    <w:p>
      <w:pPr>
        <w:adjustRightInd w:val="0"/>
        <w:snapToGrid w:val="0"/>
        <w:spacing w:line="360" w:lineRule="auto"/>
        <w:ind w:firstLine="470" w:firstLineChars="196"/>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2</w:t>
      </w:r>
      <w:r>
        <w:rPr>
          <w:rFonts w:hint="eastAsia" w:asciiTheme="minorEastAsia" w:hAnsiTheme="minorEastAsia" w:eastAsiaTheme="minorEastAsia"/>
          <w:kern w:val="0"/>
          <w:sz w:val="24"/>
        </w:rPr>
        <w:t>）对现场中暴露的工作人员、应急行动人员和受污染设备进行清洁净化；</w:t>
      </w:r>
    </w:p>
    <w:p>
      <w:pPr>
        <w:adjustRightInd w:val="0"/>
        <w:snapToGrid w:val="0"/>
        <w:spacing w:line="360" w:lineRule="auto"/>
        <w:ind w:firstLine="470" w:firstLineChars="196"/>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3</w:t>
      </w:r>
      <w:r>
        <w:rPr>
          <w:rFonts w:hint="eastAsia" w:asciiTheme="minorEastAsia" w:hAnsiTheme="minorEastAsia" w:eastAsiaTheme="minorEastAsia"/>
          <w:kern w:val="0"/>
          <w:sz w:val="24"/>
        </w:rPr>
        <w:t>）做好事件情况的后续报告；</w:t>
      </w:r>
    </w:p>
    <w:p>
      <w:pPr>
        <w:adjustRightInd w:val="0"/>
        <w:snapToGrid w:val="0"/>
        <w:spacing w:line="360" w:lineRule="auto"/>
        <w:ind w:firstLine="470" w:firstLineChars="196"/>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4</w:t>
      </w:r>
      <w:r>
        <w:rPr>
          <w:rFonts w:hint="eastAsia" w:asciiTheme="minorEastAsia" w:hAnsiTheme="minorEastAsia" w:eastAsiaTheme="minorEastAsia"/>
          <w:kern w:val="0"/>
          <w:sz w:val="24"/>
        </w:rPr>
        <w:t>）配合上级部门的调查，向事件调查处理小组提供相关资料；</w:t>
      </w:r>
    </w:p>
    <w:p>
      <w:pPr>
        <w:adjustRightInd w:val="0"/>
        <w:snapToGrid w:val="0"/>
        <w:spacing w:line="360" w:lineRule="auto"/>
        <w:ind w:firstLine="470" w:firstLineChars="196"/>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5</w:t>
      </w:r>
      <w:r>
        <w:rPr>
          <w:rFonts w:hint="eastAsia" w:asciiTheme="minorEastAsia" w:hAnsiTheme="minorEastAsia" w:eastAsiaTheme="minorEastAsia"/>
          <w:kern w:val="0"/>
          <w:sz w:val="24"/>
        </w:rPr>
        <w:t>）事件原因、损失调查与责任认定；</w:t>
      </w:r>
    </w:p>
    <w:p>
      <w:pPr>
        <w:adjustRightInd w:val="0"/>
        <w:snapToGrid w:val="0"/>
        <w:spacing w:line="360" w:lineRule="auto"/>
        <w:ind w:firstLine="470" w:firstLineChars="196"/>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6</w:t>
      </w:r>
      <w:r>
        <w:rPr>
          <w:rFonts w:hint="eastAsia" w:asciiTheme="minorEastAsia" w:hAnsiTheme="minorEastAsia" w:eastAsiaTheme="minorEastAsia"/>
          <w:kern w:val="0"/>
          <w:sz w:val="24"/>
        </w:rPr>
        <w:t>）对应急过程进行评价，对事件应急救援工作做好总结报告，突发环境事件应急预案的修订；</w:t>
      </w:r>
    </w:p>
    <w:p>
      <w:pPr>
        <w:adjustRightInd w:val="0"/>
        <w:snapToGrid w:val="0"/>
        <w:spacing w:line="360" w:lineRule="auto"/>
        <w:ind w:firstLine="470" w:firstLineChars="196"/>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7</w:t>
      </w:r>
      <w:r>
        <w:rPr>
          <w:rFonts w:hint="eastAsia" w:asciiTheme="minorEastAsia" w:hAnsiTheme="minorEastAsia" w:eastAsiaTheme="minorEastAsia"/>
          <w:kern w:val="0"/>
          <w:sz w:val="24"/>
        </w:rPr>
        <w:t>）对应急器材及时进行检查、复位、补充。</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Start w:id="487" w:name="_Toc179794561"/>
      <w:bookmarkStart w:id="488" w:name="_Toc408274445"/>
      <w:bookmarkStart w:id="489" w:name="_Toc415254551"/>
      <w:bookmarkStart w:id="490" w:name="_Toc184808770"/>
      <w:bookmarkStart w:id="491" w:name="_Toc198355328"/>
      <w:bookmarkStart w:id="492" w:name="_Toc262040284"/>
      <w:bookmarkStart w:id="493" w:name="_Toc229283978"/>
      <w:bookmarkStart w:id="494" w:name="_Toc304962964"/>
      <w:bookmarkStart w:id="495" w:name="_Toc336327136"/>
      <w:bookmarkStart w:id="496" w:name="_Toc196018440"/>
      <w:bookmarkStart w:id="497" w:name="_Toc262051127"/>
      <w:bookmarkStart w:id="498" w:name="_Toc196018644"/>
      <w:bookmarkStart w:id="499" w:name="_Toc387131508"/>
      <w:bookmarkStart w:id="500" w:name="_Toc304833241"/>
      <w:bookmarkStart w:id="501" w:name="_Toc262051548"/>
      <w:bookmarkStart w:id="502" w:name="_Toc183339506"/>
      <w:bookmarkStart w:id="503" w:name="_Toc387131765"/>
      <w:bookmarkStart w:id="504" w:name="_Toc304964451"/>
      <w:bookmarkStart w:id="505" w:name="_Toc387131434"/>
      <w:bookmarkStart w:id="506" w:name="_Toc196018549"/>
      <w:bookmarkStart w:id="507" w:name="_Toc336326858"/>
      <w:bookmarkStart w:id="508" w:name="_Toc183339230"/>
      <w:bookmarkStart w:id="509" w:name="_Toc198007343"/>
      <w:bookmarkStart w:id="510" w:name="_Toc197251348"/>
      <w:bookmarkStart w:id="511" w:name="_Toc262050874"/>
      <w:bookmarkStart w:id="512" w:name="_Toc304963608"/>
      <w:bookmarkStart w:id="513" w:name="_Toc184809557"/>
      <w:bookmarkStart w:id="514" w:name="_Toc185670990"/>
    </w:p>
    <w:bookmarkEnd w:id="487"/>
    <w:p>
      <w:pPr>
        <w:adjustRightInd w:val="0"/>
        <w:snapToGrid w:val="0"/>
        <w:spacing w:line="360" w:lineRule="auto"/>
        <w:textAlignment w:val="center"/>
        <w:outlineLvl w:val="0"/>
        <w:rPr>
          <w:rFonts w:asciiTheme="minorEastAsia" w:hAnsiTheme="minorEastAsia" w:eastAsiaTheme="minorEastAsia"/>
          <w:b/>
          <w:color w:val="000000"/>
          <w:sz w:val="32"/>
        </w:rPr>
      </w:pPr>
      <w:bookmarkStart w:id="515" w:name="_Toc17333"/>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516" w:name="_Toc20330"/>
      <w:r>
        <w:rPr>
          <w:rFonts w:asciiTheme="minorEastAsia" w:hAnsiTheme="minorEastAsia" w:eastAsiaTheme="minorEastAsia"/>
          <w:b/>
          <w:color w:val="000000"/>
          <w:sz w:val="32"/>
        </w:rPr>
        <w:t>7</w:t>
      </w:r>
      <w:r>
        <w:rPr>
          <w:rFonts w:hint="eastAsia" w:asciiTheme="minorEastAsia" w:hAnsiTheme="minorEastAsia" w:eastAsiaTheme="minorEastAsia"/>
          <w:b/>
          <w:color w:val="000000"/>
          <w:sz w:val="32"/>
        </w:rPr>
        <w:t>后期处置</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pPr>
        <w:adjustRightInd w:val="0"/>
        <w:snapToGrid w:val="0"/>
        <w:spacing w:line="460" w:lineRule="exact"/>
        <w:outlineLvl w:val="1"/>
        <w:rPr>
          <w:rFonts w:hint="eastAsia"/>
          <w:b/>
          <w:color w:val="000000"/>
          <w:sz w:val="26"/>
          <w:szCs w:val="26"/>
          <w:lang w:val="zh-CN"/>
        </w:rPr>
      </w:pPr>
      <w:bookmarkStart w:id="517" w:name="_Toc387131766"/>
      <w:bookmarkStart w:id="518" w:name="_Toc415254552"/>
      <w:bookmarkStart w:id="519" w:name="_Toc27785"/>
      <w:bookmarkStart w:id="520" w:name="_Toc350931210"/>
      <w:bookmarkStart w:id="521" w:name="_Toc387131435"/>
      <w:bookmarkStart w:id="522" w:name="_Toc387131509"/>
      <w:bookmarkStart w:id="523" w:name="_Toc2591"/>
      <w:bookmarkStart w:id="524" w:name="_Toc185670991"/>
      <w:bookmarkStart w:id="525" w:name="_Toc196018550"/>
      <w:bookmarkStart w:id="526" w:name="_Toc196018645"/>
      <w:bookmarkStart w:id="527" w:name="_Toc304963609"/>
      <w:bookmarkStart w:id="528" w:name="_Toc304964452"/>
      <w:bookmarkStart w:id="529" w:name="_Toc336326859"/>
      <w:bookmarkStart w:id="530" w:name="_Toc336327137"/>
      <w:bookmarkStart w:id="531" w:name="_Toc179794563"/>
      <w:bookmarkStart w:id="532" w:name="_Toc197251349"/>
      <w:bookmarkStart w:id="533" w:name="_Toc198007344"/>
      <w:bookmarkStart w:id="534" w:name="_Toc198355329"/>
      <w:bookmarkStart w:id="535" w:name="_Toc229283979"/>
      <w:bookmarkStart w:id="536" w:name="_Toc262040285"/>
      <w:bookmarkStart w:id="537" w:name="_Toc262050875"/>
      <w:bookmarkStart w:id="538" w:name="_Toc262051128"/>
      <w:bookmarkStart w:id="539" w:name="_Toc262051549"/>
      <w:bookmarkStart w:id="540" w:name="_Toc304833242"/>
      <w:bookmarkStart w:id="541" w:name="_Toc304962965"/>
      <w:bookmarkStart w:id="542" w:name="_Toc196018441"/>
      <w:bookmarkStart w:id="543" w:name="_Toc183339231"/>
      <w:bookmarkStart w:id="544" w:name="_Toc183339507"/>
      <w:bookmarkStart w:id="545" w:name="_Toc184808771"/>
      <w:bookmarkStart w:id="546" w:name="_Toc184809558"/>
      <w:r>
        <w:rPr>
          <w:rFonts w:hint="eastAsia"/>
          <w:b/>
          <w:color w:val="000000"/>
          <w:sz w:val="26"/>
          <w:szCs w:val="26"/>
          <w:lang w:val="zh-CN"/>
        </w:rPr>
        <w:t>7.1 污染物处理</w:t>
      </w:r>
      <w:bookmarkEnd w:id="517"/>
      <w:bookmarkEnd w:id="518"/>
      <w:bookmarkEnd w:id="519"/>
      <w:bookmarkEnd w:id="520"/>
      <w:bookmarkEnd w:id="521"/>
      <w:bookmarkEnd w:id="522"/>
      <w:bookmarkEnd w:id="523"/>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本着科学处理、尽可能减少对周围环境污染的原则对因发生事故而产生的污染物进行处理。</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对于事故处理过程中产生事故废水，禁止直接排入下水道，应采用事故水收集系统管道送至事故水收集池收集，再集中由污水处理站按不同物料分批次处理。</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对于事故处理过程中产生的含危险废物的消防沙，以及无法再使用的危险废物，应收集在危险废物堆场，再由委托有资质的处理单位处理。</w:t>
      </w:r>
    </w:p>
    <w:p>
      <w:pPr>
        <w:adjustRightInd w:val="0"/>
        <w:snapToGrid w:val="0"/>
        <w:spacing w:line="460" w:lineRule="exact"/>
        <w:outlineLvl w:val="1"/>
        <w:rPr>
          <w:rFonts w:hint="eastAsia"/>
          <w:b/>
          <w:color w:val="000000"/>
          <w:sz w:val="26"/>
          <w:szCs w:val="26"/>
          <w:lang w:val="zh-CN"/>
        </w:rPr>
      </w:pPr>
      <w:bookmarkStart w:id="547" w:name="_Toc415254553"/>
      <w:bookmarkStart w:id="548" w:name="_Toc387131436"/>
      <w:bookmarkStart w:id="549" w:name="_Toc350931212"/>
      <w:bookmarkStart w:id="550" w:name="_Toc387131767"/>
      <w:bookmarkStart w:id="551" w:name="_Toc18325"/>
      <w:bookmarkStart w:id="552" w:name="_Toc387131510"/>
      <w:bookmarkStart w:id="553" w:name="_Toc22610"/>
      <w:r>
        <w:rPr>
          <w:rFonts w:hint="eastAsia"/>
          <w:b/>
          <w:color w:val="000000"/>
          <w:sz w:val="26"/>
          <w:szCs w:val="26"/>
          <w:lang w:val="zh-CN"/>
        </w:rPr>
        <w:t>7.2生产秩序恢复</w:t>
      </w:r>
      <w:bookmarkEnd w:id="547"/>
      <w:bookmarkEnd w:id="548"/>
      <w:bookmarkEnd w:id="549"/>
      <w:bookmarkEnd w:id="550"/>
      <w:bookmarkEnd w:id="551"/>
      <w:bookmarkEnd w:id="552"/>
      <w:bookmarkEnd w:id="553"/>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应急救援终止后，公司抢险救灾组应制定切实可行的现场清理、修复方案，避免出现新的危险。在现场取证工作未结束前，警戒保卫组必须继续对现场进行保护，不得破坏有关物证资料。综合协调组妥善安置和慰问受害及受影响人员，保证社会稳定，尽快恢复正常秩序。</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公司按制定的现场修复方案，有序进行现场恢复。事故发生部门负责调整岗位人员、调试设备，尽快恢复生产，尽可能的降低事故损失。</w:t>
      </w:r>
    </w:p>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Pr>
        <w:adjustRightInd w:val="0"/>
        <w:snapToGrid w:val="0"/>
        <w:spacing w:line="460" w:lineRule="exact"/>
        <w:outlineLvl w:val="1"/>
        <w:rPr>
          <w:rFonts w:hint="eastAsia"/>
          <w:b/>
          <w:color w:val="000000"/>
          <w:sz w:val="26"/>
          <w:szCs w:val="26"/>
          <w:lang w:val="zh-CN"/>
        </w:rPr>
      </w:pPr>
      <w:bookmarkStart w:id="554" w:name="_Toc350931213"/>
      <w:bookmarkStart w:id="555" w:name="_Toc387131437"/>
      <w:bookmarkStart w:id="556" w:name="_Toc387131511"/>
      <w:bookmarkStart w:id="557" w:name="_Toc387131768"/>
      <w:bookmarkStart w:id="558" w:name="_Toc19333"/>
      <w:bookmarkStart w:id="559" w:name="_Toc23033"/>
      <w:bookmarkStart w:id="560" w:name="_Toc415254554"/>
      <w:r>
        <w:rPr>
          <w:rFonts w:hint="eastAsia"/>
          <w:b/>
          <w:color w:val="000000"/>
          <w:sz w:val="26"/>
          <w:szCs w:val="26"/>
          <w:lang w:val="zh-CN"/>
        </w:rPr>
        <w:t>7.3善后</w:t>
      </w:r>
      <w:bookmarkEnd w:id="554"/>
      <w:bookmarkEnd w:id="555"/>
      <w:bookmarkEnd w:id="556"/>
      <w:bookmarkEnd w:id="557"/>
      <w:r>
        <w:rPr>
          <w:rFonts w:hint="eastAsia"/>
          <w:b/>
          <w:color w:val="000000"/>
          <w:sz w:val="26"/>
          <w:szCs w:val="26"/>
          <w:lang w:val="zh-CN"/>
        </w:rPr>
        <w:t>处置（医疗救治、人员安置、善后赔偿）</w:t>
      </w:r>
      <w:bookmarkEnd w:id="558"/>
      <w:bookmarkEnd w:id="559"/>
      <w:bookmarkEnd w:id="560"/>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生产安全事故发生后，公司财务部、综合部应及时与保险机构联系，及时开展受灾人员、财产保险理赔工作。发生人员伤亡的，成立善后工作组，及时对伤亡人员及其家属进行安抚，商谈救治期间的费用问题；对受灾人员应妥善安置，及时解决受灾人员生活所需；安全生产部准备工伤认定材料，按照工伤上报程序进行上报。</w:t>
      </w:r>
    </w:p>
    <w:p>
      <w:pPr>
        <w:adjustRightInd w:val="0"/>
        <w:snapToGrid w:val="0"/>
        <w:spacing w:line="460" w:lineRule="exact"/>
        <w:outlineLvl w:val="1"/>
        <w:rPr>
          <w:rFonts w:hint="eastAsia"/>
          <w:b/>
          <w:color w:val="000000"/>
          <w:sz w:val="26"/>
          <w:szCs w:val="26"/>
          <w:lang w:val="zh-CN"/>
        </w:rPr>
      </w:pPr>
      <w:bookmarkStart w:id="561" w:name="_Toc336326861"/>
      <w:bookmarkStart w:id="562" w:name="_Toc262050877"/>
      <w:bookmarkStart w:id="563" w:name="_Toc184809560"/>
      <w:bookmarkStart w:id="564" w:name="_Toc185670993"/>
      <w:bookmarkStart w:id="565" w:name="_Toc196018443"/>
      <w:bookmarkStart w:id="566" w:name="_Toc196018552"/>
      <w:bookmarkStart w:id="567" w:name="_Toc196018647"/>
      <w:bookmarkStart w:id="568" w:name="_Toc336327139"/>
      <w:bookmarkStart w:id="569" w:name="_Toc198355331"/>
      <w:bookmarkStart w:id="570" w:name="_Toc262051551"/>
      <w:bookmarkStart w:id="571" w:name="_Toc304833244"/>
      <w:bookmarkStart w:id="572" w:name="_Toc304962967"/>
      <w:bookmarkStart w:id="573" w:name="_Toc197251351"/>
      <w:bookmarkStart w:id="574" w:name="_Toc262040287"/>
      <w:bookmarkStart w:id="575" w:name="_Toc262051130"/>
      <w:bookmarkStart w:id="576" w:name="_Toc198007346"/>
      <w:bookmarkStart w:id="577" w:name="_Toc304963611"/>
      <w:bookmarkStart w:id="578" w:name="_Toc229283981"/>
      <w:bookmarkStart w:id="579" w:name="_Toc304964454"/>
      <w:bookmarkStart w:id="580" w:name="_Toc179794565"/>
      <w:bookmarkStart w:id="581" w:name="_Toc183339233"/>
      <w:bookmarkStart w:id="582" w:name="_Toc183339509"/>
      <w:bookmarkStart w:id="583" w:name="_Toc184808773"/>
      <w:bookmarkStart w:id="584" w:name="_Toc387131769"/>
      <w:bookmarkStart w:id="585" w:name="_Toc6836"/>
      <w:bookmarkStart w:id="586" w:name="_Toc32621"/>
      <w:bookmarkStart w:id="587" w:name="_Toc387131438"/>
      <w:bookmarkStart w:id="588" w:name="_Toc387131512"/>
      <w:bookmarkStart w:id="589" w:name="_Toc415254555"/>
      <w:r>
        <w:rPr>
          <w:rFonts w:hint="eastAsia"/>
          <w:b/>
          <w:color w:val="000000"/>
          <w:sz w:val="26"/>
          <w:szCs w:val="26"/>
          <w:lang w:val="zh-CN"/>
        </w:rPr>
        <w:t>7.4</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Pr>
          <w:rFonts w:hint="eastAsia"/>
          <w:b/>
          <w:color w:val="000000"/>
          <w:sz w:val="26"/>
          <w:szCs w:val="26"/>
          <w:lang w:val="zh-CN"/>
        </w:rPr>
        <w:t>应急救援能力评估</w:t>
      </w:r>
      <w:bookmarkEnd w:id="584"/>
      <w:bookmarkEnd w:id="585"/>
      <w:bookmarkEnd w:id="586"/>
      <w:bookmarkEnd w:id="587"/>
      <w:bookmarkEnd w:id="588"/>
      <w:bookmarkEnd w:id="589"/>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应急指挥部所有成员对事故进行评估，通过评估，总结经验、吸取教训，达到有效地防范事故或将事故危害减小到最低程度的目的。</w:t>
      </w:r>
    </w:p>
    <w:p>
      <w:pPr>
        <w:adjustRightInd w:val="0"/>
        <w:snapToGrid w:val="0"/>
        <w:spacing w:line="360" w:lineRule="auto"/>
        <w:ind w:firstLine="480" w:firstLineChars="200"/>
        <w:jc w:val="left"/>
        <w:textAlignment w:val="center"/>
        <w:rPr>
          <w:rFonts w:asciiTheme="minorEastAsia" w:hAnsiTheme="minorEastAsia" w:eastAsiaTheme="minorEastAsia"/>
          <w:b/>
          <w:color w:val="000000"/>
          <w:sz w:val="32"/>
        </w:rPr>
      </w:pPr>
      <w:r>
        <w:rPr>
          <w:rFonts w:asciiTheme="minorEastAsia" w:hAnsiTheme="minorEastAsia" w:eastAsiaTheme="minorEastAsia"/>
          <w:color w:val="000000"/>
          <w:sz w:val="24"/>
          <w:szCs w:val="24"/>
        </w:rPr>
        <w:t xml:space="preserve">2) </w:t>
      </w:r>
      <w:r>
        <w:rPr>
          <w:rFonts w:hint="eastAsia" w:asciiTheme="minorEastAsia" w:hAnsiTheme="minorEastAsia" w:eastAsiaTheme="minorEastAsia"/>
          <w:color w:val="000000"/>
          <w:sz w:val="24"/>
          <w:szCs w:val="24"/>
        </w:rPr>
        <w:t>生产安全事故善后处置工作结束后，安全生产部应分析总结应急救援经验教训，对抢险过程和应急救援能力进行评估，提出改进应急救援工作的建议，及时修订完善应急救援预案。</w:t>
      </w:r>
      <w:bookmarkStart w:id="590" w:name="_Toc197251352"/>
      <w:bookmarkStart w:id="591" w:name="_Toc196018553"/>
      <w:bookmarkStart w:id="592" w:name="_Toc262040288"/>
      <w:bookmarkStart w:id="593" w:name="_Toc184809561"/>
      <w:bookmarkStart w:id="594" w:name="_Toc184808774"/>
      <w:bookmarkStart w:id="595" w:name="_Toc183339234"/>
      <w:bookmarkStart w:id="596" w:name="_Toc135709128"/>
      <w:bookmarkStart w:id="597" w:name="_Toc185670994"/>
      <w:bookmarkStart w:id="598" w:name="_Toc262050878"/>
      <w:bookmarkStart w:id="599" w:name="_Toc262051131"/>
      <w:bookmarkStart w:id="600" w:name="_Toc304962968"/>
      <w:bookmarkStart w:id="601" w:name="_Toc304963612"/>
      <w:bookmarkStart w:id="602" w:name="_Toc304833245"/>
      <w:bookmarkStart w:id="603" w:name="_Toc229283982"/>
      <w:bookmarkStart w:id="604" w:name="_Toc198007347"/>
      <w:bookmarkStart w:id="605" w:name="_Toc198355332"/>
      <w:bookmarkStart w:id="606" w:name="_Toc196018648"/>
      <w:bookmarkStart w:id="607" w:name="_Toc196018444"/>
      <w:bookmarkStart w:id="608" w:name="_Toc304964455"/>
      <w:bookmarkStart w:id="609" w:name="_Toc336326862"/>
      <w:bookmarkStart w:id="610" w:name="_Toc262051552"/>
      <w:bookmarkStart w:id="611" w:name="_Toc336327140"/>
      <w:bookmarkStart w:id="612" w:name="_Toc183339510"/>
      <w:bookmarkStart w:id="613" w:name="_Toc387131770"/>
      <w:bookmarkStart w:id="614" w:name="_Toc387131439"/>
      <w:bookmarkStart w:id="615" w:name="_Toc387131513"/>
      <w:bookmarkStart w:id="616" w:name="_Toc415254556"/>
    </w:p>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Pr>
        <w:adjustRightInd w:val="0"/>
        <w:snapToGrid w:val="0"/>
        <w:spacing w:line="360" w:lineRule="auto"/>
        <w:jc w:val="center"/>
        <w:textAlignment w:val="center"/>
        <w:outlineLvl w:val="0"/>
        <w:rPr>
          <w:rFonts w:hint="eastAsia" w:asciiTheme="minorEastAsia" w:hAnsiTheme="minorEastAsia" w:eastAsiaTheme="minorEastAsia"/>
          <w:b/>
          <w:color w:val="000000"/>
          <w:sz w:val="32"/>
        </w:rPr>
      </w:pPr>
      <w:bookmarkStart w:id="617" w:name="_Toc26559"/>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618" w:name="_Toc10272"/>
      <w:r>
        <w:rPr>
          <w:rFonts w:asciiTheme="minorEastAsia" w:hAnsiTheme="minorEastAsia" w:eastAsiaTheme="minorEastAsia"/>
          <w:b/>
          <w:color w:val="000000"/>
          <w:sz w:val="32"/>
        </w:rPr>
        <w:t>8</w:t>
      </w:r>
      <w:r>
        <w:rPr>
          <w:rFonts w:hint="eastAsia" w:asciiTheme="minorEastAsia" w:hAnsiTheme="minorEastAsia" w:eastAsiaTheme="minorEastAsia"/>
          <w:b/>
          <w:color w:val="000000"/>
          <w:sz w:val="32"/>
        </w:rPr>
        <w:t>保障措施</w:t>
      </w:r>
      <w:bookmarkEnd w:id="613"/>
      <w:bookmarkEnd w:id="614"/>
      <w:bookmarkEnd w:id="615"/>
      <w:bookmarkEnd w:id="616"/>
      <w:bookmarkEnd w:id="617"/>
      <w:bookmarkEnd w:id="618"/>
    </w:p>
    <w:p>
      <w:pPr>
        <w:adjustRightInd w:val="0"/>
        <w:snapToGrid w:val="0"/>
        <w:spacing w:line="460" w:lineRule="exact"/>
        <w:outlineLvl w:val="1"/>
        <w:rPr>
          <w:rFonts w:hint="eastAsia"/>
          <w:b/>
          <w:color w:val="000000"/>
          <w:sz w:val="26"/>
          <w:szCs w:val="26"/>
          <w:lang w:val="zh-CN"/>
        </w:rPr>
      </w:pPr>
      <w:bookmarkStart w:id="619" w:name="_Toc135709129"/>
      <w:bookmarkStart w:id="620" w:name="_Toc183339511"/>
      <w:bookmarkStart w:id="621" w:name="_Toc183339235"/>
      <w:bookmarkStart w:id="622" w:name="_Toc387131771"/>
      <w:bookmarkStart w:id="623" w:name="_Toc415254557"/>
      <w:bookmarkStart w:id="624" w:name="_Toc6425"/>
      <w:bookmarkStart w:id="625" w:name="_Toc262050879"/>
      <w:bookmarkStart w:id="626" w:name="_Toc262051132"/>
      <w:bookmarkStart w:id="627" w:name="_Toc28400"/>
      <w:bookmarkStart w:id="628" w:name="_Toc184808775"/>
      <w:bookmarkStart w:id="629" w:name="_Toc197251353"/>
      <w:bookmarkStart w:id="630" w:name="_Toc198007348"/>
      <w:bookmarkStart w:id="631" w:name="_Toc198355333"/>
      <w:bookmarkStart w:id="632" w:name="_Toc229283983"/>
      <w:bookmarkStart w:id="633" w:name="_Toc262040289"/>
      <w:bookmarkStart w:id="634" w:name="_Toc387131514"/>
      <w:bookmarkStart w:id="635" w:name="_Toc262051553"/>
      <w:bookmarkStart w:id="636" w:name="_Toc304833246"/>
      <w:bookmarkStart w:id="637" w:name="_Toc304962969"/>
      <w:bookmarkStart w:id="638" w:name="_Toc304963613"/>
      <w:bookmarkStart w:id="639" w:name="_Toc304964456"/>
      <w:bookmarkStart w:id="640" w:name="_Toc336326863"/>
      <w:bookmarkStart w:id="641" w:name="_Toc336327141"/>
      <w:bookmarkStart w:id="642" w:name="_Toc387131440"/>
      <w:bookmarkStart w:id="643" w:name="_Toc184809562"/>
      <w:bookmarkStart w:id="644" w:name="_Toc185670995"/>
      <w:bookmarkStart w:id="645" w:name="_Toc196018445"/>
      <w:bookmarkStart w:id="646" w:name="_Toc196018554"/>
      <w:bookmarkStart w:id="647" w:name="_Toc196018649"/>
      <w:r>
        <w:rPr>
          <w:rFonts w:hint="eastAsia"/>
          <w:b/>
          <w:color w:val="000000"/>
          <w:sz w:val="26"/>
          <w:szCs w:val="26"/>
          <w:lang w:val="zh-CN"/>
        </w:rPr>
        <w:t>8.1</w:t>
      </w:r>
      <w:bookmarkEnd w:id="619"/>
      <w:bookmarkEnd w:id="620"/>
      <w:bookmarkEnd w:id="621"/>
      <w:r>
        <w:rPr>
          <w:rFonts w:hint="eastAsia"/>
          <w:b/>
          <w:color w:val="000000"/>
          <w:sz w:val="26"/>
          <w:szCs w:val="26"/>
          <w:lang w:val="zh-CN"/>
        </w:rPr>
        <w:t>通信与信息保障</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清溪园区污水处理厂建立有线电话、无线电话和对讲机等多渠道的应急通信系统，通讯方式包括厂区行政电话系统、生产调度电话系统、无线对讲机、火灾自动报警及消防联动系统等。</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 24</w:t>
      </w:r>
      <w:r>
        <w:rPr>
          <w:rFonts w:hint="eastAsia" w:asciiTheme="minorEastAsia" w:hAnsiTheme="minorEastAsia" w:eastAsiaTheme="minorEastAsia"/>
          <w:color w:val="000000"/>
          <w:sz w:val="24"/>
          <w:szCs w:val="24"/>
        </w:rPr>
        <w:t>小时应急值守电话是：</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应急值班电话：（</w:t>
      </w:r>
      <w:r>
        <w:rPr>
          <w:rFonts w:asciiTheme="minorEastAsia" w:hAnsiTheme="minorEastAsia" w:eastAsiaTheme="minorEastAsia"/>
          <w:b/>
          <w:bCs/>
          <w:color w:val="000000"/>
          <w:sz w:val="24"/>
          <w:szCs w:val="24"/>
        </w:rPr>
        <w:t>023-</w:t>
      </w:r>
      <w:r>
        <w:rPr>
          <w:rFonts w:cs="仿宋_GB2312" w:asciiTheme="minorEastAsia" w:hAnsiTheme="minorEastAsia" w:eastAsiaTheme="minorEastAsia"/>
          <w:b/>
          <w:color w:val="000000"/>
          <w:sz w:val="24"/>
          <w:szCs w:val="24"/>
        </w:rPr>
        <w:t>72716059</w:t>
      </w:r>
      <w:r>
        <w:rPr>
          <w:rFonts w:asciiTheme="minorEastAsia" w:hAnsiTheme="minorEastAsia" w:eastAsiaTheme="minorEastAsia"/>
          <w:b/>
          <w:color w:val="000000"/>
          <w:sz w:val="24"/>
          <w:szCs w:val="24"/>
        </w:rPr>
        <w:t>)</w:t>
      </w:r>
      <w:r>
        <w:rPr>
          <w:rFonts w:asciiTheme="minorEastAsia" w:hAnsiTheme="minorEastAsia" w:eastAsiaTheme="minorEastAsia"/>
          <w:color w:val="000000"/>
          <w:sz w:val="24"/>
          <w:szCs w:val="24"/>
        </w:rPr>
        <w:t xml:space="preserve"> </w:t>
      </w:r>
      <w:r>
        <w:rPr>
          <w:rFonts w:hint="eastAsia" w:asciiTheme="minorEastAsia" w:hAnsiTheme="minorEastAsia" w:eastAsiaTheme="minorEastAsia"/>
          <w:color w:val="000000"/>
          <w:sz w:val="24"/>
          <w:szCs w:val="24"/>
        </w:rPr>
        <w:t>应急指挥部向全公司发布救援信号，采用移动通讯的方式。公司已经根据应急需要补偿部分员工的通讯费用，并要求他们的手机</w:t>
      </w:r>
      <w:r>
        <w:rPr>
          <w:rFonts w:asciiTheme="minorEastAsia" w:hAnsiTheme="minorEastAsia" w:eastAsiaTheme="minorEastAsia"/>
          <w:color w:val="000000"/>
          <w:sz w:val="24"/>
          <w:szCs w:val="24"/>
        </w:rPr>
        <w:t>24</w:t>
      </w:r>
      <w:r>
        <w:rPr>
          <w:rFonts w:hint="eastAsia" w:asciiTheme="minorEastAsia" w:hAnsiTheme="minorEastAsia" w:eastAsiaTheme="minorEastAsia"/>
          <w:color w:val="000000"/>
          <w:sz w:val="24"/>
          <w:szCs w:val="24"/>
        </w:rPr>
        <w:t>小时处于开机状态。</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应急救援通讯联络方式见附件。</w:t>
      </w:r>
    </w:p>
    <w:p>
      <w:pPr>
        <w:adjustRightInd w:val="0"/>
        <w:snapToGrid w:val="0"/>
        <w:spacing w:line="460" w:lineRule="exact"/>
        <w:outlineLvl w:val="1"/>
        <w:rPr>
          <w:rFonts w:hint="eastAsia"/>
          <w:b/>
          <w:color w:val="000000"/>
          <w:sz w:val="26"/>
          <w:szCs w:val="26"/>
          <w:lang w:val="zh-CN"/>
        </w:rPr>
      </w:pPr>
      <w:bookmarkStart w:id="648" w:name="_Toc184808776"/>
      <w:bookmarkStart w:id="649" w:name="_Toc184809563"/>
      <w:bookmarkStart w:id="650" w:name="_Toc185670996"/>
      <w:bookmarkStart w:id="651" w:name="_Toc29559"/>
      <w:bookmarkStart w:id="652" w:name="_Toc304833247"/>
      <w:bookmarkStart w:id="653" w:name="_Toc304962970"/>
      <w:bookmarkStart w:id="654" w:name="_Toc304963614"/>
      <w:bookmarkStart w:id="655" w:name="_Toc304964457"/>
      <w:bookmarkStart w:id="656" w:name="_Toc415254558"/>
      <w:bookmarkStart w:id="657" w:name="_Toc8907"/>
      <w:bookmarkStart w:id="658" w:name="_Toc196018446"/>
      <w:bookmarkStart w:id="659" w:name="_Toc196018555"/>
      <w:bookmarkStart w:id="660" w:name="_Toc196018650"/>
      <w:bookmarkStart w:id="661" w:name="_Toc197251354"/>
      <w:bookmarkStart w:id="662" w:name="_Toc198007349"/>
      <w:bookmarkStart w:id="663" w:name="_Toc198355334"/>
      <w:bookmarkStart w:id="664" w:name="_Toc229283984"/>
      <w:bookmarkStart w:id="665" w:name="_Toc262040290"/>
      <w:bookmarkStart w:id="666" w:name="_Toc262050880"/>
      <w:bookmarkStart w:id="667" w:name="_Toc262051133"/>
      <w:bookmarkStart w:id="668" w:name="_Toc336326864"/>
      <w:bookmarkStart w:id="669" w:name="_Toc336327142"/>
      <w:bookmarkStart w:id="670" w:name="_Toc387131441"/>
      <w:bookmarkStart w:id="671" w:name="_Toc387131515"/>
      <w:bookmarkStart w:id="672" w:name="_Toc387131772"/>
      <w:bookmarkStart w:id="673" w:name="_Toc262051554"/>
      <w:r>
        <w:rPr>
          <w:rFonts w:hint="eastAsia"/>
          <w:b/>
          <w:color w:val="000000"/>
          <w:sz w:val="26"/>
          <w:szCs w:val="26"/>
          <w:lang w:val="zh-CN"/>
        </w:rPr>
        <w:t>8.2应急队伍保障</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adjustRightInd w:val="0"/>
        <w:snapToGrid w:val="0"/>
        <w:spacing w:line="360" w:lineRule="auto"/>
        <w:ind w:firstLine="480" w:firstLineChars="200"/>
        <w:jc w:val="left"/>
        <w:textAlignment w:val="center"/>
        <w:rPr>
          <w:rFonts w:hint="eastAsia" w:asciiTheme="minorEastAsia" w:hAnsiTheme="minorEastAsia" w:eastAsiaTheme="minorEastAsia"/>
          <w:color w:val="000000"/>
          <w:sz w:val="24"/>
          <w:szCs w:val="24"/>
          <w:lang w:val="zh-CN"/>
        </w:rPr>
      </w:pPr>
      <w:bookmarkStart w:id="674" w:name="_Toc196018651"/>
      <w:bookmarkStart w:id="675" w:name="_Toc197251355"/>
      <w:bookmarkStart w:id="676" w:name="_Toc198007350"/>
      <w:bookmarkStart w:id="677" w:name="_Toc198355335"/>
      <w:bookmarkStart w:id="678" w:name="_Toc229283985"/>
      <w:bookmarkStart w:id="679" w:name="_Toc179794569"/>
      <w:bookmarkStart w:id="680" w:name="_Toc262040291"/>
      <w:bookmarkStart w:id="681" w:name="_Toc262050881"/>
      <w:bookmarkStart w:id="682" w:name="_Toc262051134"/>
      <w:bookmarkStart w:id="683" w:name="_Toc262051555"/>
      <w:bookmarkStart w:id="684" w:name="_Toc184808777"/>
      <w:bookmarkStart w:id="685" w:name="_Toc184809564"/>
      <w:bookmarkStart w:id="686" w:name="_Toc185670997"/>
      <w:bookmarkStart w:id="687" w:name="_Toc196018447"/>
      <w:bookmarkStart w:id="688" w:name="_Toc196018556"/>
      <w:r>
        <w:rPr>
          <w:rFonts w:hint="eastAsia" w:asciiTheme="minorEastAsia" w:hAnsiTheme="minorEastAsia" w:eastAsiaTheme="minorEastAsia"/>
          <w:color w:val="000000"/>
          <w:sz w:val="24"/>
          <w:szCs w:val="24"/>
        </w:rPr>
        <w:t>1) 公司组建应急救援抢险队伍，包括抢险救灾组、</w:t>
      </w:r>
      <w:r>
        <w:rPr>
          <w:rFonts w:hint="eastAsia" w:asciiTheme="minorEastAsia" w:hAnsiTheme="minorEastAsia" w:eastAsiaTheme="minorEastAsia"/>
          <w:color w:val="000000"/>
          <w:sz w:val="24"/>
          <w:szCs w:val="24"/>
          <w:lang w:val="zh-CN"/>
        </w:rPr>
        <w:t>医疗救护组、警戒保卫组、环境监测组、综合协调组</w:t>
      </w:r>
      <w:r>
        <w:rPr>
          <w:rFonts w:hint="eastAsia" w:asciiTheme="minorEastAsia" w:hAnsiTheme="minorEastAsia" w:eastAsiaTheme="minorEastAsia"/>
          <w:color w:val="000000"/>
          <w:sz w:val="24"/>
          <w:szCs w:val="24"/>
        </w:rPr>
        <w:t>等。公司不断加强对应急救援队伍的专业培训和应急演练，以提高本公司应急救援队伍的素质。</w:t>
      </w:r>
    </w:p>
    <w:p>
      <w:pPr>
        <w:adjustRightInd w:val="0"/>
        <w:snapToGrid w:val="0"/>
        <w:spacing w:line="360" w:lineRule="auto"/>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 企业位于涪陵清溪工业园区，园区内有企业专业化工救援队伍和重庆市涪陵区清溪政府义务防中队，其能力可满足公司应急需要，可以作为公司应急资源保障。</w:t>
      </w:r>
    </w:p>
    <w:p>
      <w:pPr>
        <w:adjustRightInd w:val="0"/>
        <w:snapToGrid w:val="0"/>
        <w:spacing w:line="360" w:lineRule="auto"/>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公司应急救援队伍组成见附件。</w:t>
      </w:r>
    </w:p>
    <w:p>
      <w:pPr>
        <w:adjustRightInd w:val="0"/>
        <w:snapToGrid w:val="0"/>
        <w:spacing w:line="460" w:lineRule="exact"/>
        <w:outlineLvl w:val="1"/>
        <w:rPr>
          <w:rFonts w:hint="eastAsia"/>
          <w:b/>
          <w:color w:val="000000"/>
          <w:sz w:val="26"/>
          <w:szCs w:val="26"/>
          <w:lang w:val="zh-CN"/>
        </w:rPr>
      </w:pPr>
      <w:bookmarkStart w:id="689" w:name="_Toc387131442"/>
      <w:bookmarkStart w:id="690" w:name="_Toc387131516"/>
      <w:bookmarkStart w:id="691" w:name="_Toc387131773"/>
      <w:bookmarkStart w:id="692" w:name="_Toc415254559"/>
      <w:bookmarkStart w:id="693" w:name="_Toc22113"/>
      <w:bookmarkStart w:id="694" w:name="_Toc304963615"/>
      <w:bookmarkStart w:id="695" w:name="_Toc304964458"/>
      <w:bookmarkStart w:id="696" w:name="_Toc336326865"/>
      <w:bookmarkStart w:id="697" w:name="_Toc336327143"/>
      <w:bookmarkStart w:id="698" w:name="_Toc304962971"/>
      <w:bookmarkStart w:id="699" w:name="_Toc304833248"/>
      <w:bookmarkStart w:id="700" w:name="_Toc10355"/>
      <w:r>
        <w:rPr>
          <w:rFonts w:hint="eastAsia"/>
          <w:b/>
          <w:color w:val="000000"/>
          <w:sz w:val="26"/>
          <w:szCs w:val="26"/>
          <w:lang w:val="zh-CN"/>
        </w:rPr>
        <w:t>8.3物资装备保障</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公司自备应急救援物资</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公司生产区、仓库设有完善的消防水灭火系统、火灾报警系统和有毒气体浓度检测报警系统等，以及交通运输车、各型灭火器、消火栓、空气呼吸器、全面罩防毒面具、防护服、护目镜、防护手套，以及应急照明设施等。详见附件。该物资由清溪厂负责管理，其联系方式是</w:t>
      </w:r>
      <w:r>
        <w:rPr>
          <w:rFonts w:cs="仿宋_GB2312" w:asciiTheme="minorEastAsia" w:hAnsiTheme="minorEastAsia" w:eastAsiaTheme="minorEastAsia"/>
          <w:sz w:val="24"/>
          <w:szCs w:val="24"/>
          <w:lang w:val="zh-CN"/>
        </w:rPr>
        <w:t>15123643138</w:t>
      </w:r>
      <w:r>
        <w:rPr>
          <w:rFonts w:hint="eastAsia" w:asciiTheme="minorEastAsia" w:hAnsiTheme="minorEastAsia" w:eastAsiaTheme="minorEastAsia"/>
          <w:color w:val="000000"/>
          <w:sz w:val="24"/>
          <w:szCs w:val="24"/>
        </w:rPr>
        <w:t>或</w:t>
      </w:r>
      <w:r>
        <w:rPr>
          <w:rFonts w:asciiTheme="minorEastAsia" w:hAnsiTheme="minorEastAsia" w:eastAsiaTheme="minorEastAsia"/>
          <w:color w:val="000000"/>
          <w:sz w:val="24"/>
          <w:szCs w:val="24"/>
        </w:rPr>
        <w:t>023-</w:t>
      </w:r>
      <w:r>
        <w:rPr>
          <w:rFonts w:cs="仿宋_GB2312" w:asciiTheme="minorEastAsia" w:hAnsiTheme="minorEastAsia" w:eastAsiaTheme="minorEastAsia"/>
          <w:sz w:val="24"/>
          <w:szCs w:val="24"/>
        </w:rPr>
        <w:t>72716059</w:t>
      </w:r>
      <w:r>
        <w:rPr>
          <w:rFonts w:hint="eastAsia" w:asciiTheme="minorEastAsia" w:hAnsiTheme="minorEastAsia" w:eastAsiaTheme="minorEastAsia"/>
          <w:color w:val="000000"/>
          <w:sz w:val="24"/>
          <w:szCs w:val="24"/>
        </w:rPr>
        <w:t>。</w:t>
      </w:r>
    </w:p>
    <w:p>
      <w:pPr>
        <w:autoSpaceDE w:val="0"/>
        <w:autoSpaceDN w:val="0"/>
        <w:adjustRightInd w:val="0"/>
        <w:spacing w:line="400" w:lineRule="exact"/>
        <w:ind w:firstLine="470" w:firstLineChars="196"/>
        <w:rPr>
          <w:rFonts w:cs="仿宋_GB2312" w:asciiTheme="minorEastAsia" w:hAnsiTheme="minorEastAsia" w:eastAsiaTheme="minorEastAsia"/>
          <w:sz w:val="32"/>
          <w:szCs w:val="32"/>
        </w:rPr>
      </w:pPr>
      <w:r>
        <w:rPr>
          <w:rFonts w:asciiTheme="minorEastAsia" w:hAnsiTheme="minorEastAsia" w:eastAsiaTheme="minorEastAsia"/>
          <w:color w:val="000000"/>
          <w:sz w:val="24"/>
          <w:szCs w:val="24"/>
        </w:rPr>
        <w:t xml:space="preserve">2) </w:t>
      </w:r>
      <w:r>
        <w:rPr>
          <w:rFonts w:hint="eastAsia" w:asciiTheme="minorEastAsia" w:hAnsiTheme="minorEastAsia" w:eastAsiaTheme="minorEastAsia"/>
          <w:color w:val="000000"/>
          <w:sz w:val="24"/>
          <w:szCs w:val="24"/>
        </w:rPr>
        <w:t>消防设施布置图、现场平面布置图、工艺流程图、周围地区图、气象资料存放在公司资料室由安全生产部保存管理，其联系方式：</w:t>
      </w:r>
      <w:r>
        <w:rPr>
          <w:rFonts w:asciiTheme="minorEastAsia" w:hAnsiTheme="minorEastAsia" w:eastAsiaTheme="minorEastAsia"/>
          <w:color w:val="000000"/>
          <w:sz w:val="24"/>
          <w:szCs w:val="24"/>
        </w:rPr>
        <w:t>023-</w:t>
      </w:r>
      <w:r>
        <w:rPr>
          <w:rFonts w:cs="仿宋_GB2312" w:asciiTheme="minorEastAsia" w:hAnsiTheme="minorEastAsia" w:eastAsiaTheme="minorEastAsia"/>
          <w:sz w:val="24"/>
          <w:szCs w:val="24"/>
        </w:rPr>
        <w:t>72881721</w:t>
      </w:r>
      <w:r>
        <w:rPr>
          <w:rFonts w:hint="eastAsia" w:asciiTheme="minorEastAsia" w:hAnsiTheme="minorEastAsia" w:eastAsiaTheme="minorEastAsia"/>
          <w:color w:val="000000"/>
          <w:sz w:val="24"/>
          <w:szCs w:val="24"/>
        </w:rPr>
        <w:t>或</w:t>
      </w:r>
      <w:r>
        <w:rPr>
          <w:rFonts w:asciiTheme="minorEastAsia" w:hAnsiTheme="minorEastAsia" w:eastAsiaTheme="minorEastAsia"/>
          <w:sz w:val="24"/>
          <w:szCs w:val="24"/>
        </w:rPr>
        <w:t>18996819776</w:t>
      </w:r>
      <w:r>
        <w:rPr>
          <w:rFonts w:hint="eastAsia" w:asciiTheme="minorEastAsia" w:hAnsiTheme="minorEastAsia" w:eastAsiaTheme="minorEastAsia"/>
          <w:sz w:val="24"/>
          <w:szCs w:val="24"/>
        </w:rPr>
        <w:t>。</w:t>
      </w:r>
    </w:p>
    <w:p>
      <w:pPr>
        <w:adjustRightInd w:val="0"/>
        <w:snapToGrid w:val="0"/>
        <w:spacing w:line="460" w:lineRule="exact"/>
        <w:outlineLvl w:val="1"/>
        <w:rPr>
          <w:rFonts w:hint="eastAsia"/>
          <w:b/>
          <w:color w:val="000000"/>
          <w:sz w:val="26"/>
          <w:szCs w:val="26"/>
          <w:lang w:val="zh-CN"/>
        </w:rPr>
      </w:pPr>
      <w:bookmarkStart w:id="701" w:name="_Toc262050885"/>
      <w:bookmarkStart w:id="702" w:name="_Toc262051138"/>
      <w:bookmarkStart w:id="703" w:name="_Toc262051559"/>
      <w:bookmarkStart w:id="704" w:name="_Toc304833249"/>
      <w:bookmarkStart w:id="705" w:name="_Toc196018560"/>
      <w:bookmarkStart w:id="706" w:name="_Toc336327144"/>
      <w:bookmarkStart w:id="707" w:name="_Toc184808781"/>
      <w:bookmarkStart w:id="708" w:name="_Toc184809568"/>
      <w:bookmarkStart w:id="709" w:name="_Toc185671001"/>
      <w:bookmarkStart w:id="710" w:name="_Toc196018451"/>
      <w:bookmarkStart w:id="711" w:name="_Toc304962972"/>
      <w:bookmarkStart w:id="712" w:name="_Toc304963616"/>
      <w:bookmarkStart w:id="713" w:name="_Toc304964459"/>
      <w:bookmarkStart w:id="714" w:name="_Toc336326866"/>
      <w:bookmarkStart w:id="715" w:name="_Toc229283989"/>
      <w:bookmarkStart w:id="716" w:name="_Toc262040295"/>
      <w:bookmarkStart w:id="717" w:name="_Toc196018655"/>
      <w:bookmarkStart w:id="718" w:name="_Toc197251359"/>
      <w:bookmarkStart w:id="719" w:name="_Toc198007354"/>
      <w:bookmarkStart w:id="720" w:name="_Toc198355339"/>
      <w:bookmarkStart w:id="721" w:name="_Toc387131443"/>
      <w:bookmarkStart w:id="722" w:name="_Toc3023"/>
      <w:bookmarkStart w:id="723" w:name="_Toc6520"/>
      <w:bookmarkStart w:id="724" w:name="_Toc387131517"/>
      <w:bookmarkStart w:id="725" w:name="_Toc387131774"/>
      <w:bookmarkStart w:id="726" w:name="_Toc408274454"/>
      <w:bookmarkStart w:id="727" w:name="_Toc415254560"/>
      <w:r>
        <w:rPr>
          <w:rFonts w:hint="eastAsia"/>
          <w:b/>
          <w:color w:val="000000"/>
          <w:sz w:val="26"/>
          <w:szCs w:val="26"/>
          <w:lang w:val="zh-CN"/>
        </w:rPr>
        <w:t>8.4</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r>
        <w:rPr>
          <w:rFonts w:hint="eastAsia"/>
          <w:b/>
          <w:color w:val="000000"/>
          <w:sz w:val="26"/>
          <w:szCs w:val="26"/>
          <w:lang w:val="zh-CN"/>
        </w:rPr>
        <w:t>其他保障</w:t>
      </w:r>
      <w:bookmarkEnd w:id="721"/>
      <w:bookmarkEnd w:id="722"/>
      <w:bookmarkEnd w:id="723"/>
      <w:bookmarkEnd w:id="724"/>
      <w:bookmarkEnd w:id="725"/>
      <w:bookmarkEnd w:id="726"/>
      <w:bookmarkEnd w:id="727"/>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经费保障：公司安全生产部对应急工作的日常费用作出预算，经总经理审定后列入年度预算，由公司财务予以保证；应急资金由公司安全费用中列支。</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医疗保障：园区内有清溪卫生院可以作为公司医疗保障，此外，距离公司</w:t>
      </w:r>
      <w:r>
        <w:rPr>
          <w:rFonts w:asciiTheme="minorEastAsia" w:hAnsiTheme="minorEastAsia" w:eastAsiaTheme="minorEastAsia"/>
          <w:color w:val="000000"/>
          <w:sz w:val="24"/>
          <w:szCs w:val="24"/>
        </w:rPr>
        <w:t>40min</w:t>
      </w:r>
      <w:r>
        <w:rPr>
          <w:rFonts w:hint="eastAsia" w:asciiTheme="minorEastAsia" w:hAnsiTheme="minorEastAsia" w:eastAsiaTheme="minorEastAsia"/>
          <w:color w:val="000000"/>
          <w:sz w:val="24"/>
          <w:szCs w:val="24"/>
        </w:rPr>
        <w:t>车程的涪陵中心医院等也可作为公司医疗保障。</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交通保障：综合部负责交通运输保障。应急状态时，保证车辆及驾驶人员及时将应急救援人员、装备和物资送达抢险现场。</w:t>
      </w:r>
    </w:p>
    <w:p>
      <w:pPr>
        <w:adjustRightInd w:val="0"/>
        <w:snapToGrid w:val="0"/>
        <w:spacing w:line="360" w:lineRule="auto"/>
        <w:ind w:firstLine="480" w:firstLineChars="200"/>
        <w:jc w:val="left"/>
        <w:textAlignment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技术保障：厂每年派出了特种作业和应该持证上岗的人员进行外出培训学习，保证知识的更新，同时聘请经验丰富的专家和学者来公司培训指导，公司对相关岗位紧急停车系统，进一步保证了安全生产。</w:t>
      </w:r>
      <w:bookmarkStart w:id="728" w:name="_Toc387131444"/>
      <w:bookmarkStart w:id="729" w:name="_Toc387131518"/>
      <w:bookmarkStart w:id="730" w:name="_Toc29797"/>
      <w:bookmarkStart w:id="731" w:name="_Toc415254561"/>
      <w:bookmarkStart w:id="732" w:name="_Toc387131775"/>
      <w:bookmarkStart w:id="733" w:name="_Toc408274455"/>
    </w:p>
    <w:p>
      <w:pPr>
        <w:adjustRightInd w:val="0"/>
        <w:snapToGrid w:val="0"/>
        <w:spacing w:line="360" w:lineRule="auto"/>
        <w:ind w:firstLine="480" w:firstLineChars="200"/>
        <w:jc w:val="left"/>
        <w:textAlignment w:val="center"/>
        <w:rPr>
          <w:rFonts w:hint="eastAsia" w:asciiTheme="minorEastAsia" w:hAnsiTheme="minorEastAsia" w:eastAsiaTheme="minorEastAsia"/>
          <w:color w:val="000000"/>
          <w:sz w:val="24"/>
          <w:szCs w:val="24"/>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734" w:name="_Toc20334"/>
      <w:r>
        <w:rPr>
          <w:rFonts w:asciiTheme="minorEastAsia" w:hAnsiTheme="minorEastAsia" w:eastAsiaTheme="minorEastAsia"/>
          <w:b/>
          <w:color w:val="000000"/>
          <w:sz w:val="32"/>
        </w:rPr>
        <w:t>9</w:t>
      </w:r>
      <w:r>
        <w:rPr>
          <w:rFonts w:hint="eastAsia" w:asciiTheme="minorEastAsia" w:hAnsiTheme="minorEastAsia" w:eastAsiaTheme="minorEastAsia"/>
          <w:b/>
          <w:color w:val="000000"/>
          <w:sz w:val="32"/>
        </w:rPr>
        <w:t>应急预案管理</w:t>
      </w:r>
      <w:bookmarkEnd w:id="728"/>
      <w:bookmarkEnd w:id="729"/>
      <w:bookmarkEnd w:id="730"/>
      <w:bookmarkEnd w:id="731"/>
      <w:bookmarkEnd w:id="732"/>
      <w:bookmarkEnd w:id="733"/>
      <w:bookmarkEnd w:id="734"/>
    </w:p>
    <w:p>
      <w:pPr>
        <w:adjustRightInd w:val="0"/>
        <w:snapToGrid w:val="0"/>
        <w:spacing w:line="460" w:lineRule="exact"/>
        <w:outlineLvl w:val="1"/>
        <w:rPr>
          <w:rFonts w:hint="eastAsia"/>
          <w:b/>
          <w:color w:val="000000"/>
          <w:sz w:val="26"/>
          <w:szCs w:val="26"/>
          <w:lang w:val="zh-CN"/>
        </w:rPr>
      </w:pPr>
      <w:bookmarkStart w:id="735" w:name="_Toc408274456"/>
      <w:bookmarkStart w:id="736" w:name="_Toc387131519"/>
      <w:bookmarkStart w:id="737" w:name="_Toc387131776"/>
      <w:bookmarkStart w:id="738" w:name="_Toc415254562"/>
      <w:bookmarkStart w:id="739" w:name="_Toc183339238"/>
      <w:bookmarkStart w:id="740" w:name="_Toc198355342"/>
      <w:bookmarkStart w:id="741" w:name="_Toc304963619"/>
      <w:bookmarkStart w:id="742" w:name="_Toc336326869"/>
      <w:bookmarkStart w:id="743" w:name="_Toc336327147"/>
      <w:bookmarkStart w:id="744" w:name="_Toc387131445"/>
      <w:bookmarkStart w:id="745" w:name="_Toc29617"/>
      <w:bookmarkStart w:id="746" w:name="_Toc262040298"/>
      <w:bookmarkStart w:id="747" w:name="_Toc197251362"/>
      <w:bookmarkStart w:id="748" w:name="_Toc183339514"/>
      <w:bookmarkStart w:id="749" w:name="_Toc262051562"/>
      <w:bookmarkStart w:id="750" w:name="_Toc304962975"/>
      <w:bookmarkStart w:id="751" w:name="_Toc262051141"/>
      <w:bookmarkStart w:id="752" w:name="_Toc304833252"/>
      <w:bookmarkStart w:id="753" w:name="_Toc304964462"/>
      <w:bookmarkStart w:id="754" w:name="_Toc196018563"/>
      <w:bookmarkStart w:id="755" w:name="_Toc184808784"/>
      <w:bookmarkStart w:id="756" w:name="_Toc185671004"/>
      <w:bookmarkStart w:id="757" w:name="_Toc196018454"/>
      <w:bookmarkStart w:id="758" w:name="_Toc262050888"/>
      <w:bookmarkStart w:id="759" w:name="_Toc229283992"/>
      <w:bookmarkStart w:id="760" w:name="_Toc135709136"/>
      <w:bookmarkStart w:id="761" w:name="_Toc198007357"/>
      <w:bookmarkStart w:id="762" w:name="_Toc184809571"/>
      <w:bookmarkStart w:id="763" w:name="_Toc196018658"/>
      <w:bookmarkStart w:id="764" w:name="_Toc10161"/>
      <w:r>
        <w:rPr>
          <w:rFonts w:hint="eastAsia"/>
          <w:b/>
          <w:color w:val="000000"/>
          <w:sz w:val="26"/>
          <w:szCs w:val="26"/>
          <w:lang w:val="zh-CN"/>
        </w:rPr>
        <w:t>9.1应急预案培训</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综合部会同相关部门，通过各种宣传手段，对公司员工和企业周边公众广泛宣传事故的危险危害及应急常识。</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公司安全生产部每年至少组织一次公司级综合性应急知识培训；生产部、各部门定期对各部门所属员工进行应急培训；各班组每月组织班员进行针对性的现场处置知识培训。</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对本公司员工加强应对突发事故的能力培训，具体内容包括：</w:t>
      </w:r>
      <w:r>
        <w:rPr>
          <w:rFonts w:asciiTheme="minorEastAsia" w:hAnsiTheme="minorEastAsia" w:eastAsiaTheme="minorEastAsia"/>
          <w:color w:val="000000"/>
          <w:sz w:val="24"/>
          <w:szCs w:val="24"/>
        </w:rPr>
        <w:t xml:space="preserve"> </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）培训员工熟悉并掌握用身边的工具，以最快最有效地报警或发出事故警报；</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）培训员工突发事故时怎样用现有条件进行自我保护，并相互实施救助；</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）为避免员工事故突发时因惊慌失措而发生不必要的伤亡，培训员工怎么有序地按事先规定的路线疏散。对人员疏散的培训主要在应急演练中进行；</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w:t>
      </w:r>
      <w:r>
        <w:rPr>
          <w:rFonts w:hint="eastAsia" w:asciiTheme="minorEastAsia" w:hAnsiTheme="minorEastAsia" w:eastAsiaTheme="minorEastAsia"/>
          <w:color w:val="000000"/>
          <w:sz w:val="24"/>
          <w:szCs w:val="24"/>
        </w:rPr>
        <w:t>）培训员工熟悉消防等应急救援器具的使用，掌握事故初发时应急处置基本技术，使其在事故发生时不会手足无措，为控制事态赢得时机。</w:t>
      </w:r>
    </w:p>
    <w:p>
      <w:pPr>
        <w:adjustRightInd w:val="0"/>
        <w:snapToGrid w:val="0"/>
        <w:spacing w:line="460" w:lineRule="exact"/>
        <w:outlineLvl w:val="1"/>
        <w:rPr>
          <w:rFonts w:hint="eastAsia"/>
          <w:b/>
          <w:color w:val="000000"/>
          <w:sz w:val="26"/>
          <w:szCs w:val="26"/>
          <w:lang w:val="zh-CN"/>
        </w:rPr>
      </w:pPr>
      <w:bookmarkStart w:id="765" w:name="_Toc183339239"/>
      <w:bookmarkStart w:id="766" w:name="_Toc12520"/>
      <w:bookmarkStart w:id="767" w:name="_Toc196018564"/>
      <w:bookmarkStart w:id="768" w:name="_Toc196018659"/>
      <w:bookmarkStart w:id="769" w:name="_Toc197251363"/>
      <w:bookmarkStart w:id="770" w:name="_Toc198007358"/>
      <w:bookmarkStart w:id="771" w:name="_Toc198355343"/>
      <w:bookmarkStart w:id="772" w:name="_Toc304833253"/>
      <w:bookmarkStart w:id="773" w:name="_Toc196018455"/>
      <w:bookmarkStart w:id="774" w:name="_Toc415254563"/>
      <w:bookmarkStart w:id="775" w:name="_Toc3991"/>
      <w:bookmarkStart w:id="776" w:name="_Toc229283993"/>
      <w:bookmarkStart w:id="777" w:name="_Toc262040299"/>
      <w:bookmarkStart w:id="778" w:name="_Toc262050889"/>
      <w:bookmarkStart w:id="779" w:name="_Toc262051142"/>
      <w:bookmarkStart w:id="780" w:name="_Toc262051563"/>
      <w:bookmarkStart w:id="781" w:name="_Toc336327148"/>
      <w:bookmarkStart w:id="782" w:name="_Toc183339515"/>
      <w:bookmarkStart w:id="783" w:name="_Toc184808785"/>
      <w:bookmarkStart w:id="784" w:name="_Toc184809572"/>
      <w:bookmarkStart w:id="785" w:name="_Toc185671005"/>
      <w:bookmarkStart w:id="786" w:name="_Toc387131446"/>
      <w:bookmarkStart w:id="787" w:name="_Toc387131520"/>
      <w:bookmarkStart w:id="788" w:name="_Toc387131777"/>
      <w:bookmarkStart w:id="789" w:name="_Toc408274457"/>
      <w:bookmarkStart w:id="790" w:name="_Toc135709137"/>
      <w:bookmarkStart w:id="791" w:name="_Toc304962976"/>
      <w:bookmarkStart w:id="792" w:name="_Toc304963620"/>
      <w:bookmarkStart w:id="793" w:name="_Toc304964463"/>
      <w:bookmarkStart w:id="794" w:name="_Toc336326870"/>
      <w:r>
        <w:rPr>
          <w:rFonts w:hint="eastAsia"/>
          <w:b/>
          <w:color w:val="000000"/>
          <w:sz w:val="26"/>
          <w:szCs w:val="26"/>
          <w:lang w:val="zh-CN"/>
        </w:rPr>
        <w:t>9.2应急预案演练</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pPr>
        <w:spacing w:line="360" w:lineRule="auto"/>
        <w:jc w:val="left"/>
        <w:outlineLvl w:val="2"/>
        <w:rPr>
          <w:rStyle w:val="135"/>
          <w:rFonts w:asciiTheme="minorEastAsia" w:hAnsiTheme="minorEastAsia" w:eastAsiaTheme="minorEastAsia"/>
          <w:bCs/>
          <w:color w:val="000000"/>
          <w:sz w:val="28"/>
          <w:szCs w:val="28"/>
        </w:rPr>
      </w:pPr>
      <w:bookmarkStart w:id="795" w:name="_Toc272328359"/>
      <w:bookmarkStart w:id="796" w:name="_Toc262040300"/>
      <w:bookmarkStart w:id="797" w:name="_Toc262051564"/>
      <w:bookmarkStart w:id="798" w:name="_Toc262050890"/>
      <w:bookmarkStart w:id="799" w:name="_Toc262051143"/>
      <w:r>
        <w:rPr>
          <w:rStyle w:val="135"/>
          <w:rFonts w:asciiTheme="minorEastAsia" w:hAnsiTheme="minorEastAsia" w:eastAsiaTheme="minorEastAsia"/>
          <w:bCs/>
          <w:color w:val="000000"/>
          <w:sz w:val="28"/>
          <w:szCs w:val="28"/>
        </w:rPr>
        <w:t>9.2.1</w:t>
      </w:r>
      <w:r>
        <w:rPr>
          <w:rStyle w:val="135"/>
          <w:rFonts w:hint="eastAsia" w:asciiTheme="minorEastAsia" w:hAnsiTheme="minorEastAsia" w:eastAsiaTheme="minorEastAsia"/>
          <w:bCs/>
          <w:color w:val="000000"/>
          <w:sz w:val="28"/>
          <w:szCs w:val="28"/>
        </w:rPr>
        <w:t>演练频次</w:t>
      </w:r>
      <w:bookmarkEnd w:id="795"/>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综合应急预案和专项应急预案的演练由公司分管副总经理组织，每年至少进行一次。现场处置方案由生产部每半年度演练</w:t>
      </w: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次。</w:t>
      </w:r>
    </w:p>
    <w:p>
      <w:pPr>
        <w:spacing w:line="360" w:lineRule="auto"/>
        <w:jc w:val="left"/>
        <w:outlineLvl w:val="2"/>
        <w:rPr>
          <w:rStyle w:val="135"/>
          <w:rFonts w:asciiTheme="minorEastAsia" w:hAnsiTheme="minorEastAsia" w:eastAsiaTheme="minorEastAsia"/>
          <w:bCs/>
          <w:color w:val="000000"/>
          <w:sz w:val="28"/>
          <w:szCs w:val="28"/>
        </w:rPr>
      </w:pPr>
      <w:bookmarkStart w:id="800" w:name="_Toc272328360"/>
      <w:r>
        <w:rPr>
          <w:rStyle w:val="135"/>
          <w:rFonts w:asciiTheme="minorEastAsia" w:hAnsiTheme="minorEastAsia" w:eastAsiaTheme="minorEastAsia"/>
          <w:bCs/>
          <w:color w:val="000000"/>
          <w:sz w:val="28"/>
          <w:szCs w:val="28"/>
        </w:rPr>
        <w:t>9.2.2</w:t>
      </w:r>
      <w:r>
        <w:rPr>
          <w:rStyle w:val="135"/>
          <w:rFonts w:hint="eastAsia" w:asciiTheme="minorEastAsia" w:hAnsiTheme="minorEastAsia" w:eastAsiaTheme="minorEastAsia"/>
          <w:bCs/>
          <w:color w:val="000000"/>
          <w:sz w:val="28"/>
          <w:szCs w:val="28"/>
        </w:rPr>
        <w:t>演练要求</w:t>
      </w:r>
      <w:bookmarkEnd w:id="800"/>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每次演练应明确目的、内容；组织人员对演练进行评价，发现问题提出相应的解决措施；安排人员做好演练文字记录、图片音像资料；及时对预案进行修订完善。</w:t>
      </w:r>
    </w:p>
    <w:p>
      <w:pPr>
        <w:spacing w:line="360" w:lineRule="auto"/>
        <w:jc w:val="left"/>
        <w:outlineLvl w:val="2"/>
        <w:rPr>
          <w:rStyle w:val="135"/>
          <w:rFonts w:asciiTheme="minorEastAsia" w:hAnsiTheme="minorEastAsia" w:eastAsiaTheme="minorEastAsia"/>
          <w:bCs/>
          <w:color w:val="000000"/>
          <w:sz w:val="28"/>
          <w:szCs w:val="28"/>
        </w:rPr>
      </w:pPr>
      <w:bookmarkStart w:id="801" w:name="_Toc272328361"/>
      <w:r>
        <w:rPr>
          <w:rStyle w:val="135"/>
          <w:rFonts w:asciiTheme="minorEastAsia" w:hAnsiTheme="minorEastAsia" w:eastAsiaTheme="minorEastAsia"/>
          <w:bCs/>
          <w:color w:val="000000"/>
          <w:sz w:val="28"/>
          <w:szCs w:val="28"/>
        </w:rPr>
        <w:t>9.2.3</w:t>
      </w:r>
      <w:r>
        <w:rPr>
          <w:rStyle w:val="135"/>
          <w:rFonts w:hint="eastAsia" w:asciiTheme="minorEastAsia" w:hAnsiTheme="minorEastAsia" w:eastAsiaTheme="minorEastAsia"/>
          <w:bCs/>
          <w:color w:val="000000"/>
          <w:sz w:val="28"/>
          <w:szCs w:val="28"/>
        </w:rPr>
        <w:t>演练内容</w:t>
      </w:r>
      <w:bookmarkEnd w:id="801"/>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通信联络、报警、信息报告程序演练。</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2) </w:t>
      </w:r>
      <w:r>
        <w:rPr>
          <w:rFonts w:hint="eastAsia" w:asciiTheme="minorEastAsia" w:hAnsiTheme="minorEastAsia" w:eastAsiaTheme="minorEastAsia"/>
          <w:color w:val="000000"/>
          <w:sz w:val="24"/>
          <w:szCs w:val="24"/>
        </w:rPr>
        <w:t>疏散、人员集中清点、应急器材、物资到位演练。</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3) </w:t>
      </w:r>
      <w:r>
        <w:rPr>
          <w:rFonts w:hint="eastAsia" w:asciiTheme="minorEastAsia" w:hAnsiTheme="minorEastAsia" w:eastAsiaTheme="minorEastAsia"/>
          <w:color w:val="000000"/>
          <w:sz w:val="24"/>
          <w:szCs w:val="24"/>
        </w:rPr>
        <w:t>各救援小组迅速就位演练、应急处置演练。</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4) </w:t>
      </w:r>
      <w:r>
        <w:rPr>
          <w:rFonts w:hint="eastAsia" w:asciiTheme="minorEastAsia" w:hAnsiTheme="minorEastAsia" w:eastAsiaTheme="minorEastAsia"/>
          <w:color w:val="000000"/>
          <w:sz w:val="24"/>
          <w:szCs w:val="24"/>
        </w:rPr>
        <w:t>各单位间相互配合协调应急演练等。</w:t>
      </w:r>
    </w:p>
    <w:p>
      <w:pPr>
        <w:adjustRightInd w:val="0"/>
        <w:snapToGrid w:val="0"/>
        <w:spacing w:line="460" w:lineRule="exact"/>
        <w:outlineLvl w:val="1"/>
        <w:rPr>
          <w:rFonts w:hint="eastAsia"/>
          <w:b/>
          <w:color w:val="000000"/>
          <w:sz w:val="26"/>
          <w:szCs w:val="26"/>
          <w:lang w:val="zh-CN"/>
        </w:rPr>
      </w:pPr>
      <w:bookmarkStart w:id="802" w:name="_Toc304833260"/>
      <w:bookmarkStart w:id="803" w:name="_Toc304962983"/>
      <w:bookmarkStart w:id="804" w:name="_Toc304963627"/>
      <w:bookmarkStart w:id="805" w:name="_Toc304964470"/>
      <w:bookmarkStart w:id="806" w:name="_Toc336326877"/>
      <w:bookmarkStart w:id="807" w:name="_Toc336327155"/>
      <w:bookmarkStart w:id="808" w:name="_Toc262051570"/>
      <w:bookmarkStart w:id="809" w:name="_Toc262050894"/>
      <w:bookmarkStart w:id="810" w:name="_Toc262051149"/>
      <w:bookmarkStart w:id="811" w:name="_Toc408274458"/>
      <w:bookmarkStart w:id="812" w:name="_Toc387131447"/>
      <w:bookmarkStart w:id="813" w:name="_Toc387131521"/>
      <w:bookmarkStart w:id="814" w:name="_Toc387131778"/>
      <w:bookmarkStart w:id="815" w:name="_Toc415254564"/>
      <w:bookmarkStart w:id="816" w:name="_Toc24500"/>
      <w:bookmarkStart w:id="817" w:name="_Toc7666"/>
      <w:r>
        <w:rPr>
          <w:rFonts w:hint="eastAsia"/>
          <w:b/>
          <w:color w:val="000000"/>
          <w:sz w:val="26"/>
          <w:szCs w:val="26"/>
          <w:lang w:val="zh-CN"/>
        </w:rPr>
        <w:t>9.3</w:t>
      </w:r>
      <w:bookmarkEnd w:id="802"/>
      <w:bookmarkEnd w:id="803"/>
      <w:bookmarkEnd w:id="804"/>
      <w:bookmarkEnd w:id="805"/>
      <w:bookmarkEnd w:id="806"/>
      <w:bookmarkEnd w:id="807"/>
      <w:bookmarkEnd w:id="808"/>
      <w:bookmarkEnd w:id="809"/>
      <w:bookmarkEnd w:id="810"/>
      <w:r>
        <w:rPr>
          <w:rFonts w:hint="eastAsia"/>
          <w:b/>
          <w:color w:val="000000"/>
          <w:sz w:val="26"/>
          <w:szCs w:val="26"/>
          <w:lang w:val="zh-CN"/>
        </w:rPr>
        <w:t>应急预案修订</w:t>
      </w:r>
      <w:bookmarkEnd w:id="811"/>
      <w:bookmarkEnd w:id="812"/>
      <w:bookmarkEnd w:id="813"/>
      <w:bookmarkEnd w:id="814"/>
      <w:bookmarkEnd w:id="815"/>
      <w:bookmarkEnd w:id="816"/>
      <w:bookmarkEnd w:id="817"/>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安全生产部每</w:t>
      </w: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年至少组织一次公司生产安全事故应急预案的修订，同时负责本预案的管理。</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）因以下原因出现不符合项，应及时对预案进行修订、更新：</w:t>
      </w:r>
    </w:p>
    <w:p>
      <w:pPr>
        <w:adjustRightInd w:val="0"/>
        <w:snapToGrid w:val="0"/>
        <w:spacing w:line="360" w:lineRule="auto"/>
        <w:ind w:firstLine="598" w:firstLineChars="249"/>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）新法律法规、标准的颁布实施、相关法律法规、标准的修订；</w:t>
      </w:r>
    </w:p>
    <w:p>
      <w:pPr>
        <w:adjustRightInd w:val="0"/>
        <w:snapToGrid w:val="0"/>
        <w:spacing w:line="360" w:lineRule="auto"/>
        <w:ind w:firstLine="598" w:firstLineChars="249"/>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）机构重大调整、工艺改革、关键设备更换或应急资源发生变化；</w:t>
      </w:r>
    </w:p>
    <w:p>
      <w:pPr>
        <w:adjustRightInd w:val="0"/>
        <w:snapToGrid w:val="0"/>
        <w:spacing w:line="360" w:lineRule="auto"/>
        <w:ind w:firstLine="598" w:firstLineChars="249"/>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）预案演练或潜在事件和突发事故应急处置中发现不符合项；</w:t>
      </w:r>
    </w:p>
    <w:p>
      <w:pPr>
        <w:adjustRightInd w:val="0"/>
        <w:snapToGrid w:val="0"/>
        <w:spacing w:line="360" w:lineRule="auto"/>
        <w:ind w:firstLine="598" w:firstLineChars="249"/>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w:t>
      </w:r>
      <w:r>
        <w:rPr>
          <w:rFonts w:hint="eastAsia" w:asciiTheme="minorEastAsia" w:hAnsiTheme="minorEastAsia" w:eastAsiaTheme="minorEastAsia"/>
          <w:color w:val="000000"/>
          <w:sz w:val="24"/>
          <w:szCs w:val="24"/>
        </w:rPr>
        <w:t>）其他原因。</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）为确保预案的科学性、合理性和可操作性，在预案修订小组内部评审后，报上级应急预案管理</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备案</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部门组织专家评审，实现可持续改进。</w:t>
      </w:r>
    </w:p>
    <w:p>
      <w:pPr>
        <w:adjustRightInd w:val="0"/>
        <w:snapToGrid w:val="0"/>
        <w:spacing w:line="460" w:lineRule="exact"/>
        <w:outlineLvl w:val="1"/>
        <w:rPr>
          <w:rFonts w:hint="eastAsia"/>
          <w:b/>
          <w:color w:val="000000"/>
          <w:sz w:val="26"/>
          <w:szCs w:val="26"/>
          <w:lang w:val="zh-CN"/>
        </w:rPr>
      </w:pPr>
      <w:bookmarkStart w:id="818" w:name="_Toc304963626"/>
      <w:bookmarkStart w:id="819" w:name="_Toc336327154"/>
      <w:bookmarkStart w:id="820" w:name="_Toc28765"/>
      <w:bookmarkStart w:id="821" w:name="_Toc387131522"/>
      <w:bookmarkStart w:id="822" w:name="_Toc415254565"/>
      <w:bookmarkStart w:id="823" w:name="_Toc408274459"/>
      <w:bookmarkStart w:id="824" w:name="_Toc304964469"/>
      <w:bookmarkStart w:id="825" w:name="_Toc336326876"/>
      <w:bookmarkStart w:id="826" w:name="_Toc387131448"/>
      <w:bookmarkStart w:id="827" w:name="_Toc304833259"/>
      <w:bookmarkStart w:id="828" w:name="_Toc304962982"/>
      <w:bookmarkStart w:id="829" w:name="_Toc387131779"/>
      <w:bookmarkStart w:id="830" w:name="_Toc16564"/>
      <w:r>
        <w:rPr>
          <w:rFonts w:hint="eastAsia"/>
          <w:b/>
          <w:color w:val="000000"/>
          <w:sz w:val="26"/>
          <w:szCs w:val="26"/>
          <w:lang w:val="zh-CN"/>
        </w:rPr>
        <w:t>9.4应急预案备案</w:t>
      </w:r>
      <w:bookmarkEnd w:id="818"/>
      <w:bookmarkEnd w:id="819"/>
      <w:bookmarkEnd w:id="820"/>
      <w:bookmarkEnd w:id="821"/>
      <w:bookmarkEnd w:id="822"/>
      <w:bookmarkEnd w:id="823"/>
      <w:bookmarkEnd w:id="824"/>
      <w:bookmarkEnd w:id="825"/>
      <w:bookmarkEnd w:id="826"/>
      <w:bookmarkEnd w:id="827"/>
      <w:bookmarkEnd w:id="828"/>
      <w:bookmarkEnd w:id="829"/>
      <w:bookmarkEnd w:id="830"/>
      <w:bookmarkStart w:id="831" w:name="_Toc304833261"/>
      <w:bookmarkStart w:id="832" w:name="_Toc262051571"/>
      <w:bookmarkStart w:id="833" w:name="_Toc262051150"/>
      <w:bookmarkStart w:id="834" w:name="_Toc304962984"/>
      <w:bookmarkStart w:id="835" w:name="_Toc304963628"/>
      <w:bookmarkStart w:id="836" w:name="_Toc304964471"/>
      <w:bookmarkStart w:id="837" w:name="_Toc336326878"/>
      <w:bookmarkStart w:id="838" w:name="_Toc336327156"/>
      <w:bookmarkStart w:id="839" w:name="_Toc262050895"/>
      <w:bookmarkStart w:id="840" w:name="_Toc387131523"/>
      <w:bookmarkStart w:id="841" w:name="_Toc387131780"/>
      <w:bookmarkStart w:id="842" w:name="_Toc415254566"/>
      <w:bookmarkStart w:id="843" w:name="_Toc408274460"/>
      <w:bookmarkStart w:id="844" w:name="_Toc387131449"/>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按照“分类管理、分级负责”及属地管理的原则，报涪陵区环境保护局和安全生产监督管理局备案。</w:t>
      </w:r>
    </w:p>
    <w:p>
      <w:pPr>
        <w:adjustRightInd w:val="0"/>
        <w:snapToGrid w:val="0"/>
        <w:spacing w:line="460" w:lineRule="exact"/>
        <w:outlineLvl w:val="1"/>
        <w:rPr>
          <w:rFonts w:hint="eastAsia"/>
          <w:b/>
          <w:color w:val="000000"/>
          <w:sz w:val="26"/>
          <w:szCs w:val="26"/>
          <w:lang w:val="zh-CN"/>
        </w:rPr>
      </w:pPr>
      <w:bookmarkStart w:id="845" w:name="_Toc20222"/>
      <w:bookmarkStart w:id="846" w:name="_Toc13844"/>
      <w:r>
        <w:rPr>
          <w:rFonts w:hint="eastAsia"/>
          <w:b/>
          <w:color w:val="000000"/>
          <w:sz w:val="26"/>
          <w:szCs w:val="26"/>
          <w:lang w:val="zh-CN"/>
        </w:rPr>
        <w:t>9.5</w:t>
      </w:r>
      <w:bookmarkEnd w:id="831"/>
      <w:bookmarkEnd w:id="832"/>
      <w:bookmarkEnd w:id="833"/>
      <w:bookmarkEnd w:id="834"/>
      <w:bookmarkEnd w:id="835"/>
      <w:bookmarkEnd w:id="836"/>
      <w:bookmarkEnd w:id="837"/>
      <w:bookmarkEnd w:id="838"/>
      <w:bookmarkEnd w:id="839"/>
      <w:r>
        <w:rPr>
          <w:rFonts w:hint="eastAsia"/>
          <w:b/>
          <w:color w:val="000000"/>
          <w:sz w:val="26"/>
          <w:szCs w:val="26"/>
          <w:lang w:val="zh-CN"/>
        </w:rPr>
        <w:t>应急预案实施</w:t>
      </w:r>
      <w:bookmarkEnd w:id="840"/>
      <w:bookmarkEnd w:id="841"/>
      <w:bookmarkEnd w:id="842"/>
      <w:bookmarkEnd w:id="843"/>
      <w:bookmarkEnd w:id="844"/>
      <w:bookmarkEnd w:id="845"/>
      <w:bookmarkEnd w:id="846"/>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bookmarkStart w:id="847" w:name="_Toc262051572"/>
      <w:bookmarkStart w:id="848" w:name="_Toc262050896"/>
      <w:bookmarkStart w:id="849" w:name="_Toc262051151"/>
      <w:r>
        <w:rPr>
          <w:rFonts w:hint="eastAsia" w:asciiTheme="minorEastAsia" w:hAnsiTheme="minorEastAsia" w:eastAsiaTheme="minorEastAsia"/>
          <w:color w:val="000000"/>
          <w:sz w:val="24"/>
          <w:szCs w:val="24"/>
        </w:rPr>
        <w:t>本预案由公司安全生产部组织制定并负责解释。</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sectPr>
          <w:footerReference r:id="rId5" w:type="default"/>
          <w:pgSz w:w="11906" w:h="16838"/>
          <w:pgMar w:top="1440" w:right="1797" w:bottom="1276" w:left="1797" w:header="851" w:footer="992" w:gutter="0"/>
          <w:pgNumType w:start="1"/>
          <w:cols w:space="720" w:num="1"/>
          <w:docGrid w:type="linesAndChars" w:linePitch="312" w:charSpace="0"/>
        </w:sectPr>
      </w:pPr>
      <w:r>
        <w:rPr>
          <w:rFonts w:hint="eastAsia" w:asciiTheme="minorEastAsia" w:hAnsiTheme="minorEastAsia" w:eastAsiaTheme="minorEastAsia"/>
          <w:color w:val="000000"/>
          <w:sz w:val="24"/>
          <w:szCs w:val="24"/>
        </w:rPr>
        <w:t>本预案自发布之日起实施。</w:t>
      </w:r>
      <w:bookmarkEnd w:id="796"/>
      <w:bookmarkEnd w:id="797"/>
      <w:bookmarkEnd w:id="798"/>
      <w:bookmarkEnd w:id="799"/>
      <w:bookmarkEnd w:id="847"/>
      <w:bookmarkEnd w:id="848"/>
      <w:bookmarkEnd w:id="849"/>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850" w:name="_Toc25563"/>
      <w:bookmarkStart w:id="851" w:name="_Toc19910"/>
      <w:bookmarkStart w:id="852" w:name="_Toc415254567"/>
      <w:r>
        <w:rPr>
          <w:rFonts w:hint="eastAsia" w:asciiTheme="minorEastAsia" w:hAnsiTheme="minorEastAsia" w:eastAsiaTheme="minorEastAsia"/>
          <w:b/>
          <w:color w:val="000000"/>
          <w:sz w:val="32"/>
        </w:rPr>
        <w:t>10应急预案管理</w:t>
      </w:r>
      <w:bookmarkEnd w:id="850"/>
    </w:p>
    <w:p>
      <w:pPr>
        <w:adjustRightInd w:val="0"/>
        <w:snapToGrid w:val="0"/>
        <w:spacing w:line="460" w:lineRule="exact"/>
        <w:outlineLvl w:val="1"/>
        <w:rPr>
          <w:rFonts w:hint="eastAsia"/>
          <w:b/>
          <w:color w:val="000000"/>
          <w:sz w:val="26"/>
          <w:szCs w:val="26"/>
          <w:lang w:val="zh-CN"/>
        </w:rPr>
      </w:pPr>
      <w:bookmarkStart w:id="853" w:name="_Toc15302"/>
      <w:r>
        <w:rPr>
          <w:rFonts w:hint="eastAsia"/>
          <w:b/>
          <w:color w:val="000000"/>
          <w:sz w:val="26"/>
          <w:szCs w:val="26"/>
          <w:lang w:val="zh-CN"/>
        </w:rPr>
        <w:t>10.1应急预案培训</w:t>
      </w:r>
      <w:bookmarkEnd w:id="853"/>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综合部会同相关部门，通过各种宣传手段，对公司员工和企业周边公众广泛宣传事故的危险危害及应急常识。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公司安全生产部每年至少组织一次公司级综合性应急知识培训；生产部、各部门定期对各部门所属员工进行应急培训；各班组每月组织班员进行针对性的现场处置知识培训。</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 xml:space="preserve">对本公司员工加强应对突发事故的能力培训，具体内容包括：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1）培训员工熟悉并掌握用身边的工具，以最快最有效地报警或发出事故警报；</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2）培训员工突发事故时怎样用现有条件进行自我保护，并相互实施救助；</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3）为避免员工事故突发时因惊慌失措而发生不必要的伤亡，培训员工怎么有序地按事先规定的路线疏散。对人员疏散的培训主要在应急演练中进行；</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4）培训员工熟悉消防等应急救援器具的使用，掌握事故初发时应急处置基本技术，使其在事故发生时不会手足无措，为控制事态赢得时机。</w:t>
      </w:r>
    </w:p>
    <w:p>
      <w:pPr>
        <w:adjustRightInd w:val="0"/>
        <w:snapToGrid w:val="0"/>
        <w:spacing w:line="460" w:lineRule="exact"/>
        <w:outlineLvl w:val="1"/>
        <w:rPr>
          <w:rFonts w:hint="eastAsia"/>
          <w:b/>
          <w:color w:val="000000"/>
          <w:sz w:val="26"/>
          <w:szCs w:val="26"/>
          <w:lang w:val="zh-CN"/>
        </w:rPr>
      </w:pPr>
      <w:bookmarkStart w:id="854" w:name="_Toc12141"/>
      <w:r>
        <w:rPr>
          <w:rFonts w:hint="eastAsia"/>
          <w:b/>
          <w:color w:val="000000"/>
          <w:sz w:val="26"/>
          <w:szCs w:val="26"/>
          <w:lang w:val="zh-CN"/>
        </w:rPr>
        <w:t>10.2应急预案演练</w:t>
      </w:r>
      <w:bookmarkEnd w:id="854"/>
    </w:p>
    <w:p>
      <w:pPr>
        <w:spacing w:line="360" w:lineRule="auto"/>
        <w:jc w:val="left"/>
        <w:outlineLvl w:val="2"/>
        <w:rPr>
          <w:rStyle w:val="135"/>
          <w:rFonts w:asciiTheme="minorEastAsia" w:hAnsiTheme="minorEastAsia" w:eastAsiaTheme="minorEastAsia"/>
          <w:color w:val="000000"/>
        </w:rPr>
      </w:pPr>
      <w:r>
        <w:rPr>
          <w:rStyle w:val="135"/>
          <w:rFonts w:hint="eastAsia" w:asciiTheme="minorEastAsia" w:hAnsiTheme="minorEastAsia" w:eastAsiaTheme="minorEastAsia"/>
          <w:color w:val="000000"/>
        </w:rPr>
        <w:t>10.2.1演练频次</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综合应急预案和专项应急预案的演练由公司分管副总经理组织，每年至少进行一次。现场处置方案由安全生产部每半年度演练1次。</w:t>
      </w:r>
    </w:p>
    <w:p>
      <w:pPr>
        <w:spacing w:line="360" w:lineRule="auto"/>
        <w:jc w:val="left"/>
        <w:outlineLvl w:val="2"/>
        <w:rPr>
          <w:rStyle w:val="135"/>
          <w:rFonts w:asciiTheme="minorEastAsia" w:hAnsiTheme="minorEastAsia" w:eastAsiaTheme="minorEastAsia"/>
          <w:color w:val="000000"/>
        </w:rPr>
      </w:pPr>
      <w:r>
        <w:rPr>
          <w:rStyle w:val="135"/>
          <w:rFonts w:hint="eastAsia" w:asciiTheme="minorEastAsia" w:hAnsiTheme="minorEastAsia" w:eastAsiaTheme="minorEastAsia"/>
          <w:color w:val="000000"/>
        </w:rPr>
        <w:t>10.2.2演练要求</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每次演练应明确目的、内容；组织人员对演练进行评价，发现问题提出相应的解决措施；安排人员做好演练文字记录、图片音像资料；及时对预案进行修订完善。</w:t>
      </w:r>
    </w:p>
    <w:p>
      <w:pPr>
        <w:spacing w:line="360" w:lineRule="auto"/>
        <w:jc w:val="left"/>
        <w:outlineLvl w:val="2"/>
        <w:rPr>
          <w:rStyle w:val="135"/>
          <w:rFonts w:asciiTheme="minorEastAsia" w:hAnsiTheme="minorEastAsia" w:eastAsiaTheme="minorEastAsia"/>
          <w:color w:val="000000"/>
        </w:rPr>
      </w:pPr>
      <w:r>
        <w:rPr>
          <w:rStyle w:val="135"/>
          <w:rFonts w:hint="eastAsia" w:asciiTheme="minorEastAsia" w:hAnsiTheme="minorEastAsia" w:eastAsiaTheme="minorEastAsia"/>
          <w:color w:val="000000"/>
        </w:rPr>
        <w:t>10.2.3演练内容</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 通信联络、报警、信息报告程序演练。</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 疏散、人员集中清点、应急器材、物资到位演练。</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 各救援小组迅速就位演练、应急处置演练。</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 各单位间相互配合协调应急演练等。</w:t>
      </w:r>
    </w:p>
    <w:p>
      <w:pPr>
        <w:adjustRightInd w:val="0"/>
        <w:snapToGrid w:val="0"/>
        <w:spacing w:line="460" w:lineRule="exact"/>
        <w:outlineLvl w:val="1"/>
        <w:rPr>
          <w:rFonts w:hint="eastAsia"/>
          <w:b/>
          <w:color w:val="000000"/>
          <w:sz w:val="26"/>
          <w:szCs w:val="26"/>
          <w:lang w:val="zh-CN"/>
        </w:rPr>
      </w:pPr>
      <w:bookmarkStart w:id="855" w:name="_Toc25971"/>
      <w:r>
        <w:rPr>
          <w:rFonts w:hint="eastAsia"/>
          <w:b/>
          <w:color w:val="000000"/>
          <w:sz w:val="26"/>
          <w:szCs w:val="26"/>
          <w:lang w:val="zh-CN"/>
        </w:rPr>
        <w:t>10.3应急预案修订</w:t>
      </w:r>
      <w:bookmarkEnd w:id="855"/>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 安全生产部每3年至少组织一次公司生产安全事故应急预案的修订，同时负责本预案的管理。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2）因以下原因出现不符合项，应及时对预案进行修订、更新：</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（1）新法律法规、标准的颁布实施、相关法律法规、标准的修订；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（2）机构重大调整、工艺改革、关键设备更换或应急资源发生变化；</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（3）预案演练或潜在事件和突发事故应急处置中发现不符合项；</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（4）其他原因。</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3）为确保预案的科学性、合理性和可操作性，在预案修订小组内部评审后，报上级应急预案管理(备案)部门组织专家评审，实现可持续改进。</w:t>
      </w:r>
    </w:p>
    <w:p>
      <w:pPr>
        <w:adjustRightInd w:val="0"/>
        <w:snapToGrid w:val="0"/>
        <w:spacing w:line="460" w:lineRule="exact"/>
        <w:outlineLvl w:val="1"/>
        <w:rPr>
          <w:rFonts w:hint="eastAsia"/>
          <w:b/>
          <w:color w:val="000000"/>
          <w:sz w:val="26"/>
          <w:szCs w:val="26"/>
          <w:lang w:val="zh-CN"/>
        </w:rPr>
      </w:pPr>
      <w:bookmarkStart w:id="856" w:name="_Toc18144"/>
      <w:r>
        <w:rPr>
          <w:rFonts w:hint="eastAsia"/>
          <w:b/>
          <w:color w:val="000000"/>
          <w:sz w:val="26"/>
          <w:szCs w:val="26"/>
          <w:lang w:val="zh-CN"/>
        </w:rPr>
        <w:t>10.4应急预案备案</w:t>
      </w:r>
      <w:bookmarkEnd w:id="856"/>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按照“分类管理、分级负责”及属地管理的原则，报涪陵区区环境保护局或安全生产监督管理局备案。</w:t>
      </w:r>
    </w:p>
    <w:p>
      <w:pPr>
        <w:adjustRightInd w:val="0"/>
        <w:snapToGrid w:val="0"/>
        <w:spacing w:line="460" w:lineRule="exact"/>
        <w:outlineLvl w:val="1"/>
        <w:rPr>
          <w:rFonts w:hint="eastAsia"/>
          <w:b/>
          <w:color w:val="000000"/>
          <w:sz w:val="26"/>
          <w:szCs w:val="26"/>
          <w:lang w:val="zh-CN"/>
        </w:rPr>
      </w:pPr>
      <w:bookmarkStart w:id="857" w:name="_Toc13515"/>
      <w:r>
        <w:rPr>
          <w:rFonts w:hint="eastAsia"/>
          <w:b/>
          <w:color w:val="000000"/>
          <w:sz w:val="26"/>
          <w:szCs w:val="26"/>
          <w:lang w:val="zh-CN"/>
        </w:rPr>
        <w:t>10.5应急预案实施</w:t>
      </w:r>
      <w:bookmarkEnd w:id="857"/>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本预案由公司安全生产部组织制定并负责解释。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本预案自发布之日起实施。</w:t>
      </w:r>
      <w:bookmarkStart w:id="858" w:name="_Toc458674314"/>
    </w:p>
    <w:bookmarkEnd w:id="858"/>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bookmarkStart w:id="859" w:name="_Toc7782"/>
      <w:r>
        <w:rPr>
          <w:rFonts w:hint="eastAsia" w:asciiTheme="minorEastAsia" w:hAnsiTheme="minorEastAsia" w:eastAsiaTheme="minorEastAsia"/>
          <w:b/>
          <w:color w:val="000000"/>
          <w:sz w:val="32"/>
        </w:rPr>
        <w:t>11 附件</w:t>
      </w:r>
      <w:bookmarkEnd w:id="859"/>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 专项应急预案</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附件2 外部救援联系电话</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附件3 内部救援人员的联系方式</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附件4 应急物资装备清单  </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附件5 关键的路线、标识和图纸</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附件6 相关应急预案目录</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附件7 应急疏散路径图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附件8 雨污管网布置图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附件9 厂区平面布置图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附件10 项目地理位置图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附件11 环境敏感点分布图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突发事件报告单</w:t>
      </w:r>
    </w:p>
    <w:p>
      <w:pPr>
        <w:pStyle w:val="120"/>
        <w:ind w:firstLine="486"/>
        <w:jc w:val="center"/>
      </w:pPr>
      <w:r>
        <w:t>突发事件报告单</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1343"/>
        <w:gridCol w:w="1351"/>
        <w:gridCol w:w="154"/>
        <w:gridCol w:w="714"/>
        <w:gridCol w:w="202"/>
        <w:gridCol w:w="1227"/>
        <w:gridCol w:w="1114"/>
        <w:gridCol w:w="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报告单位</w:t>
            </w:r>
          </w:p>
        </w:tc>
        <w:tc>
          <w:tcPr>
            <w:tcW w:w="3764" w:type="dxa"/>
            <w:gridSpan w:val="5"/>
            <w:vAlign w:val="center"/>
          </w:tcPr>
          <w:p>
            <w:pPr>
              <w:jc w:val="center"/>
              <w:rPr>
                <w:color w:val="000000"/>
                <w:sz w:val="22"/>
              </w:rPr>
            </w:pPr>
          </w:p>
        </w:tc>
        <w:tc>
          <w:tcPr>
            <w:tcW w:w="1227" w:type="dxa"/>
            <w:vAlign w:val="center"/>
          </w:tcPr>
          <w:p>
            <w:pPr>
              <w:jc w:val="center"/>
              <w:rPr>
                <w:color w:val="000000"/>
                <w:sz w:val="22"/>
              </w:rPr>
            </w:pPr>
            <w:r>
              <w:rPr>
                <w:color w:val="000000"/>
                <w:sz w:val="22"/>
              </w:rPr>
              <w:t>报告编号</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报告时间</w:t>
            </w:r>
          </w:p>
        </w:tc>
        <w:tc>
          <w:tcPr>
            <w:tcW w:w="3764" w:type="dxa"/>
            <w:gridSpan w:val="5"/>
            <w:vAlign w:val="center"/>
          </w:tcPr>
          <w:p>
            <w:pPr>
              <w:jc w:val="center"/>
              <w:rPr>
                <w:color w:val="000000"/>
                <w:sz w:val="22"/>
              </w:rPr>
            </w:pPr>
            <w:r>
              <w:rPr>
                <w:color w:val="000000"/>
                <w:sz w:val="22"/>
              </w:rPr>
              <w:t xml:space="preserve">       年    月    日    时    分</w:t>
            </w:r>
          </w:p>
        </w:tc>
        <w:tc>
          <w:tcPr>
            <w:tcW w:w="1227" w:type="dxa"/>
            <w:vAlign w:val="center"/>
          </w:tcPr>
          <w:p>
            <w:pPr>
              <w:jc w:val="center"/>
              <w:rPr>
                <w:color w:val="000000"/>
                <w:sz w:val="22"/>
              </w:rPr>
            </w:pPr>
            <w:r>
              <w:rPr>
                <w:color w:val="000000"/>
                <w:sz w:val="22"/>
              </w:rPr>
              <w:t>收到时间</w:t>
            </w:r>
          </w:p>
        </w:tc>
        <w:tc>
          <w:tcPr>
            <w:tcW w:w="1749" w:type="dxa"/>
            <w:gridSpan w:val="2"/>
            <w:vAlign w:val="center"/>
          </w:tcPr>
          <w:p>
            <w:pPr>
              <w:rPr>
                <w:color w:val="000000"/>
                <w:sz w:val="22"/>
              </w:rPr>
            </w:pPr>
            <w:r>
              <w:rPr>
                <w:color w:val="000000"/>
                <w:sz w:val="22"/>
              </w:rPr>
              <w:t xml:space="preserve">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报告人姓名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电    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报告地点</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restart"/>
            <w:vAlign w:val="center"/>
          </w:tcPr>
          <w:p>
            <w:pPr>
              <w:jc w:val="center"/>
              <w:rPr>
                <w:color w:val="000000"/>
                <w:sz w:val="22"/>
              </w:rPr>
            </w:pPr>
            <w:r>
              <w:rPr>
                <w:color w:val="000000"/>
                <w:sz w:val="22"/>
              </w:rPr>
              <w:t>信息联系人</w:t>
            </w:r>
          </w:p>
          <w:p>
            <w:pPr>
              <w:jc w:val="center"/>
              <w:rPr>
                <w:color w:val="000000"/>
                <w:sz w:val="22"/>
              </w:rPr>
            </w:pPr>
            <w:r>
              <w:rPr>
                <w:color w:val="000000"/>
                <w:sz w:val="22"/>
              </w:rPr>
              <w:t>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联系电话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移动电话</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jc w:val="center"/>
              <w:rPr>
                <w:color w:val="000000"/>
                <w:sz w:val="22"/>
              </w:rPr>
            </w:pP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传真电话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电子邮箱</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9"/>
            <w:vAlign w:val="center"/>
          </w:tcPr>
          <w:p>
            <w:pPr>
              <w:jc w:val="center"/>
              <w:rPr>
                <w:color w:val="000000"/>
                <w:sz w:val="22"/>
              </w:rPr>
            </w:pPr>
            <w:r>
              <w:rPr>
                <w:color w:val="000000"/>
                <w:sz w:val="22"/>
              </w:rPr>
              <w:t>事件简要情况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事件发生时间</w:t>
            </w:r>
          </w:p>
        </w:tc>
        <w:tc>
          <w:tcPr>
            <w:tcW w:w="6740" w:type="dxa"/>
            <w:gridSpan w:val="8"/>
            <w:vAlign w:val="center"/>
          </w:tcPr>
          <w:p>
            <w:pPr>
              <w:jc w:val="center"/>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Align w:val="center"/>
          </w:tcPr>
          <w:p>
            <w:pPr>
              <w:jc w:val="center"/>
              <w:rPr>
                <w:color w:val="000000"/>
                <w:sz w:val="22"/>
              </w:rPr>
            </w:pPr>
            <w:r>
              <w:rPr>
                <w:color w:val="000000"/>
                <w:sz w:val="22"/>
              </w:rPr>
              <w:t>事件发生地点</w:t>
            </w:r>
          </w:p>
        </w:tc>
        <w:tc>
          <w:tcPr>
            <w:tcW w:w="6740" w:type="dxa"/>
            <w:gridSpan w:val="8"/>
            <w:vAlign w:val="center"/>
          </w:tcPr>
          <w:p>
            <w:pPr>
              <w:jc w:val="center"/>
              <w:rPr>
                <w:color w:val="000000"/>
                <w:sz w:val="22"/>
              </w:rPr>
            </w:pPr>
            <w:r>
              <w:rPr>
                <w:color w:val="000000"/>
                <w:sz w:val="22"/>
              </w:rPr>
              <w:t>省（自治区）       县（市）       乡镇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事件发生单位</w:t>
            </w:r>
          </w:p>
        </w:tc>
        <w:tc>
          <w:tcPr>
            <w:tcW w:w="6740" w:type="dxa"/>
            <w:gridSpan w:val="8"/>
            <w:vAlign w:val="center"/>
          </w:tcPr>
          <w:p>
            <w:pPr>
              <w:jc w:val="center"/>
              <w:rPr>
                <w:color w:val="000000"/>
                <w:sz w:val="22"/>
              </w:rPr>
            </w:pPr>
            <w:r>
              <w:rPr>
                <w:color w:val="000000"/>
                <w:sz w:val="22"/>
              </w:rPr>
              <w:t>（企业）          （二级单位）          （基层）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restart"/>
            <w:vAlign w:val="center"/>
          </w:tcPr>
          <w:p>
            <w:pPr>
              <w:rPr>
                <w:color w:val="000000"/>
                <w:sz w:val="22"/>
              </w:rPr>
            </w:pPr>
            <w:r>
              <w:rPr>
                <w:color w:val="000000"/>
                <w:sz w:val="22"/>
              </w:rPr>
              <w:t>事件类型</w:t>
            </w:r>
          </w:p>
          <w:p>
            <w:pPr>
              <w:rPr>
                <w:color w:val="000000"/>
                <w:sz w:val="22"/>
              </w:rPr>
            </w:pPr>
            <w:r>
              <w:rPr>
                <w:color w:val="000000"/>
                <w:sz w:val="22"/>
              </w:rPr>
              <w:t>□事故灾难</w:t>
            </w:r>
          </w:p>
          <w:p>
            <w:pPr>
              <w:rPr>
                <w:color w:val="000000"/>
                <w:sz w:val="22"/>
              </w:rPr>
            </w:pPr>
            <w:r>
              <w:rPr>
                <w:color w:val="000000"/>
                <w:sz w:val="22"/>
              </w:rPr>
              <w:t>□公共卫生</w:t>
            </w:r>
          </w:p>
          <w:p>
            <w:pPr>
              <w:rPr>
                <w:color w:val="000000"/>
                <w:sz w:val="22"/>
              </w:rPr>
            </w:pPr>
            <w:r>
              <w:rPr>
                <w:color w:val="000000"/>
                <w:sz w:val="22"/>
              </w:rPr>
              <w:t>□自然灾害</w:t>
            </w:r>
          </w:p>
          <w:p>
            <w:pPr>
              <w:rPr>
                <w:color w:val="000000"/>
                <w:sz w:val="22"/>
              </w:rPr>
            </w:pPr>
            <w:r>
              <w:rPr>
                <w:color w:val="000000"/>
                <w:sz w:val="22"/>
              </w:rPr>
              <w:t>□社会安全</w:t>
            </w:r>
          </w:p>
        </w:tc>
        <w:tc>
          <w:tcPr>
            <w:tcW w:w="2848" w:type="dxa"/>
            <w:gridSpan w:val="3"/>
            <w:vAlign w:val="center"/>
          </w:tcPr>
          <w:p>
            <w:pPr>
              <w:rPr>
                <w:color w:val="000000"/>
                <w:sz w:val="22"/>
              </w:rPr>
            </w:pPr>
            <w:r>
              <w:rPr>
                <w:color w:val="000000"/>
                <w:sz w:val="22"/>
              </w:rPr>
              <w:t>井喷失控事故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油气站库及炼化装置爆炸着火</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危险化学品泄漏失控和中毒</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长输管道事故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海洋石油开发事故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剧毒危险品运输事故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群体性事件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公共文化场所和文化活动突发事件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涉外突发事件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涉外防恐</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防恐</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火工品被盗丢失事件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网络与信息安全事故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重大自然灾害突发事件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重大公共卫生事件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突发环境事件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jc w:val="center"/>
        </w:trPr>
        <w:tc>
          <w:tcPr>
            <w:tcW w:w="1532" w:type="dxa"/>
            <w:vAlign w:val="center"/>
          </w:tcPr>
          <w:p>
            <w:pPr>
              <w:jc w:val="center"/>
              <w:rPr>
                <w:color w:val="000000"/>
                <w:sz w:val="22"/>
              </w:rPr>
            </w:pPr>
            <w:r>
              <w:rPr>
                <w:color w:val="000000"/>
                <w:sz w:val="22"/>
              </w:rPr>
              <w:t>事故经过</w:t>
            </w:r>
          </w:p>
          <w:p>
            <w:pPr>
              <w:jc w:val="center"/>
              <w:rPr>
                <w:color w:val="000000"/>
                <w:sz w:val="22"/>
              </w:rPr>
            </w:pPr>
            <w:r>
              <w:rPr>
                <w:color w:val="000000"/>
                <w:sz w:val="22"/>
              </w:rPr>
              <w:t>简要描述</w:t>
            </w:r>
          </w:p>
        </w:tc>
        <w:tc>
          <w:tcPr>
            <w:tcW w:w="6740"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jc w:val="center"/>
        </w:trPr>
        <w:tc>
          <w:tcPr>
            <w:tcW w:w="1532" w:type="dxa"/>
            <w:vAlign w:val="center"/>
          </w:tcPr>
          <w:p>
            <w:pPr>
              <w:jc w:val="center"/>
              <w:rPr>
                <w:color w:val="000000"/>
                <w:sz w:val="22"/>
              </w:rPr>
            </w:pPr>
            <w:r>
              <w:rPr>
                <w:color w:val="000000"/>
                <w:sz w:val="22"/>
              </w:rPr>
              <w:t>目前人员</w:t>
            </w:r>
          </w:p>
          <w:p>
            <w:pPr>
              <w:jc w:val="center"/>
              <w:rPr>
                <w:color w:val="000000"/>
                <w:sz w:val="22"/>
              </w:rPr>
            </w:pPr>
            <w:r>
              <w:rPr>
                <w:color w:val="000000"/>
                <w:sz w:val="22"/>
              </w:rPr>
              <w:t>伤亡情况</w:t>
            </w:r>
          </w:p>
        </w:tc>
        <w:tc>
          <w:tcPr>
            <w:tcW w:w="6740"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0" w:hRule="atLeast"/>
          <w:jc w:val="center"/>
        </w:trPr>
        <w:tc>
          <w:tcPr>
            <w:tcW w:w="1532" w:type="dxa"/>
            <w:vAlign w:val="center"/>
          </w:tcPr>
          <w:p>
            <w:pPr>
              <w:jc w:val="center"/>
              <w:rPr>
                <w:color w:val="000000"/>
                <w:sz w:val="22"/>
              </w:rPr>
            </w:pPr>
            <w:r>
              <w:rPr>
                <w:color w:val="000000"/>
                <w:sz w:val="22"/>
              </w:rPr>
              <w:t>目前环境</w:t>
            </w:r>
          </w:p>
          <w:p>
            <w:pPr>
              <w:jc w:val="center"/>
              <w:rPr>
                <w:color w:val="000000"/>
                <w:sz w:val="22"/>
              </w:rPr>
            </w:pPr>
            <w:r>
              <w:rPr>
                <w:color w:val="000000"/>
                <w:sz w:val="22"/>
              </w:rPr>
              <w:t>污染情况</w:t>
            </w:r>
          </w:p>
        </w:tc>
        <w:tc>
          <w:tcPr>
            <w:tcW w:w="6740" w:type="dxa"/>
            <w:gridSpan w:val="8"/>
            <w:vAlign w:val="center"/>
          </w:tcPr>
          <w:p>
            <w:pPr>
              <w:rPr>
                <w:color w:val="000000"/>
                <w:sz w:val="22"/>
              </w:rPr>
            </w:pPr>
          </w:p>
        </w:tc>
      </w:tr>
    </w:tbl>
    <w:p>
      <w:pPr>
        <w:rPr>
          <w:color w:val="000000"/>
          <w:sz w:val="24"/>
        </w:rPr>
      </w:pPr>
    </w:p>
    <w:tbl>
      <w:tblPr>
        <w:tblStyle w:val="5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448"/>
        <w:gridCol w:w="1575"/>
        <w:gridCol w:w="388"/>
        <w:gridCol w:w="1082"/>
        <w:gridCol w:w="21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8" w:hRule="atLeast"/>
        </w:trPr>
        <w:tc>
          <w:tcPr>
            <w:tcW w:w="1705" w:type="dxa"/>
            <w:vAlign w:val="center"/>
          </w:tcPr>
          <w:p>
            <w:pPr>
              <w:jc w:val="center"/>
              <w:rPr>
                <w:color w:val="000000"/>
                <w:sz w:val="22"/>
              </w:rPr>
            </w:pPr>
            <w:r>
              <w:rPr>
                <w:color w:val="000000"/>
                <w:sz w:val="22"/>
              </w:rPr>
              <w:t>目前造成</w:t>
            </w:r>
          </w:p>
          <w:p>
            <w:pPr>
              <w:jc w:val="center"/>
              <w:rPr>
                <w:color w:val="000000"/>
                <w:sz w:val="22"/>
              </w:rPr>
            </w:pPr>
            <w:r>
              <w:rPr>
                <w:color w:val="000000"/>
                <w:sz w:val="22"/>
              </w:rPr>
              <w:t>周边影响</w:t>
            </w:r>
          </w:p>
        </w:tc>
        <w:tc>
          <w:tcPr>
            <w:tcW w:w="6823" w:type="dxa"/>
            <w:gridSpan w:val="6"/>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Align w:val="center"/>
          </w:tcPr>
          <w:p>
            <w:pPr>
              <w:jc w:val="center"/>
              <w:rPr>
                <w:color w:val="000000"/>
                <w:sz w:val="22"/>
              </w:rPr>
            </w:pPr>
            <w:r>
              <w:rPr>
                <w:color w:val="000000"/>
                <w:sz w:val="22"/>
              </w:rPr>
              <w:t>现场负责人</w:t>
            </w:r>
          </w:p>
          <w:p>
            <w:pPr>
              <w:jc w:val="center"/>
              <w:rPr>
                <w:color w:val="000000"/>
                <w:sz w:val="22"/>
              </w:rPr>
            </w:pPr>
            <w:r>
              <w:rPr>
                <w:color w:val="000000"/>
                <w:sz w:val="22"/>
              </w:rPr>
              <w:t>姓  名</w:t>
            </w:r>
          </w:p>
        </w:tc>
        <w:tc>
          <w:tcPr>
            <w:tcW w:w="3411" w:type="dxa"/>
            <w:gridSpan w:val="3"/>
            <w:vAlign w:val="center"/>
          </w:tcPr>
          <w:p>
            <w:pPr>
              <w:jc w:val="center"/>
              <w:rPr>
                <w:color w:val="000000"/>
                <w:sz w:val="22"/>
              </w:rPr>
            </w:pP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restart"/>
            <w:vAlign w:val="center"/>
          </w:tcPr>
          <w:p>
            <w:pPr>
              <w:jc w:val="center"/>
              <w:rPr>
                <w:color w:val="000000"/>
                <w:sz w:val="22"/>
              </w:rPr>
            </w:pPr>
            <w:r>
              <w:rPr>
                <w:color w:val="000000"/>
                <w:sz w:val="22"/>
              </w:rPr>
              <w:t>企业应急</w:t>
            </w:r>
          </w:p>
          <w:p>
            <w:pPr>
              <w:jc w:val="center"/>
              <w:rPr>
                <w:color w:val="000000"/>
                <w:sz w:val="22"/>
              </w:rPr>
            </w:pPr>
            <w:r>
              <w:rPr>
                <w:color w:val="000000"/>
                <w:sz w:val="22"/>
              </w:rPr>
              <w:t>人员情况</w:t>
            </w:r>
          </w:p>
        </w:tc>
        <w:tc>
          <w:tcPr>
            <w:tcW w:w="1448" w:type="dxa"/>
            <w:vAlign w:val="center"/>
          </w:tcPr>
          <w:p>
            <w:pPr>
              <w:jc w:val="center"/>
              <w:rPr>
                <w:color w:val="000000"/>
                <w:sz w:val="22"/>
              </w:rPr>
            </w:pPr>
            <w:r>
              <w:rPr>
                <w:color w:val="000000"/>
                <w:sz w:val="22"/>
              </w:rPr>
              <w:t>应急职务</w:t>
            </w:r>
          </w:p>
        </w:tc>
        <w:tc>
          <w:tcPr>
            <w:tcW w:w="1963" w:type="dxa"/>
            <w:gridSpan w:val="2"/>
            <w:vAlign w:val="center"/>
          </w:tcPr>
          <w:p>
            <w:pPr>
              <w:jc w:val="center"/>
              <w:rPr>
                <w:color w:val="000000"/>
                <w:sz w:val="22"/>
              </w:rPr>
            </w:pPr>
            <w:r>
              <w:rPr>
                <w:color w:val="000000"/>
                <w:sz w:val="22"/>
              </w:rPr>
              <w:t>姓   名</w:t>
            </w: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r>
              <w:rPr>
                <w:color w:val="000000"/>
                <w:sz w:val="22"/>
              </w:rPr>
              <w:t>移动电话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总指挥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信息联络</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现场指挥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事件初步</w:t>
            </w:r>
          </w:p>
          <w:p>
            <w:pPr>
              <w:jc w:val="center"/>
              <w:rPr>
                <w:color w:val="000000"/>
                <w:sz w:val="22"/>
              </w:rPr>
            </w:pPr>
            <w:r>
              <w:rPr>
                <w:color w:val="000000"/>
                <w:sz w:val="22"/>
              </w:rPr>
              <w:t>原因描述</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已经实施或正在采取的控制措施</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3" w:hRule="atLeast"/>
        </w:trPr>
        <w:tc>
          <w:tcPr>
            <w:tcW w:w="1705" w:type="dxa"/>
            <w:vAlign w:val="center"/>
          </w:tcPr>
          <w:p>
            <w:pPr>
              <w:jc w:val="center"/>
              <w:rPr>
                <w:color w:val="000000"/>
                <w:sz w:val="22"/>
              </w:rPr>
            </w:pPr>
            <w:r>
              <w:rPr>
                <w:color w:val="000000"/>
                <w:sz w:val="22"/>
              </w:rPr>
              <w:t>事件潜在后果以及可能对周边造成的影响</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38" w:hRule="atLeast"/>
        </w:trPr>
        <w:tc>
          <w:tcPr>
            <w:tcW w:w="1705" w:type="dxa"/>
            <w:vAlign w:val="center"/>
          </w:tcPr>
          <w:p>
            <w:pPr>
              <w:jc w:val="center"/>
              <w:rPr>
                <w:color w:val="000000"/>
                <w:sz w:val="22"/>
              </w:rPr>
            </w:pPr>
            <w:r>
              <w:rPr>
                <w:color w:val="000000"/>
                <w:sz w:val="22"/>
              </w:rPr>
              <w:t>现场气象、海况及主要自然天气情况</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0" w:hRule="atLeast"/>
        </w:trPr>
        <w:tc>
          <w:tcPr>
            <w:tcW w:w="1705" w:type="dxa"/>
            <w:vAlign w:val="center"/>
          </w:tcPr>
          <w:p>
            <w:pPr>
              <w:jc w:val="center"/>
              <w:rPr>
                <w:color w:val="000000"/>
                <w:sz w:val="22"/>
              </w:rPr>
            </w:pPr>
            <w:r>
              <w:rPr>
                <w:color w:val="000000"/>
                <w:sz w:val="22"/>
              </w:rPr>
              <w:t>信息报送情况</w:t>
            </w:r>
          </w:p>
        </w:tc>
        <w:tc>
          <w:tcPr>
            <w:tcW w:w="6823" w:type="dxa"/>
            <w:gridSpan w:val="6"/>
          </w:tcPr>
          <w:p>
            <w:pPr>
              <w:rPr>
                <w:color w:val="000000"/>
                <w:sz w:val="22"/>
              </w:rPr>
            </w:pPr>
            <w:r>
              <w:rPr>
                <w:color w:val="000000"/>
                <w:sz w:val="22"/>
              </w:rPr>
              <w:t>□本企业领导：</w:t>
            </w:r>
          </w:p>
          <w:p>
            <w:pPr>
              <w:rPr>
                <w:color w:val="000000"/>
                <w:sz w:val="22"/>
              </w:rPr>
            </w:pPr>
            <w:r>
              <w:rPr>
                <w:color w:val="000000"/>
                <w:sz w:val="22"/>
              </w:rPr>
              <w:t>□本企业有关部门：</w:t>
            </w:r>
          </w:p>
          <w:p>
            <w:pPr>
              <w:rPr>
                <w:color w:val="000000"/>
                <w:sz w:val="22"/>
              </w:rPr>
            </w:pPr>
            <w:r>
              <w:rPr>
                <w:color w:val="000000"/>
                <w:sz w:val="22"/>
              </w:rPr>
              <w:t>□上级部门：</w:t>
            </w:r>
          </w:p>
          <w:p>
            <w:pPr>
              <w:rPr>
                <w:color w:val="000000"/>
                <w:sz w:val="22"/>
              </w:rPr>
            </w:pPr>
            <w:r>
              <w:rPr>
                <w:color w:val="000000"/>
                <w:sz w:val="22"/>
              </w:rPr>
              <w:t>□政府部门：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5" w:hRule="atLeast"/>
        </w:trPr>
        <w:tc>
          <w:tcPr>
            <w:tcW w:w="1705" w:type="dxa"/>
            <w:vAlign w:val="center"/>
          </w:tcPr>
          <w:p>
            <w:pPr>
              <w:jc w:val="center"/>
              <w:rPr>
                <w:color w:val="000000"/>
                <w:sz w:val="22"/>
              </w:rPr>
            </w:pPr>
            <w:r>
              <w:rPr>
                <w:color w:val="000000"/>
                <w:sz w:val="22"/>
              </w:rPr>
              <w:t>此报告信息</w:t>
            </w:r>
          </w:p>
          <w:p>
            <w:pPr>
              <w:jc w:val="center"/>
              <w:rPr>
                <w:color w:val="000000"/>
                <w:sz w:val="22"/>
              </w:rPr>
            </w:pPr>
            <w:r>
              <w:rPr>
                <w:color w:val="000000"/>
                <w:sz w:val="22"/>
              </w:rPr>
              <w:t>接收人</w:t>
            </w:r>
          </w:p>
        </w:tc>
        <w:tc>
          <w:tcPr>
            <w:tcW w:w="3023" w:type="dxa"/>
            <w:gridSpan w:val="2"/>
          </w:tcPr>
          <w:p>
            <w:pPr>
              <w:rPr>
                <w:color w:val="000000"/>
                <w:sz w:val="22"/>
              </w:rPr>
            </w:pPr>
          </w:p>
        </w:tc>
        <w:tc>
          <w:tcPr>
            <w:tcW w:w="1470" w:type="dxa"/>
            <w:gridSpan w:val="2"/>
            <w:vAlign w:val="center"/>
          </w:tcPr>
          <w:p>
            <w:pPr>
              <w:jc w:val="center"/>
              <w:rPr>
                <w:color w:val="000000"/>
                <w:sz w:val="22"/>
              </w:rPr>
            </w:pPr>
            <w:r>
              <w:rPr>
                <w:color w:val="000000"/>
                <w:sz w:val="22"/>
              </w:rPr>
              <w:t>接受时间</w:t>
            </w:r>
          </w:p>
        </w:tc>
        <w:tc>
          <w:tcPr>
            <w:tcW w:w="2330" w:type="dxa"/>
            <w:gridSpan w:val="2"/>
            <w:vAlign w:val="center"/>
          </w:tcPr>
          <w:p>
            <w:pPr>
              <w:ind w:firstLine="893" w:firstLineChars="400"/>
              <w:rPr>
                <w:color w:val="000000"/>
                <w:sz w:val="22"/>
              </w:rPr>
            </w:pPr>
            <w:r>
              <w:rPr>
                <w:color w:val="000000"/>
                <w:sz w:val="22"/>
              </w:rPr>
              <w:t>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1705" w:type="dxa"/>
            <w:vAlign w:val="center"/>
          </w:tcPr>
          <w:p>
            <w:pPr>
              <w:jc w:val="center"/>
              <w:rPr>
                <w:color w:val="000000"/>
                <w:sz w:val="22"/>
              </w:rPr>
            </w:pPr>
            <w:r>
              <w:rPr>
                <w:color w:val="000000"/>
                <w:sz w:val="22"/>
              </w:rPr>
              <w:t>备注</w:t>
            </w:r>
          </w:p>
        </w:tc>
        <w:tc>
          <w:tcPr>
            <w:tcW w:w="6823" w:type="dxa"/>
            <w:gridSpan w:val="6"/>
          </w:tcPr>
          <w:p>
            <w:pPr>
              <w:rPr>
                <w:color w:val="000000"/>
                <w:sz w:val="22"/>
              </w:rPr>
            </w:pPr>
          </w:p>
        </w:tc>
      </w:tr>
    </w:tbl>
    <w:p>
      <w:pPr>
        <w:rPr>
          <w:color w:val="000000"/>
          <w:sz w:val="24"/>
        </w:rPr>
      </w:pPr>
      <w:r>
        <w:rPr>
          <w:color w:val="000000"/>
          <w:sz w:val="24"/>
        </w:rPr>
        <w:t>注：此报告单可以作为快报。</w:t>
      </w:r>
    </w:p>
    <w:p>
      <w:pPr>
        <w:rPr>
          <w:color w:val="000000"/>
          <w:sz w:val="24"/>
        </w:rPr>
      </w:pPr>
    </w:p>
    <w:p>
      <w:pPr>
        <w:spacing w:line="460" w:lineRule="exact"/>
        <w:jc w:val="left"/>
        <w:rPr>
          <w:b/>
          <w:color w:val="000000"/>
          <w:sz w:val="24"/>
        </w:rPr>
      </w:pPr>
      <w:r>
        <w:rPr>
          <w:color w:val="000000"/>
          <w:sz w:val="26"/>
          <w:szCs w:val="26"/>
        </w:rPr>
        <w:t>附件</w:t>
      </w:r>
      <w:r>
        <w:rPr>
          <w:rFonts w:hint="eastAsia"/>
          <w:color w:val="000000"/>
          <w:sz w:val="26"/>
          <w:szCs w:val="26"/>
        </w:rPr>
        <w:t xml:space="preserve"> </w:t>
      </w:r>
      <w:r>
        <w:rPr>
          <w:color w:val="000000"/>
          <w:sz w:val="26"/>
          <w:szCs w:val="26"/>
        </w:rPr>
        <w:t>应急预案启动令（格式）</w:t>
      </w:r>
    </w:p>
    <w:p>
      <w:pPr>
        <w:pStyle w:val="120"/>
        <w:ind w:firstLine="486"/>
        <w:jc w:val="center"/>
      </w:pPr>
      <w:r>
        <w:t>应急预案启动令（格式）</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（包括信息来源、事件现状、宣布事项） </w:t>
            </w:r>
          </w:p>
          <w:p>
            <w:pPr>
              <w:spacing w:before="156" w:after="156"/>
              <w:rPr>
                <w:color w:val="000000"/>
                <w:sz w:val="22"/>
              </w:rPr>
            </w:pPr>
          </w:p>
          <w:p>
            <w:pPr>
              <w:spacing w:before="156" w:after="156"/>
              <w:rPr>
                <w:color w:val="000000"/>
                <w:sz w:val="22"/>
              </w:rPr>
            </w:pPr>
            <w:r>
              <w:rPr>
                <w:color w:val="000000"/>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5"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p>
            <w:pPr>
              <w:spacing w:before="156" w:after="156"/>
              <w:rPr>
                <w:color w:val="000000"/>
                <w:sz w:val="22"/>
              </w:rPr>
            </w:pPr>
          </w:p>
        </w:tc>
      </w:tr>
    </w:tbl>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应急状态终止令（格式）</w:t>
      </w:r>
    </w:p>
    <w:p>
      <w:pPr>
        <w:rPr>
          <w:b/>
          <w:color w:val="000000"/>
          <w:sz w:val="24"/>
        </w:rPr>
      </w:pPr>
    </w:p>
    <w:p>
      <w:pPr>
        <w:pStyle w:val="120"/>
        <w:ind w:firstLine="486"/>
        <w:jc w:val="center"/>
      </w:pPr>
      <w:r>
        <w:t>应急状态终止令（格式）</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3" w:hRule="atLeast"/>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（宣布事件应急救援工作基本结束，现场基本恢复，现场指挥部（小组）撤销，相关部门认真做好善后恢复工作。） </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9"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tc>
      </w:tr>
    </w:tbl>
    <w:p>
      <w:pPr>
        <w:rPr>
          <w:color w:val="000000"/>
          <w:sz w:val="26"/>
          <w:szCs w:val="26"/>
        </w:rPr>
      </w:pPr>
      <w:r>
        <w:rPr>
          <w:color w:val="000000"/>
          <w:sz w:val="26"/>
          <w:szCs w:val="26"/>
        </w:rPr>
        <w:t>附件5  应急预案变更记录表</w:t>
      </w:r>
    </w:p>
    <w:p>
      <w:pPr>
        <w:pStyle w:val="120"/>
        <w:ind w:firstLine="486"/>
        <w:jc w:val="center"/>
      </w:pPr>
      <w:r>
        <w:t>应急预案变更记录表</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2" w:hRule="atLeast"/>
          <w:jc w:val="center"/>
        </w:trPr>
        <w:tc>
          <w:tcPr>
            <w:tcW w:w="8272" w:type="dxa"/>
          </w:tcPr>
          <w:p>
            <w:pPr>
              <w:spacing w:before="156" w:after="156"/>
              <w:rPr>
                <w:color w:val="000000"/>
                <w:sz w:val="22"/>
              </w:rPr>
            </w:pPr>
            <w:r>
              <w:rPr>
                <w:color w:val="000000"/>
                <w:sz w:val="22"/>
              </w:rPr>
              <w:t>变更原因、依据、时间：</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0" w:hRule="atLeast"/>
          <w:jc w:val="center"/>
        </w:trPr>
        <w:tc>
          <w:tcPr>
            <w:tcW w:w="8272" w:type="dxa"/>
          </w:tcPr>
          <w:p>
            <w:pPr>
              <w:spacing w:before="156" w:after="156"/>
              <w:rPr>
                <w:color w:val="000000"/>
                <w:sz w:val="22"/>
              </w:rPr>
            </w:pPr>
            <w:r>
              <w:rPr>
                <w:color w:val="000000"/>
                <w:sz w:val="22"/>
              </w:rPr>
              <w:t>变更内容（可附页）：</w:t>
            </w:r>
          </w:p>
          <w:p>
            <w:pPr>
              <w:spacing w:before="156" w:after="156"/>
              <w:rPr>
                <w:color w:val="000000"/>
                <w:sz w:val="22"/>
              </w:rPr>
            </w:pP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1" w:hRule="atLeast"/>
          <w:jc w:val="center"/>
        </w:trPr>
        <w:tc>
          <w:tcPr>
            <w:tcW w:w="8272" w:type="dxa"/>
          </w:tcPr>
          <w:p>
            <w:pPr>
              <w:spacing w:before="156" w:after="156"/>
              <w:rPr>
                <w:color w:val="000000"/>
                <w:sz w:val="22"/>
              </w:rPr>
            </w:pPr>
            <w:r>
              <w:rPr>
                <w:color w:val="000000"/>
                <w:sz w:val="22"/>
              </w:rPr>
              <w:t>申报单位：</w:t>
            </w: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1" w:hRule="atLeast"/>
          <w:jc w:val="center"/>
        </w:trPr>
        <w:tc>
          <w:tcPr>
            <w:tcW w:w="8272" w:type="dxa"/>
          </w:tcPr>
          <w:p>
            <w:pPr>
              <w:spacing w:before="156" w:after="156"/>
              <w:rPr>
                <w:color w:val="000000"/>
                <w:sz w:val="22"/>
              </w:rPr>
            </w:pPr>
            <w:r>
              <w:rPr>
                <w:color w:val="000000"/>
                <w:sz w:val="22"/>
              </w:rPr>
              <w:t>相关方获知情况：</w:t>
            </w:r>
          </w:p>
          <w:p>
            <w:pPr>
              <w:spacing w:before="156" w:after="156"/>
              <w:rPr>
                <w:color w:val="000000"/>
                <w:sz w:val="22"/>
              </w:rPr>
            </w:pPr>
          </w:p>
        </w:tc>
      </w:tr>
      <w:bookmarkEnd w:id="851"/>
      <w:bookmarkEnd w:id="852"/>
    </w:tbl>
    <w:p>
      <w:pPr>
        <w:tabs>
          <w:tab w:val="left" w:pos="4620"/>
        </w:tabs>
        <w:rPr>
          <w:rFonts w:asciiTheme="minorEastAsia" w:hAnsiTheme="minorEastAsia" w:eastAsiaTheme="minorEastAsia"/>
          <w:szCs w:val="21"/>
        </w:rPr>
      </w:pPr>
    </w:p>
    <w:sectPr>
      <w:pgSz w:w="11906" w:h="16838"/>
      <w:pgMar w:top="1440" w:right="1797" w:bottom="1440" w:left="1797" w:header="680" w:footer="624" w:gutter="0"/>
      <w:cols w:space="720" w:num="1"/>
      <w:docGrid w:type="linesAndChars" w:linePitch="312"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Palatino Linotype">
    <w:panose1 w:val="02040502050505030304"/>
    <w:charset w:val="00"/>
    <w:family w:val="roman"/>
    <w:pitch w:val="default"/>
    <w:sig w:usb0="E0000387" w:usb1="40000013" w:usb2="00000000" w:usb3="00000000" w:csb0="2000019F" w:csb1="00000000"/>
  </w:font>
  <w:font w:name="Sylfaen">
    <w:altName w:val="Courier New"/>
    <w:panose1 w:val="010A0502050306030303"/>
    <w:charset w:val="00"/>
    <w:family w:val="roman"/>
    <w:pitch w:val="default"/>
    <w:sig w:usb0="00000000" w:usb1="00000000" w:usb2="00000000" w:usb3="00000000" w:csb0="0000009F" w:csb1="00000000"/>
  </w:font>
  <w:font w:name="MingLiU">
    <w:panose1 w:val="02020309000000000000"/>
    <w:charset w:val="88"/>
    <w:family w:val="modern"/>
    <w:pitch w:val="default"/>
    <w:sig w:usb0="00000003" w:usb1="082E0000" w:usb2="00000016" w:usb3="00000000" w:csb0="00100001" w:csb1="00000000"/>
  </w:font>
  <w:font w:name="Tahoma">
    <w:panose1 w:val="020B0604030504040204"/>
    <w:charset w:val="00"/>
    <w:family w:val="swiss"/>
    <w:pitch w:val="default"/>
    <w:sig w:usb0="61007A87" w:usb1="80000000" w:usb2="00000008" w:usb3="00000000" w:csb0="200101FF" w:csb1="20280000"/>
  </w:font>
  <w:font w:name="??">
    <w:altName w:val="Times New Roman"/>
    <w:panose1 w:val="00000000000000000000"/>
    <w:charset w:val="00"/>
    <w:family w:val="roman"/>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00000287" w:usb1="00000000" w:usb2="00000000" w:usb3="00000000" w:csb0="2000019F" w:csb1="00000000"/>
  </w:font>
  <w:font w:name="Trebuchet MS">
    <w:panose1 w:val="020B0603020202020204"/>
    <w:charset w:val="00"/>
    <w:family w:val="swiss"/>
    <w:pitch w:val="default"/>
    <w:sig w:usb0="00000287" w:usb1="00000000" w:usb2="00000000" w:usb3="00000000" w:csb0="2000009F" w:csb1="00000000"/>
  </w:font>
  <w:font w:name="Vrinda">
    <w:altName w:val="Century Gothic"/>
    <w:panose1 w:val="020B0502040204020203"/>
    <w:charset w:val="00"/>
    <w:family w:val="swiss"/>
    <w:pitch w:val="default"/>
    <w:sig w:usb0="00000000" w:usb1="00000000" w:usb2="00000000" w:usb3="00000000" w:csb0="00000001" w:csb1="00000000"/>
  </w:font>
  <w:font w:name="Helv">
    <w:altName w:val="Microsoft Sans Serif"/>
    <w:panose1 w:val="020B0604020202030204"/>
    <w:charset w:val="00"/>
    <w:family w:val="swiss"/>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华文仿宋">
    <w:altName w:val="仿宋_GB2312"/>
    <w:panose1 w:val="00000000000000000000"/>
    <w:charset w:val="86"/>
    <w:family w:val="auto"/>
    <w:pitch w:val="default"/>
    <w:sig w:usb0="00000000" w:usb1="00000000" w:usb2="00000010" w:usb3="00000000" w:csb0="0004009F" w:csb1="00000000"/>
  </w:font>
  <w:font w:name="方正小标宋简体">
    <w:altName w:val="宋体"/>
    <w:panose1 w:val="00000000000000000000"/>
    <w:charset w:val="86"/>
    <w:family w:val="script"/>
    <w:pitch w:val="default"/>
    <w:sig w:usb0="00000000" w:usb1="00000000" w:usb2="00000010" w:usb3="00000000" w:csb0="00040000" w:csb1="00000000"/>
  </w:font>
  <w:font w:name="仿宋">
    <w:altName w:val="新宋体"/>
    <w:panose1 w:val="02010609060101010101"/>
    <w:charset w:val="86"/>
    <w:family w:val="modern"/>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altName w:val="楷体_GB2312"/>
    <w:panose1 w:val="02010609060101010101"/>
    <w:charset w:val="86"/>
    <w:family w:val="modern"/>
    <w:pitch w:val="default"/>
    <w:sig w:usb0="00000000" w:usb1="00000000" w:usb2="00000016" w:usb3="00000000" w:csb0="00040001" w:csb1="00000000"/>
  </w:font>
  <w:font w:name="Century Gothic">
    <w:panose1 w:val="020B0502020202020204"/>
    <w:charset w:val="00"/>
    <w:family w:val="auto"/>
    <w:pitch w:val="default"/>
    <w:sig w:usb0="00000287" w:usb1="00000000" w:usb2="00000000" w:usb3="00000000" w:csb0="2000009F" w:csb1="DFD70000"/>
  </w:font>
  <w:font w:name="Microsoft Sans Serif">
    <w:panose1 w:val="020B0604020202020204"/>
    <w:charset w:val="00"/>
    <w:family w:val="auto"/>
    <w:pitch w:val="default"/>
    <w:sig w:usb0="61007BDF" w:usb1="80000000" w:usb2="00000008" w:usb3="00000000" w:csb0="200101FF" w:csb1="20280000"/>
  </w:font>
  <w:font w:name="新宋体">
    <w:panose1 w:val="02010609030101010101"/>
    <w:charset w:val="86"/>
    <w:family w:val="auto"/>
    <w:pitch w:val="default"/>
    <w:sig w:usb0="00000003" w:usb1="080E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Vrinda">
    <w:altName w:val="Courier New"/>
    <w:panose1 w:val="00000400000000000000"/>
    <w:charset w:val="01"/>
    <w:family w:val="roman"/>
    <w:pitch w:val="default"/>
    <w:sig w:usb0="00000000" w:usb1="00000000" w:usb2="00000000" w:usb3="00000000" w:csb0="00000000" w:csb1="00000000"/>
  </w:font>
  <w:font w:name="Candara">
    <w:panose1 w:val="020E0502030303020204"/>
    <w:charset w:val="00"/>
    <w:family w:val="swiss"/>
    <w:pitch w:val="default"/>
    <w:sig w:usb0="A00002EF" w:usb1="4000204B" w:usb2="00000000" w:usb3="00000000" w:csb0="2000009F" w:csb1="00000000"/>
  </w:font>
  <w:font w:name="Bookman Old Style">
    <w:panose1 w:val="02050604050505020204"/>
    <w:charset w:val="00"/>
    <w:family w:val="roman"/>
    <w:pitch w:val="default"/>
    <w:sig w:usb0="00000287" w:usb1="00000000" w:usb2="00000000" w:usb3="00000000" w:csb0="2000009F" w:csb1="DFD70000"/>
  </w:font>
  <w:font w:name="Georgia">
    <w:panose1 w:val="02040502050405020303"/>
    <w:charset w:val="00"/>
    <w:family w:val="roman"/>
    <w:pitch w:val="default"/>
    <w:sig w:usb0="00000287" w:usb1="00000000" w:usb2="00000000" w:usb3="00000000" w:csb0="2000009F" w:csb1="00000000"/>
  </w:font>
  <w:font w:name="FrankRuehl">
    <w:altName w:val="Courier New"/>
    <w:panose1 w:val="00000000000000000000"/>
    <w:charset w:val="B1"/>
    <w:family w:val="swiss"/>
    <w:pitch w:val="default"/>
    <w:sig w:usb0="00000000" w:usb1="00000000" w:usb2="00000000" w:usb3="00000000" w:csb0="00000020" w:csb1="00000000"/>
  </w:font>
  <w:font w:name="Franklin Gothic Heavy">
    <w:altName w:val="Courier New"/>
    <w:panose1 w:val="00000000000000000000"/>
    <w:charset w:val="00"/>
    <w:family w:val="swiss"/>
    <w:pitch w:val="default"/>
    <w:sig w:usb0="00000000" w:usb1="00000000" w:usb2="00000000" w:usb3="00000000" w:csb0="0000009F" w:csb1="00000000"/>
  </w:font>
  <w:font w:name="Consolas">
    <w:panose1 w:val="020B0609020204030204"/>
    <w:charset w:val="00"/>
    <w:family w:val="modern"/>
    <w:pitch w:val="default"/>
    <w:sig w:usb0="A00002EF" w:usb1="4000204B" w:usb2="00000000" w:usb3="00000000" w:csb0="2000009F" w:csb1="00000000"/>
  </w:font>
  <w:font w:name="Impact">
    <w:panose1 w:val="020B0806030902050204"/>
    <w:charset w:val="00"/>
    <w:family w:val="swiss"/>
    <w:pitch w:val="default"/>
    <w:sig w:usb0="00000287" w:usb1="00000000" w:usb2="00000000" w:usb3="00000000" w:csb0="2000009F" w:csb1="DFD70000"/>
  </w:font>
  <w:font w:name="仿宋体">
    <w:altName w:val="仿宋_GB2312"/>
    <w:panose1 w:val="00000000000000000000"/>
    <w:charset w:val="86"/>
    <w:family w:val="roman"/>
    <w:pitch w:val="default"/>
    <w:sig w:usb0="00000000" w:usb1="00000000" w:usb2="00000010" w:usb3="00000000" w:csb0="00040000" w:csb1="00000000"/>
  </w:font>
  <w:font w:name="MingLiU_HKSCS">
    <w:altName w:val="MingLiU"/>
    <w:panose1 w:val="00000000000000000000"/>
    <w:charset w:val="88"/>
    <w:family w:val="roman"/>
    <w:pitch w:val="default"/>
    <w:sig w:usb0="00000000" w:usb1="00000000" w:usb2="00000016" w:usb3="00000000" w:csb0="00100001" w:csb1="00000000"/>
  </w:font>
  <w:font w:name="Mincho">
    <w:altName w:val="MS UI Gothic"/>
    <w:panose1 w:val="02020609040305080305"/>
    <w:charset w:val="80"/>
    <w:family w:val="roman"/>
    <w:pitch w:val="default"/>
    <w:sig w:usb0="00000000" w:usb1="00000000" w:usb2="00000010" w:usb3="00000000" w:csb0="00020000" w:csb1="00000000"/>
  </w:font>
  <w:font w:name="MS UI Gothic">
    <w:panose1 w:val="020B0600070205080204"/>
    <w:charset w:val="80"/>
    <w:family w:val="auto"/>
    <w:pitch w:val="default"/>
    <w:sig w:usb0="A00002BF" w:usb1="68C7FCFB" w:usb2="00000010" w:usb3="00000000" w:csb0="4002009F" w:csb1="DFD70000"/>
  </w:font>
  <w:font w:name="MingLiUfalt">
    <w:altName w:val="MingLiU"/>
    <w:panose1 w:val="00000000000000000000"/>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2052" o:spid="_x0000_s2052" o:spt="202" type="#_x0000_t202" style="position:absolute;left:0pt;margin-top:0pt;height:10.35pt;width:4.55pt;mso-position-horizontal:center;mso-position-horizontal-relative:margin;mso-wrap-style:none;z-index:251658240;mso-width-relative:page;mso-height-relative:page;" filled="f" stroked="f" coordsize="21600,21600">
          <v:path/>
          <v:fill on="f" focussize="0,0"/>
          <v:stroke on="f" weight="1.2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27</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宋体" w:cs="宋体"/>
      </w:rPr>
    </w:pPr>
    <w:r>
      <w:rPr>
        <w:rFonts w:hint="eastAsia" w:ascii="宋体" w:cs="宋体"/>
        <w:bCs/>
        <w:spacing w:val="-20"/>
        <w:lang w:val="zh-CN"/>
      </w:rPr>
      <w:t>重庆市涪陵区拓源污水治理有限公司</w:t>
    </w:r>
    <w:r>
      <w:rPr>
        <w:rFonts w:hint="eastAsia" w:ascii="宋体" w:hAnsi="宋体"/>
      </w:rPr>
      <w:t>清溪园区污水处理厂</w:t>
    </w:r>
    <w:r>
      <w:rPr>
        <w:rFonts w:hint="eastAsia" w:ascii="宋体" w:hAnsi="宋体" w:cs="宋体"/>
      </w:rPr>
      <w:t>突发环境事件应急预案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FA94D"/>
    <w:multiLevelType w:val="multilevel"/>
    <w:tmpl w:val="548FA94D"/>
    <w:lvl w:ilvl="0" w:tentative="0">
      <w:start w:val="1"/>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1">
    <w:nsid w:val="548FADCF"/>
    <w:multiLevelType w:val="multilevel"/>
    <w:tmpl w:val="548FADCF"/>
    <w:lvl w:ilvl="0" w:tentative="0">
      <w:start w:val="6"/>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2">
    <w:nsid w:val="5493CA0C"/>
    <w:multiLevelType w:val="multilevel"/>
    <w:tmpl w:val="5493CA0C"/>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bordersDoNotSurroundHeader w:val="1"/>
  <w:bordersDoNotSurroundFooter w:val="1"/>
  <w:documentProtection w:enforcement="0"/>
  <w:defaultTabStop w:val="420"/>
  <w:drawingGridHorizontalSpacing w:val="107"/>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835"/>
    <w:rsid w:val="0000255F"/>
    <w:rsid w:val="0000276B"/>
    <w:rsid w:val="00007CAE"/>
    <w:rsid w:val="0001003E"/>
    <w:rsid w:val="000114A3"/>
    <w:rsid w:val="00011AE5"/>
    <w:rsid w:val="00011B99"/>
    <w:rsid w:val="00014B9E"/>
    <w:rsid w:val="00015B7B"/>
    <w:rsid w:val="0002417E"/>
    <w:rsid w:val="00024CBE"/>
    <w:rsid w:val="000308FB"/>
    <w:rsid w:val="00034DDF"/>
    <w:rsid w:val="00036C12"/>
    <w:rsid w:val="00047E99"/>
    <w:rsid w:val="00052FFA"/>
    <w:rsid w:val="00056075"/>
    <w:rsid w:val="00056944"/>
    <w:rsid w:val="00061D24"/>
    <w:rsid w:val="000631C1"/>
    <w:rsid w:val="00064120"/>
    <w:rsid w:val="000668BF"/>
    <w:rsid w:val="000677FD"/>
    <w:rsid w:val="00070019"/>
    <w:rsid w:val="00071E0B"/>
    <w:rsid w:val="0007620D"/>
    <w:rsid w:val="00076299"/>
    <w:rsid w:val="00094FF1"/>
    <w:rsid w:val="000B05F7"/>
    <w:rsid w:val="000B0BA4"/>
    <w:rsid w:val="000B61FC"/>
    <w:rsid w:val="000C6CD0"/>
    <w:rsid w:val="000D14D8"/>
    <w:rsid w:val="000D2388"/>
    <w:rsid w:val="000D4373"/>
    <w:rsid w:val="000E4B80"/>
    <w:rsid w:val="000E5587"/>
    <w:rsid w:val="000E559A"/>
    <w:rsid w:val="000F0F3C"/>
    <w:rsid w:val="000F74E7"/>
    <w:rsid w:val="0010209C"/>
    <w:rsid w:val="00103484"/>
    <w:rsid w:val="0010641D"/>
    <w:rsid w:val="00113BE0"/>
    <w:rsid w:val="0011425A"/>
    <w:rsid w:val="001143A8"/>
    <w:rsid w:val="00116A23"/>
    <w:rsid w:val="00117278"/>
    <w:rsid w:val="00122C30"/>
    <w:rsid w:val="001250A9"/>
    <w:rsid w:val="00127E60"/>
    <w:rsid w:val="00130CE8"/>
    <w:rsid w:val="00136421"/>
    <w:rsid w:val="0013796C"/>
    <w:rsid w:val="00141BAF"/>
    <w:rsid w:val="00152A2A"/>
    <w:rsid w:val="00153AE3"/>
    <w:rsid w:val="001575DE"/>
    <w:rsid w:val="00157B2C"/>
    <w:rsid w:val="001621FA"/>
    <w:rsid w:val="00162EE8"/>
    <w:rsid w:val="001637DB"/>
    <w:rsid w:val="00166975"/>
    <w:rsid w:val="00172A27"/>
    <w:rsid w:val="00174155"/>
    <w:rsid w:val="00190466"/>
    <w:rsid w:val="001909F5"/>
    <w:rsid w:val="00193893"/>
    <w:rsid w:val="00193F12"/>
    <w:rsid w:val="001A0DCD"/>
    <w:rsid w:val="001A5D74"/>
    <w:rsid w:val="001B1755"/>
    <w:rsid w:val="001B1CEE"/>
    <w:rsid w:val="001B2267"/>
    <w:rsid w:val="001B2A38"/>
    <w:rsid w:val="001B44A1"/>
    <w:rsid w:val="001B55EA"/>
    <w:rsid w:val="001C2C3D"/>
    <w:rsid w:val="001E0ED2"/>
    <w:rsid w:val="001E5B00"/>
    <w:rsid w:val="001E6C0D"/>
    <w:rsid w:val="001E7281"/>
    <w:rsid w:val="001F3F96"/>
    <w:rsid w:val="001F4256"/>
    <w:rsid w:val="001F6462"/>
    <w:rsid w:val="00201BE8"/>
    <w:rsid w:val="00202C20"/>
    <w:rsid w:val="0020385E"/>
    <w:rsid w:val="00206690"/>
    <w:rsid w:val="00206835"/>
    <w:rsid w:val="00211BA7"/>
    <w:rsid w:val="00214DB3"/>
    <w:rsid w:val="00216880"/>
    <w:rsid w:val="00217504"/>
    <w:rsid w:val="00236E2E"/>
    <w:rsid w:val="00243054"/>
    <w:rsid w:val="00245A2B"/>
    <w:rsid w:val="00245D4A"/>
    <w:rsid w:val="00250860"/>
    <w:rsid w:val="00250BC6"/>
    <w:rsid w:val="00250D2E"/>
    <w:rsid w:val="00253106"/>
    <w:rsid w:val="00255A45"/>
    <w:rsid w:val="002623B5"/>
    <w:rsid w:val="00263EF0"/>
    <w:rsid w:val="002651D5"/>
    <w:rsid w:val="00265ABA"/>
    <w:rsid w:val="002675E4"/>
    <w:rsid w:val="002710FB"/>
    <w:rsid w:val="0027776E"/>
    <w:rsid w:val="00284364"/>
    <w:rsid w:val="00285452"/>
    <w:rsid w:val="00286492"/>
    <w:rsid w:val="00286642"/>
    <w:rsid w:val="002870C4"/>
    <w:rsid w:val="00287281"/>
    <w:rsid w:val="002910C3"/>
    <w:rsid w:val="00294851"/>
    <w:rsid w:val="00295C54"/>
    <w:rsid w:val="00296B12"/>
    <w:rsid w:val="002B0EB0"/>
    <w:rsid w:val="002B16C7"/>
    <w:rsid w:val="002B4697"/>
    <w:rsid w:val="002B5543"/>
    <w:rsid w:val="002B7280"/>
    <w:rsid w:val="002B7A40"/>
    <w:rsid w:val="002C1A4D"/>
    <w:rsid w:val="002C1A62"/>
    <w:rsid w:val="002C327B"/>
    <w:rsid w:val="002C4C2B"/>
    <w:rsid w:val="002C4F9D"/>
    <w:rsid w:val="002C78F5"/>
    <w:rsid w:val="002D1775"/>
    <w:rsid w:val="002E0F4D"/>
    <w:rsid w:val="002E5E62"/>
    <w:rsid w:val="00301AC2"/>
    <w:rsid w:val="003020A2"/>
    <w:rsid w:val="00310C2E"/>
    <w:rsid w:val="00315D68"/>
    <w:rsid w:val="00316432"/>
    <w:rsid w:val="003175AA"/>
    <w:rsid w:val="00322D65"/>
    <w:rsid w:val="00325205"/>
    <w:rsid w:val="003265B9"/>
    <w:rsid w:val="00326BEB"/>
    <w:rsid w:val="00333AAC"/>
    <w:rsid w:val="003414FF"/>
    <w:rsid w:val="0034253F"/>
    <w:rsid w:val="00344718"/>
    <w:rsid w:val="0034644C"/>
    <w:rsid w:val="003470C7"/>
    <w:rsid w:val="00347534"/>
    <w:rsid w:val="00354A99"/>
    <w:rsid w:val="003674FA"/>
    <w:rsid w:val="00370A90"/>
    <w:rsid w:val="003731C2"/>
    <w:rsid w:val="00373F90"/>
    <w:rsid w:val="003746BB"/>
    <w:rsid w:val="00374AD2"/>
    <w:rsid w:val="003762AC"/>
    <w:rsid w:val="003842AE"/>
    <w:rsid w:val="00387F4C"/>
    <w:rsid w:val="00395222"/>
    <w:rsid w:val="003A2EDF"/>
    <w:rsid w:val="003A5E82"/>
    <w:rsid w:val="003A7A96"/>
    <w:rsid w:val="003B0B2F"/>
    <w:rsid w:val="003B4A55"/>
    <w:rsid w:val="003C03E6"/>
    <w:rsid w:val="003C08CA"/>
    <w:rsid w:val="003C2FF0"/>
    <w:rsid w:val="003C4F1C"/>
    <w:rsid w:val="003C74E8"/>
    <w:rsid w:val="003E01CC"/>
    <w:rsid w:val="003E7557"/>
    <w:rsid w:val="003F4186"/>
    <w:rsid w:val="003F4336"/>
    <w:rsid w:val="003F7FD4"/>
    <w:rsid w:val="0040786C"/>
    <w:rsid w:val="004104C9"/>
    <w:rsid w:val="00411AEE"/>
    <w:rsid w:val="00414242"/>
    <w:rsid w:val="004150AB"/>
    <w:rsid w:val="00416997"/>
    <w:rsid w:val="00423611"/>
    <w:rsid w:val="00424E6B"/>
    <w:rsid w:val="00425A0D"/>
    <w:rsid w:val="00433E07"/>
    <w:rsid w:val="00433F3B"/>
    <w:rsid w:val="00435A8D"/>
    <w:rsid w:val="004373F8"/>
    <w:rsid w:val="00440D5B"/>
    <w:rsid w:val="004436C6"/>
    <w:rsid w:val="00443EC0"/>
    <w:rsid w:val="004441D5"/>
    <w:rsid w:val="004452B3"/>
    <w:rsid w:val="00445C03"/>
    <w:rsid w:val="004575FF"/>
    <w:rsid w:val="0046076D"/>
    <w:rsid w:val="0046130C"/>
    <w:rsid w:val="004626EC"/>
    <w:rsid w:val="0046622E"/>
    <w:rsid w:val="00470D5D"/>
    <w:rsid w:val="004719E1"/>
    <w:rsid w:val="00471C6C"/>
    <w:rsid w:val="00471CF5"/>
    <w:rsid w:val="004746DE"/>
    <w:rsid w:val="00474D96"/>
    <w:rsid w:val="00474DEF"/>
    <w:rsid w:val="00475FD0"/>
    <w:rsid w:val="004768C4"/>
    <w:rsid w:val="00476C2C"/>
    <w:rsid w:val="00486E3B"/>
    <w:rsid w:val="004870E7"/>
    <w:rsid w:val="004871E0"/>
    <w:rsid w:val="004A0A89"/>
    <w:rsid w:val="004A191B"/>
    <w:rsid w:val="004A3A21"/>
    <w:rsid w:val="004A52B0"/>
    <w:rsid w:val="004A7B58"/>
    <w:rsid w:val="004C3E5D"/>
    <w:rsid w:val="004C6423"/>
    <w:rsid w:val="004D3169"/>
    <w:rsid w:val="004D7093"/>
    <w:rsid w:val="004E37D0"/>
    <w:rsid w:val="004F0CA4"/>
    <w:rsid w:val="004F1341"/>
    <w:rsid w:val="004F5475"/>
    <w:rsid w:val="004F75E4"/>
    <w:rsid w:val="00504155"/>
    <w:rsid w:val="005041B6"/>
    <w:rsid w:val="00505FC6"/>
    <w:rsid w:val="005067B2"/>
    <w:rsid w:val="005137B6"/>
    <w:rsid w:val="00513A8A"/>
    <w:rsid w:val="00516E91"/>
    <w:rsid w:val="00520525"/>
    <w:rsid w:val="00522E59"/>
    <w:rsid w:val="005267BD"/>
    <w:rsid w:val="00527512"/>
    <w:rsid w:val="005276A1"/>
    <w:rsid w:val="00531AA9"/>
    <w:rsid w:val="0053461D"/>
    <w:rsid w:val="00535F6D"/>
    <w:rsid w:val="005455AC"/>
    <w:rsid w:val="00545C39"/>
    <w:rsid w:val="00550171"/>
    <w:rsid w:val="005551D7"/>
    <w:rsid w:val="0055587F"/>
    <w:rsid w:val="0056186E"/>
    <w:rsid w:val="00564CE7"/>
    <w:rsid w:val="00571010"/>
    <w:rsid w:val="00573975"/>
    <w:rsid w:val="0057792A"/>
    <w:rsid w:val="005800A8"/>
    <w:rsid w:val="00580539"/>
    <w:rsid w:val="00580EB9"/>
    <w:rsid w:val="00580F50"/>
    <w:rsid w:val="005819AE"/>
    <w:rsid w:val="00586846"/>
    <w:rsid w:val="005957F0"/>
    <w:rsid w:val="00597E9C"/>
    <w:rsid w:val="005A07FC"/>
    <w:rsid w:val="005A4458"/>
    <w:rsid w:val="005A4DA2"/>
    <w:rsid w:val="005B43DC"/>
    <w:rsid w:val="005B6BA9"/>
    <w:rsid w:val="005C1E4C"/>
    <w:rsid w:val="005C4135"/>
    <w:rsid w:val="005C651D"/>
    <w:rsid w:val="005D3953"/>
    <w:rsid w:val="005D5126"/>
    <w:rsid w:val="005D52EB"/>
    <w:rsid w:val="005E3E32"/>
    <w:rsid w:val="005E416D"/>
    <w:rsid w:val="005E4DBB"/>
    <w:rsid w:val="005F0544"/>
    <w:rsid w:val="005F1B76"/>
    <w:rsid w:val="005F79FC"/>
    <w:rsid w:val="00600988"/>
    <w:rsid w:val="006011DF"/>
    <w:rsid w:val="00605709"/>
    <w:rsid w:val="00607443"/>
    <w:rsid w:val="00611576"/>
    <w:rsid w:val="00615D93"/>
    <w:rsid w:val="00623157"/>
    <w:rsid w:val="006239CA"/>
    <w:rsid w:val="0063448A"/>
    <w:rsid w:val="00635A41"/>
    <w:rsid w:val="006360C9"/>
    <w:rsid w:val="00642230"/>
    <w:rsid w:val="00645FDC"/>
    <w:rsid w:val="00646346"/>
    <w:rsid w:val="0065602F"/>
    <w:rsid w:val="0065605E"/>
    <w:rsid w:val="006630A3"/>
    <w:rsid w:val="00665355"/>
    <w:rsid w:val="006677EE"/>
    <w:rsid w:val="00672999"/>
    <w:rsid w:val="00680AFA"/>
    <w:rsid w:val="00683522"/>
    <w:rsid w:val="00683A60"/>
    <w:rsid w:val="006922B3"/>
    <w:rsid w:val="006925EC"/>
    <w:rsid w:val="00695567"/>
    <w:rsid w:val="00695C1A"/>
    <w:rsid w:val="006A0D32"/>
    <w:rsid w:val="006A0E2C"/>
    <w:rsid w:val="006A2139"/>
    <w:rsid w:val="006A665C"/>
    <w:rsid w:val="006A66A8"/>
    <w:rsid w:val="006B3FE9"/>
    <w:rsid w:val="006B5184"/>
    <w:rsid w:val="006B7107"/>
    <w:rsid w:val="006B7735"/>
    <w:rsid w:val="006C3022"/>
    <w:rsid w:val="006C6649"/>
    <w:rsid w:val="006C7CFC"/>
    <w:rsid w:val="006D16EB"/>
    <w:rsid w:val="006E201E"/>
    <w:rsid w:val="006E37B7"/>
    <w:rsid w:val="006E456A"/>
    <w:rsid w:val="006E6FED"/>
    <w:rsid w:val="006F1ABD"/>
    <w:rsid w:val="006F2342"/>
    <w:rsid w:val="0070314B"/>
    <w:rsid w:val="00706942"/>
    <w:rsid w:val="0070768C"/>
    <w:rsid w:val="00707DCB"/>
    <w:rsid w:val="00717BF8"/>
    <w:rsid w:val="00722708"/>
    <w:rsid w:val="00722E17"/>
    <w:rsid w:val="00724479"/>
    <w:rsid w:val="00731DF5"/>
    <w:rsid w:val="00732179"/>
    <w:rsid w:val="00732870"/>
    <w:rsid w:val="00733A64"/>
    <w:rsid w:val="00734ACE"/>
    <w:rsid w:val="00737FDA"/>
    <w:rsid w:val="0074588B"/>
    <w:rsid w:val="00745A09"/>
    <w:rsid w:val="007546C8"/>
    <w:rsid w:val="0075474F"/>
    <w:rsid w:val="007605C0"/>
    <w:rsid w:val="00760A0E"/>
    <w:rsid w:val="00764A29"/>
    <w:rsid w:val="00764B1E"/>
    <w:rsid w:val="00764FB8"/>
    <w:rsid w:val="00766B96"/>
    <w:rsid w:val="007675A8"/>
    <w:rsid w:val="007705DD"/>
    <w:rsid w:val="00770FCC"/>
    <w:rsid w:val="007748CB"/>
    <w:rsid w:val="00776B08"/>
    <w:rsid w:val="00780829"/>
    <w:rsid w:val="00785135"/>
    <w:rsid w:val="007864AA"/>
    <w:rsid w:val="00787238"/>
    <w:rsid w:val="007918CB"/>
    <w:rsid w:val="007952A5"/>
    <w:rsid w:val="007A0640"/>
    <w:rsid w:val="007A1616"/>
    <w:rsid w:val="007A3F7A"/>
    <w:rsid w:val="007B3498"/>
    <w:rsid w:val="007C29D1"/>
    <w:rsid w:val="007D12DE"/>
    <w:rsid w:val="007D33C4"/>
    <w:rsid w:val="007D49CE"/>
    <w:rsid w:val="007E138A"/>
    <w:rsid w:val="007E78B2"/>
    <w:rsid w:val="007F0769"/>
    <w:rsid w:val="007F4DE7"/>
    <w:rsid w:val="007F673E"/>
    <w:rsid w:val="0081041B"/>
    <w:rsid w:val="00813611"/>
    <w:rsid w:val="00827EA7"/>
    <w:rsid w:val="00833389"/>
    <w:rsid w:val="00833790"/>
    <w:rsid w:val="00841014"/>
    <w:rsid w:val="0084253E"/>
    <w:rsid w:val="008467F8"/>
    <w:rsid w:val="00850594"/>
    <w:rsid w:val="008557C3"/>
    <w:rsid w:val="00857989"/>
    <w:rsid w:val="00857C46"/>
    <w:rsid w:val="0086185B"/>
    <w:rsid w:val="008624D9"/>
    <w:rsid w:val="00872847"/>
    <w:rsid w:val="008809B1"/>
    <w:rsid w:val="008819F8"/>
    <w:rsid w:val="00897921"/>
    <w:rsid w:val="008B3E06"/>
    <w:rsid w:val="008B6CD6"/>
    <w:rsid w:val="008B72A1"/>
    <w:rsid w:val="008C66D8"/>
    <w:rsid w:val="008D11FC"/>
    <w:rsid w:val="008D1C99"/>
    <w:rsid w:val="008D28E7"/>
    <w:rsid w:val="008D2F66"/>
    <w:rsid w:val="008D3944"/>
    <w:rsid w:val="008D3E1F"/>
    <w:rsid w:val="008D7B4E"/>
    <w:rsid w:val="008D7B66"/>
    <w:rsid w:val="008D7D7A"/>
    <w:rsid w:val="008E09C7"/>
    <w:rsid w:val="008E114F"/>
    <w:rsid w:val="008E3592"/>
    <w:rsid w:val="008E4C2D"/>
    <w:rsid w:val="008F14CF"/>
    <w:rsid w:val="008F4DCA"/>
    <w:rsid w:val="009017C0"/>
    <w:rsid w:val="00903B9E"/>
    <w:rsid w:val="00911015"/>
    <w:rsid w:val="00912C8C"/>
    <w:rsid w:val="009157E5"/>
    <w:rsid w:val="0092009B"/>
    <w:rsid w:val="0092173F"/>
    <w:rsid w:val="00923A51"/>
    <w:rsid w:val="0093254D"/>
    <w:rsid w:val="009355CE"/>
    <w:rsid w:val="00936500"/>
    <w:rsid w:val="009435B1"/>
    <w:rsid w:val="009479B5"/>
    <w:rsid w:val="009578A5"/>
    <w:rsid w:val="009604B7"/>
    <w:rsid w:val="009627AF"/>
    <w:rsid w:val="00964974"/>
    <w:rsid w:val="00965086"/>
    <w:rsid w:val="0096657C"/>
    <w:rsid w:val="00973C37"/>
    <w:rsid w:val="00973F66"/>
    <w:rsid w:val="009756CA"/>
    <w:rsid w:val="009768E9"/>
    <w:rsid w:val="00977EEA"/>
    <w:rsid w:val="009824EC"/>
    <w:rsid w:val="00985EB4"/>
    <w:rsid w:val="0099089C"/>
    <w:rsid w:val="009934AA"/>
    <w:rsid w:val="00993AAF"/>
    <w:rsid w:val="00997B06"/>
    <w:rsid w:val="009A0587"/>
    <w:rsid w:val="009A59D2"/>
    <w:rsid w:val="009B463D"/>
    <w:rsid w:val="009B606C"/>
    <w:rsid w:val="009B7FFA"/>
    <w:rsid w:val="009C0D85"/>
    <w:rsid w:val="009C4C5D"/>
    <w:rsid w:val="009C6294"/>
    <w:rsid w:val="009C71E8"/>
    <w:rsid w:val="009E59D4"/>
    <w:rsid w:val="009F297E"/>
    <w:rsid w:val="009F2B87"/>
    <w:rsid w:val="00A034E1"/>
    <w:rsid w:val="00A0485E"/>
    <w:rsid w:val="00A04EB8"/>
    <w:rsid w:val="00A05C26"/>
    <w:rsid w:val="00A06105"/>
    <w:rsid w:val="00A12C2E"/>
    <w:rsid w:val="00A1301D"/>
    <w:rsid w:val="00A159BF"/>
    <w:rsid w:val="00A15E1D"/>
    <w:rsid w:val="00A23D81"/>
    <w:rsid w:val="00A2792B"/>
    <w:rsid w:val="00A30048"/>
    <w:rsid w:val="00A3113D"/>
    <w:rsid w:val="00A31697"/>
    <w:rsid w:val="00A31EA8"/>
    <w:rsid w:val="00A34366"/>
    <w:rsid w:val="00A41FB7"/>
    <w:rsid w:val="00A44128"/>
    <w:rsid w:val="00A44CC7"/>
    <w:rsid w:val="00A461F1"/>
    <w:rsid w:val="00A515D5"/>
    <w:rsid w:val="00A53A37"/>
    <w:rsid w:val="00A60F76"/>
    <w:rsid w:val="00A61A51"/>
    <w:rsid w:val="00A65222"/>
    <w:rsid w:val="00A65D28"/>
    <w:rsid w:val="00A717DB"/>
    <w:rsid w:val="00A7335A"/>
    <w:rsid w:val="00A76D84"/>
    <w:rsid w:val="00A813E5"/>
    <w:rsid w:val="00A8734A"/>
    <w:rsid w:val="00A876B4"/>
    <w:rsid w:val="00A906F9"/>
    <w:rsid w:val="00A91DCA"/>
    <w:rsid w:val="00A95CCD"/>
    <w:rsid w:val="00A95F4A"/>
    <w:rsid w:val="00AA13A8"/>
    <w:rsid w:val="00AA1B66"/>
    <w:rsid w:val="00AA6080"/>
    <w:rsid w:val="00AB1E1D"/>
    <w:rsid w:val="00AB2005"/>
    <w:rsid w:val="00AB22D3"/>
    <w:rsid w:val="00AB7463"/>
    <w:rsid w:val="00AC2BA6"/>
    <w:rsid w:val="00AC2FC5"/>
    <w:rsid w:val="00AC40DC"/>
    <w:rsid w:val="00AC5EE8"/>
    <w:rsid w:val="00AD3090"/>
    <w:rsid w:val="00AD4435"/>
    <w:rsid w:val="00AD741E"/>
    <w:rsid w:val="00AE56B9"/>
    <w:rsid w:val="00AE618C"/>
    <w:rsid w:val="00AF16D0"/>
    <w:rsid w:val="00AF2FF3"/>
    <w:rsid w:val="00AF4562"/>
    <w:rsid w:val="00AF5B46"/>
    <w:rsid w:val="00AF6078"/>
    <w:rsid w:val="00B0578E"/>
    <w:rsid w:val="00B100F1"/>
    <w:rsid w:val="00B10826"/>
    <w:rsid w:val="00B1113C"/>
    <w:rsid w:val="00B11C3F"/>
    <w:rsid w:val="00B12979"/>
    <w:rsid w:val="00B12B59"/>
    <w:rsid w:val="00B1465C"/>
    <w:rsid w:val="00B1496E"/>
    <w:rsid w:val="00B221CF"/>
    <w:rsid w:val="00B243EF"/>
    <w:rsid w:val="00B30383"/>
    <w:rsid w:val="00B32DA3"/>
    <w:rsid w:val="00B33101"/>
    <w:rsid w:val="00B4248E"/>
    <w:rsid w:val="00B42499"/>
    <w:rsid w:val="00B4301B"/>
    <w:rsid w:val="00B449E1"/>
    <w:rsid w:val="00B45403"/>
    <w:rsid w:val="00B5484B"/>
    <w:rsid w:val="00B55BE1"/>
    <w:rsid w:val="00B6712B"/>
    <w:rsid w:val="00B7158E"/>
    <w:rsid w:val="00B72A90"/>
    <w:rsid w:val="00B74BC6"/>
    <w:rsid w:val="00B76D9C"/>
    <w:rsid w:val="00B823E2"/>
    <w:rsid w:val="00B8278F"/>
    <w:rsid w:val="00B845A4"/>
    <w:rsid w:val="00B861E7"/>
    <w:rsid w:val="00B872BF"/>
    <w:rsid w:val="00B90DF2"/>
    <w:rsid w:val="00B911C3"/>
    <w:rsid w:val="00B95599"/>
    <w:rsid w:val="00B9717A"/>
    <w:rsid w:val="00BA08F1"/>
    <w:rsid w:val="00BA43CE"/>
    <w:rsid w:val="00BA4411"/>
    <w:rsid w:val="00BB02CC"/>
    <w:rsid w:val="00BB0834"/>
    <w:rsid w:val="00BB0CF4"/>
    <w:rsid w:val="00BC1E88"/>
    <w:rsid w:val="00BC3A0F"/>
    <w:rsid w:val="00BC44BF"/>
    <w:rsid w:val="00BC546C"/>
    <w:rsid w:val="00BD306C"/>
    <w:rsid w:val="00BF709C"/>
    <w:rsid w:val="00C023A8"/>
    <w:rsid w:val="00C028B6"/>
    <w:rsid w:val="00C0757D"/>
    <w:rsid w:val="00C076E6"/>
    <w:rsid w:val="00C07C97"/>
    <w:rsid w:val="00C12872"/>
    <w:rsid w:val="00C150AE"/>
    <w:rsid w:val="00C170AC"/>
    <w:rsid w:val="00C17BDA"/>
    <w:rsid w:val="00C21763"/>
    <w:rsid w:val="00C25940"/>
    <w:rsid w:val="00C30CEA"/>
    <w:rsid w:val="00C31FA6"/>
    <w:rsid w:val="00C32CD7"/>
    <w:rsid w:val="00C41992"/>
    <w:rsid w:val="00C431AB"/>
    <w:rsid w:val="00C50986"/>
    <w:rsid w:val="00C521F4"/>
    <w:rsid w:val="00C566D2"/>
    <w:rsid w:val="00C665F4"/>
    <w:rsid w:val="00C676CD"/>
    <w:rsid w:val="00C703FC"/>
    <w:rsid w:val="00C82020"/>
    <w:rsid w:val="00C856B5"/>
    <w:rsid w:val="00C8684B"/>
    <w:rsid w:val="00C874CB"/>
    <w:rsid w:val="00C90528"/>
    <w:rsid w:val="00C962E5"/>
    <w:rsid w:val="00CA1267"/>
    <w:rsid w:val="00CA33AC"/>
    <w:rsid w:val="00CA45F4"/>
    <w:rsid w:val="00CA476D"/>
    <w:rsid w:val="00CA4A73"/>
    <w:rsid w:val="00CA7B71"/>
    <w:rsid w:val="00CB5D43"/>
    <w:rsid w:val="00CB635D"/>
    <w:rsid w:val="00CB685A"/>
    <w:rsid w:val="00CB6A1C"/>
    <w:rsid w:val="00CC1A9C"/>
    <w:rsid w:val="00CC28AF"/>
    <w:rsid w:val="00CC3981"/>
    <w:rsid w:val="00CC5E40"/>
    <w:rsid w:val="00CD2A4F"/>
    <w:rsid w:val="00CD70E9"/>
    <w:rsid w:val="00CE0D9C"/>
    <w:rsid w:val="00CE1118"/>
    <w:rsid w:val="00CE1E50"/>
    <w:rsid w:val="00CE2B7D"/>
    <w:rsid w:val="00CE3B3A"/>
    <w:rsid w:val="00CE69CA"/>
    <w:rsid w:val="00CF0921"/>
    <w:rsid w:val="00CF5D9C"/>
    <w:rsid w:val="00CF65B1"/>
    <w:rsid w:val="00CF76AA"/>
    <w:rsid w:val="00D06D6D"/>
    <w:rsid w:val="00D10CB7"/>
    <w:rsid w:val="00D11B5E"/>
    <w:rsid w:val="00D1204B"/>
    <w:rsid w:val="00D12EC4"/>
    <w:rsid w:val="00D158C3"/>
    <w:rsid w:val="00D20306"/>
    <w:rsid w:val="00D25F20"/>
    <w:rsid w:val="00D30082"/>
    <w:rsid w:val="00D303B5"/>
    <w:rsid w:val="00D37C39"/>
    <w:rsid w:val="00D40E2B"/>
    <w:rsid w:val="00D414B4"/>
    <w:rsid w:val="00D422D6"/>
    <w:rsid w:val="00D42424"/>
    <w:rsid w:val="00D43DCC"/>
    <w:rsid w:val="00D477BD"/>
    <w:rsid w:val="00D510E6"/>
    <w:rsid w:val="00D52855"/>
    <w:rsid w:val="00D536AC"/>
    <w:rsid w:val="00D5697A"/>
    <w:rsid w:val="00D57C1D"/>
    <w:rsid w:val="00D65EBA"/>
    <w:rsid w:val="00D7063A"/>
    <w:rsid w:val="00D76E83"/>
    <w:rsid w:val="00D801A5"/>
    <w:rsid w:val="00D845BC"/>
    <w:rsid w:val="00D856F7"/>
    <w:rsid w:val="00D96561"/>
    <w:rsid w:val="00DA3AD5"/>
    <w:rsid w:val="00DA5C6D"/>
    <w:rsid w:val="00DB0F08"/>
    <w:rsid w:val="00DB139F"/>
    <w:rsid w:val="00DB3552"/>
    <w:rsid w:val="00DB3BC0"/>
    <w:rsid w:val="00DB51B3"/>
    <w:rsid w:val="00DC29FD"/>
    <w:rsid w:val="00DC4224"/>
    <w:rsid w:val="00DC5CC2"/>
    <w:rsid w:val="00DC7797"/>
    <w:rsid w:val="00DD0324"/>
    <w:rsid w:val="00DD2924"/>
    <w:rsid w:val="00DD697C"/>
    <w:rsid w:val="00DD7553"/>
    <w:rsid w:val="00DF0A4E"/>
    <w:rsid w:val="00DF1745"/>
    <w:rsid w:val="00DF5B20"/>
    <w:rsid w:val="00E01691"/>
    <w:rsid w:val="00E02044"/>
    <w:rsid w:val="00E03D3B"/>
    <w:rsid w:val="00E04BAC"/>
    <w:rsid w:val="00E11A9D"/>
    <w:rsid w:val="00E208E5"/>
    <w:rsid w:val="00E22910"/>
    <w:rsid w:val="00E23C23"/>
    <w:rsid w:val="00E271E7"/>
    <w:rsid w:val="00E325E8"/>
    <w:rsid w:val="00E37DC8"/>
    <w:rsid w:val="00E41067"/>
    <w:rsid w:val="00E42420"/>
    <w:rsid w:val="00E45633"/>
    <w:rsid w:val="00E519F2"/>
    <w:rsid w:val="00E56F25"/>
    <w:rsid w:val="00E6642F"/>
    <w:rsid w:val="00E73F80"/>
    <w:rsid w:val="00E77D5B"/>
    <w:rsid w:val="00E8126A"/>
    <w:rsid w:val="00E81E06"/>
    <w:rsid w:val="00E83D22"/>
    <w:rsid w:val="00E870DD"/>
    <w:rsid w:val="00E87288"/>
    <w:rsid w:val="00E90206"/>
    <w:rsid w:val="00E9056E"/>
    <w:rsid w:val="00E93882"/>
    <w:rsid w:val="00E97A52"/>
    <w:rsid w:val="00EA0EF1"/>
    <w:rsid w:val="00EB2D27"/>
    <w:rsid w:val="00EB33E9"/>
    <w:rsid w:val="00EB46AD"/>
    <w:rsid w:val="00EC440E"/>
    <w:rsid w:val="00ED1BE2"/>
    <w:rsid w:val="00ED5A12"/>
    <w:rsid w:val="00ED7939"/>
    <w:rsid w:val="00EE1969"/>
    <w:rsid w:val="00EE1B1A"/>
    <w:rsid w:val="00EE3CCF"/>
    <w:rsid w:val="00EE4A61"/>
    <w:rsid w:val="00EF1AE3"/>
    <w:rsid w:val="00EF263A"/>
    <w:rsid w:val="00F07654"/>
    <w:rsid w:val="00F11CFF"/>
    <w:rsid w:val="00F15AE6"/>
    <w:rsid w:val="00F170E4"/>
    <w:rsid w:val="00F2072C"/>
    <w:rsid w:val="00F21AF5"/>
    <w:rsid w:val="00F25987"/>
    <w:rsid w:val="00F25E16"/>
    <w:rsid w:val="00F273A1"/>
    <w:rsid w:val="00F32076"/>
    <w:rsid w:val="00F379F9"/>
    <w:rsid w:val="00F430DB"/>
    <w:rsid w:val="00F54B57"/>
    <w:rsid w:val="00F56BAE"/>
    <w:rsid w:val="00F615FA"/>
    <w:rsid w:val="00F66D4D"/>
    <w:rsid w:val="00F7049A"/>
    <w:rsid w:val="00F70ABA"/>
    <w:rsid w:val="00F7403F"/>
    <w:rsid w:val="00F7743D"/>
    <w:rsid w:val="00F83A0D"/>
    <w:rsid w:val="00F84B91"/>
    <w:rsid w:val="00F900AA"/>
    <w:rsid w:val="00F90FCF"/>
    <w:rsid w:val="00F9501A"/>
    <w:rsid w:val="00F9545E"/>
    <w:rsid w:val="00F97871"/>
    <w:rsid w:val="00FA361B"/>
    <w:rsid w:val="00FB07B3"/>
    <w:rsid w:val="00FC2F6F"/>
    <w:rsid w:val="00FC7E25"/>
    <w:rsid w:val="00FD794E"/>
    <w:rsid w:val="00FE0E44"/>
    <w:rsid w:val="00FF1EC0"/>
    <w:rsid w:val="00FF3E54"/>
    <w:rsid w:val="00FF54EF"/>
    <w:rsid w:val="027570B1"/>
    <w:rsid w:val="04DA5BB1"/>
    <w:rsid w:val="07A61CC5"/>
    <w:rsid w:val="08465135"/>
    <w:rsid w:val="08F4542C"/>
    <w:rsid w:val="18054319"/>
    <w:rsid w:val="18956224"/>
    <w:rsid w:val="19830F07"/>
    <w:rsid w:val="1F472B26"/>
    <w:rsid w:val="312E27C0"/>
    <w:rsid w:val="31A41A55"/>
    <w:rsid w:val="35752683"/>
    <w:rsid w:val="36660180"/>
    <w:rsid w:val="36D15B29"/>
    <w:rsid w:val="3B0F2821"/>
    <w:rsid w:val="3B7911BC"/>
    <w:rsid w:val="3C533057"/>
    <w:rsid w:val="3C757C49"/>
    <w:rsid w:val="4B28437D"/>
    <w:rsid w:val="4F223FAE"/>
    <w:rsid w:val="57D34F5B"/>
    <w:rsid w:val="5A930D2C"/>
    <w:rsid w:val="5DBC484C"/>
    <w:rsid w:val="6402245C"/>
    <w:rsid w:val="67F55427"/>
    <w:rsid w:val="6A3B5256"/>
    <w:rsid w:val="72CF71E2"/>
    <w:rsid w:val="7DFA2EA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103"/>
        <o:r id="V:Rule2" type="connector" idref="#_x0000_s1143"/>
        <o:r id="V:Rule3" type="connector" idref="#_x0000_s1146"/>
        <o:r id="V:Rule4" type="connector" idref="#_x0000_s1151"/>
        <o:r id="V:Rule5" type="connector" idref="#_x0000_s1152"/>
        <o:r id="V:Rule6" type="connector" idref="#_x0000_s1153"/>
        <o:r id="V:Rule7" type="connector" idref="#_x0000_s1157"/>
        <o:r id="V:Rule8" type="connector" idref="#_x0000_s1159"/>
        <o:r id="V:Rule9" type="connector" idref="#_x0000_s1163"/>
        <o:r id="V:Rule10" type="connector" idref="#_x0000_s1164"/>
        <o:r id="V:Rule11" type="connector" idref="#_x0000_s1165"/>
        <o:r id="V:Rule12" type="connector" idref="#_x0000_s1170"/>
        <o:r id="V:Rule13" type="connector" idref="#_x0000_s1171"/>
        <o:r id="V:Rule14" type="connector" idref="#_x0000_s1172"/>
        <o:r id="V:Rule15" type="connector" idref="#_x0000_s1177"/>
        <o:r id="V:Rule16" type="connector" idref="#_x0000_s1179"/>
        <o:r id="V:Rule17" type="connector" idref="#_x0000_s1181"/>
        <o:r id="V:Rule18" type="connector" idref="#自选图形 194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semiHidden="0"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semiHidden="0" w:name="footnote text"/>
    <w:lsdException w:uiPriority="99" w:name="annotation text" w:locked="1"/>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uiPriority="99" w:name="List 3" w:locked="1"/>
    <w:lsdException w:uiPriority="99" w:name="List 4" w:locked="1"/>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qFormat="1" w:unhideWhenUsed="0" w:uiPriority="99" w:semiHidden="0" w:name="List Continue 2"/>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0"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qFormat="1" w:unhideWhenUsed="0" w:uiPriority="99" w:semiHidden="0" w:name="HTML Typewriter"/>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2"/>
    <w:qFormat/>
    <w:uiPriority w:val="0"/>
    <w:pPr>
      <w:keepNext/>
      <w:outlineLvl w:val="0"/>
    </w:pPr>
    <w:rPr>
      <w:rFonts w:ascii="黑体"/>
      <w:sz w:val="52"/>
    </w:rPr>
  </w:style>
  <w:style w:type="paragraph" w:styleId="3">
    <w:name w:val="heading 2"/>
    <w:basedOn w:val="1"/>
    <w:next w:val="1"/>
    <w:link w:val="162"/>
    <w:qFormat/>
    <w:uiPriority w:val="99"/>
    <w:pPr>
      <w:keepNext/>
      <w:keepLines/>
      <w:spacing w:before="260" w:after="260" w:line="416" w:lineRule="auto"/>
      <w:outlineLvl w:val="1"/>
    </w:pPr>
    <w:rPr>
      <w:rFonts w:ascii="Arial" w:hAnsi="Arial" w:eastAsia="黑体"/>
      <w:b/>
      <w:sz w:val="32"/>
    </w:rPr>
  </w:style>
  <w:style w:type="paragraph" w:styleId="4">
    <w:name w:val="heading 3"/>
    <w:basedOn w:val="1"/>
    <w:next w:val="1"/>
    <w:link w:val="58"/>
    <w:qFormat/>
    <w:uiPriority w:val="99"/>
    <w:pPr>
      <w:keepNext/>
      <w:keepLines/>
      <w:spacing w:before="260" w:after="260" w:line="416" w:lineRule="auto"/>
      <w:outlineLvl w:val="2"/>
    </w:pPr>
    <w:rPr>
      <w:b/>
      <w:bCs/>
      <w:sz w:val="32"/>
      <w:szCs w:val="32"/>
    </w:rPr>
  </w:style>
  <w:style w:type="paragraph" w:styleId="5">
    <w:name w:val="heading 4"/>
    <w:basedOn w:val="1"/>
    <w:next w:val="1"/>
    <w:link w:val="59"/>
    <w:qFormat/>
    <w:uiPriority w:val="99"/>
    <w:pPr>
      <w:keepNext/>
      <w:tabs>
        <w:tab w:val="left" w:pos="629"/>
      </w:tabs>
      <w:jc w:val="center"/>
      <w:outlineLvl w:val="3"/>
    </w:pPr>
    <w:rPr>
      <w:rFonts w:ascii="宋体" w:hAnsi="宋体"/>
      <w:sz w:val="28"/>
      <w:szCs w:val="24"/>
    </w:rPr>
  </w:style>
  <w:style w:type="paragraph" w:styleId="6">
    <w:name w:val="heading 5"/>
    <w:basedOn w:val="1"/>
    <w:next w:val="1"/>
    <w:link w:val="60"/>
    <w:qFormat/>
    <w:uiPriority w:val="99"/>
    <w:pPr>
      <w:keepNext/>
      <w:tabs>
        <w:tab w:val="left" w:pos="633"/>
      </w:tabs>
      <w:ind w:left="401" w:leftChars="-5" w:hanging="412" w:hangingChars="147"/>
      <w:jc w:val="center"/>
      <w:outlineLvl w:val="4"/>
    </w:pPr>
    <w:rPr>
      <w:rFonts w:ascii="宋体" w:hAnsi="宋体" w:eastAsia="黑体"/>
      <w:sz w:val="28"/>
      <w:szCs w:val="24"/>
    </w:rPr>
  </w:style>
  <w:style w:type="paragraph" w:styleId="7">
    <w:name w:val="heading 6"/>
    <w:basedOn w:val="1"/>
    <w:next w:val="1"/>
    <w:link w:val="61"/>
    <w:qFormat/>
    <w:uiPriority w:val="99"/>
    <w:pPr>
      <w:keepNext/>
      <w:ind w:left="192" w:leftChars="91" w:firstLine="414" w:firstLineChars="148"/>
      <w:outlineLvl w:val="5"/>
    </w:pPr>
    <w:rPr>
      <w:rFonts w:ascii="宋体" w:hAnsi="宋体" w:eastAsia="黑体"/>
      <w:sz w:val="28"/>
      <w:szCs w:val="24"/>
    </w:rPr>
  </w:style>
  <w:style w:type="paragraph" w:styleId="8">
    <w:name w:val="heading 7"/>
    <w:basedOn w:val="1"/>
    <w:next w:val="9"/>
    <w:link w:val="62"/>
    <w:qFormat/>
    <w:uiPriority w:val="99"/>
    <w:pPr>
      <w:keepNext/>
      <w:keepLines/>
      <w:spacing w:before="240" w:after="64" w:line="320" w:lineRule="auto"/>
      <w:outlineLvl w:val="6"/>
    </w:pPr>
    <w:rPr>
      <w:b/>
      <w:sz w:val="24"/>
    </w:rPr>
  </w:style>
  <w:style w:type="paragraph" w:styleId="10">
    <w:name w:val="heading 8"/>
    <w:basedOn w:val="1"/>
    <w:next w:val="9"/>
    <w:link w:val="63"/>
    <w:qFormat/>
    <w:uiPriority w:val="99"/>
    <w:pPr>
      <w:keepNext/>
      <w:keepLines/>
      <w:spacing w:before="240" w:after="64" w:line="320" w:lineRule="auto"/>
      <w:outlineLvl w:val="7"/>
    </w:pPr>
    <w:rPr>
      <w:rFonts w:ascii="Arial" w:hAnsi="Arial" w:eastAsia="黑体"/>
      <w:sz w:val="24"/>
    </w:rPr>
  </w:style>
  <w:style w:type="paragraph" w:styleId="11">
    <w:name w:val="heading 9"/>
    <w:basedOn w:val="1"/>
    <w:next w:val="9"/>
    <w:link w:val="64"/>
    <w:qFormat/>
    <w:uiPriority w:val="99"/>
    <w:pPr>
      <w:keepNext/>
      <w:keepLines/>
      <w:spacing w:before="240" w:after="64" w:line="320" w:lineRule="auto"/>
      <w:outlineLvl w:val="8"/>
    </w:pPr>
    <w:rPr>
      <w:rFonts w:ascii="Arial" w:hAnsi="Arial" w:eastAsia="黑体"/>
      <w:sz w:val="24"/>
    </w:rPr>
  </w:style>
  <w:style w:type="character" w:default="1" w:styleId="47">
    <w:name w:val="Default Paragraph Font"/>
    <w:unhideWhenUsed/>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9">
    <w:name w:val="Normal Indent"/>
    <w:basedOn w:val="1"/>
    <w:qFormat/>
    <w:uiPriority w:val="99"/>
    <w:pPr>
      <w:adjustRightInd w:val="0"/>
      <w:spacing w:line="360" w:lineRule="atLeast"/>
      <w:ind w:firstLine="420"/>
      <w:jc w:val="left"/>
      <w:textAlignment w:val="baseline"/>
    </w:pPr>
    <w:rPr>
      <w:kern w:val="0"/>
      <w:sz w:val="24"/>
    </w:rPr>
  </w:style>
  <w:style w:type="paragraph" w:styleId="12">
    <w:name w:val="toc 7"/>
    <w:basedOn w:val="1"/>
    <w:next w:val="1"/>
    <w:semiHidden/>
    <w:qFormat/>
    <w:uiPriority w:val="99"/>
    <w:pPr>
      <w:ind w:left="1260"/>
      <w:jc w:val="left"/>
    </w:pPr>
    <w:rPr>
      <w:sz w:val="18"/>
      <w:szCs w:val="18"/>
    </w:rPr>
  </w:style>
  <w:style w:type="paragraph" w:styleId="13">
    <w:name w:val="Body Text First Indent"/>
    <w:basedOn w:val="14"/>
    <w:link w:val="66"/>
    <w:qFormat/>
    <w:uiPriority w:val="99"/>
    <w:pPr>
      <w:ind w:firstLine="420" w:firstLineChars="100"/>
    </w:pPr>
    <w:rPr>
      <w:szCs w:val="20"/>
    </w:rPr>
  </w:style>
  <w:style w:type="paragraph" w:styleId="14">
    <w:name w:val="Body Text"/>
    <w:basedOn w:val="1"/>
    <w:link w:val="65"/>
    <w:qFormat/>
    <w:uiPriority w:val="99"/>
    <w:pPr>
      <w:spacing w:after="120"/>
    </w:pPr>
    <w:rPr>
      <w:szCs w:val="24"/>
    </w:rPr>
  </w:style>
  <w:style w:type="paragraph" w:styleId="15">
    <w:name w:val="Note Heading"/>
    <w:basedOn w:val="1"/>
    <w:next w:val="1"/>
    <w:link w:val="67"/>
    <w:qFormat/>
    <w:uiPriority w:val="99"/>
    <w:pPr>
      <w:jc w:val="center"/>
    </w:pPr>
    <w:rPr>
      <w:rFonts w:ascii="宋体"/>
    </w:rPr>
  </w:style>
  <w:style w:type="paragraph" w:styleId="16">
    <w:name w:val="caption"/>
    <w:basedOn w:val="1"/>
    <w:next w:val="1"/>
    <w:qFormat/>
    <w:uiPriority w:val="99"/>
    <w:pPr>
      <w:jc w:val="center"/>
    </w:pPr>
    <w:rPr>
      <w:rFonts w:cs="Arial"/>
      <w:sz w:val="24"/>
    </w:rPr>
  </w:style>
  <w:style w:type="paragraph" w:styleId="17">
    <w:name w:val="Document Map"/>
    <w:basedOn w:val="1"/>
    <w:link w:val="68"/>
    <w:semiHidden/>
    <w:qFormat/>
    <w:uiPriority w:val="99"/>
    <w:pPr>
      <w:shd w:val="clear" w:color="auto" w:fill="000080"/>
    </w:pPr>
  </w:style>
  <w:style w:type="paragraph" w:styleId="18">
    <w:name w:val="Body Text 3"/>
    <w:basedOn w:val="1"/>
    <w:link w:val="69"/>
    <w:qFormat/>
    <w:uiPriority w:val="99"/>
    <w:pPr>
      <w:jc w:val="center"/>
    </w:pPr>
    <w:rPr>
      <w:rFonts w:ascii="楷体_GB2312" w:eastAsia="楷体_GB2312"/>
      <w:b/>
      <w:sz w:val="28"/>
      <w:szCs w:val="24"/>
    </w:rPr>
  </w:style>
  <w:style w:type="paragraph" w:styleId="19">
    <w:name w:val="Body Text Indent"/>
    <w:basedOn w:val="1"/>
    <w:link w:val="70"/>
    <w:qFormat/>
    <w:uiPriority w:val="99"/>
    <w:pPr>
      <w:ind w:left="360"/>
      <w:jc w:val="left"/>
    </w:pPr>
    <w:rPr>
      <w:rFonts w:ascii="宋体"/>
      <w:b/>
    </w:rPr>
  </w:style>
  <w:style w:type="paragraph" w:styleId="20">
    <w:name w:val="List 2"/>
    <w:basedOn w:val="1"/>
    <w:qFormat/>
    <w:uiPriority w:val="99"/>
    <w:pPr>
      <w:ind w:left="840" w:hanging="420"/>
    </w:pPr>
  </w:style>
  <w:style w:type="paragraph" w:styleId="21">
    <w:name w:val="toc 5"/>
    <w:basedOn w:val="1"/>
    <w:next w:val="1"/>
    <w:semiHidden/>
    <w:qFormat/>
    <w:uiPriority w:val="99"/>
    <w:pPr>
      <w:ind w:left="840"/>
      <w:jc w:val="left"/>
    </w:pPr>
    <w:rPr>
      <w:sz w:val="18"/>
      <w:szCs w:val="18"/>
    </w:rPr>
  </w:style>
  <w:style w:type="paragraph" w:styleId="22">
    <w:name w:val="toc 3"/>
    <w:basedOn w:val="1"/>
    <w:next w:val="1"/>
    <w:qFormat/>
    <w:uiPriority w:val="99"/>
    <w:pPr>
      <w:ind w:left="420"/>
      <w:jc w:val="left"/>
    </w:pPr>
    <w:rPr>
      <w:i/>
      <w:iCs/>
      <w:sz w:val="20"/>
    </w:rPr>
  </w:style>
  <w:style w:type="paragraph" w:styleId="23">
    <w:name w:val="Plain Text"/>
    <w:basedOn w:val="1"/>
    <w:link w:val="71"/>
    <w:qFormat/>
    <w:uiPriority w:val="99"/>
    <w:rPr>
      <w:rFonts w:ascii="宋体" w:hAnsi="Courier New"/>
    </w:rPr>
  </w:style>
  <w:style w:type="paragraph" w:styleId="24">
    <w:name w:val="toc 8"/>
    <w:basedOn w:val="1"/>
    <w:next w:val="1"/>
    <w:semiHidden/>
    <w:qFormat/>
    <w:uiPriority w:val="99"/>
    <w:pPr>
      <w:ind w:left="1470"/>
      <w:jc w:val="left"/>
    </w:pPr>
    <w:rPr>
      <w:sz w:val="18"/>
      <w:szCs w:val="18"/>
    </w:rPr>
  </w:style>
  <w:style w:type="paragraph" w:styleId="25">
    <w:name w:val="Date"/>
    <w:basedOn w:val="1"/>
    <w:next w:val="1"/>
    <w:link w:val="72"/>
    <w:qFormat/>
    <w:uiPriority w:val="99"/>
    <w:pPr>
      <w:adjustRightInd w:val="0"/>
      <w:spacing w:line="312" w:lineRule="atLeast"/>
      <w:textAlignment w:val="baseline"/>
    </w:pPr>
    <w:rPr>
      <w:rFonts w:ascii="宋体"/>
      <w:kern w:val="0"/>
    </w:rPr>
  </w:style>
  <w:style w:type="paragraph" w:styleId="26">
    <w:name w:val="Body Text Indent 2"/>
    <w:basedOn w:val="1"/>
    <w:link w:val="73"/>
    <w:qFormat/>
    <w:uiPriority w:val="99"/>
    <w:pPr>
      <w:spacing w:after="120" w:line="480" w:lineRule="auto"/>
      <w:ind w:left="420" w:leftChars="200"/>
    </w:pPr>
    <w:rPr>
      <w:szCs w:val="24"/>
    </w:rPr>
  </w:style>
  <w:style w:type="paragraph" w:styleId="27">
    <w:name w:val="Balloon Text"/>
    <w:basedOn w:val="1"/>
    <w:link w:val="74"/>
    <w:qFormat/>
    <w:uiPriority w:val="99"/>
    <w:rPr>
      <w:sz w:val="18"/>
      <w:szCs w:val="18"/>
    </w:rPr>
  </w:style>
  <w:style w:type="paragraph" w:styleId="28">
    <w:name w:val="footer"/>
    <w:basedOn w:val="1"/>
    <w:link w:val="98"/>
    <w:qFormat/>
    <w:uiPriority w:val="99"/>
    <w:pPr>
      <w:tabs>
        <w:tab w:val="center" w:pos="4153"/>
        <w:tab w:val="right" w:pos="8306"/>
      </w:tabs>
      <w:snapToGrid w:val="0"/>
      <w:jc w:val="left"/>
    </w:pPr>
    <w:rPr>
      <w:sz w:val="18"/>
    </w:rPr>
  </w:style>
  <w:style w:type="paragraph" w:styleId="29">
    <w:name w:val="header"/>
    <w:basedOn w:val="1"/>
    <w:link w:val="158"/>
    <w:qFormat/>
    <w:uiPriority w:val="99"/>
    <w:pPr>
      <w:pBdr>
        <w:bottom w:val="single" w:color="auto" w:sz="6" w:space="1"/>
      </w:pBdr>
      <w:tabs>
        <w:tab w:val="center" w:pos="4153"/>
        <w:tab w:val="right" w:pos="8306"/>
      </w:tabs>
      <w:snapToGrid w:val="0"/>
      <w:jc w:val="center"/>
    </w:pPr>
    <w:rPr>
      <w:sz w:val="18"/>
    </w:rPr>
  </w:style>
  <w:style w:type="paragraph" w:styleId="30">
    <w:name w:val="toc 1"/>
    <w:basedOn w:val="1"/>
    <w:next w:val="1"/>
    <w:qFormat/>
    <w:uiPriority w:val="39"/>
    <w:pPr>
      <w:tabs>
        <w:tab w:val="right" w:leader="dot" w:pos="9174"/>
      </w:tabs>
      <w:spacing w:before="120" w:after="120" w:line="540" w:lineRule="exact"/>
      <w:jc w:val="left"/>
    </w:pPr>
    <w:rPr>
      <w:rFonts w:ascii="宋体" w:hAnsi="宋体"/>
      <w:bCs/>
      <w:caps/>
      <w:sz w:val="28"/>
      <w:szCs w:val="28"/>
    </w:rPr>
  </w:style>
  <w:style w:type="paragraph" w:styleId="31">
    <w:name w:val="toc 4"/>
    <w:basedOn w:val="1"/>
    <w:next w:val="1"/>
    <w:semiHidden/>
    <w:qFormat/>
    <w:uiPriority w:val="99"/>
    <w:pPr>
      <w:ind w:left="630"/>
      <w:jc w:val="left"/>
    </w:pPr>
    <w:rPr>
      <w:sz w:val="18"/>
      <w:szCs w:val="18"/>
    </w:rPr>
  </w:style>
  <w:style w:type="paragraph" w:styleId="32">
    <w:name w:val="index heading"/>
    <w:basedOn w:val="1"/>
    <w:next w:val="33"/>
    <w:qFormat/>
    <w:uiPriority w:val="99"/>
    <w:rPr>
      <w:szCs w:val="24"/>
    </w:rPr>
  </w:style>
  <w:style w:type="paragraph" w:styleId="33">
    <w:name w:val="index 1"/>
    <w:basedOn w:val="1"/>
    <w:next w:val="1"/>
    <w:semiHidden/>
    <w:qFormat/>
    <w:uiPriority w:val="99"/>
    <w:pPr>
      <w:spacing w:line="400" w:lineRule="exact"/>
    </w:pPr>
    <w:rPr>
      <w:szCs w:val="24"/>
    </w:rPr>
  </w:style>
  <w:style w:type="paragraph" w:styleId="34">
    <w:name w:val="List"/>
    <w:basedOn w:val="1"/>
    <w:qFormat/>
    <w:uiPriority w:val="99"/>
    <w:pPr>
      <w:ind w:left="200" w:hanging="200" w:hangingChars="200"/>
    </w:pPr>
    <w:rPr>
      <w:szCs w:val="24"/>
    </w:rPr>
  </w:style>
  <w:style w:type="paragraph" w:styleId="35">
    <w:name w:val="footnote text"/>
    <w:basedOn w:val="1"/>
    <w:link w:val="77"/>
    <w:qFormat/>
    <w:uiPriority w:val="99"/>
    <w:pPr>
      <w:snapToGrid w:val="0"/>
      <w:jc w:val="left"/>
    </w:pPr>
    <w:rPr>
      <w:sz w:val="18"/>
      <w:szCs w:val="18"/>
    </w:rPr>
  </w:style>
  <w:style w:type="paragraph" w:styleId="36">
    <w:name w:val="toc 6"/>
    <w:basedOn w:val="1"/>
    <w:next w:val="1"/>
    <w:semiHidden/>
    <w:qFormat/>
    <w:uiPriority w:val="99"/>
    <w:pPr>
      <w:ind w:left="1050"/>
      <w:jc w:val="left"/>
    </w:pPr>
    <w:rPr>
      <w:sz w:val="18"/>
      <w:szCs w:val="18"/>
    </w:rPr>
  </w:style>
  <w:style w:type="paragraph" w:styleId="37">
    <w:name w:val="List 5"/>
    <w:basedOn w:val="1"/>
    <w:qFormat/>
    <w:uiPriority w:val="99"/>
    <w:pPr>
      <w:tabs>
        <w:tab w:val="left" w:pos="3780"/>
      </w:tabs>
      <w:ind w:left="3780" w:hanging="420"/>
    </w:pPr>
    <w:rPr>
      <w:sz w:val="32"/>
    </w:rPr>
  </w:style>
  <w:style w:type="paragraph" w:styleId="38">
    <w:name w:val="Body Text Indent 3"/>
    <w:basedOn w:val="1"/>
    <w:link w:val="78"/>
    <w:qFormat/>
    <w:uiPriority w:val="99"/>
    <w:pPr>
      <w:tabs>
        <w:tab w:val="left" w:pos="1520"/>
      </w:tabs>
      <w:spacing w:line="600" w:lineRule="exact"/>
      <w:ind w:firstLine="480"/>
    </w:pPr>
    <w:rPr>
      <w:rFonts w:ascii="宋体" w:hAnsi="宋体"/>
      <w:sz w:val="28"/>
      <w:szCs w:val="24"/>
    </w:rPr>
  </w:style>
  <w:style w:type="paragraph" w:styleId="39">
    <w:name w:val="toc 2"/>
    <w:basedOn w:val="1"/>
    <w:next w:val="1"/>
    <w:qFormat/>
    <w:uiPriority w:val="39"/>
    <w:pPr>
      <w:ind w:left="210"/>
      <w:jc w:val="left"/>
    </w:pPr>
    <w:rPr>
      <w:smallCaps/>
      <w:sz w:val="20"/>
    </w:rPr>
  </w:style>
  <w:style w:type="paragraph" w:styleId="40">
    <w:name w:val="toc 9"/>
    <w:basedOn w:val="1"/>
    <w:next w:val="1"/>
    <w:semiHidden/>
    <w:qFormat/>
    <w:uiPriority w:val="99"/>
    <w:pPr>
      <w:ind w:left="1680"/>
      <w:jc w:val="left"/>
    </w:pPr>
    <w:rPr>
      <w:sz w:val="18"/>
      <w:szCs w:val="18"/>
    </w:rPr>
  </w:style>
  <w:style w:type="paragraph" w:styleId="41">
    <w:name w:val="Body Text 2"/>
    <w:basedOn w:val="1"/>
    <w:link w:val="79"/>
    <w:qFormat/>
    <w:uiPriority w:val="99"/>
    <w:pPr>
      <w:spacing w:after="120" w:line="480" w:lineRule="auto"/>
    </w:pPr>
  </w:style>
  <w:style w:type="paragraph" w:styleId="42">
    <w:name w:val="List Continue 2"/>
    <w:basedOn w:val="1"/>
    <w:qFormat/>
    <w:uiPriority w:val="99"/>
    <w:pPr>
      <w:spacing w:after="120"/>
      <w:ind w:left="400" w:leftChars="400"/>
    </w:pPr>
    <w:rPr>
      <w:szCs w:val="24"/>
    </w:rPr>
  </w:style>
  <w:style w:type="paragraph" w:styleId="43">
    <w:name w:val="HTML Preformatted"/>
    <w:basedOn w:val="1"/>
    <w:link w:val="8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45">
    <w:name w:val="index 2"/>
    <w:basedOn w:val="1"/>
    <w:next w:val="1"/>
    <w:qFormat/>
    <w:uiPriority w:val="99"/>
    <w:pPr>
      <w:ind w:left="420" w:hanging="210"/>
      <w:jc w:val="left"/>
    </w:pPr>
  </w:style>
  <w:style w:type="paragraph" w:styleId="46">
    <w:name w:val="Title"/>
    <w:basedOn w:val="1"/>
    <w:next w:val="3"/>
    <w:link w:val="81"/>
    <w:qFormat/>
    <w:uiPriority w:val="99"/>
    <w:pPr>
      <w:spacing w:beforeLines="30" w:afterLines="30" w:line="360" w:lineRule="auto"/>
      <w:ind w:firstLine="200" w:firstLineChars="200"/>
      <w:jc w:val="center"/>
      <w:outlineLvl w:val="0"/>
    </w:pPr>
    <w:rPr>
      <w:rFonts w:ascii="Arial" w:hAnsi="Arial" w:cs="Arial"/>
      <w:b/>
      <w:kern w:val="0"/>
      <w:sz w:val="32"/>
      <w:szCs w:val="32"/>
    </w:rPr>
  </w:style>
  <w:style w:type="character" w:styleId="48">
    <w:name w:val="Strong"/>
    <w:basedOn w:val="47"/>
    <w:qFormat/>
    <w:uiPriority w:val="99"/>
    <w:rPr>
      <w:rFonts w:cs="Times New Roman"/>
      <w:b/>
    </w:rPr>
  </w:style>
  <w:style w:type="character" w:styleId="49">
    <w:name w:val="page number"/>
    <w:basedOn w:val="47"/>
    <w:qFormat/>
    <w:uiPriority w:val="99"/>
    <w:rPr>
      <w:rFonts w:cs="Times New Roman"/>
    </w:rPr>
  </w:style>
  <w:style w:type="character" w:styleId="50">
    <w:name w:val="FollowedHyperlink"/>
    <w:basedOn w:val="47"/>
    <w:qFormat/>
    <w:uiPriority w:val="99"/>
    <w:rPr>
      <w:rFonts w:cs="Times New Roman"/>
      <w:color w:val="800080"/>
      <w:u w:val="single"/>
    </w:rPr>
  </w:style>
  <w:style w:type="character" w:styleId="51">
    <w:name w:val="Emphasis"/>
    <w:basedOn w:val="47"/>
    <w:qFormat/>
    <w:uiPriority w:val="99"/>
    <w:rPr>
      <w:rFonts w:cs="Times New Roman"/>
      <w:i/>
    </w:rPr>
  </w:style>
  <w:style w:type="character" w:styleId="52">
    <w:name w:val="HTML Typewriter"/>
    <w:basedOn w:val="47"/>
    <w:qFormat/>
    <w:uiPriority w:val="99"/>
    <w:rPr>
      <w:rFonts w:ascii="Courier New" w:hAnsi="Courier New" w:cs="Times New Roman"/>
      <w:sz w:val="20"/>
    </w:rPr>
  </w:style>
  <w:style w:type="character" w:styleId="53">
    <w:name w:val="Hyperlink"/>
    <w:basedOn w:val="47"/>
    <w:qFormat/>
    <w:uiPriority w:val="99"/>
    <w:rPr>
      <w:rFonts w:cs="Times New Roman"/>
      <w:color w:val="0000FF"/>
      <w:u w:val="single"/>
    </w:rPr>
  </w:style>
  <w:style w:type="table" w:styleId="55">
    <w:name w:val="Table Grid"/>
    <w:basedOn w:val="5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56">
    <w:name w:val="Heading 1 Char"/>
    <w:basedOn w:val="47"/>
    <w:link w:val="2"/>
    <w:qFormat/>
    <w:locked/>
    <w:uiPriority w:val="99"/>
    <w:rPr>
      <w:rFonts w:cs="Times New Roman"/>
      <w:b/>
      <w:kern w:val="44"/>
      <w:sz w:val="44"/>
    </w:rPr>
  </w:style>
  <w:style w:type="character" w:customStyle="1" w:styleId="57">
    <w:name w:val="Heading 2 Char"/>
    <w:basedOn w:val="47"/>
    <w:link w:val="3"/>
    <w:qFormat/>
    <w:locked/>
    <w:uiPriority w:val="99"/>
    <w:rPr>
      <w:rFonts w:ascii="Arial" w:hAnsi="Arial" w:eastAsia="黑体" w:cs="Times New Roman"/>
      <w:b/>
      <w:kern w:val="2"/>
      <w:sz w:val="32"/>
    </w:rPr>
  </w:style>
  <w:style w:type="character" w:customStyle="1" w:styleId="58">
    <w:name w:val="标题 3 Char1"/>
    <w:basedOn w:val="47"/>
    <w:link w:val="4"/>
    <w:qFormat/>
    <w:locked/>
    <w:uiPriority w:val="99"/>
    <w:rPr>
      <w:rFonts w:eastAsia="宋体" w:cs="Times New Roman"/>
      <w:b/>
      <w:kern w:val="2"/>
      <w:sz w:val="32"/>
      <w:lang w:val="en-US" w:eastAsia="zh-CN"/>
    </w:rPr>
  </w:style>
  <w:style w:type="character" w:customStyle="1" w:styleId="59">
    <w:name w:val="标题 4 Char"/>
    <w:basedOn w:val="47"/>
    <w:link w:val="5"/>
    <w:qFormat/>
    <w:locked/>
    <w:uiPriority w:val="99"/>
    <w:rPr>
      <w:rFonts w:ascii="宋体" w:hAnsi="宋体" w:eastAsia="宋体" w:cs="Times New Roman"/>
      <w:kern w:val="2"/>
      <w:sz w:val="24"/>
      <w:lang w:val="en-US" w:eastAsia="zh-CN"/>
    </w:rPr>
  </w:style>
  <w:style w:type="character" w:customStyle="1" w:styleId="60">
    <w:name w:val="标题 5 Char"/>
    <w:basedOn w:val="47"/>
    <w:link w:val="6"/>
    <w:qFormat/>
    <w:locked/>
    <w:uiPriority w:val="99"/>
    <w:rPr>
      <w:rFonts w:ascii="宋体" w:hAnsi="宋体" w:eastAsia="黑体" w:cs="Times New Roman"/>
      <w:kern w:val="2"/>
      <w:sz w:val="24"/>
      <w:lang w:val="en-US" w:eastAsia="zh-CN"/>
    </w:rPr>
  </w:style>
  <w:style w:type="character" w:customStyle="1" w:styleId="61">
    <w:name w:val="标题 6 Char"/>
    <w:basedOn w:val="47"/>
    <w:link w:val="7"/>
    <w:qFormat/>
    <w:locked/>
    <w:uiPriority w:val="99"/>
    <w:rPr>
      <w:rFonts w:ascii="宋体" w:hAnsi="宋体" w:eastAsia="黑体" w:cs="Times New Roman"/>
      <w:kern w:val="2"/>
      <w:sz w:val="24"/>
      <w:lang w:val="en-US" w:eastAsia="zh-CN"/>
    </w:rPr>
  </w:style>
  <w:style w:type="character" w:customStyle="1" w:styleId="62">
    <w:name w:val="标题 7 Char"/>
    <w:basedOn w:val="47"/>
    <w:link w:val="8"/>
    <w:qFormat/>
    <w:locked/>
    <w:uiPriority w:val="99"/>
    <w:rPr>
      <w:rFonts w:eastAsia="宋体" w:cs="Times New Roman"/>
      <w:b/>
      <w:kern w:val="2"/>
      <w:sz w:val="24"/>
      <w:lang w:val="en-US" w:eastAsia="zh-CN"/>
    </w:rPr>
  </w:style>
  <w:style w:type="character" w:customStyle="1" w:styleId="63">
    <w:name w:val="标题 8 Char"/>
    <w:basedOn w:val="47"/>
    <w:link w:val="10"/>
    <w:qFormat/>
    <w:locked/>
    <w:uiPriority w:val="99"/>
    <w:rPr>
      <w:rFonts w:ascii="Arial" w:hAnsi="Arial" w:eastAsia="黑体" w:cs="Times New Roman"/>
      <w:kern w:val="2"/>
      <w:sz w:val="24"/>
      <w:lang w:val="en-US" w:eastAsia="zh-CN"/>
    </w:rPr>
  </w:style>
  <w:style w:type="character" w:customStyle="1" w:styleId="64">
    <w:name w:val="标题 9 Char"/>
    <w:basedOn w:val="47"/>
    <w:link w:val="11"/>
    <w:qFormat/>
    <w:locked/>
    <w:uiPriority w:val="99"/>
    <w:rPr>
      <w:rFonts w:ascii="Arial" w:hAnsi="Arial" w:eastAsia="黑体" w:cs="Times New Roman"/>
      <w:kern w:val="2"/>
      <w:sz w:val="24"/>
      <w:lang w:val="en-US" w:eastAsia="zh-CN"/>
    </w:rPr>
  </w:style>
  <w:style w:type="character" w:customStyle="1" w:styleId="65">
    <w:name w:val="正文文本 Char"/>
    <w:basedOn w:val="47"/>
    <w:link w:val="14"/>
    <w:qFormat/>
    <w:locked/>
    <w:uiPriority w:val="99"/>
    <w:rPr>
      <w:rFonts w:eastAsia="宋体" w:cs="Times New Roman"/>
      <w:kern w:val="2"/>
      <w:sz w:val="24"/>
      <w:lang w:val="en-US" w:eastAsia="zh-CN"/>
    </w:rPr>
  </w:style>
  <w:style w:type="character" w:customStyle="1" w:styleId="66">
    <w:name w:val="正文首行缩进 Char"/>
    <w:basedOn w:val="65"/>
    <w:link w:val="13"/>
    <w:qFormat/>
    <w:locked/>
    <w:uiPriority w:val="99"/>
    <w:rPr>
      <w:sz w:val="21"/>
    </w:rPr>
  </w:style>
  <w:style w:type="character" w:customStyle="1" w:styleId="67">
    <w:name w:val="注释标题 Char"/>
    <w:basedOn w:val="47"/>
    <w:link w:val="15"/>
    <w:semiHidden/>
    <w:qFormat/>
    <w:locked/>
    <w:uiPriority w:val="99"/>
    <w:rPr>
      <w:rFonts w:cs="Times New Roman"/>
      <w:sz w:val="20"/>
      <w:szCs w:val="20"/>
    </w:rPr>
  </w:style>
  <w:style w:type="character" w:customStyle="1" w:styleId="68">
    <w:name w:val="文档结构图 Char"/>
    <w:basedOn w:val="47"/>
    <w:link w:val="17"/>
    <w:semiHidden/>
    <w:qFormat/>
    <w:locked/>
    <w:uiPriority w:val="99"/>
    <w:rPr>
      <w:rFonts w:cs="Times New Roman"/>
      <w:sz w:val="2"/>
    </w:rPr>
  </w:style>
  <w:style w:type="character" w:customStyle="1" w:styleId="69">
    <w:name w:val="正文文本 3 Char"/>
    <w:basedOn w:val="47"/>
    <w:link w:val="18"/>
    <w:semiHidden/>
    <w:qFormat/>
    <w:locked/>
    <w:uiPriority w:val="99"/>
    <w:rPr>
      <w:rFonts w:cs="Times New Roman"/>
      <w:sz w:val="16"/>
      <w:szCs w:val="16"/>
    </w:rPr>
  </w:style>
  <w:style w:type="character" w:customStyle="1" w:styleId="70">
    <w:name w:val="正文文本缩进 Char"/>
    <w:basedOn w:val="47"/>
    <w:link w:val="19"/>
    <w:qFormat/>
    <w:locked/>
    <w:uiPriority w:val="99"/>
    <w:rPr>
      <w:rFonts w:ascii="宋体" w:eastAsia="宋体" w:cs="Times New Roman"/>
      <w:b/>
      <w:kern w:val="2"/>
      <w:sz w:val="21"/>
      <w:lang w:val="en-US" w:eastAsia="zh-CN"/>
    </w:rPr>
  </w:style>
  <w:style w:type="character" w:customStyle="1" w:styleId="71">
    <w:name w:val="纯文本 Char"/>
    <w:basedOn w:val="47"/>
    <w:link w:val="23"/>
    <w:qFormat/>
    <w:locked/>
    <w:uiPriority w:val="99"/>
    <w:rPr>
      <w:rFonts w:ascii="宋体" w:hAnsi="Courier New" w:eastAsia="宋体" w:cs="Times New Roman"/>
      <w:kern w:val="2"/>
      <w:sz w:val="21"/>
      <w:lang w:val="en-US" w:eastAsia="zh-CN"/>
    </w:rPr>
  </w:style>
  <w:style w:type="character" w:customStyle="1" w:styleId="72">
    <w:name w:val="日期 Char"/>
    <w:basedOn w:val="47"/>
    <w:link w:val="25"/>
    <w:semiHidden/>
    <w:qFormat/>
    <w:locked/>
    <w:uiPriority w:val="99"/>
    <w:rPr>
      <w:rFonts w:cs="Times New Roman"/>
      <w:sz w:val="20"/>
      <w:szCs w:val="20"/>
    </w:rPr>
  </w:style>
  <w:style w:type="character" w:customStyle="1" w:styleId="73">
    <w:name w:val="正文文本缩进 2 Char"/>
    <w:basedOn w:val="47"/>
    <w:link w:val="26"/>
    <w:qFormat/>
    <w:locked/>
    <w:uiPriority w:val="99"/>
    <w:rPr>
      <w:rFonts w:cs="Times New Roman"/>
      <w:kern w:val="2"/>
      <w:sz w:val="24"/>
    </w:rPr>
  </w:style>
  <w:style w:type="character" w:customStyle="1" w:styleId="74">
    <w:name w:val="批注框文本 Char"/>
    <w:basedOn w:val="47"/>
    <w:link w:val="27"/>
    <w:qFormat/>
    <w:locked/>
    <w:uiPriority w:val="99"/>
    <w:rPr>
      <w:rFonts w:eastAsia="宋体" w:cs="Times New Roman"/>
      <w:kern w:val="2"/>
      <w:sz w:val="18"/>
      <w:lang w:val="en-US" w:eastAsia="zh-CN"/>
    </w:rPr>
  </w:style>
  <w:style w:type="character" w:customStyle="1" w:styleId="75">
    <w:name w:val="Footer Char"/>
    <w:basedOn w:val="47"/>
    <w:link w:val="28"/>
    <w:semiHidden/>
    <w:qFormat/>
    <w:locked/>
    <w:uiPriority w:val="99"/>
    <w:rPr>
      <w:rFonts w:cs="Times New Roman"/>
      <w:kern w:val="2"/>
      <w:sz w:val="18"/>
    </w:rPr>
  </w:style>
  <w:style w:type="character" w:customStyle="1" w:styleId="76">
    <w:name w:val="Header Char"/>
    <w:basedOn w:val="47"/>
    <w:link w:val="29"/>
    <w:semiHidden/>
    <w:qFormat/>
    <w:locked/>
    <w:uiPriority w:val="99"/>
    <w:rPr>
      <w:rFonts w:cs="Times New Roman"/>
      <w:kern w:val="2"/>
      <w:sz w:val="18"/>
    </w:rPr>
  </w:style>
  <w:style w:type="character" w:customStyle="1" w:styleId="77">
    <w:name w:val="脚注文本 Char"/>
    <w:basedOn w:val="47"/>
    <w:link w:val="35"/>
    <w:qFormat/>
    <w:locked/>
    <w:uiPriority w:val="99"/>
    <w:rPr>
      <w:rFonts w:cs="Times New Roman"/>
      <w:kern w:val="2"/>
      <w:sz w:val="18"/>
    </w:rPr>
  </w:style>
  <w:style w:type="character" w:customStyle="1" w:styleId="78">
    <w:name w:val="正文文本缩进 3 Char"/>
    <w:basedOn w:val="47"/>
    <w:link w:val="38"/>
    <w:qFormat/>
    <w:locked/>
    <w:uiPriority w:val="99"/>
    <w:rPr>
      <w:rFonts w:ascii="宋体" w:hAnsi="宋体" w:eastAsia="宋体" w:cs="Times New Roman"/>
      <w:kern w:val="2"/>
      <w:sz w:val="24"/>
      <w:lang w:val="en-US" w:eastAsia="zh-CN"/>
    </w:rPr>
  </w:style>
  <w:style w:type="character" w:customStyle="1" w:styleId="79">
    <w:name w:val="正文文本 2 Char1"/>
    <w:basedOn w:val="47"/>
    <w:link w:val="41"/>
    <w:qFormat/>
    <w:locked/>
    <w:uiPriority w:val="99"/>
    <w:rPr>
      <w:rFonts w:eastAsia="宋体" w:cs="Times New Roman"/>
      <w:kern w:val="2"/>
      <w:sz w:val="21"/>
      <w:lang w:val="en-US" w:eastAsia="zh-CN"/>
    </w:rPr>
  </w:style>
  <w:style w:type="character" w:customStyle="1" w:styleId="80">
    <w:name w:val="HTML 预设格式 Char"/>
    <w:basedOn w:val="47"/>
    <w:link w:val="43"/>
    <w:semiHidden/>
    <w:qFormat/>
    <w:locked/>
    <w:uiPriority w:val="99"/>
    <w:rPr>
      <w:rFonts w:ascii="Courier New" w:hAnsi="Courier New" w:cs="Courier New"/>
      <w:sz w:val="20"/>
      <w:szCs w:val="20"/>
    </w:rPr>
  </w:style>
  <w:style w:type="character" w:customStyle="1" w:styleId="81">
    <w:name w:val="标题 Char"/>
    <w:basedOn w:val="47"/>
    <w:link w:val="46"/>
    <w:qFormat/>
    <w:locked/>
    <w:uiPriority w:val="99"/>
    <w:rPr>
      <w:rFonts w:ascii="Arial" w:hAnsi="Arial" w:eastAsia="宋体" w:cs="Times New Roman"/>
      <w:b/>
      <w:snapToGrid w:val="0"/>
      <w:sz w:val="32"/>
      <w:lang w:val="en-US" w:eastAsia="zh-CN"/>
    </w:rPr>
  </w:style>
  <w:style w:type="character" w:customStyle="1" w:styleId="82">
    <w:name w:val="标题 1 Char Char"/>
    <w:qFormat/>
    <w:uiPriority w:val="99"/>
    <w:rPr>
      <w:rFonts w:ascii="黑体" w:hAnsi="宋体" w:eastAsia="黑体"/>
      <w:b/>
      <w:kern w:val="2"/>
      <w:sz w:val="24"/>
      <w:lang w:val="en-US" w:eastAsia="zh-CN"/>
    </w:rPr>
  </w:style>
  <w:style w:type="character" w:customStyle="1" w:styleId="83">
    <w:name w:val="apple-style-span"/>
    <w:basedOn w:val="47"/>
    <w:qFormat/>
    <w:uiPriority w:val="99"/>
    <w:rPr>
      <w:rFonts w:cs="Times New Roman"/>
    </w:rPr>
  </w:style>
  <w:style w:type="character" w:customStyle="1" w:styleId="84">
    <w:name w:val="页眉00 Char Char"/>
    <w:qFormat/>
    <w:locked/>
    <w:uiPriority w:val="99"/>
    <w:rPr>
      <w:rFonts w:ascii="宋体" w:hAnsi="宋体" w:eastAsia="宋体"/>
      <w:kern w:val="2"/>
      <w:sz w:val="18"/>
      <w:lang w:val="en-US" w:eastAsia="zh-CN"/>
    </w:rPr>
  </w:style>
  <w:style w:type="character" w:customStyle="1" w:styleId="85">
    <w:name w:val="标题 8 Char Char"/>
    <w:qFormat/>
    <w:uiPriority w:val="99"/>
    <w:rPr>
      <w:rFonts w:ascii="Arial" w:hAnsi="Arial" w:eastAsia="黑体"/>
      <w:kern w:val="2"/>
      <w:sz w:val="24"/>
      <w:lang w:val="en-US" w:eastAsia="zh-CN"/>
    </w:rPr>
  </w:style>
  <w:style w:type="character" w:customStyle="1" w:styleId="86">
    <w:name w:val="Font Style213"/>
    <w:qFormat/>
    <w:uiPriority w:val="99"/>
    <w:rPr>
      <w:rFonts w:ascii="宋体" w:eastAsia="宋体"/>
      <w:b/>
      <w:sz w:val="22"/>
    </w:rPr>
  </w:style>
  <w:style w:type="character" w:customStyle="1" w:styleId="87">
    <w:name w:val="普通(网站) Char"/>
    <w:qFormat/>
    <w:uiPriority w:val="99"/>
    <w:rPr>
      <w:rFonts w:ascii="宋体" w:hAnsi="宋体" w:eastAsia="宋体"/>
      <w:color w:val="000000"/>
      <w:sz w:val="24"/>
      <w:lang w:val="en-US" w:eastAsia="zh-CN"/>
    </w:rPr>
  </w:style>
  <w:style w:type="character" w:customStyle="1" w:styleId="88">
    <w:name w:val="正文文本 2 Char Char"/>
    <w:qFormat/>
    <w:uiPriority w:val="99"/>
    <w:rPr>
      <w:rFonts w:eastAsia="宋体"/>
      <w:kern w:val="2"/>
      <w:sz w:val="24"/>
      <w:lang w:val="en-US" w:eastAsia="zh-CN"/>
    </w:rPr>
  </w:style>
  <w:style w:type="character" w:customStyle="1" w:styleId="89">
    <w:name w:val="正文缩进 Char Char"/>
    <w:qFormat/>
    <w:uiPriority w:val="99"/>
    <w:rPr>
      <w:rFonts w:eastAsia="宋体"/>
      <w:spacing w:val="10"/>
      <w:kern w:val="2"/>
      <w:sz w:val="28"/>
      <w:lang w:val="en-US" w:eastAsia="zh-CN"/>
    </w:rPr>
  </w:style>
  <w:style w:type="character" w:customStyle="1" w:styleId="90">
    <w:name w:val="Char Char12"/>
    <w:qFormat/>
    <w:uiPriority w:val="99"/>
    <w:rPr>
      <w:b/>
      <w:kern w:val="2"/>
      <w:sz w:val="24"/>
    </w:rPr>
  </w:style>
  <w:style w:type="character" w:customStyle="1" w:styleId="91">
    <w:name w:val="Char Char7"/>
    <w:qFormat/>
    <w:uiPriority w:val="99"/>
    <w:rPr>
      <w:kern w:val="2"/>
      <w:sz w:val="24"/>
    </w:rPr>
  </w:style>
  <w:style w:type="character" w:customStyle="1" w:styleId="92">
    <w:name w:val="标题 1 Char"/>
    <w:link w:val="2"/>
    <w:qFormat/>
    <w:locked/>
    <w:uiPriority w:val="0"/>
    <w:rPr>
      <w:rFonts w:ascii="黑体" w:eastAsia="宋体"/>
      <w:kern w:val="2"/>
      <w:sz w:val="52"/>
      <w:lang w:val="en-US" w:eastAsia="zh-CN"/>
    </w:rPr>
  </w:style>
  <w:style w:type="character" w:customStyle="1" w:styleId="93">
    <w:name w:val="样式 宋体 小四"/>
    <w:qFormat/>
    <w:uiPriority w:val="99"/>
    <w:rPr>
      <w:rFonts w:ascii="宋体" w:hAnsi="宋体" w:eastAsia="宋体"/>
      <w:b/>
      <w:sz w:val="24"/>
    </w:rPr>
  </w:style>
  <w:style w:type="character" w:customStyle="1" w:styleId="94">
    <w:name w:val="Font Style120"/>
    <w:qFormat/>
    <w:uiPriority w:val="99"/>
    <w:rPr>
      <w:rFonts w:ascii="宋体" w:eastAsia="宋体"/>
      <w:sz w:val="22"/>
    </w:rPr>
  </w:style>
  <w:style w:type="character" w:customStyle="1" w:styleId="95">
    <w:name w:val="Font Style205"/>
    <w:qFormat/>
    <w:uiPriority w:val="99"/>
    <w:rPr>
      <w:rFonts w:ascii="宋体" w:eastAsia="宋体"/>
      <w:b/>
      <w:sz w:val="24"/>
    </w:rPr>
  </w:style>
  <w:style w:type="character" w:customStyle="1" w:styleId="96">
    <w:name w:val="标题 1 Char Char Char"/>
    <w:qFormat/>
    <w:uiPriority w:val="99"/>
    <w:rPr>
      <w:rFonts w:ascii="Arial" w:hAnsi="Arial" w:eastAsia="黑体"/>
      <w:snapToGrid w:val="0"/>
      <w:spacing w:val="10"/>
      <w:w w:val="90"/>
      <w:kern w:val="30"/>
      <w:sz w:val="21"/>
    </w:rPr>
  </w:style>
  <w:style w:type="character" w:customStyle="1" w:styleId="97">
    <w:name w:val="t_tag"/>
    <w:basedOn w:val="47"/>
    <w:qFormat/>
    <w:uiPriority w:val="99"/>
    <w:rPr>
      <w:rFonts w:cs="Times New Roman"/>
    </w:rPr>
  </w:style>
  <w:style w:type="character" w:customStyle="1" w:styleId="98">
    <w:name w:val="页脚 Char"/>
    <w:link w:val="28"/>
    <w:qFormat/>
    <w:locked/>
    <w:uiPriority w:val="99"/>
    <w:rPr>
      <w:rFonts w:eastAsia="宋体"/>
      <w:kern w:val="2"/>
      <w:sz w:val="18"/>
      <w:lang w:val="en-US" w:eastAsia="zh-CN"/>
    </w:rPr>
  </w:style>
  <w:style w:type="character" w:customStyle="1" w:styleId="99">
    <w:name w:val="Char Char2"/>
    <w:qFormat/>
    <w:uiPriority w:val="99"/>
    <w:rPr>
      <w:rFonts w:eastAsia="宋体"/>
      <w:sz w:val="18"/>
      <w:lang w:val="en-US" w:eastAsia="zh-CN"/>
    </w:rPr>
  </w:style>
  <w:style w:type="character" w:customStyle="1" w:styleId="100">
    <w:name w:val="正文首行缩进 Char Char"/>
    <w:qFormat/>
    <w:uiPriority w:val="99"/>
    <w:rPr>
      <w:rFonts w:eastAsia="宋体"/>
      <w:spacing w:val="10"/>
      <w:kern w:val="24"/>
      <w:sz w:val="24"/>
      <w:lang w:val="en-US" w:eastAsia="zh-CN"/>
    </w:rPr>
  </w:style>
  <w:style w:type="character" w:customStyle="1" w:styleId="101">
    <w:name w:val="Font Style215"/>
    <w:qFormat/>
    <w:uiPriority w:val="99"/>
    <w:rPr>
      <w:rFonts w:ascii="Palatino Linotype" w:hAnsi="Palatino Linotype"/>
      <w:b/>
      <w:i/>
      <w:sz w:val="22"/>
    </w:rPr>
  </w:style>
  <w:style w:type="character" w:customStyle="1" w:styleId="102">
    <w:name w:val="正文文本 2 Char"/>
    <w:qFormat/>
    <w:uiPriority w:val="99"/>
    <w:rPr>
      <w:kern w:val="2"/>
      <w:sz w:val="24"/>
    </w:rPr>
  </w:style>
  <w:style w:type="character" w:customStyle="1" w:styleId="103">
    <w:name w:val="news_c_da1"/>
    <w:qFormat/>
    <w:uiPriority w:val="99"/>
    <w:rPr>
      <w:b/>
      <w:color w:val="000000"/>
      <w:sz w:val="24"/>
    </w:rPr>
  </w:style>
  <w:style w:type="character" w:customStyle="1" w:styleId="104">
    <w:name w:val="正文1 Char Char Char"/>
    <w:qFormat/>
    <w:uiPriority w:val="99"/>
    <w:rPr>
      <w:rFonts w:eastAsia="宋体"/>
      <w:snapToGrid w:val="0"/>
      <w:kern w:val="21"/>
      <w:sz w:val="21"/>
      <w:lang w:val="en-US" w:eastAsia="zh-CN"/>
    </w:rPr>
  </w:style>
  <w:style w:type="character" w:customStyle="1" w:styleId="105">
    <w:name w:val="9points1"/>
    <w:qFormat/>
    <w:uiPriority w:val="99"/>
    <w:rPr>
      <w:color w:val="003366"/>
      <w:sz w:val="18"/>
      <w:u w:val="none"/>
    </w:rPr>
  </w:style>
  <w:style w:type="character" w:customStyle="1" w:styleId="106">
    <w:name w:val="样式 正文首行缩进 + 首行缩进:  1 字符2 Char Char"/>
    <w:qFormat/>
    <w:uiPriority w:val="99"/>
    <w:rPr>
      <w:rFonts w:ascii="宋体" w:eastAsia="宋体"/>
      <w:kern w:val="2"/>
      <w:sz w:val="24"/>
    </w:rPr>
  </w:style>
  <w:style w:type="character" w:customStyle="1" w:styleId="107">
    <w:name w:val="Font Style208"/>
    <w:qFormat/>
    <w:uiPriority w:val="99"/>
    <w:rPr>
      <w:rFonts w:ascii="Sylfaen" w:hAnsi="Sylfaen"/>
      <w:spacing w:val="-20"/>
      <w:sz w:val="18"/>
    </w:rPr>
  </w:style>
  <w:style w:type="character" w:customStyle="1" w:styleId="108">
    <w:name w:val="style71"/>
    <w:qFormat/>
    <w:uiPriority w:val="99"/>
    <w:rPr>
      <w:rFonts w:ascii="黑体" w:eastAsia="黑体"/>
      <w:b/>
    </w:rPr>
  </w:style>
  <w:style w:type="character" w:customStyle="1" w:styleId="109">
    <w:name w:val="Font Style191"/>
    <w:qFormat/>
    <w:uiPriority w:val="99"/>
    <w:rPr>
      <w:rFonts w:ascii="宋体" w:eastAsia="宋体"/>
      <w:sz w:val="26"/>
    </w:rPr>
  </w:style>
  <w:style w:type="character" w:customStyle="1" w:styleId="110">
    <w:name w:val="unnamed11"/>
    <w:qFormat/>
    <w:uiPriority w:val="99"/>
    <w:rPr>
      <w:rFonts w:ascii="宋体" w:hAnsi="宋体" w:eastAsia="宋体"/>
      <w:sz w:val="21"/>
    </w:rPr>
  </w:style>
  <w:style w:type="character" w:customStyle="1" w:styleId="111">
    <w:name w:val="正文1"/>
    <w:qFormat/>
    <w:uiPriority w:val="99"/>
    <w:rPr>
      <w:rFonts w:ascii="宋体" w:hAnsi="宋体" w:eastAsia="宋体"/>
      <w:color w:val="000000"/>
      <w:spacing w:val="400"/>
      <w:sz w:val="22"/>
    </w:rPr>
  </w:style>
  <w:style w:type="character" w:customStyle="1" w:styleId="112">
    <w:name w:val="正文文本 (2)_"/>
    <w:basedOn w:val="47"/>
    <w:link w:val="113"/>
    <w:qFormat/>
    <w:locked/>
    <w:uiPriority w:val="99"/>
    <w:rPr>
      <w:rFonts w:ascii="MingLiU" w:hAnsi="Calibri" w:eastAsia="MingLiU" w:cs="MingLiU"/>
      <w:kern w:val="0"/>
      <w:sz w:val="26"/>
      <w:szCs w:val="26"/>
    </w:rPr>
  </w:style>
  <w:style w:type="paragraph" w:customStyle="1" w:styleId="113">
    <w:name w:val="正文文本 (2)1"/>
    <w:basedOn w:val="1"/>
    <w:link w:val="112"/>
    <w:qFormat/>
    <w:uiPriority w:val="99"/>
    <w:pPr>
      <w:shd w:val="clear" w:color="auto" w:fill="FFFFFF"/>
      <w:spacing w:line="479" w:lineRule="exact"/>
      <w:jc w:val="left"/>
    </w:pPr>
    <w:rPr>
      <w:rFonts w:ascii="MingLiU" w:hAnsi="Calibri" w:eastAsia="MingLiU" w:cs="MingLiU"/>
      <w:kern w:val="0"/>
      <w:sz w:val="26"/>
      <w:szCs w:val="26"/>
    </w:rPr>
  </w:style>
  <w:style w:type="character" w:customStyle="1" w:styleId="114">
    <w:name w:val="Char Char15"/>
    <w:qFormat/>
    <w:uiPriority w:val="99"/>
    <w:rPr>
      <w:rFonts w:ascii="Arial" w:hAnsi="Arial" w:eastAsia="黑体"/>
      <w:b/>
      <w:kern w:val="2"/>
      <w:sz w:val="28"/>
      <w:lang w:val="en-US" w:eastAsia="zh-CN"/>
    </w:rPr>
  </w:style>
  <w:style w:type="character" w:customStyle="1" w:styleId="115">
    <w:name w:val="normal_0020table__char"/>
    <w:basedOn w:val="47"/>
    <w:qFormat/>
    <w:uiPriority w:val="99"/>
    <w:rPr>
      <w:rFonts w:cs="Times New Roman"/>
    </w:rPr>
  </w:style>
  <w:style w:type="character" w:customStyle="1" w:styleId="116">
    <w:name w:val="Char Char6"/>
    <w:qFormat/>
    <w:uiPriority w:val="99"/>
    <w:rPr>
      <w:rFonts w:ascii="宋体" w:eastAsia="宋体"/>
      <w:kern w:val="2"/>
      <w:sz w:val="24"/>
    </w:rPr>
  </w:style>
  <w:style w:type="character" w:customStyle="1" w:styleId="117">
    <w:name w:val="text11"/>
    <w:qFormat/>
    <w:uiPriority w:val="99"/>
    <w:rPr>
      <w:sz w:val="21"/>
    </w:rPr>
  </w:style>
  <w:style w:type="character" w:customStyle="1" w:styleId="118">
    <w:name w:val="word3noad"/>
    <w:basedOn w:val="47"/>
    <w:qFormat/>
    <w:uiPriority w:val="99"/>
    <w:rPr>
      <w:rFonts w:cs="Times New Roman"/>
    </w:rPr>
  </w:style>
  <w:style w:type="character" w:customStyle="1" w:styleId="119">
    <w:name w:val="报告正文 Char Char"/>
    <w:link w:val="120"/>
    <w:qFormat/>
    <w:locked/>
    <w:uiPriority w:val="0"/>
    <w:rPr>
      <w:rFonts w:ascii="宋体" w:hAnsi="宋体" w:eastAsia="宋体"/>
      <w:color w:val="000000"/>
      <w:sz w:val="24"/>
      <w:lang w:val="en-US" w:eastAsia="zh-CN"/>
    </w:rPr>
  </w:style>
  <w:style w:type="paragraph" w:customStyle="1" w:styleId="120">
    <w:name w:val="报告正文"/>
    <w:basedOn w:val="13"/>
    <w:link w:val="119"/>
    <w:qFormat/>
    <w:uiPriority w:val="0"/>
    <w:pPr>
      <w:spacing w:after="0" w:line="600" w:lineRule="exact"/>
      <w:ind w:firstLine="200" w:firstLineChars="200"/>
      <w:jc w:val="left"/>
    </w:pPr>
    <w:rPr>
      <w:rFonts w:ascii="宋体" w:hAnsi="宋体"/>
      <w:color w:val="000000"/>
      <w:kern w:val="0"/>
      <w:sz w:val="24"/>
    </w:rPr>
  </w:style>
  <w:style w:type="character" w:customStyle="1" w:styleId="121">
    <w:name w:val="Font Style216"/>
    <w:qFormat/>
    <w:uiPriority w:val="99"/>
    <w:rPr>
      <w:rFonts w:ascii="宋体" w:eastAsia="宋体"/>
      <w:b/>
      <w:sz w:val="22"/>
    </w:rPr>
  </w:style>
  <w:style w:type="character" w:customStyle="1" w:styleId="122">
    <w:name w:val="页脚 Char Char"/>
    <w:qFormat/>
    <w:uiPriority w:val="99"/>
    <w:rPr>
      <w:rFonts w:eastAsia="宋体"/>
      <w:kern w:val="2"/>
      <w:sz w:val="18"/>
      <w:lang w:val="en-US" w:eastAsia="zh-CN"/>
    </w:rPr>
  </w:style>
  <w:style w:type="character" w:customStyle="1" w:styleId="123">
    <w:name w:val="样式 正文缩进正文（首行缩进两字） Char表格标题正文（首行缩进两字） Char Char Char Char Char... Char"/>
    <w:qFormat/>
    <w:uiPriority w:val="99"/>
    <w:rPr>
      <w:rFonts w:ascii="宋体" w:hAnsi="宋体" w:eastAsia="宋体"/>
      <w:color w:val="000000"/>
      <w:spacing w:val="-2"/>
      <w:kern w:val="2"/>
      <w:sz w:val="28"/>
      <w:lang w:val="en-US" w:eastAsia="zh-CN"/>
    </w:rPr>
  </w:style>
  <w:style w:type="character" w:customStyle="1" w:styleId="124">
    <w:name w:val="title"/>
    <w:basedOn w:val="47"/>
    <w:qFormat/>
    <w:uiPriority w:val="99"/>
    <w:rPr>
      <w:rFonts w:cs="Times New Roman"/>
    </w:rPr>
  </w:style>
  <w:style w:type="character" w:customStyle="1" w:styleId="125">
    <w:name w:val="Font Style214"/>
    <w:qFormat/>
    <w:uiPriority w:val="99"/>
    <w:rPr>
      <w:rFonts w:ascii="宋体" w:eastAsia="宋体"/>
      <w:spacing w:val="-10"/>
      <w:w w:val="150"/>
      <w:sz w:val="14"/>
    </w:rPr>
  </w:style>
  <w:style w:type="character" w:customStyle="1" w:styleId="126">
    <w:name w:val="样式 正文首行缩进 + 首行缩进:  1 字符2 Char"/>
    <w:link w:val="127"/>
    <w:qFormat/>
    <w:locked/>
    <w:uiPriority w:val="99"/>
    <w:rPr>
      <w:rFonts w:ascii="宋体" w:eastAsia="宋体"/>
      <w:kern w:val="2"/>
      <w:sz w:val="24"/>
    </w:rPr>
  </w:style>
  <w:style w:type="paragraph" w:customStyle="1" w:styleId="127">
    <w:name w:val="样式 正文首行缩进 + 首行缩进:  1 字符2"/>
    <w:basedOn w:val="1"/>
    <w:link w:val="126"/>
    <w:qFormat/>
    <w:uiPriority w:val="99"/>
    <w:pPr>
      <w:spacing w:line="360" w:lineRule="auto"/>
      <w:ind w:firstLine="480" w:firstLineChars="200"/>
    </w:pPr>
    <w:rPr>
      <w:rFonts w:ascii="宋体"/>
      <w:sz w:val="24"/>
    </w:rPr>
  </w:style>
  <w:style w:type="character" w:customStyle="1" w:styleId="128">
    <w:name w:val="apple-converted-space"/>
    <w:basedOn w:val="47"/>
    <w:qFormat/>
    <w:uiPriority w:val="99"/>
    <w:rPr>
      <w:rFonts w:cs="Times New Roman"/>
    </w:rPr>
  </w:style>
  <w:style w:type="character" w:customStyle="1" w:styleId="129">
    <w:name w:val="h3 Char1"/>
    <w:qFormat/>
    <w:uiPriority w:val="99"/>
    <w:rPr>
      <w:b/>
      <w:kern w:val="2"/>
      <w:sz w:val="32"/>
    </w:rPr>
  </w:style>
  <w:style w:type="character" w:customStyle="1" w:styleId="130">
    <w:name w:val="正文首行缩进 Char Char Char"/>
    <w:qFormat/>
    <w:uiPriority w:val="99"/>
    <w:rPr>
      <w:rFonts w:eastAsia="宋体"/>
      <w:spacing w:val="10"/>
      <w:kern w:val="24"/>
      <w:sz w:val="24"/>
      <w:lang w:val="en-US" w:eastAsia="zh-CN"/>
    </w:rPr>
  </w:style>
  <w:style w:type="character" w:customStyle="1" w:styleId="131">
    <w:name w:val="环正文 Char1"/>
    <w:link w:val="132"/>
    <w:qFormat/>
    <w:locked/>
    <w:uiPriority w:val="99"/>
    <w:rPr>
      <w:rFonts w:ascii="Tahoma" w:hAnsi="Tahoma"/>
      <w:sz w:val="21"/>
    </w:rPr>
  </w:style>
  <w:style w:type="paragraph" w:customStyle="1" w:styleId="132">
    <w:name w:val="环正文"/>
    <w:basedOn w:val="1"/>
    <w:link w:val="131"/>
    <w:qFormat/>
    <w:uiPriority w:val="99"/>
    <w:pPr>
      <w:widowControl/>
      <w:suppressAutoHyphens/>
      <w:adjustRightInd w:val="0"/>
      <w:ind w:left="-59" w:leftChars="-28"/>
      <w:jc w:val="center"/>
      <w:textAlignment w:val="baseline"/>
    </w:pPr>
    <w:rPr>
      <w:rFonts w:ascii="Tahoma" w:hAnsi="Tahoma"/>
      <w:kern w:val="0"/>
    </w:rPr>
  </w:style>
  <w:style w:type="character" w:customStyle="1" w:styleId="133">
    <w:name w:val="正文缩进 Char"/>
    <w:qFormat/>
    <w:uiPriority w:val="99"/>
    <w:rPr>
      <w:rFonts w:eastAsia="宋体"/>
      <w:spacing w:val="10"/>
      <w:kern w:val="2"/>
      <w:sz w:val="28"/>
      <w:lang w:val="en-US" w:eastAsia="zh-CN"/>
    </w:rPr>
  </w:style>
  <w:style w:type="character" w:customStyle="1" w:styleId="134">
    <w:name w:val="Font Style221"/>
    <w:qFormat/>
    <w:uiPriority w:val="99"/>
    <w:rPr>
      <w:rFonts w:ascii="MingLiU" w:eastAsia="MingLiU"/>
      <w:spacing w:val="10"/>
      <w:sz w:val="18"/>
    </w:rPr>
  </w:style>
  <w:style w:type="character" w:customStyle="1" w:styleId="135">
    <w:name w:val="标题 3 Char"/>
    <w:qFormat/>
    <w:uiPriority w:val="0"/>
    <w:rPr>
      <w:rFonts w:ascii="黑体" w:eastAsia="黑体"/>
      <w:b/>
      <w:kern w:val="2"/>
      <w:sz w:val="24"/>
      <w:lang w:val="en-US" w:eastAsia="zh-CN"/>
    </w:rPr>
  </w:style>
  <w:style w:type="character" w:customStyle="1" w:styleId="136">
    <w:name w:val="Font Style210"/>
    <w:qFormat/>
    <w:uiPriority w:val="99"/>
    <w:rPr>
      <w:rFonts w:ascii="宋体" w:eastAsia="宋体"/>
      <w:b/>
      <w:sz w:val="24"/>
    </w:rPr>
  </w:style>
  <w:style w:type="character" w:customStyle="1" w:styleId="137">
    <w:name w:val="Char Char"/>
    <w:qFormat/>
    <w:uiPriority w:val="99"/>
    <w:rPr>
      <w:rFonts w:ascii="宋体" w:hAnsi="宋体" w:eastAsia="宋体"/>
      <w:kern w:val="2"/>
      <w:sz w:val="21"/>
      <w:lang w:val="en-US" w:eastAsia="zh-CN"/>
    </w:rPr>
  </w:style>
  <w:style w:type="character" w:customStyle="1" w:styleId="138">
    <w:name w:val="标题 7 Char Char"/>
    <w:qFormat/>
    <w:uiPriority w:val="99"/>
    <w:rPr>
      <w:rFonts w:eastAsia="宋体"/>
      <w:b/>
      <w:kern w:val="2"/>
      <w:sz w:val="24"/>
      <w:lang w:val="en-US" w:eastAsia="zh-CN"/>
    </w:rPr>
  </w:style>
  <w:style w:type="character" w:customStyle="1" w:styleId="139">
    <w:name w:val="页眉 Char Char"/>
    <w:qFormat/>
    <w:uiPriority w:val="99"/>
    <w:rPr>
      <w:rFonts w:eastAsia="宋体"/>
      <w:spacing w:val="10"/>
      <w:kern w:val="24"/>
      <w:sz w:val="18"/>
      <w:lang w:val="en-US" w:eastAsia="zh-CN"/>
    </w:rPr>
  </w:style>
  <w:style w:type="character" w:customStyle="1" w:styleId="140">
    <w:name w:val="标题 3 Char Char"/>
    <w:qFormat/>
    <w:uiPriority w:val="99"/>
    <w:rPr>
      <w:rFonts w:ascii="黑体" w:eastAsia="黑体"/>
      <w:b/>
      <w:kern w:val="2"/>
      <w:sz w:val="24"/>
      <w:lang w:val="en-US" w:eastAsia="zh-CN"/>
    </w:rPr>
  </w:style>
  <w:style w:type="character" w:customStyle="1" w:styleId="141">
    <w:name w:val="Font Style203"/>
    <w:qFormat/>
    <w:uiPriority w:val="99"/>
    <w:rPr>
      <w:rFonts w:ascii="宋体" w:eastAsia="宋体"/>
      <w:b/>
      <w:spacing w:val="-10"/>
      <w:sz w:val="28"/>
    </w:rPr>
  </w:style>
  <w:style w:type="character" w:customStyle="1" w:styleId="142">
    <w:name w:val="zw1"/>
    <w:qFormat/>
    <w:uiPriority w:val="99"/>
    <w:rPr>
      <w:rFonts w:ascii="宋体" w:hAnsi="宋体" w:eastAsia="宋体"/>
      <w:sz w:val="22"/>
    </w:rPr>
  </w:style>
  <w:style w:type="character" w:customStyle="1" w:styleId="143">
    <w:name w:val="detail1"/>
    <w:qFormat/>
    <w:uiPriority w:val="99"/>
    <w:rPr>
      <w:rFonts w:ascii="??" w:hAnsi="??"/>
      <w:sz w:val="21"/>
      <w:u w:val="none"/>
    </w:rPr>
  </w:style>
  <w:style w:type="character" w:customStyle="1" w:styleId="144">
    <w:name w:val="正文1 Char Char"/>
    <w:qFormat/>
    <w:uiPriority w:val="99"/>
    <w:rPr>
      <w:snapToGrid w:val="0"/>
      <w:kern w:val="21"/>
      <w:sz w:val="21"/>
    </w:rPr>
  </w:style>
  <w:style w:type="character" w:customStyle="1" w:styleId="145">
    <w:name w:val="标题 2 Char"/>
    <w:qFormat/>
    <w:uiPriority w:val="99"/>
    <w:rPr>
      <w:rFonts w:ascii="Arial" w:hAnsi="Arial" w:eastAsia="黑体"/>
      <w:snapToGrid w:val="0"/>
      <w:spacing w:val="10"/>
      <w:w w:val="90"/>
      <w:kern w:val="28"/>
      <w:sz w:val="28"/>
      <w:lang w:val="en-US" w:eastAsia="zh-CN"/>
    </w:rPr>
  </w:style>
  <w:style w:type="character" w:customStyle="1" w:styleId="146">
    <w:name w:val="No Spacing Char Char"/>
    <w:link w:val="147"/>
    <w:qFormat/>
    <w:locked/>
    <w:uiPriority w:val="99"/>
    <w:rPr>
      <w:rFonts w:ascii="Calibri" w:hAnsi="Calibri"/>
      <w:sz w:val="22"/>
      <w:szCs w:val="22"/>
      <w:lang w:val="en-US" w:eastAsia="zh-CN" w:bidi="ar-SA"/>
    </w:rPr>
  </w:style>
  <w:style w:type="paragraph" w:customStyle="1" w:styleId="147">
    <w:name w:val="无间隔1"/>
    <w:link w:val="146"/>
    <w:qFormat/>
    <w:uiPriority w:val="99"/>
    <w:rPr>
      <w:rFonts w:ascii="Calibri" w:hAnsi="Calibri" w:eastAsia="宋体" w:cs="Times New Roman"/>
      <w:sz w:val="22"/>
      <w:szCs w:val="22"/>
      <w:lang w:val="en-US" w:eastAsia="zh-CN" w:bidi="ar-SA"/>
    </w:rPr>
  </w:style>
  <w:style w:type="character" w:customStyle="1" w:styleId="148">
    <w:name w:val="large1"/>
    <w:qFormat/>
    <w:uiPriority w:val="99"/>
    <w:rPr>
      <w:rFonts w:ascii="宋体" w:hAnsi="宋体" w:eastAsia="宋体"/>
      <w:sz w:val="22"/>
    </w:rPr>
  </w:style>
  <w:style w:type="character" w:customStyle="1" w:styleId="149">
    <w:name w:val="Font Style194"/>
    <w:qFormat/>
    <w:uiPriority w:val="99"/>
    <w:rPr>
      <w:rFonts w:ascii="宋体" w:eastAsia="宋体"/>
      <w:b/>
      <w:sz w:val="18"/>
    </w:rPr>
  </w:style>
  <w:style w:type="character" w:customStyle="1" w:styleId="150">
    <w:name w:val="Char Char11"/>
    <w:qFormat/>
    <w:uiPriority w:val="99"/>
    <w:rPr>
      <w:rFonts w:ascii="Arial" w:hAnsi="Arial" w:eastAsia="黑体"/>
      <w:kern w:val="2"/>
      <w:sz w:val="24"/>
    </w:rPr>
  </w:style>
  <w:style w:type="character" w:customStyle="1" w:styleId="151">
    <w:name w:val="Char Char10"/>
    <w:qFormat/>
    <w:uiPriority w:val="99"/>
    <w:rPr>
      <w:rFonts w:eastAsia="宋体"/>
      <w:b/>
      <w:spacing w:val="10"/>
      <w:kern w:val="2"/>
      <w:sz w:val="32"/>
      <w:lang w:val="en-US" w:eastAsia="zh-CN"/>
    </w:rPr>
  </w:style>
  <w:style w:type="character" w:customStyle="1" w:styleId="152">
    <w:name w:val="节标题 Char1"/>
    <w:qFormat/>
    <w:uiPriority w:val="99"/>
    <w:rPr>
      <w:rFonts w:ascii="Arial" w:hAnsi="Arial" w:eastAsia="黑体"/>
      <w:b/>
      <w:kern w:val="2"/>
      <w:sz w:val="32"/>
      <w:lang w:val="en-US" w:eastAsia="zh-CN"/>
    </w:rPr>
  </w:style>
  <w:style w:type="character" w:customStyle="1" w:styleId="153">
    <w:name w:val="cont2"/>
    <w:basedOn w:val="47"/>
    <w:qFormat/>
    <w:uiPriority w:val="99"/>
    <w:rPr>
      <w:rFonts w:cs="Times New Roman"/>
    </w:rPr>
  </w:style>
  <w:style w:type="character" w:customStyle="1" w:styleId="154">
    <w:name w:val="样式 正文首行缩进 + 首行缩进:  1 字符2 + 首行缩进:  2 字符 Char Char"/>
    <w:link w:val="155"/>
    <w:qFormat/>
    <w:locked/>
    <w:uiPriority w:val="99"/>
    <w:rPr>
      <w:rFonts w:ascii="宋体" w:eastAsia="宋体"/>
      <w:sz w:val="24"/>
      <w:lang w:val="zh-CN"/>
    </w:rPr>
  </w:style>
  <w:style w:type="paragraph" w:customStyle="1" w:styleId="155">
    <w:name w:val="样式 正文首行缩进 + 首行缩进:  1 字符2 + 首行缩进:  2 字符"/>
    <w:basedOn w:val="1"/>
    <w:link w:val="154"/>
    <w:qFormat/>
    <w:uiPriority w:val="99"/>
    <w:pPr>
      <w:tabs>
        <w:tab w:val="left" w:pos="1575"/>
      </w:tabs>
      <w:spacing w:line="360" w:lineRule="auto"/>
      <w:ind w:firstLine="480" w:firstLineChars="200"/>
    </w:pPr>
    <w:rPr>
      <w:rFonts w:ascii="宋体"/>
      <w:kern w:val="0"/>
      <w:sz w:val="24"/>
      <w:lang w:val="zh-CN"/>
    </w:rPr>
  </w:style>
  <w:style w:type="character" w:customStyle="1" w:styleId="156">
    <w:name w:val="Char Char13"/>
    <w:qFormat/>
    <w:uiPriority w:val="99"/>
    <w:rPr>
      <w:rFonts w:ascii="宋体" w:hAnsi="宋体" w:eastAsia="黑体"/>
      <w:kern w:val="2"/>
      <w:sz w:val="24"/>
    </w:rPr>
  </w:style>
  <w:style w:type="character" w:customStyle="1" w:styleId="157">
    <w:name w:val="Char Char8"/>
    <w:qFormat/>
    <w:uiPriority w:val="99"/>
    <w:rPr>
      <w:rFonts w:eastAsia="宋体"/>
      <w:spacing w:val="10"/>
      <w:kern w:val="24"/>
      <w:sz w:val="24"/>
      <w:lang w:val="en-US" w:eastAsia="zh-CN"/>
    </w:rPr>
  </w:style>
  <w:style w:type="character" w:customStyle="1" w:styleId="158">
    <w:name w:val="页眉 Char"/>
    <w:link w:val="29"/>
    <w:qFormat/>
    <w:locked/>
    <w:uiPriority w:val="99"/>
    <w:rPr>
      <w:rFonts w:eastAsia="宋体"/>
      <w:kern w:val="2"/>
      <w:sz w:val="18"/>
      <w:lang w:val="en-US" w:eastAsia="zh-CN"/>
    </w:rPr>
  </w:style>
  <w:style w:type="character" w:customStyle="1" w:styleId="159">
    <w:name w:val="不明显强调1"/>
    <w:qFormat/>
    <w:uiPriority w:val="99"/>
    <w:rPr>
      <w:i/>
      <w:color w:val="808080"/>
    </w:rPr>
  </w:style>
  <w:style w:type="character" w:customStyle="1" w:styleId="160">
    <w:name w:val="正文1 Char"/>
    <w:qFormat/>
    <w:uiPriority w:val="99"/>
    <w:rPr>
      <w:rFonts w:eastAsia="宋体"/>
      <w:snapToGrid w:val="0"/>
      <w:kern w:val="21"/>
      <w:sz w:val="21"/>
      <w:lang w:val="en-US" w:eastAsia="zh-CN"/>
    </w:rPr>
  </w:style>
  <w:style w:type="character" w:customStyle="1" w:styleId="161">
    <w:name w:val="style11"/>
    <w:qFormat/>
    <w:uiPriority w:val="99"/>
    <w:rPr>
      <w:rFonts w:ascii="Arial" w:hAnsi="Arial"/>
      <w:sz w:val="21"/>
    </w:rPr>
  </w:style>
  <w:style w:type="character" w:customStyle="1" w:styleId="162">
    <w:name w:val="标题 2 Char1"/>
    <w:link w:val="3"/>
    <w:qFormat/>
    <w:locked/>
    <w:uiPriority w:val="99"/>
    <w:rPr>
      <w:rFonts w:ascii="Arial" w:hAnsi="Arial" w:eastAsia="黑体"/>
      <w:b/>
      <w:kern w:val="2"/>
      <w:sz w:val="32"/>
      <w:lang w:val="en-US" w:eastAsia="zh-CN"/>
    </w:rPr>
  </w:style>
  <w:style w:type="character" w:customStyle="1" w:styleId="163">
    <w:name w:val="标题 3 Char3"/>
    <w:qFormat/>
    <w:uiPriority w:val="99"/>
    <w:rPr>
      <w:rFonts w:eastAsia="宋体"/>
      <w:b/>
      <w:kern w:val="2"/>
      <w:sz w:val="32"/>
      <w:lang w:val="en-US" w:eastAsia="zh-CN"/>
    </w:rPr>
  </w:style>
  <w:style w:type="character" w:customStyle="1" w:styleId="164">
    <w:name w:val="无间隔 Char"/>
    <w:link w:val="165"/>
    <w:qFormat/>
    <w:locked/>
    <w:uiPriority w:val="99"/>
    <w:rPr>
      <w:rFonts w:ascii="Calibri" w:hAnsi="Calibri"/>
      <w:sz w:val="22"/>
      <w:szCs w:val="22"/>
      <w:lang w:val="en-US" w:eastAsia="zh-CN" w:bidi="ar-SA"/>
    </w:rPr>
  </w:style>
  <w:style w:type="paragraph" w:customStyle="1" w:styleId="165">
    <w:name w:val="无间隔2"/>
    <w:link w:val="164"/>
    <w:qFormat/>
    <w:uiPriority w:val="99"/>
    <w:rPr>
      <w:rFonts w:ascii="Calibri" w:hAnsi="Calibri" w:eastAsia="宋体" w:cs="Times New Roman"/>
      <w:sz w:val="22"/>
      <w:szCs w:val="22"/>
      <w:lang w:val="en-US" w:eastAsia="zh-CN" w:bidi="ar-SA"/>
    </w:rPr>
  </w:style>
  <w:style w:type="character" w:customStyle="1" w:styleId="166">
    <w:name w:val="h2 Char"/>
    <w:uiPriority w:val="99"/>
    <w:rPr>
      <w:rFonts w:ascii="Arial" w:hAnsi="Arial" w:eastAsia="黑体"/>
      <w:b/>
      <w:kern w:val="2"/>
      <w:sz w:val="32"/>
      <w:lang w:val="en-US" w:eastAsia="zh-CN"/>
    </w:rPr>
  </w:style>
  <w:style w:type="character" w:customStyle="1" w:styleId="167">
    <w:name w:val="style81"/>
    <w:uiPriority w:val="99"/>
    <w:rPr>
      <w:sz w:val="24"/>
    </w:rPr>
  </w:style>
  <w:style w:type="character" w:customStyle="1" w:styleId="168">
    <w:name w:val="ed11"/>
    <w:uiPriority w:val="99"/>
    <w:rPr>
      <w:b/>
      <w:color w:val="05006C"/>
      <w:sz w:val="33"/>
    </w:rPr>
  </w:style>
  <w:style w:type="character" w:customStyle="1" w:styleId="169">
    <w:name w:val="s c c"/>
    <w:basedOn w:val="47"/>
    <w:uiPriority w:val="99"/>
    <w:rPr>
      <w:rFonts w:cs="Times New Roman"/>
    </w:rPr>
  </w:style>
  <w:style w:type="character" w:customStyle="1" w:styleId="170">
    <w:name w:val="正文（首行缩进2字） Char"/>
    <w:uiPriority w:val="99"/>
    <w:rPr>
      <w:rFonts w:eastAsia="宋体"/>
      <w:kern w:val="2"/>
      <w:sz w:val="30"/>
      <w:lang w:val="en-US" w:eastAsia="zh-CN"/>
    </w:rPr>
  </w:style>
  <w:style w:type="paragraph" w:customStyle="1" w:styleId="171">
    <w:name w:val="Char Char Char Char Char Char Char"/>
    <w:basedOn w:val="1"/>
    <w:uiPriority w:val="99"/>
    <w:pPr>
      <w:spacing w:line="360" w:lineRule="auto"/>
    </w:pPr>
    <w:rPr>
      <w:sz w:val="24"/>
      <w:szCs w:val="24"/>
    </w:rPr>
  </w:style>
  <w:style w:type="paragraph" w:customStyle="1" w:styleId="172">
    <w:name w:val="列出段落1"/>
    <w:basedOn w:val="1"/>
    <w:uiPriority w:val="0"/>
    <w:pPr>
      <w:ind w:firstLine="420" w:firstLineChars="200"/>
    </w:pPr>
    <w:rPr>
      <w:szCs w:val="24"/>
    </w:rPr>
  </w:style>
  <w:style w:type="paragraph" w:customStyle="1" w:styleId="173">
    <w:name w:val="xl125"/>
    <w:basedOn w:val="1"/>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174">
    <w:name w:val="样式2"/>
    <w:basedOn w:val="1"/>
    <w:uiPriority w:val="99"/>
    <w:pPr>
      <w:tabs>
        <w:tab w:val="left" w:pos="360"/>
      </w:tabs>
      <w:adjustRightInd w:val="0"/>
      <w:snapToGrid w:val="0"/>
      <w:spacing w:beforeLines="50" w:line="300" w:lineRule="auto"/>
    </w:pPr>
    <w:rPr>
      <w:spacing w:val="20"/>
      <w:kern w:val="0"/>
      <w:sz w:val="24"/>
    </w:rPr>
  </w:style>
  <w:style w:type="paragraph" w:customStyle="1" w:styleId="175">
    <w:name w:val="标准表格"/>
    <w:basedOn w:val="1"/>
    <w:uiPriority w:val="99"/>
    <w:pPr>
      <w:tabs>
        <w:tab w:val="left" w:pos="0"/>
      </w:tabs>
      <w:adjustRightInd w:val="0"/>
      <w:spacing w:line="360" w:lineRule="exact"/>
      <w:jc w:val="center"/>
      <w:textAlignment w:val="center"/>
    </w:pPr>
    <w:rPr>
      <w:rFonts w:ascii="宋体" w:hAnsi="宋体"/>
      <w:kern w:val="0"/>
    </w:rPr>
  </w:style>
  <w:style w:type="paragraph" w:customStyle="1" w:styleId="176">
    <w:name w:val="xl86"/>
    <w:basedOn w:val="1"/>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77">
    <w:name w:val="char"/>
    <w:basedOn w:val="1"/>
    <w:qFormat/>
    <w:uiPriority w:val="99"/>
    <w:pPr>
      <w:widowControl/>
      <w:spacing w:after="160" w:line="240" w:lineRule="exact"/>
      <w:jc w:val="left"/>
    </w:pPr>
    <w:rPr>
      <w:szCs w:val="24"/>
    </w:rPr>
  </w:style>
  <w:style w:type="paragraph" w:customStyle="1" w:styleId="178">
    <w:name w:val="xl8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24"/>
      <w:szCs w:val="24"/>
    </w:rPr>
  </w:style>
  <w:style w:type="paragraph" w:customStyle="1" w:styleId="179">
    <w:name w:val="Char1"/>
    <w:basedOn w:val="1"/>
    <w:qFormat/>
    <w:uiPriority w:val="99"/>
  </w:style>
  <w:style w:type="paragraph" w:customStyle="1" w:styleId="180">
    <w:name w:val="font20"/>
    <w:basedOn w:val="1"/>
    <w:uiPriority w:val="99"/>
    <w:pPr>
      <w:widowControl/>
      <w:spacing w:before="100" w:beforeAutospacing="1" w:after="100" w:afterAutospacing="1"/>
      <w:jc w:val="left"/>
    </w:pPr>
    <w:rPr>
      <w:kern w:val="0"/>
      <w:sz w:val="20"/>
    </w:rPr>
  </w:style>
  <w:style w:type="paragraph" w:customStyle="1" w:styleId="181">
    <w:name w:val="正文(首行缩进)"/>
    <w:basedOn w:val="1"/>
    <w:uiPriority w:val="99"/>
    <w:pPr>
      <w:tabs>
        <w:tab w:val="left" w:pos="4584"/>
      </w:tabs>
      <w:adjustRightInd w:val="0"/>
      <w:spacing w:beforeLines="50" w:line="560" w:lineRule="exact"/>
      <w:ind w:firstLine="600" w:firstLineChars="200"/>
    </w:pPr>
    <w:rPr>
      <w:rFonts w:ascii="宋体" w:hAnsi="宋体"/>
      <w:spacing w:val="10"/>
      <w:kern w:val="0"/>
      <w:sz w:val="28"/>
    </w:rPr>
  </w:style>
  <w:style w:type="paragraph" w:customStyle="1" w:styleId="182">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83">
    <w:name w:val="Style47"/>
    <w:basedOn w:val="1"/>
    <w:qFormat/>
    <w:uiPriority w:val="99"/>
    <w:pPr>
      <w:adjustRightInd w:val="0"/>
      <w:jc w:val="left"/>
    </w:pPr>
    <w:rPr>
      <w:rFonts w:ascii="宋体"/>
      <w:kern w:val="0"/>
      <w:sz w:val="24"/>
      <w:szCs w:val="24"/>
    </w:rPr>
  </w:style>
  <w:style w:type="paragraph" w:customStyle="1" w:styleId="184">
    <w:name w:val="xl32"/>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16"/>
      <w:szCs w:val="16"/>
    </w:rPr>
  </w:style>
  <w:style w:type="paragraph" w:customStyle="1" w:styleId="185">
    <w:name w:val="xl7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186">
    <w:name w:val="font19"/>
    <w:basedOn w:val="1"/>
    <w:uiPriority w:val="99"/>
    <w:pPr>
      <w:widowControl/>
      <w:spacing w:before="100" w:beforeAutospacing="1" w:after="100" w:afterAutospacing="1"/>
      <w:jc w:val="left"/>
    </w:pPr>
    <w:rPr>
      <w:rFonts w:ascii="宋体" w:hAnsi="宋体" w:cs="Arial Unicode MS"/>
      <w:kern w:val="0"/>
      <w:sz w:val="20"/>
    </w:rPr>
  </w:style>
  <w:style w:type="paragraph" w:customStyle="1" w:styleId="187">
    <w:name w:val="Char Char Char Char Char Char Char Char Char Char Char1 Char Char Char Char Char Char Char"/>
    <w:basedOn w:val="1"/>
    <w:uiPriority w:val="99"/>
    <w:rPr>
      <w:szCs w:val="24"/>
    </w:rPr>
  </w:style>
  <w:style w:type="paragraph" w:customStyle="1" w:styleId="188">
    <w:name w:val="xl36"/>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20"/>
    </w:rPr>
  </w:style>
  <w:style w:type="paragraph" w:customStyle="1" w:styleId="189">
    <w:name w:val="xl105"/>
    <w:basedOn w:val="1"/>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color w:val="FF0000"/>
      <w:kern w:val="0"/>
      <w:sz w:val="24"/>
      <w:szCs w:val="24"/>
    </w:rPr>
  </w:style>
  <w:style w:type="paragraph" w:customStyle="1" w:styleId="190">
    <w:name w:val="p0"/>
    <w:basedOn w:val="1"/>
    <w:uiPriority w:val="99"/>
    <w:pPr>
      <w:widowControl/>
    </w:pPr>
    <w:rPr>
      <w:rFonts w:ascii="Calibri" w:hAnsi="Calibri" w:cs="宋体"/>
      <w:kern w:val="0"/>
      <w:szCs w:val="21"/>
    </w:rPr>
  </w:style>
  <w:style w:type="paragraph" w:customStyle="1" w:styleId="191">
    <w:name w:val="xl97"/>
    <w:basedOn w:val="1"/>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color w:val="008000"/>
      <w:kern w:val="0"/>
      <w:sz w:val="24"/>
      <w:szCs w:val="24"/>
    </w:rPr>
  </w:style>
  <w:style w:type="paragraph" w:customStyle="1" w:styleId="192">
    <w:name w:val="xl124"/>
    <w:basedOn w:val="1"/>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193">
    <w:name w:val="表格"/>
    <w:basedOn w:val="1"/>
    <w:link w:val="418"/>
    <w:qFormat/>
    <w:uiPriority w:val="99"/>
    <w:pPr>
      <w:widowControl/>
      <w:snapToGrid w:val="0"/>
      <w:jc w:val="center"/>
    </w:pPr>
    <w:rPr>
      <w:kern w:val="0"/>
      <w:sz w:val="24"/>
    </w:rPr>
  </w:style>
  <w:style w:type="paragraph" w:customStyle="1" w:styleId="194">
    <w:name w:val="表格03"/>
    <w:basedOn w:val="1"/>
    <w:uiPriority w:val="99"/>
    <w:pPr>
      <w:adjustRightInd w:val="0"/>
      <w:spacing w:line="400" w:lineRule="exact"/>
      <w:jc w:val="center"/>
      <w:textAlignment w:val="baseline"/>
    </w:pPr>
  </w:style>
  <w:style w:type="paragraph" w:customStyle="1" w:styleId="195">
    <w:name w:val="xl30"/>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96">
    <w:name w:val="xl71"/>
    <w:basedOn w:val="1"/>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97">
    <w:name w:val="font9"/>
    <w:basedOn w:val="1"/>
    <w:uiPriority w:val="99"/>
    <w:pPr>
      <w:widowControl/>
      <w:spacing w:before="100" w:beforeAutospacing="1" w:after="100" w:afterAutospacing="1"/>
      <w:jc w:val="left"/>
    </w:pPr>
    <w:rPr>
      <w:rFonts w:ascii="Arial" w:hAnsi="Arial" w:cs="Arial"/>
      <w:kern w:val="0"/>
      <w:sz w:val="12"/>
      <w:szCs w:val="12"/>
    </w:rPr>
  </w:style>
  <w:style w:type="paragraph" w:customStyle="1" w:styleId="198">
    <w:name w:val="xl61"/>
    <w:basedOn w:val="1"/>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99">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0">
    <w:name w:val="纯文本1"/>
    <w:basedOn w:val="1"/>
    <w:qFormat/>
    <w:uiPriority w:val="99"/>
    <w:pPr>
      <w:adjustRightInd w:val="0"/>
      <w:textAlignment w:val="baseline"/>
    </w:pPr>
    <w:rPr>
      <w:rFonts w:ascii="宋体" w:hAnsi="Courier New"/>
      <w:color w:val="000000"/>
      <w:kern w:val="0"/>
    </w:rPr>
  </w:style>
  <w:style w:type="paragraph" w:customStyle="1" w:styleId="201">
    <w:name w:val="xl70"/>
    <w:basedOn w:val="1"/>
    <w:qFormat/>
    <w:uiPriority w:val="99"/>
    <w:pPr>
      <w:widowControl/>
      <w:spacing w:before="100" w:after="100"/>
      <w:jc w:val="center"/>
    </w:pPr>
    <w:rPr>
      <w:kern w:val="0"/>
      <w:sz w:val="24"/>
    </w:rPr>
  </w:style>
  <w:style w:type="paragraph" w:customStyle="1" w:styleId="202">
    <w:name w:val="xl63"/>
    <w:basedOn w:val="1"/>
    <w:qFormat/>
    <w:uiPriority w:val="99"/>
    <w:pPr>
      <w:widowControl/>
      <w:pBdr>
        <w:top w:val="single" w:color="auto" w:sz="4" w:space="0"/>
        <w:left w:val="single" w:color="auto" w:sz="4" w:space="0"/>
      </w:pBdr>
      <w:spacing w:before="100" w:beforeAutospacing="1" w:after="100" w:afterAutospacing="1"/>
      <w:jc w:val="center"/>
    </w:pPr>
    <w:rPr>
      <w:color w:val="FF0000"/>
      <w:kern w:val="0"/>
      <w:sz w:val="24"/>
      <w:szCs w:val="24"/>
    </w:rPr>
  </w:style>
  <w:style w:type="paragraph" w:customStyle="1" w:styleId="203">
    <w:name w:val="样式1"/>
    <w:basedOn w:val="1"/>
    <w:qFormat/>
    <w:uiPriority w:val="99"/>
    <w:rPr>
      <w:sz w:val="24"/>
    </w:rPr>
  </w:style>
  <w:style w:type="paragraph" w:customStyle="1" w:styleId="204">
    <w:name w:val="Char2"/>
    <w:basedOn w:val="1"/>
    <w:qFormat/>
    <w:uiPriority w:val="99"/>
    <w:pPr>
      <w:ind w:left="510"/>
    </w:pPr>
    <w:rPr>
      <w:szCs w:val="24"/>
    </w:rPr>
  </w:style>
  <w:style w:type="paragraph" w:customStyle="1" w:styleId="205">
    <w:name w:val="xl93"/>
    <w:basedOn w:val="1"/>
    <w:uiPriority w:val="99"/>
    <w:pPr>
      <w:widowControl/>
      <w:pBdr>
        <w:top w:val="single" w:color="auto" w:sz="4" w:space="0"/>
        <w:left w:val="single" w:color="auto" w:sz="12"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06">
    <w:name w:val="样式4"/>
    <w:basedOn w:val="203"/>
    <w:qFormat/>
    <w:uiPriority w:val="99"/>
  </w:style>
  <w:style w:type="paragraph" w:customStyle="1" w:styleId="207">
    <w:name w:val="xl128"/>
    <w:basedOn w:val="1"/>
    <w:uiPriority w:val="99"/>
    <w:pPr>
      <w:widowControl/>
      <w:pBdr>
        <w:top w:val="single" w:color="auto" w:sz="4"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208">
    <w:name w:val="xl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09">
    <w:name w:val="reader-word-layer reader-word-s3-1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0">
    <w:name w:val="xl83"/>
    <w:basedOn w:val="1"/>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211">
    <w:name w:val="封面标准文稿编辑信息"/>
    <w:uiPriority w:val="99"/>
    <w:pPr>
      <w:spacing w:before="180" w:line="180" w:lineRule="exact"/>
      <w:jc w:val="center"/>
    </w:pPr>
    <w:rPr>
      <w:rFonts w:ascii="宋体" w:hAnsi="Times New Roman" w:eastAsia="宋体" w:cs="Times New Roman"/>
      <w:sz w:val="21"/>
      <w:lang w:val="en-US" w:eastAsia="zh-CN" w:bidi="ar-SA"/>
    </w:rPr>
  </w:style>
  <w:style w:type="paragraph" w:customStyle="1" w:styleId="212">
    <w:name w:val="标题5"/>
    <w:basedOn w:val="9"/>
    <w:qFormat/>
    <w:uiPriority w:val="99"/>
    <w:pPr>
      <w:tabs>
        <w:tab w:val="left" w:pos="1260"/>
      </w:tabs>
      <w:adjustRightInd/>
      <w:spacing w:line="240" w:lineRule="auto"/>
      <w:ind w:left="1260" w:hanging="420"/>
      <w:jc w:val="both"/>
      <w:textAlignment w:val="auto"/>
    </w:pPr>
    <w:rPr>
      <w:b/>
      <w:spacing w:val="10"/>
      <w:kern w:val="2"/>
      <w:sz w:val="28"/>
    </w:rPr>
  </w:style>
  <w:style w:type="paragraph" w:customStyle="1" w:styleId="213">
    <w:name w:val="xl7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214">
    <w:name w:val="批注框文本 Char Char"/>
    <w:basedOn w:val="1"/>
    <w:qFormat/>
    <w:uiPriority w:val="99"/>
    <w:pPr>
      <w:adjustRightInd w:val="0"/>
      <w:spacing w:line="360" w:lineRule="atLeast"/>
      <w:jc w:val="left"/>
      <w:textAlignment w:val="baseline"/>
    </w:pPr>
    <w:rPr>
      <w:kern w:val="0"/>
      <w:sz w:val="18"/>
    </w:rPr>
  </w:style>
  <w:style w:type="paragraph" w:customStyle="1" w:styleId="215">
    <w:name w:val="a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6">
    <w:name w:val="xl1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217">
    <w:name w:val="xl76"/>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color w:val="008000"/>
      <w:kern w:val="0"/>
      <w:sz w:val="24"/>
      <w:szCs w:val="24"/>
    </w:rPr>
  </w:style>
  <w:style w:type="paragraph" w:customStyle="1" w:styleId="218">
    <w:name w:val="环评正文"/>
    <w:basedOn w:val="2"/>
    <w:qFormat/>
    <w:uiPriority w:val="99"/>
    <w:pPr>
      <w:keepNext w:val="0"/>
      <w:spacing w:beforeLines="100" w:afterLines="50" w:line="400" w:lineRule="exact"/>
      <w:ind w:firstLine="480"/>
      <w:outlineLvl w:val="9"/>
    </w:pPr>
    <w:rPr>
      <w:rFonts w:ascii="Times New Roman" w:eastAsia="仿宋_GB2312"/>
      <w:kern w:val="44"/>
      <w:sz w:val="24"/>
    </w:rPr>
  </w:style>
  <w:style w:type="paragraph" w:customStyle="1" w:styleId="219">
    <w:name w:val="xl113"/>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000000"/>
      <w:kern w:val="0"/>
      <w:sz w:val="24"/>
      <w:szCs w:val="24"/>
    </w:rPr>
  </w:style>
  <w:style w:type="paragraph" w:customStyle="1" w:styleId="220">
    <w:name w:val="xl108"/>
    <w:basedOn w:val="1"/>
    <w:qFormat/>
    <w:uiPriority w:val="99"/>
    <w:pPr>
      <w:widowControl/>
      <w:pBdr>
        <w:top w:val="single" w:color="auto" w:sz="4" w:space="0"/>
        <w:bottom w:val="single" w:color="auto" w:sz="4" w:space="0"/>
      </w:pBdr>
      <w:spacing w:before="100" w:beforeAutospacing="1" w:after="100" w:afterAutospacing="1"/>
      <w:jc w:val="left"/>
    </w:pPr>
    <w:rPr>
      <w:color w:val="FF0000"/>
      <w:kern w:val="0"/>
      <w:sz w:val="24"/>
      <w:szCs w:val="24"/>
    </w:rPr>
  </w:style>
  <w:style w:type="paragraph" w:customStyle="1" w:styleId="221">
    <w:name w:val="默认段落字体 Para Char Char Char Char"/>
    <w:basedOn w:val="1"/>
    <w:qFormat/>
    <w:uiPriority w:val="99"/>
    <w:rPr>
      <w:szCs w:val="24"/>
    </w:rPr>
  </w:style>
  <w:style w:type="paragraph" w:customStyle="1" w:styleId="222">
    <w:name w:val="Char Char Char Char"/>
    <w:basedOn w:val="1"/>
    <w:qFormat/>
    <w:uiPriority w:val="99"/>
  </w:style>
  <w:style w:type="paragraph" w:customStyle="1" w:styleId="223">
    <w:name w:val="font6"/>
    <w:basedOn w:val="1"/>
    <w:qFormat/>
    <w:uiPriority w:val="99"/>
    <w:pPr>
      <w:widowControl/>
      <w:spacing w:before="100" w:beforeAutospacing="1" w:after="100" w:afterAutospacing="1"/>
      <w:jc w:val="left"/>
    </w:pPr>
    <w:rPr>
      <w:rFonts w:ascii="宋体" w:hAnsi="宋体"/>
      <w:kern w:val="0"/>
      <w:sz w:val="16"/>
      <w:szCs w:val="16"/>
    </w:rPr>
  </w:style>
  <w:style w:type="paragraph" w:customStyle="1" w:styleId="224">
    <w:name w:val="xl77"/>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25">
    <w:name w:val="表"/>
    <w:basedOn w:val="1"/>
    <w:qFormat/>
    <w:uiPriority w:val="99"/>
    <w:pPr>
      <w:ind w:right="-48" w:rightChars="-48"/>
    </w:pPr>
    <w:rPr>
      <w:kern w:val="0"/>
    </w:rPr>
  </w:style>
  <w:style w:type="paragraph" w:customStyle="1" w:styleId="226">
    <w:name w:val="Char Char Char Char Char Char Char1"/>
    <w:basedOn w:val="1"/>
    <w:qFormat/>
    <w:uiPriority w:val="99"/>
    <w:rPr>
      <w:szCs w:val="24"/>
    </w:rPr>
  </w:style>
  <w:style w:type="paragraph" w:customStyle="1" w:styleId="227">
    <w:name w:val="xl11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28">
    <w:name w:val="xl119"/>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29">
    <w:name w:val="样式1 + 加粗"/>
    <w:basedOn w:val="203"/>
    <w:qFormat/>
    <w:uiPriority w:val="99"/>
    <w:pPr>
      <w:spacing w:line="336" w:lineRule="auto"/>
    </w:pPr>
    <w:rPr>
      <w:rFonts w:eastAsia="黑体"/>
      <w:bCs/>
      <w:szCs w:val="24"/>
    </w:rPr>
  </w:style>
  <w:style w:type="paragraph" w:customStyle="1" w:styleId="230">
    <w:name w:val="xl6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rPr>
  </w:style>
  <w:style w:type="paragraph" w:customStyle="1" w:styleId="231">
    <w:name w:val="reader-word-layer reader-word-s3-13"/>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32">
    <w:name w:val="font7"/>
    <w:basedOn w:val="1"/>
    <w:qFormat/>
    <w:uiPriority w:val="99"/>
    <w:pPr>
      <w:widowControl/>
      <w:spacing w:before="100" w:beforeAutospacing="1" w:after="100" w:afterAutospacing="1"/>
      <w:jc w:val="left"/>
    </w:pPr>
    <w:rPr>
      <w:b/>
      <w:bCs/>
      <w:kern w:val="0"/>
      <w:sz w:val="20"/>
    </w:rPr>
  </w:style>
  <w:style w:type="paragraph" w:customStyle="1" w:styleId="233">
    <w:name w:val="xl12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34">
    <w:name w:val="Char4 Char Char Char"/>
    <w:basedOn w:val="1"/>
    <w:qFormat/>
    <w:uiPriority w:val="99"/>
    <w:pPr>
      <w:adjustRightInd w:val="0"/>
      <w:snapToGrid w:val="0"/>
      <w:spacing w:line="360" w:lineRule="auto"/>
      <w:ind w:firstLine="200" w:firstLineChars="200"/>
    </w:pPr>
    <w:rPr>
      <w:szCs w:val="24"/>
    </w:rPr>
  </w:style>
  <w:style w:type="paragraph" w:customStyle="1" w:styleId="235">
    <w:name w:val="日期1"/>
    <w:basedOn w:val="1"/>
    <w:next w:val="1"/>
    <w:qFormat/>
    <w:uiPriority w:val="99"/>
    <w:pPr>
      <w:adjustRightInd w:val="0"/>
      <w:textAlignment w:val="baseline"/>
    </w:pPr>
  </w:style>
  <w:style w:type="paragraph" w:customStyle="1" w:styleId="236">
    <w:name w:val="Style37"/>
    <w:basedOn w:val="1"/>
    <w:qFormat/>
    <w:uiPriority w:val="99"/>
    <w:pPr>
      <w:adjustRightInd w:val="0"/>
      <w:jc w:val="left"/>
    </w:pPr>
    <w:rPr>
      <w:rFonts w:ascii="宋体"/>
      <w:kern w:val="0"/>
      <w:sz w:val="24"/>
      <w:szCs w:val="24"/>
    </w:rPr>
  </w:style>
  <w:style w:type="paragraph" w:customStyle="1" w:styleId="237">
    <w:name w:val="表内字一"/>
    <w:basedOn w:val="238"/>
    <w:qFormat/>
    <w:uiPriority w:val="99"/>
    <w:pPr>
      <w:spacing w:line="280" w:lineRule="atLeast"/>
      <w:jc w:val="both"/>
    </w:pPr>
  </w:style>
  <w:style w:type="paragraph" w:customStyle="1" w:styleId="238">
    <w:name w:val="表内字"/>
    <w:basedOn w:val="1"/>
    <w:qFormat/>
    <w:uiPriority w:val="99"/>
    <w:pPr>
      <w:spacing w:before="80" w:after="80"/>
      <w:jc w:val="center"/>
    </w:pPr>
    <w:rPr>
      <w:color w:val="FF0000"/>
      <w:szCs w:val="24"/>
    </w:rPr>
  </w:style>
  <w:style w:type="paragraph" w:customStyle="1" w:styleId="239">
    <w:name w:val="xl121"/>
    <w:basedOn w:val="1"/>
    <w:qFormat/>
    <w:uiPriority w:val="99"/>
    <w:pPr>
      <w:widowControl/>
      <w:pBdr>
        <w:top w:val="single" w:color="auto" w:sz="4" w:space="0"/>
        <w:left w:val="single" w:color="auto" w:sz="4" w:space="0"/>
        <w:bottom w:val="single" w:color="auto" w:sz="4" w:space="0"/>
      </w:pBdr>
      <w:spacing w:before="100" w:beforeAutospacing="1" w:after="100" w:afterAutospacing="1"/>
    </w:pPr>
    <w:rPr>
      <w:kern w:val="0"/>
      <w:sz w:val="24"/>
      <w:szCs w:val="24"/>
    </w:rPr>
  </w:style>
  <w:style w:type="paragraph" w:customStyle="1" w:styleId="240">
    <w:name w:val="样式1 + 四号 居中"/>
    <w:basedOn w:val="203"/>
    <w:qFormat/>
    <w:uiPriority w:val="99"/>
    <w:pPr>
      <w:spacing w:line="336" w:lineRule="auto"/>
      <w:jc w:val="center"/>
    </w:pPr>
    <w:rPr>
      <w:sz w:val="28"/>
    </w:rPr>
  </w:style>
  <w:style w:type="paragraph" w:customStyle="1" w:styleId="241">
    <w:name w:val="Normal - Schedule"/>
    <w:qFormat/>
    <w:uiPriority w:val="99"/>
    <w:pPr>
      <w:tabs>
        <w:tab w:val="left" w:pos="454"/>
        <w:tab w:val="left" w:pos="907"/>
        <w:tab w:val="left" w:pos="1361"/>
        <w:tab w:val="left" w:pos="1814"/>
        <w:tab w:val="left" w:pos="2722"/>
      </w:tabs>
      <w:overflowPunct w:val="0"/>
      <w:autoSpaceDE w:val="0"/>
      <w:autoSpaceDN w:val="0"/>
      <w:adjustRightInd w:val="0"/>
      <w:spacing w:before="120"/>
      <w:textAlignment w:val="baseline"/>
    </w:pPr>
    <w:rPr>
      <w:rFonts w:ascii="Times New Roman" w:hAnsi="Times New Roman" w:eastAsia="宋体" w:cs="Times New Roman"/>
      <w:lang w:val="en-AU" w:eastAsia="en-US" w:bidi="ar-SA"/>
    </w:rPr>
  </w:style>
  <w:style w:type="paragraph" w:customStyle="1" w:styleId="242">
    <w:name w:val="表格文字样式"/>
    <w:basedOn w:val="1"/>
    <w:qFormat/>
    <w:uiPriority w:val="99"/>
    <w:pPr>
      <w:tabs>
        <w:tab w:val="left" w:pos="567"/>
      </w:tabs>
      <w:jc w:val="center"/>
    </w:pPr>
    <w:rPr>
      <w:rFonts w:eastAsia="华文中宋"/>
      <w:spacing w:val="20"/>
      <w:sz w:val="24"/>
    </w:rPr>
  </w:style>
  <w:style w:type="paragraph" w:customStyle="1" w:styleId="243">
    <w:name w:val="Char21"/>
    <w:basedOn w:val="1"/>
    <w:semiHidden/>
    <w:qFormat/>
    <w:uiPriority w:val="99"/>
    <w:pPr>
      <w:ind w:left="510"/>
    </w:pPr>
    <w:rPr>
      <w:szCs w:val="21"/>
    </w:rPr>
  </w:style>
  <w:style w:type="paragraph" w:customStyle="1" w:styleId="244">
    <w:name w:val="xl5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008000"/>
      <w:kern w:val="0"/>
      <w:sz w:val="24"/>
      <w:szCs w:val="24"/>
    </w:rPr>
  </w:style>
  <w:style w:type="paragraph" w:customStyle="1" w:styleId="245">
    <w:name w:val="xl59"/>
    <w:basedOn w:val="1"/>
    <w:qFormat/>
    <w:uiPriority w:val="99"/>
    <w:pPr>
      <w:widowControl/>
      <w:pBdr>
        <w:top w:val="single" w:color="auto" w:sz="4" w:space="0"/>
        <w:left w:val="single" w:color="auto" w:sz="4" w:space="0"/>
      </w:pBdr>
      <w:spacing w:before="100" w:beforeAutospacing="1" w:after="100" w:afterAutospacing="1"/>
      <w:jc w:val="center"/>
    </w:pPr>
    <w:rPr>
      <w:kern w:val="0"/>
      <w:sz w:val="24"/>
      <w:szCs w:val="24"/>
    </w:rPr>
  </w:style>
  <w:style w:type="paragraph" w:customStyle="1" w:styleId="246">
    <w:name w:val="1"/>
    <w:basedOn w:val="1"/>
    <w:next w:val="1"/>
    <w:qFormat/>
    <w:uiPriority w:val="99"/>
    <w:pPr>
      <w:jc w:val="center"/>
    </w:pPr>
  </w:style>
  <w:style w:type="paragraph" w:customStyle="1" w:styleId="247">
    <w:name w:val="附录章标题"/>
    <w:next w:val="199"/>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48">
    <w:name w:val="Style67"/>
    <w:basedOn w:val="1"/>
    <w:uiPriority w:val="99"/>
    <w:pPr>
      <w:adjustRightInd w:val="0"/>
      <w:jc w:val="left"/>
    </w:pPr>
    <w:rPr>
      <w:rFonts w:ascii="宋体"/>
      <w:kern w:val="0"/>
      <w:sz w:val="24"/>
      <w:szCs w:val="24"/>
    </w:rPr>
  </w:style>
  <w:style w:type="paragraph" w:customStyle="1" w:styleId="249">
    <w:name w:val="Char Char1 Char Char Char Char Char Char Char Char Char Char Char Char Char Char Char Char Char Char Char"/>
    <w:basedOn w:val="1"/>
    <w:qFormat/>
    <w:uiPriority w:val="99"/>
    <w:pPr>
      <w:widowControl/>
      <w:jc w:val="left"/>
    </w:pPr>
    <w:rPr>
      <w:rFonts w:ascii="宋体" w:hAnsi="宋体" w:cs="宋体"/>
      <w:color w:val="000000"/>
      <w:kern w:val="0"/>
      <w:sz w:val="24"/>
      <w:szCs w:val="24"/>
    </w:rPr>
  </w:style>
  <w:style w:type="paragraph" w:customStyle="1" w:styleId="250">
    <w:name w:val="font13"/>
    <w:basedOn w:val="1"/>
    <w:qFormat/>
    <w:uiPriority w:val="99"/>
    <w:pPr>
      <w:widowControl/>
      <w:spacing w:before="100" w:beforeAutospacing="1" w:after="100" w:afterAutospacing="1"/>
      <w:jc w:val="left"/>
    </w:pPr>
    <w:rPr>
      <w:color w:val="0000FF"/>
      <w:kern w:val="0"/>
      <w:sz w:val="16"/>
      <w:szCs w:val="16"/>
    </w:rPr>
  </w:style>
  <w:style w:type="paragraph" w:customStyle="1" w:styleId="251">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kern w:val="0"/>
      <w:sz w:val="16"/>
      <w:szCs w:val="16"/>
    </w:rPr>
  </w:style>
  <w:style w:type="paragraph" w:customStyle="1" w:styleId="252">
    <w:name w:val="xl49"/>
    <w:basedOn w:val="1"/>
    <w:uiPriority w:val="99"/>
    <w:pPr>
      <w:widowControl/>
      <w:pBdr>
        <w:left w:val="single" w:color="auto" w:sz="4" w:space="0"/>
        <w:bottom w:val="single" w:color="auto" w:sz="4" w:space="0"/>
      </w:pBdr>
      <w:spacing w:before="100" w:after="100"/>
      <w:jc w:val="center"/>
      <w:textAlignment w:val="center"/>
    </w:pPr>
    <w:rPr>
      <w:rFonts w:ascii="宋体" w:hAnsi="宋体"/>
      <w:kern w:val="0"/>
      <w:sz w:val="28"/>
      <w:szCs w:val="28"/>
    </w:rPr>
  </w:style>
  <w:style w:type="paragraph" w:customStyle="1" w:styleId="253">
    <w:name w:val="表格文字"/>
    <w:basedOn w:val="1"/>
    <w:qFormat/>
    <w:uiPriority w:val="99"/>
    <w:pPr>
      <w:adjustRightInd w:val="0"/>
      <w:spacing w:line="360" w:lineRule="atLeast"/>
      <w:jc w:val="center"/>
      <w:textAlignment w:val="baseline"/>
    </w:pPr>
    <w:rPr>
      <w:kern w:val="0"/>
    </w:rPr>
  </w:style>
  <w:style w:type="paragraph" w:customStyle="1" w:styleId="254">
    <w:name w:val="xl9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255">
    <w:name w:val="缺省文本_宋体"/>
    <w:basedOn w:val="1"/>
    <w:qFormat/>
    <w:uiPriority w:val="99"/>
    <w:pPr>
      <w:tabs>
        <w:tab w:val="left" w:pos="525"/>
        <w:tab w:val="center" w:pos="5670"/>
        <w:tab w:val="right" w:pos="7655"/>
      </w:tabs>
      <w:spacing w:before="80" w:after="120" w:line="360" w:lineRule="auto"/>
      <w:outlineLvl w:val="7"/>
    </w:pPr>
    <w:rPr>
      <w:spacing w:val="16"/>
      <w:kern w:val="28"/>
      <w:sz w:val="24"/>
    </w:rPr>
  </w:style>
  <w:style w:type="paragraph" w:customStyle="1" w:styleId="256">
    <w:name w:val="wg"/>
    <w:basedOn w:val="1"/>
    <w:qFormat/>
    <w:uiPriority w:val="99"/>
    <w:rPr>
      <w:sz w:val="28"/>
    </w:rPr>
  </w:style>
  <w:style w:type="paragraph" w:customStyle="1" w:styleId="257">
    <w:name w:val="xl40"/>
    <w:basedOn w:val="1"/>
    <w:qFormat/>
    <w:uiPriority w:val="99"/>
    <w:pPr>
      <w:widowControl/>
      <w:pBdr>
        <w:left w:val="single" w:color="auto" w:sz="8"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58">
    <w:name w:val="Style68"/>
    <w:basedOn w:val="1"/>
    <w:qFormat/>
    <w:uiPriority w:val="99"/>
    <w:pPr>
      <w:adjustRightInd w:val="0"/>
      <w:spacing w:line="274" w:lineRule="exact"/>
      <w:jc w:val="left"/>
    </w:pPr>
    <w:rPr>
      <w:rFonts w:ascii="宋体"/>
      <w:kern w:val="0"/>
      <w:sz w:val="24"/>
      <w:szCs w:val="24"/>
    </w:rPr>
  </w:style>
  <w:style w:type="paragraph" w:customStyle="1" w:styleId="259">
    <w:name w:val="xl10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260">
    <w:name w:val="xl54"/>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color w:val="FF0000"/>
      <w:kern w:val="0"/>
      <w:sz w:val="24"/>
      <w:szCs w:val="24"/>
    </w:rPr>
  </w:style>
  <w:style w:type="paragraph" w:customStyle="1" w:styleId="261">
    <w:name w:val="font17"/>
    <w:basedOn w:val="1"/>
    <w:qFormat/>
    <w:uiPriority w:val="99"/>
    <w:pPr>
      <w:widowControl/>
      <w:spacing w:before="100" w:beforeAutospacing="1" w:after="100" w:afterAutospacing="1"/>
      <w:jc w:val="left"/>
    </w:pPr>
    <w:rPr>
      <w:rFonts w:ascii="宋体" w:hAnsi="宋体" w:cs="Arial Unicode MS"/>
      <w:color w:val="008000"/>
      <w:kern w:val="0"/>
      <w:sz w:val="24"/>
      <w:szCs w:val="24"/>
    </w:rPr>
  </w:style>
  <w:style w:type="paragraph" w:customStyle="1" w:styleId="262">
    <w:name w:val="font22"/>
    <w:basedOn w:val="1"/>
    <w:qFormat/>
    <w:uiPriority w:val="99"/>
    <w:pPr>
      <w:widowControl/>
      <w:spacing w:before="100" w:beforeAutospacing="1" w:after="100" w:afterAutospacing="1"/>
      <w:jc w:val="left"/>
    </w:pPr>
    <w:rPr>
      <w:kern w:val="0"/>
      <w:szCs w:val="21"/>
    </w:rPr>
  </w:style>
  <w:style w:type="paragraph" w:customStyle="1" w:styleId="263">
    <w:name w:val="样式 正文（首行缩进两字） + 宋体"/>
    <w:basedOn w:val="9"/>
    <w:qFormat/>
    <w:uiPriority w:val="99"/>
    <w:pPr>
      <w:spacing w:line="240" w:lineRule="auto"/>
      <w:ind w:firstLine="0"/>
      <w:jc w:val="both"/>
      <w:textAlignment w:val="auto"/>
    </w:pPr>
    <w:rPr>
      <w:rFonts w:ascii="宋体" w:hAnsi="宋体"/>
      <w:kern w:val="2"/>
      <w:sz w:val="28"/>
    </w:rPr>
  </w:style>
  <w:style w:type="paragraph" w:customStyle="1" w:styleId="264">
    <w:name w:val="xl24"/>
    <w:basedOn w:val="1"/>
    <w:qFormat/>
    <w:uiPriority w:val="99"/>
    <w:pPr>
      <w:widowControl/>
      <w:spacing w:before="100" w:beforeAutospacing="1" w:after="100" w:afterAutospacing="1"/>
      <w:jc w:val="left"/>
      <w:textAlignment w:val="center"/>
    </w:pPr>
    <w:rPr>
      <w:kern w:val="0"/>
      <w:sz w:val="16"/>
      <w:szCs w:val="16"/>
    </w:rPr>
  </w:style>
  <w:style w:type="paragraph" w:customStyle="1" w:styleId="265">
    <w:name w:val="Char1 Char Char Char"/>
    <w:basedOn w:val="1"/>
    <w:qFormat/>
    <w:uiPriority w:val="99"/>
    <w:pPr>
      <w:widowControl/>
      <w:spacing w:after="160" w:line="240" w:lineRule="exact"/>
      <w:jc w:val="left"/>
    </w:pPr>
    <w:rPr>
      <w:rFonts w:ascii="Arial" w:hAnsi="Arial" w:cs="Verdana"/>
      <w:b/>
      <w:kern w:val="0"/>
      <w:sz w:val="24"/>
      <w:szCs w:val="24"/>
      <w:lang w:eastAsia="en-US"/>
    </w:rPr>
  </w:style>
  <w:style w:type="paragraph" w:customStyle="1" w:styleId="266">
    <w:name w:val="xl5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67">
    <w:name w:val="附录标识"/>
    <w:basedOn w:val="1"/>
    <w:qFormat/>
    <w:uiPriority w:val="99"/>
    <w:pPr>
      <w:widowControl/>
      <w:shd w:val="clear" w:color="FFFFFF" w:fill="FFFFFF"/>
      <w:tabs>
        <w:tab w:val="left" w:pos="6405"/>
      </w:tabs>
      <w:spacing w:before="640" w:after="200"/>
      <w:jc w:val="center"/>
      <w:outlineLvl w:val="0"/>
    </w:pPr>
    <w:rPr>
      <w:rFonts w:ascii="黑体" w:eastAsia="黑体"/>
      <w:kern w:val="0"/>
    </w:rPr>
  </w:style>
  <w:style w:type="paragraph" w:customStyle="1" w:styleId="268">
    <w:name w:val="Char Char Char Char Char Char Char Char Char Char"/>
    <w:basedOn w:val="1"/>
    <w:qFormat/>
    <w:uiPriority w:val="99"/>
    <w:rPr>
      <w:szCs w:val="24"/>
    </w:rPr>
  </w:style>
  <w:style w:type="paragraph" w:customStyle="1" w:styleId="269">
    <w:name w:val="附录五级条标题"/>
    <w:basedOn w:val="270"/>
    <w:next w:val="199"/>
    <w:qFormat/>
    <w:uiPriority w:val="99"/>
    <w:pPr>
      <w:outlineLvl w:val="6"/>
    </w:pPr>
  </w:style>
  <w:style w:type="paragraph" w:customStyle="1" w:styleId="270">
    <w:name w:val="附录四级条标题"/>
    <w:basedOn w:val="271"/>
    <w:next w:val="199"/>
    <w:qFormat/>
    <w:uiPriority w:val="99"/>
    <w:pPr>
      <w:outlineLvl w:val="5"/>
    </w:pPr>
  </w:style>
  <w:style w:type="paragraph" w:customStyle="1" w:styleId="271">
    <w:name w:val="附录三级条标题"/>
    <w:basedOn w:val="272"/>
    <w:next w:val="199"/>
    <w:qFormat/>
    <w:uiPriority w:val="99"/>
    <w:pPr>
      <w:outlineLvl w:val="4"/>
    </w:pPr>
  </w:style>
  <w:style w:type="paragraph" w:customStyle="1" w:styleId="272">
    <w:name w:val="附录二级条标题"/>
    <w:basedOn w:val="273"/>
    <w:next w:val="199"/>
    <w:qFormat/>
    <w:uiPriority w:val="99"/>
    <w:pPr>
      <w:outlineLvl w:val="3"/>
    </w:pPr>
  </w:style>
  <w:style w:type="paragraph" w:customStyle="1" w:styleId="273">
    <w:name w:val="附录一级条标题"/>
    <w:basedOn w:val="247"/>
    <w:next w:val="199"/>
    <w:qFormat/>
    <w:uiPriority w:val="99"/>
    <w:pPr>
      <w:autoSpaceDN w:val="0"/>
      <w:spacing w:beforeLines="0" w:afterLines="0"/>
      <w:outlineLvl w:val="2"/>
    </w:pPr>
  </w:style>
  <w:style w:type="paragraph" w:customStyle="1" w:styleId="274">
    <w:name w:val="zw"/>
    <w:basedOn w:val="1"/>
    <w:uiPriority w:val="99"/>
    <w:pPr>
      <w:widowControl/>
      <w:spacing w:before="100" w:beforeAutospacing="1" w:after="100" w:afterAutospacing="1" w:line="440" w:lineRule="atLeast"/>
      <w:jc w:val="left"/>
    </w:pPr>
    <w:rPr>
      <w:rFonts w:ascii="宋体" w:hAnsi="宋体" w:cs="宋体"/>
      <w:kern w:val="0"/>
      <w:sz w:val="22"/>
      <w:szCs w:val="22"/>
    </w:rPr>
  </w:style>
  <w:style w:type="paragraph" w:customStyle="1" w:styleId="275">
    <w:name w:val="样式3"/>
    <w:basedOn w:val="1"/>
    <w:qFormat/>
    <w:uiPriority w:val="99"/>
    <w:pPr>
      <w:adjustRightInd w:val="0"/>
      <w:snapToGrid w:val="0"/>
      <w:spacing w:line="360" w:lineRule="auto"/>
      <w:jc w:val="center"/>
    </w:pPr>
    <w:rPr>
      <w:rFonts w:ascii="宋体" w:hAnsi="宋体"/>
      <w:b/>
      <w:bCs/>
    </w:rPr>
  </w:style>
  <w:style w:type="paragraph" w:customStyle="1" w:styleId="276">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color w:val="000000"/>
      <w:kern w:val="0"/>
      <w:sz w:val="16"/>
      <w:szCs w:val="16"/>
    </w:rPr>
  </w:style>
  <w:style w:type="paragraph" w:customStyle="1" w:styleId="277">
    <w:name w:val="xl100"/>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278">
    <w:name w:val="Char11"/>
    <w:basedOn w:val="1"/>
    <w:qFormat/>
    <w:uiPriority w:val="99"/>
  </w:style>
  <w:style w:type="paragraph" w:customStyle="1" w:styleId="279">
    <w:name w:val="基准标题"/>
    <w:basedOn w:val="14"/>
    <w:next w:val="14"/>
    <w:qFormat/>
    <w:uiPriority w:val="99"/>
    <w:pPr>
      <w:spacing w:before="80" w:after="80"/>
      <w:jc w:val="center"/>
    </w:pPr>
    <w:rPr>
      <w:rFonts w:ascii="宋体" w:hAnsi="宋体"/>
      <w:kern w:val="0"/>
      <w:szCs w:val="21"/>
    </w:rPr>
  </w:style>
  <w:style w:type="paragraph" w:customStyle="1" w:styleId="280">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281">
    <w:name w:val="xl11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282">
    <w:name w:val="font16"/>
    <w:basedOn w:val="1"/>
    <w:qFormat/>
    <w:uiPriority w:val="99"/>
    <w:pPr>
      <w:widowControl/>
      <w:spacing w:before="100" w:beforeAutospacing="1" w:after="100" w:afterAutospacing="1"/>
      <w:jc w:val="left"/>
    </w:pPr>
    <w:rPr>
      <w:color w:val="FF0000"/>
      <w:kern w:val="0"/>
      <w:sz w:val="24"/>
      <w:szCs w:val="24"/>
    </w:rPr>
  </w:style>
  <w:style w:type="paragraph" w:customStyle="1" w:styleId="283">
    <w:name w:val="a"/>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84">
    <w:name w:val="xl95"/>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85">
    <w:name w:val="样式 题注 + 首行缩进:  2 字符1"/>
    <w:basedOn w:val="16"/>
    <w:qFormat/>
    <w:uiPriority w:val="99"/>
    <w:pPr>
      <w:spacing w:afterLines="50" w:line="400" w:lineRule="exact"/>
    </w:pPr>
    <w:rPr>
      <w:rFonts w:cs="宋体"/>
    </w:rPr>
  </w:style>
  <w:style w:type="paragraph" w:customStyle="1" w:styleId="286">
    <w:name w:val="样式7"/>
    <w:basedOn w:val="1"/>
    <w:qFormat/>
    <w:uiPriority w:val="99"/>
    <w:pPr>
      <w:spacing w:line="340" w:lineRule="exact"/>
      <w:ind w:firstLine="562" w:firstLineChars="200"/>
    </w:pPr>
    <w:rPr>
      <w:b/>
      <w:bCs/>
      <w:spacing w:val="20"/>
      <w:sz w:val="24"/>
    </w:rPr>
  </w:style>
  <w:style w:type="paragraph" w:customStyle="1" w:styleId="287">
    <w:name w:val="样式 题注 + 首行缩进:  2 字符"/>
    <w:basedOn w:val="16"/>
    <w:qFormat/>
    <w:uiPriority w:val="99"/>
    <w:pPr>
      <w:spacing w:line="400" w:lineRule="exact"/>
    </w:pPr>
    <w:rPr>
      <w:rFonts w:cs="宋体"/>
    </w:rPr>
  </w:style>
  <w:style w:type="paragraph" w:customStyle="1" w:styleId="288">
    <w:name w:val="样式 段前: 7.8 磅 段后: 7.8 磅"/>
    <w:basedOn w:val="1"/>
    <w:qFormat/>
    <w:uiPriority w:val="99"/>
    <w:pPr>
      <w:spacing w:before="10" w:after="10" w:line="440" w:lineRule="exact"/>
      <w:ind w:firstLine="200" w:firstLineChars="200"/>
      <w:jc w:val="left"/>
    </w:pPr>
    <w:rPr>
      <w:rFonts w:cs="宋体"/>
      <w:sz w:val="24"/>
    </w:rPr>
  </w:style>
  <w:style w:type="paragraph" w:customStyle="1" w:styleId="289">
    <w:name w:val="xl11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90">
    <w:name w:val="p18"/>
    <w:basedOn w:val="1"/>
    <w:qFormat/>
    <w:uiPriority w:val="99"/>
    <w:pPr>
      <w:widowControl/>
      <w:jc w:val="left"/>
    </w:pPr>
    <w:rPr>
      <w:rFonts w:ascii="宋体" w:hAnsi="宋体" w:cs="宋体"/>
      <w:color w:val="000000"/>
      <w:kern w:val="0"/>
      <w:sz w:val="24"/>
      <w:szCs w:val="24"/>
    </w:rPr>
  </w:style>
  <w:style w:type="paragraph" w:customStyle="1" w:styleId="291">
    <w:name w:val="xl94"/>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92">
    <w:name w:val="xl68"/>
    <w:basedOn w:val="1"/>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93">
    <w:name w:val="xl85"/>
    <w:basedOn w:val="1"/>
    <w:qFormat/>
    <w:uiPriority w:val="99"/>
    <w:pPr>
      <w:widowControl/>
      <w:pBdr>
        <w:top w:val="single" w:color="auto" w:sz="4" w:space="0"/>
        <w:bottom w:val="single" w:color="auto" w:sz="4" w:space="0"/>
      </w:pBdr>
      <w:spacing w:before="100" w:beforeAutospacing="1" w:after="100" w:afterAutospacing="1"/>
      <w:jc w:val="left"/>
    </w:pPr>
    <w:rPr>
      <w:kern w:val="0"/>
      <w:sz w:val="24"/>
      <w:szCs w:val="24"/>
    </w:rPr>
  </w:style>
  <w:style w:type="paragraph" w:customStyle="1" w:styleId="294">
    <w:name w:val="Style136"/>
    <w:basedOn w:val="1"/>
    <w:qFormat/>
    <w:uiPriority w:val="99"/>
    <w:pPr>
      <w:adjustRightInd w:val="0"/>
      <w:spacing w:line="288" w:lineRule="exact"/>
      <w:jc w:val="left"/>
    </w:pPr>
    <w:rPr>
      <w:rFonts w:ascii="宋体"/>
      <w:kern w:val="0"/>
      <w:sz w:val="24"/>
      <w:szCs w:val="24"/>
    </w:rPr>
  </w:style>
  <w:style w:type="paragraph" w:customStyle="1" w:styleId="295">
    <w:name w:val="p16"/>
    <w:basedOn w:val="1"/>
    <w:qFormat/>
    <w:uiPriority w:val="99"/>
    <w:pPr>
      <w:widowControl/>
      <w:jc w:val="left"/>
    </w:pPr>
    <w:rPr>
      <w:rFonts w:ascii="宋体" w:hAnsi="宋体" w:cs="宋体"/>
      <w:color w:val="000000"/>
      <w:kern w:val="0"/>
      <w:sz w:val="24"/>
      <w:szCs w:val="24"/>
    </w:rPr>
  </w:style>
  <w:style w:type="paragraph" w:customStyle="1" w:styleId="296">
    <w:name w:val="说明书标题"/>
    <w:basedOn w:val="1"/>
    <w:next w:val="1"/>
    <w:qFormat/>
    <w:uiPriority w:val="99"/>
    <w:pPr>
      <w:tabs>
        <w:tab w:val="left" w:pos="210"/>
        <w:tab w:val="left" w:pos="360"/>
      </w:tabs>
      <w:spacing w:line="520" w:lineRule="exact"/>
      <w:ind w:left="227" w:hanging="227"/>
    </w:pPr>
    <w:rPr>
      <w:rFonts w:ascii="Trebuchet MS" w:hAnsi="Trebuchet MS" w:eastAsia="黑体"/>
      <w:sz w:val="28"/>
    </w:rPr>
  </w:style>
  <w:style w:type="paragraph" w:customStyle="1" w:styleId="297">
    <w:name w:val="reader-word-layer reader-word-s5-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98">
    <w:name w:val="样式 样式 样式4 + 首行缩进:  1.92 字符 + 仿宋_GB2312"/>
    <w:basedOn w:val="299"/>
    <w:qFormat/>
    <w:uiPriority w:val="99"/>
    <w:rPr>
      <w:rFonts w:ascii="仿宋_GB2312" w:eastAsia="仿宋_GB2312"/>
      <w:szCs w:val="28"/>
    </w:rPr>
  </w:style>
  <w:style w:type="paragraph" w:customStyle="1" w:styleId="299">
    <w:name w:val="样式 样式4 + 首行缩进:  1.92 字符"/>
    <w:basedOn w:val="1"/>
    <w:qFormat/>
    <w:uiPriority w:val="99"/>
    <w:pPr>
      <w:snapToGrid w:val="0"/>
      <w:spacing w:line="300" w:lineRule="auto"/>
      <w:ind w:firstLine="538" w:firstLineChars="192"/>
    </w:pPr>
    <w:rPr>
      <w:sz w:val="28"/>
    </w:rPr>
  </w:style>
  <w:style w:type="paragraph" w:customStyle="1" w:styleId="300">
    <w:name w:val="xl44"/>
    <w:basedOn w:val="1"/>
    <w:qFormat/>
    <w:uiPriority w:val="99"/>
    <w:pPr>
      <w:widowControl/>
      <w:pBdr>
        <w:bottom w:val="single" w:color="auto" w:sz="4" w:space="0"/>
        <w:right w:val="single" w:color="auto" w:sz="4" w:space="0"/>
      </w:pBdr>
      <w:spacing w:before="100" w:beforeAutospacing="1" w:after="100" w:afterAutospacing="1"/>
      <w:jc w:val="center"/>
    </w:pPr>
    <w:rPr>
      <w:kern w:val="0"/>
      <w:sz w:val="24"/>
      <w:szCs w:val="24"/>
    </w:rPr>
  </w:style>
  <w:style w:type="paragraph" w:customStyle="1" w:styleId="301">
    <w:name w:val="xl84"/>
    <w:basedOn w:val="1"/>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302">
    <w:name w:val="xl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303">
    <w:name w:val="Document 1"/>
    <w:qFormat/>
    <w:uiPriority w:val="99"/>
    <w:pPr>
      <w:keepNext/>
      <w:keepLines/>
      <w:widowControl w:val="0"/>
      <w:tabs>
        <w:tab w:val="left" w:pos="-720"/>
      </w:tabs>
      <w:suppressAutoHyphens/>
    </w:pPr>
    <w:rPr>
      <w:rFonts w:ascii="Courier New" w:hAnsi="Courier New" w:eastAsia="宋体" w:cs="Vrinda"/>
      <w:lang w:val="en-US" w:eastAsia="en-US" w:bidi="ar-SA"/>
    </w:rPr>
  </w:style>
  <w:style w:type="paragraph" w:customStyle="1" w:styleId="304">
    <w:name w:val="font11"/>
    <w:basedOn w:val="1"/>
    <w:qFormat/>
    <w:uiPriority w:val="99"/>
    <w:pPr>
      <w:widowControl/>
      <w:spacing w:before="100" w:beforeAutospacing="1" w:after="100" w:afterAutospacing="1"/>
      <w:jc w:val="left"/>
    </w:pPr>
    <w:rPr>
      <w:rFonts w:ascii="宋体" w:hAnsi="宋体"/>
      <w:color w:val="0000FF"/>
      <w:kern w:val="0"/>
      <w:sz w:val="16"/>
      <w:szCs w:val="16"/>
    </w:rPr>
  </w:style>
  <w:style w:type="paragraph" w:customStyle="1" w:styleId="305">
    <w:name w:val="xl4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06">
    <w:name w:val="xl10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color w:val="FF0000"/>
      <w:kern w:val="0"/>
      <w:sz w:val="24"/>
      <w:szCs w:val="24"/>
    </w:rPr>
  </w:style>
  <w:style w:type="paragraph" w:customStyle="1" w:styleId="307">
    <w:name w:val="正文文本缩进 21"/>
    <w:basedOn w:val="1"/>
    <w:qFormat/>
    <w:uiPriority w:val="99"/>
    <w:pPr>
      <w:adjustRightInd w:val="0"/>
      <w:spacing w:line="480" w:lineRule="exact"/>
      <w:ind w:firstLine="560"/>
      <w:textAlignment w:val="baseline"/>
    </w:pPr>
    <w:rPr>
      <w:color w:val="000000"/>
      <w:kern w:val="0"/>
      <w:sz w:val="24"/>
    </w:rPr>
  </w:style>
  <w:style w:type="paragraph" w:customStyle="1" w:styleId="308">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color w:val="000000"/>
      <w:kern w:val="0"/>
      <w:sz w:val="16"/>
      <w:szCs w:val="16"/>
    </w:rPr>
  </w:style>
  <w:style w:type="paragraph" w:customStyle="1" w:styleId="309">
    <w:name w:val="xl10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color w:val="FF0000"/>
      <w:kern w:val="0"/>
      <w:sz w:val="24"/>
      <w:szCs w:val="24"/>
    </w:rPr>
  </w:style>
  <w:style w:type="paragraph" w:customStyle="1" w:styleId="310">
    <w:name w:val="BG1"/>
    <w:basedOn w:val="1"/>
    <w:qFormat/>
    <w:uiPriority w:val="99"/>
    <w:pPr>
      <w:adjustRightInd w:val="0"/>
      <w:jc w:val="center"/>
    </w:pPr>
    <w:rPr>
      <w:spacing w:val="20"/>
      <w:szCs w:val="24"/>
    </w:rPr>
  </w:style>
  <w:style w:type="paragraph" w:customStyle="1" w:styleId="311">
    <w:name w:val="xl11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12">
    <w:name w:val="Char1 Char Char Char1"/>
    <w:basedOn w:val="1"/>
    <w:qFormat/>
    <w:uiPriority w:val="99"/>
    <w:rPr>
      <w:rFonts w:ascii="Tahoma" w:hAnsi="Tahoma"/>
      <w:sz w:val="30"/>
      <w:szCs w:val="30"/>
    </w:rPr>
  </w:style>
  <w:style w:type="paragraph" w:customStyle="1" w:styleId="313">
    <w:name w:val="xl4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4">
    <w:name w:val="Style60"/>
    <w:basedOn w:val="1"/>
    <w:qFormat/>
    <w:uiPriority w:val="99"/>
    <w:pPr>
      <w:adjustRightInd w:val="0"/>
      <w:spacing w:line="446" w:lineRule="exact"/>
      <w:ind w:firstLine="396"/>
      <w:jc w:val="left"/>
    </w:pPr>
    <w:rPr>
      <w:rFonts w:ascii="宋体"/>
      <w:kern w:val="0"/>
      <w:sz w:val="24"/>
      <w:szCs w:val="24"/>
    </w:rPr>
  </w:style>
  <w:style w:type="paragraph" w:customStyle="1" w:styleId="315">
    <w:name w:val="Char"/>
    <w:basedOn w:val="1"/>
    <w:qFormat/>
    <w:uiPriority w:val="99"/>
    <w:rPr>
      <w:szCs w:val="24"/>
    </w:rPr>
  </w:style>
  <w:style w:type="paragraph" w:customStyle="1" w:styleId="316">
    <w:name w:val="xl127"/>
    <w:basedOn w:val="1"/>
    <w:qFormat/>
    <w:uiPriority w:val="99"/>
    <w:pPr>
      <w:widowControl/>
      <w:pBdr>
        <w:top w:val="single" w:color="auto" w:sz="4" w:space="0"/>
        <w:bottom w:val="single" w:color="auto" w:sz="4" w:space="0"/>
      </w:pBdr>
      <w:spacing w:before="100" w:beforeAutospacing="1" w:after="100" w:afterAutospacing="1"/>
      <w:jc w:val="left"/>
    </w:pPr>
    <w:rPr>
      <w:color w:val="008000"/>
      <w:kern w:val="0"/>
      <w:sz w:val="24"/>
      <w:szCs w:val="24"/>
    </w:rPr>
  </w:style>
  <w:style w:type="paragraph" w:customStyle="1" w:styleId="317">
    <w:name w:val="xl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8">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9">
    <w:name w:val="xl27"/>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20">
    <w:name w:val="默认段落字体 Para Char"/>
    <w:basedOn w:val="1"/>
    <w:next w:val="1"/>
    <w:qFormat/>
    <w:uiPriority w:val="99"/>
    <w:pPr>
      <w:spacing w:line="360" w:lineRule="auto"/>
      <w:ind w:firstLine="200" w:firstLineChars="200"/>
    </w:pPr>
    <w:rPr>
      <w:rFonts w:ascii="宋体" w:hAnsi="宋体" w:cs="宋体"/>
      <w:sz w:val="24"/>
      <w:szCs w:val="24"/>
    </w:rPr>
  </w:style>
  <w:style w:type="paragraph" w:customStyle="1" w:styleId="321">
    <w:name w:val="正式文"/>
    <w:basedOn w:val="1"/>
    <w:qFormat/>
    <w:uiPriority w:val="99"/>
    <w:pPr>
      <w:spacing w:line="360" w:lineRule="auto"/>
      <w:ind w:firstLine="200" w:firstLineChars="200"/>
    </w:pPr>
    <w:rPr>
      <w:rFonts w:ascii="Calibri" w:hAnsi="Calibri"/>
      <w:sz w:val="24"/>
      <w:szCs w:val="22"/>
    </w:rPr>
  </w:style>
  <w:style w:type="paragraph" w:customStyle="1" w:styleId="322">
    <w:name w:val="xl58"/>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323">
    <w:name w:val="font8"/>
    <w:basedOn w:val="1"/>
    <w:qFormat/>
    <w:uiPriority w:val="99"/>
    <w:pPr>
      <w:widowControl/>
      <w:spacing w:before="100" w:beforeAutospacing="1" w:after="100" w:afterAutospacing="1"/>
      <w:jc w:val="left"/>
    </w:pPr>
    <w:rPr>
      <w:b/>
      <w:bCs/>
      <w:kern w:val="0"/>
      <w:sz w:val="20"/>
      <w:u w:val="single"/>
    </w:rPr>
  </w:style>
  <w:style w:type="paragraph" w:customStyle="1" w:styleId="324">
    <w:name w:val="xl9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325">
    <w:name w:val="xl52"/>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326">
    <w:name w:val="xl8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327">
    <w:name w:val="Texte"/>
    <w:basedOn w:val="1"/>
    <w:qFormat/>
    <w:uiPriority w:val="99"/>
    <w:pPr>
      <w:widowControl/>
      <w:spacing w:before="120" w:after="120"/>
      <w:ind w:left="851" w:firstLine="200" w:firstLineChars="200"/>
    </w:pPr>
    <w:rPr>
      <w:rFonts w:ascii="Arial" w:hAnsi="Arial"/>
      <w:kern w:val="0"/>
      <w:sz w:val="22"/>
      <w:lang w:val="en-GB"/>
    </w:rPr>
  </w:style>
  <w:style w:type="paragraph" w:customStyle="1" w:styleId="328">
    <w:name w:val="xl116"/>
    <w:basedOn w:val="1"/>
    <w:qFormat/>
    <w:uiPriority w:val="99"/>
    <w:pPr>
      <w:widowControl/>
      <w:pBdr>
        <w:top w:val="single" w:color="auto" w:sz="4" w:space="0"/>
        <w:bottom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29">
    <w:name w:val="xl91"/>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330">
    <w:name w:val="标-7"/>
    <w:basedOn w:val="1"/>
    <w:qFormat/>
    <w:uiPriority w:val="99"/>
    <w:pPr>
      <w:tabs>
        <w:tab w:val="left" w:pos="420"/>
      </w:tabs>
      <w:spacing w:before="120"/>
      <w:ind w:left="1701" w:hanging="425"/>
    </w:pPr>
    <w:rPr>
      <w:sz w:val="24"/>
    </w:rPr>
  </w:style>
  <w:style w:type="paragraph" w:customStyle="1" w:styleId="331">
    <w:name w:val="font14"/>
    <w:basedOn w:val="1"/>
    <w:uiPriority w:val="99"/>
    <w:pPr>
      <w:widowControl/>
      <w:spacing w:before="100" w:beforeAutospacing="1" w:after="100" w:afterAutospacing="1"/>
      <w:jc w:val="left"/>
    </w:pPr>
    <w:rPr>
      <w:rFonts w:ascii="Helv" w:hAnsi="Helv"/>
      <w:kern w:val="0"/>
      <w:sz w:val="20"/>
    </w:rPr>
  </w:style>
  <w:style w:type="paragraph" w:customStyle="1" w:styleId="332">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3">
    <w:name w:val="xl6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34">
    <w:name w:val="xl115"/>
    <w:basedOn w:val="1"/>
    <w:qFormat/>
    <w:uiPriority w:val="99"/>
    <w:pPr>
      <w:widowControl/>
      <w:pBdr>
        <w:top w:val="single" w:color="auto" w:sz="4" w:space="0"/>
        <w:left w:val="single" w:color="auto" w:sz="4" w:space="0"/>
        <w:bottom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35">
    <w:name w:val="font12"/>
    <w:basedOn w:val="1"/>
    <w:qFormat/>
    <w:uiPriority w:val="99"/>
    <w:pPr>
      <w:widowControl/>
      <w:spacing w:before="100" w:beforeAutospacing="1" w:after="100" w:afterAutospacing="1"/>
      <w:jc w:val="left"/>
    </w:pPr>
    <w:rPr>
      <w:kern w:val="0"/>
      <w:sz w:val="16"/>
      <w:szCs w:val="16"/>
    </w:rPr>
  </w:style>
  <w:style w:type="paragraph" w:customStyle="1" w:styleId="336">
    <w:name w:val="xl53"/>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337">
    <w:name w:val="Style59"/>
    <w:basedOn w:val="1"/>
    <w:qFormat/>
    <w:uiPriority w:val="99"/>
    <w:pPr>
      <w:adjustRightInd w:val="0"/>
      <w:spacing w:line="514" w:lineRule="exact"/>
      <w:ind w:firstLine="547"/>
    </w:pPr>
    <w:rPr>
      <w:rFonts w:ascii="宋体"/>
      <w:kern w:val="0"/>
      <w:sz w:val="24"/>
      <w:szCs w:val="24"/>
    </w:rPr>
  </w:style>
  <w:style w:type="paragraph" w:customStyle="1" w:styleId="338">
    <w:name w:val="xl74"/>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339">
    <w:name w:val="xl9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340">
    <w:name w:val="表文"/>
    <w:basedOn w:val="1"/>
    <w:qFormat/>
    <w:uiPriority w:val="99"/>
    <w:pPr>
      <w:spacing w:beforeLines="20" w:afterLines="20" w:line="280" w:lineRule="exact"/>
      <w:jc w:val="center"/>
    </w:pPr>
    <w:rPr>
      <w:rFonts w:ascii="黑体" w:hAnsi="宋体"/>
    </w:rPr>
  </w:style>
  <w:style w:type="paragraph" w:customStyle="1" w:styleId="341">
    <w:name w:val="font23"/>
    <w:basedOn w:val="1"/>
    <w:qFormat/>
    <w:uiPriority w:val="99"/>
    <w:pPr>
      <w:widowControl/>
      <w:spacing w:before="100" w:beforeAutospacing="1" w:after="100" w:afterAutospacing="1"/>
      <w:jc w:val="left"/>
    </w:pPr>
    <w:rPr>
      <w:color w:val="FF6600"/>
      <w:kern w:val="0"/>
      <w:szCs w:val="21"/>
    </w:rPr>
  </w:style>
  <w:style w:type="paragraph" w:customStyle="1" w:styleId="342">
    <w:name w:val="font18"/>
    <w:basedOn w:val="1"/>
    <w:qFormat/>
    <w:uiPriority w:val="99"/>
    <w:pPr>
      <w:widowControl/>
      <w:spacing w:before="100" w:beforeAutospacing="1" w:after="100" w:afterAutospacing="1"/>
      <w:jc w:val="left"/>
    </w:pPr>
    <w:rPr>
      <w:kern w:val="0"/>
      <w:sz w:val="22"/>
      <w:szCs w:val="22"/>
    </w:rPr>
  </w:style>
  <w:style w:type="paragraph" w:customStyle="1" w:styleId="343">
    <w:name w:val="xl48"/>
    <w:basedOn w:val="1"/>
    <w:uiPriority w:val="99"/>
    <w:pPr>
      <w:widowControl/>
      <w:spacing w:before="100" w:beforeAutospacing="1" w:after="100" w:afterAutospacing="1"/>
      <w:jc w:val="left"/>
    </w:pPr>
    <w:rPr>
      <w:kern w:val="0"/>
      <w:sz w:val="24"/>
      <w:szCs w:val="24"/>
    </w:rPr>
  </w:style>
  <w:style w:type="paragraph" w:customStyle="1" w:styleId="344">
    <w:name w:val="xl122"/>
    <w:basedOn w:val="1"/>
    <w:qFormat/>
    <w:uiPriority w:val="99"/>
    <w:pPr>
      <w:widowControl/>
      <w:pBdr>
        <w:top w:val="single" w:color="auto" w:sz="4" w:space="0"/>
        <w:bottom w:val="single" w:color="auto" w:sz="4" w:space="0"/>
      </w:pBdr>
      <w:spacing w:before="100" w:beforeAutospacing="1" w:after="100" w:afterAutospacing="1"/>
    </w:pPr>
    <w:rPr>
      <w:kern w:val="0"/>
      <w:sz w:val="24"/>
      <w:szCs w:val="24"/>
    </w:rPr>
  </w:style>
  <w:style w:type="paragraph" w:customStyle="1" w:styleId="345">
    <w:name w:val="xl123"/>
    <w:basedOn w:val="1"/>
    <w:qFormat/>
    <w:uiPriority w:val="99"/>
    <w:pPr>
      <w:widowControl/>
      <w:pBdr>
        <w:top w:val="single" w:color="auto" w:sz="4" w:space="0"/>
        <w:bottom w:val="single" w:color="auto" w:sz="4" w:space="0"/>
        <w:right w:val="single" w:color="auto" w:sz="4" w:space="0"/>
      </w:pBdr>
      <w:spacing w:before="100" w:beforeAutospacing="1" w:after="100" w:afterAutospacing="1"/>
    </w:pPr>
    <w:rPr>
      <w:kern w:val="0"/>
      <w:sz w:val="24"/>
      <w:szCs w:val="24"/>
    </w:rPr>
  </w:style>
  <w:style w:type="paragraph" w:customStyle="1" w:styleId="346">
    <w:name w:val="标题4"/>
    <w:basedOn w:val="1"/>
    <w:link w:val="420"/>
    <w:qFormat/>
    <w:uiPriority w:val="99"/>
    <w:pPr>
      <w:tabs>
        <w:tab w:val="left" w:pos="360"/>
      </w:tabs>
      <w:adjustRightInd w:val="0"/>
      <w:snapToGrid w:val="0"/>
      <w:spacing w:beforeLines="50" w:line="360" w:lineRule="auto"/>
      <w:jc w:val="left"/>
    </w:pPr>
    <w:rPr>
      <w:rFonts w:ascii="Arial Unicode MS" w:hAnsi="Arial Unicode MS" w:eastAsia="黑体"/>
      <w:snapToGrid w:val="0"/>
      <w:spacing w:val="20"/>
      <w:kern w:val="0"/>
      <w:sz w:val="24"/>
    </w:rPr>
  </w:style>
  <w:style w:type="paragraph" w:customStyle="1" w:styleId="347">
    <w:name w:val="简单回函地址"/>
    <w:basedOn w:val="1"/>
    <w:qFormat/>
    <w:uiPriority w:val="99"/>
    <w:rPr>
      <w:szCs w:val="24"/>
    </w:rPr>
  </w:style>
  <w:style w:type="paragraph" w:customStyle="1" w:styleId="348">
    <w:name w:val="font10"/>
    <w:basedOn w:val="1"/>
    <w:qFormat/>
    <w:uiPriority w:val="99"/>
    <w:pPr>
      <w:widowControl/>
      <w:spacing w:before="100" w:beforeAutospacing="1" w:after="100" w:afterAutospacing="1"/>
      <w:jc w:val="left"/>
    </w:pPr>
    <w:rPr>
      <w:kern w:val="0"/>
      <w:sz w:val="14"/>
      <w:szCs w:val="14"/>
    </w:rPr>
  </w:style>
  <w:style w:type="paragraph" w:customStyle="1" w:styleId="349">
    <w:name w:val="puce"/>
    <w:basedOn w:val="1"/>
    <w:qFormat/>
    <w:uiPriority w:val="99"/>
    <w:pPr>
      <w:widowControl/>
      <w:tabs>
        <w:tab w:val="left" w:pos="1040"/>
      </w:tabs>
      <w:adjustRightInd w:val="0"/>
      <w:snapToGrid w:val="0"/>
      <w:spacing w:beforeLines="50" w:after="120" w:line="360" w:lineRule="auto"/>
      <w:ind w:left="1021" w:hanging="341"/>
    </w:pPr>
    <w:rPr>
      <w:rFonts w:ascii="Arial" w:hAnsi="Arial" w:cs="Arial"/>
      <w:kern w:val="0"/>
      <w:sz w:val="24"/>
    </w:rPr>
  </w:style>
  <w:style w:type="paragraph" w:customStyle="1" w:styleId="350">
    <w:name w:val="表格内容"/>
    <w:basedOn w:val="1"/>
    <w:qFormat/>
    <w:uiPriority w:val="99"/>
    <w:pPr>
      <w:overflowPunct w:val="0"/>
      <w:adjustRightInd w:val="0"/>
      <w:snapToGrid w:val="0"/>
      <w:spacing w:line="300" w:lineRule="auto"/>
      <w:textAlignment w:val="baseline"/>
    </w:pPr>
    <w:rPr>
      <w:rFonts w:ascii="Arial" w:hAnsi="Arial" w:eastAsia="仿宋_GB2312"/>
      <w:kern w:val="0"/>
    </w:rPr>
  </w:style>
  <w:style w:type="paragraph" w:customStyle="1" w:styleId="351">
    <w:name w:val="xl67"/>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352">
    <w:name w:val="xl102"/>
    <w:basedOn w:val="1"/>
    <w:qFormat/>
    <w:uiPriority w:val="99"/>
    <w:pPr>
      <w:widowControl/>
      <w:pBdr>
        <w:top w:val="single" w:color="auto" w:sz="4" w:space="0"/>
        <w:bottom w:val="single" w:color="auto" w:sz="4" w:space="0"/>
      </w:pBdr>
      <w:spacing w:before="100" w:beforeAutospacing="1" w:after="100" w:afterAutospacing="1"/>
      <w:jc w:val="left"/>
    </w:pPr>
    <w:rPr>
      <w:kern w:val="0"/>
      <w:sz w:val="24"/>
      <w:szCs w:val="24"/>
    </w:rPr>
  </w:style>
  <w:style w:type="paragraph" w:customStyle="1" w:styleId="353">
    <w:name w:val="xl88"/>
    <w:basedOn w:val="1"/>
    <w:qFormat/>
    <w:uiPriority w:val="99"/>
    <w:pPr>
      <w:widowControl/>
      <w:pBdr>
        <w:top w:val="single" w:color="auto" w:sz="4" w:space="0"/>
        <w:bottom w:val="single" w:color="auto" w:sz="4" w:space="0"/>
      </w:pBdr>
      <w:spacing w:before="100" w:beforeAutospacing="1" w:after="100" w:afterAutospacing="1"/>
      <w:jc w:val="center"/>
    </w:pPr>
    <w:rPr>
      <w:kern w:val="0"/>
      <w:sz w:val="24"/>
      <w:szCs w:val="24"/>
    </w:rPr>
  </w:style>
  <w:style w:type="paragraph" w:customStyle="1" w:styleId="354">
    <w:name w:val="新正文样式"/>
    <w:basedOn w:val="1"/>
    <w:qFormat/>
    <w:uiPriority w:val="99"/>
    <w:pPr>
      <w:tabs>
        <w:tab w:val="left" w:pos="567"/>
      </w:tabs>
      <w:spacing w:line="360" w:lineRule="auto"/>
      <w:ind w:firstLine="560" w:firstLineChars="200"/>
    </w:pPr>
    <w:rPr>
      <w:rFonts w:eastAsia="华文中宋"/>
      <w:spacing w:val="20"/>
      <w:sz w:val="24"/>
    </w:rPr>
  </w:style>
  <w:style w:type="paragraph" w:customStyle="1" w:styleId="355">
    <w:name w:val="正文文本 21"/>
    <w:basedOn w:val="1"/>
    <w:qFormat/>
    <w:uiPriority w:val="99"/>
    <w:pPr>
      <w:overflowPunct w:val="0"/>
      <w:autoSpaceDE w:val="0"/>
      <w:autoSpaceDN w:val="0"/>
      <w:adjustRightInd w:val="0"/>
      <w:spacing w:after="120" w:line="360" w:lineRule="auto"/>
      <w:textAlignment w:val="baseline"/>
    </w:pPr>
    <w:rPr>
      <w:sz w:val="24"/>
    </w:rPr>
  </w:style>
  <w:style w:type="paragraph" w:customStyle="1" w:styleId="356">
    <w:name w:val="xl5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357">
    <w:name w:val="xl66"/>
    <w:basedOn w:val="1"/>
    <w:qFormat/>
    <w:uiPriority w:val="99"/>
    <w:pPr>
      <w:widowControl/>
      <w:spacing w:before="100" w:after="100"/>
      <w:jc w:val="center"/>
      <w:textAlignment w:val="top"/>
    </w:pPr>
    <w:rPr>
      <w:kern w:val="0"/>
      <w:sz w:val="24"/>
      <w:szCs w:val="24"/>
    </w:rPr>
  </w:style>
  <w:style w:type="paragraph" w:customStyle="1" w:styleId="358">
    <w:name w:val="xl4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59">
    <w:name w:val="xl98"/>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color w:val="008000"/>
      <w:kern w:val="0"/>
      <w:sz w:val="24"/>
      <w:szCs w:val="24"/>
    </w:rPr>
  </w:style>
  <w:style w:type="paragraph" w:customStyle="1" w:styleId="360">
    <w:name w:val="表头"/>
    <w:basedOn w:val="1"/>
    <w:next w:val="1"/>
    <w:qFormat/>
    <w:uiPriority w:val="99"/>
    <w:pPr>
      <w:keepNext/>
      <w:snapToGrid w:val="0"/>
      <w:spacing w:before="60" w:after="60" w:line="400" w:lineRule="exact"/>
      <w:jc w:val="center"/>
    </w:pPr>
    <w:rPr>
      <w:rFonts w:ascii="黑体" w:eastAsia="黑体"/>
      <w:spacing w:val="10"/>
      <w:kern w:val="21"/>
    </w:rPr>
  </w:style>
  <w:style w:type="paragraph" w:customStyle="1" w:styleId="361">
    <w:name w:val="Char Char Char Char1"/>
    <w:basedOn w:val="1"/>
    <w:qFormat/>
    <w:uiPriority w:val="99"/>
  </w:style>
  <w:style w:type="paragraph" w:customStyle="1" w:styleId="362">
    <w:name w:val="基准页眉样式"/>
    <w:basedOn w:val="14"/>
    <w:qFormat/>
    <w:uiPriority w:val="99"/>
    <w:pPr>
      <w:keepLines/>
      <w:widowControl/>
      <w:tabs>
        <w:tab w:val="center" w:pos="-18551"/>
        <w:tab w:val="right" w:pos="4320"/>
      </w:tabs>
      <w:spacing w:after="0" w:line="240" w:lineRule="atLeast"/>
      <w:jc w:val="center"/>
    </w:pPr>
    <w:rPr>
      <w:rFonts w:ascii="Garamond" w:hAnsi="Garamond"/>
      <w:smallCaps/>
      <w:spacing w:val="15"/>
      <w:kern w:val="0"/>
      <w:szCs w:val="21"/>
    </w:rPr>
  </w:style>
  <w:style w:type="paragraph" w:customStyle="1" w:styleId="363">
    <w:name w:val="表体"/>
    <w:basedOn w:val="1"/>
    <w:qFormat/>
    <w:uiPriority w:val="99"/>
    <w:pPr>
      <w:spacing w:line="280" w:lineRule="exact"/>
    </w:pPr>
    <w:rPr>
      <w:rFonts w:ascii="宋体" w:hAnsi="宋体"/>
      <w:szCs w:val="24"/>
    </w:rPr>
  </w:style>
  <w:style w:type="paragraph" w:customStyle="1" w:styleId="364">
    <w:name w:val="流程图"/>
    <w:basedOn w:val="1"/>
    <w:uiPriority w:val="99"/>
    <w:pPr>
      <w:tabs>
        <w:tab w:val="left" w:pos="0"/>
      </w:tabs>
      <w:autoSpaceDE w:val="0"/>
      <w:autoSpaceDN w:val="0"/>
      <w:adjustRightInd w:val="0"/>
      <w:spacing w:line="240" w:lineRule="atLeast"/>
      <w:jc w:val="center"/>
      <w:textAlignment w:val="bottom"/>
    </w:pPr>
    <w:rPr>
      <w:rFonts w:ascii="宋体"/>
    </w:rPr>
  </w:style>
  <w:style w:type="paragraph" w:customStyle="1" w:styleId="365">
    <w:name w:val="cell:ctr"/>
    <w:basedOn w:val="1"/>
    <w:qFormat/>
    <w:uiPriority w:val="99"/>
    <w:pPr>
      <w:keepLines/>
      <w:widowControl/>
      <w:overflowPunct w:val="0"/>
      <w:autoSpaceDE w:val="0"/>
      <w:autoSpaceDN w:val="0"/>
      <w:adjustRightInd w:val="0"/>
      <w:spacing w:before="20" w:after="20"/>
      <w:jc w:val="center"/>
      <w:textAlignment w:val="baseline"/>
    </w:pPr>
    <w:rPr>
      <w:kern w:val="0"/>
      <w:sz w:val="24"/>
      <w:lang w:val="en-GB"/>
    </w:rPr>
  </w:style>
  <w:style w:type="paragraph" w:customStyle="1" w:styleId="366">
    <w:name w:val="xl104"/>
    <w:basedOn w:val="1"/>
    <w:qFormat/>
    <w:uiPriority w:val="99"/>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367">
    <w:name w:val="xl60"/>
    <w:basedOn w:val="1"/>
    <w:qFormat/>
    <w:uiPriority w:val="99"/>
    <w:pPr>
      <w:widowControl/>
      <w:pBdr>
        <w:left w:val="single" w:color="auto" w:sz="8" w:space="0"/>
        <w:right w:val="single" w:color="auto" w:sz="4" w:space="0"/>
      </w:pBdr>
      <w:spacing w:before="100" w:after="100"/>
      <w:jc w:val="center"/>
      <w:textAlignment w:val="top"/>
    </w:pPr>
    <w:rPr>
      <w:kern w:val="0"/>
      <w:sz w:val="24"/>
    </w:rPr>
  </w:style>
  <w:style w:type="paragraph" w:customStyle="1" w:styleId="368">
    <w:name w:val="Style38"/>
    <w:basedOn w:val="1"/>
    <w:qFormat/>
    <w:uiPriority w:val="99"/>
    <w:pPr>
      <w:adjustRightInd w:val="0"/>
      <w:spacing w:line="436" w:lineRule="exact"/>
      <w:ind w:hanging="490"/>
      <w:jc w:val="left"/>
    </w:pPr>
    <w:rPr>
      <w:kern w:val="0"/>
      <w:sz w:val="24"/>
      <w:szCs w:val="24"/>
    </w:rPr>
  </w:style>
  <w:style w:type="paragraph" w:customStyle="1" w:styleId="369">
    <w:name w:val="xl46"/>
    <w:basedOn w:val="1"/>
    <w:qFormat/>
    <w:uiPriority w:val="99"/>
    <w:pPr>
      <w:widowControl/>
      <w:pBdr>
        <w:bottom w:val="single" w:color="auto" w:sz="4" w:space="0"/>
        <w:right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70">
    <w:name w:val="xl64"/>
    <w:basedOn w:val="1"/>
    <w:qFormat/>
    <w:uiPriority w:val="99"/>
    <w:pPr>
      <w:widowControl/>
      <w:pBdr>
        <w:left w:val="single" w:color="auto" w:sz="4" w:space="0"/>
        <w:bottom w:val="single" w:color="auto" w:sz="4" w:space="0"/>
        <w:right w:val="single" w:color="auto" w:sz="4" w:space="0"/>
      </w:pBdr>
      <w:spacing w:before="100" w:beforeAutospacing="1" w:after="100" w:afterAutospacing="1"/>
      <w:jc w:val="right"/>
    </w:pPr>
    <w:rPr>
      <w:color w:val="FF0000"/>
      <w:kern w:val="0"/>
      <w:sz w:val="24"/>
      <w:szCs w:val="24"/>
    </w:rPr>
  </w:style>
  <w:style w:type="paragraph" w:customStyle="1" w:styleId="371">
    <w:name w:val="Paratitre"/>
    <w:basedOn w:val="1"/>
    <w:qFormat/>
    <w:uiPriority w:val="99"/>
    <w:pPr>
      <w:widowControl/>
      <w:overflowPunct w:val="0"/>
      <w:autoSpaceDE w:val="0"/>
      <w:autoSpaceDN w:val="0"/>
      <w:adjustRightInd w:val="0"/>
      <w:spacing w:before="240"/>
      <w:ind w:left="700"/>
      <w:textAlignment w:val="baseline"/>
    </w:pPr>
    <w:rPr>
      <w:rFonts w:ascii="Arial" w:hAnsi="Arial"/>
      <w:kern w:val="0"/>
      <w:sz w:val="20"/>
      <w:lang w:val="fr-FR"/>
    </w:rPr>
  </w:style>
  <w:style w:type="paragraph" w:customStyle="1" w:styleId="372">
    <w:name w:val="xl129"/>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2"/>
      <w:szCs w:val="22"/>
    </w:rPr>
  </w:style>
  <w:style w:type="paragraph" w:customStyle="1" w:styleId="373">
    <w:name w:val="xl51"/>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74">
    <w:name w:val="xl39"/>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textAlignment w:val="center"/>
    </w:pPr>
    <w:rPr>
      <w:rFonts w:ascii="宋体" w:hAnsi="宋体"/>
      <w:kern w:val="0"/>
      <w:sz w:val="16"/>
      <w:szCs w:val="16"/>
    </w:rPr>
  </w:style>
  <w:style w:type="paragraph" w:customStyle="1" w:styleId="375">
    <w:name w:val="font0"/>
    <w:basedOn w:val="1"/>
    <w:qFormat/>
    <w:uiPriority w:val="99"/>
    <w:pPr>
      <w:widowControl/>
      <w:spacing w:before="100" w:after="100"/>
      <w:jc w:val="left"/>
    </w:pPr>
    <w:rPr>
      <w:rFonts w:ascii="宋体" w:hAnsi="宋体"/>
      <w:kern w:val="0"/>
      <w:sz w:val="24"/>
      <w:szCs w:val="24"/>
    </w:rPr>
  </w:style>
  <w:style w:type="paragraph" w:customStyle="1" w:styleId="376">
    <w:name w:val="列出段落2"/>
    <w:basedOn w:val="1"/>
    <w:qFormat/>
    <w:uiPriority w:val="99"/>
    <w:pPr>
      <w:ind w:firstLine="420" w:firstLineChars="200"/>
    </w:pPr>
    <w:rPr>
      <w:szCs w:val="24"/>
    </w:rPr>
  </w:style>
  <w:style w:type="paragraph" w:customStyle="1" w:styleId="377">
    <w:name w:val="xl111"/>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78">
    <w:name w:val="reader-word-layer reader-word-s3-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79">
    <w:name w:val="Char Char Char Char Char Char Char Char Char Char1"/>
    <w:basedOn w:val="1"/>
    <w:qFormat/>
    <w:uiPriority w:val="99"/>
    <w:rPr>
      <w:szCs w:val="24"/>
    </w:rPr>
  </w:style>
  <w:style w:type="paragraph" w:customStyle="1" w:styleId="380">
    <w:name w:val="font15"/>
    <w:basedOn w:val="1"/>
    <w:qFormat/>
    <w:uiPriority w:val="99"/>
    <w:pPr>
      <w:widowControl/>
      <w:spacing w:before="100" w:beforeAutospacing="1" w:after="100" w:afterAutospacing="1"/>
      <w:jc w:val="left"/>
    </w:pPr>
    <w:rPr>
      <w:kern w:val="0"/>
      <w:sz w:val="24"/>
      <w:szCs w:val="24"/>
    </w:rPr>
  </w:style>
  <w:style w:type="paragraph" w:customStyle="1" w:styleId="381">
    <w:name w:val="font21"/>
    <w:basedOn w:val="1"/>
    <w:uiPriority w:val="99"/>
    <w:pPr>
      <w:widowControl/>
      <w:spacing w:before="100" w:beforeAutospacing="1" w:after="100" w:afterAutospacing="1"/>
      <w:jc w:val="left"/>
    </w:pPr>
    <w:rPr>
      <w:color w:val="FF0000"/>
      <w:kern w:val="0"/>
      <w:sz w:val="24"/>
      <w:szCs w:val="24"/>
    </w:rPr>
  </w:style>
  <w:style w:type="paragraph" w:customStyle="1" w:styleId="382">
    <w:name w:val="正文段落"/>
    <w:basedOn w:val="1"/>
    <w:qFormat/>
    <w:uiPriority w:val="99"/>
    <w:pPr>
      <w:spacing w:line="500" w:lineRule="exact"/>
      <w:ind w:firstLine="480" w:firstLineChars="200"/>
    </w:pPr>
    <w:rPr>
      <w:rFonts w:ascii="宋体" w:hAnsi="宋体"/>
      <w:kern w:val="0"/>
      <w:sz w:val="24"/>
    </w:rPr>
  </w:style>
  <w:style w:type="paragraph" w:customStyle="1" w:styleId="383">
    <w:name w:val="xl34"/>
    <w:basedOn w:val="1"/>
    <w:qFormat/>
    <w:uiPriority w:val="99"/>
    <w:pPr>
      <w:widowControl/>
      <w:spacing w:before="100" w:beforeAutospacing="1" w:after="100" w:afterAutospacing="1"/>
      <w:jc w:val="left"/>
      <w:textAlignment w:val="center"/>
    </w:pPr>
    <w:rPr>
      <w:rFonts w:ascii="宋体" w:hAnsi="宋体"/>
      <w:kern w:val="0"/>
      <w:sz w:val="16"/>
      <w:szCs w:val="16"/>
    </w:rPr>
  </w:style>
  <w:style w:type="paragraph" w:customStyle="1" w:styleId="384">
    <w:name w:val="xl99"/>
    <w:basedOn w:val="1"/>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385">
    <w:name w:val="Char3"/>
    <w:basedOn w:val="1"/>
    <w:qFormat/>
    <w:uiPriority w:val="99"/>
    <w:pPr>
      <w:spacing w:line="360" w:lineRule="auto"/>
    </w:pPr>
    <w:rPr>
      <w:rFonts w:ascii="仿宋_GB2312" w:hAnsi="Tahoma" w:eastAsia="仿宋_GB2312"/>
      <w:szCs w:val="21"/>
    </w:rPr>
  </w:style>
  <w:style w:type="paragraph" w:customStyle="1" w:styleId="386">
    <w:name w:val="xl4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87">
    <w:name w:val="框图"/>
    <w:basedOn w:val="1"/>
    <w:qFormat/>
    <w:uiPriority w:val="99"/>
    <w:pPr>
      <w:autoSpaceDE w:val="0"/>
      <w:autoSpaceDN w:val="0"/>
      <w:adjustRightInd w:val="0"/>
      <w:jc w:val="center"/>
    </w:pPr>
    <w:rPr>
      <w:rFonts w:ascii="宋体" w:hAnsi="宋体"/>
      <w:spacing w:val="-8"/>
      <w:szCs w:val="24"/>
    </w:rPr>
  </w:style>
  <w:style w:type="paragraph" w:customStyle="1" w:styleId="388">
    <w:name w:val="xl47"/>
    <w:basedOn w:val="1"/>
    <w:qFormat/>
    <w:uiPriority w:val="99"/>
    <w:pPr>
      <w:widowControl/>
      <w:pBdr>
        <w:left w:val="single" w:color="auto" w:sz="4" w:space="0"/>
        <w:bottom w:val="single" w:color="auto" w:sz="4" w:space="0"/>
      </w:pBdr>
      <w:spacing w:before="100" w:beforeAutospacing="1" w:after="100" w:afterAutospacing="1"/>
      <w:jc w:val="center"/>
    </w:pPr>
    <w:rPr>
      <w:kern w:val="0"/>
      <w:sz w:val="24"/>
      <w:szCs w:val="24"/>
    </w:rPr>
  </w:style>
  <w:style w:type="paragraph" w:customStyle="1" w:styleId="389">
    <w:name w:val="xl79"/>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390">
    <w:name w:val="小标题2"/>
    <w:basedOn w:val="1"/>
    <w:qFormat/>
    <w:uiPriority w:val="99"/>
    <w:pPr>
      <w:tabs>
        <w:tab w:val="left" w:pos="5400"/>
      </w:tabs>
      <w:overflowPunct w:val="0"/>
      <w:adjustRightInd w:val="0"/>
      <w:spacing w:line="336" w:lineRule="auto"/>
      <w:ind w:firstLine="600" w:firstLineChars="200"/>
    </w:pPr>
    <w:rPr>
      <w:rFonts w:ascii="宋体" w:hAnsi="宋体"/>
      <w:sz w:val="30"/>
    </w:rPr>
  </w:style>
  <w:style w:type="paragraph" w:customStyle="1" w:styleId="391">
    <w:name w:val="正文 首行缩进:  2 字符"/>
    <w:basedOn w:val="1"/>
    <w:qFormat/>
    <w:uiPriority w:val="99"/>
    <w:pPr>
      <w:ind w:firstLine="420" w:firstLineChars="200"/>
    </w:pPr>
    <w:rPr>
      <w:rFonts w:ascii="宋体" w:hAnsi="宋体"/>
      <w:sz w:val="28"/>
    </w:rPr>
  </w:style>
  <w:style w:type="paragraph" w:customStyle="1" w:styleId="39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3">
    <w:name w:val="xl117"/>
    <w:basedOn w:val="1"/>
    <w:qFormat/>
    <w:uiPriority w:val="99"/>
    <w:pPr>
      <w:widowControl/>
      <w:pBdr>
        <w:top w:val="single" w:color="auto" w:sz="4" w:space="0"/>
        <w:bottom w:val="single" w:color="auto" w:sz="4" w:space="0"/>
        <w:right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94">
    <w:name w:val="xl26"/>
    <w:basedOn w:val="1"/>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kern w:val="0"/>
      <w:szCs w:val="21"/>
    </w:rPr>
  </w:style>
  <w:style w:type="paragraph" w:customStyle="1" w:styleId="395">
    <w:name w:val="xl10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color w:val="FF0000"/>
      <w:kern w:val="0"/>
      <w:sz w:val="24"/>
      <w:szCs w:val="24"/>
    </w:rPr>
  </w:style>
  <w:style w:type="paragraph" w:customStyle="1" w:styleId="396">
    <w:name w:val="方框"/>
    <w:basedOn w:val="1"/>
    <w:qFormat/>
    <w:uiPriority w:val="99"/>
    <w:pPr>
      <w:widowControl/>
      <w:spacing w:line="240" w:lineRule="atLeast"/>
    </w:pPr>
    <w:rPr>
      <w:rFonts w:ascii="宋体"/>
      <w:kern w:val="0"/>
      <w:sz w:val="24"/>
    </w:rPr>
  </w:style>
  <w:style w:type="paragraph" w:customStyle="1" w:styleId="397">
    <w:name w:val="ENUM"/>
    <w:basedOn w:val="1"/>
    <w:qFormat/>
    <w:uiPriority w:val="99"/>
    <w:pPr>
      <w:widowControl/>
      <w:tabs>
        <w:tab w:val="left" w:pos="1418"/>
      </w:tabs>
      <w:spacing w:before="60" w:after="60"/>
      <w:ind w:left="1418" w:hanging="284"/>
    </w:pPr>
    <w:rPr>
      <w:rFonts w:ascii="Arial" w:hAnsi="Arial"/>
      <w:kern w:val="0"/>
      <w:sz w:val="22"/>
      <w:lang w:val="en-GB"/>
    </w:rPr>
  </w:style>
  <w:style w:type="paragraph" w:customStyle="1" w:styleId="398">
    <w:name w:val="xl81"/>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399">
    <w:name w:val="xl7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400">
    <w:name w:val="Style53"/>
    <w:basedOn w:val="1"/>
    <w:qFormat/>
    <w:uiPriority w:val="99"/>
    <w:pPr>
      <w:adjustRightInd w:val="0"/>
      <w:jc w:val="center"/>
    </w:pPr>
    <w:rPr>
      <w:rFonts w:ascii="宋体"/>
      <w:kern w:val="0"/>
      <w:sz w:val="24"/>
      <w:szCs w:val="24"/>
    </w:rPr>
  </w:style>
  <w:style w:type="paragraph" w:customStyle="1" w:styleId="401">
    <w:name w:val="xl120"/>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402">
    <w:name w:val="xl13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0"/>
    </w:rPr>
  </w:style>
  <w:style w:type="paragraph" w:customStyle="1" w:styleId="403">
    <w:name w:val="表格1"/>
    <w:basedOn w:val="1"/>
    <w:qFormat/>
    <w:uiPriority w:val="99"/>
    <w:pPr>
      <w:spacing w:line="320" w:lineRule="exact"/>
      <w:jc w:val="center"/>
    </w:pPr>
    <w:rPr>
      <w:bCs/>
      <w:color w:val="000000"/>
      <w:kern w:val="0"/>
      <w:szCs w:val="19"/>
    </w:rPr>
  </w:style>
  <w:style w:type="paragraph" w:customStyle="1" w:styleId="404">
    <w:name w:val="xl25"/>
    <w:basedOn w:val="1"/>
    <w:qFormat/>
    <w:uiPriority w:val="99"/>
    <w:pPr>
      <w:widowControl/>
      <w:spacing w:before="100" w:beforeAutospacing="1" w:after="100" w:afterAutospacing="1"/>
      <w:jc w:val="left"/>
      <w:textAlignment w:val="center"/>
    </w:pPr>
    <w:rPr>
      <w:color w:val="FF0000"/>
      <w:kern w:val="0"/>
      <w:sz w:val="16"/>
      <w:szCs w:val="16"/>
    </w:rPr>
  </w:style>
  <w:style w:type="paragraph" w:customStyle="1" w:styleId="405">
    <w:name w:val="目次、标准名称标题"/>
    <w:basedOn w:val="1"/>
    <w:next w:val="199"/>
    <w:uiPriority w:val="99"/>
    <w:pPr>
      <w:widowControl/>
      <w:shd w:val="clear" w:color="FFFFFF" w:fill="FFFFFF"/>
      <w:spacing w:before="640" w:after="560" w:line="460" w:lineRule="exact"/>
      <w:jc w:val="center"/>
      <w:outlineLvl w:val="0"/>
    </w:pPr>
    <w:rPr>
      <w:rFonts w:ascii="黑体" w:eastAsia="黑体"/>
      <w:kern w:val="0"/>
      <w:sz w:val="32"/>
    </w:rPr>
  </w:style>
  <w:style w:type="paragraph" w:customStyle="1" w:styleId="406">
    <w:name w:val="xl28"/>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407">
    <w:name w:val="xl80"/>
    <w:basedOn w:val="1"/>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408">
    <w:name w:val="样式 样式 环评正文 + (西文) 仿宋_GB2312 (中文) 宋体 10.5 磅 首行缩进:  2 字符 + 首行缩进:  ..."/>
    <w:basedOn w:val="1"/>
    <w:qFormat/>
    <w:uiPriority w:val="99"/>
    <w:pPr>
      <w:spacing w:line="400" w:lineRule="exact"/>
      <w:ind w:firstLine="200" w:firstLineChars="200"/>
    </w:pPr>
    <w:rPr>
      <w:rFonts w:ascii="仿宋_GB2312" w:hAnsi="仿宋_GB2312"/>
      <w:sz w:val="24"/>
    </w:rPr>
  </w:style>
  <w:style w:type="paragraph" w:customStyle="1" w:styleId="409">
    <w:name w:val="Style134"/>
    <w:basedOn w:val="1"/>
    <w:qFormat/>
    <w:uiPriority w:val="99"/>
    <w:pPr>
      <w:adjustRightInd w:val="0"/>
      <w:spacing w:line="173" w:lineRule="exact"/>
    </w:pPr>
    <w:rPr>
      <w:rFonts w:ascii="宋体"/>
      <w:kern w:val="0"/>
      <w:sz w:val="24"/>
      <w:szCs w:val="24"/>
    </w:rPr>
  </w:style>
  <w:style w:type="paragraph" w:customStyle="1" w:styleId="410">
    <w:name w:val="xl82"/>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411">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412">
    <w:name w:val="一级标题"/>
    <w:basedOn w:val="1"/>
    <w:qFormat/>
    <w:uiPriority w:val="99"/>
    <w:rPr>
      <w:sz w:val="24"/>
      <w:szCs w:val="24"/>
    </w:rPr>
  </w:style>
  <w:style w:type="paragraph" w:customStyle="1" w:styleId="413">
    <w:name w:val="表标题"/>
    <w:basedOn w:val="1"/>
    <w:qFormat/>
    <w:uiPriority w:val="99"/>
    <w:pPr>
      <w:tabs>
        <w:tab w:val="left" w:pos="900"/>
      </w:tabs>
      <w:autoSpaceDE w:val="0"/>
      <w:autoSpaceDN w:val="0"/>
      <w:adjustRightInd w:val="0"/>
      <w:spacing w:line="520" w:lineRule="exact"/>
      <w:ind w:left="2" w:leftChars="1" w:firstLine="840" w:firstLineChars="300"/>
    </w:pPr>
    <w:rPr>
      <w:rFonts w:ascii="宋体" w:hAnsi="宋体"/>
      <w:color w:val="000000"/>
      <w:sz w:val="28"/>
      <w:szCs w:val="28"/>
    </w:rPr>
  </w:style>
  <w:style w:type="paragraph" w:customStyle="1" w:styleId="414">
    <w:name w:val="reader-word-layer reader-word-s5-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415">
    <w:name w:val="封面标准名称"/>
    <w:qFormat/>
    <w:uiPriority w:val="99"/>
    <w:pPr>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416">
    <w:name w:val="三级条标题"/>
    <w:basedOn w:val="1"/>
    <w:next w:val="199"/>
    <w:qFormat/>
    <w:uiPriority w:val="99"/>
    <w:pPr>
      <w:widowControl/>
      <w:tabs>
        <w:tab w:val="left" w:pos="1680"/>
      </w:tabs>
      <w:ind w:left="1680" w:hanging="420"/>
      <w:outlineLvl w:val="4"/>
    </w:pPr>
    <w:rPr>
      <w:rFonts w:ascii="黑体" w:eastAsia="黑体" w:cs="黑体"/>
      <w:szCs w:val="21"/>
    </w:rPr>
  </w:style>
  <w:style w:type="paragraph" w:customStyle="1" w:styleId="417">
    <w:name w:val="Char Char Char Char Char2 Char"/>
    <w:basedOn w:val="1"/>
    <w:semiHidden/>
    <w:qFormat/>
    <w:uiPriority w:val="99"/>
    <w:pPr>
      <w:adjustRightInd w:val="0"/>
      <w:snapToGrid w:val="0"/>
      <w:spacing w:line="360" w:lineRule="auto"/>
      <w:ind w:firstLine="200" w:firstLineChars="200"/>
    </w:pPr>
    <w:rPr>
      <w:rFonts w:ascii="宋体" w:hAnsi="宋体" w:cs="宋体"/>
      <w:sz w:val="24"/>
      <w:szCs w:val="26"/>
    </w:rPr>
  </w:style>
  <w:style w:type="character" w:customStyle="1" w:styleId="418">
    <w:name w:val="表格 Char Char"/>
    <w:link w:val="193"/>
    <w:qFormat/>
    <w:locked/>
    <w:uiPriority w:val="99"/>
    <w:rPr>
      <w:sz w:val="24"/>
    </w:rPr>
  </w:style>
  <w:style w:type="paragraph" w:customStyle="1" w:styleId="419">
    <w:name w:val="样式8"/>
    <w:basedOn w:val="4"/>
    <w:qFormat/>
    <w:uiPriority w:val="99"/>
    <w:pPr>
      <w:adjustRightInd w:val="0"/>
      <w:snapToGrid w:val="0"/>
      <w:spacing w:before="0" w:after="0" w:line="480" w:lineRule="exact"/>
    </w:pPr>
    <w:rPr>
      <w:sz w:val="26"/>
      <w:szCs w:val="24"/>
    </w:rPr>
  </w:style>
  <w:style w:type="character" w:customStyle="1" w:styleId="420">
    <w:name w:val="标题4 Char"/>
    <w:link w:val="346"/>
    <w:qFormat/>
    <w:locked/>
    <w:uiPriority w:val="99"/>
    <w:rPr>
      <w:rFonts w:ascii="Arial Unicode MS" w:hAnsi="Arial Unicode MS" w:eastAsia="黑体"/>
      <w:snapToGrid w:val="0"/>
      <w:spacing w:val="20"/>
      <w:sz w:val="24"/>
    </w:rPr>
  </w:style>
  <w:style w:type="character" w:customStyle="1" w:styleId="421">
    <w:name w:val="+小四正文"/>
    <w:uiPriority w:val="99"/>
    <w:rPr>
      <w:rFonts w:eastAsia="华文仿宋"/>
      <w:b/>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2"/>
    <customShpInfo spid="_x0000_s1027"/>
    <customShpInfo spid="_x0000_s1028"/>
    <customShpInfo spid="_x0000_s1029"/>
    <customShpInfo spid="_x0000_s1030"/>
    <customShpInfo spid="_x0000_s1031"/>
    <customShpInfo spid="_x0000_s1032"/>
    <customShpInfo spid="_x0000_s1033"/>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088"/>
    <customShpInfo spid="_x0000_s1103"/>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51"/>
    <customShpInfo spid="_x0000_s1152"/>
    <customShpInfo spid="_x0000_s1153"/>
    <customShpInfo spid="_x0000_s1154"/>
    <customShpInfo spid="_x0000_s1155"/>
    <customShpInfo spid="_x0000_s1156"/>
    <customShpInfo spid="_x0000_s1157"/>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18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53</Pages>
  <Words>5214</Words>
  <Characters>29725</Characters>
  <Lines>247</Lines>
  <Paragraphs>69</Paragraphs>
  <ScaleCrop>false</ScaleCrop>
  <LinksUpToDate>false</LinksUpToDate>
  <CharactersWithSpaces>34870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2017-05-28T00:45:00Z</dcterms:created>
  <dc:creator>wn</dc:creator>
  <cp:lastModifiedBy>Administrator</cp:lastModifiedBy>
  <cp:lastPrinted>2015-01-20T06:22:00Z</cp:lastPrinted>
  <dcterms:modified xsi:type="dcterms:W3CDTF">2017-05-28T11:15:20Z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