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strike/>
          <w:color w:val="000000"/>
          <w:sz w:val="28"/>
        </w:rPr>
      </w:pPr>
    </w:p>
    <w:p>
      <w:pPr>
        <w:tabs>
          <w:tab w:val="left" w:pos="3012"/>
        </w:tabs>
        <w:jc w:val="right"/>
        <w:rPr>
          <w:rFonts w:ascii="宋体"/>
          <w:b/>
          <w:sz w:val="30"/>
          <w:szCs w:val="30"/>
        </w:rPr>
      </w:pPr>
      <w:r>
        <w:rPr>
          <w:rFonts w:hint="eastAsia" w:ascii="宋体" w:hAnsi="宋体"/>
          <w:b/>
          <w:sz w:val="30"/>
          <w:szCs w:val="30"/>
        </w:rPr>
        <w:t>版本号：</w:t>
      </w:r>
      <w:r>
        <w:rPr>
          <w:rFonts w:ascii="宋体" w:hAnsi="宋体"/>
          <w:b/>
          <w:sz w:val="30"/>
          <w:szCs w:val="30"/>
        </w:rPr>
        <w:t>2017</w:t>
      </w:r>
      <w:r>
        <w:rPr>
          <w:rFonts w:hint="eastAsia" w:ascii="宋体" w:hAnsi="宋体"/>
          <w:b/>
          <w:sz w:val="30"/>
          <w:szCs w:val="30"/>
        </w:rPr>
        <w:t>版</w:t>
      </w:r>
    </w:p>
    <w:p>
      <w:pPr>
        <w:pStyle w:val="30"/>
        <w:tabs>
          <w:tab w:val="right" w:leader="dot" w:pos="8296"/>
          <w:tab w:val="clear" w:pos="9174"/>
        </w:tabs>
        <w:jc w:val="center"/>
        <w:rPr>
          <w:b/>
          <w:sz w:val="44"/>
          <w:szCs w:val="44"/>
        </w:rPr>
      </w:pPr>
    </w:p>
    <w:p>
      <w:pPr>
        <w:autoSpaceDE w:val="0"/>
        <w:autoSpaceDN w:val="0"/>
        <w:adjustRightInd w:val="0"/>
        <w:jc w:val="center"/>
        <w:rPr>
          <w:b/>
          <w:bCs/>
          <w:spacing w:val="-20"/>
          <w:sz w:val="52"/>
          <w:szCs w:val="52"/>
        </w:rPr>
      </w:pPr>
      <w:r>
        <w:rPr>
          <w:rFonts w:hint="eastAsia" w:ascii="宋体" w:cs="宋体"/>
          <w:b/>
          <w:bCs/>
          <w:spacing w:val="-20"/>
          <w:sz w:val="52"/>
          <w:szCs w:val="52"/>
          <w:lang w:val="zh-CN"/>
        </w:rPr>
        <w:t>重庆市涪陵区拓源污水治理有限公司</w:t>
      </w:r>
    </w:p>
    <w:p>
      <w:pPr>
        <w:pStyle w:val="415"/>
        <w:rPr>
          <w:rFonts w:ascii="宋体" w:hAnsi="宋体" w:eastAsia="宋体"/>
          <w:b/>
        </w:rPr>
      </w:pPr>
      <w:r>
        <w:rPr>
          <w:rFonts w:ascii="宋体" w:hAnsi="宋体" w:eastAsia="宋体"/>
          <w:b/>
        </w:rPr>
        <w:t xml:space="preserve">  </w:t>
      </w:r>
      <w:r>
        <w:rPr>
          <w:rFonts w:hint="eastAsia" w:ascii="宋体" w:hAnsi="宋体" w:eastAsia="宋体"/>
          <w:b/>
        </w:rPr>
        <w:t>百胜榨菜废水集中处理厂</w:t>
      </w:r>
    </w:p>
    <w:p>
      <w:pPr>
        <w:pStyle w:val="415"/>
        <w:rPr>
          <w:rFonts w:ascii="宋体" w:hAnsi="宋体" w:eastAsia="宋体"/>
        </w:rPr>
      </w:pPr>
    </w:p>
    <w:p>
      <w:pPr>
        <w:adjustRightInd w:val="0"/>
        <w:snapToGrid w:val="0"/>
        <w:spacing w:line="480" w:lineRule="auto"/>
        <w:jc w:val="center"/>
        <w:rPr>
          <w:rFonts w:ascii="宋体"/>
          <w:b/>
          <w:sz w:val="52"/>
        </w:rPr>
      </w:pPr>
      <w:r>
        <w:rPr>
          <w:rFonts w:ascii="宋体" w:hAnsi="宋体"/>
          <w:b/>
          <w:sz w:val="52"/>
        </w:rPr>
        <w:t xml:space="preserve"> </w:t>
      </w:r>
      <w:r>
        <w:rPr>
          <w:rFonts w:hint="eastAsia" w:ascii="宋体" w:hAnsi="宋体"/>
          <w:b/>
          <w:sz w:val="52"/>
        </w:rPr>
        <w:t>突发环境事件应急预案</w:t>
      </w:r>
    </w:p>
    <w:p>
      <w:pPr>
        <w:adjustRightInd w:val="0"/>
        <w:snapToGrid w:val="0"/>
        <w:spacing w:line="360" w:lineRule="auto"/>
        <w:ind w:firstLine="883" w:firstLineChars="200"/>
        <w:jc w:val="center"/>
        <w:rPr>
          <w:rFonts w:ascii="宋体"/>
          <w:b/>
          <w:sz w:val="44"/>
          <w:szCs w:val="44"/>
        </w:rPr>
      </w:pPr>
    </w:p>
    <w:p>
      <w:pPr>
        <w:adjustRightInd w:val="0"/>
        <w:snapToGrid w:val="0"/>
        <w:spacing w:line="360" w:lineRule="auto"/>
        <w:ind w:firstLine="883" w:firstLineChars="200"/>
        <w:jc w:val="center"/>
        <w:rPr>
          <w:rFonts w:ascii="宋体"/>
          <w:b/>
          <w:sz w:val="44"/>
          <w:szCs w:val="44"/>
        </w:rPr>
      </w:pPr>
    </w:p>
    <w:p>
      <w:pPr>
        <w:adjustRightInd w:val="0"/>
        <w:snapToGrid w:val="0"/>
        <w:spacing w:line="360" w:lineRule="auto"/>
        <w:ind w:firstLine="883" w:firstLineChars="200"/>
        <w:jc w:val="center"/>
        <w:rPr>
          <w:rFonts w:ascii="宋体"/>
          <w:b/>
          <w:sz w:val="44"/>
          <w:szCs w:val="44"/>
        </w:rPr>
      </w:pPr>
    </w:p>
    <w:p>
      <w:pPr>
        <w:adjustRightInd w:val="0"/>
        <w:snapToGrid w:val="0"/>
        <w:spacing w:line="360" w:lineRule="auto"/>
        <w:ind w:firstLine="883" w:firstLineChars="200"/>
        <w:jc w:val="center"/>
        <w:rPr>
          <w:rFonts w:ascii="宋体"/>
          <w:b/>
          <w:sz w:val="44"/>
          <w:szCs w:val="44"/>
        </w:rPr>
      </w:pPr>
    </w:p>
    <w:p>
      <w:pPr>
        <w:adjustRightInd w:val="0"/>
        <w:snapToGrid w:val="0"/>
        <w:spacing w:line="360" w:lineRule="auto"/>
        <w:ind w:firstLine="883" w:firstLineChars="200"/>
        <w:jc w:val="center"/>
        <w:rPr>
          <w:rFonts w:ascii="宋体"/>
          <w:b/>
          <w:sz w:val="44"/>
          <w:szCs w:val="44"/>
        </w:rPr>
      </w:pPr>
    </w:p>
    <w:p>
      <w:pPr>
        <w:adjustRightInd w:val="0"/>
        <w:snapToGrid w:val="0"/>
        <w:spacing w:line="360" w:lineRule="auto"/>
        <w:ind w:firstLine="883" w:firstLineChars="200"/>
        <w:jc w:val="center"/>
        <w:rPr>
          <w:rFonts w:ascii="宋体"/>
          <w:b/>
          <w:sz w:val="44"/>
          <w:szCs w:val="44"/>
        </w:rPr>
      </w:pPr>
    </w:p>
    <w:p>
      <w:pPr>
        <w:adjustRightInd w:val="0"/>
        <w:snapToGrid w:val="0"/>
        <w:spacing w:line="360" w:lineRule="auto"/>
        <w:ind w:firstLine="883" w:firstLineChars="200"/>
        <w:jc w:val="center"/>
        <w:rPr>
          <w:rFonts w:ascii="宋体"/>
          <w:b/>
          <w:sz w:val="44"/>
          <w:szCs w:val="44"/>
        </w:rPr>
      </w:pPr>
    </w:p>
    <w:p>
      <w:pPr>
        <w:autoSpaceDE w:val="0"/>
        <w:autoSpaceDN w:val="0"/>
        <w:adjustRightInd w:val="0"/>
        <w:rPr>
          <w:rFonts w:ascii="宋体"/>
          <w:b/>
          <w:sz w:val="44"/>
          <w:szCs w:val="44"/>
        </w:rPr>
      </w:pPr>
    </w:p>
    <w:p>
      <w:pPr>
        <w:autoSpaceDE w:val="0"/>
        <w:autoSpaceDN w:val="0"/>
        <w:adjustRightInd w:val="0"/>
        <w:jc w:val="center"/>
        <w:rPr>
          <w:rFonts w:ascii="宋体" w:cs="宋体"/>
          <w:b/>
          <w:bCs/>
          <w:spacing w:val="-20"/>
          <w:sz w:val="32"/>
          <w:szCs w:val="32"/>
          <w:lang w:val="zh-CN"/>
        </w:rPr>
      </w:pPr>
      <w:r>
        <w:rPr>
          <w:rFonts w:hint="eastAsia" w:ascii="宋体" w:hAnsi="宋体"/>
          <w:b/>
          <w:bCs/>
          <w:sz w:val="32"/>
          <w:szCs w:val="32"/>
        </w:rPr>
        <w:t>评价单位：</w:t>
      </w:r>
      <w:r>
        <w:rPr>
          <w:rFonts w:hint="eastAsia" w:ascii="宋体" w:cs="宋体"/>
          <w:b/>
          <w:bCs/>
          <w:spacing w:val="-20"/>
          <w:sz w:val="32"/>
          <w:szCs w:val="32"/>
          <w:lang w:val="zh-CN"/>
        </w:rPr>
        <w:t>重庆市涪陵区拓源污水治理有限公司</w:t>
      </w:r>
    </w:p>
    <w:p>
      <w:pPr>
        <w:autoSpaceDE w:val="0"/>
        <w:autoSpaceDN w:val="0"/>
        <w:adjustRightInd w:val="0"/>
        <w:jc w:val="center"/>
        <w:rPr>
          <w:b/>
          <w:bCs/>
          <w:spacing w:val="-20"/>
          <w:sz w:val="32"/>
          <w:szCs w:val="32"/>
        </w:rPr>
      </w:pPr>
      <w:r>
        <w:rPr>
          <w:rFonts w:ascii="宋体" w:hAnsi="宋体"/>
          <w:b/>
          <w:sz w:val="32"/>
          <w:szCs w:val="32"/>
        </w:rPr>
        <w:t xml:space="preserve">       </w:t>
      </w:r>
      <w:r>
        <w:rPr>
          <w:rFonts w:hint="eastAsia" w:ascii="宋体" w:hAnsi="宋体"/>
          <w:b/>
          <w:sz w:val="32"/>
          <w:szCs w:val="32"/>
        </w:rPr>
        <w:t>百胜榨菜废水集中处理厂</w:t>
      </w:r>
    </w:p>
    <w:p>
      <w:pPr>
        <w:jc w:val="center"/>
        <w:rPr>
          <w:rFonts w:ascii="宋体"/>
          <w:b/>
          <w:bCs/>
          <w:sz w:val="32"/>
          <w:szCs w:val="32"/>
        </w:rPr>
      </w:pPr>
    </w:p>
    <w:p>
      <w:pPr>
        <w:jc w:val="center"/>
        <w:rPr>
          <w:rFonts w:ascii="宋体"/>
        </w:rPr>
      </w:pPr>
      <w:r>
        <w:rPr>
          <w:rFonts w:hint="eastAsia" w:ascii="宋体" w:hAnsi="宋体"/>
          <w:b/>
          <w:bCs/>
          <w:sz w:val="32"/>
          <w:szCs w:val="32"/>
        </w:rPr>
        <w:t>编制日期：二</w:t>
      </w:r>
      <w:r>
        <w:rPr>
          <w:rFonts w:hint="eastAsia" w:ascii="宋体" w:hAnsi="宋体"/>
          <w:sz w:val="28"/>
          <w:szCs w:val="28"/>
        </w:rPr>
        <w:t>○</w:t>
      </w:r>
      <w:r>
        <w:rPr>
          <w:rFonts w:hint="eastAsia" w:ascii="宋体" w:hAnsi="宋体"/>
          <w:b/>
          <w:bCs/>
          <w:sz w:val="32"/>
          <w:szCs w:val="32"/>
        </w:rPr>
        <w:t>一七年五月</w:t>
      </w:r>
    </w:p>
    <w:p>
      <w:pPr>
        <w:spacing w:line="360" w:lineRule="auto"/>
        <w:jc w:val="center"/>
        <w:rPr>
          <w:rFonts w:ascii="宋体"/>
          <w:b/>
          <w:bCs/>
          <w:color w:val="FF0000"/>
          <w:spacing w:val="8"/>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510" w:gutter="0"/>
          <w:cols w:space="720" w:num="1"/>
          <w:titlePg/>
          <w:docGrid w:linePitch="381" w:charSpace="0"/>
        </w:sectPr>
      </w:pPr>
    </w:p>
    <w:p>
      <w:pPr>
        <w:spacing w:line="360" w:lineRule="auto"/>
        <w:jc w:val="center"/>
        <w:rPr>
          <w:rFonts w:ascii="宋体" w:cs="宋体"/>
          <w:b/>
          <w:bCs/>
          <w:color w:val="FF0000"/>
          <w:spacing w:val="-20"/>
          <w:sz w:val="44"/>
          <w:szCs w:val="44"/>
          <w:lang w:val="zh-CN"/>
        </w:rPr>
      </w:pPr>
      <w:r>
        <w:rPr>
          <w:rFonts w:hint="eastAsia" w:ascii="宋体" w:hAnsi="宋体"/>
          <w:b/>
          <w:bCs/>
          <w:color w:val="FF0000"/>
          <w:spacing w:val="8"/>
          <w:sz w:val="44"/>
          <w:szCs w:val="44"/>
        </w:rPr>
        <w:t>关于</w:t>
      </w:r>
      <w:r>
        <w:rPr>
          <w:rFonts w:hint="eastAsia" w:ascii="宋体" w:cs="宋体"/>
          <w:b/>
          <w:bCs/>
          <w:color w:val="FF0000"/>
          <w:spacing w:val="-20"/>
          <w:sz w:val="44"/>
          <w:szCs w:val="44"/>
          <w:lang w:val="zh-CN"/>
        </w:rPr>
        <w:t>重庆市涪陵区拓源污水治理有限公司</w:t>
      </w:r>
    </w:p>
    <w:p>
      <w:pPr>
        <w:spacing w:line="360" w:lineRule="auto"/>
        <w:jc w:val="center"/>
        <w:rPr>
          <w:rFonts w:ascii="宋体"/>
          <w:b/>
          <w:bCs/>
          <w:color w:val="FF0000"/>
          <w:spacing w:val="8"/>
          <w:sz w:val="44"/>
          <w:szCs w:val="44"/>
        </w:rPr>
      </w:pPr>
      <w:r>
        <w:rPr>
          <w:rFonts w:hint="eastAsia" w:ascii="宋体" w:hAnsi="宋体"/>
          <w:b/>
          <w:color w:val="FF0000"/>
          <w:sz w:val="44"/>
          <w:szCs w:val="44"/>
        </w:rPr>
        <w:t>百胜榨菜废水集中处理厂</w:t>
      </w:r>
    </w:p>
    <w:p>
      <w:pPr>
        <w:spacing w:line="360" w:lineRule="auto"/>
        <w:jc w:val="center"/>
        <w:rPr>
          <w:rFonts w:ascii="宋体"/>
        </w:rPr>
      </w:pPr>
      <w:r>
        <w:rPr>
          <w:rFonts w:hint="eastAsia" w:ascii="宋体" w:hAnsi="宋体"/>
          <w:b/>
          <w:bCs/>
          <w:color w:val="FF0000"/>
          <w:spacing w:val="8"/>
          <w:sz w:val="44"/>
          <w:szCs w:val="44"/>
          <w:u w:val="double"/>
        </w:rPr>
        <w:t>《突发环境事件应急预案》实行的通知</w:t>
      </w:r>
    </w:p>
    <w:p>
      <w:pPr>
        <w:spacing w:line="370" w:lineRule="exact"/>
        <w:rPr>
          <w:rFonts w:ascii="宋体" w:hAnsi="宋体"/>
          <w:sz w:val="30"/>
        </w:rPr>
      </w:pPr>
      <w:r>
        <w:rPr>
          <w:rFonts w:ascii="宋体" w:hAnsi="宋体"/>
          <w:sz w:val="30"/>
        </w:rPr>
        <w:t xml:space="preserve">    </w:t>
      </w:r>
    </w:p>
    <w:p>
      <w:pPr>
        <w:spacing w:line="360" w:lineRule="auto"/>
        <w:ind w:firstLine="600" w:firstLineChars="200"/>
        <w:rPr>
          <w:rFonts w:ascii="宋体"/>
          <w:sz w:val="30"/>
        </w:rPr>
      </w:pPr>
      <w:r>
        <w:rPr>
          <w:rFonts w:hint="eastAsia" w:ascii="宋体" w:hAnsi="宋体"/>
          <w:sz w:val="30"/>
        </w:rPr>
        <w:t>为贯彻《中华人民共和国环境保护法》及其他国家法律、法规及有关文件的要求，有效防范应对突发环境事件，减少单位财产损失，使本公司全体员工了解、熟悉本公司在发生突发环境事件时的应急处置程序，最大限度的减少发生突发环境事件造成的环境污染和生态损失。本单位委托相关部门和机构编制了《</w:t>
      </w:r>
      <w:r>
        <w:rPr>
          <w:rFonts w:hint="eastAsia" w:ascii="宋体" w:cs="宋体"/>
          <w:bCs/>
          <w:spacing w:val="-20"/>
          <w:sz w:val="30"/>
          <w:szCs w:val="30"/>
          <w:lang w:val="zh-CN"/>
        </w:rPr>
        <w:t>重庆市涪陵区拓源污水治理有限公司</w:t>
      </w:r>
      <w:r>
        <w:rPr>
          <w:rFonts w:hint="eastAsia" w:ascii="宋体" w:hAnsi="宋体"/>
          <w:sz w:val="30"/>
          <w:szCs w:val="30"/>
        </w:rPr>
        <w:t>百胜榨菜废水集中处理厂</w:t>
      </w:r>
      <w:r>
        <w:rPr>
          <w:rFonts w:hint="eastAsia" w:ascii="宋体" w:hAnsi="宋体"/>
          <w:sz w:val="30"/>
        </w:rPr>
        <w:t>突发环境事件应急预案》。该预案是本单位实施应急救援的规范性文件，用于指导本单位突发环境事故的应急救援行动。</w:t>
      </w:r>
    </w:p>
    <w:p>
      <w:pPr>
        <w:spacing w:line="360" w:lineRule="auto"/>
        <w:ind w:firstLine="600" w:firstLineChars="200"/>
        <w:rPr>
          <w:rFonts w:ascii="宋体"/>
          <w:sz w:val="30"/>
        </w:rPr>
      </w:pPr>
      <w:r>
        <w:rPr>
          <w:rFonts w:hint="eastAsia" w:ascii="宋体" w:hAnsi="宋体"/>
          <w:sz w:val="30"/>
        </w:rPr>
        <w:t>本应急预案于</w:t>
      </w:r>
      <w:r>
        <w:rPr>
          <w:rFonts w:ascii="宋体" w:hAnsi="宋体"/>
          <w:sz w:val="30"/>
        </w:rPr>
        <w:t xml:space="preserve">2017 </w:t>
      </w:r>
      <w:r>
        <w:rPr>
          <w:rFonts w:hint="eastAsia" w:ascii="宋体" w:hAnsi="宋体"/>
          <w:sz w:val="30"/>
        </w:rPr>
        <w:t>年</w:t>
      </w:r>
      <w:r>
        <w:rPr>
          <w:rFonts w:ascii="宋体" w:hAnsi="宋体"/>
          <w:sz w:val="30"/>
        </w:rPr>
        <w:t xml:space="preserve">  </w:t>
      </w:r>
      <w:r>
        <w:rPr>
          <w:rFonts w:hint="eastAsia" w:ascii="宋体" w:hAnsi="宋体"/>
          <w:sz w:val="30"/>
        </w:rPr>
        <w:t>月</w:t>
      </w:r>
      <w:r>
        <w:rPr>
          <w:rFonts w:ascii="宋体" w:hAnsi="宋体"/>
          <w:sz w:val="30"/>
        </w:rPr>
        <w:t xml:space="preserve">  </w:t>
      </w:r>
      <w:r>
        <w:rPr>
          <w:rFonts w:hint="eastAsia" w:ascii="宋体" w:hAnsi="宋体"/>
          <w:sz w:val="30"/>
        </w:rPr>
        <w:t>日批准发布，</w:t>
      </w:r>
      <w:r>
        <w:rPr>
          <w:rFonts w:ascii="宋体" w:hAnsi="宋体"/>
          <w:sz w:val="30"/>
        </w:rPr>
        <w:t xml:space="preserve">2017 </w:t>
      </w:r>
      <w:r>
        <w:rPr>
          <w:rFonts w:hint="eastAsia" w:ascii="宋体" w:hAnsi="宋体"/>
          <w:sz w:val="30"/>
        </w:rPr>
        <w:t>年</w:t>
      </w:r>
      <w:r>
        <w:rPr>
          <w:rFonts w:ascii="宋体" w:hAnsi="宋体"/>
          <w:sz w:val="30"/>
        </w:rPr>
        <w:t xml:space="preserve">  </w:t>
      </w:r>
      <w:r>
        <w:rPr>
          <w:rFonts w:hint="eastAsia" w:ascii="宋体" w:hAnsi="宋体"/>
          <w:sz w:val="30"/>
        </w:rPr>
        <w:t>月</w:t>
      </w:r>
      <w:r>
        <w:rPr>
          <w:rFonts w:ascii="宋体" w:hAnsi="宋体"/>
          <w:sz w:val="30"/>
        </w:rPr>
        <w:t xml:space="preserve">  </w:t>
      </w:r>
      <w:r>
        <w:rPr>
          <w:rFonts w:hint="eastAsia" w:ascii="宋体" w:hAnsi="宋体"/>
          <w:sz w:val="30"/>
        </w:rPr>
        <w:t>日正式实施。</w:t>
      </w: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rPr>
          <w:rFonts w:ascii="宋体"/>
          <w:sz w:val="30"/>
        </w:rPr>
      </w:pPr>
    </w:p>
    <w:p>
      <w:pPr>
        <w:spacing w:line="370" w:lineRule="exact"/>
        <w:jc w:val="right"/>
        <w:rPr>
          <w:rFonts w:ascii="宋体" w:cs="宋体"/>
          <w:bCs/>
          <w:spacing w:val="-20"/>
          <w:sz w:val="30"/>
          <w:szCs w:val="30"/>
          <w:lang w:val="zh-CN"/>
        </w:rPr>
      </w:pPr>
      <w:r>
        <w:rPr>
          <w:rFonts w:hint="eastAsia" w:ascii="宋体" w:cs="宋体"/>
          <w:bCs/>
          <w:spacing w:val="-20"/>
          <w:sz w:val="30"/>
          <w:szCs w:val="30"/>
          <w:lang w:val="zh-CN"/>
        </w:rPr>
        <w:t>重庆市涪陵区拓源污水治理有限公司</w:t>
      </w:r>
    </w:p>
    <w:p>
      <w:pPr>
        <w:spacing w:line="370" w:lineRule="exact"/>
        <w:ind w:right="600"/>
        <w:jc w:val="center"/>
        <w:rPr>
          <w:rFonts w:ascii="宋体"/>
          <w:sz w:val="30"/>
          <w:szCs w:val="30"/>
        </w:rPr>
      </w:pPr>
      <w:r>
        <w:rPr>
          <w:rFonts w:ascii="宋体" w:hAnsi="宋体"/>
          <w:sz w:val="30"/>
          <w:szCs w:val="30"/>
        </w:rPr>
        <w:t xml:space="preserve">                                    </w:t>
      </w:r>
      <w:r>
        <w:rPr>
          <w:rFonts w:hint="eastAsia" w:ascii="宋体" w:hAnsi="宋体"/>
          <w:sz w:val="30"/>
          <w:szCs w:val="30"/>
        </w:rPr>
        <w:t>百胜榨菜废水集中处厂</w:t>
      </w:r>
    </w:p>
    <w:p>
      <w:pPr>
        <w:spacing w:line="370" w:lineRule="exact"/>
        <w:rPr>
          <w:rFonts w:ascii="宋体" w:hAnsi="宋体"/>
          <w:sz w:val="30"/>
        </w:rPr>
      </w:pPr>
      <w:r>
        <w:rPr>
          <w:rFonts w:ascii="宋体" w:hAnsi="宋体"/>
          <w:sz w:val="30"/>
        </w:rPr>
        <w:t xml:space="preserve">     </w:t>
      </w:r>
    </w:p>
    <w:p>
      <w:pPr>
        <w:spacing w:line="240" w:lineRule="atLeast"/>
        <w:rPr>
          <w:rFonts w:ascii="宋体"/>
          <w:color w:val="FF0000"/>
          <w:spacing w:val="-40"/>
          <w:w w:val="50"/>
          <w:sz w:val="144"/>
        </w:rPr>
      </w:pPr>
      <w:r>
        <w:rPr>
          <w:rFonts w:ascii="宋体" w:hAnsi="宋体"/>
          <w:sz w:val="28"/>
        </w:rPr>
        <w:t xml:space="preserve">                                           2017</w:t>
      </w:r>
      <w:r>
        <w:rPr>
          <w:rFonts w:hint="eastAsia" w:ascii="宋体" w:hAnsi="宋体"/>
          <w:sz w:val="28"/>
        </w:rPr>
        <w:t>年</w:t>
      </w:r>
      <w:r>
        <w:rPr>
          <w:rFonts w:ascii="宋体" w:hAnsi="宋体"/>
          <w:sz w:val="28"/>
        </w:rPr>
        <w:t xml:space="preserve">   </w:t>
      </w:r>
      <w:r>
        <w:rPr>
          <w:rFonts w:hint="eastAsia" w:ascii="宋体" w:hAnsi="宋体"/>
          <w:sz w:val="28"/>
        </w:rPr>
        <w:t>月</w:t>
      </w:r>
      <w:r>
        <w:rPr>
          <w:rFonts w:ascii="宋体" w:hAnsi="宋体"/>
          <w:sz w:val="28"/>
        </w:rPr>
        <w:t xml:space="preserve">   </w:t>
      </w:r>
      <w:r>
        <w:rPr>
          <w:rFonts w:hint="eastAsia" w:ascii="宋体" w:hAnsi="宋体"/>
          <w:sz w:val="28"/>
        </w:rPr>
        <w:t>日</w:t>
      </w:r>
    </w:p>
    <w:p>
      <w:pPr>
        <w:pageBreakBefore/>
        <w:spacing w:line="360" w:lineRule="auto"/>
        <w:jc w:val="center"/>
        <w:rPr>
          <w:rFonts w:ascii="宋体"/>
          <w:b/>
          <w:color w:val="000000"/>
          <w:sz w:val="36"/>
          <w:szCs w:val="36"/>
        </w:rPr>
      </w:pPr>
      <w:r>
        <w:rPr>
          <w:rFonts w:hint="eastAsia" w:ascii="宋体" w:hAnsi="宋体"/>
          <w:b/>
          <w:color w:val="000000"/>
          <w:sz w:val="36"/>
          <w:szCs w:val="36"/>
        </w:rPr>
        <w:t>目</w:t>
      </w:r>
      <w:r>
        <w:rPr>
          <w:rFonts w:ascii="宋体" w:hAnsi="宋体"/>
          <w:b/>
          <w:color w:val="000000"/>
          <w:sz w:val="36"/>
          <w:szCs w:val="36"/>
        </w:rPr>
        <w:t xml:space="preserve">  </w:t>
      </w:r>
      <w:r>
        <w:rPr>
          <w:rFonts w:hint="eastAsia" w:ascii="宋体" w:hAnsi="宋体"/>
          <w:b/>
          <w:color w:val="000000"/>
          <w:sz w:val="36"/>
          <w:szCs w:val="36"/>
        </w:rPr>
        <w:t>录</w:t>
      </w:r>
    </w:p>
    <w:p>
      <w:pPr>
        <w:pStyle w:val="30"/>
        <w:tabs>
          <w:tab w:val="right" w:leader="dot" w:pos="9014"/>
          <w:tab w:val="clear" w:pos="9174"/>
        </w:tabs>
      </w:pPr>
      <w:bookmarkStart w:id="830" w:name="_GoBack"/>
      <w:bookmarkEnd w:id="830"/>
      <w:r>
        <w:rPr>
          <w:smallCaps/>
          <w:color w:val="000000"/>
          <w:sz w:val="24"/>
          <w:szCs w:val="24"/>
        </w:rPr>
        <w:fldChar w:fldCharType="begin"/>
      </w:r>
      <w:r>
        <w:rPr>
          <w:color w:val="000000"/>
          <w:sz w:val="24"/>
          <w:szCs w:val="24"/>
        </w:rPr>
        <w:instrText xml:space="preserve">TOC \o "1-2" \h \u </w:instrText>
      </w:r>
      <w:r>
        <w:rPr>
          <w:smallCaps/>
          <w:color w:val="000000"/>
          <w:sz w:val="24"/>
          <w:szCs w:val="24"/>
        </w:rPr>
        <w:fldChar w:fldCharType="separate"/>
      </w:r>
      <w:r>
        <w:rPr>
          <w:smallCaps/>
          <w:color w:val="000000"/>
          <w:szCs w:val="24"/>
        </w:rPr>
        <w:fldChar w:fldCharType="begin"/>
      </w:r>
      <w:r>
        <w:rPr>
          <w:smallCaps/>
          <w:szCs w:val="24"/>
        </w:rPr>
        <w:instrText xml:space="preserve"> HYPERLINK \l _Toc2550 </w:instrText>
      </w:r>
      <w:r>
        <w:rPr>
          <w:smallCaps/>
          <w:szCs w:val="24"/>
        </w:rPr>
        <w:fldChar w:fldCharType="separate"/>
      </w:r>
      <w:r>
        <w:rPr>
          <w:rFonts w:ascii="宋体" w:hAnsi="宋体"/>
          <w:b/>
        </w:rPr>
        <w:t>1</w:t>
      </w:r>
      <w:r>
        <w:rPr>
          <w:rFonts w:hint="eastAsia" w:ascii="宋体" w:hAnsi="宋体"/>
          <w:b/>
        </w:rPr>
        <w:t>总则</w:t>
      </w:r>
      <w:r>
        <w:tab/>
      </w:r>
      <w:r>
        <w:fldChar w:fldCharType="begin"/>
      </w:r>
      <w:r>
        <w:instrText xml:space="preserve"> PAGEREF _Toc2550 </w:instrText>
      </w:r>
      <w:r>
        <w:fldChar w:fldCharType="separate"/>
      </w:r>
      <w:r>
        <w:t>5</w:t>
      </w:r>
      <w:r>
        <w:fldChar w:fldCharType="end"/>
      </w:r>
      <w:r>
        <w:rPr>
          <w:smallCaps/>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_Toc6394 </w:instrText>
      </w:r>
      <w:r>
        <w:rPr>
          <w:rFonts w:ascii="宋体" w:hAnsi="宋体"/>
          <w:szCs w:val="24"/>
        </w:rPr>
        <w:fldChar w:fldCharType="separate"/>
      </w:r>
      <w:r>
        <w:rPr>
          <w:rFonts w:hint="eastAsia"/>
          <w:b/>
          <w:szCs w:val="26"/>
          <w:lang w:val="zh-CN"/>
        </w:rPr>
        <w:t>1.1编制目的</w:t>
      </w:r>
      <w:r>
        <w:tab/>
      </w:r>
      <w:r>
        <w:fldChar w:fldCharType="begin"/>
      </w:r>
      <w:r>
        <w:instrText xml:space="preserve"> PAGEREF _Toc6394 </w:instrText>
      </w:r>
      <w:r>
        <w:fldChar w:fldCharType="separate"/>
      </w:r>
      <w:r>
        <w:t>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_Toc20664 </w:instrText>
      </w:r>
      <w:r>
        <w:rPr>
          <w:rFonts w:ascii="宋体" w:hAnsi="宋体"/>
          <w:szCs w:val="24"/>
        </w:rPr>
        <w:fldChar w:fldCharType="separate"/>
      </w:r>
      <w:r>
        <w:rPr>
          <w:rFonts w:hint="eastAsia"/>
          <w:b/>
          <w:szCs w:val="26"/>
          <w:lang w:val="zh-CN"/>
        </w:rPr>
        <w:t>1.2编制依据</w:t>
      </w:r>
      <w:r>
        <w:tab/>
      </w:r>
      <w:r>
        <w:fldChar w:fldCharType="begin"/>
      </w:r>
      <w:r>
        <w:instrText xml:space="preserve"> PAGEREF _Toc20664 </w:instrText>
      </w:r>
      <w:r>
        <w:fldChar w:fldCharType="separate"/>
      </w:r>
      <w:r>
        <w:t>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_Toc8333 </w:instrText>
      </w:r>
      <w:r>
        <w:rPr>
          <w:rFonts w:ascii="宋体" w:hAnsi="宋体"/>
          <w:szCs w:val="24"/>
        </w:rPr>
        <w:fldChar w:fldCharType="separate"/>
      </w:r>
      <w:r>
        <w:rPr>
          <w:rFonts w:hint="eastAsia"/>
          <w:b/>
          <w:szCs w:val="26"/>
          <w:lang w:val="zh-CN"/>
        </w:rPr>
        <w:t>1.3 适用范围</w:t>
      </w:r>
      <w:r>
        <w:tab/>
      </w:r>
      <w:r>
        <w:fldChar w:fldCharType="begin"/>
      </w:r>
      <w:r>
        <w:instrText xml:space="preserve"> PAGEREF _Toc8333 </w:instrText>
      </w:r>
      <w:r>
        <w:fldChar w:fldCharType="separate"/>
      </w:r>
      <w:r>
        <w:t>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_Toc7053 </w:instrText>
      </w:r>
      <w:r>
        <w:rPr>
          <w:rFonts w:ascii="宋体" w:hAnsi="宋体"/>
          <w:szCs w:val="24"/>
        </w:rPr>
        <w:fldChar w:fldCharType="separate"/>
      </w:r>
      <w:r>
        <w:rPr>
          <w:rFonts w:hint="eastAsia"/>
          <w:b/>
          <w:szCs w:val="26"/>
          <w:lang w:val="zh-CN"/>
        </w:rPr>
        <w:t>1.4应急预案体系</w:t>
      </w:r>
      <w:r>
        <w:tab/>
      </w:r>
      <w:r>
        <w:fldChar w:fldCharType="begin"/>
      </w:r>
      <w:r>
        <w:instrText xml:space="preserve"> PAGEREF _Toc7053 </w:instrText>
      </w:r>
      <w:r>
        <w:fldChar w:fldCharType="separate"/>
      </w:r>
      <w:r>
        <w:t>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_Toc15360 </w:instrText>
      </w:r>
      <w:r>
        <w:rPr>
          <w:rFonts w:ascii="宋体" w:hAnsi="宋体"/>
          <w:szCs w:val="24"/>
        </w:rPr>
        <w:fldChar w:fldCharType="separate"/>
      </w:r>
      <w:r>
        <w:rPr>
          <w:rFonts w:hint="eastAsia"/>
          <w:b/>
          <w:szCs w:val="26"/>
          <w:lang w:val="zh-CN"/>
        </w:rPr>
        <w:t>1.5应急工作原则</w:t>
      </w:r>
      <w:r>
        <w:tab/>
      </w:r>
      <w:r>
        <w:fldChar w:fldCharType="begin"/>
      </w:r>
      <w:r>
        <w:instrText xml:space="preserve"> PAGEREF _Toc15360 </w:instrText>
      </w:r>
      <w:r>
        <w:fldChar w:fldCharType="separate"/>
      </w:r>
      <w:r>
        <w:t>7</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_Toc29572 </w:instrText>
      </w:r>
      <w:r>
        <w:rPr>
          <w:rFonts w:ascii="宋体" w:hAnsi="宋体"/>
          <w:szCs w:val="24"/>
        </w:rPr>
        <w:fldChar w:fldCharType="separate"/>
      </w:r>
      <w:r>
        <w:rPr>
          <w:rFonts w:ascii="宋体" w:hAnsi="宋体"/>
          <w:b/>
          <w:lang w:val="zh-CN"/>
        </w:rPr>
        <w:t>2</w:t>
      </w:r>
      <w:r>
        <w:rPr>
          <w:rFonts w:hint="eastAsia" w:ascii="宋体" w:hAnsi="宋体"/>
          <w:b/>
          <w:lang w:val="zh-CN"/>
        </w:rPr>
        <w:t>企业基休信息</w:t>
      </w:r>
      <w:r>
        <w:tab/>
      </w:r>
      <w:r>
        <w:fldChar w:fldCharType="begin"/>
      </w:r>
      <w:r>
        <w:instrText xml:space="preserve"> PAGEREF _Toc29572 </w:instrText>
      </w:r>
      <w:r>
        <w:fldChar w:fldCharType="separate"/>
      </w:r>
      <w:r>
        <w:t>8</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_Toc23253 </w:instrText>
      </w:r>
      <w:r>
        <w:rPr>
          <w:rFonts w:ascii="宋体" w:hAnsi="宋体"/>
          <w:szCs w:val="24"/>
        </w:rPr>
        <w:fldChar w:fldCharType="separate"/>
      </w:r>
      <w:r>
        <w:rPr>
          <w:rFonts w:hint="eastAsia"/>
          <w:b/>
          <w:szCs w:val="26"/>
          <w:lang w:val="zh-CN"/>
        </w:rPr>
        <w:t>2.1企业基休信息</w:t>
      </w:r>
      <w:r>
        <w:tab/>
      </w:r>
      <w:r>
        <w:fldChar w:fldCharType="begin"/>
      </w:r>
      <w:r>
        <w:instrText xml:space="preserve"> PAGEREF _Toc23253 </w:instrText>
      </w:r>
      <w:r>
        <w:fldChar w:fldCharType="separate"/>
      </w:r>
      <w:r>
        <w:t>8</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_Toc12791 </w:instrText>
      </w:r>
      <w:r>
        <w:rPr>
          <w:rFonts w:ascii="宋体" w:hAnsi="宋体"/>
          <w:szCs w:val="24"/>
        </w:rPr>
        <w:fldChar w:fldCharType="separate"/>
      </w:r>
      <w:r>
        <w:rPr>
          <w:rFonts w:hint="eastAsia"/>
          <w:b/>
          <w:szCs w:val="26"/>
          <w:lang w:val="zh-CN"/>
        </w:rPr>
        <w:t>2.2 周边环境概况</w:t>
      </w:r>
      <w:r>
        <w:tab/>
      </w:r>
      <w:r>
        <w:fldChar w:fldCharType="begin"/>
      </w:r>
      <w:r>
        <w:instrText xml:space="preserve"> PAGEREF _Toc12791 </w:instrText>
      </w:r>
      <w:r>
        <w:fldChar w:fldCharType="separate"/>
      </w:r>
      <w:r>
        <w:t>8</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_Toc8511 </w:instrText>
      </w:r>
      <w:r>
        <w:rPr>
          <w:rFonts w:ascii="宋体" w:hAnsi="宋体"/>
          <w:szCs w:val="24"/>
        </w:rPr>
        <w:fldChar w:fldCharType="separate"/>
      </w:r>
      <w:r>
        <w:rPr>
          <w:rFonts w:hint="eastAsia"/>
          <w:b/>
          <w:szCs w:val="26"/>
        </w:rPr>
        <w:t>2.3周边环境关系</w:t>
      </w:r>
      <w:r>
        <w:tab/>
      </w:r>
      <w:r>
        <w:fldChar w:fldCharType="begin"/>
      </w:r>
      <w:r>
        <w:instrText xml:space="preserve"> PAGEREF _Toc8511 </w:instrText>
      </w:r>
      <w:r>
        <w:fldChar w:fldCharType="separate"/>
      </w:r>
      <w:r>
        <w:t>10</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_Toc24975 </w:instrText>
      </w:r>
      <w:r>
        <w:rPr>
          <w:rFonts w:ascii="宋体" w:hAnsi="宋体"/>
          <w:szCs w:val="24"/>
        </w:rPr>
        <w:fldChar w:fldCharType="separate"/>
      </w:r>
      <w:r>
        <w:rPr>
          <w:rFonts w:hint="eastAsia"/>
          <w:b/>
          <w:szCs w:val="26"/>
        </w:rPr>
        <w:t>2.4企业现有污染物及排放标准</w:t>
      </w:r>
      <w:r>
        <w:tab/>
      </w:r>
      <w:r>
        <w:fldChar w:fldCharType="begin"/>
      </w:r>
      <w:r>
        <w:instrText xml:space="preserve"> PAGEREF _Toc24975 </w:instrText>
      </w:r>
      <w:r>
        <w:fldChar w:fldCharType="separate"/>
      </w:r>
      <w:r>
        <w:t>10</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_Toc29077 </w:instrText>
      </w:r>
      <w:r>
        <w:rPr>
          <w:rFonts w:ascii="宋体" w:hAnsi="宋体"/>
          <w:szCs w:val="24"/>
        </w:rPr>
        <w:fldChar w:fldCharType="separate"/>
      </w:r>
      <w:r>
        <w:rPr>
          <w:rFonts w:ascii="宋体" w:hAnsi="宋体"/>
          <w:b/>
        </w:rPr>
        <w:t>3</w:t>
      </w:r>
      <w:r>
        <w:rPr>
          <w:rFonts w:hint="eastAsia" w:ascii="宋体" w:hAnsi="宋体"/>
          <w:b/>
          <w:lang w:val="zh-TW"/>
        </w:rPr>
        <w:t>环境风险源与环境风险评价</w:t>
      </w:r>
      <w:r>
        <w:tab/>
      </w:r>
      <w:r>
        <w:fldChar w:fldCharType="begin"/>
      </w:r>
      <w:r>
        <w:instrText xml:space="preserve"> PAGEREF _Toc29077 </w:instrText>
      </w:r>
      <w:r>
        <w:fldChar w:fldCharType="separate"/>
      </w:r>
      <w:r>
        <w:t>12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_Toc7245 </w:instrText>
      </w:r>
      <w:r>
        <w:rPr>
          <w:rFonts w:ascii="宋体" w:hAnsi="宋体"/>
          <w:szCs w:val="24"/>
        </w:rPr>
        <w:fldChar w:fldCharType="separate"/>
      </w:r>
      <w:r>
        <w:rPr>
          <w:rFonts w:hint="eastAsia"/>
          <w:b/>
          <w:szCs w:val="26"/>
          <w:lang w:val="zh-CN"/>
        </w:rPr>
        <w:t>3.1生产工艺简介工艺流程介绍</w:t>
      </w:r>
      <w:r>
        <w:tab/>
      </w:r>
      <w:r>
        <w:fldChar w:fldCharType="begin"/>
      </w:r>
      <w:r>
        <w:instrText xml:space="preserve"> PAGEREF _Toc7245 </w:instrText>
      </w:r>
      <w:r>
        <w:fldChar w:fldCharType="separate"/>
      </w:r>
      <w:r>
        <w:t>12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_Toc25275 </w:instrText>
      </w:r>
      <w:r>
        <w:rPr>
          <w:rFonts w:ascii="宋体" w:hAnsi="宋体"/>
          <w:szCs w:val="24"/>
        </w:rPr>
        <w:fldChar w:fldCharType="separate"/>
      </w:r>
      <w:r>
        <w:rPr>
          <w:rFonts w:hint="eastAsia"/>
          <w:b/>
          <w:szCs w:val="26"/>
        </w:rPr>
        <w:t>3</w:t>
      </w:r>
      <w:r>
        <w:rPr>
          <w:b/>
          <w:szCs w:val="26"/>
        </w:rPr>
        <w:t>.2</w:t>
      </w:r>
      <w:r>
        <w:rPr>
          <w:rFonts w:hint="eastAsia"/>
          <w:b/>
          <w:szCs w:val="26"/>
        </w:rPr>
        <w:t>企业</w:t>
      </w:r>
      <w:r>
        <w:rPr>
          <w:b/>
          <w:szCs w:val="26"/>
        </w:rPr>
        <w:t>三废产生及排放处置情况</w:t>
      </w:r>
      <w:r>
        <w:tab/>
      </w:r>
      <w:r>
        <w:fldChar w:fldCharType="begin"/>
      </w:r>
      <w:r>
        <w:instrText xml:space="preserve"> PAGEREF _Toc25275 </w:instrText>
      </w:r>
      <w:r>
        <w:fldChar w:fldCharType="separate"/>
      </w:r>
      <w:r>
        <w:t>12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_Toc30434 </w:instrText>
      </w:r>
      <w:r>
        <w:rPr>
          <w:rFonts w:ascii="宋体" w:hAnsi="宋体"/>
          <w:szCs w:val="24"/>
        </w:rPr>
        <w:fldChar w:fldCharType="separate"/>
      </w:r>
      <w:r>
        <w:rPr>
          <w:rFonts w:hint="eastAsia"/>
          <w:b/>
          <w:szCs w:val="26"/>
        </w:rPr>
        <w:t>3</w:t>
      </w:r>
      <w:r>
        <w:rPr>
          <w:b/>
          <w:szCs w:val="26"/>
        </w:rPr>
        <w:t>.3环境风险源识别</w:t>
      </w:r>
      <w:r>
        <w:tab/>
      </w:r>
      <w:r>
        <w:fldChar w:fldCharType="begin"/>
      </w:r>
      <w:r>
        <w:instrText xml:space="preserve"> PAGEREF _Toc30434 </w:instrText>
      </w:r>
      <w:r>
        <w:fldChar w:fldCharType="separate"/>
      </w:r>
      <w:r>
        <w:t>13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_Toc4747 </w:instrText>
      </w:r>
      <w:r>
        <w:rPr>
          <w:rFonts w:ascii="宋体" w:hAnsi="宋体"/>
          <w:szCs w:val="24"/>
        </w:rPr>
        <w:fldChar w:fldCharType="separate"/>
      </w:r>
      <w:r>
        <w:rPr>
          <w:rFonts w:hint="eastAsia"/>
          <w:b/>
          <w:szCs w:val="26"/>
          <w:lang w:val="zh-CN"/>
        </w:rPr>
        <w:t>3.4重大危险源识别</w:t>
      </w:r>
      <w:r>
        <w:tab/>
      </w:r>
      <w:r>
        <w:fldChar w:fldCharType="begin"/>
      </w:r>
      <w:r>
        <w:instrText xml:space="preserve"> PAGEREF _Toc4747 </w:instrText>
      </w:r>
      <w:r>
        <w:fldChar w:fldCharType="separate"/>
      </w:r>
      <w:r>
        <w:t>14</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_Toc19431 </w:instrText>
      </w:r>
      <w:r>
        <w:rPr>
          <w:rFonts w:ascii="宋体" w:hAnsi="宋体"/>
          <w:szCs w:val="24"/>
        </w:rPr>
        <w:fldChar w:fldCharType="separate"/>
      </w:r>
      <w:r>
        <w:rPr>
          <w:rFonts w:hint="eastAsia"/>
          <w:b/>
          <w:szCs w:val="26"/>
          <w:lang w:val="zh-CN"/>
        </w:rPr>
        <w:t>3.5企业突发环境事件影响分析</w:t>
      </w:r>
      <w:r>
        <w:tab/>
      </w:r>
      <w:r>
        <w:fldChar w:fldCharType="begin"/>
      </w:r>
      <w:r>
        <w:instrText xml:space="preserve"> PAGEREF _Toc19431 </w:instrText>
      </w:r>
      <w:r>
        <w:fldChar w:fldCharType="separate"/>
      </w:r>
      <w:r>
        <w:t>16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_Toc31932 </w:instrText>
      </w:r>
      <w:r>
        <w:rPr>
          <w:rFonts w:ascii="宋体" w:hAnsi="宋体"/>
          <w:szCs w:val="24"/>
        </w:rPr>
        <w:fldChar w:fldCharType="separate"/>
      </w:r>
      <w:r>
        <w:rPr>
          <w:rFonts w:hint="eastAsia"/>
          <w:b/>
          <w:szCs w:val="26"/>
          <w:lang w:val="zh-CN"/>
        </w:rPr>
        <w:t>3.6现有风险防范措施</w:t>
      </w:r>
      <w:r>
        <w:tab/>
      </w:r>
      <w:r>
        <w:fldChar w:fldCharType="begin"/>
      </w:r>
      <w:r>
        <w:instrText xml:space="preserve"> PAGEREF _Toc31932 </w:instrText>
      </w:r>
      <w:r>
        <w:fldChar w:fldCharType="separate"/>
      </w:r>
      <w:r>
        <w:t>19</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_Toc3505 </w:instrText>
      </w:r>
      <w:r>
        <w:rPr>
          <w:rFonts w:ascii="宋体" w:hAnsi="宋体"/>
          <w:szCs w:val="24"/>
        </w:rPr>
        <w:fldChar w:fldCharType="separate"/>
      </w:r>
      <w:r>
        <w:rPr>
          <w:rFonts w:ascii="宋体" w:hAnsi="宋体"/>
          <w:b/>
        </w:rPr>
        <w:t>4</w:t>
      </w:r>
      <w:r>
        <w:rPr>
          <w:rFonts w:hint="eastAsia" w:ascii="宋体" w:hAnsi="宋体"/>
          <w:b/>
        </w:rPr>
        <w:t>应急组织及职责</w:t>
      </w:r>
      <w:r>
        <w:tab/>
      </w:r>
      <w:r>
        <w:fldChar w:fldCharType="begin"/>
      </w:r>
      <w:r>
        <w:instrText xml:space="preserve"> PAGEREF _Toc3505 </w:instrText>
      </w:r>
      <w:r>
        <w:fldChar w:fldCharType="separate"/>
      </w:r>
      <w:r>
        <w:t>21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_Toc483 </w:instrText>
      </w:r>
      <w:r>
        <w:rPr>
          <w:rFonts w:ascii="宋体" w:hAnsi="宋体"/>
          <w:szCs w:val="24"/>
        </w:rPr>
        <w:fldChar w:fldCharType="separate"/>
      </w:r>
      <w:r>
        <w:rPr>
          <w:rFonts w:hint="eastAsia"/>
          <w:b/>
          <w:szCs w:val="26"/>
          <w:lang w:val="zh-CN"/>
        </w:rPr>
        <w:t>4.1应急组织机构图</w:t>
      </w:r>
      <w:r>
        <w:tab/>
      </w:r>
      <w:r>
        <w:fldChar w:fldCharType="begin"/>
      </w:r>
      <w:r>
        <w:instrText xml:space="preserve"> PAGEREF _Toc483 </w:instrText>
      </w:r>
      <w:r>
        <w:fldChar w:fldCharType="separate"/>
      </w:r>
      <w:r>
        <w:t>21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_Toc15310 </w:instrText>
      </w:r>
      <w:r>
        <w:rPr>
          <w:rFonts w:ascii="宋体" w:hAnsi="宋体"/>
          <w:szCs w:val="24"/>
        </w:rPr>
        <w:fldChar w:fldCharType="separate"/>
      </w:r>
      <w:r>
        <w:rPr>
          <w:rFonts w:hint="eastAsia"/>
          <w:b/>
          <w:szCs w:val="26"/>
          <w:lang w:val="zh-CN"/>
        </w:rPr>
        <w:t>4.2组织机构成员名单</w:t>
      </w:r>
      <w:r>
        <w:tab/>
      </w:r>
      <w:r>
        <w:fldChar w:fldCharType="begin"/>
      </w:r>
      <w:r>
        <w:instrText xml:space="preserve"> PAGEREF _Toc15310 </w:instrText>
      </w:r>
      <w:r>
        <w:fldChar w:fldCharType="separate"/>
      </w:r>
      <w:r>
        <w:t>21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_Toc26485 </w:instrText>
      </w:r>
      <w:r>
        <w:rPr>
          <w:rFonts w:ascii="宋体" w:hAnsi="宋体"/>
          <w:szCs w:val="24"/>
        </w:rPr>
        <w:fldChar w:fldCharType="separate"/>
      </w:r>
      <w:r>
        <w:rPr>
          <w:rFonts w:hint="eastAsia"/>
          <w:b/>
          <w:szCs w:val="26"/>
          <w:lang w:val="zh-CN"/>
        </w:rPr>
        <w:t>4.3应急组织职责</w:t>
      </w:r>
      <w:r>
        <w:tab/>
      </w:r>
      <w:r>
        <w:fldChar w:fldCharType="begin"/>
      </w:r>
      <w:r>
        <w:instrText xml:space="preserve"> PAGEREF _Toc26485 </w:instrText>
      </w:r>
      <w:r>
        <w:fldChar w:fldCharType="separate"/>
      </w:r>
      <w:r>
        <w:t>23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_Toc16759 </w:instrText>
      </w:r>
      <w:r>
        <w:rPr>
          <w:rFonts w:ascii="宋体" w:hAnsi="宋体"/>
          <w:szCs w:val="24"/>
        </w:rPr>
        <w:fldChar w:fldCharType="separate"/>
      </w:r>
      <w:r>
        <w:rPr>
          <w:rFonts w:hint="eastAsia"/>
          <w:b/>
          <w:szCs w:val="26"/>
          <w:lang w:val="zh-CN"/>
        </w:rPr>
        <w:t>4.4应急预案体系转换与衔接条件</w:t>
      </w:r>
      <w:r>
        <w:tab/>
      </w:r>
      <w:r>
        <w:fldChar w:fldCharType="begin"/>
      </w:r>
      <w:r>
        <w:instrText xml:space="preserve"> PAGEREF _Toc16759 </w:instrText>
      </w:r>
      <w:r>
        <w:fldChar w:fldCharType="separate"/>
      </w:r>
      <w:r>
        <w:t>25</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_Toc8445 </w:instrText>
      </w:r>
      <w:r>
        <w:rPr>
          <w:rFonts w:ascii="宋体" w:hAnsi="宋体"/>
          <w:szCs w:val="24"/>
        </w:rPr>
        <w:fldChar w:fldCharType="separate"/>
      </w:r>
      <w:r>
        <w:rPr>
          <w:rFonts w:ascii="宋体" w:hAnsi="宋体"/>
          <w:b/>
        </w:rPr>
        <w:t>5</w:t>
      </w:r>
      <w:r>
        <w:rPr>
          <w:rFonts w:hint="eastAsia" w:ascii="宋体" w:hAnsi="宋体"/>
          <w:b/>
        </w:rPr>
        <w:t>预警及信息报告</w:t>
      </w:r>
      <w:r>
        <w:tab/>
      </w:r>
      <w:r>
        <w:fldChar w:fldCharType="begin"/>
      </w:r>
      <w:r>
        <w:instrText xml:space="preserve"> PAGEREF _Toc8445 </w:instrText>
      </w:r>
      <w:r>
        <w:fldChar w:fldCharType="separate"/>
      </w:r>
      <w:r>
        <w:t>26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_Toc27764 </w:instrText>
      </w:r>
      <w:r>
        <w:rPr>
          <w:rFonts w:ascii="宋体" w:hAnsi="宋体"/>
          <w:szCs w:val="24"/>
        </w:rPr>
        <w:fldChar w:fldCharType="separate"/>
      </w:r>
      <w:r>
        <w:rPr>
          <w:rFonts w:hint="eastAsia"/>
          <w:b/>
          <w:szCs w:val="26"/>
          <w:lang w:val="zh-CN"/>
        </w:rPr>
        <w:t>5.1预防</w:t>
      </w:r>
      <w:r>
        <w:tab/>
      </w:r>
      <w:r>
        <w:fldChar w:fldCharType="begin"/>
      </w:r>
      <w:r>
        <w:instrText xml:space="preserve"> PAGEREF _Toc27764 </w:instrText>
      </w:r>
      <w:r>
        <w:fldChar w:fldCharType="separate"/>
      </w:r>
      <w:r>
        <w:t>26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_Toc29668 </w:instrText>
      </w:r>
      <w:r>
        <w:rPr>
          <w:rFonts w:ascii="宋体" w:hAnsi="宋体"/>
          <w:szCs w:val="24"/>
        </w:rPr>
        <w:fldChar w:fldCharType="separate"/>
      </w:r>
      <w:r>
        <w:rPr>
          <w:rFonts w:hint="eastAsia"/>
          <w:b/>
          <w:szCs w:val="26"/>
          <w:lang w:val="zh-CN"/>
        </w:rPr>
        <w:t>5.2预警</w:t>
      </w:r>
      <w:r>
        <w:rPr>
          <w:rFonts w:hint="eastAsia"/>
          <w:b/>
          <w:szCs w:val="26"/>
          <w:lang w:val="zh-CN" w:eastAsia="zh-CN"/>
        </w:rPr>
        <w:t>措施</w:t>
      </w:r>
      <w:r>
        <w:tab/>
      </w:r>
      <w:r>
        <w:fldChar w:fldCharType="begin"/>
      </w:r>
      <w:r>
        <w:instrText xml:space="preserve"> PAGEREF _Toc29668 </w:instrText>
      </w:r>
      <w:r>
        <w:fldChar w:fldCharType="separate"/>
      </w:r>
      <w:r>
        <w:t>27</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_Toc26697 </w:instrText>
      </w:r>
      <w:r>
        <w:rPr>
          <w:rFonts w:ascii="宋体" w:hAnsi="宋体"/>
          <w:szCs w:val="24"/>
        </w:rPr>
        <w:fldChar w:fldCharType="separate"/>
      </w:r>
      <w:r>
        <w:rPr>
          <w:rFonts w:hint="eastAsia"/>
          <w:b/>
          <w:szCs w:val="26"/>
          <w:lang w:val="zh-CN"/>
        </w:rPr>
        <w:t>5.3信息报告</w:t>
      </w:r>
      <w:r>
        <w:tab/>
      </w:r>
      <w:r>
        <w:fldChar w:fldCharType="begin"/>
      </w:r>
      <w:r>
        <w:instrText xml:space="preserve"> PAGEREF _Toc26697 </w:instrText>
      </w:r>
      <w:r>
        <w:fldChar w:fldCharType="separate"/>
      </w:r>
      <w:r>
        <w:t>28</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_Toc21105 </w:instrText>
      </w:r>
      <w:r>
        <w:rPr>
          <w:rFonts w:ascii="宋体" w:hAnsi="宋体"/>
          <w:szCs w:val="24"/>
        </w:rPr>
        <w:fldChar w:fldCharType="separate"/>
      </w:r>
      <w:r>
        <w:rPr>
          <w:rFonts w:ascii="宋体" w:hAnsi="宋体"/>
          <w:b/>
        </w:rPr>
        <w:t>6</w:t>
      </w:r>
      <w:r>
        <w:rPr>
          <w:rFonts w:hint="eastAsia" w:ascii="宋体" w:hAnsi="宋体"/>
          <w:b/>
        </w:rPr>
        <w:t>应急响应</w:t>
      </w:r>
      <w:r>
        <w:tab/>
      </w:r>
      <w:r>
        <w:fldChar w:fldCharType="begin"/>
      </w:r>
      <w:r>
        <w:instrText xml:space="preserve"> PAGEREF _Toc21105 </w:instrText>
      </w:r>
      <w:r>
        <w:fldChar w:fldCharType="separate"/>
      </w:r>
      <w:r>
        <w:t>29</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_Toc18339 </w:instrText>
      </w:r>
      <w:r>
        <w:rPr>
          <w:rFonts w:ascii="宋体" w:hAnsi="宋体"/>
          <w:szCs w:val="24"/>
        </w:rPr>
        <w:fldChar w:fldCharType="separate"/>
      </w:r>
      <w:r>
        <w:rPr>
          <w:rFonts w:hint="eastAsia"/>
          <w:b/>
          <w:szCs w:val="26"/>
          <w:lang w:val="zh-CN"/>
        </w:rPr>
        <w:t>6.1响应分级</w:t>
      </w:r>
      <w:r>
        <w:tab/>
      </w:r>
      <w:r>
        <w:fldChar w:fldCharType="begin"/>
      </w:r>
      <w:r>
        <w:instrText xml:space="preserve"> PAGEREF _Toc18339 </w:instrText>
      </w:r>
      <w:r>
        <w:fldChar w:fldCharType="separate"/>
      </w:r>
      <w:r>
        <w:t>29</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_Toc28665 </w:instrText>
      </w:r>
      <w:r>
        <w:rPr>
          <w:rFonts w:ascii="宋体" w:hAnsi="宋体"/>
          <w:szCs w:val="24"/>
        </w:rPr>
        <w:fldChar w:fldCharType="separate"/>
      </w:r>
      <w:r>
        <w:rPr>
          <w:rFonts w:hint="eastAsia"/>
          <w:b/>
          <w:szCs w:val="26"/>
          <w:lang w:val="zh-CN"/>
        </w:rPr>
        <w:t>6.2响应程序</w:t>
      </w:r>
      <w:r>
        <w:tab/>
      </w:r>
      <w:r>
        <w:fldChar w:fldCharType="begin"/>
      </w:r>
      <w:r>
        <w:instrText xml:space="preserve"> PAGEREF _Toc28665 </w:instrText>
      </w:r>
      <w:r>
        <w:fldChar w:fldCharType="separate"/>
      </w:r>
      <w:r>
        <w:t>29</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_Toc13923 </w:instrText>
      </w:r>
      <w:r>
        <w:rPr>
          <w:rFonts w:ascii="宋体" w:hAnsi="宋体"/>
          <w:szCs w:val="24"/>
        </w:rPr>
        <w:fldChar w:fldCharType="separate"/>
      </w:r>
      <w:r>
        <w:rPr>
          <w:rFonts w:hint="eastAsia"/>
          <w:b/>
          <w:szCs w:val="26"/>
          <w:lang w:val="zh-CN"/>
        </w:rPr>
        <w:t>6.3 抢险、救援及控制措施</w:t>
      </w:r>
      <w:r>
        <w:tab/>
      </w:r>
      <w:r>
        <w:fldChar w:fldCharType="begin"/>
      </w:r>
      <w:r>
        <w:instrText xml:space="preserve"> PAGEREF _Toc13923 </w:instrText>
      </w:r>
      <w:r>
        <w:fldChar w:fldCharType="separate"/>
      </w:r>
      <w:r>
        <w:t>30</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_Toc24401 </w:instrText>
      </w:r>
      <w:r>
        <w:rPr>
          <w:rFonts w:ascii="宋体" w:hAnsi="宋体"/>
          <w:szCs w:val="24"/>
        </w:rPr>
        <w:fldChar w:fldCharType="separate"/>
      </w:r>
      <w:r>
        <w:rPr>
          <w:rFonts w:hint="eastAsia"/>
          <w:b/>
          <w:szCs w:val="26"/>
          <w:lang w:val="zh-CN"/>
        </w:rPr>
        <w:t>6.4应急处置措施</w:t>
      </w:r>
      <w:r>
        <w:tab/>
      </w:r>
      <w:r>
        <w:fldChar w:fldCharType="begin"/>
      </w:r>
      <w:r>
        <w:instrText xml:space="preserve"> PAGEREF _Toc24401 </w:instrText>
      </w:r>
      <w:r>
        <w:fldChar w:fldCharType="separate"/>
      </w:r>
      <w:r>
        <w:t>32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_Toc180 </w:instrText>
      </w:r>
      <w:r>
        <w:rPr>
          <w:rFonts w:ascii="宋体" w:hAnsi="宋体"/>
          <w:szCs w:val="24"/>
        </w:rPr>
        <w:fldChar w:fldCharType="separate"/>
      </w:r>
      <w:r>
        <w:rPr>
          <w:rFonts w:hint="eastAsia"/>
          <w:b/>
          <w:szCs w:val="26"/>
          <w:lang w:val="zh-CN"/>
        </w:rPr>
        <w:t>6.4.1处置原则</w:t>
      </w:r>
      <w:r>
        <w:tab/>
      </w:r>
      <w:r>
        <w:fldChar w:fldCharType="begin"/>
      </w:r>
      <w:r>
        <w:instrText xml:space="preserve"> PAGEREF _Toc180 </w:instrText>
      </w:r>
      <w:r>
        <w:fldChar w:fldCharType="separate"/>
      </w:r>
      <w:r>
        <w:t>32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_Toc22010 </w:instrText>
      </w:r>
      <w:r>
        <w:rPr>
          <w:rFonts w:ascii="宋体" w:hAnsi="宋体"/>
          <w:szCs w:val="24"/>
        </w:rPr>
        <w:fldChar w:fldCharType="separate"/>
      </w:r>
      <w:r>
        <w:rPr>
          <w:rFonts w:hint="eastAsia"/>
          <w:b/>
          <w:szCs w:val="26"/>
          <w:lang w:val="zh-CN"/>
        </w:rPr>
        <w:t>6.4.2 应急流程</w:t>
      </w:r>
      <w:r>
        <w:tab/>
      </w:r>
      <w:r>
        <w:fldChar w:fldCharType="begin"/>
      </w:r>
      <w:r>
        <w:instrText xml:space="preserve"> PAGEREF _Toc22010 </w:instrText>
      </w:r>
      <w:r>
        <w:fldChar w:fldCharType="separate"/>
      </w:r>
      <w:r>
        <w:t>33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_Toc16392 </w:instrText>
      </w:r>
      <w:r>
        <w:rPr>
          <w:rFonts w:ascii="宋体" w:hAnsi="宋体"/>
          <w:szCs w:val="24"/>
        </w:rPr>
        <w:fldChar w:fldCharType="separate"/>
      </w:r>
      <w:r>
        <w:rPr>
          <w:rFonts w:hint="eastAsia"/>
          <w:b/>
          <w:szCs w:val="26"/>
          <w:lang w:val="zh-CN"/>
        </w:rPr>
        <w:t>6.4.3一源一案</w:t>
      </w:r>
      <w:r>
        <w:tab/>
      </w:r>
      <w:r>
        <w:fldChar w:fldCharType="begin"/>
      </w:r>
      <w:r>
        <w:instrText xml:space="preserve"> PAGEREF _Toc16392 </w:instrText>
      </w:r>
      <w:r>
        <w:fldChar w:fldCharType="separate"/>
      </w:r>
      <w:r>
        <w:t>35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_Toc16814 </w:instrText>
      </w:r>
      <w:r>
        <w:rPr>
          <w:rFonts w:ascii="宋体" w:hAnsi="宋体"/>
          <w:szCs w:val="24"/>
        </w:rPr>
        <w:fldChar w:fldCharType="separate"/>
      </w:r>
      <w:r>
        <w:rPr>
          <w:rFonts w:hint="eastAsia"/>
          <w:b/>
          <w:szCs w:val="26"/>
          <w:lang w:val="zh-CN"/>
        </w:rPr>
        <w:t>6.5应急监测</w:t>
      </w:r>
      <w:r>
        <w:tab/>
      </w:r>
      <w:r>
        <w:fldChar w:fldCharType="begin"/>
      </w:r>
      <w:r>
        <w:instrText xml:space="preserve"> PAGEREF _Toc16814 </w:instrText>
      </w:r>
      <w:r>
        <w:fldChar w:fldCharType="separate"/>
      </w:r>
      <w:r>
        <w:t>39</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_Toc17665 </w:instrText>
      </w:r>
      <w:r>
        <w:rPr>
          <w:rFonts w:ascii="宋体" w:hAnsi="宋体"/>
          <w:szCs w:val="24"/>
        </w:rPr>
        <w:fldChar w:fldCharType="separate"/>
      </w:r>
      <w:r>
        <w:rPr>
          <w:rFonts w:hint="eastAsia"/>
          <w:b/>
          <w:szCs w:val="26"/>
          <w:lang w:val="zh-CN"/>
        </w:rPr>
        <w:t>6.6应急终止</w:t>
      </w:r>
      <w:r>
        <w:tab/>
      </w:r>
      <w:r>
        <w:fldChar w:fldCharType="begin"/>
      </w:r>
      <w:r>
        <w:instrText xml:space="preserve"> PAGEREF _Toc17665 </w:instrText>
      </w:r>
      <w:r>
        <w:fldChar w:fldCharType="separate"/>
      </w:r>
      <w:r>
        <w:t>40</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_Toc2854 </w:instrText>
      </w:r>
      <w:r>
        <w:rPr>
          <w:rFonts w:ascii="宋体" w:hAnsi="宋体"/>
          <w:szCs w:val="24"/>
        </w:rPr>
        <w:fldChar w:fldCharType="separate"/>
      </w:r>
      <w:r>
        <w:rPr>
          <w:rFonts w:ascii="宋体" w:hAnsi="宋体"/>
          <w:b/>
        </w:rPr>
        <w:t>7</w:t>
      </w:r>
      <w:r>
        <w:rPr>
          <w:rFonts w:hint="eastAsia" w:ascii="宋体" w:hAnsi="宋体"/>
          <w:b/>
        </w:rPr>
        <w:t>后期处置</w:t>
      </w:r>
      <w:r>
        <w:tab/>
      </w:r>
      <w:r>
        <w:fldChar w:fldCharType="begin"/>
      </w:r>
      <w:r>
        <w:instrText xml:space="preserve"> PAGEREF _Toc2854 </w:instrText>
      </w:r>
      <w:r>
        <w:fldChar w:fldCharType="separate"/>
      </w:r>
      <w:r>
        <w:t>41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_Toc19849 </w:instrText>
      </w:r>
      <w:r>
        <w:rPr>
          <w:rFonts w:ascii="宋体" w:hAnsi="宋体"/>
          <w:szCs w:val="24"/>
        </w:rPr>
        <w:fldChar w:fldCharType="separate"/>
      </w:r>
      <w:r>
        <w:rPr>
          <w:rFonts w:hint="eastAsia"/>
          <w:b/>
          <w:szCs w:val="26"/>
          <w:lang w:val="zh-CN"/>
        </w:rPr>
        <w:t>7.1 污染物处理</w:t>
      </w:r>
      <w:r>
        <w:tab/>
      </w:r>
      <w:r>
        <w:fldChar w:fldCharType="begin"/>
      </w:r>
      <w:r>
        <w:instrText xml:space="preserve"> PAGEREF _Toc19849 </w:instrText>
      </w:r>
      <w:r>
        <w:fldChar w:fldCharType="separate"/>
      </w:r>
      <w:r>
        <w:t>41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_Toc30813 </w:instrText>
      </w:r>
      <w:r>
        <w:rPr>
          <w:rFonts w:ascii="宋体" w:hAnsi="宋体"/>
          <w:szCs w:val="24"/>
        </w:rPr>
        <w:fldChar w:fldCharType="separate"/>
      </w:r>
      <w:r>
        <w:rPr>
          <w:rFonts w:hint="eastAsia"/>
          <w:b/>
          <w:szCs w:val="26"/>
          <w:lang w:val="zh-CN"/>
        </w:rPr>
        <w:t>7.2生产秩序恢复</w:t>
      </w:r>
      <w:r>
        <w:tab/>
      </w:r>
      <w:r>
        <w:fldChar w:fldCharType="begin"/>
      </w:r>
      <w:r>
        <w:instrText xml:space="preserve"> PAGEREF _Toc30813 </w:instrText>
      </w:r>
      <w:r>
        <w:fldChar w:fldCharType="separate"/>
      </w:r>
      <w:r>
        <w:t>41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_Toc20637 </w:instrText>
      </w:r>
      <w:r>
        <w:rPr>
          <w:rFonts w:ascii="宋体" w:hAnsi="宋体"/>
          <w:szCs w:val="24"/>
        </w:rPr>
        <w:fldChar w:fldCharType="separate"/>
      </w:r>
      <w:r>
        <w:rPr>
          <w:rFonts w:hint="eastAsia"/>
          <w:b/>
          <w:szCs w:val="26"/>
          <w:lang w:val="zh-CN"/>
        </w:rPr>
        <w:t>7.3善后处置（医疗救治、人员安置、善后赔偿）</w:t>
      </w:r>
      <w:r>
        <w:tab/>
      </w:r>
      <w:r>
        <w:fldChar w:fldCharType="begin"/>
      </w:r>
      <w:r>
        <w:instrText xml:space="preserve"> PAGEREF _Toc20637 </w:instrText>
      </w:r>
      <w:r>
        <w:fldChar w:fldCharType="separate"/>
      </w:r>
      <w:r>
        <w:t>41</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_Toc29081 </w:instrText>
      </w:r>
      <w:r>
        <w:rPr>
          <w:rFonts w:ascii="宋体" w:hAnsi="宋体"/>
          <w:szCs w:val="24"/>
        </w:rPr>
        <w:fldChar w:fldCharType="separate"/>
      </w:r>
      <w:r>
        <w:rPr>
          <w:rFonts w:hint="eastAsia"/>
          <w:b/>
          <w:szCs w:val="26"/>
          <w:lang w:val="zh-CN"/>
        </w:rPr>
        <w:t>7.4应急救援能力评估</w:t>
      </w:r>
      <w:r>
        <w:tab/>
      </w:r>
      <w:r>
        <w:fldChar w:fldCharType="begin"/>
      </w:r>
      <w:r>
        <w:instrText xml:space="preserve"> PAGEREF _Toc29081 </w:instrText>
      </w:r>
      <w:r>
        <w:fldChar w:fldCharType="separate"/>
      </w:r>
      <w:r>
        <w:t>41</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_Toc13731 </w:instrText>
      </w:r>
      <w:r>
        <w:rPr>
          <w:rFonts w:ascii="宋体" w:hAnsi="宋体"/>
          <w:szCs w:val="24"/>
        </w:rPr>
        <w:fldChar w:fldCharType="separate"/>
      </w:r>
      <w:r>
        <w:rPr>
          <w:rFonts w:ascii="宋体" w:hAnsi="宋体"/>
          <w:b/>
        </w:rPr>
        <w:t>8</w:t>
      </w:r>
      <w:r>
        <w:rPr>
          <w:rFonts w:hint="eastAsia" w:ascii="宋体" w:hAnsi="宋体"/>
          <w:b/>
        </w:rPr>
        <w:t>保障措施</w:t>
      </w:r>
      <w:r>
        <w:tab/>
      </w:r>
      <w:r>
        <w:fldChar w:fldCharType="begin"/>
      </w:r>
      <w:r>
        <w:instrText xml:space="preserve"> PAGEREF _Toc13731 </w:instrText>
      </w:r>
      <w:r>
        <w:fldChar w:fldCharType="separate"/>
      </w:r>
      <w:r>
        <w:t>42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_Toc18426 </w:instrText>
      </w:r>
      <w:r>
        <w:rPr>
          <w:rFonts w:ascii="宋体" w:hAnsi="宋体"/>
          <w:szCs w:val="24"/>
        </w:rPr>
        <w:fldChar w:fldCharType="separate"/>
      </w:r>
      <w:r>
        <w:rPr>
          <w:rFonts w:hint="eastAsia"/>
          <w:b/>
          <w:szCs w:val="26"/>
          <w:lang w:val="zh-CN"/>
        </w:rPr>
        <w:t>8.1通信与信息保障</w:t>
      </w:r>
      <w:r>
        <w:tab/>
      </w:r>
      <w:r>
        <w:fldChar w:fldCharType="begin"/>
      </w:r>
      <w:r>
        <w:instrText xml:space="preserve"> PAGEREF _Toc18426 </w:instrText>
      </w:r>
      <w:r>
        <w:fldChar w:fldCharType="separate"/>
      </w:r>
      <w:r>
        <w:t>42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_Toc15170 </w:instrText>
      </w:r>
      <w:r>
        <w:rPr>
          <w:rFonts w:ascii="宋体" w:hAnsi="宋体"/>
          <w:szCs w:val="24"/>
        </w:rPr>
        <w:fldChar w:fldCharType="separate"/>
      </w:r>
      <w:r>
        <w:rPr>
          <w:rFonts w:hint="eastAsia"/>
          <w:b/>
          <w:szCs w:val="26"/>
          <w:lang w:val="zh-CN"/>
        </w:rPr>
        <w:t>8.2应急队伍保障</w:t>
      </w:r>
      <w:r>
        <w:tab/>
      </w:r>
      <w:r>
        <w:fldChar w:fldCharType="begin"/>
      </w:r>
      <w:r>
        <w:instrText xml:space="preserve"> PAGEREF _Toc15170 </w:instrText>
      </w:r>
      <w:r>
        <w:fldChar w:fldCharType="separate"/>
      </w:r>
      <w:r>
        <w:t>42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_Toc20847 </w:instrText>
      </w:r>
      <w:r>
        <w:rPr>
          <w:rFonts w:ascii="宋体" w:hAnsi="宋体"/>
          <w:szCs w:val="24"/>
        </w:rPr>
        <w:fldChar w:fldCharType="separate"/>
      </w:r>
      <w:r>
        <w:rPr>
          <w:rFonts w:hint="eastAsia"/>
          <w:b/>
          <w:szCs w:val="26"/>
          <w:lang w:val="zh-CN"/>
        </w:rPr>
        <w:t>8.3物资装备保障</w:t>
      </w:r>
      <w:r>
        <w:tab/>
      </w:r>
      <w:r>
        <w:fldChar w:fldCharType="begin"/>
      </w:r>
      <w:r>
        <w:instrText xml:space="preserve"> PAGEREF _Toc20847 </w:instrText>
      </w:r>
      <w:r>
        <w:fldChar w:fldCharType="separate"/>
      </w:r>
      <w:r>
        <w:t>42</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_Toc12813 </w:instrText>
      </w:r>
      <w:r>
        <w:rPr>
          <w:rFonts w:ascii="宋体" w:hAnsi="宋体"/>
          <w:szCs w:val="24"/>
        </w:rPr>
        <w:fldChar w:fldCharType="separate"/>
      </w:r>
      <w:r>
        <w:rPr>
          <w:rFonts w:hint="eastAsia"/>
          <w:b/>
          <w:szCs w:val="26"/>
          <w:lang w:val="zh-CN"/>
        </w:rPr>
        <w:t>8.4其他保障</w:t>
      </w:r>
      <w:r>
        <w:tab/>
      </w:r>
      <w:r>
        <w:fldChar w:fldCharType="begin"/>
      </w:r>
      <w:r>
        <w:instrText xml:space="preserve"> PAGEREF _Toc12813 </w:instrText>
      </w:r>
      <w:r>
        <w:fldChar w:fldCharType="separate"/>
      </w:r>
      <w:r>
        <w:t>43</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_Toc3374 </w:instrText>
      </w:r>
      <w:r>
        <w:rPr>
          <w:rFonts w:ascii="宋体" w:hAnsi="宋体"/>
          <w:szCs w:val="24"/>
        </w:rPr>
        <w:fldChar w:fldCharType="separate"/>
      </w:r>
      <w:r>
        <w:rPr>
          <w:rFonts w:ascii="宋体" w:hAnsi="宋体"/>
          <w:b/>
        </w:rPr>
        <w:t>9</w:t>
      </w:r>
      <w:r>
        <w:rPr>
          <w:rFonts w:hint="eastAsia" w:ascii="宋体" w:hAnsi="宋体"/>
          <w:b/>
        </w:rPr>
        <w:t>应急预案管理</w:t>
      </w:r>
      <w:r>
        <w:tab/>
      </w:r>
      <w:r>
        <w:fldChar w:fldCharType="begin"/>
      </w:r>
      <w:r>
        <w:instrText xml:space="preserve"> PAGEREF _Toc3374 </w:instrText>
      </w:r>
      <w:r>
        <w:fldChar w:fldCharType="separate"/>
      </w:r>
      <w:r>
        <w:t>43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_Toc4490 </w:instrText>
      </w:r>
      <w:r>
        <w:rPr>
          <w:rFonts w:ascii="宋体" w:hAnsi="宋体"/>
          <w:szCs w:val="24"/>
        </w:rPr>
        <w:fldChar w:fldCharType="separate"/>
      </w:r>
      <w:r>
        <w:rPr>
          <w:rFonts w:hint="eastAsia"/>
          <w:b/>
          <w:szCs w:val="26"/>
          <w:lang w:val="zh-CN"/>
        </w:rPr>
        <w:t>9.1应急预案培训</w:t>
      </w:r>
      <w:r>
        <w:tab/>
      </w:r>
      <w:r>
        <w:fldChar w:fldCharType="begin"/>
      </w:r>
      <w:r>
        <w:instrText xml:space="preserve"> PAGEREF _Toc4490 </w:instrText>
      </w:r>
      <w:r>
        <w:fldChar w:fldCharType="separate"/>
      </w:r>
      <w:r>
        <w:t>43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_Toc23852 </w:instrText>
      </w:r>
      <w:r>
        <w:rPr>
          <w:rFonts w:ascii="宋体" w:hAnsi="宋体"/>
          <w:szCs w:val="24"/>
        </w:rPr>
        <w:fldChar w:fldCharType="separate"/>
      </w:r>
      <w:r>
        <w:rPr>
          <w:rFonts w:hint="eastAsia"/>
          <w:b/>
          <w:szCs w:val="26"/>
          <w:lang w:val="zh-CN"/>
        </w:rPr>
        <w:t>9.2应急预案演练</w:t>
      </w:r>
      <w:r>
        <w:tab/>
      </w:r>
      <w:r>
        <w:fldChar w:fldCharType="begin"/>
      </w:r>
      <w:r>
        <w:instrText xml:space="preserve"> PAGEREF _Toc23852 </w:instrText>
      </w:r>
      <w:r>
        <w:fldChar w:fldCharType="separate"/>
      </w:r>
      <w:r>
        <w:t>43</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_Toc25170 </w:instrText>
      </w:r>
      <w:r>
        <w:rPr>
          <w:rFonts w:ascii="宋体" w:hAnsi="宋体"/>
          <w:szCs w:val="24"/>
        </w:rPr>
        <w:fldChar w:fldCharType="separate"/>
      </w:r>
      <w:r>
        <w:rPr>
          <w:rFonts w:hint="eastAsia"/>
          <w:b/>
          <w:szCs w:val="26"/>
          <w:lang w:val="zh-CN"/>
        </w:rPr>
        <w:t>9.3应急预案修订</w:t>
      </w:r>
      <w:r>
        <w:tab/>
      </w:r>
      <w:r>
        <w:fldChar w:fldCharType="begin"/>
      </w:r>
      <w:r>
        <w:instrText xml:space="preserve"> PAGEREF _Toc25170 </w:instrText>
      </w:r>
      <w:r>
        <w:fldChar w:fldCharType="separate"/>
      </w:r>
      <w:r>
        <w:t>44</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_Toc1070 </w:instrText>
      </w:r>
      <w:r>
        <w:rPr>
          <w:rFonts w:ascii="宋体" w:hAnsi="宋体"/>
          <w:szCs w:val="24"/>
        </w:rPr>
        <w:fldChar w:fldCharType="separate"/>
      </w:r>
      <w:r>
        <w:rPr>
          <w:rFonts w:hint="eastAsia"/>
          <w:b/>
          <w:szCs w:val="26"/>
          <w:lang w:val="zh-CN"/>
        </w:rPr>
        <w:t>9.4应急预案备案</w:t>
      </w:r>
      <w:r>
        <w:tab/>
      </w:r>
      <w:r>
        <w:fldChar w:fldCharType="begin"/>
      </w:r>
      <w:r>
        <w:instrText xml:space="preserve"> PAGEREF _Toc1070 </w:instrText>
      </w:r>
      <w:r>
        <w:fldChar w:fldCharType="separate"/>
      </w:r>
      <w:r>
        <w:t>44</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_Toc3682 </w:instrText>
      </w:r>
      <w:r>
        <w:rPr>
          <w:rFonts w:ascii="宋体" w:hAnsi="宋体"/>
          <w:szCs w:val="24"/>
        </w:rPr>
        <w:fldChar w:fldCharType="separate"/>
      </w:r>
      <w:r>
        <w:rPr>
          <w:rFonts w:hint="eastAsia"/>
          <w:b/>
          <w:szCs w:val="26"/>
          <w:lang w:val="zh-CN"/>
        </w:rPr>
        <w:t>9.5应急预案实施</w:t>
      </w:r>
      <w:r>
        <w:tab/>
      </w:r>
      <w:r>
        <w:fldChar w:fldCharType="begin"/>
      </w:r>
      <w:r>
        <w:instrText xml:space="preserve"> PAGEREF _Toc3682 </w:instrText>
      </w:r>
      <w:r>
        <w:fldChar w:fldCharType="separate"/>
      </w:r>
      <w:r>
        <w:t>44</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_Toc21852 </w:instrText>
      </w:r>
      <w:r>
        <w:rPr>
          <w:rFonts w:ascii="宋体" w:hAnsi="宋体"/>
          <w:szCs w:val="24"/>
        </w:rPr>
        <w:fldChar w:fldCharType="separate"/>
      </w:r>
      <w:r>
        <w:rPr>
          <w:rFonts w:hint="eastAsia" w:asciiTheme="minorEastAsia" w:hAnsiTheme="minorEastAsia" w:eastAsiaTheme="minorEastAsia"/>
          <w:b/>
        </w:rPr>
        <w:t>10应急预案管理</w:t>
      </w:r>
      <w:r>
        <w:tab/>
      </w:r>
      <w:r>
        <w:fldChar w:fldCharType="begin"/>
      </w:r>
      <w:r>
        <w:instrText xml:space="preserve"> PAGEREF _Toc21852 </w:instrText>
      </w:r>
      <w:r>
        <w:fldChar w:fldCharType="separate"/>
      </w:r>
      <w:r>
        <w:t>45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_Toc28893 </w:instrText>
      </w:r>
      <w:r>
        <w:rPr>
          <w:rFonts w:ascii="宋体" w:hAnsi="宋体"/>
          <w:szCs w:val="24"/>
        </w:rPr>
        <w:fldChar w:fldCharType="separate"/>
      </w:r>
      <w:r>
        <w:rPr>
          <w:rFonts w:hint="eastAsia"/>
          <w:b/>
          <w:szCs w:val="26"/>
          <w:lang w:val="zh-CN"/>
        </w:rPr>
        <w:t>10.1应急预案培训</w:t>
      </w:r>
      <w:r>
        <w:tab/>
      </w:r>
      <w:r>
        <w:fldChar w:fldCharType="begin"/>
      </w:r>
      <w:r>
        <w:instrText xml:space="preserve"> PAGEREF _Toc28893 </w:instrText>
      </w:r>
      <w:r>
        <w:fldChar w:fldCharType="separate"/>
      </w:r>
      <w:r>
        <w:t>45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_Toc10628 </w:instrText>
      </w:r>
      <w:r>
        <w:rPr>
          <w:rFonts w:ascii="宋体" w:hAnsi="宋体"/>
          <w:szCs w:val="24"/>
        </w:rPr>
        <w:fldChar w:fldCharType="separate"/>
      </w:r>
      <w:r>
        <w:rPr>
          <w:rFonts w:hint="eastAsia"/>
          <w:b/>
          <w:szCs w:val="26"/>
          <w:lang w:val="zh-CN"/>
        </w:rPr>
        <w:t>10.2应急预案演练</w:t>
      </w:r>
      <w:r>
        <w:tab/>
      </w:r>
      <w:r>
        <w:fldChar w:fldCharType="begin"/>
      </w:r>
      <w:r>
        <w:instrText xml:space="preserve"> PAGEREF _Toc10628 </w:instrText>
      </w:r>
      <w:r>
        <w:fldChar w:fldCharType="separate"/>
      </w:r>
      <w:r>
        <w:t>45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_Toc2236 </w:instrText>
      </w:r>
      <w:r>
        <w:rPr>
          <w:rFonts w:ascii="宋体" w:hAnsi="宋体"/>
          <w:szCs w:val="24"/>
        </w:rPr>
        <w:fldChar w:fldCharType="separate"/>
      </w:r>
      <w:r>
        <w:rPr>
          <w:rFonts w:hint="eastAsia"/>
          <w:b/>
          <w:szCs w:val="26"/>
          <w:lang w:val="zh-CN"/>
        </w:rPr>
        <w:t>10.3应急预案修订</w:t>
      </w:r>
      <w:r>
        <w:tab/>
      </w:r>
      <w:r>
        <w:fldChar w:fldCharType="begin"/>
      </w:r>
      <w:r>
        <w:instrText xml:space="preserve"> PAGEREF _Toc2236 </w:instrText>
      </w:r>
      <w:r>
        <w:fldChar w:fldCharType="separate"/>
      </w:r>
      <w:r>
        <w:t>45</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_Toc3958 </w:instrText>
      </w:r>
      <w:r>
        <w:rPr>
          <w:rFonts w:ascii="宋体" w:hAnsi="宋体"/>
          <w:szCs w:val="24"/>
        </w:rPr>
        <w:fldChar w:fldCharType="separate"/>
      </w:r>
      <w:r>
        <w:rPr>
          <w:rFonts w:hint="eastAsia"/>
          <w:b/>
          <w:szCs w:val="26"/>
          <w:lang w:val="zh-CN"/>
        </w:rPr>
        <w:t>10.4应急预案备案</w:t>
      </w:r>
      <w:r>
        <w:tab/>
      </w:r>
      <w:r>
        <w:fldChar w:fldCharType="begin"/>
      </w:r>
      <w:r>
        <w:instrText xml:space="preserve"> PAGEREF _Toc3958 </w:instrText>
      </w:r>
      <w:r>
        <w:fldChar w:fldCharType="separate"/>
      </w:r>
      <w:r>
        <w:t>46</w:t>
      </w:r>
      <w:r>
        <w:fldChar w:fldCharType="end"/>
      </w:r>
      <w:r>
        <w:rPr>
          <w:rFonts w:ascii="宋体" w:hAnsi="宋体"/>
          <w:color w:val="000000"/>
          <w:szCs w:val="24"/>
        </w:rPr>
        <w:fldChar w:fldCharType="end"/>
      </w:r>
    </w:p>
    <w:p>
      <w:pPr>
        <w:pStyle w:val="39"/>
        <w:tabs>
          <w:tab w:val="right" w:leader="dot" w:pos="9014"/>
        </w:tabs>
      </w:pPr>
      <w:r>
        <w:rPr>
          <w:rFonts w:ascii="宋体" w:hAnsi="宋体"/>
          <w:color w:val="000000"/>
          <w:szCs w:val="24"/>
        </w:rPr>
        <w:fldChar w:fldCharType="begin"/>
      </w:r>
      <w:r>
        <w:rPr>
          <w:rFonts w:ascii="宋体" w:hAnsi="宋体"/>
          <w:szCs w:val="24"/>
        </w:rPr>
        <w:instrText xml:space="preserve"> HYPERLINK \l _Toc3666 </w:instrText>
      </w:r>
      <w:r>
        <w:rPr>
          <w:rFonts w:ascii="宋体" w:hAnsi="宋体"/>
          <w:szCs w:val="24"/>
        </w:rPr>
        <w:fldChar w:fldCharType="separate"/>
      </w:r>
      <w:r>
        <w:rPr>
          <w:rFonts w:hint="eastAsia"/>
          <w:b/>
          <w:szCs w:val="26"/>
          <w:lang w:val="zh-CN"/>
        </w:rPr>
        <w:t>10.5应急预案实施</w:t>
      </w:r>
      <w:r>
        <w:tab/>
      </w:r>
      <w:r>
        <w:fldChar w:fldCharType="begin"/>
      </w:r>
      <w:r>
        <w:instrText xml:space="preserve"> PAGEREF _Toc3666 </w:instrText>
      </w:r>
      <w:r>
        <w:fldChar w:fldCharType="separate"/>
      </w:r>
      <w:r>
        <w:t>46</w:t>
      </w:r>
      <w:r>
        <w:fldChar w:fldCharType="end"/>
      </w:r>
      <w:r>
        <w:rPr>
          <w:rFonts w:ascii="宋体" w:hAnsi="宋体"/>
          <w:color w:val="000000"/>
          <w:szCs w:val="24"/>
        </w:rPr>
        <w:fldChar w:fldCharType="end"/>
      </w:r>
    </w:p>
    <w:p>
      <w:pPr>
        <w:pStyle w:val="30"/>
        <w:tabs>
          <w:tab w:val="right" w:leader="dot" w:pos="9014"/>
          <w:tab w:val="clear" w:pos="9174"/>
        </w:tabs>
      </w:pPr>
      <w:r>
        <w:rPr>
          <w:rFonts w:ascii="宋体" w:hAnsi="宋体"/>
          <w:color w:val="000000"/>
          <w:szCs w:val="24"/>
        </w:rPr>
        <w:fldChar w:fldCharType="begin"/>
      </w:r>
      <w:r>
        <w:rPr>
          <w:rFonts w:ascii="宋体" w:hAnsi="宋体"/>
          <w:szCs w:val="24"/>
        </w:rPr>
        <w:instrText xml:space="preserve"> HYPERLINK \l _Toc6162 </w:instrText>
      </w:r>
      <w:r>
        <w:rPr>
          <w:rFonts w:ascii="宋体" w:hAnsi="宋体"/>
          <w:szCs w:val="24"/>
        </w:rPr>
        <w:fldChar w:fldCharType="separate"/>
      </w:r>
      <w:r>
        <w:rPr>
          <w:rFonts w:hint="eastAsia" w:asciiTheme="minorEastAsia" w:hAnsiTheme="minorEastAsia" w:eastAsiaTheme="minorEastAsia"/>
          <w:b/>
        </w:rPr>
        <w:t>11 附件</w:t>
      </w:r>
      <w:r>
        <w:tab/>
      </w:r>
      <w:r>
        <w:fldChar w:fldCharType="begin"/>
      </w:r>
      <w:r>
        <w:instrText xml:space="preserve"> PAGEREF _Toc6162 </w:instrText>
      </w:r>
      <w:r>
        <w:fldChar w:fldCharType="separate"/>
      </w:r>
      <w:r>
        <w:t>47</w:t>
      </w:r>
      <w:r>
        <w:fldChar w:fldCharType="end"/>
      </w:r>
      <w:r>
        <w:rPr>
          <w:rFonts w:ascii="宋体" w:hAnsi="宋体"/>
          <w:color w:val="000000"/>
          <w:szCs w:val="24"/>
        </w:rPr>
        <w:fldChar w:fldCharType="end"/>
      </w:r>
    </w:p>
    <w:p>
      <w:pPr>
        <w:pageBreakBefore/>
        <w:spacing w:line="360" w:lineRule="auto"/>
        <w:jc w:val="center"/>
        <w:rPr>
          <w:rFonts w:ascii="宋体"/>
          <w:color w:val="000000"/>
          <w:sz w:val="24"/>
          <w:szCs w:val="24"/>
        </w:rPr>
      </w:pPr>
      <w:r>
        <w:rPr>
          <w:rFonts w:ascii="宋体" w:hAnsi="宋体"/>
          <w:color w:val="000000"/>
          <w:szCs w:val="24"/>
        </w:rPr>
        <w:fldChar w:fldCharType="end"/>
      </w:r>
      <w:bookmarkStart w:id="0" w:name="_Toc262040262"/>
      <w:bookmarkStart w:id="1" w:name="_Toc197251327"/>
      <w:bookmarkStart w:id="2" w:name="_Toc184808749"/>
      <w:bookmarkStart w:id="3" w:name="_Toc179794530"/>
      <w:bookmarkStart w:id="4" w:name="_Toc198355307"/>
      <w:bookmarkStart w:id="5" w:name="_Toc183339485"/>
      <w:bookmarkStart w:id="6" w:name="_Toc196018527"/>
      <w:bookmarkStart w:id="7" w:name="_Toc229283958"/>
      <w:bookmarkStart w:id="8" w:name="_Toc262051523"/>
      <w:bookmarkStart w:id="9" w:name="_Toc184809536"/>
      <w:bookmarkStart w:id="10" w:name="_Toc183339209"/>
      <w:bookmarkStart w:id="11" w:name="_Toc262051102"/>
      <w:bookmarkStart w:id="12" w:name="_Toc262050852"/>
      <w:bookmarkStart w:id="13" w:name="_Toc196018418"/>
      <w:bookmarkStart w:id="14" w:name="_Toc185670969"/>
      <w:bookmarkStart w:id="15" w:name="_Toc196018623"/>
      <w:bookmarkStart w:id="16" w:name="_Toc304833219"/>
      <w:bookmarkStart w:id="17" w:name="_Toc198007322"/>
      <w:r>
        <w:rPr>
          <w:rFonts w:hint="eastAsia" w:ascii="宋体" w:hAnsi="宋体"/>
          <w:b/>
          <w:kern w:val="0"/>
          <w:sz w:val="32"/>
          <w:szCs w:val="32"/>
        </w:rPr>
        <w:t>应急预案编制小组</w:t>
      </w:r>
    </w:p>
    <w:tbl>
      <w:tblPr>
        <w:tblStyle w:val="54"/>
        <w:tblpPr w:leftFromText="180" w:rightFromText="180" w:vertAnchor="text" w:tblpY="1"/>
        <w:tblOverlap w:val="never"/>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745"/>
        <w:gridCol w:w="1984"/>
        <w:gridCol w:w="3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440"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姓</w:t>
            </w:r>
            <w:r>
              <w:rPr>
                <w:rFonts w:ascii="宋体" w:hAnsi="宋体"/>
                <w:b/>
                <w:color w:val="000000"/>
                <w:sz w:val="28"/>
                <w:szCs w:val="28"/>
              </w:rPr>
              <w:t xml:space="preserve">  </w:t>
            </w:r>
            <w:r>
              <w:rPr>
                <w:rFonts w:hint="eastAsia" w:ascii="宋体" w:hAnsi="宋体"/>
                <w:b/>
                <w:color w:val="000000"/>
                <w:sz w:val="28"/>
                <w:szCs w:val="28"/>
              </w:rPr>
              <w:t>名</w:t>
            </w:r>
          </w:p>
        </w:tc>
        <w:tc>
          <w:tcPr>
            <w:tcW w:w="2745"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职务</w:t>
            </w:r>
          </w:p>
        </w:tc>
        <w:tc>
          <w:tcPr>
            <w:tcW w:w="1984"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工作职责</w:t>
            </w:r>
          </w:p>
        </w:tc>
        <w:tc>
          <w:tcPr>
            <w:tcW w:w="3011" w:type="dxa"/>
            <w:vAlign w:val="center"/>
          </w:tcPr>
          <w:p>
            <w:pPr>
              <w:tabs>
                <w:tab w:val="left" w:pos="7395"/>
              </w:tabs>
              <w:spacing w:beforeLines="50" w:after="120" w:line="600" w:lineRule="exact"/>
              <w:jc w:val="center"/>
              <w:rPr>
                <w:rFonts w:ascii="宋体"/>
                <w:b/>
                <w:color w:val="000000"/>
                <w:sz w:val="28"/>
                <w:szCs w:val="28"/>
              </w:rPr>
            </w:pPr>
            <w:r>
              <w:rPr>
                <w:rFonts w:hint="eastAsia" w:ascii="宋体" w:hAnsi="宋体"/>
                <w:b/>
                <w:color w:val="000000"/>
                <w:sz w:val="28"/>
                <w:szCs w:val="28"/>
              </w:rPr>
              <w:t>签</w:t>
            </w:r>
            <w:r>
              <w:rPr>
                <w:rFonts w:ascii="宋体" w:hAnsi="宋体"/>
                <w:b/>
                <w:color w:val="000000"/>
                <w:sz w:val="28"/>
                <w:szCs w:val="28"/>
              </w:rPr>
              <w:t xml:space="preserve">  </w:t>
            </w:r>
            <w:r>
              <w:rPr>
                <w:rFonts w:hint="eastAsia" w:ascii="宋体" w:hAnsi="宋体"/>
                <w:b/>
                <w:color w:val="000000"/>
                <w:sz w:val="28"/>
                <w:szCs w:val="28"/>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秦廷伟</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组长</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校验</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操 准</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预案编制</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陶建华</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风险分析</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5"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sz w:val="28"/>
                <w:szCs w:val="28"/>
              </w:rPr>
              <w:t>向广川</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风险分析</w:t>
            </w:r>
          </w:p>
        </w:tc>
        <w:tc>
          <w:tcPr>
            <w:tcW w:w="3011" w:type="dxa"/>
            <w:vAlign w:val="center"/>
          </w:tcPr>
          <w:p>
            <w:pPr>
              <w:tabs>
                <w:tab w:val="left" w:pos="7395"/>
              </w:tabs>
              <w:spacing w:beforeLines="50" w:after="120" w:line="600" w:lineRule="exact"/>
              <w:jc w:val="center"/>
              <w:rPr>
                <w:rFonts w:asci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80" w:hRule="atLeast"/>
        </w:trPr>
        <w:tc>
          <w:tcPr>
            <w:tcW w:w="1440"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s="仿宋_GB2312"/>
                <w:sz w:val="28"/>
                <w:szCs w:val="28"/>
              </w:rPr>
              <w:t>张平生</w:t>
            </w:r>
          </w:p>
        </w:tc>
        <w:tc>
          <w:tcPr>
            <w:tcW w:w="2745" w:type="dxa"/>
            <w:vAlign w:val="center"/>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组员</w:t>
            </w:r>
          </w:p>
        </w:tc>
        <w:tc>
          <w:tcPr>
            <w:tcW w:w="1984" w:type="dxa"/>
          </w:tcPr>
          <w:p>
            <w:pPr>
              <w:tabs>
                <w:tab w:val="left" w:pos="7395"/>
              </w:tabs>
              <w:spacing w:beforeLines="50" w:after="120" w:line="600" w:lineRule="exact"/>
              <w:jc w:val="center"/>
              <w:rPr>
                <w:rFonts w:ascii="宋体"/>
                <w:color w:val="000000"/>
                <w:sz w:val="28"/>
                <w:szCs w:val="28"/>
              </w:rPr>
            </w:pPr>
            <w:r>
              <w:rPr>
                <w:rFonts w:hint="eastAsia" w:ascii="宋体" w:hAnsi="宋体"/>
                <w:color w:val="000000"/>
                <w:sz w:val="28"/>
                <w:szCs w:val="28"/>
              </w:rPr>
              <w:t>预案整理收集</w:t>
            </w:r>
          </w:p>
        </w:tc>
        <w:tc>
          <w:tcPr>
            <w:tcW w:w="3011" w:type="dxa"/>
            <w:vAlign w:val="center"/>
          </w:tcPr>
          <w:p>
            <w:pPr>
              <w:tabs>
                <w:tab w:val="left" w:pos="7395"/>
              </w:tabs>
              <w:spacing w:beforeLines="50" w:after="120" w:line="600" w:lineRule="exact"/>
              <w:jc w:val="center"/>
              <w:rPr>
                <w:rFonts w:ascii="宋体"/>
                <w:color w:val="000000"/>
                <w:sz w:val="28"/>
                <w:szCs w:val="28"/>
              </w:rPr>
            </w:pPr>
          </w:p>
        </w:tc>
      </w:tr>
    </w:tbl>
    <w:p>
      <w:pPr>
        <w:adjustRightInd w:val="0"/>
        <w:snapToGrid w:val="0"/>
        <w:spacing w:line="500" w:lineRule="exact"/>
        <w:jc w:val="center"/>
        <w:rPr>
          <w:rFonts w:ascii="宋体"/>
          <w:b/>
          <w:sz w:val="28"/>
          <w:szCs w:val="28"/>
        </w:rPr>
      </w:pPr>
      <w:r>
        <w:rPr>
          <w:rFonts w:hint="eastAsia" w:ascii="宋体" w:hAnsi="宋体"/>
          <w:b/>
          <w:sz w:val="28"/>
          <w:szCs w:val="28"/>
        </w:rPr>
        <w:t>应急预案审议小组</w:t>
      </w:r>
    </w:p>
    <w:tbl>
      <w:tblPr>
        <w:tblStyle w:val="54"/>
        <w:tblW w:w="9264"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0"/>
        <w:gridCol w:w="2693"/>
        <w:gridCol w:w="2126"/>
        <w:gridCol w:w="2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560" w:type="dxa"/>
            <w:vAlign w:val="center"/>
          </w:tcPr>
          <w:p>
            <w:pPr>
              <w:adjustRightInd w:val="0"/>
              <w:snapToGrid w:val="0"/>
              <w:spacing w:line="500" w:lineRule="exact"/>
              <w:jc w:val="center"/>
              <w:rPr>
                <w:rFonts w:ascii="宋体"/>
                <w:b/>
                <w:sz w:val="28"/>
                <w:szCs w:val="28"/>
              </w:rPr>
            </w:pPr>
            <w:r>
              <w:rPr>
                <w:rFonts w:hint="eastAsia" w:ascii="宋体" w:hAnsi="宋体"/>
                <w:b/>
                <w:sz w:val="28"/>
                <w:szCs w:val="28"/>
              </w:rPr>
              <w:t>姓名</w:t>
            </w:r>
          </w:p>
        </w:tc>
        <w:tc>
          <w:tcPr>
            <w:tcW w:w="2693" w:type="dxa"/>
            <w:vAlign w:val="center"/>
          </w:tcPr>
          <w:p>
            <w:pPr>
              <w:adjustRightInd w:val="0"/>
              <w:snapToGrid w:val="0"/>
              <w:spacing w:line="500" w:lineRule="exact"/>
              <w:jc w:val="center"/>
              <w:rPr>
                <w:rFonts w:ascii="宋体"/>
                <w:b/>
                <w:sz w:val="28"/>
                <w:szCs w:val="28"/>
              </w:rPr>
            </w:pPr>
            <w:r>
              <w:rPr>
                <w:rFonts w:hint="eastAsia" w:ascii="宋体" w:hAnsi="宋体"/>
                <w:b/>
                <w:sz w:val="28"/>
                <w:szCs w:val="28"/>
              </w:rPr>
              <w:t>职务</w:t>
            </w:r>
          </w:p>
        </w:tc>
        <w:tc>
          <w:tcPr>
            <w:tcW w:w="2126" w:type="dxa"/>
          </w:tcPr>
          <w:p>
            <w:pPr>
              <w:adjustRightInd w:val="0"/>
              <w:snapToGrid w:val="0"/>
              <w:spacing w:line="500" w:lineRule="exact"/>
              <w:jc w:val="center"/>
              <w:rPr>
                <w:rFonts w:ascii="宋体"/>
                <w:b/>
                <w:sz w:val="28"/>
                <w:szCs w:val="28"/>
              </w:rPr>
            </w:pPr>
            <w:r>
              <w:rPr>
                <w:rFonts w:hint="eastAsia" w:ascii="宋体" w:hAnsi="宋体"/>
                <w:b/>
                <w:sz w:val="28"/>
                <w:szCs w:val="28"/>
              </w:rPr>
              <w:t>工作职责</w:t>
            </w:r>
          </w:p>
        </w:tc>
        <w:tc>
          <w:tcPr>
            <w:tcW w:w="2885" w:type="dxa"/>
            <w:vAlign w:val="center"/>
          </w:tcPr>
          <w:p>
            <w:pPr>
              <w:adjustRightInd w:val="0"/>
              <w:snapToGrid w:val="0"/>
              <w:spacing w:line="500" w:lineRule="exact"/>
              <w:jc w:val="center"/>
              <w:rPr>
                <w:rFonts w:ascii="宋体"/>
                <w:b/>
                <w:sz w:val="28"/>
                <w:szCs w:val="28"/>
              </w:rPr>
            </w:pPr>
            <w:r>
              <w:rPr>
                <w:rFonts w:hint="eastAsia" w:ascii="宋体" w:hAnsi="宋体"/>
                <w:b/>
                <w:sz w:val="28"/>
                <w:szCs w:val="28"/>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宋体"/>
                <w:b/>
                <w:sz w:val="28"/>
                <w:szCs w:val="28"/>
              </w:rPr>
            </w:pPr>
            <w:r>
              <w:rPr>
                <w:rFonts w:hint="eastAsia" w:ascii="宋体" w:hAnsi="宋体"/>
                <w:sz w:val="28"/>
                <w:szCs w:val="28"/>
              </w:rPr>
              <w:t>况敬良</w:t>
            </w:r>
          </w:p>
        </w:tc>
        <w:tc>
          <w:tcPr>
            <w:tcW w:w="2693" w:type="dxa"/>
            <w:vAlign w:val="center"/>
          </w:tcPr>
          <w:p>
            <w:pPr>
              <w:adjustRightInd w:val="0"/>
              <w:snapToGrid w:val="0"/>
              <w:spacing w:line="500" w:lineRule="exact"/>
              <w:jc w:val="center"/>
              <w:rPr>
                <w:rFonts w:ascii="宋体"/>
                <w:sz w:val="28"/>
                <w:szCs w:val="28"/>
              </w:rPr>
            </w:pPr>
            <w:r>
              <w:rPr>
                <w:rFonts w:hint="eastAsia" w:ascii="宋体" w:hAnsi="宋体"/>
                <w:sz w:val="28"/>
                <w:szCs w:val="28"/>
              </w:rPr>
              <w:t>组长</w:t>
            </w:r>
          </w:p>
        </w:tc>
        <w:tc>
          <w:tcPr>
            <w:tcW w:w="2126" w:type="dxa"/>
          </w:tcPr>
          <w:p>
            <w:pPr>
              <w:adjustRightInd w:val="0"/>
              <w:snapToGrid w:val="0"/>
              <w:spacing w:line="500" w:lineRule="exact"/>
              <w:jc w:val="center"/>
              <w:rPr>
                <w:rFonts w:ascii="宋体"/>
                <w:sz w:val="28"/>
                <w:szCs w:val="28"/>
              </w:rPr>
            </w:pPr>
            <w:r>
              <w:rPr>
                <w:rFonts w:hint="eastAsia" w:ascii="宋体" w:hAnsi="宋体"/>
                <w:sz w:val="28"/>
                <w:szCs w:val="28"/>
              </w:rPr>
              <w:t>批准</w:t>
            </w:r>
          </w:p>
        </w:tc>
        <w:tc>
          <w:tcPr>
            <w:tcW w:w="2885" w:type="dxa"/>
            <w:vAlign w:val="center"/>
          </w:tcPr>
          <w:p>
            <w:pPr>
              <w:adjustRightInd w:val="0"/>
              <w:snapToGrid w:val="0"/>
              <w:spacing w:line="500" w:lineRule="exact"/>
              <w:jc w:val="center"/>
              <w:rPr>
                <w:rFonts w:ascii="宋体"/>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宋体"/>
                <w:b/>
                <w:sz w:val="28"/>
                <w:szCs w:val="28"/>
              </w:rPr>
            </w:pPr>
            <w:r>
              <w:rPr>
                <w:rFonts w:hint="eastAsia" w:ascii="宋体" w:hAnsi="宋体" w:cs="仿宋_GB2312"/>
                <w:sz w:val="28"/>
                <w:szCs w:val="28"/>
              </w:rPr>
              <w:t>梅杰</w:t>
            </w:r>
          </w:p>
        </w:tc>
        <w:tc>
          <w:tcPr>
            <w:tcW w:w="2693" w:type="dxa"/>
            <w:vAlign w:val="center"/>
          </w:tcPr>
          <w:p>
            <w:pPr>
              <w:adjustRightInd w:val="0"/>
              <w:snapToGrid w:val="0"/>
              <w:spacing w:line="500" w:lineRule="exact"/>
              <w:jc w:val="center"/>
              <w:rPr>
                <w:rFonts w:ascii="宋体"/>
                <w:sz w:val="28"/>
                <w:szCs w:val="28"/>
              </w:rPr>
            </w:pPr>
            <w:r>
              <w:rPr>
                <w:rFonts w:hint="eastAsia" w:ascii="宋体" w:hAnsi="宋体"/>
                <w:sz w:val="28"/>
                <w:szCs w:val="28"/>
              </w:rPr>
              <w:t>组员</w:t>
            </w:r>
          </w:p>
        </w:tc>
        <w:tc>
          <w:tcPr>
            <w:tcW w:w="2126" w:type="dxa"/>
            <w:vAlign w:val="center"/>
          </w:tcPr>
          <w:p>
            <w:pPr>
              <w:adjustRightInd w:val="0"/>
              <w:snapToGrid w:val="0"/>
              <w:spacing w:line="500" w:lineRule="exact"/>
              <w:jc w:val="center"/>
              <w:rPr>
                <w:rFonts w:ascii="宋体"/>
                <w:sz w:val="28"/>
                <w:szCs w:val="28"/>
              </w:rPr>
            </w:pPr>
            <w:r>
              <w:rPr>
                <w:rFonts w:hint="eastAsia" w:ascii="宋体" w:hAnsi="宋体"/>
                <w:sz w:val="28"/>
                <w:szCs w:val="28"/>
              </w:rPr>
              <w:t>可行性审核</w:t>
            </w:r>
          </w:p>
        </w:tc>
        <w:tc>
          <w:tcPr>
            <w:tcW w:w="2885" w:type="dxa"/>
            <w:vAlign w:val="center"/>
          </w:tcPr>
          <w:p>
            <w:pPr>
              <w:adjustRightInd w:val="0"/>
              <w:snapToGrid w:val="0"/>
              <w:spacing w:line="500" w:lineRule="exact"/>
              <w:jc w:val="center"/>
              <w:rPr>
                <w:rFonts w:ascii="宋体"/>
                <w:b/>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exact"/>
        </w:trPr>
        <w:tc>
          <w:tcPr>
            <w:tcW w:w="1560" w:type="dxa"/>
            <w:vAlign w:val="center"/>
          </w:tcPr>
          <w:p>
            <w:pPr>
              <w:adjustRightInd w:val="0"/>
              <w:snapToGrid w:val="0"/>
              <w:spacing w:line="500" w:lineRule="exact"/>
              <w:jc w:val="center"/>
              <w:rPr>
                <w:rFonts w:ascii="宋体"/>
                <w:b/>
                <w:sz w:val="28"/>
                <w:szCs w:val="28"/>
              </w:rPr>
            </w:pPr>
            <w:r>
              <w:rPr>
                <w:rFonts w:hint="eastAsia" w:ascii="宋体" w:hAnsi="宋体" w:cs="仿宋_GB2312"/>
                <w:sz w:val="28"/>
                <w:szCs w:val="28"/>
              </w:rPr>
              <w:t>刘江义</w:t>
            </w:r>
          </w:p>
        </w:tc>
        <w:tc>
          <w:tcPr>
            <w:tcW w:w="2693" w:type="dxa"/>
            <w:vAlign w:val="center"/>
          </w:tcPr>
          <w:p>
            <w:pPr>
              <w:adjustRightInd w:val="0"/>
              <w:snapToGrid w:val="0"/>
              <w:spacing w:line="500" w:lineRule="exact"/>
              <w:jc w:val="center"/>
              <w:rPr>
                <w:rFonts w:ascii="宋体"/>
                <w:sz w:val="28"/>
                <w:szCs w:val="28"/>
              </w:rPr>
            </w:pPr>
            <w:r>
              <w:rPr>
                <w:rFonts w:hint="eastAsia" w:ascii="宋体" w:hAnsi="宋体"/>
                <w:sz w:val="28"/>
                <w:szCs w:val="28"/>
              </w:rPr>
              <w:t>组员</w:t>
            </w:r>
          </w:p>
        </w:tc>
        <w:tc>
          <w:tcPr>
            <w:tcW w:w="2126" w:type="dxa"/>
            <w:vAlign w:val="center"/>
          </w:tcPr>
          <w:p>
            <w:pPr>
              <w:adjustRightInd w:val="0"/>
              <w:snapToGrid w:val="0"/>
              <w:spacing w:line="500" w:lineRule="exact"/>
              <w:jc w:val="center"/>
              <w:rPr>
                <w:rFonts w:ascii="宋体"/>
                <w:sz w:val="28"/>
                <w:szCs w:val="28"/>
              </w:rPr>
            </w:pPr>
            <w:r>
              <w:rPr>
                <w:rFonts w:hint="eastAsia" w:ascii="宋体" w:hAnsi="宋体"/>
                <w:sz w:val="28"/>
                <w:szCs w:val="28"/>
              </w:rPr>
              <w:t>规范性审核</w:t>
            </w:r>
          </w:p>
        </w:tc>
        <w:tc>
          <w:tcPr>
            <w:tcW w:w="2885" w:type="dxa"/>
            <w:vAlign w:val="center"/>
          </w:tcPr>
          <w:p>
            <w:pPr>
              <w:adjustRightInd w:val="0"/>
              <w:snapToGrid w:val="0"/>
              <w:spacing w:line="500" w:lineRule="exact"/>
              <w:jc w:val="center"/>
              <w:rPr>
                <w:rFonts w:ascii="宋体"/>
                <w:b/>
                <w:sz w:val="28"/>
                <w:szCs w:val="28"/>
              </w:rPr>
            </w:pPr>
          </w:p>
        </w:tc>
      </w:tr>
    </w:tbl>
    <w:p>
      <w:pPr>
        <w:rPr>
          <w:rFonts w:ascii="宋体"/>
          <w:color w:val="000000"/>
          <w:sz w:val="24"/>
          <w:szCs w:val="24"/>
        </w:rPr>
        <w:sectPr>
          <w:pgSz w:w="11906" w:h="16838"/>
          <w:pgMar w:top="1418" w:right="1418" w:bottom="1418" w:left="1474" w:header="709" w:footer="680" w:gutter="0"/>
          <w:pgNumType w:start="1"/>
          <w:cols w:space="720" w:num="1"/>
          <w:docGrid w:linePitch="312" w:charSpace="0"/>
        </w:sectPr>
      </w:pPr>
    </w:p>
    <w:p>
      <w:pPr>
        <w:pStyle w:val="2"/>
        <w:spacing w:before="120" w:after="120" w:line="360" w:lineRule="auto"/>
        <w:jc w:val="center"/>
        <w:rPr>
          <w:rFonts w:ascii="宋体"/>
          <w:b/>
          <w:color w:val="000000"/>
          <w:sz w:val="32"/>
          <w:szCs w:val="28"/>
        </w:rPr>
      </w:pPr>
      <w:bookmarkStart w:id="18" w:name="_Toc336326836"/>
      <w:bookmarkStart w:id="19" w:name="_Toc336327114"/>
      <w:bookmarkStart w:id="20" w:name="_Toc387131487"/>
      <w:bookmarkStart w:id="21" w:name="_Toc415254529"/>
      <w:bookmarkStart w:id="22" w:name="_Toc304964429"/>
      <w:bookmarkStart w:id="23" w:name="_Toc387131744"/>
      <w:bookmarkStart w:id="24" w:name="_Toc2550"/>
      <w:r>
        <w:rPr>
          <w:rFonts w:ascii="宋体" w:hAnsi="宋体"/>
          <w:b/>
          <w:color w:val="000000"/>
          <w:sz w:val="32"/>
        </w:rPr>
        <w:t>1</w:t>
      </w:r>
      <w:r>
        <w:rPr>
          <w:rFonts w:hint="eastAsia" w:ascii="宋体" w:hAnsi="宋体"/>
          <w:b/>
          <w:color w:val="000000"/>
          <w:sz w:val="32"/>
        </w:rPr>
        <w:t>总则</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adjustRightInd w:val="0"/>
        <w:snapToGrid w:val="0"/>
        <w:spacing w:line="460" w:lineRule="exact"/>
        <w:outlineLvl w:val="1"/>
        <w:rPr>
          <w:rFonts w:hint="eastAsia"/>
          <w:b/>
          <w:color w:val="000000"/>
          <w:sz w:val="26"/>
          <w:szCs w:val="26"/>
          <w:lang w:val="zh-CN"/>
        </w:rPr>
      </w:pPr>
      <w:bookmarkStart w:id="25" w:name="_Toc304833220"/>
      <w:bookmarkStart w:id="26" w:name="_Toc196018419"/>
      <w:bookmarkStart w:id="27" w:name="_Toc262051103"/>
      <w:bookmarkStart w:id="28" w:name="_Toc198007323"/>
      <w:bookmarkStart w:id="29" w:name="_Toc184808750"/>
      <w:bookmarkStart w:id="30" w:name="_Toc387131488"/>
      <w:bookmarkStart w:id="31" w:name="_Toc336327115"/>
      <w:bookmarkStart w:id="32" w:name="_Toc183339210"/>
      <w:bookmarkStart w:id="33" w:name="_Toc262040263"/>
      <w:bookmarkStart w:id="34" w:name="_Toc184809537"/>
      <w:bookmarkStart w:id="35" w:name="_Toc262050853"/>
      <w:bookmarkStart w:id="36" w:name="_Toc196018528"/>
      <w:bookmarkStart w:id="37" w:name="_Toc415254530"/>
      <w:bookmarkStart w:id="38" w:name="_Toc8619"/>
      <w:bookmarkStart w:id="39" w:name="_Toc197251328"/>
      <w:bookmarkStart w:id="40" w:name="_Toc336326837"/>
      <w:bookmarkStart w:id="41" w:name="_Toc387131745"/>
      <w:bookmarkStart w:id="42" w:name="_Toc387131414"/>
      <w:bookmarkStart w:id="43" w:name="_Toc262051524"/>
      <w:bookmarkStart w:id="44" w:name="_Toc198355308"/>
      <w:bookmarkStart w:id="45" w:name="_Toc179794531"/>
      <w:bookmarkStart w:id="46" w:name="_Toc196018624"/>
      <w:bookmarkStart w:id="47" w:name="_Toc304963587"/>
      <w:bookmarkStart w:id="48" w:name="_Toc304964430"/>
      <w:bookmarkStart w:id="49" w:name="_Toc304962943"/>
      <w:bookmarkStart w:id="50" w:name="_Toc183339486"/>
      <w:bookmarkStart w:id="51" w:name="_Toc185670970"/>
      <w:bookmarkStart w:id="52" w:name="_Toc229283959"/>
      <w:bookmarkStart w:id="53" w:name="_Toc6394"/>
      <w:r>
        <w:rPr>
          <w:rFonts w:hint="eastAsia"/>
          <w:b/>
          <w:color w:val="000000"/>
          <w:sz w:val="26"/>
          <w:szCs w:val="26"/>
          <w:lang w:val="zh-CN"/>
        </w:rPr>
        <w:t>1.1编制目的</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adjustRightInd w:val="0"/>
        <w:snapToGrid w:val="0"/>
        <w:spacing w:line="360" w:lineRule="auto"/>
        <w:ind w:firstLine="480" w:firstLineChars="200"/>
        <w:jc w:val="left"/>
        <w:textAlignment w:val="center"/>
        <w:rPr>
          <w:rFonts w:ascii="宋体"/>
          <w:color w:val="000000"/>
          <w:sz w:val="24"/>
          <w:szCs w:val="24"/>
        </w:rPr>
      </w:pPr>
      <w:bookmarkStart w:id="54" w:name="_Toc336327116"/>
      <w:bookmarkStart w:id="55" w:name="_Toc179794532"/>
      <w:bookmarkStart w:id="56" w:name="_Toc198007324"/>
      <w:bookmarkStart w:id="57" w:name="_Toc229283960"/>
      <w:bookmarkStart w:id="58" w:name="_Toc262040264"/>
      <w:bookmarkStart w:id="59" w:name="_Toc183339211"/>
      <w:bookmarkStart w:id="60" w:name="_Toc184809538"/>
      <w:bookmarkStart w:id="61" w:name="_Toc387131489"/>
      <w:bookmarkStart w:id="62" w:name="_Toc198355309"/>
      <w:bookmarkStart w:id="63" w:name="_Toc262051104"/>
      <w:bookmarkStart w:id="64" w:name="_Toc304964431"/>
      <w:bookmarkStart w:id="65" w:name="_Toc387131415"/>
      <w:bookmarkStart w:id="66" w:name="_Toc184808751"/>
      <w:bookmarkStart w:id="67" w:name="_Toc304963588"/>
      <w:bookmarkStart w:id="68" w:name="_Toc196018529"/>
      <w:bookmarkStart w:id="69" w:name="_Toc304833221"/>
      <w:bookmarkStart w:id="70" w:name="_Toc196018420"/>
      <w:bookmarkStart w:id="71" w:name="_Toc197251329"/>
      <w:bookmarkStart w:id="72" w:name="_Toc262050854"/>
      <w:bookmarkStart w:id="73" w:name="_Toc183339487"/>
      <w:bookmarkStart w:id="74" w:name="_Toc336326838"/>
      <w:bookmarkStart w:id="75" w:name="_Toc262051525"/>
      <w:bookmarkStart w:id="76" w:name="_Toc387131746"/>
      <w:bookmarkStart w:id="77" w:name="_Toc196018625"/>
      <w:bookmarkStart w:id="78" w:name="_Toc185670971"/>
      <w:bookmarkStart w:id="79" w:name="_Toc304962944"/>
      <w:r>
        <w:rPr>
          <w:rFonts w:hint="eastAsia" w:ascii="宋体" w:hAnsi="宋体"/>
          <w:color w:val="000000"/>
          <w:sz w:val="24"/>
          <w:szCs w:val="24"/>
        </w:rPr>
        <w:t>为进一步增强应对和防范事故风险和事故灾难的能力，在事故、事件发生时，能以最快的速度、最大的效能，有序地实施救援，最大限度地减少事故灾难造成的人员伤亡和财产损失。本着“预防为先、自救为主、统一指挥、分工负责”的原则，根据《中华人民共和国安全生产法》、《中华人民共和国突发事件应对法》、《生产安全事故应急预案管理办法》等有关法律、法规相关要求，结合我公司实际情况，特制订本预案。</w:t>
      </w:r>
    </w:p>
    <w:p>
      <w:pPr>
        <w:adjustRightInd w:val="0"/>
        <w:snapToGrid w:val="0"/>
        <w:spacing w:line="460" w:lineRule="exact"/>
        <w:outlineLvl w:val="1"/>
        <w:rPr>
          <w:rFonts w:hint="eastAsia"/>
          <w:b/>
          <w:color w:val="000000"/>
          <w:sz w:val="26"/>
          <w:szCs w:val="26"/>
          <w:lang w:val="zh-CN"/>
        </w:rPr>
      </w:pPr>
      <w:bookmarkStart w:id="80" w:name="_Toc415254531"/>
      <w:bookmarkStart w:id="81" w:name="_Toc224"/>
      <w:bookmarkStart w:id="82" w:name="_Toc20664"/>
      <w:r>
        <w:rPr>
          <w:rFonts w:hint="eastAsia"/>
          <w:b/>
          <w:color w:val="000000"/>
          <w:sz w:val="26"/>
          <w:szCs w:val="26"/>
          <w:lang w:val="zh-CN"/>
        </w:rPr>
        <w:t>1.2编制依据</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w:t>
      </w:r>
      <w:r>
        <w:rPr>
          <w:rFonts w:hint="eastAsia" w:ascii="宋体" w:hAnsi="宋体"/>
          <w:color w:val="000000"/>
          <w:sz w:val="24"/>
          <w:szCs w:val="24"/>
        </w:rPr>
        <w:t>）《中华人民共和国环境保护法》（中华人民共和国主席令第</w:t>
      </w:r>
      <w:r>
        <w:rPr>
          <w:rFonts w:ascii="宋体" w:hAnsi="宋体"/>
          <w:color w:val="000000"/>
          <w:sz w:val="24"/>
          <w:szCs w:val="24"/>
        </w:rPr>
        <w:t>9</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）《中华人民共和国大气污染防治法》（中华人民共和国主席令第</w:t>
      </w:r>
      <w:r>
        <w:rPr>
          <w:rFonts w:ascii="宋体" w:hAnsi="宋体"/>
          <w:color w:val="000000"/>
          <w:sz w:val="24"/>
          <w:szCs w:val="24"/>
        </w:rPr>
        <w:t>32</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）《中华人民共和国水污染防治法》（中华人民共和国主席令第</w:t>
      </w:r>
      <w:r>
        <w:rPr>
          <w:rFonts w:ascii="宋体" w:hAnsi="宋体"/>
          <w:color w:val="000000"/>
          <w:sz w:val="24"/>
          <w:szCs w:val="24"/>
        </w:rPr>
        <w:t>87</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4</w:t>
      </w:r>
      <w:r>
        <w:rPr>
          <w:rFonts w:hint="eastAsia" w:ascii="宋体" w:hAnsi="宋体"/>
          <w:color w:val="000000"/>
          <w:sz w:val="24"/>
          <w:szCs w:val="24"/>
        </w:rPr>
        <w:t>）《中华人民共和国固体废物污染环境防治法》（中华人民共和国主席令第</w:t>
      </w:r>
      <w:r>
        <w:rPr>
          <w:rFonts w:ascii="宋体" w:hAnsi="宋体"/>
          <w:color w:val="000000"/>
          <w:sz w:val="24"/>
          <w:szCs w:val="24"/>
        </w:rPr>
        <w:t>5</w:t>
      </w:r>
      <w:r>
        <w:rPr>
          <w:rFonts w:hint="eastAsia" w:ascii="宋体" w:hAnsi="宋体"/>
          <w:color w:val="000000"/>
          <w:sz w:val="24"/>
          <w:szCs w:val="24"/>
        </w:rPr>
        <w:t>号</w:t>
      </w:r>
      <w:r>
        <w:rPr>
          <w:rFonts w:ascii="宋体" w:hAnsi="宋体"/>
          <w:color w:val="000000"/>
          <w:sz w:val="24"/>
          <w:szCs w:val="24"/>
        </w:rPr>
        <w:t>2005</w:t>
      </w:r>
      <w:r>
        <w:rPr>
          <w:rFonts w:hint="eastAsia" w:ascii="宋体" w:hAnsi="宋体"/>
          <w:color w:val="000000"/>
          <w:sz w:val="24"/>
          <w:szCs w:val="24"/>
        </w:rPr>
        <w:t>年</w:t>
      </w:r>
      <w:r>
        <w:rPr>
          <w:rFonts w:ascii="宋体" w:hAnsi="宋体"/>
          <w:color w:val="000000"/>
          <w:sz w:val="24"/>
          <w:szCs w:val="24"/>
        </w:rPr>
        <w:t>4</w:t>
      </w:r>
      <w:r>
        <w:rPr>
          <w:rFonts w:hint="eastAsia" w:ascii="宋体" w:hAnsi="宋体"/>
          <w:color w:val="000000"/>
          <w:sz w:val="24"/>
          <w:szCs w:val="24"/>
        </w:rPr>
        <w:t>月</w:t>
      </w:r>
      <w:r>
        <w:rPr>
          <w:rFonts w:ascii="宋体" w:hAnsi="宋体"/>
          <w:color w:val="000000"/>
          <w:sz w:val="24"/>
          <w:szCs w:val="24"/>
        </w:rPr>
        <w:t>1</w:t>
      </w:r>
      <w:r>
        <w:rPr>
          <w:rFonts w:hint="eastAsia" w:ascii="宋体" w:hAnsi="宋体"/>
          <w:color w:val="000000"/>
          <w:sz w:val="24"/>
          <w:szCs w:val="24"/>
        </w:rPr>
        <w:t>日）；</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5</w:t>
      </w:r>
      <w:r>
        <w:rPr>
          <w:rFonts w:hint="eastAsia" w:ascii="宋体" w:hAnsi="宋体"/>
          <w:color w:val="000000"/>
          <w:sz w:val="24"/>
          <w:szCs w:val="24"/>
        </w:rPr>
        <w:t>）《中华人民共和国安全生产法》（中华人民共和国主席令第</w:t>
      </w:r>
      <w:r>
        <w:rPr>
          <w:rFonts w:ascii="宋体" w:hAnsi="宋体"/>
          <w:color w:val="000000"/>
          <w:sz w:val="24"/>
          <w:szCs w:val="24"/>
        </w:rPr>
        <w:t>13</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6</w:t>
      </w:r>
      <w:r>
        <w:rPr>
          <w:rFonts w:hint="eastAsia" w:ascii="宋体" w:hAnsi="宋体"/>
          <w:color w:val="000000"/>
          <w:sz w:val="24"/>
          <w:szCs w:val="24"/>
        </w:rPr>
        <w:t>）《中华人民共和国消防法》（中华人民共和国主席令第</w:t>
      </w:r>
      <w:r>
        <w:rPr>
          <w:rFonts w:ascii="宋体" w:hAnsi="宋体"/>
          <w:color w:val="000000"/>
          <w:sz w:val="24"/>
          <w:szCs w:val="24"/>
        </w:rPr>
        <w:t>6</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7</w:t>
      </w:r>
      <w:r>
        <w:rPr>
          <w:rFonts w:hint="eastAsia" w:ascii="宋体" w:hAnsi="宋体"/>
          <w:color w:val="000000"/>
          <w:sz w:val="24"/>
          <w:szCs w:val="24"/>
        </w:rPr>
        <w:t>）《中华人民共和国职业病防治法》（中华人民共和国主席令第</w:t>
      </w:r>
      <w:r>
        <w:rPr>
          <w:rFonts w:ascii="宋体" w:hAnsi="宋体"/>
          <w:color w:val="000000"/>
          <w:sz w:val="24"/>
          <w:szCs w:val="24"/>
        </w:rPr>
        <w:t>52</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8</w:t>
      </w:r>
      <w:r>
        <w:rPr>
          <w:rFonts w:hint="eastAsia" w:ascii="宋体" w:hAnsi="宋体"/>
          <w:color w:val="000000"/>
          <w:sz w:val="24"/>
          <w:szCs w:val="24"/>
        </w:rPr>
        <w:t>）《国务院办公厅转发安全监管总局等部门关于加强企业应急管理工作意见的通知》（国办发〔</w:t>
      </w:r>
      <w:r>
        <w:rPr>
          <w:rFonts w:ascii="宋体" w:hAnsi="宋体"/>
          <w:color w:val="000000"/>
          <w:sz w:val="24"/>
          <w:szCs w:val="24"/>
        </w:rPr>
        <w:t>2007</w:t>
      </w:r>
      <w:r>
        <w:rPr>
          <w:rFonts w:hint="eastAsia" w:ascii="宋体" w:hAnsi="宋体"/>
          <w:color w:val="000000"/>
          <w:sz w:val="24"/>
          <w:szCs w:val="24"/>
        </w:rPr>
        <w:t>〕</w:t>
      </w:r>
      <w:r>
        <w:rPr>
          <w:rFonts w:ascii="宋体" w:hAnsi="宋体"/>
          <w:color w:val="000000"/>
          <w:sz w:val="24"/>
          <w:szCs w:val="24"/>
        </w:rPr>
        <w:t>13</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9</w:t>
      </w:r>
      <w:r>
        <w:rPr>
          <w:rFonts w:hint="eastAsia" w:ascii="宋体" w:hAnsi="宋体"/>
          <w:color w:val="000000"/>
          <w:sz w:val="24"/>
          <w:szCs w:val="24"/>
        </w:rPr>
        <w:t>）《国务院办公厅关于加强基层应急管理工作意见》（国办发〔</w:t>
      </w:r>
      <w:r>
        <w:rPr>
          <w:rFonts w:ascii="宋体" w:hAnsi="宋体"/>
          <w:color w:val="000000"/>
          <w:sz w:val="24"/>
          <w:szCs w:val="24"/>
        </w:rPr>
        <w:t>2007</w:t>
      </w:r>
      <w:r>
        <w:rPr>
          <w:rFonts w:hint="eastAsia" w:ascii="宋体" w:hAnsi="宋体"/>
          <w:color w:val="000000"/>
          <w:sz w:val="24"/>
          <w:szCs w:val="24"/>
        </w:rPr>
        <w:t>〕</w:t>
      </w:r>
      <w:r>
        <w:rPr>
          <w:rFonts w:ascii="宋体" w:hAnsi="宋体"/>
          <w:color w:val="000000"/>
          <w:sz w:val="24"/>
          <w:szCs w:val="24"/>
        </w:rPr>
        <w:t>52</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hAnsi="宋体"/>
          <w:color w:val="000000"/>
          <w:sz w:val="24"/>
          <w:szCs w:val="24"/>
        </w:rPr>
      </w:pPr>
      <w:r>
        <w:rPr>
          <w:rFonts w:hint="eastAsia" w:ascii="宋体" w:hAnsi="宋体"/>
          <w:color w:val="000000"/>
          <w:sz w:val="24"/>
          <w:szCs w:val="24"/>
        </w:rPr>
        <w:t>（</w:t>
      </w:r>
      <w:r>
        <w:rPr>
          <w:rFonts w:ascii="宋体" w:hAnsi="宋体"/>
          <w:color w:val="000000"/>
          <w:sz w:val="24"/>
          <w:szCs w:val="24"/>
        </w:rPr>
        <w:t>10</w:t>
      </w:r>
      <w:r>
        <w:rPr>
          <w:rFonts w:hint="eastAsia" w:ascii="宋体" w:hAnsi="宋体"/>
          <w:color w:val="000000"/>
          <w:sz w:val="24"/>
          <w:szCs w:val="24"/>
        </w:rPr>
        <w:t>）《国务院办公厅关于加强基层应急管理工作意见》</w:t>
      </w:r>
      <w:r>
        <w:rPr>
          <w:rFonts w:ascii="宋体" w:hAnsi="宋体"/>
          <w:color w:val="000000"/>
          <w:sz w:val="24"/>
          <w:szCs w:val="24"/>
        </w:rPr>
        <w:t>(AQ/T9002-2006)</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11</w:t>
      </w:r>
      <w:r>
        <w:rPr>
          <w:rFonts w:hint="eastAsia" w:ascii="宋体" w:hAnsi="宋体"/>
          <w:color w:val="000000"/>
          <w:sz w:val="24"/>
          <w:szCs w:val="24"/>
        </w:rPr>
        <w:t>）《国家突发公共事件总体应急预案》；</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12</w:t>
      </w:r>
      <w:r>
        <w:rPr>
          <w:rFonts w:hint="eastAsia" w:ascii="宋体" w:hAnsi="宋体"/>
          <w:color w:val="000000"/>
          <w:sz w:val="24"/>
          <w:szCs w:val="24"/>
        </w:rPr>
        <w:t>）《国家突发环境事件应急预案》；</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13</w:t>
      </w:r>
      <w:r>
        <w:rPr>
          <w:rFonts w:hint="eastAsia" w:ascii="宋体" w:hAnsi="宋体"/>
          <w:color w:val="000000"/>
          <w:sz w:val="24"/>
          <w:szCs w:val="24"/>
        </w:rPr>
        <w:t>）《关于防范环境风险加强环境影响评价管理的通知》（环发〔</w:t>
      </w:r>
      <w:r>
        <w:rPr>
          <w:rFonts w:ascii="宋体" w:hAnsi="宋体"/>
          <w:color w:val="000000"/>
          <w:sz w:val="24"/>
          <w:szCs w:val="24"/>
        </w:rPr>
        <w:t>2005</w:t>
      </w:r>
      <w:r>
        <w:rPr>
          <w:rFonts w:hint="eastAsia" w:ascii="宋体" w:hAnsi="宋体"/>
          <w:color w:val="000000"/>
          <w:sz w:val="24"/>
          <w:szCs w:val="24"/>
        </w:rPr>
        <w:t>〕</w:t>
      </w:r>
      <w:r>
        <w:rPr>
          <w:rFonts w:ascii="宋体" w:hAnsi="宋体"/>
          <w:color w:val="000000"/>
          <w:sz w:val="24"/>
          <w:szCs w:val="24"/>
        </w:rPr>
        <w:t>152</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14</w:t>
      </w:r>
      <w:r>
        <w:rPr>
          <w:rFonts w:hint="eastAsia" w:ascii="宋体" w:hAnsi="宋体"/>
          <w:color w:val="000000"/>
          <w:sz w:val="24"/>
          <w:szCs w:val="24"/>
        </w:rPr>
        <w:t>）《关于督促化工企业切实做好几项安全环保重点工作的紧急通知》（安监总危化〔</w:t>
      </w:r>
      <w:r>
        <w:rPr>
          <w:rFonts w:ascii="宋体" w:hAnsi="宋体"/>
          <w:color w:val="000000"/>
          <w:sz w:val="24"/>
          <w:szCs w:val="24"/>
        </w:rPr>
        <w:t>2006</w:t>
      </w:r>
      <w:r>
        <w:rPr>
          <w:rFonts w:hint="eastAsia" w:ascii="宋体" w:hAnsi="宋体"/>
          <w:color w:val="000000"/>
          <w:sz w:val="24"/>
          <w:szCs w:val="24"/>
        </w:rPr>
        <w:t>〕</w:t>
      </w:r>
      <w:r>
        <w:rPr>
          <w:rFonts w:ascii="宋体" w:hAnsi="宋体"/>
          <w:color w:val="000000"/>
          <w:sz w:val="24"/>
          <w:szCs w:val="24"/>
        </w:rPr>
        <w:t>10</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15</w:t>
      </w:r>
      <w:r>
        <w:rPr>
          <w:rFonts w:hint="eastAsia" w:ascii="宋体" w:hAnsi="宋体"/>
          <w:color w:val="000000"/>
          <w:sz w:val="24"/>
          <w:szCs w:val="24"/>
        </w:rPr>
        <w:t>）《危险化学品名录》（</w:t>
      </w:r>
      <w:r>
        <w:rPr>
          <w:rFonts w:ascii="宋体" w:hAnsi="宋体"/>
          <w:color w:val="000000"/>
          <w:sz w:val="24"/>
          <w:szCs w:val="24"/>
        </w:rPr>
        <w:t>2016</w:t>
      </w:r>
      <w:r>
        <w:rPr>
          <w:rFonts w:hint="eastAsia" w:ascii="宋体" w:hAnsi="宋体"/>
          <w:color w:val="000000"/>
          <w:sz w:val="24"/>
          <w:szCs w:val="24"/>
        </w:rPr>
        <w:t>版）；</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16</w:t>
      </w:r>
      <w:r>
        <w:rPr>
          <w:rFonts w:hint="eastAsia" w:ascii="宋体" w:hAnsi="宋体"/>
          <w:color w:val="000000"/>
          <w:sz w:val="24"/>
          <w:szCs w:val="24"/>
        </w:rPr>
        <w:t>）《剧毒化学品名录》（国家安全生产监督管理局等</w:t>
      </w:r>
      <w:r>
        <w:rPr>
          <w:rFonts w:ascii="宋体" w:hAnsi="宋体"/>
          <w:color w:val="000000"/>
          <w:sz w:val="24"/>
          <w:szCs w:val="24"/>
        </w:rPr>
        <w:t>8</w:t>
      </w:r>
      <w:r>
        <w:rPr>
          <w:rFonts w:hint="eastAsia" w:ascii="宋体" w:hAnsi="宋体"/>
          <w:color w:val="000000"/>
          <w:sz w:val="24"/>
          <w:szCs w:val="24"/>
        </w:rPr>
        <w:t>部门公告</w:t>
      </w:r>
      <w:r>
        <w:rPr>
          <w:rFonts w:ascii="宋体" w:hAnsi="宋体"/>
          <w:color w:val="000000"/>
          <w:sz w:val="24"/>
          <w:szCs w:val="24"/>
        </w:rPr>
        <w:t>2003</w:t>
      </w:r>
      <w:r>
        <w:rPr>
          <w:rFonts w:hint="eastAsia" w:ascii="宋体" w:hAnsi="宋体"/>
          <w:color w:val="000000"/>
          <w:sz w:val="24"/>
          <w:szCs w:val="24"/>
        </w:rPr>
        <w:t>第</w:t>
      </w:r>
      <w:r>
        <w:rPr>
          <w:rFonts w:ascii="宋体" w:hAnsi="宋体"/>
          <w:color w:val="000000"/>
          <w:sz w:val="24"/>
          <w:szCs w:val="24"/>
        </w:rPr>
        <w:t>2</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17</w:t>
      </w:r>
      <w:r>
        <w:rPr>
          <w:rFonts w:hint="eastAsia" w:ascii="宋体" w:hAnsi="宋体"/>
          <w:color w:val="000000"/>
          <w:sz w:val="24"/>
          <w:szCs w:val="24"/>
        </w:rPr>
        <w:t>）《国家危险废物名录》（环境保护部令</w:t>
      </w:r>
      <w:r>
        <w:rPr>
          <w:rFonts w:ascii="宋体" w:hAnsi="宋体"/>
          <w:color w:val="000000"/>
          <w:sz w:val="24"/>
          <w:szCs w:val="24"/>
        </w:rPr>
        <w:t xml:space="preserve"> </w:t>
      </w:r>
      <w:r>
        <w:rPr>
          <w:rFonts w:hint="eastAsia" w:ascii="宋体" w:hAnsi="宋体"/>
          <w:color w:val="000000"/>
          <w:sz w:val="24"/>
          <w:szCs w:val="24"/>
        </w:rPr>
        <w:t>第</w:t>
      </w:r>
      <w:r>
        <w:rPr>
          <w:rFonts w:ascii="宋体" w:hAnsi="宋体"/>
          <w:color w:val="000000"/>
          <w:sz w:val="24"/>
          <w:szCs w:val="24"/>
        </w:rPr>
        <w:t>39</w:t>
      </w:r>
      <w:r>
        <w:rPr>
          <w:rFonts w:hint="eastAsia" w:ascii="宋体" w:hAnsi="宋体"/>
          <w:color w:val="000000"/>
          <w:sz w:val="24"/>
          <w:szCs w:val="24"/>
        </w:rPr>
        <w:t>号</w:t>
      </w:r>
      <w:r>
        <w:rPr>
          <w:rFonts w:ascii="宋体"/>
          <w:color w:val="000000"/>
          <w:sz w:val="24"/>
          <w:szCs w:val="24"/>
        </w:rPr>
        <w:t> </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18</w:t>
      </w:r>
      <w:r>
        <w:rPr>
          <w:rFonts w:hint="eastAsia" w:ascii="宋体" w:hAnsi="宋体"/>
          <w:color w:val="000000"/>
          <w:sz w:val="24"/>
          <w:szCs w:val="24"/>
        </w:rPr>
        <w:t>）《石油化工企业环境应急预案编制指南》（环办</w:t>
      </w:r>
      <w:r>
        <w:rPr>
          <w:rFonts w:ascii="宋体" w:hAnsi="宋体"/>
          <w:color w:val="000000"/>
          <w:sz w:val="24"/>
          <w:szCs w:val="24"/>
        </w:rPr>
        <w:t>[2010]10</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19</w:t>
      </w:r>
      <w:r>
        <w:rPr>
          <w:rFonts w:hint="eastAsia" w:ascii="宋体" w:hAnsi="宋体"/>
          <w:color w:val="000000"/>
          <w:sz w:val="24"/>
          <w:szCs w:val="24"/>
        </w:rPr>
        <w:t>）《危险化学品重大危险源辨识》（</w:t>
      </w:r>
      <w:r>
        <w:rPr>
          <w:rFonts w:ascii="宋体" w:hAnsi="宋体"/>
          <w:color w:val="000000"/>
          <w:sz w:val="24"/>
          <w:szCs w:val="24"/>
        </w:rPr>
        <w:t>GB18218-2014</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20</w:t>
      </w:r>
      <w:r>
        <w:rPr>
          <w:rFonts w:hint="eastAsia" w:ascii="宋体" w:hAnsi="宋体"/>
          <w:color w:val="000000"/>
          <w:sz w:val="24"/>
          <w:szCs w:val="24"/>
        </w:rPr>
        <w:t>）《建设项目环境风险评价技术导则》（</w:t>
      </w:r>
      <w:r>
        <w:rPr>
          <w:rFonts w:ascii="宋体" w:hAnsi="宋体"/>
          <w:color w:val="000000"/>
          <w:sz w:val="24"/>
          <w:szCs w:val="24"/>
        </w:rPr>
        <w:t>HJ/T169-2004</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21</w:t>
      </w:r>
      <w:r>
        <w:rPr>
          <w:rFonts w:hint="eastAsia" w:ascii="宋体" w:hAnsi="宋体"/>
          <w:color w:val="000000"/>
          <w:sz w:val="24"/>
          <w:szCs w:val="24"/>
        </w:rPr>
        <w:t>）《建设项目环境影响评价分类管理名录》（中华人民共和国环境保护部令第</w:t>
      </w:r>
      <w:r>
        <w:rPr>
          <w:rFonts w:ascii="宋体" w:hAnsi="宋体"/>
          <w:color w:val="000000"/>
          <w:sz w:val="24"/>
          <w:szCs w:val="24"/>
        </w:rPr>
        <w:t>33</w:t>
      </w:r>
      <w:r>
        <w:rPr>
          <w:rFonts w:hint="eastAsia" w:ascii="宋体" w:hAnsi="宋体"/>
          <w:color w:val="000000"/>
          <w:sz w:val="24"/>
          <w:szCs w:val="24"/>
        </w:rPr>
        <w:t>号）；</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22</w:t>
      </w:r>
      <w:r>
        <w:rPr>
          <w:rFonts w:hint="eastAsia" w:ascii="宋体" w:hAnsi="宋体"/>
          <w:color w:val="000000"/>
          <w:sz w:val="24"/>
          <w:szCs w:val="24"/>
        </w:rPr>
        <w:t>）《地表水环境质量标准》（</w:t>
      </w:r>
      <w:r>
        <w:rPr>
          <w:rFonts w:ascii="宋体" w:hAnsi="宋体"/>
          <w:color w:val="000000"/>
          <w:sz w:val="24"/>
          <w:szCs w:val="24"/>
        </w:rPr>
        <w:t>GB3838-2002</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23</w:t>
      </w:r>
      <w:r>
        <w:rPr>
          <w:rFonts w:hint="eastAsia" w:ascii="宋体" w:hAnsi="宋体"/>
          <w:color w:val="000000"/>
          <w:sz w:val="24"/>
          <w:szCs w:val="24"/>
        </w:rPr>
        <w:t>）《环境空气质量标准》（</w:t>
      </w:r>
      <w:r>
        <w:rPr>
          <w:rFonts w:ascii="宋体" w:hAnsi="宋体"/>
          <w:color w:val="000000"/>
          <w:sz w:val="24"/>
          <w:szCs w:val="24"/>
        </w:rPr>
        <w:t>GB3095-2012</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24</w:t>
      </w:r>
      <w:r>
        <w:rPr>
          <w:rFonts w:hint="eastAsia" w:ascii="宋体" w:hAnsi="宋体"/>
          <w:color w:val="000000"/>
          <w:sz w:val="24"/>
          <w:szCs w:val="24"/>
        </w:rPr>
        <w:t>）《重庆市大气污染物综合排放标准》（</w:t>
      </w:r>
      <w:r>
        <w:rPr>
          <w:rFonts w:ascii="宋体" w:hAnsi="宋体"/>
          <w:color w:val="000000"/>
          <w:sz w:val="24"/>
          <w:szCs w:val="24"/>
        </w:rPr>
        <w:t>DB 50/418-2016</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25</w:t>
      </w:r>
      <w:r>
        <w:rPr>
          <w:rFonts w:hint="eastAsia" w:ascii="宋体" w:hAnsi="宋体"/>
          <w:color w:val="000000"/>
          <w:sz w:val="24"/>
          <w:szCs w:val="24"/>
        </w:rPr>
        <w:t>）《污水综合排放标准》（</w:t>
      </w:r>
      <w:r>
        <w:rPr>
          <w:rFonts w:ascii="宋体" w:hAnsi="宋体"/>
          <w:color w:val="000000"/>
          <w:sz w:val="24"/>
          <w:szCs w:val="24"/>
        </w:rPr>
        <w:t>GB8978-1996</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26</w:t>
      </w:r>
      <w:r>
        <w:rPr>
          <w:rFonts w:hint="eastAsia" w:ascii="宋体" w:hAnsi="宋体"/>
          <w:color w:val="000000"/>
          <w:sz w:val="24"/>
          <w:szCs w:val="24"/>
        </w:rPr>
        <w:t>）《工作场所有害因素职业接触限值化学有害因素》（</w:t>
      </w:r>
      <w:r>
        <w:rPr>
          <w:rFonts w:ascii="宋体" w:hAnsi="宋体"/>
          <w:color w:val="000000"/>
          <w:sz w:val="24"/>
          <w:szCs w:val="24"/>
        </w:rPr>
        <w:t>GBZ2.1-2007</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27</w:t>
      </w:r>
      <w:r>
        <w:rPr>
          <w:rFonts w:hint="eastAsia" w:ascii="宋体" w:hAnsi="宋体"/>
          <w:color w:val="000000"/>
          <w:sz w:val="24"/>
          <w:szCs w:val="24"/>
        </w:rPr>
        <w:t>）《工作场所有害因素职业接触限值物理因素》（</w:t>
      </w:r>
      <w:r>
        <w:rPr>
          <w:rFonts w:ascii="宋体" w:hAnsi="宋体"/>
          <w:color w:val="000000"/>
          <w:sz w:val="24"/>
          <w:szCs w:val="24"/>
        </w:rPr>
        <w:t>GBZ2.2-2007</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28</w:t>
      </w:r>
      <w:r>
        <w:rPr>
          <w:rFonts w:hint="eastAsia" w:ascii="宋体" w:hAnsi="宋体"/>
          <w:color w:val="000000"/>
          <w:sz w:val="24"/>
          <w:szCs w:val="24"/>
        </w:rPr>
        <w:t>）《恶臭污染物排放标准》（</w:t>
      </w:r>
      <w:r>
        <w:rPr>
          <w:rFonts w:ascii="宋体" w:hAnsi="宋体"/>
          <w:color w:val="000000"/>
          <w:sz w:val="24"/>
          <w:szCs w:val="24"/>
        </w:rPr>
        <w:t>GB14554</w:t>
      </w:r>
      <w:r>
        <w:rPr>
          <w:rFonts w:hint="eastAsia" w:ascii="宋体" w:hAnsi="宋体"/>
          <w:color w:val="000000"/>
          <w:sz w:val="24"/>
          <w:szCs w:val="24"/>
        </w:rPr>
        <w:t>－</w:t>
      </w:r>
      <w:r>
        <w:rPr>
          <w:rFonts w:ascii="宋体" w:hAnsi="宋体"/>
          <w:color w:val="000000"/>
          <w:sz w:val="24"/>
          <w:szCs w:val="24"/>
        </w:rPr>
        <w:t>93</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29</w:t>
      </w:r>
      <w:r>
        <w:rPr>
          <w:rFonts w:hint="eastAsia" w:ascii="宋体" w:hAnsi="宋体"/>
          <w:color w:val="000000"/>
          <w:sz w:val="24"/>
          <w:szCs w:val="24"/>
        </w:rPr>
        <w:t>）《工业企业设计卫生标准》（</w:t>
      </w:r>
      <w:r>
        <w:rPr>
          <w:rFonts w:ascii="宋体" w:hAnsi="宋体"/>
          <w:color w:val="000000"/>
          <w:sz w:val="24"/>
          <w:szCs w:val="24"/>
        </w:rPr>
        <w:t>GBZ1-2010</w:t>
      </w:r>
      <w:r>
        <w:rPr>
          <w:rFonts w:hint="eastAsia" w:ascii="宋体" w:hAnsi="宋体"/>
          <w:color w:val="000000"/>
          <w:sz w:val="24"/>
          <w:szCs w:val="24"/>
        </w:rPr>
        <w:t>）；</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30</w:t>
      </w:r>
      <w:r>
        <w:rPr>
          <w:rFonts w:hint="eastAsia" w:ascii="宋体" w:hAnsi="宋体"/>
          <w:color w:val="000000"/>
          <w:sz w:val="24"/>
          <w:szCs w:val="24"/>
        </w:rPr>
        <w:t>）《重庆三峡库区流域水环境突发公共事件应急预案》；</w:t>
      </w:r>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31</w:t>
      </w:r>
      <w:r>
        <w:rPr>
          <w:rFonts w:hint="eastAsia" w:ascii="宋体" w:hAnsi="宋体"/>
          <w:color w:val="000000"/>
          <w:sz w:val="24"/>
          <w:szCs w:val="24"/>
        </w:rPr>
        <w:t>）《重庆市环境保护系统突发环境事件应急处理暂行办法》；</w:t>
      </w:r>
    </w:p>
    <w:p>
      <w:pPr>
        <w:adjustRightInd w:val="0"/>
        <w:snapToGrid w:val="0"/>
        <w:spacing w:line="360" w:lineRule="auto"/>
        <w:ind w:firstLine="480" w:firstLineChars="200"/>
        <w:jc w:val="left"/>
        <w:textAlignment w:val="center"/>
        <w:rPr>
          <w:rFonts w:hint="eastAsia" w:ascii="宋体" w:hAnsi="宋体"/>
          <w:b/>
          <w:bCs/>
          <w:sz w:val="32"/>
          <w:szCs w:val="32"/>
        </w:rPr>
      </w:pPr>
      <w:r>
        <w:rPr>
          <w:rFonts w:hint="eastAsia" w:ascii="宋体" w:hAnsi="宋体"/>
          <w:color w:val="000000"/>
          <w:sz w:val="24"/>
          <w:szCs w:val="24"/>
        </w:rPr>
        <w:t>其他相关的法律、法规、规章及公司相关的安评、环评报告等。</w:t>
      </w:r>
      <w:r>
        <w:rPr>
          <w:rFonts w:ascii="宋体" w:hAnsi="宋体"/>
          <w:color w:val="000000"/>
          <w:sz w:val="24"/>
          <w:szCs w:val="24"/>
        </w:rPr>
        <w:t xml:space="preserve">    </w:t>
      </w:r>
      <w:r>
        <w:rPr>
          <w:rFonts w:ascii="宋体" w:hAnsi="宋体"/>
          <w:b/>
          <w:bCs/>
          <w:sz w:val="32"/>
          <w:szCs w:val="32"/>
        </w:rPr>
        <w:t xml:space="preserve">   </w:t>
      </w:r>
    </w:p>
    <w:p>
      <w:pPr>
        <w:adjustRightInd w:val="0"/>
        <w:snapToGrid w:val="0"/>
        <w:spacing w:line="460" w:lineRule="exact"/>
        <w:outlineLvl w:val="1"/>
        <w:rPr>
          <w:rFonts w:hint="eastAsia"/>
          <w:b/>
          <w:color w:val="000000"/>
          <w:sz w:val="26"/>
          <w:szCs w:val="26"/>
          <w:lang w:val="zh-CN"/>
        </w:rPr>
      </w:pPr>
      <w:bookmarkStart w:id="83" w:name="_Toc8333"/>
      <w:r>
        <w:rPr>
          <w:rFonts w:hint="eastAsia"/>
          <w:b/>
          <w:color w:val="000000"/>
          <w:sz w:val="26"/>
          <w:szCs w:val="26"/>
          <w:lang w:val="zh-CN"/>
        </w:rPr>
        <w:t>1.3 适用范围</w:t>
      </w:r>
      <w:bookmarkEnd w:id="83"/>
    </w:p>
    <w:p>
      <w:pPr>
        <w:spacing w:line="460" w:lineRule="exact"/>
        <w:ind w:firstLine="360" w:firstLineChars="150"/>
        <w:rPr>
          <w:rFonts w:ascii="宋体" w:cs="仿宋_GB2312"/>
        </w:rPr>
      </w:pPr>
      <w:r>
        <w:rPr>
          <w:rFonts w:hint="eastAsia" w:ascii="宋体" w:hAnsi="宋体"/>
          <w:color w:val="000000"/>
          <w:sz w:val="24"/>
          <w:szCs w:val="24"/>
        </w:rPr>
        <w:t>本预案适用于</w:t>
      </w:r>
      <w:r>
        <w:rPr>
          <w:rFonts w:hint="eastAsia" w:ascii="宋体" w:hAnsi="宋体" w:cs="仿宋_GB2312"/>
          <w:sz w:val="24"/>
          <w:szCs w:val="24"/>
        </w:rPr>
        <w:t>重庆市涪陵区拓源污水治理有限公司</w:t>
      </w:r>
      <w:r>
        <w:rPr>
          <w:rFonts w:hint="eastAsia" w:ascii="宋体" w:hAnsi="宋体"/>
          <w:sz w:val="24"/>
          <w:szCs w:val="24"/>
        </w:rPr>
        <w:t>百胜榨菜污水处理厂范围内所发生的突发环境事件的</w:t>
      </w:r>
      <w:r>
        <w:rPr>
          <w:rFonts w:hint="eastAsia" w:ascii="宋体" w:hAnsi="宋体"/>
          <w:bCs/>
          <w:color w:val="000000"/>
          <w:sz w:val="24"/>
          <w:szCs w:val="24"/>
        </w:rPr>
        <w:t>预</w:t>
      </w:r>
      <w:r>
        <w:rPr>
          <w:rFonts w:hint="eastAsia" w:ascii="宋体" w:hAnsi="宋体"/>
          <w:color w:val="000000"/>
          <w:sz w:val="24"/>
          <w:szCs w:val="24"/>
        </w:rPr>
        <w:t>警、应急处置和救援工作，包括污染物超标排放或者自然灾害、生产安全事故因素，导致有毒有害物质进入大气、土壤、水体等环境介质突然造成或者可能造成环境质量下降，危及公众身体健康和财产安全，或造成生态环境破坏，或者重大社会影响，需要采取紧急措施予以应对的事件。</w:t>
      </w:r>
    </w:p>
    <w:p>
      <w:pPr>
        <w:adjustRightInd w:val="0"/>
        <w:snapToGrid w:val="0"/>
        <w:spacing w:line="460" w:lineRule="exact"/>
        <w:outlineLvl w:val="1"/>
        <w:rPr>
          <w:rFonts w:hint="eastAsia"/>
          <w:b/>
          <w:color w:val="000000"/>
          <w:sz w:val="26"/>
          <w:szCs w:val="26"/>
          <w:lang w:val="zh-CN"/>
        </w:rPr>
      </w:pPr>
      <w:bookmarkStart w:id="84" w:name="_Toc7053"/>
      <w:r>
        <w:rPr>
          <w:rFonts w:hint="eastAsia"/>
          <w:b/>
          <w:color w:val="000000"/>
          <w:sz w:val="26"/>
          <w:szCs w:val="26"/>
          <w:lang w:val="zh-CN"/>
        </w:rPr>
        <w:t>1.4应急预案体系</w:t>
      </w:r>
      <w:bookmarkEnd w:id="84"/>
    </w:p>
    <w:p>
      <w:pPr>
        <w:adjustRightInd w:val="0"/>
        <w:snapToGrid w:val="0"/>
        <w:spacing w:line="460" w:lineRule="exact"/>
        <w:ind w:firstLine="480" w:firstLineChars="200"/>
        <w:jc w:val="left"/>
        <w:textAlignment w:val="center"/>
        <w:rPr>
          <w:rFonts w:hint="eastAsia" w:ascii="宋体" w:hAnsi="宋体"/>
          <w:color w:val="000000"/>
          <w:sz w:val="24"/>
          <w:szCs w:val="24"/>
        </w:rPr>
      </w:pPr>
      <w:r>
        <w:rPr>
          <w:rFonts w:hint="eastAsia" w:ascii="宋体" w:hAnsi="宋体"/>
          <w:color w:val="000000"/>
          <w:sz w:val="24"/>
          <w:szCs w:val="24"/>
        </w:rPr>
        <w:t>当厂区风险事故不涉及企业大范围及单位周边，车间能控制事态及有效进行应急处置，按本公司现场处置方案</w:t>
      </w:r>
      <w:r>
        <w:rPr>
          <w:rFonts w:hint="eastAsia" w:ascii="宋体" w:hAnsi="宋体"/>
          <w:color w:val="000000"/>
          <w:sz w:val="24"/>
          <w:szCs w:val="24"/>
        </w:rPr>
        <w:t>进行处理；当厂区风险已蔓延到事故车间无法控制但未波及单位周边，此时按重庆市涪陵区拓源污水治理有限公司百胜榨菜废水集中处理厂综合预案</w:t>
      </w:r>
      <w:r>
        <w:rPr>
          <w:rFonts w:hint="eastAsia" w:ascii="宋体" w:hAnsi="宋体"/>
          <w:color w:val="000000"/>
          <w:sz w:val="24"/>
          <w:szCs w:val="24"/>
        </w:rPr>
        <w:t>进行处理；当厂区风险波及单位周边；本单位无力控制事态及有效进行应急处置时，立即启动百胜镇应急预案或立即报告涪陵区百胜政府部门进行处置。</w:t>
      </w:r>
    </w:p>
    <w:p>
      <w:pPr>
        <w:adjustRightInd w:val="0"/>
        <w:snapToGrid w:val="0"/>
        <w:spacing w:line="460" w:lineRule="exact"/>
        <w:ind w:firstLine="480" w:firstLineChars="200"/>
        <w:jc w:val="left"/>
        <w:textAlignment w:val="center"/>
        <w:rPr>
          <w:rFonts w:hint="eastAsia" w:ascii="宋体" w:hAnsi="宋体"/>
          <w:color w:val="000000"/>
          <w:sz w:val="24"/>
          <w:szCs w:val="24"/>
        </w:rPr>
      </w:pPr>
    </w:p>
    <w:p>
      <w:pPr>
        <w:adjustRightInd w:val="0"/>
        <w:snapToGrid w:val="0"/>
        <w:spacing w:line="460" w:lineRule="exact"/>
        <w:ind w:firstLine="480" w:firstLineChars="200"/>
        <w:jc w:val="left"/>
        <w:textAlignment w:val="center"/>
        <w:rPr>
          <w:rFonts w:hint="eastAsia" w:ascii="宋体" w:hAnsi="宋体"/>
          <w:color w:val="000000"/>
          <w:sz w:val="24"/>
          <w:szCs w:val="24"/>
        </w:rPr>
      </w:pPr>
    </w:p>
    <w:p>
      <w:pPr>
        <w:adjustRightInd w:val="0"/>
        <w:snapToGrid w:val="0"/>
        <w:spacing w:line="460" w:lineRule="exact"/>
        <w:ind w:firstLine="480" w:firstLineChars="200"/>
        <w:jc w:val="left"/>
        <w:textAlignment w:val="center"/>
        <w:rPr>
          <w:rFonts w:hint="eastAsia" w:ascii="宋体" w:hAnsi="宋体"/>
          <w:color w:val="000000"/>
          <w:sz w:val="24"/>
          <w:szCs w:val="24"/>
        </w:rPr>
      </w:pPr>
    </w:p>
    <w:p>
      <w:pPr>
        <w:adjustRightInd w:val="0"/>
        <w:snapToGrid w:val="0"/>
        <w:spacing w:line="460" w:lineRule="exact"/>
        <w:ind w:firstLine="480" w:firstLineChars="200"/>
        <w:jc w:val="left"/>
        <w:textAlignment w:val="center"/>
        <w:rPr>
          <w:rFonts w:ascii="宋体"/>
          <w:color w:val="000000"/>
          <w:sz w:val="24"/>
          <w:szCs w:val="24"/>
        </w:rPr>
      </w:pPr>
      <w:r>
        <w:pict>
          <v:rect id="Rectangle 606" o:spid="_x0000_s1027" o:spt="1" style="position:absolute;left:0pt;margin-left:80.2pt;margin-top:17.2pt;height:34pt;width:270pt;z-index:251653120;mso-width-relative:page;mso-height-relative:page;" coordsize="21600,21600">
            <v:path/>
            <v:fill focussize="0,0"/>
            <v:stroke/>
            <v:imagedata o:title=""/>
            <o:lock v:ext="edit"/>
            <v:textbox>
              <w:txbxContent>
                <w:p>
                  <w:pPr>
                    <w:jc w:val="center"/>
                    <w:rPr>
                      <w:rFonts w:ascii="宋体"/>
                      <w:sz w:val="24"/>
                      <w:szCs w:val="24"/>
                    </w:rPr>
                  </w:pPr>
                  <w:r>
                    <w:rPr>
                      <w:rFonts w:hint="eastAsia" w:ascii="宋体" w:hAnsi="宋体"/>
                      <w:sz w:val="24"/>
                      <w:szCs w:val="24"/>
                    </w:rPr>
                    <w:t>涪陵区生产安全事故应急处理预案</w:t>
                  </w:r>
                </w:p>
              </w:txbxContent>
            </v:textbox>
          </v:rect>
        </w:pict>
      </w:r>
    </w:p>
    <w:p>
      <w:pPr>
        <w:tabs>
          <w:tab w:val="left" w:pos="2310"/>
        </w:tabs>
        <w:adjustRightInd w:val="0"/>
        <w:snapToGrid w:val="0"/>
        <w:spacing w:line="440" w:lineRule="exact"/>
        <w:ind w:firstLine="420" w:firstLineChars="200"/>
        <w:jc w:val="left"/>
        <w:textAlignment w:val="center"/>
        <w:rPr>
          <w:rFonts w:ascii="宋体"/>
          <w:color w:val="000000"/>
          <w:sz w:val="24"/>
          <w:szCs w:val="24"/>
        </w:rPr>
      </w:pPr>
      <w:r>
        <w:rPr>
          <w:rFonts w:ascii="宋体"/>
          <w:color w:val="000000"/>
          <w:sz w:val="24"/>
          <w:szCs w:val="24"/>
        </w:rPr>
        <w:tab/>
      </w:r>
    </w:p>
    <w:p>
      <w:pPr>
        <w:spacing w:afterLines="150" w:line="560" w:lineRule="exact"/>
        <w:ind w:firstLine="420" w:firstLineChars="200"/>
        <w:rPr>
          <w:rFonts w:ascii="宋体"/>
          <w:color w:val="000000"/>
          <w:sz w:val="24"/>
          <w:szCs w:val="24"/>
        </w:rPr>
      </w:pPr>
      <w:r>
        <w:pict>
          <v:line id="Line 607" o:spid="_x0000_s1028" o:spt="20" style="position:absolute;left:0pt;flip:x y;margin-left:215.35pt;margin-top:9.95pt;height:39pt;width:0pt;z-index:251654144;mso-width-relative:page;mso-height-relative:page;" coordsize="21600,21600">
            <v:path arrowok="t"/>
            <v:fill focussize="0,0"/>
            <v:stroke endarrow="block"/>
            <v:imagedata o:title=""/>
            <o:lock v:ext="edit"/>
          </v:line>
        </w:pict>
      </w:r>
    </w:p>
    <w:p>
      <w:pPr>
        <w:spacing w:line="600" w:lineRule="exact"/>
        <w:rPr>
          <w:rFonts w:ascii="宋体"/>
          <w:color w:val="000000"/>
          <w:sz w:val="24"/>
          <w:szCs w:val="24"/>
        </w:rPr>
      </w:pPr>
      <w:r>
        <w:pict>
          <v:rect id="Rectangle 605" o:spid="_x0000_s1029" o:spt="1" style="position:absolute;left:0pt;margin-left:69.5pt;margin-top:2.95pt;height:30.15pt;width:291.95pt;z-index:251655168;mso-width-relative:page;mso-height-relative:page;" coordsize="21600,21600">
            <v:path/>
            <v:fill focussize="0,0"/>
            <v:stroke/>
            <v:imagedata o:title=""/>
            <o:lock v:ext="edit"/>
            <v:textbox>
              <w:txbxContent>
                <w:p>
                  <w:pPr>
                    <w:jc w:val="center"/>
                    <w:rPr>
                      <w:rFonts w:ascii="宋体"/>
                      <w:sz w:val="24"/>
                      <w:szCs w:val="24"/>
                    </w:rPr>
                  </w:pPr>
                  <w:r>
                    <w:rPr>
                      <w:rFonts w:hint="eastAsia" w:ascii="宋体" w:hAnsi="宋体" w:cs="Arial"/>
                      <w:sz w:val="24"/>
                      <w:szCs w:val="24"/>
                    </w:rPr>
                    <w:t>涪陵区百胜镇</w:t>
                  </w:r>
                  <w:r>
                    <w:rPr>
                      <w:rFonts w:hint="eastAsia" w:ascii="宋体" w:hAnsi="宋体"/>
                      <w:sz w:val="24"/>
                      <w:szCs w:val="24"/>
                    </w:rPr>
                    <w:t>生产安全事故综合应急预案</w:t>
                  </w:r>
                </w:p>
              </w:txbxContent>
            </v:textbox>
          </v:rect>
        </w:pict>
      </w:r>
    </w:p>
    <w:p>
      <w:pPr>
        <w:spacing w:line="600" w:lineRule="exact"/>
        <w:rPr>
          <w:rFonts w:ascii="宋体"/>
          <w:color w:val="000000"/>
          <w:sz w:val="24"/>
          <w:szCs w:val="24"/>
        </w:rPr>
      </w:pPr>
      <w:r>
        <w:pict>
          <v:line id="Line 609" o:spid="_x0000_s1030" o:spt="20" style="position:absolute;left:0pt;flip:y;margin-left:215.35pt;margin-top:3.1pt;height:42.25pt;width:0pt;z-index:251656192;mso-width-relative:page;mso-height-relative:page;" coordsize="21600,21600">
            <v:path arrowok="t"/>
            <v:fill focussize="0,0"/>
            <v:stroke endarrow="block"/>
            <v:imagedata o:title=""/>
            <o:lock v:ext="edit"/>
          </v:line>
        </w:pict>
      </w:r>
    </w:p>
    <w:p>
      <w:pPr>
        <w:spacing w:line="600" w:lineRule="exact"/>
        <w:rPr>
          <w:rFonts w:ascii="宋体"/>
          <w:color w:val="000000"/>
          <w:sz w:val="24"/>
          <w:szCs w:val="24"/>
        </w:rPr>
      </w:pPr>
      <w:r>
        <w:pict>
          <v:shape id="AutoShape 602" o:spid="_x0000_s1031" o:spt="109" type="#_x0000_t109" style="position:absolute;left:0pt;margin-left:80.6pt;margin-top:20.1pt;height:37.3pt;width:270pt;z-index:251657216;mso-width-relative:page;mso-height-relative:page;" coordsize="21600,21600">
            <v:path/>
            <v:fill focussize="0,0"/>
            <v:stroke joinstyle="miter"/>
            <v:imagedata o:title=""/>
            <o:lock v:ext="edit"/>
            <v:textbox>
              <w:txbxContent>
                <w:p>
                  <w:pPr>
                    <w:rPr>
                      <w:rFonts w:ascii="宋体" w:cs="Arial"/>
                      <w:sz w:val="24"/>
                      <w:szCs w:val="24"/>
                    </w:rPr>
                  </w:pPr>
                  <w:r>
                    <w:rPr>
                      <w:rFonts w:hint="eastAsia" w:ascii="仿宋_GB2312" w:hAnsi="宋体" w:cs="仿宋_GB2312"/>
                      <w:sz w:val="24"/>
                      <w:szCs w:val="24"/>
                    </w:rPr>
                    <w:t>重庆市涪陵区拓源污水治理有限公司</w:t>
                  </w:r>
                  <w:r>
                    <w:rPr>
                      <w:rFonts w:hint="eastAsia" w:ascii="宋体" w:hAnsi="宋体"/>
                      <w:sz w:val="24"/>
                      <w:szCs w:val="24"/>
                    </w:rPr>
                    <w:t>百胜榨菜废水集中处理厂</w:t>
                  </w:r>
                  <w:r>
                    <w:rPr>
                      <w:rFonts w:hint="eastAsia" w:ascii="宋体" w:hAnsi="宋体" w:cs="Arial"/>
                      <w:sz w:val="24"/>
                      <w:szCs w:val="24"/>
                    </w:rPr>
                    <w:t>生产安全事故综合应急预案</w:t>
                  </w:r>
                </w:p>
              </w:txbxContent>
            </v:textbox>
          </v:shape>
        </w:pict>
      </w:r>
    </w:p>
    <w:p>
      <w:pPr>
        <w:spacing w:beforeLines="50" w:afterLines="50" w:line="560" w:lineRule="exact"/>
        <w:rPr>
          <w:rFonts w:ascii="宋体"/>
          <w:color w:val="000000"/>
          <w:sz w:val="24"/>
          <w:szCs w:val="24"/>
        </w:rPr>
      </w:pPr>
      <w:r>
        <w:pict>
          <v:line id="Line 952" o:spid="_x0000_s1032" o:spt="20" style="position:absolute;left:0pt;flip:x y;margin-left:215.35pt;margin-top:26.6pt;height:42.5pt;width:0pt;z-index:251658240;mso-width-relative:page;mso-height-relative:page;" coordsize="21600,21600">
            <v:path arrowok="t"/>
            <v:fill focussize="0,0"/>
            <v:stroke endarrow="block"/>
            <v:imagedata o:title=""/>
            <o:lock v:ext="edit"/>
          </v:line>
        </w:pict>
      </w:r>
    </w:p>
    <w:p>
      <w:pPr>
        <w:spacing w:beforeLines="50" w:afterLines="50" w:line="560" w:lineRule="exact"/>
        <w:rPr>
          <w:rFonts w:ascii="宋体"/>
          <w:color w:val="000000"/>
          <w:sz w:val="24"/>
          <w:szCs w:val="24"/>
        </w:rPr>
      </w:pPr>
      <w:r>
        <w:pict>
          <v:shape id="AutoShape 951" o:spid="_x0000_s1033" o:spt="109" type="#_x0000_t109" style="position:absolute;left:0pt;margin-left:199.7pt;margin-top:-66.35pt;height:219.75pt;width:29.75pt;rotation:5898240f;z-index:251659264;mso-width-relative:page;mso-height-relative:page;" coordsize="21600,21600">
            <v:path/>
            <v:fill focussize="0,0"/>
            <v:stroke joinstyle="miter"/>
            <v:imagedata o:title=""/>
            <o:lock v:ext="edit"/>
            <v:textbox>
              <w:txbxContent>
                <w:p>
                  <w:pPr>
                    <w:jc w:val="center"/>
                    <w:rPr>
                      <w:rFonts w:ascii="宋体"/>
                      <w:sz w:val="24"/>
                      <w:szCs w:val="24"/>
                    </w:rPr>
                  </w:pPr>
                  <w:r>
                    <w:rPr>
                      <w:rFonts w:hint="eastAsia" w:ascii="宋体" w:hAnsi="宋体"/>
                      <w:sz w:val="24"/>
                      <w:szCs w:val="24"/>
                    </w:rPr>
                    <w:t>现场处置方案</w:t>
                  </w:r>
                </w:p>
              </w:txbxContent>
            </v:textbox>
          </v:shape>
        </w:pict>
      </w:r>
    </w:p>
    <w:p>
      <w:pPr>
        <w:spacing w:line="600" w:lineRule="exact"/>
        <w:rPr>
          <w:rFonts w:ascii="宋体"/>
          <w:color w:val="000000"/>
          <w:sz w:val="28"/>
          <w:szCs w:val="28"/>
        </w:rPr>
      </w:pPr>
    </w:p>
    <w:p>
      <w:pPr>
        <w:adjustRightInd w:val="0"/>
        <w:snapToGrid w:val="0"/>
        <w:spacing w:line="360" w:lineRule="auto"/>
        <w:jc w:val="center"/>
        <w:textAlignment w:val="center"/>
        <w:rPr>
          <w:rFonts w:ascii="宋体" w:hAnsi="宋体"/>
          <w:b/>
          <w:bCs/>
          <w:color w:val="000000"/>
          <w:sz w:val="28"/>
          <w:szCs w:val="32"/>
        </w:rPr>
      </w:pPr>
      <w:bookmarkStart w:id="85" w:name="_Toc408274426"/>
      <w:bookmarkStart w:id="86" w:name="_Toc262051528"/>
      <w:bookmarkStart w:id="87" w:name="_Toc198355312"/>
      <w:bookmarkStart w:id="88" w:name="_Toc304833224"/>
      <w:bookmarkStart w:id="89" w:name="_Toc304962947"/>
      <w:bookmarkStart w:id="90" w:name="_Toc6123"/>
      <w:bookmarkStart w:id="91" w:name="_Toc229283963"/>
      <w:bookmarkStart w:id="92" w:name="_Toc196018628"/>
      <w:bookmarkStart w:id="93" w:name="_Toc183339214"/>
      <w:bookmarkStart w:id="94" w:name="_Toc184809541"/>
      <w:bookmarkStart w:id="95" w:name="_Toc336326841"/>
      <w:bookmarkStart w:id="96" w:name="_Toc336327119"/>
      <w:bookmarkStart w:id="97" w:name="_Toc387131418"/>
      <w:bookmarkStart w:id="98" w:name="_Toc387131492"/>
      <w:bookmarkStart w:id="99" w:name="_Toc304964434"/>
      <w:bookmarkStart w:id="100" w:name="_Toc196018533"/>
      <w:bookmarkStart w:id="101" w:name="_Toc179794535"/>
      <w:bookmarkStart w:id="102" w:name="_Toc304963591"/>
      <w:bookmarkStart w:id="103" w:name="_Toc198007327"/>
      <w:bookmarkStart w:id="104" w:name="_Toc196018424"/>
      <w:bookmarkStart w:id="105" w:name="_Toc184808754"/>
      <w:bookmarkStart w:id="106" w:name="_Toc262050857"/>
      <w:bookmarkStart w:id="107" w:name="_Toc387131749"/>
      <w:bookmarkStart w:id="108" w:name="_Toc262051107"/>
      <w:bookmarkStart w:id="109" w:name="_Toc183339490"/>
      <w:bookmarkStart w:id="110" w:name="_Toc197251332"/>
      <w:bookmarkStart w:id="111" w:name="_Toc262040267"/>
      <w:bookmarkStart w:id="112" w:name="_Toc185670974"/>
      <w:bookmarkStart w:id="113" w:name="_Toc415254533"/>
      <w:r>
        <w:rPr>
          <w:rFonts w:hint="eastAsia" w:ascii="宋体" w:hAnsi="宋体"/>
          <w:color w:val="000000"/>
          <w:sz w:val="24"/>
          <w:szCs w:val="24"/>
        </w:rPr>
        <w:t>图</w:t>
      </w:r>
      <w:r>
        <w:rPr>
          <w:rFonts w:ascii="宋体" w:hAnsi="宋体"/>
          <w:color w:val="000000"/>
          <w:sz w:val="24"/>
          <w:szCs w:val="24"/>
        </w:rPr>
        <w:t xml:space="preserve">1-1 </w:t>
      </w:r>
      <w:r>
        <w:rPr>
          <w:rFonts w:hint="eastAsia" w:ascii="宋体" w:hAnsi="宋体"/>
          <w:color w:val="000000"/>
          <w:sz w:val="24"/>
          <w:szCs w:val="24"/>
        </w:rPr>
        <w:t>应急预案体系图</w:t>
      </w:r>
    </w:p>
    <w:p>
      <w:pPr>
        <w:adjustRightInd w:val="0"/>
        <w:snapToGrid w:val="0"/>
        <w:spacing w:line="460" w:lineRule="exact"/>
        <w:outlineLvl w:val="1"/>
        <w:rPr>
          <w:rFonts w:hint="eastAsia"/>
          <w:b/>
          <w:color w:val="000000"/>
          <w:sz w:val="26"/>
          <w:szCs w:val="26"/>
          <w:lang w:val="zh-CN"/>
        </w:rPr>
      </w:pPr>
      <w:bookmarkStart w:id="114" w:name="_Toc15360"/>
      <w:r>
        <w:rPr>
          <w:rFonts w:hint="eastAsia"/>
          <w:b/>
          <w:color w:val="000000"/>
          <w:sz w:val="26"/>
          <w:szCs w:val="26"/>
          <w:lang w:val="zh-CN"/>
        </w:rPr>
        <w:t>1.5应急工作原则</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Start w:id="115" w:name="_Toc185670975"/>
      <w:bookmarkStart w:id="116" w:name="_Toc183339491"/>
      <w:bookmarkStart w:id="117" w:name="_Toc196018534"/>
      <w:bookmarkStart w:id="118" w:name="_Toc304962948"/>
      <w:bookmarkStart w:id="119" w:name="_Toc262051108"/>
      <w:bookmarkStart w:id="120" w:name="_Toc262050858"/>
      <w:bookmarkStart w:id="121" w:name="_Toc198007328"/>
      <w:bookmarkStart w:id="122" w:name="_Toc229283964"/>
      <w:bookmarkStart w:id="123" w:name="_Toc336327120"/>
      <w:bookmarkStart w:id="124" w:name="_Toc196018425"/>
      <w:bookmarkStart w:id="125" w:name="_Toc415254534"/>
      <w:bookmarkStart w:id="126" w:name="_Toc387131750"/>
      <w:bookmarkStart w:id="127" w:name="_Toc196018629"/>
      <w:bookmarkStart w:id="128" w:name="_Toc197251333"/>
      <w:bookmarkStart w:id="129" w:name="_Toc304964435"/>
      <w:bookmarkStart w:id="130" w:name="_Toc183339215"/>
      <w:bookmarkStart w:id="131" w:name="_Toc387131493"/>
      <w:bookmarkStart w:id="132" w:name="_Toc304963592"/>
      <w:bookmarkStart w:id="133" w:name="_Toc184809542"/>
      <w:bookmarkStart w:id="134" w:name="_Toc184808755"/>
      <w:bookmarkStart w:id="135" w:name="_Toc262040268"/>
      <w:bookmarkStart w:id="136" w:name="_Toc336326842"/>
      <w:bookmarkStart w:id="137" w:name="_Toc387131419"/>
      <w:bookmarkStart w:id="138" w:name="_Toc262051529"/>
      <w:bookmarkStart w:id="139" w:name="_Toc198355313"/>
      <w:bookmarkStart w:id="140" w:name="_Toc408274427"/>
      <w:bookmarkStart w:id="141" w:name="_Toc304833225"/>
    </w:p>
    <w:p>
      <w:pPr>
        <w:spacing w:line="460" w:lineRule="exact"/>
        <w:ind w:firstLine="560"/>
        <w:rPr>
          <w:rFonts w:ascii="宋体"/>
          <w:sz w:val="24"/>
          <w:szCs w:val="24"/>
        </w:rPr>
      </w:pPr>
      <w:r>
        <w:rPr>
          <w:rFonts w:hint="eastAsia" w:ascii="宋体" w:hAnsi="宋体"/>
          <w:sz w:val="24"/>
          <w:szCs w:val="24"/>
        </w:rPr>
        <w:t>本着实事求是、切实可行的方针，始终贯彻如下原则：</w:t>
      </w:r>
    </w:p>
    <w:p>
      <w:pPr>
        <w:spacing w:line="460" w:lineRule="exact"/>
        <w:ind w:firstLine="560"/>
        <w:rPr>
          <w:rFonts w:asci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）以人为本、安全第一。</w:t>
      </w:r>
    </w:p>
    <w:p>
      <w:pPr>
        <w:spacing w:line="460" w:lineRule="exact"/>
        <w:ind w:firstLine="600" w:firstLineChars="250"/>
        <w:rPr>
          <w:rFonts w:ascii="宋体"/>
          <w:sz w:val="24"/>
          <w:szCs w:val="24"/>
        </w:rPr>
      </w:pPr>
      <w:r>
        <w:rPr>
          <w:rFonts w:hint="eastAsia" w:ascii="宋体" w:hAnsi="宋体"/>
          <w:sz w:val="24"/>
          <w:szCs w:val="24"/>
        </w:rPr>
        <w:t>把保障员工的身体健康、生命安全作为首要任务。切实加强应急救援人员的安全防护，充分发挥专业救援力量的骨干作用。</w:t>
      </w:r>
    </w:p>
    <w:p>
      <w:pPr>
        <w:spacing w:line="460" w:lineRule="exact"/>
        <w:ind w:firstLine="560"/>
        <w:rPr>
          <w:rFonts w:asci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）环境优先原则。</w:t>
      </w:r>
    </w:p>
    <w:p>
      <w:pPr>
        <w:spacing w:line="460" w:lineRule="exact"/>
        <w:ind w:firstLine="560"/>
        <w:rPr>
          <w:rFonts w:ascii="宋体"/>
          <w:sz w:val="24"/>
          <w:szCs w:val="24"/>
        </w:rPr>
      </w:pPr>
      <w:r>
        <w:rPr>
          <w:rFonts w:hint="eastAsia" w:ascii="宋体" w:hAnsi="宋体"/>
          <w:sz w:val="24"/>
          <w:szCs w:val="24"/>
        </w:rPr>
        <w:t>发生突发环境事件后，采取的应急措施行动中要体现环境重于财务的原则，优先考虑对环境的保护和减少环境影响的紧急措施。</w:t>
      </w:r>
    </w:p>
    <w:p>
      <w:pPr>
        <w:spacing w:line="460" w:lineRule="exact"/>
        <w:ind w:firstLine="560"/>
        <w:rPr>
          <w:rFonts w:asci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）先期处置原则。</w:t>
      </w:r>
    </w:p>
    <w:p>
      <w:pPr>
        <w:spacing w:line="460" w:lineRule="exact"/>
        <w:ind w:firstLine="360" w:firstLineChars="150"/>
        <w:rPr>
          <w:rFonts w:ascii="宋体"/>
          <w:sz w:val="24"/>
          <w:szCs w:val="24"/>
        </w:rPr>
      </w:pPr>
      <w:r>
        <w:rPr>
          <w:rFonts w:ascii="宋体" w:hAnsi="宋体"/>
          <w:sz w:val="24"/>
          <w:szCs w:val="24"/>
        </w:rPr>
        <w:t xml:space="preserve">  </w:t>
      </w:r>
      <w:r>
        <w:rPr>
          <w:rFonts w:hint="eastAsia" w:ascii="宋体" w:hAnsi="宋体"/>
          <w:sz w:val="24"/>
          <w:szCs w:val="24"/>
        </w:rPr>
        <w:t>一旦发生事故，事故单位应立即启动先期处置应急预案，迅速采取有效措施，尽可能的控制事态发展，以减少人员伤亡和财产损失。</w:t>
      </w:r>
    </w:p>
    <w:p>
      <w:pPr>
        <w:spacing w:line="460" w:lineRule="exact"/>
        <w:ind w:firstLine="560"/>
        <w:rPr>
          <w:rFonts w:hint="eastAsia" w:ascii="宋体" w:hAnsi="宋体"/>
          <w:sz w:val="24"/>
          <w:szCs w:val="24"/>
        </w:rPr>
      </w:pPr>
      <w:r>
        <w:rPr>
          <w:rFonts w:hint="eastAsia" w:ascii="宋体" w:hAnsi="宋体"/>
          <w:sz w:val="24"/>
          <w:szCs w:val="24"/>
        </w:rPr>
        <w:t>（4</w:t>
      </w:r>
      <w:r>
        <w:rPr>
          <w:rFonts w:hint="eastAsia" w:ascii="宋体" w:hAnsi="宋体"/>
          <w:sz w:val="24"/>
          <w:szCs w:val="24"/>
        </w:rPr>
        <w:t>）快速响应、科学应急。</w:t>
      </w:r>
    </w:p>
    <w:p>
      <w:pPr>
        <w:spacing w:line="460" w:lineRule="exact"/>
        <w:ind w:firstLine="560"/>
        <w:rPr>
          <w:rFonts w:ascii="宋体"/>
          <w:sz w:val="24"/>
          <w:szCs w:val="24"/>
        </w:rPr>
      </w:pPr>
      <w:r>
        <w:rPr>
          <w:rFonts w:hint="eastAsia" w:ascii="宋体" w:hAnsi="宋体"/>
          <w:sz w:val="24"/>
          <w:szCs w:val="24"/>
        </w:rPr>
        <w:t>发生突发环境事件后，有应急指挥中心全面负责内部的统一指挥、统一调度，按照事故内型进行针对性的处置，并配合、服从上级有关部门的统一指挥，按照各自职责，密切协作，保证处置工作的科学性、统一性和高效性。</w:t>
      </w:r>
    </w:p>
    <w:p>
      <w:pPr>
        <w:spacing w:line="460" w:lineRule="exact"/>
        <w:ind w:firstLine="560"/>
        <w:rPr>
          <w:rFonts w:hint="eastAsia" w:ascii="宋体" w:hAnsi="宋体"/>
          <w:sz w:val="24"/>
          <w:szCs w:val="24"/>
        </w:rPr>
      </w:pPr>
      <w:r>
        <w:rPr>
          <w:rFonts w:hint="eastAsia" w:ascii="宋体" w:hAnsi="宋体"/>
          <w:sz w:val="24"/>
          <w:szCs w:val="24"/>
        </w:rPr>
        <w:t>（5</w:t>
      </w:r>
      <w:r>
        <w:rPr>
          <w:rFonts w:hint="eastAsia" w:ascii="宋体" w:hAnsi="宋体"/>
          <w:sz w:val="24"/>
          <w:szCs w:val="24"/>
        </w:rPr>
        <w:t>）预防为主，平战结合。</w:t>
      </w:r>
    </w:p>
    <w:p>
      <w:pPr>
        <w:spacing w:line="460" w:lineRule="exact"/>
        <w:ind w:firstLine="560"/>
        <w:rPr>
          <w:rFonts w:ascii="宋体"/>
          <w:sz w:val="24"/>
          <w:szCs w:val="24"/>
        </w:rPr>
      </w:pPr>
      <w:r>
        <w:rPr>
          <w:rFonts w:hint="eastAsia" w:ascii="宋体" w:hAnsi="宋体"/>
          <w:sz w:val="24"/>
          <w:szCs w:val="24"/>
        </w:rPr>
        <w:t>贯彻落实“安全第一，预防为主，综合治理”的方针，坚持事故应急与预防工作相结合。做好预防、预测、预警和预报工作。加强对环境危险源的监控，实施长效监督管理机制。</w:t>
      </w:r>
    </w:p>
    <w:p>
      <w:pPr>
        <w:autoSpaceDE w:val="0"/>
        <w:autoSpaceDN w:val="0"/>
        <w:adjustRightInd w:val="0"/>
        <w:spacing w:line="460" w:lineRule="exact"/>
        <w:rPr>
          <w:rFonts w:ascii="宋体" w:cs="仿宋_GB2312"/>
          <w:b/>
          <w:kern w:val="0"/>
          <w:sz w:val="32"/>
          <w:szCs w:val="32"/>
          <w:lang w:val="zh-CN"/>
        </w:rPr>
      </w:pPr>
    </w:p>
    <w:p>
      <w:pPr>
        <w:pStyle w:val="2"/>
        <w:spacing w:before="120" w:after="120" w:line="360" w:lineRule="auto"/>
        <w:jc w:val="center"/>
        <w:rPr>
          <w:rFonts w:ascii="宋体" w:hAnsi="宋体"/>
          <w:b/>
          <w:color w:val="000000"/>
          <w:sz w:val="32"/>
          <w:lang w:val="zh-CN"/>
        </w:rPr>
      </w:pPr>
      <w:bookmarkStart w:id="142" w:name="_Toc29572"/>
      <w:r>
        <w:rPr>
          <w:rFonts w:ascii="宋体" w:hAnsi="宋体"/>
          <w:b/>
          <w:color w:val="000000"/>
          <w:sz w:val="32"/>
          <w:lang w:val="zh-CN"/>
        </w:rPr>
        <w:t>2</w:t>
      </w:r>
      <w:r>
        <w:rPr>
          <w:rFonts w:hint="eastAsia" w:ascii="宋体" w:hAnsi="宋体"/>
          <w:b/>
          <w:color w:val="000000"/>
          <w:sz w:val="32"/>
          <w:lang w:val="zh-CN"/>
        </w:rPr>
        <w:t>企业基休信息</w:t>
      </w:r>
      <w:bookmarkEnd w:id="142"/>
    </w:p>
    <w:p>
      <w:pPr>
        <w:adjustRightInd w:val="0"/>
        <w:snapToGrid w:val="0"/>
        <w:spacing w:line="460" w:lineRule="exact"/>
        <w:outlineLvl w:val="1"/>
        <w:rPr>
          <w:rFonts w:hint="eastAsia"/>
          <w:b/>
          <w:color w:val="000000"/>
          <w:sz w:val="26"/>
          <w:szCs w:val="26"/>
          <w:lang w:val="zh-CN"/>
        </w:rPr>
      </w:pPr>
      <w:bookmarkStart w:id="143" w:name="_Toc23253"/>
      <w:r>
        <w:rPr>
          <w:rFonts w:hint="eastAsia"/>
          <w:b/>
          <w:color w:val="000000"/>
          <w:sz w:val="26"/>
          <w:szCs w:val="26"/>
          <w:lang w:val="zh-CN"/>
        </w:rPr>
        <w:t>2.1企业基休信息</w:t>
      </w:r>
      <w:bookmarkEnd w:id="143"/>
    </w:p>
    <w:p>
      <w:pPr>
        <w:autoSpaceDE w:val="0"/>
        <w:autoSpaceDN w:val="0"/>
        <w:spacing w:line="460" w:lineRule="exact"/>
        <w:ind w:firstLine="640"/>
        <w:rPr>
          <w:rFonts w:ascii="仿宋_GB2312" w:hAnsi="Calibri" w:cs="仿宋_GB2312"/>
          <w:kern w:val="0"/>
          <w:sz w:val="24"/>
          <w:szCs w:val="24"/>
        </w:rPr>
      </w:pPr>
      <w:r>
        <w:rPr>
          <w:rFonts w:hint="eastAsia" w:ascii="仿宋_GB2312" w:hAnsi="宋体" w:cs="方正小标宋简体"/>
          <w:bCs/>
          <w:sz w:val="24"/>
          <w:szCs w:val="24"/>
        </w:rPr>
        <w:t>重庆市涪陵区拓源污水治理有限公司</w:t>
      </w:r>
      <w:r>
        <w:rPr>
          <w:rFonts w:hint="eastAsia" w:ascii="仿宋_GB2312"/>
          <w:bCs/>
          <w:sz w:val="24"/>
          <w:szCs w:val="24"/>
        </w:rPr>
        <w:t>百胜榨菜污水处理厂</w:t>
      </w:r>
      <w:r>
        <w:rPr>
          <w:rFonts w:hint="eastAsia" w:ascii="仿宋_GB2312"/>
          <w:snapToGrid w:val="0"/>
          <w:sz w:val="24"/>
          <w:szCs w:val="24"/>
        </w:rPr>
        <w:t>地处</w:t>
      </w:r>
      <w:r>
        <w:rPr>
          <w:rFonts w:hint="eastAsia" w:ascii="仿宋_GB2312"/>
          <w:color w:val="000000"/>
          <w:sz w:val="24"/>
          <w:szCs w:val="24"/>
        </w:rPr>
        <w:t>涪陵区百胜镇紫竹村</w:t>
      </w:r>
      <w:r>
        <w:rPr>
          <w:rFonts w:hint="eastAsia" w:ascii="仿宋_GB2312"/>
          <w:bCs/>
          <w:sz w:val="24"/>
          <w:szCs w:val="24"/>
        </w:rPr>
        <w:t>。</w:t>
      </w:r>
      <w:r>
        <w:rPr>
          <w:rFonts w:hint="eastAsia" w:ascii="仿宋_GB2312" w:hAnsi="Calibri" w:cs="仿宋_GB2312"/>
          <w:sz w:val="24"/>
          <w:szCs w:val="24"/>
        </w:rPr>
        <w:t>占地面积</w:t>
      </w:r>
      <w:r>
        <w:rPr>
          <w:rFonts w:ascii="仿宋_GB2312"/>
          <w:color w:val="000000"/>
          <w:sz w:val="24"/>
          <w:szCs w:val="24"/>
        </w:rPr>
        <w:t>13.5</w:t>
      </w:r>
      <w:r>
        <w:rPr>
          <w:rFonts w:hint="eastAsia" w:ascii="仿宋_GB2312"/>
          <w:color w:val="000000"/>
          <w:sz w:val="24"/>
          <w:szCs w:val="24"/>
        </w:rPr>
        <w:t>亩</w:t>
      </w:r>
      <w:r>
        <w:rPr>
          <w:rFonts w:hint="eastAsia" w:ascii="仿宋_GB2312" w:hAnsi="Calibri" w:cs="仿宋_GB2312"/>
          <w:sz w:val="24"/>
          <w:szCs w:val="24"/>
        </w:rPr>
        <w:t>，</w:t>
      </w:r>
      <w:r>
        <w:rPr>
          <w:rFonts w:hint="eastAsia" w:ascii="仿宋_GB2312" w:hAnsi="Calibri" w:cs="仿宋"/>
          <w:sz w:val="24"/>
          <w:szCs w:val="24"/>
        </w:rPr>
        <w:t>总投资</w:t>
      </w:r>
      <w:r>
        <w:rPr>
          <w:rFonts w:ascii="仿宋_GB2312"/>
          <w:color w:val="000000"/>
          <w:sz w:val="24"/>
          <w:szCs w:val="24"/>
        </w:rPr>
        <w:t>1173.5</w:t>
      </w:r>
      <w:r>
        <w:rPr>
          <w:rFonts w:hint="eastAsia" w:ascii="仿宋_GB2312" w:hAnsi="Calibri" w:cs="仿宋"/>
          <w:sz w:val="24"/>
          <w:szCs w:val="24"/>
        </w:rPr>
        <w:t>万元</w:t>
      </w:r>
      <w:r>
        <w:rPr>
          <w:rFonts w:hint="eastAsia" w:ascii="仿宋_GB2312" w:hAnsi="Calibri" w:cs="仿宋_GB2312"/>
          <w:kern w:val="0"/>
          <w:sz w:val="24"/>
          <w:szCs w:val="24"/>
        </w:rPr>
        <w:t>，</w:t>
      </w:r>
      <w:r>
        <w:rPr>
          <w:rFonts w:hint="eastAsia" w:ascii="仿宋_GB2312" w:hAnsi="Calibri" w:cs="仿宋_GB2312"/>
          <w:sz w:val="24"/>
          <w:szCs w:val="24"/>
        </w:rPr>
        <w:t>现有员工</w:t>
      </w:r>
      <w:r>
        <w:rPr>
          <w:rFonts w:ascii="仿宋_GB2312" w:hAnsi="Calibri" w:cs="仿宋_GB2312"/>
          <w:sz w:val="24"/>
          <w:szCs w:val="24"/>
        </w:rPr>
        <w:t>12</w:t>
      </w:r>
      <w:r>
        <w:rPr>
          <w:rFonts w:hint="eastAsia" w:ascii="仿宋_GB2312" w:hAnsi="Calibri" w:cs="仿宋_GB2312"/>
          <w:sz w:val="24"/>
          <w:szCs w:val="24"/>
        </w:rPr>
        <w:t>人</w:t>
      </w:r>
      <w:r>
        <w:rPr>
          <w:rFonts w:hint="eastAsia" w:ascii="仿宋_GB2312" w:hAnsi="Calibri" w:cs="仿宋"/>
          <w:sz w:val="24"/>
          <w:szCs w:val="24"/>
        </w:rPr>
        <w:t>，</w:t>
      </w:r>
      <w:r>
        <w:rPr>
          <w:rFonts w:hint="eastAsia" w:ascii="仿宋_GB2312" w:hAnsi="Calibri" w:cs="仿宋_GB2312"/>
          <w:sz w:val="24"/>
          <w:szCs w:val="24"/>
        </w:rPr>
        <w:t>由重庆市涪陵区拓源污水治理有限公司负责运营管理，</w:t>
      </w:r>
      <w:r>
        <w:rPr>
          <w:rFonts w:hint="eastAsia" w:ascii="仿宋_GB2312"/>
          <w:sz w:val="24"/>
          <w:szCs w:val="24"/>
        </w:rPr>
        <w:t>是一家专业从事污水治理设施运营的公司</w:t>
      </w:r>
      <w:r>
        <w:rPr>
          <w:rFonts w:hint="eastAsia" w:ascii="仿宋_GB2312"/>
          <w:color w:val="000000"/>
          <w:sz w:val="24"/>
          <w:szCs w:val="24"/>
        </w:rPr>
        <w:t>。</w:t>
      </w:r>
      <w:r>
        <w:rPr>
          <w:rFonts w:ascii="仿宋_GB2312" w:hAnsi="Calibri" w:cs="仿宋_GB2312"/>
          <w:kern w:val="0"/>
          <w:sz w:val="24"/>
          <w:szCs w:val="24"/>
        </w:rPr>
        <w:t xml:space="preserve"> </w:t>
      </w:r>
    </w:p>
    <w:p>
      <w:pPr>
        <w:spacing w:line="460" w:lineRule="exact"/>
        <w:ind w:firstLine="480"/>
        <w:rPr>
          <w:rFonts w:ascii="仿宋_GB2312" w:cs="仿宋_GB2312"/>
          <w:kern w:val="0"/>
          <w:szCs w:val="24"/>
          <w:lang w:val="zh-CN"/>
        </w:rPr>
      </w:pPr>
      <w:r>
        <w:rPr>
          <w:rFonts w:hint="eastAsia" w:ascii="仿宋_GB2312"/>
          <w:bCs/>
          <w:sz w:val="24"/>
          <w:szCs w:val="24"/>
        </w:rPr>
        <w:t>百胜榨菜污水处理厂</w:t>
      </w:r>
      <w:r>
        <w:rPr>
          <w:rFonts w:hint="eastAsia" w:ascii="仿宋_GB2312"/>
          <w:bCs/>
          <w:sz w:val="24"/>
          <w:szCs w:val="24"/>
          <w:lang w:val="zh-CN"/>
        </w:rPr>
        <w:t>近期污水处理规模为</w:t>
      </w:r>
      <w:r>
        <w:rPr>
          <w:rFonts w:hint="eastAsia" w:ascii="仿宋_GB2312"/>
          <w:bCs/>
          <w:sz w:val="24"/>
          <w:szCs w:val="24"/>
        </w:rPr>
        <w:t>1350</w:t>
      </w:r>
      <w:r>
        <w:rPr>
          <w:rFonts w:hint="eastAsia" w:ascii="仿宋_GB2312"/>
          <w:bCs/>
          <w:sz w:val="24"/>
          <w:szCs w:val="24"/>
          <w:lang w:val="zh-CN"/>
        </w:rPr>
        <w:t>吨/日</w:t>
      </w:r>
      <w:r>
        <w:rPr>
          <w:rFonts w:hint="eastAsia" w:ascii="仿宋_GB2312"/>
          <w:bCs/>
          <w:sz w:val="24"/>
          <w:szCs w:val="24"/>
        </w:rPr>
        <w:t>”，于2010年8月开工建设，2010年12月</w:t>
      </w:r>
      <w:r>
        <w:rPr>
          <w:rFonts w:hint="eastAsia" w:ascii="仿宋_GB2312"/>
          <w:bCs/>
          <w:sz w:val="24"/>
          <w:szCs w:val="24"/>
          <w:lang w:val="zh-CN"/>
        </w:rPr>
        <w:t>投入试运行</w:t>
      </w:r>
      <w:r>
        <w:rPr>
          <w:rFonts w:hint="eastAsia" w:ascii="仿宋_GB2312"/>
          <w:bCs/>
          <w:sz w:val="24"/>
          <w:szCs w:val="24"/>
        </w:rPr>
        <w:t>。主要负责</w:t>
      </w:r>
      <w:r>
        <w:rPr>
          <w:rFonts w:hint="eastAsia" w:ascii="仿宋_GB2312"/>
          <w:bCs/>
          <w:sz w:val="24"/>
          <w:szCs w:val="24"/>
        </w:rPr>
        <w:t>对百胜镇新河流域的榨菜生产企业和职工生活污水进行收集和处理，配套污水管网5.3公里，出水水质达《污水综合排放标准》（GB8978-1996）一级B标准后排入长江。已实现达标排放，</w:t>
      </w:r>
      <w:r>
        <w:rPr>
          <w:rFonts w:hint="eastAsia" w:ascii="仿宋_GB2312"/>
          <w:bCs/>
          <w:sz w:val="24"/>
          <w:szCs w:val="24"/>
          <w:lang w:val="zh-CN"/>
        </w:rPr>
        <w:t>并通过环保验收。</w:t>
      </w:r>
    </w:p>
    <w:p>
      <w:pPr>
        <w:pStyle w:val="193"/>
        <w:rPr>
          <w:rFonts w:ascii="仿宋_GB2312"/>
        </w:rPr>
      </w:pPr>
      <w:r>
        <w:rPr>
          <w:rFonts w:hint="eastAsia" w:ascii="仿宋_GB2312"/>
        </w:rPr>
        <w:t>表</w:t>
      </w:r>
      <w:r>
        <w:rPr>
          <w:rFonts w:ascii="仿宋_GB2312"/>
        </w:rPr>
        <w:t xml:space="preserve">2-1 </w:t>
      </w:r>
      <w:r>
        <w:rPr>
          <w:rFonts w:hint="eastAsia" w:ascii="仿宋_GB2312"/>
        </w:rPr>
        <w:t>企业基本信息一览表</w:t>
      </w:r>
    </w:p>
    <w:tbl>
      <w:tblPr>
        <w:tblStyle w:val="54"/>
        <w:tblW w:w="9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182"/>
        <w:gridCol w:w="783"/>
        <w:gridCol w:w="445"/>
        <w:gridCol w:w="1134"/>
        <w:gridCol w:w="155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530" w:type="dxa"/>
            <w:tcBorders>
              <w:top w:val="thinThickSmallGap" w:color="auto" w:sz="24" w:space="0"/>
              <w:left w:val="thinThickSmallGap" w:color="auto" w:sz="24" w:space="0"/>
            </w:tcBorders>
            <w:vAlign w:val="center"/>
          </w:tcPr>
          <w:p>
            <w:pPr>
              <w:pStyle w:val="193"/>
              <w:rPr>
                <w:rFonts w:ascii="仿宋_GB2312"/>
                <w:sz w:val="21"/>
                <w:szCs w:val="24"/>
              </w:rPr>
            </w:pPr>
            <w:r>
              <w:rPr>
                <w:rFonts w:hint="eastAsia" w:ascii="仿宋_GB2312"/>
                <w:sz w:val="21"/>
                <w:szCs w:val="24"/>
              </w:rPr>
              <w:t>企业名称</w:t>
            </w:r>
          </w:p>
        </w:tc>
        <w:tc>
          <w:tcPr>
            <w:tcW w:w="3544" w:type="dxa"/>
            <w:gridSpan w:val="4"/>
            <w:tcBorders>
              <w:top w:val="thinThickSmallGap" w:color="auto" w:sz="24" w:space="0"/>
            </w:tcBorders>
            <w:vAlign w:val="center"/>
          </w:tcPr>
          <w:p>
            <w:pPr>
              <w:pStyle w:val="193"/>
              <w:jc w:val="both"/>
              <w:rPr>
                <w:rFonts w:ascii="仿宋_GB2312"/>
                <w:sz w:val="21"/>
                <w:szCs w:val="21"/>
              </w:rPr>
            </w:pPr>
            <w:r>
              <w:rPr>
                <w:rFonts w:hint="eastAsia" w:ascii="仿宋_GB2312" w:hAnsi="宋体" w:cs="方正小标宋简体"/>
                <w:bCs/>
                <w:sz w:val="21"/>
                <w:szCs w:val="24"/>
              </w:rPr>
              <w:t>重庆市涪陵区拓源污水治有理限公司</w:t>
            </w:r>
            <w:r>
              <w:rPr>
                <w:rFonts w:hint="eastAsia" w:ascii="仿宋_GB2312"/>
                <w:bCs/>
                <w:sz w:val="21"/>
                <w:szCs w:val="24"/>
              </w:rPr>
              <w:t>百胜榨菜污水处理厂</w:t>
            </w:r>
          </w:p>
        </w:tc>
        <w:tc>
          <w:tcPr>
            <w:tcW w:w="1559" w:type="dxa"/>
            <w:tcBorders>
              <w:top w:val="thinThickSmallGap" w:color="auto" w:sz="24" w:space="0"/>
            </w:tcBorders>
            <w:vAlign w:val="center"/>
          </w:tcPr>
          <w:p>
            <w:pPr>
              <w:pStyle w:val="193"/>
              <w:rPr>
                <w:rFonts w:ascii="仿宋_GB2312"/>
                <w:sz w:val="21"/>
                <w:szCs w:val="21"/>
              </w:rPr>
            </w:pPr>
            <w:r>
              <w:rPr>
                <w:rFonts w:hint="eastAsia" w:ascii="仿宋_GB2312"/>
                <w:sz w:val="21"/>
                <w:szCs w:val="21"/>
              </w:rPr>
              <w:t>组织机构代码</w:t>
            </w:r>
          </w:p>
        </w:tc>
        <w:tc>
          <w:tcPr>
            <w:tcW w:w="2693" w:type="dxa"/>
            <w:tcBorders>
              <w:top w:val="thinThickSmallGap" w:color="auto" w:sz="24" w:space="0"/>
              <w:right w:val="thinThickSmallGap" w:color="auto" w:sz="24" w:space="0"/>
            </w:tcBorders>
            <w:vAlign w:val="center"/>
          </w:tcPr>
          <w:p>
            <w:pPr>
              <w:pStyle w:val="193"/>
              <w:rPr>
                <w:rFonts w:ascii="仿宋_GB2312"/>
                <w:color w:val="FF0000"/>
                <w:sz w:val="21"/>
                <w:szCs w:val="24"/>
              </w:rPr>
            </w:pPr>
            <w:r>
              <w:rPr>
                <w:rFonts w:ascii="仿宋_GB2312" w:hAnsi="宋体" w:cs="宋体"/>
                <w:sz w:val="21"/>
                <w:szCs w:val="21"/>
              </w:rPr>
              <w:t>91500102MA5U56568C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法定代表人</w:t>
            </w:r>
          </w:p>
        </w:tc>
        <w:tc>
          <w:tcPr>
            <w:tcW w:w="1182" w:type="dxa"/>
            <w:vAlign w:val="center"/>
          </w:tcPr>
          <w:p>
            <w:pPr>
              <w:pStyle w:val="193"/>
              <w:rPr>
                <w:rFonts w:ascii="仿宋_GB2312"/>
                <w:color w:val="000000"/>
                <w:sz w:val="21"/>
                <w:szCs w:val="21"/>
              </w:rPr>
            </w:pPr>
            <w:r>
              <w:rPr>
                <w:rFonts w:hint="eastAsia" w:ascii="仿宋_GB2312" w:hAnsi="宋体" w:cs="仿宋_GB2312"/>
                <w:sz w:val="21"/>
                <w:szCs w:val="21"/>
              </w:rPr>
              <w:t>况敬良</w:t>
            </w:r>
          </w:p>
        </w:tc>
        <w:tc>
          <w:tcPr>
            <w:tcW w:w="1228" w:type="dxa"/>
            <w:gridSpan w:val="2"/>
            <w:vAlign w:val="center"/>
          </w:tcPr>
          <w:p>
            <w:pPr>
              <w:pStyle w:val="193"/>
              <w:rPr>
                <w:rFonts w:ascii="仿宋_GB2312"/>
                <w:sz w:val="21"/>
                <w:szCs w:val="21"/>
              </w:rPr>
            </w:pPr>
            <w:r>
              <w:rPr>
                <w:rFonts w:hint="eastAsia" w:ascii="仿宋_GB2312"/>
                <w:sz w:val="21"/>
                <w:szCs w:val="21"/>
              </w:rPr>
              <w:t>联系人</w:t>
            </w:r>
          </w:p>
        </w:tc>
        <w:tc>
          <w:tcPr>
            <w:tcW w:w="1134" w:type="dxa"/>
            <w:vAlign w:val="center"/>
          </w:tcPr>
          <w:p>
            <w:pPr>
              <w:pStyle w:val="193"/>
              <w:rPr>
                <w:rFonts w:ascii="仿宋_GB2312"/>
                <w:sz w:val="21"/>
                <w:szCs w:val="21"/>
              </w:rPr>
            </w:pPr>
            <w:r>
              <w:rPr>
                <w:rFonts w:hint="eastAsia" w:ascii="仿宋_GB2312"/>
                <w:sz w:val="21"/>
                <w:szCs w:val="21"/>
              </w:rPr>
              <w:t>张平生</w:t>
            </w:r>
          </w:p>
        </w:tc>
        <w:tc>
          <w:tcPr>
            <w:tcW w:w="1559" w:type="dxa"/>
            <w:vAlign w:val="center"/>
          </w:tcPr>
          <w:p>
            <w:pPr>
              <w:pStyle w:val="193"/>
              <w:rPr>
                <w:rFonts w:ascii="仿宋_GB2312"/>
                <w:sz w:val="21"/>
                <w:szCs w:val="21"/>
              </w:rPr>
            </w:pPr>
            <w:r>
              <w:rPr>
                <w:rFonts w:hint="eastAsia" w:ascii="仿宋_GB2312"/>
                <w:sz w:val="21"/>
                <w:szCs w:val="21"/>
              </w:rPr>
              <w:t>电话</w:t>
            </w:r>
          </w:p>
        </w:tc>
        <w:tc>
          <w:tcPr>
            <w:tcW w:w="2693" w:type="dxa"/>
            <w:tcBorders>
              <w:right w:val="thinThickSmallGap" w:color="auto" w:sz="24" w:space="0"/>
            </w:tcBorders>
            <w:vAlign w:val="center"/>
          </w:tcPr>
          <w:p>
            <w:pPr>
              <w:pStyle w:val="193"/>
              <w:rPr>
                <w:rFonts w:ascii="仿宋_GB2312"/>
                <w:sz w:val="21"/>
                <w:szCs w:val="21"/>
              </w:rPr>
            </w:pPr>
            <w:r>
              <w:rPr>
                <w:rFonts w:ascii="仿宋_GB2312"/>
                <w:sz w:val="21"/>
                <w:szCs w:val="21"/>
              </w:rPr>
              <w:t>18983313572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通讯地址</w:t>
            </w:r>
          </w:p>
        </w:tc>
        <w:tc>
          <w:tcPr>
            <w:tcW w:w="7796" w:type="dxa"/>
            <w:gridSpan w:val="6"/>
            <w:tcBorders>
              <w:right w:val="thinThickSmallGap" w:color="auto" w:sz="24" w:space="0"/>
            </w:tcBorders>
            <w:vAlign w:val="center"/>
          </w:tcPr>
          <w:p>
            <w:pPr>
              <w:pStyle w:val="193"/>
              <w:rPr>
                <w:rFonts w:ascii="仿宋_GB2312"/>
                <w:sz w:val="21"/>
                <w:szCs w:val="21"/>
              </w:rPr>
            </w:pPr>
            <w:r>
              <w:rPr>
                <w:rFonts w:hint="eastAsia" w:ascii="仿宋_GB2312"/>
                <w:sz w:val="21"/>
                <w:szCs w:val="21"/>
              </w:rPr>
              <w:t>重庆市涪陵区</w:t>
            </w:r>
            <w:r>
              <w:rPr>
                <w:rFonts w:hint="eastAsia" w:ascii="仿宋_GB2312"/>
                <w:color w:val="000000"/>
                <w:sz w:val="21"/>
                <w:szCs w:val="21"/>
              </w:rPr>
              <w:t>百胜镇紫竹村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单位所在地</w:t>
            </w:r>
          </w:p>
        </w:tc>
        <w:tc>
          <w:tcPr>
            <w:tcW w:w="7796" w:type="dxa"/>
            <w:gridSpan w:val="6"/>
            <w:tcBorders>
              <w:right w:val="thinThickSmallGap" w:color="auto" w:sz="24" w:space="0"/>
            </w:tcBorders>
            <w:vAlign w:val="center"/>
          </w:tcPr>
          <w:p>
            <w:pPr>
              <w:pStyle w:val="193"/>
              <w:rPr>
                <w:rFonts w:ascii="仿宋_GB2312"/>
                <w:sz w:val="21"/>
                <w:szCs w:val="21"/>
              </w:rPr>
            </w:pPr>
            <w:r>
              <w:rPr>
                <w:rFonts w:hint="eastAsia" w:ascii="仿宋_GB2312"/>
                <w:bCs/>
                <w:sz w:val="21"/>
                <w:szCs w:val="21"/>
              </w:rPr>
              <w:t>重庆市涪陵区</w:t>
            </w:r>
            <w:r>
              <w:rPr>
                <w:rFonts w:hint="eastAsia" w:ascii="仿宋_GB2312"/>
                <w:color w:val="000000"/>
                <w:sz w:val="21"/>
                <w:szCs w:val="21"/>
              </w:rPr>
              <w:t>百胜镇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3"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中心经纬度</w:t>
            </w:r>
          </w:p>
        </w:tc>
        <w:tc>
          <w:tcPr>
            <w:tcW w:w="7796" w:type="dxa"/>
            <w:gridSpan w:val="6"/>
            <w:tcBorders>
              <w:right w:val="thinThickSmallGap" w:color="auto" w:sz="24" w:space="0"/>
            </w:tcBorders>
            <w:vAlign w:val="center"/>
          </w:tcPr>
          <w:p>
            <w:pPr>
              <w:pStyle w:val="193"/>
              <w:rPr>
                <w:rFonts w:ascii="仿宋_GB2312"/>
                <w:color w:val="000000"/>
                <w:sz w:val="21"/>
                <w:szCs w:val="24"/>
              </w:rPr>
            </w:pPr>
            <w:r>
              <w:rPr>
                <w:rFonts w:hint="eastAsia" w:ascii="仿宋_GB2312"/>
                <w:color w:val="000000"/>
                <w:sz w:val="21"/>
                <w:szCs w:val="15"/>
              </w:rPr>
              <w:t>东经</w:t>
            </w:r>
            <w:r>
              <w:rPr>
                <w:rFonts w:ascii="仿宋_GB2312"/>
                <w:color w:val="000000"/>
                <w:sz w:val="21"/>
                <w:szCs w:val="15"/>
              </w:rPr>
              <w:t>E107</w:t>
            </w:r>
            <w:r>
              <w:rPr>
                <w:rFonts w:hint="eastAsia" w:ascii="仿宋_GB2312"/>
                <w:color w:val="000000"/>
                <w:sz w:val="21"/>
                <w:szCs w:val="15"/>
              </w:rPr>
              <w:t>°</w:t>
            </w:r>
            <w:r>
              <w:rPr>
                <w:rFonts w:ascii="仿宋_GB2312"/>
                <w:color w:val="000000"/>
                <w:sz w:val="21"/>
                <w:szCs w:val="15"/>
              </w:rPr>
              <w:t>15</w:t>
            </w:r>
            <w:r>
              <w:rPr>
                <w:rFonts w:hint="eastAsia" w:ascii="仿宋_GB2312"/>
                <w:color w:val="000000"/>
                <w:sz w:val="21"/>
                <w:szCs w:val="15"/>
              </w:rPr>
              <w:t>′</w:t>
            </w:r>
            <w:r>
              <w:rPr>
                <w:rFonts w:ascii="仿宋_GB2312"/>
                <w:color w:val="000000"/>
                <w:sz w:val="21"/>
                <w:szCs w:val="15"/>
              </w:rPr>
              <w:t>56.55</w:t>
            </w:r>
            <w:r>
              <w:rPr>
                <w:rFonts w:hint="eastAsia" w:ascii="仿宋_GB2312"/>
                <w:color w:val="000000"/>
                <w:sz w:val="21"/>
                <w:szCs w:val="15"/>
              </w:rPr>
              <w:t>′，北纬</w:t>
            </w:r>
            <w:r>
              <w:rPr>
                <w:rFonts w:ascii="仿宋_GB2312"/>
                <w:color w:val="000000"/>
                <w:sz w:val="21"/>
                <w:szCs w:val="15"/>
              </w:rPr>
              <w:t>N29</w:t>
            </w:r>
            <w:r>
              <w:rPr>
                <w:rFonts w:hint="eastAsia" w:ascii="仿宋_GB2312"/>
                <w:color w:val="000000"/>
                <w:sz w:val="21"/>
                <w:szCs w:val="15"/>
              </w:rPr>
              <w:t>°</w:t>
            </w:r>
            <w:r>
              <w:rPr>
                <w:rFonts w:ascii="仿宋_GB2312"/>
                <w:color w:val="000000"/>
                <w:sz w:val="21"/>
                <w:szCs w:val="15"/>
              </w:rPr>
              <w:t>43</w:t>
            </w:r>
            <w:r>
              <w:rPr>
                <w:rFonts w:hint="eastAsia" w:ascii="仿宋_GB2312"/>
                <w:color w:val="000000"/>
                <w:sz w:val="21"/>
                <w:szCs w:val="15"/>
              </w:rPr>
              <w:t>′</w:t>
            </w:r>
            <w:r>
              <w:rPr>
                <w:rFonts w:ascii="仿宋_GB2312"/>
                <w:color w:val="000000"/>
                <w:sz w:val="21"/>
                <w:szCs w:val="15"/>
              </w:rPr>
              <w:t>2.12</w:t>
            </w:r>
            <w:r>
              <w:rPr>
                <w:rFonts w:hint="eastAsia" w:ascii="仿宋_GB2312"/>
                <w:color w:val="000000"/>
                <w:sz w:val="21"/>
                <w:szCs w:val="15"/>
              </w:rPr>
              <w:t>′</w:t>
            </w:r>
            <w:r>
              <w:rPr>
                <w:rFonts w:ascii="仿宋_GB2312"/>
                <w:color w:val="000000"/>
                <w:sz w:val="21"/>
                <w:szCs w:val="15"/>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8"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建厂时间</w:t>
            </w:r>
          </w:p>
        </w:tc>
        <w:tc>
          <w:tcPr>
            <w:tcW w:w="2410" w:type="dxa"/>
            <w:gridSpan w:val="3"/>
            <w:vAlign w:val="center"/>
          </w:tcPr>
          <w:p>
            <w:pPr>
              <w:pStyle w:val="193"/>
              <w:rPr>
                <w:rFonts w:ascii="仿宋_GB2312"/>
                <w:sz w:val="21"/>
                <w:szCs w:val="15"/>
              </w:rPr>
            </w:pPr>
            <w:r>
              <w:rPr>
                <w:rFonts w:ascii="仿宋_GB2312"/>
                <w:sz w:val="21"/>
                <w:szCs w:val="28"/>
              </w:rPr>
              <w:t>2010</w:t>
            </w:r>
            <w:r>
              <w:rPr>
                <w:rFonts w:hint="eastAsia" w:ascii="仿宋_GB2312"/>
                <w:sz w:val="21"/>
                <w:szCs w:val="28"/>
              </w:rPr>
              <w:t>年</w:t>
            </w:r>
            <w:r>
              <w:rPr>
                <w:rFonts w:ascii="仿宋_GB2312"/>
                <w:sz w:val="21"/>
                <w:szCs w:val="28"/>
              </w:rPr>
              <w:t>8</w:t>
            </w:r>
            <w:r>
              <w:rPr>
                <w:rFonts w:hint="eastAsia" w:ascii="仿宋_GB2312"/>
                <w:sz w:val="21"/>
                <w:szCs w:val="28"/>
              </w:rPr>
              <w:t>月</w:t>
            </w:r>
          </w:p>
        </w:tc>
        <w:tc>
          <w:tcPr>
            <w:tcW w:w="1134" w:type="dxa"/>
            <w:vAlign w:val="center"/>
          </w:tcPr>
          <w:p>
            <w:pPr>
              <w:pStyle w:val="193"/>
              <w:rPr>
                <w:rFonts w:ascii="仿宋_GB2312"/>
                <w:sz w:val="21"/>
                <w:szCs w:val="15"/>
              </w:rPr>
            </w:pPr>
            <w:r>
              <w:rPr>
                <w:rFonts w:hint="eastAsia" w:ascii="仿宋_GB2312"/>
                <w:sz w:val="21"/>
                <w:szCs w:val="15"/>
              </w:rPr>
              <w:t>投产时间</w:t>
            </w:r>
          </w:p>
        </w:tc>
        <w:tc>
          <w:tcPr>
            <w:tcW w:w="4252" w:type="dxa"/>
            <w:gridSpan w:val="2"/>
            <w:tcBorders>
              <w:right w:val="thinThickSmallGap" w:color="auto" w:sz="24" w:space="0"/>
            </w:tcBorders>
            <w:vAlign w:val="center"/>
          </w:tcPr>
          <w:p>
            <w:pPr>
              <w:pStyle w:val="193"/>
              <w:rPr>
                <w:rFonts w:ascii="仿宋_GB2312"/>
                <w:sz w:val="21"/>
                <w:szCs w:val="15"/>
              </w:rPr>
            </w:pPr>
            <w:r>
              <w:rPr>
                <w:rFonts w:ascii="仿宋_GB2312"/>
                <w:sz w:val="21"/>
                <w:szCs w:val="28"/>
              </w:rPr>
              <w:t>2010</w:t>
            </w:r>
            <w:r>
              <w:rPr>
                <w:rFonts w:hint="eastAsia" w:ascii="仿宋_GB2312"/>
                <w:sz w:val="21"/>
                <w:szCs w:val="28"/>
              </w:rPr>
              <w:t>年</w:t>
            </w:r>
            <w:r>
              <w:rPr>
                <w:rFonts w:ascii="仿宋_GB2312"/>
                <w:sz w:val="21"/>
                <w:szCs w:val="28"/>
              </w:rPr>
              <w:t>12</w:t>
            </w:r>
            <w:r>
              <w:rPr>
                <w:rFonts w:hint="eastAsia" w:ascii="仿宋_GB2312"/>
                <w:sz w:val="21"/>
                <w:szCs w:val="28"/>
              </w:rPr>
              <w:t>月</w:t>
            </w:r>
            <w:r>
              <w:rPr>
                <w:rFonts w:hint="eastAsia" w:ascii="仿宋_GB2312"/>
                <w:sz w:val="21"/>
                <w:szCs w:val="21"/>
              </w:rPr>
              <w:t>试</w:t>
            </w:r>
            <w:r>
              <w:rPr>
                <w:rFonts w:hint="eastAsia" w:ascii="仿宋_GB2312"/>
                <w:sz w:val="21"/>
                <w:szCs w:val="28"/>
              </w:rPr>
              <w:t>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所属行业类别</w:t>
            </w:r>
          </w:p>
        </w:tc>
        <w:tc>
          <w:tcPr>
            <w:tcW w:w="7796" w:type="dxa"/>
            <w:gridSpan w:val="6"/>
            <w:tcBorders>
              <w:right w:val="thinThickSmallGap" w:color="auto" w:sz="24" w:space="0"/>
            </w:tcBorders>
            <w:vAlign w:val="center"/>
          </w:tcPr>
          <w:p>
            <w:pPr>
              <w:pStyle w:val="193"/>
              <w:rPr>
                <w:rFonts w:ascii="仿宋_GB2312"/>
                <w:sz w:val="21"/>
                <w:szCs w:val="21"/>
              </w:rPr>
            </w:pPr>
            <w:r>
              <w:rPr>
                <w:rFonts w:ascii="仿宋_GB2312" w:hAnsi="Arial" w:cs="Arial"/>
                <w:color w:val="333333"/>
                <w:sz w:val="21"/>
                <w:szCs w:val="21"/>
                <w:shd w:val="clear" w:color="auto" w:fill="FFFFFF"/>
              </w:rPr>
              <w:t>D4620</w:t>
            </w:r>
            <w:r>
              <w:rPr>
                <w:rFonts w:hint="eastAsia" w:ascii="仿宋_GB2312" w:hAnsi="Arial" w:cs="Arial"/>
                <w:color w:val="333333"/>
                <w:sz w:val="21"/>
                <w:szCs w:val="21"/>
                <w:shd w:val="clear" w:color="auto" w:fill="FFFFFF"/>
              </w:rPr>
              <w:t>污水处理及其再生利用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企业规模</w:t>
            </w:r>
          </w:p>
        </w:tc>
        <w:tc>
          <w:tcPr>
            <w:tcW w:w="1965" w:type="dxa"/>
            <w:gridSpan w:val="2"/>
            <w:vAlign w:val="center"/>
          </w:tcPr>
          <w:p>
            <w:pPr>
              <w:pStyle w:val="193"/>
              <w:rPr>
                <w:rFonts w:ascii="仿宋_GB2312"/>
                <w:sz w:val="21"/>
                <w:szCs w:val="24"/>
              </w:rPr>
            </w:pPr>
            <w:r>
              <w:rPr>
                <w:rFonts w:hint="eastAsia" w:ascii="仿宋_GB2312"/>
                <w:sz w:val="21"/>
                <w:szCs w:val="24"/>
              </w:rPr>
              <w:t>小型</w:t>
            </w:r>
          </w:p>
        </w:tc>
        <w:tc>
          <w:tcPr>
            <w:tcW w:w="1579" w:type="dxa"/>
            <w:gridSpan w:val="2"/>
            <w:vAlign w:val="center"/>
          </w:tcPr>
          <w:p>
            <w:pPr>
              <w:pStyle w:val="193"/>
              <w:rPr>
                <w:rFonts w:ascii="仿宋_GB2312"/>
                <w:sz w:val="21"/>
                <w:szCs w:val="24"/>
              </w:rPr>
            </w:pPr>
            <w:r>
              <w:rPr>
                <w:rFonts w:hint="eastAsia" w:ascii="仿宋_GB2312"/>
                <w:sz w:val="21"/>
                <w:szCs w:val="24"/>
              </w:rPr>
              <w:t>占地面积</w:t>
            </w:r>
          </w:p>
        </w:tc>
        <w:tc>
          <w:tcPr>
            <w:tcW w:w="4252" w:type="dxa"/>
            <w:gridSpan w:val="2"/>
            <w:tcBorders>
              <w:right w:val="thinThickSmallGap" w:color="auto" w:sz="24" w:space="0"/>
            </w:tcBorders>
            <w:vAlign w:val="center"/>
          </w:tcPr>
          <w:p>
            <w:pPr>
              <w:pStyle w:val="193"/>
              <w:rPr>
                <w:rFonts w:ascii="仿宋_GB2312"/>
                <w:sz w:val="21"/>
                <w:szCs w:val="21"/>
              </w:rPr>
            </w:pPr>
            <w:r>
              <w:rPr>
                <w:rFonts w:ascii="仿宋_GB2312"/>
                <w:color w:val="000000"/>
                <w:sz w:val="21"/>
                <w:szCs w:val="21"/>
              </w:rPr>
              <w:t>13.5</w:t>
            </w:r>
            <w:r>
              <w:rPr>
                <w:rFonts w:hint="eastAsia" w:ascii="仿宋_GB2312"/>
                <w:color w:val="000000"/>
                <w:sz w:val="21"/>
                <w:szCs w:val="21"/>
              </w:rPr>
              <w:t>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劳动定员</w:t>
            </w:r>
          </w:p>
        </w:tc>
        <w:tc>
          <w:tcPr>
            <w:tcW w:w="7796" w:type="dxa"/>
            <w:gridSpan w:val="6"/>
            <w:tcBorders>
              <w:right w:val="thinThickSmallGap" w:color="auto" w:sz="24" w:space="0"/>
            </w:tcBorders>
            <w:vAlign w:val="center"/>
          </w:tcPr>
          <w:p>
            <w:pPr>
              <w:pStyle w:val="193"/>
              <w:jc w:val="left"/>
              <w:rPr>
                <w:rFonts w:ascii="仿宋_GB2312"/>
                <w:sz w:val="21"/>
                <w:szCs w:val="24"/>
              </w:rPr>
            </w:pPr>
            <w:r>
              <w:rPr>
                <w:rFonts w:hint="eastAsia" w:ascii="仿宋_GB2312"/>
                <w:sz w:val="21"/>
                <w:szCs w:val="24"/>
              </w:rPr>
              <w:t>定员</w:t>
            </w:r>
            <w:r>
              <w:rPr>
                <w:rFonts w:ascii="仿宋_GB2312"/>
                <w:sz w:val="21"/>
                <w:szCs w:val="24"/>
              </w:rPr>
              <w:t>10</w:t>
            </w:r>
            <w:r>
              <w:rPr>
                <w:rFonts w:hint="eastAsia" w:ascii="仿宋_GB2312"/>
                <w:sz w:val="21"/>
                <w:szCs w:val="24"/>
              </w:rPr>
              <w:t>人，</w:t>
            </w:r>
            <w:r>
              <w:rPr>
                <w:rFonts w:hint="eastAsia" w:ascii="仿宋_GB2312" w:hAnsi="宋体"/>
                <w:sz w:val="21"/>
                <w:szCs w:val="21"/>
              </w:rPr>
              <w:t>其中管理人员</w:t>
            </w:r>
            <w:r>
              <w:rPr>
                <w:rFonts w:ascii="仿宋_GB2312" w:hAnsi="宋体"/>
                <w:sz w:val="21"/>
                <w:szCs w:val="21"/>
              </w:rPr>
              <w:t>2</w:t>
            </w:r>
            <w:r>
              <w:rPr>
                <w:rFonts w:hint="eastAsia" w:ascii="仿宋_GB2312"/>
                <w:sz w:val="21"/>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530" w:type="dxa"/>
            <w:tcBorders>
              <w:left w:val="thinThickSmallGap" w:color="auto" w:sz="24" w:space="0"/>
            </w:tcBorders>
            <w:vAlign w:val="center"/>
          </w:tcPr>
          <w:p>
            <w:pPr>
              <w:pStyle w:val="193"/>
              <w:rPr>
                <w:rFonts w:ascii="仿宋_GB2312"/>
                <w:sz w:val="21"/>
                <w:szCs w:val="24"/>
              </w:rPr>
            </w:pPr>
            <w:r>
              <w:rPr>
                <w:rFonts w:hint="eastAsia" w:ascii="仿宋_GB2312"/>
                <w:sz w:val="21"/>
                <w:szCs w:val="24"/>
              </w:rPr>
              <w:t>工作制度</w:t>
            </w:r>
          </w:p>
        </w:tc>
        <w:tc>
          <w:tcPr>
            <w:tcW w:w="7796" w:type="dxa"/>
            <w:gridSpan w:val="6"/>
            <w:tcBorders>
              <w:right w:val="thinThickSmallGap" w:color="auto" w:sz="24" w:space="0"/>
            </w:tcBorders>
            <w:vAlign w:val="center"/>
          </w:tcPr>
          <w:p>
            <w:pPr>
              <w:pStyle w:val="193"/>
              <w:jc w:val="left"/>
              <w:rPr>
                <w:rFonts w:ascii="仿宋_GB2312"/>
                <w:sz w:val="21"/>
                <w:szCs w:val="24"/>
              </w:rPr>
            </w:pPr>
            <w:r>
              <w:rPr>
                <w:rFonts w:hint="eastAsia" w:ascii="仿宋_GB2312"/>
                <w:sz w:val="21"/>
                <w:szCs w:val="24"/>
              </w:rPr>
              <w:t>年生产天数</w:t>
            </w:r>
            <w:r>
              <w:rPr>
                <w:rFonts w:ascii="仿宋_GB2312"/>
                <w:sz w:val="21"/>
                <w:szCs w:val="24"/>
              </w:rPr>
              <w:t>365</w:t>
            </w:r>
            <w:r>
              <w:rPr>
                <w:rFonts w:hint="eastAsia" w:ascii="仿宋_GB2312"/>
                <w:sz w:val="21"/>
                <w:szCs w:val="24"/>
              </w:rPr>
              <w:t>，生产制度实行四班三运转，操作时数为</w:t>
            </w:r>
            <w:r>
              <w:rPr>
                <w:rFonts w:ascii="仿宋_GB2312"/>
                <w:sz w:val="21"/>
                <w:szCs w:val="24"/>
              </w:rPr>
              <w:t>8786</w:t>
            </w:r>
            <w:r>
              <w:rPr>
                <w:rFonts w:hint="eastAsia" w:ascii="仿宋_GB2312"/>
                <w:sz w:val="21"/>
                <w:szCs w:val="24"/>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1530" w:type="dxa"/>
            <w:tcBorders>
              <w:left w:val="thinThickSmallGap" w:color="auto" w:sz="24" w:space="0"/>
              <w:bottom w:val="thinThickSmallGap" w:color="auto" w:sz="24" w:space="0"/>
            </w:tcBorders>
            <w:vAlign w:val="center"/>
          </w:tcPr>
          <w:p>
            <w:pPr>
              <w:pStyle w:val="193"/>
              <w:rPr>
                <w:rFonts w:ascii="仿宋_GB2312"/>
                <w:sz w:val="21"/>
                <w:szCs w:val="24"/>
              </w:rPr>
            </w:pPr>
            <w:r>
              <w:rPr>
                <w:rFonts w:hint="eastAsia" w:ascii="仿宋_GB2312"/>
                <w:sz w:val="21"/>
                <w:szCs w:val="24"/>
              </w:rPr>
              <w:t>产品方案</w:t>
            </w:r>
          </w:p>
        </w:tc>
        <w:tc>
          <w:tcPr>
            <w:tcW w:w="7796" w:type="dxa"/>
            <w:gridSpan w:val="6"/>
            <w:tcBorders>
              <w:bottom w:val="thinThickSmallGap" w:color="auto" w:sz="24" w:space="0"/>
              <w:right w:val="thinThickSmallGap" w:color="auto" w:sz="24" w:space="0"/>
            </w:tcBorders>
            <w:vAlign w:val="center"/>
          </w:tcPr>
          <w:p>
            <w:pPr>
              <w:rPr>
                <w:rFonts w:ascii="仿宋_GB2312"/>
                <w:color w:val="000000"/>
                <w:szCs w:val="21"/>
              </w:rPr>
            </w:pPr>
            <w:r>
              <w:rPr>
                <w:rFonts w:hint="eastAsia" w:ascii="仿宋_GB2312" w:cs="仿宋_GB2312"/>
                <w:kern w:val="0"/>
                <w:szCs w:val="21"/>
                <w:lang w:val="zh-CN"/>
              </w:rPr>
              <w:t>污水处理规模为</w:t>
            </w:r>
            <w:r>
              <w:rPr>
                <w:rFonts w:ascii="仿宋_GB2312" w:cs="仿宋_GB2312"/>
                <w:kern w:val="0"/>
                <w:szCs w:val="21"/>
                <w:lang w:val="zh-CN"/>
              </w:rPr>
              <w:t>1135</w:t>
            </w:r>
            <w:r>
              <w:rPr>
                <w:rFonts w:hint="eastAsia" w:ascii="仿宋_GB2312" w:cs="仿宋_GB2312"/>
                <w:kern w:val="0"/>
                <w:szCs w:val="21"/>
                <w:lang w:val="zh-CN"/>
              </w:rPr>
              <w:t>吨</w:t>
            </w:r>
            <w:r>
              <w:rPr>
                <w:rFonts w:ascii="仿宋_GB2312" w:cs="仿宋_GB2312"/>
                <w:kern w:val="0"/>
                <w:szCs w:val="21"/>
                <w:lang w:val="zh-CN"/>
              </w:rPr>
              <w:t>/</w:t>
            </w:r>
            <w:r>
              <w:rPr>
                <w:rFonts w:hint="eastAsia" w:ascii="仿宋_GB2312" w:cs="仿宋_GB2312"/>
                <w:kern w:val="0"/>
                <w:szCs w:val="21"/>
                <w:lang w:val="zh-CN"/>
              </w:rPr>
              <w:t>日、</w:t>
            </w:r>
            <w:r>
              <w:rPr>
                <w:rFonts w:hint="eastAsia" w:ascii="仿宋_GB2312" w:cs="仿宋_GB2312"/>
                <w:szCs w:val="21"/>
              </w:rPr>
              <w:t>一般污泥</w:t>
            </w:r>
          </w:p>
        </w:tc>
      </w:tr>
    </w:tbl>
    <w:p>
      <w:pPr>
        <w:adjustRightInd w:val="0"/>
        <w:snapToGrid w:val="0"/>
        <w:spacing w:line="460" w:lineRule="exact"/>
        <w:outlineLvl w:val="1"/>
        <w:rPr>
          <w:rFonts w:hint="eastAsia"/>
          <w:b/>
          <w:color w:val="000000"/>
          <w:sz w:val="26"/>
          <w:szCs w:val="26"/>
        </w:rPr>
      </w:pPr>
      <w:bookmarkStart w:id="144" w:name="_Toc12791"/>
      <w:r>
        <w:rPr>
          <w:rFonts w:hint="eastAsia"/>
          <w:b/>
          <w:color w:val="000000"/>
          <w:sz w:val="26"/>
          <w:szCs w:val="26"/>
          <w:lang w:val="zh-CN"/>
        </w:rPr>
        <w:t>2.2 周边环境概况</w:t>
      </w:r>
      <w:bookmarkEnd w:id="144"/>
    </w:p>
    <w:p>
      <w:pPr>
        <w:autoSpaceDE w:val="0"/>
        <w:autoSpaceDN w:val="0"/>
        <w:adjustRightInd w:val="0"/>
        <w:spacing w:line="460" w:lineRule="exact"/>
        <w:rPr>
          <w:rFonts w:ascii="宋体" w:cs="仿宋_GB2312"/>
          <w:b/>
          <w:sz w:val="28"/>
          <w:szCs w:val="28"/>
          <w:lang w:val="zh-CN"/>
        </w:rPr>
      </w:pPr>
      <w:r>
        <w:rPr>
          <w:rFonts w:ascii="宋体" w:hAnsi="宋体" w:cs="仿宋_GB2312"/>
          <w:b/>
          <w:sz w:val="28"/>
          <w:szCs w:val="28"/>
          <w:lang w:val="zh-CN"/>
        </w:rPr>
        <w:t>2.2.1</w:t>
      </w:r>
      <w:r>
        <w:rPr>
          <w:rFonts w:hint="eastAsia" w:ascii="宋体" w:hAnsi="宋体" w:cs="仿宋_GB2312"/>
          <w:b/>
          <w:sz w:val="28"/>
          <w:szCs w:val="28"/>
          <w:lang w:val="zh-CN"/>
        </w:rPr>
        <w:t>地理位置</w:t>
      </w:r>
    </w:p>
    <w:p>
      <w:pPr>
        <w:spacing w:line="460" w:lineRule="exact"/>
        <w:ind w:firstLine="480"/>
        <w:rPr>
          <w:rFonts w:ascii="仿宋_GB2312"/>
          <w:sz w:val="24"/>
          <w:szCs w:val="24"/>
        </w:rPr>
      </w:pPr>
      <w:r>
        <w:rPr>
          <w:rFonts w:hint="eastAsia" w:ascii="仿宋_GB2312"/>
          <w:sz w:val="24"/>
          <w:szCs w:val="24"/>
        </w:rPr>
        <w:t>涪陵区地处重庆市东部，位于重庆市中心区下游</w:t>
      </w:r>
      <w:r>
        <w:rPr>
          <w:rFonts w:ascii="仿宋_GB2312"/>
          <w:sz w:val="24"/>
          <w:szCs w:val="24"/>
        </w:rPr>
        <w:t>120km</w:t>
      </w:r>
      <w:r>
        <w:rPr>
          <w:rFonts w:hint="eastAsia" w:ascii="仿宋_GB2312"/>
          <w:sz w:val="24"/>
          <w:szCs w:val="24"/>
        </w:rPr>
        <w:t>长江和乌江汇合口处，地理坐标介于东经</w:t>
      </w:r>
      <w:r>
        <w:rPr>
          <w:rFonts w:ascii="仿宋_GB2312"/>
          <w:sz w:val="24"/>
          <w:szCs w:val="24"/>
        </w:rPr>
        <w:t>106</w:t>
      </w:r>
      <w:r>
        <w:rPr>
          <w:rFonts w:hint="eastAsia" w:ascii="仿宋_GB2312"/>
          <w:sz w:val="24"/>
          <w:szCs w:val="24"/>
        </w:rPr>
        <w:t>°</w:t>
      </w:r>
      <w:r>
        <w:rPr>
          <w:rFonts w:ascii="仿宋_GB2312"/>
          <w:sz w:val="24"/>
          <w:szCs w:val="24"/>
        </w:rPr>
        <w:t>56</w:t>
      </w:r>
      <w:r>
        <w:rPr>
          <w:rFonts w:hint="eastAsia" w:ascii="仿宋_GB2312" w:hAnsi="宋体" w:cs="宋体"/>
          <w:sz w:val="24"/>
          <w:szCs w:val="24"/>
        </w:rPr>
        <w:t>´´</w:t>
      </w:r>
      <w:r>
        <w:rPr>
          <w:rFonts w:hint="eastAsia" w:ascii="仿宋_GB2312" w:hAnsi="仿宋_GB2312" w:cs="仿宋_GB2312"/>
          <w:sz w:val="24"/>
          <w:szCs w:val="24"/>
        </w:rPr>
        <w:t>至</w:t>
      </w:r>
      <w:r>
        <w:rPr>
          <w:rFonts w:ascii="仿宋_GB2312"/>
          <w:sz w:val="24"/>
          <w:szCs w:val="24"/>
        </w:rPr>
        <w:t>107</w:t>
      </w:r>
      <w:r>
        <w:rPr>
          <w:rFonts w:hint="eastAsia" w:ascii="仿宋_GB2312"/>
          <w:sz w:val="24"/>
          <w:szCs w:val="24"/>
        </w:rPr>
        <w:t>°</w:t>
      </w:r>
      <w:r>
        <w:rPr>
          <w:rFonts w:ascii="仿宋_GB2312"/>
          <w:sz w:val="24"/>
          <w:szCs w:val="24"/>
        </w:rPr>
        <w:t>43</w:t>
      </w:r>
      <w:r>
        <w:rPr>
          <w:rFonts w:hint="eastAsia" w:ascii="仿宋_GB2312" w:hAnsi="宋体" w:cs="宋体"/>
          <w:sz w:val="24"/>
          <w:szCs w:val="24"/>
        </w:rPr>
        <w:t>´´</w:t>
      </w:r>
      <w:r>
        <w:rPr>
          <w:rFonts w:hint="eastAsia" w:ascii="仿宋_GB2312" w:hAnsi="仿宋_GB2312" w:cs="仿宋_GB2312"/>
          <w:sz w:val="24"/>
          <w:szCs w:val="24"/>
        </w:rPr>
        <w:t>，北纬</w:t>
      </w:r>
      <w:r>
        <w:rPr>
          <w:rFonts w:ascii="仿宋_GB2312"/>
          <w:sz w:val="24"/>
          <w:szCs w:val="24"/>
        </w:rPr>
        <w:t>29</w:t>
      </w:r>
      <w:r>
        <w:rPr>
          <w:rFonts w:hint="eastAsia" w:ascii="仿宋_GB2312"/>
          <w:sz w:val="24"/>
          <w:szCs w:val="24"/>
        </w:rPr>
        <w:t>°</w:t>
      </w:r>
      <w:r>
        <w:rPr>
          <w:rFonts w:ascii="仿宋_GB2312"/>
          <w:sz w:val="24"/>
          <w:szCs w:val="24"/>
        </w:rPr>
        <w:t>21</w:t>
      </w:r>
      <w:r>
        <w:rPr>
          <w:rFonts w:hint="eastAsia" w:ascii="仿宋_GB2312" w:hAnsi="宋体" w:cs="宋体"/>
          <w:sz w:val="24"/>
          <w:szCs w:val="24"/>
        </w:rPr>
        <w:t>´´</w:t>
      </w:r>
      <w:r>
        <w:rPr>
          <w:rFonts w:hint="eastAsia" w:ascii="仿宋_GB2312" w:hAnsi="仿宋_GB2312" w:cs="仿宋_GB2312"/>
          <w:sz w:val="24"/>
          <w:szCs w:val="24"/>
        </w:rPr>
        <w:t>至</w:t>
      </w:r>
      <w:r>
        <w:rPr>
          <w:rFonts w:ascii="仿宋_GB2312"/>
          <w:sz w:val="24"/>
          <w:szCs w:val="24"/>
        </w:rPr>
        <w:t>30</w:t>
      </w:r>
      <w:r>
        <w:rPr>
          <w:rFonts w:hint="eastAsia" w:ascii="仿宋_GB2312"/>
          <w:sz w:val="24"/>
          <w:szCs w:val="24"/>
        </w:rPr>
        <w:t>°</w:t>
      </w:r>
      <w:r>
        <w:rPr>
          <w:rFonts w:ascii="仿宋_GB2312"/>
          <w:sz w:val="24"/>
          <w:szCs w:val="24"/>
        </w:rPr>
        <w:t>01</w:t>
      </w:r>
      <w:r>
        <w:rPr>
          <w:rFonts w:hint="eastAsia" w:ascii="仿宋_GB2312" w:hAnsi="宋体" w:cs="宋体"/>
          <w:sz w:val="24"/>
          <w:szCs w:val="24"/>
        </w:rPr>
        <w:t>´´</w:t>
      </w:r>
      <w:r>
        <w:rPr>
          <w:rFonts w:hint="eastAsia" w:ascii="仿宋_GB2312" w:hAnsi="仿宋_GB2312" w:cs="仿宋_GB2312"/>
          <w:sz w:val="24"/>
          <w:szCs w:val="24"/>
        </w:rPr>
        <w:t>之间。东邻丰都，南接武隆，西接巴南区。经</w:t>
      </w:r>
      <w:r>
        <w:rPr>
          <w:rFonts w:ascii="仿宋_GB2312"/>
          <w:sz w:val="24"/>
          <w:szCs w:val="24"/>
        </w:rPr>
        <w:t>319</w:t>
      </w:r>
      <w:r>
        <w:rPr>
          <w:rFonts w:hint="eastAsia" w:ascii="仿宋_GB2312"/>
          <w:sz w:val="24"/>
          <w:szCs w:val="24"/>
        </w:rPr>
        <w:t>国道涪长公路、涪南公路与长寿、南川及湘鄂边区连接，出三峡与武汉、南京、上海一衣带水。东西长</w:t>
      </w:r>
      <w:r>
        <w:rPr>
          <w:rFonts w:ascii="仿宋_GB2312"/>
          <w:sz w:val="24"/>
          <w:szCs w:val="24"/>
        </w:rPr>
        <w:t>76km</w:t>
      </w:r>
      <w:r>
        <w:rPr>
          <w:rFonts w:hint="eastAsia" w:ascii="仿宋_GB2312"/>
          <w:sz w:val="24"/>
          <w:szCs w:val="24"/>
        </w:rPr>
        <w:t>，南北宽</w:t>
      </w:r>
      <w:r>
        <w:rPr>
          <w:rFonts w:ascii="仿宋_GB2312"/>
          <w:sz w:val="24"/>
          <w:szCs w:val="24"/>
        </w:rPr>
        <w:t>67km</w:t>
      </w:r>
      <w:r>
        <w:rPr>
          <w:rFonts w:hint="eastAsia" w:ascii="仿宋_GB2312"/>
          <w:sz w:val="24"/>
          <w:szCs w:val="24"/>
        </w:rPr>
        <w:t>，幅员面积</w:t>
      </w:r>
      <w:r>
        <w:rPr>
          <w:rFonts w:ascii="仿宋_GB2312"/>
          <w:sz w:val="24"/>
          <w:szCs w:val="24"/>
        </w:rPr>
        <w:t>2941.46km</w:t>
      </w:r>
      <w:r>
        <w:rPr>
          <w:rFonts w:ascii="仿宋_GB2312"/>
          <w:sz w:val="24"/>
          <w:szCs w:val="24"/>
          <w:vertAlign w:val="superscript"/>
        </w:rPr>
        <w:t>2</w:t>
      </w:r>
      <w:r>
        <w:rPr>
          <w:rFonts w:hint="eastAsia" w:ascii="仿宋_GB2312"/>
          <w:sz w:val="24"/>
          <w:szCs w:val="24"/>
        </w:rPr>
        <w:t>。</w:t>
      </w:r>
    </w:p>
    <w:p>
      <w:pPr>
        <w:spacing w:line="460" w:lineRule="exact"/>
        <w:ind w:firstLine="480"/>
        <w:rPr>
          <w:rFonts w:ascii="仿宋_GB2312" w:hAnsi="宋体"/>
          <w:bCs/>
          <w:snapToGrid w:val="0"/>
          <w:kern w:val="0"/>
          <w:sz w:val="24"/>
          <w:szCs w:val="24"/>
        </w:rPr>
      </w:pPr>
      <w:r>
        <w:rPr>
          <w:rFonts w:hint="eastAsia" w:ascii="仿宋_GB2312" w:hAnsi="宋体"/>
          <w:bCs/>
          <w:snapToGrid w:val="0"/>
          <w:sz w:val="24"/>
          <w:szCs w:val="24"/>
        </w:rPr>
        <w:t>项目所在的涪陵区百胜镇</w:t>
      </w:r>
      <w:r>
        <w:rPr>
          <w:rStyle w:val="420"/>
          <w:rFonts w:hint="eastAsia" w:ascii="仿宋_GB2312" w:hAnsi="宋体"/>
          <w:bCs/>
        </w:rPr>
        <w:t>位于北纬</w:t>
      </w:r>
      <w:r>
        <w:rPr>
          <w:rStyle w:val="420"/>
          <w:rFonts w:ascii="仿宋_GB2312" w:hAnsi="宋体"/>
          <w:bCs/>
        </w:rPr>
        <w:t>29</w:t>
      </w:r>
      <w:r>
        <w:rPr>
          <w:rStyle w:val="420"/>
          <w:rFonts w:hint="eastAsia" w:ascii="仿宋_GB2312" w:hAnsi="宋体"/>
          <w:bCs/>
        </w:rPr>
        <w:t>°</w:t>
      </w:r>
      <w:r>
        <w:rPr>
          <w:rStyle w:val="420"/>
          <w:rFonts w:ascii="仿宋_GB2312" w:hAnsi="宋体"/>
          <w:bCs/>
        </w:rPr>
        <w:t>48</w:t>
      </w:r>
      <w:r>
        <w:rPr>
          <w:rStyle w:val="420"/>
          <w:rFonts w:hint="eastAsia" w:ascii="仿宋_GB2312" w:hAnsi="宋体" w:cs="宋体"/>
          <w:bCs/>
        </w:rPr>
        <w:t>ˊ</w:t>
      </w:r>
      <w:r>
        <w:rPr>
          <w:rStyle w:val="420"/>
          <w:rFonts w:hint="eastAsia" w:ascii="仿宋_GB2312" w:hAnsi="仿宋_GB2312" w:cs="仿宋_GB2312"/>
          <w:bCs/>
        </w:rPr>
        <w:t>、</w:t>
      </w:r>
      <w:r>
        <w:rPr>
          <w:rStyle w:val="420"/>
          <w:rFonts w:hint="eastAsia" w:ascii="仿宋_GB2312" w:hAnsi="宋体"/>
          <w:bCs/>
        </w:rPr>
        <w:t>东经</w:t>
      </w:r>
      <w:r>
        <w:rPr>
          <w:rStyle w:val="420"/>
          <w:rFonts w:ascii="仿宋_GB2312" w:hAnsi="宋体"/>
          <w:bCs/>
        </w:rPr>
        <w:t>107</w:t>
      </w:r>
      <w:r>
        <w:rPr>
          <w:rStyle w:val="420"/>
          <w:rFonts w:hint="eastAsia" w:ascii="仿宋_GB2312" w:hAnsi="宋体"/>
          <w:bCs/>
        </w:rPr>
        <w:t>°</w:t>
      </w:r>
      <w:r>
        <w:rPr>
          <w:rStyle w:val="420"/>
          <w:rFonts w:ascii="仿宋_GB2312" w:hAnsi="宋体"/>
          <w:bCs/>
        </w:rPr>
        <w:t>23</w:t>
      </w:r>
      <w:r>
        <w:rPr>
          <w:rStyle w:val="420"/>
          <w:rFonts w:hint="eastAsia" w:ascii="仿宋_GB2312" w:hAnsi="宋体" w:cs="宋体"/>
          <w:bCs/>
        </w:rPr>
        <w:t>ˊ</w:t>
      </w:r>
      <w:r>
        <w:rPr>
          <w:rStyle w:val="420"/>
          <w:rFonts w:hint="eastAsia" w:ascii="仿宋_GB2312" w:hAnsi="宋体"/>
          <w:bCs/>
        </w:rPr>
        <w:t>，</w:t>
      </w:r>
      <w:r>
        <w:rPr>
          <w:rFonts w:hint="eastAsia" w:ascii="仿宋_GB2312" w:hAnsi="宋体"/>
          <w:bCs/>
          <w:snapToGrid w:val="0"/>
          <w:sz w:val="24"/>
          <w:szCs w:val="24"/>
        </w:rPr>
        <w:t>幅员面积</w:t>
      </w:r>
      <w:r>
        <w:rPr>
          <w:rFonts w:ascii="仿宋_GB2312" w:hAnsi="宋体"/>
          <w:bCs/>
          <w:snapToGrid w:val="0"/>
          <w:sz w:val="24"/>
          <w:szCs w:val="24"/>
        </w:rPr>
        <w:t>92.19</w:t>
      </w:r>
      <w:r>
        <w:rPr>
          <w:rFonts w:hint="eastAsia" w:ascii="仿宋_GB2312" w:hAnsi="宋体"/>
          <w:bCs/>
          <w:snapToGrid w:val="0"/>
          <w:sz w:val="24"/>
          <w:szCs w:val="24"/>
        </w:rPr>
        <w:t>平方公里</w:t>
      </w:r>
      <w:r>
        <w:rPr>
          <w:rFonts w:hint="eastAsia" w:ascii="仿宋_GB2312" w:hAnsi="宋体"/>
          <w:bCs/>
          <w:snapToGrid w:val="0"/>
          <w:kern w:val="0"/>
          <w:sz w:val="24"/>
          <w:szCs w:val="24"/>
        </w:rPr>
        <w:t>。</w:t>
      </w:r>
      <w:r>
        <w:rPr>
          <w:rStyle w:val="420"/>
          <w:rFonts w:hint="eastAsia" w:ascii="仿宋_GB2312" w:hAnsi="宋体"/>
          <w:bCs/>
        </w:rPr>
        <w:t>距涪陵城</w:t>
      </w:r>
      <w:r>
        <w:rPr>
          <w:rStyle w:val="420"/>
          <w:rFonts w:ascii="仿宋_GB2312" w:hAnsi="宋体"/>
          <w:bCs/>
        </w:rPr>
        <w:t>15</w:t>
      </w:r>
      <w:r>
        <w:rPr>
          <w:rStyle w:val="420"/>
          <w:rFonts w:hint="eastAsia" w:ascii="仿宋_GB2312" w:hAnsi="宋体"/>
          <w:bCs/>
        </w:rPr>
        <w:t>公里，东濒长江，南连江北办事处，西接丛林乡，北抵珍溪镇，涪垫路、涪丰路北线横贯全境。</w:t>
      </w:r>
    </w:p>
    <w:p>
      <w:pPr>
        <w:pStyle w:val="421"/>
        <w:rPr>
          <w:rFonts w:ascii="宋体"/>
          <w:snapToGrid w:val="0"/>
          <w:sz w:val="28"/>
          <w:szCs w:val="28"/>
        </w:rPr>
      </w:pPr>
      <w:r>
        <w:rPr>
          <w:rFonts w:ascii="宋体" w:hAnsi="宋体"/>
          <w:snapToGrid w:val="0"/>
          <w:sz w:val="28"/>
          <w:szCs w:val="28"/>
        </w:rPr>
        <w:t>2.2.3</w:t>
      </w:r>
      <w:r>
        <w:rPr>
          <w:rFonts w:hint="eastAsia" w:ascii="宋体" w:hAnsi="宋体"/>
          <w:snapToGrid w:val="0"/>
          <w:sz w:val="28"/>
          <w:szCs w:val="28"/>
        </w:rPr>
        <w:t>气候、气象</w:t>
      </w:r>
    </w:p>
    <w:p>
      <w:pPr>
        <w:spacing w:line="460" w:lineRule="exact"/>
        <w:ind w:firstLine="480"/>
        <w:rPr>
          <w:rFonts w:ascii="仿宋_GB2312"/>
          <w:sz w:val="24"/>
          <w:szCs w:val="24"/>
        </w:rPr>
      </w:pPr>
      <w:r>
        <w:rPr>
          <w:rFonts w:hint="eastAsia" w:ascii="仿宋_GB2312"/>
          <w:sz w:val="24"/>
          <w:szCs w:val="24"/>
        </w:rPr>
        <w:t>涪陵区地貌属川东平行岭谷区，以中低山、丘陵为主，丘陵占幅员面积</w:t>
      </w:r>
      <w:r>
        <w:rPr>
          <w:rFonts w:ascii="仿宋_GB2312"/>
          <w:sz w:val="24"/>
          <w:szCs w:val="24"/>
        </w:rPr>
        <w:t>44.2%</w:t>
      </w:r>
      <w:r>
        <w:rPr>
          <w:rFonts w:hint="eastAsia" w:ascii="仿宋_GB2312"/>
          <w:sz w:val="24"/>
          <w:szCs w:val="24"/>
        </w:rPr>
        <w:t>，中低山区占</w:t>
      </w:r>
      <w:r>
        <w:rPr>
          <w:rFonts w:ascii="仿宋_GB2312"/>
          <w:sz w:val="24"/>
          <w:szCs w:val="24"/>
        </w:rPr>
        <w:t>32.7%</w:t>
      </w:r>
      <w:r>
        <w:rPr>
          <w:rFonts w:hint="eastAsia" w:ascii="仿宋_GB2312"/>
          <w:sz w:val="24"/>
          <w:szCs w:val="24"/>
        </w:rPr>
        <w:t>，低山占</w:t>
      </w:r>
      <w:r>
        <w:rPr>
          <w:rFonts w:ascii="仿宋_GB2312"/>
          <w:sz w:val="24"/>
          <w:szCs w:val="24"/>
        </w:rPr>
        <w:t>23.1%</w:t>
      </w:r>
      <w:r>
        <w:rPr>
          <w:rFonts w:hint="eastAsia" w:ascii="仿宋_GB2312"/>
          <w:sz w:val="24"/>
          <w:szCs w:val="24"/>
        </w:rPr>
        <w:t>。地质构造属新华夏系第三沉降带，出露岩层为基石、沙石、页石及灰石。</w:t>
      </w:r>
    </w:p>
    <w:p>
      <w:pPr>
        <w:spacing w:line="460" w:lineRule="exact"/>
        <w:ind w:firstLine="480"/>
        <w:rPr>
          <w:rFonts w:ascii="仿宋_GB2312"/>
          <w:sz w:val="24"/>
          <w:szCs w:val="24"/>
        </w:rPr>
      </w:pPr>
      <w:r>
        <w:rPr>
          <w:rFonts w:hint="eastAsia" w:ascii="仿宋_GB2312"/>
          <w:sz w:val="24"/>
          <w:szCs w:val="24"/>
        </w:rPr>
        <w:t>涪陵区地质构造属于新华厦构造体系，出露岩层为基岩、砂岩、页岩及灰岩。岩层地质属侏罗系珍珠沉淀和自流井沉积的泥（页）岩和突砂岩组成，场地处于自然稳定状态，周围未发现构造裂缝和滑坡迹象及其他不利于项目建设的地质问题。涪陵地处于渝东平行岭谷区，地形以丘陵为主，地面坡度</w:t>
      </w:r>
      <w:r>
        <w:rPr>
          <w:rFonts w:ascii="仿宋_GB2312"/>
          <w:sz w:val="24"/>
          <w:szCs w:val="24"/>
        </w:rPr>
        <w:t>10</w:t>
      </w:r>
      <w:r>
        <w:rPr>
          <w:rFonts w:hint="eastAsia" w:ascii="仿宋_GB2312"/>
          <w:sz w:val="24"/>
          <w:szCs w:val="24"/>
        </w:rPr>
        <w:t>°～</w:t>
      </w:r>
      <w:r>
        <w:rPr>
          <w:rFonts w:ascii="仿宋_GB2312"/>
          <w:sz w:val="24"/>
          <w:szCs w:val="24"/>
        </w:rPr>
        <w:t>25</w:t>
      </w:r>
      <w:r>
        <w:rPr>
          <w:rFonts w:hint="eastAsia" w:ascii="仿宋_GB2312"/>
          <w:sz w:val="24"/>
          <w:szCs w:val="24"/>
        </w:rPr>
        <w:t>°。</w:t>
      </w:r>
    </w:p>
    <w:p>
      <w:pPr>
        <w:spacing w:line="480" w:lineRule="exact"/>
        <w:ind w:firstLine="574" w:firstLineChars="239"/>
        <w:rPr>
          <w:rFonts w:ascii="仿宋_GB2312" w:hAnsi="宋体"/>
          <w:bCs/>
          <w:snapToGrid w:val="0"/>
          <w:kern w:val="0"/>
          <w:sz w:val="24"/>
          <w:szCs w:val="24"/>
        </w:rPr>
      </w:pPr>
      <w:r>
        <w:rPr>
          <w:rFonts w:hint="eastAsia" w:ascii="仿宋_GB2312" w:hAnsi="宋体"/>
          <w:bCs/>
          <w:snapToGrid w:val="0"/>
          <w:kern w:val="0"/>
          <w:sz w:val="24"/>
          <w:szCs w:val="24"/>
        </w:rPr>
        <w:t>百胜镇属于上沙溪庙组地层，由紫红、棕红色泥岩、粉砂质泥岩与紫灰、浅灰绿色长石砂岩不等厚互层，夹粉砂岩等构成。底部与下伏层呈整合接触。含鱼化石。总厚</w:t>
      </w:r>
      <w:r>
        <w:rPr>
          <w:rFonts w:ascii="仿宋_GB2312" w:hAnsi="宋体"/>
          <w:bCs/>
          <w:snapToGrid w:val="0"/>
          <w:kern w:val="0"/>
          <w:sz w:val="24"/>
          <w:szCs w:val="24"/>
        </w:rPr>
        <w:t>1482</w:t>
      </w:r>
      <w:r>
        <w:rPr>
          <w:rFonts w:hint="eastAsia" w:ascii="仿宋_GB2312" w:hAnsi="宋体"/>
          <w:bCs/>
          <w:snapToGrid w:val="0"/>
          <w:kern w:val="0"/>
          <w:sz w:val="24"/>
          <w:szCs w:val="24"/>
        </w:rPr>
        <w:t>至</w:t>
      </w:r>
      <w:r>
        <w:rPr>
          <w:rFonts w:ascii="仿宋_GB2312" w:hAnsi="宋体"/>
          <w:bCs/>
          <w:snapToGrid w:val="0"/>
          <w:kern w:val="0"/>
          <w:sz w:val="24"/>
          <w:szCs w:val="24"/>
        </w:rPr>
        <w:t>1719</w:t>
      </w:r>
      <w:r>
        <w:rPr>
          <w:rFonts w:hint="eastAsia" w:ascii="仿宋_GB2312" w:hAnsi="宋体"/>
          <w:bCs/>
          <w:snapToGrid w:val="0"/>
          <w:kern w:val="0"/>
          <w:sz w:val="24"/>
          <w:szCs w:val="24"/>
        </w:rPr>
        <w:t>米。</w:t>
      </w:r>
    </w:p>
    <w:p>
      <w:pPr>
        <w:pStyle w:val="421"/>
        <w:rPr>
          <w:snapToGrid w:val="0"/>
          <w:sz w:val="28"/>
          <w:szCs w:val="28"/>
        </w:rPr>
      </w:pPr>
      <w:r>
        <w:rPr>
          <w:rFonts w:ascii="宋体" w:hAnsi="宋体"/>
          <w:snapToGrid w:val="0"/>
          <w:sz w:val="28"/>
          <w:szCs w:val="28"/>
        </w:rPr>
        <w:t>2.2.4</w:t>
      </w:r>
      <w:r>
        <w:rPr>
          <w:rFonts w:hint="eastAsia"/>
          <w:snapToGrid w:val="0"/>
          <w:sz w:val="28"/>
          <w:szCs w:val="28"/>
        </w:rPr>
        <w:t>水文特征</w:t>
      </w:r>
    </w:p>
    <w:p>
      <w:pPr>
        <w:spacing w:line="480" w:lineRule="exact"/>
        <w:ind w:left="79" w:firstLine="480"/>
        <w:rPr>
          <w:rFonts w:ascii="仿宋_GB2312" w:hAnsi="宋体"/>
          <w:bCs/>
          <w:snapToGrid w:val="0"/>
          <w:kern w:val="0"/>
          <w:sz w:val="24"/>
          <w:szCs w:val="24"/>
        </w:rPr>
      </w:pPr>
      <w:r>
        <w:rPr>
          <w:rFonts w:hint="eastAsia" w:ascii="仿宋_GB2312" w:hAnsi="宋体"/>
          <w:bCs/>
          <w:snapToGrid w:val="0"/>
          <w:kern w:val="0"/>
          <w:sz w:val="24"/>
          <w:szCs w:val="24"/>
        </w:rPr>
        <w:t>项目受纳水体为长江。长江在长寿区东黄草峡瓦罐窑流入涪陵区境，于龙驹东朱家嘴入丰都县境，在涪陵境内流长</w:t>
      </w:r>
      <w:r>
        <w:rPr>
          <w:rFonts w:ascii="仿宋_GB2312" w:hAnsi="宋体"/>
          <w:bCs/>
          <w:snapToGrid w:val="0"/>
          <w:kern w:val="0"/>
          <w:sz w:val="24"/>
          <w:szCs w:val="24"/>
        </w:rPr>
        <w:t>86</w:t>
      </w:r>
      <w:r>
        <w:rPr>
          <w:rFonts w:hint="eastAsia" w:ascii="仿宋_GB2312" w:hAnsi="宋体"/>
          <w:bCs/>
          <w:snapToGrid w:val="0"/>
          <w:kern w:val="0"/>
          <w:sz w:val="24"/>
          <w:szCs w:val="24"/>
        </w:rPr>
        <w:t>公里。根据长江百胜水文站多年资料，长江涪陵江段接纳乌江前的多年平均流量</w:t>
      </w:r>
      <w:r>
        <w:rPr>
          <w:rFonts w:ascii="仿宋_GB2312" w:hAnsi="宋体"/>
          <w:bCs/>
          <w:snapToGrid w:val="0"/>
          <w:kern w:val="0"/>
          <w:sz w:val="24"/>
          <w:szCs w:val="24"/>
        </w:rPr>
        <w:t>1.13</w:t>
      </w:r>
      <w:r>
        <w:rPr>
          <w:rFonts w:hint="eastAsia" w:ascii="仿宋_GB2312" w:hAnsi="宋体"/>
          <w:bCs/>
          <w:snapToGrid w:val="0"/>
          <w:kern w:val="0"/>
          <w:sz w:val="24"/>
          <w:szCs w:val="24"/>
        </w:rPr>
        <w:t>万</w:t>
      </w:r>
      <w:r>
        <w:rPr>
          <w:rFonts w:ascii="仿宋_GB2312" w:hAnsi="宋体"/>
          <w:bCs/>
          <w:snapToGrid w:val="0"/>
          <w:kern w:val="0"/>
          <w:sz w:val="24"/>
          <w:szCs w:val="24"/>
        </w:rPr>
        <w:t>m</w:t>
      </w:r>
      <w:r>
        <w:rPr>
          <w:rFonts w:ascii="仿宋_GB2312" w:hAnsi="宋体"/>
          <w:bCs/>
          <w:snapToGrid w:val="0"/>
          <w:kern w:val="0"/>
          <w:sz w:val="24"/>
          <w:szCs w:val="24"/>
          <w:vertAlign w:val="superscript"/>
        </w:rPr>
        <w:t>3</w:t>
      </w:r>
      <w:r>
        <w:rPr>
          <w:rFonts w:ascii="仿宋_GB2312" w:hAnsi="宋体"/>
          <w:bCs/>
          <w:snapToGrid w:val="0"/>
          <w:kern w:val="0"/>
          <w:sz w:val="24"/>
          <w:szCs w:val="24"/>
        </w:rPr>
        <w:t>/s</w:t>
      </w:r>
      <w:r>
        <w:rPr>
          <w:rFonts w:hint="eastAsia" w:ascii="仿宋_GB2312" w:hAnsi="宋体"/>
          <w:bCs/>
          <w:snapToGrid w:val="0"/>
          <w:kern w:val="0"/>
          <w:sz w:val="24"/>
          <w:szCs w:val="24"/>
        </w:rPr>
        <w:t>，接纳乌江后增大至</w:t>
      </w:r>
      <w:r>
        <w:rPr>
          <w:rFonts w:ascii="仿宋_GB2312" w:hAnsi="宋体"/>
          <w:bCs/>
          <w:snapToGrid w:val="0"/>
          <w:kern w:val="0"/>
          <w:sz w:val="24"/>
          <w:szCs w:val="24"/>
        </w:rPr>
        <w:t>1.35</w:t>
      </w:r>
      <w:r>
        <w:rPr>
          <w:rFonts w:hint="eastAsia" w:ascii="仿宋_GB2312" w:hAnsi="宋体"/>
          <w:bCs/>
          <w:snapToGrid w:val="0"/>
          <w:kern w:val="0"/>
          <w:sz w:val="24"/>
          <w:szCs w:val="24"/>
        </w:rPr>
        <w:t>万</w:t>
      </w:r>
      <w:r>
        <w:rPr>
          <w:rFonts w:ascii="仿宋_GB2312" w:hAnsi="宋体"/>
          <w:bCs/>
          <w:snapToGrid w:val="0"/>
          <w:kern w:val="0"/>
          <w:sz w:val="24"/>
          <w:szCs w:val="24"/>
        </w:rPr>
        <w:t>m</w:t>
      </w:r>
      <w:r>
        <w:rPr>
          <w:rFonts w:ascii="仿宋_GB2312" w:hAnsi="宋体"/>
          <w:bCs/>
          <w:snapToGrid w:val="0"/>
          <w:kern w:val="0"/>
          <w:sz w:val="24"/>
          <w:szCs w:val="24"/>
          <w:vertAlign w:val="superscript"/>
        </w:rPr>
        <w:t>3</w:t>
      </w:r>
      <w:r>
        <w:rPr>
          <w:rFonts w:ascii="仿宋_GB2312" w:hAnsi="宋体"/>
          <w:bCs/>
          <w:snapToGrid w:val="0"/>
          <w:kern w:val="0"/>
          <w:sz w:val="24"/>
          <w:szCs w:val="24"/>
        </w:rPr>
        <w:t>/s</w:t>
      </w:r>
      <w:r>
        <w:rPr>
          <w:rFonts w:hint="eastAsia" w:ascii="仿宋_GB2312" w:hAnsi="宋体"/>
          <w:bCs/>
          <w:snapToGrid w:val="0"/>
          <w:kern w:val="0"/>
          <w:sz w:val="24"/>
          <w:szCs w:val="24"/>
        </w:rPr>
        <w:t>，平均最大流量</w:t>
      </w:r>
      <w:r>
        <w:rPr>
          <w:rFonts w:ascii="仿宋_GB2312" w:hAnsi="宋体"/>
          <w:bCs/>
          <w:snapToGrid w:val="0"/>
          <w:kern w:val="0"/>
          <w:sz w:val="24"/>
          <w:szCs w:val="24"/>
        </w:rPr>
        <w:t>31300m</w:t>
      </w:r>
      <w:r>
        <w:rPr>
          <w:rFonts w:ascii="仿宋_GB2312" w:hAnsi="宋体"/>
          <w:bCs/>
          <w:snapToGrid w:val="0"/>
          <w:kern w:val="0"/>
          <w:sz w:val="24"/>
          <w:szCs w:val="24"/>
          <w:vertAlign w:val="superscript"/>
        </w:rPr>
        <w:t>3</w:t>
      </w:r>
      <w:r>
        <w:rPr>
          <w:rFonts w:ascii="仿宋_GB2312" w:hAnsi="宋体"/>
          <w:bCs/>
          <w:snapToGrid w:val="0"/>
          <w:kern w:val="0"/>
          <w:sz w:val="24"/>
          <w:szCs w:val="24"/>
        </w:rPr>
        <w:t>/s</w:t>
      </w:r>
      <w:r>
        <w:rPr>
          <w:rFonts w:hint="eastAsia" w:ascii="仿宋_GB2312" w:hAnsi="宋体"/>
          <w:bCs/>
          <w:snapToGrid w:val="0"/>
          <w:kern w:val="0"/>
          <w:sz w:val="24"/>
          <w:szCs w:val="24"/>
        </w:rPr>
        <w:t>，平均最小流量</w:t>
      </w:r>
      <w:r>
        <w:rPr>
          <w:rFonts w:ascii="仿宋_GB2312" w:hAnsi="宋体"/>
          <w:bCs/>
          <w:snapToGrid w:val="0"/>
          <w:kern w:val="0"/>
          <w:sz w:val="24"/>
          <w:szCs w:val="24"/>
        </w:rPr>
        <w:t>3450m</w:t>
      </w:r>
      <w:r>
        <w:rPr>
          <w:rFonts w:ascii="仿宋_GB2312" w:hAnsi="宋体"/>
          <w:bCs/>
          <w:snapToGrid w:val="0"/>
          <w:kern w:val="0"/>
          <w:sz w:val="24"/>
          <w:szCs w:val="24"/>
          <w:vertAlign w:val="superscript"/>
        </w:rPr>
        <w:t>3</w:t>
      </w:r>
      <w:r>
        <w:rPr>
          <w:rFonts w:ascii="仿宋_GB2312" w:hAnsi="宋体"/>
          <w:bCs/>
          <w:snapToGrid w:val="0"/>
          <w:kern w:val="0"/>
          <w:sz w:val="24"/>
          <w:szCs w:val="24"/>
        </w:rPr>
        <w:t>/s</w:t>
      </w:r>
      <w:r>
        <w:rPr>
          <w:rFonts w:hint="eastAsia" w:ascii="仿宋_GB2312" w:hAnsi="宋体"/>
          <w:bCs/>
          <w:snapToGrid w:val="0"/>
          <w:kern w:val="0"/>
          <w:sz w:val="24"/>
          <w:szCs w:val="24"/>
        </w:rPr>
        <w:t>，历史最高水位为</w:t>
      </w:r>
      <w:r>
        <w:rPr>
          <w:rFonts w:ascii="仿宋_GB2312" w:hAnsi="宋体"/>
          <w:bCs/>
          <w:snapToGrid w:val="0"/>
          <w:kern w:val="0"/>
          <w:sz w:val="24"/>
          <w:szCs w:val="24"/>
        </w:rPr>
        <w:t>168</w:t>
      </w:r>
      <w:r>
        <w:rPr>
          <w:rFonts w:hint="eastAsia" w:ascii="仿宋_GB2312" w:hAnsi="宋体"/>
          <w:bCs/>
          <w:snapToGrid w:val="0"/>
          <w:kern w:val="0"/>
          <w:sz w:val="24"/>
          <w:szCs w:val="24"/>
        </w:rPr>
        <w:t>米，最低水位为</w:t>
      </w:r>
      <w:r>
        <w:rPr>
          <w:rFonts w:ascii="仿宋_GB2312" w:hAnsi="宋体"/>
          <w:bCs/>
          <w:snapToGrid w:val="0"/>
          <w:kern w:val="0"/>
          <w:sz w:val="24"/>
          <w:szCs w:val="24"/>
        </w:rPr>
        <w:t>137.7</w:t>
      </w:r>
      <w:r>
        <w:rPr>
          <w:rFonts w:hint="eastAsia" w:ascii="仿宋_GB2312" w:hAnsi="宋体"/>
          <w:bCs/>
          <w:snapToGrid w:val="0"/>
          <w:kern w:val="0"/>
          <w:sz w:val="24"/>
          <w:szCs w:val="24"/>
        </w:rPr>
        <w:t>米（吴淞零点）。</w:t>
      </w:r>
    </w:p>
    <w:p>
      <w:pPr>
        <w:spacing w:line="480" w:lineRule="exact"/>
        <w:ind w:firstLine="574" w:firstLineChars="239"/>
        <w:rPr>
          <w:rFonts w:ascii="仿宋_GB2312"/>
          <w:color w:val="000000"/>
          <w:sz w:val="24"/>
          <w:szCs w:val="24"/>
        </w:rPr>
      </w:pPr>
      <w:r>
        <w:rPr>
          <w:rFonts w:hint="eastAsia" w:ascii="仿宋_GB2312" w:hAnsi="宋体"/>
          <w:bCs/>
          <w:snapToGrid w:val="0"/>
          <w:kern w:val="0"/>
          <w:sz w:val="24"/>
          <w:szCs w:val="24"/>
        </w:rPr>
        <w:t>项目所在地百胜镇境内有双河、陈家沟、新河三条河流，双河在双河场汇入长江支流</w:t>
      </w:r>
      <w:r>
        <w:rPr>
          <w:rFonts w:ascii="仿宋_GB2312" w:hAnsi="宋体"/>
          <w:bCs/>
          <w:snapToGrid w:val="0"/>
          <w:kern w:val="0"/>
          <w:sz w:val="24"/>
          <w:szCs w:val="24"/>
        </w:rPr>
        <w:t>——</w:t>
      </w:r>
      <w:r>
        <w:rPr>
          <w:rFonts w:hint="eastAsia" w:ascii="仿宋_GB2312" w:hAnsi="宋体"/>
          <w:bCs/>
          <w:snapToGrid w:val="0"/>
          <w:kern w:val="0"/>
          <w:sz w:val="24"/>
          <w:szCs w:val="24"/>
        </w:rPr>
        <w:t>珍溪河，陈家沟和新河均直接汇入长江。</w:t>
      </w:r>
      <w:r>
        <w:rPr>
          <w:rFonts w:hint="eastAsia" w:ascii="仿宋_GB2312"/>
          <w:color w:val="000000"/>
          <w:sz w:val="24"/>
          <w:szCs w:val="24"/>
        </w:rPr>
        <w:t>根据《重庆市人民政府批转重庆市地表水环境功能类别调整方案的通知》（渝府发</w:t>
      </w:r>
      <w:r>
        <w:rPr>
          <w:rFonts w:ascii="仿宋_GB2312"/>
          <w:color w:val="000000"/>
          <w:sz w:val="24"/>
          <w:szCs w:val="24"/>
        </w:rPr>
        <w:t>[2012]4</w:t>
      </w:r>
      <w:r>
        <w:rPr>
          <w:rFonts w:hint="eastAsia" w:ascii="仿宋_GB2312"/>
          <w:color w:val="000000"/>
          <w:sz w:val="24"/>
          <w:szCs w:val="24"/>
        </w:rPr>
        <w:t>号），本项目接纳排污口的小河沟无水域功能，小河沟所汇入长江段为</w:t>
      </w:r>
      <w:r>
        <w:rPr>
          <w:rFonts w:hint="eastAsia" w:ascii="仿宋_GB2312" w:hAnsi="宋体" w:cs="宋体"/>
          <w:color w:val="000000"/>
          <w:sz w:val="24"/>
          <w:szCs w:val="24"/>
        </w:rPr>
        <w:t>Ⅲ</w:t>
      </w:r>
      <w:r>
        <w:rPr>
          <w:rFonts w:hint="eastAsia" w:ascii="仿宋_GB2312"/>
          <w:color w:val="000000"/>
          <w:sz w:val="24"/>
          <w:szCs w:val="24"/>
        </w:rPr>
        <w:t>类水体，下游约</w:t>
      </w:r>
      <w:r>
        <w:rPr>
          <w:rFonts w:ascii="仿宋_GB2312"/>
          <w:color w:val="000000"/>
          <w:sz w:val="24"/>
          <w:szCs w:val="24"/>
        </w:rPr>
        <w:t>2.3km</w:t>
      </w:r>
      <w:r>
        <w:rPr>
          <w:rFonts w:hint="eastAsia" w:ascii="仿宋_GB2312"/>
          <w:color w:val="000000"/>
          <w:sz w:val="24"/>
          <w:szCs w:val="24"/>
        </w:rPr>
        <w:t>为</w:t>
      </w:r>
      <w:r>
        <w:rPr>
          <w:rFonts w:hint="eastAsia" w:ascii="仿宋_GB2312" w:hAnsi="宋体" w:cs="宋体"/>
          <w:color w:val="000000"/>
          <w:sz w:val="24"/>
          <w:szCs w:val="24"/>
        </w:rPr>
        <w:t>Ⅱ</w:t>
      </w:r>
      <w:r>
        <w:rPr>
          <w:rFonts w:hint="eastAsia" w:ascii="仿宋_GB2312"/>
          <w:color w:val="000000"/>
          <w:sz w:val="24"/>
          <w:szCs w:val="24"/>
        </w:rPr>
        <w:t>类水体。</w:t>
      </w:r>
    </w:p>
    <w:p>
      <w:pPr>
        <w:snapToGrid w:val="0"/>
        <w:spacing w:line="480" w:lineRule="atLeast"/>
        <w:jc w:val="left"/>
        <w:rPr>
          <w:b/>
          <w:snapToGrid w:val="0"/>
          <w:sz w:val="28"/>
          <w:szCs w:val="28"/>
        </w:rPr>
      </w:pPr>
      <w:r>
        <w:rPr>
          <w:b/>
          <w:snapToGrid w:val="0"/>
          <w:sz w:val="28"/>
          <w:szCs w:val="28"/>
        </w:rPr>
        <w:t>2.2.5</w:t>
      </w:r>
      <w:r>
        <w:rPr>
          <w:rFonts w:hint="eastAsia"/>
          <w:b/>
          <w:snapToGrid w:val="0"/>
          <w:sz w:val="28"/>
          <w:szCs w:val="28"/>
        </w:rPr>
        <w:t>生态现状</w:t>
      </w:r>
    </w:p>
    <w:p>
      <w:pPr>
        <w:spacing w:line="460" w:lineRule="exact"/>
        <w:ind w:firstLine="480"/>
        <w:rPr>
          <w:rFonts w:ascii="仿宋_GB2312"/>
          <w:sz w:val="24"/>
          <w:szCs w:val="24"/>
        </w:rPr>
      </w:pPr>
      <w:r>
        <w:rPr>
          <w:rFonts w:hint="eastAsia" w:ascii="仿宋_GB2312"/>
          <w:sz w:val="24"/>
          <w:szCs w:val="24"/>
        </w:rPr>
        <w:t>涪陵区境内植物种类丰富，类型多样，据粗略统计，孢子植物和种子植物共有</w:t>
      </w:r>
      <w:r>
        <w:rPr>
          <w:rFonts w:ascii="仿宋_GB2312"/>
          <w:sz w:val="24"/>
          <w:szCs w:val="24"/>
        </w:rPr>
        <w:t>330</w:t>
      </w:r>
      <w:r>
        <w:rPr>
          <w:rFonts w:hint="eastAsia" w:ascii="仿宋_GB2312"/>
          <w:sz w:val="24"/>
          <w:szCs w:val="24"/>
        </w:rPr>
        <w:t>余科</w:t>
      </w:r>
      <w:r>
        <w:rPr>
          <w:rFonts w:ascii="仿宋_GB2312"/>
          <w:sz w:val="24"/>
          <w:szCs w:val="24"/>
        </w:rPr>
        <w:t>1500</w:t>
      </w:r>
      <w:r>
        <w:rPr>
          <w:rFonts w:hint="eastAsia" w:ascii="仿宋_GB2312"/>
          <w:sz w:val="24"/>
          <w:szCs w:val="24"/>
        </w:rPr>
        <w:t>余属</w:t>
      </w:r>
      <w:r>
        <w:rPr>
          <w:rFonts w:ascii="仿宋_GB2312"/>
          <w:sz w:val="24"/>
          <w:szCs w:val="24"/>
        </w:rPr>
        <w:t>4000</w:t>
      </w:r>
      <w:r>
        <w:rPr>
          <w:rFonts w:hint="eastAsia" w:ascii="仿宋_GB2312"/>
          <w:sz w:val="24"/>
          <w:szCs w:val="24"/>
        </w:rPr>
        <w:t>多种。其中粮食作物有水稻、玉米、红苕、洋芋、胡豆、豌豆、黄豆、高梁等</w:t>
      </w:r>
      <w:r>
        <w:rPr>
          <w:rFonts w:ascii="仿宋_GB2312"/>
          <w:sz w:val="24"/>
          <w:szCs w:val="24"/>
        </w:rPr>
        <w:t>10</w:t>
      </w:r>
      <w:r>
        <w:rPr>
          <w:rFonts w:hint="eastAsia" w:ascii="仿宋_GB2312"/>
          <w:sz w:val="24"/>
          <w:szCs w:val="24"/>
        </w:rPr>
        <w:t>多种，</w:t>
      </w:r>
      <w:r>
        <w:rPr>
          <w:rFonts w:ascii="仿宋_GB2312"/>
          <w:sz w:val="24"/>
          <w:szCs w:val="24"/>
        </w:rPr>
        <w:t>300</w:t>
      </w:r>
      <w:r>
        <w:rPr>
          <w:rFonts w:hint="eastAsia" w:ascii="仿宋_GB2312"/>
          <w:sz w:val="24"/>
          <w:szCs w:val="24"/>
        </w:rPr>
        <w:t>余种品种；经济作物有油菜、花生、芝麻、青菜头、萝卜、白菜、西红柿、豌豆、芋头、莲藕、高笋、烟草、苎麻、西瓜等数十种。</w:t>
      </w:r>
    </w:p>
    <w:p>
      <w:pPr>
        <w:spacing w:before="120" w:line="480" w:lineRule="exact"/>
        <w:ind w:firstLine="480"/>
        <w:jc w:val="left"/>
        <w:rPr>
          <w:rFonts w:ascii="仿宋_GB2312" w:hAnsi="宋体"/>
          <w:bCs/>
          <w:sz w:val="24"/>
          <w:szCs w:val="24"/>
        </w:rPr>
      </w:pPr>
      <w:r>
        <w:rPr>
          <w:rFonts w:hint="eastAsia" w:ascii="仿宋_GB2312" w:hAnsi="宋体"/>
          <w:bCs/>
          <w:sz w:val="24"/>
          <w:szCs w:val="24"/>
        </w:rPr>
        <w:t>项目所在地树种主要有桑树、氨树、泡桐树、竹子等杂木；农田多为水田和土地，农作物以水稻、玉米、马铃薯、小麦、油菜、青菜头为主。畜牧业以猪、牛、鸡、鸭为主；蔬菜以叶菜和果菜为主，主要有青菜、白菜、辣椒、南瓜、</w:t>
      </w:r>
      <w:r>
        <w:rPr>
          <w:rFonts w:ascii="仿宋_GB2312" w:hAnsi="宋体"/>
          <w:bCs/>
          <w:sz w:val="24"/>
          <w:szCs w:val="24"/>
        </w:rPr>
        <w:t xml:space="preserve"> </w:t>
      </w:r>
      <w:r>
        <w:rPr>
          <w:rFonts w:hint="eastAsia" w:ascii="仿宋_GB2312" w:hAnsi="宋体"/>
          <w:bCs/>
          <w:sz w:val="24"/>
          <w:szCs w:val="24"/>
        </w:rPr>
        <w:t>冬瓜、丝瓜、西红柿等；水果主要有柑桔；项目所在地无受保护的野生动物，无国家需要保护的各类动植物和其它生物物种。</w:t>
      </w:r>
    </w:p>
    <w:p>
      <w:pPr>
        <w:adjustRightInd w:val="0"/>
        <w:snapToGrid w:val="0"/>
        <w:spacing w:line="460" w:lineRule="exact"/>
        <w:outlineLvl w:val="1"/>
        <w:rPr>
          <w:rFonts w:hint="eastAsia"/>
          <w:b/>
          <w:color w:val="000000"/>
          <w:sz w:val="26"/>
          <w:szCs w:val="26"/>
        </w:rPr>
      </w:pPr>
      <w:bookmarkStart w:id="145" w:name="_Toc8511"/>
      <w:r>
        <w:rPr>
          <w:rFonts w:hint="eastAsia"/>
          <w:b/>
          <w:color w:val="000000"/>
          <w:sz w:val="26"/>
          <w:szCs w:val="26"/>
        </w:rPr>
        <w:t>2.3周边环境关系</w:t>
      </w:r>
      <w:bookmarkEnd w:id="145"/>
    </w:p>
    <w:p>
      <w:pPr>
        <w:autoSpaceDE w:val="0"/>
        <w:autoSpaceDN w:val="0"/>
        <w:spacing w:line="460" w:lineRule="exact"/>
        <w:ind w:firstLine="640"/>
        <w:rPr>
          <w:rFonts w:hint="eastAsia" w:ascii="仿宋_GB2312" w:hAnsi="宋体" w:cs="方正小标宋简体"/>
          <w:bCs/>
          <w:sz w:val="24"/>
          <w:szCs w:val="24"/>
        </w:rPr>
      </w:pPr>
      <w:r>
        <w:rPr>
          <w:rFonts w:hint="eastAsia" w:ascii="仿宋_GB2312" w:hAnsi="宋体" w:cs="方正小标宋简体"/>
          <w:bCs/>
          <w:sz w:val="24"/>
          <w:szCs w:val="24"/>
        </w:rPr>
        <w:t>百胜榨菜污水处理厂位于涪陵区百胜镇紫竹村</w:t>
      </w:r>
      <w:r>
        <w:rPr>
          <w:rFonts w:hint="eastAsia" w:ascii="仿宋_GB2312" w:hAnsi="宋体" w:cs="方正小标宋简体"/>
          <w:bCs/>
          <w:sz w:val="24"/>
          <w:szCs w:val="24"/>
          <w:lang w:val="zh-CN"/>
        </w:rPr>
        <w:t>，无</w:t>
      </w:r>
      <w:r>
        <w:rPr>
          <w:rFonts w:hint="eastAsia" w:ascii="仿宋_GB2312" w:hAnsi="宋体" w:cs="方正小标宋简体"/>
          <w:bCs/>
          <w:sz w:val="24"/>
          <w:szCs w:val="24"/>
        </w:rPr>
        <w:t>名胜古迹和自然保护区及重要的文物保护单位和医院等环境敏感点。百胜榨菜污水处理厂北侧附近10户居住村民，为区域内环境敏感点，见表2-2和附图。</w:t>
      </w:r>
    </w:p>
    <w:p>
      <w:pPr>
        <w:autoSpaceDE w:val="0"/>
        <w:autoSpaceDN w:val="0"/>
        <w:spacing w:line="460" w:lineRule="exact"/>
        <w:ind w:firstLine="640"/>
        <w:rPr>
          <w:rFonts w:hint="eastAsia" w:ascii="仿宋_GB2312" w:hAnsi="宋体" w:cs="方正小标宋简体"/>
          <w:bCs/>
          <w:sz w:val="24"/>
          <w:szCs w:val="24"/>
        </w:rPr>
      </w:pPr>
      <w:r>
        <w:rPr>
          <w:rFonts w:hint="eastAsia" w:ascii="仿宋_GB2312" w:hAnsi="宋体" w:cs="方正小标宋简体"/>
          <w:bCs/>
          <w:sz w:val="24"/>
          <w:szCs w:val="24"/>
        </w:rPr>
        <w:t>项目周边5km范围内有居住村民。</w:t>
      </w:r>
    </w:p>
    <w:p>
      <w:pPr>
        <w:autoSpaceDE w:val="0"/>
        <w:autoSpaceDN w:val="0"/>
        <w:spacing w:line="460" w:lineRule="exact"/>
        <w:ind w:firstLine="640"/>
        <w:rPr>
          <w:rFonts w:hint="eastAsia" w:ascii="仿宋_GB2312" w:hAnsi="宋体" w:cs="方正小标宋简体"/>
          <w:bCs/>
          <w:sz w:val="24"/>
          <w:szCs w:val="24"/>
        </w:rPr>
      </w:pPr>
      <w:r>
        <w:rPr>
          <w:rFonts w:hint="eastAsia" w:ascii="仿宋_GB2312" w:hAnsi="宋体" w:cs="方正小标宋简体"/>
          <w:bCs/>
          <w:sz w:val="24"/>
          <w:szCs w:val="24"/>
        </w:rPr>
        <w:t>长江上游2.2km处有取水点，新河汇入长江下游10km无取水口。</w:t>
      </w:r>
    </w:p>
    <w:p>
      <w:pPr>
        <w:spacing w:line="460" w:lineRule="exact"/>
        <w:ind w:right="44" w:firstLine="480"/>
        <w:jc w:val="center"/>
        <w:rPr>
          <w:rFonts w:ascii="仿宋_GB2312"/>
          <w:sz w:val="24"/>
          <w:szCs w:val="24"/>
        </w:rPr>
      </w:pPr>
      <w:r>
        <w:rPr>
          <w:rFonts w:hint="eastAsia" w:ascii="仿宋_GB2312"/>
          <w:sz w:val="24"/>
          <w:szCs w:val="24"/>
        </w:rPr>
        <w:t>表</w:t>
      </w:r>
      <w:r>
        <w:rPr>
          <w:rFonts w:ascii="仿宋_GB2312"/>
          <w:sz w:val="24"/>
          <w:szCs w:val="24"/>
        </w:rPr>
        <w:t>2-2</w:t>
      </w:r>
      <w:r>
        <w:rPr>
          <w:rFonts w:hint="eastAsia" w:ascii="仿宋_GB2312"/>
          <w:sz w:val="24"/>
          <w:szCs w:val="24"/>
        </w:rPr>
        <w:t>项目主要敏感点分布一览表</w:t>
      </w:r>
    </w:p>
    <w:tbl>
      <w:tblPr>
        <w:tblStyle w:val="54"/>
        <w:tblW w:w="8790" w:type="dxa"/>
        <w:tblInd w:w="-318"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2"/>
        <w:gridCol w:w="2693"/>
        <w:gridCol w:w="992"/>
        <w:gridCol w:w="851"/>
        <w:gridCol w:w="2268"/>
        <w:gridCol w:w="113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trPr>
        <w:tc>
          <w:tcPr>
            <w:tcW w:w="852" w:type="dxa"/>
            <w:tcBorders>
              <w:top w:val="thinThickSmallGap" w:color="auto" w:sz="12" w:space="0"/>
            </w:tcBorders>
            <w:vAlign w:val="center"/>
          </w:tcPr>
          <w:p>
            <w:pPr>
              <w:pStyle w:val="193"/>
              <w:rPr>
                <w:rFonts w:ascii="仿宋_GB2312"/>
                <w:sz w:val="21"/>
                <w:szCs w:val="21"/>
              </w:rPr>
            </w:pPr>
            <w:r>
              <w:rPr>
                <w:rFonts w:hint="eastAsia" w:ascii="仿宋_GB2312"/>
                <w:sz w:val="21"/>
                <w:szCs w:val="21"/>
              </w:rPr>
              <w:t>环境</w:t>
            </w:r>
          </w:p>
          <w:p>
            <w:pPr>
              <w:pStyle w:val="193"/>
              <w:rPr>
                <w:rFonts w:ascii="仿宋_GB2312"/>
                <w:sz w:val="21"/>
                <w:szCs w:val="21"/>
              </w:rPr>
            </w:pPr>
            <w:r>
              <w:rPr>
                <w:rFonts w:hint="eastAsia" w:ascii="仿宋_GB2312"/>
                <w:sz w:val="21"/>
                <w:szCs w:val="21"/>
              </w:rPr>
              <w:t>要素</w:t>
            </w:r>
          </w:p>
        </w:tc>
        <w:tc>
          <w:tcPr>
            <w:tcW w:w="2693" w:type="dxa"/>
            <w:tcBorders>
              <w:top w:val="thinThickSmallGap" w:color="auto" w:sz="12" w:space="0"/>
            </w:tcBorders>
            <w:vAlign w:val="center"/>
          </w:tcPr>
          <w:p>
            <w:pPr>
              <w:pStyle w:val="9"/>
              <w:spacing w:line="280" w:lineRule="atLeast"/>
              <w:ind w:firstLine="0"/>
              <w:jc w:val="center"/>
              <w:rPr>
                <w:rFonts w:ascii="仿宋_GB2312"/>
                <w:kern w:val="2"/>
                <w:sz w:val="21"/>
                <w:szCs w:val="21"/>
              </w:rPr>
            </w:pPr>
            <w:r>
              <w:rPr>
                <w:rFonts w:hint="eastAsia" w:ascii="仿宋_GB2312"/>
                <w:kern w:val="2"/>
                <w:sz w:val="21"/>
                <w:szCs w:val="21"/>
              </w:rPr>
              <w:t>敏感点名称</w:t>
            </w:r>
          </w:p>
        </w:tc>
        <w:tc>
          <w:tcPr>
            <w:tcW w:w="992" w:type="dxa"/>
            <w:tcBorders>
              <w:top w:val="thinThickSmallGap" w:color="auto" w:sz="12" w:space="0"/>
            </w:tcBorders>
            <w:vAlign w:val="center"/>
          </w:tcPr>
          <w:p>
            <w:pPr>
              <w:pStyle w:val="9"/>
              <w:spacing w:line="280" w:lineRule="atLeast"/>
              <w:ind w:firstLine="0"/>
              <w:jc w:val="center"/>
              <w:rPr>
                <w:rFonts w:ascii="仿宋_GB2312"/>
                <w:kern w:val="2"/>
                <w:sz w:val="21"/>
                <w:szCs w:val="21"/>
              </w:rPr>
            </w:pPr>
            <w:r>
              <w:rPr>
                <w:rFonts w:hint="eastAsia" w:ascii="仿宋_GB2312"/>
                <w:kern w:val="2"/>
                <w:sz w:val="21"/>
                <w:szCs w:val="21"/>
              </w:rPr>
              <w:t>距场界</w:t>
            </w:r>
          </w:p>
          <w:p>
            <w:pPr>
              <w:pStyle w:val="9"/>
              <w:spacing w:line="280" w:lineRule="atLeast"/>
              <w:ind w:firstLine="0"/>
              <w:jc w:val="center"/>
              <w:rPr>
                <w:rFonts w:ascii="仿宋_GB2312"/>
                <w:kern w:val="2"/>
                <w:sz w:val="21"/>
                <w:szCs w:val="21"/>
              </w:rPr>
            </w:pPr>
            <w:r>
              <w:rPr>
                <w:rFonts w:hint="eastAsia" w:ascii="仿宋_GB2312"/>
                <w:kern w:val="2"/>
                <w:sz w:val="21"/>
                <w:szCs w:val="21"/>
              </w:rPr>
              <w:t>距离</w:t>
            </w:r>
          </w:p>
        </w:tc>
        <w:tc>
          <w:tcPr>
            <w:tcW w:w="851" w:type="dxa"/>
            <w:tcBorders>
              <w:top w:val="thinThickSmallGap" w:color="auto" w:sz="12" w:space="0"/>
            </w:tcBorders>
            <w:vAlign w:val="center"/>
          </w:tcPr>
          <w:p>
            <w:pPr>
              <w:pStyle w:val="193"/>
              <w:rPr>
                <w:rFonts w:ascii="仿宋_GB2312"/>
                <w:sz w:val="21"/>
                <w:szCs w:val="21"/>
              </w:rPr>
            </w:pPr>
            <w:r>
              <w:rPr>
                <w:rFonts w:hint="eastAsia" w:ascii="仿宋_GB2312"/>
                <w:sz w:val="21"/>
                <w:szCs w:val="21"/>
              </w:rPr>
              <w:t>方位</w:t>
            </w:r>
          </w:p>
        </w:tc>
        <w:tc>
          <w:tcPr>
            <w:tcW w:w="2268" w:type="dxa"/>
            <w:tcBorders>
              <w:top w:val="thinThickSmallGap" w:color="auto" w:sz="12" w:space="0"/>
            </w:tcBorders>
            <w:vAlign w:val="center"/>
          </w:tcPr>
          <w:p>
            <w:pPr>
              <w:pStyle w:val="193"/>
              <w:rPr>
                <w:rFonts w:ascii="仿宋_GB2312"/>
                <w:sz w:val="21"/>
                <w:szCs w:val="21"/>
              </w:rPr>
            </w:pPr>
            <w:r>
              <w:rPr>
                <w:rFonts w:hint="eastAsia" w:ascii="仿宋_GB2312"/>
                <w:sz w:val="21"/>
                <w:szCs w:val="21"/>
              </w:rPr>
              <w:t>敏感点特征</w:t>
            </w:r>
          </w:p>
        </w:tc>
        <w:tc>
          <w:tcPr>
            <w:tcW w:w="1134" w:type="dxa"/>
            <w:tcBorders>
              <w:top w:val="thinThickSmallGap" w:color="auto" w:sz="12" w:space="0"/>
            </w:tcBorders>
            <w:vAlign w:val="center"/>
          </w:tcPr>
          <w:p>
            <w:pPr>
              <w:pStyle w:val="193"/>
              <w:rPr>
                <w:rFonts w:ascii="仿宋_GB2312"/>
                <w:sz w:val="21"/>
                <w:szCs w:val="21"/>
              </w:rPr>
            </w:pPr>
            <w:r>
              <w:rPr>
                <w:rFonts w:hint="eastAsia" w:ascii="仿宋_GB2312"/>
                <w:sz w:val="21"/>
                <w:szCs w:val="21"/>
              </w:rPr>
              <w:t>影响因素</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rPr>
        <w:tc>
          <w:tcPr>
            <w:tcW w:w="852" w:type="dxa"/>
            <w:vAlign w:val="center"/>
          </w:tcPr>
          <w:p>
            <w:pPr>
              <w:pStyle w:val="193"/>
              <w:rPr>
                <w:rFonts w:ascii="仿宋_GB2312"/>
                <w:sz w:val="21"/>
                <w:szCs w:val="21"/>
              </w:rPr>
            </w:pPr>
            <w:r>
              <w:rPr>
                <w:rFonts w:ascii="仿宋_GB2312"/>
                <w:sz w:val="21"/>
                <w:szCs w:val="21"/>
              </w:rPr>
              <w:t>1</w:t>
            </w:r>
          </w:p>
        </w:tc>
        <w:tc>
          <w:tcPr>
            <w:tcW w:w="2693" w:type="dxa"/>
            <w:vAlign w:val="center"/>
          </w:tcPr>
          <w:p>
            <w:pPr>
              <w:pStyle w:val="9"/>
              <w:spacing w:line="280" w:lineRule="atLeast"/>
              <w:ind w:firstLine="0"/>
              <w:jc w:val="center"/>
              <w:rPr>
                <w:rFonts w:ascii="仿宋_GB2312"/>
                <w:kern w:val="2"/>
                <w:sz w:val="21"/>
                <w:szCs w:val="21"/>
              </w:rPr>
            </w:pPr>
            <w:r>
              <w:rPr>
                <w:rFonts w:hint="eastAsia" w:ascii="仿宋_GB2312" w:hAnsi="宋体"/>
                <w:bCs/>
                <w:snapToGrid w:val="0"/>
                <w:kern w:val="2"/>
                <w:sz w:val="21"/>
              </w:rPr>
              <w:t>双河、陈家沟、新河、珍溪河、长江</w:t>
            </w:r>
          </w:p>
        </w:tc>
        <w:tc>
          <w:tcPr>
            <w:tcW w:w="992" w:type="dxa"/>
            <w:vAlign w:val="center"/>
          </w:tcPr>
          <w:p>
            <w:pPr>
              <w:widowControl/>
              <w:ind w:firstLine="420"/>
              <w:jc w:val="center"/>
              <w:rPr>
                <w:rFonts w:ascii="仿宋_GB2312" w:hAnsi="Calibri"/>
              </w:rPr>
            </w:pPr>
          </w:p>
        </w:tc>
        <w:tc>
          <w:tcPr>
            <w:tcW w:w="851" w:type="dxa"/>
            <w:vAlign w:val="center"/>
          </w:tcPr>
          <w:p>
            <w:pPr>
              <w:pStyle w:val="9"/>
              <w:spacing w:line="280" w:lineRule="atLeast"/>
              <w:ind w:firstLine="0"/>
              <w:jc w:val="center"/>
              <w:rPr>
                <w:rFonts w:ascii="仿宋_GB2312"/>
                <w:kern w:val="2"/>
                <w:sz w:val="21"/>
                <w:szCs w:val="21"/>
              </w:rPr>
            </w:pPr>
            <w:r>
              <w:rPr>
                <w:rFonts w:ascii="仿宋_GB2312"/>
                <w:kern w:val="2"/>
                <w:sz w:val="21"/>
                <w:szCs w:val="21"/>
              </w:rPr>
              <w:t>/</w:t>
            </w:r>
          </w:p>
        </w:tc>
        <w:tc>
          <w:tcPr>
            <w:tcW w:w="2268" w:type="dxa"/>
            <w:vAlign w:val="center"/>
          </w:tcPr>
          <w:p>
            <w:pPr>
              <w:widowControl/>
              <w:ind w:firstLine="420"/>
              <w:jc w:val="center"/>
              <w:rPr>
                <w:rFonts w:ascii="仿宋_GB2312" w:hAnsi="Calibri"/>
              </w:rPr>
            </w:pPr>
          </w:p>
        </w:tc>
        <w:tc>
          <w:tcPr>
            <w:tcW w:w="1134" w:type="dxa"/>
            <w:vMerge w:val="restart"/>
            <w:vAlign w:val="center"/>
          </w:tcPr>
          <w:p>
            <w:pPr>
              <w:pStyle w:val="193"/>
              <w:rPr>
                <w:rFonts w:ascii="仿宋_GB2312"/>
                <w:sz w:val="21"/>
                <w:szCs w:val="21"/>
              </w:rPr>
            </w:pPr>
            <w:r>
              <w:rPr>
                <w:rFonts w:hint="eastAsia" w:ascii="仿宋_GB2312"/>
                <w:sz w:val="21"/>
                <w:szCs w:val="21"/>
              </w:rPr>
              <w:t>噪声恶臭</w:t>
            </w:r>
          </w:p>
          <w:p>
            <w:pPr>
              <w:pStyle w:val="193"/>
              <w:rPr>
                <w:rFonts w:ascii="仿宋_GB2312"/>
                <w:sz w:val="21"/>
                <w:szCs w:val="21"/>
              </w:rPr>
            </w:pPr>
            <w:r>
              <w:rPr>
                <w:rFonts w:hint="eastAsia" w:ascii="仿宋_GB2312"/>
                <w:sz w:val="21"/>
                <w:szCs w:val="21"/>
              </w:rPr>
              <w:t>气体排放</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1" w:hRule="exact"/>
        </w:trPr>
        <w:tc>
          <w:tcPr>
            <w:tcW w:w="852" w:type="dxa"/>
            <w:vAlign w:val="center"/>
          </w:tcPr>
          <w:p>
            <w:pPr>
              <w:pStyle w:val="193"/>
              <w:rPr>
                <w:rFonts w:ascii="仿宋_GB2312"/>
                <w:sz w:val="21"/>
                <w:szCs w:val="21"/>
              </w:rPr>
            </w:pPr>
            <w:r>
              <w:rPr>
                <w:rFonts w:ascii="仿宋_GB2312"/>
                <w:sz w:val="21"/>
                <w:szCs w:val="21"/>
              </w:rPr>
              <w:t>2</w:t>
            </w:r>
          </w:p>
        </w:tc>
        <w:tc>
          <w:tcPr>
            <w:tcW w:w="2693" w:type="dxa"/>
            <w:vAlign w:val="center"/>
          </w:tcPr>
          <w:p>
            <w:pPr>
              <w:tabs>
                <w:tab w:val="left" w:pos="2787"/>
              </w:tabs>
              <w:spacing w:line="440" w:lineRule="exact"/>
              <w:ind w:firstLine="420"/>
              <w:jc w:val="center"/>
              <w:rPr>
                <w:rFonts w:ascii="仿宋_GB2312" w:hAnsi="宋体"/>
              </w:rPr>
            </w:pPr>
            <w:r>
              <w:rPr>
                <w:rFonts w:hint="eastAsia" w:ascii="仿宋_GB2312" w:hAnsi="宋体"/>
              </w:rPr>
              <w:t>双河污水处理厂</w:t>
            </w:r>
          </w:p>
          <w:p>
            <w:pPr>
              <w:pStyle w:val="9"/>
              <w:spacing w:line="280" w:lineRule="atLeast"/>
              <w:ind w:firstLine="0"/>
              <w:jc w:val="center"/>
              <w:rPr>
                <w:rFonts w:ascii="仿宋_GB2312"/>
                <w:kern w:val="2"/>
                <w:sz w:val="21"/>
                <w:szCs w:val="21"/>
              </w:rPr>
            </w:pPr>
            <w:r>
              <w:rPr>
                <w:rFonts w:hint="eastAsia" w:ascii="仿宋_GB2312" w:hAnsi="宋体"/>
                <w:kern w:val="2"/>
                <w:sz w:val="21"/>
              </w:rPr>
              <w:t>附近居住村民</w:t>
            </w:r>
          </w:p>
        </w:tc>
        <w:tc>
          <w:tcPr>
            <w:tcW w:w="992" w:type="dxa"/>
            <w:vAlign w:val="center"/>
          </w:tcPr>
          <w:p>
            <w:pPr>
              <w:pStyle w:val="9"/>
              <w:spacing w:line="280" w:lineRule="atLeast"/>
              <w:ind w:firstLine="0"/>
              <w:jc w:val="center"/>
              <w:rPr>
                <w:rFonts w:ascii="仿宋_GB2312"/>
                <w:kern w:val="2"/>
                <w:sz w:val="21"/>
                <w:szCs w:val="21"/>
              </w:rPr>
            </w:pPr>
            <w:r>
              <w:rPr>
                <w:rFonts w:ascii="仿宋_GB2312" w:hAnsi="宋体"/>
                <w:bCs/>
                <w:snapToGrid w:val="0"/>
                <w:kern w:val="2"/>
                <w:sz w:val="21"/>
                <w:szCs w:val="21"/>
              </w:rPr>
              <w:t>120m</w:t>
            </w:r>
          </w:p>
        </w:tc>
        <w:tc>
          <w:tcPr>
            <w:tcW w:w="851" w:type="dxa"/>
            <w:vAlign w:val="center"/>
          </w:tcPr>
          <w:p>
            <w:pPr>
              <w:pStyle w:val="9"/>
              <w:spacing w:line="280" w:lineRule="atLeast"/>
              <w:ind w:firstLine="0"/>
              <w:jc w:val="center"/>
              <w:rPr>
                <w:rFonts w:ascii="仿宋_GB2312"/>
                <w:kern w:val="2"/>
                <w:sz w:val="21"/>
                <w:szCs w:val="21"/>
              </w:rPr>
            </w:pPr>
            <w:r>
              <w:rPr>
                <w:rFonts w:hint="eastAsia" w:ascii="仿宋_GB2312" w:hAnsi="宋体"/>
                <w:bCs/>
                <w:snapToGrid w:val="0"/>
                <w:kern w:val="2"/>
              </w:rPr>
              <w:t>东北</w:t>
            </w:r>
          </w:p>
        </w:tc>
        <w:tc>
          <w:tcPr>
            <w:tcW w:w="2268" w:type="dxa"/>
            <w:vAlign w:val="center"/>
          </w:tcPr>
          <w:p>
            <w:pPr>
              <w:pStyle w:val="9"/>
              <w:spacing w:line="280" w:lineRule="atLeast"/>
              <w:jc w:val="center"/>
              <w:rPr>
                <w:rFonts w:ascii="仿宋_GB2312"/>
                <w:kern w:val="2"/>
                <w:sz w:val="21"/>
                <w:szCs w:val="21"/>
              </w:rPr>
            </w:pPr>
            <w:r>
              <w:rPr>
                <w:rFonts w:ascii="仿宋_GB2312" w:hAnsi="宋体"/>
                <w:bCs/>
                <w:snapToGrid w:val="0"/>
                <w:kern w:val="2"/>
                <w:sz w:val="21"/>
                <w:szCs w:val="21"/>
              </w:rPr>
              <w:t>3</w:t>
            </w:r>
            <w:r>
              <w:rPr>
                <w:rFonts w:hint="eastAsia" w:ascii="仿宋_GB2312" w:hAnsi="宋体"/>
                <w:bCs/>
                <w:snapToGrid w:val="0"/>
                <w:kern w:val="2"/>
                <w:sz w:val="21"/>
                <w:szCs w:val="21"/>
              </w:rPr>
              <w:t>户</w:t>
            </w:r>
          </w:p>
        </w:tc>
        <w:tc>
          <w:tcPr>
            <w:tcW w:w="1134" w:type="dxa"/>
            <w:vMerge w:val="continue"/>
            <w:vAlign w:val="center"/>
          </w:tcPr>
          <w:p>
            <w:pPr>
              <w:widowControl/>
              <w:ind w:firstLine="420"/>
              <w:jc w:val="center"/>
              <w:rPr>
                <w:rFonts w:ascii="仿宋_GB231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48" w:hRule="exact"/>
        </w:trPr>
        <w:tc>
          <w:tcPr>
            <w:tcW w:w="852" w:type="dxa"/>
            <w:vAlign w:val="center"/>
          </w:tcPr>
          <w:p>
            <w:pPr>
              <w:pStyle w:val="193"/>
              <w:rPr>
                <w:rFonts w:ascii="仿宋_GB2312"/>
                <w:sz w:val="21"/>
                <w:szCs w:val="21"/>
              </w:rPr>
            </w:pPr>
            <w:r>
              <w:rPr>
                <w:rFonts w:ascii="仿宋_GB2312"/>
                <w:sz w:val="21"/>
                <w:szCs w:val="21"/>
              </w:rPr>
              <w:t>3</w:t>
            </w:r>
          </w:p>
        </w:tc>
        <w:tc>
          <w:tcPr>
            <w:tcW w:w="2693" w:type="dxa"/>
            <w:vAlign w:val="center"/>
          </w:tcPr>
          <w:p>
            <w:pPr>
              <w:tabs>
                <w:tab w:val="left" w:pos="2787"/>
              </w:tabs>
              <w:spacing w:line="440" w:lineRule="exact"/>
              <w:ind w:firstLine="420"/>
              <w:jc w:val="center"/>
              <w:rPr>
                <w:rFonts w:ascii="仿宋_GB2312" w:hAnsi="宋体"/>
              </w:rPr>
            </w:pPr>
            <w:r>
              <w:rPr>
                <w:rFonts w:hint="eastAsia" w:ascii="仿宋_GB2312" w:hAnsi="宋体"/>
              </w:rPr>
              <w:t>永安污水处理厂</w:t>
            </w:r>
          </w:p>
          <w:p>
            <w:pPr>
              <w:tabs>
                <w:tab w:val="left" w:pos="2787"/>
              </w:tabs>
              <w:spacing w:line="440" w:lineRule="exact"/>
              <w:ind w:firstLine="420"/>
              <w:jc w:val="center"/>
              <w:rPr>
                <w:rFonts w:ascii="仿宋_GB2312" w:hAnsi="宋体"/>
              </w:rPr>
            </w:pPr>
            <w:r>
              <w:rPr>
                <w:rFonts w:hint="eastAsia" w:ascii="仿宋_GB2312" w:hAnsi="宋体"/>
              </w:rPr>
              <w:t>附近居住村民</w:t>
            </w:r>
          </w:p>
        </w:tc>
        <w:tc>
          <w:tcPr>
            <w:tcW w:w="992" w:type="dxa"/>
            <w:vAlign w:val="center"/>
          </w:tcPr>
          <w:p>
            <w:pPr>
              <w:pStyle w:val="9"/>
              <w:spacing w:line="280" w:lineRule="atLeast"/>
              <w:ind w:firstLine="0"/>
              <w:jc w:val="center"/>
              <w:rPr>
                <w:rFonts w:ascii="仿宋_GB2312" w:hAnsi="宋体"/>
                <w:bCs/>
                <w:snapToGrid w:val="0"/>
                <w:kern w:val="2"/>
                <w:sz w:val="21"/>
                <w:szCs w:val="21"/>
              </w:rPr>
            </w:pPr>
            <w:r>
              <w:rPr>
                <w:rFonts w:ascii="仿宋_GB2312" w:hAnsi="宋体"/>
                <w:bCs/>
                <w:snapToGrid w:val="0"/>
                <w:kern w:val="2"/>
                <w:sz w:val="21"/>
                <w:szCs w:val="21"/>
              </w:rPr>
              <w:t>150m</w:t>
            </w:r>
          </w:p>
        </w:tc>
        <w:tc>
          <w:tcPr>
            <w:tcW w:w="851" w:type="dxa"/>
            <w:vAlign w:val="center"/>
          </w:tcPr>
          <w:p>
            <w:pPr>
              <w:pStyle w:val="9"/>
              <w:spacing w:line="280" w:lineRule="atLeast"/>
              <w:ind w:firstLine="0"/>
              <w:jc w:val="center"/>
              <w:rPr>
                <w:rFonts w:ascii="仿宋_GB2312" w:hAnsi="宋体"/>
                <w:bCs/>
                <w:snapToGrid w:val="0"/>
                <w:kern w:val="2"/>
              </w:rPr>
            </w:pPr>
            <w:r>
              <w:rPr>
                <w:rFonts w:hint="eastAsia" w:ascii="仿宋_GB2312" w:hAnsi="宋体"/>
                <w:bCs/>
                <w:snapToGrid w:val="0"/>
                <w:kern w:val="2"/>
                <w:sz w:val="21"/>
                <w:szCs w:val="21"/>
              </w:rPr>
              <w:t>北</w:t>
            </w:r>
          </w:p>
        </w:tc>
        <w:tc>
          <w:tcPr>
            <w:tcW w:w="2268" w:type="dxa"/>
            <w:vAlign w:val="center"/>
          </w:tcPr>
          <w:p>
            <w:pPr>
              <w:pStyle w:val="9"/>
              <w:spacing w:line="280" w:lineRule="atLeast"/>
              <w:jc w:val="center"/>
              <w:rPr>
                <w:rFonts w:ascii="仿宋_GB2312" w:hAnsi="宋体"/>
                <w:bCs/>
                <w:snapToGrid w:val="0"/>
                <w:kern w:val="2"/>
                <w:sz w:val="21"/>
                <w:szCs w:val="21"/>
              </w:rPr>
            </w:pPr>
            <w:r>
              <w:rPr>
                <w:rFonts w:ascii="仿宋_GB2312" w:hAnsi="宋体"/>
                <w:bCs/>
                <w:snapToGrid w:val="0"/>
                <w:kern w:val="2"/>
                <w:sz w:val="21"/>
                <w:szCs w:val="21"/>
              </w:rPr>
              <w:t>10</w:t>
            </w:r>
            <w:r>
              <w:rPr>
                <w:rFonts w:hint="eastAsia" w:ascii="仿宋_GB2312" w:hAnsi="宋体"/>
                <w:bCs/>
                <w:snapToGrid w:val="0"/>
                <w:kern w:val="2"/>
                <w:sz w:val="21"/>
                <w:szCs w:val="21"/>
              </w:rPr>
              <w:t>户</w:t>
            </w:r>
          </w:p>
        </w:tc>
        <w:tc>
          <w:tcPr>
            <w:tcW w:w="1134" w:type="dxa"/>
            <w:vMerge w:val="continue"/>
            <w:vAlign w:val="center"/>
          </w:tcPr>
          <w:p>
            <w:pPr>
              <w:widowControl/>
              <w:ind w:firstLine="420"/>
              <w:jc w:val="center"/>
              <w:rPr>
                <w:rFonts w:ascii="仿宋_GB2312"/>
                <w:kern w:val="0"/>
                <w:szCs w:val="21"/>
              </w:rPr>
            </w:pP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trPr>
        <w:tc>
          <w:tcPr>
            <w:tcW w:w="852" w:type="dxa"/>
            <w:tcBorders>
              <w:bottom w:val="thinThickSmallGap" w:color="auto" w:sz="12" w:space="0"/>
            </w:tcBorders>
            <w:vAlign w:val="center"/>
          </w:tcPr>
          <w:p>
            <w:pPr>
              <w:pStyle w:val="193"/>
              <w:rPr>
                <w:rFonts w:ascii="仿宋_GB2312"/>
                <w:sz w:val="21"/>
                <w:szCs w:val="21"/>
              </w:rPr>
            </w:pPr>
            <w:r>
              <w:rPr>
                <w:rFonts w:ascii="仿宋_GB2312"/>
                <w:sz w:val="21"/>
                <w:szCs w:val="21"/>
              </w:rPr>
              <w:t>4</w:t>
            </w:r>
          </w:p>
        </w:tc>
        <w:tc>
          <w:tcPr>
            <w:tcW w:w="2693" w:type="dxa"/>
            <w:tcBorders>
              <w:bottom w:val="thinThickSmallGap" w:color="auto" w:sz="12" w:space="0"/>
            </w:tcBorders>
            <w:vAlign w:val="center"/>
          </w:tcPr>
          <w:p>
            <w:pPr>
              <w:pStyle w:val="9"/>
              <w:spacing w:line="280" w:lineRule="atLeast"/>
              <w:jc w:val="center"/>
              <w:rPr>
                <w:rFonts w:ascii="仿宋_GB2312"/>
                <w:kern w:val="2"/>
                <w:sz w:val="21"/>
                <w:szCs w:val="21"/>
              </w:rPr>
            </w:pPr>
            <w:r>
              <w:rPr>
                <w:rFonts w:hint="eastAsia" w:ascii="仿宋_GB2312"/>
                <w:kern w:val="2"/>
                <w:sz w:val="21"/>
                <w:szCs w:val="21"/>
              </w:rPr>
              <w:t>长江</w:t>
            </w:r>
          </w:p>
        </w:tc>
        <w:tc>
          <w:tcPr>
            <w:tcW w:w="992" w:type="dxa"/>
            <w:tcBorders>
              <w:bottom w:val="thinThickSmallGap" w:color="auto" w:sz="12" w:space="0"/>
            </w:tcBorders>
            <w:vAlign w:val="center"/>
          </w:tcPr>
          <w:p>
            <w:pPr>
              <w:pStyle w:val="9"/>
              <w:spacing w:line="280" w:lineRule="atLeast"/>
              <w:ind w:firstLine="0"/>
              <w:jc w:val="center"/>
              <w:rPr>
                <w:rFonts w:ascii="仿宋_GB2312"/>
                <w:kern w:val="2"/>
                <w:sz w:val="21"/>
                <w:szCs w:val="21"/>
              </w:rPr>
            </w:pPr>
            <w:r>
              <w:rPr>
                <w:rFonts w:ascii="仿宋_GB2312"/>
                <w:kern w:val="2"/>
                <w:sz w:val="21"/>
                <w:szCs w:val="21"/>
              </w:rPr>
              <w:t>5000m</w:t>
            </w:r>
          </w:p>
        </w:tc>
        <w:tc>
          <w:tcPr>
            <w:tcW w:w="851" w:type="dxa"/>
            <w:tcBorders>
              <w:bottom w:val="thinThickSmallGap" w:color="auto" w:sz="12" w:space="0"/>
            </w:tcBorders>
            <w:vAlign w:val="center"/>
          </w:tcPr>
          <w:p>
            <w:pPr>
              <w:pStyle w:val="9"/>
              <w:spacing w:line="280" w:lineRule="atLeast"/>
              <w:ind w:firstLine="0"/>
              <w:jc w:val="center"/>
              <w:rPr>
                <w:rFonts w:ascii="仿宋_GB2312"/>
                <w:kern w:val="2"/>
                <w:sz w:val="21"/>
                <w:szCs w:val="21"/>
              </w:rPr>
            </w:pPr>
          </w:p>
        </w:tc>
        <w:tc>
          <w:tcPr>
            <w:tcW w:w="2268" w:type="dxa"/>
            <w:tcBorders>
              <w:bottom w:val="thinThickSmallGap" w:color="auto" w:sz="12" w:space="0"/>
            </w:tcBorders>
            <w:vAlign w:val="center"/>
          </w:tcPr>
          <w:p>
            <w:pPr>
              <w:pStyle w:val="9"/>
              <w:spacing w:line="280" w:lineRule="atLeast"/>
              <w:ind w:firstLine="0"/>
              <w:jc w:val="center"/>
              <w:rPr>
                <w:rFonts w:ascii="仿宋_GB2312"/>
                <w:kern w:val="2"/>
                <w:sz w:val="21"/>
                <w:szCs w:val="21"/>
              </w:rPr>
            </w:pPr>
            <w:r>
              <w:rPr>
                <w:rFonts w:hint="eastAsia" w:ascii="仿宋_GB2312"/>
                <w:kern w:val="2"/>
                <w:sz w:val="21"/>
                <w:szCs w:val="21"/>
              </w:rPr>
              <w:t>长江水域功能为</w:t>
            </w:r>
            <w:r>
              <w:rPr>
                <w:rFonts w:ascii="仿宋_GB2312"/>
                <w:kern w:val="2"/>
                <w:sz w:val="21"/>
                <w:szCs w:val="21"/>
              </w:rPr>
              <w:t>III</w:t>
            </w:r>
            <w:r>
              <w:rPr>
                <w:rFonts w:hint="eastAsia" w:ascii="仿宋_GB2312"/>
                <w:kern w:val="2"/>
                <w:sz w:val="21"/>
                <w:szCs w:val="21"/>
              </w:rPr>
              <w:t>类</w:t>
            </w:r>
          </w:p>
        </w:tc>
        <w:tc>
          <w:tcPr>
            <w:tcW w:w="1134" w:type="dxa"/>
            <w:tcBorders>
              <w:bottom w:val="thinThickSmallGap" w:color="auto" w:sz="12" w:space="0"/>
            </w:tcBorders>
            <w:vAlign w:val="center"/>
          </w:tcPr>
          <w:p>
            <w:pPr>
              <w:pStyle w:val="193"/>
              <w:rPr>
                <w:rFonts w:ascii="仿宋_GB2312"/>
                <w:sz w:val="21"/>
                <w:szCs w:val="21"/>
              </w:rPr>
            </w:pPr>
            <w:r>
              <w:rPr>
                <w:rFonts w:hint="eastAsia" w:ascii="仿宋_GB2312"/>
                <w:sz w:val="21"/>
                <w:szCs w:val="21"/>
              </w:rPr>
              <w:t>环境风险</w:t>
            </w:r>
          </w:p>
          <w:p>
            <w:pPr>
              <w:pStyle w:val="193"/>
              <w:rPr>
                <w:rFonts w:ascii="仿宋_GB2312"/>
                <w:sz w:val="21"/>
                <w:szCs w:val="21"/>
              </w:rPr>
            </w:pPr>
            <w:r>
              <w:rPr>
                <w:rFonts w:hint="eastAsia" w:ascii="仿宋_GB2312"/>
                <w:sz w:val="21"/>
                <w:szCs w:val="21"/>
              </w:rPr>
              <w:t>尾水排放</w:t>
            </w:r>
          </w:p>
        </w:tc>
      </w:tr>
    </w:tbl>
    <w:p>
      <w:pPr>
        <w:adjustRightInd w:val="0"/>
        <w:snapToGrid w:val="0"/>
        <w:spacing w:line="460" w:lineRule="exact"/>
        <w:outlineLvl w:val="1"/>
        <w:rPr>
          <w:rFonts w:hint="eastAsia"/>
          <w:b/>
          <w:color w:val="000000"/>
          <w:sz w:val="26"/>
          <w:szCs w:val="26"/>
        </w:rPr>
      </w:pPr>
      <w:bookmarkStart w:id="146" w:name="_Toc24975"/>
      <w:r>
        <w:rPr>
          <w:rFonts w:hint="eastAsia"/>
          <w:b/>
          <w:color w:val="000000"/>
          <w:sz w:val="26"/>
          <w:szCs w:val="26"/>
        </w:rPr>
        <w:t>2.4企业现有污染物及排放标准</w:t>
      </w:r>
      <w:bookmarkEnd w:id="146"/>
    </w:p>
    <w:p>
      <w:pPr>
        <w:spacing w:line="460" w:lineRule="exact"/>
        <w:ind w:firstLine="480"/>
        <w:rPr>
          <w:rFonts w:ascii="仿宋_GB2312"/>
          <w:snapToGrid w:val="0"/>
          <w:sz w:val="24"/>
          <w:szCs w:val="24"/>
        </w:rPr>
      </w:pPr>
      <w:r>
        <w:rPr>
          <w:rFonts w:hint="eastAsia" w:ascii="仿宋_GB2312"/>
          <w:snapToGrid w:val="0"/>
          <w:sz w:val="24"/>
          <w:szCs w:val="24"/>
        </w:rPr>
        <w:t>（</w:t>
      </w:r>
      <w:r>
        <w:rPr>
          <w:rFonts w:ascii="仿宋_GB2312"/>
          <w:snapToGrid w:val="0"/>
          <w:sz w:val="24"/>
          <w:szCs w:val="24"/>
        </w:rPr>
        <w:t>1</w:t>
      </w:r>
      <w:r>
        <w:rPr>
          <w:rFonts w:hint="eastAsia" w:ascii="仿宋_GB2312"/>
          <w:snapToGrid w:val="0"/>
          <w:sz w:val="24"/>
          <w:szCs w:val="24"/>
        </w:rPr>
        <w:t>）废气</w:t>
      </w:r>
    </w:p>
    <w:p>
      <w:pPr>
        <w:spacing w:line="480" w:lineRule="exact"/>
        <w:ind w:firstLine="540" w:firstLineChars="225"/>
        <w:rPr>
          <w:rFonts w:ascii="宋体"/>
          <w:sz w:val="24"/>
          <w:szCs w:val="24"/>
        </w:rPr>
      </w:pPr>
      <w:r>
        <w:rPr>
          <w:rFonts w:hint="eastAsia" w:asciiTheme="minorEastAsia" w:hAnsiTheme="minorEastAsia" w:eastAsiaTheme="minorEastAsia"/>
          <w:sz w:val="24"/>
          <w:szCs w:val="24"/>
        </w:rPr>
        <w:t>根据《重庆市大气污染物综合排放标准》（DB50/418-2012），臭气执行《恶臭污染物排放标准》（GB14554-93）厂界标准二级，</w:t>
      </w:r>
      <w:r>
        <w:rPr>
          <w:rFonts w:hint="eastAsia" w:ascii="仿宋_GB2312"/>
          <w:snapToGrid w:val="0"/>
          <w:sz w:val="24"/>
          <w:szCs w:val="24"/>
        </w:rPr>
        <w:t>见表</w:t>
      </w:r>
      <w:r>
        <w:rPr>
          <w:rFonts w:ascii="仿宋_GB2312"/>
          <w:snapToGrid w:val="0"/>
          <w:sz w:val="24"/>
          <w:szCs w:val="24"/>
        </w:rPr>
        <w:t>2-3</w:t>
      </w:r>
      <w:r>
        <w:rPr>
          <w:rFonts w:hint="eastAsia" w:ascii="仿宋_GB2312"/>
          <w:snapToGrid w:val="0"/>
          <w:sz w:val="24"/>
          <w:szCs w:val="24"/>
        </w:rPr>
        <w:t>。</w:t>
      </w:r>
    </w:p>
    <w:p>
      <w:pPr>
        <w:pStyle w:val="193"/>
        <w:rPr>
          <w:rFonts w:ascii="仿宋_GB2312"/>
          <w:snapToGrid w:val="0"/>
        </w:rPr>
      </w:pPr>
      <w:r>
        <w:rPr>
          <w:rFonts w:ascii="仿宋_GB2312"/>
          <w:snapToGrid w:val="0"/>
        </w:rPr>
        <w:t xml:space="preserve">                      </w:t>
      </w:r>
    </w:p>
    <w:p>
      <w:pPr>
        <w:pStyle w:val="193"/>
        <w:rPr>
          <w:rFonts w:ascii="仿宋_GB2312"/>
          <w:snapToGrid w:val="0"/>
        </w:rPr>
      </w:pPr>
      <w:r>
        <w:rPr>
          <w:rFonts w:ascii="仿宋_GB2312"/>
          <w:snapToGrid w:val="0"/>
        </w:rPr>
        <w:t xml:space="preserve"> </w:t>
      </w:r>
      <w:r>
        <w:rPr>
          <w:rFonts w:hint="eastAsia" w:ascii="仿宋_GB2312"/>
          <w:snapToGrid w:val="0"/>
        </w:rPr>
        <w:t>表</w:t>
      </w:r>
      <w:r>
        <w:rPr>
          <w:rFonts w:ascii="仿宋_GB2312"/>
          <w:snapToGrid w:val="0"/>
        </w:rPr>
        <w:t xml:space="preserve">2-3  </w:t>
      </w:r>
      <w:r>
        <w:rPr>
          <w:rFonts w:hint="eastAsia" w:ascii="仿宋_GB2312"/>
          <w:snapToGrid w:val="0"/>
        </w:rPr>
        <w:t>废气排放标准</w:t>
      </w:r>
      <w:r>
        <w:rPr>
          <w:rFonts w:ascii="仿宋_GB2312"/>
          <w:snapToGrid w:val="0"/>
        </w:rPr>
        <w:t xml:space="preserve">                   </w:t>
      </w:r>
      <w:r>
        <w:rPr>
          <w:rFonts w:hint="eastAsia" w:ascii="仿宋_GB2312"/>
          <w:snapToGrid w:val="0"/>
        </w:rPr>
        <w:t>单位：</w:t>
      </w:r>
      <w:r>
        <w:rPr>
          <w:rFonts w:ascii="仿宋_GB2312"/>
          <w:snapToGrid w:val="0"/>
        </w:rPr>
        <w:t>mg/m</w:t>
      </w:r>
      <w:r>
        <w:rPr>
          <w:rFonts w:ascii="仿宋_GB2312"/>
          <w:snapToGrid w:val="0"/>
          <w:vertAlign w:val="superscript"/>
        </w:rPr>
        <w:t>3</w:t>
      </w:r>
    </w:p>
    <w:tbl>
      <w:tblPr>
        <w:tblStyle w:val="54"/>
        <w:tblW w:w="9006"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423"/>
        <w:gridCol w:w="2127"/>
        <w:gridCol w:w="4456"/>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423" w:type="dxa"/>
            <w:tcBorders>
              <w:top w:val="thinThickSmallGap" w:color="auto" w:sz="18" w:space="0"/>
              <w:right w:val="single" w:color="auto" w:sz="4" w:space="0"/>
            </w:tcBorders>
            <w:vAlign w:val="center"/>
          </w:tcPr>
          <w:p>
            <w:pPr>
              <w:pStyle w:val="193"/>
              <w:rPr>
                <w:rFonts w:ascii="仿宋_GB2312"/>
                <w:sz w:val="21"/>
                <w:szCs w:val="24"/>
              </w:rPr>
            </w:pPr>
            <w:r>
              <w:rPr>
                <w:rFonts w:hint="eastAsia" w:ascii="仿宋_GB2312"/>
                <w:sz w:val="21"/>
                <w:szCs w:val="24"/>
              </w:rPr>
              <w:t>污染物名称</w:t>
            </w:r>
          </w:p>
        </w:tc>
        <w:tc>
          <w:tcPr>
            <w:tcW w:w="2127" w:type="dxa"/>
            <w:tcBorders>
              <w:top w:val="thinThickSmallGap" w:color="auto" w:sz="18" w:space="0"/>
              <w:left w:val="single" w:color="auto" w:sz="4" w:space="0"/>
            </w:tcBorders>
            <w:vAlign w:val="center"/>
          </w:tcPr>
          <w:p>
            <w:pPr>
              <w:pStyle w:val="193"/>
              <w:rPr>
                <w:rFonts w:ascii="仿宋_GB2312"/>
                <w:sz w:val="21"/>
                <w:szCs w:val="24"/>
              </w:rPr>
            </w:pPr>
            <w:r>
              <w:rPr>
                <w:rFonts w:hint="eastAsia" w:ascii="仿宋_GB2312"/>
                <w:sz w:val="21"/>
                <w:szCs w:val="24"/>
              </w:rPr>
              <w:t>周界外浓度最高点</w:t>
            </w:r>
          </w:p>
        </w:tc>
        <w:tc>
          <w:tcPr>
            <w:tcW w:w="4456" w:type="dxa"/>
            <w:tcBorders>
              <w:top w:val="thinThickSmallGap" w:color="auto" w:sz="18" w:space="0"/>
              <w:left w:val="single" w:color="auto" w:sz="4" w:space="0"/>
            </w:tcBorders>
            <w:vAlign w:val="center"/>
          </w:tcPr>
          <w:p>
            <w:pPr>
              <w:pStyle w:val="193"/>
              <w:rPr>
                <w:rFonts w:ascii="仿宋_GB2312"/>
                <w:sz w:val="21"/>
                <w:szCs w:val="24"/>
              </w:rPr>
            </w:pPr>
            <w:r>
              <w:rPr>
                <w:rFonts w:hint="eastAsia" w:ascii="仿宋_GB2312"/>
                <w:sz w:val="21"/>
                <w:szCs w:val="24"/>
              </w:rPr>
              <w:t>依</w:t>
            </w:r>
            <w:r>
              <w:rPr>
                <w:rFonts w:ascii="仿宋_GB2312"/>
                <w:sz w:val="21"/>
                <w:szCs w:val="24"/>
              </w:rPr>
              <w:t xml:space="preserve"> </w:t>
            </w:r>
            <w:r>
              <w:rPr>
                <w:rFonts w:hint="eastAsia" w:ascii="仿宋_GB2312"/>
                <w:sz w:val="21"/>
                <w:szCs w:val="24"/>
              </w:rPr>
              <w:t>据</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301" w:hRule="atLeast"/>
          <w:jc w:val="center"/>
        </w:trPr>
        <w:tc>
          <w:tcPr>
            <w:tcW w:w="2423" w:type="dxa"/>
            <w:tcBorders>
              <w:right w:val="single" w:color="auto" w:sz="4" w:space="0"/>
            </w:tcBorders>
            <w:vAlign w:val="center"/>
          </w:tcPr>
          <w:p>
            <w:pPr>
              <w:pStyle w:val="193"/>
              <w:rPr>
                <w:rFonts w:ascii="仿宋_GB2312"/>
                <w:sz w:val="21"/>
                <w:szCs w:val="24"/>
              </w:rPr>
            </w:pPr>
            <w:r>
              <w:rPr>
                <w:rFonts w:hint="eastAsia" w:ascii="仿宋_GB2312"/>
                <w:sz w:val="21"/>
                <w:szCs w:val="24"/>
              </w:rPr>
              <w:t>臭气</w:t>
            </w:r>
          </w:p>
        </w:tc>
        <w:tc>
          <w:tcPr>
            <w:tcW w:w="2127" w:type="dxa"/>
            <w:tcBorders>
              <w:left w:val="single" w:color="auto" w:sz="4" w:space="0"/>
            </w:tcBorders>
            <w:vAlign w:val="center"/>
          </w:tcPr>
          <w:p>
            <w:pPr>
              <w:pStyle w:val="193"/>
              <w:rPr>
                <w:rFonts w:ascii="仿宋_GB2312"/>
                <w:sz w:val="21"/>
                <w:szCs w:val="24"/>
              </w:rPr>
            </w:pPr>
            <w:r>
              <w:rPr>
                <w:rFonts w:ascii="仿宋_GB2312"/>
                <w:sz w:val="21"/>
                <w:szCs w:val="24"/>
              </w:rPr>
              <w:t>20</w:t>
            </w:r>
          </w:p>
        </w:tc>
        <w:tc>
          <w:tcPr>
            <w:tcW w:w="4456" w:type="dxa"/>
            <w:tcBorders>
              <w:left w:val="single" w:color="auto" w:sz="4" w:space="0"/>
            </w:tcBorders>
            <w:vAlign w:val="center"/>
          </w:tcPr>
          <w:p>
            <w:pPr>
              <w:pStyle w:val="193"/>
              <w:rPr>
                <w:rFonts w:ascii="仿宋_GB2312"/>
                <w:sz w:val="21"/>
                <w:szCs w:val="24"/>
              </w:rPr>
            </w:pPr>
            <w:r>
              <w:rPr>
                <w:rFonts w:hint="eastAsia" w:ascii="仿宋_GB2312"/>
                <w:sz w:val="21"/>
                <w:szCs w:val="24"/>
              </w:rPr>
              <w:t>《恶臭污染物排放标准》（</w:t>
            </w:r>
            <w:r>
              <w:rPr>
                <w:rFonts w:ascii="仿宋_GB2312"/>
                <w:sz w:val="21"/>
                <w:szCs w:val="24"/>
              </w:rPr>
              <w:t>GB14554-93</w:t>
            </w:r>
            <w:r>
              <w:rPr>
                <w:rFonts w:hint="eastAsia" w:ascii="仿宋_GB2312"/>
                <w:sz w:val="21"/>
                <w:szCs w:val="24"/>
              </w:rPr>
              <w:t>）</w:t>
            </w:r>
          </w:p>
        </w:tc>
      </w:tr>
    </w:tbl>
    <w:p>
      <w:pPr>
        <w:pStyle w:val="193"/>
        <w:jc w:val="both"/>
        <w:rPr>
          <w:rFonts w:ascii="仿宋_GB2312"/>
          <w:b/>
        </w:rPr>
      </w:pPr>
      <w:r>
        <w:rPr>
          <w:rFonts w:ascii="仿宋_GB2312"/>
        </w:rPr>
        <w:t xml:space="preserve">    </w:t>
      </w:r>
      <w:r>
        <w:rPr>
          <w:rFonts w:ascii="仿宋_GB2312"/>
          <w:b/>
        </w:rPr>
        <w:t xml:space="preserve"> </w:t>
      </w:r>
      <w:r>
        <w:rPr>
          <w:rFonts w:hint="eastAsia" w:ascii="仿宋_GB2312"/>
          <w:snapToGrid w:val="0"/>
        </w:rPr>
        <w:t>（</w:t>
      </w:r>
      <w:r>
        <w:rPr>
          <w:rFonts w:ascii="仿宋_GB2312"/>
          <w:snapToGrid w:val="0"/>
        </w:rPr>
        <w:t>2</w:t>
      </w:r>
      <w:r>
        <w:rPr>
          <w:rFonts w:hint="eastAsia" w:ascii="仿宋_GB2312"/>
          <w:snapToGrid w:val="0"/>
        </w:rPr>
        <w:t>）废水</w:t>
      </w:r>
    </w:p>
    <w:p>
      <w:pPr>
        <w:spacing w:line="460" w:lineRule="exact"/>
        <w:ind w:firstLine="480"/>
        <w:rPr>
          <w:rFonts w:ascii="仿宋_GB2312"/>
          <w:sz w:val="24"/>
          <w:szCs w:val="24"/>
        </w:rPr>
      </w:pPr>
      <w:r>
        <w:rPr>
          <w:rFonts w:hint="eastAsia" w:ascii="仿宋_GB2312"/>
          <w:sz w:val="24"/>
          <w:szCs w:val="24"/>
        </w:rPr>
        <w:t>污水处理厂处理达到《污水综合排放标准》（</w:t>
      </w:r>
      <w:r>
        <w:rPr>
          <w:rFonts w:ascii="仿宋_GB2312"/>
          <w:sz w:val="24"/>
          <w:szCs w:val="24"/>
        </w:rPr>
        <w:t>GB8978-1996</w:t>
      </w:r>
      <w:r>
        <w:rPr>
          <w:rFonts w:hint="eastAsia" w:ascii="仿宋_GB2312"/>
          <w:sz w:val="24"/>
          <w:szCs w:val="24"/>
        </w:rPr>
        <w:t>）中第二类污染物（</w:t>
      </w:r>
      <w:r>
        <w:rPr>
          <w:rFonts w:ascii="仿宋_GB2312"/>
          <w:sz w:val="24"/>
          <w:szCs w:val="24"/>
        </w:rPr>
        <w:t>1998</w:t>
      </w:r>
      <w:r>
        <w:rPr>
          <w:rFonts w:hint="eastAsia" w:ascii="仿宋_GB2312"/>
          <w:sz w:val="24"/>
          <w:szCs w:val="24"/>
        </w:rPr>
        <w:t>年</w:t>
      </w:r>
      <w:r>
        <w:rPr>
          <w:rFonts w:ascii="仿宋_GB2312"/>
          <w:sz w:val="24"/>
          <w:szCs w:val="24"/>
        </w:rPr>
        <w:t>1</w:t>
      </w:r>
      <w:r>
        <w:rPr>
          <w:rFonts w:hint="eastAsia" w:ascii="仿宋_GB2312"/>
          <w:sz w:val="24"/>
          <w:szCs w:val="24"/>
        </w:rPr>
        <w:t>月</w:t>
      </w:r>
      <w:r>
        <w:rPr>
          <w:rFonts w:ascii="仿宋_GB2312"/>
          <w:sz w:val="24"/>
          <w:szCs w:val="24"/>
        </w:rPr>
        <w:t>1</w:t>
      </w:r>
      <w:r>
        <w:rPr>
          <w:rFonts w:hint="eastAsia" w:ascii="仿宋_GB2312"/>
          <w:sz w:val="24"/>
          <w:szCs w:val="24"/>
        </w:rPr>
        <w:t>日后建设的单位）一级标准后，</w:t>
      </w:r>
      <w:r>
        <w:rPr>
          <w:rFonts w:hint="eastAsia" w:ascii="仿宋_GB2312"/>
          <w:color w:val="000000"/>
          <w:sz w:val="24"/>
          <w:szCs w:val="24"/>
        </w:rPr>
        <w:t>污水处理达标后通过尾水排放管排入长江</w:t>
      </w:r>
      <w:r>
        <w:rPr>
          <w:rFonts w:hint="eastAsia" w:ascii="仿宋_GB2312"/>
          <w:sz w:val="24"/>
          <w:szCs w:val="24"/>
        </w:rPr>
        <w:t>。废水排放标准，见表</w:t>
      </w:r>
      <w:r>
        <w:rPr>
          <w:rFonts w:ascii="仿宋_GB2312"/>
          <w:sz w:val="24"/>
          <w:szCs w:val="24"/>
        </w:rPr>
        <w:t>2-4</w:t>
      </w:r>
      <w:r>
        <w:rPr>
          <w:rFonts w:hint="eastAsia" w:ascii="仿宋_GB2312"/>
          <w:sz w:val="24"/>
          <w:szCs w:val="24"/>
        </w:rPr>
        <w:t>。</w:t>
      </w:r>
      <w:r>
        <w:rPr>
          <w:rFonts w:ascii="仿宋_GB2312"/>
          <w:sz w:val="24"/>
          <w:szCs w:val="24"/>
        </w:rPr>
        <w:t xml:space="preserve">            </w:t>
      </w:r>
    </w:p>
    <w:p>
      <w:pPr>
        <w:pStyle w:val="193"/>
        <w:ind w:firstLine="281"/>
        <w:rPr>
          <w:rFonts w:ascii="仿宋_GB2312"/>
        </w:rPr>
      </w:pPr>
      <w:r>
        <w:rPr>
          <w:rFonts w:hint="eastAsia" w:ascii="仿宋_GB2312"/>
        </w:rPr>
        <w:t>表</w:t>
      </w:r>
      <w:r>
        <w:rPr>
          <w:rFonts w:ascii="仿宋_GB2312"/>
        </w:rPr>
        <w:t>2-4</w:t>
      </w:r>
      <w:r>
        <w:rPr>
          <w:rFonts w:hint="eastAsia" w:ascii="仿宋_GB2312"/>
        </w:rPr>
        <w:t>废水排放标准</w:t>
      </w:r>
      <w:r>
        <w:rPr>
          <w:rFonts w:ascii="仿宋_GB2312"/>
        </w:rPr>
        <w:t xml:space="preserve">            </w:t>
      </w:r>
      <w:r>
        <w:rPr>
          <w:rFonts w:hint="eastAsia" w:ascii="仿宋_GB2312"/>
        </w:rPr>
        <w:t>单位：</w:t>
      </w:r>
      <w:r>
        <w:rPr>
          <w:rFonts w:ascii="仿宋_GB2312"/>
        </w:rPr>
        <w:t>mg/L</w:t>
      </w:r>
    </w:p>
    <w:tbl>
      <w:tblPr>
        <w:tblStyle w:val="54"/>
        <w:tblW w:w="8895" w:type="dxa"/>
        <w:jc w:val="center"/>
        <w:tblInd w:w="0" w:type="dxa"/>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004"/>
        <w:gridCol w:w="939"/>
        <w:gridCol w:w="1471"/>
        <w:gridCol w:w="939"/>
        <w:gridCol w:w="1700"/>
        <w:gridCol w:w="1613"/>
        <w:gridCol w:w="1229"/>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 w:hRule="atLeast"/>
          <w:jc w:val="center"/>
        </w:trPr>
        <w:tc>
          <w:tcPr>
            <w:tcW w:w="1004" w:type="dxa"/>
            <w:vMerge w:val="restart"/>
            <w:tcBorders>
              <w:top w:val="thinThickSmallGap" w:color="auto" w:sz="18" w:space="0"/>
              <w:right w:val="single" w:color="auto" w:sz="4" w:space="0"/>
            </w:tcBorders>
            <w:vAlign w:val="center"/>
          </w:tcPr>
          <w:p>
            <w:pPr>
              <w:jc w:val="center"/>
              <w:rPr>
                <w:rFonts w:ascii="宋体"/>
                <w:szCs w:val="21"/>
              </w:rPr>
            </w:pPr>
            <w:r>
              <w:rPr>
                <w:rFonts w:hint="eastAsia" w:ascii="宋体" w:hAnsi="宋体"/>
                <w:szCs w:val="21"/>
              </w:rPr>
              <w:t>污染物</w:t>
            </w:r>
          </w:p>
          <w:p>
            <w:pPr>
              <w:pStyle w:val="193"/>
              <w:rPr>
                <w:rFonts w:ascii="仿宋_GB2312"/>
                <w:sz w:val="21"/>
                <w:szCs w:val="21"/>
              </w:rPr>
            </w:pPr>
            <w:r>
              <w:rPr>
                <w:rFonts w:hint="eastAsia" w:ascii="宋体" w:hAnsi="宋体"/>
                <w:sz w:val="21"/>
                <w:szCs w:val="21"/>
              </w:rPr>
              <w:t>名称</w:t>
            </w:r>
          </w:p>
        </w:tc>
        <w:tc>
          <w:tcPr>
            <w:tcW w:w="2410" w:type="dxa"/>
            <w:gridSpan w:val="2"/>
            <w:tcBorders>
              <w:top w:val="thinThickSmallGap" w:color="auto" w:sz="18" w:space="0"/>
              <w:left w:val="single" w:color="auto" w:sz="4" w:space="0"/>
              <w:right w:val="single" w:color="auto" w:sz="4" w:space="0"/>
            </w:tcBorders>
            <w:vAlign w:val="center"/>
          </w:tcPr>
          <w:p>
            <w:pPr>
              <w:pStyle w:val="193"/>
              <w:rPr>
                <w:rFonts w:ascii="仿宋_GB2312"/>
                <w:sz w:val="21"/>
                <w:szCs w:val="21"/>
              </w:rPr>
            </w:pPr>
            <w:r>
              <w:rPr>
                <w:rFonts w:hint="eastAsia" w:ascii="宋体" w:hAnsi="宋体"/>
                <w:sz w:val="21"/>
                <w:szCs w:val="21"/>
              </w:rPr>
              <w:t>处理前</w:t>
            </w:r>
          </w:p>
        </w:tc>
        <w:tc>
          <w:tcPr>
            <w:tcW w:w="2639" w:type="dxa"/>
            <w:gridSpan w:val="2"/>
            <w:tcBorders>
              <w:top w:val="thinThickSmallGap" w:color="auto" w:sz="18" w:space="0"/>
              <w:left w:val="single" w:color="auto" w:sz="4" w:space="0"/>
            </w:tcBorders>
            <w:vAlign w:val="center"/>
          </w:tcPr>
          <w:p>
            <w:pPr>
              <w:pStyle w:val="193"/>
              <w:rPr>
                <w:rFonts w:ascii="仿宋_GB2312"/>
                <w:sz w:val="21"/>
                <w:szCs w:val="21"/>
              </w:rPr>
            </w:pPr>
            <w:r>
              <w:rPr>
                <w:rFonts w:hint="eastAsia" w:ascii="宋体" w:hAnsi="宋体"/>
                <w:sz w:val="21"/>
                <w:szCs w:val="21"/>
              </w:rPr>
              <w:t>处理后</w:t>
            </w:r>
          </w:p>
        </w:tc>
        <w:tc>
          <w:tcPr>
            <w:tcW w:w="1613" w:type="dxa"/>
            <w:vMerge w:val="restart"/>
            <w:tcBorders>
              <w:top w:val="thinThickSmallGap" w:color="auto" w:sz="18" w:space="0"/>
              <w:left w:val="single" w:color="auto" w:sz="4" w:space="0"/>
              <w:right w:val="single" w:color="auto" w:sz="4" w:space="0"/>
            </w:tcBorders>
            <w:vAlign w:val="center"/>
          </w:tcPr>
          <w:p>
            <w:pPr>
              <w:jc w:val="center"/>
              <w:rPr>
                <w:rFonts w:ascii="宋体"/>
                <w:szCs w:val="21"/>
              </w:rPr>
            </w:pPr>
            <w:r>
              <w:rPr>
                <w:rFonts w:hint="eastAsia" w:ascii="宋体" w:hAnsi="宋体"/>
                <w:szCs w:val="21"/>
              </w:rPr>
              <w:t>一级排放</w:t>
            </w:r>
          </w:p>
          <w:p>
            <w:pPr>
              <w:pStyle w:val="193"/>
              <w:rPr>
                <w:rFonts w:ascii="仿宋_GB2312"/>
                <w:sz w:val="21"/>
                <w:szCs w:val="21"/>
              </w:rPr>
            </w:pPr>
            <w:r>
              <w:rPr>
                <w:rFonts w:hint="eastAsia" w:ascii="宋体" w:hAnsi="宋体"/>
                <w:sz w:val="21"/>
                <w:szCs w:val="21"/>
              </w:rPr>
              <w:t>标准</w:t>
            </w:r>
            <w:r>
              <w:rPr>
                <w:rFonts w:ascii="宋体" w:hAnsi="宋体"/>
                <w:sz w:val="21"/>
                <w:szCs w:val="21"/>
              </w:rPr>
              <w:t>mg/L</w:t>
            </w:r>
          </w:p>
        </w:tc>
        <w:tc>
          <w:tcPr>
            <w:tcW w:w="1229" w:type="dxa"/>
            <w:vMerge w:val="restart"/>
            <w:tcBorders>
              <w:top w:val="thinThickSmallGap" w:color="auto" w:sz="18" w:space="0"/>
              <w:left w:val="single" w:color="auto" w:sz="4" w:space="0"/>
            </w:tcBorders>
            <w:vAlign w:val="center"/>
          </w:tcPr>
          <w:p>
            <w:pPr>
              <w:spacing w:line="300" w:lineRule="atLeast"/>
              <w:jc w:val="center"/>
              <w:rPr>
                <w:rFonts w:ascii="宋体"/>
              </w:rPr>
            </w:pPr>
            <w:r>
              <w:rPr>
                <w:rFonts w:hint="eastAsia" w:ascii="宋体" w:hAnsi="宋体"/>
              </w:rPr>
              <w:t>最终</w:t>
            </w:r>
          </w:p>
          <w:p>
            <w:pPr>
              <w:pStyle w:val="193"/>
              <w:rPr>
                <w:rFonts w:ascii="仿宋_GB2312"/>
                <w:sz w:val="21"/>
                <w:szCs w:val="24"/>
              </w:rPr>
            </w:pPr>
            <w:r>
              <w:rPr>
                <w:rFonts w:hint="eastAsia" w:ascii="宋体" w:hAnsi="宋体"/>
                <w:sz w:val="21"/>
                <w:szCs w:val="24"/>
              </w:rPr>
              <w:t>去向</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299" w:hRule="atLeast"/>
          <w:jc w:val="center"/>
        </w:trPr>
        <w:tc>
          <w:tcPr>
            <w:tcW w:w="1004" w:type="dxa"/>
            <w:vMerge w:val="continue"/>
            <w:tcBorders>
              <w:top w:val="thinThickSmallGap" w:color="auto" w:sz="18" w:space="0"/>
              <w:right w:val="single" w:color="auto" w:sz="4" w:space="0"/>
            </w:tcBorders>
            <w:vAlign w:val="center"/>
          </w:tcPr>
          <w:p>
            <w:pPr>
              <w:widowControl/>
              <w:ind w:firstLine="420"/>
              <w:jc w:val="left"/>
              <w:rPr>
                <w:rFonts w:ascii="仿宋_GB2312"/>
                <w:szCs w:val="21"/>
              </w:rPr>
            </w:pPr>
          </w:p>
        </w:tc>
        <w:tc>
          <w:tcPr>
            <w:tcW w:w="939"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浓度</w:t>
            </w:r>
          </w:p>
        </w:tc>
        <w:tc>
          <w:tcPr>
            <w:tcW w:w="1471" w:type="dxa"/>
            <w:tcBorders>
              <w:left w:val="single" w:color="auto" w:sz="4" w:space="0"/>
              <w:right w:val="single" w:color="auto" w:sz="4" w:space="0"/>
            </w:tcBorders>
            <w:vAlign w:val="center"/>
          </w:tcPr>
          <w:p>
            <w:pPr>
              <w:pStyle w:val="193"/>
              <w:jc w:val="both"/>
              <w:rPr>
                <w:rFonts w:ascii="仿宋_GB2312"/>
                <w:sz w:val="21"/>
                <w:szCs w:val="21"/>
              </w:rPr>
            </w:pPr>
            <w:r>
              <w:rPr>
                <w:rFonts w:hint="eastAsia" w:ascii="宋体" w:hAnsi="宋体"/>
                <w:sz w:val="21"/>
                <w:szCs w:val="21"/>
              </w:rPr>
              <w:t>排放量（</w:t>
            </w:r>
            <w:r>
              <w:rPr>
                <w:rFonts w:ascii="宋体" w:hAnsi="宋体"/>
                <w:sz w:val="21"/>
                <w:szCs w:val="21"/>
              </w:rPr>
              <w:t>t/a</w:t>
            </w:r>
            <w:r>
              <w:rPr>
                <w:rFonts w:hint="eastAsia" w:ascii="宋体" w:hAnsi="宋体"/>
                <w:sz w:val="21"/>
                <w:szCs w:val="21"/>
              </w:rPr>
              <w:t>）</w:t>
            </w:r>
          </w:p>
        </w:tc>
        <w:tc>
          <w:tcPr>
            <w:tcW w:w="939"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浓度</w:t>
            </w:r>
          </w:p>
        </w:tc>
        <w:tc>
          <w:tcPr>
            <w:tcW w:w="1700" w:type="dxa"/>
            <w:tcBorders>
              <w:left w:val="single" w:color="auto" w:sz="4" w:space="0"/>
            </w:tcBorders>
            <w:vAlign w:val="center"/>
          </w:tcPr>
          <w:p>
            <w:pPr>
              <w:jc w:val="center"/>
              <w:rPr>
                <w:rFonts w:ascii="宋体"/>
                <w:szCs w:val="21"/>
              </w:rPr>
            </w:pPr>
            <w:r>
              <w:rPr>
                <w:rFonts w:hint="eastAsia" w:ascii="宋体" w:hAnsi="宋体"/>
                <w:szCs w:val="21"/>
              </w:rPr>
              <w:t>排放量（</w:t>
            </w:r>
            <w:r>
              <w:rPr>
                <w:rFonts w:ascii="宋体" w:hAnsi="宋体"/>
                <w:szCs w:val="21"/>
              </w:rPr>
              <w:t>t/a</w:t>
            </w:r>
            <w:r>
              <w:rPr>
                <w:rFonts w:hint="eastAsia" w:ascii="宋体" w:hAnsi="宋体"/>
                <w:szCs w:val="21"/>
              </w:rPr>
              <w:t>）</w:t>
            </w:r>
          </w:p>
        </w:tc>
        <w:tc>
          <w:tcPr>
            <w:tcW w:w="1613" w:type="dxa"/>
            <w:vMerge w:val="continue"/>
            <w:tcBorders>
              <w:top w:val="thinThickSmallGap" w:color="auto" w:sz="18" w:space="0"/>
              <w:left w:val="single" w:color="auto" w:sz="4" w:space="0"/>
              <w:right w:val="single" w:color="auto" w:sz="4" w:space="0"/>
            </w:tcBorders>
            <w:vAlign w:val="center"/>
          </w:tcPr>
          <w:p>
            <w:pPr>
              <w:widowControl/>
              <w:ind w:firstLine="420"/>
              <w:jc w:val="left"/>
              <w:rPr>
                <w:rFonts w:ascii="仿宋_GB2312"/>
                <w:szCs w:val="21"/>
              </w:rPr>
            </w:pPr>
          </w:p>
        </w:tc>
        <w:tc>
          <w:tcPr>
            <w:tcW w:w="1229" w:type="dxa"/>
            <w:vMerge w:val="continue"/>
            <w:tcBorders>
              <w:top w:val="thinThickSmallGap" w:color="auto" w:sz="18" w:space="0"/>
              <w:left w:val="single" w:color="auto" w:sz="4" w:space="0"/>
            </w:tcBorders>
            <w:vAlign w:val="center"/>
          </w:tcPr>
          <w:p>
            <w:pPr>
              <w:widowControl/>
              <w:ind w:firstLine="420"/>
              <w:jc w:val="left"/>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1004" w:type="dxa"/>
            <w:tcBorders>
              <w:right w:val="single" w:color="auto" w:sz="4" w:space="0"/>
            </w:tcBorders>
            <w:vAlign w:val="center"/>
          </w:tcPr>
          <w:p>
            <w:pPr>
              <w:jc w:val="center"/>
              <w:rPr>
                <w:rFonts w:ascii="宋体"/>
                <w:szCs w:val="21"/>
              </w:rPr>
            </w:pPr>
            <w:r>
              <w:rPr>
                <w:rFonts w:hint="eastAsia" w:ascii="宋体" w:hAnsi="宋体"/>
                <w:szCs w:val="21"/>
              </w:rPr>
              <w:t>废水</w:t>
            </w:r>
          </w:p>
        </w:tc>
        <w:tc>
          <w:tcPr>
            <w:tcW w:w="939" w:type="dxa"/>
            <w:tcBorders>
              <w:left w:val="single" w:color="auto" w:sz="4" w:space="0"/>
              <w:right w:val="single" w:color="auto" w:sz="4" w:space="0"/>
            </w:tcBorders>
            <w:vAlign w:val="center"/>
          </w:tcPr>
          <w:p>
            <w:pPr>
              <w:ind w:firstLine="420"/>
              <w:jc w:val="center"/>
              <w:rPr>
                <w:rFonts w:ascii="宋体"/>
                <w:szCs w:val="21"/>
              </w:rPr>
            </w:pPr>
          </w:p>
        </w:tc>
        <w:tc>
          <w:tcPr>
            <w:tcW w:w="1471" w:type="dxa"/>
            <w:tcBorders>
              <w:left w:val="single" w:color="auto" w:sz="4" w:space="0"/>
              <w:right w:val="single" w:color="auto" w:sz="4" w:space="0"/>
            </w:tcBorders>
            <w:vAlign w:val="center"/>
          </w:tcPr>
          <w:p>
            <w:pPr>
              <w:jc w:val="center"/>
              <w:rPr>
                <w:rFonts w:ascii="宋体"/>
                <w:szCs w:val="21"/>
              </w:rPr>
            </w:pPr>
            <w:r>
              <w:rPr>
                <w:rFonts w:ascii="宋体" w:hAnsi="宋体"/>
                <w:szCs w:val="21"/>
              </w:rPr>
              <w:t>49.3</w:t>
            </w:r>
            <w:r>
              <w:rPr>
                <w:rFonts w:hint="eastAsia" w:ascii="宋体" w:hAnsi="宋体"/>
                <w:szCs w:val="21"/>
              </w:rPr>
              <w:t>×</w:t>
            </w:r>
            <w:r>
              <w:rPr>
                <w:rFonts w:ascii="宋体" w:hAnsi="宋体"/>
                <w:szCs w:val="21"/>
              </w:rPr>
              <w:t>10</w:t>
            </w:r>
            <w:r>
              <w:rPr>
                <w:rFonts w:ascii="宋体" w:hAnsi="宋体"/>
                <w:szCs w:val="21"/>
                <w:vertAlign w:val="superscript"/>
              </w:rPr>
              <w:t>4</w:t>
            </w:r>
          </w:p>
        </w:tc>
        <w:tc>
          <w:tcPr>
            <w:tcW w:w="939" w:type="dxa"/>
            <w:tcBorders>
              <w:left w:val="single" w:color="auto" w:sz="4" w:space="0"/>
              <w:right w:val="single" w:color="auto" w:sz="4" w:space="0"/>
            </w:tcBorders>
            <w:vAlign w:val="center"/>
          </w:tcPr>
          <w:p>
            <w:pPr>
              <w:widowControl/>
              <w:ind w:firstLine="420"/>
              <w:jc w:val="center"/>
              <w:rPr>
                <w:rFonts w:ascii="Calibri" w:hAnsi="Calibri"/>
                <w:szCs w:val="21"/>
              </w:rPr>
            </w:pPr>
          </w:p>
        </w:tc>
        <w:tc>
          <w:tcPr>
            <w:tcW w:w="1700" w:type="dxa"/>
            <w:tcBorders>
              <w:left w:val="single" w:color="auto" w:sz="4" w:space="0"/>
            </w:tcBorders>
            <w:vAlign w:val="center"/>
          </w:tcPr>
          <w:p>
            <w:pPr>
              <w:jc w:val="center"/>
              <w:rPr>
                <w:rFonts w:ascii="宋体"/>
                <w:szCs w:val="21"/>
              </w:rPr>
            </w:pPr>
            <w:r>
              <w:rPr>
                <w:rFonts w:ascii="宋体" w:hAnsi="宋体"/>
                <w:szCs w:val="21"/>
              </w:rPr>
              <w:t>49.3</w:t>
            </w:r>
            <w:r>
              <w:rPr>
                <w:rFonts w:hint="eastAsia" w:ascii="宋体" w:hAnsi="宋体"/>
                <w:szCs w:val="21"/>
              </w:rPr>
              <w:t>×</w:t>
            </w:r>
            <w:r>
              <w:rPr>
                <w:rFonts w:ascii="宋体" w:hAnsi="宋体"/>
                <w:szCs w:val="21"/>
              </w:rPr>
              <w:t>10</w:t>
            </w:r>
            <w:r>
              <w:rPr>
                <w:rFonts w:ascii="宋体" w:hAnsi="宋体"/>
                <w:szCs w:val="21"/>
                <w:vertAlign w:val="superscript"/>
              </w:rPr>
              <w:t>4</w:t>
            </w:r>
          </w:p>
        </w:tc>
        <w:tc>
          <w:tcPr>
            <w:tcW w:w="1613" w:type="dxa"/>
            <w:tcBorders>
              <w:left w:val="single" w:color="auto" w:sz="4" w:space="0"/>
              <w:right w:val="single" w:color="auto" w:sz="4" w:space="0"/>
            </w:tcBorders>
            <w:vAlign w:val="center"/>
          </w:tcPr>
          <w:p>
            <w:pPr>
              <w:widowControl/>
              <w:ind w:firstLine="420"/>
              <w:jc w:val="center"/>
              <w:rPr>
                <w:rFonts w:ascii="Calibri" w:hAnsi="Calibri"/>
                <w:szCs w:val="21"/>
              </w:rPr>
            </w:pPr>
          </w:p>
        </w:tc>
        <w:tc>
          <w:tcPr>
            <w:tcW w:w="1229" w:type="dxa"/>
            <w:vMerge w:val="restart"/>
            <w:tcBorders>
              <w:left w:val="single" w:color="auto" w:sz="4" w:space="0"/>
              <w:bottom w:val="thickThinSmallGap" w:color="auto" w:sz="18" w:space="0"/>
            </w:tcBorders>
            <w:vAlign w:val="center"/>
          </w:tcPr>
          <w:p>
            <w:pPr>
              <w:pStyle w:val="193"/>
              <w:jc w:val="left"/>
              <w:rPr>
                <w:rFonts w:ascii="仿宋_GB2312"/>
                <w:sz w:val="21"/>
                <w:szCs w:val="21"/>
              </w:rPr>
            </w:pPr>
            <w:r>
              <w:rPr>
                <w:rFonts w:hint="eastAsia" w:ascii="宋体" w:hAnsi="宋体"/>
                <w:sz w:val="21"/>
                <w:szCs w:val="21"/>
              </w:rPr>
              <w:t>排放口距珍溪河</w:t>
            </w:r>
            <w:r>
              <w:rPr>
                <w:rFonts w:ascii="宋体" w:hAnsi="宋体"/>
                <w:sz w:val="21"/>
                <w:szCs w:val="21"/>
              </w:rPr>
              <w:t>200m,</w:t>
            </w:r>
            <w:r>
              <w:rPr>
                <w:rFonts w:hint="eastAsia" w:ascii="宋体" w:hAnsi="宋体"/>
                <w:sz w:val="21"/>
                <w:szCs w:val="21"/>
              </w:rPr>
              <w:t>流径</w:t>
            </w:r>
            <w:r>
              <w:rPr>
                <w:rFonts w:ascii="宋体" w:hAnsi="宋体"/>
                <w:sz w:val="21"/>
                <w:szCs w:val="21"/>
              </w:rPr>
              <w:t>8km</w:t>
            </w:r>
            <w:r>
              <w:rPr>
                <w:rFonts w:hint="eastAsia" w:ascii="宋体" w:hAnsi="宋体"/>
                <w:sz w:val="21"/>
                <w:szCs w:val="21"/>
              </w:rPr>
              <w:t>后在珍溪镇汇入长江。</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1004" w:type="dxa"/>
            <w:tcBorders>
              <w:right w:val="single" w:color="auto" w:sz="4" w:space="0"/>
            </w:tcBorders>
            <w:vAlign w:val="center"/>
          </w:tcPr>
          <w:p>
            <w:pPr>
              <w:jc w:val="center"/>
              <w:rPr>
                <w:rFonts w:ascii="宋体"/>
                <w:szCs w:val="21"/>
              </w:rPr>
            </w:pPr>
            <w:r>
              <w:rPr>
                <w:rFonts w:ascii="宋体" w:hAnsi="宋体"/>
                <w:szCs w:val="21"/>
              </w:rPr>
              <w:t>COD</w:t>
            </w:r>
          </w:p>
        </w:tc>
        <w:tc>
          <w:tcPr>
            <w:tcW w:w="939" w:type="dxa"/>
            <w:tcBorders>
              <w:left w:val="single" w:color="auto" w:sz="4" w:space="0"/>
              <w:right w:val="single" w:color="auto" w:sz="4" w:space="0"/>
            </w:tcBorders>
            <w:vAlign w:val="center"/>
          </w:tcPr>
          <w:p>
            <w:pPr>
              <w:jc w:val="center"/>
              <w:rPr>
                <w:rFonts w:ascii="宋体" w:cs="宋体"/>
                <w:szCs w:val="21"/>
              </w:rPr>
            </w:pPr>
            <w:r>
              <w:rPr>
                <w:rFonts w:ascii="宋体" w:hAnsi="宋体"/>
                <w:szCs w:val="21"/>
              </w:rPr>
              <w:t>2780</w:t>
            </w:r>
          </w:p>
        </w:tc>
        <w:tc>
          <w:tcPr>
            <w:tcW w:w="1471" w:type="dxa"/>
            <w:tcBorders>
              <w:left w:val="single" w:color="auto" w:sz="4" w:space="0"/>
              <w:right w:val="single" w:color="auto" w:sz="4" w:space="0"/>
            </w:tcBorders>
            <w:vAlign w:val="center"/>
          </w:tcPr>
          <w:p>
            <w:pPr>
              <w:jc w:val="center"/>
              <w:rPr>
                <w:rFonts w:ascii="宋体"/>
                <w:szCs w:val="21"/>
              </w:rPr>
            </w:pPr>
            <w:r>
              <w:rPr>
                <w:rFonts w:ascii="宋体" w:hAnsi="宋体"/>
                <w:szCs w:val="21"/>
              </w:rPr>
              <w:t>1370</w:t>
            </w:r>
          </w:p>
        </w:tc>
        <w:tc>
          <w:tcPr>
            <w:tcW w:w="939"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100</w:t>
            </w:r>
          </w:p>
        </w:tc>
        <w:tc>
          <w:tcPr>
            <w:tcW w:w="1700" w:type="dxa"/>
            <w:tcBorders>
              <w:left w:val="single" w:color="auto" w:sz="4" w:space="0"/>
            </w:tcBorders>
            <w:vAlign w:val="center"/>
          </w:tcPr>
          <w:p>
            <w:pPr>
              <w:pStyle w:val="404"/>
              <w:widowControl w:val="0"/>
              <w:spacing w:before="0" w:beforeAutospacing="0" w:after="0" w:afterAutospacing="0"/>
              <w:jc w:val="center"/>
              <w:rPr>
                <w:rFonts w:ascii="宋体"/>
                <w:color w:val="auto"/>
                <w:kern w:val="2"/>
                <w:sz w:val="24"/>
                <w:szCs w:val="24"/>
              </w:rPr>
            </w:pPr>
            <w:r>
              <w:rPr>
                <w:rFonts w:ascii="宋体" w:hAnsi="宋体"/>
                <w:color w:val="auto"/>
                <w:kern w:val="2"/>
                <w:sz w:val="24"/>
                <w:szCs w:val="24"/>
              </w:rPr>
              <w:t>49.3</w:t>
            </w:r>
          </w:p>
        </w:tc>
        <w:tc>
          <w:tcPr>
            <w:tcW w:w="1613"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100</w:t>
            </w:r>
          </w:p>
        </w:tc>
        <w:tc>
          <w:tcPr>
            <w:tcW w:w="1229" w:type="dxa"/>
            <w:vMerge w:val="continue"/>
            <w:tcBorders>
              <w:left w:val="single" w:color="auto" w:sz="4" w:space="0"/>
              <w:bottom w:val="thickThinSmallGap" w:color="auto" w:sz="18" w:space="0"/>
            </w:tcBorders>
            <w:vAlign w:val="center"/>
          </w:tcPr>
          <w:p>
            <w:pPr>
              <w:widowControl/>
              <w:ind w:firstLine="420"/>
              <w:jc w:val="left"/>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1004" w:type="dxa"/>
            <w:tcBorders>
              <w:right w:val="single" w:color="auto" w:sz="4" w:space="0"/>
            </w:tcBorders>
            <w:vAlign w:val="center"/>
          </w:tcPr>
          <w:p>
            <w:pPr>
              <w:jc w:val="center"/>
              <w:rPr>
                <w:rFonts w:ascii="宋体"/>
                <w:szCs w:val="21"/>
              </w:rPr>
            </w:pPr>
            <w:r>
              <w:rPr>
                <w:rFonts w:ascii="宋体" w:hAnsi="宋体"/>
                <w:szCs w:val="21"/>
              </w:rPr>
              <w:t>SS</w:t>
            </w:r>
          </w:p>
        </w:tc>
        <w:tc>
          <w:tcPr>
            <w:tcW w:w="939" w:type="dxa"/>
            <w:tcBorders>
              <w:left w:val="single" w:color="auto" w:sz="4" w:space="0"/>
              <w:right w:val="single" w:color="auto" w:sz="4" w:space="0"/>
            </w:tcBorders>
            <w:vAlign w:val="center"/>
          </w:tcPr>
          <w:p>
            <w:pPr>
              <w:jc w:val="center"/>
              <w:rPr>
                <w:rFonts w:ascii="宋体" w:cs="宋体"/>
                <w:szCs w:val="21"/>
              </w:rPr>
            </w:pPr>
            <w:r>
              <w:rPr>
                <w:rFonts w:ascii="宋体" w:hAnsi="宋体"/>
                <w:szCs w:val="21"/>
              </w:rPr>
              <w:t>437</w:t>
            </w:r>
          </w:p>
        </w:tc>
        <w:tc>
          <w:tcPr>
            <w:tcW w:w="1471" w:type="dxa"/>
            <w:tcBorders>
              <w:left w:val="single" w:color="auto" w:sz="4" w:space="0"/>
              <w:right w:val="single" w:color="auto" w:sz="4" w:space="0"/>
            </w:tcBorders>
            <w:vAlign w:val="center"/>
          </w:tcPr>
          <w:p>
            <w:pPr>
              <w:jc w:val="center"/>
              <w:rPr>
                <w:rFonts w:ascii="宋体"/>
                <w:szCs w:val="21"/>
              </w:rPr>
            </w:pPr>
            <w:r>
              <w:rPr>
                <w:rFonts w:ascii="宋体" w:hAnsi="宋体"/>
                <w:szCs w:val="21"/>
              </w:rPr>
              <w:t>215</w:t>
            </w:r>
          </w:p>
        </w:tc>
        <w:tc>
          <w:tcPr>
            <w:tcW w:w="939"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70</w:t>
            </w:r>
          </w:p>
        </w:tc>
        <w:tc>
          <w:tcPr>
            <w:tcW w:w="1700" w:type="dxa"/>
            <w:tcBorders>
              <w:left w:val="single" w:color="auto" w:sz="4" w:space="0"/>
            </w:tcBorders>
            <w:vAlign w:val="center"/>
          </w:tcPr>
          <w:p>
            <w:pPr>
              <w:jc w:val="center"/>
              <w:rPr>
                <w:rFonts w:ascii="宋体"/>
                <w:szCs w:val="21"/>
              </w:rPr>
            </w:pPr>
            <w:r>
              <w:rPr>
                <w:rFonts w:ascii="宋体" w:hAnsi="宋体"/>
                <w:szCs w:val="21"/>
              </w:rPr>
              <w:t>34.5</w:t>
            </w:r>
          </w:p>
        </w:tc>
        <w:tc>
          <w:tcPr>
            <w:tcW w:w="1613"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70</w:t>
            </w:r>
          </w:p>
        </w:tc>
        <w:tc>
          <w:tcPr>
            <w:tcW w:w="1229" w:type="dxa"/>
            <w:vMerge w:val="continue"/>
            <w:tcBorders>
              <w:left w:val="single" w:color="auto" w:sz="4" w:space="0"/>
              <w:bottom w:val="thickThinSmallGap" w:color="auto" w:sz="18" w:space="0"/>
            </w:tcBorders>
            <w:vAlign w:val="center"/>
          </w:tcPr>
          <w:p>
            <w:pPr>
              <w:widowControl/>
              <w:ind w:firstLine="420"/>
              <w:jc w:val="left"/>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PrEx>
        <w:trPr>
          <w:cantSplit/>
          <w:trHeight w:val="53" w:hRule="atLeast"/>
          <w:jc w:val="center"/>
        </w:trPr>
        <w:tc>
          <w:tcPr>
            <w:tcW w:w="1004" w:type="dxa"/>
            <w:tcBorders>
              <w:right w:val="single" w:color="auto" w:sz="4" w:space="0"/>
            </w:tcBorders>
            <w:vAlign w:val="center"/>
          </w:tcPr>
          <w:p>
            <w:pPr>
              <w:jc w:val="center"/>
              <w:rPr>
                <w:rFonts w:ascii="宋体"/>
                <w:szCs w:val="21"/>
              </w:rPr>
            </w:pPr>
            <w:r>
              <w:rPr>
                <w:rFonts w:ascii="宋体" w:hAnsi="宋体"/>
                <w:szCs w:val="21"/>
              </w:rPr>
              <w:t>BOD</w:t>
            </w:r>
            <w:r>
              <w:rPr>
                <w:rFonts w:ascii="宋体" w:hAnsi="宋体"/>
                <w:szCs w:val="21"/>
                <w:vertAlign w:val="subscript"/>
              </w:rPr>
              <w:t>5</w:t>
            </w:r>
          </w:p>
        </w:tc>
        <w:tc>
          <w:tcPr>
            <w:tcW w:w="939" w:type="dxa"/>
            <w:tcBorders>
              <w:left w:val="single" w:color="auto" w:sz="4" w:space="0"/>
              <w:right w:val="single" w:color="auto" w:sz="4" w:space="0"/>
            </w:tcBorders>
            <w:vAlign w:val="center"/>
          </w:tcPr>
          <w:p>
            <w:pPr>
              <w:jc w:val="center"/>
              <w:rPr>
                <w:rFonts w:ascii="宋体" w:cs="宋体"/>
                <w:szCs w:val="21"/>
              </w:rPr>
            </w:pPr>
            <w:r>
              <w:rPr>
                <w:rFonts w:ascii="宋体" w:hAnsi="宋体"/>
                <w:szCs w:val="21"/>
              </w:rPr>
              <w:t>2053</w:t>
            </w:r>
          </w:p>
        </w:tc>
        <w:tc>
          <w:tcPr>
            <w:tcW w:w="1471" w:type="dxa"/>
            <w:tcBorders>
              <w:left w:val="single" w:color="auto" w:sz="4" w:space="0"/>
              <w:right w:val="single" w:color="auto" w:sz="4" w:space="0"/>
            </w:tcBorders>
            <w:vAlign w:val="center"/>
          </w:tcPr>
          <w:p>
            <w:pPr>
              <w:jc w:val="center"/>
              <w:rPr>
                <w:rFonts w:ascii="宋体"/>
                <w:szCs w:val="21"/>
              </w:rPr>
            </w:pPr>
            <w:r>
              <w:rPr>
                <w:rFonts w:ascii="宋体" w:hAnsi="宋体"/>
                <w:szCs w:val="21"/>
              </w:rPr>
              <w:t>1012</w:t>
            </w:r>
          </w:p>
        </w:tc>
        <w:tc>
          <w:tcPr>
            <w:tcW w:w="939"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20</w:t>
            </w:r>
          </w:p>
        </w:tc>
        <w:tc>
          <w:tcPr>
            <w:tcW w:w="1700" w:type="dxa"/>
            <w:tcBorders>
              <w:left w:val="single" w:color="auto" w:sz="4" w:space="0"/>
            </w:tcBorders>
            <w:vAlign w:val="center"/>
          </w:tcPr>
          <w:p>
            <w:pPr>
              <w:jc w:val="center"/>
              <w:rPr>
                <w:rFonts w:ascii="宋体"/>
                <w:szCs w:val="21"/>
              </w:rPr>
            </w:pPr>
            <w:r>
              <w:rPr>
                <w:rFonts w:ascii="宋体" w:hAnsi="宋体"/>
                <w:szCs w:val="21"/>
              </w:rPr>
              <w:t>9.9</w:t>
            </w:r>
          </w:p>
        </w:tc>
        <w:tc>
          <w:tcPr>
            <w:tcW w:w="1613"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20</w:t>
            </w:r>
          </w:p>
        </w:tc>
        <w:tc>
          <w:tcPr>
            <w:tcW w:w="1229" w:type="dxa"/>
            <w:vMerge w:val="continue"/>
            <w:tcBorders>
              <w:left w:val="single" w:color="auto" w:sz="4" w:space="0"/>
              <w:bottom w:val="thickThinSmallGap" w:color="auto" w:sz="18" w:space="0"/>
            </w:tcBorders>
            <w:vAlign w:val="center"/>
          </w:tcPr>
          <w:p>
            <w:pPr>
              <w:widowControl/>
              <w:ind w:firstLine="420"/>
              <w:jc w:val="left"/>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1004" w:type="dxa"/>
            <w:tcBorders>
              <w:right w:val="single" w:color="auto" w:sz="4" w:space="0"/>
            </w:tcBorders>
            <w:vAlign w:val="center"/>
          </w:tcPr>
          <w:p>
            <w:pPr>
              <w:jc w:val="center"/>
              <w:rPr>
                <w:rFonts w:ascii="宋体"/>
                <w:szCs w:val="21"/>
              </w:rPr>
            </w:pPr>
            <w:r>
              <w:rPr>
                <w:rFonts w:ascii="宋体" w:hAnsi="宋体"/>
                <w:szCs w:val="21"/>
              </w:rPr>
              <w:t>NH</w:t>
            </w:r>
            <w:r>
              <w:rPr>
                <w:rFonts w:ascii="宋体" w:hAnsi="宋体"/>
                <w:szCs w:val="21"/>
                <w:vertAlign w:val="subscript"/>
              </w:rPr>
              <w:t>3</w:t>
            </w:r>
            <w:r>
              <w:rPr>
                <w:rFonts w:ascii="宋体" w:hAnsi="宋体"/>
                <w:szCs w:val="21"/>
              </w:rPr>
              <w:t>-N</w:t>
            </w:r>
          </w:p>
        </w:tc>
        <w:tc>
          <w:tcPr>
            <w:tcW w:w="939" w:type="dxa"/>
            <w:tcBorders>
              <w:left w:val="single" w:color="auto" w:sz="4" w:space="0"/>
              <w:right w:val="single" w:color="auto" w:sz="4" w:space="0"/>
            </w:tcBorders>
            <w:vAlign w:val="center"/>
          </w:tcPr>
          <w:p>
            <w:pPr>
              <w:jc w:val="center"/>
              <w:rPr>
                <w:rFonts w:ascii="宋体" w:cs="宋体"/>
                <w:szCs w:val="21"/>
              </w:rPr>
            </w:pPr>
            <w:r>
              <w:rPr>
                <w:rFonts w:ascii="宋体" w:hAnsi="宋体"/>
                <w:szCs w:val="21"/>
              </w:rPr>
              <w:t>25</w:t>
            </w:r>
          </w:p>
        </w:tc>
        <w:tc>
          <w:tcPr>
            <w:tcW w:w="1471" w:type="dxa"/>
            <w:tcBorders>
              <w:left w:val="single" w:color="auto" w:sz="4" w:space="0"/>
              <w:right w:val="single" w:color="auto" w:sz="4" w:space="0"/>
            </w:tcBorders>
            <w:vAlign w:val="center"/>
          </w:tcPr>
          <w:p>
            <w:pPr>
              <w:jc w:val="center"/>
              <w:rPr>
                <w:rFonts w:ascii="宋体"/>
                <w:szCs w:val="21"/>
              </w:rPr>
            </w:pPr>
            <w:r>
              <w:rPr>
                <w:rFonts w:ascii="宋体" w:hAnsi="宋体"/>
                <w:szCs w:val="21"/>
              </w:rPr>
              <w:t>12</w:t>
            </w:r>
          </w:p>
        </w:tc>
        <w:tc>
          <w:tcPr>
            <w:tcW w:w="939"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15</w:t>
            </w:r>
          </w:p>
        </w:tc>
        <w:tc>
          <w:tcPr>
            <w:tcW w:w="1700" w:type="dxa"/>
            <w:tcBorders>
              <w:left w:val="single" w:color="auto" w:sz="4" w:space="0"/>
            </w:tcBorders>
            <w:vAlign w:val="center"/>
          </w:tcPr>
          <w:p>
            <w:pPr>
              <w:jc w:val="center"/>
              <w:rPr>
                <w:rFonts w:ascii="宋体"/>
                <w:szCs w:val="21"/>
              </w:rPr>
            </w:pPr>
            <w:r>
              <w:rPr>
                <w:rFonts w:ascii="宋体" w:hAnsi="宋体"/>
                <w:szCs w:val="21"/>
              </w:rPr>
              <w:t>7.4</w:t>
            </w:r>
          </w:p>
        </w:tc>
        <w:tc>
          <w:tcPr>
            <w:tcW w:w="1613" w:type="dxa"/>
            <w:tcBorders>
              <w:left w:val="single" w:color="auto" w:sz="4" w:space="0"/>
              <w:right w:val="single" w:color="auto" w:sz="4" w:space="0"/>
            </w:tcBorders>
            <w:vAlign w:val="center"/>
          </w:tcPr>
          <w:p>
            <w:pPr>
              <w:jc w:val="center"/>
              <w:rPr>
                <w:rFonts w:ascii="宋体"/>
                <w:szCs w:val="21"/>
              </w:rPr>
            </w:pPr>
            <w:r>
              <w:rPr>
                <w:rFonts w:hint="eastAsia" w:ascii="宋体" w:hAnsi="宋体"/>
                <w:szCs w:val="21"/>
              </w:rPr>
              <w:t>≤</w:t>
            </w:r>
            <w:r>
              <w:rPr>
                <w:rFonts w:ascii="宋体" w:hAnsi="宋体"/>
                <w:szCs w:val="21"/>
              </w:rPr>
              <w:t>15</w:t>
            </w:r>
          </w:p>
        </w:tc>
        <w:tc>
          <w:tcPr>
            <w:tcW w:w="1229" w:type="dxa"/>
            <w:vMerge w:val="continue"/>
            <w:tcBorders>
              <w:left w:val="single" w:color="auto" w:sz="4" w:space="0"/>
              <w:bottom w:val="thickThinSmallGap" w:color="auto" w:sz="18" w:space="0"/>
            </w:tcBorders>
            <w:vAlign w:val="center"/>
          </w:tcPr>
          <w:p>
            <w:pPr>
              <w:widowControl/>
              <w:ind w:firstLine="420"/>
              <w:jc w:val="left"/>
              <w:rPr>
                <w:rFonts w:ascii="仿宋_GB2312"/>
              </w:rPr>
            </w:pP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 w:hRule="atLeast"/>
          <w:jc w:val="center"/>
        </w:trPr>
        <w:tc>
          <w:tcPr>
            <w:tcW w:w="1004" w:type="dxa"/>
            <w:tcBorders>
              <w:bottom w:val="thickThinSmallGap" w:color="auto" w:sz="18" w:space="0"/>
              <w:right w:val="single" w:color="auto" w:sz="4" w:space="0"/>
            </w:tcBorders>
            <w:vAlign w:val="center"/>
          </w:tcPr>
          <w:p>
            <w:pPr>
              <w:jc w:val="center"/>
              <w:rPr>
                <w:rFonts w:ascii="宋体"/>
                <w:szCs w:val="21"/>
              </w:rPr>
            </w:pPr>
            <w:r>
              <w:rPr>
                <w:rFonts w:ascii="宋体" w:hAnsi="宋体"/>
                <w:szCs w:val="21"/>
              </w:rPr>
              <w:t>pH</w:t>
            </w:r>
          </w:p>
        </w:tc>
        <w:tc>
          <w:tcPr>
            <w:tcW w:w="2410" w:type="dxa"/>
            <w:gridSpan w:val="2"/>
            <w:tcBorders>
              <w:left w:val="single" w:color="auto" w:sz="4" w:space="0"/>
              <w:bottom w:val="thickThinSmallGap" w:color="auto" w:sz="18" w:space="0"/>
              <w:right w:val="single" w:color="auto" w:sz="4" w:space="0"/>
            </w:tcBorders>
            <w:vAlign w:val="center"/>
          </w:tcPr>
          <w:p>
            <w:pPr>
              <w:pStyle w:val="404"/>
              <w:widowControl w:val="0"/>
              <w:spacing w:before="0" w:beforeAutospacing="0" w:after="0" w:afterAutospacing="0"/>
              <w:jc w:val="center"/>
              <w:rPr>
                <w:rFonts w:ascii="宋体"/>
                <w:color w:val="auto"/>
                <w:kern w:val="2"/>
                <w:sz w:val="24"/>
                <w:szCs w:val="24"/>
              </w:rPr>
            </w:pPr>
            <w:r>
              <w:rPr>
                <w:rFonts w:ascii="宋体" w:hAnsi="宋体"/>
                <w:color w:val="auto"/>
                <w:kern w:val="2"/>
                <w:sz w:val="24"/>
                <w:szCs w:val="24"/>
              </w:rPr>
              <w:t>6-7</w:t>
            </w:r>
          </w:p>
        </w:tc>
        <w:tc>
          <w:tcPr>
            <w:tcW w:w="2639" w:type="dxa"/>
            <w:gridSpan w:val="2"/>
            <w:tcBorders>
              <w:left w:val="single" w:color="auto" w:sz="4" w:space="0"/>
              <w:bottom w:val="thickThinSmallGap" w:color="auto" w:sz="18" w:space="0"/>
            </w:tcBorders>
            <w:vAlign w:val="center"/>
          </w:tcPr>
          <w:p>
            <w:pPr>
              <w:ind w:firstLine="420"/>
              <w:jc w:val="center"/>
              <w:rPr>
                <w:rFonts w:ascii="宋体"/>
                <w:szCs w:val="21"/>
              </w:rPr>
            </w:pPr>
            <w:r>
              <w:rPr>
                <w:rFonts w:ascii="宋体" w:hAnsi="宋体"/>
                <w:szCs w:val="21"/>
              </w:rPr>
              <w:t>6-7</w:t>
            </w:r>
          </w:p>
        </w:tc>
        <w:tc>
          <w:tcPr>
            <w:tcW w:w="1613" w:type="dxa"/>
            <w:tcBorders>
              <w:left w:val="single" w:color="auto" w:sz="4" w:space="0"/>
              <w:bottom w:val="thickThinSmallGap" w:color="auto" w:sz="18" w:space="0"/>
              <w:right w:val="single" w:color="auto" w:sz="4" w:space="0"/>
            </w:tcBorders>
            <w:vAlign w:val="center"/>
          </w:tcPr>
          <w:p>
            <w:pPr>
              <w:jc w:val="center"/>
              <w:rPr>
                <w:rFonts w:ascii="宋体"/>
                <w:szCs w:val="21"/>
              </w:rPr>
            </w:pPr>
            <w:r>
              <w:rPr>
                <w:rFonts w:ascii="宋体" w:hAnsi="宋体"/>
                <w:szCs w:val="21"/>
              </w:rPr>
              <w:t>6-9</w:t>
            </w:r>
          </w:p>
        </w:tc>
        <w:tc>
          <w:tcPr>
            <w:tcW w:w="1229" w:type="dxa"/>
            <w:vMerge w:val="continue"/>
            <w:tcBorders>
              <w:left w:val="single" w:color="auto" w:sz="4" w:space="0"/>
              <w:bottom w:val="thickThinSmallGap" w:color="auto" w:sz="18" w:space="0"/>
            </w:tcBorders>
            <w:vAlign w:val="center"/>
          </w:tcPr>
          <w:p>
            <w:pPr>
              <w:widowControl/>
              <w:ind w:firstLine="420"/>
              <w:jc w:val="left"/>
              <w:rPr>
                <w:rFonts w:ascii="仿宋_GB2312"/>
              </w:rPr>
            </w:pPr>
          </w:p>
        </w:tc>
      </w:tr>
    </w:tbl>
    <w:p>
      <w:pPr>
        <w:spacing w:line="460" w:lineRule="exact"/>
        <w:rPr>
          <w:rFonts w:ascii="仿宋_GB2312"/>
          <w:sz w:val="24"/>
          <w:szCs w:val="24"/>
        </w:rPr>
      </w:pPr>
      <w:r>
        <w:rPr>
          <w:rFonts w:hint="eastAsia" w:ascii="仿宋_GB2312"/>
          <w:snapToGrid w:val="0"/>
        </w:rPr>
        <w:t>（</w:t>
      </w:r>
      <w:r>
        <w:rPr>
          <w:rFonts w:ascii="仿宋_GB2312"/>
          <w:snapToGrid w:val="0"/>
        </w:rPr>
        <w:t>3</w:t>
      </w:r>
      <w:r>
        <w:rPr>
          <w:rFonts w:hint="eastAsia" w:ascii="仿宋_GB2312"/>
          <w:snapToGrid w:val="0"/>
          <w:sz w:val="24"/>
          <w:szCs w:val="24"/>
        </w:rPr>
        <w:t>）噪声</w:t>
      </w:r>
    </w:p>
    <w:p>
      <w:pPr>
        <w:spacing w:line="460" w:lineRule="exact"/>
        <w:ind w:firstLine="480"/>
        <w:rPr>
          <w:rFonts w:ascii="仿宋_GB2312"/>
          <w:snapToGrid w:val="0"/>
          <w:sz w:val="24"/>
          <w:szCs w:val="24"/>
        </w:rPr>
      </w:pPr>
      <w:r>
        <w:rPr>
          <w:rFonts w:hint="eastAsia" w:ascii="仿宋_GB2312"/>
          <w:snapToGrid w:val="0"/>
          <w:sz w:val="24"/>
          <w:szCs w:val="24"/>
        </w:rPr>
        <w:t>《建筑施工场界噪声限值》（</w:t>
      </w:r>
      <w:r>
        <w:rPr>
          <w:rFonts w:ascii="仿宋_GB2312"/>
          <w:snapToGrid w:val="0"/>
          <w:sz w:val="24"/>
          <w:szCs w:val="24"/>
        </w:rPr>
        <w:t>GB12523-90</w:t>
      </w:r>
      <w:r>
        <w:rPr>
          <w:rFonts w:hint="eastAsia" w:ascii="仿宋_GB2312"/>
          <w:snapToGrid w:val="0"/>
          <w:sz w:val="24"/>
          <w:szCs w:val="24"/>
        </w:rPr>
        <w:t>）；《工业企业厂界环境噪声排放标准》（</w:t>
      </w:r>
      <w:r>
        <w:rPr>
          <w:rFonts w:ascii="仿宋_GB2312"/>
          <w:snapToGrid w:val="0"/>
          <w:sz w:val="24"/>
          <w:szCs w:val="24"/>
        </w:rPr>
        <w:t>GB12348-90</w:t>
      </w:r>
      <w:r>
        <w:rPr>
          <w:rFonts w:hint="eastAsia" w:ascii="仿宋_GB2312"/>
          <w:snapToGrid w:val="0"/>
          <w:sz w:val="24"/>
          <w:szCs w:val="24"/>
        </w:rPr>
        <w:t>）</w:t>
      </w:r>
      <w:r>
        <w:rPr>
          <w:rFonts w:ascii="仿宋_GB2312"/>
          <w:snapToGrid w:val="0"/>
          <w:sz w:val="24"/>
          <w:szCs w:val="24"/>
        </w:rPr>
        <w:t>1</w:t>
      </w:r>
      <w:r>
        <w:rPr>
          <w:rFonts w:hint="eastAsia" w:ascii="仿宋_GB2312"/>
          <w:snapToGrid w:val="0"/>
          <w:sz w:val="24"/>
          <w:szCs w:val="24"/>
        </w:rPr>
        <w:t>级标准，昼间厂界噪声限制</w:t>
      </w:r>
      <w:r>
        <w:rPr>
          <w:rFonts w:ascii="仿宋_GB2312"/>
          <w:snapToGrid w:val="0"/>
          <w:sz w:val="24"/>
          <w:szCs w:val="24"/>
        </w:rPr>
        <w:t>65dB(A)</w:t>
      </w:r>
      <w:r>
        <w:rPr>
          <w:rFonts w:hint="eastAsia" w:ascii="仿宋_GB2312"/>
          <w:snapToGrid w:val="0"/>
          <w:sz w:val="24"/>
          <w:szCs w:val="24"/>
        </w:rPr>
        <w:t>、夜间</w:t>
      </w:r>
      <w:r>
        <w:rPr>
          <w:rFonts w:ascii="仿宋_GB2312"/>
          <w:snapToGrid w:val="0"/>
          <w:sz w:val="24"/>
          <w:szCs w:val="24"/>
        </w:rPr>
        <w:t>55dB(A)</w:t>
      </w:r>
      <w:r>
        <w:rPr>
          <w:rFonts w:hint="eastAsia" w:ascii="仿宋_GB2312"/>
          <w:snapToGrid w:val="0"/>
          <w:sz w:val="24"/>
          <w:szCs w:val="24"/>
        </w:rPr>
        <w:t>。</w:t>
      </w:r>
    </w:p>
    <w:p>
      <w:pPr>
        <w:tabs>
          <w:tab w:val="left" w:pos="3360"/>
        </w:tabs>
        <w:spacing w:line="460" w:lineRule="exact"/>
        <w:ind w:firstLine="480"/>
        <w:rPr>
          <w:rFonts w:ascii="仿宋_GB2312"/>
          <w:snapToGrid w:val="0"/>
        </w:rPr>
      </w:pPr>
      <w:r>
        <w:rPr>
          <w:rFonts w:hint="eastAsia" w:ascii="仿宋_GB2312"/>
          <w:snapToGrid w:val="0"/>
          <w:sz w:val="24"/>
          <w:szCs w:val="24"/>
        </w:rPr>
        <w:t>有关标准分别见表</w:t>
      </w:r>
      <w:r>
        <w:rPr>
          <w:rFonts w:ascii="仿宋_GB2312"/>
          <w:snapToGrid w:val="0"/>
          <w:sz w:val="24"/>
          <w:szCs w:val="24"/>
        </w:rPr>
        <w:t>2-5</w:t>
      </w:r>
      <w:r>
        <w:rPr>
          <w:rFonts w:hint="eastAsia" w:ascii="仿宋_GB2312"/>
          <w:snapToGrid w:val="0"/>
          <w:sz w:val="24"/>
          <w:szCs w:val="24"/>
        </w:rPr>
        <w:t>。</w:t>
      </w:r>
      <w:r>
        <w:rPr>
          <w:rFonts w:ascii="仿宋_GB2312"/>
          <w:snapToGrid w:val="0"/>
          <w:sz w:val="24"/>
          <w:szCs w:val="24"/>
        </w:rPr>
        <w:tab/>
      </w:r>
    </w:p>
    <w:p>
      <w:pPr>
        <w:pStyle w:val="193"/>
        <w:spacing w:line="460" w:lineRule="exact"/>
        <w:rPr>
          <w:rFonts w:ascii="仿宋_GB2312"/>
        </w:rPr>
      </w:pPr>
      <w:r>
        <w:rPr>
          <w:rFonts w:hint="eastAsia" w:ascii="仿宋_GB2312"/>
        </w:rPr>
        <w:t>表2</w:t>
      </w:r>
      <w:r>
        <w:rPr>
          <w:rFonts w:ascii="仿宋_GB2312"/>
        </w:rPr>
        <w:t xml:space="preserve">-5  </w:t>
      </w:r>
      <w:r>
        <w:rPr>
          <w:rFonts w:hint="eastAsia" w:ascii="仿宋_GB2312"/>
        </w:rPr>
        <w:t>工业企业厂界噪声标准</w:t>
      </w:r>
      <w:r>
        <w:rPr>
          <w:rFonts w:ascii="仿宋_GB2312"/>
        </w:rPr>
        <w:t xml:space="preserve">         </w:t>
      </w:r>
      <w:r>
        <w:rPr>
          <w:rFonts w:hint="eastAsia" w:ascii="仿宋_GB2312"/>
        </w:rPr>
        <w:t>单位：</w:t>
      </w:r>
      <w:r>
        <w:rPr>
          <w:rFonts w:ascii="仿宋_GB2312"/>
        </w:rPr>
        <w:t>dB</w:t>
      </w:r>
    </w:p>
    <w:tbl>
      <w:tblPr>
        <w:tblStyle w:val="54"/>
        <w:tblW w:w="8678" w:type="dxa"/>
        <w:jc w:val="center"/>
        <w:tblInd w:w="0"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3045"/>
        <w:gridCol w:w="3149"/>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363" w:hRule="atLeast"/>
          <w:jc w:val="center"/>
        </w:trPr>
        <w:tc>
          <w:tcPr>
            <w:tcW w:w="2484" w:type="dxa"/>
            <w:tcBorders>
              <w:top w:val="thinThickSmallGap" w:color="auto" w:sz="24" w:space="0"/>
            </w:tcBorders>
            <w:vAlign w:val="center"/>
          </w:tcPr>
          <w:p>
            <w:pPr>
              <w:pStyle w:val="193"/>
              <w:rPr>
                <w:rFonts w:ascii="仿宋_GB2312"/>
                <w:sz w:val="21"/>
                <w:szCs w:val="24"/>
              </w:rPr>
            </w:pPr>
            <w:r>
              <w:rPr>
                <w:rFonts w:hint="eastAsia" w:ascii="仿宋_GB2312"/>
                <w:sz w:val="21"/>
                <w:szCs w:val="24"/>
              </w:rPr>
              <w:t>类</w:t>
            </w:r>
            <w:r>
              <w:rPr>
                <w:rFonts w:ascii="仿宋_GB2312"/>
                <w:sz w:val="21"/>
                <w:szCs w:val="24"/>
              </w:rPr>
              <w:t xml:space="preserve">      </w:t>
            </w:r>
            <w:r>
              <w:rPr>
                <w:rFonts w:hint="eastAsia" w:ascii="仿宋_GB2312"/>
                <w:sz w:val="21"/>
                <w:szCs w:val="24"/>
              </w:rPr>
              <w:t>别</w:t>
            </w:r>
          </w:p>
        </w:tc>
        <w:tc>
          <w:tcPr>
            <w:tcW w:w="3045" w:type="dxa"/>
            <w:tcBorders>
              <w:top w:val="thinThickSmallGap" w:color="auto" w:sz="24" w:space="0"/>
            </w:tcBorders>
            <w:vAlign w:val="center"/>
          </w:tcPr>
          <w:p>
            <w:pPr>
              <w:pStyle w:val="193"/>
              <w:rPr>
                <w:rFonts w:ascii="仿宋_GB2312"/>
                <w:sz w:val="21"/>
                <w:szCs w:val="24"/>
              </w:rPr>
            </w:pPr>
            <w:r>
              <w:rPr>
                <w:rFonts w:hint="eastAsia" w:ascii="仿宋_GB2312"/>
                <w:sz w:val="21"/>
                <w:szCs w:val="24"/>
              </w:rPr>
              <w:t>昼</w:t>
            </w:r>
            <w:r>
              <w:rPr>
                <w:rFonts w:ascii="仿宋_GB2312"/>
                <w:sz w:val="21"/>
                <w:szCs w:val="24"/>
              </w:rPr>
              <w:t xml:space="preserve">      </w:t>
            </w:r>
            <w:r>
              <w:rPr>
                <w:rFonts w:hint="eastAsia" w:ascii="仿宋_GB2312"/>
                <w:sz w:val="21"/>
                <w:szCs w:val="24"/>
              </w:rPr>
              <w:t>间</w:t>
            </w:r>
          </w:p>
        </w:tc>
        <w:tc>
          <w:tcPr>
            <w:tcW w:w="3149" w:type="dxa"/>
            <w:tcBorders>
              <w:top w:val="thinThickSmallGap" w:color="auto" w:sz="24" w:space="0"/>
            </w:tcBorders>
            <w:vAlign w:val="center"/>
          </w:tcPr>
          <w:p>
            <w:pPr>
              <w:pStyle w:val="193"/>
              <w:rPr>
                <w:rFonts w:ascii="仿宋_GB2312"/>
                <w:sz w:val="21"/>
                <w:szCs w:val="24"/>
              </w:rPr>
            </w:pPr>
            <w:r>
              <w:rPr>
                <w:rFonts w:hint="eastAsia" w:ascii="仿宋_GB2312"/>
                <w:sz w:val="21"/>
                <w:szCs w:val="24"/>
              </w:rPr>
              <w:t>夜</w:t>
            </w:r>
            <w:r>
              <w:rPr>
                <w:rFonts w:ascii="仿宋_GB2312"/>
                <w:sz w:val="21"/>
                <w:szCs w:val="24"/>
              </w:rPr>
              <w:t xml:space="preserve">      </w:t>
            </w:r>
            <w:r>
              <w:rPr>
                <w:rFonts w:hint="eastAsia" w:ascii="仿宋_GB2312"/>
                <w:sz w:val="21"/>
                <w:szCs w:val="24"/>
              </w:rPr>
              <w:t>间</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2484" w:type="dxa"/>
            <w:tcBorders>
              <w:bottom w:val="thinThickSmallGap" w:color="auto" w:sz="24" w:space="0"/>
            </w:tcBorders>
            <w:vAlign w:val="center"/>
          </w:tcPr>
          <w:p>
            <w:pPr>
              <w:pStyle w:val="193"/>
              <w:rPr>
                <w:rFonts w:ascii="仿宋_GB2312"/>
                <w:sz w:val="21"/>
                <w:szCs w:val="24"/>
              </w:rPr>
            </w:pPr>
            <w:r>
              <w:rPr>
                <w:rFonts w:ascii="仿宋_GB2312"/>
                <w:sz w:val="21"/>
                <w:szCs w:val="24"/>
              </w:rPr>
              <w:t>GB12348-90  3</w:t>
            </w:r>
            <w:r>
              <w:rPr>
                <w:rFonts w:hint="eastAsia" w:ascii="仿宋_GB2312"/>
                <w:sz w:val="21"/>
                <w:szCs w:val="24"/>
              </w:rPr>
              <w:t>类</w:t>
            </w:r>
          </w:p>
        </w:tc>
        <w:tc>
          <w:tcPr>
            <w:tcW w:w="3045" w:type="dxa"/>
            <w:tcBorders>
              <w:bottom w:val="thinThickSmallGap" w:color="auto" w:sz="24" w:space="0"/>
            </w:tcBorders>
            <w:vAlign w:val="center"/>
          </w:tcPr>
          <w:p>
            <w:pPr>
              <w:pStyle w:val="193"/>
              <w:rPr>
                <w:rFonts w:ascii="仿宋_GB2312"/>
                <w:sz w:val="21"/>
                <w:szCs w:val="24"/>
              </w:rPr>
            </w:pPr>
            <w:r>
              <w:rPr>
                <w:rFonts w:ascii="仿宋_GB2312"/>
                <w:sz w:val="21"/>
                <w:szCs w:val="24"/>
              </w:rPr>
              <w:t>65</w:t>
            </w:r>
          </w:p>
        </w:tc>
        <w:tc>
          <w:tcPr>
            <w:tcW w:w="3149" w:type="dxa"/>
            <w:tcBorders>
              <w:bottom w:val="thinThickSmallGap" w:color="auto" w:sz="24" w:space="0"/>
            </w:tcBorders>
            <w:vAlign w:val="center"/>
          </w:tcPr>
          <w:p>
            <w:pPr>
              <w:pStyle w:val="193"/>
              <w:rPr>
                <w:rFonts w:ascii="仿宋_GB2312"/>
                <w:sz w:val="21"/>
                <w:szCs w:val="24"/>
              </w:rPr>
            </w:pPr>
            <w:r>
              <w:rPr>
                <w:rFonts w:ascii="仿宋_GB2312"/>
                <w:sz w:val="21"/>
                <w:szCs w:val="24"/>
              </w:rPr>
              <w:t>55</w:t>
            </w:r>
          </w:p>
        </w:tc>
      </w:tr>
    </w:tbl>
    <w:p>
      <w:pPr>
        <w:spacing w:line="460" w:lineRule="exact"/>
        <w:rPr>
          <w:rFonts w:ascii="仿宋_GB2312"/>
          <w:sz w:val="24"/>
          <w:szCs w:val="24"/>
        </w:rPr>
      </w:pPr>
      <w:r>
        <w:rPr>
          <w:rFonts w:hint="eastAsia" w:ascii="仿宋_GB2312"/>
          <w:snapToGrid w:val="0"/>
          <w:sz w:val="24"/>
          <w:szCs w:val="24"/>
        </w:rPr>
        <w:t>（</w:t>
      </w:r>
      <w:r>
        <w:rPr>
          <w:rFonts w:ascii="仿宋_GB2312"/>
          <w:snapToGrid w:val="0"/>
          <w:sz w:val="24"/>
          <w:szCs w:val="24"/>
        </w:rPr>
        <w:t>4</w:t>
      </w:r>
      <w:r>
        <w:rPr>
          <w:rFonts w:hint="eastAsia" w:ascii="仿宋_GB2312"/>
          <w:snapToGrid w:val="0"/>
          <w:sz w:val="24"/>
          <w:szCs w:val="24"/>
        </w:rPr>
        <w:t>）固体废物</w:t>
      </w:r>
    </w:p>
    <w:p>
      <w:pPr>
        <w:spacing w:line="460" w:lineRule="exact"/>
        <w:ind w:firstLine="480"/>
        <w:rPr>
          <w:rFonts w:ascii="宋体"/>
          <w:sz w:val="24"/>
          <w:szCs w:val="24"/>
        </w:rPr>
      </w:pPr>
      <w:r>
        <w:rPr>
          <w:rFonts w:hint="eastAsia" w:ascii="宋体" w:hAnsi="宋体"/>
          <w:sz w:val="24"/>
          <w:szCs w:val="24"/>
        </w:rPr>
        <w:t>主要为预处理厂的栅渣、泥砂和污水处理厂污泥、栅渣等。根据</w:t>
      </w:r>
    </w:p>
    <w:p>
      <w:pPr>
        <w:spacing w:line="460" w:lineRule="exact"/>
        <w:ind w:firstLine="480"/>
        <w:rPr>
          <w:rFonts w:ascii="仿宋_GB2312"/>
          <w:snapToGrid w:val="0"/>
          <w:sz w:val="24"/>
          <w:szCs w:val="24"/>
        </w:rPr>
      </w:pPr>
      <w:r>
        <w:rPr>
          <w:rFonts w:hint="eastAsia" w:ascii="仿宋_GB2312"/>
          <w:snapToGrid w:val="0"/>
          <w:sz w:val="24"/>
          <w:szCs w:val="24"/>
        </w:rPr>
        <w:t>《一般工业固体废物贮存、处置场污染物控制标准》（</w:t>
      </w:r>
      <w:r>
        <w:rPr>
          <w:rFonts w:ascii="仿宋_GB2312"/>
          <w:snapToGrid w:val="0"/>
          <w:sz w:val="24"/>
          <w:szCs w:val="24"/>
        </w:rPr>
        <w:t>GB18599-2001</w:t>
      </w:r>
      <w:r>
        <w:rPr>
          <w:rFonts w:hint="eastAsia" w:ascii="仿宋_GB2312"/>
          <w:snapToGrid w:val="0"/>
          <w:sz w:val="24"/>
          <w:szCs w:val="24"/>
        </w:rPr>
        <w:t>）。</w:t>
      </w:r>
    </w:p>
    <w:p>
      <w:pPr>
        <w:spacing w:line="460" w:lineRule="exact"/>
        <w:ind w:firstLine="480"/>
        <w:rPr>
          <w:rFonts w:ascii="仿宋_GB2312"/>
          <w:sz w:val="24"/>
          <w:szCs w:val="24"/>
        </w:rPr>
      </w:pPr>
      <w:r>
        <w:rPr>
          <w:rFonts w:hint="eastAsia" w:ascii="仿宋_GB2312"/>
          <w:sz w:val="24"/>
          <w:szCs w:val="24"/>
        </w:rPr>
        <w:t>《危险废物贮存污染控制标准》（</w:t>
      </w:r>
      <w:r>
        <w:rPr>
          <w:rFonts w:ascii="仿宋_GB2312"/>
          <w:sz w:val="24"/>
          <w:szCs w:val="24"/>
        </w:rPr>
        <w:t>GB18597-2001</w:t>
      </w:r>
      <w:r>
        <w:rPr>
          <w:rFonts w:hint="eastAsia" w:ascii="仿宋_GB2312"/>
          <w:sz w:val="24"/>
          <w:szCs w:val="24"/>
        </w:rPr>
        <w:t>）；</w:t>
      </w:r>
    </w:p>
    <w:p>
      <w:pPr>
        <w:spacing w:line="460" w:lineRule="exact"/>
        <w:ind w:firstLine="480"/>
        <w:rPr>
          <w:rFonts w:ascii="仿宋_GB2312"/>
          <w:sz w:val="24"/>
          <w:szCs w:val="24"/>
        </w:rPr>
      </w:pPr>
      <w:r>
        <w:rPr>
          <w:rFonts w:hint="eastAsia" w:ascii="仿宋_GB2312"/>
          <w:sz w:val="24"/>
          <w:szCs w:val="24"/>
        </w:rPr>
        <w:t>《生活垃圾填埋污染控制标准》（</w:t>
      </w:r>
      <w:r>
        <w:rPr>
          <w:rFonts w:ascii="仿宋_GB2312"/>
          <w:sz w:val="24"/>
          <w:szCs w:val="24"/>
        </w:rPr>
        <w:t>GB16889-2008</w:t>
      </w:r>
      <w:r>
        <w:rPr>
          <w:rFonts w:hint="eastAsia" w:ascii="仿宋_GB2312"/>
          <w:sz w:val="24"/>
          <w:szCs w:val="24"/>
        </w:rPr>
        <w:t>）。</w:t>
      </w:r>
    </w:p>
    <w:p>
      <w:pPr>
        <w:pStyle w:val="2"/>
        <w:keepNext w:val="0"/>
        <w:spacing w:beforeLines="50" w:afterLines="50" w:line="560" w:lineRule="exact"/>
        <w:jc w:val="center"/>
        <w:rPr>
          <w:rFonts w:ascii="宋体" w:hAnsi="宋体"/>
          <w:b/>
          <w:color w:val="000000"/>
          <w:sz w:val="32"/>
        </w:rPr>
      </w:pPr>
    </w:p>
    <w:p>
      <w:pPr>
        <w:pStyle w:val="2"/>
        <w:keepNext w:val="0"/>
        <w:spacing w:beforeLines="50" w:afterLines="50" w:line="560" w:lineRule="exact"/>
        <w:jc w:val="center"/>
        <w:rPr>
          <w:rFonts w:hint="eastAsia" w:ascii="宋体" w:hAnsi="宋体"/>
          <w:b/>
          <w:color w:val="000000"/>
          <w:sz w:val="32"/>
        </w:rPr>
      </w:pPr>
    </w:p>
    <w:p>
      <w:pPr>
        <w:pStyle w:val="2"/>
        <w:keepNext w:val="0"/>
        <w:spacing w:beforeLines="50" w:afterLines="50" w:line="560" w:lineRule="exact"/>
        <w:jc w:val="center"/>
        <w:rPr>
          <w:rFonts w:hint="eastAsia" w:ascii="宋体" w:hAnsi="宋体"/>
          <w:b/>
          <w:color w:val="000000"/>
          <w:sz w:val="32"/>
        </w:rPr>
      </w:pPr>
    </w:p>
    <w:p>
      <w:pPr>
        <w:pStyle w:val="2"/>
        <w:keepNext w:val="0"/>
        <w:spacing w:beforeLines="50" w:afterLines="50" w:line="560" w:lineRule="exact"/>
        <w:jc w:val="center"/>
        <w:rPr>
          <w:rFonts w:hint="eastAsia" w:ascii="宋体" w:hAnsi="宋体"/>
          <w:b/>
          <w:color w:val="000000"/>
          <w:sz w:val="32"/>
        </w:rPr>
      </w:pPr>
    </w:p>
    <w:p>
      <w:pPr>
        <w:pStyle w:val="2"/>
        <w:keepNext w:val="0"/>
        <w:spacing w:beforeLines="50" w:afterLines="50" w:line="560" w:lineRule="exact"/>
        <w:jc w:val="center"/>
        <w:rPr>
          <w:rFonts w:hint="eastAsia" w:ascii="宋体" w:hAnsi="宋体"/>
          <w:b/>
          <w:color w:val="000000"/>
          <w:sz w:val="32"/>
        </w:rPr>
      </w:pPr>
    </w:p>
    <w:p>
      <w:pPr>
        <w:pStyle w:val="2"/>
        <w:keepNext w:val="0"/>
        <w:spacing w:beforeLines="50" w:afterLines="50" w:line="560" w:lineRule="exact"/>
        <w:jc w:val="center"/>
        <w:rPr>
          <w:rFonts w:hint="eastAsia" w:ascii="宋体" w:hAnsi="宋体"/>
          <w:b/>
          <w:color w:val="000000"/>
          <w:sz w:val="32"/>
        </w:rPr>
      </w:pPr>
    </w:p>
    <w:p>
      <w:pPr>
        <w:pStyle w:val="2"/>
        <w:keepNext w:val="0"/>
        <w:spacing w:beforeLines="50" w:afterLines="50" w:line="560" w:lineRule="exact"/>
        <w:jc w:val="center"/>
        <w:rPr>
          <w:rFonts w:hint="eastAsia" w:ascii="宋体" w:hAnsi="宋体"/>
          <w:b/>
          <w:color w:val="000000"/>
          <w:sz w:val="32"/>
        </w:rPr>
      </w:pPr>
    </w:p>
    <w:p>
      <w:pPr>
        <w:pStyle w:val="2"/>
        <w:keepNext w:val="0"/>
        <w:spacing w:beforeLines="50" w:afterLines="50" w:line="560" w:lineRule="exact"/>
        <w:jc w:val="center"/>
        <w:rPr>
          <w:rFonts w:hint="eastAsia" w:ascii="宋体" w:hAnsi="宋体"/>
          <w:b/>
          <w:color w:val="000000"/>
          <w:sz w:val="32"/>
        </w:rPr>
      </w:pPr>
    </w:p>
    <w:p>
      <w:pPr>
        <w:pStyle w:val="2"/>
        <w:keepNext w:val="0"/>
        <w:spacing w:beforeLines="50" w:afterLines="50" w:line="560" w:lineRule="exact"/>
        <w:jc w:val="center"/>
        <w:rPr>
          <w:rFonts w:ascii="宋体" w:hAnsi="宋体"/>
          <w:b/>
          <w:color w:val="000000"/>
          <w:sz w:val="32"/>
        </w:rPr>
      </w:pPr>
    </w:p>
    <w:p>
      <w:pPr>
        <w:pStyle w:val="2"/>
        <w:keepNext w:val="0"/>
        <w:spacing w:beforeLines="50" w:afterLines="50" w:line="560" w:lineRule="exact"/>
        <w:jc w:val="center"/>
        <w:rPr>
          <w:rFonts w:ascii="宋体"/>
          <w:b/>
          <w:color w:val="000000"/>
          <w:sz w:val="32"/>
          <w:lang w:val="zh-TW"/>
        </w:rPr>
      </w:pPr>
      <w:bookmarkStart w:id="147" w:name="_Toc29077"/>
      <w:r>
        <w:rPr>
          <w:rFonts w:ascii="宋体" w:hAnsi="宋体"/>
          <w:b/>
          <w:color w:val="000000"/>
          <w:sz w:val="32"/>
        </w:rPr>
        <w:t>3</w:t>
      </w:r>
      <w:r>
        <w:rPr>
          <w:rFonts w:hint="eastAsia" w:ascii="宋体" w:hAnsi="宋体"/>
          <w:b/>
          <w:color w:val="000000"/>
          <w:sz w:val="32"/>
          <w:lang w:val="zh-TW"/>
        </w:rPr>
        <w:t>环境风险源与环境风险评价</w:t>
      </w:r>
      <w:bookmarkEnd w:id="147"/>
    </w:p>
    <w:p>
      <w:pPr>
        <w:adjustRightInd w:val="0"/>
        <w:snapToGrid w:val="0"/>
        <w:spacing w:line="460" w:lineRule="exact"/>
        <w:outlineLvl w:val="1"/>
        <w:rPr>
          <w:rFonts w:hint="eastAsia"/>
          <w:b/>
          <w:color w:val="000000"/>
          <w:sz w:val="26"/>
          <w:szCs w:val="26"/>
          <w:lang w:val="zh-CN"/>
        </w:rPr>
      </w:pPr>
      <w:bookmarkStart w:id="148" w:name="_Toc7245"/>
      <w:r>
        <w:rPr>
          <w:rFonts w:hint="eastAsia"/>
          <w:b/>
          <w:color w:val="000000"/>
          <w:sz w:val="26"/>
          <w:szCs w:val="26"/>
          <w:lang w:val="zh-CN"/>
        </w:rPr>
        <w:t>3.1生产工艺简介</w:t>
      </w:r>
      <w:r>
        <w:rPr>
          <w:rFonts w:hint="eastAsia"/>
          <w:b/>
          <w:color w:val="000000"/>
          <w:sz w:val="26"/>
          <w:szCs w:val="26"/>
          <w:lang w:val="zh-CN"/>
        </w:rPr>
        <w:t>工艺流程介绍</w:t>
      </w:r>
      <w:bookmarkEnd w:id="148"/>
    </w:p>
    <w:p>
      <w:pPr>
        <w:spacing w:line="460" w:lineRule="exact"/>
        <w:ind w:firstLine="482"/>
        <w:rPr>
          <w:rFonts w:hint="eastAsia"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）本项目处理工艺为接触厌氧</w:t>
      </w:r>
      <w:r>
        <w:rPr>
          <w:rFonts w:asciiTheme="minorEastAsia" w:hAnsiTheme="minorEastAsia" w:eastAsiaTheme="minorEastAsia"/>
          <w:sz w:val="24"/>
          <w:szCs w:val="24"/>
        </w:rPr>
        <w:t>+CASS</w:t>
      </w:r>
      <w:r>
        <w:rPr>
          <w:rFonts w:hint="eastAsia" w:asciiTheme="minorEastAsia" w:hAnsiTheme="minorEastAsia" w:eastAsiaTheme="minorEastAsia"/>
          <w:sz w:val="24"/>
          <w:szCs w:val="24"/>
        </w:rPr>
        <w:t>工艺污水，首先通过格栅井，格栅井内设细格栅和筛网，在筛网的截留下去除废水中的残渣及杂物，经筛网后的污水进入初沉调节池，在初沉调节池中均衡水质、水量，同时起到初沉作用。后经潜污泵提升进入厌氧接触池进行厌氧生物处理。在提升泵前投加液碱来调节</w:t>
      </w:r>
      <w:r>
        <w:rPr>
          <w:rFonts w:asciiTheme="minorEastAsia" w:hAnsiTheme="minorEastAsia" w:eastAsiaTheme="minorEastAsia"/>
          <w:sz w:val="24"/>
          <w:szCs w:val="24"/>
        </w:rPr>
        <w:t>pH</w:t>
      </w:r>
      <w:r>
        <w:rPr>
          <w:rFonts w:hint="eastAsia" w:asciiTheme="minorEastAsia" w:hAnsiTheme="minorEastAsia" w:eastAsiaTheme="minorEastAsia"/>
          <w:sz w:val="24"/>
          <w:szCs w:val="24"/>
        </w:rPr>
        <w:t>，设置碱液自动投加系统，控制厌氧池</w:t>
      </w:r>
      <w:r>
        <w:rPr>
          <w:rFonts w:asciiTheme="minorEastAsia" w:hAnsiTheme="minorEastAsia" w:eastAsiaTheme="minorEastAsia"/>
          <w:sz w:val="24"/>
          <w:szCs w:val="24"/>
        </w:rPr>
        <w:t>pH</w:t>
      </w:r>
      <w:r>
        <w:rPr>
          <w:rFonts w:hint="eastAsia" w:asciiTheme="minorEastAsia" w:hAnsiTheme="minorEastAsia" w:eastAsiaTheme="minorEastAsia"/>
          <w:sz w:val="24"/>
          <w:szCs w:val="24"/>
        </w:rPr>
        <w:t>在合理范围。厌氧接触池的本工程污水首先通过格栅井，格栅井内设细格栅和筛网。出水进入CASS</w:t>
      </w:r>
      <w:r>
        <w:rPr>
          <w:rFonts w:hint="eastAsia" w:asciiTheme="minorEastAsia" w:hAnsiTheme="minorEastAsia" w:eastAsiaTheme="minorEastAsia"/>
          <w:sz w:val="24"/>
          <w:szCs w:val="24"/>
        </w:rPr>
        <w:t>池，通过好氧微生物的作用降解水中的有机物和去除氨氮，同时在该池中添加或培养耐盐生物菌，使生化处理效果优良。</w:t>
      </w:r>
    </w:p>
    <w:p>
      <w:pPr>
        <w:spacing w:line="460" w:lineRule="exact"/>
        <w:ind w:firstLine="482"/>
        <w:rPr>
          <w:rFonts w:hint="eastAsia" w:asciiTheme="minorEastAsia" w:hAnsiTheme="minorEastAsia" w:eastAsiaTheme="minorEastAsia"/>
          <w:sz w:val="24"/>
          <w:szCs w:val="24"/>
          <w:lang w:eastAsia="zh-TW"/>
        </w:rPr>
      </w:pPr>
      <w:r>
        <w:rPr>
          <w:rFonts w:hint="eastAsia" w:asciiTheme="minorEastAsia" w:hAnsiTheme="minorEastAsia" w:eastAsiaTheme="minorEastAsia"/>
          <w:sz w:val="24"/>
          <w:szCs w:val="24"/>
        </w:rPr>
        <w:t>（2</w:t>
      </w:r>
      <w:r>
        <w:rPr>
          <w:rFonts w:hint="eastAsia" w:asciiTheme="minorEastAsia" w:hAnsiTheme="minorEastAsia" w:eastAsiaTheme="minorEastAsia"/>
          <w:sz w:val="24"/>
          <w:szCs w:val="24"/>
        </w:rPr>
        <w:t>）接触厌氧池和CASS</w:t>
      </w:r>
      <w:r>
        <w:rPr>
          <w:rFonts w:hint="eastAsia" w:asciiTheme="minorEastAsia" w:hAnsiTheme="minorEastAsia" w:eastAsiaTheme="minorEastAsia"/>
          <w:sz w:val="24"/>
          <w:szCs w:val="24"/>
        </w:rPr>
        <w:t>池产生的剩余污泥厂区设置了污泥浓缩水池和污泥干化设备，污泥经干化后由需要企业自行运输用于堆肥和绿化肥料。</w:t>
      </w:r>
    </w:p>
    <w:p>
      <w:pPr>
        <w:rPr>
          <w:rFonts w:ascii="仿宋_GB2312"/>
          <w:sz w:val="26"/>
        </w:rPr>
      </w:pPr>
      <w:r>
        <w:rPr>
          <w:rFonts w:ascii="仿宋_GB2312"/>
          <w:sz w:val="26"/>
        </w:rPr>
        <w:drawing>
          <wp:inline distT="0" distB="0" distL="0" distR="0">
            <wp:extent cx="5676900" cy="2867025"/>
            <wp:effectExtent l="19050" t="0" r="0" b="0"/>
            <wp:docPr id="1" name="图片 10" descr="百胜工艺流程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descr="百胜工艺流程图 "/>
                    <pic:cNvPicPr>
                      <a:picLocks noChangeAspect="1" noChangeArrowheads="1"/>
                    </pic:cNvPicPr>
                  </pic:nvPicPr>
                  <pic:blipFill>
                    <a:blip r:embed="rId11"/>
                    <a:srcRect/>
                    <a:stretch>
                      <a:fillRect/>
                    </a:stretch>
                  </pic:blipFill>
                  <pic:spPr>
                    <a:xfrm>
                      <a:off x="0" y="0"/>
                      <a:ext cx="5676900" cy="2867025"/>
                    </a:xfrm>
                    <a:prstGeom prst="rect">
                      <a:avLst/>
                    </a:prstGeom>
                    <a:noFill/>
                    <a:ln w="9525">
                      <a:noFill/>
                      <a:miter lim="800000"/>
                      <a:headEnd/>
                      <a:tailEnd/>
                    </a:ln>
                  </pic:spPr>
                </pic:pic>
              </a:graphicData>
            </a:graphic>
          </wp:inline>
        </w:drawing>
      </w:r>
    </w:p>
    <w:p>
      <w:pPr>
        <w:pStyle w:val="4"/>
        <w:spacing w:line="460" w:lineRule="exact"/>
        <w:jc w:val="center"/>
        <w:rPr>
          <w:rFonts w:ascii="仿宋_GB2312"/>
          <w:b w:val="0"/>
          <w:sz w:val="24"/>
          <w:szCs w:val="24"/>
        </w:rPr>
      </w:pPr>
      <w:bookmarkStart w:id="149" w:name="_Toc205795633"/>
      <w:bookmarkStart w:id="150" w:name="_Toc213733694"/>
      <w:bookmarkStart w:id="151" w:name="_Toc205795873"/>
      <w:bookmarkStart w:id="152" w:name="_Toc274296712"/>
      <w:bookmarkStart w:id="153" w:name="_Toc215738652"/>
      <w:bookmarkStart w:id="154" w:name="_Toc213733233"/>
      <w:r>
        <w:rPr>
          <w:rFonts w:hint="eastAsia" w:ascii="仿宋_GB2312"/>
          <w:b w:val="0"/>
          <w:sz w:val="24"/>
          <w:szCs w:val="24"/>
        </w:rPr>
        <w:t>图3-1 接触厌氧</w:t>
      </w:r>
      <w:r>
        <w:rPr>
          <w:rFonts w:ascii="仿宋_GB2312"/>
          <w:b w:val="0"/>
          <w:sz w:val="24"/>
          <w:szCs w:val="24"/>
        </w:rPr>
        <w:t>+CASS</w:t>
      </w:r>
      <w:r>
        <w:rPr>
          <w:rFonts w:hint="eastAsia" w:ascii="仿宋_GB2312"/>
          <w:b w:val="0"/>
          <w:sz w:val="24"/>
          <w:szCs w:val="24"/>
        </w:rPr>
        <w:t>工艺流程</w:t>
      </w:r>
    </w:p>
    <w:bookmarkEnd w:id="149"/>
    <w:bookmarkEnd w:id="150"/>
    <w:bookmarkEnd w:id="151"/>
    <w:bookmarkEnd w:id="152"/>
    <w:bookmarkEnd w:id="153"/>
    <w:bookmarkEnd w:id="154"/>
    <w:p>
      <w:pPr>
        <w:adjustRightInd w:val="0"/>
        <w:snapToGrid w:val="0"/>
        <w:spacing w:line="460" w:lineRule="exact"/>
        <w:outlineLvl w:val="1"/>
      </w:pPr>
      <w:bookmarkStart w:id="155" w:name="_Toc25275"/>
      <w:r>
        <w:rPr>
          <w:rFonts w:hint="eastAsia"/>
          <w:b/>
          <w:color w:val="000000"/>
          <w:sz w:val="26"/>
          <w:szCs w:val="26"/>
        </w:rPr>
        <w:t>3</w:t>
      </w:r>
      <w:r>
        <w:rPr>
          <w:b/>
          <w:color w:val="000000"/>
          <w:sz w:val="26"/>
          <w:szCs w:val="26"/>
        </w:rPr>
        <w:t>.2</w:t>
      </w:r>
      <w:r>
        <w:rPr>
          <w:rFonts w:hint="eastAsia"/>
          <w:b/>
          <w:color w:val="000000"/>
          <w:sz w:val="26"/>
          <w:szCs w:val="26"/>
        </w:rPr>
        <w:t>企业</w:t>
      </w:r>
      <w:r>
        <w:rPr>
          <w:b/>
          <w:color w:val="000000"/>
          <w:sz w:val="26"/>
          <w:szCs w:val="26"/>
        </w:rPr>
        <w:t>三废产生及排放处置情况</w:t>
      </w:r>
      <w:bookmarkEnd w:id="155"/>
    </w:p>
    <w:p>
      <w:pPr>
        <w:spacing w:line="460" w:lineRule="exact"/>
        <w:ind w:firstLine="420" w:firstLineChars="200"/>
        <w:jc w:val="left"/>
        <w:rPr>
          <w:color w:val="FF0000"/>
          <w:sz w:val="24"/>
          <w:szCs w:val="24"/>
        </w:rPr>
      </w:pPr>
      <w:r>
        <w:rPr>
          <w:rFonts w:hint="eastAsia" w:asciiTheme="minorEastAsia" w:hAnsiTheme="minorEastAsia" w:eastAsiaTheme="minorEastAsia"/>
          <w:bCs/>
        </w:rPr>
        <w:t>百胜榨菜</w:t>
      </w:r>
      <w:r>
        <w:rPr>
          <w:rFonts w:hint="eastAsia"/>
          <w:color w:val="000000"/>
          <w:sz w:val="24"/>
          <w:szCs w:val="24"/>
        </w:rPr>
        <w:t>污水处理厂</w:t>
      </w:r>
      <w:r>
        <w:rPr>
          <w:color w:val="000000"/>
          <w:sz w:val="24"/>
          <w:szCs w:val="24"/>
        </w:rPr>
        <w:t>原环评报告提出的污染防治措施和已采取的污染防治措施见表3.2-1。</w:t>
      </w:r>
    </w:p>
    <w:p>
      <w:pPr>
        <w:spacing w:line="460" w:lineRule="exact"/>
        <w:ind w:firstLine="480" w:firstLineChars="200"/>
        <w:jc w:val="left"/>
        <w:rPr>
          <w:color w:val="000000"/>
          <w:sz w:val="24"/>
          <w:szCs w:val="24"/>
        </w:rPr>
      </w:pPr>
      <w:r>
        <w:rPr>
          <w:color w:val="000000"/>
          <w:sz w:val="24"/>
          <w:szCs w:val="24"/>
        </w:rPr>
        <w:t xml:space="preserve">表3.2-1       </w:t>
      </w:r>
      <w:r>
        <w:rPr>
          <w:rFonts w:hint="eastAsia"/>
          <w:color w:val="000000"/>
          <w:sz w:val="24"/>
          <w:szCs w:val="24"/>
        </w:rPr>
        <w:t>企业</w:t>
      </w:r>
      <w:r>
        <w:rPr>
          <w:color w:val="000000"/>
          <w:sz w:val="24"/>
          <w:szCs w:val="24"/>
        </w:rPr>
        <w:t>环评污染防治措施及现有防治措施</w:t>
      </w:r>
    </w:p>
    <w:tbl>
      <w:tblPr>
        <w:tblStyle w:val="54"/>
        <w:tblW w:w="878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677"/>
        <w:gridCol w:w="3321"/>
        <w:gridCol w:w="31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序号</w:t>
            </w:r>
          </w:p>
        </w:tc>
        <w:tc>
          <w:tcPr>
            <w:tcW w:w="1677" w:type="dxa"/>
            <w:vAlign w:val="center"/>
          </w:tcPr>
          <w:p>
            <w:pPr>
              <w:snapToGrid w:val="0"/>
              <w:jc w:val="center"/>
              <w:rPr>
                <w:snapToGrid w:val="0"/>
                <w:color w:val="000000"/>
                <w:kern w:val="0"/>
                <w:sz w:val="22"/>
              </w:rPr>
            </w:pPr>
            <w:r>
              <w:rPr>
                <w:snapToGrid w:val="0"/>
                <w:color w:val="000000"/>
                <w:kern w:val="0"/>
                <w:sz w:val="22"/>
              </w:rPr>
              <w:t>污染源</w:t>
            </w:r>
          </w:p>
        </w:tc>
        <w:tc>
          <w:tcPr>
            <w:tcW w:w="3321" w:type="dxa"/>
            <w:vAlign w:val="center"/>
          </w:tcPr>
          <w:p>
            <w:pPr>
              <w:snapToGrid w:val="0"/>
              <w:jc w:val="center"/>
              <w:rPr>
                <w:snapToGrid w:val="0"/>
                <w:color w:val="000000"/>
                <w:kern w:val="0"/>
                <w:sz w:val="22"/>
              </w:rPr>
            </w:pPr>
            <w:r>
              <w:rPr>
                <w:snapToGrid w:val="0"/>
                <w:color w:val="000000"/>
                <w:kern w:val="0"/>
                <w:sz w:val="22"/>
              </w:rPr>
              <w:t>环评报告中污染防治措施</w:t>
            </w:r>
          </w:p>
        </w:tc>
        <w:tc>
          <w:tcPr>
            <w:tcW w:w="3114" w:type="dxa"/>
            <w:vAlign w:val="center"/>
          </w:tcPr>
          <w:p>
            <w:pPr>
              <w:snapToGrid w:val="0"/>
              <w:jc w:val="center"/>
              <w:rPr>
                <w:snapToGrid w:val="0"/>
                <w:color w:val="000000"/>
                <w:kern w:val="0"/>
                <w:sz w:val="22"/>
              </w:rPr>
            </w:pPr>
            <w:r>
              <w:rPr>
                <w:rFonts w:hint="eastAsia"/>
                <w:snapToGrid w:val="0"/>
                <w:color w:val="000000"/>
                <w:kern w:val="0"/>
                <w:sz w:val="22"/>
              </w:rPr>
              <w:t>现污水处理</w:t>
            </w:r>
            <w:r>
              <w:rPr>
                <w:snapToGrid w:val="0"/>
                <w:color w:val="000000"/>
                <w:kern w:val="0"/>
                <w:sz w:val="22"/>
              </w:rPr>
              <w:t>厂区已采取措施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一</w:t>
            </w:r>
          </w:p>
        </w:tc>
        <w:tc>
          <w:tcPr>
            <w:tcW w:w="8112" w:type="dxa"/>
            <w:gridSpan w:val="3"/>
            <w:vAlign w:val="center"/>
          </w:tcPr>
          <w:p>
            <w:pPr>
              <w:snapToGrid w:val="0"/>
              <w:jc w:val="center"/>
              <w:rPr>
                <w:snapToGrid w:val="0"/>
                <w:color w:val="000000"/>
                <w:kern w:val="0"/>
                <w:sz w:val="22"/>
              </w:rPr>
            </w:pPr>
            <w:r>
              <w:rPr>
                <w:snapToGrid w:val="0"/>
                <w:color w:val="000000"/>
                <w:kern w:val="0"/>
                <w:sz w:val="22"/>
              </w:rPr>
              <w:t>大气污染防治措施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1</w:t>
            </w:r>
          </w:p>
        </w:tc>
        <w:tc>
          <w:tcPr>
            <w:tcW w:w="1677" w:type="dxa"/>
            <w:vAlign w:val="center"/>
          </w:tcPr>
          <w:p>
            <w:pPr>
              <w:snapToGrid w:val="0"/>
              <w:jc w:val="left"/>
              <w:rPr>
                <w:snapToGrid w:val="0"/>
                <w:color w:val="000000"/>
                <w:kern w:val="0"/>
                <w:sz w:val="22"/>
              </w:rPr>
            </w:pPr>
            <w:r>
              <w:rPr>
                <w:snapToGrid w:val="0"/>
                <w:color w:val="000000"/>
                <w:kern w:val="0"/>
                <w:sz w:val="22"/>
              </w:rPr>
              <w:t>格栅井、氧化</w:t>
            </w:r>
            <w:r>
              <w:rPr>
                <w:rFonts w:hint="eastAsia"/>
                <w:snapToGrid w:val="0"/>
                <w:color w:val="000000"/>
                <w:kern w:val="0"/>
                <w:sz w:val="22"/>
              </w:rPr>
              <w:t>池</w:t>
            </w:r>
            <w:r>
              <w:rPr>
                <w:snapToGrid w:val="0"/>
                <w:color w:val="000000"/>
                <w:kern w:val="0"/>
                <w:sz w:val="22"/>
              </w:rPr>
              <w:t>、污泥干化池</w:t>
            </w:r>
          </w:p>
        </w:tc>
        <w:tc>
          <w:tcPr>
            <w:tcW w:w="3321" w:type="dxa"/>
            <w:vAlign w:val="center"/>
          </w:tcPr>
          <w:p>
            <w:pPr>
              <w:snapToGrid w:val="0"/>
              <w:jc w:val="left"/>
              <w:rPr>
                <w:color w:val="000000"/>
                <w:sz w:val="22"/>
              </w:rPr>
            </w:pPr>
            <w:r>
              <w:rPr>
                <w:snapToGrid w:val="0"/>
                <w:color w:val="000000"/>
                <w:kern w:val="0"/>
                <w:sz w:val="22"/>
              </w:rPr>
              <w:t>格栅井、</w:t>
            </w:r>
            <w:r>
              <w:rPr>
                <w:rFonts w:hint="eastAsia"/>
                <w:snapToGrid w:val="0"/>
                <w:color w:val="000000"/>
                <w:kern w:val="0"/>
                <w:sz w:val="22"/>
              </w:rPr>
              <w:t>生化池</w:t>
            </w:r>
            <w:r>
              <w:rPr>
                <w:snapToGrid w:val="0"/>
                <w:color w:val="000000"/>
                <w:kern w:val="0"/>
                <w:sz w:val="22"/>
              </w:rPr>
              <w:t>、污泥干化池产生的硫化氢和氨气，无组织排放，在其周围设置绿化带，并设置100m的卫生防护距离</w:t>
            </w:r>
          </w:p>
        </w:tc>
        <w:tc>
          <w:tcPr>
            <w:tcW w:w="3114" w:type="dxa"/>
            <w:vAlign w:val="center"/>
          </w:tcPr>
          <w:p>
            <w:pPr>
              <w:snapToGrid w:val="0"/>
              <w:jc w:val="left"/>
              <w:rPr>
                <w:snapToGrid w:val="0"/>
                <w:color w:val="000000"/>
                <w:kern w:val="0"/>
                <w:sz w:val="22"/>
              </w:rPr>
            </w:pPr>
            <w:r>
              <w:rPr>
                <w:snapToGrid w:val="0"/>
                <w:color w:val="000000"/>
                <w:kern w:val="0"/>
                <w:sz w:val="22"/>
              </w:rPr>
              <w:t>格栅井、</w:t>
            </w:r>
            <w:r>
              <w:rPr>
                <w:rFonts w:hint="eastAsia"/>
                <w:snapToGrid w:val="0"/>
                <w:color w:val="000000"/>
                <w:kern w:val="0"/>
                <w:sz w:val="22"/>
              </w:rPr>
              <w:t>生化池</w:t>
            </w:r>
            <w:r>
              <w:rPr>
                <w:snapToGrid w:val="0"/>
                <w:color w:val="000000"/>
                <w:kern w:val="0"/>
                <w:sz w:val="22"/>
              </w:rPr>
              <w:t>、污泥干化池周围设置了绿化带，厂区设置100m的卫生防护距离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二</w:t>
            </w:r>
          </w:p>
        </w:tc>
        <w:tc>
          <w:tcPr>
            <w:tcW w:w="8112" w:type="dxa"/>
            <w:gridSpan w:val="3"/>
            <w:tcBorders>
              <w:bottom w:val="single" w:color="auto" w:sz="4" w:space="0"/>
            </w:tcBorders>
            <w:vAlign w:val="center"/>
          </w:tcPr>
          <w:p>
            <w:pPr>
              <w:snapToGrid w:val="0"/>
              <w:jc w:val="center"/>
              <w:rPr>
                <w:snapToGrid w:val="0"/>
                <w:color w:val="000000"/>
                <w:kern w:val="0"/>
                <w:sz w:val="22"/>
              </w:rPr>
            </w:pPr>
            <w:r>
              <w:rPr>
                <w:snapToGrid w:val="0"/>
                <w:color w:val="000000"/>
                <w:kern w:val="0"/>
                <w:sz w:val="22"/>
              </w:rPr>
              <w:t>废水污染防治措施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51"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1</w:t>
            </w:r>
          </w:p>
        </w:tc>
        <w:tc>
          <w:tcPr>
            <w:tcW w:w="1677" w:type="dxa"/>
            <w:vAlign w:val="center"/>
          </w:tcPr>
          <w:p>
            <w:pPr>
              <w:snapToGrid w:val="0"/>
              <w:jc w:val="left"/>
              <w:rPr>
                <w:color w:val="000000"/>
                <w:sz w:val="22"/>
              </w:rPr>
            </w:pPr>
            <w:r>
              <w:rPr>
                <w:color w:val="000000"/>
                <w:sz w:val="22"/>
              </w:rPr>
              <w:t>厂区雨水和生活污水</w:t>
            </w:r>
          </w:p>
        </w:tc>
        <w:tc>
          <w:tcPr>
            <w:tcW w:w="3321" w:type="dxa"/>
            <w:vAlign w:val="center"/>
          </w:tcPr>
          <w:p>
            <w:pPr>
              <w:snapToGrid w:val="0"/>
              <w:jc w:val="left"/>
              <w:rPr>
                <w:color w:val="000000"/>
                <w:sz w:val="22"/>
              </w:rPr>
            </w:pPr>
            <w:r>
              <w:rPr>
                <w:color w:val="000000"/>
                <w:sz w:val="22"/>
              </w:rPr>
              <w:t>厂区初期雨水和生活污水通过厂区排水管网送至提升井，经提升井送至厂区污水处理系统处理达标后排放</w:t>
            </w:r>
          </w:p>
        </w:tc>
        <w:tc>
          <w:tcPr>
            <w:tcW w:w="3114" w:type="dxa"/>
            <w:shd w:val="clear" w:color="auto" w:fill="auto"/>
            <w:vAlign w:val="center"/>
          </w:tcPr>
          <w:p>
            <w:pPr>
              <w:snapToGrid w:val="0"/>
              <w:jc w:val="left"/>
              <w:rPr>
                <w:color w:val="000000"/>
                <w:sz w:val="22"/>
              </w:rPr>
            </w:pPr>
            <w:r>
              <w:rPr>
                <w:color w:val="000000"/>
                <w:sz w:val="22"/>
              </w:rPr>
              <w:t>企业为污水处理厂，厂区雨水和污水均经厂区排水管网送至提升井，经提升井送至厂区污水处理系统处理达标后排放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rHeight w:val="1151"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2</w:t>
            </w:r>
          </w:p>
        </w:tc>
        <w:tc>
          <w:tcPr>
            <w:tcW w:w="1677" w:type="dxa"/>
            <w:vAlign w:val="center"/>
          </w:tcPr>
          <w:p>
            <w:pPr>
              <w:snapToGrid w:val="0"/>
              <w:jc w:val="center"/>
              <w:rPr>
                <w:color w:val="000000"/>
                <w:sz w:val="22"/>
              </w:rPr>
            </w:pPr>
            <w:r>
              <w:rPr>
                <w:color w:val="000000"/>
                <w:sz w:val="22"/>
              </w:rPr>
              <w:t>处理工艺</w:t>
            </w:r>
          </w:p>
        </w:tc>
        <w:tc>
          <w:tcPr>
            <w:tcW w:w="3321" w:type="dxa"/>
            <w:vAlign w:val="center"/>
          </w:tcPr>
          <w:p>
            <w:pPr>
              <w:snapToGrid w:val="0"/>
              <w:jc w:val="left"/>
              <w:rPr>
                <w:color w:val="000000"/>
                <w:sz w:val="22"/>
              </w:rPr>
            </w:pPr>
            <w:r>
              <w:rPr>
                <w:color w:val="000000"/>
                <w:sz w:val="22"/>
              </w:rPr>
              <w:t>企业污水处理系统设置</w:t>
            </w:r>
            <w:r>
              <w:rPr>
                <w:rFonts w:hint="eastAsia"/>
                <w:color w:val="000000"/>
                <w:sz w:val="22"/>
              </w:rPr>
              <w:t>一用一备</w:t>
            </w:r>
            <w:r>
              <w:rPr>
                <w:color w:val="000000"/>
                <w:sz w:val="22"/>
              </w:rPr>
              <w:t>运营处理工艺，厂区采用双回路电源供电，防止厂区污水处理设施故障导致污水直接或未处理达标后排放</w:t>
            </w:r>
          </w:p>
        </w:tc>
        <w:tc>
          <w:tcPr>
            <w:tcW w:w="3114" w:type="dxa"/>
            <w:shd w:val="clear" w:color="auto" w:fill="auto"/>
            <w:vAlign w:val="center"/>
          </w:tcPr>
          <w:p>
            <w:pPr>
              <w:snapToGrid w:val="0"/>
              <w:jc w:val="left"/>
              <w:rPr>
                <w:color w:val="000000"/>
                <w:sz w:val="22"/>
              </w:rPr>
            </w:pPr>
            <w:r>
              <w:rPr>
                <w:color w:val="000000"/>
                <w:sz w:val="22"/>
              </w:rPr>
              <w:t>企业污水处理系统为2套并联运行系统，电源采用了</w:t>
            </w:r>
            <w:r>
              <w:rPr>
                <w:rFonts w:hint="eastAsia"/>
                <w:color w:val="000000"/>
                <w:sz w:val="22"/>
              </w:rPr>
              <w:t>单</w:t>
            </w:r>
            <w:r>
              <w:rPr>
                <w:color w:val="000000"/>
                <w:sz w:val="22"/>
              </w:rPr>
              <w:t>回路电源，</w:t>
            </w:r>
            <w:r>
              <w:rPr>
                <w:rFonts w:hint="eastAsia"/>
                <w:color w:val="000000"/>
                <w:sz w:val="22"/>
              </w:rPr>
              <w:t>但在配电房配置了柴油发电机作为备用电源，</w:t>
            </w:r>
            <w:r>
              <w:rPr>
                <w:color w:val="000000"/>
                <w:sz w:val="22"/>
              </w:rPr>
              <w:t>最大可能的避免厂区污水处理设施故障。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三</w:t>
            </w:r>
          </w:p>
        </w:tc>
        <w:tc>
          <w:tcPr>
            <w:tcW w:w="8112" w:type="dxa"/>
            <w:gridSpan w:val="3"/>
            <w:vAlign w:val="center"/>
          </w:tcPr>
          <w:p>
            <w:pPr>
              <w:snapToGrid w:val="0"/>
              <w:jc w:val="center"/>
              <w:rPr>
                <w:snapToGrid w:val="0"/>
                <w:color w:val="000000"/>
                <w:kern w:val="0"/>
                <w:sz w:val="22"/>
              </w:rPr>
            </w:pPr>
            <w:r>
              <w:rPr>
                <w:snapToGrid w:val="0"/>
                <w:color w:val="000000"/>
                <w:kern w:val="0"/>
                <w:sz w:val="22"/>
              </w:rPr>
              <w:t>固体废物处置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1</w:t>
            </w:r>
          </w:p>
        </w:tc>
        <w:tc>
          <w:tcPr>
            <w:tcW w:w="1677" w:type="dxa"/>
            <w:vAlign w:val="center"/>
          </w:tcPr>
          <w:p>
            <w:pPr>
              <w:spacing w:line="360" w:lineRule="exact"/>
              <w:jc w:val="center"/>
              <w:rPr>
                <w:color w:val="000000"/>
                <w:sz w:val="22"/>
              </w:rPr>
            </w:pPr>
            <w:r>
              <w:rPr>
                <w:color w:val="000000"/>
                <w:sz w:val="22"/>
              </w:rPr>
              <w:t>废含油棉纱、手套、废机油</w:t>
            </w:r>
          </w:p>
        </w:tc>
        <w:tc>
          <w:tcPr>
            <w:tcW w:w="3321" w:type="dxa"/>
            <w:vAlign w:val="center"/>
          </w:tcPr>
          <w:p>
            <w:pPr>
              <w:spacing w:line="360" w:lineRule="exact"/>
              <w:jc w:val="left"/>
              <w:rPr>
                <w:color w:val="000000"/>
                <w:sz w:val="22"/>
              </w:rPr>
            </w:pPr>
            <w:r>
              <w:rPr>
                <w:color w:val="000000"/>
                <w:sz w:val="22"/>
              </w:rPr>
              <w:t>废含油棉纱、手套、废机油属于危险废物，分别在现有危废间单独设置危废收集桶进行收集，</w:t>
            </w:r>
            <w:r>
              <w:rPr>
                <w:color w:val="000000"/>
                <w:sz w:val="22"/>
                <w:lang w:val="zh-CN"/>
              </w:rPr>
              <w:t>容器加上标签，</w:t>
            </w:r>
            <w:r>
              <w:rPr>
                <w:color w:val="000000"/>
                <w:sz w:val="22"/>
              </w:rPr>
              <w:t>然后委托有相关资质的单位进行收集处理。</w:t>
            </w:r>
          </w:p>
        </w:tc>
        <w:tc>
          <w:tcPr>
            <w:tcW w:w="3114" w:type="dxa"/>
            <w:vAlign w:val="center"/>
          </w:tcPr>
          <w:p>
            <w:pPr>
              <w:spacing w:line="360" w:lineRule="exact"/>
              <w:jc w:val="left"/>
              <w:rPr>
                <w:color w:val="000000"/>
                <w:sz w:val="22"/>
              </w:rPr>
            </w:pPr>
            <w:r>
              <w:rPr>
                <w:color w:val="000000"/>
                <w:sz w:val="22"/>
              </w:rPr>
              <w:t>设置了危废暂存间，建筑面积约为10m</w:t>
            </w:r>
            <w:r>
              <w:rPr>
                <w:color w:val="000000"/>
                <w:sz w:val="22"/>
                <w:vertAlign w:val="superscript"/>
              </w:rPr>
              <w:t>2</w:t>
            </w:r>
            <w:r>
              <w:rPr>
                <w:color w:val="000000"/>
                <w:sz w:val="22"/>
              </w:rPr>
              <w:t>，暂存间进行“三防”处理，地面防渗，设置消防柜、照明、通风等设施。危险废物必须分类储存，定期转运送往具有危险废物处理资质的单位处理，转运采用“五联单”制度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2</w:t>
            </w:r>
          </w:p>
        </w:tc>
        <w:tc>
          <w:tcPr>
            <w:tcW w:w="1677" w:type="dxa"/>
            <w:vAlign w:val="center"/>
          </w:tcPr>
          <w:p>
            <w:pPr>
              <w:spacing w:line="360" w:lineRule="exact"/>
              <w:jc w:val="center"/>
              <w:rPr>
                <w:color w:val="000000"/>
                <w:sz w:val="22"/>
              </w:rPr>
            </w:pPr>
            <w:r>
              <w:rPr>
                <w:color w:val="000000"/>
                <w:sz w:val="22"/>
              </w:rPr>
              <w:t>生活垃圾</w:t>
            </w:r>
          </w:p>
        </w:tc>
        <w:tc>
          <w:tcPr>
            <w:tcW w:w="3321" w:type="dxa"/>
            <w:vAlign w:val="center"/>
          </w:tcPr>
          <w:p>
            <w:pPr>
              <w:adjustRightInd w:val="0"/>
              <w:snapToGrid w:val="0"/>
              <w:spacing w:line="360" w:lineRule="exact"/>
              <w:jc w:val="left"/>
              <w:rPr>
                <w:bCs/>
                <w:snapToGrid w:val="0"/>
                <w:color w:val="000000"/>
                <w:kern w:val="0"/>
                <w:sz w:val="22"/>
              </w:rPr>
            </w:pPr>
            <w:r>
              <w:rPr>
                <w:color w:val="000000"/>
                <w:sz w:val="22"/>
              </w:rPr>
              <w:t>交由区市政环卫部门统一收集处理，禁止随意堆放</w:t>
            </w:r>
          </w:p>
        </w:tc>
        <w:tc>
          <w:tcPr>
            <w:tcW w:w="3114" w:type="dxa"/>
            <w:vAlign w:val="center"/>
          </w:tcPr>
          <w:p>
            <w:pPr>
              <w:adjustRightInd w:val="0"/>
              <w:snapToGrid w:val="0"/>
              <w:spacing w:line="360" w:lineRule="exact"/>
              <w:jc w:val="left"/>
              <w:rPr>
                <w:bCs/>
                <w:snapToGrid w:val="0"/>
                <w:color w:val="000000"/>
                <w:kern w:val="0"/>
                <w:sz w:val="22"/>
              </w:rPr>
            </w:pPr>
            <w:r>
              <w:rPr>
                <w:color w:val="000000"/>
                <w:sz w:val="22"/>
              </w:rPr>
              <w:t>交由区市政环卫部门统一收集处理，禁止随意堆放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3</w:t>
            </w:r>
          </w:p>
        </w:tc>
        <w:tc>
          <w:tcPr>
            <w:tcW w:w="1677" w:type="dxa"/>
            <w:vAlign w:val="center"/>
          </w:tcPr>
          <w:p>
            <w:pPr>
              <w:spacing w:line="360" w:lineRule="exact"/>
              <w:jc w:val="center"/>
              <w:rPr>
                <w:color w:val="000000"/>
                <w:sz w:val="22"/>
              </w:rPr>
            </w:pPr>
            <w:r>
              <w:rPr>
                <w:color w:val="000000"/>
                <w:sz w:val="22"/>
              </w:rPr>
              <w:t>污泥</w:t>
            </w:r>
          </w:p>
        </w:tc>
        <w:tc>
          <w:tcPr>
            <w:tcW w:w="3321" w:type="dxa"/>
            <w:vAlign w:val="center"/>
          </w:tcPr>
          <w:p>
            <w:pPr>
              <w:adjustRightInd w:val="0"/>
              <w:snapToGrid w:val="0"/>
              <w:spacing w:line="360" w:lineRule="exact"/>
              <w:jc w:val="left"/>
              <w:rPr>
                <w:color w:val="000000"/>
                <w:sz w:val="22"/>
              </w:rPr>
            </w:pPr>
            <w:r>
              <w:rPr>
                <w:color w:val="000000"/>
                <w:sz w:val="22"/>
              </w:rPr>
              <w:t>污泥进行干化处理后送相关企业进行堆肥和作为绿化肥料</w:t>
            </w:r>
          </w:p>
        </w:tc>
        <w:tc>
          <w:tcPr>
            <w:tcW w:w="3114" w:type="dxa"/>
            <w:vAlign w:val="center"/>
          </w:tcPr>
          <w:p>
            <w:pPr>
              <w:adjustRightInd w:val="0"/>
              <w:snapToGrid w:val="0"/>
              <w:spacing w:line="360" w:lineRule="exact"/>
              <w:jc w:val="left"/>
              <w:rPr>
                <w:color w:val="000000"/>
                <w:sz w:val="22"/>
              </w:rPr>
            </w:pPr>
            <w:r>
              <w:rPr>
                <w:color w:val="000000"/>
                <w:sz w:val="22"/>
              </w:rPr>
              <w:t>厂区设置了污泥浓缩水池和污泥干化设备，污泥经干化后由需要企业自行运输用于堆肥和绿化肥料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四</w:t>
            </w:r>
          </w:p>
        </w:tc>
        <w:tc>
          <w:tcPr>
            <w:tcW w:w="8112" w:type="dxa"/>
            <w:gridSpan w:val="3"/>
            <w:vAlign w:val="center"/>
          </w:tcPr>
          <w:p>
            <w:pPr>
              <w:snapToGrid w:val="0"/>
              <w:jc w:val="center"/>
              <w:rPr>
                <w:snapToGrid w:val="0"/>
                <w:color w:val="000000"/>
                <w:kern w:val="0"/>
                <w:sz w:val="22"/>
              </w:rPr>
            </w:pPr>
            <w:r>
              <w:rPr>
                <w:snapToGrid w:val="0"/>
                <w:color w:val="000000"/>
                <w:kern w:val="0"/>
                <w:sz w:val="22"/>
              </w:rPr>
              <w:t>噪声控制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1</w:t>
            </w:r>
          </w:p>
        </w:tc>
        <w:tc>
          <w:tcPr>
            <w:tcW w:w="1677" w:type="dxa"/>
            <w:vAlign w:val="center"/>
          </w:tcPr>
          <w:p>
            <w:pPr>
              <w:snapToGrid w:val="0"/>
              <w:jc w:val="center"/>
              <w:rPr>
                <w:snapToGrid w:val="0"/>
                <w:color w:val="000000"/>
                <w:kern w:val="0"/>
                <w:sz w:val="22"/>
              </w:rPr>
            </w:pPr>
            <w:r>
              <w:rPr>
                <w:snapToGrid w:val="0"/>
                <w:color w:val="000000"/>
                <w:kern w:val="0"/>
                <w:sz w:val="22"/>
              </w:rPr>
              <w:t>设备噪声</w:t>
            </w:r>
          </w:p>
        </w:tc>
        <w:tc>
          <w:tcPr>
            <w:tcW w:w="3321" w:type="dxa"/>
            <w:vAlign w:val="center"/>
          </w:tcPr>
          <w:p>
            <w:pPr>
              <w:snapToGrid w:val="0"/>
              <w:jc w:val="left"/>
              <w:rPr>
                <w:color w:val="000000"/>
                <w:sz w:val="22"/>
              </w:rPr>
            </w:pPr>
            <w:r>
              <w:rPr>
                <w:color w:val="000000"/>
                <w:sz w:val="22"/>
              </w:rPr>
              <w:t>使用低</w:t>
            </w:r>
            <w:r>
              <w:rPr>
                <w:sz w:val="22"/>
              </w:rPr>
              <w:t>噪声、高功率的泵</w:t>
            </w:r>
            <w:r>
              <w:rPr>
                <w:color w:val="000000"/>
                <w:sz w:val="22"/>
              </w:rPr>
              <w:t>，定期对设备进行维护、保养，确保设备运行正常，</w:t>
            </w:r>
            <w:r>
              <w:rPr>
                <w:sz w:val="22"/>
              </w:rPr>
              <w:t>设置减震垫，厂区设置绿化带等</w:t>
            </w:r>
          </w:p>
        </w:tc>
        <w:tc>
          <w:tcPr>
            <w:tcW w:w="3114" w:type="dxa"/>
            <w:vAlign w:val="center"/>
          </w:tcPr>
          <w:p>
            <w:pPr>
              <w:snapToGrid w:val="0"/>
              <w:jc w:val="left"/>
              <w:rPr>
                <w:snapToGrid w:val="0"/>
                <w:color w:val="000000"/>
                <w:kern w:val="0"/>
                <w:sz w:val="22"/>
              </w:rPr>
            </w:pPr>
            <w:r>
              <w:rPr>
                <w:color w:val="000000"/>
                <w:sz w:val="22"/>
              </w:rPr>
              <w:t>企业使用了低</w:t>
            </w:r>
            <w:r>
              <w:rPr>
                <w:sz w:val="22"/>
              </w:rPr>
              <w:t>噪声、高功率的泵</w:t>
            </w:r>
            <w:r>
              <w:rPr>
                <w:color w:val="000000"/>
                <w:sz w:val="22"/>
              </w:rPr>
              <w:t>，并将泵置于地下或者专门泵房内，定期对设备进行了维护、保养，确保设备运行正常，</w:t>
            </w:r>
            <w:r>
              <w:rPr>
                <w:sz w:val="22"/>
              </w:rPr>
              <w:t>设置减震垫，厂区设置了绿化带。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snapToGrid w:val="0"/>
                <w:color w:val="000000"/>
                <w:kern w:val="0"/>
                <w:sz w:val="22"/>
              </w:rPr>
              <w:t>五</w:t>
            </w:r>
          </w:p>
        </w:tc>
        <w:tc>
          <w:tcPr>
            <w:tcW w:w="8112" w:type="dxa"/>
            <w:gridSpan w:val="3"/>
            <w:vAlign w:val="center"/>
          </w:tcPr>
          <w:p>
            <w:pPr>
              <w:snapToGrid w:val="0"/>
              <w:jc w:val="center"/>
              <w:rPr>
                <w:color w:val="000000"/>
                <w:sz w:val="22"/>
              </w:rPr>
            </w:pPr>
            <w:r>
              <w:rPr>
                <w:color w:val="000000"/>
                <w:sz w:val="22"/>
              </w:rPr>
              <w:t>风险防范措施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676" w:type="dxa"/>
            <w:vAlign w:val="center"/>
          </w:tcPr>
          <w:p>
            <w:pPr>
              <w:snapToGrid w:val="0"/>
              <w:jc w:val="center"/>
              <w:rPr>
                <w:snapToGrid w:val="0"/>
                <w:color w:val="000000"/>
                <w:kern w:val="0"/>
                <w:sz w:val="22"/>
              </w:rPr>
            </w:pPr>
            <w:r>
              <w:rPr>
                <w:rFonts w:hint="eastAsia"/>
                <w:snapToGrid w:val="0"/>
                <w:color w:val="000000"/>
                <w:kern w:val="0"/>
                <w:sz w:val="22"/>
              </w:rPr>
              <w:t>1</w:t>
            </w:r>
          </w:p>
        </w:tc>
        <w:tc>
          <w:tcPr>
            <w:tcW w:w="1677" w:type="dxa"/>
            <w:vAlign w:val="center"/>
          </w:tcPr>
          <w:p>
            <w:pPr>
              <w:snapToGrid w:val="0"/>
              <w:jc w:val="center"/>
              <w:rPr>
                <w:snapToGrid w:val="0"/>
                <w:color w:val="000000"/>
                <w:kern w:val="0"/>
                <w:sz w:val="22"/>
              </w:rPr>
            </w:pPr>
            <w:r>
              <w:rPr>
                <w:snapToGrid w:val="0"/>
                <w:color w:val="000000"/>
                <w:kern w:val="0"/>
                <w:sz w:val="22"/>
              </w:rPr>
              <w:t>其它</w:t>
            </w:r>
          </w:p>
        </w:tc>
        <w:tc>
          <w:tcPr>
            <w:tcW w:w="3321" w:type="dxa"/>
            <w:vAlign w:val="center"/>
          </w:tcPr>
          <w:p>
            <w:pPr>
              <w:snapToGrid w:val="0"/>
              <w:jc w:val="left"/>
              <w:rPr>
                <w:color w:val="000000"/>
                <w:sz w:val="22"/>
              </w:rPr>
            </w:pPr>
            <w:r>
              <w:rPr>
                <w:color w:val="000000"/>
                <w:sz w:val="22"/>
              </w:rPr>
              <w:t>备置防毒面具、防护服、防护眼睛、应急灯等应急物资</w:t>
            </w:r>
          </w:p>
        </w:tc>
        <w:tc>
          <w:tcPr>
            <w:tcW w:w="3114" w:type="dxa"/>
            <w:vAlign w:val="center"/>
          </w:tcPr>
          <w:p>
            <w:pPr>
              <w:snapToGrid w:val="0"/>
              <w:jc w:val="left"/>
              <w:rPr>
                <w:color w:val="000000"/>
                <w:sz w:val="22"/>
              </w:rPr>
            </w:pPr>
            <w:r>
              <w:rPr>
                <w:color w:val="000000"/>
                <w:sz w:val="22"/>
              </w:rPr>
              <w:t>备置了防毒面具、防护服、防护眼睛、应急灯等应急物资</w:t>
            </w:r>
          </w:p>
        </w:tc>
      </w:tr>
    </w:tbl>
    <w:p>
      <w:pPr>
        <w:adjustRightInd w:val="0"/>
        <w:snapToGrid w:val="0"/>
        <w:spacing w:line="460" w:lineRule="exact"/>
        <w:outlineLvl w:val="1"/>
        <w:rPr>
          <w:b/>
          <w:color w:val="000000"/>
          <w:sz w:val="26"/>
          <w:szCs w:val="26"/>
        </w:rPr>
      </w:pPr>
      <w:bookmarkStart w:id="156" w:name="_Toc458674253"/>
      <w:bookmarkStart w:id="157" w:name="_Toc30434"/>
      <w:r>
        <w:rPr>
          <w:rFonts w:hint="eastAsia"/>
          <w:b/>
          <w:color w:val="000000"/>
          <w:sz w:val="26"/>
          <w:szCs w:val="26"/>
        </w:rPr>
        <w:t>3</w:t>
      </w:r>
      <w:r>
        <w:rPr>
          <w:b/>
          <w:color w:val="000000"/>
          <w:sz w:val="26"/>
          <w:szCs w:val="26"/>
        </w:rPr>
        <w:t>.3环境风险源识别</w:t>
      </w:r>
      <w:bookmarkEnd w:id="156"/>
      <w:bookmarkEnd w:id="157"/>
    </w:p>
    <w:p>
      <w:pPr>
        <w:pStyle w:val="120"/>
        <w:ind w:firstLine="0" w:firstLineChars="0"/>
        <w:rPr>
          <w:b/>
        </w:rPr>
      </w:pPr>
      <w:bookmarkStart w:id="158" w:name="_Toc346872561"/>
      <w:bookmarkStart w:id="159" w:name="_Toc458674254"/>
      <w:bookmarkStart w:id="160" w:name="_Toc317088625"/>
      <w:bookmarkStart w:id="161" w:name="_Toc376848492"/>
      <w:r>
        <w:rPr>
          <w:rFonts w:hint="eastAsia"/>
          <w:b/>
        </w:rPr>
        <w:t>3</w:t>
      </w:r>
      <w:r>
        <w:rPr>
          <w:b/>
        </w:rPr>
        <w:t>.3.1 生产过程潜在风险识别</w:t>
      </w:r>
      <w:bookmarkEnd w:id="158"/>
      <w:bookmarkEnd w:id="159"/>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（1）生产工艺过程</w:t>
      </w:r>
    </w:p>
    <w:p>
      <w:pPr>
        <w:pStyle w:val="172"/>
        <w:spacing w:line="500" w:lineRule="exact"/>
        <w:ind w:firstLine="480"/>
        <w:rPr>
          <w:rFonts w:ascii="仿宋_GB2312"/>
          <w:sz w:val="24"/>
        </w:rPr>
      </w:pPr>
      <w:r>
        <w:rPr>
          <w:rFonts w:hint="eastAsia" w:ascii="仿宋_GB2312"/>
          <w:sz w:val="24"/>
        </w:rPr>
        <w:t>氢氧化钠加药间</w:t>
      </w:r>
      <w:r>
        <w:rPr>
          <w:rFonts w:cs="仿宋_GB2312" w:asciiTheme="minorEastAsia" w:hAnsiTheme="minorEastAsia" w:eastAsiaTheme="minorEastAsia"/>
          <w:kern w:val="0"/>
          <w:sz w:val="24"/>
        </w:rPr>
        <w:t>：企业所使用的</w:t>
      </w:r>
      <w:r>
        <w:rPr>
          <w:rFonts w:hint="eastAsia" w:ascii="仿宋_GB2312"/>
          <w:sz w:val="24"/>
        </w:rPr>
        <w:t>氢氧化钠（固体片碱）</w:t>
      </w:r>
      <w:r>
        <w:rPr>
          <w:rFonts w:cs="仿宋_GB2312" w:asciiTheme="minorEastAsia" w:hAnsiTheme="minorEastAsia" w:eastAsiaTheme="minorEastAsia"/>
          <w:kern w:val="0"/>
          <w:sz w:val="24"/>
        </w:rPr>
        <w:t>由供应商负责运输至厂区，然后由专门的保管人员验收存放于危险化学品仓库。</w:t>
      </w:r>
      <w:r>
        <w:rPr>
          <w:rFonts w:hint="eastAsia" w:ascii="仿宋_GB2312"/>
          <w:sz w:val="24"/>
        </w:rPr>
        <w:t>在氢氧化钠装卸使用过程中，安排专人现场监督，整个装卸使用过程必须全程处于监控状态，杜绝装卸使用过程中氢氧化钠泄漏，或一旦装卸使用过程发生泄漏能得到及时有效的处理，</w:t>
      </w:r>
      <w:r>
        <w:rPr>
          <w:rFonts w:hint="eastAsia" w:cs="仿宋_GB2312" w:asciiTheme="minorEastAsia" w:hAnsiTheme="minorEastAsia" w:eastAsiaTheme="minorEastAsia"/>
          <w:kern w:val="0"/>
          <w:sz w:val="24"/>
        </w:rPr>
        <w:t>可控制在加药间内。</w:t>
      </w:r>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（2）停电</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w:t>
      </w:r>
      <w:r>
        <w:rPr>
          <w:rFonts w:hint="eastAsia" w:cs="仿宋_GB2312" w:asciiTheme="minorEastAsia" w:hAnsiTheme="minorEastAsia" w:eastAsiaTheme="minorEastAsia"/>
          <w:kern w:val="0"/>
          <w:sz w:val="24"/>
        </w:rPr>
        <w:t>榨菜废水</w:t>
      </w:r>
      <w:r>
        <w:rPr>
          <w:rFonts w:cs="仿宋_GB2312" w:asciiTheme="minorEastAsia" w:hAnsiTheme="minorEastAsia" w:eastAsiaTheme="minorEastAsia"/>
          <w:kern w:val="0"/>
          <w:sz w:val="24"/>
        </w:rPr>
        <w:t>处理厂，一旦发生停电时，污水处理设备不能运转导致厂区内收集的污水直接排放到外环境，造成地表水污染，影响地表水环境及下游取水口、鱼类三场等水环境风险受体。</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（3）污染治理设施非正常运营</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企业为</w:t>
      </w:r>
      <w:r>
        <w:rPr>
          <w:rFonts w:hint="eastAsia" w:cs="仿宋_GB2312" w:asciiTheme="minorEastAsia" w:hAnsiTheme="minorEastAsia" w:eastAsiaTheme="minorEastAsia"/>
          <w:kern w:val="0"/>
          <w:sz w:val="24"/>
        </w:rPr>
        <w:t>榨菜废水</w:t>
      </w:r>
      <w:r>
        <w:rPr>
          <w:rFonts w:cs="仿宋_GB2312" w:asciiTheme="minorEastAsia" w:hAnsiTheme="minorEastAsia" w:eastAsiaTheme="minorEastAsia"/>
          <w:kern w:val="0"/>
          <w:sz w:val="24"/>
        </w:rPr>
        <w:t>处理厂，一旦污染治理设施不能正常运营导致污水治理效果下降使污水未达标而排放到地表水体造成地表水环境污染。</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（4）各种自然灾害、极端天气</w:t>
      </w:r>
    </w:p>
    <w:p>
      <w:pPr>
        <w:pStyle w:val="172"/>
        <w:spacing w:line="500" w:lineRule="exact"/>
        <w:ind w:firstLine="48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在各</w:t>
      </w:r>
      <w:r>
        <w:rPr>
          <w:rFonts w:hint="eastAsia" w:cs="仿宋_GB2312" w:asciiTheme="minorEastAsia" w:hAnsiTheme="minorEastAsia" w:eastAsiaTheme="minorEastAsia"/>
          <w:kern w:val="0"/>
          <w:sz w:val="24"/>
        </w:rPr>
        <w:t>种</w:t>
      </w:r>
      <w:r>
        <w:rPr>
          <w:rFonts w:cs="仿宋_GB2312" w:asciiTheme="minorEastAsia" w:hAnsiTheme="minorEastAsia" w:eastAsiaTheme="minorEastAsia"/>
          <w:kern w:val="0"/>
          <w:sz w:val="24"/>
        </w:rPr>
        <w:t>自然灾害、极端天气情况下，企业突发环境事故为污水未经处理直接排放到外环境造成后果与停电情况下一致。</w:t>
      </w:r>
    </w:p>
    <w:p>
      <w:pPr>
        <w:spacing w:line="460" w:lineRule="exact"/>
        <w:ind w:firstLine="520" w:firstLineChars="200"/>
        <w:jc w:val="left"/>
        <w:rPr>
          <w:color w:val="000000"/>
          <w:sz w:val="26"/>
          <w:szCs w:val="26"/>
        </w:rPr>
      </w:pPr>
      <w:r>
        <w:rPr>
          <w:color w:val="000000"/>
          <w:sz w:val="26"/>
          <w:szCs w:val="26"/>
        </w:rPr>
        <w:t>表3.3-1                生产过程风险一览表</w:t>
      </w:r>
    </w:p>
    <w:tbl>
      <w:tblPr>
        <w:tblStyle w:val="54"/>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134"/>
        <w:gridCol w:w="1578"/>
        <w:gridCol w:w="2861"/>
        <w:gridCol w:w="1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2" w:type="dxa"/>
            <w:vAlign w:val="center"/>
          </w:tcPr>
          <w:p>
            <w:pPr>
              <w:adjustRightInd w:val="0"/>
              <w:snapToGrid w:val="0"/>
              <w:jc w:val="center"/>
              <w:rPr>
                <w:color w:val="000000"/>
                <w:sz w:val="22"/>
              </w:rPr>
            </w:pPr>
            <w:r>
              <w:rPr>
                <w:color w:val="000000"/>
                <w:sz w:val="22"/>
              </w:rPr>
              <w:t>生产单元</w:t>
            </w:r>
          </w:p>
        </w:tc>
        <w:tc>
          <w:tcPr>
            <w:tcW w:w="1134" w:type="dxa"/>
            <w:vAlign w:val="center"/>
          </w:tcPr>
          <w:p>
            <w:pPr>
              <w:adjustRightInd w:val="0"/>
              <w:snapToGrid w:val="0"/>
              <w:jc w:val="center"/>
              <w:rPr>
                <w:color w:val="000000"/>
                <w:sz w:val="22"/>
              </w:rPr>
            </w:pPr>
            <w:r>
              <w:rPr>
                <w:color w:val="000000"/>
                <w:sz w:val="22"/>
              </w:rPr>
              <w:t>危险物质</w:t>
            </w:r>
          </w:p>
        </w:tc>
        <w:tc>
          <w:tcPr>
            <w:tcW w:w="1578" w:type="dxa"/>
            <w:vAlign w:val="center"/>
          </w:tcPr>
          <w:p>
            <w:pPr>
              <w:adjustRightInd w:val="0"/>
              <w:snapToGrid w:val="0"/>
              <w:jc w:val="center"/>
              <w:rPr>
                <w:color w:val="000000"/>
                <w:sz w:val="22"/>
              </w:rPr>
            </w:pPr>
            <w:r>
              <w:rPr>
                <w:color w:val="000000"/>
                <w:sz w:val="22"/>
              </w:rPr>
              <w:t>事故形式</w:t>
            </w:r>
          </w:p>
        </w:tc>
        <w:tc>
          <w:tcPr>
            <w:tcW w:w="2861" w:type="dxa"/>
            <w:vAlign w:val="center"/>
          </w:tcPr>
          <w:p>
            <w:pPr>
              <w:adjustRightInd w:val="0"/>
              <w:snapToGrid w:val="0"/>
              <w:jc w:val="center"/>
              <w:rPr>
                <w:color w:val="000000"/>
                <w:sz w:val="22"/>
              </w:rPr>
            </w:pPr>
            <w:r>
              <w:rPr>
                <w:color w:val="000000"/>
                <w:sz w:val="22"/>
              </w:rPr>
              <w:t>产生原因</w:t>
            </w:r>
          </w:p>
        </w:tc>
        <w:tc>
          <w:tcPr>
            <w:tcW w:w="1535" w:type="dxa"/>
            <w:vAlign w:val="center"/>
          </w:tcPr>
          <w:p>
            <w:pPr>
              <w:adjustRightInd w:val="0"/>
              <w:snapToGrid w:val="0"/>
              <w:jc w:val="center"/>
              <w:rPr>
                <w:color w:val="000000"/>
                <w:sz w:val="22"/>
              </w:rPr>
            </w:pPr>
            <w:r>
              <w:rPr>
                <w:color w:val="00000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2" w:type="dxa"/>
            <w:vAlign w:val="center"/>
          </w:tcPr>
          <w:p>
            <w:pPr>
              <w:adjustRightInd w:val="0"/>
              <w:snapToGrid w:val="0"/>
              <w:jc w:val="center"/>
              <w:rPr>
                <w:color w:val="000000"/>
                <w:szCs w:val="21"/>
              </w:rPr>
            </w:pPr>
            <w:r>
              <w:rPr>
                <w:rFonts w:hint="eastAsia" w:ascii="仿宋_GB2312"/>
                <w:szCs w:val="21"/>
              </w:rPr>
              <w:t>氢氧化钠加药间</w:t>
            </w:r>
          </w:p>
        </w:tc>
        <w:tc>
          <w:tcPr>
            <w:tcW w:w="1134" w:type="dxa"/>
            <w:vAlign w:val="center"/>
          </w:tcPr>
          <w:p>
            <w:pPr>
              <w:adjustRightInd w:val="0"/>
              <w:snapToGrid w:val="0"/>
              <w:jc w:val="center"/>
              <w:rPr>
                <w:color w:val="000000"/>
                <w:sz w:val="22"/>
              </w:rPr>
            </w:pPr>
            <w:r>
              <w:rPr>
                <w:rFonts w:hint="eastAsia" w:ascii="仿宋_GB2312"/>
                <w:szCs w:val="21"/>
              </w:rPr>
              <w:t>氢氧化钠</w:t>
            </w:r>
          </w:p>
        </w:tc>
        <w:tc>
          <w:tcPr>
            <w:tcW w:w="1578" w:type="dxa"/>
            <w:vAlign w:val="center"/>
          </w:tcPr>
          <w:p>
            <w:pPr>
              <w:adjustRightInd w:val="0"/>
              <w:snapToGrid w:val="0"/>
              <w:jc w:val="left"/>
              <w:rPr>
                <w:color w:val="000000"/>
                <w:sz w:val="22"/>
              </w:rPr>
            </w:pPr>
            <w:r>
              <w:rPr>
                <w:color w:val="000000"/>
                <w:sz w:val="22"/>
              </w:rPr>
              <w:t>泄漏、</w:t>
            </w:r>
            <w:r>
              <w:rPr>
                <w:rFonts w:hint="eastAsia" w:ascii="仿宋_GB2312"/>
                <w:szCs w:val="22"/>
              </w:rPr>
              <w:t>化学灼伤</w:t>
            </w:r>
            <w:r>
              <w:rPr>
                <w:color w:val="000000"/>
                <w:sz w:val="22"/>
              </w:rPr>
              <w:t>、环境污染</w:t>
            </w:r>
          </w:p>
        </w:tc>
        <w:tc>
          <w:tcPr>
            <w:tcW w:w="2861" w:type="dxa"/>
            <w:vAlign w:val="center"/>
          </w:tcPr>
          <w:p>
            <w:pPr>
              <w:autoSpaceDE w:val="0"/>
              <w:autoSpaceDN w:val="0"/>
              <w:jc w:val="left"/>
              <w:rPr>
                <w:rFonts w:ascii="仿宋_GB2312"/>
                <w:kern w:val="0"/>
                <w:szCs w:val="21"/>
              </w:rPr>
            </w:pPr>
            <w:r>
              <w:rPr>
                <w:rFonts w:hint="eastAsia" w:ascii="仿宋_GB2312"/>
              </w:rPr>
              <w:t>操作使用、储存不当造成泄漏</w:t>
            </w:r>
          </w:p>
        </w:tc>
        <w:tc>
          <w:tcPr>
            <w:tcW w:w="1535" w:type="dxa"/>
            <w:vAlign w:val="center"/>
          </w:tcPr>
          <w:p>
            <w:pPr>
              <w:adjustRightInd w:val="0"/>
              <w:snapToGrid w:val="0"/>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52" w:type="dxa"/>
            <w:vAlign w:val="center"/>
          </w:tcPr>
          <w:p>
            <w:pPr>
              <w:adjustRightInd w:val="0"/>
              <w:snapToGrid w:val="0"/>
              <w:jc w:val="center"/>
              <w:rPr>
                <w:color w:val="000000"/>
                <w:sz w:val="22"/>
              </w:rPr>
            </w:pPr>
            <w:r>
              <w:rPr>
                <w:color w:val="000000"/>
                <w:sz w:val="22"/>
              </w:rPr>
              <w:t>污水处理系统</w:t>
            </w:r>
          </w:p>
        </w:tc>
        <w:tc>
          <w:tcPr>
            <w:tcW w:w="1134" w:type="dxa"/>
            <w:vAlign w:val="center"/>
          </w:tcPr>
          <w:p>
            <w:pPr>
              <w:adjustRightInd w:val="0"/>
              <w:snapToGrid w:val="0"/>
              <w:jc w:val="center"/>
              <w:rPr>
                <w:color w:val="000000"/>
                <w:sz w:val="22"/>
              </w:rPr>
            </w:pPr>
            <w:r>
              <w:rPr>
                <w:color w:val="000000"/>
                <w:sz w:val="22"/>
              </w:rPr>
              <w:t>收集污水</w:t>
            </w:r>
          </w:p>
        </w:tc>
        <w:tc>
          <w:tcPr>
            <w:tcW w:w="1578" w:type="dxa"/>
            <w:vAlign w:val="center"/>
          </w:tcPr>
          <w:p>
            <w:pPr>
              <w:adjustRightInd w:val="0"/>
              <w:snapToGrid w:val="0"/>
              <w:jc w:val="left"/>
              <w:rPr>
                <w:color w:val="000000"/>
                <w:sz w:val="22"/>
              </w:rPr>
            </w:pPr>
            <w:r>
              <w:rPr>
                <w:color w:val="000000"/>
                <w:sz w:val="22"/>
              </w:rPr>
              <w:t>泄漏、环境污染</w:t>
            </w:r>
          </w:p>
        </w:tc>
        <w:tc>
          <w:tcPr>
            <w:tcW w:w="2861" w:type="dxa"/>
            <w:vAlign w:val="center"/>
          </w:tcPr>
          <w:p>
            <w:pPr>
              <w:adjustRightInd w:val="0"/>
              <w:snapToGrid w:val="0"/>
              <w:jc w:val="left"/>
              <w:rPr>
                <w:color w:val="000000"/>
                <w:sz w:val="22"/>
              </w:rPr>
            </w:pPr>
            <w:r>
              <w:rPr>
                <w:color w:val="000000"/>
                <w:sz w:val="22"/>
              </w:rPr>
              <w:t>污水处理设备发生故障、停电、自然灾害等</w:t>
            </w:r>
          </w:p>
        </w:tc>
        <w:tc>
          <w:tcPr>
            <w:tcW w:w="1535" w:type="dxa"/>
            <w:vAlign w:val="center"/>
          </w:tcPr>
          <w:p>
            <w:pPr>
              <w:adjustRightInd w:val="0"/>
              <w:snapToGrid w:val="0"/>
              <w:jc w:val="center"/>
              <w:rPr>
                <w:color w:val="000000"/>
                <w:sz w:val="22"/>
              </w:rPr>
            </w:pPr>
            <w:r>
              <w:rPr>
                <w:color w:val="000000"/>
                <w:sz w:val="22"/>
              </w:rPr>
              <w:t>污水</w:t>
            </w:r>
          </w:p>
        </w:tc>
      </w:tr>
    </w:tbl>
    <w:p>
      <w:pPr>
        <w:ind w:firstLine="420" w:firstLineChars="200"/>
        <w:jc w:val="left"/>
        <w:rPr>
          <w:color w:val="000000"/>
        </w:rPr>
      </w:pPr>
    </w:p>
    <w:p>
      <w:pPr>
        <w:pStyle w:val="120"/>
        <w:ind w:firstLine="0" w:firstLineChars="0"/>
        <w:rPr>
          <w:b/>
        </w:rPr>
      </w:pPr>
      <w:bookmarkStart w:id="162" w:name="_Toc346872562"/>
      <w:bookmarkStart w:id="163" w:name="_Toc458674255"/>
      <w:r>
        <w:rPr>
          <w:rFonts w:hint="eastAsia"/>
          <w:b/>
        </w:rPr>
        <w:t>3</w:t>
      </w:r>
      <w:r>
        <w:rPr>
          <w:b/>
        </w:rPr>
        <w:t>.3.2</w:t>
      </w:r>
      <w:bookmarkEnd w:id="160"/>
      <w:bookmarkEnd w:id="162"/>
      <w:r>
        <w:rPr>
          <w:b/>
        </w:rPr>
        <w:t>运输过程潜在风险识别</w:t>
      </w:r>
      <w:bookmarkEnd w:id="163"/>
    </w:p>
    <w:p>
      <w:pPr>
        <w:pStyle w:val="172"/>
        <w:spacing w:line="500" w:lineRule="exact"/>
        <w:ind w:firstLine="480"/>
        <w:rPr>
          <w:rFonts w:cs="仿宋_GB2312" w:asciiTheme="minorEastAsia" w:hAnsiTheme="minorEastAsia" w:eastAsiaTheme="minorEastAsia"/>
          <w:kern w:val="0"/>
          <w:sz w:val="24"/>
        </w:rPr>
      </w:pPr>
      <w:bookmarkStart w:id="164" w:name="_Toc317088626"/>
      <w:bookmarkStart w:id="165" w:name="_Toc346872563"/>
      <w:r>
        <w:rPr>
          <w:rFonts w:cs="仿宋_GB2312" w:asciiTheme="minorEastAsia" w:hAnsiTheme="minorEastAsia" w:eastAsiaTheme="minorEastAsia"/>
          <w:kern w:val="0"/>
          <w:sz w:val="24"/>
        </w:rPr>
        <w:t>经核实，企业原辅材料等由供应商提供运输至厂区，运输过程中的突发环境事故风险防范应由供应商完成，</w:t>
      </w:r>
      <w:r>
        <w:rPr>
          <w:rFonts w:hint="eastAsia" w:cs="仿宋_GB2312" w:asciiTheme="minorEastAsia" w:hAnsiTheme="minorEastAsia" w:eastAsiaTheme="minorEastAsia"/>
          <w:kern w:val="0"/>
          <w:sz w:val="24"/>
        </w:rPr>
        <w:t>按照转运协议要求，运输途中出现的一切安全及其他事故由转运单位负责，污水处理厂负责配合协调处理，不纳入本次评估范围。</w:t>
      </w:r>
    </w:p>
    <w:p>
      <w:pPr>
        <w:pStyle w:val="120"/>
        <w:ind w:firstLine="0" w:firstLineChars="0"/>
        <w:rPr>
          <w:b/>
          <w:sz w:val="26"/>
          <w:szCs w:val="26"/>
        </w:rPr>
      </w:pPr>
      <w:bookmarkStart w:id="166" w:name="_Toc458674256"/>
      <w:r>
        <w:rPr>
          <w:rFonts w:hint="eastAsia"/>
          <w:b/>
        </w:rPr>
        <w:t>3</w:t>
      </w:r>
      <w:r>
        <w:rPr>
          <w:b/>
        </w:rPr>
        <w:t>.3.3 次/伴生风险识别</w:t>
      </w:r>
      <w:bookmarkEnd w:id="164"/>
      <w:bookmarkEnd w:id="165"/>
      <w:bookmarkEnd w:id="166"/>
    </w:p>
    <w:p>
      <w:pPr>
        <w:pStyle w:val="172"/>
        <w:spacing w:line="500" w:lineRule="exact"/>
        <w:ind w:firstLine="480"/>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氢氧化钠</w:t>
      </w:r>
      <w:r>
        <w:rPr>
          <w:rFonts w:cs="仿宋_GB2312" w:asciiTheme="minorEastAsia" w:hAnsiTheme="minorEastAsia" w:eastAsiaTheme="minorEastAsia"/>
          <w:kern w:val="0"/>
          <w:sz w:val="24"/>
        </w:rPr>
        <w:t>若</w:t>
      </w:r>
      <w:r>
        <w:rPr>
          <w:rFonts w:hint="eastAsia" w:cs="仿宋_GB2312" w:asciiTheme="minorEastAsia" w:hAnsiTheme="minorEastAsia" w:eastAsiaTheme="minorEastAsia"/>
          <w:kern w:val="0"/>
          <w:sz w:val="24"/>
        </w:rPr>
        <w:t>遇水和水蒸气大量放热，形成腐蚀性溶液</w:t>
      </w:r>
      <w:r>
        <w:rPr>
          <w:rFonts w:cs="仿宋_GB2312" w:asciiTheme="minorEastAsia" w:hAnsiTheme="minorEastAsia" w:eastAsiaTheme="minorEastAsia"/>
          <w:kern w:val="0"/>
          <w:sz w:val="24"/>
        </w:rPr>
        <w:t>发生泄漏事故，</w:t>
      </w:r>
      <w:r>
        <w:rPr>
          <w:rFonts w:hint="eastAsia" w:cs="仿宋_GB2312" w:asciiTheme="minorEastAsia" w:hAnsiTheme="minorEastAsia" w:eastAsiaTheme="minorEastAsia"/>
          <w:kern w:val="0"/>
          <w:sz w:val="24"/>
        </w:rPr>
        <w:t>导致环境污染。</w:t>
      </w:r>
    </w:p>
    <w:p>
      <w:pPr>
        <w:adjustRightInd w:val="0"/>
        <w:snapToGrid w:val="0"/>
        <w:spacing w:line="460" w:lineRule="exact"/>
        <w:outlineLvl w:val="1"/>
        <w:rPr>
          <w:rFonts w:hint="eastAsia"/>
          <w:b/>
          <w:color w:val="000000"/>
          <w:sz w:val="26"/>
          <w:szCs w:val="26"/>
          <w:lang w:val="zh-CN"/>
        </w:rPr>
      </w:pPr>
      <w:bookmarkStart w:id="167" w:name="_Toc458674257"/>
      <w:bookmarkStart w:id="168" w:name="_Toc4747"/>
      <w:r>
        <w:rPr>
          <w:rFonts w:hint="eastAsia"/>
          <w:b/>
          <w:color w:val="000000"/>
          <w:sz w:val="26"/>
          <w:szCs w:val="26"/>
          <w:lang w:val="zh-CN"/>
        </w:rPr>
        <w:t>3.4重大危险源识别</w:t>
      </w:r>
      <w:bookmarkEnd w:id="167"/>
      <w:bookmarkEnd w:id="168"/>
    </w:p>
    <w:p>
      <w:pPr>
        <w:pStyle w:val="120"/>
        <w:ind w:firstLine="0" w:firstLineChars="0"/>
        <w:rPr>
          <w:b/>
        </w:rPr>
      </w:pPr>
      <w:bookmarkStart w:id="169" w:name="_Toc458674258"/>
      <w:r>
        <w:rPr>
          <w:rFonts w:hint="eastAsia"/>
          <w:b/>
        </w:rPr>
        <w:t>3</w:t>
      </w:r>
      <w:r>
        <w:rPr>
          <w:b/>
        </w:rPr>
        <w:t>.4.1 物质危险性识别</w:t>
      </w:r>
      <w:bookmarkEnd w:id="161"/>
      <w:bookmarkEnd w:id="169"/>
    </w:p>
    <w:p>
      <w:pPr>
        <w:pStyle w:val="172"/>
        <w:spacing w:line="500" w:lineRule="exact"/>
        <w:ind w:firstLine="360" w:firstLineChars="150"/>
        <w:rPr>
          <w:rFonts w:cs="仿宋_GB2312" w:asciiTheme="minorEastAsia" w:hAnsiTheme="minorEastAsia" w:eastAsiaTheme="minorEastAsia"/>
          <w:kern w:val="0"/>
          <w:sz w:val="24"/>
        </w:rPr>
      </w:pPr>
      <w:r>
        <w:rPr>
          <w:rFonts w:cs="仿宋_GB2312" w:asciiTheme="minorEastAsia" w:hAnsiTheme="minorEastAsia" w:eastAsiaTheme="minorEastAsia"/>
          <w:kern w:val="0"/>
          <w:sz w:val="24"/>
        </w:rPr>
        <w:t>（1）危险化学品</w:t>
      </w:r>
    </w:p>
    <w:p>
      <w:pPr>
        <w:pStyle w:val="172"/>
        <w:spacing w:line="500" w:lineRule="exact"/>
        <w:ind w:firstLine="480"/>
        <w:rPr>
          <w:color w:val="000000"/>
          <w:sz w:val="24"/>
        </w:rPr>
      </w:pPr>
      <w:r>
        <w:rPr>
          <w:rFonts w:hint="eastAsia" w:cs="仿宋_GB2312" w:asciiTheme="minorEastAsia" w:hAnsiTheme="minorEastAsia" w:eastAsiaTheme="minorEastAsia"/>
          <w:kern w:val="0"/>
          <w:sz w:val="24"/>
        </w:rPr>
        <w:t>百胜榨菜污水处理厂</w:t>
      </w:r>
      <w:r>
        <w:rPr>
          <w:rFonts w:cs="仿宋_GB2312" w:asciiTheme="minorEastAsia" w:hAnsiTheme="minorEastAsia" w:eastAsiaTheme="minorEastAsia"/>
          <w:kern w:val="0"/>
          <w:sz w:val="24"/>
        </w:rPr>
        <w:t>污水处理工艺过程中使用到的化学试剂。根据《危险化学品名录》（2012年版），</w:t>
      </w:r>
      <w:r>
        <w:rPr>
          <w:rFonts w:hint="eastAsia" w:cs="仿宋_GB2312" w:asciiTheme="minorEastAsia" w:hAnsiTheme="minorEastAsia" w:eastAsiaTheme="minorEastAsia"/>
          <w:kern w:val="0"/>
          <w:sz w:val="24"/>
        </w:rPr>
        <w:t>百胜榨菜污水处理厂</w:t>
      </w:r>
      <w:r>
        <w:rPr>
          <w:rFonts w:cs="仿宋_GB2312" w:asciiTheme="minorEastAsia" w:hAnsiTheme="minorEastAsia" w:eastAsiaTheme="minorEastAsia"/>
          <w:kern w:val="0"/>
          <w:sz w:val="24"/>
        </w:rPr>
        <w:t>在污水处理过程中涉及的主要危险化学品为</w:t>
      </w:r>
      <w:r>
        <w:rPr>
          <w:rFonts w:hint="eastAsia" w:asciiTheme="minorEastAsia" w:hAnsiTheme="minorEastAsia" w:eastAsiaTheme="minorEastAsia"/>
          <w:sz w:val="24"/>
        </w:rPr>
        <w:t>氢氧化钠</w:t>
      </w:r>
      <w:r>
        <w:rPr>
          <w:rFonts w:cs="仿宋_GB2312" w:asciiTheme="minorEastAsia" w:hAnsiTheme="minorEastAsia" w:eastAsiaTheme="minorEastAsia"/>
          <w:kern w:val="0"/>
          <w:sz w:val="24"/>
        </w:rPr>
        <w:t>、废机油等。</w:t>
      </w:r>
    </w:p>
    <w:p>
      <w:pPr>
        <w:spacing w:line="460" w:lineRule="exact"/>
        <w:rPr>
          <w:sz w:val="26"/>
          <w:szCs w:val="26"/>
        </w:rPr>
      </w:pPr>
      <w:r>
        <w:rPr>
          <w:color w:val="000000"/>
          <w:sz w:val="26"/>
          <w:szCs w:val="26"/>
        </w:rPr>
        <w:t>表3.4-1</w:t>
      </w:r>
      <w:r>
        <w:rPr>
          <w:rFonts w:hint="eastAsia"/>
          <w:color w:val="000000"/>
          <w:sz w:val="26"/>
          <w:szCs w:val="26"/>
        </w:rPr>
        <w:t xml:space="preserve">  </w:t>
      </w:r>
      <w:r>
        <w:rPr>
          <w:rFonts w:hint="eastAsia"/>
          <w:sz w:val="26"/>
          <w:szCs w:val="26"/>
        </w:rPr>
        <w:t>企业</w:t>
      </w:r>
      <w:r>
        <w:rPr>
          <w:sz w:val="26"/>
          <w:szCs w:val="26"/>
        </w:rPr>
        <w:t>生产原料、产品以及“三废”中涉及的环境风险物质</w:t>
      </w:r>
      <w:r>
        <w:rPr>
          <w:rFonts w:hint="eastAsia"/>
          <w:sz w:val="26"/>
          <w:szCs w:val="26"/>
        </w:rPr>
        <w:t>储量</w:t>
      </w:r>
      <w:r>
        <w:rPr>
          <w:sz w:val="26"/>
          <w:szCs w:val="26"/>
        </w:rPr>
        <w:t>统计</w:t>
      </w:r>
      <w:r>
        <w:rPr>
          <w:rFonts w:hint="eastAsia"/>
          <w:sz w:val="26"/>
          <w:szCs w:val="26"/>
        </w:rPr>
        <w:t>表</w:t>
      </w:r>
    </w:p>
    <w:tbl>
      <w:tblPr>
        <w:tblStyle w:val="54"/>
        <w:tblW w:w="9033" w:type="dxa"/>
        <w:jc w:val="center"/>
        <w:tblInd w:w="0" w:type="dxa"/>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2467"/>
        <w:gridCol w:w="1418"/>
        <w:gridCol w:w="1365"/>
        <w:gridCol w:w="1470"/>
        <w:gridCol w:w="1634"/>
      </w:tblGrid>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tblHeader/>
          <w:jc w:val="center"/>
        </w:trPr>
        <w:tc>
          <w:tcPr>
            <w:tcW w:w="679"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序号</w:t>
            </w:r>
          </w:p>
        </w:tc>
        <w:tc>
          <w:tcPr>
            <w:tcW w:w="2467"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品种名称</w:t>
            </w:r>
          </w:p>
        </w:tc>
        <w:tc>
          <w:tcPr>
            <w:tcW w:w="1418"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最大储量（t）</w:t>
            </w:r>
          </w:p>
        </w:tc>
        <w:tc>
          <w:tcPr>
            <w:tcW w:w="1365"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储存方式</w:t>
            </w:r>
          </w:p>
        </w:tc>
        <w:tc>
          <w:tcPr>
            <w:tcW w:w="1470"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年用量（t）</w:t>
            </w:r>
          </w:p>
        </w:tc>
        <w:tc>
          <w:tcPr>
            <w:tcW w:w="1634" w:type="dxa"/>
            <w:tcBorders>
              <w:top w:val="thinThickSmallGap" w:color="auto" w:sz="12" w:space="0"/>
            </w:tcBorders>
            <w:vAlign w:val="center"/>
          </w:tcPr>
          <w:p>
            <w:pPr>
              <w:pStyle w:val="193"/>
              <w:spacing w:line="400" w:lineRule="exact"/>
              <w:rPr>
                <w:rFonts w:ascii="仿宋_GB2312"/>
                <w:kern w:val="2"/>
                <w:szCs w:val="21"/>
              </w:rPr>
            </w:pPr>
            <w:r>
              <w:rPr>
                <w:rFonts w:hint="eastAsia" w:ascii="仿宋_GB2312"/>
                <w:kern w:val="2"/>
                <w:szCs w:val="21"/>
              </w:rPr>
              <w:t>备注</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6"/>
            <w:vAlign w:val="center"/>
          </w:tcPr>
          <w:p>
            <w:pPr>
              <w:pStyle w:val="193"/>
              <w:spacing w:line="400" w:lineRule="exact"/>
              <w:rPr>
                <w:rFonts w:ascii="仿宋_GB2312"/>
                <w:kern w:val="2"/>
                <w:szCs w:val="21"/>
              </w:rPr>
            </w:pPr>
            <w:r>
              <w:rPr>
                <w:rFonts w:hint="eastAsia" w:ascii="仿宋_GB2312"/>
                <w:kern w:val="2"/>
                <w:szCs w:val="21"/>
              </w:rPr>
              <w:t>原辅料</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kern w:val="2"/>
                <w:szCs w:val="21"/>
              </w:rPr>
            </w:pPr>
            <w:r>
              <w:rPr>
                <w:rFonts w:hint="eastAsia" w:ascii="仿宋_GB2312"/>
                <w:kern w:val="2"/>
                <w:szCs w:val="21"/>
              </w:rPr>
              <w:t>3</w:t>
            </w:r>
          </w:p>
        </w:tc>
        <w:tc>
          <w:tcPr>
            <w:tcW w:w="2467" w:type="dxa"/>
            <w:vAlign w:val="center"/>
          </w:tcPr>
          <w:p>
            <w:pPr>
              <w:autoSpaceDE w:val="0"/>
              <w:autoSpaceDN w:val="0"/>
              <w:spacing w:line="460" w:lineRule="exact"/>
              <w:jc w:val="center"/>
              <w:rPr>
                <w:rFonts w:ascii="仿宋_GB2312"/>
                <w:szCs w:val="21"/>
              </w:rPr>
            </w:pPr>
            <w:r>
              <w:rPr>
                <w:rFonts w:hint="eastAsia" w:ascii="仿宋_GB2312"/>
                <w:szCs w:val="21"/>
              </w:rPr>
              <w:t>氢氧化钠</w:t>
            </w:r>
          </w:p>
        </w:tc>
        <w:tc>
          <w:tcPr>
            <w:tcW w:w="1418" w:type="dxa"/>
            <w:vAlign w:val="center"/>
          </w:tcPr>
          <w:p>
            <w:pPr>
              <w:keepNext/>
              <w:spacing w:line="240" w:lineRule="atLeast"/>
              <w:ind w:firstLine="420"/>
              <w:rPr>
                <w:rFonts w:ascii="仿宋_GB2312"/>
                <w:bCs/>
                <w:snapToGrid w:val="0"/>
                <w:szCs w:val="21"/>
              </w:rPr>
            </w:pPr>
            <w:r>
              <w:rPr>
                <w:rFonts w:hint="eastAsia" w:ascii="仿宋_GB2312"/>
                <w:bCs/>
                <w:snapToGrid w:val="0"/>
                <w:szCs w:val="21"/>
              </w:rPr>
              <w:t>4</w:t>
            </w:r>
          </w:p>
        </w:tc>
        <w:tc>
          <w:tcPr>
            <w:tcW w:w="1365" w:type="dxa"/>
            <w:vAlign w:val="center"/>
          </w:tcPr>
          <w:p>
            <w:pPr>
              <w:pStyle w:val="193"/>
              <w:rPr>
                <w:rFonts w:ascii="仿宋_GB2312"/>
                <w:kern w:val="2"/>
                <w:szCs w:val="21"/>
              </w:rPr>
            </w:pPr>
            <w:r>
              <w:rPr>
                <w:rFonts w:hint="eastAsia" w:ascii="仿宋_GB2312"/>
                <w:kern w:val="2"/>
                <w:szCs w:val="21"/>
              </w:rPr>
              <w:t>袋装</w:t>
            </w:r>
          </w:p>
        </w:tc>
        <w:tc>
          <w:tcPr>
            <w:tcW w:w="1470" w:type="dxa"/>
            <w:vAlign w:val="center"/>
          </w:tcPr>
          <w:p>
            <w:pPr>
              <w:pStyle w:val="193"/>
              <w:rPr>
                <w:rFonts w:ascii="仿宋_GB2312" w:hAnsi="宋体"/>
                <w:kern w:val="2"/>
                <w:szCs w:val="21"/>
              </w:rPr>
            </w:pPr>
            <w:r>
              <w:rPr>
                <w:rFonts w:hint="eastAsia" w:ascii="仿宋_GB2312" w:hAnsi="宋体"/>
                <w:kern w:val="2"/>
                <w:szCs w:val="21"/>
              </w:rPr>
              <w:t>120</w:t>
            </w:r>
          </w:p>
        </w:tc>
        <w:tc>
          <w:tcPr>
            <w:tcW w:w="1634" w:type="dxa"/>
          </w:tcPr>
          <w:p>
            <w:pPr>
              <w:jc w:val="center"/>
              <w:rPr>
                <w:rFonts w:ascii="仿宋_GB2312"/>
                <w:szCs w:val="21"/>
              </w:rPr>
            </w:pPr>
            <w:r>
              <w:rPr>
                <w:rFonts w:hint="eastAsia" w:ascii="仿宋_GB2312"/>
                <w:szCs w:val="21"/>
              </w:rPr>
              <w:t>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033" w:type="dxa"/>
            <w:gridSpan w:val="6"/>
            <w:vAlign w:val="center"/>
          </w:tcPr>
          <w:p>
            <w:pPr>
              <w:pStyle w:val="193"/>
              <w:rPr>
                <w:rFonts w:ascii="仿宋_GB2312"/>
                <w:kern w:val="2"/>
                <w:szCs w:val="21"/>
              </w:rPr>
            </w:pPr>
            <w:r>
              <w:rPr>
                <w:rFonts w:hint="eastAsia" w:ascii="仿宋_GB2312"/>
              </w:rPr>
              <w:t>三废</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679" w:type="dxa"/>
            <w:vAlign w:val="center"/>
          </w:tcPr>
          <w:p>
            <w:pPr>
              <w:pStyle w:val="193"/>
              <w:rPr>
                <w:rFonts w:ascii="仿宋_GB2312"/>
                <w:kern w:val="2"/>
                <w:szCs w:val="21"/>
              </w:rPr>
            </w:pPr>
            <w:r>
              <w:rPr>
                <w:rFonts w:hint="eastAsia" w:ascii="仿宋_GB2312"/>
                <w:kern w:val="2"/>
                <w:szCs w:val="21"/>
              </w:rPr>
              <w:t>1</w:t>
            </w:r>
          </w:p>
        </w:tc>
        <w:tc>
          <w:tcPr>
            <w:tcW w:w="2467" w:type="dxa"/>
          </w:tcPr>
          <w:p>
            <w:pPr>
              <w:jc w:val="center"/>
              <w:rPr>
                <w:rFonts w:ascii="仿宋_GB2312"/>
                <w:szCs w:val="21"/>
              </w:rPr>
            </w:pPr>
            <w:r>
              <w:rPr>
                <w:rFonts w:hint="eastAsia" w:ascii="仿宋_GB2312" w:cs="仿宋_GB2312"/>
                <w:szCs w:val="21"/>
              </w:rPr>
              <w:t>一般污泥</w:t>
            </w:r>
          </w:p>
        </w:tc>
        <w:tc>
          <w:tcPr>
            <w:tcW w:w="1418" w:type="dxa"/>
            <w:vAlign w:val="center"/>
          </w:tcPr>
          <w:p>
            <w:pPr>
              <w:pStyle w:val="193"/>
              <w:rPr>
                <w:rFonts w:ascii="仿宋_GB2312"/>
                <w:kern w:val="2"/>
                <w:szCs w:val="21"/>
              </w:rPr>
            </w:pPr>
            <w:r>
              <w:rPr>
                <w:rFonts w:hint="eastAsia" w:ascii="仿宋_GB2312"/>
                <w:kern w:val="2"/>
                <w:szCs w:val="21"/>
              </w:rPr>
              <w:t>20</w:t>
            </w:r>
          </w:p>
        </w:tc>
        <w:tc>
          <w:tcPr>
            <w:tcW w:w="1365" w:type="dxa"/>
            <w:vAlign w:val="center"/>
          </w:tcPr>
          <w:p>
            <w:pPr>
              <w:pStyle w:val="193"/>
              <w:rPr>
                <w:rFonts w:ascii="仿宋_GB2312"/>
                <w:kern w:val="2"/>
                <w:szCs w:val="21"/>
              </w:rPr>
            </w:pPr>
            <w:r>
              <w:rPr>
                <w:rFonts w:hint="eastAsia" w:ascii="仿宋_GB2312"/>
                <w:kern w:val="2"/>
                <w:szCs w:val="21"/>
              </w:rPr>
              <w:t>污泥暂存区</w:t>
            </w:r>
          </w:p>
        </w:tc>
        <w:tc>
          <w:tcPr>
            <w:tcW w:w="1470" w:type="dxa"/>
            <w:vAlign w:val="center"/>
          </w:tcPr>
          <w:p>
            <w:pPr>
              <w:pStyle w:val="193"/>
              <w:rPr>
                <w:rFonts w:ascii="仿宋_GB2312"/>
                <w:kern w:val="2"/>
                <w:szCs w:val="21"/>
              </w:rPr>
            </w:pPr>
            <w:r>
              <w:rPr>
                <w:rFonts w:hint="eastAsia" w:ascii="仿宋_GB2312"/>
                <w:kern w:val="2"/>
                <w:szCs w:val="21"/>
              </w:rPr>
              <w:t>1800</w:t>
            </w:r>
          </w:p>
        </w:tc>
        <w:tc>
          <w:tcPr>
            <w:tcW w:w="1634" w:type="dxa"/>
            <w:vAlign w:val="center"/>
          </w:tcPr>
          <w:p>
            <w:pPr>
              <w:pStyle w:val="193"/>
              <w:rPr>
                <w:rFonts w:ascii="仿宋_GB2312"/>
                <w:kern w:val="2"/>
                <w:szCs w:val="21"/>
              </w:rPr>
            </w:pPr>
            <w:r>
              <w:rPr>
                <w:rFonts w:hint="eastAsia" w:ascii="仿宋_GB2312"/>
                <w:kern w:val="2"/>
                <w:szCs w:val="21"/>
              </w:rPr>
              <w:t>非危险化学品</w:t>
            </w:r>
          </w:p>
        </w:tc>
      </w:tr>
      <w:tr>
        <w:tblPrEx>
          <w:tblBorders>
            <w:top w:val="thinThickSmallGap" w:color="auto" w:sz="12" w:space="0"/>
            <w:left w:val="thinThickSmallGap" w:color="auto" w:sz="12" w:space="0"/>
            <w:bottom w:val="thinThickSmallGap" w:color="auto" w:sz="12" w:space="0"/>
            <w:right w:val="thinThickSmallGap" w:color="auto" w:sz="12" w:space="0"/>
            <w:insideH w:val="single" w:color="auto" w:sz="4" w:space="0"/>
            <w:insideV w:val="single" w:color="auto" w:sz="4" w:space="0"/>
          </w:tblBorders>
          <w:tblLayout w:type="fixed"/>
        </w:tblPrEx>
        <w:trPr>
          <w:trHeight w:val="388" w:hRule="atLeast"/>
          <w:jc w:val="center"/>
        </w:trPr>
        <w:tc>
          <w:tcPr>
            <w:tcW w:w="679" w:type="dxa"/>
            <w:vAlign w:val="center"/>
          </w:tcPr>
          <w:p>
            <w:pPr>
              <w:pStyle w:val="193"/>
              <w:rPr>
                <w:rFonts w:ascii="仿宋_GB2312"/>
                <w:kern w:val="2"/>
                <w:szCs w:val="21"/>
              </w:rPr>
            </w:pPr>
            <w:r>
              <w:rPr>
                <w:rFonts w:hint="eastAsia" w:ascii="仿宋_GB2312"/>
                <w:kern w:val="2"/>
                <w:szCs w:val="21"/>
              </w:rPr>
              <w:t>2</w:t>
            </w:r>
          </w:p>
        </w:tc>
        <w:tc>
          <w:tcPr>
            <w:tcW w:w="2467" w:type="dxa"/>
          </w:tcPr>
          <w:p>
            <w:pPr>
              <w:jc w:val="center"/>
              <w:rPr>
                <w:rFonts w:ascii="仿宋_GB2312" w:cs="仿宋_GB2312"/>
                <w:szCs w:val="21"/>
              </w:rPr>
            </w:pPr>
            <w:r>
              <w:rPr>
                <w:rFonts w:hint="eastAsia" w:ascii="仿宋_GB2312" w:cs="仿宋_GB2312"/>
                <w:szCs w:val="21"/>
              </w:rPr>
              <w:t>废机油</w:t>
            </w:r>
          </w:p>
        </w:tc>
        <w:tc>
          <w:tcPr>
            <w:tcW w:w="1418" w:type="dxa"/>
            <w:vAlign w:val="center"/>
          </w:tcPr>
          <w:p>
            <w:pPr>
              <w:pStyle w:val="193"/>
              <w:rPr>
                <w:rFonts w:ascii="仿宋_GB2312"/>
                <w:kern w:val="2"/>
                <w:szCs w:val="21"/>
              </w:rPr>
            </w:pPr>
            <w:r>
              <w:rPr>
                <w:rFonts w:hint="eastAsia" w:ascii="仿宋_GB2312"/>
                <w:kern w:val="2"/>
                <w:szCs w:val="21"/>
              </w:rPr>
              <w:t>0.5</w:t>
            </w:r>
          </w:p>
        </w:tc>
        <w:tc>
          <w:tcPr>
            <w:tcW w:w="1365" w:type="dxa"/>
            <w:vAlign w:val="center"/>
          </w:tcPr>
          <w:p>
            <w:pPr>
              <w:pStyle w:val="193"/>
              <w:rPr>
                <w:rFonts w:ascii="仿宋_GB2312"/>
                <w:kern w:val="2"/>
                <w:szCs w:val="21"/>
              </w:rPr>
            </w:pPr>
            <w:r>
              <w:rPr>
                <w:rFonts w:ascii="仿宋_GB2312"/>
                <w:kern w:val="2"/>
                <w:szCs w:val="21"/>
              </w:rPr>
              <w:t>危废储存</w:t>
            </w:r>
          </w:p>
        </w:tc>
        <w:tc>
          <w:tcPr>
            <w:tcW w:w="1470" w:type="dxa"/>
            <w:vAlign w:val="center"/>
          </w:tcPr>
          <w:p>
            <w:pPr>
              <w:pStyle w:val="193"/>
              <w:rPr>
                <w:rFonts w:ascii="仿宋_GB2312"/>
                <w:kern w:val="2"/>
                <w:szCs w:val="21"/>
              </w:rPr>
            </w:pPr>
            <w:r>
              <w:rPr>
                <w:rFonts w:hint="eastAsia" w:ascii="仿宋_GB2312"/>
                <w:kern w:val="2"/>
                <w:szCs w:val="21"/>
              </w:rPr>
              <w:t>0.5</w:t>
            </w:r>
          </w:p>
        </w:tc>
        <w:tc>
          <w:tcPr>
            <w:tcW w:w="1634" w:type="dxa"/>
            <w:vAlign w:val="center"/>
          </w:tcPr>
          <w:p>
            <w:pPr>
              <w:pStyle w:val="193"/>
              <w:rPr>
                <w:rFonts w:ascii="仿宋_GB2312"/>
                <w:kern w:val="2"/>
                <w:szCs w:val="21"/>
              </w:rPr>
            </w:pPr>
            <w:r>
              <w:rPr>
                <w:rFonts w:hint="eastAsia" w:ascii="仿宋_GB2312"/>
                <w:kern w:val="2"/>
                <w:szCs w:val="21"/>
              </w:rPr>
              <w:t>危险废物</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（2）危险废物</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根据《国家危废名录》，</w:t>
      </w:r>
      <w:r>
        <w:rPr>
          <w:rFonts w:hint="eastAsia" w:cs="仿宋_GB2312" w:asciiTheme="minorEastAsia" w:hAnsiTheme="minorEastAsia" w:eastAsiaTheme="minorEastAsia"/>
          <w:kern w:val="0"/>
          <w:sz w:val="24"/>
        </w:rPr>
        <w:t>百胜榨菜</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在生产过程中产生的危险废物有废含油棉纱手套、废机油等，各危险废物的危险特性见表3.4-2。</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企业现有生产区设有10m2的危险废物暂存点，用于危险废物的临时储存，暂存点进行了“三防”处理，地面采取了防渗措施，同时在危废暂存间内设置消防柜、照明、通风等设施。危险废物必须分类储存，定期转运送往具有危险废物处理资质的单位处理，转运采用“五联单”制度</w:t>
      </w:r>
    </w:p>
    <w:p>
      <w:pPr>
        <w:spacing w:line="460" w:lineRule="exact"/>
        <w:ind w:firstLine="520" w:firstLineChars="200"/>
        <w:jc w:val="left"/>
        <w:rPr>
          <w:color w:val="000000"/>
          <w:sz w:val="26"/>
          <w:szCs w:val="26"/>
        </w:rPr>
      </w:pPr>
      <w:r>
        <w:rPr>
          <w:color w:val="000000"/>
          <w:sz w:val="26"/>
          <w:szCs w:val="26"/>
        </w:rPr>
        <w:t>表3.4-2                危废危险特性表</w:t>
      </w:r>
    </w:p>
    <w:tbl>
      <w:tblPr>
        <w:tblStyle w:val="54"/>
        <w:tblW w:w="878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27"/>
        <w:gridCol w:w="1181"/>
        <w:gridCol w:w="1687"/>
        <w:gridCol w:w="1701"/>
        <w:gridCol w:w="2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废渣名称</w:t>
            </w:r>
          </w:p>
        </w:tc>
        <w:tc>
          <w:tcPr>
            <w:tcW w:w="118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产生量（t/a）</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组成及特性</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危险废物编号</w:t>
            </w:r>
          </w:p>
        </w:tc>
        <w:tc>
          <w:tcPr>
            <w:tcW w:w="2192" w:type="dxa"/>
            <w:tcBorders>
              <w:top w:val="single" w:color="000000" w:sz="2" w:space="0"/>
              <w:left w:val="single" w:color="000000" w:sz="4" w:space="0"/>
              <w:bottom w:val="single" w:color="000000" w:sz="2" w:space="0"/>
              <w:right w:val="single" w:color="000000" w:sz="4" w:space="0"/>
            </w:tcBorders>
            <w:vAlign w:val="center"/>
          </w:tcPr>
          <w:p>
            <w:pPr>
              <w:autoSpaceDE w:val="0"/>
              <w:autoSpaceDN w:val="0"/>
              <w:adjustRightInd w:val="0"/>
              <w:jc w:val="center"/>
              <w:rPr>
                <w:color w:val="000000"/>
                <w:kern w:val="0"/>
                <w:sz w:val="22"/>
              </w:rPr>
            </w:pPr>
            <w:r>
              <w:rPr>
                <w:color w:val="000000"/>
                <w:kern w:val="0"/>
                <w:sz w:val="22"/>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废含油棉纱手套</w:t>
            </w:r>
          </w:p>
        </w:tc>
        <w:tc>
          <w:tcPr>
            <w:tcW w:w="1181" w:type="dxa"/>
            <w:vMerge w:val="restart"/>
            <w:tcBorders>
              <w:top w:val="single" w:color="000000" w:sz="2" w:space="0"/>
              <w:left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0.5</w:t>
            </w:r>
          </w:p>
        </w:tc>
        <w:tc>
          <w:tcPr>
            <w:tcW w:w="1687"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废机油</w:t>
            </w:r>
          </w:p>
        </w:tc>
        <w:tc>
          <w:tcPr>
            <w:tcW w:w="1701" w:type="dxa"/>
            <w:tcBorders>
              <w:top w:val="single" w:color="000000" w:sz="2"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900-249-08</w:t>
            </w:r>
          </w:p>
        </w:tc>
        <w:tc>
          <w:tcPr>
            <w:tcW w:w="2192" w:type="dxa"/>
            <w:vMerge w:val="restart"/>
            <w:tcBorders>
              <w:top w:val="single" w:color="000000" w:sz="2" w:space="0"/>
              <w:left w:val="single" w:color="000000" w:sz="4" w:space="0"/>
              <w:right w:val="single" w:color="000000" w:sz="4" w:space="0"/>
            </w:tcBorders>
            <w:vAlign w:val="center"/>
          </w:tcPr>
          <w:p>
            <w:pPr>
              <w:autoSpaceDE w:val="0"/>
              <w:autoSpaceDN w:val="0"/>
              <w:adjustRightInd w:val="0"/>
              <w:jc w:val="left"/>
              <w:rPr>
                <w:color w:val="000000"/>
                <w:kern w:val="0"/>
                <w:sz w:val="22"/>
              </w:rPr>
            </w:pPr>
            <w:r>
              <w:rPr>
                <w:color w:val="000000"/>
                <w:kern w:val="0"/>
                <w:sz w:val="22"/>
              </w:rPr>
              <w:t>厂区设危废暂存点收集暂存，定期交由具有危废处理资质单位处理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027" w:type="dxa"/>
            <w:tcBorders>
              <w:top w:val="single" w:color="000000" w:sz="2"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废机油</w:t>
            </w:r>
          </w:p>
        </w:tc>
        <w:tc>
          <w:tcPr>
            <w:tcW w:w="1181" w:type="dxa"/>
            <w:vMerge w:val="continue"/>
            <w:tcBorders>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p>
        </w:tc>
        <w:tc>
          <w:tcPr>
            <w:tcW w:w="1687" w:type="dxa"/>
            <w:tcBorders>
              <w:top w:val="single" w:color="auto" w:sz="4" w:space="0"/>
              <w:left w:val="single" w:color="000000" w:sz="2" w:space="0"/>
              <w:bottom w:val="single" w:color="000000" w:sz="2"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废机油</w:t>
            </w:r>
          </w:p>
        </w:tc>
        <w:tc>
          <w:tcPr>
            <w:tcW w:w="1701" w:type="dxa"/>
            <w:tcBorders>
              <w:top w:val="single" w:color="auto" w:sz="4" w:space="0"/>
              <w:left w:val="single" w:color="000000" w:sz="2" w:space="0"/>
              <w:bottom w:val="single" w:color="auto" w:sz="4" w:space="0"/>
              <w:right w:val="single" w:color="000000" w:sz="2" w:space="0"/>
            </w:tcBorders>
            <w:vAlign w:val="center"/>
          </w:tcPr>
          <w:p>
            <w:pPr>
              <w:autoSpaceDE w:val="0"/>
              <w:autoSpaceDN w:val="0"/>
              <w:adjustRightInd w:val="0"/>
              <w:jc w:val="center"/>
              <w:rPr>
                <w:color w:val="000000"/>
                <w:kern w:val="0"/>
                <w:sz w:val="22"/>
              </w:rPr>
            </w:pPr>
            <w:r>
              <w:rPr>
                <w:color w:val="000000"/>
                <w:kern w:val="0"/>
                <w:sz w:val="22"/>
              </w:rPr>
              <w:t>900-249-08</w:t>
            </w:r>
          </w:p>
        </w:tc>
        <w:tc>
          <w:tcPr>
            <w:tcW w:w="2192" w:type="dxa"/>
            <w:vMerge w:val="continue"/>
            <w:tcBorders>
              <w:left w:val="single" w:color="000000" w:sz="4" w:space="0"/>
              <w:bottom w:val="single" w:color="auto" w:sz="4" w:space="0"/>
              <w:right w:val="single" w:color="000000" w:sz="4" w:space="0"/>
            </w:tcBorders>
            <w:vAlign w:val="center"/>
          </w:tcPr>
          <w:p>
            <w:pPr>
              <w:autoSpaceDE w:val="0"/>
              <w:autoSpaceDN w:val="0"/>
              <w:adjustRightInd w:val="0"/>
              <w:jc w:val="center"/>
              <w:rPr>
                <w:color w:val="000000"/>
                <w:kern w:val="0"/>
                <w:sz w:val="22"/>
              </w:rPr>
            </w:pPr>
          </w:p>
        </w:tc>
      </w:tr>
    </w:tbl>
    <w:p>
      <w:pPr>
        <w:pStyle w:val="120"/>
        <w:ind w:firstLine="0" w:firstLineChars="0"/>
        <w:rPr>
          <w:b/>
        </w:rPr>
      </w:pPr>
      <w:r>
        <w:rPr>
          <w:rFonts w:hint="eastAsia"/>
          <w:b/>
        </w:rPr>
        <w:t>3</w:t>
      </w:r>
      <w:r>
        <w:rPr>
          <w:b/>
        </w:rPr>
        <w:t>.4.</w:t>
      </w:r>
      <w:r>
        <w:rPr>
          <w:rFonts w:hint="eastAsia"/>
          <w:b/>
        </w:rPr>
        <w:t>2</w:t>
      </w:r>
      <w:r>
        <w:rPr>
          <w:b/>
        </w:rPr>
        <w:t>重大危险源辨识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（1）物质危险性识别</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百胜榨菜</w:t>
      </w:r>
      <w:r>
        <w:rPr>
          <w:rFonts w:hint="eastAsia" w:cs="仿宋_GB2312" w:asciiTheme="minorEastAsia" w:hAnsiTheme="minorEastAsia" w:eastAsiaTheme="minorEastAsia"/>
          <w:kern w:val="0"/>
          <w:sz w:val="24"/>
          <w:szCs w:val="24"/>
        </w:rPr>
        <w:t>污水处理厂突发环境事件风险评估报告》企业</w:t>
      </w:r>
      <w:r>
        <w:rPr>
          <w:rFonts w:cs="仿宋_GB2312" w:asciiTheme="minorEastAsia" w:hAnsiTheme="minorEastAsia" w:eastAsiaTheme="minorEastAsia"/>
          <w:kern w:val="0"/>
          <w:sz w:val="24"/>
          <w:szCs w:val="24"/>
        </w:rPr>
        <w:t>物质危险性识别见表3.4-</w:t>
      </w:r>
      <w:r>
        <w:rPr>
          <w:rFonts w:hint="eastAsia" w:cs="仿宋_GB2312" w:asciiTheme="minorEastAsia" w:hAnsiTheme="minorEastAsia" w:eastAsiaTheme="minorEastAsia"/>
          <w:kern w:val="0"/>
          <w:sz w:val="24"/>
          <w:szCs w:val="24"/>
        </w:rPr>
        <w:t>3</w:t>
      </w:r>
    </w:p>
    <w:p>
      <w:pPr>
        <w:ind w:firstLine="520" w:firstLineChars="200"/>
        <w:rPr>
          <w:sz w:val="26"/>
          <w:szCs w:val="26"/>
        </w:rPr>
      </w:pPr>
    </w:p>
    <w:p>
      <w:pPr>
        <w:spacing w:line="460" w:lineRule="exact"/>
        <w:ind w:firstLine="520" w:firstLineChars="200"/>
        <w:rPr>
          <w:sz w:val="26"/>
          <w:szCs w:val="26"/>
        </w:rPr>
      </w:pPr>
      <w:r>
        <w:rPr>
          <w:sz w:val="26"/>
          <w:szCs w:val="26"/>
        </w:rPr>
        <w:t>表3.4-</w:t>
      </w:r>
      <w:r>
        <w:rPr>
          <w:rFonts w:hint="eastAsia"/>
          <w:sz w:val="26"/>
          <w:szCs w:val="26"/>
        </w:rPr>
        <w:t>3</w:t>
      </w:r>
      <w:r>
        <w:rPr>
          <w:sz w:val="26"/>
          <w:szCs w:val="26"/>
        </w:rPr>
        <w:t xml:space="preserve">       </w:t>
      </w:r>
      <w:r>
        <w:rPr>
          <w:rFonts w:hint="eastAsia"/>
          <w:sz w:val="26"/>
          <w:szCs w:val="26"/>
        </w:rPr>
        <w:t xml:space="preserve">    企业</w:t>
      </w:r>
      <w:r>
        <w:rPr>
          <w:sz w:val="26"/>
          <w:szCs w:val="26"/>
        </w:rPr>
        <w:t>物质危险性识别表</w:t>
      </w:r>
    </w:p>
    <w:tbl>
      <w:tblPr>
        <w:tblStyle w:val="54"/>
        <w:tblW w:w="79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41"/>
        <w:gridCol w:w="1355"/>
        <w:gridCol w:w="1985"/>
        <w:gridCol w:w="992"/>
        <w:gridCol w:w="85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Align w:val="center"/>
          </w:tcPr>
          <w:p>
            <w:pPr>
              <w:jc w:val="center"/>
              <w:rPr>
                <w:sz w:val="22"/>
              </w:rPr>
            </w:pPr>
            <w:r>
              <w:rPr>
                <w:sz w:val="22"/>
              </w:rPr>
              <w:t>分类</w:t>
            </w:r>
          </w:p>
        </w:tc>
        <w:tc>
          <w:tcPr>
            <w:tcW w:w="1355" w:type="dxa"/>
            <w:vAlign w:val="center"/>
          </w:tcPr>
          <w:p>
            <w:pPr>
              <w:jc w:val="center"/>
              <w:rPr>
                <w:sz w:val="22"/>
              </w:rPr>
            </w:pPr>
            <w:r>
              <w:rPr>
                <w:sz w:val="22"/>
              </w:rPr>
              <w:t>名称</w:t>
            </w:r>
          </w:p>
        </w:tc>
        <w:tc>
          <w:tcPr>
            <w:tcW w:w="1985" w:type="dxa"/>
            <w:vAlign w:val="center"/>
          </w:tcPr>
          <w:p>
            <w:pPr>
              <w:jc w:val="center"/>
              <w:rPr>
                <w:sz w:val="22"/>
              </w:rPr>
            </w:pPr>
            <w:r>
              <w:rPr>
                <w:sz w:val="22"/>
              </w:rPr>
              <w:t>危险性类别</w:t>
            </w:r>
          </w:p>
        </w:tc>
        <w:tc>
          <w:tcPr>
            <w:tcW w:w="992" w:type="dxa"/>
            <w:vAlign w:val="center"/>
          </w:tcPr>
          <w:p>
            <w:pPr>
              <w:jc w:val="center"/>
              <w:rPr>
                <w:sz w:val="22"/>
              </w:rPr>
            </w:pPr>
            <w:r>
              <w:rPr>
                <w:sz w:val="22"/>
              </w:rPr>
              <w:t>腐蚀性</w:t>
            </w:r>
          </w:p>
        </w:tc>
        <w:tc>
          <w:tcPr>
            <w:tcW w:w="851" w:type="dxa"/>
            <w:vAlign w:val="center"/>
          </w:tcPr>
          <w:p>
            <w:pPr>
              <w:jc w:val="center"/>
              <w:rPr>
                <w:sz w:val="22"/>
              </w:rPr>
            </w:pPr>
            <w:r>
              <w:rPr>
                <w:sz w:val="22"/>
              </w:rPr>
              <w:t>毒性</w:t>
            </w:r>
          </w:p>
        </w:tc>
        <w:tc>
          <w:tcPr>
            <w:tcW w:w="1842" w:type="dxa"/>
            <w:vAlign w:val="center"/>
          </w:tcPr>
          <w:p>
            <w:pPr>
              <w:jc w:val="center"/>
              <w:rPr>
                <w:sz w:val="22"/>
              </w:rPr>
            </w:pPr>
            <w:r>
              <w:rPr>
                <w:sz w:val="22"/>
              </w:rPr>
              <w:t>是否为风险性物质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restart"/>
            <w:vAlign w:val="center"/>
          </w:tcPr>
          <w:p>
            <w:pPr>
              <w:jc w:val="center"/>
              <w:rPr>
                <w:sz w:val="22"/>
              </w:rPr>
            </w:pPr>
          </w:p>
        </w:tc>
        <w:tc>
          <w:tcPr>
            <w:tcW w:w="1355" w:type="dxa"/>
            <w:vAlign w:val="center"/>
          </w:tcPr>
          <w:p>
            <w:pPr>
              <w:jc w:val="center"/>
              <w:rPr>
                <w:sz w:val="22"/>
              </w:rPr>
            </w:pPr>
            <w:r>
              <w:rPr>
                <w:rFonts w:hint="eastAsia"/>
                <w:sz w:val="22"/>
              </w:rPr>
              <w:t>氢氧化钠</w:t>
            </w:r>
          </w:p>
        </w:tc>
        <w:tc>
          <w:tcPr>
            <w:tcW w:w="1985" w:type="dxa"/>
            <w:vAlign w:val="center"/>
          </w:tcPr>
          <w:p>
            <w:pPr>
              <w:jc w:val="center"/>
              <w:rPr>
                <w:sz w:val="22"/>
              </w:rPr>
            </w:pPr>
            <w:r>
              <w:rPr>
                <w:sz w:val="22"/>
              </w:rPr>
              <w:t>第8.</w:t>
            </w:r>
            <w:r>
              <w:rPr>
                <w:rFonts w:hint="eastAsia"/>
                <w:sz w:val="22"/>
              </w:rPr>
              <w:t>2</w:t>
            </w:r>
            <w:r>
              <w:rPr>
                <w:sz w:val="22"/>
              </w:rPr>
              <w:t>类</w:t>
            </w:r>
            <w:r>
              <w:rPr>
                <w:rFonts w:hint="eastAsia"/>
                <w:sz w:val="22"/>
              </w:rPr>
              <w:t>碱性</w:t>
            </w:r>
            <w:r>
              <w:rPr>
                <w:sz w:val="22"/>
              </w:rPr>
              <w:t>腐蚀品</w:t>
            </w:r>
          </w:p>
        </w:tc>
        <w:tc>
          <w:tcPr>
            <w:tcW w:w="992" w:type="dxa"/>
            <w:vAlign w:val="center"/>
          </w:tcPr>
          <w:p>
            <w:pPr>
              <w:jc w:val="center"/>
              <w:rPr>
                <w:sz w:val="22"/>
              </w:rPr>
            </w:pPr>
            <w:r>
              <w:rPr>
                <w:sz w:val="22"/>
              </w:rPr>
              <w:t>是</w:t>
            </w:r>
          </w:p>
        </w:tc>
        <w:tc>
          <w:tcPr>
            <w:tcW w:w="851" w:type="dxa"/>
            <w:vAlign w:val="center"/>
          </w:tcPr>
          <w:p>
            <w:pPr>
              <w:jc w:val="center"/>
              <w:rPr>
                <w:sz w:val="22"/>
              </w:rPr>
            </w:pPr>
            <w:r>
              <w:rPr>
                <w:sz w:val="22"/>
              </w:rPr>
              <w:t>否</w:t>
            </w:r>
          </w:p>
        </w:tc>
        <w:tc>
          <w:tcPr>
            <w:tcW w:w="1842" w:type="dxa"/>
            <w:vAlign w:val="center"/>
          </w:tcPr>
          <w:p>
            <w:pPr>
              <w:jc w:val="center"/>
              <w:rPr>
                <w:sz w:val="22"/>
              </w:rPr>
            </w:pPr>
            <w:r>
              <w:rPr>
                <w:sz w:val="22"/>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continue"/>
            <w:vAlign w:val="center"/>
          </w:tcPr>
          <w:p>
            <w:pPr>
              <w:jc w:val="center"/>
              <w:rPr>
                <w:sz w:val="22"/>
              </w:rPr>
            </w:pPr>
          </w:p>
        </w:tc>
        <w:tc>
          <w:tcPr>
            <w:tcW w:w="1355" w:type="dxa"/>
            <w:vAlign w:val="center"/>
          </w:tcPr>
          <w:p>
            <w:pPr>
              <w:jc w:val="center"/>
              <w:rPr>
                <w:sz w:val="22"/>
              </w:rPr>
            </w:pPr>
            <w:r>
              <w:rPr>
                <w:sz w:val="22"/>
              </w:rPr>
              <w:t>聚氯化铝</w:t>
            </w:r>
          </w:p>
        </w:tc>
        <w:tc>
          <w:tcPr>
            <w:tcW w:w="1985" w:type="dxa"/>
            <w:vAlign w:val="center"/>
          </w:tcPr>
          <w:p>
            <w:pPr>
              <w:jc w:val="center"/>
              <w:rPr>
                <w:sz w:val="22"/>
              </w:rPr>
            </w:pPr>
            <w:r>
              <w:rPr>
                <w:sz w:val="22"/>
              </w:rPr>
              <w:t>/</w:t>
            </w:r>
          </w:p>
        </w:tc>
        <w:tc>
          <w:tcPr>
            <w:tcW w:w="992" w:type="dxa"/>
            <w:vAlign w:val="center"/>
          </w:tcPr>
          <w:p>
            <w:pPr>
              <w:jc w:val="center"/>
              <w:rPr>
                <w:sz w:val="22"/>
              </w:rPr>
            </w:pPr>
            <w:r>
              <w:rPr>
                <w:sz w:val="22"/>
              </w:rPr>
              <w:t>是</w:t>
            </w:r>
          </w:p>
        </w:tc>
        <w:tc>
          <w:tcPr>
            <w:tcW w:w="851" w:type="dxa"/>
            <w:vAlign w:val="center"/>
          </w:tcPr>
          <w:p>
            <w:pPr>
              <w:jc w:val="center"/>
              <w:rPr>
                <w:sz w:val="22"/>
              </w:rPr>
            </w:pPr>
            <w:r>
              <w:rPr>
                <w:sz w:val="22"/>
              </w:rPr>
              <w:t>否</w:t>
            </w:r>
          </w:p>
        </w:tc>
        <w:tc>
          <w:tcPr>
            <w:tcW w:w="1842" w:type="dxa"/>
            <w:vAlign w:val="center"/>
          </w:tcPr>
          <w:p>
            <w:pPr>
              <w:jc w:val="center"/>
              <w:rPr>
                <w:sz w:val="22"/>
              </w:rPr>
            </w:pPr>
            <w:r>
              <w:rPr>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41" w:type="dxa"/>
            <w:vMerge w:val="continue"/>
            <w:vAlign w:val="center"/>
          </w:tcPr>
          <w:p>
            <w:pPr>
              <w:jc w:val="center"/>
              <w:rPr>
                <w:sz w:val="22"/>
              </w:rPr>
            </w:pPr>
          </w:p>
        </w:tc>
        <w:tc>
          <w:tcPr>
            <w:tcW w:w="1355" w:type="dxa"/>
            <w:vAlign w:val="center"/>
          </w:tcPr>
          <w:p>
            <w:pPr>
              <w:jc w:val="center"/>
              <w:rPr>
                <w:color w:val="000000"/>
                <w:sz w:val="22"/>
              </w:rPr>
            </w:pPr>
            <w:r>
              <w:rPr>
                <w:color w:val="000000"/>
                <w:sz w:val="22"/>
              </w:rPr>
              <w:t>聚丙烯酰胺</w:t>
            </w:r>
          </w:p>
        </w:tc>
        <w:tc>
          <w:tcPr>
            <w:tcW w:w="1985" w:type="dxa"/>
            <w:vAlign w:val="center"/>
          </w:tcPr>
          <w:p>
            <w:pPr>
              <w:jc w:val="center"/>
              <w:rPr>
                <w:color w:val="000000"/>
                <w:sz w:val="22"/>
              </w:rPr>
            </w:pPr>
            <w:r>
              <w:rPr>
                <w:color w:val="000000"/>
                <w:sz w:val="22"/>
              </w:rPr>
              <w:t>/</w:t>
            </w:r>
          </w:p>
        </w:tc>
        <w:tc>
          <w:tcPr>
            <w:tcW w:w="992" w:type="dxa"/>
            <w:vAlign w:val="center"/>
          </w:tcPr>
          <w:p>
            <w:pPr>
              <w:jc w:val="center"/>
              <w:rPr>
                <w:color w:val="000000"/>
                <w:sz w:val="22"/>
              </w:rPr>
            </w:pPr>
            <w:r>
              <w:rPr>
                <w:color w:val="000000"/>
                <w:sz w:val="22"/>
              </w:rPr>
              <w:t>是</w:t>
            </w:r>
          </w:p>
        </w:tc>
        <w:tc>
          <w:tcPr>
            <w:tcW w:w="851" w:type="dxa"/>
            <w:vAlign w:val="center"/>
          </w:tcPr>
          <w:p>
            <w:pPr>
              <w:jc w:val="center"/>
              <w:rPr>
                <w:color w:val="000000"/>
                <w:sz w:val="22"/>
              </w:rPr>
            </w:pPr>
            <w:r>
              <w:rPr>
                <w:color w:val="000000"/>
                <w:sz w:val="22"/>
              </w:rPr>
              <w:t>否</w:t>
            </w:r>
          </w:p>
        </w:tc>
        <w:tc>
          <w:tcPr>
            <w:tcW w:w="1842" w:type="dxa"/>
            <w:vAlign w:val="center"/>
          </w:tcPr>
          <w:p>
            <w:pPr>
              <w:jc w:val="center"/>
              <w:rPr>
                <w:color w:val="000000"/>
                <w:sz w:val="22"/>
              </w:rPr>
            </w:pPr>
            <w:r>
              <w:rPr>
                <w:color w:val="000000"/>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Align w:val="center"/>
          </w:tcPr>
          <w:p>
            <w:pPr>
              <w:jc w:val="center"/>
              <w:rPr>
                <w:sz w:val="22"/>
              </w:rPr>
            </w:pPr>
            <w:r>
              <w:rPr>
                <w:sz w:val="22"/>
              </w:rPr>
              <w:t>产品</w:t>
            </w:r>
          </w:p>
        </w:tc>
        <w:tc>
          <w:tcPr>
            <w:tcW w:w="1355" w:type="dxa"/>
            <w:vAlign w:val="center"/>
          </w:tcPr>
          <w:p>
            <w:pPr>
              <w:jc w:val="center"/>
              <w:rPr>
                <w:sz w:val="22"/>
              </w:rPr>
            </w:pPr>
            <w:r>
              <w:rPr>
                <w:sz w:val="22"/>
              </w:rPr>
              <w:t>生活污水</w:t>
            </w:r>
          </w:p>
        </w:tc>
        <w:tc>
          <w:tcPr>
            <w:tcW w:w="1985" w:type="dxa"/>
            <w:vAlign w:val="center"/>
          </w:tcPr>
          <w:p>
            <w:pPr>
              <w:jc w:val="center"/>
              <w:rPr>
                <w:sz w:val="22"/>
              </w:rPr>
            </w:pPr>
            <w:r>
              <w:rPr>
                <w:sz w:val="22"/>
              </w:rPr>
              <w:t>/</w:t>
            </w:r>
          </w:p>
        </w:tc>
        <w:tc>
          <w:tcPr>
            <w:tcW w:w="992" w:type="dxa"/>
            <w:vAlign w:val="center"/>
          </w:tcPr>
          <w:p>
            <w:pPr>
              <w:jc w:val="center"/>
              <w:rPr>
                <w:sz w:val="22"/>
              </w:rPr>
            </w:pPr>
            <w:r>
              <w:rPr>
                <w:sz w:val="22"/>
              </w:rPr>
              <w:t>/</w:t>
            </w:r>
          </w:p>
        </w:tc>
        <w:tc>
          <w:tcPr>
            <w:tcW w:w="851" w:type="dxa"/>
            <w:vAlign w:val="center"/>
          </w:tcPr>
          <w:p>
            <w:pPr>
              <w:jc w:val="center"/>
              <w:rPr>
                <w:sz w:val="22"/>
              </w:rPr>
            </w:pPr>
            <w:r>
              <w:rPr>
                <w:sz w:val="22"/>
              </w:rPr>
              <w:t>/</w:t>
            </w:r>
          </w:p>
        </w:tc>
        <w:tc>
          <w:tcPr>
            <w:tcW w:w="1842" w:type="dxa"/>
            <w:vAlign w:val="center"/>
          </w:tcPr>
          <w:p>
            <w:pPr>
              <w:jc w:val="center"/>
              <w:rPr>
                <w:sz w:val="22"/>
              </w:rPr>
            </w:pPr>
            <w:r>
              <w:rPr>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restart"/>
            <w:vAlign w:val="center"/>
          </w:tcPr>
          <w:p>
            <w:pPr>
              <w:jc w:val="center"/>
              <w:rPr>
                <w:sz w:val="22"/>
              </w:rPr>
            </w:pPr>
            <w:r>
              <w:rPr>
                <w:sz w:val="22"/>
              </w:rPr>
              <w:t>三废</w:t>
            </w:r>
          </w:p>
        </w:tc>
        <w:tc>
          <w:tcPr>
            <w:tcW w:w="1355" w:type="dxa"/>
            <w:vAlign w:val="center"/>
          </w:tcPr>
          <w:p>
            <w:pPr>
              <w:jc w:val="center"/>
              <w:rPr>
                <w:sz w:val="22"/>
              </w:rPr>
            </w:pPr>
            <w:r>
              <w:rPr>
                <w:sz w:val="22"/>
              </w:rPr>
              <w:t>活性污泥</w:t>
            </w:r>
          </w:p>
        </w:tc>
        <w:tc>
          <w:tcPr>
            <w:tcW w:w="1985" w:type="dxa"/>
            <w:vAlign w:val="center"/>
          </w:tcPr>
          <w:p>
            <w:pPr>
              <w:jc w:val="center"/>
              <w:rPr>
                <w:sz w:val="22"/>
              </w:rPr>
            </w:pPr>
            <w:r>
              <w:rPr>
                <w:sz w:val="22"/>
              </w:rPr>
              <w:t>生产废物</w:t>
            </w:r>
          </w:p>
        </w:tc>
        <w:tc>
          <w:tcPr>
            <w:tcW w:w="992" w:type="dxa"/>
            <w:vAlign w:val="center"/>
          </w:tcPr>
          <w:p>
            <w:pPr>
              <w:jc w:val="center"/>
              <w:rPr>
                <w:sz w:val="22"/>
              </w:rPr>
            </w:pPr>
            <w:r>
              <w:rPr>
                <w:sz w:val="22"/>
              </w:rPr>
              <w:t>/</w:t>
            </w:r>
          </w:p>
        </w:tc>
        <w:tc>
          <w:tcPr>
            <w:tcW w:w="851" w:type="dxa"/>
            <w:vAlign w:val="center"/>
          </w:tcPr>
          <w:p>
            <w:pPr>
              <w:jc w:val="center"/>
              <w:rPr>
                <w:sz w:val="22"/>
              </w:rPr>
            </w:pPr>
            <w:r>
              <w:rPr>
                <w:sz w:val="22"/>
              </w:rPr>
              <w:t>/</w:t>
            </w:r>
          </w:p>
        </w:tc>
        <w:tc>
          <w:tcPr>
            <w:tcW w:w="1842" w:type="dxa"/>
            <w:vAlign w:val="center"/>
          </w:tcPr>
          <w:p>
            <w:pPr>
              <w:jc w:val="center"/>
              <w:rPr>
                <w:sz w:val="22"/>
              </w:rPr>
            </w:pPr>
            <w:r>
              <w:rPr>
                <w:sz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jc w:val="center"/>
        </w:trPr>
        <w:tc>
          <w:tcPr>
            <w:tcW w:w="941" w:type="dxa"/>
            <w:vMerge w:val="continue"/>
            <w:vAlign w:val="center"/>
          </w:tcPr>
          <w:p>
            <w:pPr>
              <w:jc w:val="center"/>
              <w:rPr>
                <w:sz w:val="22"/>
              </w:rPr>
            </w:pPr>
          </w:p>
        </w:tc>
        <w:tc>
          <w:tcPr>
            <w:tcW w:w="1355" w:type="dxa"/>
            <w:vAlign w:val="center"/>
          </w:tcPr>
          <w:p>
            <w:pPr>
              <w:jc w:val="center"/>
              <w:rPr>
                <w:sz w:val="22"/>
              </w:rPr>
            </w:pPr>
            <w:r>
              <w:rPr>
                <w:sz w:val="22"/>
              </w:rPr>
              <w:t>废机油</w:t>
            </w:r>
          </w:p>
        </w:tc>
        <w:tc>
          <w:tcPr>
            <w:tcW w:w="1985" w:type="dxa"/>
            <w:vAlign w:val="center"/>
          </w:tcPr>
          <w:p>
            <w:pPr>
              <w:jc w:val="center"/>
              <w:rPr>
                <w:sz w:val="22"/>
              </w:rPr>
            </w:pPr>
            <w:r>
              <w:rPr>
                <w:sz w:val="22"/>
              </w:rPr>
              <w:t>/</w:t>
            </w:r>
          </w:p>
        </w:tc>
        <w:tc>
          <w:tcPr>
            <w:tcW w:w="992" w:type="dxa"/>
            <w:vAlign w:val="center"/>
          </w:tcPr>
          <w:p>
            <w:pPr>
              <w:jc w:val="center"/>
              <w:rPr>
                <w:sz w:val="22"/>
              </w:rPr>
            </w:pPr>
          </w:p>
        </w:tc>
        <w:tc>
          <w:tcPr>
            <w:tcW w:w="851" w:type="dxa"/>
            <w:vAlign w:val="center"/>
          </w:tcPr>
          <w:p>
            <w:pPr>
              <w:jc w:val="center"/>
              <w:rPr>
                <w:sz w:val="22"/>
              </w:rPr>
            </w:pPr>
          </w:p>
        </w:tc>
        <w:tc>
          <w:tcPr>
            <w:tcW w:w="1842" w:type="dxa"/>
            <w:vAlign w:val="center"/>
          </w:tcPr>
          <w:p>
            <w:pPr>
              <w:jc w:val="center"/>
              <w:rPr>
                <w:sz w:val="22"/>
              </w:rPr>
            </w:pPr>
            <w:r>
              <w:rPr>
                <w:sz w:val="22"/>
              </w:rPr>
              <w:t>是</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由上表可知重庆市涪陵区拓源污水治理有限公司</w:t>
      </w:r>
      <w:r>
        <w:rPr>
          <w:rFonts w:hint="eastAsia" w:cs="仿宋_GB2312" w:asciiTheme="minorEastAsia" w:hAnsiTheme="minorEastAsia" w:eastAsiaTheme="minorEastAsia"/>
          <w:kern w:val="0"/>
          <w:sz w:val="24"/>
        </w:rPr>
        <w:t>百胜榨菜</w:t>
      </w:r>
      <w:r>
        <w:rPr>
          <w:rFonts w:hint="eastAsia" w:cs="仿宋_GB2312" w:asciiTheme="minorEastAsia" w:hAnsiTheme="minorEastAsia" w:eastAsiaTheme="minorEastAsia"/>
          <w:kern w:val="0"/>
          <w:sz w:val="24"/>
          <w:szCs w:val="24"/>
        </w:rPr>
        <w:t>污水处理厂</w:t>
      </w:r>
      <w:r>
        <w:rPr>
          <w:rFonts w:cs="仿宋_GB2312" w:asciiTheme="minorEastAsia" w:hAnsiTheme="minorEastAsia" w:eastAsiaTheme="minorEastAsia"/>
          <w:kern w:val="0"/>
          <w:sz w:val="24"/>
          <w:szCs w:val="24"/>
        </w:rPr>
        <w:t>使用原辅材料、产品及“三废”中属于环境风险物质的是</w:t>
      </w:r>
      <w:r>
        <w:rPr>
          <w:rFonts w:hint="eastAsia" w:cs="仿宋_GB2312" w:asciiTheme="minorEastAsia" w:hAnsiTheme="minorEastAsia" w:eastAsiaTheme="minorEastAsia"/>
          <w:kern w:val="0"/>
          <w:sz w:val="24"/>
          <w:szCs w:val="24"/>
        </w:rPr>
        <w:t>氢氧化钠、</w:t>
      </w:r>
      <w:r>
        <w:rPr>
          <w:rFonts w:cs="仿宋_GB2312" w:asciiTheme="minorEastAsia" w:hAnsiTheme="minorEastAsia" w:eastAsiaTheme="minorEastAsia"/>
          <w:kern w:val="0"/>
          <w:sz w:val="24"/>
          <w:szCs w:val="24"/>
        </w:rPr>
        <w:t>废机油等。</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（2）重大危险源辨识</w:t>
      </w:r>
    </w:p>
    <w:p>
      <w:pPr>
        <w:spacing w:line="460" w:lineRule="exact"/>
        <w:ind w:firstLine="480" w:firstLineChars="200"/>
        <w:jc w:val="left"/>
        <w:rPr>
          <w:rFonts w:cs="仿宋_GB2312" w:asciiTheme="minorEastAsia" w:hAnsiTheme="minorEastAsia" w:eastAsiaTheme="minorEastAsia"/>
          <w:kern w:val="0"/>
          <w:sz w:val="24"/>
          <w:szCs w:val="24"/>
        </w:rPr>
      </w:pPr>
      <w:bookmarkStart w:id="170" w:name="_Toc246994508"/>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rPr>
        <w:t>百胜榨菜榨菜污水</w:t>
      </w:r>
      <w:r>
        <w:rPr>
          <w:rFonts w:hint="eastAsia" w:cs="仿宋_GB2312" w:asciiTheme="minorEastAsia" w:hAnsiTheme="minorEastAsia" w:eastAsiaTheme="minorEastAsia"/>
          <w:kern w:val="0"/>
          <w:sz w:val="24"/>
          <w:szCs w:val="24"/>
        </w:rPr>
        <w:t>处理厂突发环境事件风险评估报告》</w:t>
      </w:r>
      <w:r>
        <w:rPr>
          <w:rFonts w:cs="仿宋_GB2312" w:asciiTheme="minorEastAsia" w:hAnsiTheme="minorEastAsia" w:eastAsiaTheme="minorEastAsia"/>
          <w:kern w:val="0"/>
          <w:sz w:val="24"/>
          <w:szCs w:val="24"/>
        </w:rPr>
        <w:t>企业厂区内所有环境风险物质与《建设项目环境风险评价技术导则（HJ/T169-2004）》（附录2有毒物质名称及临界量）对照情况见表3.4</w:t>
      </w:r>
      <w:r>
        <w:rPr>
          <w:rFonts w:hint="eastAsia" w:cs="仿宋_GB2312" w:asciiTheme="minorEastAsia" w:hAnsiTheme="minorEastAsia" w:eastAsiaTheme="minorEastAsia"/>
          <w:kern w:val="0"/>
          <w:sz w:val="24"/>
          <w:szCs w:val="24"/>
        </w:rPr>
        <w:t>-4。</w:t>
      </w:r>
    </w:p>
    <w:p>
      <w:pPr>
        <w:pStyle w:val="193"/>
        <w:spacing w:line="460" w:lineRule="exact"/>
        <w:rPr>
          <w:rFonts w:ascii="仿宋_GB2312"/>
          <w:color w:val="FF0000"/>
        </w:rPr>
      </w:pPr>
      <w:r>
        <w:rPr>
          <w:rFonts w:ascii="仿宋_GB2312"/>
        </w:rPr>
        <w:t>3.4</w:t>
      </w:r>
      <w:r>
        <w:rPr>
          <w:rFonts w:hint="eastAsia" w:ascii="仿宋_GB2312"/>
        </w:rPr>
        <w:t>-4 危险化学品储存情况一览表</w:t>
      </w:r>
    </w:p>
    <w:tbl>
      <w:tblPr>
        <w:tblStyle w:val="54"/>
        <w:tblW w:w="9214" w:type="dxa"/>
        <w:tblInd w:w="-34" w:type="dxa"/>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992"/>
        <w:gridCol w:w="1276"/>
        <w:gridCol w:w="1701"/>
        <w:gridCol w:w="1417"/>
      </w:tblGrid>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709" w:type="dxa"/>
            <w:tcBorders>
              <w:top w:val="thinThickSmallGap" w:color="auto" w:sz="24" w:space="0"/>
            </w:tcBorders>
            <w:vAlign w:val="center"/>
          </w:tcPr>
          <w:p>
            <w:pPr>
              <w:pStyle w:val="193"/>
              <w:rPr>
                <w:rFonts w:ascii="仿宋_GB2312"/>
                <w:kern w:val="2"/>
                <w:szCs w:val="22"/>
              </w:rPr>
            </w:pPr>
            <w:r>
              <w:rPr>
                <w:rFonts w:hint="eastAsia" w:ascii="仿宋_GB2312"/>
                <w:kern w:val="2"/>
                <w:szCs w:val="22"/>
              </w:rPr>
              <w:t>序号</w:t>
            </w:r>
          </w:p>
        </w:tc>
        <w:tc>
          <w:tcPr>
            <w:tcW w:w="1276" w:type="dxa"/>
            <w:tcBorders>
              <w:top w:val="thinThickSmallGap" w:color="auto" w:sz="24" w:space="0"/>
            </w:tcBorders>
            <w:vAlign w:val="center"/>
          </w:tcPr>
          <w:p>
            <w:pPr>
              <w:spacing w:line="240" w:lineRule="exact"/>
              <w:rPr>
                <w:rFonts w:ascii="仿宋_GB2312"/>
                <w:szCs w:val="21"/>
              </w:rPr>
            </w:pPr>
            <w:r>
              <w:rPr>
                <w:rFonts w:hint="eastAsia" w:ascii="仿宋_GB2312"/>
                <w:szCs w:val="21"/>
              </w:rPr>
              <w:t>物质名称</w:t>
            </w:r>
          </w:p>
        </w:tc>
        <w:tc>
          <w:tcPr>
            <w:tcW w:w="1843" w:type="dxa"/>
            <w:tcBorders>
              <w:top w:val="thinThickSmallGap" w:color="auto" w:sz="24" w:space="0"/>
            </w:tcBorders>
            <w:vAlign w:val="center"/>
          </w:tcPr>
          <w:p>
            <w:pPr>
              <w:pStyle w:val="193"/>
              <w:rPr>
                <w:rFonts w:ascii="仿宋_GB2312"/>
                <w:kern w:val="2"/>
                <w:szCs w:val="21"/>
              </w:rPr>
            </w:pPr>
            <w:r>
              <w:rPr>
                <w:rFonts w:hint="eastAsia" w:ascii="仿宋_GB2312"/>
                <w:bCs/>
                <w:caps/>
                <w:kern w:val="2"/>
                <w:szCs w:val="21"/>
              </w:rPr>
              <w:t>所属类别</w:t>
            </w:r>
          </w:p>
        </w:tc>
        <w:tc>
          <w:tcPr>
            <w:tcW w:w="992" w:type="dxa"/>
            <w:tcBorders>
              <w:top w:val="thinThickSmallGap" w:color="auto" w:sz="24" w:space="0"/>
            </w:tcBorders>
            <w:vAlign w:val="center"/>
          </w:tcPr>
          <w:p>
            <w:pPr>
              <w:pStyle w:val="193"/>
              <w:rPr>
                <w:rFonts w:ascii="仿宋_GB2312"/>
                <w:kern w:val="2"/>
                <w:szCs w:val="21"/>
              </w:rPr>
            </w:pPr>
            <w:r>
              <w:rPr>
                <w:rFonts w:hint="eastAsia" w:ascii="仿宋_GB2312"/>
                <w:kern w:val="2"/>
                <w:szCs w:val="22"/>
              </w:rPr>
              <w:t>临界量</w:t>
            </w:r>
          </w:p>
        </w:tc>
        <w:tc>
          <w:tcPr>
            <w:tcW w:w="1276" w:type="dxa"/>
            <w:tcBorders>
              <w:top w:val="thinThickSmallGap" w:color="auto" w:sz="24" w:space="0"/>
            </w:tcBorders>
            <w:vAlign w:val="center"/>
          </w:tcPr>
          <w:p>
            <w:pPr>
              <w:pStyle w:val="193"/>
              <w:rPr>
                <w:rFonts w:ascii="仿宋_GB2312"/>
                <w:kern w:val="2"/>
                <w:szCs w:val="22"/>
              </w:rPr>
            </w:pPr>
            <w:r>
              <w:rPr>
                <w:rFonts w:hint="eastAsia" w:ascii="仿宋_GB2312"/>
                <w:kern w:val="2"/>
                <w:szCs w:val="22"/>
              </w:rPr>
              <w:t>实际最</w:t>
            </w:r>
          </w:p>
          <w:p>
            <w:pPr>
              <w:pStyle w:val="193"/>
              <w:rPr>
                <w:rFonts w:ascii="仿宋_GB2312"/>
                <w:kern w:val="2"/>
                <w:szCs w:val="21"/>
              </w:rPr>
            </w:pPr>
            <w:r>
              <w:rPr>
                <w:rFonts w:hint="eastAsia" w:ascii="仿宋_GB2312"/>
                <w:kern w:val="2"/>
                <w:szCs w:val="22"/>
              </w:rPr>
              <w:t>大贮量</w:t>
            </w:r>
          </w:p>
        </w:tc>
        <w:tc>
          <w:tcPr>
            <w:tcW w:w="1701" w:type="dxa"/>
            <w:tcBorders>
              <w:top w:val="thinThickSmallGap" w:color="auto" w:sz="24" w:space="0"/>
            </w:tcBorders>
            <w:vAlign w:val="center"/>
          </w:tcPr>
          <w:p>
            <w:pPr>
              <w:pStyle w:val="193"/>
              <w:rPr>
                <w:rFonts w:ascii="仿宋_GB2312"/>
                <w:kern w:val="2"/>
                <w:szCs w:val="21"/>
              </w:rPr>
            </w:pPr>
            <w:r>
              <w:rPr>
                <w:rFonts w:hint="eastAsia" w:ascii="仿宋_GB2312"/>
                <w:bCs/>
                <w:caps/>
                <w:kern w:val="2"/>
                <w:szCs w:val="21"/>
              </w:rPr>
              <w:t>辨识依据</w:t>
            </w:r>
          </w:p>
        </w:tc>
        <w:tc>
          <w:tcPr>
            <w:tcW w:w="1417" w:type="dxa"/>
            <w:tcBorders>
              <w:top w:val="thinThickSmallGap" w:color="auto" w:sz="24" w:space="0"/>
            </w:tcBorders>
            <w:vAlign w:val="center"/>
          </w:tcPr>
          <w:p>
            <w:pPr>
              <w:pStyle w:val="193"/>
              <w:rPr>
                <w:rFonts w:ascii="仿宋_GB2312"/>
                <w:kern w:val="2"/>
                <w:szCs w:val="21"/>
              </w:rPr>
            </w:pPr>
            <w:r>
              <w:rPr>
                <w:rFonts w:hint="eastAsia" w:ascii="仿宋_GB2312"/>
                <w:kern w:val="2"/>
                <w:szCs w:val="22"/>
              </w:rPr>
              <w:t>是否构成重大危险源</w:t>
            </w:r>
          </w:p>
        </w:tc>
      </w:tr>
      <w:tr>
        <w:tblPrEx>
          <w:tblBorders>
            <w:top w:val="thinThickSmallGap" w:color="auto" w:sz="24" w:space="0"/>
            <w:left w:val="thinThickSmallGap" w:color="auto" w:sz="24" w:space="0"/>
            <w:bottom w:val="thinThickSmallGap" w:color="auto" w:sz="24" w:space="0"/>
            <w:right w:val="thinThickSmallGap" w:color="auto" w:sz="2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709" w:type="dxa"/>
            <w:vAlign w:val="center"/>
          </w:tcPr>
          <w:p>
            <w:pPr>
              <w:pStyle w:val="193"/>
              <w:rPr>
                <w:rFonts w:ascii="仿宋_GB2312"/>
                <w:kern w:val="2"/>
                <w:szCs w:val="22"/>
              </w:rPr>
            </w:pPr>
            <w:r>
              <w:rPr>
                <w:rFonts w:hint="eastAsia" w:ascii="仿宋_GB2312"/>
                <w:kern w:val="2"/>
                <w:szCs w:val="22"/>
              </w:rPr>
              <w:t>1</w:t>
            </w:r>
          </w:p>
        </w:tc>
        <w:tc>
          <w:tcPr>
            <w:tcW w:w="1276" w:type="dxa"/>
            <w:vAlign w:val="center"/>
          </w:tcPr>
          <w:p>
            <w:pPr>
              <w:pStyle w:val="193"/>
              <w:rPr>
                <w:rFonts w:ascii="仿宋_GB2312"/>
                <w:kern w:val="2"/>
                <w:szCs w:val="21"/>
              </w:rPr>
            </w:pPr>
            <w:r>
              <w:rPr>
                <w:rFonts w:hint="eastAsia" w:ascii="仿宋_GB2312"/>
                <w:kern w:val="2"/>
                <w:szCs w:val="21"/>
              </w:rPr>
              <w:t>氢氧化钠</w:t>
            </w:r>
          </w:p>
        </w:tc>
        <w:tc>
          <w:tcPr>
            <w:tcW w:w="1843" w:type="dxa"/>
            <w:vAlign w:val="center"/>
          </w:tcPr>
          <w:p>
            <w:pPr>
              <w:pStyle w:val="193"/>
              <w:rPr>
                <w:rFonts w:hint="eastAsia" w:ascii="仿宋_GB2312"/>
                <w:bCs/>
                <w:caps/>
                <w:kern w:val="2"/>
                <w:szCs w:val="21"/>
              </w:rPr>
            </w:pPr>
            <w:r>
              <w:rPr>
                <w:rFonts w:hint="eastAsia" w:ascii="仿宋_GB2312"/>
                <w:bCs/>
                <w:caps/>
                <w:kern w:val="2"/>
                <w:szCs w:val="21"/>
              </w:rPr>
              <w:t>第8.2类碱</w:t>
            </w:r>
          </w:p>
          <w:p>
            <w:pPr>
              <w:pStyle w:val="193"/>
              <w:rPr>
                <w:rFonts w:ascii="仿宋_GB2312"/>
                <w:kern w:val="2"/>
                <w:szCs w:val="21"/>
              </w:rPr>
            </w:pPr>
            <w:r>
              <w:rPr>
                <w:rFonts w:hint="eastAsia" w:ascii="仿宋_GB2312"/>
                <w:bCs/>
                <w:caps/>
                <w:kern w:val="2"/>
                <w:szCs w:val="21"/>
              </w:rPr>
              <w:t>性腐蚀品</w:t>
            </w:r>
          </w:p>
        </w:tc>
        <w:tc>
          <w:tcPr>
            <w:tcW w:w="992" w:type="dxa"/>
            <w:vAlign w:val="center"/>
          </w:tcPr>
          <w:p>
            <w:pPr>
              <w:pStyle w:val="193"/>
              <w:rPr>
                <w:rFonts w:ascii="仿宋_GB2312"/>
                <w:kern w:val="2"/>
              </w:rPr>
            </w:pPr>
            <w:r>
              <w:rPr>
                <w:rFonts w:hint="eastAsia" w:ascii="仿宋_GB2312"/>
                <w:kern w:val="2"/>
              </w:rPr>
              <w:t>50t</w:t>
            </w:r>
          </w:p>
        </w:tc>
        <w:tc>
          <w:tcPr>
            <w:tcW w:w="1276" w:type="dxa"/>
            <w:vAlign w:val="center"/>
          </w:tcPr>
          <w:p>
            <w:pPr>
              <w:pStyle w:val="193"/>
              <w:rPr>
                <w:rFonts w:ascii="仿宋_GB2312"/>
                <w:kern w:val="2"/>
              </w:rPr>
            </w:pPr>
            <w:r>
              <w:rPr>
                <w:rFonts w:hint="eastAsia" w:ascii="仿宋_GB2312"/>
                <w:kern w:val="2"/>
              </w:rPr>
              <w:t>2t</w:t>
            </w:r>
          </w:p>
        </w:tc>
        <w:tc>
          <w:tcPr>
            <w:tcW w:w="1701" w:type="dxa"/>
            <w:vAlign w:val="center"/>
          </w:tcPr>
          <w:p>
            <w:pPr>
              <w:pStyle w:val="193"/>
              <w:rPr>
                <w:rFonts w:ascii="仿宋_GB2312"/>
                <w:kern w:val="2"/>
                <w:szCs w:val="21"/>
              </w:rPr>
            </w:pPr>
            <w:r>
              <w:rPr>
                <w:rFonts w:hint="eastAsia" w:ascii="仿宋_GB2312"/>
                <w:bCs/>
                <w:caps/>
                <w:kern w:val="2"/>
                <w:szCs w:val="21"/>
              </w:rPr>
              <w:t>危险化学品名录》（2002版）</w:t>
            </w:r>
          </w:p>
        </w:tc>
        <w:tc>
          <w:tcPr>
            <w:tcW w:w="1417" w:type="dxa"/>
            <w:vAlign w:val="center"/>
          </w:tcPr>
          <w:p>
            <w:pPr>
              <w:jc w:val="center"/>
              <w:rPr>
                <w:rFonts w:ascii="仿宋_GB2312"/>
                <w:szCs w:val="21"/>
              </w:rPr>
            </w:pPr>
            <w:r>
              <w:rPr>
                <w:rFonts w:hint="eastAsia" w:ascii="仿宋_GB2312"/>
                <w:szCs w:val="21"/>
              </w:rPr>
              <w:t>否</w:t>
            </w:r>
          </w:p>
        </w:tc>
      </w:tr>
    </w:tbl>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*代表该种物质临界量确定参考了 GB18218-2014中氧化性物质。**代表该物质临界量参考了《突发环境事件风险物质及临界量清单》有毒物质临界量。本项目氢氧化钠不构成重大危险源。</w:t>
      </w:r>
    </w:p>
    <w:p>
      <w:pPr>
        <w:pStyle w:val="120"/>
        <w:ind w:firstLine="0" w:firstLineChars="0"/>
        <w:rPr>
          <w:b/>
        </w:rPr>
      </w:pPr>
      <w:bookmarkStart w:id="171" w:name="_Toc458674261"/>
      <w:r>
        <w:rPr>
          <w:rFonts w:hint="eastAsia"/>
          <w:b/>
        </w:rPr>
        <w:t>3</w:t>
      </w:r>
      <w:r>
        <w:rPr>
          <w:b/>
        </w:rPr>
        <w:t>.4.</w:t>
      </w:r>
      <w:r>
        <w:rPr>
          <w:rFonts w:hint="eastAsia"/>
          <w:b/>
        </w:rPr>
        <w:t>3</w:t>
      </w:r>
      <w:r>
        <w:rPr>
          <w:b/>
        </w:rPr>
        <w:t>最大可信事故</w:t>
      </w:r>
      <w:bookmarkEnd w:id="170"/>
      <w:bookmarkEnd w:id="171"/>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最大可信事故是指在所有预测的概率不为零的事故中，对环境（健康）危害最严重的重大事故。其目的是针对典型事故进行环境风险分析，并不意味着其他事故不具环境风险。在项目的生产、贮存、运输等过程中，存在许多事故风险因素，风险评价不可能面面俱到，只能尽可能考虑对环境危害最大的事故风险。</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百胜榨菜污水处理厂</w:t>
      </w:r>
      <w:r>
        <w:rPr>
          <w:rFonts w:cs="仿宋_GB2312" w:asciiTheme="minorEastAsia" w:hAnsiTheme="minorEastAsia" w:eastAsiaTheme="minorEastAsia"/>
          <w:kern w:val="0"/>
          <w:sz w:val="24"/>
          <w:szCs w:val="24"/>
        </w:rPr>
        <w:t>最主要的危险单元为</w:t>
      </w:r>
      <w:r>
        <w:rPr>
          <w:rFonts w:hint="eastAsia" w:cs="仿宋_GB2312" w:asciiTheme="minorEastAsia" w:hAnsiTheme="minorEastAsia" w:eastAsiaTheme="minorEastAsia"/>
          <w:kern w:val="0"/>
          <w:sz w:val="24"/>
          <w:szCs w:val="24"/>
        </w:rPr>
        <w:t>氢氧化钠加药间和污水处理设施</w:t>
      </w:r>
      <w:r>
        <w:rPr>
          <w:rFonts w:cs="仿宋_GB2312" w:asciiTheme="minorEastAsia" w:hAnsiTheme="minorEastAsia" w:eastAsiaTheme="minorEastAsia"/>
          <w:kern w:val="0"/>
          <w:sz w:val="24"/>
          <w:szCs w:val="24"/>
        </w:rPr>
        <w:t>，因此最大可信事故为</w:t>
      </w:r>
      <w:r>
        <w:rPr>
          <w:rFonts w:hint="eastAsia" w:cs="仿宋_GB2312" w:asciiTheme="minorEastAsia" w:hAnsiTheme="minorEastAsia" w:eastAsiaTheme="minorEastAsia"/>
          <w:kern w:val="0"/>
          <w:sz w:val="24"/>
          <w:szCs w:val="24"/>
        </w:rPr>
        <w:t>氢氧化钠遇水放热发生</w:t>
      </w:r>
      <w:r>
        <w:rPr>
          <w:rFonts w:cs="仿宋_GB2312" w:asciiTheme="minorEastAsia" w:hAnsiTheme="minorEastAsia" w:eastAsiaTheme="minorEastAsia"/>
          <w:kern w:val="0"/>
          <w:sz w:val="24"/>
          <w:szCs w:val="24"/>
        </w:rPr>
        <w:t>泄漏</w:t>
      </w:r>
      <w:r>
        <w:rPr>
          <w:rFonts w:hint="eastAsia" w:cs="仿宋_GB2312" w:asciiTheme="minorEastAsia" w:hAnsiTheme="minorEastAsia" w:eastAsiaTheme="minorEastAsia"/>
          <w:kern w:val="0"/>
          <w:sz w:val="24"/>
          <w:szCs w:val="24"/>
        </w:rPr>
        <w:t>、污水直接排放到地表水体、污水经处理后未达标排入地表水体；</w:t>
      </w:r>
      <w:r>
        <w:rPr>
          <w:rFonts w:cs="仿宋_GB2312" w:asciiTheme="minorEastAsia" w:hAnsiTheme="minorEastAsia" w:eastAsiaTheme="minorEastAsia"/>
          <w:kern w:val="0"/>
          <w:sz w:val="24"/>
          <w:szCs w:val="24"/>
        </w:rPr>
        <w:t>典型事故为阀门和管道出现损坏或腐蚀而发生连续泄漏，造成污染事故</w:t>
      </w:r>
      <w:r>
        <w:rPr>
          <w:rFonts w:hint="eastAsia" w:cs="仿宋_GB2312" w:asciiTheme="minorEastAsia" w:hAnsiTheme="minorEastAsia" w:eastAsiaTheme="minorEastAsia"/>
          <w:kern w:val="0"/>
          <w:sz w:val="24"/>
          <w:szCs w:val="24"/>
        </w:rPr>
        <w:t>；停电、自然灾害、设备设施故障导则厂区内的污水直接进入地表水体、或经处理后未达标进入地表水体，造成污染事故</w:t>
      </w:r>
      <w:r>
        <w:rPr>
          <w:rFonts w:cs="仿宋_GB2312" w:asciiTheme="minorEastAsia" w:hAnsiTheme="minorEastAsia" w:eastAsiaTheme="minorEastAsia"/>
          <w:kern w:val="0"/>
          <w:sz w:val="24"/>
          <w:szCs w:val="24"/>
        </w:rPr>
        <w:t>。</w:t>
      </w:r>
    </w:p>
    <w:p>
      <w:pPr>
        <w:adjustRightInd w:val="0"/>
        <w:snapToGrid w:val="0"/>
        <w:spacing w:line="460" w:lineRule="exact"/>
        <w:outlineLvl w:val="1"/>
        <w:rPr>
          <w:rFonts w:hint="eastAsia"/>
          <w:b/>
          <w:color w:val="000000"/>
          <w:sz w:val="26"/>
          <w:szCs w:val="26"/>
          <w:lang w:val="zh-CN"/>
        </w:rPr>
      </w:pPr>
      <w:bookmarkStart w:id="172" w:name="_Toc458674263"/>
      <w:bookmarkStart w:id="173" w:name="_Toc19431"/>
      <w:r>
        <w:rPr>
          <w:rFonts w:hint="eastAsia"/>
          <w:b/>
          <w:color w:val="000000"/>
          <w:sz w:val="26"/>
          <w:szCs w:val="26"/>
          <w:lang w:val="zh-CN"/>
        </w:rPr>
        <w:t>3.5企业突发环境事件影响分析</w:t>
      </w:r>
      <w:bookmarkEnd w:id="172"/>
      <w:bookmarkEnd w:id="173"/>
    </w:p>
    <w:p>
      <w:pPr>
        <w:rPr>
          <w:b/>
          <w:bCs/>
          <w:sz w:val="30"/>
          <w:szCs w:val="30"/>
        </w:rPr>
      </w:pPr>
      <w:bookmarkStart w:id="174" w:name="_Toc458674262"/>
      <w:r>
        <w:rPr>
          <w:rFonts w:hint="eastAsia"/>
          <w:b/>
          <w:bCs/>
          <w:sz w:val="30"/>
          <w:szCs w:val="30"/>
        </w:rPr>
        <w:t>3</w:t>
      </w:r>
      <w:r>
        <w:rPr>
          <w:b/>
          <w:bCs/>
          <w:sz w:val="30"/>
          <w:szCs w:val="30"/>
        </w:rPr>
        <w:t>.</w:t>
      </w:r>
      <w:r>
        <w:rPr>
          <w:rFonts w:hint="eastAsia"/>
          <w:b/>
          <w:bCs/>
          <w:sz w:val="30"/>
          <w:szCs w:val="30"/>
        </w:rPr>
        <w:t>5</w:t>
      </w:r>
      <w:r>
        <w:rPr>
          <w:b/>
          <w:bCs/>
          <w:sz w:val="30"/>
          <w:szCs w:val="30"/>
        </w:rPr>
        <w:t>.</w:t>
      </w:r>
      <w:bookmarkEnd w:id="174"/>
      <w:r>
        <w:rPr>
          <w:rFonts w:hint="eastAsia"/>
          <w:b/>
          <w:bCs/>
          <w:sz w:val="30"/>
          <w:szCs w:val="30"/>
        </w:rPr>
        <w:t>1氢氧化钠泄漏影响分析</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百胜榨菜污水处理厂突发环境事件风险评估报告》，</w:t>
      </w:r>
      <w:r>
        <w:rPr>
          <w:rFonts w:cs="仿宋_GB2312" w:asciiTheme="minorEastAsia" w:hAnsiTheme="minorEastAsia" w:eastAsiaTheme="minorEastAsia"/>
          <w:kern w:val="0"/>
          <w:sz w:val="24"/>
          <w:szCs w:val="24"/>
        </w:rPr>
        <w:t>企业发生</w:t>
      </w:r>
      <w:r>
        <w:rPr>
          <w:rFonts w:hint="eastAsia" w:cs="仿宋_GB2312" w:asciiTheme="minorEastAsia" w:hAnsiTheme="minorEastAsia" w:eastAsiaTheme="minorEastAsia"/>
          <w:kern w:val="0"/>
          <w:sz w:val="24"/>
          <w:szCs w:val="24"/>
        </w:rPr>
        <w:t>氢氧化钠</w:t>
      </w:r>
      <w:r>
        <w:rPr>
          <w:rFonts w:cs="仿宋_GB2312" w:asciiTheme="minorEastAsia" w:hAnsiTheme="minorEastAsia" w:eastAsiaTheme="minorEastAsia"/>
          <w:kern w:val="0"/>
          <w:sz w:val="24"/>
          <w:szCs w:val="24"/>
        </w:rPr>
        <w:t>泄漏</w:t>
      </w:r>
      <w:r>
        <w:rPr>
          <w:rFonts w:hint="eastAsia" w:cs="仿宋_GB2312" w:asciiTheme="minorEastAsia" w:hAnsiTheme="minorEastAsia" w:eastAsiaTheme="minorEastAsia"/>
          <w:kern w:val="0"/>
          <w:sz w:val="24"/>
          <w:szCs w:val="24"/>
          <w:lang w:eastAsia="zh-CN"/>
        </w:rPr>
        <w:t>的可能性极小，即使泄漏也</w:t>
      </w:r>
      <w:r>
        <w:rPr>
          <w:rFonts w:cs="仿宋_GB2312" w:asciiTheme="minorEastAsia" w:hAnsiTheme="minorEastAsia" w:eastAsiaTheme="minorEastAsia"/>
          <w:kern w:val="0"/>
          <w:sz w:val="24"/>
          <w:szCs w:val="24"/>
        </w:rPr>
        <w:t>后</w:t>
      </w:r>
      <w:r>
        <w:rPr>
          <w:rFonts w:hint="eastAsia" w:cs="仿宋_GB2312" w:asciiTheme="minorEastAsia" w:hAnsiTheme="minorEastAsia" w:eastAsiaTheme="minorEastAsia"/>
          <w:kern w:val="0"/>
          <w:sz w:val="24"/>
          <w:szCs w:val="24"/>
        </w:rPr>
        <w:t>可控制在加药间内</w:t>
      </w:r>
      <w:r>
        <w:rPr>
          <w:rFonts w:cs="仿宋_GB2312" w:asciiTheme="minorEastAsia" w:hAnsiTheme="minorEastAsia" w:eastAsiaTheme="minorEastAsia"/>
          <w:kern w:val="0"/>
          <w:sz w:val="24"/>
          <w:szCs w:val="24"/>
        </w:rPr>
        <w:t>，</w:t>
      </w:r>
      <w:r>
        <w:rPr>
          <w:rFonts w:hint="eastAsia" w:cs="仿宋_GB2312" w:asciiTheme="minorEastAsia" w:hAnsiTheme="minorEastAsia" w:eastAsiaTheme="minorEastAsia"/>
          <w:kern w:val="0"/>
          <w:sz w:val="24"/>
          <w:szCs w:val="24"/>
        </w:rPr>
        <w:t>不会影响到</w:t>
      </w:r>
      <w:r>
        <w:rPr>
          <w:rFonts w:cs="仿宋_GB2312" w:asciiTheme="minorEastAsia" w:hAnsiTheme="minorEastAsia" w:eastAsiaTheme="minorEastAsia"/>
          <w:kern w:val="0"/>
          <w:sz w:val="24"/>
          <w:szCs w:val="24"/>
        </w:rPr>
        <w:t>企业周边</w:t>
      </w:r>
      <w:r>
        <w:rPr>
          <w:rFonts w:hint="eastAsia" w:cs="仿宋_GB2312" w:asciiTheme="minorEastAsia" w:hAnsiTheme="minorEastAsia" w:eastAsiaTheme="minorEastAsia"/>
          <w:kern w:val="0"/>
          <w:sz w:val="24"/>
          <w:szCs w:val="24"/>
        </w:rPr>
        <w:t>。</w:t>
      </w:r>
    </w:p>
    <w:p>
      <w:pPr>
        <w:rPr>
          <w:rFonts w:hint="eastAsia"/>
          <w:b/>
          <w:bCs/>
          <w:sz w:val="30"/>
          <w:szCs w:val="30"/>
        </w:rPr>
      </w:pPr>
      <w:r>
        <w:rPr>
          <w:rFonts w:hint="eastAsia"/>
          <w:b/>
          <w:bCs/>
          <w:sz w:val="30"/>
          <w:szCs w:val="30"/>
        </w:rPr>
        <w:t>3.5.2污水直接排放影响分析</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百胜榨菜污水处理厂突发环境事件风险评估报告》，企业在突发环境事件情况下，污水直接排放到外环境中，对地表水（高水位+175m）环境的影响预测结果如下：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COD、NH3-N的浓度整体随河流流向逐渐衰减，随河流横向河宽逐渐衰减。其中COD、NH3-N在河流横向河宽100m处预测接近背景浓度，在河流流向2000m处预测浓度接近背景浓度，因此，企业</w:t>
      </w:r>
      <w:r>
        <w:rPr>
          <w:rFonts w:hint="eastAsia" w:cs="仿宋_GB2312" w:asciiTheme="minorEastAsia" w:hAnsiTheme="minorEastAsia" w:eastAsiaTheme="minorEastAsia"/>
          <w:kern w:val="0"/>
          <w:sz w:val="24"/>
          <w:szCs w:val="24"/>
          <w:lang w:eastAsia="zh-CN"/>
        </w:rPr>
        <w:t>突</w:t>
      </w:r>
      <w:r>
        <w:rPr>
          <w:rFonts w:cs="仿宋_GB2312" w:asciiTheme="minorEastAsia" w:hAnsiTheme="minorEastAsia" w:eastAsiaTheme="minorEastAsia"/>
          <w:kern w:val="0"/>
          <w:sz w:val="24"/>
          <w:szCs w:val="24"/>
        </w:rPr>
        <w:t>发环境事件污水直接排放对地表水的影响范围为横向1～100m，流向1～2000m范围。COD、NH3-N最大浓度贡献值与现状监测值叠加后，预测浓度值分别在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mg/L、0.</w:t>
      </w:r>
      <w:r>
        <w:rPr>
          <w:rFonts w:hint="eastAsia" w:cs="仿宋_GB2312" w:asciiTheme="minorEastAsia" w:hAnsiTheme="minorEastAsia" w:eastAsiaTheme="minorEastAsia"/>
          <w:kern w:val="0"/>
          <w:sz w:val="24"/>
          <w:szCs w:val="24"/>
        </w:rPr>
        <w:t>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28.83</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1.66</w:t>
      </w:r>
      <w:r>
        <w:rPr>
          <w:rFonts w:cs="仿宋_GB2312" w:asciiTheme="minorEastAsia" w:hAnsiTheme="minorEastAsia" w:eastAsiaTheme="minorEastAsia"/>
          <w:kern w:val="0"/>
          <w:sz w:val="24"/>
          <w:szCs w:val="24"/>
        </w:rPr>
        <w:t>mg/Lmg/L，其中NH3-N均满足《地表水环境质量标准》Ⅲ类水域水质标准要求，COD超过《地表水环境质量标准》Ⅲ类水域水质标准要求，超标区域为COD：横向河宽1~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12</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szCs w:val="24"/>
        </w:rPr>
        <w:t>百胜榨菜污水处理厂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百胜榨菜污水处理厂突发环境事件风险评估报告》，企业在突发环境事件情况下，污水直接排放到外环境中，对地表水（低水位+145m）环境的影响预测结果如下：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COD、NH3-N的浓度整体随河流流向逐渐衰减，随河流横向河宽逐渐衰减。其中COD、NH3-N在河流横向河宽200m处预测接近背景浓度，在河流流向4000m处预测浓度接近背景浓度，因此，企业</w:t>
      </w:r>
      <w:r>
        <w:rPr>
          <w:rFonts w:hint="eastAsia" w:cs="仿宋_GB2312" w:asciiTheme="minorEastAsia" w:hAnsiTheme="minorEastAsia" w:eastAsiaTheme="minorEastAsia"/>
          <w:kern w:val="0"/>
          <w:sz w:val="24"/>
          <w:szCs w:val="24"/>
          <w:lang w:eastAsia="zh-CN"/>
        </w:rPr>
        <w:t>突</w:t>
      </w:r>
      <w:r>
        <w:rPr>
          <w:rFonts w:cs="仿宋_GB2312" w:asciiTheme="minorEastAsia" w:hAnsiTheme="minorEastAsia" w:eastAsiaTheme="minorEastAsia"/>
          <w:kern w:val="0"/>
          <w:sz w:val="24"/>
          <w:szCs w:val="24"/>
        </w:rPr>
        <w:t>发环境事件污水直接排放对地表水的影响范围为横向1～</w:t>
      </w:r>
      <w:r>
        <w:rPr>
          <w:rFonts w:hint="eastAsia" w:cs="仿宋_GB2312" w:asciiTheme="minorEastAsia" w:hAnsiTheme="minorEastAsia" w:eastAsiaTheme="minorEastAsia"/>
          <w:kern w:val="0"/>
          <w:sz w:val="24"/>
          <w:szCs w:val="24"/>
        </w:rPr>
        <w:t>1</w:t>
      </w:r>
      <w:r>
        <w:rPr>
          <w:rFonts w:cs="仿宋_GB2312" w:asciiTheme="minorEastAsia" w:hAnsiTheme="minorEastAsia" w:eastAsiaTheme="minorEastAsia"/>
          <w:kern w:val="0"/>
          <w:sz w:val="24"/>
          <w:szCs w:val="24"/>
        </w:rPr>
        <w:t>0m，流向1～4000m范围。COD、NH3-N最大浓度贡献值与现状监测值叠加后，预测浓度值分别在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mg/L，其中NH3-N均满足《地表水环境质量标准》Ⅲ类水域水质标准要求，COD超过《地表水环境质量标准》Ⅲ类水域水质标准要求，超标区域为COD：横向河宽～1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3</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6</w:t>
      </w:r>
      <w:r>
        <w:rPr>
          <w:rFonts w:cs="仿宋_GB2312" w:asciiTheme="minorEastAsia" w:hAnsiTheme="minorEastAsia" w:eastAsiaTheme="minorEastAsia"/>
          <w:kern w:val="0"/>
          <w:sz w:val="24"/>
          <w:szCs w:val="24"/>
        </w:rPr>
        <w:t>m。根据企业周边地表水环境风险受体调查，低水位（+145m）时段，</w:t>
      </w:r>
      <w:r>
        <w:rPr>
          <w:rFonts w:hint="eastAsia" w:cs="仿宋_GB2312" w:asciiTheme="minorEastAsia" w:hAnsiTheme="minorEastAsia" w:eastAsiaTheme="minorEastAsia"/>
          <w:kern w:val="0"/>
          <w:sz w:val="24"/>
          <w:szCs w:val="24"/>
        </w:rPr>
        <w:t>百胜榨菜污水处理厂</w:t>
      </w:r>
      <w:r>
        <w:rPr>
          <w:rFonts w:cs="仿宋_GB2312" w:asciiTheme="minorEastAsia" w:hAnsiTheme="minorEastAsia" w:eastAsiaTheme="minorEastAsia"/>
          <w:kern w:val="0"/>
          <w:sz w:val="24"/>
          <w:szCs w:val="24"/>
        </w:rPr>
        <w:t>突发环境事件直接排放情况下，对长江地表水</w:t>
      </w:r>
      <w:r>
        <w:rPr>
          <w:rFonts w:hint="eastAsia" w:cs="仿宋_GB2312" w:asciiTheme="minorEastAsia" w:hAnsiTheme="minorEastAsia" w:eastAsiaTheme="minorEastAsia"/>
          <w:kern w:val="0"/>
          <w:sz w:val="24"/>
          <w:szCs w:val="24"/>
        </w:rPr>
        <w:t>环境影响较小</w:t>
      </w:r>
      <w:r>
        <w:rPr>
          <w:rFonts w:cs="仿宋_GB2312" w:asciiTheme="minorEastAsia" w:hAnsiTheme="minorEastAsia" w:eastAsiaTheme="minorEastAsia"/>
          <w:kern w:val="0"/>
          <w:sz w:val="24"/>
          <w:szCs w:val="24"/>
        </w:rPr>
        <w:t>。</w:t>
      </w:r>
    </w:p>
    <w:p>
      <w:pPr>
        <w:rPr>
          <w:rFonts w:hint="eastAsia"/>
          <w:b/>
          <w:bCs/>
          <w:sz w:val="30"/>
          <w:szCs w:val="30"/>
        </w:rPr>
      </w:pPr>
      <w:r>
        <w:rPr>
          <w:rFonts w:hint="eastAsia"/>
          <w:b/>
          <w:bCs/>
          <w:sz w:val="30"/>
          <w:szCs w:val="30"/>
        </w:rPr>
        <w:t>3.5.3污水经处理后未达标排放影响分析</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百胜榨菜污水处理厂突发环境事件风险评估报告》，企业在突发环境事件情况下，污水经处理后，由于处理效果不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r>
        <w:rPr>
          <w:rFonts w:hint="eastAsia" w:cs="仿宋_GB2312" w:asciiTheme="minorEastAsia" w:hAnsiTheme="minorEastAsia" w:eastAsiaTheme="minorEastAsia"/>
          <w:kern w:val="0"/>
          <w:sz w:val="24"/>
          <w:szCs w:val="24"/>
        </w:rPr>
        <w:t>未达标排放到外环境中，对地表水（高水位+175m）环境的影响预测结果如下：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3000m处预测浓度接近背景浓度，因此，企业他发环境事件污水直接排放对地表水的影响范围为横向1~100m，流向1~3000m范围。COD、NH3-N最大浓度贡献值与现状监测值叠加后，预测浓度值分别在</w:t>
      </w:r>
      <w:r>
        <w:rPr>
          <w:rFonts w:hint="eastAsia" w:cs="仿宋_GB2312" w:asciiTheme="minorEastAsia" w:hAnsiTheme="minorEastAsia" w:eastAsiaTheme="minorEastAsia"/>
          <w:kern w:val="0"/>
          <w:sz w:val="24"/>
          <w:szCs w:val="24"/>
        </w:rPr>
        <w:t>14.0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20.17</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0.87</w:t>
      </w:r>
      <w:r>
        <w:rPr>
          <w:rFonts w:cs="仿宋_GB2312" w:asciiTheme="minorEastAsia" w:hAnsiTheme="minorEastAsia" w:eastAsiaTheme="minorEastAsia"/>
          <w:kern w:val="0"/>
          <w:sz w:val="24"/>
          <w:szCs w:val="24"/>
        </w:rPr>
        <w:t>mg/L之间，最大浓度值分别为9.65mg/L、1.53mg/L，其中NH3-N满足《地表水环境质量标准》Ⅲ类水域水质标准要求，COD超过《地表水环境质量标准》Ⅲ类水域水质标准要求，超标区域为COD：横向河宽1~</w:t>
      </w:r>
      <w:r>
        <w:rPr>
          <w:rFonts w:hint="eastAsia" w:cs="仿宋_GB2312" w:asciiTheme="minorEastAsia" w:hAnsiTheme="minorEastAsia" w:eastAsiaTheme="minorEastAsia"/>
          <w:kern w:val="0"/>
          <w:sz w:val="24"/>
          <w:szCs w:val="24"/>
        </w:rPr>
        <w:t>2</w:t>
      </w:r>
      <w:r>
        <w:rPr>
          <w:rFonts w:cs="仿宋_GB2312" w:asciiTheme="minorEastAsia" w:hAnsiTheme="minorEastAsia" w:eastAsiaTheme="minorEastAsia"/>
          <w:kern w:val="0"/>
          <w:sz w:val="24"/>
          <w:szCs w:val="24"/>
        </w:rPr>
        <w:t>m，流向1~</w:t>
      </w:r>
      <w:r>
        <w:rPr>
          <w:rFonts w:hint="eastAsia" w:cs="仿宋_GB2312" w:asciiTheme="minorEastAsia" w:hAnsiTheme="minorEastAsia" w:eastAsiaTheme="minorEastAsia"/>
          <w:kern w:val="0"/>
          <w:sz w:val="24"/>
          <w:szCs w:val="24"/>
        </w:rPr>
        <w:t>5</w:t>
      </w:r>
      <w:r>
        <w:rPr>
          <w:rFonts w:cs="仿宋_GB2312" w:asciiTheme="minorEastAsia" w:hAnsiTheme="minorEastAsia" w:eastAsiaTheme="minorEastAsia"/>
          <w:kern w:val="0"/>
          <w:sz w:val="24"/>
          <w:szCs w:val="24"/>
        </w:rPr>
        <w:t>m。根据企业周边地表水环境风险受体调查，高水位（+175m）时段，</w:t>
      </w:r>
      <w:r>
        <w:rPr>
          <w:rFonts w:hint="eastAsia" w:cs="仿宋_GB2312" w:asciiTheme="minorEastAsia" w:hAnsiTheme="minorEastAsia" w:eastAsiaTheme="minorEastAsia"/>
          <w:kern w:val="0"/>
          <w:sz w:val="24"/>
          <w:szCs w:val="24"/>
        </w:rPr>
        <w:t>百胜榨菜污水处理厂</w:t>
      </w:r>
      <w:r>
        <w:rPr>
          <w:rFonts w:cs="仿宋_GB2312" w:asciiTheme="minorEastAsia" w:hAnsiTheme="minorEastAsia" w:eastAsiaTheme="minorEastAsia"/>
          <w:kern w:val="0"/>
          <w:sz w:val="24"/>
          <w:szCs w:val="24"/>
        </w:rPr>
        <w:t>突发环境事件直接排放情况下，对长江水环境有一定的影响，</w:t>
      </w:r>
      <w:r>
        <w:rPr>
          <w:rFonts w:hint="eastAsia" w:cs="仿宋_GB2312" w:asciiTheme="minorEastAsia" w:hAnsiTheme="minorEastAsia" w:eastAsiaTheme="minorEastAsia"/>
          <w:kern w:val="0"/>
          <w:sz w:val="24"/>
          <w:szCs w:val="24"/>
          <w:lang w:eastAsia="zh-CN"/>
        </w:rPr>
        <w:t>对</w:t>
      </w:r>
      <w:r>
        <w:rPr>
          <w:rFonts w:cs="仿宋_GB2312" w:asciiTheme="minorEastAsia" w:hAnsiTheme="minorEastAsia" w:eastAsiaTheme="minorEastAsia"/>
          <w:kern w:val="0"/>
          <w:sz w:val="24"/>
          <w:szCs w:val="24"/>
        </w:rPr>
        <w:t>地表</w:t>
      </w:r>
      <w:r>
        <w:rPr>
          <w:rFonts w:hint="eastAsia" w:cs="仿宋_GB2312" w:asciiTheme="minorEastAsia" w:hAnsiTheme="minorEastAsia" w:eastAsiaTheme="minorEastAsia"/>
          <w:kern w:val="0"/>
          <w:sz w:val="24"/>
          <w:szCs w:val="24"/>
          <w:lang w:eastAsia="zh-CN"/>
        </w:rPr>
        <w:t>水</w:t>
      </w:r>
      <w:r>
        <w:rPr>
          <w:rFonts w:cs="仿宋_GB2312" w:asciiTheme="minorEastAsia" w:hAnsiTheme="minorEastAsia" w:eastAsiaTheme="minorEastAsia"/>
          <w:kern w:val="0"/>
          <w:sz w:val="24"/>
          <w:szCs w:val="24"/>
        </w:rPr>
        <w:t>风险受体影响较小。</w:t>
      </w:r>
    </w:p>
    <w:p>
      <w:pPr>
        <w:spacing w:line="460" w:lineRule="exact"/>
        <w:ind w:firstLine="480" w:firstLineChars="200"/>
        <w:jc w:val="left"/>
        <w:rPr>
          <w:rFonts w:cs="仿宋_GB2312" w:asciiTheme="minorEastAsia" w:hAnsiTheme="minorEastAsia" w:eastAsiaTheme="minorEastAsia"/>
          <w:kern w:val="0"/>
          <w:sz w:val="24"/>
          <w:szCs w:val="24"/>
        </w:rPr>
        <w:sectPr>
          <w:pgSz w:w="11906" w:h="16838"/>
          <w:pgMar w:top="1247" w:right="1531" w:bottom="1247" w:left="1531" w:header="851" w:footer="992" w:gutter="0"/>
          <w:cols w:space="425" w:num="1"/>
          <w:docGrid w:type="linesAndChars" w:linePitch="312" w:charSpace="0"/>
        </w:sectPr>
      </w:pPr>
      <w:r>
        <w:rPr>
          <w:rFonts w:hint="eastAsia" w:cs="仿宋_GB2312" w:asciiTheme="minorEastAsia" w:hAnsiTheme="minorEastAsia" w:eastAsiaTheme="minorEastAsia"/>
          <w:kern w:val="0"/>
          <w:sz w:val="24"/>
          <w:szCs w:val="24"/>
        </w:rPr>
        <w:t>根据《</w:t>
      </w:r>
      <w:r>
        <w:rPr>
          <w:rFonts w:cs="仿宋_GB2312" w:asciiTheme="minorEastAsia" w:hAnsiTheme="minorEastAsia" w:eastAsiaTheme="minorEastAsia"/>
          <w:kern w:val="0"/>
          <w:sz w:val="24"/>
          <w:szCs w:val="24"/>
        </w:rPr>
        <w:t>重庆市涪陵区拓源污水治理有限公司</w:t>
      </w:r>
      <w:r>
        <w:rPr>
          <w:rFonts w:hint="eastAsia" w:cs="仿宋_GB2312" w:asciiTheme="minorEastAsia" w:hAnsiTheme="minorEastAsia" w:eastAsiaTheme="minorEastAsia"/>
          <w:kern w:val="0"/>
          <w:sz w:val="24"/>
          <w:szCs w:val="24"/>
        </w:rPr>
        <w:t>百胜榨菜污水处理厂突发环境事件风险评估报告》，企业在突发环境事件情况下，污水经处理后，由于处理效果不</w:t>
      </w:r>
      <w:r>
        <w:rPr>
          <w:rFonts w:hint="eastAsia" w:cs="仿宋_GB2312" w:asciiTheme="minorEastAsia" w:hAnsiTheme="minorEastAsia" w:eastAsiaTheme="minorEastAsia"/>
          <w:kern w:val="0"/>
          <w:sz w:val="24"/>
          <w:szCs w:val="24"/>
          <w:lang w:eastAsia="zh-CN"/>
        </w:rPr>
        <w:t>理想</w:t>
      </w:r>
      <w:r>
        <w:rPr>
          <w:rFonts w:hint="eastAsia" w:cs="仿宋_GB2312" w:asciiTheme="minorEastAsia" w:hAnsiTheme="minorEastAsia" w:eastAsiaTheme="minorEastAsia"/>
          <w:kern w:val="0"/>
          <w:sz w:val="24"/>
          <w:szCs w:val="24"/>
        </w:rPr>
        <w:t>未达标排放到外环境中，对地表水（高水位+145m）环境的影响预测结果如下：</w:t>
      </w:r>
      <w:r>
        <w:rPr>
          <w:rFonts w:cs="仿宋_GB2312" w:asciiTheme="minorEastAsia" w:hAnsiTheme="minorEastAsia" w:eastAsiaTheme="minorEastAsia"/>
          <w:kern w:val="0"/>
          <w:sz w:val="24"/>
          <w:szCs w:val="24"/>
        </w:rPr>
        <w:t>COD、NH3-N的浓度整体随河流流向逐渐衰减，随河流横向河宽逐渐衰减。其中COD、NH3-N在河流横向河宽100m处预测接近背景浓度，在河流流向1500m处预测浓度接近背景浓度，因此，企业他发环境事件污水直接排放对地表水的影响范围为横向1~100m，流向1~1500m范围。COD、NH3-N最大浓度贡献值与现状监测值叠加后，预测浓度值分别在</w:t>
      </w:r>
      <w:r>
        <w:rPr>
          <w:rFonts w:hint="eastAsia" w:cs="仿宋_GB2312" w:asciiTheme="minorEastAsia" w:hAnsiTheme="minorEastAsia" w:eastAsiaTheme="minorEastAsia"/>
          <w:kern w:val="0"/>
          <w:sz w:val="24"/>
          <w:szCs w:val="24"/>
        </w:rPr>
        <w:t>14.00</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0.24</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mg/L之间，最大浓度值分别为</w:t>
      </w:r>
      <w:r>
        <w:rPr>
          <w:rFonts w:hint="eastAsia" w:cs="仿宋_GB2312" w:asciiTheme="minorEastAsia" w:hAnsiTheme="minorEastAsia" w:eastAsiaTheme="minorEastAsia"/>
          <w:kern w:val="0"/>
          <w:sz w:val="24"/>
          <w:szCs w:val="24"/>
        </w:rPr>
        <w:t>26.15</w:t>
      </w:r>
      <w:r>
        <w:rPr>
          <w:rFonts w:cs="仿宋_GB2312" w:asciiTheme="minorEastAsia" w:hAnsiTheme="minorEastAsia" w:eastAsiaTheme="minorEastAsia"/>
          <w:kern w:val="0"/>
          <w:sz w:val="24"/>
          <w:szCs w:val="24"/>
        </w:rPr>
        <w:t>mg/L、</w:t>
      </w:r>
      <w:r>
        <w:rPr>
          <w:rFonts w:hint="eastAsia" w:cs="仿宋_GB2312" w:asciiTheme="minorEastAsia" w:hAnsiTheme="minorEastAsia" w:eastAsiaTheme="minorEastAsia"/>
          <w:kern w:val="0"/>
          <w:sz w:val="24"/>
          <w:szCs w:val="24"/>
        </w:rPr>
        <w:t>1.48</w:t>
      </w:r>
      <w:r>
        <w:rPr>
          <w:rFonts w:cs="仿宋_GB2312" w:asciiTheme="minorEastAsia" w:hAnsiTheme="minorEastAsia" w:eastAsiaTheme="minorEastAsia"/>
          <w:kern w:val="0"/>
          <w:sz w:val="24"/>
          <w:szCs w:val="24"/>
        </w:rPr>
        <w:t>mg/L，其中NH3-N满足《地表水环境质量标准》Ⅲ类水域水质标准要求，COD超过《地表水环境质量标准》Ⅲ类水域水质标准要求，超标区域为COD：横向河宽1~20m，流向1~100m.。根据企业周边地表水环境风险受体调查，低水位（+145m）时段，</w:t>
      </w:r>
      <w:r>
        <w:rPr>
          <w:rFonts w:hint="eastAsia" w:cs="仿宋_GB2312" w:asciiTheme="minorEastAsia" w:hAnsiTheme="minorEastAsia" w:eastAsiaTheme="minorEastAsia"/>
          <w:kern w:val="0"/>
          <w:sz w:val="24"/>
          <w:szCs w:val="24"/>
        </w:rPr>
        <w:t>百胜榨菜污水处理厂</w:t>
      </w:r>
      <w:r>
        <w:rPr>
          <w:rFonts w:cs="仿宋_GB2312" w:asciiTheme="minorEastAsia" w:hAnsiTheme="minorEastAsia" w:eastAsiaTheme="minorEastAsia"/>
          <w:kern w:val="0"/>
          <w:sz w:val="24"/>
          <w:szCs w:val="24"/>
        </w:rPr>
        <w:t>突发环境事件污染物未达标排放情况下，对长江水环境及地表水风险受体</w:t>
      </w:r>
      <w:r>
        <w:rPr>
          <w:rFonts w:hint="eastAsia" w:cs="仿宋_GB2312" w:asciiTheme="minorEastAsia" w:hAnsiTheme="minorEastAsia" w:eastAsiaTheme="minorEastAsia"/>
          <w:kern w:val="0"/>
          <w:sz w:val="24"/>
          <w:szCs w:val="24"/>
        </w:rPr>
        <w:t>影响较小</w:t>
      </w:r>
      <w:r>
        <w:rPr>
          <w:rFonts w:cs="仿宋_GB2312" w:asciiTheme="minorEastAsia" w:hAnsiTheme="minorEastAsia" w:eastAsiaTheme="minorEastAsia"/>
          <w:kern w:val="0"/>
          <w:sz w:val="24"/>
          <w:szCs w:val="24"/>
        </w:rPr>
        <w:t>。</w:t>
      </w:r>
    </w:p>
    <w:p>
      <w:pPr>
        <w:adjustRightInd w:val="0"/>
        <w:snapToGrid w:val="0"/>
        <w:spacing w:line="460" w:lineRule="exact"/>
        <w:outlineLvl w:val="1"/>
        <w:rPr>
          <w:rFonts w:hint="eastAsia"/>
          <w:b/>
          <w:color w:val="000000"/>
          <w:sz w:val="26"/>
          <w:szCs w:val="26"/>
          <w:lang w:val="zh-CN"/>
        </w:rPr>
      </w:pPr>
      <w:bookmarkStart w:id="175" w:name="_Toc376848495"/>
      <w:bookmarkStart w:id="176" w:name="_Toc458674265"/>
      <w:bookmarkStart w:id="177" w:name="_Toc31932"/>
      <w:r>
        <w:rPr>
          <w:rFonts w:hint="eastAsia"/>
          <w:b/>
          <w:color w:val="000000"/>
          <w:sz w:val="26"/>
          <w:szCs w:val="26"/>
          <w:lang w:val="zh-CN"/>
        </w:rPr>
        <w:t>3.6现有风险防范措施</w:t>
      </w:r>
      <w:bookmarkEnd w:id="175"/>
      <w:bookmarkEnd w:id="176"/>
      <w:bookmarkEnd w:id="177"/>
    </w:p>
    <w:p>
      <w:pPr>
        <w:pStyle w:val="120"/>
        <w:ind w:firstLine="0" w:firstLineChars="0"/>
        <w:rPr>
          <w:b/>
        </w:rPr>
      </w:pPr>
      <w:bookmarkStart w:id="178" w:name="_Toc458674266"/>
      <w:bookmarkStart w:id="179" w:name="_Toc317088632"/>
      <w:bookmarkStart w:id="180" w:name="_Toc346872569"/>
      <w:r>
        <w:rPr>
          <w:rFonts w:hint="eastAsia"/>
          <w:b/>
        </w:rPr>
        <w:t>3</w:t>
      </w:r>
      <w:r>
        <w:rPr>
          <w:b/>
        </w:rPr>
        <w:t>.</w:t>
      </w:r>
      <w:r>
        <w:rPr>
          <w:rFonts w:hint="eastAsia"/>
          <w:b/>
        </w:rPr>
        <w:t>6</w:t>
      </w:r>
      <w:r>
        <w:rPr>
          <w:b/>
        </w:rPr>
        <w:t>.1 总体布局</w:t>
      </w:r>
      <w:bookmarkEnd w:id="178"/>
      <w:bookmarkEnd w:id="179"/>
      <w:bookmarkEnd w:id="180"/>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总平面布置中，充分考虑了总体布置的安全性，总图布置较合理，各管线和辅助装置均按功能分区布置，并充分考虑消防和疏散通道问题，有利于风险事故的防范和处理。</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总图布置符合GB50016-2006《建筑设计防火规范》和国家现行的“总图运输设计规范”及相关管理规定的要求。</w:t>
      </w:r>
    </w:p>
    <w:p>
      <w:pPr>
        <w:pStyle w:val="120"/>
        <w:ind w:firstLine="0" w:firstLineChars="0"/>
        <w:rPr>
          <w:b/>
        </w:rPr>
      </w:pPr>
      <w:bookmarkStart w:id="181" w:name="_Toc458674267"/>
      <w:bookmarkStart w:id="182" w:name="_Toc317088633"/>
      <w:bookmarkStart w:id="183" w:name="_Toc346872570"/>
      <w:r>
        <w:rPr>
          <w:rFonts w:hint="eastAsia"/>
          <w:b/>
        </w:rPr>
        <w:t>3</w:t>
      </w:r>
      <w:r>
        <w:rPr>
          <w:b/>
        </w:rPr>
        <w:t>.</w:t>
      </w:r>
      <w:r>
        <w:rPr>
          <w:rFonts w:hint="eastAsia"/>
          <w:b/>
        </w:rPr>
        <w:t>6</w:t>
      </w:r>
      <w:r>
        <w:rPr>
          <w:b/>
        </w:rPr>
        <w:t>.2</w:t>
      </w:r>
      <w:bookmarkEnd w:id="181"/>
      <w:bookmarkEnd w:id="182"/>
      <w:bookmarkEnd w:id="183"/>
      <w:r>
        <w:rPr>
          <w:rFonts w:hint="eastAsia" w:cs="仿宋_GB2312" w:asciiTheme="minorEastAsia" w:hAnsiTheme="minorEastAsia" w:eastAsiaTheme="minorEastAsia"/>
          <w:b/>
          <w:szCs w:val="24"/>
        </w:rPr>
        <w:t>氢氧化钠</w:t>
      </w:r>
      <w:r>
        <w:rPr>
          <w:rFonts w:hint="eastAsia"/>
          <w:b/>
        </w:rPr>
        <w:t>加药间风险防范措施</w:t>
      </w:r>
    </w:p>
    <w:p>
      <w:pPr>
        <w:spacing w:line="460" w:lineRule="exact"/>
        <w:ind w:firstLine="480" w:firstLineChars="200"/>
        <w:jc w:val="left"/>
        <w:rPr>
          <w:rFonts w:hint="eastAsia" w:cs="仿宋_GB2312" w:asciiTheme="minorEastAsia" w:hAnsiTheme="minorEastAsia" w:eastAsiaTheme="minorEastAsia"/>
          <w:kern w:val="0"/>
          <w:sz w:val="24"/>
          <w:szCs w:val="24"/>
        </w:rPr>
      </w:pPr>
      <w:bookmarkStart w:id="184" w:name="_Toc317088634"/>
      <w:bookmarkStart w:id="185" w:name="_Toc317088635"/>
      <w:bookmarkStart w:id="186" w:name="_Toc458674269"/>
      <w:bookmarkStart w:id="187" w:name="_Toc346872572"/>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各建筑物严格按照GB50016-2006《建筑设计防火规范》及相应规定要求予以设计</w:t>
      </w:r>
      <w:r>
        <w:rPr>
          <w:rFonts w:hint="eastAsia" w:cs="仿宋_GB2312" w:asciiTheme="minorEastAsia" w:hAnsiTheme="minorEastAsia" w:eastAsiaTheme="minorEastAsia"/>
          <w:kern w:val="0"/>
          <w:sz w:val="24"/>
          <w:szCs w:val="24"/>
        </w:rPr>
        <w:t>，</w:t>
      </w:r>
      <w:r>
        <w:rPr>
          <w:rFonts w:hint="eastAsia" w:ascii="仿宋_GB2312"/>
          <w:sz w:val="24"/>
          <w:szCs w:val="24"/>
        </w:rPr>
        <w:t>严格管理，操作正确，保证加药罐、存放桶不受破坏，建立有效的事故应急体系。</w:t>
      </w:r>
      <w:r>
        <w:rPr>
          <w:rFonts w:hint="eastAsia" w:cs="仿宋_GB2312" w:asciiTheme="minorEastAsia" w:hAnsiTheme="minorEastAsia" w:eastAsiaTheme="minorEastAsia"/>
          <w:kern w:val="0"/>
          <w:sz w:val="24"/>
          <w:szCs w:val="24"/>
        </w:rPr>
        <w:t>氢氧化钠</w:t>
      </w:r>
      <w:r>
        <w:rPr>
          <w:rFonts w:hint="eastAsia" w:cs="仿宋_GB2312" w:asciiTheme="minorEastAsia" w:hAnsiTheme="minorEastAsia" w:eastAsiaTheme="minorEastAsia"/>
          <w:kern w:val="0"/>
          <w:sz w:val="24"/>
          <w:szCs w:val="24"/>
          <w:lang w:eastAsia="zh-CN"/>
        </w:rPr>
        <w:t>（片碱）袋装</w:t>
      </w:r>
      <w:r>
        <w:rPr>
          <w:rFonts w:cs="仿宋_GB2312" w:asciiTheme="minorEastAsia" w:hAnsiTheme="minorEastAsia" w:eastAsiaTheme="minorEastAsia"/>
          <w:kern w:val="0"/>
          <w:sz w:val="24"/>
          <w:szCs w:val="24"/>
        </w:rPr>
        <w:t>置于</w:t>
      </w:r>
      <w:r>
        <w:rPr>
          <w:rFonts w:hint="eastAsia" w:cs="仿宋_GB2312" w:asciiTheme="minorEastAsia" w:hAnsiTheme="minorEastAsia" w:eastAsiaTheme="minorEastAsia"/>
          <w:kern w:val="0"/>
          <w:sz w:val="24"/>
          <w:szCs w:val="24"/>
        </w:rPr>
        <w:t>加药间</w:t>
      </w:r>
      <w:r>
        <w:rPr>
          <w:rFonts w:cs="仿宋_GB2312" w:asciiTheme="minorEastAsia" w:hAnsiTheme="minorEastAsia" w:eastAsiaTheme="minorEastAsia"/>
          <w:kern w:val="0"/>
          <w:sz w:val="24"/>
          <w:szCs w:val="24"/>
        </w:rPr>
        <w:t>内，</w:t>
      </w:r>
      <w:r>
        <w:rPr>
          <w:rFonts w:hint="eastAsia" w:cs="仿宋_GB2312" w:asciiTheme="minorEastAsia" w:hAnsiTheme="minorEastAsia" w:eastAsiaTheme="minorEastAsia"/>
          <w:kern w:val="0"/>
          <w:sz w:val="24"/>
          <w:szCs w:val="24"/>
          <w:lang w:eastAsia="zh-CN"/>
        </w:rPr>
        <w:t>放于防潮木板上，</w:t>
      </w:r>
      <w:r>
        <w:rPr>
          <w:rFonts w:cs="仿宋_GB2312" w:asciiTheme="minorEastAsia" w:hAnsiTheme="minorEastAsia" w:eastAsiaTheme="minorEastAsia"/>
          <w:kern w:val="0"/>
          <w:sz w:val="24"/>
          <w:szCs w:val="24"/>
        </w:rPr>
        <w:t>地面采用混泥土进行了硬化处理。厂区各处设置了消防栓，安装摆放了消防箱，放置灭火器等应急装置。</w:t>
      </w:r>
      <w:bookmarkEnd w:id="184"/>
    </w:p>
    <w:p>
      <w:pPr>
        <w:pStyle w:val="120"/>
        <w:ind w:firstLine="0" w:firstLineChars="0"/>
        <w:rPr>
          <w:b/>
        </w:rPr>
      </w:pPr>
      <w:r>
        <w:rPr>
          <w:rFonts w:hint="eastAsia"/>
          <w:b/>
        </w:rPr>
        <w:t>3</w:t>
      </w:r>
      <w:r>
        <w:rPr>
          <w:b/>
        </w:rPr>
        <w:t>.</w:t>
      </w:r>
      <w:r>
        <w:rPr>
          <w:rFonts w:hint="eastAsia"/>
          <w:b/>
        </w:rPr>
        <w:t>6</w:t>
      </w:r>
      <w:r>
        <w:rPr>
          <w:b/>
        </w:rPr>
        <w:t>.</w:t>
      </w:r>
      <w:bookmarkEnd w:id="185"/>
      <w:r>
        <w:rPr>
          <w:rFonts w:hint="eastAsia"/>
          <w:b/>
          <w:lang w:val="en-US" w:eastAsia="zh-CN"/>
        </w:rPr>
        <w:t>3</w:t>
      </w:r>
      <w:r>
        <w:rPr>
          <w:b/>
        </w:rPr>
        <w:t>污水处理设备风险防范措施</w:t>
      </w:r>
      <w:bookmarkEnd w:id="186"/>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(1) 设置出水、进水水质在线监测装置，定期监测出水水质，防止污水未达标排放。</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(2)定期对污水治理设施设备进行检查，维护保养，减少设备出现故障概率。</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 配备双回路电源，防止停电等发生时对污水处理设备无法正常运营。</w:t>
      </w:r>
    </w:p>
    <w:p>
      <w:pPr>
        <w:pStyle w:val="120"/>
        <w:ind w:firstLine="0" w:firstLineChars="0"/>
        <w:rPr>
          <w:b/>
        </w:rPr>
      </w:pPr>
      <w:bookmarkStart w:id="188" w:name="_Toc458674270"/>
      <w:r>
        <w:rPr>
          <w:rFonts w:hint="eastAsia"/>
          <w:b/>
        </w:rPr>
        <w:t>3</w:t>
      </w:r>
      <w:r>
        <w:rPr>
          <w:b/>
        </w:rPr>
        <w:t>.</w:t>
      </w:r>
      <w:r>
        <w:rPr>
          <w:rFonts w:hint="eastAsia"/>
          <w:b/>
        </w:rPr>
        <w:t>6</w:t>
      </w:r>
      <w:r>
        <w:rPr>
          <w:b/>
        </w:rPr>
        <w:t>.</w:t>
      </w:r>
      <w:r>
        <w:rPr>
          <w:rFonts w:hint="eastAsia"/>
          <w:b/>
          <w:lang w:val="en-US" w:eastAsia="zh-CN"/>
        </w:rPr>
        <w:t>4</w:t>
      </w:r>
      <w:r>
        <w:rPr>
          <w:rFonts w:hint="eastAsia"/>
          <w:b/>
        </w:rPr>
        <w:t>工艺</w:t>
      </w:r>
      <w:r>
        <w:rPr>
          <w:b/>
        </w:rPr>
        <w:t>设备</w:t>
      </w:r>
      <w:bookmarkEnd w:id="187"/>
      <w:bookmarkEnd w:id="188"/>
      <w:r>
        <w:rPr>
          <w:rFonts w:hint="eastAsia"/>
          <w:b/>
        </w:rPr>
        <w:t>保障</w:t>
      </w:r>
    </w:p>
    <w:p>
      <w:pPr>
        <w:spacing w:line="460" w:lineRule="exact"/>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采用先进、成熟、可靠的工艺技术和设备，减少了“跑、冒、滴、漏”；在生产中应加强生产装置的安全管理，按国家规定的有关安全生产的规章制度进行定期检测，做到生产装置不带“病”上岗，保证不泄漏。</w:t>
      </w:r>
    </w:p>
    <w:p>
      <w:pPr>
        <w:pStyle w:val="120"/>
        <w:ind w:firstLine="0" w:firstLineChars="0"/>
        <w:rPr>
          <w:b/>
        </w:rPr>
      </w:pPr>
      <w:bookmarkStart w:id="189" w:name="_Toc458674271"/>
      <w:bookmarkStart w:id="190" w:name="_Toc346872573"/>
      <w:r>
        <w:rPr>
          <w:rFonts w:hint="eastAsia"/>
          <w:b/>
        </w:rPr>
        <w:t>3</w:t>
      </w:r>
      <w:r>
        <w:rPr>
          <w:b/>
        </w:rPr>
        <w:t>.</w:t>
      </w:r>
      <w:r>
        <w:rPr>
          <w:rFonts w:hint="eastAsia"/>
          <w:b/>
        </w:rPr>
        <w:t>6</w:t>
      </w:r>
      <w:r>
        <w:rPr>
          <w:b/>
        </w:rPr>
        <w:t>.</w:t>
      </w:r>
      <w:r>
        <w:rPr>
          <w:rFonts w:hint="eastAsia"/>
          <w:b/>
          <w:lang w:val="en-US" w:eastAsia="zh-CN"/>
        </w:rPr>
        <w:t>5</w:t>
      </w:r>
      <w:r>
        <w:rPr>
          <w:b/>
        </w:rPr>
        <w:t xml:space="preserve"> 消防依托</w:t>
      </w:r>
      <w:bookmarkEnd w:id="189"/>
      <w:bookmarkEnd w:id="190"/>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组建有自己的义务消防队，由公司当日值班人员组成。接到报警后5min能赶到现场展开应急救援工作。</w:t>
      </w:r>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厂区配有符合消防要求的消火栓，并配备一定数量的干粉灭火器、消防沙箱，厂区内消防通道道路畅通。</w:t>
      </w:r>
    </w:p>
    <w:p>
      <w:pPr>
        <w:pStyle w:val="120"/>
        <w:ind w:firstLine="0" w:firstLineChars="0"/>
        <w:rPr>
          <w:b/>
        </w:rPr>
      </w:pPr>
      <w:bookmarkStart w:id="191" w:name="_Toc458674272"/>
      <w:r>
        <w:rPr>
          <w:rFonts w:hint="eastAsia"/>
          <w:b/>
        </w:rPr>
        <w:t>3</w:t>
      </w:r>
      <w:r>
        <w:rPr>
          <w:b/>
        </w:rPr>
        <w:t>.</w:t>
      </w:r>
      <w:r>
        <w:rPr>
          <w:rFonts w:hint="eastAsia"/>
          <w:b/>
        </w:rPr>
        <w:t>6</w:t>
      </w:r>
      <w:r>
        <w:rPr>
          <w:b/>
        </w:rPr>
        <w:t>.</w:t>
      </w:r>
      <w:r>
        <w:rPr>
          <w:rFonts w:hint="eastAsia"/>
          <w:b/>
          <w:lang w:val="en-US" w:eastAsia="zh-CN"/>
        </w:rPr>
        <w:t>6</w:t>
      </w:r>
      <w:r>
        <w:rPr>
          <w:b/>
        </w:rPr>
        <w:t xml:space="preserve"> 生产管理</w:t>
      </w:r>
      <w:bookmarkEnd w:id="191"/>
    </w:p>
    <w:p>
      <w:pPr>
        <w:spacing w:line="460" w:lineRule="exact"/>
        <w:ind w:firstLine="480" w:firstLineChars="200"/>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企业</w:t>
      </w:r>
      <w:r>
        <w:rPr>
          <w:rFonts w:cs="仿宋_GB2312" w:asciiTheme="minorEastAsia" w:hAnsiTheme="minorEastAsia" w:eastAsiaTheme="minorEastAsia"/>
          <w:kern w:val="0"/>
          <w:sz w:val="24"/>
          <w:szCs w:val="24"/>
        </w:rPr>
        <w:t>设置了专门的管理机构负责安全、消防和环保的管理工作，制定了完善的管理制度。每个岗位制定有相应的安全操作规程，并在车间上墙，时刻提醒工作人员规范操作。加强对员工的安全、环保意识的教育，实行持证上岗，并配备了完善的消防设施。</w:t>
      </w:r>
    </w:p>
    <w:p>
      <w:pPr>
        <w:adjustRightInd w:val="0"/>
        <w:snapToGrid w:val="0"/>
        <w:spacing w:line="440" w:lineRule="exact"/>
        <w:textAlignment w:val="center"/>
        <w:outlineLvl w:val="0"/>
        <w:rPr>
          <w:rFonts w:hint="eastAsia" w:asciiTheme="minorEastAsia" w:hAnsiTheme="minorEastAsia" w:eastAsiaTheme="minorEastAsia"/>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hint="eastAsia" w:ascii="宋体" w:hAnsi="宋体"/>
          <w:b/>
          <w:color w:val="000000"/>
          <w:sz w:val="32"/>
        </w:rPr>
      </w:pPr>
    </w:p>
    <w:p>
      <w:pPr>
        <w:adjustRightInd w:val="0"/>
        <w:snapToGrid w:val="0"/>
        <w:spacing w:line="440" w:lineRule="exact"/>
        <w:jc w:val="center"/>
        <w:textAlignment w:val="center"/>
        <w:outlineLvl w:val="0"/>
        <w:rPr>
          <w:rFonts w:ascii="仿宋_GB2312"/>
          <w:sz w:val="24"/>
          <w:szCs w:val="24"/>
        </w:rPr>
      </w:pPr>
      <w:bookmarkStart w:id="192" w:name="_Toc3505"/>
      <w:r>
        <w:rPr>
          <w:rFonts w:ascii="宋体" w:hAnsi="宋体"/>
          <w:b/>
          <w:color w:val="000000"/>
          <w:sz w:val="32"/>
        </w:rPr>
        <w:t>4</w:t>
      </w:r>
      <w:r>
        <w:rPr>
          <w:rFonts w:hint="eastAsia" w:ascii="宋体" w:hAnsi="宋体"/>
          <w:b/>
          <w:color w:val="000000"/>
          <w:sz w:val="32"/>
        </w:rPr>
        <w:t>应急组织及职责</w:t>
      </w:r>
      <w:bookmarkEnd w:id="192"/>
    </w:p>
    <w:p>
      <w:pPr>
        <w:adjustRightInd w:val="0"/>
        <w:snapToGrid w:val="0"/>
        <w:spacing w:line="460" w:lineRule="exact"/>
        <w:outlineLvl w:val="1"/>
        <w:rPr>
          <w:rFonts w:hint="eastAsia"/>
          <w:b/>
          <w:color w:val="000000"/>
          <w:sz w:val="26"/>
          <w:szCs w:val="26"/>
          <w:lang w:val="zh-CN"/>
        </w:rPr>
      </w:pPr>
      <w:bookmarkStart w:id="193" w:name="_Toc483"/>
      <w:r>
        <w:rPr>
          <w:rFonts w:hint="eastAsia"/>
          <w:b/>
          <w:color w:val="000000"/>
          <w:sz w:val="26"/>
          <w:szCs w:val="26"/>
          <w:lang w:val="zh-CN"/>
        </w:rPr>
        <w:t>4.1应急组织机构图</w:t>
      </w:r>
      <w:bookmarkEnd w:id="193"/>
    </w:p>
    <w:p>
      <w:pPr>
        <w:pStyle w:val="346"/>
        <w:spacing w:before="156" w:line="460" w:lineRule="exact"/>
        <w:ind w:firstLine="421" w:firstLineChars="150"/>
        <w:rPr>
          <w:rFonts w:asciiTheme="minorEastAsia" w:hAnsiTheme="minorEastAsia" w:eastAsiaTheme="minorEastAsia"/>
          <w:b/>
          <w:sz w:val="28"/>
          <w:szCs w:val="28"/>
        </w:rPr>
      </w:pPr>
      <w:bookmarkStart w:id="194" w:name="_Toc428803438"/>
      <w:bookmarkStart w:id="195" w:name="_Toc339024842"/>
      <w:bookmarkStart w:id="196" w:name="_Toc339024717"/>
      <w:r>
        <w:rPr>
          <w:rFonts w:hint="eastAsia" w:asciiTheme="minorEastAsia" w:hAnsiTheme="minorEastAsia" w:eastAsiaTheme="minorEastAsia"/>
          <w:b/>
          <w:szCs w:val="28"/>
        </w:rPr>
        <w:t xml:space="preserve"> (</w:t>
      </w:r>
      <w:r>
        <w:rPr>
          <w:rFonts w:hint="eastAsia" w:asciiTheme="minorEastAsia" w:hAnsiTheme="minorEastAsia" w:eastAsiaTheme="minorEastAsia"/>
          <w:b/>
          <w:sz w:val="28"/>
          <w:szCs w:val="28"/>
        </w:rPr>
        <w:t>1)应急组织机构图</w:t>
      </w:r>
    </w:p>
    <w:p>
      <w:pPr>
        <w:ind w:firstLine="480"/>
        <w:rPr>
          <w:rFonts w:asciiTheme="minorEastAsia" w:hAnsiTheme="minorEastAsia" w:eastAsiaTheme="minorEastAsia"/>
          <w:b/>
          <w:sz w:val="28"/>
          <w:szCs w:val="28"/>
        </w:rPr>
      </w:pPr>
      <w:r>
        <w:rPr>
          <w:rFonts w:asciiTheme="minorEastAsia" w:hAnsiTheme="minorEastAsia" w:eastAsiaTheme="minorEastAsia"/>
          <w:szCs w:val="22"/>
        </w:rPr>
        <w:pict>
          <v:group id="_x0000_s1089" o:spid="_x0000_s1089" o:spt="203" style="position:absolute;left:0pt;margin-left:23.75pt;margin-top:2.85pt;height:247.05pt;width:397pt;z-index:251663360;mso-width-relative:page;mso-height-relative:page;" coordorigin="2453,1584" coordsize="6247,4305">
            <o:lock v:ext="edit"/>
            <v:rect id="Rectangle 65" o:spid="_x0000_s1090" o:spt="1" style="position:absolute;left:3823;top:4166;height:1713;width:540;" coordsize="21600,21600">
              <v:path/>
              <v:fill focussize="0,0"/>
              <v:stroke/>
              <v:imagedata o:title=""/>
              <o:lock v:ext="edit"/>
              <v:textbox>
                <w:txbxContent>
                  <w:p>
                    <w:pPr>
                      <w:pStyle w:val="193"/>
                      <w:rPr>
                        <w:rFonts w:ascii="宋体" w:hAnsi="宋体"/>
                      </w:rPr>
                    </w:pPr>
                    <w:r>
                      <w:rPr>
                        <w:rFonts w:hint="eastAsia" w:ascii="宋体" w:hAnsi="宋体"/>
                      </w:rPr>
                      <w:t>医疗救护组</w:t>
                    </w:r>
                  </w:p>
                </w:txbxContent>
              </v:textbox>
            </v:rect>
            <v:rect id="Rectangle 66" o:spid="_x0000_s1091" o:spt="1" style="position:absolute;left:5261;top:4176;height:1713;width:540;" coordsize="21600,21600">
              <v:path/>
              <v:fill focussize="0,0"/>
              <v:stroke/>
              <v:imagedata o:title=""/>
              <o:lock v:ext="edit"/>
              <v:textbox>
                <w:txbxContent>
                  <w:p>
                    <w:pPr>
                      <w:pStyle w:val="193"/>
                      <w:rPr>
                        <w:rFonts w:ascii="宋体" w:hAnsi="宋体"/>
                      </w:rPr>
                    </w:pPr>
                    <w:r>
                      <w:rPr>
                        <w:rFonts w:hint="eastAsia" w:ascii="宋体" w:hAnsi="宋体"/>
                      </w:rPr>
                      <w:t>警戒保卫组</w:t>
                    </w:r>
                  </w:p>
                </w:txbxContent>
              </v:textbox>
            </v:rect>
            <v:line id="Line 70" o:spid="_x0000_s1092" o:spt="20" style="position:absolute;left:2749;top:3759;flip:y;height:0;width:5661;" coordsize="21600,21600">
              <v:path arrowok="t"/>
              <v:fill focussize="0,0"/>
              <v:stroke/>
              <v:imagedata o:title=""/>
              <o:lock v:ext="edit"/>
            </v:line>
            <v:line id="Line 74" o:spid="_x0000_s1093" o:spt="20" style="position:absolute;left:5546;top:3755;height:421;width:1;" coordsize="21600,21600">
              <v:path arrowok="t"/>
              <v:fill focussize="0,0"/>
              <v:stroke endarrow="block"/>
              <v:imagedata o:title=""/>
              <o:lock v:ext="edit"/>
            </v:line>
            <v:line id="Line 75" o:spid="_x0000_s1094" o:spt="20" style="position:absolute;left:4073;top:3755;height:404;width:1;" coordsize="21600,21600">
              <v:path arrowok="t"/>
              <v:fill focussize="0,0"/>
              <v:stroke endarrow="block"/>
              <v:imagedata o:title=""/>
              <o:lock v:ext="edit"/>
            </v:line>
            <v:line id="Line 76" o:spid="_x0000_s1095" o:spt="20" style="position:absolute;left:2741;top:3755;height:421;width:1;" coordsize="21600,21600">
              <v:path arrowok="t"/>
              <v:fill focussize="0,0"/>
              <v:stroke endarrow="block"/>
              <v:imagedata o:title=""/>
              <o:lock v:ext="edit"/>
            </v:line>
            <v:line id="Line 79" o:spid="_x0000_s1096" o:spt="20" style="position:absolute;left:6972;top:3753;height:398;width:1;" coordsize="21600,21600">
              <v:path arrowok="t"/>
              <v:fill focussize="0,0"/>
              <v:stroke endarrow="block"/>
              <v:imagedata o:title=""/>
              <o:lock v:ext="edit"/>
            </v:line>
            <v:line id="Line 80" o:spid="_x0000_s1097" o:spt="20" style="position:absolute;left:8409;top:3742;height:409;width:1;" coordsize="21600,21600">
              <v:path arrowok="t"/>
              <v:fill focussize="0,0"/>
              <v:stroke endarrow="block"/>
              <v:imagedata o:title=""/>
              <o:lock v:ext="edit"/>
            </v:line>
            <v:rect id="Rectangle 87" o:spid="_x0000_s1098" o:spt="1" style="position:absolute;left:4176;top:1584;height:583;width:2728;" coordsize="21600,21600">
              <v:path/>
              <v:fill focussize="0,0"/>
              <v:stroke/>
              <v:imagedata o:title=""/>
              <o:lock v:ext="edit"/>
              <v:textbox>
                <w:txbxContent>
                  <w:p>
                    <w:pPr>
                      <w:pStyle w:val="193"/>
                      <w:rPr>
                        <w:rFonts w:ascii="宋体" w:hAnsi="宋体"/>
                      </w:rPr>
                    </w:pPr>
                    <w:r>
                      <w:rPr>
                        <w:rFonts w:hint="eastAsia" w:ascii="宋体" w:hAnsi="宋体"/>
                      </w:rPr>
                      <w:t xml:space="preserve"> 公司应急救援总指挥部</w:t>
                    </w:r>
                  </w:p>
                </w:txbxContent>
              </v:textbox>
            </v:rect>
            <v:rect id="Rectangle 88" o:spid="_x0000_s1099" o:spt="1" style="position:absolute;left:4222;top:2807;height:572;width:2682;" coordsize="21600,21600">
              <v:path/>
              <v:fill focussize="0,0"/>
              <v:stroke/>
              <v:imagedata o:title=""/>
              <o:lock v:ext="edit"/>
              <v:textbox>
                <w:txbxContent>
                  <w:p>
                    <w:pPr>
                      <w:pStyle w:val="193"/>
                      <w:rPr>
                        <w:rFonts w:ascii="宋体" w:hAnsi="宋体"/>
                      </w:rPr>
                    </w:pPr>
                    <w:r>
                      <w:rPr>
                        <w:rFonts w:hint="eastAsia" w:ascii="宋体" w:hAnsi="宋体"/>
                      </w:rPr>
                      <w:t xml:space="preserve"> 公司应急救援办公室</w:t>
                    </w:r>
                  </w:p>
                </w:txbxContent>
              </v:textbox>
            </v:rect>
            <v:rect id="Rectangle 92" o:spid="_x0000_s1100" o:spt="1" style="position:absolute;left:2453;top:4159;height:1720;width:540;" coordsize="21600,21600">
              <v:path/>
              <v:fill focussize="0,0"/>
              <v:stroke/>
              <v:imagedata o:title=""/>
              <o:lock v:ext="edit"/>
              <v:textbox>
                <w:txbxContent>
                  <w:p>
                    <w:pPr>
                      <w:pStyle w:val="193"/>
                      <w:rPr>
                        <w:rFonts w:ascii="宋体" w:hAnsi="宋体"/>
                      </w:rPr>
                    </w:pPr>
                    <w:r>
                      <w:rPr>
                        <w:rFonts w:hint="eastAsia" w:ascii="宋体" w:hAnsi="宋体"/>
                      </w:rPr>
                      <w:t>抢险救灾组</w:t>
                    </w:r>
                  </w:p>
                </w:txbxContent>
              </v:textbox>
            </v:rect>
            <v:rect id="Rectangle 94" o:spid="_x0000_s1101" o:spt="1" style="position:absolute;left:8160;top:4180;height:1697;width:540;" coordsize="21600,21600">
              <v:path/>
              <v:fill focussize="0,0"/>
              <v:stroke/>
              <v:imagedata o:title=""/>
              <o:lock v:ext="edit"/>
              <v:textbox>
                <w:txbxContent>
                  <w:p>
                    <w:pPr>
                      <w:pStyle w:val="193"/>
                      <w:rPr>
                        <w:rFonts w:ascii="宋体" w:hAnsi="宋体"/>
                      </w:rPr>
                    </w:pPr>
                    <w:r>
                      <w:rPr>
                        <w:rFonts w:hint="eastAsia" w:ascii="宋体" w:hAnsi="宋体"/>
                      </w:rPr>
                      <w:t>综合协调组</w:t>
                    </w:r>
                  </w:p>
                </w:txbxContent>
              </v:textbox>
            </v:rect>
            <v:rect id="Rectangle 95" o:spid="_x0000_s1102" o:spt="1" style="position:absolute;left:6740;top:4177;height:1702;width:540;" coordsize="21600,21600">
              <v:path/>
              <v:fill focussize="0,0"/>
              <v:stroke/>
              <v:imagedata o:title=""/>
              <o:lock v:ext="edit"/>
              <v:textbox>
                <w:txbxContent>
                  <w:p>
                    <w:pPr>
                      <w:pStyle w:val="193"/>
                      <w:rPr>
                        <w:rFonts w:ascii="宋体" w:hAnsi="宋体"/>
                      </w:rPr>
                    </w:pPr>
                    <w:r>
                      <w:rPr>
                        <w:rFonts w:hint="eastAsia" w:ascii="宋体" w:hAnsi="宋体"/>
                      </w:rPr>
                      <w:t>环境监测组</w:t>
                    </w:r>
                  </w:p>
                </w:txbxContent>
              </v:textbox>
            </v:rect>
            <v:line id="Line 98" o:spid="_x0000_s1103" o:spt="20" style="position:absolute;left:5553;top:2167;height:453;width:1;" coordsize="21600,21600">
              <v:path arrowok="t"/>
              <v:fill focussize="0,0"/>
              <v:stroke endarrow="block"/>
              <v:imagedata o:title=""/>
              <o:lock v:ext="edit"/>
            </v:line>
          </v:group>
        </w:pict>
      </w:r>
      <w:r>
        <w:rPr>
          <w:rFonts w:asciiTheme="minorEastAsia" w:hAnsiTheme="minorEastAsia" w:eastAsiaTheme="minorEastAsia"/>
          <w:szCs w:val="22"/>
        </w:rPr>
        <w:pict>
          <v:shape id="_x0000_s1104" o:spid="_x0000_s1104" o:spt="32" type="#_x0000_t32" style="position:absolute;left:0pt;flip:x;margin-left:220.8pt;margin-top:106pt;height:20.85pt;width:0.1pt;z-index:251664384;mso-width-relative:page;mso-height-relative:page;" o:connectortype="straight" filled="f" coordsize="21600,21600">
            <v:path arrowok="t"/>
            <v:fill on="f" focussize="0,0"/>
            <v:stroke endarrow="block"/>
            <v:imagedata o:title=""/>
            <o:lock v:ext="edit"/>
          </v:shape>
        </w:pict>
      </w: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ind w:firstLine="560"/>
        <w:rPr>
          <w:rFonts w:asciiTheme="minorEastAsia" w:hAnsiTheme="minorEastAsia" w:eastAsiaTheme="minorEastAsia"/>
          <w:sz w:val="28"/>
          <w:szCs w:val="28"/>
        </w:rPr>
      </w:pPr>
    </w:p>
    <w:p>
      <w:pPr>
        <w:spacing w:line="460" w:lineRule="exact"/>
        <w:rPr>
          <w:rFonts w:cs="楷体" w:asciiTheme="minorEastAsia" w:hAnsiTheme="minorEastAsia" w:eastAsiaTheme="minorEastAsia"/>
          <w:b/>
          <w:sz w:val="28"/>
          <w:szCs w:val="28"/>
        </w:rPr>
      </w:pPr>
    </w:p>
    <w:p>
      <w:pPr>
        <w:adjustRightInd w:val="0"/>
        <w:snapToGrid w:val="0"/>
        <w:spacing w:line="460" w:lineRule="exact"/>
        <w:outlineLvl w:val="1"/>
        <w:rPr>
          <w:rFonts w:hint="eastAsia"/>
          <w:b/>
          <w:color w:val="000000"/>
          <w:sz w:val="28"/>
          <w:szCs w:val="28"/>
        </w:rPr>
      </w:pPr>
    </w:p>
    <w:bookmarkEnd w:id="194"/>
    <w:bookmarkEnd w:id="195"/>
    <w:bookmarkEnd w:id="196"/>
    <w:p>
      <w:pPr>
        <w:adjustRightInd w:val="0"/>
        <w:snapToGrid w:val="0"/>
        <w:spacing w:line="460" w:lineRule="exact"/>
        <w:outlineLvl w:val="1"/>
        <w:rPr>
          <w:rFonts w:hint="eastAsia"/>
          <w:b/>
          <w:color w:val="000000"/>
          <w:sz w:val="26"/>
          <w:szCs w:val="26"/>
          <w:lang w:val="zh-CN"/>
        </w:rPr>
      </w:pPr>
      <w:bookmarkStart w:id="197" w:name="_Toc15310"/>
      <w:r>
        <w:rPr>
          <w:rFonts w:hint="eastAsia"/>
          <w:b/>
          <w:color w:val="000000"/>
          <w:sz w:val="26"/>
          <w:szCs w:val="26"/>
          <w:lang w:val="zh-CN"/>
        </w:rPr>
        <w:t>4.2组织机构成员名单</w:t>
      </w:r>
      <w:bookmarkEnd w:id="197"/>
    </w:p>
    <w:p>
      <w:pPr>
        <w:spacing w:line="460" w:lineRule="exact"/>
        <w:ind w:left="1560" w:hanging="1560" w:hangingChars="650"/>
        <w:jc w:val="center"/>
        <w:rPr>
          <w:sz w:val="24"/>
          <w:szCs w:val="24"/>
        </w:rPr>
      </w:pPr>
      <w:r>
        <w:rPr>
          <w:rFonts w:hint="eastAsia"/>
          <w:sz w:val="24"/>
          <w:szCs w:val="24"/>
        </w:rPr>
        <w:t>表</w:t>
      </w:r>
      <w:r>
        <w:rPr>
          <w:sz w:val="24"/>
          <w:szCs w:val="24"/>
        </w:rPr>
        <w:t>4.2-1</w:t>
      </w:r>
      <w:r>
        <w:rPr>
          <w:rFonts w:hint="eastAsia"/>
          <w:sz w:val="24"/>
          <w:szCs w:val="24"/>
        </w:rPr>
        <w:t>现有应急救援队伍情况一览表</w:t>
      </w:r>
    </w:p>
    <w:tbl>
      <w:tblPr>
        <w:tblStyle w:val="54"/>
        <w:tblW w:w="8961" w:type="dxa"/>
        <w:jc w:val="center"/>
        <w:tblInd w:w="595" w:type="dxa"/>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59"/>
        <w:gridCol w:w="1985"/>
        <w:gridCol w:w="2126"/>
        <w:gridCol w:w="2254"/>
      </w:tblGrid>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1037" w:type="dxa"/>
            <w:tcBorders>
              <w:top w:val="thinThickSmallGap" w:color="auto" w:sz="18" w:space="0"/>
            </w:tcBorders>
          </w:tcPr>
          <w:p>
            <w:pPr>
              <w:pStyle w:val="193"/>
              <w:spacing w:line="460" w:lineRule="exact"/>
              <w:rPr>
                <w:rFonts w:ascii="仿宋_GB2312"/>
                <w:sz w:val="21"/>
                <w:szCs w:val="21"/>
              </w:rPr>
            </w:pPr>
            <w:r>
              <w:rPr>
                <w:rFonts w:hint="eastAsia" w:ascii="仿宋_GB2312"/>
                <w:sz w:val="21"/>
                <w:szCs w:val="21"/>
              </w:rPr>
              <w:t>序号</w:t>
            </w:r>
          </w:p>
        </w:tc>
        <w:tc>
          <w:tcPr>
            <w:tcW w:w="1559" w:type="dxa"/>
            <w:tcBorders>
              <w:top w:val="thinThickSmallGap" w:color="auto" w:sz="18" w:space="0"/>
            </w:tcBorders>
            <w:vAlign w:val="center"/>
          </w:tcPr>
          <w:p>
            <w:pPr>
              <w:pStyle w:val="193"/>
              <w:spacing w:line="460" w:lineRule="exact"/>
              <w:rPr>
                <w:rFonts w:ascii="仿宋_GB2312"/>
                <w:sz w:val="21"/>
                <w:szCs w:val="21"/>
              </w:rPr>
            </w:pPr>
            <w:r>
              <w:rPr>
                <w:rFonts w:hint="eastAsia" w:ascii="仿宋_GB2312"/>
                <w:sz w:val="21"/>
                <w:szCs w:val="21"/>
              </w:rPr>
              <w:t>姓名</w:t>
            </w:r>
          </w:p>
        </w:tc>
        <w:tc>
          <w:tcPr>
            <w:tcW w:w="1985" w:type="dxa"/>
            <w:tcBorders>
              <w:top w:val="thinThickSmallGap" w:color="auto" w:sz="18" w:space="0"/>
            </w:tcBorders>
            <w:vAlign w:val="center"/>
          </w:tcPr>
          <w:p>
            <w:pPr>
              <w:pStyle w:val="193"/>
              <w:spacing w:line="460" w:lineRule="exact"/>
              <w:rPr>
                <w:rFonts w:ascii="仿宋_GB2312"/>
                <w:sz w:val="21"/>
                <w:szCs w:val="21"/>
              </w:rPr>
            </w:pPr>
            <w:r>
              <w:rPr>
                <w:rFonts w:hint="eastAsia" w:ascii="仿宋_GB2312"/>
                <w:sz w:val="21"/>
                <w:szCs w:val="21"/>
              </w:rPr>
              <w:t>应急职务</w:t>
            </w:r>
          </w:p>
        </w:tc>
        <w:tc>
          <w:tcPr>
            <w:tcW w:w="2126" w:type="dxa"/>
            <w:tcBorders>
              <w:top w:val="thinThickSmallGap" w:color="auto" w:sz="18" w:space="0"/>
            </w:tcBorders>
            <w:vAlign w:val="center"/>
          </w:tcPr>
          <w:p>
            <w:pPr>
              <w:pStyle w:val="193"/>
              <w:spacing w:line="460" w:lineRule="exact"/>
              <w:rPr>
                <w:rFonts w:ascii="仿宋_GB2312"/>
                <w:sz w:val="21"/>
                <w:szCs w:val="21"/>
              </w:rPr>
            </w:pPr>
            <w:r>
              <w:rPr>
                <w:rFonts w:hint="eastAsia" w:ascii="仿宋_GB2312"/>
                <w:sz w:val="21"/>
                <w:szCs w:val="21"/>
              </w:rPr>
              <w:t>公司职位</w:t>
            </w:r>
          </w:p>
        </w:tc>
        <w:tc>
          <w:tcPr>
            <w:tcW w:w="2254" w:type="dxa"/>
            <w:tcBorders>
              <w:top w:val="thinThickSmallGap" w:color="auto" w:sz="18" w:space="0"/>
            </w:tcBorders>
            <w:vAlign w:val="center"/>
          </w:tcPr>
          <w:p>
            <w:pPr>
              <w:pStyle w:val="193"/>
              <w:spacing w:line="460" w:lineRule="exact"/>
              <w:rPr>
                <w:rFonts w:ascii="仿宋_GB2312"/>
                <w:sz w:val="21"/>
                <w:szCs w:val="21"/>
              </w:rPr>
            </w:pPr>
            <w:r>
              <w:rPr>
                <w:rFonts w:hint="eastAsia" w:ascii="仿宋_GB2312"/>
                <w:sz w:val="21"/>
                <w:szCs w:val="21"/>
              </w:rPr>
              <w:t>手机</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961" w:type="dxa"/>
            <w:gridSpan w:val="5"/>
            <w:tcBorders>
              <w:top w:val="thinThickSmallGap" w:color="auto" w:sz="18" w:space="0"/>
            </w:tcBorders>
            <w:vAlign w:val="center"/>
          </w:tcPr>
          <w:p>
            <w:pPr>
              <w:autoSpaceDE w:val="0"/>
              <w:autoSpaceDN w:val="0"/>
              <w:spacing w:line="400" w:lineRule="exact"/>
              <w:jc w:val="center"/>
              <w:rPr>
                <w:rFonts w:ascii="仿宋_GB2312" w:cs="仿宋_GB2312"/>
                <w:szCs w:val="21"/>
                <w:lang w:val="zh-CN"/>
              </w:rPr>
            </w:pPr>
            <w:r>
              <w:rPr>
                <w:rFonts w:hint="eastAsia" w:ascii="仿宋_GB2312" w:hAnsi="楷体" w:cs="楷体"/>
                <w:bCs/>
                <w:szCs w:val="21"/>
              </w:rPr>
              <w:t>应急指挥部</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93"/>
              <w:spacing w:line="460" w:lineRule="exact"/>
              <w:rPr>
                <w:rFonts w:ascii="仿宋_GB2312"/>
                <w:sz w:val="21"/>
                <w:szCs w:val="21"/>
              </w:rPr>
            </w:pPr>
            <w:r>
              <w:rPr>
                <w:rFonts w:hint="eastAsia" w:ascii="仿宋_GB2312"/>
                <w:sz w:val="21"/>
                <w:szCs w:val="21"/>
              </w:rPr>
              <w:t>1</w:t>
            </w:r>
          </w:p>
        </w:tc>
        <w:tc>
          <w:tcPr>
            <w:tcW w:w="1559"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况敬良</w:t>
            </w:r>
          </w:p>
        </w:tc>
        <w:tc>
          <w:tcPr>
            <w:tcW w:w="1985" w:type="dxa"/>
            <w:vAlign w:val="center"/>
          </w:tcPr>
          <w:p>
            <w:pPr>
              <w:autoSpaceDE w:val="0"/>
              <w:autoSpaceDN w:val="0"/>
              <w:spacing w:line="400" w:lineRule="exact"/>
              <w:jc w:val="center"/>
              <w:rPr>
                <w:rFonts w:ascii="仿宋_GB2312"/>
                <w:szCs w:val="21"/>
              </w:rPr>
            </w:pPr>
            <w:r>
              <w:rPr>
                <w:rFonts w:hint="eastAsia" w:ascii="仿宋_GB2312"/>
                <w:szCs w:val="21"/>
              </w:rPr>
              <w:t>总经理</w:t>
            </w:r>
          </w:p>
        </w:tc>
        <w:tc>
          <w:tcPr>
            <w:tcW w:w="2126"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组长</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18983330040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93"/>
              <w:spacing w:line="460" w:lineRule="exact"/>
              <w:rPr>
                <w:rFonts w:ascii="仿宋_GB2312"/>
                <w:sz w:val="21"/>
                <w:szCs w:val="21"/>
              </w:rPr>
            </w:pPr>
            <w:r>
              <w:rPr>
                <w:rFonts w:hint="eastAsia" w:ascii="仿宋_GB2312"/>
                <w:sz w:val="21"/>
                <w:szCs w:val="21"/>
              </w:rPr>
              <w:t>2</w:t>
            </w:r>
          </w:p>
        </w:tc>
        <w:tc>
          <w:tcPr>
            <w:tcW w:w="1559"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秦廷伟</w:t>
            </w:r>
          </w:p>
        </w:tc>
        <w:tc>
          <w:tcPr>
            <w:tcW w:w="1985" w:type="dxa"/>
            <w:vAlign w:val="center"/>
          </w:tcPr>
          <w:p>
            <w:pPr>
              <w:autoSpaceDE w:val="0"/>
              <w:autoSpaceDN w:val="0"/>
              <w:spacing w:line="400" w:lineRule="exact"/>
              <w:jc w:val="center"/>
              <w:rPr>
                <w:rFonts w:ascii="仿宋_GB2312"/>
                <w:szCs w:val="21"/>
              </w:rPr>
            </w:pPr>
            <w:r>
              <w:rPr>
                <w:rFonts w:hint="eastAsia" w:ascii="仿宋_GB2312"/>
                <w:szCs w:val="21"/>
              </w:rPr>
              <w:t>副经理</w:t>
            </w:r>
          </w:p>
        </w:tc>
        <w:tc>
          <w:tcPr>
            <w:tcW w:w="2126"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副组长</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13996798479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pStyle w:val="193"/>
              <w:spacing w:line="460" w:lineRule="exact"/>
              <w:rPr>
                <w:rFonts w:ascii="仿宋_GB2312"/>
                <w:sz w:val="21"/>
                <w:szCs w:val="21"/>
              </w:rPr>
            </w:pPr>
            <w:r>
              <w:rPr>
                <w:rFonts w:hint="eastAsia" w:ascii="仿宋_GB2312"/>
                <w:sz w:val="21"/>
                <w:szCs w:val="21"/>
              </w:rPr>
              <w:t>3</w:t>
            </w:r>
          </w:p>
        </w:tc>
        <w:tc>
          <w:tcPr>
            <w:tcW w:w="1559" w:type="dxa"/>
            <w:vAlign w:val="center"/>
          </w:tcPr>
          <w:p>
            <w:pPr>
              <w:autoSpaceDE w:val="0"/>
              <w:autoSpaceDN w:val="0"/>
              <w:spacing w:line="400" w:lineRule="exact"/>
              <w:jc w:val="center"/>
              <w:rPr>
                <w:rFonts w:ascii="仿宋_GB2312"/>
                <w:szCs w:val="21"/>
              </w:rPr>
            </w:pPr>
            <w:r>
              <w:rPr>
                <w:rFonts w:hint="eastAsia" w:ascii="仿宋_GB2312"/>
                <w:szCs w:val="21"/>
              </w:rPr>
              <w:t>蒲传友</w:t>
            </w:r>
          </w:p>
        </w:tc>
        <w:tc>
          <w:tcPr>
            <w:tcW w:w="1985" w:type="dxa"/>
            <w:vAlign w:val="center"/>
          </w:tcPr>
          <w:p>
            <w:pPr>
              <w:autoSpaceDE w:val="0"/>
              <w:autoSpaceDN w:val="0"/>
              <w:spacing w:line="400" w:lineRule="exact"/>
              <w:jc w:val="center"/>
              <w:rPr>
                <w:rFonts w:ascii="仿宋_GB2312"/>
                <w:szCs w:val="21"/>
              </w:rPr>
            </w:pPr>
            <w:r>
              <w:rPr>
                <w:rFonts w:hint="eastAsia" w:ascii="仿宋_GB2312"/>
                <w:szCs w:val="21"/>
              </w:rPr>
              <w:t>副经理</w:t>
            </w:r>
          </w:p>
        </w:tc>
        <w:tc>
          <w:tcPr>
            <w:tcW w:w="2126"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副组长</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13609469333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00" w:lineRule="exact"/>
              <w:jc w:val="center"/>
              <w:rPr>
                <w:rFonts w:ascii="仿宋_GB2312"/>
                <w:szCs w:val="21"/>
              </w:rPr>
            </w:pPr>
            <w:r>
              <w:rPr>
                <w:rFonts w:hint="eastAsia" w:ascii="仿宋_GB2312"/>
                <w:szCs w:val="21"/>
              </w:rPr>
              <w:t>4</w:t>
            </w:r>
          </w:p>
        </w:tc>
        <w:tc>
          <w:tcPr>
            <w:tcW w:w="1559"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操准</w:t>
            </w:r>
          </w:p>
        </w:tc>
        <w:tc>
          <w:tcPr>
            <w:tcW w:w="1985" w:type="dxa"/>
            <w:vAlign w:val="center"/>
          </w:tcPr>
          <w:p>
            <w:pPr>
              <w:autoSpaceDE w:val="0"/>
              <w:autoSpaceDN w:val="0"/>
              <w:spacing w:line="400" w:lineRule="exact"/>
              <w:jc w:val="center"/>
              <w:rPr>
                <w:rFonts w:ascii="仿宋_GB2312"/>
                <w:szCs w:val="21"/>
              </w:rPr>
            </w:pPr>
            <w:r>
              <w:rPr>
                <w:rFonts w:hint="eastAsia" w:ascii="仿宋_GB2312"/>
                <w:szCs w:val="21"/>
              </w:rPr>
              <w:t>安全生产部部长</w:t>
            </w:r>
          </w:p>
        </w:tc>
        <w:tc>
          <w:tcPr>
            <w:tcW w:w="2126"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5</w:t>
            </w:r>
          </w:p>
        </w:tc>
        <w:tc>
          <w:tcPr>
            <w:tcW w:w="1559"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张平生</w:t>
            </w:r>
          </w:p>
        </w:tc>
        <w:tc>
          <w:tcPr>
            <w:tcW w:w="1985" w:type="dxa"/>
            <w:vAlign w:val="center"/>
          </w:tcPr>
          <w:p>
            <w:pPr>
              <w:autoSpaceDE w:val="0"/>
              <w:autoSpaceDN w:val="0"/>
              <w:spacing w:line="460" w:lineRule="exact"/>
              <w:jc w:val="center"/>
              <w:rPr>
                <w:rFonts w:ascii="仿宋_GB2312"/>
                <w:szCs w:val="21"/>
              </w:rPr>
            </w:pPr>
            <w:r>
              <w:rPr>
                <w:rFonts w:hint="eastAsia" w:ascii="仿宋_GB2312"/>
                <w:szCs w:val="21"/>
              </w:rPr>
              <w:t>厂长（百胜）</w:t>
            </w:r>
          </w:p>
        </w:tc>
        <w:tc>
          <w:tcPr>
            <w:tcW w:w="2126"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15023912208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6</w:t>
            </w:r>
          </w:p>
        </w:tc>
        <w:tc>
          <w:tcPr>
            <w:tcW w:w="1559"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杜平兴</w:t>
            </w:r>
          </w:p>
        </w:tc>
        <w:tc>
          <w:tcPr>
            <w:tcW w:w="1985" w:type="dxa"/>
            <w:vAlign w:val="center"/>
          </w:tcPr>
          <w:p>
            <w:pPr>
              <w:autoSpaceDE w:val="0"/>
              <w:autoSpaceDN w:val="0"/>
              <w:jc w:val="center"/>
              <w:rPr>
                <w:rFonts w:ascii="仿宋_GB2312"/>
                <w:szCs w:val="21"/>
              </w:rPr>
            </w:pPr>
            <w:r>
              <w:rPr>
                <w:rFonts w:hint="eastAsia" w:ascii="仿宋_GB2312"/>
                <w:szCs w:val="21"/>
              </w:rPr>
              <w:t>运营维修部部长</w:t>
            </w:r>
          </w:p>
        </w:tc>
        <w:tc>
          <w:tcPr>
            <w:tcW w:w="2126" w:type="dxa"/>
            <w:vAlign w:val="center"/>
          </w:tcPr>
          <w:p>
            <w:pPr>
              <w:autoSpaceDE w:val="0"/>
              <w:autoSpaceDN w:val="0"/>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szCs w:val="21"/>
              </w:rPr>
              <w:t>7</w:t>
            </w:r>
          </w:p>
        </w:tc>
        <w:tc>
          <w:tcPr>
            <w:tcW w:w="1559"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谭郑</w:t>
            </w:r>
          </w:p>
        </w:tc>
        <w:tc>
          <w:tcPr>
            <w:tcW w:w="1985" w:type="dxa"/>
            <w:vAlign w:val="center"/>
          </w:tcPr>
          <w:p>
            <w:pPr>
              <w:autoSpaceDE w:val="0"/>
              <w:autoSpaceDN w:val="0"/>
              <w:jc w:val="center"/>
              <w:rPr>
                <w:rFonts w:ascii="仿宋_GB2312"/>
                <w:szCs w:val="21"/>
              </w:rPr>
            </w:pPr>
            <w:r>
              <w:rPr>
                <w:rFonts w:hint="eastAsia" w:ascii="仿宋_GB2312"/>
                <w:szCs w:val="21"/>
              </w:rPr>
              <w:t>运营维修部副部长</w:t>
            </w:r>
          </w:p>
        </w:tc>
        <w:tc>
          <w:tcPr>
            <w:tcW w:w="2126" w:type="dxa"/>
            <w:vAlign w:val="center"/>
          </w:tcPr>
          <w:p>
            <w:pPr>
              <w:autoSpaceDE w:val="0"/>
              <w:autoSpaceDN w:val="0"/>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8</w:t>
            </w:r>
          </w:p>
        </w:tc>
        <w:tc>
          <w:tcPr>
            <w:tcW w:w="1559" w:type="dxa"/>
            <w:vAlign w:val="center"/>
          </w:tcPr>
          <w:p>
            <w:pPr>
              <w:autoSpaceDE w:val="0"/>
              <w:autoSpaceDN w:val="0"/>
              <w:spacing w:line="400" w:lineRule="exact"/>
              <w:jc w:val="center"/>
              <w:rPr>
                <w:rFonts w:ascii="仿宋_GB2312"/>
                <w:szCs w:val="21"/>
              </w:rPr>
            </w:pPr>
            <w:r>
              <w:rPr>
                <w:rFonts w:hint="eastAsia" w:ascii="仿宋_GB2312"/>
                <w:szCs w:val="21"/>
              </w:rPr>
              <w:t>葛娅</w:t>
            </w:r>
          </w:p>
        </w:tc>
        <w:tc>
          <w:tcPr>
            <w:tcW w:w="1985" w:type="dxa"/>
            <w:vAlign w:val="center"/>
          </w:tcPr>
          <w:p>
            <w:pPr>
              <w:autoSpaceDE w:val="0"/>
              <w:autoSpaceDN w:val="0"/>
              <w:jc w:val="center"/>
              <w:rPr>
                <w:rFonts w:ascii="仿宋_GB2312"/>
                <w:szCs w:val="21"/>
              </w:rPr>
            </w:pPr>
            <w:r>
              <w:rPr>
                <w:rFonts w:hint="eastAsia" w:ascii="仿宋_GB2312"/>
                <w:szCs w:val="21"/>
              </w:rPr>
              <w:t>综合部部长</w:t>
            </w:r>
          </w:p>
        </w:tc>
        <w:tc>
          <w:tcPr>
            <w:tcW w:w="2126" w:type="dxa"/>
            <w:vAlign w:val="center"/>
          </w:tcPr>
          <w:p>
            <w:pPr>
              <w:autoSpaceDE w:val="0"/>
              <w:autoSpaceDN w:val="0"/>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9</w:t>
            </w:r>
          </w:p>
        </w:tc>
        <w:tc>
          <w:tcPr>
            <w:tcW w:w="1559" w:type="dxa"/>
          </w:tcPr>
          <w:p>
            <w:pPr>
              <w:autoSpaceDE w:val="0"/>
              <w:autoSpaceDN w:val="0"/>
              <w:spacing w:line="460" w:lineRule="exact"/>
              <w:jc w:val="center"/>
              <w:rPr>
                <w:rFonts w:ascii="仿宋_GB2312" w:cs="??_GB2312"/>
                <w:szCs w:val="21"/>
                <w:lang w:val="zh-CN"/>
              </w:rPr>
            </w:pPr>
            <w:r>
              <w:rPr>
                <w:rFonts w:hint="eastAsia" w:ascii="仿宋_GB2312" w:cs="??_GB2312"/>
                <w:szCs w:val="21"/>
                <w:lang w:val="zh-CN"/>
              </w:rPr>
              <w:t>罗雯予</w:t>
            </w:r>
          </w:p>
        </w:tc>
        <w:tc>
          <w:tcPr>
            <w:tcW w:w="1985" w:type="dxa"/>
          </w:tcPr>
          <w:p>
            <w:pPr>
              <w:autoSpaceDE w:val="0"/>
              <w:autoSpaceDN w:val="0"/>
              <w:spacing w:line="460" w:lineRule="exact"/>
              <w:jc w:val="center"/>
              <w:rPr>
                <w:rFonts w:ascii="仿宋_GB2312" w:cs="??_GB2312"/>
                <w:szCs w:val="21"/>
                <w:lang w:val="zh-CN"/>
              </w:rPr>
            </w:pPr>
            <w:r>
              <w:rPr>
                <w:rFonts w:hint="eastAsia" w:ascii="仿宋_GB2312"/>
                <w:szCs w:val="21"/>
              </w:rPr>
              <w:t>综合部副部长</w:t>
            </w:r>
          </w:p>
        </w:tc>
        <w:tc>
          <w:tcPr>
            <w:tcW w:w="2126" w:type="dxa"/>
          </w:tcPr>
          <w:p>
            <w:pPr>
              <w:autoSpaceDE w:val="0"/>
              <w:autoSpaceDN w:val="0"/>
              <w:spacing w:line="460" w:lineRule="exact"/>
              <w:jc w:val="center"/>
              <w:rPr>
                <w:rFonts w:ascii="仿宋_GB2312" w:cs="??_GB2312"/>
                <w:szCs w:val="21"/>
                <w:lang w:val="zh-CN"/>
              </w:rPr>
            </w:pPr>
            <w:r>
              <w:rPr>
                <w:rFonts w:hint="eastAsia" w:ascii="仿宋_GB2312" w:cs="??_GB2312"/>
                <w:szCs w:val="21"/>
                <w:lang w:val="zh-CN"/>
              </w:rPr>
              <w:t>成员</w:t>
            </w:r>
          </w:p>
        </w:tc>
        <w:tc>
          <w:tcPr>
            <w:tcW w:w="2254" w:type="dxa"/>
          </w:tcPr>
          <w:p>
            <w:pPr>
              <w:autoSpaceDE w:val="0"/>
              <w:autoSpaceDN w:val="0"/>
              <w:spacing w:line="460" w:lineRule="exact"/>
              <w:jc w:val="center"/>
              <w:rPr>
                <w:rFonts w:ascii="仿宋_GB2312" w:cs="??_GB2312"/>
                <w:szCs w:val="21"/>
              </w:rPr>
            </w:pPr>
            <w:r>
              <w:rPr>
                <w:rFonts w:hint="eastAsia" w:ascii="仿宋_GB2312" w:cs="??_GB2312"/>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szCs w:val="21"/>
              </w:rPr>
              <w:t>10</w:t>
            </w:r>
          </w:p>
        </w:tc>
        <w:tc>
          <w:tcPr>
            <w:tcW w:w="1559"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况鳗洋</w:t>
            </w:r>
          </w:p>
        </w:tc>
        <w:tc>
          <w:tcPr>
            <w:tcW w:w="1985"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化验中心主任</w:t>
            </w:r>
          </w:p>
        </w:tc>
        <w:tc>
          <w:tcPr>
            <w:tcW w:w="2126"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成员</w:t>
            </w:r>
          </w:p>
        </w:tc>
        <w:tc>
          <w:tcPr>
            <w:tcW w:w="2254"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00" w:lineRule="exact"/>
              <w:jc w:val="center"/>
              <w:rPr>
                <w:rFonts w:ascii="仿宋_GB2312" w:cs="仿宋_GB2312"/>
                <w:szCs w:val="21"/>
                <w:lang w:val="zh-CN"/>
              </w:rPr>
            </w:pPr>
            <w:r>
              <w:rPr>
                <w:rFonts w:hint="eastAsia" w:ascii="仿宋_GB2312" w:hAnsi="宋体" w:cs="宋体"/>
                <w:kern w:val="0"/>
                <w:szCs w:val="21"/>
              </w:rPr>
              <w:t>抢险救灾组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11</w:t>
            </w:r>
          </w:p>
        </w:tc>
        <w:tc>
          <w:tcPr>
            <w:tcW w:w="1559" w:type="dxa"/>
            <w:vAlign w:val="center"/>
          </w:tcPr>
          <w:p>
            <w:pPr>
              <w:autoSpaceDE w:val="0"/>
              <w:autoSpaceDN w:val="0"/>
              <w:spacing w:line="400" w:lineRule="exact"/>
              <w:jc w:val="center"/>
              <w:rPr>
                <w:rFonts w:ascii="仿宋_GB2312"/>
                <w:szCs w:val="21"/>
              </w:rPr>
            </w:pPr>
            <w:r>
              <w:rPr>
                <w:rFonts w:hint="eastAsia" w:ascii="仿宋_GB2312" w:cs="仿宋_GB2312"/>
                <w:szCs w:val="21"/>
                <w:lang w:val="zh-CN"/>
              </w:rPr>
              <w:t>杜平兴</w:t>
            </w:r>
          </w:p>
        </w:tc>
        <w:tc>
          <w:tcPr>
            <w:tcW w:w="1985" w:type="dxa"/>
            <w:vAlign w:val="center"/>
          </w:tcPr>
          <w:p>
            <w:pPr>
              <w:autoSpaceDE w:val="0"/>
              <w:autoSpaceDN w:val="0"/>
              <w:jc w:val="center"/>
              <w:rPr>
                <w:rFonts w:ascii="仿宋_GB2312"/>
                <w:szCs w:val="21"/>
              </w:rPr>
            </w:pPr>
            <w:r>
              <w:rPr>
                <w:rFonts w:hint="eastAsia" w:ascii="仿宋_GB2312"/>
                <w:szCs w:val="21"/>
              </w:rPr>
              <w:t>运营维修部部长</w:t>
            </w:r>
          </w:p>
        </w:tc>
        <w:tc>
          <w:tcPr>
            <w:tcW w:w="2126" w:type="dxa"/>
            <w:vAlign w:val="center"/>
          </w:tcPr>
          <w:p>
            <w:pPr>
              <w:autoSpaceDE w:val="0"/>
              <w:autoSpaceDN w:val="0"/>
              <w:jc w:val="center"/>
              <w:rPr>
                <w:rFonts w:ascii="仿宋_GB2312"/>
                <w:szCs w:val="21"/>
              </w:rPr>
            </w:pPr>
            <w:r>
              <w:rPr>
                <w:rFonts w:hint="eastAsia" w:ascii="仿宋_GB2312" w:cs="仿宋_GB2312"/>
                <w:szCs w:val="21"/>
                <w:lang w:val="zh-CN"/>
              </w:rPr>
              <w:t>组长</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18996720968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12</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谭郑</w:t>
            </w:r>
          </w:p>
        </w:tc>
        <w:tc>
          <w:tcPr>
            <w:tcW w:w="1985" w:type="dxa"/>
            <w:vAlign w:val="center"/>
          </w:tcPr>
          <w:p>
            <w:pPr>
              <w:autoSpaceDE w:val="0"/>
              <w:autoSpaceDN w:val="0"/>
              <w:spacing w:line="460" w:lineRule="exact"/>
              <w:jc w:val="center"/>
              <w:rPr>
                <w:rFonts w:ascii="仿宋_GB2312"/>
                <w:szCs w:val="21"/>
              </w:rPr>
            </w:pPr>
            <w:r>
              <w:rPr>
                <w:rFonts w:hint="eastAsia" w:ascii="仿宋_GB2312"/>
                <w:szCs w:val="21"/>
              </w:rPr>
              <w:t>运营维修部副部长</w:t>
            </w:r>
          </w:p>
        </w:tc>
        <w:tc>
          <w:tcPr>
            <w:tcW w:w="2126"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18323891818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13</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冉家豪</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15978998799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14</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钱祥波</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szCs w:val="21"/>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15025655051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szCs w:val="21"/>
              </w:rPr>
              <w:t>15</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薛文</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tcPr>
          <w:p>
            <w:pPr>
              <w:spacing w:line="460" w:lineRule="exact"/>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18983338287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szCs w:val="21"/>
              </w:rPr>
              <w:t>16</w:t>
            </w:r>
          </w:p>
        </w:tc>
        <w:tc>
          <w:tcPr>
            <w:tcW w:w="1559" w:type="dxa"/>
            <w:vAlign w:val="center"/>
          </w:tcPr>
          <w:p>
            <w:pPr>
              <w:autoSpaceDE w:val="0"/>
              <w:autoSpaceDN w:val="0"/>
              <w:spacing w:line="460" w:lineRule="exact"/>
              <w:jc w:val="center"/>
              <w:rPr>
                <w:rFonts w:ascii="仿宋_GB2312" w:cs="??_GB2312"/>
                <w:kern w:val="0"/>
                <w:szCs w:val="21"/>
                <w:lang w:val="zh-CN"/>
              </w:rPr>
            </w:pPr>
            <w:r>
              <w:rPr>
                <w:rFonts w:hint="eastAsia" w:ascii="仿宋_GB2312" w:cs="??_GB2312"/>
                <w:kern w:val="0"/>
                <w:szCs w:val="21"/>
                <w:lang w:val="zh-CN"/>
              </w:rPr>
              <w:t>李小峰</w:t>
            </w:r>
          </w:p>
        </w:tc>
        <w:tc>
          <w:tcPr>
            <w:tcW w:w="1985" w:type="dxa"/>
            <w:vAlign w:val="center"/>
          </w:tcPr>
          <w:p>
            <w:pPr>
              <w:spacing w:line="460" w:lineRule="exact"/>
              <w:jc w:val="center"/>
              <w:rPr>
                <w:rFonts w:ascii="仿宋_GB2312"/>
                <w:szCs w:val="21"/>
              </w:rPr>
            </w:pPr>
            <w:r>
              <w:rPr>
                <w:rFonts w:hint="eastAsia" w:ascii="仿宋_GB2312" w:cs="??_GB2312"/>
                <w:szCs w:val="21"/>
                <w:lang w:val="zh-CN"/>
              </w:rPr>
              <w:t>职员</w:t>
            </w:r>
          </w:p>
        </w:tc>
        <w:tc>
          <w:tcPr>
            <w:tcW w:w="2126" w:type="dxa"/>
            <w:vAlign w:val="center"/>
          </w:tcPr>
          <w:p>
            <w:pPr>
              <w:spacing w:line="460" w:lineRule="exact"/>
              <w:jc w:val="center"/>
              <w:rPr>
                <w:rFonts w:ascii="仿宋_GB2312"/>
                <w:szCs w:val="21"/>
              </w:rPr>
            </w:pPr>
            <w:r>
              <w:rPr>
                <w:rFonts w:hint="eastAsia" w:ascii="仿宋_GB2312" w:cs="??_GB2312"/>
                <w:szCs w:val="21"/>
                <w:lang w:val="zh-CN"/>
              </w:rPr>
              <w:t>成员</w:t>
            </w:r>
          </w:p>
        </w:tc>
        <w:tc>
          <w:tcPr>
            <w:tcW w:w="2254" w:type="dxa"/>
            <w:vAlign w:val="center"/>
          </w:tcPr>
          <w:p>
            <w:pPr>
              <w:autoSpaceDE w:val="0"/>
              <w:autoSpaceDN w:val="0"/>
              <w:spacing w:line="460" w:lineRule="exact"/>
              <w:jc w:val="center"/>
              <w:rPr>
                <w:rFonts w:ascii="仿宋_GB2312" w:cs="??_GB2312"/>
                <w:szCs w:val="21"/>
              </w:rPr>
            </w:pPr>
            <w:r>
              <w:rPr>
                <w:rFonts w:hint="eastAsia" w:ascii="仿宋_GB2312" w:cs="??_GB2312"/>
                <w:szCs w:val="21"/>
              </w:rPr>
              <w:t>13594585786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ascii="仿宋_GB2312" w:cs="仿宋_GB2312"/>
                <w:szCs w:val="21"/>
                <w:lang w:val="zh-CN"/>
              </w:rPr>
            </w:pPr>
            <w:r>
              <w:rPr>
                <w:rFonts w:hint="eastAsia" w:ascii="仿宋_GB2312" w:cs="仿宋_GB2312"/>
                <w:szCs w:val="21"/>
                <w:lang w:val="zh-CN"/>
              </w:rPr>
              <w:t>医疗救护组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17</w:t>
            </w:r>
          </w:p>
        </w:tc>
        <w:tc>
          <w:tcPr>
            <w:tcW w:w="1559" w:type="dxa"/>
          </w:tcPr>
          <w:p>
            <w:pPr>
              <w:autoSpaceDE w:val="0"/>
              <w:autoSpaceDN w:val="0"/>
              <w:spacing w:line="460" w:lineRule="exact"/>
              <w:jc w:val="center"/>
              <w:rPr>
                <w:rFonts w:ascii="仿宋_GB2312" w:cs="??_GB2312"/>
                <w:szCs w:val="21"/>
                <w:lang w:val="zh-CN"/>
              </w:rPr>
            </w:pPr>
            <w:r>
              <w:rPr>
                <w:rFonts w:hint="eastAsia" w:ascii="仿宋_GB2312" w:cs="??_GB2312"/>
                <w:szCs w:val="21"/>
                <w:lang w:val="zh-CN"/>
              </w:rPr>
              <w:t>罗雯予</w:t>
            </w:r>
          </w:p>
        </w:tc>
        <w:tc>
          <w:tcPr>
            <w:tcW w:w="1985" w:type="dxa"/>
          </w:tcPr>
          <w:p>
            <w:pPr>
              <w:autoSpaceDE w:val="0"/>
              <w:autoSpaceDN w:val="0"/>
              <w:spacing w:line="460" w:lineRule="exact"/>
              <w:jc w:val="center"/>
              <w:rPr>
                <w:rFonts w:ascii="仿宋_GB2312" w:cs="??_GB2312"/>
                <w:szCs w:val="21"/>
                <w:lang w:val="zh-CN"/>
              </w:rPr>
            </w:pPr>
            <w:r>
              <w:rPr>
                <w:rFonts w:hint="eastAsia" w:ascii="仿宋_GB2312"/>
                <w:szCs w:val="21"/>
              </w:rPr>
              <w:t>综合部副部长</w:t>
            </w:r>
          </w:p>
        </w:tc>
        <w:tc>
          <w:tcPr>
            <w:tcW w:w="2126" w:type="dxa"/>
          </w:tcPr>
          <w:p>
            <w:pPr>
              <w:autoSpaceDE w:val="0"/>
              <w:autoSpaceDN w:val="0"/>
              <w:spacing w:line="460" w:lineRule="exact"/>
              <w:jc w:val="center"/>
              <w:rPr>
                <w:rFonts w:ascii="仿宋_GB2312" w:cs="??_GB2312"/>
                <w:szCs w:val="21"/>
                <w:lang w:val="zh-CN"/>
              </w:rPr>
            </w:pPr>
            <w:r>
              <w:rPr>
                <w:rFonts w:hint="eastAsia" w:ascii="仿宋_GB2312" w:cs="??_GB2312"/>
                <w:szCs w:val="21"/>
                <w:lang w:val="zh-CN"/>
              </w:rPr>
              <w:t>组长</w:t>
            </w:r>
          </w:p>
        </w:tc>
        <w:tc>
          <w:tcPr>
            <w:tcW w:w="2254" w:type="dxa"/>
          </w:tcPr>
          <w:p>
            <w:pPr>
              <w:autoSpaceDE w:val="0"/>
              <w:autoSpaceDN w:val="0"/>
              <w:spacing w:line="460" w:lineRule="exact"/>
              <w:jc w:val="center"/>
              <w:rPr>
                <w:rFonts w:ascii="仿宋_GB2312" w:cs="??_GB2312"/>
                <w:szCs w:val="21"/>
              </w:rPr>
            </w:pPr>
            <w:r>
              <w:rPr>
                <w:rFonts w:hint="eastAsia" w:ascii="仿宋_GB2312" w:cs="??_GB2312"/>
                <w:szCs w:val="21"/>
              </w:rPr>
              <w:t>15923693457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18</w:t>
            </w:r>
          </w:p>
        </w:tc>
        <w:tc>
          <w:tcPr>
            <w:tcW w:w="1559" w:type="dxa"/>
            <w:vAlign w:val="center"/>
          </w:tcPr>
          <w:p>
            <w:pPr>
              <w:autoSpaceDE w:val="0"/>
              <w:autoSpaceDN w:val="0"/>
              <w:spacing w:line="460" w:lineRule="exact"/>
              <w:jc w:val="center"/>
              <w:rPr>
                <w:rFonts w:ascii="仿宋_GB2312"/>
                <w:szCs w:val="21"/>
              </w:rPr>
            </w:pPr>
            <w:r>
              <w:rPr>
                <w:rFonts w:hint="eastAsia" w:ascii="仿宋_GB2312" w:hAnsi="宋体" w:cs="??_GB2312"/>
                <w:szCs w:val="21"/>
              </w:rPr>
              <w:t>廖黎立</w:t>
            </w:r>
          </w:p>
        </w:tc>
        <w:tc>
          <w:tcPr>
            <w:tcW w:w="1985" w:type="dxa"/>
            <w:vAlign w:val="center"/>
          </w:tcPr>
          <w:p>
            <w:pPr>
              <w:spacing w:line="460" w:lineRule="exact"/>
              <w:jc w:val="center"/>
              <w:rPr>
                <w:rFonts w:ascii="仿宋_GB2312" w:cs="??_GB2312"/>
                <w:szCs w:val="21"/>
                <w:lang w:val="zh-CN"/>
              </w:rPr>
            </w:pPr>
            <w:r>
              <w:rPr>
                <w:rFonts w:hint="eastAsia" w:ascii="仿宋_GB2312" w:cs="??_GB2312"/>
                <w:szCs w:val="21"/>
                <w:lang w:val="zh-CN"/>
              </w:rPr>
              <w:t>职员</w:t>
            </w:r>
          </w:p>
        </w:tc>
        <w:tc>
          <w:tcPr>
            <w:tcW w:w="2126" w:type="dxa"/>
            <w:vAlign w:val="center"/>
          </w:tcPr>
          <w:p>
            <w:pPr>
              <w:spacing w:line="460" w:lineRule="exact"/>
              <w:jc w:val="center"/>
              <w:rPr>
                <w:rFonts w:ascii="仿宋_GB2312"/>
                <w:szCs w:val="21"/>
              </w:rPr>
            </w:pPr>
            <w:r>
              <w:rPr>
                <w:rFonts w:hint="eastAsia" w:ascii="仿宋_GB2312" w:cs="??_GB2312"/>
                <w:szCs w:val="21"/>
                <w:lang w:val="zh-CN"/>
              </w:rPr>
              <w:t>成员</w:t>
            </w:r>
          </w:p>
        </w:tc>
        <w:tc>
          <w:tcPr>
            <w:tcW w:w="2254"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lang w:val="zh-CN"/>
              </w:rPr>
              <w:t>13372786906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19</w:t>
            </w:r>
          </w:p>
        </w:tc>
        <w:tc>
          <w:tcPr>
            <w:tcW w:w="1559" w:type="dxa"/>
            <w:vAlign w:val="center"/>
          </w:tcPr>
          <w:p>
            <w:pPr>
              <w:autoSpaceDE w:val="0"/>
              <w:autoSpaceDN w:val="0"/>
              <w:spacing w:line="460" w:lineRule="exact"/>
              <w:jc w:val="center"/>
              <w:rPr>
                <w:rFonts w:ascii="仿宋_GB2312" w:cs="仿宋_GB2312"/>
                <w:kern w:val="0"/>
                <w:szCs w:val="21"/>
                <w:lang w:val="zh-CN"/>
              </w:rPr>
            </w:pPr>
            <w:r>
              <w:rPr>
                <w:rFonts w:hint="eastAsia" w:ascii="仿宋_GB2312" w:cs="仿宋_GB2312"/>
                <w:kern w:val="0"/>
                <w:szCs w:val="21"/>
              </w:rPr>
              <w:t>张毅</w:t>
            </w:r>
          </w:p>
        </w:tc>
        <w:tc>
          <w:tcPr>
            <w:tcW w:w="1985" w:type="dxa"/>
          </w:tcPr>
          <w:p>
            <w:pPr>
              <w:spacing w:line="460" w:lineRule="exact"/>
              <w:jc w:val="center"/>
              <w:rPr>
                <w:rFonts w:ascii="仿宋_GB2312"/>
                <w:szCs w:val="21"/>
              </w:rPr>
            </w:pPr>
            <w:r>
              <w:rPr>
                <w:rFonts w:hint="eastAsia" w:ascii="仿宋_GB2312" w:cs="仿宋_GB2312"/>
                <w:szCs w:val="21"/>
                <w:lang w:val="zh-CN"/>
              </w:rPr>
              <w:t>职员</w:t>
            </w:r>
          </w:p>
        </w:tc>
        <w:tc>
          <w:tcPr>
            <w:tcW w:w="2126" w:type="dxa"/>
          </w:tcPr>
          <w:p>
            <w:pPr>
              <w:spacing w:line="460" w:lineRule="exact"/>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13594522854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20</w:t>
            </w:r>
          </w:p>
        </w:tc>
        <w:tc>
          <w:tcPr>
            <w:tcW w:w="1559" w:type="dxa"/>
            <w:vAlign w:val="center"/>
          </w:tcPr>
          <w:p>
            <w:pPr>
              <w:spacing w:line="460" w:lineRule="exact"/>
              <w:jc w:val="center"/>
              <w:rPr>
                <w:rFonts w:ascii="仿宋_GB2312" w:hAnsi="楷体" w:cs="楷体"/>
                <w:szCs w:val="21"/>
              </w:rPr>
            </w:pPr>
            <w:r>
              <w:rPr>
                <w:rFonts w:hint="eastAsia" w:ascii="仿宋_GB2312" w:cs="仿宋_GB2312"/>
                <w:kern w:val="0"/>
                <w:szCs w:val="21"/>
              </w:rPr>
              <w:t>杜魏</w:t>
            </w:r>
          </w:p>
        </w:tc>
        <w:tc>
          <w:tcPr>
            <w:tcW w:w="1985" w:type="dxa"/>
          </w:tcPr>
          <w:p>
            <w:pPr>
              <w:spacing w:line="460" w:lineRule="exact"/>
              <w:jc w:val="center"/>
              <w:rPr>
                <w:rFonts w:ascii="仿宋_GB2312"/>
                <w:szCs w:val="21"/>
              </w:rPr>
            </w:pPr>
            <w:r>
              <w:rPr>
                <w:rFonts w:hint="eastAsia" w:ascii="仿宋_GB2312" w:cs="仿宋_GB2312"/>
                <w:szCs w:val="21"/>
                <w:lang w:val="zh-CN"/>
              </w:rPr>
              <w:t>职员</w:t>
            </w:r>
          </w:p>
        </w:tc>
        <w:tc>
          <w:tcPr>
            <w:tcW w:w="2126" w:type="dxa"/>
          </w:tcPr>
          <w:p>
            <w:pPr>
              <w:spacing w:line="460" w:lineRule="exact"/>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15213681034</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cs="仿宋_GB2312"/>
                <w:szCs w:val="21"/>
                <w:lang w:val="zh-CN"/>
              </w:rPr>
            </w:pPr>
            <w:r>
              <w:rPr>
                <w:rFonts w:hint="eastAsia" w:ascii="仿宋_GB2312"/>
                <w:szCs w:val="21"/>
              </w:rPr>
              <w:t>21</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田源</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szCs w:val="21"/>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18523651007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ascii="仿宋_GB2312" w:cs="仿宋_GB2312"/>
                <w:szCs w:val="21"/>
                <w:lang w:val="zh-CN"/>
              </w:rPr>
            </w:pPr>
            <w:r>
              <w:rPr>
                <w:rFonts w:hint="eastAsia" w:ascii="仿宋_GB2312" w:cs="仿宋_GB2312"/>
                <w:szCs w:val="21"/>
                <w:lang w:val="zh-CN"/>
              </w:rPr>
              <w:t>警戒保卫组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22</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操准</w:t>
            </w:r>
          </w:p>
        </w:tc>
        <w:tc>
          <w:tcPr>
            <w:tcW w:w="1985" w:type="dxa"/>
            <w:vAlign w:val="center"/>
          </w:tcPr>
          <w:p>
            <w:pPr>
              <w:autoSpaceDE w:val="0"/>
              <w:autoSpaceDN w:val="0"/>
              <w:spacing w:line="460" w:lineRule="exact"/>
              <w:jc w:val="center"/>
              <w:rPr>
                <w:rFonts w:ascii="仿宋_GB2312"/>
                <w:szCs w:val="21"/>
              </w:rPr>
            </w:pPr>
            <w:r>
              <w:rPr>
                <w:rFonts w:hint="eastAsia" w:ascii="仿宋_GB2312"/>
                <w:szCs w:val="21"/>
              </w:rPr>
              <w:t>安全生产部部长</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组长</w:t>
            </w:r>
          </w:p>
        </w:tc>
        <w:tc>
          <w:tcPr>
            <w:tcW w:w="2254"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18623512227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23</w:t>
            </w:r>
          </w:p>
        </w:tc>
        <w:tc>
          <w:tcPr>
            <w:tcW w:w="1559"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张平生</w:t>
            </w:r>
          </w:p>
        </w:tc>
        <w:tc>
          <w:tcPr>
            <w:tcW w:w="1985" w:type="dxa"/>
            <w:vAlign w:val="center"/>
          </w:tcPr>
          <w:p>
            <w:pPr>
              <w:autoSpaceDE w:val="0"/>
              <w:autoSpaceDN w:val="0"/>
              <w:spacing w:line="460" w:lineRule="exact"/>
              <w:jc w:val="center"/>
              <w:rPr>
                <w:rFonts w:ascii="仿宋_GB2312"/>
                <w:szCs w:val="21"/>
              </w:rPr>
            </w:pPr>
            <w:r>
              <w:rPr>
                <w:rFonts w:hint="eastAsia" w:ascii="仿宋_GB2312"/>
                <w:szCs w:val="21"/>
              </w:rPr>
              <w:t>厂长（百胜）</w:t>
            </w:r>
          </w:p>
        </w:tc>
        <w:tc>
          <w:tcPr>
            <w:tcW w:w="2126"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15023912208</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24</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任波</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18225108867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25</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李茂</w:t>
            </w:r>
          </w:p>
        </w:tc>
        <w:tc>
          <w:tcPr>
            <w:tcW w:w="1985" w:type="dxa"/>
          </w:tcPr>
          <w:p>
            <w:pPr>
              <w:spacing w:line="460" w:lineRule="exact"/>
              <w:jc w:val="center"/>
              <w:rPr>
                <w:rFonts w:ascii="仿宋_GB2312"/>
                <w:szCs w:val="21"/>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13896661651</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26</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陈杰</w:t>
            </w:r>
          </w:p>
        </w:tc>
        <w:tc>
          <w:tcPr>
            <w:tcW w:w="1985" w:type="dxa"/>
          </w:tcPr>
          <w:p>
            <w:pPr>
              <w:spacing w:line="460" w:lineRule="exact"/>
              <w:jc w:val="center"/>
              <w:rPr>
                <w:rFonts w:ascii="仿宋_GB2312"/>
                <w:szCs w:val="21"/>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18512343757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27</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常东</w:t>
            </w:r>
          </w:p>
        </w:tc>
        <w:tc>
          <w:tcPr>
            <w:tcW w:w="1985" w:type="dxa"/>
          </w:tcPr>
          <w:p>
            <w:pPr>
              <w:spacing w:line="460" w:lineRule="exact"/>
              <w:jc w:val="center"/>
              <w:rPr>
                <w:rFonts w:ascii="仿宋_GB2312"/>
                <w:szCs w:val="21"/>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13983338939</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ascii="仿宋_GB2312" w:cs="仿宋_GB2312"/>
                <w:szCs w:val="21"/>
                <w:lang w:val="zh-CN"/>
              </w:rPr>
            </w:pPr>
            <w:r>
              <w:rPr>
                <w:rFonts w:hint="eastAsia" w:ascii="仿宋_GB2312" w:cs="仿宋_GB2312"/>
                <w:szCs w:val="21"/>
                <w:lang w:val="zh-CN"/>
              </w:rPr>
              <w:t>环境监测组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28</w:t>
            </w:r>
          </w:p>
        </w:tc>
        <w:tc>
          <w:tcPr>
            <w:tcW w:w="1559"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况鳗洋</w:t>
            </w:r>
          </w:p>
        </w:tc>
        <w:tc>
          <w:tcPr>
            <w:tcW w:w="1985"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化验中心主任</w:t>
            </w:r>
          </w:p>
        </w:tc>
        <w:tc>
          <w:tcPr>
            <w:tcW w:w="2126"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组长</w:t>
            </w:r>
          </w:p>
        </w:tc>
        <w:tc>
          <w:tcPr>
            <w:tcW w:w="2254" w:type="dxa"/>
          </w:tcPr>
          <w:p>
            <w:pPr>
              <w:autoSpaceDE w:val="0"/>
              <w:autoSpaceDN w:val="0"/>
              <w:spacing w:line="400" w:lineRule="exact"/>
              <w:jc w:val="center"/>
              <w:rPr>
                <w:rFonts w:ascii="仿宋_GB2312" w:cs="仿宋_GB2312"/>
                <w:szCs w:val="21"/>
                <w:lang w:val="zh-CN"/>
              </w:rPr>
            </w:pPr>
            <w:r>
              <w:rPr>
                <w:rFonts w:hint="eastAsia" w:ascii="仿宋_GB2312" w:cs="仿宋_GB2312"/>
                <w:szCs w:val="21"/>
                <w:lang w:val="zh-CN"/>
              </w:rPr>
              <w:t>15025632100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29</w:t>
            </w:r>
          </w:p>
        </w:tc>
        <w:tc>
          <w:tcPr>
            <w:tcW w:w="1559" w:type="dxa"/>
            <w:vAlign w:val="center"/>
          </w:tcPr>
          <w:p>
            <w:pPr>
              <w:autoSpaceDE w:val="0"/>
              <w:autoSpaceDN w:val="0"/>
              <w:spacing w:line="460" w:lineRule="exact"/>
              <w:jc w:val="center"/>
              <w:rPr>
                <w:rFonts w:ascii="仿宋_GB2312"/>
                <w:szCs w:val="21"/>
              </w:rPr>
            </w:pPr>
            <w:r>
              <w:rPr>
                <w:rFonts w:hint="eastAsia" w:ascii="仿宋_GB2312"/>
                <w:szCs w:val="21"/>
              </w:rPr>
              <w:t>张贵风</w:t>
            </w:r>
          </w:p>
        </w:tc>
        <w:tc>
          <w:tcPr>
            <w:tcW w:w="1985"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lang w:val="zh-CN"/>
              </w:rPr>
              <w:t>职员</w:t>
            </w:r>
          </w:p>
        </w:tc>
        <w:tc>
          <w:tcPr>
            <w:tcW w:w="2126"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lang w:val="zh-CN"/>
              </w:rPr>
              <w:t>成员</w:t>
            </w:r>
          </w:p>
        </w:tc>
        <w:tc>
          <w:tcPr>
            <w:tcW w:w="2254" w:type="dxa"/>
            <w:vAlign w:val="center"/>
          </w:tcPr>
          <w:p>
            <w:pPr>
              <w:autoSpaceDE w:val="0"/>
              <w:autoSpaceDN w:val="0"/>
              <w:spacing w:line="460" w:lineRule="exact"/>
              <w:jc w:val="center"/>
              <w:rPr>
                <w:rFonts w:ascii="仿宋_GB2312" w:cs="??_GB2312"/>
                <w:szCs w:val="21"/>
              </w:rPr>
            </w:pPr>
            <w:r>
              <w:rPr>
                <w:rFonts w:hint="eastAsia" w:ascii="仿宋_GB2312" w:cs="??_GB2312"/>
                <w:szCs w:val="21"/>
              </w:rPr>
              <w:t>15123645632</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30</w:t>
            </w:r>
          </w:p>
        </w:tc>
        <w:tc>
          <w:tcPr>
            <w:tcW w:w="1559" w:type="dxa"/>
            <w:vAlign w:val="center"/>
          </w:tcPr>
          <w:p>
            <w:pPr>
              <w:autoSpaceDE w:val="0"/>
              <w:autoSpaceDN w:val="0"/>
              <w:spacing w:line="460" w:lineRule="exact"/>
              <w:jc w:val="center"/>
              <w:rPr>
                <w:rFonts w:ascii="仿宋_GB2312"/>
                <w:szCs w:val="21"/>
              </w:rPr>
            </w:pPr>
            <w:r>
              <w:rPr>
                <w:rFonts w:hint="eastAsia" w:ascii="仿宋_GB2312" w:cs="??_GB2312"/>
                <w:szCs w:val="21"/>
                <w:lang w:val="zh-CN"/>
              </w:rPr>
              <w:t>任婧</w:t>
            </w:r>
          </w:p>
        </w:tc>
        <w:tc>
          <w:tcPr>
            <w:tcW w:w="1985"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lang w:val="zh-CN"/>
              </w:rPr>
              <w:t>职员</w:t>
            </w:r>
          </w:p>
        </w:tc>
        <w:tc>
          <w:tcPr>
            <w:tcW w:w="2126" w:type="dxa"/>
          </w:tcPr>
          <w:p>
            <w:pPr>
              <w:spacing w:line="460" w:lineRule="exact"/>
              <w:jc w:val="center"/>
              <w:rPr>
                <w:rFonts w:ascii="仿宋_GB2312"/>
                <w:szCs w:val="21"/>
              </w:rPr>
            </w:pPr>
            <w:r>
              <w:rPr>
                <w:rFonts w:hint="eastAsia" w:ascii="仿宋_GB2312"/>
                <w:szCs w:val="21"/>
              </w:rPr>
              <w:t>成员</w:t>
            </w:r>
          </w:p>
        </w:tc>
        <w:tc>
          <w:tcPr>
            <w:tcW w:w="2254"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31</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晏伟</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tcPr>
          <w:p>
            <w:pPr>
              <w:spacing w:line="460" w:lineRule="exact"/>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15213718905</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32</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张春梅</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tcPr>
          <w:p>
            <w:pPr>
              <w:spacing w:line="460" w:lineRule="exact"/>
              <w:jc w:val="center"/>
              <w:rPr>
                <w:rFonts w:ascii="仿宋_GB2312"/>
                <w:szCs w:val="21"/>
              </w:rPr>
            </w:pPr>
            <w:r>
              <w:rPr>
                <w:rFonts w:hint="eastAsia" w:ascii="仿宋_GB2312"/>
                <w:szCs w:val="21"/>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18983318386</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8961" w:type="dxa"/>
            <w:gridSpan w:val="5"/>
            <w:vAlign w:val="center"/>
          </w:tcPr>
          <w:p>
            <w:pPr>
              <w:autoSpaceDE w:val="0"/>
              <w:autoSpaceDN w:val="0"/>
              <w:spacing w:line="460" w:lineRule="exact"/>
              <w:ind w:firstLine="420"/>
              <w:jc w:val="center"/>
              <w:rPr>
                <w:rFonts w:ascii="仿宋_GB2312" w:cs="仿宋_GB2312"/>
                <w:szCs w:val="21"/>
                <w:lang w:val="zh-CN"/>
              </w:rPr>
            </w:pPr>
            <w:r>
              <w:rPr>
                <w:rFonts w:hint="eastAsia" w:ascii="仿宋_GB2312" w:cs="仿宋_GB2312"/>
                <w:szCs w:val="21"/>
                <w:lang w:val="zh-CN"/>
              </w:rPr>
              <w:t>综合协调组</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33</w:t>
            </w:r>
          </w:p>
        </w:tc>
        <w:tc>
          <w:tcPr>
            <w:tcW w:w="1559" w:type="dxa"/>
            <w:vAlign w:val="center"/>
          </w:tcPr>
          <w:p>
            <w:pPr>
              <w:autoSpaceDE w:val="0"/>
              <w:autoSpaceDN w:val="0"/>
              <w:spacing w:line="460" w:lineRule="exact"/>
              <w:jc w:val="center"/>
              <w:rPr>
                <w:rFonts w:ascii="仿宋_GB2312"/>
                <w:szCs w:val="21"/>
              </w:rPr>
            </w:pPr>
            <w:r>
              <w:rPr>
                <w:rFonts w:hint="eastAsia" w:ascii="仿宋_GB2312"/>
                <w:szCs w:val="21"/>
              </w:rPr>
              <w:t>葛娅</w:t>
            </w:r>
          </w:p>
        </w:tc>
        <w:tc>
          <w:tcPr>
            <w:tcW w:w="1985" w:type="dxa"/>
            <w:vAlign w:val="center"/>
          </w:tcPr>
          <w:p>
            <w:pPr>
              <w:autoSpaceDE w:val="0"/>
              <w:autoSpaceDN w:val="0"/>
              <w:spacing w:line="460" w:lineRule="exact"/>
              <w:jc w:val="center"/>
              <w:rPr>
                <w:rFonts w:ascii="仿宋_GB2312"/>
                <w:szCs w:val="21"/>
              </w:rPr>
            </w:pPr>
            <w:r>
              <w:rPr>
                <w:rFonts w:hint="eastAsia" w:ascii="仿宋_GB2312"/>
                <w:szCs w:val="21"/>
              </w:rPr>
              <w:t>综合部部长</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组长</w:t>
            </w:r>
          </w:p>
        </w:tc>
        <w:tc>
          <w:tcPr>
            <w:tcW w:w="2254"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13594697440</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34</w:t>
            </w:r>
          </w:p>
        </w:tc>
        <w:tc>
          <w:tcPr>
            <w:tcW w:w="1559" w:type="dxa"/>
            <w:vAlign w:val="center"/>
          </w:tcPr>
          <w:p>
            <w:pPr>
              <w:autoSpaceDE w:val="0"/>
              <w:autoSpaceDN w:val="0"/>
              <w:spacing w:line="460" w:lineRule="exact"/>
              <w:jc w:val="center"/>
              <w:rPr>
                <w:rFonts w:ascii="仿宋_GB2312"/>
                <w:szCs w:val="21"/>
              </w:rPr>
            </w:pPr>
            <w:r>
              <w:rPr>
                <w:rFonts w:hint="eastAsia" w:ascii="仿宋_GB2312" w:cs="仿宋_GB2312"/>
                <w:szCs w:val="21"/>
                <w:lang w:val="zh-CN"/>
              </w:rPr>
              <w:t>熊学海</w:t>
            </w:r>
          </w:p>
        </w:tc>
        <w:tc>
          <w:tcPr>
            <w:tcW w:w="1985"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18996813477</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35</w:t>
            </w:r>
          </w:p>
        </w:tc>
        <w:tc>
          <w:tcPr>
            <w:tcW w:w="1559" w:type="dxa"/>
            <w:vAlign w:val="center"/>
          </w:tcPr>
          <w:p>
            <w:pPr>
              <w:autoSpaceDE w:val="0"/>
              <w:autoSpaceDN w:val="0"/>
              <w:spacing w:line="460" w:lineRule="exact"/>
              <w:jc w:val="center"/>
              <w:rPr>
                <w:rFonts w:ascii="仿宋_GB2312"/>
                <w:szCs w:val="21"/>
              </w:rPr>
            </w:pPr>
            <w:r>
              <w:rPr>
                <w:rFonts w:hint="eastAsia" w:ascii="仿宋_GB2312" w:cs="??_GB2312"/>
                <w:szCs w:val="21"/>
                <w:lang w:val="zh-CN"/>
              </w:rPr>
              <w:t>冉德容</w:t>
            </w:r>
          </w:p>
        </w:tc>
        <w:tc>
          <w:tcPr>
            <w:tcW w:w="1985"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lang w:val="zh-CN"/>
              </w:rPr>
              <w:t>职员</w:t>
            </w:r>
          </w:p>
        </w:tc>
        <w:tc>
          <w:tcPr>
            <w:tcW w:w="2126"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lang w:val="zh-CN"/>
              </w:rPr>
              <w:t>成员</w:t>
            </w:r>
          </w:p>
        </w:tc>
        <w:tc>
          <w:tcPr>
            <w:tcW w:w="2254" w:type="dxa"/>
            <w:vAlign w:val="center"/>
          </w:tcPr>
          <w:p>
            <w:pPr>
              <w:autoSpaceDE w:val="0"/>
              <w:autoSpaceDN w:val="0"/>
              <w:spacing w:line="460" w:lineRule="exact"/>
              <w:jc w:val="center"/>
              <w:rPr>
                <w:rFonts w:ascii="仿宋_GB2312" w:cs="??_GB2312"/>
                <w:szCs w:val="21"/>
                <w:lang w:val="zh-CN"/>
              </w:rPr>
            </w:pPr>
            <w:r>
              <w:rPr>
                <w:rFonts w:hint="eastAsia" w:ascii="仿宋_GB2312" w:cs="??_GB2312"/>
                <w:szCs w:val="21"/>
              </w:rPr>
              <w:t>18983313573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vAlign w:val="center"/>
          </w:tcPr>
          <w:p>
            <w:pPr>
              <w:autoSpaceDE w:val="0"/>
              <w:autoSpaceDN w:val="0"/>
              <w:spacing w:line="460" w:lineRule="exact"/>
              <w:jc w:val="center"/>
              <w:rPr>
                <w:rFonts w:ascii="仿宋_GB2312"/>
                <w:szCs w:val="21"/>
              </w:rPr>
            </w:pPr>
            <w:r>
              <w:rPr>
                <w:rFonts w:hint="eastAsia" w:ascii="仿宋_GB2312"/>
                <w:szCs w:val="21"/>
              </w:rPr>
              <w:t>36</w:t>
            </w:r>
          </w:p>
        </w:tc>
        <w:tc>
          <w:tcPr>
            <w:tcW w:w="1559" w:type="dxa"/>
            <w:vAlign w:val="center"/>
          </w:tcPr>
          <w:p>
            <w:pPr>
              <w:autoSpaceDE w:val="0"/>
              <w:autoSpaceDN w:val="0"/>
              <w:spacing w:line="460" w:lineRule="exact"/>
              <w:jc w:val="center"/>
              <w:rPr>
                <w:rFonts w:ascii="仿宋_GB2312" w:cs="仿宋_GB2312"/>
                <w:kern w:val="0"/>
                <w:szCs w:val="21"/>
                <w:lang w:val="zh-CN"/>
              </w:rPr>
            </w:pPr>
            <w:r>
              <w:rPr>
                <w:rFonts w:hint="eastAsia" w:ascii="仿宋_GB2312" w:hAnsi="宋体" w:cs="仿宋_GB2312"/>
                <w:kern w:val="0"/>
                <w:szCs w:val="21"/>
              </w:rPr>
              <w:t>陈平友</w:t>
            </w:r>
          </w:p>
        </w:tc>
        <w:tc>
          <w:tcPr>
            <w:tcW w:w="1985" w:type="dxa"/>
          </w:tcPr>
          <w:p>
            <w:pPr>
              <w:spacing w:line="460" w:lineRule="exact"/>
              <w:jc w:val="center"/>
              <w:rPr>
                <w:rFonts w:ascii="仿宋_GB2312"/>
                <w:szCs w:val="21"/>
              </w:rPr>
            </w:pPr>
            <w:r>
              <w:rPr>
                <w:rFonts w:hint="eastAsia" w:ascii="仿宋_GB2312" w:cs="仿宋_GB2312"/>
                <w:szCs w:val="21"/>
                <w:lang w:val="zh-CN"/>
              </w:rPr>
              <w:t>职员</w:t>
            </w:r>
          </w:p>
        </w:tc>
        <w:tc>
          <w:tcPr>
            <w:tcW w:w="2126" w:type="dxa"/>
          </w:tcPr>
          <w:p>
            <w:pPr>
              <w:spacing w:line="460" w:lineRule="exact"/>
              <w:jc w:val="center"/>
              <w:rPr>
                <w:rFonts w:ascii="仿宋_GB2312"/>
                <w:szCs w:val="21"/>
              </w:rPr>
            </w:pPr>
            <w:r>
              <w:rPr>
                <w:rFonts w:hint="eastAsia" w:ascii="仿宋_GB2312" w:cs="仿宋_GB2312"/>
                <w:szCs w:val="21"/>
                <w:lang w:val="zh-CN"/>
              </w:rPr>
              <w:t>成员</w:t>
            </w:r>
          </w:p>
        </w:tc>
        <w:tc>
          <w:tcPr>
            <w:tcW w:w="2254" w:type="dxa"/>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13594557563</w:t>
            </w:r>
          </w:p>
        </w:tc>
      </w:tr>
      <w:tr>
        <w:tblPrEx>
          <w:tblBorders>
            <w:top w:val="thinThickSmallGap" w:color="auto" w:sz="18" w:space="0"/>
            <w:left w:val="thinThickSmallGap" w:color="auto" w:sz="18" w:space="0"/>
            <w:bottom w:val="thickThinSmallGap" w:color="auto" w:sz="18" w:space="0"/>
            <w:right w:val="thickThinSmallGap" w:color="auto" w:sz="18"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037" w:type="dxa"/>
            <w:tcBorders>
              <w:top w:val="single" w:color="auto" w:sz="4" w:space="0"/>
              <w:left w:val="thinThickSmallGap" w:color="auto" w:sz="18" w:space="0"/>
              <w:bottom w:val="thickThinSmallGap" w:color="auto" w:sz="18" w:space="0"/>
              <w:right w:val="single" w:color="auto" w:sz="4" w:space="0"/>
            </w:tcBorders>
            <w:vAlign w:val="center"/>
          </w:tcPr>
          <w:p>
            <w:pPr>
              <w:autoSpaceDE w:val="0"/>
              <w:autoSpaceDN w:val="0"/>
              <w:spacing w:line="460" w:lineRule="exact"/>
              <w:jc w:val="center"/>
              <w:rPr>
                <w:rFonts w:ascii="仿宋_GB2312"/>
                <w:szCs w:val="21"/>
              </w:rPr>
            </w:pPr>
            <w:r>
              <w:rPr>
                <w:rFonts w:hint="eastAsia" w:ascii="仿宋_GB2312"/>
                <w:szCs w:val="21"/>
              </w:rPr>
              <w:t>37</w:t>
            </w:r>
          </w:p>
        </w:tc>
        <w:tc>
          <w:tcPr>
            <w:tcW w:w="1559" w:type="dxa"/>
            <w:tcBorders>
              <w:top w:val="single" w:color="auto" w:sz="4" w:space="0"/>
              <w:left w:val="single" w:color="auto" w:sz="4" w:space="0"/>
              <w:bottom w:val="thickThinSmallGap" w:color="auto" w:sz="18" w:space="0"/>
              <w:right w:val="single" w:color="auto" w:sz="4" w:space="0"/>
            </w:tcBorders>
            <w:vAlign w:val="center"/>
          </w:tcPr>
          <w:p>
            <w:pPr>
              <w:autoSpaceDE w:val="0"/>
              <w:autoSpaceDN w:val="0"/>
              <w:spacing w:line="460" w:lineRule="exact"/>
              <w:jc w:val="center"/>
              <w:rPr>
                <w:rFonts w:ascii="仿宋_GB2312" w:hAnsi="宋体" w:cs="仿宋_GB2312"/>
                <w:kern w:val="0"/>
                <w:szCs w:val="21"/>
              </w:rPr>
            </w:pPr>
            <w:r>
              <w:rPr>
                <w:rFonts w:hint="eastAsia" w:ascii="仿宋_GB2312" w:hAnsi="宋体" w:cs="仿宋_GB2312"/>
                <w:kern w:val="0"/>
                <w:szCs w:val="21"/>
              </w:rPr>
              <w:t>刘元清</w:t>
            </w:r>
          </w:p>
        </w:tc>
        <w:tc>
          <w:tcPr>
            <w:tcW w:w="1985" w:type="dxa"/>
            <w:tcBorders>
              <w:top w:val="single" w:color="auto" w:sz="4" w:space="0"/>
              <w:left w:val="single" w:color="auto" w:sz="4" w:space="0"/>
              <w:bottom w:val="thickThinSmallGap" w:color="auto" w:sz="18" w:space="0"/>
              <w:right w:val="single" w:color="auto" w:sz="4" w:space="0"/>
            </w:tcBorders>
          </w:tcPr>
          <w:p>
            <w:pPr>
              <w:spacing w:line="460" w:lineRule="exact"/>
              <w:jc w:val="center"/>
              <w:rPr>
                <w:rFonts w:ascii="仿宋_GB2312" w:cs="仿宋_GB2312"/>
                <w:szCs w:val="21"/>
                <w:lang w:val="zh-CN"/>
              </w:rPr>
            </w:pPr>
            <w:r>
              <w:rPr>
                <w:rFonts w:hint="eastAsia" w:ascii="仿宋_GB2312" w:cs="仿宋_GB2312"/>
                <w:szCs w:val="21"/>
                <w:lang w:val="zh-CN"/>
              </w:rPr>
              <w:t>职员</w:t>
            </w:r>
          </w:p>
        </w:tc>
        <w:tc>
          <w:tcPr>
            <w:tcW w:w="2126" w:type="dxa"/>
            <w:tcBorders>
              <w:top w:val="single" w:color="auto" w:sz="4" w:space="0"/>
              <w:left w:val="single" w:color="auto" w:sz="4" w:space="0"/>
              <w:bottom w:val="thickThinSmallGap" w:color="auto" w:sz="18" w:space="0"/>
              <w:right w:val="single" w:color="auto" w:sz="4" w:space="0"/>
            </w:tcBorders>
          </w:tcPr>
          <w:p>
            <w:pPr>
              <w:spacing w:line="460" w:lineRule="exact"/>
              <w:jc w:val="center"/>
              <w:rPr>
                <w:rFonts w:ascii="仿宋_GB2312" w:cs="仿宋_GB2312"/>
                <w:szCs w:val="21"/>
                <w:lang w:val="zh-CN"/>
              </w:rPr>
            </w:pPr>
            <w:r>
              <w:rPr>
                <w:rFonts w:hint="eastAsia" w:ascii="仿宋_GB2312" w:cs="仿宋_GB2312"/>
                <w:szCs w:val="21"/>
                <w:lang w:val="zh-CN"/>
              </w:rPr>
              <w:t>成员</w:t>
            </w:r>
          </w:p>
        </w:tc>
        <w:tc>
          <w:tcPr>
            <w:tcW w:w="2254" w:type="dxa"/>
            <w:tcBorders>
              <w:top w:val="single" w:color="auto" w:sz="4" w:space="0"/>
              <w:left w:val="single" w:color="auto" w:sz="4" w:space="0"/>
              <w:bottom w:val="thickThinSmallGap" w:color="auto" w:sz="18" w:space="0"/>
              <w:right w:val="thickThinSmallGap" w:color="auto" w:sz="18" w:space="0"/>
            </w:tcBorders>
            <w:vAlign w:val="center"/>
          </w:tcPr>
          <w:p>
            <w:pPr>
              <w:autoSpaceDE w:val="0"/>
              <w:autoSpaceDN w:val="0"/>
              <w:spacing w:line="460" w:lineRule="exact"/>
              <w:jc w:val="center"/>
              <w:rPr>
                <w:rFonts w:ascii="仿宋_GB2312" w:cs="仿宋_GB2312"/>
                <w:szCs w:val="21"/>
                <w:lang w:val="zh-CN"/>
              </w:rPr>
            </w:pPr>
            <w:r>
              <w:rPr>
                <w:rFonts w:hint="eastAsia" w:ascii="仿宋_GB2312" w:cs="仿宋_GB2312"/>
                <w:szCs w:val="21"/>
                <w:lang w:val="zh-CN"/>
              </w:rPr>
              <w:t>15310559560</w:t>
            </w:r>
          </w:p>
        </w:tc>
      </w:tr>
    </w:tbl>
    <w:p>
      <w:pPr>
        <w:adjustRightInd w:val="0"/>
        <w:snapToGrid w:val="0"/>
        <w:spacing w:line="460" w:lineRule="exact"/>
        <w:outlineLvl w:val="1"/>
        <w:rPr>
          <w:rFonts w:hint="eastAsia"/>
          <w:b/>
          <w:color w:val="000000"/>
          <w:sz w:val="26"/>
          <w:szCs w:val="26"/>
          <w:lang w:val="zh-CN"/>
        </w:rPr>
      </w:pPr>
      <w:bookmarkStart w:id="198" w:name="_Toc26485"/>
      <w:r>
        <w:rPr>
          <w:rFonts w:hint="eastAsia"/>
          <w:b/>
          <w:color w:val="000000"/>
          <w:sz w:val="26"/>
          <w:szCs w:val="26"/>
          <w:lang w:val="zh-CN"/>
        </w:rPr>
        <w:t>4.3应急组织职责</w:t>
      </w:r>
      <w:bookmarkEnd w:id="198"/>
    </w:p>
    <w:p>
      <w:pPr>
        <w:spacing w:line="460" w:lineRule="exact"/>
        <w:rPr>
          <w:rFonts w:asciiTheme="minorEastAsia" w:hAnsiTheme="minorEastAsia" w:eastAsiaTheme="minorEastAsia"/>
          <w:b/>
          <w:bCs/>
          <w:sz w:val="28"/>
          <w:szCs w:val="28"/>
        </w:rPr>
      </w:pPr>
      <w:r>
        <w:rPr>
          <w:rFonts w:asciiTheme="minorEastAsia" w:hAnsiTheme="minorEastAsia" w:eastAsiaTheme="minorEastAsia"/>
          <w:b/>
          <w:bCs/>
          <w:sz w:val="28"/>
          <w:szCs w:val="28"/>
        </w:rPr>
        <w:t>1</w:t>
      </w:r>
      <w:r>
        <w:rPr>
          <w:rFonts w:hint="eastAsia" w:asciiTheme="minorEastAsia" w:hAnsiTheme="minorEastAsia" w:eastAsiaTheme="minorEastAsia"/>
          <w:b/>
          <w:bCs/>
          <w:sz w:val="28"/>
          <w:szCs w:val="28"/>
        </w:rPr>
        <w:t>指挥部职责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）负责人员、资源配置、应急队伍的调动；</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）协调事故现场有关工作；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）批准本预案的启动与终止；</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）组织指挥救援队伍实施救援行动，保护事故现场；</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5)</w:t>
      </w:r>
      <w:r>
        <w:rPr>
          <w:rFonts w:hint="eastAsia" w:asciiTheme="minorEastAsia" w:hAnsiTheme="minorEastAsia" w:eastAsiaTheme="minorEastAsia"/>
          <w:sz w:val="24"/>
          <w:szCs w:val="24"/>
        </w:rPr>
        <w:t>向上级和各相关部门汇报事故情况，必要时向有关单位和政府发出救援请求，并接受政府的指令和调动；</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(6)</w:t>
      </w:r>
      <w:r>
        <w:rPr>
          <w:rFonts w:hint="eastAsia" w:asciiTheme="minorEastAsia" w:hAnsiTheme="minorEastAsia" w:eastAsiaTheme="minorEastAsia"/>
          <w:sz w:val="24"/>
          <w:szCs w:val="24"/>
        </w:rPr>
        <w:t>组织事故调查，总结应急救援工作的经验教训。</w:t>
      </w:r>
    </w:p>
    <w:p>
      <w:pPr>
        <w:spacing w:line="460" w:lineRule="exact"/>
        <w:rPr>
          <w:rFonts w:asciiTheme="minorEastAsia" w:hAnsiTheme="minorEastAsia" w:eastAsiaTheme="minorEastAsia"/>
          <w:b/>
          <w:bCs/>
          <w:sz w:val="28"/>
          <w:szCs w:val="28"/>
        </w:rPr>
      </w:pPr>
      <w:r>
        <w:rPr>
          <w:rFonts w:asciiTheme="minorEastAsia" w:hAnsiTheme="minorEastAsia" w:eastAsiaTheme="minorEastAsia"/>
          <w:b/>
          <w:bCs/>
          <w:sz w:val="28"/>
          <w:szCs w:val="28"/>
        </w:rPr>
        <w:t>2</w:t>
      </w:r>
      <w:r>
        <w:rPr>
          <w:rFonts w:hint="eastAsia" w:asciiTheme="minorEastAsia" w:hAnsiTheme="minorEastAsia" w:eastAsiaTheme="minorEastAsia"/>
          <w:b/>
          <w:bCs/>
          <w:sz w:val="28"/>
          <w:szCs w:val="28"/>
        </w:rPr>
        <w:t>总指挥职责</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rPr>
        <w:t xml:space="preserve"> (</w:t>
      </w:r>
      <w:r>
        <w:rPr>
          <w:rFonts w:asciiTheme="minorEastAsia" w:hAnsiTheme="minorEastAsia" w:eastAsiaTheme="minorEastAsia"/>
          <w:sz w:val="24"/>
          <w:szCs w:val="24"/>
        </w:rPr>
        <w:t>1)</w:t>
      </w:r>
      <w:r>
        <w:rPr>
          <w:rFonts w:hint="eastAsia" w:asciiTheme="minorEastAsia" w:hAnsiTheme="minorEastAsia" w:eastAsiaTheme="minorEastAsia"/>
          <w:sz w:val="24"/>
          <w:szCs w:val="24"/>
        </w:rPr>
        <w:t>分析紧急状态和确定相应报警级别；</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(2)</w:t>
      </w:r>
      <w:r>
        <w:rPr>
          <w:rFonts w:hint="eastAsia" w:asciiTheme="minorEastAsia" w:hAnsiTheme="minorEastAsia" w:eastAsiaTheme="minorEastAsia"/>
          <w:sz w:val="24"/>
          <w:szCs w:val="24"/>
        </w:rPr>
        <w:t>指挥、协调应急反应行动；</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(3)</w:t>
      </w:r>
      <w:r>
        <w:rPr>
          <w:rFonts w:hint="eastAsia" w:asciiTheme="minorEastAsia" w:hAnsiTheme="minorEastAsia" w:eastAsiaTheme="minorEastAsia"/>
          <w:sz w:val="24"/>
          <w:szCs w:val="24"/>
        </w:rPr>
        <w:t>与外部应急人员、部门、组织和机构进行联络；</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(4)</w:t>
      </w:r>
      <w:r>
        <w:rPr>
          <w:rFonts w:hint="eastAsia" w:asciiTheme="minorEastAsia" w:hAnsiTheme="minorEastAsia" w:eastAsiaTheme="minorEastAsia"/>
          <w:sz w:val="24"/>
          <w:szCs w:val="24"/>
        </w:rPr>
        <w:t>保证现场和企业外人员安全；</w:t>
      </w:r>
    </w:p>
    <w:p>
      <w:pPr>
        <w:spacing w:line="460" w:lineRule="exact"/>
        <w:ind w:firstLine="480"/>
        <w:rPr>
          <w:rFonts w:asciiTheme="minorEastAsia" w:hAnsiTheme="minorEastAsia" w:eastAsiaTheme="minorEastAsia"/>
          <w:sz w:val="24"/>
          <w:szCs w:val="24"/>
        </w:rPr>
      </w:pPr>
      <w:r>
        <w:rPr>
          <w:rFonts w:asciiTheme="minorEastAsia" w:hAnsiTheme="minorEastAsia" w:eastAsiaTheme="minorEastAsia"/>
          <w:sz w:val="24"/>
          <w:szCs w:val="24"/>
        </w:rPr>
        <w:t xml:space="preserve"> (5)</w:t>
      </w:r>
      <w:r>
        <w:rPr>
          <w:rFonts w:hint="eastAsia" w:asciiTheme="minorEastAsia" w:hAnsiTheme="minorEastAsia" w:eastAsiaTheme="minorEastAsia"/>
          <w:sz w:val="24"/>
          <w:szCs w:val="24"/>
        </w:rPr>
        <w:t>协调后勤方面以支援反应组织。</w:t>
      </w:r>
    </w:p>
    <w:p>
      <w:pPr>
        <w:spacing w:line="460" w:lineRule="exact"/>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eastAsia="zh-CN"/>
        </w:rPr>
        <w:t>3</w:t>
      </w:r>
      <w:r>
        <w:rPr>
          <w:rFonts w:hint="eastAsia" w:asciiTheme="minorEastAsia" w:hAnsiTheme="minorEastAsia" w:eastAsiaTheme="minorEastAsia"/>
          <w:b/>
          <w:bCs/>
          <w:sz w:val="24"/>
          <w:szCs w:val="24"/>
        </w:rPr>
        <w:t>副总指挥职责</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协助总指挥工作；</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负责应急救援现场的协调调度；</w:t>
      </w:r>
    </w:p>
    <w:p>
      <w:pPr>
        <w:spacing w:line="46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总指挥不在的情况下组织应急救援工作。</w:t>
      </w:r>
    </w:p>
    <w:p>
      <w:pPr>
        <w:spacing w:line="460" w:lineRule="exact"/>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eastAsia="zh-CN"/>
        </w:rPr>
        <w:t>4</w:t>
      </w:r>
      <w:r>
        <w:rPr>
          <w:rFonts w:hint="eastAsia" w:asciiTheme="minorEastAsia" w:hAnsiTheme="minorEastAsia" w:eastAsiaTheme="minorEastAsia"/>
          <w:b/>
          <w:bCs/>
          <w:sz w:val="24"/>
          <w:szCs w:val="24"/>
        </w:rPr>
        <w:t>专业小组的职责</w:t>
      </w:r>
    </w:p>
    <w:p>
      <w:pPr>
        <w:spacing w:line="460" w:lineRule="exact"/>
        <w:ind w:firstLine="480"/>
        <w:rPr>
          <w:sz w:val="24"/>
          <w:szCs w:val="24"/>
        </w:rPr>
      </w:pPr>
      <w:r>
        <w:rPr>
          <w:rFonts w:hint="eastAsia"/>
          <w:sz w:val="24"/>
          <w:szCs w:val="24"/>
        </w:rPr>
        <w:t>（</w:t>
      </w:r>
      <w:r>
        <w:rPr>
          <w:sz w:val="24"/>
          <w:szCs w:val="24"/>
        </w:rPr>
        <w:t>1</w:t>
      </w:r>
      <w:r>
        <w:rPr>
          <w:rFonts w:hint="eastAsia"/>
          <w:sz w:val="24"/>
          <w:szCs w:val="24"/>
        </w:rPr>
        <w:t>）抢险救灾组：对事故现场进行营救。抢救受害人员、被事故破坏的设备及道路交通设施、关闭有害物质泄漏源、隔离其他危险源；扑灭已经发生的火灾，及时撤走易燃易爆物品或物质，控制灾害的进一步发展等。</w:t>
      </w:r>
    </w:p>
    <w:p>
      <w:pPr>
        <w:spacing w:line="460" w:lineRule="exact"/>
        <w:ind w:firstLine="480"/>
        <w:rPr>
          <w:sz w:val="24"/>
          <w:szCs w:val="24"/>
        </w:rPr>
      </w:pPr>
      <w:r>
        <w:rPr>
          <w:rFonts w:hint="eastAsia"/>
          <w:sz w:val="24"/>
          <w:szCs w:val="24"/>
        </w:rPr>
        <w:t>（</w:t>
      </w:r>
      <w:r>
        <w:rPr>
          <w:sz w:val="24"/>
          <w:szCs w:val="24"/>
        </w:rPr>
        <w:t>2</w:t>
      </w:r>
      <w:r>
        <w:rPr>
          <w:rFonts w:hint="eastAsia"/>
          <w:sz w:val="24"/>
          <w:szCs w:val="24"/>
        </w:rPr>
        <w:t>）警戒保卫组：设置警界区域，维护现场秩序，疏通道路；按技术专家组确定的避灾路线组织危险区人员撤离；劝说围观群众离开现场，进行人员疏散，保证人员安全撤离；保证交通路线畅通，保障救灾物资（防毒设备等）安全、顺利到达事故现场；事故发生后，禁止无关人员进入现场。</w:t>
      </w:r>
    </w:p>
    <w:p>
      <w:pPr>
        <w:spacing w:line="460" w:lineRule="exact"/>
        <w:ind w:firstLine="480"/>
        <w:rPr>
          <w:sz w:val="24"/>
          <w:szCs w:val="24"/>
        </w:rPr>
      </w:pPr>
      <w:r>
        <w:rPr>
          <w:rFonts w:hint="eastAsia"/>
          <w:sz w:val="24"/>
          <w:szCs w:val="24"/>
        </w:rPr>
        <w:t>（</w:t>
      </w:r>
      <w:r>
        <w:rPr>
          <w:sz w:val="24"/>
          <w:szCs w:val="24"/>
        </w:rPr>
        <w:t>3</w:t>
      </w:r>
      <w:r>
        <w:rPr>
          <w:rFonts w:hint="eastAsia"/>
          <w:sz w:val="24"/>
          <w:szCs w:val="24"/>
        </w:rPr>
        <w:t>）医疗救援组职责：对受伤、中毒人员进行现场救护，保证救治药品和救护器材的供应。负责转运受伤人员过程的医疗监护。</w:t>
      </w:r>
    </w:p>
    <w:p>
      <w:pPr>
        <w:spacing w:line="460" w:lineRule="exact"/>
        <w:ind w:firstLine="480"/>
        <w:rPr>
          <w:sz w:val="24"/>
          <w:szCs w:val="24"/>
        </w:rPr>
      </w:pPr>
      <w:r>
        <w:rPr>
          <w:rFonts w:hint="eastAsia"/>
          <w:sz w:val="24"/>
          <w:szCs w:val="24"/>
        </w:rPr>
        <w:t>（</w:t>
      </w:r>
      <w:r>
        <w:rPr>
          <w:sz w:val="24"/>
          <w:szCs w:val="24"/>
        </w:rPr>
        <w:t>4</w:t>
      </w:r>
      <w:r>
        <w:rPr>
          <w:rFonts w:hint="eastAsia"/>
          <w:sz w:val="24"/>
          <w:szCs w:val="24"/>
        </w:rPr>
        <w:t>）环境监测组：对发生污染区域的水、大气、土壤、动植物受污染程度、危害范围进行检测，迅速作出监测报告，并进行跟踪监测，提出处理报告。</w:t>
      </w:r>
    </w:p>
    <w:p>
      <w:pPr>
        <w:spacing w:line="460" w:lineRule="exact"/>
        <w:ind w:firstLine="480"/>
        <w:rPr>
          <w:sz w:val="24"/>
          <w:szCs w:val="24"/>
        </w:rPr>
      </w:pPr>
      <w:r>
        <w:rPr>
          <w:rFonts w:hint="eastAsia"/>
          <w:sz w:val="24"/>
          <w:szCs w:val="24"/>
        </w:rPr>
        <w:t>（</w:t>
      </w:r>
      <w:r>
        <w:rPr>
          <w:sz w:val="24"/>
          <w:szCs w:val="24"/>
        </w:rPr>
        <w:t>5</w:t>
      </w:r>
      <w:r>
        <w:rPr>
          <w:rFonts w:hint="eastAsia"/>
          <w:sz w:val="24"/>
          <w:szCs w:val="24"/>
        </w:rPr>
        <w:t>）综合协调组：</w:t>
      </w:r>
    </w:p>
    <w:p>
      <w:pPr>
        <w:spacing w:line="460" w:lineRule="exact"/>
        <w:ind w:firstLine="480"/>
        <w:rPr>
          <w:sz w:val="24"/>
          <w:szCs w:val="24"/>
        </w:rPr>
      </w:pPr>
      <w:r>
        <w:rPr>
          <w:rFonts w:hint="eastAsia" w:ascii="宋体" w:hAnsi="宋体" w:cs="宋体"/>
          <w:sz w:val="24"/>
          <w:szCs w:val="24"/>
        </w:rPr>
        <w:t>①</w:t>
      </w:r>
      <w:r>
        <w:rPr>
          <w:rFonts w:hint="eastAsia"/>
          <w:sz w:val="24"/>
          <w:szCs w:val="24"/>
        </w:rPr>
        <w:t>、对受伤、中毒人员进行现场救护，保证救治药品和救护器材的供应。负责转运受伤人员过程的医疗监护。公司与（涪陵急救中心）医院签定救护协议，对较严重的受伤人员进行救护。</w:t>
      </w:r>
    </w:p>
    <w:p>
      <w:pPr>
        <w:spacing w:line="460" w:lineRule="exact"/>
        <w:ind w:firstLine="480"/>
        <w:rPr>
          <w:sz w:val="24"/>
          <w:szCs w:val="24"/>
        </w:rPr>
      </w:pPr>
      <w:r>
        <w:rPr>
          <w:rFonts w:hint="eastAsia" w:ascii="宋体" w:hAnsi="宋体" w:cs="宋体"/>
          <w:sz w:val="24"/>
          <w:szCs w:val="24"/>
        </w:rPr>
        <w:t>②</w:t>
      </w:r>
      <w:r>
        <w:rPr>
          <w:rFonts w:hint="eastAsia"/>
          <w:sz w:val="24"/>
          <w:szCs w:val="24"/>
        </w:rPr>
        <w:t>、负责调集救援物资（如：防毒面具、防护服、抢险用具等）并组织发放，组织指挥人员和抢险人员的现场食宿安排，协助处理伤员的救护工作。</w:t>
      </w:r>
    </w:p>
    <w:p>
      <w:pPr>
        <w:spacing w:line="460" w:lineRule="exact"/>
        <w:ind w:firstLine="480"/>
        <w:rPr>
          <w:sz w:val="24"/>
          <w:szCs w:val="24"/>
        </w:rPr>
      </w:pPr>
      <w:r>
        <w:rPr>
          <w:rFonts w:hint="eastAsia" w:ascii="宋体" w:hAnsi="宋体" w:cs="宋体"/>
          <w:sz w:val="24"/>
          <w:szCs w:val="24"/>
        </w:rPr>
        <w:t>③</w:t>
      </w:r>
      <w:r>
        <w:rPr>
          <w:rFonts w:hint="eastAsia"/>
          <w:sz w:val="24"/>
          <w:szCs w:val="24"/>
        </w:rPr>
        <w:t>、负责对死难、受伤人员家属的安抚、慰问工作，作好群众的思想稳定工作，妥善处理好善后事宜，消除各种不安全、不稳定因素。</w:t>
      </w:r>
    </w:p>
    <w:p>
      <w:pPr>
        <w:spacing w:line="460" w:lineRule="exact"/>
        <w:ind w:firstLine="480"/>
        <w:rPr>
          <w:rFonts w:hint="eastAsia"/>
          <w:sz w:val="24"/>
          <w:szCs w:val="24"/>
        </w:rPr>
      </w:pPr>
      <w:r>
        <w:rPr>
          <w:rFonts w:hint="eastAsia" w:ascii="宋体" w:hAnsi="宋体" w:cs="宋体"/>
          <w:sz w:val="24"/>
          <w:szCs w:val="24"/>
        </w:rPr>
        <w:t>④</w:t>
      </w:r>
      <w:r>
        <w:rPr>
          <w:rFonts w:hint="eastAsia"/>
          <w:sz w:val="24"/>
          <w:szCs w:val="24"/>
        </w:rPr>
        <w:t>、协助相关应急小组的工作。</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Start w:id="199" w:name="_Toc184809545"/>
      <w:bookmarkStart w:id="200" w:name="_Toc196018632"/>
      <w:bookmarkStart w:id="201" w:name="_Toc336326845"/>
      <w:bookmarkStart w:id="202" w:name="_Toc196018537"/>
      <w:bookmarkStart w:id="203" w:name="_Toc198007331"/>
      <w:bookmarkStart w:id="204" w:name="_Toc262040271"/>
      <w:bookmarkStart w:id="205" w:name="_Toc262050861"/>
      <w:bookmarkStart w:id="206" w:name="_Toc387131496"/>
      <w:bookmarkStart w:id="207" w:name="_Toc262051532"/>
      <w:bookmarkStart w:id="208" w:name="_Toc304964438"/>
      <w:bookmarkStart w:id="209" w:name="_Toc304963595"/>
      <w:bookmarkStart w:id="210" w:name="_Toc198355316"/>
      <w:bookmarkStart w:id="211" w:name="_Toc262051111"/>
      <w:bookmarkStart w:id="212" w:name="_Toc185670978"/>
      <w:bookmarkStart w:id="213" w:name="_Toc196018428"/>
      <w:bookmarkStart w:id="214" w:name="_Toc304962951"/>
      <w:bookmarkStart w:id="215" w:name="_Toc415254537"/>
      <w:bookmarkStart w:id="216" w:name="_Toc229283967"/>
      <w:bookmarkStart w:id="217" w:name="_Toc336327123"/>
      <w:bookmarkStart w:id="218" w:name="_Toc387131422"/>
      <w:bookmarkStart w:id="219" w:name="_Toc184808758"/>
      <w:bookmarkStart w:id="220" w:name="_Toc387131753"/>
      <w:bookmarkStart w:id="221" w:name="_Toc304833228"/>
      <w:bookmarkStart w:id="222" w:name="_Toc197251336"/>
      <w:bookmarkStart w:id="223" w:name="_Toc183339494"/>
      <w:bookmarkStart w:id="224" w:name="_Toc183339218"/>
      <w:bookmarkStart w:id="225" w:name="_Toc408274430"/>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spacing w:line="460" w:lineRule="exact"/>
        <w:ind w:firstLine="480"/>
        <w:rPr>
          <w:rFonts w:hint="eastAsia"/>
          <w:sz w:val="24"/>
          <w:szCs w:val="24"/>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p>
    <w:p>
      <w:pPr>
        <w:adjustRightInd w:val="0"/>
        <w:snapToGrid w:val="0"/>
        <w:spacing w:line="460" w:lineRule="exact"/>
        <w:outlineLvl w:val="1"/>
        <w:rPr>
          <w:rFonts w:hint="eastAsia"/>
          <w:b/>
          <w:color w:val="000000"/>
          <w:sz w:val="26"/>
          <w:szCs w:val="26"/>
          <w:lang w:val="zh-CN"/>
        </w:rPr>
      </w:pPr>
      <w:bookmarkStart w:id="226" w:name="_Toc16759"/>
      <w:r>
        <w:rPr>
          <w:rFonts w:hint="eastAsia"/>
          <w:b/>
          <w:color w:val="000000"/>
          <w:sz w:val="26"/>
          <w:szCs w:val="26"/>
          <w:lang w:val="zh-CN"/>
        </w:rPr>
        <w:t>4.4应急预案体系转换与衔接条件</w:t>
      </w:r>
      <w:bookmarkEnd w:id="226"/>
    </w:p>
    <w:p>
      <w:pPr>
        <w:rPr>
          <w:b/>
          <w:color w:val="000000"/>
          <w:sz w:val="28"/>
          <w:szCs w:val="28"/>
        </w:rPr>
      </w:pPr>
      <w:r>
        <w:rPr>
          <w:b/>
          <w:color w:val="000000"/>
          <w:sz w:val="28"/>
          <w:szCs w:val="28"/>
        </w:rPr>
        <w:pict>
          <v:shape id="_x0000_s1105" o:spid="_x0000_s1105" o:spt="202" type="#_x0000_t202" style="position:absolute;left:0pt;margin-left:81pt;margin-top:15.6pt;height:23.4pt;width:108pt;z-index:251666432;mso-width-relative:page;mso-height-relative:page;" coordsize="21600,21600">
            <v:path/>
            <v:fill focussize="0,0"/>
            <v:stroke joinstyle="miter"/>
            <v:imagedata o:title=""/>
            <o:lock v:ext="edit"/>
            <v:textbox>
              <w:txbxContent>
                <w:p>
                  <w:pPr>
                    <w:rPr>
                      <w:sz w:val="22"/>
                    </w:rPr>
                  </w:pPr>
                  <w:r>
                    <w:rPr>
                      <w:rFonts w:hint="eastAsia"/>
                      <w:sz w:val="22"/>
                    </w:rPr>
                    <w:t>现场环境事件发生</w:t>
                  </w:r>
                </w:p>
              </w:txbxContent>
            </v:textbox>
          </v:shape>
        </w:pict>
      </w:r>
    </w:p>
    <w:p>
      <w:pPr>
        <w:rPr>
          <w:b/>
          <w:color w:val="000000"/>
          <w:sz w:val="28"/>
          <w:szCs w:val="28"/>
        </w:rPr>
      </w:pPr>
      <w:r>
        <w:rPr>
          <w:b/>
          <w:color w:val="000000"/>
          <w:sz w:val="28"/>
          <w:szCs w:val="28"/>
        </w:rPr>
        <w:pict>
          <v:shape id="_x0000_s1106" o:spid="_x0000_s1106" o:spt="32" type="#_x0000_t32" style="position:absolute;left:0pt;margin-left:132pt;margin-top:12.9pt;height:29.25pt;width:0.75pt;z-index:251667456;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07" o:spid="_x0000_s1107" o:spt="202" type="#_x0000_t202" style="position:absolute;left:0pt;margin-left:291pt;margin-top:29.25pt;height:47.25pt;width:44.25pt;z-index:251668480;mso-width-relative:page;mso-height-relative:page;" filled="f" stroked="f" coordsize="21600,21600">
            <v:path/>
            <v:fill on="f" focussize="0,0"/>
            <v:stroke on="f" joinstyle="miter"/>
            <v:imagedata o:title=""/>
            <o:lock v:ext="edit"/>
            <v:textbox>
              <w:txbxContent>
                <w:p>
                  <w:pPr>
                    <w:rPr>
                      <w:szCs w:val="21"/>
                    </w:rPr>
                  </w:pPr>
                  <w:r>
                    <w:rPr>
                      <w:rFonts w:hint="eastAsia"/>
                      <w:szCs w:val="21"/>
                    </w:rPr>
                    <w:t>事件平 息</w:t>
                  </w:r>
                </w:p>
              </w:txbxContent>
            </v:textbox>
          </v:shape>
        </w:pict>
      </w:r>
      <w:r>
        <w:rPr>
          <w:b/>
          <w:color w:val="000000"/>
          <w:sz w:val="28"/>
          <w:szCs w:val="28"/>
        </w:rPr>
        <w:pict>
          <v:shape id="_x0000_s1108" o:spid="_x0000_s1108" o:spt="202" type="#_x0000_t202" style="position:absolute;left:0pt;margin-left:244.5pt;margin-top:39pt;height:73.95pt;width:45.75pt;z-index:251669504;mso-width-relative:page;mso-height-relative:page;" coordsize="21600,21600">
            <v:path/>
            <v:fill focussize="0,0"/>
            <v:stroke joinstyle="miter"/>
            <v:imagedata o:title=""/>
            <o:lock v:ext="edit"/>
            <v:textbox>
              <w:txbxContent>
                <w:p>
                  <w:pPr>
                    <w:rPr>
                      <w:sz w:val="22"/>
                    </w:rPr>
                  </w:pPr>
                  <w:r>
                    <w:rPr>
                      <w:rFonts w:hint="eastAsia"/>
                      <w:sz w:val="22"/>
                    </w:rPr>
                    <w:t>发布单位现场预 警</w:t>
                  </w:r>
                </w:p>
              </w:txbxContent>
            </v:textbox>
          </v:shape>
        </w:pict>
      </w:r>
      <w:r>
        <w:rPr>
          <w:b/>
          <w:color w:val="000000"/>
          <w:sz w:val="28"/>
          <w:szCs w:val="28"/>
        </w:rPr>
        <w:pict>
          <v:shape id="_x0000_s1109" o:spid="_x0000_s1109" o:spt="32" type="#_x0000_t32" style="position:absolute;left:0pt;margin-left:181.5pt;margin-top:69pt;height:0pt;width:63pt;z-index:25167052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0" o:spid="_x0000_s1110" o:spt="202" type="#_x0000_t202" style="position:absolute;left:0pt;margin-left:81pt;margin-top:9.75pt;height:21.45pt;width:117pt;z-index:251671552;mso-width-relative:page;mso-height-relative:page;" coordsize="21600,21600">
            <v:path/>
            <v:fill focussize="0,0"/>
            <v:stroke joinstyle="miter"/>
            <v:imagedata o:title=""/>
            <o:lock v:ext="edit"/>
            <v:textbox>
              <w:txbxContent>
                <w:p>
                  <w:pPr>
                    <w:rPr>
                      <w:sz w:val="22"/>
                    </w:rPr>
                  </w:pPr>
                  <w:r>
                    <w:rPr>
                      <w:rFonts w:hint="eastAsia"/>
                      <w:sz w:val="22"/>
                    </w:rPr>
                    <w:t>现场应急小组组长</w:t>
                  </w:r>
                </w:p>
              </w:txbxContent>
            </v:textbox>
          </v:shape>
        </w:pict>
      </w:r>
    </w:p>
    <w:p>
      <w:pPr>
        <w:rPr>
          <w:b/>
          <w:color w:val="000000"/>
          <w:sz w:val="28"/>
          <w:szCs w:val="28"/>
        </w:rPr>
      </w:pPr>
      <w:r>
        <w:rPr>
          <w:b/>
          <w:color w:val="000000"/>
          <w:sz w:val="28"/>
          <w:szCs w:val="28"/>
        </w:rPr>
        <w:pict>
          <v:shape id="_x0000_s1111" o:spid="_x0000_s1111" o:spt="202" type="#_x0000_t202" style="position:absolute;left:0pt;margin-left:339pt;margin-top:22.05pt;height:71.55pt;width:30pt;z-index:251672576;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112" o:spid="_x0000_s1112" o:spt="202" type="#_x0000_t202" style="position:absolute;left:0pt;margin-left:193.45pt;margin-top:17.55pt;height:30pt;width:39.75pt;z-index:251673600;mso-width-relative:page;mso-height-relative:page;" filled="f" stroked="f" coordsize="21600,21600">
            <v:path/>
            <v:fill on="f" focussize="0,0"/>
            <v:stroke on="f" joinstyle="miter"/>
            <v:imagedata o:title=""/>
            <o:lock v:ext="edit"/>
            <v:textbox>
              <w:txbxContent>
                <w:p>
                  <w:r>
                    <w:rPr>
                      <w:rFonts w:hint="eastAsia"/>
                    </w:rPr>
                    <w:t>IV级</w:t>
                  </w:r>
                </w:p>
              </w:txbxContent>
            </v:textbox>
          </v:shape>
        </w:pict>
      </w:r>
      <w:r>
        <w:rPr>
          <w:b/>
          <w:color w:val="000000"/>
          <w:sz w:val="28"/>
          <w:szCs w:val="28"/>
        </w:rPr>
        <w:pict>
          <v:shape id="_x0000_s1113" o:spid="_x0000_s1113" o:spt="202" type="#_x0000_t202" style="position:absolute;left:0pt;margin-left:90pt;margin-top:23.4pt;height:23.4pt;width:90pt;z-index:251674624;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r>
        <w:rPr>
          <w:b/>
          <w:color w:val="000000"/>
          <w:sz w:val="28"/>
          <w:szCs w:val="28"/>
        </w:rPr>
        <w:pict>
          <v:shape id="_x0000_s1114" o:spid="_x0000_s1114" o:spt="32" type="#_x0000_t32" style="position:absolute;left:0pt;margin-left:132.4pt;margin-top:0pt;height:23.25pt;width:0pt;z-index:251675648;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5" o:spid="_x0000_s1115" o:spt="32" type="#_x0000_t32" style="position:absolute;left:0pt;margin-left:290.5pt;margin-top:7.15pt;height:0pt;width:42pt;z-index:251676672;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16" o:spid="_x0000_s1116" o:spt="32" type="#_x0000_t32" style="position:absolute;left:0pt;margin-left:132.05pt;margin-top:15.6pt;height:23.25pt;width:0pt;z-index:251677696;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17" o:spid="_x0000_s1117" o:spt="202" type="#_x0000_t202" style="position:absolute;left:0pt;margin-left:266.4pt;margin-top:22.9pt;height:38.25pt;width:50.25pt;z-index:251678720;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18" o:spid="_x0000_s1118" o:spt="202" type="#_x0000_t202" style="position:absolute;left:0pt;margin-left:217.75pt;margin-top:22.25pt;height:38.25pt;width:50.25pt;z-index:251679744;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19" o:spid="_x0000_s1119" o:spt="202" type="#_x0000_t202" style="position:absolute;left:0pt;margin-left:242.9pt;margin-top:167.35pt;height:72pt;width:46.5pt;z-index:251680768;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20" o:spid="_x0000_s1120" o:spt="32" type="#_x0000_t32" style="position:absolute;left:0pt;flip:y;margin-left:265.4pt;margin-top:18.85pt;height:38.25pt;width:0pt;z-index:251681792;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21" o:spid="_x0000_s1121" o:spt="202" type="#_x0000_t202" style="position:absolute;left:0pt;margin-left:241.4pt;margin-top:57.1pt;height:72pt;width:46.5pt;z-index:251682816;mso-width-relative:page;mso-height-relative:page;" coordsize="21600,21600">
            <v:path/>
            <v:fill focussize="0,0"/>
            <v:stroke joinstyle="miter"/>
            <v:imagedata o:title=""/>
            <o:lock v:ext="edit"/>
            <v:textbox>
              <w:txbxContent>
                <w:p>
                  <w:pPr>
                    <w:rPr>
                      <w:sz w:val="22"/>
                    </w:rPr>
                  </w:pPr>
                  <w:r>
                    <w:rPr>
                      <w:rFonts w:hint="eastAsia"/>
                      <w:sz w:val="22"/>
                    </w:rPr>
                    <w:t>发布厂区片区预 警</w:t>
                  </w:r>
                </w:p>
              </w:txbxContent>
            </v:textbox>
          </v:shape>
        </w:pict>
      </w:r>
      <w:r>
        <w:rPr>
          <w:b/>
          <w:color w:val="000000"/>
          <w:sz w:val="28"/>
          <w:szCs w:val="28"/>
        </w:rPr>
        <w:pict>
          <v:shape id="_x0000_s1122" o:spid="_x0000_s1122" o:spt="32" type="#_x0000_t32" style="position:absolute;left:0pt;flip:y;margin-left:265.4pt;margin-top:129.1pt;height:38.25pt;width:0pt;z-index:25168384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23" o:spid="_x0000_s1123" o:spt="202" type="#_x0000_t202" style="position:absolute;left:0pt;margin-left:94.55pt;margin-top:6.3pt;height:26.85pt;width:73.5pt;z-index:251684864;mso-width-relative:page;mso-height-relative:page;" coordsize="21600,21600">
            <v:path/>
            <v:fill focussize="0,0"/>
            <v:stroke joinstyle="miter"/>
            <v:imagedata o:title=""/>
            <o:lock v:ext="edit"/>
            <v:textbox>
              <w:txbxContent>
                <w:p>
                  <w:pPr>
                    <w:rPr>
                      <w:sz w:val="22"/>
                    </w:rPr>
                  </w:pPr>
                  <w:r>
                    <w:rPr>
                      <w:rFonts w:hint="eastAsia"/>
                      <w:sz w:val="22"/>
                    </w:rPr>
                    <w:t>安全环保组</w:t>
                  </w:r>
                </w:p>
              </w:txbxContent>
            </v:textbox>
          </v:shape>
        </w:pict>
      </w:r>
    </w:p>
    <w:p>
      <w:pPr>
        <w:rPr>
          <w:b/>
          <w:color w:val="000000"/>
          <w:sz w:val="28"/>
          <w:szCs w:val="28"/>
        </w:rPr>
      </w:pPr>
      <w:r>
        <w:rPr>
          <w:b/>
          <w:color w:val="000000"/>
          <w:sz w:val="28"/>
          <w:szCs w:val="28"/>
        </w:rPr>
        <w:pict>
          <v:shape id="_x0000_s1124" o:spid="_x0000_s1124" o:spt="202" type="#_x0000_t202" style="position:absolute;left:0pt;margin-left:189pt;margin-top:21.45pt;height:30pt;width:39.75pt;z-index:251685888;mso-width-relative:page;mso-height-relative:page;" filled="f" stroked="f" coordsize="21600,21600">
            <v:path/>
            <v:fill on="f" focussize="0,0"/>
            <v:stroke on="f" joinstyle="miter"/>
            <v:imagedata o:title=""/>
            <o:lock v:ext="edit"/>
            <v:textbox>
              <w:txbxContent>
                <w:p>
                  <w:r>
                    <w:rPr>
                      <w:rFonts w:hint="eastAsia"/>
                    </w:rPr>
                    <w:t>III级</w:t>
                  </w:r>
                </w:p>
              </w:txbxContent>
            </v:textbox>
          </v:shape>
        </w:pict>
      </w:r>
      <w:r>
        <w:rPr>
          <w:b/>
          <w:color w:val="000000"/>
          <w:sz w:val="28"/>
          <w:szCs w:val="28"/>
        </w:rPr>
        <w:pict>
          <v:shape id="_x0000_s1125" o:spid="_x0000_s1125" o:spt="202" type="#_x0000_t202" style="position:absolute;left:0pt;margin-left:90.55pt;margin-top:24.45pt;height:26.25pt;width:82.5pt;z-index:251686912;mso-width-relative:page;mso-height-relative:page;" coordsize="21600,21600">
            <v:path/>
            <v:fill focussize="0,0"/>
            <v:stroke joinstyle="miter"/>
            <v:imagedata o:title=""/>
            <o:lock v:ext="edit"/>
            <v:textbox>
              <w:txbxContent>
                <w:p>
                  <w:pPr>
                    <w:rPr>
                      <w:sz w:val="22"/>
                    </w:rPr>
                  </w:pPr>
                  <w:r>
                    <w:rPr>
                      <w:rFonts w:hint="eastAsia"/>
                      <w:sz w:val="22"/>
                    </w:rPr>
                    <w:t>事件等级判读</w:t>
                  </w:r>
                </w:p>
              </w:txbxContent>
            </v:textbox>
          </v:shape>
        </w:pict>
      </w:r>
      <w:r>
        <w:rPr>
          <w:b/>
          <w:color w:val="000000"/>
          <w:sz w:val="28"/>
          <w:szCs w:val="28"/>
        </w:rPr>
        <w:pict>
          <v:shape id="_x0000_s1126" o:spid="_x0000_s1126" o:spt="32" type="#_x0000_t32" style="position:absolute;left:0pt;margin-left:131.95pt;margin-top:1.95pt;height:23.25pt;width:0pt;z-index:251687936;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27" o:spid="_x0000_s1127" o:spt="32" type="#_x0000_t32" style="position:absolute;left:0pt;margin-left:180pt;margin-top:7.8pt;height:0pt;width:63pt;z-index:25168896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28" o:spid="_x0000_s1128" o:spt="32" type="#_x0000_t32" style="position:absolute;left:0pt;margin-left:132pt;margin-top:21.5pt;height:23.25pt;width:0pt;z-index:25168998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29" o:spid="_x0000_s1129" o:spt="202" type="#_x0000_t202" style="position:absolute;left:0pt;margin-left:79.5pt;margin-top:13.55pt;height:24.15pt;width:100.5pt;z-index:251691008;mso-width-relative:page;mso-height-relative:page;" coordsize="21600,21600">
            <v:path/>
            <v:fill focussize="0,0"/>
            <v:stroke joinstyle="miter"/>
            <v:imagedata o:title=""/>
            <o:lock v:ext="edit"/>
            <v:textbox>
              <w:txbxContent>
                <w:p>
                  <w:pPr>
                    <w:rPr>
                      <w:sz w:val="22"/>
                    </w:rPr>
                  </w:pPr>
                  <w:r>
                    <w:rPr>
                      <w:rFonts w:hint="eastAsia"/>
                      <w:sz w:val="22"/>
                    </w:rPr>
                    <w:t>环境应急指挥部</w:t>
                  </w:r>
                </w:p>
              </w:txbxContent>
            </v:textbox>
          </v:shape>
        </w:pict>
      </w:r>
    </w:p>
    <w:p>
      <w:pPr>
        <w:rPr>
          <w:b/>
          <w:color w:val="000000"/>
          <w:sz w:val="28"/>
          <w:szCs w:val="28"/>
        </w:rPr>
      </w:pPr>
      <w:r>
        <w:rPr>
          <w:b/>
          <w:color w:val="000000"/>
          <w:sz w:val="28"/>
          <w:szCs w:val="28"/>
        </w:rPr>
        <w:pict>
          <v:shape id="_x0000_s1130" o:spid="_x0000_s1130" o:spt="202" type="#_x0000_t202" style="position:absolute;left:0pt;margin-left:189pt;margin-top:23.4pt;height:30pt;width:39.75pt;z-index:251692032;mso-width-relative:page;mso-height-relative:page;" filled="f" stroked="f" coordsize="21600,21600">
            <v:path/>
            <v:fill on="f" focussize="0,0"/>
            <v:stroke on="f" joinstyle="miter"/>
            <v:imagedata o:title=""/>
            <o:lock v:ext="edit"/>
            <v:textbox>
              <w:txbxContent>
                <w:p>
                  <w:r>
                    <w:rPr>
                      <w:rFonts w:hint="eastAsia"/>
                    </w:rPr>
                    <w:t>II级</w:t>
                  </w:r>
                </w:p>
              </w:txbxContent>
            </v:textbox>
          </v:shape>
        </w:pict>
      </w:r>
      <w:r>
        <w:rPr>
          <w:b/>
          <w:color w:val="000000"/>
          <w:sz w:val="28"/>
          <w:szCs w:val="28"/>
        </w:rPr>
        <w:pict>
          <v:shape id="_x0000_s1131" o:spid="_x0000_s1131" o:spt="202" type="#_x0000_t202" style="position:absolute;left:0pt;margin-left:269.65pt;margin-top:4.15pt;height:42.65pt;width:36.35pt;z-index:251693056;mso-width-relative:page;mso-height-relative:page;" filled="f" stroked="f" coordsize="21600,21600">
            <v:path/>
            <v:fill on="f" focussize="0,0"/>
            <v:stroke on="f" joinstyle="miter"/>
            <v:imagedata o:title=""/>
            <o:lock v:ext="edit"/>
            <v:textbox>
              <w:txbxContent>
                <w:p>
                  <w:r>
                    <w:rPr>
                      <w:rFonts w:hint="eastAsia"/>
                    </w:rPr>
                    <w:t>预警</w:t>
                  </w:r>
                </w:p>
                <w:p>
                  <w:r>
                    <w:rPr>
                      <w:rFonts w:hint="eastAsia"/>
                    </w:rPr>
                    <w:t>降级</w:t>
                  </w:r>
                </w:p>
              </w:txbxContent>
            </v:textbox>
          </v:shape>
        </w:pict>
      </w:r>
      <w:r>
        <w:rPr>
          <w:b/>
          <w:color w:val="000000"/>
          <w:sz w:val="28"/>
          <w:szCs w:val="28"/>
        </w:rPr>
        <w:pict>
          <v:shape id="_x0000_s1132" o:spid="_x0000_s1132" o:spt="202" type="#_x0000_t202" style="position:absolute;left:0pt;margin-left:217.75pt;margin-top:3.5pt;height:38.25pt;width:50.25pt;z-index:251694080;mso-width-relative:page;mso-height-relative:page;" filled="f" stroked="f" coordsize="21600,21600">
            <v:path/>
            <v:fill on="f" focussize="0,0"/>
            <v:stroke on="f" joinstyle="miter"/>
            <v:imagedata o:title=""/>
            <o:lock v:ext="edit"/>
            <v:textbox>
              <w:txbxContent>
                <w:p>
                  <w:r>
                    <w:rPr>
                      <w:rFonts w:hint="eastAsia"/>
                    </w:rPr>
                    <w:t>事件影响下降</w:t>
                  </w:r>
                </w:p>
              </w:txbxContent>
            </v:textbox>
          </v:shape>
        </w:pict>
      </w:r>
      <w:r>
        <w:rPr>
          <w:b/>
          <w:color w:val="000000"/>
          <w:sz w:val="28"/>
          <w:szCs w:val="28"/>
        </w:rPr>
        <w:pict>
          <v:shape id="_x0000_s1133" o:spid="_x0000_s1133" o:spt="32" type="#_x0000_t32" style="position:absolute;left:0pt;margin-left:131.3pt;margin-top:7.8pt;height:23.25pt;width:0pt;z-index:251695104;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34" o:spid="_x0000_s1134" o:spt="32" type="#_x0000_t32" style="position:absolute;left:0pt;margin-left:180pt;margin-top:15.6pt;height:0pt;width:63pt;z-index:25169612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35" o:spid="_x0000_s1135" o:spt="32" type="#_x0000_t32" style="position:absolute;left:0pt;margin-left:130.65pt;margin-top:22.1pt;height:23.25pt;width:0pt;z-index:251697152;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36" o:spid="_x0000_s1136" o:spt="202" type="#_x0000_t202" style="position:absolute;left:0pt;margin-left:89.25pt;margin-top:-0.15pt;height:23.55pt;width:82.5pt;z-index:251698176;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r>
        <w:rPr>
          <w:b/>
          <w:color w:val="000000"/>
          <w:sz w:val="28"/>
          <w:szCs w:val="28"/>
        </w:rPr>
        <w:pict>
          <v:shape id="_x0000_s1137" o:spid="_x0000_s1137" o:spt="202" type="#_x0000_t202" style="position:absolute;left:0pt;margin-left:100.2pt;margin-top:13.5pt;height:22.95pt;width:64.5pt;z-index:251699200;mso-width-relative:page;mso-height-relative:page;" coordsize="21600,21600">
            <v:path/>
            <v:fill focussize="0,0"/>
            <v:stroke joinstyle="miter"/>
            <v:imagedata o:title=""/>
            <o:lock v:ext="edit"/>
            <v:textbox>
              <w:txbxContent>
                <w:p>
                  <w:pPr>
                    <w:rPr>
                      <w:sz w:val="22"/>
                    </w:rPr>
                  </w:pPr>
                  <w:r>
                    <w:rPr>
                      <w:rFonts w:hint="eastAsia"/>
                      <w:sz w:val="22"/>
                    </w:rPr>
                    <w:t>政府部门</w:t>
                  </w:r>
                </w:p>
              </w:txbxContent>
            </v:textbox>
          </v:shape>
        </w:pict>
      </w:r>
    </w:p>
    <w:p>
      <w:pPr>
        <w:rPr>
          <w:b/>
          <w:color w:val="000000"/>
          <w:sz w:val="28"/>
          <w:szCs w:val="28"/>
        </w:rPr>
      </w:pPr>
      <w:r>
        <w:rPr>
          <w:b/>
          <w:color w:val="000000"/>
          <w:sz w:val="28"/>
          <w:szCs w:val="28"/>
        </w:rPr>
        <w:pict>
          <v:shape id="_x0000_s1138" o:spid="_x0000_s1138" o:spt="202" type="#_x0000_t202" style="position:absolute;left:0pt;margin-left:189pt;margin-top:23.4pt;height:23.25pt;width:33.75pt;z-index:251700224;mso-width-relative:page;mso-height-relative:page;" filled="f" stroked="f" coordsize="21600,21600">
            <v:path/>
            <v:fill on="f" focussize="0,0"/>
            <v:stroke on="f" joinstyle="miter"/>
            <v:imagedata o:title=""/>
            <o:lock v:ext="edit"/>
            <v:textbox>
              <w:txbxContent>
                <w:p>
                  <w:r>
                    <w:t>I级</w:t>
                  </w:r>
                </w:p>
              </w:txbxContent>
            </v:textbox>
          </v:shape>
        </w:pict>
      </w:r>
      <w:r>
        <w:rPr>
          <w:b/>
          <w:color w:val="000000"/>
          <w:sz w:val="28"/>
          <w:szCs w:val="28"/>
        </w:rPr>
        <w:pict>
          <v:shape id="_x0000_s1139" o:spid="_x0000_s1139" o:spt="202" type="#_x0000_t202" style="position:absolute;left:0pt;margin-left:243pt;margin-top:23.4pt;height:151.5pt;width:46.5pt;z-index:251701248;mso-width-relative:page;mso-height-relative:page;" coordsize="21600,21600">
            <v:path/>
            <v:fill focussize="0,0"/>
            <v:stroke joinstyle="miter"/>
            <v:imagedata o:title=""/>
            <o:lock v:ext="edit"/>
            <v:textbox>
              <w:txbxContent>
                <w:p>
                  <w:pPr>
                    <w:rPr>
                      <w:sz w:val="22"/>
                    </w:rPr>
                  </w:pPr>
                  <w:r>
                    <w:rPr>
                      <w:rFonts w:hint="eastAsia"/>
                      <w:sz w:val="22"/>
                    </w:rPr>
                    <w:t>根据情况针对敏感区域发布响应级别预 警</w:t>
                  </w:r>
                </w:p>
              </w:txbxContent>
            </v:textbox>
          </v:shape>
        </w:pict>
      </w:r>
      <w:r>
        <w:rPr>
          <w:b/>
          <w:color w:val="000000"/>
          <w:sz w:val="28"/>
          <w:szCs w:val="28"/>
        </w:rPr>
        <w:pict>
          <v:shape id="_x0000_s1140" o:spid="_x0000_s1140" o:spt="32" type="#_x0000_t32" style="position:absolute;left:0pt;margin-left:131.3pt;margin-top:6.5pt;height:23.25pt;width:0pt;z-index:251702272;mso-width-relative:page;mso-height-relative:page;" o:connectortype="straight" filled="f" coordsize="21600,21600">
            <v:path arrowok="t"/>
            <v:fill on="f" focussize="0,0"/>
            <v:stroke endarrow="block"/>
            <v:imagedata o:title=""/>
            <o:lock v:ext="edit"/>
          </v:shape>
        </w:pict>
      </w:r>
    </w:p>
    <w:p>
      <w:pPr>
        <w:rPr>
          <w:b/>
          <w:color w:val="000000"/>
          <w:sz w:val="28"/>
          <w:szCs w:val="28"/>
        </w:rPr>
      </w:pPr>
      <w:r>
        <w:rPr>
          <w:b/>
          <w:color w:val="000000"/>
          <w:sz w:val="28"/>
          <w:szCs w:val="28"/>
        </w:rPr>
        <w:pict>
          <v:shape id="_x0000_s1141" o:spid="_x0000_s1141" o:spt="202" type="#_x0000_t202" style="position:absolute;left:0pt;margin-left:352.3pt;margin-top:23.4pt;height:78pt;width:25.7pt;z-index:251703296;mso-width-relative:page;mso-height-relative:page;" coordsize="21600,21600">
            <v:path/>
            <v:fill focussize="0,0"/>
            <v:stroke joinstyle="miter"/>
            <v:imagedata o:title=""/>
            <o:lock v:ext="edit"/>
            <v:textbox>
              <w:txbxContent>
                <w:p>
                  <w:pPr>
                    <w:rPr>
                      <w:sz w:val="22"/>
                    </w:rPr>
                  </w:pPr>
                  <w:r>
                    <w:rPr>
                      <w:rFonts w:hint="eastAsia"/>
                      <w:sz w:val="22"/>
                    </w:rPr>
                    <w:t>预</w:t>
                  </w:r>
                </w:p>
                <w:p>
                  <w:pPr>
                    <w:rPr>
                      <w:sz w:val="22"/>
                    </w:rPr>
                  </w:pPr>
                  <w:r>
                    <w:rPr>
                      <w:rFonts w:hint="eastAsia"/>
                      <w:sz w:val="22"/>
                    </w:rPr>
                    <w:t>警</w:t>
                  </w:r>
                </w:p>
                <w:p>
                  <w:pPr>
                    <w:rPr>
                      <w:sz w:val="22"/>
                    </w:rPr>
                  </w:pPr>
                  <w:r>
                    <w:rPr>
                      <w:rFonts w:hint="eastAsia"/>
                      <w:sz w:val="22"/>
                    </w:rPr>
                    <w:t>解</w:t>
                  </w:r>
                </w:p>
                <w:p>
                  <w:pPr>
                    <w:rPr>
                      <w:sz w:val="22"/>
                    </w:rPr>
                  </w:pPr>
                  <w:r>
                    <w:rPr>
                      <w:rFonts w:hint="eastAsia"/>
                      <w:sz w:val="22"/>
                    </w:rPr>
                    <w:t>除</w:t>
                  </w:r>
                </w:p>
              </w:txbxContent>
            </v:textbox>
          </v:shape>
        </w:pict>
      </w:r>
      <w:r>
        <w:rPr>
          <w:b/>
          <w:color w:val="000000"/>
          <w:sz w:val="28"/>
          <w:szCs w:val="28"/>
        </w:rPr>
        <w:pict>
          <v:shape id="_x0000_s1142" o:spid="_x0000_s1142" o:spt="32" type="#_x0000_t32" style="position:absolute;left:0pt;margin-left:291.7pt;margin-top:56.85pt;height:0pt;width:61.5pt;z-index:251704320;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43" o:spid="_x0000_s1143" o:spt="202" type="#_x0000_t202" style="position:absolute;left:0pt;margin-left:298.45pt;margin-top:9.6pt;height:47.25pt;width:39.75pt;z-index:251705344;mso-width-relative:page;mso-height-relative:page;" filled="f" stroked="f" coordsize="21600,21600">
            <v:path/>
            <v:fill on="f" focussize="0,0"/>
            <v:stroke on="f" joinstyle="miter"/>
            <v:imagedata o:title=""/>
            <o:lock v:ext="edit"/>
            <v:textbox>
              <w:txbxContent>
                <w:p>
                  <w:r>
                    <w:rPr>
                      <w:rFonts w:hint="eastAsia"/>
                    </w:rPr>
                    <w:t>事件平息</w:t>
                  </w:r>
                </w:p>
              </w:txbxContent>
            </v:textbox>
          </v:shape>
        </w:pict>
      </w:r>
      <w:r>
        <w:rPr>
          <w:b/>
          <w:color w:val="000000"/>
          <w:sz w:val="28"/>
          <w:szCs w:val="28"/>
        </w:rPr>
        <w:pict>
          <v:shape id="_x0000_s1144" o:spid="_x0000_s1144" o:spt="32" type="#_x0000_t32" style="position:absolute;left:0pt;margin-left:172.3pt;margin-top:13.65pt;height:0pt;width:63pt;z-index:251706368;mso-width-relative:page;mso-height-relative:page;" o:connectortype="straight" filled="f" coordsize="21600,21600">
            <v:path arrowok="t"/>
            <v:fill on="f" focussize="0,0"/>
            <v:stroke endarrow="block"/>
            <v:imagedata o:title=""/>
            <o:lock v:ext="edit"/>
          </v:shape>
        </w:pict>
      </w:r>
      <w:r>
        <w:rPr>
          <w:b/>
          <w:color w:val="000000"/>
          <w:sz w:val="28"/>
          <w:szCs w:val="28"/>
        </w:rPr>
        <w:pict>
          <v:shape id="_x0000_s1145" o:spid="_x0000_s1145" o:spt="202" type="#_x0000_t202" style="position:absolute;left:0pt;margin-left:89.9pt;margin-top:-0.25pt;height:22.35pt;width:82.5pt;z-index:251707392;mso-width-relative:page;mso-height-relative:page;" coordsize="21600,21600">
            <v:path/>
            <v:fill focussize="0,0"/>
            <v:stroke joinstyle="miter"/>
            <v:imagedata o:title=""/>
            <o:lock v:ext="edit"/>
            <v:textbox>
              <w:txbxContent>
                <w:p>
                  <w:pPr>
                    <w:rPr>
                      <w:sz w:val="22"/>
                    </w:rPr>
                  </w:pPr>
                  <w:r>
                    <w:rPr>
                      <w:rFonts w:hint="eastAsia"/>
                      <w:sz w:val="22"/>
                    </w:rPr>
                    <w:t>事件等级判断</w:t>
                  </w:r>
                </w:p>
              </w:txbxContent>
            </v:textbox>
          </v:shape>
        </w:pict>
      </w: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textAlignment w:val="center"/>
        <w:outlineLvl w:val="0"/>
        <w:rPr>
          <w:rFonts w:asciiTheme="minorEastAsia" w:hAnsiTheme="minorEastAsia" w:eastAsiaTheme="minorEastAsia"/>
          <w:b/>
          <w:color w:val="000000"/>
          <w:sz w:val="32"/>
        </w:rPr>
      </w:pPr>
    </w:p>
    <w:p>
      <w:pPr>
        <w:adjustRightInd w:val="0"/>
        <w:snapToGrid w:val="0"/>
        <w:spacing w:line="440" w:lineRule="exact"/>
        <w:jc w:val="left"/>
        <w:textAlignment w:val="center"/>
        <w:rPr>
          <w:rFonts w:hint="eastAsia" w:ascii="宋体"/>
          <w:b/>
          <w:color w:val="000000"/>
          <w:sz w:val="32"/>
        </w:rPr>
      </w:pPr>
    </w:p>
    <w:p>
      <w:pPr>
        <w:adjustRightInd w:val="0"/>
        <w:snapToGrid w:val="0"/>
        <w:spacing w:line="440" w:lineRule="exact"/>
        <w:jc w:val="left"/>
        <w:textAlignment w:val="center"/>
        <w:rPr>
          <w:rFonts w:hint="eastAsia" w:ascii="宋体"/>
          <w:b/>
          <w:color w:val="000000"/>
          <w:sz w:val="32"/>
        </w:rPr>
      </w:pPr>
    </w:p>
    <w:p>
      <w:pPr>
        <w:adjustRightInd w:val="0"/>
        <w:snapToGrid w:val="0"/>
        <w:spacing w:line="440" w:lineRule="exact"/>
        <w:jc w:val="left"/>
        <w:textAlignment w:val="center"/>
        <w:rPr>
          <w:rFonts w:ascii="宋体"/>
          <w:b/>
          <w:color w:val="000000"/>
          <w:sz w:val="32"/>
        </w:rPr>
      </w:pPr>
    </w:p>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Pr>
        <w:adjustRightInd w:val="0"/>
        <w:snapToGrid w:val="0"/>
        <w:spacing w:line="460" w:lineRule="exact"/>
        <w:jc w:val="center"/>
        <w:textAlignment w:val="center"/>
        <w:outlineLvl w:val="0"/>
        <w:rPr>
          <w:rFonts w:ascii="宋体"/>
          <w:b/>
          <w:color w:val="000000"/>
          <w:sz w:val="32"/>
        </w:rPr>
      </w:pPr>
      <w:bookmarkStart w:id="227" w:name="_Toc262040275"/>
      <w:bookmarkStart w:id="228" w:name="_Toc179794543"/>
      <w:bookmarkStart w:id="229" w:name="_Toc198007334"/>
      <w:bookmarkStart w:id="230" w:name="_Toc262051115"/>
      <w:bookmarkStart w:id="231" w:name="_Toc196018635"/>
      <w:bookmarkStart w:id="232" w:name="_Toc262051536"/>
      <w:bookmarkStart w:id="233" w:name="_Toc183339221"/>
      <w:bookmarkStart w:id="234" w:name="_Toc184808761"/>
      <w:bookmarkStart w:id="235" w:name="_Toc304962955"/>
      <w:bookmarkStart w:id="236" w:name="_Toc336327127"/>
      <w:bookmarkStart w:id="237" w:name="_Toc304963599"/>
      <w:bookmarkStart w:id="238" w:name="_Toc185670981"/>
      <w:bookmarkStart w:id="239" w:name="_Toc183339497"/>
      <w:bookmarkStart w:id="240" w:name="_Toc184809548"/>
      <w:bookmarkStart w:id="241" w:name="_Toc262050865"/>
      <w:bookmarkStart w:id="242" w:name="_Toc196018540"/>
      <w:bookmarkStart w:id="243" w:name="_Toc229283970"/>
      <w:bookmarkStart w:id="244" w:name="_Toc336326849"/>
      <w:bookmarkStart w:id="245" w:name="_Toc197251339"/>
      <w:bookmarkStart w:id="246" w:name="_Toc304964442"/>
      <w:bookmarkStart w:id="247" w:name="_Toc196018431"/>
      <w:bookmarkStart w:id="248" w:name="_Toc304833232"/>
      <w:bookmarkStart w:id="249" w:name="_Toc198355319"/>
      <w:bookmarkStart w:id="250" w:name="_Toc387131756"/>
      <w:bookmarkStart w:id="251" w:name="_Toc19812"/>
      <w:bookmarkStart w:id="252" w:name="_Toc408274433"/>
      <w:bookmarkStart w:id="253" w:name="_Toc387131425"/>
      <w:bookmarkStart w:id="254" w:name="_Toc387131499"/>
      <w:bookmarkStart w:id="255" w:name="_Toc8445"/>
      <w:r>
        <w:rPr>
          <w:rFonts w:ascii="宋体" w:hAnsi="宋体"/>
          <w:b/>
          <w:color w:val="000000"/>
          <w:sz w:val="32"/>
        </w:rPr>
        <w:t>5</w:t>
      </w:r>
      <w:r>
        <w:rPr>
          <w:rFonts w:hint="eastAsia" w:ascii="宋体" w:hAnsi="宋体"/>
          <w:b/>
          <w:color w:val="000000"/>
          <w:sz w:val="32"/>
        </w:rPr>
        <w:t>预警</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Pr>
          <w:rFonts w:hint="eastAsia" w:ascii="宋体" w:hAnsi="宋体"/>
          <w:b/>
          <w:color w:val="000000"/>
          <w:sz w:val="32"/>
        </w:rPr>
        <w:t>及信息报告</w:t>
      </w:r>
      <w:bookmarkEnd w:id="250"/>
      <w:bookmarkEnd w:id="251"/>
      <w:bookmarkEnd w:id="252"/>
      <w:bookmarkEnd w:id="253"/>
      <w:bookmarkEnd w:id="254"/>
      <w:bookmarkEnd w:id="255"/>
    </w:p>
    <w:p>
      <w:pPr>
        <w:adjustRightInd w:val="0"/>
        <w:snapToGrid w:val="0"/>
        <w:spacing w:line="460" w:lineRule="exact"/>
        <w:outlineLvl w:val="1"/>
        <w:rPr>
          <w:rFonts w:hint="eastAsia"/>
          <w:b/>
          <w:color w:val="000000"/>
          <w:sz w:val="26"/>
          <w:szCs w:val="26"/>
          <w:lang w:val="zh-CN"/>
        </w:rPr>
      </w:pPr>
      <w:bookmarkStart w:id="256" w:name="_Toc27764"/>
      <w:bookmarkStart w:id="257" w:name="_Toc184809550"/>
      <w:bookmarkStart w:id="258" w:name="_Toc304964444"/>
      <w:bookmarkStart w:id="259" w:name="_Toc304833234"/>
      <w:bookmarkStart w:id="260" w:name="_Toc262051538"/>
      <w:bookmarkStart w:id="261" w:name="_Toc183339223"/>
      <w:bookmarkStart w:id="262" w:name="_Toc196018542"/>
      <w:bookmarkStart w:id="263" w:name="_Toc304962957"/>
      <w:bookmarkStart w:id="264" w:name="_Toc179794545"/>
      <w:bookmarkStart w:id="265" w:name="_Toc196018433"/>
      <w:bookmarkStart w:id="266" w:name="_Toc304963601"/>
      <w:bookmarkStart w:id="267" w:name="_Toc415254540"/>
      <w:bookmarkStart w:id="268" w:name="_Toc7713"/>
      <w:bookmarkStart w:id="269" w:name="_Toc185670983"/>
      <w:bookmarkStart w:id="270" w:name="_Toc198007336"/>
      <w:bookmarkStart w:id="271" w:name="_Toc336327129"/>
      <w:bookmarkStart w:id="272" w:name="_Toc336326851"/>
      <w:bookmarkStart w:id="273" w:name="_Toc387131757"/>
      <w:bookmarkStart w:id="274" w:name="_Toc262040277"/>
      <w:bookmarkStart w:id="275" w:name="_Toc184808763"/>
      <w:bookmarkStart w:id="276" w:name="_Toc387131500"/>
      <w:bookmarkStart w:id="277" w:name="_Toc183339499"/>
      <w:bookmarkStart w:id="278" w:name="_Toc408274434"/>
      <w:bookmarkStart w:id="279" w:name="_Toc196018637"/>
      <w:bookmarkStart w:id="280" w:name="_Toc198355321"/>
      <w:bookmarkStart w:id="281" w:name="_Toc197251341"/>
      <w:bookmarkStart w:id="282" w:name="_Toc262051117"/>
      <w:bookmarkStart w:id="283" w:name="_Toc262050867"/>
      <w:bookmarkStart w:id="284" w:name="_Toc387131426"/>
      <w:bookmarkStart w:id="285" w:name="_Toc229283972"/>
      <w:r>
        <w:rPr>
          <w:rFonts w:hint="eastAsia"/>
          <w:b/>
          <w:color w:val="000000"/>
          <w:sz w:val="26"/>
          <w:szCs w:val="26"/>
          <w:lang w:val="zh-CN"/>
        </w:rPr>
        <w:t>5.1预防</w:t>
      </w:r>
      <w:bookmarkEnd w:id="256"/>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根据风险识别，项目风险源主要有仓库氢氧化钠和生产区，企业采取的风险源监控及预防措施有：</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1、氢氧化钠仓库风险防控措施</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（1）库房设有专人管理。定期检查；</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（2）设置有消防器材、消防系统；</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（3</w:t>
      </w:r>
      <w:r>
        <w:rPr>
          <w:rFonts w:hint="eastAsia" w:asciiTheme="minorEastAsia" w:hAnsiTheme="minorEastAsia" w:eastAsiaTheme="minorEastAsia"/>
          <w:color w:val="000000"/>
        </w:rPr>
        <w:t>）地面采用混泥土进行了防渗、防腐处理。</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（4）设置了喷淋措施、洗眼设施等应急装置。</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2、生产区风险防控措施</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lang w:val="zh-CN"/>
        </w:rPr>
        <w:t>一般来说污水量的增加为缓慢曲线式增加，遇到水量陡增的情况一般是有新接入官网或排水企业导致，处置方案为：</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（1）抢险救灾组在发现进厂污水量超标时，应及时发挥事故应急池的功能，可从提升泵房将多余废水导入调节池临时存储。企业</w:t>
      </w:r>
      <w:r>
        <w:rPr>
          <w:rFonts w:hint="eastAsia" w:asciiTheme="minorEastAsia" w:hAnsiTheme="minorEastAsia" w:eastAsiaTheme="minorEastAsia"/>
          <w:color w:val="000000"/>
          <w:lang w:eastAsia="zh-CN"/>
        </w:rPr>
        <w:t>现</w:t>
      </w:r>
      <w:r>
        <w:rPr>
          <w:rFonts w:hint="eastAsia" w:asciiTheme="minorEastAsia" w:hAnsiTheme="minorEastAsia" w:eastAsiaTheme="minorEastAsia"/>
          <w:color w:val="000000"/>
        </w:rPr>
        <w:t>有一套日处理1</w:t>
      </w:r>
      <w:r>
        <w:rPr>
          <w:rFonts w:hint="eastAsia" w:asciiTheme="minorEastAsia" w:hAnsiTheme="minorEastAsia" w:eastAsiaTheme="minorEastAsia"/>
          <w:color w:val="000000"/>
          <w:lang w:val="en-US" w:eastAsia="zh-CN"/>
        </w:rPr>
        <w:t>3</w:t>
      </w:r>
      <w:r>
        <w:rPr>
          <w:rFonts w:hint="eastAsia" w:asciiTheme="minorEastAsia" w:hAnsiTheme="minorEastAsia" w:eastAsiaTheme="minorEastAsia"/>
          <w:color w:val="000000"/>
        </w:rPr>
        <w:t>50</w:t>
      </w:r>
      <w:r>
        <w:rPr>
          <w:rFonts w:hint="eastAsia" w:asciiTheme="minorEastAsia" w:hAnsiTheme="minorEastAsia" w:eastAsiaTheme="minorEastAsia"/>
          <w:color w:val="000000"/>
          <w:lang w:val="zh-CN"/>
        </w:rPr>
        <w:t>m3</w:t>
      </w:r>
      <w:r>
        <w:rPr>
          <w:rFonts w:hint="eastAsia" w:asciiTheme="minorEastAsia" w:hAnsiTheme="minorEastAsia" w:eastAsiaTheme="minorEastAsia"/>
          <w:color w:val="000000"/>
        </w:rPr>
        <w:t>/d的生产线，</w:t>
      </w:r>
      <w:r>
        <w:rPr>
          <w:rFonts w:hint="eastAsia" w:asciiTheme="minorEastAsia" w:hAnsiTheme="minorEastAsia" w:eastAsiaTheme="minorEastAsia"/>
          <w:color w:val="000000"/>
          <w:lang w:eastAsia="zh-CN"/>
        </w:rPr>
        <w:t>目前日处理量不大，</w:t>
      </w:r>
      <w:r>
        <w:rPr>
          <w:rFonts w:hint="eastAsia" w:asciiTheme="minorEastAsia" w:hAnsiTheme="minorEastAsia" w:eastAsiaTheme="minorEastAsia"/>
          <w:color w:val="000000"/>
        </w:rPr>
        <w:t>遇突发环境事件可</w:t>
      </w:r>
      <w:r>
        <w:rPr>
          <w:rFonts w:hint="eastAsia" w:asciiTheme="minorEastAsia" w:hAnsiTheme="minorEastAsia" w:eastAsiaTheme="minorEastAsia"/>
          <w:color w:val="000000"/>
          <w:lang w:eastAsia="zh-CN"/>
        </w:rPr>
        <w:t>暂</w:t>
      </w:r>
      <w:r>
        <w:rPr>
          <w:rFonts w:hint="eastAsia" w:asciiTheme="minorEastAsia" w:hAnsiTheme="minorEastAsia" w:eastAsiaTheme="minorEastAsia"/>
          <w:color w:val="000000"/>
        </w:rPr>
        <w:t>作为事故应急事故池</w:t>
      </w:r>
      <w:r>
        <w:rPr>
          <w:rFonts w:hint="eastAsia" w:asciiTheme="minorEastAsia" w:hAnsiTheme="minorEastAsia" w:eastAsiaTheme="minorEastAsia"/>
          <w:color w:val="000000"/>
          <w:lang w:eastAsia="zh-CN"/>
        </w:rPr>
        <w:t>使用</w:t>
      </w:r>
      <w:r>
        <w:rPr>
          <w:rFonts w:hint="eastAsia" w:asciiTheme="minorEastAsia" w:hAnsiTheme="minorEastAsia" w:eastAsiaTheme="minorEastAsia"/>
          <w:color w:val="000000"/>
        </w:rPr>
        <w:t>，可以保证事故状态下厂内污染污水及工业园区污水的收集</w:t>
      </w:r>
      <w:r>
        <w:rPr>
          <w:rFonts w:hint="eastAsia" w:asciiTheme="minorEastAsia" w:hAnsiTheme="minorEastAsia" w:eastAsiaTheme="minorEastAsia"/>
          <w:color w:val="000000"/>
          <w:lang w:eastAsia="zh-CN"/>
        </w:rPr>
        <w:t>，但</w:t>
      </w:r>
      <w:r>
        <w:rPr>
          <w:rFonts w:hint="eastAsia" w:asciiTheme="minorEastAsia" w:hAnsiTheme="minorEastAsia" w:eastAsiaTheme="minorEastAsia"/>
          <w:color w:val="000000"/>
        </w:rPr>
        <w:t>建议企业：修建1个容积为600</w:t>
      </w:r>
      <w:r>
        <w:rPr>
          <w:rFonts w:hint="eastAsia" w:asciiTheme="minorEastAsia" w:hAnsiTheme="minorEastAsia" w:eastAsiaTheme="minorEastAsia"/>
          <w:color w:val="000000"/>
          <w:lang w:val="zh-CN"/>
        </w:rPr>
        <w:t xml:space="preserve"> m3的</w:t>
      </w:r>
      <w:r>
        <w:rPr>
          <w:rFonts w:hint="eastAsia" w:asciiTheme="minorEastAsia" w:hAnsiTheme="minorEastAsia" w:eastAsiaTheme="minorEastAsia"/>
          <w:color w:val="000000"/>
        </w:rPr>
        <w:t>应急事故池。</w:t>
      </w:r>
    </w:p>
    <w:p>
      <w:pPr>
        <w:pStyle w:val="193"/>
        <w:spacing w:line="360" w:lineRule="auto"/>
        <w:ind w:firstLine="480" w:firstLineChars="200"/>
        <w:jc w:val="left"/>
        <w:rPr>
          <w:rFonts w:hint="eastAsia" w:asciiTheme="minorEastAsia" w:hAnsiTheme="minorEastAsia" w:eastAsiaTheme="minorEastAsia"/>
          <w:color w:val="000000"/>
          <w:lang w:val="zh-CN"/>
        </w:rPr>
      </w:pPr>
      <w:r>
        <w:rPr>
          <w:rFonts w:hint="eastAsia" w:asciiTheme="minorEastAsia" w:hAnsiTheme="minorEastAsia" w:eastAsiaTheme="minorEastAsia"/>
          <w:color w:val="000000"/>
        </w:rPr>
        <w:t>（2）调整工艺应对水量冲击，减少当日排泥量，并增加曝气量和投药量。必要时手动调节进水频率，避免一次进水量过多造成的波动</w:t>
      </w:r>
      <w:r>
        <w:rPr>
          <w:rFonts w:hint="eastAsia" w:asciiTheme="minorEastAsia" w:hAnsiTheme="minorEastAsia" w:eastAsiaTheme="minorEastAsia"/>
          <w:color w:val="000000"/>
          <w:lang w:val="zh-CN"/>
        </w:rPr>
        <w:t xml:space="preserve">应急运行组在发现进厂污水量超标时，应及时发挥事故应急池的功能。 </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（3）在工艺允许保证溶解氧的情况下适当缩短SBR周期，提高当日SBR运行</w:t>
      </w:r>
      <w:r>
        <w:rPr>
          <w:rFonts w:hint="eastAsia" w:asciiTheme="minorEastAsia" w:hAnsiTheme="minorEastAsia" w:eastAsiaTheme="minorEastAsia"/>
          <w:color w:val="000000"/>
        </w:rPr>
        <w:t>周期数，水量峰值过去后及时处理导入应急池的废水处置。</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(4)厂长应同时通知抢险救灾组对园区污水管网进行排查，如是企业集中排污导致，立刻协调企业停止集中式排放。</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(5)</w:t>
      </w:r>
      <w:r>
        <w:rPr>
          <w:rFonts w:hint="eastAsia" w:asciiTheme="minorEastAsia" w:hAnsiTheme="minorEastAsia" w:eastAsiaTheme="minorEastAsia"/>
          <w:color w:val="000000"/>
          <w:lang w:val="zh-CN"/>
        </w:rPr>
        <w:t>环境监测组</w:t>
      </w:r>
      <w:r>
        <w:rPr>
          <w:rFonts w:hint="eastAsia" w:asciiTheme="minorEastAsia" w:hAnsiTheme="minorEastAsia" w:eastAsiaTheme="minorEastAsia"/>
          <w:color w:val="000000"/>
        </w:rPr>
        <w:t>在进水量超标期间应加强对排水水质和工艺参数的化验检测直至恢复正常。</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(6)做好详细的运行记录，必要时向本地环保部门报告。</w:t>
      </w:r>
    </w:p>
    <w:p>
      <w:pPr>
        <w:pStyle w:val="193"/>
        <w:spacing w:line="360" w:lineRule="auto"/>
        <w:jc w:val="left"/>
        <w:rPr>
          <w:rFonts w:hint="eastAsia" w:asciiTheme="minorEastAsia" w:hAnsiTheme="minorEastAsia" w:eastAsiaTheme="minorEastAsia"/>
          <w:color w:val="000000"/>
        </w:rPr>
      </w:pPr>
      <w:r>
        <w:rPr>
          <w:rFonts w:hint="eastAsia" w:asciiTheme="minorEastAsia" w:hAnsiTheme="minorEastAsia" w:eastAsiaTheme="minorEastAsia"/>
          <w:color w:val="000000"/>
          <w:lang w:val="en-US" w:eastAsia="zh-CN"/>
        </w:rPr>
        <w:t xml:space="preserve">    </w:t>
      </w:r>
      <w:r>
        <w:rPr>
          <w:rFonts w:hint="eastAsia" w:asciiTheme="minorEastAsia" w:hAnsiTheme="minorEastAsia" w:eastAsiaTheme="minorEastAsia"/>
          <w:color w:val="000000"/>
        </w:rPr>
        <w:t>(</w:t>
      </w:r>
      <w:r>
        <w:rPr>
          <w:rFonts w:hint="eastAsia" w:asciiTheme="minorEastAsia" w:hAnsiTheme="minorEastAsia" w:eastAsiaTheme="minorEastAsia"/>
          <w:color w:val="000000"/>
          <w:lang w:val="en-US" w:eastAsia="zh-CN"/>
        </w:rPr>
        <w:t>7</w:t>
      </w:r>
      <w:r>
        <w:rPr>
          <w:rFonts w:hint="eastAsia" w:asciiTheme="minorEastAsia" w:hAnsiTheme="minorEastAsia" w:eastAsiaTheme="minorEastAsia"/>
          <w:color w:val="000000"/>
        </w:rPr>
        <w:t>)设置出水、进水水质在线监测装置，定期监测出水水质，防止污水未达标排放。</w:t>
      </w:r>
    </w:p>
    <w:p>
      <w:pPr>
        <w:pStyle w:val="193"/>
        <w:spacing w:line="360" w:lineRule="auto"/>
        <w:ind w:firstLine="480" w:firstLineChars="200"/>
        <w:jc w:val="left"/>
        <w:rPr>
          <w:rFonts w:hint="eastAsia" w:asciiTheme="minorEastAsia" w:hAnsiTheme="minorEastAsia" w:eastAsiaTheme="minorEastAsia"/>
          <w:color w:val="000000"/>
        </w:rPr>
      </w:pPr>
      <w:r>
        <w:rPr>
          <w:rFonts w:hint="eastAsia" w:asciiTheme="minorEastAsia" w:hAnsiTheme="minorEastAsia" w:eastAsiaTheme="minorEastAsia"/>
          <w:color w:val="000000"/>
        </w:rPr>
        <w:t>（8）定期对污水治理设施设备进行检查，维护保养，减少设备出现故障概率。</w:t>
      </w:r>
    </w:p>
    <w:p>
      <w:pPr>
        <w:adjustRightInd w:val="0"/>
        <w:snapToGrid w:val="0"/>
        <w:spacing w:line="460" w:lineRule="exact"/>
        <w:outlineLvl w:val="1"/>
        <w:rPr>
          <w:rFonts w:hint="eastAsia"/>
          <w:b/>
          <w:color w:val="000000"/>
          <w:sz w:val="26"/>
          <w:szCs w:val="26"/>
          <w:lang w:val="zh-CN"/>
        </w:rPr>
      </w:pPr>
      <w:bookmarkStart w:id="286" w:name="_Toc29668"/>
      <w:r>
        <w:rPr>
          <w:rFonts w:hint="eastAsia"/>
          <w:b/>
          <w:color w:val="000000"/>
          <w:sz w:val="26"/>
          <w:szCs w:val="26"/>
          <w:lang w:val="zh-CN"/>
        </w:rPr>
        <w:t>5.2预警</w:t>
      </w:r>
      <w:r>
        <w:rPr>
          <w:rFonts w:hint="eastAsia"/>
          <w:b/>
          <w:color w:val="000000"/>
          <w:sz w:val="26"/>
          <w:szCs w:val="26"/>
          <w:lang w:val="zh-CN" w:eastAsia="zh-CN"/>
        </w:rPr>
        <w:t>措施</w:t>
      </w:r>
      <w:bookmarkEnd w:id="286"/>
    </w:p>
    <w:p>
      <w:pPr>
        <w:spacing w:line="360" w:lineRule="auto"/>
        <w:rPr>
          <w:rFonts w:asciiTheme="minorEastAsia" w:hAnsiTheme="minorEastAsia" w:eastAsiaTheme="minorEastAsia"/>
          <w:sz w:val="24"/>
          <w:szCs w:val="24"/>
        </w:rPr>
      </w:pPr>
      <w:r>
        <w:rPr>
          <w:rFonts w:hint="eastAsia" w:asciiTheme="minorEastAsia" w:hAnsiTheme="minorEastAsia" w:eastAsiaTheme="minorEastAsia"/>
          <w:color w:val="000000"/>
          <w:sz w:val="24"/>
          <w:szCs w:val="24"/>
        </w:rPr>
        <w:t>（1）在污水进水口及排放口安装有COD在线分析仪/氨氮在线分析仪/流量计，进水口平时每2小时监测一次，出水口每1小时监测一次。同时辅以手动监测，可随时了解进、出水水质状况；此外，设备具有自动报警系统，一旦监测值超过设定限值，设备将自动报警。</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2</w:t>
      </w:r>
      <w:r>
        <w:rPr>
          <w:rFonts w:hint="eastAsia" w:asciiTheme="minorEastAsia" w:hAnsiTheme="minorEastAsia" w:eastAsiaTheme="minorEastAsia"/>
          <w:sz w:val="24"/>
          <w:szCs w:val="24"/>
        </w:rPr>
        <w:t>）进水口和排放口都安装有超声波明渠流量计，可随时监测进、出水的流量大小，再结合进、出水的水质状况，对处理药剂配比进行调整。</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3</w:t>
      </w:r>
      <w:r>
        <w:rPr>
          <w:rFonts w:hint="eastAsia" w:asciiTheme="minorEastAsia" w:hAnsiTheme="minorEastAsia" w:eastAsiaTheme="minorEastAsia"/>
          <w:sz w:val="24"/>
          <w:szCs w:val="24"/>
        </w:rPr>
        <w:t>）进水口前端设有溢洪口，当暴雨水量超过处理能力时，多余的部分，将从溢洪口直接排入长江，以保证污水处理厂的正常运行。</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asciiTheme="minorEastAsia" w:hAnsiTheme="minorEastAsia" w:eastAsiaTheme="minorEastAsia"/>
          <w:sz w:val="24"/>
          <w:szCs w:val="24"/>
        </w:rPr>
        <w:t>4</w:t>
      </w:r>
      <w:r>
        <w:rPr>
          <w:rFonts w:hint="eastAsia" w:asciiTheme="minorEastAsia" w:hAnsiTheme="minorEastAsia" w:eastAsiaTheme="minorEastAsia"/>
          <w:sz w:val="24"/>
          <w:szCs w:val="24"/>
        </w:rPr>
        <w:t>）定期采取进、出水口水样，对各项水质指标进行检测；同时有值班人员不定期巡视进出水质状况，通常每</w:t>
      </w:r>
      <w:r>
        <w:rPr>
          <w:rFonts w:asciiTheme="minorEastAsia" w:hAnsiTheme="minorEastAsia" w:eastAsiaTheme="minorEastAsia"/>
          <w:sz w:val="24"/>
          <w:szCs w:val="24"/>
        </w:rPr>
        <w:t>2</w:t>
      </w:r>
      <w:r>
        <w:rPr>
          <w:rFonts w:hint="eastAsia" w:asciiTheme="minorEastAsia" w:hAnsiTheme="minorEastAsia" w:eastAsiaTheme="minorEastAsia"/>
          <w:sz w:val="24"/>
          <w:szCs w:val="24"/>
        </w:rPr>
        <w:t>小时至少巡视一次，以应对水质浓度的骤变。</w:t>
      </w:r>
      <w:r>
        <w:rPr>
          <w:rFonts w:asciiTheme="minorEastAsia" w:hAnsiTheme="minorEastAsia" w:eastAsiaTheme="minorEastAsia"/>
          <w:sz w:val="24"/>
          <w:szCs w:val="24"/>
        </w:rPr>
        <w:t xml:space="preserve"> </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机修人员做好设备维护保养工作。</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水量冲击预警</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巡检组负责对天气情况进行72小时预报。</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巡检时发现提升泵井液位明显增加，立即上报</w:t>
      </w:r>
      <w:r>
        <w:rPr>
          <w:rFonts w:hint="eastAsia" w:asciiTheme="minorEastAsia" w:hAnsiTheme="minorEastAsia" w:eastAsiaTheme="minorEastAsia"/>
          <w:sz w:val="24"/>
          <w:szCs w:val="24"/>
        </w:rPr>
        <w:t>厂长</w:t>
      </w:r>
      <w:r>
        <w:rPr>
          <w:rFonts w:asciiTheme="minorEastAsia" w:hAnsiTheme="minorEastAsia" w:eastAsiaTheme="minorEastAsia"/>
          <w:sz w:val="24"/>
          <w:szCs w:val="24"/>
        </w:rPr>
        <w:t>，并采取相应防范措施。</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发生暴雨时，中控室在</w:t>
      </w:r>
      <w:r>
        <w:rPr>
          <w:rFonts w:hint="eastAsia" w:asciiTheme="minorEastAsia" w:hAnsiTheme="minorEastAsia" w:eastAsiaTheme="minorEastAsia"/>
          <w:sz w:val="24"/>
          <w:szCs w:val="24"/>
        </w:rPr>
        <w:t>岗</w:t>
      </w:r>
      <w:r>
        <w:rPr>
          <w:rFonts w:asciiTheme="minorEastAsia" w:hAnsiTheme="minorEastAsia" w:eastAsiaTheme="minorEastAsia"/>
          <w:sz w:val="24"/>
          <w:szCs w:val="24"/>
        </w:rPr>
        <w:t>人员密切观察提升泵井液位。当中控室人员发现液位上升增快时，立即上报厂长。</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（7）</w:t>
      </w:r>
      <w:r>
        <w:rPr>
          <w:rFonts w:asciiTheme="minorEastAsia" w:hAnsiTheme="minorEastAsia" w:eastAsiaTheme="minorEastAsia"/>
          <w:sz w:val="24"/>
          <w:szCs w:val="24"/>
        </w:rPr>
        <w:t>水质冲击预警</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巡检过程中发现水质恶臭、浊度等异常，立即向厂长报告</w:t>
      </w:r>
    </w:p>
    <w:p>
      <w:pPr>
        <w:spacing w:line="360" w:lineRule="auto"/>
        <w:ind w:firstLine="486"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中控室发现进水水质在线监测数据超过进水标准，立即向厂长报告。</w:t>
      </w:r>
    </w:p>
    <w:p>
      <w:pPr>
        <w:spacing w:line="360" w:lineRule="auto"/>
        <w:ind w:firstLine="486" w:firstLineChars="200"/>
        <w:rPr>
          <w:rFonts w:asciiTheme="minorEastAsia" w:hAnsiTheme="minorEastAsia" w:eastAsiaTheme="minorEastAsia"/>
          <w:sz w:val="24"/>
          <w:szCs w:val="24"/>
        </w:rPr>
      </w:pPr>
      <w:r>
        <w:rPr>
          <w:rFonts w:asciiTheme="minorEastAsia" w:hAnsiTheme="minorEastAsia" w:eastAsiaTheme="minorEastAsia"/>
          <w:sz w:val="24"/>
          <w:szCs w:val="24"/>
        </w:rPr>
        <w:t>3）厂长接到进水水质冲击报告后，立即通知化验室负责人，对进水水质进行</w:t>
      </w:r>
      <w:r>
        <w:rPr>
          <w:rFonts w:hint="eastAsia" w:asciiTheme="minorEastAsia" w:hAnsiTheme="minorEastAsia" w:eastAsiaTheme="minorEastAsia"/>
          <w:sz w:val="24"/>
          <w:szCs w:val="24"/>
        </w:rPr>
        <w:t>人工</w:t>
      </w:r>
      <w:r>
        <w:rPr>
          <w:rFonts w:asciiTheme="minorEastAsia" w:hAnsiTheme="minorEastAsia" w:eastAsiaTheme="minorEastAsia"/>
          <w:sz w:val="24"/>
          <w:szCs w:val="24"/>
        </w:rPr>
        <w:t>采样监测</w:t>
      </w:r>
      <w:r>
        <w:rPr>
          <w:rFonts w:hint="eastAsia" w:asciiTheme="minorEastAsia" w:hAnsiTheme="minorEastAsia" w:eastAsiaTheme="minorEastAsia"/>
          <w:sz w:val="24"/>
          <w:szCs w:val="24"/>
        </w:rPr>
        <w:t>，</w:t>
      </w:r>
      <w:r>
        <w:rPr>
          <w:rFonts w:asciiTheme="minorEastAsia" w:hAnsiTheme="minorEastAsia" w:eastAsiaTheme="minorEastAsia"/>
          <w:sz w:val="24"/>
          <w:szCs w:val="24"/>
        </w:rPr>
        <w:t>监测结果报厂长</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4</w:t>
      </w:r>
      <w:r>
        <w:rPr>
          <w:rFonts w:asciiTheme="minorEastAsia" w:hAnsiTheme="minorEastAsia" w:eastAsiaTheme="minorEastAsia"/>
          <w:color w:val="000000"/>
          <w:sz w:val="24"/>
          <w:szCs w:val="24"/>
        </w:rPr>
        <w:t>）确认进水水质超标后，厂长（书面、口头）立即向公司</w:t>
      </w:r>
      <w:r>
        <w:rPr>
          <w:rFonts w:hint="eastAsia" w:asciiTheme="minorEastAsia" w:hAnsiTheme="minorEastAsia" w:eastAsiaTheme="minorEastAsia"/>
          <w:color w:val="000000"/>
          <w:sz w:val="24"/>
          <w:szCs w:val="24"/>
        </w:rPr>
        <w:t>安全环保部、</w:t>
      </w:r>
      <w:r>
        <w:rPr>
          <w:rFonts w:asciiTheme="minorEastAsia" w:hAnsiTheme="minorEastAsia" w:eastAsiaTheme="minorEastAsia"/>
          <w:color w:val="000000"/>
          <w:sz w:val="24"/>
          <w:szCs w:val="24"/>
        </w:rPr>
        <w:t>应急指挥中心办公室报告，并且启动污水管网排查；对</w:t>
      </w:r>
      <w:r>
        <w:rPr>
          <w:rFonts w:hint="eastAsia" w:asciiTheme="minorEastAsia" w:hAnsiTheme="minorEastAsia" w:eastAsiaTheme="minorEastAsia"/>
          <w:color w:val="000000"/>
          <w:sz w:val="24"/>
          <w:szCs w:val="24"/>
        </w:rPr>
        <w:t>污水处理厂服务范围内的</w:t>
      </w:r>
      <w:r>
        <w:rPr>
          <w:rFonts w:asciiTheme="minorEastAsia" w:hAnsiTheme="minorEastAsia" w:eastAsiaTheme="minorEastAsia"/>
          <w:color w:val="000000"/>
          <w:sz w:val="24"/>
          <w:szCs w:val="24"/>
        </w:rPr>
        <w:t>企业进行排查是否有企业废水处理不达标而直接排入污水管网。对易发生险情的目标</w:t>
      </w:r>
      <w:r>
        <w:rPr>
          <w:rFonts w:hint="eastAsia" w:asciiTheme="minorEastAsia" w:hAnsiTheme="minorEastAsia" w:eastAsiaTheme="minorEastAsia"/>
          <w:color w:val="000000"/>
          <w:sz w:val="24"/>
          <w:szCs w:val="24"/>
        </w:rPr>
        <w:t>企业</w:t>
      </w:r>
      <w:r>
        <w:rPr>
          <w:rFonts w:asciiTheme="minorEastAsia" w:hAnsiTheme="minorEastAsia" w:eastAsiaTheme="minorEastAsia"/>
          <w:color w:val="000000"/>
          <w:sz w:val="24"/>
          <w:szCs w:val="24"/>
        </w:rPr>
        <w:t>加强监视和处理，发现异常立即上报厂长</w:t>
      </w:r>
    </w:p>
    <w:p>
      <w:pPr>
        <w:adjustRightInd w:val="0"/>
        <w:snapToGrid w:val="0"/>
        <w:spacing w:line="360" w:lineRule="auto"/>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（8）</w:t>
      </w:r>
      <w:r>
        <w:rPr>
          <w:rFonts w:asciiTheme="minorEastAsia" w:hAnsiTheme="minorEastAsia" w:eastAsiaTheme="minorEastAsia"/>
          <w:color w:val="000000"/>
          <w:sz w:val="24"/>
          <w:szCs w:val="24"/>
        </w:rPr>
        <w:t>停电预警</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1）电力部门提前发布停电通知，由</w:t>
      </w:r>
      <w:r>
        <w:rPr>
          <w:rFonts w:hint="eastAsia" w:asciiTheme="minorEastAsia" w:hAnsiTheme="minorEastAsia" w:eastAsiaTheme="minorEastAsia"/>
          <w:color w:val="000000"/>
          <w:sz w:val="24"/>
          <w:szCs w:val="24"/>
        </w:rPr>
        <w:t>综合部</w:t>
      </w:r>
      <w:r>
        <w:rPr>
          <w:rFonts w:asciiTheme="minorEastAsia" w:hAnsiTheme="minorEastAsia" w:eastAsiaTheme="minorEastAsia"/>
          <w:color w:val="000000"/>
          <w:sz w:val="24"/>
          <w:szCs w:val="24"/>
        </w:rPr>
        <w:t>收集停电通知，</w:t>
      </w:r>
      <w:r>
        <w:rPr>
          <w:rFonts w:hint="eastAsia" w:asciiTheme="minorEastAsia" w:hAnsiTheme="minorEastAsia" w:eastAsiaTheme="minorEastAsia"/>
          <w:color w:val="000000"/>
          <w:sz w:val="24"/>
          <w:szCs w:val="24"/>
        </w:rPr>
        <w:t>安全生产部</w:t>
      </w:r>
      <w:r>
        <w:rPr>
          <w:rFonts w:asciiTheme="minorEastAsia" w:hAnsiTheme="minorEastAsia" w:eastAsiaTheme="minorEastAsia"/>
          <w:color w:val="000000"/>
          <w:sz w:val="24"/>
          <w:szCs w:val="24"/>
        </w:rPr>
        <w:t>提前做好备用</w:t>
      </w:r>
      <w:r>
        <w:rPr>
          <w:rFonts w:hint="eastAsia" w:asciiTheme="minorEastAsia" w:hAnsiTheme="minorEastAsia" w:eastAsiaTheme="minorEastAsia"/>
          <w:color w:val="000000"/>
          <w:sz w:val="24"/>
          <w:szCs w:val="24"/>
        </w:rPr>
        <w:t>电源供电</w:t>
      </w:r>
      <w:r>
        <w:rPr>
          <w:rFonts w:asciiTheme="minorEastAsia" w:hAnsiTheme="minorEastAsia" w:eastAsiaTheme="minorEastAsia"/>
          <w:color w:val="000000"/>
          <w:sz w:val="24"/>
          <w:szCs w:val="24"/>
        </w:rPr>
        <w:t>准备。</w:t>
      </w:r>
    </w:p>
    <w:p>
      <w:pPr>
        <w:adjustRightInd w:val="0"/>
        <w:snapToGrid w:val="0"/>
        <w:spacing w:line="360" w:lineRule="auto"/>
        <w:ind w:firstLine="486" w:firstLineChars="200"/>
        <w:jc w:val="left"/>
        <w:textAlignment w:val="center"/>
        <w:rPr>
          <w:rFonts w:ascii="宋体"/>
          <w:color w:val="000000"/>
          <w:sz w:val="24"/>
          <w:szCs w:val="24"/>
        </w:rPr>
      </w:pPr>
      <w:r>
        <w:rPr>
          <w:rFonts w:asciiTheme="minorEastAsia" w:hAnsiTheme="minorEastAsia" w:eastAsiaTheme="minorEastAsia"/>
          <w:color w:val="000000"/>
          <w:sz w:val="24"/>
          <w:szCs w:val="24"/>
        </w:rPr>
        <w:t>2）中控室设置有断电应急灯，当发生设备断电时，应急灯亮起。</w:t>
      </w:r>
      <w:r>
        <w:rPr>
          <w:rFonts w:hint="eastAsia" w:asciiTheme="minorEastAsia" w:hAnsiTheme="minorEastAsia" w:eastAsiaTheme="minorEastAsia"/>
          <w:color w:val="000000"/>
          <w:sz w:val="24"/>
          <w:szCs w:val="24"/>
        </w:rPr>
        <w:t>安全生产部及时</w:t>
      </w:r>
      <w:r>
        <w:rPr>
          <w:rFonts w:asciiTheme="minorEastAsia" w:hAnsiTheme="minorEastAsia" w:eastAsiaTheme="minorEastAsia"/>
          <w:color w:val="000000"/>
          <w:sz w:val="24"/>
          <w:szCs w:val="24"/>
        </w:rPr>
        <w:t>启动</w:t>
      </w:r>
      <w:r>
        <w:rPr>
          <w:rFonts w:hint="eastAsia" w:asciiTheme="minorEastAsia" w:hAnsiTheme="minorEastAsia" w:eastAsiaTheme="minorEastAsia"/>
          <w:color w:val="000000"/>
          <w:sz w:val="24"/>
          <w:szCs w:val="24"/>
        </w:rPr>
        <w:t>备用电源</w:t>
      </w:r>
      <w:r>
        <w:rPr>
          <w:rFonts w:asciiTheme="minorEastAsia" w:hAnsiTheme="minorEastAsia" w:eastAsiaTheme="minorEastAsia"/>
          <w:color w:val="000000"/>
          <w:sz w:val="24"/>
          <w:szCs w:val="24"/>
        </w:rPr>
        <w:t>。</w:t>
      </w:r>
    </w:p>
    <w:p>
      <w:pPr>
        <w:adjustRightInd w:val="0"/>
        <w:snapToGrid w:val="0"/>
        <w:spacing w:line="460" w:lineRule="exact"/>
        <w:outlineLvl w:val="1"/>
        <w:rPr>
          <w:rFonts w:hint="eastAsia"/>
          <w:b/>
          <w:color w:val="000000"/>
          <w:sz w:val="26"/>
          <w:szCs w:val="26"/>
          <w:lang w:val="zh-CN"/>
        </w:rPr>
      </w:pPr>
      <w:bookmarkStart w:id="287" w:name="_Toc26697"/>
      <w:r>
        <w:rPr>
          <w:rFonts w:hint="eastAsia"/>
          <w:b/>
          <w:color w:val="000000"/>
          <w:sz w:val="26"/>
          <w:szCs w:val="26"/>
          <w:lang w:val="zh-CN"/>
        </w:rPr>
        <w:t>5.3信息报告</w:t>
      </w:r>
      <w:bookmarkEnd w:id="287"/>
    </w:p>
    <w:p>
      <w:pPr>
        <w:pStyle w:val="4"/>
        <w:spacing w:before="0" w:after="0" w:line="460" w:lineRule="exact"/>
        <w:jc w:val="left"/>
        <w:rPr>
          <w:rFonts w:ascii="宋体"/>
          <w:sz w:val="28"/>
        </w:rPr>
      </w:pPr>
      <w:r>
        <w:rPr>
          <w:rFonts w:ascii="宋体" w:hAnsi="宋体"/>
          <w:sz w:val="28"/>
        </w:rPr>
        <w:t>5.3.1</w:t>
      </w:r>
      <w:r>
        <w:rPr>
          <w:rFonts w:hint="eastAsia" w:ascii="宋体" w:hAnsi="宋体"/>
          <w:sz w:val="28"/>
        </w:rPr>
        <w:t>信息接收与通报</w:t>
      </w:r>
    </w:p>
    <w:p>
      <w:pPr>
        <w:adjustRightInd w:val="0"/>
        <w:snapToGrid w:val="0"/>
        <w:spacing w:line="460" w:lineRule="exact"/>
        <w:ind w:firstLine="480" w:firstLineChars="200"/>
        <w:jc w:val="left"/>
        <w:textAlignment w:val="center"/>
        <w:rPr>
          <w:rFonts w:ascii="宋体"/>
          <w:color w:val="000000"/>
          <w:sz w:val="24"/>
          <w:szCs w:val="24"/>
        </w:rPr>
      </w:pPr>
      <w:r>
        <w:rPr>
          <w:rFonts w:hint="eastAsia" w:ascii="宋体" w:hAnsi="宋体"/>
          <w:color w:val="000000"/>
          <w:sz w:val="24"/>
          <w:szCs w:val="24"/>
        </w:rPr>
        <w:t>百胜榨菜污水处理厂</w:t>
      </w:r>
      <w:r>
        <w:rPr>
          <w:rFonts w:ascii="宋体" w:hAnsi="宋体"/>
          <w:color w:val="000000"/>
          <w:sz w:val="24"/>
          <w:szCs w:val="24"/>
        </w:rPr>
        <w:t>24</w:t>
      </w:r>
      <w:r>
        <w:rPr>
          <w:rFonts w:hint="eastAsia" w:ascii="宋体" w:hAnsi="宋体"/>
          <w:color w:val="000000"/>
          <w:sz w:val="24"/>
          <w:szCs w:val="24"/>
        </w:rPr>
        <w:t>小时开通的通讯系统、视频监控系统和生产、储存装置的安全监控报警系统。</w:t>
      </w:r>
    </w:p>
    <w:p>
      <w:pPr>
        <w:autoSpaceDE w:val="0"/>
        <w:autoSpaceDN w:val="0"/>
        <w:adjustRightInd w:val="0"/>
        <w:spacing w:line="460" w:lineRule="exact"/>
        <w:ind w:firstLine="480" w:firstLineChars="200"/>
        <w:rPr>
          <w:rFonts w:ascii="宋体" w:cs="仿宋_GB2312"/>
          <w:b/>
          <w:sz w:val="24"/>
          <w:szCs w:val="24"/>
        </w:rPr>
      </w:pPr>
      <w:r>
        <w:rPr>
          <w:rFonts w:ascii="宋体" w:hAnsi="宋体"/>
          <w:color w:val="000000"/>
          <w:sz w:val="24"/>
          <w:szCs w:val="24"/>
        </w:rPr>
        <w:t>24</w:t>
      </w:r>
      <w:r>
        <w:rPr>
          <w:rFonts w:hint="eastAsia" w:ascii="宋体" w:hAnsi="宋体"/>
          <w:color w:val="000000"/>
          <w:sz w:val="24"/>
          <w:szCs w:val="24"/>
        </w:rPr>
        <w:t>小时值班报警电话：</w:t>
      </w:r>
      <w:r>
        <w:rPr>
          <w:rFonts w:ascii="宋体" w:hAnsi="宋体"/>
          <w:b/>
          <w:bCs/>
          <w:color w:val="000000"/>
          <w:sz w:val="24"/>
          <w:szCs w:val="24"/>
        </w:rPr>
        <w:t>023-</w:t>
      </w:r>
      <w:r>
        <w:rPr>
          <w:rFonts w:ascii="宋体" w:hAnsi="宋体" w:cs="仿宋_GB2312"/>
          <w:b/>
          <w:color w:val="000000"/>
          <w:sz w:val="24"/>
          <w:szCs w:val="24"/>
        </w:rPr>
        <w:t>72160135</w:t>
      </w:r>
      <w:r>
        <w:rPr>
          <w:rFonts w:hint="eastAsia" w:ascii="宋体" w:hAnsi="宋体"/>
          <w:color w:val="000000"/>
          <w:sz w:val="24"/>
          <w:szCs w:val="24"/>
        </w:rPr>
        <w:t>，必须确保</w:t>
      </w:r>
      <w:r>
        <w:rPr>
          <w:rFonts w:ascii="宋体" w:hAnsi="宋体"/>
          <w:color w:val="000000"/>
          <w:sz w:val="24"/>
          <w:szCs w:val="24"/>
        </w:rPr>
        <w:t>24</w:t>
      </w:r>
      <w:r>
        <w:rPr>
          <w:rFonts w:hint="eastAsia" w:ascii="宋体" w:hAnsi="宋体"/>
          <w:color w:val="000000"/>
          <w:sz w:val="24"/>
          <w:szCs w:val="24"/>
        </w:rPr>
        <w:t>小时能有人接听。与事故应急处置有关的人员必须确保</w:t>
      </w:r>
      <w:r>
        <w:rPr>
          <w:rFonts w:ascii="宋体" w:hAnsi="宋体"/>
          <w:color w:val="000000"/>
          <w:sz w:val="24"/>
          <w:szCs w:val="24"/>
        </w:rPr>
        <w:t>24</w:t>
      </w:r>
      <w:r>
        <w:rPr>
          <w:rFonts w:hint="eastAsia" w:ascii="宋体" w:hAnsi="宋体"/>
          <w:color w:val="000000"/>
          <w:sz w:val="24"/>
          <w:szCs w:val="24"/>
        </w:rPr>
        <w:t>小时手机畅通。</w:t>
      </w:r>
    </w:p>
    <w:p>
      <w:pPr>
        <w:adjustRightInd w:val="0"/>
        <w:snapToGrid w:val="0"/>
        <w:spacing w:line="460" w:lineRule="exact"/>
        <w:ind w:firstLine="480" w:firstLineChars="200"/>
        <w:jc w:val="left"/>
        <w:textAlignment w:val="center"/>
        <w:rPr>
          <w:rFonts w:ascii="宋体"/>
          <w:color w:val="000000"/>
          <w:sz w:val="24"/>
          <w:szCs w:val="24"/>
        </w:rPr>
      </w:pPr>
      <w:r>
        <w:rPr>
          <w:rFonts w:hint="eastAsia" w:ascii="宋体" w:hAnsi="宋体"/>
          <w:color w:val="000000"/>
          <w:sz w:val="24"/>
          <w:szCs w:val="24"/>
        </w:rPr>
        <w:t>上报程序：事故发生后，事故现场有关人员应立即报告现场管理人员或当班负责人。单位主要负责人根据事故情况决定是否启动本单位现场处置方案或综合应急救援预案。每级上报时间不得超过</w:t>
      </w:r>
      <w:r>
        <w:rPr>
          <w:rFonts w:ascii="宋体" w:hAnsi="宋体"/>
          <w:color w:val="000000"/>
          <w:sz w:val="24"/>
          <w:szCs w:val="24"/>
        </w:rPr>
        <w:t>10</w:t>
      </w:r>
      <w:r>
        <w:rPr>
          <w:rFonts w:hint="eastAsia" w:ascii="宋体" w:hAnsi="宋体"/>
          <w:color w:val="000000"/>
          <w:sz w:val="24"/>
          <w:szCs w:val="24"/>
        </w:rPr>
        <w:t>分钟。情况紧急时，可以直接越级上报或现场人员直接向事故发生地区县级以上人民政府安全生产监督管理部门和负有安全生产监督管理职责的有关部门报告。当厂长觉得有必要启动应急救援预案时，可直接启动厂综合预案开展事故救援工作。</w:t>
      </w:r>
    </w:p>
    <w:p>
      <w:pPr>
        <w:pStyle w:val="4"/>
        <w:spacing w:before="0" w:after="0" w:line="460" w:lineRule="exact"/>
        <w:jc w:val="left"/>
        <w:rPr>
          <w:rFonts w:ascii="宋体"/>
          <w:sz w:val="28"/>
        </w:rPr>
      </w:pPr>
      <w:r>
        <w:rPr>
          <w:rFonts w:ascii="宋体" w:hAnsi="宋体"/>
          <w:sz w:val="28"/>
        </w:rPr>
        <w:t>5.3.2</w:t>
      </w:r>
      <w:r>
        <w:rPr>
          <w:rFonts w:hint="eastAsia" w:ascii="宋体" w:hAnsi="宋体"/>
          <w:sz w:val="28"/>
        </w:rPr>
        <w:t>信息上报</w:t>
      </w:r>
      <w:r>
        <w:rPr>
          <w:rFonts w:hint="eastAsia" w:ascii="宋体" w:hAnsi="宋体"/>
          <w:sz w:val="28"/>
          <w:lang w:eastAsia="zh-CN"/>
        </w:rPr>
        <w:t>与发布</w:t>
      </w:r>
    </w:p>
    <w:p>
      <w:pPr>
        <w:adjustRightInd w:val="0"/>
        <w:snapToGrid w:val="0"/>
        <w:spacing w:line="460" w:lineRule="exact"/>
        <w:ind w:firstLine="480" w:firstLineChars="200"/>
        <w:jc w:val="left"/>
        <w:textAlignment w:val="center"/>
        <w:rPr>
          <w:rFonts w:ascii="宋体"/>
          <w:color w:val="000000"/>
          <w:sz w:val="24"/>
          <w:szCs w:val="24"/>
        </w:rPr>
      </w:pPr>
      <w:r>
        <w:rPr>
          <w:rFonts w:hint="eastAsia" w:ascii="宋体" w:hAnsi="宋体"/>
          <w:color w:val="000000"/>
          <w:sz w:val="24"/>
          <w:szCs w:val="24"/>
        </w:rPr>
        <w:t>当事故信息上报至公司主要负责人后，主要负责人认为本单位应急能力不能对事故进行控制和处理时，由主要负责人直接在事故发生</w:t>
      </w:r>
      <w:r>
        <w:rPr>
          <w:rFonts w:ascii="宋体" w:hAnsi="宋体"/>
          <w:color w:val="000000"/>
          <w:sz w:val="24"/>
          <w:szCs w:val="24"/>
        </w:rPr>
        <w:t>l</w:t>
      </w:r>
      <w:r>
        <w:rPr>
          <w:rFonts w:hint="eastAsia" w:ascii="宋体" w:hAnsi="宋体"/>
          <w:color w:val="000000"/>
          <w:sz w:val="24"/>
          <w:szCs w:val="24"/>
        </w:rPr>
        <w:t>小时内上报百胜镇政府应急部门或区安全生产监督管理部门、主管部门以及负有安全生产监督管理职责的有关部门。</w:t>
      </w:r>
    </w:p>
    <w:p>
      <w:pPr>
        <w:adjustRightInd w:val="0"/>
        <w:snapToGrid w:val="0"/>
        <w:spacing w:line="460" w:lineRule="exact"/>
        <w:ind w:firstLine="480" w:firstLineChars="200"/>
        <w:jc w:val="left"/>
        <w:textAlignment w:val="center"/>
        <w:rPr>
          <w:rFonts w:ascii="宋体" w:hAnsi="宋体"/>
          <w:color w:val="000000"/>
          <w:sz w:val="24"/>
          <w:szCs w:val="24"/>
        </w:rPr>
      </w:pPr>
      <w:r>
        <w:rPr>
          <w:rFonts w:hint="eastAsia" w:ascii="宋体" w:hAnsi="宋体"/>
          <w:color w:val="000000"/>
          <w:sz w:val="24"/>
          <w:szCs w:val="24"/>
        </w:rPr>
        <w:t>报告事故的内容应当包括：事故发生单位概况；事故发生的时间、地点以及事故现场情况；事故的简要经过；事故已经造成或者可能造成的伤亡人数</w:t>
      </w:r>
      <w:r>
        <w:rPr>
          <w:rFonts w:ascii="宋体" w:hAnsi="宋体"/>
          <w:color w:val="000000"/>
          <w:sz w:val="24"/>
          <w:szCs w:val="24"/>
        </w:rPr>
        <w:t>(</w:t>
      </w:r>
      <w:r>
        <w:rPr>
          <w:rFonts w:hint="eastAsia" w:ascii="宋体" w:hAnsi="宋体"/>
          <w:color w:val="000000"/>
          <w:sz w:val="24"/>
          <w:szCs w:val="24"/>
        </w:rPr>
        <w:t>包括下落不明的人数</w:t>
      </w:r>
      <w:r>
        <w:rPr>
          <w:rFonts w:ascii="宋体" w:hAnsi="宋体"/>
          <w:color w:val="000000"/>
          <w:sz w:val="24"/>
          <w:szCs w:val="24"/>
        </w:rPr>
        <w:t>)</w:t>
      </w:r>
      <w:r>
        <w:rPr>
          <w:rFonts w:hint="eastAsia" w:ascii="宋体" w:hAnsi="宋体"/>
          <w:color w:val="000000"/>
          <w:sz w:val="24"/>
          <w:szCs w:val="24"/>
        </w:rPr>
        <w:t>和初步估计的直接经济损失；已经采取的措施；其他应当报告的情况。</w:t>
      </w:r>
      <w:r>
        <w:rPr>
          <w:rFonts w:ascii="宋体" w:hAnsi="宋体"/>
          <w:color w:val="000000"/>
          <w:sz w:val="24"/>
          <w:szCs w:val="24"/>
        </w:rPr>
        <w:t xml:space="preserve">  </w:t>
      </w:r>
    </w:p>
    <w:p>
      <w:pPr>
        <w:pStyle w:val="4"/>
        <w:spacing w:before="0" w:after="0" w:line="460" w:lineRule="exact"/>
        <w:jc w:val="left"/>
        <w:rPr>
          <w:rFonts w:ascii="宋体"/>
          <w:sz w:val="28"/>
        </w:rPr>
      </w:pPr>
      <w:r>
        <w:rPr>
          <w:rFonts w:ascii="宋体" w:hAnsi="宋体"/>
          <w:sz w:val="28"/>
        </w:rPr>
        <w:t>5.3.3</w:t>
      </w:r>
      <w:r>
        <w:rPr>
          <w:rFonts w:hint="eastAsia" w:ascii="宋体" w:hAnsi="宋体"/>
          <w:sz w:val="28"/>
        </w:rPr>
        <w:t>信息传递</w:t>
      </w:r>
    </w:p>
    <w:p>
      <w:pPr>
        <w:adjustRightInd w:val="0"/>
        <w:snapToGrid w:val="0"/>
        <w:spacing w:line="460" w:lineRule="exact"/>
        <w:ind w:firstLine="480" w:firstLineChars="200"/>
        <w:jc w:val="left"/>
        <w:textAlignment w:val="center"/>
        <w:rPr>
          <w:rFonts w:ascii="宋体"/>
          <w:color w:val="000000"/>
          <w:sz w:val="24"/>
          <w:szCs w:val="24"/>
        </w:rPr>
      </w:pPr>
      <w:r>
        <w:rPr>
          <w:rFonts w:hint="eastAsia" w:ascii="宋体" w:hAnsi="宋体"/>
          <w:color w:val="000000"/>
          <w:sz w:val="24"/>
          <w:szCs w:val="24"/>
        </w:rPr>
        <w:t>信息传递方式：现场岗位电话、移动电话等。上报事故信息的程序：</w:t>
      </w:r>
    </w:p>
    <w:p>
      <w:pPr>
        <w:adjustRightInd w:val="0"/>
        <w:snapToGrid w:val="0"/>
        <w:spacing w:line="460" w:lineRule="exact"/>
        <w:ind w:firstLine="480" w:firstLineChars="200"/>
        <w:jc w:val="left"/>
        <w:textAlignment w:val="center"/>
        <w:rPr>
          <w:rFonts w:ascii="宋体"/>
          <w:color w:val="000000"/>
          <w:sz w:val="24"/>
          <w:szCs w:val="24"/>
        </w:rPr>
      </w:pPr>
      <w:r>
        <w:rPr>
          <w:rFonts w:ascii="宋体" w:hAnsi="宋体"/>
          <w:color w:val="000000"/>
          <w:sz w:val="24"/>
          <w:szCs w:val="24"/>
        </w:rPr>
        <w:t>I</w:t>
      </w:r>
      <w:r>
        <w:rPr>
          <w:rFonts w:hint="eastAsia" w:ascii="宋体" w:hAnsi="宋体"/>
          <w:color w:val="000000"/>
          <w:sz w:val="24"/>
          <w:szCs w:val="24"/>
        </w:rPr>
        <w:t>级应急响应信息传递。现场人员在明确事故发生后，立即通知现场管理人员，事故较严重时可直接上报本单位主要负责人。情况紧急时，可以直接越级上报，或现场人员直接向事故发生地区县级以上人民政府安全生产监督管理部门和负有安全生产监督管理职责的有关部门报告。</w:t>
      </w:r>
    </w:p>
    <w:p>
      <w:pPr>
        <w:adjustRightInd w:val="0"/>
        <w:snapToGrid w:val="0"/>
        <w:spacing w:line="460" w:lineRule="exact"/>
        <w:ind w:firstLine="480" w:firstLineChars="200"/>
        <w:jc w:val="left"/>
        <w:textAlignment w:val="center"/>
        <w:rPr>
          <w:rFonts w:ascii="宋体"/>
          <w:color w:val="000000"/>
          <w:sz w:val="24"/>
          <w:szCs w:val="24"/>
        </w:rPr>
      </w:pPr>
      <w:r>
        <w:rPr>
          <w:rFonts w:hint="eastAsia" w:ascii="宋体" w:hAnsi="宋体"/>
          <w:color w:val="000000"/>
          <w:sz w:val="24"/>
          <w:szCs w:val="24"/>
        </w:rPr>
        <w:t>Ⅱ级应急响应信息传递。现场人员在明确事故发生后，立即通知本单位现场管理人员或本单位负责人，本单位主要负责人启动本单位应急救援预案。</w:t>
      </w:r>
    </w:p>
    <w:p>
      <w:pPr>
        <w:adjustRightInd w:val="0"/>
        <w:snapToGrid w:val="0"/>
        <w:spacing w:line="460" w:lineRule="exact"/>
        <w:ind w:firstLine="480" w:firstLineChars="200"/>
        <w:jc w:val="left"/>
        <w:textAlignment w:val="center"/>
        <w:rPr>
          <w:rFonts w:ascii="宋体"/>
          <w:color w:val="000000"/>
          <w:sz w:val="24"/>
          <w:szCs w:val="24"/>
        </w:rPr>
      </w:pPr>
      <w:r>
        <w:rPr>
          <w:rFonts w:hint="eastAsia" w:ascii="宋体" w:hAnsi="宋体"/>
          <w:color w:val="000000"/>
          <w:sz w:val="24"/>
          <w:szCs w:val="24"/>
        </w:rPr>
        <w:t>发生事故后，各级人员应按照逐级上报的原则，立即向公司管理层报告，发生重伤及以上事故，还应立即向公司主要负责人报告，主要负责人应于</w:t>
      </w:r>
      <w:r>
        <w:rPr>
          <w:rFonts w:ascii="宋体" w:hAnsi="宋体"/>
          <w:color w:val="000000"/>
          <w:sz w:val="24"/>
          <w:szCs w:val="24"/>
        </w:rPr>
        <w:t>1</w:t>
      </w:r>
      <w:r>
        <w:rPr>
          <w:rFonts w:hint="eastAsia" w:ascii="宋体" w:hAnsi="宋体"/>
          <w:color w:val="000000"/>
          <w:sz w:val="24"/>
          <w:szCs w:val="24"/>
        </w:rPr>
        <w:t>小时内向主管部门（涪陵区环保局）报告。事故报告的内容主要包括：发生事故的单位、时间、地点、事故类型、伤亡情况、事故的简要经过，初步分析事故原因，已采取的措施和现场控制情况。</w:t>
      </w:r>
    </w:p>
    <w:p>
      <w:pPr>
        <w:adjustRightInd w:val="0"/>
        <w:snapToGrid w:val="0"/>
        <w:spacing w:line="460" w:lineRule="exact"/>
        <w:ind w:firstLine="480" w:firstLineChars="200"/>
        <w:jc w:val="left"/>
        <w:textAlignment w:val="center"/>
        <w:rPr>
          <w:rFonts w:ascii="宋体" w:hAnsi="宋体"/>
          <w:color w:val="000000"/>
          <w:sz w:val="24"/>
          <w:szCs w:val="24"/>
        </w:rPr>
      </w:pPr>
      <w:r>
        <w:rPr>
          <w:rFonts w:hint="eastAsia" w:ascii="宋体" w:hAnsi="宋体"/>
          <w:color w:val="000000"/>
          <w:sz w:val="24"/>
          <w:szCs w:val="24"/>
        </w:rPr>
        <w:t>涪陵区环保局电话：</w:t>
      </w:r>
      <w:r>
        <w:rPr>
          <w:rFonts w:ascii="宋体" w:hAnsi="宋体"/>
          <w:color w:val="000000"/>
          <w:sz w:val="24"/>
          <w:szCs w:val="24"/>
        </w:rPr>
        <w:t>023-72899929</w:t>
      </w:r>
    </w:p>
    <w:p>
      <w:pPr>
        <w:adjustRightInd w:val="0"/>
        <w:snapToGrid w:val="0"/>
        <w:spacing w:line="460" w:lineRule="exact"/>
        <w:ind w:firstLine="480" w:firstLineChars="200"/>
        <w:jc w:val="left"/>
        <w:textAlignment w:val="center"/>
        <w:rPr>
          <w:rFonts w:ascii="宋体" w:hAnsi="宋体"/>
          <w:color w:val="000000"/>
          <w:sz w:val="24"/>
          <w:szCs w:val="24"/>
        </w:rPr>
      </w:pPr>
      <w:r>
        <w:rPr>
          <w:rFonts w:hint="eastAsia" w:ascii="宋体" w:hAnsi="宋体"/>
          <w:color w:val="000000"/>
          <w:sz w:val="24"/>
          <w:szCs w:val="24"/>
        </w:rPr>
        <w:t>涪陵区安监局电话：</w:t>
      </w:r>
      <w:r>
        <w:rPr>
          <w:rFonts w:ascii="宋体" w:hAnsi="宋体"/>
          <w:color w:val="000000"/>
          <w:sz w:val="24"/>
          <w:szCs w:val="24"/>
        </w:rPr>
        <w:t>023-72230615</w:t>
      </w:r>
    </w:p>
    <w:p>
      <w:pPr>
        <w:adjustRightInd w:val="0"/>
        <w:snapToGrid w:val="0"/>
        <w:spacing w:line="360" w:lineRule="auto"/>
        <w:ind w:firstLine="480" w:firstLineChars="200"/>
        <w:jc w:val="left"/>
        <w:textAlignment w:val="center"/>
        <w:rPr>
          <w:rFonts w:ascii="宋体" w:hAnsi="宋体"/>
          <w:color w:val="000000"/>
          <w:sz w:val="24"/>
          <w:szCs w:val="24"/>
        </w:rPr>
      </w:pPr>
      <w:r>
        <w:rPr>
          <w:rFonts w:hint="eastAsia" w:ascii="宋体" w:hAnsi="宋体"/>
          <w:color w:val="000000"/>
          <w:sz w:val="24"/>
          <w:szCs w:val="24"/>
        </w:rPr>
        <w:t>消防队电话：</w:t>
      </w:r>
      <w:r>
        <w:rPr>
          <w:rFonts w:ascii="宋体" w:hAnsi="宋体"/>
          <w:color w:val="000000"/>
          <w:sz w:val="24"/>
          <w:szCs w:val="24"/>
        </w:rPr>
        <w:t>119</w:t>
      </w:r>
    </w:p>
    <w:p>
      <w:pPr>
        <w:adjustRightInd w:val="0"/>
        <w:snapToGrid w:val="0"/>
        <w:spacing w:line="360" w:lineRule="auto"/>
        <w:ind w:firstLine="480" w:firstLineChars="200"/>
        <w:jc w:val="left"/>
        <w:textAlignment w:val="center"/>
        <w:rPr>
          <w:rFonts w:ascii="宋体"/>
          <w:b/>
          <w:color w:val="000000"/>
          <w:sz w:val="32"/>
        </w:rPr>
      </w:pPr>
      <w:r>
        <w:rPr>
          <w:rFonts w:hint="eastAsia" w:ascii="宋体" w:hAnsi="宋体"/>
          <w:color w:val="000000"/>
          <w:sz w:val="24"/>
          <w:szCs w:val="24"/>
        </w:rPr>
        <w:t>事故发生启动本预案后，统一由公司主要负责人上报告事故救援和人员伤亡情况等信息。</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Start w:id="288" w:name="_Toc185670985"/>
      <w:bookmarkStart w:id="289" w:name="_Toc262051119"/>
      <w:bookmarkStart w:id="290" w:name="_Toc184808765"/>
      <w:bookmarkStart w:id="291" w:name="_Toc198355323"/>
      <w:bookmarkStart w:id="292" w:name="_Toc304964446"/>
      <w:bookmarkStart w:id="293" w:name="_Toc229283974"/>
      <w:bookmarkStart w:id="294" w:name="_Toc336326853"/>
      <w:bookmarkStart w:id="295" w:name="_Toc196018435"/>
      <w:bookmarkStart w:id="296" w:name="_Toc196018639"/>
      <w:bookmarkStart w:id="297" w:name="_Toc387131428"/>
      <w:bookmarkStart w:id="298" w:name="_Toc183339225"/>
      <w:bookmarkStart w:id="299" w:name="_Toc179794547"/>
      <w:bookmarkStart w:id="300" w:name="_Toc198007338"/>
      <w:bookmarkStart w:id="301" w:name="_Toc262050869"/>
      <w:bookmarkStart w:id="302" w:name="_Toc262040279"/>
      <w:bookmarkStart w:id="303" w:name="_Toc387131759"/>
      <w:bookmarkStart w:id="304" w:name="_Toc197251343"/>
      <w:bookmarkStart w:id="305" w:name="_Toc336327131"/>
      <w:bookmarkStart w:id="306" w:name="_Toc304963603"/>
      <w:bookmarkStart w:id="307" w:name="_Toc196018544"/>
      <w:bookmarkStart w:id="308" w:name="_Toc183339501"/>
      <w:bookmarkStart w:id="309" w:name="_Toc304833236"/>
      <w:bookmarkStart w:id="310" w:name="_Toc184809552"/>
      <w:bookmarkStart w:id="311" w:name="_Toc304962959"/>
      <w:bookmarkStart w:id="312" w:name="_Toc262051540"/>
      <w:bookmarkStart w:id="313" w:name="_Toc387131502"/>
      <w:bookmarkStart w:id="314" w:name="_Toc415254545"/>
      <w:bookmarkStart w:id="315" w:name="_Toc3815"/>
    </w:p>
    <w:p>
      <w:pPr>
        <w:adjustRightInd w:val="0"/>
        <w:snapToGrid w:val="0"/>
        <w:spacing w:line="440" w:lineRule="exact"/>
        <w:jc w:val="center"/>
        <w:textAlignment w:val="center"/>
        <w:outlineLvl w:val="0"/>
        <w:rPr>
          <w:rFonts w:ascii="宋体" w:hAnsi="宋体"/>
          <w:b/>
          <w:color w:val="000000"/>
          <w:sz w:val="32"/>
        </w:rPr>
      </w:pPr>
    </w:p>
    <w:p>
      <w:pPr>
        <w:adjustRightInd w:val="0"/>
        <w:snapToGrid w:val="0"/>
        <w:spacing w:line="440" w:lineRule="exact"/>
        <w:jc w:val="center"/>
        <w:textAlignment w:val="center"/>
        <w:outlineLvl w:val="0"/>
        <w:rPr>
          <w:rFonts w:ascii="宋体"/>
          <w:b/>
          <w:color w:val="000000"/>
          <w:sz w:val="32"/>
        </w:rPr>
      </w:pPr>
      <w:bookmarkStart w:id="316" w:name="_Toc21105"/>
      <w:r>
        <w:rPr>
          <w:rFonts w:ascii="宋体" w:hAnsi="宋体"/>
          <w:b/>
          <w:color w:val="000000"/>
          <w:sz w:val="32"/>
        </w:rPr>
        <w:t>6</w:t>
      </w:r>
      <w:r>
        <w:rPr>
          <w:rFonts w:hint="eastAsia" w:ascii="宋体" w:hAnsi="宋体"/>
          <w:b/>
          <w:color w:val="000000"/>
          <w:sz w:val="32"/>
        </w:rPr>
        <w:t>应急响应</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pPr>
        <w:adjustRightInd w:val="0"/>
        <w:snapToGrid w:val="0"/>
        <w:spacing w:line="460" w:lineRule="exact"/>
        <w:outlineLvl w:val="1"/>
        <w:rPr>
          <w:rFonts w:hint="eastAsia"/>
          <w:b/>
          <w:color w:val="000000"/>
          <w:sz w:val="26"/>
          <w:szCs w:val="26"/>
          <w:lang w:val="zh-CN"/>
        </w:rPr>
      </w:pPr>
      <w:bookmarkStart w:id="317" w:name="_Toc198007339"/>
      <w:bookmarkStart w:id="318" w:name="_Toc262051120"/>
      <w:bookmarkStart w:id="319" w:name="_Toc196018436"/>
      <w:bookmarkStart w:id="320" w:name="_Toc262051541"/>
      <w:bookmarkStart w:id="321" w:name="_Toc262040280"/>
      <w:bookmarkStart w:id="322" w:name="_Toc184809553"/>
      <w:bookmarkStart w:id="323" w:name="_Toc29064"/>
      <w:bookmarkStart w:id="324" w:name="_Toc185670986"/>
      <w:bookmarkStart w:id="325" w:name="_Toc304962960"/>
      <w:bookmarkStart w:id="326" w:name="_Toc196018545"/>
      <w:bookmarkStart w:id="327" w:name="_Toc304964447"/>
      <w:bookmarkStart w:id="328" w:name="_Toc387131503"/>
      <w:bookmarkStart w:id="329" w:name="_Toc336327132"/>
      <w:bookmarkStart w:id="330" w:name="_Toc183339226"/>
      <w:bookmarkStart w:id="331" w:name="_Toc179794548"/>
      <w:bookmarkStart w:id="332" w:name="_Toc304963604"/>
      <w:bookmarkStart w:id="333" w:name="_Toc387131429"/>
      <w:bookmarkStart w:id="334" w:name="_Toc198355324"/>
      <w:bookmarkStart w:id="335" w:name="_Toc387131760"/>
      <w:bookmarkStart w:id="336" w:name="_Toc196018640"/>
      <w:bookmarkStart w:id="337" w:name="_Toc229283975"/>
      <w:bookmarkStart w:id="338" w:name="_Toc336326854"/>
      <w:bookmarkStart w:id="339" w:name="_Toc262050870"/>
      <w:bookmarkStart w:id="340" w:name="_Toc197251344"/>
      <w:bookmarkStart w:id="341" w:name="_Toc415254546"/>
      <w:bookmarkStart w:id="342" w:name="_Toc304833237"/>
      <w:bookmarkStart w:id="343" w:name="_Toc184808766"/>
      <w:bookmarkStart w:id="344" w:name="_Toc183339502"/>
      <w:bookmarkStart w:id="345" w:name="_Toc18339"/>
      <w:r>
        <w:rPr>
          <w:rFonts w:hint="eastAsia"/>
          <w:b/>
          <w:color w:val="000000"/>
          <w:sz w:val="26"/>
          <w:szCs w:val="26"/>
          <w:lang w:val="zh-CN"/>
        </w:rPr>
        <w:t>6.1响应分级</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pPr>
        <w:adjustRightInd w:val="0"/>
        <w:snapToGrid w:val="0"/>
        <w:spacing w:line="360" w:lineRule="auto"/>
        <w:ind w:firstLine="480" w:firstLineChars="200"/>
        <w:jc w:val="left"/>
        <w:textAlignment w:val="center"/>
        <w:rPr>
          <w:rFonts w:ascii="宋体"/>
          <w:color w:val="000000"/>
          <w:sz w:val="24"/>
          <w:szCs w:val="24"/>
        </w:rPr>
      </w:pPr>
      <w:r>
        <w:rPr>
          <w:rFonts w:hint="eastAsia" w:ascii="宋体" w:hAnsi="宋体"/>
          <w:color w:val="000000"/>
          <w:sz w:val="24"/>
          <w:szCs w:val="24"/>
        </w:rPr>
        <w:t>针对事故严重程度、影响范围和单位对事态控制的能力，将应急响应分为三级：一级响应、二级响应、三级响应。</w:t>
      </w:r>
    </w:p>
    <w:p>
      <w:pPr>
        <w:adjustRightInd w:val="0"/>
        <w:snapToGrid w:val="0"/>
        <w:spacing w:line="360" w:lineRule="auto"/>
        <w:ind w:firstLine="480" w:firstLineChars="200"/>
        <w:jc w:val="left"/>
        <w:textAlignment w:val="center"/>
        <w:rPr>
          <w:rFonts w:ascii="宋体"/>
          <w:color w:val="000000"/>
          <w:sz w:val="24"/>
          <w:szCs w:val="24"/>
          <w:lang w:val="zh-CN"/>
        </w:rPr>
      </w:pPr>
      <w:bookmarkStart w:id="346" w:name="_Toc15640"/>
      <w:bookmarkStart w:id="347" w:name="_Toc400018367"/>
      <w:bookmarkStart w:id="348" w:name="_Toc21753"/>
      <w:bookmarkStart w:id="349" w:name="_Toc403509919"/>
      <w:r>
        <w:rPr>
          <w:rFonts w:hint="eastAsia" w:ascii="宋体" w:hAnsi="宋体"/>
          <w:color w:val="000000"/>
          <w:sz w:val="24"/>
          <w:szCs w:val="24"/>
          <w:lang w:val="zh-CN"/>
        </w:rPr>
        <w:t>一级预警为事故波及单位周边；本单位无力控制事态及有效进行应急处置（外部级）。</w:t>
      </w:r>
    </w:p>
    <w:p>
      <w:pPr>
        <w:adjustRightInd w:val="0"/>
        <w:snapToGrid w:val="0"/>
        <w:spacing w:line="360" w:lineRule="auto"/>
        <w:ind w:firstLine="480" w:firstLineChars="200"/>
        <w:jc w:val="left"/>
        <w:textAlignment w:val="center"/>
        <w:rPr>
          <w:rFonts w:ascii="宋体"/>
          <w:color w:val="000000"/>
          <w:sz w:val="24"/>
          <w:szCs w:val="24"/>
          <w:lang w:val="zh-CN"/>
        </w:rPr>
      </w:pPr>
      <w:r>
        <w:rPr>
          <w:rFonts w:hint="eastAsia" w:ascii="宋体" w:hAnsi="宋体"/>
          <w:color w:val="000000"/>
          <w:sz w:val="24"/>
          <w:szCs w:val="24"/>
          <w:lang w:val="zh-CN"/>
        </w:rPr>
        <w:t>二级预警事故不波及单位周边；本单位能控制事态及有效进行应急处置（内部级）。</w:t>
      </w:r>
    </w:p>
    <w:p>
      <w:pPr>
        <w:adjustRightInd w:val="0"/>
        <w:snapToGrid w:val="0"/>
        <w:spacing w:line="360" w:lineRule="auto"/>
        <w:ind w:firstLine="480" w:firstLineChars="200"/>
        <w:jc w:val="left"/>
        <w:textAlignment w:val="center"/>
        <w:rPr>
          <w:rFonts w:ascii="宋体" w:hAnsi="宋体"/>
          <w:color w:val="000000"/>
          <w:sz w:val="24"/>
          <w:szCs w:val="24"/>
          <w:lang w:val="zh-CN"/>
        </w:rPr>
      </w:pPr>
      <w:r>
        <w:rPr>
          <w:rFonts w:hint="eastAsia" w:ascii="宋体" w:hAnsi="宋体"/>
          <w:color w:val="000000"/>
          <w:sz w:val="24"/>
          <w:szCs w:val="24"/>
          <w:lang w:val="zh-CN"/>
        </w:rPr>
        <w:t>三级预警事故为班组级，不涉及企业大范围及单位周边；班组能控制事态及有效进行应急处置（班组织）</w:t>
      </w:r>
      <w:bookmarkEnd w:id="346"/>
      <w:r>
        <w:rPr>
          <w:rFonts w:ascii="宋体" w:hAnsi="宋体"/>
          <w:color w:val="000000"/>
          <w:sz w:val="24"/>
          <w:szCs w:val="24"/>
          <w:lang w:val="zh-CN"/>
        </w:rPr>
        <w:t xml:space="preserve">  </w:t>
      </w:r>
    </w:p>
    <w:p>
      <w:pPr>
        <w:adjustRightInd w:val="0"/>
        <w:snapToGrid w:val="0"/>
        <w:spacing w:line="460" w:lineRule="exact"/>
        <w:outlineLvl w:val="1"/>
        <w:rPr>
          <w:rFonts w:hint="eastAsia"/>
          <w:b/>
          <w:color w:val="000000"/>
          <w:sz w:val="26"/>
          <w:szCs w:val="26"/>
          <w:lang w:val="zh-CN"/>
        </w:rPr>
      </w:pPr>
      <w:bookmarkStart w:id="350" w:name="_Toc28665"/>
      <w:r>
        <w:rPr>
          <w:rFonts w:hint="eastAsia"/>
          <w:b/>
          <w:color w:val="000000"/>
          <w:sz w:val="26"/>
          <w:szCs w:val="26"/>
          <w:lang w:val="zh-CN"/>
        </w:rPr>
        <w:t>6.2响应程序</w:t>
      </w:r>
      <w:bookmarkEnd w:id="347"/>
      <w:bookmarkEnd w:id="348"/>
      <w:bookmarkEnd w:id="349"/>
      <w:bookmarkEnd w:id="350"/>
    </w:p>
    <w:p>
      <w:pPr>
        <w:spacing w:line="360" w:lineRule="auto"/>
        <w:ind w:firstLine="480" w:firstLineChars="200"/>
        <w:jc w:val="left"/>
        <w:rPr>
          <w:rFonts w:ascii="宋体"/>
          <w:sz w:val="24"/>
          <w:szCs w:val="24"/>
          <w:lang w:val="zh-CN"/>
        </w:rPr>
      </w:pPr>
      <w:r>
        <w:rPr>
          <w:rFonts w:hint="eastAsia" w:ascii="宋体" w:hAnsi="宋体"/>
          <w:sz w:val="24"/>
          <w:szCs w:val="24"/>
          <w:lang w:val="zh-CN"/>
        </w:rPr>
        <w:t>一级响应，现场应急指挥组长及时掌握事故应急处置情况，当事故的严重程度及发展趋势超出了本单位应急救援能力时，应及时扩大应急响应级别为一级，立即组织周边群众或单位疏散，并在</w:t>
      </w:r>
      <w:r>
        <w:rPr>
          <w:rFonts w:ascii="宋体" w:hAnsi="宋体"/>
          <w:b/>
          <w:bCs/>
          <w:sz w:val="24"/>
          <w:szCs w:val="24"/>
          <w:lang w:val="zh-CN"/>
        </w:rPr>
        <w:t>10</w:t>
      </w:r>
      <w:r>
        <w:rPr>
          <w:rFonts w:hint="eastAsia" w:ascii="宋体" w:hAnsi="宋体"/>
          <w:b/>
          <w:bCs/>
          <w:sz w:val="24"/>
          <w:szCs w:val="24"/>
          <w:lang w:val="zh-CN"/>
        </w:rPr>
        <w:t>分钟内</w:t>
      </w:r>
      <w:r>
        <w:rPr>
          <w:rFonts w:hint="eastAsia" w:ascii="宋体" w:hAnsi="宋体"/>
          <w:sz w:val="24"/>
          <w:szCs w:val="24"/>
          <w:lang w:val="zh-CN"/>
        </w:rPr>
        <w:t>上报涪陵区百胜镇应急值班人员或涪陵区环保局，申请启动区应急救援预案。</w:t>
      </w:r>
      <w:r>
        <w:rPr>
          <w:rFonts w:hint="eastAsia" w:ascii="宋体" w:hAnsi="宋体"/>
          <w:b/>
          <w:bCs/>
          <w:sz w:val="24"/>
          <w:szCs w:val="24"/>
          <w:lang w:val="zh-CN"/>
        </w:rPr>
        <w:t>上报人</w:t>
      </w:r>
      <w:r>
        <w:rPr>
          <w:rFonts w:hint="eastAsia" w:ascii="宋体" w:hAnsi="宋体"/>
          <w:sz w:val="24"/>
          <w:szCs w:val="24"/>
          <w:lang w:val="zh-CN"/>
        </w:rPr>
        <w:t>：</w:t>
      </w:r>
      <w:r>
        <w:rPr>
          <w:rFonts w:ascii="宋体" w:hAnsi="宋体"/>
          <w:sz w:val="24"/>
          <w:szCs w:val="24"/>
          <w:lang w:val="zh-CN"/>
        </w:rPr>
        <w:t xml:space="preserve"> </w:t>
      </w:r>
      <w:r>
        <w:rPr>
          <w:rFonts w:hint="eastAsia" w:ascii="宋体" w:hAnsi="宋体"/>
          <w:sz w:val="24"/>
          <w:szCs w:val="24"/>
          <w:u w:val="single"/>
          <w:lang w:val="zh-CN"/>
        </w:rPr>
        <w:t>总经理</w:t>
      </w:r>
      <w:r>
        <w:rPr>
          <w:rFonts w:hint="eastAsia" w:ascii="宋体" w:hAnsi="宋体"/>
          <w:sz w:val="24"/>
          <w:szCs w:val="24"/>
          <w:lang w:val="zh-CN"/>
        </w:rPr>
        <w:t>，</w:t>
      </w:r>
      <w:r>
        <w:rPr>
          <w:rFonts w:hint="eastAsia" w:ascii="宋体" w:hAnsi="宋体"/>
          <w:b/>
          <w:bCs/>
          <w:sz w:val="24"/>
          <w:szCs w:val="24"/>
          <w:lang w:val="zh-CN"/>
        </w:rPr>
        <w:t>联系电话</w:t>
      </w:r>
      <w:r>
        <w:rPr>
          <w:rFonts w:hint="eastAsia" w:ascii="宋体" w:hAnsi="宋体"/>
          <w:sz w:val="24"/>
          <w:szCs w:val="24"/>
          <w:lang w:val="zh-CN"/>
        </w:rPr>
        <w:t>：</w:t>
      </w:r>
      <w:r>
        <w:rPr>
          <w:rFonts w:ascii="宋体" w:hAnsi="宋体"/>
          <w:sz w:val="24"/>
          <w:szCs w:val="24"/>
          <w:u w:val="single"/>
          <w:lang w:val="zh-CN"/>
        </w:rPr>
        <w:t xml:space="preserve"> 18983330040</w:t>
      </w:r>
    </w:p>
    <w:p>
      <w:pPr>
        <w:spacing w:line="360" w:lineRule="auto"/>
        <w:ind w:firstLine="480" w:firstLineChars="200"/>
        <w:jc w:val="left"/>
        <w:rPr>
          <w:rFonts w:ascii="宋体" w:hAnsi="宋体"/>
          <w:sz w:val="24"/>
          <w:szCs w:val="24"/>
          <w:u w:val="single"/>
          <w:lang w:val="zh-CN"/>
        </w:rPr>
      </w:pPr>
      <w:r>
        <w:rPr>
          <w:rFonts w:hint="eastAsia" w:ascii="宋体" w:hAnsi="宋体"/>
          <w:sz w:val="24"/>
          <w:szCs w:val="24"/>
          <w:lang w:val="zh-CN"/>
        </w:rPr>
        <w:t>二级响应，当班人员或现场管理人员在</w:t>
      </w:r>
      <w:r>
        <w:rPr>
          <w:rFonts w:ascii="宋体" w:hAnsi="宋体"/>
          <w:b/>
          <w:bCs/>
          <w:sz w:val="24"/>
          <w:szCs w:val="24"/>
          <w:lang w:val="zh-CN"/>
        </w:rPr>
        <w:t>5</w:t>
      </w:r>
      <w:r>
        <w:rPr>
          <w:rFonts w:hint="eastAsia" w:ascii="宋体" w:hAnsi="宋体"/>
          <w:b/>
          <w:bCs/>
          <w:sz w:val="24"/>
          <w:szCs w:val="24"/>
          <w:lang w:val="zh-CN"/>
        </w:rPr>
        <w:t>分钟内</w:t>
      </w:r>
      <w:r>
        <w:rPr>
          <w:rFonts w:hint="eastAsia" w:ascii="宋体" w:hAnsi="宋体"/>
          <w:sz w:val="24"/>
          <w:szCs w:val="24"/>
          <w:lang w:val="zh-CN"/>
        </w:rPr>
        <w:t>迅速通知公司主要负责人，主要负责人召集全体应急救援人员迅速赶往事故现场，按公司综合应急救援预案实施救援。</w:t>
      </w:r>
      <w:r>
        <w:rPr>
          <w:rFonts w:hint="eastAsia" w:ascii="宋体" w:hAnsi="宋体"/>
          <w:b/>
          <w:bCs/>
          <w:sz w:val="24"/>
          <w:szCs w:val="24"/>
          <w:lang w:val="zh-CN"/>
        </w:rPr>
        <w:t>上报人</w:t>
      </w:r>
      <w:r>
        <w:rPr>
          <w:rFonts w:hint="eastAsia" w:ascii="宋体" w:hAnsi="宋体"/>
          <w:sz w:val="24"/>
          <w:szCs w:val="24"/>
          <w:lang w:val="zh-CN"/>
        </w:rPr>
        <w:t>：</w:t>
      </w:r>
      <w:r>
        <w:rPr>
          <w:rFonts w:ascii="宋体" w:hAnsi="宋体"/>
          <w:sz w:val="24"/>
          <w:szCs w:val="24"/>
          <w:lang w:val="zh-CN"/>
        </w:rPr>
        <w:t xml:space="preserve"> </w:t>
      </w:r>
      <w:r>
        <w:rPr>
          <w:rFonts w:hint="eastAsia" w:ascii="宋体" w:hAnsi="宋体"/>
          <w:sz w:val="24"/>
          <w:szCs w:val="24"/>
          <w:u w:val="single"/>
          <w:lang w:val="zh-CN"/>
        </w:rPr>
        <w:t>生产副总</w:t>
      </w:r>
      <w:r>
        <w:rPr>
          <w:rFonts w:ascii="宋体" w:hAnsi="宋体"/>
          <w:sz w:val="24"/>
          <w:szCs w:val="24"/>
          <w:lang w:val="zh-CN"/>
        </w:rPr>
        <w:t xml:space="preserve"> </w:t>
      </w:r>
      <w:r>
        <w:rPr>
          <w:rFonts w:hint="eastAsia" w:ascii="宋体" w:hAnsi="宋体"/>
          <w:sz w:val="24"/>
          <w:szCs w:val="24"/>
          <w:lang w:val="zh-CN"/>
        </w:rPr>
        <w:t>，</w:t>
      </w:r>
      <w:r>
        <w:rPr>
          <w:rFonts w:hint="eastAsia" w:ascii="宋体" w:hAnsi="宋体"/>
          <w:b/>
          <w:bCs/>
          <w:sz w:val="24"/>
          <w:szCs w:val="24"/>
          <w:lang w:val="zh-CN"/>
        </w:rPr>
        <w:t>联系电话</w:t>
      </w:r>
      <w:r>
        <w:rPr>
          <w:rFonts w:hint="eastAsia" w:ascii="宋体" w:hAnsi="宋体"/>
          <w:sz w:val="24"/>
          <w:szCs w:val="24"/>
          <w:lang w:val="zh-CN"/>
        </w:rPr>
        <w:t>：</w:t>
      </w:r>
      <w:r>
        <w:rPr>
          <w:rFonts w:ascii="宋体" w:hAnsi="宋体"/>
          <w:sz w:val="24"/>
          <w:szCs w:val="24"/>
          <w:u w:val="single"/>
          <w:lang w:val="zh-CN"/>
        </w:rPr>
        <w:t xml:space="preserve"> 13996798479</w:t>
      </w:r>
    </w:p>
    <w:p>
      <w:pPr>
        <w:spacing w:line="360" w:lineRule="auto"/>
        <w:ind w:firstLine="480" w:firstLineChars="200"/>
        <w:jc w:val="left"/>
        <w:rPr>
          <w:rFonts w:ascii="宋体" w:hAnsi="宋体"/>
          <w:sz w:val="24"/>
          <w:szCs w:val="24"/>
          <w:u w:val="single"/>
          <w:lang w:val="zh-CN"/>
        </w:rPr>
      </w:pPr>
      <w:r>
        <w:rPr>
          <w:rFonts w:hint="eastAsia" w:ascii="宋体" w:hAnsi="宋体"/>
          <w:sz w:val="24"/>
          <w:szCs w:val="24"/>
          <w:lang w:val="zh-CN"/>
        </w:rPr>
        <w:t>三级响应，当班值班管理人员组织现场操作人员，在</w:t>
      </w:r>
      <w:r>
        <w:rPr>
          <w:rFonts w:ascii="宋体" w:hAnsi="宋体"/>
          <w:b/>
          <w:bCs/>
          <w:sz w:val="24"/>
          <w:szCs w:val="24"/>
          <w:lang w:val="zh-CN"/>
        </w:rPr>
        <w:t>5</w:t>
      </w:r>
      <w:r>
        <w:rPr>
          <w:rFonts w:hint="eastAsia" w:ascii="宋体" w:hAnsi="宋体"/>
          <w:b/>
          <w:bCs/>
          <w:sz w:val="24"/>
          <w:szCs w:val="24"/>
          <w:lang w:val="zh-CN"/>
        </w:rPr>
        <w:t>分钟内</w:t>
      </w:r>
      <w:r>
        <w:rPr>
          <w:rFonts w:hint="eastAsia" w:ascii="宋体" w:hAnsi="宋体"/>
          <w:sz w:val="24"/>
          <w:szCs w:val="24"/>
          <w:lang w:val="zh-CN"/>
        </w:rPr>
        <w:t>上报班组织负责人，按本单位制定的现场处置方案实施处置救援，结束后报告公司主要负责人。</w:t>
      </w:r>
      <w:r>
        <w:rPr>
          <w:rFonts w:ascii="宋体" w:hAnsi="宋体"/>
          <w:sz w:val="24"/>
          <w:szCs w:val="24"/>
          <w:lang w:val="zh-CN"/>
        </w:rPr>
        <w:t xml:space="preserve"> </w:t>
      </w:r>
      <w:r>
        <w:rPr>
          <w:rFonts w:hint="eastAsia" w:ascii="宋体" w:hAnsi="宋体"/>
          <w:b/>
          <w:bCs/>
          <w:sz w:val="24"/>
          <w:szCs w:val="24"/>
          <w:lang w:val="zh-CN"/>
        </w:rPr>
        <w:t>上报人</w:t>
      </w:r>
      <w:r>
        <w:rPr>
          <w:rFonts w:hint="eastAsia" w:ascii="宋体" w:hAnsi="宋体"/>
          <w:sz w:val="24"/>
          <w:szCs w:val="24"/>
          <w:lang w:val="zh-CN"/>
        </w:rPr>
        <w:t>：</w:t>
      </w:r>
      <w:r>
        <w:rPr>
          <w:rFonts w:hint="eastAsia" w:ascii="宋体" w:hAnsi="宋体"/>
          <w:sz w:val="24"/>
          <w:szCs w:val="24"/>
          <w:u w:val="single"/>
          <w:lang w:val="zh-CN"/>
        </w:rPr>
        <w:t>生产厂长</w:t>
      </w:r>
      <w:r>
        <w:rPr>
          <w:rFonts w:ascii="宋体" w:hAnsi="宋体"/>
          <w:sz w:val="24"/>
          <w:szCs w:val="24"/>
          <w:u w:val="single"/>
          <w:lang w:val="zh-CN"/>
        </w:rPr>
        <w:t xml:space="preserve"> </w:t>
      </w:r>
      <w:r>
        <w:rPr>
          <w:rFonts w:hint="eastAsia" w:ascii="宋体" w:hAnsi="宋体"/>
          <w:sz w:val="24"/>
          <w:szCs w:val="24"/>
          <w:lang w:val="zh-CN"/>
        </w:rPr>
        <w:t>，</w:t>
      </w:r>
      <w:r>
        <w:rPr>
          <w:rFonts w:hint="eastAsia" w:ascii="宋体" w:hAnsi="宋体"/>
          <w:b/>
          <w:bCs/>
          <w:sz w:val="24"/>
          <w:szCs w:val="24"/>
          <w:lang w:val="zh-CN"/>
        </w:rPr>
        <w:t>联系电话</w:t>
      </w:r>
      <w:r>
        <w:rPr>
          <w:rFonts w:hint="eastAsia" w:ascii="宋体" w:hAnsi="宋体"/>
          <w:sz w:val="24"/>
          <w:szCs w:val="24"/>
          <w:lang w:val="zh-CN"/>
        </w:rPr>
        <w:t>：</w:t>
      </w:r>
      <w:r>
        <w:rPr>
          <w:rFonts w:ascii="宋体" w:hAnsi="宋体"/>
          <w:sz w:val="24"/>
          <w:szCs w:val="24"/>
          <w:u w:val="single"/>
          <w:lang w:val="zh-CN"/>
        </w:rPr>
        <w:t>18983313572</w:t>
      </w:r>
      <w:bookmarkStart w:id="351" w:name="_Toc317088663"/>
      <w:bookmarkStart w:id="352" w:name="_Toc458674290"/>
      <w:bookmarkStart w:id="353" w:name="_Toc346872596"/>
      <w:bookmarkStart w:id="354" w:name="_Toc387131431"/>
      <w:bookmarkStart w:id="355" w:name="_Toc387131762"/>
      <w:bookmarkStart w:id="356" w:name="_Toc387131505"/>
      <w:bookmarkStart w:id="357" w:name="_Toc24027"/>
      <w:bookmarkStart w:id="358" w:name="_Toc415254548"/>
    </w:p>
    <w:p>
      <w:pPr>
        <w:adjustRightInd w:val="0"/>
        <w:snapToGrid w:val="0"/>
        <w:spacing w:line="460" w:lineRule="exact"/>
        <w:outlineLvl w:val="1"/>
        <w:rPr>
          <w:rFonts w:hint="eastAsia"/>
          <w:b/>
          <w:color w:val="000000"/>
          <w:sz w:val="26"/>
          <w:szCs w:val="26"/>
          <w:lang w:val="zh-CN"/>
        </w:rPr>
      </w:pPr>
      <w:bookmarkStart w:id="359" w:name="_Toc13923"/>
      <w:r>
        <w:rPr>
          <w:rFonts w:hint="eastAsia"/>
          <w:b/>
          <w:color w:val="000000"/>
          <w:sz w:val="26"/>
          <w:szCs w:val="26"/>
          <w:lang w:val="zh-CN"/>
        </w:rPr>
        <w:t>6.3 抢险、救援及控制措施</w:t>
      </w:r>
      <w:bookmarkEnd w:id="351"/>
      <w:bookmarkEnd w:id="352"/>
      <w:bookmarkEnd w:id="353"/>
      <w:bookmarkEnd w:id="359"/>
    </w:p>
    <w:p>
      <w:pPr>
        <w:pStyle w:val="120"/>
        <w:ind w:firstLine="0" w:firstLineChars="0"/>
        <w:rPr>
          <w:b/>
        </w:rPr>
      </w:pPr>
      <w:bookmarkStart w:id="360" w:name="_Toc270088680"/>
      <w:bookmarkStart w:id="361" w:name="_Toc458674291"/>
      <w:bookmarkStart w:id="362" w:name="_Toc288309358"/>
      <w:bookmarkStart w:id="363" w:name="_Toc346872597"/>
      <w:bookmarkStart w:id="364" w:name="_Toc270087503"/>
      <w:bookmarkStart w:id="365" w:name="_Toc27474"/>
      <w:bookmarkStart w:id="366" w:name="_Toc270519223"/>
      <w:bookmarkStart w:id="367" w:name="_Toc26393"/>
      <w:bookmarkStart w:id="368" w:name="_Toc317088664"/>
      <w:r>
        <w:rPr>
          <w:rFonts w:hint="eastAsia"/>
          <w:b/>
        </w:rPr>
        <w:t>6</w:t>
      </w:r>
      <w:r>
        <w:rPr>
          <w:b/>
        </w:rPr>
        <w:t>.</w:t>
      </w:r>
      <w:r>
        <w:rPr>
          <w:rFonts w:hint="eastAsia"/>
          <w:b/>
        </w:rPr>
        <w:t>3</w:t>
      </w:r>
      <w:r>
        <w:rPr>
          <w:b/>
        </w:rPr>
        <w:t>.1 人员疏散方案</w:t>
      </w:r>
      <w:bookmarkEnd w:id="360"/>
      <w:bookmarkEnd w:id="361"/>
      <w:bookmarkEnd w:id="362"/>
      <w:bookmarkEnd w:id="363"/>
      <w:bookmarkEnd w:id="364"/>
      <w:bookmarkEnd w:id="365"/>
      <w:bookmarkEnd w:id="366"/>
      <w:bookmarkEnd w:id="367"/>
      <w:bookmarkEnd w:id="368"/>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听到公司疏散人员报警信号时，公司内的人员在负责人带领下迅速有序的离开危险区域，并到指定地点集合，从而避免人员伤亡，装置负责人在撤离前，利用最短时间，关闭该领域内可能会引起更大事故的电源和管道阀门等。事态严重时通知周边人员撤离。</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事故现场人员的撤离</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事故发生后当班负责人应将厂区人员有秩序的疏散到上风口的安全地带，疏散从最危险地段人员开始，相互兼顾照应，并根据风向指明集合地点，人员在安全地点集合，负责人负责清点人数，并向指挥部报告人员情况，发现缺员，应报告所缺员工的姓名和事故前所在位置，立即派人前往灾区寻找失踪人员，提供急救。</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抢救人员在撤离前、撤离后的报告</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负责抢险和救护的人员在接指挥部通知后，应立即带上防护和防护装备赶往现场，听候指令，听从指挥。由组长分工，分批进入事发点进行抢险或救护。在进入事故点前，组长必须向指挥部报告每批参加抢险或救护人员的数量和名单并登记。</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抢修或救护组完成任务后，组长向指挥部报告任务执行情况以及抢险及救护人员安全状况，申请下达撤离命令，指挥部根据事故控制情况，做出撤离或继续抢险抢救的决定，组长若接到撤离命令后，带领抢险或抢救人员撤离事故点至安全地带，清点人数，向指挥部报告。</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周边区域人员的疏散方式方法</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当事故危及周边人员时，由指挥部人员向政府以及周边单位书面发送警报，事态严重紧急时，通过喇叭告知周边人员及时撤离，同时指挥部直接联系政府以及周边单位负责人，由总指挥亲自向政府或负责人发布消息，提出要求组织撤离疏散或请求援助。在发布消息时必须发布事态的缓急程度，提出撤离的具体方法、方式和路线。撤离过程中应采取一定的预防措施，撤离路线原则上按照拟定的路线，撤离距离根据事态严重情况通知。撤离时公司应急小组负责指引周边群众有组织的撤离危险区域。</w:t>
      </w:r>
    </w:p>
    <w:p>
      <w:pPr>
        <w:pStyle w:val="120"/>
        <w:ind w:firstLine="0" w:firstLineChars="0"/>
        <w:rPr>
          <w:b/>
        </w:rPr>
      </w:pPr>
      <w:bookmarkStart w:id="369" w:name="_Toc317088665"/>
      <w:bookmarkStart w:id="370" w:name="_Toc346872598"/>
      <w:bookmarkStart w:id="371" w:name="_Toc288309359"/>
      <w:bookmarkStart w:id="372" w:name="_Toc21767"/>
      <w:bookmarkStart w:id="373" w:name="_Toc270519224"/>
      <w:bookmarkStart w:id="374" w:name="_Toc270088681"/>
      <w:bookmarkStart w:id="375" w:name="_Toc270087504"/>
      <w:bookmarkStart w:id="376" w:name="_Toc29881"/>
      <w:bookmarkStart w:id="377" w:name="_Toc458674292"/>
      <w:r>
        <w:rPr>
          <w:rFonts w:hint="eastAsia"/>
          <w:b/>
        </w:rPr>
        <w:t>6</w:t>
      </w:r>
      <w:r>
        <w:rPr>
          <w:b/>
        </w:rPr>
        <w:t>.</w:t>
      </w:r>
      <w:r>
        <w:rPr>
          <w:rFonts w:hint="eastAsia"/>
          <w:b/>
        </w:rPr>
        <w:t>3</w:t>
      </w:r>
      <w:r>
        <w:rPr>
          <w:b/>
        </w:rPr>
        <w:t>.2 事故现场隔离区的划定、方法</w:t>
      </w:r>
      <w:bookmarkEnd w:id="369"/>
      <w:bookmarkEnd w:id="370"/>
      <w:bookmarkEnd w:id="371"/>
      <w:bookmarkEnd w:id="372"/>
      <w:bookmarkEnd w:id="373"/>
      <w:bookmarkEnd w:id="374"/>
      <w:bookmarkEnd w:id="375"/>
      <w:bookmarkEnd w:id="376"/>
      <w:bookmarkEnd w:id="377"/>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为防止无关人员误入现场造成伤害，按危险区的设定，建立警戒区域，划定事故现场隔离区范围。</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警戒区域的边界应设警示标志并有专人警戒。</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除消防、应急处理人员以及必须坚守岗位的人员外，其他人员禁止进入警戒区。</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注意事故区风向，尤其是下风周围环境，对事故区厂外道路要实行临时的戒严措施。</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(4) 戒严区域内严禁火种，迅速控制泄漏扩散区域方向可能产生明火的地点，控制室关严门窗，扑灭火种。限制车辆通行。</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(5) 泄漏的危险物质可能扩散到厂区外的的，应尽快联络通知周边民众，说明情况，要求采取避险措施。</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(6) 泄漏的危险物质可能扩散影响到更大区域，应尽快联系通知各政府职能单位，说明情况，请求协助处理。</w:t>
      </w:r>
    </w:p>
    <w:p>
      <w:pPr>
        <w:pStyle w:val="120"/>
        <w:ind w:firstLine="0" w:firstLineChars="0"/>
        <w:rPr>
          <w:b/>
        </w:rPr>
      </w:pPr>
      <w:bookmarkStart w:id="378" w:name="_Toc458674293"/>
      <w:bookmarkStart w:id="379" w:name="_Toc5739"/>
      <w:bookmarkStart w:id="380" w:name="_Toc288309360"/>
      <w:bookmarkStart w:id="381" w:name="_Toc317088666"/>
      <w:bookmarkStart w:id="382" w:name="_Toc346872599"/>
      <w:bookmarkStart w:id="383" w:name="_Toc22419"/>
      <w:r>
        <w:rPr>
          <w:rFonts w:hint="eastAsia"/>
          <w:b/>
        </w:rPr>
        <w:t>6</w:t>
      </w:r>
      <w:r>
        <w:rPr>
          <w:b/>
        </w:rPr>
        <w:t>.</w:t>
      </w:r>
      <w:r>
        <w:rPr>
          <w:rFonts w:hint="eastAsia"/>
          <w:b/>
        </w:rPr>
        <w:t>3</w:t>
      </w:r>
      <w:r>
        <w:rPr>
          <w:b/>
        </w:rPr>
        <w:t>.3 事故现场周边区域的道路隔离或交通疏导办法</w:t>
      </w:r>
      <w:bookmarkEnd w:id="378"/>
      <w:bookmarkEnd w:id="379"/>
      <w:bookmarkEnd w:id="380"/>
      <w:bookmarkEnd w:id="381"/>
      <w:bookmarkEnd w:id="382"/>
      <w:bookmarkEnd w:id="383"/>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事故中心区域的道路疏导由应急疏散组负责，在警戒区的路口上设置“事故处理，禁止通行”字样的标识。并指定专人负责指明道路绕行方向。</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事故波及区外道路由政府交通管理部门负责，禁止任何车辆和人员进入，并负责指明道路绕行方向。</w:t>
      </w:r>
    </w:p>
    <w:p>
      <w:pPr>
        <w:pStyle w:val="120"/>
        <w:ind w:firstLine="0" w:firstLineChars="0"/>
        <w:rPr>
          <w:b/>
        </w:rPr>
      </w:pPr>
      <w:bookmarkStart w:id="384" w:name="_Toc270087506"/>
      <w:bookmarkStart w:id="385" w:name="_Toc270088683"/>
      <w:bookmarkStart w:id="386" w:name="_Toc317088667"/>
      <w:bookmarkStart w:id="387" w:name="_Toc346872600"/>
      <w:bookmarkStart w:id="388" w:name="_Toc458674294"/>
      <w:bookmarkStart w:id="389" w:name="_Toc270519226"/>
      <w:bookmarkStart w:id="390" w:name="_Toc8962"/>
      <w:bookmarkStart w:id="391" w:name="_Toc4900"/>
      <w:bookmarkStart w:id="392" w:name="_Toc288309361"/>
      <w:r>
        <w:rPr>
          <w:rFonts w:hint="eastAsia"/>
          <w:b/>
        </w:rPr>
        <w:t>6</w:t>
      </w:r>
      <w:r>
        <w:rPr>
          <w:b/>
        </w:rPr>
        <w:t>.</w:t>
      </w:r>
      <w:r>
        <w:rPr>
          <w:rFonts w:hint="eastAsia"/>
          <w:b/>
        </w:rPr>
        <w:t>3</w:t>
      </w:r>
      <w:r>
        <w:rPr>
          <w:b/>
        </w:rPr>
        <w:t>.4 抢险、救援</w:t>
      </w:r>
      <w:bookmarkEnd w:id="384"/>
      <w:bookmarkEnd w:id="385"/>
      <w:bookmarkEnd w:id="386"/>
      <w:bookmarkEnd w:id="387"/>
      <w:bookmarkEnd w:id="388"/>
      <w:bookmarkEnd w:id="389"/>
      <w:bookmarkEnd w:id="390"/>
      <w:bookmarkEnd w:id="391"/>
      <w:bookmarkEnd w:id="392"/>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(1) 抢救原则：</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发生伤亡事故，抢救、急救工作要分秒必争，及时、果断、正确，不得耽误、拖延；</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救护人员进入危险区域必须两人以上分组进行；</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救护人员必须在确保自己安全的前提下进行救护；</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救护人员必须听从指挥，了解危险物质特性及现场情况，防护器具佩戴齐全；</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迅速将伤员抬离现场，搬运方法要正确。</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(2) 人员防护</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一般泄漏的防护要求：</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呼吸系统的防护：可能接触其蒸气时，必须佩带防毒面具或供气式头盔；</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眼睛防护：戴化学安全防护镜；</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防护服：穿工作服(防腐材料制作)；</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手防护：戴橡皮手套；</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参加救护、救援人员必须按规定着装，佩戴好个人防护器具，并注意风向，在昏暗地区救援时，应配备有照明灯具。</w:t>
      </w:r>
    </w:p>
    <w:p>
      <w:pPr>
        <w:spacing w:line="360" w:lineRule="auto"/>
        <w:ind w:firstLine="486" w:firstLineChars="200"/>
        <w:jc w:val="left"/>
        <w:rPr>
          <w:rFonts w:asciiTheme="minorEastAsia" w:hAnsiTheme="minorEastAsia" w:eastAsiaTheme="minorEastAsia"/>
          <w:sz w:val="24"/>
          <w:szCs w:val="24"/>
          <w:lang w:val="zh-CN"/>
        </w:rPr>
      </w:pPr>
      <w:r>
        <w:rPr>
          <w:rFonts w:asciiTheme="minorEastAsia" w:hAnsiTheme="minorEastAsia" w:eastAsiaTheme="minorEastAsia"/>
          <w:sz w:val="24"/>
          <w:szCs w:val="24"/>
          <w:lang w:val="zh-CN"/>
        </w:rPr>
        <w:t>(3) 人员监护</w:t>
      </w:r>
    </w:p>
    <w:p>
      <w:pPr>
        <w:spacing w:line="360" w:lineRule="auto"/>
        <w:ind w:firstLine="486" w:firstLineChars="200"/>
        <w:jc w:val="left"/>
        <w:rPr>
          <w:rFonts w:hint="eastAsia" w:asciiTheme="minorEastAsia" w:hAnsiTheme="minorEastAsia" w:eastAsiaTheme="minorEastAsia"/>
          <w:sz w:val="24"/>
          <w:szCs w:val="24"/>
          <w:lang w:val="zh-CN"/>
        </w:rPr>
      </w:pPr>
      <w:r>
        <w:rPr>
          <w:rFonts w:asciiTheme="minorEastAsia" w:hAnsiTheme="minorEastAsia" w:eastAsiaTheme="minorEastAsia"/>
          <w:sz w:val="24"/>
          <w:szCs w:val="24"/>
          <w:lang w:val="zh-CN"/>
        </w:rPr>
        <w:t>参加救护、救援人员以互助监护为主，按照必须在确保自身安全的前提下进行救护原则处理。在救援中因为不可预见因素而导致队员受伤的，其他救援人员发现时必须向指挥部报告，并作出是否支援的决定，若申请支援时，由指挥部下达预备救援队进入事故现场参加救援的命令，同时将受伤人员带离危险地区。</w:t>
      </w:r>
    </w:p>
    <w:p>
      <w:pPr>
        <w:adjustRightInd w:val="0"/>
        <w:snapToGrid w:val="0"/>
        <w:spacing w:line="460" w:lineRule="exact"/>
        <w:outlineLvl w:val="1"/>
        <w:rPr>
          <w:rFonts w:hint="eastAsia"/>
          <w:b/>
          <w:color w:val="000000"/>
          <w:sz w:val="26"/>
          <w:szCs w:val="26"/>
          <w:lang w:val="zh-CN"/>
        </w:rPr>
      </w:pPr>
      <w:bookmarkStart w:id="393" w:name="_Toc24401"/>
      <w:r>
        <w:rPr>
          <w:rFonts w:hint="eastAsia"/>
          <w:b/>
          <w:color w:val="000000"/>
          <w:sz w:val="26"/>
          <w:szCs w:val="26"/>
          <w:lang w:val="zh-CN"/>
        </w:rPr>
        <w:t>6.4应急处置措施</w:t>
      </w:r>
      <w:bookmarkEnd w:id="393"/>
    </w:p>
    <w:p>
      <w:pPr>
        <w:spacing w:line="360" w:lineRule="auto"/>
        <w:ind w:firstLine="486" w:firstLineChars="200"/>
        <w:jc w:val="left"/>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确定的危险区域有</w:t>
      </w:r>
      <w:r>
        <w:rPr>
          <w:rFonts w:hint="eastAsia" w:asciiTheme="minorEastAsia" w:hAnsiTheme="minorEastAsia" w:eastAsiaTheme="minorEastAsia"/>
          <w:sz w:val="24"/>
          <w:szCs w:val="24"/>
          <w:lang w:val="zh-CN"/>
        </w:rPr>
        <w:t>①氢氧化钠加药间</w:t>
      </w:r>
      <w:r>
        <w:rPr>
          <w:rFonts w:asciiTheme="minorEastAsia" w:hAnsiTheme="minorEastAsia" w:eastAsiaTheme="minorEastAsia"/>
          <w:sz w:val="24"/>
          <w:szCs w:val="24"/>
          <w:lang w:val="zh-CN"/>
        </w:rPr>
        <w:t>；</w:t>
      </w:r>
      <w:r>
        <w:rPr>
          <w:rFonts w:hint="eastAsia" w:asciiTheme="minorEastAsia" w:hAnsiTheme="minorEastAsia" w:eastAsiaTheme="minorEastAsia"/>
          <w:sz w:val="24"/>
          <w:szCs w:val="24"/>
          <w:lang w:val="zh-CN"/>
        </w:rPr>
        <w:t>②</w:t>
      </w:r>
      <w:r>
        <w:rPr>
          <w:rFonts w:asciiTheme="minorEastAsia" w:hAnsiTheme="minorEastAsia" w:eastAsiaTheme="minorEastAsia"/>
          <w:sz w:val="24"/>
          <w:szCs w:val="24"/>
          <w:lang w:val="zh-CN"/>
        </w:rPr>
        <w:t>厂区污水处理设施设备</w:t>
      </w:r>
      <w:r>
        <w:rPr>
          <w:rFonts w:hint="eastAsia" w:asciiTheme="minorEastAsia" w:hAnsiTheme="minorEastAsia" w:eastAsiaTheme="minorEastAsia"/>
          <w:sz w:val="24"/>
          <w:szCs w:val="24"/>
          <w:lang w:val="zh-CN"/>
        </w:rPr>
        <w:t>及厂外管网泵站</w:t>
      </w:r>
      <w:r>
        <w:rPr>
          <w:rFonts w:asciiTheme="minorEastAsia" w:hAnsiTheme="minorEastAsia" w:eastAsiaTheme="minorEastAsia"/>
          <w:sz w:val="24"/>
          <w:szCs w:val="24"/>
          <w:lang w:val="zh-CN"/>
        </w:rPr>
        <w:t>。根据分析危险源的危险类型可知，</w:t>
      </w:r>
      <w:r>
        <w:rPr>
          <w:rFonts w:hint="eastAsia" w:asciiTheme="minorEastAsia" w:hAnsiTheme="minorEastAsia" w:eastAsiaTheme="minorEastAsia"/>
          <w:sz w:val="24"/>
          <w:szCs w:val="24"/>
          <w:lang w:val="zh-CN"/>
        </w:rPr>
        <w:t>企业</w:t>
      </w:r>
      <w:r>
        <w:rPr>
          <w:rFonts w:asciiTheme="minorEastAsia" w:hAnsiTheme="minorEastAsia" w:eastAsiaTheme="minorEastAsia"/>
          <w:sz w:val="24"/>
          <w:szCs w:val="24"/>
          <w:lang w:val="zh-CN"/>
        </w:rPr>
        <w:t>发生环境事故主要是盐酸等危化品泄漏及污水处理设施设备故障导致污水直接排放或未处理达标排放到地表水体污染环境。按照国家关于危化品生产使用单位突发环境事件应急预案的要求，重大危险源必须一源一案，并做好厂区风险源标识，防范措施卡片化，便于职工操作。</w:t>
      </w:r>
    </w:p>
    <w:p>
      <w:pPr>
        <w:adjustRightInd w:val="0"/>
        <w:snapToGrid w:val="0"/>
        <w:spacing w:line="460" w:lineRule="exact"/>
        <w:outlineLvl w:val="1"/>
        <w:rPr>
          <w:rFonts w:hint="eastAsia"/>
          <w:b/>
          <w:color w:val="000000"/>
          <w:sz w:val="26"/>
          <w:szCs w:val="26"/>
          <w:lang w:val="zh-CN"/>
        </w:rPr>
      </w:pPr>
      <w:bookmarkStart w:id="394" w:name="_Toc180"/>
      <w:r>
        <w:rPr>
          <w:rFonts w:hint="eastAsia"/>
          <w:b/>
          <w:color w:val="000000"/>
          <w:sz w:val="26"/>
          <w:szCs w:val="26"/>
          <w:lang w:val="zh-CN"/>
        </w:rPr>
        <w:t>6.4.1处置原则</w:t>
      </w:r>
      <w:bookmarkEnd w:id="394"/>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事故或险情出现后，所属人员必须按“保障人员生命安全优先，防止事故扩大措施优先”的原则，实施先期抢险救援。主要内容：抢救受伤人员和在危险区人员；堵漏、关闭阀、停止所有电器设施、灭火、隔离危险区等；组织无关人员撤离到安全区域，清点现场人数；组织力量消除道路堵塞，为下步应急救援创造条件。</w:t>
      </w:r>
    </w:p>
    <w:p>
      <w:pPr>
        <w:adjustRightInd w:val="0"/>
        <w:snapToGrid w:val="0"/>
        <w:spacing w:line="460" w:lineRule="exact"/>
        <w:outlineLvl w:val="1"/>
        <w:rPr>
          <w:rFonts w:hint="eastAsia"/>
          <w:b/>
          <w:color w:val="000000"/>
          <w:sz w:val="26"/>
          <w:szCs w:val="26"/>
          <w:lang w:val="zh-CN"/>
        </w:rPr>
      </w:pPr>
      <w:bookmarkStart w:id="395" w:name="_Toc22010"/>
      <w:r>
        <w:rPr>
          <w:rFonts w:hint="eastAsia"/>
          <w:b/>
          <w:color w:val="000000"/>
          <w:sz w:val="26"/>
          <w:szCs w:val="26"/>
          <w:lang w:val="zh-CN"/>
        </w:rPr>
        <w:t>6.4.2 应急流程</w:t>
      </w:r>
      <w:bookmarkEnd w:id="395"/>
    </w:p>
    <w:p>
      <w:pPr>
        <w:spacing w:line="360" w:lineRule="auto"/>
        <w:ind w:firstLine="486" w:firstLineChars="200"/>
        <w:jc w:val="left"/>
        <w:rPr>
          <w:rFonts w:hint="eastAsia" w:asciiTheme="minorEastAsia" w:hAnsiTheme="minorEastAsia" w:eastAsiaTheme="minorEastAsia"/>
          <w:sz w:val="24"/>
          <w:szCs w:val="24"/>
          <w:lang w:val="zh-CN"/>
        </w:rPr>
      </w:pPr>
      <w:r>
        <w:rPr>
          <w:rFonts w:asciiTheme="minorEastAsia" w:hAnsiTheme="minorEastAsia" w:eastAsiaTheme="minorEastAsia"/>
          <w:sz w:val="24"/>
          <w:szCs w:val="24"/>
          <w:lang w:val="zh-CN"/>
        </w:rPr>
        <w:t>当发生危险化学品泄漏、环境污染等危险事故时，其处置流程见</w:t>
      </w:r>
      <w:r>
        <w:rPr>
          <w:rFonts w:hint="eastAsia" w:asciiTheme="minorEastAsia" w:hAnsiTheme="minorEastAsia" w:eastAsiaTheme="minorEastAsia"/>
          <w:sz w:val="24"/>
          <w:szCs w:val="24"/>
          <w:lang w:val="zh-CN"/>
        </w:rPr>
        <w:t>图6-2。</w:t>
      </w: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spacing w:line="360" w:lineRule="auto"/>
        <w:ind w:firstLine="486" w:firstLineChars="200"/>
        <w:jc w:val="left"/>
        <w:rPr>
          <w:rFonts w:hint="eastAsia" w:asciiTheme="minorEastAsia" w:hAnsiTheme="minorEastAsia" w:eastAsiaTheme="minorEastAsia"/>
          <w:sz w:val="24"/>
          <w:szCs w:val="24"/>
          <w:lang w:val="zh-CN"/>
        </w:rPr>
      </w:pPr>
    </w:p>
    <w:p>
      <w:pPr>
        <w:adjustRightInd w:val="0"/>
        <w:snapToGrid w:val="0"/>
        <w:spacing w:line="460" w:lineRule="exact"/>
        <w:ind w:firstLine="526" w:firstLineChars="200"/>
        <w:rPr>
          <w:color w:val="000000"/>
          <w:sz w:val="26"/>
          <w:szCs w:val="26"/>
        </w:rPr>
      </w:pPr>
    </w:p>
    <w:p>
      <w:pPr>
        <w:spacing w:line="360" w:lineRule="auto"/>
        <w:jc w:val="left"/>
        <w:rPr>
          <w:rFonts w:asciiTheme="minorEastAsia" w:hAnsiTheme="minorEastAsia" w:eastAsiaTheme="minorEastAsia"/>
          <w:sz w:val="24"/>
          <w:szCs w:val="24"/>
          <w:lang w:val="zh-CN"/>
        </w:rPr>
      </w:pPr>
    </w:p>
    <w:p>
      <w:pPr>
        <w:adjustRightInd w:val="0"/>
        <w:snapToGrid w:val="0"/>
        <w:spacing w:line="460" w:lineRule="exact"/>
        <w:ind w:firstLine="526" w:firstLineChars="200"/>
        <w:rPr>
          <w:color w:val="000000"/>
          <w:sz w:val="26"/>
          <w:szCs w:val="26"/>
        </w:rPr>
      </w:pPr>
    </w:p>
    <w:p>
      <w:pPr>
        <w:adjustRightInd w:val="0"/>
        <w:snapToGrid w:val="0"/>
        <w:spacing w:line="460" w:lineRule="exact"/>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526" w:firstLineChars="200"/>
        <w:rPr>
          <w:color w:val="000000"/>
          <w:sz w:val="26"/>
          <w:szCs w:val="26"/>
        </w:rPr>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426" w:firstLineChars="200"/>
      </w:pPr>
    </w:p>
    <w:p>
      <w:pPr>
        <w:adjustRightInd w:val="0"/>
        <w:snapToGrid w:val="0"/>
        <w:spacing w:line="460" w:lineRule="exact"/>
        <w:ind w:firstLine="526" w:firstLineChars="200"/>
        <w:rPr>
          <w:color w:val="000000"/>
          <w:sz w:val="26"/>
          <w:szCs w:val="26"/>
        </w:rPr>
      </w:pPr>
      <w:r>
        <w:rPr>
          <w:color w:val="000000"/>
          <w:sz w:val="26"/>
          <w:szCs w:val="26"/>
        </w:rPr>
        <w:pict>
          <v:group id="画布 1912" o:spid="_x0000_s1294" o:spt="203" style="height:577.2pt;width:456.75pt;" coordorigin="1588,3578" coordsize="9135,11544" editas="canvas">
            <o:lock v:ext="edit"/>
            <v:shape id="画布 1912" o:spid="_x0000_s1295" o:spt="75" type="#_x0000_t75" style="position:absolute;left:1588;top:3578;height:11544;width:9135;" filled="f" o:preferrelative="f" stroked="f" coordsize="21600,21600">
              <v:fill on="f" focussize="0,0"/>
              <v:stroke on="f" joinstyle="miter"/>
              <v:imagedata o:title=""/>
              <o:lock v:ext="edit" rotation="t" text="t" aspectratio="t"/>
            </v:shape>
            <v:rect id="矩形 1914" o:spid="_x0000_s1296" o:spt="1" style="position:absolute;left:5368;top:4982;height:780;width:1890;" fillcolor="#FF0000" filled="f" coordsize="21600,21600">
              <v:path/>
              <v:fill on="f" focussize="0,0"/>
              <v:stroke/>
              <v:imagedata o:title=""/>
              <o:lock v:ext="edit"/>
              <v:textbox>
                <w:txbxContent>
                  <w:p>
                    <w:pPr>
                      <w:jc w:val="center"/>
                    </w:pPr>
                    <w:r>
                      <w:rPr>
                        <w:rFonts w:hint="eastAsia"/>
                      </w:rPr>
                      <w:t>岗位人员现场紧急处置</w:t>
                    </w:r>
                  </w:p>
                </w:txbxContent>
              </v:textbox>
            </v:rect>
            <v:rect id="矩形 1915" o:spid="_x0000_s1297" o:spt="1" style="position:absolute;left:5247;top:6542;height:778;width:2116;" fillcolor="#FF0000" filled="f" coordsize="21600,21600">
              <v:path/>
              <v:fill on="f" focussize="0,0"/>
              <v:stroke/>
              <v:imagedata o:title=""/>
              <o:lock v:ext="edit"/>
              <v:textbox>
                <w:txbxContent>
                  <w:p>
                    <w:pPr>
                      <w:jc w:val="center"/>
                    </w:pPr>
                    <w:r>
                      <w:rPr>
                        <w:rFonts w:hint="eastAsia"/>
                      </w:rPr>
                      <w:t>同时报告现场管理人员</w:t>
                    </w:r>
                  </w:p>
                </w:txbxContent>
              </v:textbox>
            </v:rect>
            <v:rect id="矩形 1916" o:spid="_x0000_s1298" o:spt="1" style="position:absolute;left:5247;top:7946;height:780;width:2116;" coordsize="21600,21600">
              <v:path/>
              <v:fill focussize="0,0"/>
              <v:stroke/>
              <v:imagedata o:title=""/>
              <o:lock v:ext="edit"/>
              <v:textbox inset="2.54mm,3.3mm,2.54mm,1.27mm">
                <w:txbxContent>
                  <w:p>
                    <w:pPr>
                      <w:jc w:val="center"/>
                      <w:rPr>
                        <w:szCs w:val="21"/>
                      </w:rPr>
                    </w:pPr>
                    <w:r>
                      <w:rPr>
                        <w:rFonts w:hint="eastAsia"/>
                        <w:szCs w:val="21"/>
                      </w:rPr>
                      <w:t>启动现场处置方案</w:t>
                    </w:r>
                  </w:p>
                </w:txbxContent>
              </v:textbox>
            </v:rect>
            <v:line id="直线 1917" o:spid="_x0000_s1299" o:spt="20" style="position:absolute;left:6208;top:4202;height:780;width:0;" coordsize="21600,21600">
              <v:path arrowok="t"/>
              <v:fill focussize="0,0"/>
              <v:stroke endarrow="block"/>
              <v:imagedata o:title=""/>
              <o:lock v:ext="edit"/>
            </v:line>
            <v:line id="直线 1918" o:spid="_x0000_s1300" o:spt="20" style="position:absolute;left:6208;top:5762;height:780;width:0;" coordsize="21600,21600">
              <v:path arrowok="t"/>
              <v:fill focussize="0,0"/>
              <v:stroke endarrow="block"/>
              <v:imagedata o:title=""/>
              <o:lock v:ext="edit"/>
            </v:line>
            <v:rect id="矩形 1919" o:spid="_x0000_s1301" o:spt="1" style="position:absolute;left:6208;top:6073;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0" o:spid="_x0000_s1302" o:spt="1" style="position:absolute;left:5247;top:9659;height:780;width:2116;" coordsize="21600,21600">
              <v:path/>
              <v:fill focussize="0,0"/>
              <v:stroke/>
              <v:imagedata o:title=""/>
              <o:lock v:ext="edit"/>
              <v:textbox inset="2.54mm,3.3mm,2.54mm,1.27mm">
                <w:txbxContent>
                  <w:p>
                    <w:pPr>
                      <w:jc w:val="center"/>
                      <w:rPr>
                        <w:szCs w:val="21"/>
                      </w:rPr>
                    </w:pPr>
                    <w:r>
                      <w:rPr>
                        <w:rFonts w:hint="eastAsia"/>
                        <w:szCs w:val="21"/>
                      </w:rPr>
                      <w:t>启动综合救援预案</w:t>
                    </w:r>
                  </w:p>
                </w:txbxContent>
              </v:textbox>
            </v:rect>
            <v:rect id="矩形 1921" o:spid="_x0000_s1303" o:spt="1" style="position:absolute;left:8428;top:11222;height:780;width:1666;" coordsize="21600,21600">
              <v:path/>
              <v:fill focussize="0,0"/>
              <v:stroke/>
              <v:imagedata o:title=""/>
              <o:lock v:ext="edit"/>
              <v:textbox>
                <w:txbxContent>
                  <w:p>
                    <w:pPr>
                      <w:jc w:val="center"/>
                      <w:rPr>
                        <w:szCs w:val="21"/>
                      </w:rPr>
                    </w:pPr>
                    <w:r>
                      <w:rPr>
                        <w:rFonts w:hint="eastAsia"/>
                        <w:szCs w:val="21"/>
                      </w:rPr>
                      <w:t>启动当地政府应救援预案</w:t>
                    </w:r>
                  </w:p>
                  <w:p>
                    <w:pPr>
                      <w:rPr>
                        <w:szCs w:val="21"/>
                      </w:rPr>
                    </w:pPr>
                  </w:p>
                </w:txbxContent>
              </v:textbox>
            </v:rect>
            <v:rect id="矩形 1922" o:spid="_x0000_s1304" o:spt="1" style="position:absolute;left:5368;top:3578;height:714;width:1799;" coordsize="21600,21600">
              <v:path/>
              <v:fill focussize="0,0"/>
              <v:stroke/>
              <v:imagedata o:title=""/>
              <o:lock v:ext="edit"/>
              <v:textbox>
                <w:txbxContent>
                  <w:p>
                    <w:pPr>
                      <w:spacing w:beforeLines="50" w:afterLines="50"/>
                      <w:jc w:val="center"/>
                      <w:rPr>
                        <w:szCs w:val="21"/>
                      </w:rPr>
                    </w:pPr>
                    <w:r>
                      <w:rPr>
                        <w:rFonts w:hint="eastAsia"/>
                        <w:szCs w:val="21"/>
                      </w:rPr>
                      <w:t>事故发生</w:t>
                    </w:r>
                  </w:p>
                  <w:p>
                    <w:pPr>
                      <w:rPr>
                        <w:szCs w:val="21"/>
                      </w:rPr>
                    </w:pPr>
                  </w:p>
                </w:txbxContent>
              </v:textbox>
            </v:rect>
            <v:line id="直线 1923" o:spid="_x0000_s1305" o:spt="20" style="position:absolute;left:7348;top:11690;height:1;width:1079;" coordsize="21600,21600">
              <v:path arrowok="t"/>
              <v:fill focussize="0,0"/>
              <v:stroke endarrow="block"/>
              <v:imagedata o:title=""/>
              <o:lock v:ext="edit"/>
            </v:line>
            <v:line id="直线 1924" o:spid="_x0000_s1306" o:spt="20" style="position:absolute;left:6208;top:7322;height:624;width:0;" coordsize="21600,21600">
              <v:path arrowok="t"/>
              <v:fill focussize="0,0"/>
              <v:stroke endarrow="block"/>
              <v:imagedata o:title=""/>
              <o:lock v:ext="edit"/>
            </v:line>
            <v:line id="直线 1925" o:spid="_x0000_s1307" o:spt="20" style="position:absolute;left:6297;top:8726;height:933;width:1;" coordsize="21600,21600">
              <v:path arrowok="t"/>
              <v:fill focussize="0,0"/>
              <v:stroke endarrow="block"/>
              <v:imagedata o:title=""/>
              <o:lock v:ext="edit"/>
            </v:line>
            <v:rect id="矩形 1926" o:spid="_x0000_s1308" o:spt="1" style="position:absolute;left:7528;top:11222;height:469;width:945;" fillcolor="#FF0000" filled="f" stroked="f" coordsize="21600,21600">
              <v:path/>
              <v:fill on="f" focussize="0,0"/>
              <v:stroke on="f"/>
              <v:imagedata o:title=""/>
              <o:lock v:ext="edit"/>
              <v:textbox>
                <w:txbxContent>
                  <w:p>
                    <w:pPr>
                      <w:jc w:val="center"/>
                    </w:pPr>
                    <w:r>
                      <w:rPr>
                        <w:rFonts w:hint="eastAsia"/>
                      </w:rPr>
                      <w:t>不可控</w:t>
                    </w:r>
                  </w:p>
                </w:txbxContent>
              </v:textbox>
            </v:rect>
            <v:rect id="矩形 1927" o:spid="_x0000_s1309" o:spt="1" style="position:absolute;left:5247;top:11174;height:750;width:2116;" coordsize="21600,21600">
              <v:path/>
              <v:fill focussize="0,0"/>
              <v:stroke/>
              <v:imagedata o:title=""/>
              <o:lock v:ext="edit"/>
              <v:textbox>
                <w:txbxContent>
                  <w:p>
                    <w:pPr>
                      <w:spacing w:beforeLines="50" w:afterLines="50"/>
                      <w:jc w:val="center"/>
                      <w:rPr>
                        <w:szCs w:val="21"/>
                      </w:rPr>
                    </w:pPr>
                    <w:r>
                      <w:rPr>
                        <w:rFonts w:hint="eastAsia"/>
                        <w:szCs w:val="21"/>
                      </w:rPr>
                      <w:t>现场处置</w:t>
                    </w:r>
                  </w:p>
                  <w:p>
                    <w:pPr>
                      <w:rPr>
                        <w:szCs w:val="21"/>
                      </w:rPr>
                    </w:pPr>
                  </w:p>
                </w:txbxContent>
              </v:textbox>
            </v:rect>
            <v:rect id="矩形 1928" o:spid="_x0000_s1310" o:spt="1" style="position:absolute;left:6298;top:10585;height:469;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29" o:spid="_x0000_s1311" o:spt="20" style="position:absolute;left:6297;top:10439;height:735;width:1;" coordsize="21600,21600">
              <v:path arrowok="t"/>
              <v:fill focussize="0,0"/>
              <v:stroke endarrow="block"/>
              <v:imagedata o:title=""/>
              <o:lock v:ext="edit"/>
            </v:line>
            <v:rect id="矩形 1930" o:spid="_x0000_s1312" o:spt="1" style="position:absolute;left:6389;top:8909;height:626;width:974;" filled="f" stroked="t" coordsize="21600,21600">
              <v:path/>
              <v:fill on="f" focussize="0,0"/>
              <v:stroke weight="1pt" color="#FFFFFF" dashstyle="dash"/>
              <v:imagedata o:title=""/>
              <o:lock v:ext="edit"/>
              <v:textbox>
                <w:txbxContent>
                  <w:p>
                    <w:pPr>
                      <w:spacing w:beforeLines="50" w:afterLines="50"/>
                      <w:jc w:val="center"/>
                      <w:rPr>
                        <w:szCs w:val="21"/>
                      </w:rPr>
                    </w:pPr>
                    <w:r>
                      <w:rPr>
                        <w:rFonts w:hint="eastAsia"/>
                        <w:szCs w:val="21"/>
                      </w:rPr>
                      <w:t>不可控</w:t>
                    </w:r>
                  </w:p>
                  <w:p>
                    <w:pPr>
                      <w:rPr>
                        <w:szCs w:val="21"/>
                      </w:rPr>
                    </w:pPr>
                  </w:p>
                </w:txbxContent>
              </v:textbox>
            </v:rect>
            <v:rect id="矩形 1931" o:spid="_x0000_s1313" o:spt="1" style="position:absolute;left:5473;top:13718;height:846;width:1694;" coordsize="21600,21600">
              <v:path/>
              <v:fill focussize="0,0"/>
              <v:stroke/>
              <v:imagedata o:title=""/>
              <o:lock v:ext="edit"/>
              <v:textbox>
                <w:txbxContent>
                  <w:p>
                    <w:pPr>
                      <w:spacing w:beforeLines="50" w:afterLines="50"/>
                      <w:jc w:val="center"/>
                      <w:rPr>
                        <w:szCs w:val="21"/>
                      </w:rPr>
                    </w:pPr>
                    <w:r>
                      <w:rPr>
                        <w:rFonts w:hint="eastAsia"/>
                        <w:szCs w:val="21"/>
                      </w:rPr>
                      <w:t>现场恢复</w:t>
                    </w:r>
                  </w:p>
                  <w:p>
                    <w:pPr>
                      <w:rPr>
                        <w:szCs w:val="21"/>
                      </w:rPr>
                    </w:pPr>
                  </w:p>
                </w:txbxContent>
              </v:textbox>
            </v:rect>
            <v:line id="直线 1932" o:spid="_x0000_s1314" o:spt="20" style="position:absolute;left:6296;top:11924;height:1794;width:1;" coordsize="21600,21600">
              <v:path arrowok="t"/>
              <v:fill focussize="0,0"/>
              <v:stroke endarrow="block"/>
              <v:imagedata o:title=""/>
              <o:lock v:ext="edit"/>
            </v:line>
            <v:line id="直线 1933" o:spid="_x0000_s1315" o:spt="20" style="position:absolute;left:6297;top:12826;flip:x;height:1;width:2955;" coordsize="21600,21600">
              <v:path arrowok="t"/>
              <v:fill focussize="0,0"/>
              <v:stroke endarrow="block"/>
              <v:imagedata o:title=""/>
              <o:lock v:ext="edit"/>
            </v:line>
            <v:line id="直线 1934" o:spid="_x0000_s1316" o:spt="20" style="position:absolute;left:9252;top:12164;flip:y;height:663;width:1;" coordsize="21600,21600">
              <v:path arrowok="t"/>
              <v:fill focussize="0,0"/>
              <v:stroke/>
              <v:imagedata o:title=""/>
              <o:lock v:ext="edit"/>
            </v:line>
            <v:rect id="矩形 1935" o:spid="_x0000_s1317" o:spt="1" style="position:absolute;left:2113;top:12314;height:624;width:1995;" coordsize="21600,21600">
              <v:path/>
              <v:fill focussize="0,0"/>
              <v:stroke/>
              <v:imagedata o:title=""/>
              <o:lock v:ext="edit"/>
              <v:textbox>
                <w:txbxContent>
                  <w:p>
                    <w:pPr>
                      <w:spacing w:beforeLines="50" w:afterLines="50"/>
                      <w:jc w:val="center"/>
                      <w:rPr>
                        <w:szCs w:val="21"/>
                      </w:rPr>
                    </w:pPr>
                    <w:r>
                      <w:rPr>
                        <w:rFonts w:hint="eastAsia"/>
                        <w:szCs w:val="21"/>
                      </w:rPr>
                      <w:t>完成事故调查报告</w:t>
                    </w:r>
                  </w:p>
                  <w:p>
                    <w:pPr>
                      <w:rPr>
                        <w:szCs w:val="21"/>
                      </w:rPr>
                    </w:pPr>
                  </w:p>
                </w:txbxContent>
              </v:textbox>
            </v:rect>
            <v:line id="直线 1936" o:spid="_x0000_s1318" o:spt="20" style="position:absolute;left:4108;top:14030;flip:x;height:0;width:1365;" coordsize="21600,21600">
              <v:path arrowok="t"/>
              <v:fill focussize="0,0"/>
              <v:stroke endarrow="block"/>
              <v:imagedata o:title=""/>
              <o:lock v:ext="edit"/>
            </v:line>
            <v:line id="直线 1937" o:spid="_x0000_s1319" o:spt="20" style="position:absolute;left:3058;top:12938;flip:y;height:780;width:0;" coordsize="21600,21600">
              <v:path arrowok="t"/>
              <v:fill focussize="0,0"/>
              <v:stroke endarrow="block"/>
              <v:imagedata o:title=""/>
              <o:lock v:ext="edit"/>
            </v:line>
            <v:line id="直线 1938" o:spid="_x0000_s1320" o:spt="20" style="position:absolute;left:3028;top:13406;flip:x;height:1;width:1604;" coordsize="21600,21600">
              <v:path arrowok="t"/>
              <v:fill focussize="0,0"/>
              <v:stroke endarrow="block"/>
              <v:imagedata o:title=""/>
              <o:lock v:ext="edit"/>
            </v:line>
            <v:rect id="矩形 1939" o:spid="_x0000_s1321" o:spt="1" style="position:absolute;left:4407;top:7868;height:468;width:840;" fillcolor="#FF0000" filled="f" stroked="f" coordsize="21600,21600">
              <v:path/>
              <v:fill on="f" focussize="0,0"/>
              <v:stroke on="f"/>
              <v:imagedata o:title=""/>
              <o:lock v:ext="edit"/>
              <v:textbox>
                <w:txbxContent>
                  <w:p>
                    <w:pPr>
                      <w:jc w:val="center"/>
                    </w:pPr>
                    <w:r>
                      <w:rPr>
                        <w:rFonts w:hint="eastAsia"/>
                      </w:rPr>
                      <w:t>可控</w:t>
                    </w:r>
                  </w:p>
                </w:txbxContent>
              </v:textbox>
            </v:rect>
            <v:rect id="矩形 1940" o:spid="_x0000_s1322" o:spt="1" style="position:absolute;left:2113;top:13718;height:1404;width:1995;" coordsize="21600,21600">
              <v:path/>
              <v:fill focussize="0,0"/>
              <v:stroke/>
              <v:imagedata o:title=""/>
              <o:lock v:ext="edit"/>
              <v:textbox>
                <w:txbxContent>
                  <w:p>
                    <w:pPr>
                      <w:jc w:val="center"/>
                      <w:rPr>
                        <w:szCs w:val="21"/>
                      </w:rPr>
                    </w:pPr>
                    <w:r>
                      <w:rPr>
                        <w:rFonts w:hint="eastAsia"/>
                        <w:szCs w:val="21"/>
                      </w:rPr>
                      <w:t>现场应急救援组</w:t>
                    </w:r>
                  </w:p>
                  <w:p>
                    <w:pPr>
                      <w:jc w:val="center"/>
                      <w:rPr>
                        <w:szCs w:val="21"/>
                      </w:rPr>
                    </w:pPr>
                    <w:r>
                      <w:rPr>
                        <w:rFonts w:hint="eastAsia"/>
                        <w:szCs w:val="21"/>
                      </w:rPr>
                      <w:t>组长：当班班长</w:t>
                    </w:r>
                  </w:p>
                </w:txbxContent>
              </v:textbox>
            </v:rect>
            <v:line id="直线 1941" o:spid="_x0000_s1323" o:spt="20" style="position:absolute;left:4272;top:5450;flip:x;height:1;width:1096;" coordsize="21600,21600">
              <v:path arrowok="t"/>
              <v:fill focussize="0,0"/>
              <v:stroke/>
              <v:imagedata o:title=""/>
              <o:lock v:ext="edit"/>
            </v:line>
            <v:line id="直线 1942" o:spid="_x0000_s1324" o:spt="20" style="position:absolute;left:4272;top:5451;height:7956;width:1;" coordsize="21600,21600">
              <v:path arrowok="t"/>
              <v:fill focussize="0,0"/>
              <v:stroke/>
              <v:imagedata o:title=""/>
              <o:lock v:ext="edit"/>
            </v:line>
            <v:shape id="自选图形 1943" o:spid="_x0000_s1325" o:spt="33" type="#_x0000_t33" style="position:absolute;left:4632;top:8336;flip:y;height:5070;width:615;rotation:11796480f;" o:connectortype="elbow" filled="f" coordsize="21600,21600" adj="-180281,26346,-180281">
              <v:path arrowok="t"/>
              <v:fill on="f" focussize="0,0"/>
              <v:stroke joinstyle="miter"/>
              <v:imagedata o:title=""/>
              <o:lock v:ext="edit"/>
            </v:shape>
            <v:rect id="矩形 1944" o:spid="_x0000_s1326" o:spt="1" style="position:absolute;left:4407;top:4982;height:468;width:840;" fillcolor="#FF0000" filled="f" stroked="f" coordsize="21600,21600">
              <v:path/>
              <v:fill on="f" focussize="0,0"/>
              <v:stroke on="f"/>
              <v:imagedata o:title=""/>
              <o:lock v:ext="edit"/>
              <v:textbox>
                <w:txbxContent>
                  <w:p>
                    <w:pPr>
                      <w:jc w:val="center"/>
                    </w:pPr>
                    <w:r>
                      <w:rPr>
                        <w:rFonts w:hint="eastAsia"/>
                      </w:rPr>
                      <w:t>可控</w:t>
                    </w:r>
                  </w:p>
                </w:txbxContent>
              </v:textbox>
            </v:rect>
            <v:line id="直线 1945" o:spid="_x0000_s1327" o:spt="20" style="position:absolute;left:5008;top:11534;height:1;width:180;" coordsize="21600,21600">
              <v:path arrowok="t"/>
              <v:fill focussize="0,0"/>
              <v:stroke/>
              <v:imagedata o:title=""/>
              <o:lock v:ext="edit"/>
            </v:line>
            <v:line id="直线 1946" o:spid="_x0000_s1328" o:spt="20" style="position:absolute;left:5008;top:11534;height:1872;width:0;" coordsize="21600,21600">
              <v:path arrowok="t"/>
              <v:fill focussize="0,0"/>
              <v:stroke/>
              <v:imagedata o:title=""/>
              <o:lock v:ext="edit"/>
            </v:line>
            <v:line id="直线 1947" o:spid="_x0000_s1329" o:spt="20" style="position:absolute;left:4648;top:13406;flip:x;height:0;width:360;" coordsize="21600,21600">
              <v:path arrowok="t"/>
              <v:fill focussize="0,0"/>
              <v:stroke/>
              <v:imagedata o:title=""/>
              <o:lock v:ext="edit"/>
            </v:line>
            <v:rect id="矩形 1948" o:spid="_x0000_s1330" o:spt="1" style="position:absolute;left:4468;top:11066;height:468;width:840;" fillcolor="#FF0000" filled="f" stroked="f" coordsize="21600,21600">
              <v:path/>
              <v:fill on="f" focussize="0,0"/>
              <v:stroke on="f"/>
              <v:imagedata o:title=""/>
              <o:lock v:ext="edit"/>
              <v:textbox>
                <w:txbxContent>
                  <w:p>
                    <w:pPr>
                      <w:jc w:val="center"/>
                    </w:pPr>
                    <w:r>
                      <w:rPr>
                        <w:rFonts w:hint="eastAsia"/>
                      </w:rPr>
                      <w:t>可控</w:t>
                    </w:r>
                  </w:p>
                </w:txbxContent>
              </v:textbox>
            </v:rect>
            <w10:wrap type="none"/>
            <w10:anchorlock/>
          </v:group>
        </w:pict>
      </w:r>
    </w:p>
    <w:p>
      <w:pPr>
        <w:adjustRightInd w:val="0"/>
        <w:snapToGrid w:val="0"/>
        <w:spacing w:line="460" w:lineRule="exact"/>
        <w:ind w:firstLine="488" w:firstLineChars="200"/>
        <w:jc w:val="center"/>
        <w:rPr>
          <w:b/>
          <w:color w:val="000000"/>
          <w:sz w:val="26"/>
          <w:szCs w:val="26"/>
        </w:rPr>
      </w:pPr>
      <w:r>
        <w:rPr>
          <w:rFonts w:hint="eastAsia" w:cs="仿宋_GB2312" w:asciiTheme="minorEastAsia" w:hAnsiTheme="minorEastAsia" w:eastAsiaTheme="minorEastAsia"/>
          <w:b/>
          <w:kern w:val="0"/>
          <w:sz w:val="24"/>
          <w:szCs w:val="24"/>
          <w:lang w:val="zh-CN"/>
        </w:rPr>
        <w:t>图6-1 应急工作流程图</w:t>
      </w:r>
    </w:p>
    <w:p>
      <w:pPr>
        <w:adjustRightInd w:val="0"/>
        <w:snapToGrid w:val="0"/>
        <w:spacing w:line="460" w:lineRule="exact"/>
        <w:outlineLvl w:val="1"/>
        <w:rPr>
          <w:rFonts w:hint="eastAsia"/>
          <w:b/>
          <w:color w:val="000000"/>
          <w:sz w:val="28"/>
          <w:szCs w:val="28"/>
        </w:rPr>
      </w:pPr>
    </w:p>
    <w:p>
      <w:pPr>
        <w:adjustRightInd w:val="0"/>
        <w:snapToGrid w:val="0"/>
        <w:spacing w:line="460" w:lineRule="exact"/>
        <w:outlineLvl w:val="1"/>
        <w:rPr>
          <w:rFonts w:hint="eastAsia"/>
          <w:b/>
          <w:color w:val="000000"/>
          <w:sz w:val="26"/>
          <w:szCs w:val="26"/>
          <w:lang w:val="zh-CN"/>
        </w:rPr>
      </w:pPr>
      <w:bookmarkStart w:id="396" w:name="_Toc16392"/>
      <w:r>
        <w:rPr>
          <w:rFonts w:hint="eastAsia"/>
          <w:b/>
          <w:color w:val="000000"/>
          <w:sz w:val="26"/>
          <w:szCs w:val="26"/>
          <w:lang w:val="zh-CN"/>
        </w:rPr>
        <w:t>6.4.3一源一案</w:t>
      </w:r>
      <w:bookmarkEnd w:id="396"/>
    </w:p>
    <w:p>
      <w:pPr>
        <w:spacing w:line="480" w:lineRule="exact"/>
        <w:rPr>
          <w:rFonts w:asciiTheme="minorEastAsia" w:hAnsiTheme="minorEastAsia" w:eastAsiaTheme="minorEastAsia"/>
          <w:b/>
          <w:sz w:val="24"/>
          <w:szCs w:val="24"/>
          <w:lang w:val="zh-CN"/>
        </w:rPr>
      </w:pPr>
      <w:r>
        <w:rPr>
          <w:rFonts w:hint="eastAsia" w:asciiTheme="minorEastAsia" w:hAnsiTheme="minorEastAsia" w:eastAsiaTheme="minorEastAsia"/>
          <w:b/>
          <w:sz w:val="24"/>
          <w:szCs w:val="24"/>
        </w:rPr>
        <w:t>6.4.3</w:t>
      </w:r>
      <w:r>
        <w:rPr>
          <w:rFonts w:hint="eastAsia" w:cs="仿宋_GB2312" w:asciiTheme="minorEastAsia" w:hAnsiTheme="minorEastAsia" w:eastAsiaTheme="minorEastAsia"/>
          <w:b/>
          <w:sz w:val="24"/>
          <w:szCs w:val="24"/>
          <w:lang w:val="zh-CN"/>
        </w:rPr>
        <w:t>.1</w:t>
      </w:r>
      <w:r>
        <w:rPr>
          <w:rFonts w:hint="eastAsia" w:asciiTheme="minorEastAsia" w:hAnsiTheme="minorEastAsia" w:eastAsiaTheme="minorEastAsia"/>
          <w:b/>
          <w:sz w:val="24"/>
          <w:szCs w:val="24"/>
        </w:rPr>
        <w:t>氢氧化钠泄漏处置措施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迅速查明泄漏部位和泄漏量大小，在确保安全的情况采取如下措施：</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应急处置过程中应急处理人员必须穿戴好工作服，佩戴化学安全防护眼镜，戴耐酸碱手套。</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小量泄漏：尽可能将溢漏固体集在塑胶容器内，收集回收后用水冲洗残留物，冲洗水进入事故池，用适量盐酸中和，测定PH值等后合格后经环保部门批准排放。</w:t>
      </w:r>
    </w:p>
    <w:p>
      <w:pPr>
        <w:adjustRightInd w:val="0"/>
        <w:snapToGrid w:val="0"/>
        <w:spacing w:line="460" w:lineRule="exact"/>
        <w:ind w:firstLine="486" w:firstLineChars="200"/>
        <w:rPr>
          <w:rFonts w:hint="eastAsia"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大量泄漏：若固态氢氧化钠发生大量泄漏后遇水，确认储存区围堰至事故池阀门关闭，用耐酸泵转移至专用容器中，若无法盛装，通过槽车转移至废物处理单位。残液用水冲洗，冲洗水进入事故池，用适量盐酸中和，测定PH值等合格后经环保部门批准后排放。</w:t>
      </w:r>
      <w:bookmarkEnd w:id="354"/>
      <w:bookmarkEnd w:id="355"/>
      <w:bookmarkEnd w:id="356"/>
      <w:bookmarkEnd w:id="357"/>
      <w:bookmarkEnd w:id="358"/>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3.2</w:t>
      </w:r>
      <w:r>
        <w:rPr>
          <w:rFonts w:hint="eastAsia" w:ascii="宋体" w:hAnsi="宋体" w:cs="仿宋_GB2312"/>
          <w:b/>
          <w:kern w:val="0"/>
          <w:sz w:val="28"/>
          <w:szCs w:val="28"/>
        </w:rPr>
        <w:t>进水水质超标</w:t>
      </w:r>
      <w:r>
        <w:rPr>
          <w:rFonts w:hint="eastAsia" w:cs="仿宋_GB2312" w:asciiTheme="minorEastAsia" w:hAnsiTheme="minorEastAsia" w:eastAsiaTheme="minorEastAsia"/>
          <w:b/>
          <w:kern w:val="0"/>
          <w:sz w:val="24"/>
          <w:szCs w:val="24"/>
        </w:rPr>
        <w:t>处置措施</w:t>
      </w:r>
    </w:p>
    <w:p>
      <w:pPr>
        <w:spacing w:line="360" w:lineRule="auto"/>
        <w:ind w:firstLine="486" w:firstLineChars="200"/>
        <w:rPr>
          <w:rFonts w:ascii="宋体" w:cs="仿宋_GB2312"/>
          <w:kern w:val="0"/>
          <w:sz w:val="24"/>
          <w:szCs w:val="24"/>
        </w:rPr>
      </w:pPr>
      <w:r>
        <w:rPr>
          <w:rFonts w:hint="eastAsia" w:ascii="宋体" w:hAnsi="宋体" w:cs="仿宋_GB2312"/>
          <w:kern w:val="0"/>
          <w:sz w:val="24"/>
          <w:szCs w:val="24"/>
        </w:rPr>
        <w:t>运行人员每</w:t>
      </w:r>
      <w:r>
        <w:rPr>
          <w:rFonts w:ascii="宋体" w:hAnsi="宋体" w:cs="仿宋_GB2312"/>
          <w:kern w:val="0"/>
          <w:sz w:val="24"/>
          <w:szCs w:val="24"/>
        </w:rPr>
        <w:t>2</w:t>
      </w:r>
      <w:r>
        <w:rPr>
          <w:rFonts w:hint="eastAsia" w:ascii="宋体" w:hAnsi="宋体" w:cs="仿宋_GB2312"/>
          <w:kern w:val="0"/>
          <w:sz w:val="24"/>
          <w:szCs w:val="24"/>
        </w:rPr>
        <w:t>小时对工艺段进行巡视异常，或化验室例行数据监测报警（化验室每天将数据上传厂办公室，如进水异常，立即通知值班人）。</w:t>
      </w:r>
    </w:p>
    <w:p>
      <w:pPr>
        <w:spacing w:line="360" w:lineRule="auto"/>
        <w:ind w:firstLine="486" w:firstLineChars="200"/>
        <w:rPr>
          <w:rFonts w:ascii="宋体" w:cs="仿宋_GB2312"/>
          <w:kern w:val="0"/>
          <w:sz w:val="24"/>
          <w:szCs w:val="24"/>
        </w:rPr>
      </w:pPr>
      <w:r>
        <w:rPr>
          <w:rFonts w:hint="eastAsia" w:ascii="宋体" w:hAnsi="宋体" w:cs="仿宋_GB2312"/>
          <w:kern w:val="0"/>
          <w:sz w:val="24"/>
          <w:szCs w:val="24"/>
        </w:rPr>
        <w:t>主要进水数据超标（任意一项）启动应急处置方案的临界值：</w:t>
      </w:r>
    </w:p>
    <w:p>
      <w:pPr>
        <w:spacing w:line="360" w:lineRule="auto"/>
        <w:ind w:firstLine="486" w:firstLineChars="200"/>
        <w:rPr>
          <w:rFonts w:ascii="宋体" w:cs="仿宋_GB2312"/>
          <w:kern w:val="0"/>
          <w:sz w:val="24"/>
          <w:szCs w:val="24"/>
        </w:rPr>
      </w:pPr>
      <w:r>
        <w:rPr>
          <w:rFonts w:ascii="宋体" w:hAnsi="宋体" w:cs="仿宋_GB2312"/>
          <w:kern w:val="0"/>
          <w:sz w:val="24"/>
          <w:szCs w:val="24"/>
        </w:rPr>
        <w:t>COD</w:t>
      </w:r>
      <w:r>
        <w:rPr>
          <w:rFonts w:hint="eastAsia" w:ascii="宋体" w:hAnsi="宋体"/>
          <w:kern w:val="0"/>
          <w:sz w:val="24"/>
          <w:szCs w:val="24"/>
        </w:rPr>
        <w:t>≧</w:t>
      </w:r>
      <w:r>
        <w:rPr>
          <w:rFonts w:hint="eastAsia" w:ascii="宋体" w:hAnsi="宋体" w:cs="仿宋_GB2312"/>
          <w:kern w:val="0"/>
          <w:sz w:val="24"/>
          <w:szCs w:val="24"/>
        </w:rPr>
        <w:t>395</w:t>
      </w:r>
      <w:r>
        <w:rPr>
          <w:rFonts w:ascii="宋体" w:hAnsi="宋体" w:cs="仿宋_GB2312"/>
          <w:kern w:val="0"/>
          <w:sz w:val="24"/>
          <w:szCs w:val="24"/>
        </w:rPr>
        <w:t>mg/L</w:t>
      </w:r>
      <w:r>
        <w:rPr>
          <w:rFonts w:hint="eastAsia" w:ascii="宋体" w:hAnsi="宋体" w:cs="仿宋_GB2312"/>
          <w:kern w:val="0"/>
          <w:sz w:val="24"/>
          <w:szCs w:val="24"/>
        </w:rPr>
        <w:t>，</w:t>
      </w:r>
      <w:r>
        <w:rPr>
          <w:rFonts w:ascii="宋体" w:hAnsi="宋体" w:cs="仿宋_GB2312"/>
          <w:kern w:val="0"/>
          <w:sz w:val="24"/>
          <w:szCs w:val="24"/>
        </w:rPr>
        <w:t>NH3-N</w:t>
      </w:r>
      <w:r>
        <w:rPr>
          <w:rFonts w:hint="eastAsia" w:ascii="宋体" w:hAnsi="宋体"/>
          <w:kern w:val="0"/>
          <w:sz w:val="24"/>
          <w:szCs w:val="24"/>
        </w:rPr>
        <w:t>≧</w:t>
      </w:r>
      <w:r>
        <w:rPr>
          <w:rFonts w:hint="eastAsia" w:ascii="宋体" w:hAnsi="宋体" w:cs="仿宋_GB2312"/>
          <w:kern w:val="0"/>
          <w:sz w:val="24"/>
          <w:szCs w:val="24"/>
        </w:rPr>
        <w:t>136</w:t>
      </w:r>
      <w:r>
        <w:rPr>
          <w:rFonts w:ascii="宋体" w:hAnsi="宋体" w:cs="仿宋_GB2312"/>
          <w:kern w:val="0"/>
          <w:sz w:val="24"/>
          <w:szCs w:val="24"/>
        </w:rPr>
        <w:t>mg/L</w:t>
      </w:r>
      <w:r>
        <w:rPr>
          <w:rFonts w:hint="eastAsia" w:ascii="宋体" w:hAnsi="宋体" w:cs="仿宋_GB2312"/>
          <w:kern w:val="0"/>
          <w:sz w:val="24"/>
          <w:szCs w:val="24"/>
        </w:rPr>
        <w:t>，或</w:t>
      </w:r>
      <w:r>
        <w:rPr>
          <w:rFonts w:hint="eastAsia" w:ascii="宋体" w:hAnsi="宋体"/>
          <w:kern w:val="0"/>
          <w:sz w:val="24"/>
          <w:szCs w:val="24"/>
        </w:rPr>
        <w:t>≦</w:t>
      </w:r>
      <w:r>
        <w:rPr>
          <w:rFonts w:hint="eastAsia" w:ascii="宋体" w:hAnsi="宋体" w:cs="仿宋_GB2312"/>
          <w:kern w:val="0"/>
          <w:sz w:val="24"/>
          <w:szCs w:val="24"/>
        </w:rPr>
        <w:t>5。</w:t>
      </w:r>
    </w:p>
    <w:p>
      <w:pPr>
        <w:spacing w:line="360" w:lineRule="auto"/>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）值班人员迅速报告厂长按厂负责人指令执行。</w:t>
      </w:r>
    </w:p>
    <w:p>
      <w:pPr>
        <w:spacing w:line="360" w:lineRule="auto"/>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）厂负责人接报后现场了解情况，视情况逐级报告。</w:t>
      </w:r>
    </w:p>
    <w:p>
      <w:p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）值班人员立即手动关闭调节池进水闸阀，同时开启事故池闸阀，将超标废水切换至事故调节池（应急运行组需保证正常情况应急池为空）。</w:t>
      </w:r>
    </w:p>
    <w:p>
      <w:pPr>
        <w:numPr>
          <w:ilvl w:val="0"/>
          <w:numId w:val="1"/>
        </w:numPr>
        <w:spacing w:line="360" w:lineRule="auto"/>
        <w:ind w:left="42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值班人员迅速到闸阀处查看，事故调节池进水情况是否正常。</w:t>
      </w:r>
    </w:p>
    <w:p>
      <w:pPr>
        <w:numPr>
          <w:ilvl w:val="0"/>
          <w:numId w:val="1"/>
        </w:numPr>
        <w:spacing w:line="360" w:lineRule="auto"/>
        <w:ind w:left="420"/>
        <w:rPr>
          <w:rFonts w:ascii="宋体" w:cs="仿宋_GB2312"/>
          <w:sz w:val="24"/>
          <w:szCs w:val="24"/>
        </w:rPr>
      </w:pPr>
      <w:r>
        <w:rPr>
          <w:rFonts w:hint="eastAsia" w:ascii="宋体" w:hAnsi="宋体" w:cs="仿宋_GB2312"/>
          <w:sz w:val="24"/>
          <w:szCs w:val="24"/>
        </w:rPr>
        <w:t>通知抢险救灾组进行源头水排查，到重点排污企业出水口取水送化验</w:t>
      </w:r>
    </w:p>
    <w:p>
      <w:pPr>
        <w:spacing w:line="360" w:lineRule="auto"/>
        <w:rPr>
          <w:rFonts w:ascii="宋体" w:cs="仿宋_GB2312"/>
          <w:sz w:val="24"/>
          <w:szCs w:val="24"/>
        </w:rPr>
      </w:pPr>
      <w:r>
        <w:rPr>
          <w:rFonts w:hint="eastAsia" w:ascii="宋体" w:hAnsi="宋体" w:cs="仿宋_GB2312"/>
          <w:sz w:val="24"/>
          <w:szCs w:val="24"/>
        </w:rPr>
        <w:t>中心立即化验，或用进水在线设备检测。</w:t>
      </w:r>
    </w:p>
    <w:p>
      <w:pPr>
        <w:numPr>
          <w:ilvl w:val="0"/>
          <w:numId w:val="1"/>
        </w:numPr>
        <w:spacing w:line="360" w:lineRule="auto"/>
        <w:ind w:left="420"/>
        <w:rPr>
          <w:rFonts w:ascii="宋体" w:cs="仿宋_GB2312"/>
          <w:sz w:val="24"/>
          <w:szCs w:val="24"/>
        </w:rPr>
      </w:pPr>
      <w:r>
        <w:rPr>
          <w:rFonts w:hint="eastAsia" w:ascii="宋体" w:hAnsi="宋体" w:cs="仿宋_GB2312"/>
          <w:sz w:val="24"/>
          <w:szCs w:val="24"/>
        </w:rPr>
        <w:t>抢险救灾组通知疑似超标的排污企业立即停止排放污水。</w:t>
      </w:r>
    </w:p>
    <w:p>
      <w:pPr>
        <w:spacing w:line="360" w:lineRule="auto"/>
        <w:ind w:left="420"/>
        <w:rPr>
          <w:rFonts w:ascii="宋体" w:cs="仿宋_GB2312"/>
          <w:sz w:val="24"/>
          <w:szCs w:val="24"/>
        </w:rPr>
      </w:pPr>
      <w:r>
        <w:rPr>
          <w:rFonts w:hint="eastAsia" w:ascii="宋体" w:hAnsi="宋体" w:cs="仿宋_GB2312"/>
          <w:sz w:val="24"/>
          <w:szCs w:val="24"/>
        </w:rPr>
        <w:t>（</w:t>
      </w:r>
      <w:r>
        <w:rPr>
          <w:rFonts w:ascii="宋体" w:hAnsi="宋体" w:cs="仿宋_GB2312"/>
          <w:sz w:val="24"/>
          <w:szCs w:val="24"/>
        </w:rPr>
        <w:t>7</w:t>
      </w:r>
      <w:r>
        <w:rPr>
          <w:rFonts w:hint="eastAsia" w:ascii="宋体" w:hAnsi="宋体" w:cs="仿宋_GB2312"/>
          <w:sz w:val="24"/>
          <w:szCs w:val="24"/>
        </w:rPr>
        <w:t>）对于超标废水已进入生化系统的工艺调整应对。</w:t>
      </w:r>
    </w:p>
    <w:p>
      <w:pPr>
        <w:spacing w:line="360" w:lineRule="auto"/>
        <w:ind w:firstLine="480" w:firstLineChars="200"/>
        <w:jc w:val="left"/>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）对于</w:t>
      </w:r>
      <w:r>
        <w:rPr>
          <w:rFonts w:cs="仿宋_GB2312" w:asciiTheme="minorEastAsia" w:hAnsiTheme="minorEastAsia" w:eastAsiaTheme="minorEastAsia"/>
          <w:sz w:val="24"/>
          <w:szCs w:val="24"/>
        </w:rPr>
        <w:t>COD</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NH3-N</w:t>
      </w:r>
      <w:r>
        <w:rPr>
          <w:rFonts w:hint="eastAsia" w:cs="仿宋_GB2312" w:asciiTheme="minorEastAsia" w:hAnsiTheme="minorEastAsia" w:eastAsiaTheme="minorEastAsia"/>
          <w:sz w:val="24"/>
          <w:szCs w:val="24"/>
        </w:rPr>
        <w:t>进水超标处置方法。减少当日排泥，维持较高范围的污泥浓度（</w:t>
      </w:r>
      <w:r>
        <w:rPr>
          <w:rFonts w:cs="仿宋_GB2312" w:asciiTheme="minorEastAsia" w:hAnsiTheme="minorEastAsia" w:eastAsiaTheme="minorEastAsia"/>
          <w:sz w:val="24"/>
          <w:szCs w:val="24"/>
        </w:rPr>
        <w:t>3000mg/L</w:t>
      </w:r>
      <w:r>
        <w:rPr>
          <w:rFonts w:hint="eastAsia" w:cs="仿宋_GB2312" w:asciiTheme="minorEastAsia" w:hAnsiTheme="minorEastAsia" w:eastAsiaTheme="minorEastAsia"/>
          <w:sz w:val="24"/>
          <w:szCs w:val="24"/>
        </w:rPr>
        <w:t>以上）以应对负荷冲击；注意增加曝气量调整合适的溶解氧（在</w:t>
      </w:r>
      <w:r>
        <w:rPr>
          <w:rFonts w:cs="仿宋_GB2312" w:asciiTheme="minorEastAsia" w:hAnsiTheme="minorEastAsia" w:eastAsiaTheme="minorEastAsia"/>
          <w:sz w:val="24"/>
          <w:szCs w:val="24"/>
        </w:rPr>
        <w:t>2mg/L</w:t>
      </w:r>
      <w:r>
        <w:rPr>
          <w:rFonts w:hint="eastAsia" w:cs="仿宋_GB2312" w:asciiTheme="minorEastAsia" w:hAnsiTheme="minorEastAsia" w:eastAsiaTheme="minorEastAsia"/>
          <w:sz w:val="24"/>
          <w:szCs w:val="24"/>
        </w:rPr>
        <w:t>以上）。同时在混凝搅拌池增加</w:t>
      </w:r>
      <w:r>
        <w:rPr>
          <w:rFonts w:cs="仿宋_GB2312" w:asciiTheme="minorEastAsia" w:hAnsiTheme="minorEastAsia" w:eastAsiaTheme="minorEastAsia"/>
          <w:sz w:val="24"/>
          <w:szCs w:val="24"/>
        </w:rPr>
        <w:t>pac</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pam</w:t>
      </w:r>
      <w:r>
        <w:rPr>
          <w:rFonts w:hint="eastAsia" w:cs="仿宋_GB2312" w:asciiTheme="minorEastAsia" w:hAnsiTheme="minorEastAsia" w:eastAsiaTheme="minorEastAsia"/>
          <w:sz w:val="24"/>
          <w:szCs w:val="24"/>
        </w:rPr>
        <w:t>投加量，在</w:t>
      </w:r>
      <w:r>
        <w:rPr>
          <w:rFonts w:ascii="宋体" w:hAnsi="宋体" w:cs="仿宋_GB2312"/>
          <w:sz w:val="24"/>
          <w:szCs w:val="24"/>
        </w:rPr>
        <w:t>CASS</w:t>
      </w:r>
      <w:r>
        <w:rPr>
          <w:rFonts w:hint="eastAsia" w:ascii="宋体" w:hAnsi="宋体" w:cs="仿宋_GB2312"/>
          <w:sz w:val="24"/>
          <w:szCs w:val="24"/>
        </w:rPr>
        <w:t>池</w:t>
      </w:r>
      <w:r>
        <w:rPr>
          <w:rFonts w:hint="eastAsia" w:cs="仿宋_GB2312" w:asciiTheme="minorEastAsia" w:hAnsiTheme="minorEastAsia" w:eastAsiaTheme="minorEastAsia"/>
          <w:sz w:val="24"/>
          <w:szCs w:val="24"/>
        </w:rPr>
        <w:t>投加活性炭粉等方式快速吸附、沉降悬浮有机污染物。</w:t>
      </w:r>
    </w:p>
    <w:p>
      <w:pPr>
        <w:spacing w:line="360" w:lineRule="auto"/>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）对于</w:t>
      </w:r>
      <w:r>
        <w:rPr>
          <w:rFonts w:cs="仿宋_GB2312" w:asciiTheme="minorEastAsia" w:hAnsiTheme="minorEastAsia" w:eastAsiaTheme="minorEastAsia"/>
          <w:sz w:val="24"/>
          <w:szCs w:val="24"/>
        </w:rPr>
        <w:t>PH</w:t>
      </w:r>
      <w:r>
        <w:rPr>
          <w:rFonts w:hint="eastAsia" w:cs="仿宋_GB2312" w:asciiTheme="minorEastAsia" w:hAnsiTheme="minorEastAsia" w:eastAsiaTheme="minorEastAsia"/>
          <w:sz w:val="24"/>
          <w:szCs w:val="24"/>
        </w:rPr>
        <w:t>超标处置方法。</w:t>
      </w:r>
      <w:r>
        <w:rPr>
          <w:rFonts w:cs="仿宋_GB2312" w:asciiTheme="minorEastAsia" w:hAnsiTheme="minorEastAsia" w:eastAsiaTheme="minorEastAsia"/>
          <w:sz w:val="24"/>
          <w:szCs w:val="24"/>
        </w:rPr>
        <w:t>PH</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9</w:t>
      </w:r>
      <w:r>
        <w:rPr>
          <w:rFonts w:hint="eastAsia" w:cs="仿宋_GB2312" w:asciiTheme="minorEastAsia" w:hAnsiTheme="minorEastAsia" w:eastAsiaTheme="minorEastAsia"/>
          <w:kern w:val="0"/>
          <w:sz w:val="24"/>
          <w:szCs w:val="24"/>
        </w:rPr>
        <w:t>时在混凝反应池投加稀盐酸调至中性，</w:t>
      </w:r>
      <w:r>
        <w:rPr>
          <w:rFonts w:cs="仿宋_GB2312" w:asciiTheme="minorEastAsia" w:hAnsiTheme="minorEastAsia" w:eastAsiaTheme="minorEastAsia"/>
          <w:sz w:val="24"/>
          <w:szCs w:val="24"/>
        </w:rPr>
        <w:t>PH</w:t>
      </w:r>
      <w:r>
        <w:rPr>
          <w:rFonts w:hint="eastAsia" w:asciiTheme="minorEastAsia" w:hAnsiTheme="minorEastAsia" w:eastAsiaTheme="minorEastAsia"/>
          <w:kern w:val="0"/>
          <w:sz w:val="24"/>
          <w:szCs w:val="24"/>
        </w:rPr>
        <w:t>≦</w:t>
      </w:r>
      <w:r>
        <w:rPr>
          <w:rFonts w:cs="仿宋_GB2312" w:asciiTheme="minorEastAsia" w:hAnsiTheme="minorEastAsia" w:eastAsiaTheme="minorEastAsia"/>
          <w:kern w:val="0"/>
          <w:sz w:val="24"/>
          <w:szCs w:val="24"/>
        </w:rPr>
        <w:t>6</w:t>
      </w:r>
      <w:r>
        <w:rPr>
          <w:rFonts w:hint="eastAsia" w:cs="仿宋_GB2312" w:asciiTheme="minorEastAsia" w:hAnsiTheme="minorEastAsia" w:eastAsiaTheme="minorEastAsia"/>
          <w:kern w:val="0"/>
          <w:sz w:val="24"/>
          <w:szCs w:val="24"/>
        </w:rPr>
        <w:t>时在混凝反应池加氢氧化钠调至中性。</w:t>
      </w:r>
    </w:p>
    <w:p>
      <w:pPr>
        <w:spacing w:line="360" w:lineRule="auto"/>
        <w:ind w:firstLine="480" w:firstLineChars="200"/>
        <w:jc w:val="left"/>
        <w:rPr>
          <w:rFonts w:cs="仿宋_GB2312" w:asciiTheme="minorEastAsia" w:hAnsiTheme="minorEastAsia" w:eastAsiaTheme="minorEastAsia"/>
          <w:kern w:val="0"/>
          <w:sz w:val="24"/>
          <w:szCs w:val="24"/>
        </w:rPr>
      </w:pPr>
      <w:r>
        <w:rPr>
          <w:rFonts w:cs="仿宋_GB2312" w:asciiTheme="minorEastAsia" w:hAnsiTheme="minorEastAsia" w:eastAsiaTheme="minorEastAsia"/>
          <w:kern w:val="0"/>
          <w:sz w:val="24"/>
          <w:szCs w:val="24"/>
        </w:rPr>
        <w:t>3</w:t>
      </w:r>
      <w:r>
        <w:rPr>
          <w:rFonts w:hint="eastAsia" w:cs="仿宋_GB2312" w:asciiTheme="minorEastAsia" w:hAnsiTheme="minorEastAsia" w:eastAsiaTheme="minorEastAsia"/>
          <w:kern w:val="0"/>
          <w:sz w:val="24"/>
          <w:szCs w:val="24"/>
        </w:rPr>
        <w:t>）处理任何超标废水都应该适当延长</w:t>
      </w:r>
      <w:r>
        <w:rPr>
          <w:rFonts w:hint="eastAsia" w:cs="仿宋_GB2312" w:asciiTheme="minorEastAsia" w:hAnsiTheme="minorEastAsia" w:eastAsiaTheme="minorEastAsia"/>
          <w:sz w:val="24"/>
          <w:szCs w:val="24"/>
        </w:rPr>
        <w:t>水力停留时间</w:t>
      </w:r>
      <w:r>
        <w:rPr>
          <w:rFonts w:hint="eastAsia" w:cs="仿宋_GB2312" w:asciiTheme="minorEastAsia" w:hAnsiTheme="minorEastAsia" w:eastAsiaTheme="minorEastAsia"/>
          <w:kern w:val="0"/>
          <w:sz w:val="24"/>
          <w:szCs w:val="24"/>
        </w:rPr>
        <w:t>。</w:t>
      </w:r>
    </w:p>
    <w:p>
      <w:pPr>
        <w:spacing w:line="360" w:lineRule="auto"/>
        <w:rPr>
          <w:rFonts w:ascii="宋体" w:cs="仿宋_GB2312"/>
          <w:sz w:val="24"/>
          <w:szCs w:val="24"/>
        </w:rPr>
      </w:pPr>
      <w:r>
        <w:rPr>
          <w:rFonts w:hint="eastAsia" w:ascii="宋体" w:hAnsi="宋体" w:cs="仿宋_GB2312"/>
          <w:kern w:val="0"/>
          <w:sz w:val="24"/>
          <w:szCs w:val="24"/>
          <w:lang w:val="en-US" w:eastAsia="zh-CN"/>
        </w:rPr>
        <w:t xml:space="preserve">  </w:t>
      </w:r>
      <w:r>
        <w:rPr>
          <w:rFonts w:hint="eastAsia" w:ascii="宋体" w:hAnsi="宋体" w:cs="仿宋_GB2312"/>
          <w:sz w:val="24"/>
          <w:szCs w:val="24"/>
        </w:rPr>
        <w:t>（</w:t>
      </w:r>
      <w:r>
        <w:rPr>
          <w:rFonts w:hint="eastAsia" w:ascii="宋体" w:hAnsi="宋体" w:cs="仿宋_GB2312"/>
          <w:sz w:val="24"/>
          <w:szCs w:val="24"/>
          <w:lang w:val="en-US" w:eastAsia="zh-CN"/>
        </w:rPr>
        <w:t>8</w:t>
      </w:r>
      <w:r>
        <w:rPr>
          <w:rFonts w:hint="eastAsia" w:ascii="宋体" w:hAnsi="宋体" w:cs="仿宋_GB2312"/>
          <w:sz w:val="24"/>
          <w:szCs w:val="24"/>
        </w:rPr>
        <w:t>）待处理达标排除超标废水后，正常进水时将事故池超、标废水少量分批抽入系统进行处理。</w:t>
      </w:r>
    </w:p>
    <w:p>
      <w:pPr>
        <w:spacing w:line="360" w:lineRule="auto"/>
        <w:rPr>
          <w:rFonts w:ascii="宋体" w:cs="仿宋_GB2312"/>
          <w:sz w:val="24"/>
          <w:szCs w:val="24"/>
        </w:rPr>
      </w:pPr>
      <w:r>
        <w:rPr>
          <w:rFonts w:hint="eastAsia" w:ascii="宋体" w:hAnsi="宋体" w:cs="仿宋_GB2312"/>
          <w:sz w:val="24"/>
          <w:szCs w:val="24"/>
        </w:rPr>
        <w:t xml:space="preserve">   （</w:t>
      </w:r>
      <w:r>
        <w:rPr>
          <w:rFonts w:hint="eastAsia" w:ascii="宋体" w:hAnsi="宋体" w:cs="仿宋_GB2312"/>
          <w:sz w:val="24"/>
          <w:szCs w:val="24"/>
          <w:lang w:val="en-US" w:eastAsia="zh-CN"/>
        </w:rPr>
        <w:t>9</w:t>
      </w:r>
      <w:r>
        <w:rPr>
          <w:rFonts w:hint="eastAsia" w:ascii="宋体" w:hAnsi="宋体" w:cs="仿宋_GB2312"/>
          <w:sz w:val="24"/>
          <w:szCs w:val="24"/>
        </w:rPr>
        <w:t>） 超标废水进入系统进行处理时化验室保持化验监测，当发现数据异常和系统异常，立即减少或停止进入超标废水。</w:t>
      </w:r>
    </w:p>
    <w:p>
      <w:pPr>
        <w:spacing w:line="360" w:lineRule="auto"/>
        <w:rPr>
          <w:rFonts w:ascii="宋体" w:cs="仿宋_GB2312"/>
          <w:sz w:val="24"/>
          <w:szCs w:val="24"/>
        </w:rPr>
      </w:pPr>
      <w:r>
        <w:rPr>
          <w:rFonts w:hint="eastAsia" w:ascii="宋体" w:hAnsi="宋体" w:cs="仿宋_GB2312"/>
          <w:sz w:val="24"/>
          <w:szCs w:val="24"/>
        </w:rPr>
        <w:t xml:space="preserve">   （1</w:t>
      </w:r>
      <w:r>
        <w:rPr>
          <w:rFonts w:hint="eastAsia" w:ascii="宋体" w:hAnsi="宋体" w:cs="仿宋_GB2312"/>
          <w:sz w:val="24"/>
          <w:szCs w:val="24"/>
          <w:lang w:val="en-US" w:eastAsia="zh-CN"/>
        </w:rPr>
        <w:t>0</w:t>
      </w:r>
      <w:r>
        <w:rPr>
          <w:rFonts w:hint="eastAsia" w:ascii="宋体" w:hAnsi="宋体" w:cs="仿宋_GB2312"/>
          <w:sz w:val="24"/>
          <w:szCs w:val="24"/>
        </w:rPr>
        <w:t>）与超标废水排放企业保持联系。当企业恢复正常生产，排水正常后，管网科取水送化验室监测，达标后方可排入管网。</w:t>
      </w:r>
    </w:p>
    <w:p>
      <w:pPr>
        <w:spacing w:line="360" w:lineRule="auto"/>
        <w:rPr>
          <w:rFonts w:ascii="宋体" w:cs="仿宋_GB2312"/>
          <w:sz w:val="24"/>
          <w:szCs w:val="24"/>
        </w:rPr>
      </w:pPr>
      <w:r>
        <w:rPr>
          <w:rFonts w:hint="eastAsia" w:ascii="宋体" w:hAnsi="宋体" w:cs="仿宋_GB2312"/>
          <w:sz w:val="24"/>
          <w:szCs w:val="24"/>
        </w:rPr>
        <w:t xml:space="preserve">   （1</w:t>
      </w:r>
      <w:r>
        <w:rPr>
          <w:rFonts w:hint="eastAsia" w:ascii="宋体" w:hAnsi="宋体" w:cs="仿宋_GB2312"/>
          <w:sz w:val="24"/>
          <w:szCs w:val="24"/>
          <w:lang w:val="en-US" w:eastAsia="zh-CN"/>
        </w:rPr>
        <w:t>1</w:t>
      </w:r>
      <w:r>
        <w:rPr>
          <w:rFonts w:hint="eastAsia" w:ascii="宋体" w:hAnsi="宋体" w:cs="仿宋_GB2312"/>
          <w:sz w:val="24"/>
          <w:szCs w:val="24"/>
        </w:rPr>
        <w:t>）做好超标废水排入后的处置和运行记录，并如实填报和申报。</w:t>
      </w:r>
    </w:p>
    <w:p>
      <w:pPr>
        <w:spacing w:line="360" w:lineRule="auto"/>
        <w:ind w:left="420"/>
        <w:rPr>
          <w:rFonts w:ascii="宋体" w:cs="仿宋_GB2312"/>
          <w:sz w:val="24"/>
          <w:szCs w:val="24"/>
        </w:rPr>
      </w:pPr>
      <w:r>
        <w:rPr>
          <w:rFonts w:hint="eastAsia" w:ascii="宋体" w:hAnsi="宋体" w:cs="仿宋_GB2312"/>
          <w:sz w:val="24"/>
          <w:szCs w:val="24"/>
        </w:rPr>
        <w:t>（1</w:t>
      </w:r>
      <w:r>
        <w:rPr>
          <w:rFonts w:hint="eastAsia" w:ascii="宋体" w:hAnsi="宋体" w:cs="仿宋_GB2312"/>
          <w:sz w:val="24"/>
          <w:szCs w:val="24"/>
          <w:lang w:val="en-US" w:eastAsia="zh-CN"/>
        </w:rPr>
        <w:t>2</w:t>
      </w:r>
      <w:r>
        <w:rPr>
          <w:rFonts w:hint="eastAsia" w:ascii="宋体" w:hAnsi="宋体" w:cs="仿宋_GB2312"/>
          <w:sz w:val="24"/>
          <w:szCs w:val="24"/>
        </w:rPr>
        <w:t>）做好超标废水排入的事故总结</w:t>
      </w:r>
      <w:r>
        <w:rPr>
          <w:rFonts w:hint="eastAsia" w:ascii="宋体" w:hAnsi="宋体" w:cs="仿宋_GB2312"/>
          <w:kern w:val="0"/>
          <w:sz w:val="24"/>
          <w:szCs w:val="24"/>
          <w:lang w:val="zh-CN"/>
        </w:rPr>
        <w:t>，</w:t>
      </w:r>
      <w:r>
        <w:rPr>
          <w:rFonts w:hint="eastAsia" w:ascii="宋体" w:hAnsi="宋体" w:cs="仿宋_GB2312"/>
          <w:sz w:val="24"/>
          <w:szCs w:val="24"/>
        </w:rPr>
        <w:t>并编写书面报告存档、备案。</w:t>
      </w:r>
    </w:p>
    <w:p>
      <w:pPr>
        <w:spacing w:beforeLines="50" w:afterLines="50" w:line="440" w:lineRule="exact"/>
        <w:rPr>
          <w:rFonts w:cs="仿宋_GB2312" w:asciiTheme="minorEastAsia" w:hAnsiTheme="minorEastAsia" w:eastAsiaTheme="minorEastAsia"/>
          <w:b/>
          <w:kern w:val="0"/>
          <w:sz w:val="24"/>
          <w:szCs w:val="24"/>
        </w:rPr>
      </w:pPr>
      <w:r>
        <w:rPr>
          <w:rFonts w:ascii="宋体" w:hAnsi="宋体" w:cs="仿宋_GB2312"/>
          <w:b/>
          <w:kern w:val="0"/>
          <w:sz w:val="28"/>
          <w:szCs w:val="28"/>
        </w:rPr>
        <w:t xml:space="preserve"> </w:t>
      </w: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w:t>
      </w:r>
      <w:r>
        <w:rPr>
          <w:rFonts w:ascii="宋体" w:hAnsi="宋体"/>
          <w:b/>
          <w:sz w:val="28"/>
          <w:szCs w:val="28"/>
        </w:rPr>
        <w:t>.</w:t>
      </w:r>
      <w:r>
        <w:rPr>
          <w:rFonts w:hint="eastAsia" w:ascii="宋体" w:hAnsi="宋体"/>
          <w:b/>
          <w:sz w:val="28"/>
          <w:szCs w:val="28"/>
        </w:rPr>
        <w:t>3</w:t>
      </w:r>
      <w:r>
        <w:rPr>
          <w:rFonts w:hint="eastAsia" w:ascii="宋体" w:hAnsi="宋体" w:cs="仿宋_GB2312"/>
          <w:b/>
          <w:kern w:val="0"/>
          <w:sz w:val="28"/>
          <w:szCs w:val="28"/>
        </w:rPr>
        <w:t>出水水质超标</w:t>
      </w:r>
      <w:r>
        <w:rPr>
          <w:rFonts w:hint="eastAsia" w:cs="仿宋_GB2312" w:asciiTheme="minorEastAsia" w:hAnsiTheme="minorEastAsia" w:eastAsiaTheme="minorEastAsia"/>
          <w:b/>
          <w:kern w:val="0"/>
          <w:sz w:val="24"/>
          <w:szCs w:val="24"/>
        </w:rPr>
        <w:t>处置措施</w:t>
      </w:r>
    </w:p>
    <w:p>
      <w:pPr>
        <w:spacing w:line="360" w:lineRule="auto"/>
        <w:ind w:firstLine="486" w:firstLineChars="200"/>
        <w:rPr>
          <w:rFonts w:ascii="宋体" w:cs="仿宋_GB2312"/>
          <w:sz w:val="24"/>
          <w:szCs w:val="24"/>
        </w:rPr>
      </w:pPr>
      <w:r>
        <w:rPr>
          <w:rFonts w:hint="eastAsia" w:ascii="宋体" w:hAnsi="宋体" w:cs="仿宋_GB2312"/>
          <w:sz w:val="24"/>
          <w:szCs w:val="24"/>
        </w:rPr>
        <w:t>运行人员坚持每</w:t>
      </w:r>
      <w:r>
        <w:rPr>
          <w:rFonts w:ascii="宋体" w:hAnsi="宋体" w:cs="仿宋_GB2312"/>
          <w:sz w:val="24"/>
          <w:szCs w:val="24"/>
        </w:rPr>
        <w:t>2</w:t>
      </w:r>
      <w:r>
        <w:rPr>
          <w:rFonts w:hint="eastAsia" w:ascii="宋体" w:hAnsi="宋体" w:cs="仿宋_GB2312"/>
          <w:sz w:val="24"/>
          <w:szCs w:val="24"/>
        </w:rPr>
        <w:t>小时对运行、待机的设备和工艺段进行巡视检查。出水在线设备</w:t>
      </w:r>
      <w:r>
        <w:rPr>
          <w:rFonts w:ascii="宋体" w:hAnsi="宋体" w:cs="仿宋_GB2312"/>
          <w:sz w:val="24"/>
          <w:szCs w:val="24"/>
        </w:rPr>
        <w:t>NH3-N</w:t>
      </w:r>
      <w:r>
        <w:rPr>
          <w:rFonts w:hint="eastAsia" w:ascii="宋体" w:hAnsi="宋体" w:cs="仿宋_GB2312"/>
          <w:sz w:val="24"/>
          <w:szCs w:val="24"/>
        </w:rPr>
        <w:t>仪器报警，化验室例行数据监测报警。</w:t>
      </w:r>
    </w:p>
    <w:p>
      <w:pPr>
        <w:spacing w:line="360" w:lineRule="auto"/>
        <w:ind w:firstLine="486" w:firstLineChars="200"/>
        <w:rPr>
          <w:rFonts w:ascii="宋体" w:cs="仿宋_GB2312"/>
          <w:kern w:val="0"/>
          <w:sz w:val="24"/>
          <w:szCs w:val="24"/>
        </w:rPr>
      </w:pPr>
      <w:r>
        <w:rPr>
          <w:rFonts w:hint="eastAsia" w:ascii="宋体" w:hAnsi="宋体" w:cs="仿宋_GB2312"/>
          <w:kern w:val="0"/>
          <w:sz w:val="24"/>
          <w:szCs w:val="24"/>
        </w:rPr>
        <w:t>主要出水数据超标（任意一项）启动应急处置方案的临界值：</w:t>
      </w:r>
    </w:p>
    <w:p>
      <w:pPr>
        <w:spacing w:line="360" w:lineRule="auto"/>
        <w:ind w:firstLine="486" w:firstLineChars="200"/>
        <w:rPr>
          <w:rFonts w:ascii="宋体" w:cs="仿宋_GB2312"/>
          <w:sz w:val="24"/>
          <w:szCs w:val="24"/>
        </w:rPr>
      </w:pPr>
      <w:r>
        <w:rPr>
          <w:rFonts w:ascii="宋体" w:hAnsi="宋体" w:cs="仿宋_GB2312"/>
          <w:kern w:val="0"/>
          <w:sz w:val="24"/>
          <w:szCs w:val="24"/>
        </w:rPr>
        <w:t>COD</w:t>
      </w:r>
      <w:r>
        <w:rPr>
          <w:rFonts w:hint="eastAsia" w:ascii="宋体" w:hAnsi="宋体"/>
          <w:kern w:val="0"/>
          <w:sz w:val="24"/>
          <w:szCs w:val="24"/>
        </w:rPr>
        <w:t>≧</w:t>
      </w:r>
      <w:r>
        <w:rPr>
          <w:rFonts w:ascii="宋体" w:hAnsi="宋体" w:cs="仿宋_GB2312"/>
          <w:kern w:val="0"/>
          <w:sz w:val="24"/>
          <w:szCs w:val="24"/>
        </w:rPr>
        <w:t>90mg/L</w:t>
      </w:r>
      <w:r>
        <w:rPr>
          <w:rFonts w:hint="eastAsia" w:ascii="宋体" w:hAnsi="宋体" w:cs="仿宋_GB2312"/>
          <w:kern w:val="0"/>
          <w:sz w:val="24"/>
          <w:szCs w:val="24"/>
        </w:rPr>
        <w:t>，</w:t>
      </w:r>
      <w:r>
        <w:rPr>
          <w:rFonts w:ascii="宋体" w:hAnsi="宋体" w:cs="仿宋_GB2312"/>
          <w:kern w:val="0"/>
          <w:sz w:val="24"/>
          <w:szCs w:val="24"/>
        </w:rPr>
        <w:t>NH3-N</w:t>
      </w:r>
      <w:r>
        <w:rPr>
          <w:rFonts w:hint="eastAsia" w:ascii="宋体" w:hAnsi="宋体"/>
          <w:kern w:val="0"/>
          <w:sz w:val="24"/>
          <w:szCs w:val="24"/>
        </w:rPr>
        <w:t>≧</w:t>
      </w:r>
      <w:r>
        <w:rPr>
          <w:rFonts w:ascii="宋体" w:hAnsi="宋体" w:cs="仿宋_GB2312"/>
          <w:kern w:val="0"/>
          <w:sz w:val="24"/>
          <w:szCs w:val="24"/>
        </w:rPr>
        <w:t xml:space="preserve">13mg/L </w:t>
      </w:r>
      <w:r>
        <w:rPr>
          <w:rFonts w:hint="eastAsia" w:ascii="宋体" w:hAnsi="宋体" w:cs="仿宋_GB2312"/>
          <w:kern w:val="0"/>
          <w:sz w:val="24"/>
          <w:szCs w:val="24"/>
        </w:rPr>
        <w:t>。</w:t>
      </w:r>
    </w:p>
    <w:p>
      <w:pPr>
        <w:numPr>
          <w:ilvl w:val="0"/>
          <w:numId w:val="2"/>
        </w:numPr>
        <w:spacing w:line="360" w:lineRule="auto"/>
        <w:ind w:left="420"/>
        <w:rPr>
          <w:rFonts w:ascii="宋体" w:cs="仿宋_GB2312"/>
          <w:sz w:val="24"/>
          <w:szCs w:val="24"/>
        </w:rPr>
      </w:pPr>
      <w:r>
        <w:rPr>
          <w:rFonts w:hint="eastAsia" w:ascii="宋体" w:hAnsi="宋体" w:cs="仿宋_GB2312"/>
          <w:sz w:val="24"/>
          <w:szCs w:val="24"/>
        </w:rPr>
        <w:t>值班人员立即向厂长（负责人）汇报。</w:t>
      </w:r>
    </w:p>
    <w:p>
      <w:pPr>
        <w:numPr>
          <w:ilvl w:val="0"/>
          <w:numId w:val="2"/>
        </w:numPr>
        <w:spacing w:line="360" w:lineRule="auto"/>
        <w:ind w:left="420"/>
        <w:rPr>
          <w:rFonts w:ascii="宋体" w:cs="仿宋_GB2312"/>
          <w:sz w:val="24"/>
          <w:szCs w:val="24"/>
        </w:rPr>
      </w:pPr>
      <w:r>
        <w:rPr>
          <w:rFonts w:hint="eastAsia" w:ascii="宋体" w:hAnsi="宋体" w:cs="仿宋_GB2312"/>
          <w:sz w:val="24"/>
          <w:szCs w:val="24"/>
        </w:rPr>
        <w:t>取得厂长同意后立即停止滗水运行，停止排水。打开清水池回流泵，</w:t>
      </w:r>
    </w:p>
    <w:p>
      <w:pPr>
        <w:spacing w:line="360" w:lineRule="auto"/>
        <w:rPr>
          <w:rFonts w:ascii="宋体" w:cs="仿宋_GB2312"/>
          <w:sz w:val="24"/>
          <w:szCs w:val="24"/>
        </w:rPr>
      </w:pPr>
      <w:r>
        <w:rPr>
          <w:rFonts w:hint="eastAsia" w:ascii="宋体" w:hAnsi="宋体" w:cs="仿宋_GB2312"/>
          <w:sz w:val="24"/>
          <w:szCs w:val="24"/>
        </w:rPr>
        <w:t>使超标废水导入调节池，视情况泵入后循环处理。</w:t>
      </w:r>
    </w:p>
    <w:p>
      <w:pPr>
        <w:numPr>
          <w:ilvl w:val="0"/>
          <w:numId w:val="2"/>
        </w:numPr>
        <w:spacing w:line="360" w:lineRule="auto"/>
        <w:ind w:left="420"/>
        <w:rPr>
          <w:rFonts w:ascii="宋体" w:cs="仿宋_GB2312"/>
          <w:sz w:val="24"/>
          <w:szCs w:val="24"/>
        </w:rPr>
      </w:pPr>
      <w:r>
        <w:rPr>
          <w:rFonts w:hint="eastAsia" w:ascii="宋体" w:hAnsi="宋体" w:cs="仿宋_GB2312"/>
          <w:sz w:val="24"/>
          <w:szCs w:val="24"/>
        </w:rPr>
        <w:t>通知应急化验组取水检测分析，取水位置为厂区进水口、调节池、</w:t>
      </w:r>
      <w:r>
        <w:rPr>
          <w:rFonts w:ascii="宋体" w:hAnsi="宋体" w:cs="仿宋_GB2312"/>
          <w:sz w:val="24"/>
          <w:szCs w:val="24"/>
        </w:rPr>
        <w:t>CASS</w:t>
      </w:r>
      <w:r>
        <w:rPr>
          <w:rFonts w:hint="eastAsia" w:ascii="宋体" w:hAnsi="宋体" w:cs="仿宋_GB2312"/>
          <w:sz w:val="24"/>
          <w:szCs w:val="24"/>
        </w:rPr>
        <w:t>池，确认出水水质超标原因。</w:t>
      </w:r>
    </w:p>
    <w:p>
      <w:pPr>
        <w:spacing w:line="360" w:lineRule="auto"/>
        <w:ind w:left="420"/>
        <w:rPr>
          <w:rFonts w:ascii="宋体" w:cs="仿宋_GB2312"/>
          <w:sz w:val="24"/>
          <w:szCs w:val="24"/>
        </w:rPr>
      </w:pPr>
      <w:r>
        <w:rPr>
          <w:rFonts w:hint="eastAsia" w:ascii="宋体" w:hAnsi="宋体" w:cs="仿宋_GB2312"/>
          <w:sz w:val="24"/>
          <w:szCs w:val="24"/>
        </w:rPr>
        <w:t>（</w:t>
      </w:r>
      <w:r>
        <w:rPr>
          <w:rFonts w:ascii="宋体" w:hAnsi="宋体" w:cs="仿宋_GB2312"/>
          <w:sz w:val="24"/>
          <w:szCs w:val="24"/>
        </w:rPr>
        <w:t>4</w:t>
      </w:r>
      <w:r>
        <w:rPr>
          <w:rFonts w:hint="eastAsia" w:ascii="宋体" w:hAnsi="宋体" w:cs="仿宋_GB2312"/>
          <w:sz w:val="24"/>
          <w:szCs w:val="24"/>
        </w:rPr>
        <w:t>）厂长立即向应急指挥领导小组汇报出水超标情况。</w:t>
      </w:r>
    </w:p>
    <w:p>
      <w:pPr>
        <w:spacing w:line="360" w:lineRule="auto"/>
        <w:ind w:left="420"/>
        <w:rPr>
          <w:rFonts w:ascii="宋体" w:cs="仿宋_GB2312"/>
          <w:sz w:val="24"/>
          <w:szCs w:val="24"/>
        </w:rPr>
      </w:pPr>
      <w:r>
        <w:rPr>
          <w:rFonts w:hint="eastAsia" w:ascii="宋体" w:hAnsi="宋体" w:cs="仿宋_GB2312"/>
          <w:sz w:val="24"/>
          <w:szCs w:val="24"/>
        </w:rPr>
        <w:t>（</w:t>
      </w:r>
      <w:r>
        <w:rPr>
          <w:rFonts w:ascii="宋体" w:hAnsi="宋体" w:cs="仿宋_GB2312"/>
          <w:sz w:val="24"/>
          <w:szCs w:val="24"/>
        </w:rPr>
        <w:t>5</w:t>
      </w:r>
      <w:r>
        <w:rPr>
          <w:rFonts w:hint="eastAsia" w:ascii="宋体" w:hAnsi="宋体" w:cs="仿宋_GB2312"/>
          <w:sz w:val="24"/>
          <w:szCs w:val="24"/>
        </w:rPr>
        <w:t>）如已发生出水在线监测设备数据超标（</w:t>
      </w:r>
      <w:r>
        <w:rPr>
          <w:rFonts w:ascii="宋体" w:hAnsi="宋体" w:cs="仿宋_GB2312"/>
          <w:sz w:val="24"/>
          <w:szCs w:val="24"/>
        </w:rPr>
        <w:t>COD&gt;100mg/L</w:t>
      </w:r>
      <w:r>
        <w:rPr>
          <w:rFonts w:hint="eastAsia" w:ascii="宋体" w:hAnsi="宋体" w:cs="仿宋_GB2312"/>
          <w:sz w:val="24"/>
          <w:szCs w:val="24"/>
        </w:rPr>
        <w:t>，</w:t>
      </w:r>
      <w:r>
        <w:rPr>
          <w:rFonts w:ascii="宋体" w:hAnsi="宋体" w:cs="仿宋_GB2312"/>
          <w:sz w:val="24"/>
          <w:szCs w:val="24"/>
        </w:rPr>
        <w:t>NH3-N&gt;15mg/L</w:t>
      </w:r>
      <w:r>
        <w:rPr>
          <w:rFonts w:hint="eastAsia" w:ascii="宋体" w:hAnsi="宋体" w:cs="仿宋_GB2312"/>
          <w:sz w:val="24"/>
          <w:szCs w:val="24"/>
        </w:rPr>
        <w:t>）</w:t>
      </w:r>
      <w:r>
        <w:rPr>
          <w:rFonts w:ascii="宋体" w:cs="仿宋_GB2312"/>
          <w:sz w:val="24"/>
          <w:szCs w:val="24"/>
        </w:rPr>
        <w:t>,</w:t>
      </w:r>
      <w:r>
        <w:rPr>
          <w:rFonts w:hint="eastAsia" w:ascii="宋体" w:hAnsi="宋体" w:cs="仿宋_GB2312"/>
          <w:sz w:val="24"/>
          <w:szCs w:val="24"/>
        </w:rPr>
        <w:t>应急运行组需在停止排水后立刻清理排水渠，并按情况向在线第三方运营单位</w:t>
      </w:r>
      <w:r>
        <w:rPr>
          <w:rFonts w:ascii="宋体" w:hAnsi="宋体" w:cs="仿宋_GB2312"/>
          <w:sz w:val="24"/>
          <w:szCs w:val="24"/>
        </w:rPr>
        <w:t>—</w:t>
      </w:r>
      <w:r>
        <w:rPr>
          <w:rFonts w:hint="eastAsia" w:ascii="宋体" w:hAnsi="宋体" w:cs="仿宋_GB2312"/>
          <w:sz w:val="24"/>
          <w:szCs w:val="24"/>
        </w:rPr>
        <w:t>佳兴环保汇报情况。</w:t>
      </w:r>
    </w:p>
    <w:p>
      <w:pPr>
        <w:numPr>
          <w:ilvl w:val="0"/>
          <w:numId w:val="3"/>
        </w:numPr>
        <w:spacing w:line="360" w:lineRule="auto"/>
        <w:ind w:left="420"/>
        <w:rPr>
          <w:rFonts w:ascii="宋体" w:cs="仿宋_GB2312"/>
          <w:sz w:val="24"/>
          <w:szCs w:val="24"/>
        </w:rPr>
      </w:pPr>
      <w:r>
        <w:rPr>
          <w:rFonts w:hint="eastAsia" w:ascii="宋体" w:hAnsi="宋体" w:cs="仿宋_GB2312"/>
          <w:sz w:val="24"/>
          <w:szCs w:val="24"/>
        </w:rPr>
        <w:t>调整工艺，增加曝气量，检查各工艺段运行情况，并延长</w:t>
      </w:r>
      <w:r>
        <w:rPr>
          <w:rFonts w:ascii="宋体" w:hAnsi="宋体" w:cs="仿宋_GB2312"/>
          <w:sz w:val="24"/>
          <w:szCs w:val="24"/>
        </w:rPr>
        <w:t>SBR</w:t>
      </w:r>
      <w:r>
        <w:rPr>
          <w:rFonts w:hint="eastAsia" w:ascii="宋体" w:hAnsi="宋体" w:cs="仿宋_GB2312"/>
          <w:sz w:val="24"/>
          <w:szCs w:val="24"/>
        </w:rPr>
        <w:t>运行周</w:t>
      </w:r>
    </w:p>
    <w:p>
      <w:pPr>
        <w:spacing w:line="360" w:lineRule="auto"/>
        <w:rPr>
          <w:rFonts w:ascii="宋体" w:cs="仿宋_GB2312"/>
          <w:sz w:val="24"/>
          <w:szCs w:val="24"/>
        </w:rPr>
      </w:pPr>
      <w:r>
        <w:rPr>
          <w:rFonts w:hint="eastAsia" w:ascii="宋体" w:hAnsi="宋体" w:cs="仿宋_GB2312"/>
          <w:sz w:val="24"/>
          <w:szCs w:val="24"/>
        </w:rPr>
        <w:t>期。</w:t>
      </w:r>
    </w:p>
    <w:p>
      <w:pPr>
        <w:numPr>
          <w:ilvl w:val="0"/>
          <w:numId w:val="3"/>
        </w:numPr>
        <w:spacing w:line="360" w:lineRule="auto"/>
        <w:ind w:left="420"/>
        <w:rPr>
          <w:rFonts w:ascii="宋体" w:cs="仿宋_GB2312"/>
          <w:sz w:val="24"/>
          <w:szCs w:val="24"/>
        </w:rPr>
      </w:pPr>
      <w:r>
        <w:rPr>
          <w:rFonts w:hint="eastAsia" w:ascii="宋体" w:hAnsi="宋体" w:cs="仿宋_GB2312"/>
          <w:sz w:val="24"/>
          <w:szCs w:val="24"/>
        </w:rPr>
        <w:t>如属进水超标导致，通知管网进行源头水排查，并同时启动进水超标</w:t>
      </w:r>
    </w:p>
    <w:p>
      <w:pPr>
        <w:spacing w:line="360" w:lineRule="auto"/>
        <w:rPr>
          <w:rFonts w:ascii="宋体" w:cs="仿宋_GB2312"/>
          <w:sz w:val="24"/>
          <w:szCs w:val="24"/>
        </w:rPr>
      </w:pPr>
      <w:r>
        <w:rPr>
          <w:rFonts w:hint="eastAsia" w:ascii="宋体" w:hAnsi="宋体" w:cs="仿宋_GB2312"/>
          <w:sz w:val="24"/>
          <w:szCs w:val="24"/>
        </w:rPr>
        <w:t>处置预案。</w:t>
      </w:r>
    </w:p>
    <w:p>
      <w:pPr>
        <w:numPr>
          <w:ilvl w:val="0"/>
          <w:numId w:val="3"/>
        </w:numPr>
        <w:spacing w:line="360" w:lineRule="auto"/>
        <w:ind w:left="420"/>
        <w:rPr>
          <w:rFonts w:ascii="宋体" w:cs="仿宋_GB2312"/>
          <w:sz w:val="24"/>
          <w:szCs w:val="24"/>
        </w:rPr>
      </w:pPr>
      <w:r>
        <w:rPr>
          <w:rFonts w:hint="eastAsia" w:ascii="宋体" w:hAnsi="宋体" w:cs="仿宋_GB2312"/>
          <w:sz w:val="24"/>
          <w:szCs w:val="24"/>
        </w:rPr>
        <w:t>化验室保持每</w:t>
      </w:r>
      <w:r>
        <w:rPr>
          <w:rFonts w:ascii="宋体" w:hAnsi="宋体" w:cs="仿宋_GB2312"/>
          <w:sz w:val="24"/>
          <w:szCs w:val="24"/>
        </w:rPr>
        <w:t>4</w:t>
      </w:r>
      <w:r>
        <w:rPr>
          <w:rFonts w:hint="eastAsia" w:ascii="宋体" w:hAnsi="宋体" w:cs="仿宋_GB2312"/>
          <w:sz w:val="24"/>
          <w:szCs w:val="24"/>
        </w:rPr>
        <w:t>小时对各工艺段和排水口及周边水域进行一次取水监</w:t>
      </w:r>
    </w:p>
    <w:p>
      <w:pPr>
        <w:spacing w:line="360" w:lineRule="auto"/>
        <w:rPr>
          <w:rFonts w:ascii="宋体" w:cs="仿宋_GB2312"/>
          <w:sz w:val="24"/>
          <w:szCs w:val="24"/>
        </w:rPr>
      </w:pPr>
      <w:r>
        <w:rPr>
          <w:rFonts w:hint="eastAsia" w:ascii="宋体" w:hAnsi="宋体" w:cs="仿宋_GB2312"/>
          <w:sz w:val="24"/>
          <w:szCs w:val="24"/>
        </w:rPr>
        <w:t>测直至出水达标。</w:t>
      </w:r>
    </w:p>
    <w:p>
      <w:pPr>
        <w:numPr>
          <w:ilvl w:val="0"/>
          <w:numId w:val="3"/>
        </w:numPr>
        <w:spacing w:line="360" w:lineRule="auto"/>
        <w:ind w:left="420"/>
        <w:rPr>
          <w:rFonts w:ascii="宋体" w:cs="仿宋_GB2312"/>
          <w:sz w:val="24"/>
          <w:szCs w:val="24"/>
        </w:rPr>
      </w:pPr>
      <w:r>
        <w:rPr>
          <w:rFonts w:hint="eastAsia" w:ascii="宋体" w:hAnsi="宋体" w:cs="仿宋_GB2312"/>
          <w:sz w:val="24"/>
          <w:szCs w:val="24"/>
        </w:rPr>
        <w:t>做好出水超标后的处置和运行记录，并如实填报和申报。</w:t>
      </w:r>
    </w:p>
    <w:p>
      <w:pPr>
        <w:numPr>
          <w:ilvl w:val="0"/>
          <w:numId w:val="3"/>
        </w:numPr>
        <w:spacing w:line="360" w:lineRule="auto"/>
        <w:ind w:left="420"/>
        <w:rPr>
          <w:rFonts w:ascii="宋体" w:cs="仿宋_GB2312"/>
          <w:sz w:val="24"/>
          <w:szCs w:val="24"/>
        </w:rPr>
      </w:pPr>
      <w:r>
        <w:rPr>
          <w:rFonts w:hint="eastAsia" w:ascii="宋体" w:hAnsi="宋体" w:cs="仿宋_GB2312"/>
          <w:sz w:val="24"/>
          <w:szCs w:val="24"/>
        </w:rPr>
        <w:t>做好出水超标的事故总结</w:t>
      </w:r>
      <w:r>
        <w:rPr>
          <w:rFonts w:hint="eastAsia" w:ascii="宋体" w:hAnsi="宋体" w:cs="仿宋_GB2312"/>
          <w:kern w:val="0"/>
          <w:sz w:val="24"/>
          <w:szCs w:val="24"/>
          <w:lang w:val="zh-CN"/>
        </w:rPr>
        <w:t>，</w:t>
      </w:r>
      <w:r>
        <w:rPr>
          <w:rFonts w:hint="eastAsia" w:ascii="宋体" w:hAnsi="宋体" w:cs="仿宋_GB2312"/>
          <w:sz w:val="24"/>
          <w:szCs w:val="24"/>
        </w:rPr>
        <w:t>并编写书面报告存档、备案。</w:t>
      </w:r>
      <w:r>
        <w:rPr>
          <w:rFonts w:hint="eastAsia" w:ascii="宋体" w:hAnsi="宋体" w:cs="仿宋_GB2312"/>
          <w:kern w:val="0"/>
          <w:sz w:val="24"/>
          <w:szCs w:val="24"/>
          <w:lang w:val="zh-CN"/>
        </w:rPr>
        <w:t>如为人为</w:t>
      </w:r>
    </w:p>
    <w:p>
      <w:pPr>
        <w:spacing w:line="360" w:lineRule="auto"/>
        <w:rPr>
          <w:rFonts w:ascii="宋体" w:cs="仿宋_GB2312"/>
          <w:sz w:val="24"/>
          <w:szCs w:val="24"/>
        </w:rPr>
      </w:pPr>
      <w:r>
        <w:rPr>
          <w:rFonts w:hint="eastAsia" w:ascii="宋体" w:hAnsi="宋体" w:cs="仿宋_GB2312"/>
          <w:kern w:val="0"/>
          <w:sz w:val="24"/>
          <w:szCs w:val="24"/>
          <w:lang w:val="zh-CN"/>
        </w:rPr>
        <w:t>操作失职导致超标，需</w:t>
      </w:r>
      <w:r>
        <w:rPr>
          <w:rFonts w:hint="eastAsia" w:ascii="宋体" w:hAnsi="宋体" w:cs="仿宋_GB2312"/>
          <w:kern w:val="0"/>
          <w:sz w:val="24"/>
          <w:szCs w:val="24"/>
        </w:rPr>
        <w:t>严肃追究当事人的责任。</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w:t>
      </w:r>
      <w:r>
        <w:rPr>
          <w:rFonts w:ascii="宋体" w:hAnsi="宋体"/>
          <w:b/>
          <w:sz w:val="28"/>
          <w:szCs w:val="28"/>
        </w:rPr>
        <w:t>.</w:t>
      </w:r>
      <w:r>
        <w:rPr>
          <w:rFonts w:hint="eastAsia" w:ascii="宋体" w:hAnsi="宋体"/>
          <w:b/>
          <w:sz w:val="28"/>
          <w:szCs w:val="28"/>
        </w:rPr>
        <w:t>4</w:t>
      </w:r>
      <w:r>
        <w:rPr>
          <w:rFonts w:hint="eastAsia" w:ascii="宋体" w:hAnsi="宋体" w:cs="仿宋_GB2312"/>
          <w:b/>
          <w:sz w:val="28"/>
          <w:szCs w:val="28"/>
        </w:rPr>
        <w:t>进水量超标</w:t>
      </w:r>
      <w:r>
        <w:rPr>
          <w:rFonts w:hint="eastAsia" w:cs="仿宋_GB2312" w:asciiTheme="minorEastAsia" w:hAnsiTheme="minorEastAsia" w:eastAsiaTheme="minorEastAsia"/>
          <w:b/>
          <w:kern w:val="0"/>
          <w:sz w:val="24"/>
          <w:szCs w:val="24"/>
        </w:rPr>
        <w:t>处置措施</w:t>
      </w:r>
    </w:p>
    <w:p>
      <w:pPr>
        <w:spacing w:line="360" w:lineRule="auto"/>
        <w:ind w:firstLine="486" w:firstLineChars="200"/>
        <w:rPr>
          <w:rFonts w:hint="eastAsia" w:ascii="宋体" w:hAnsi="宋体"/>
          <w:sz w:val="24"/>
          <w:szCs w:val="24"/>
        </w:rPr>
      </w:pPr>
      <w:r>
        <w:rPr>
          <w:rFonts w:hint="eastAsia" w:ascii="宋体" w:hAnsi="宋体"/>
          <w:sz w:val="24"/>
          <w:szCs w:val="24"/>
        </w:rPr>
        <w:t>百胜榨菜废水污水处理厂为间歇式进水，具体为进水泵房液位计到达设定的液位高度后自动进水。判断进水量超标临界值为达到前日进水量的150</w:t>
      </w:r>
      <w:r>
        <w:rPr>
          <w:rFonts w:ascii="宋体" w:hAnsi="宋体"/>
          <w:sz w:val="24"/>
          <w:szCs w:val="24"/>
        </w:rPr>
        <w:t>%</w:t>
      </w:r>
      <w:r>
        <w:rPr>
          <w:rFonts w:hint="eastAsia" w:ascii="宋体" w:hAnsi="宋体"/>
          <w:sz w:val="24"/>
          <w:szCs w:val="24"/>
        </w:rPr>
        <w:t>以上，或进水超过设计量每日2025</w:t>
      </w:r>
      <w:r>
        <w:rPr>
          <w:rFonts w:ascii="宋体" w:hAnsi="宋体"/>
          <w:sz w:val="24"/>
          <w:szCs w:val="24"/>
        </w:rPr>
        <w:t>m</w:t>
      </w:r>
      <w:r>
        <w:rPr>
          <w:rFonts w:ascii="宋体" w:hAnsi="宋体"/>
          <w:sz w:val="24"/>
          <w:szCs w:val="24"/>
          <w:vertAlign w:val="superscript"/>
        </w:rPr>
        <w:t>3</w:t>
      </w:r>
      <w:r>
        <w:rPr>
          <w:rFonts w:hint="eastAsia" w:ascii="宋体" w:hAnsi="宋体"/>
          <w:sz w:val="24"/>
          <w:szCs w:val="24"/>
        </w:rPr>
        <w:t>。两种情况均会对活性污泥系统造成很大多负荷冲击，且使水力停留时间缩短，容易导致出水水质超标。</w:t>
      </w:r>
    </w:p>
    <w:p>
      <w:pPr>
        <w:spacing w:line="360" w:lineRule="auto"/>
        <w:ind w:firstLine="486" w:firstLineChars="200"/>
        <w:rPr>
          <w:rFonts w:ascii="宋体"/>
          <w:sz w:val="24"/>
          <w:szCs w:val="24"/>
        </w:rPr>
      </w:pPr>
      <w:r>
        <w:rPr>
          <w:rFonts w:hint="eastAsia" w:ascii="宋体" w:hAnsi="宋体" w:cs="仿宋_GB2312"/>
          <w:sz w:val="24"/>
          <w:szCs w:val="24"/>
        </w:rPr>
        <w:t>处置措施</w:t>
      </w:r>
      <w:r>
        <w:rPr>
          <w:rFonts w:hint="eastAsia" w:ascii="宋体" w:hAnsi="宋体" w:cs="仿宋_GB2312"/>
          <w:sz w:val="24"/>
          <w:szCs w:val="24"/>
          <w:lang w:eastAsia="zh-CN"/>
        </w:rPr>
        <w:t>：</w:t>
      </w:r>
      <w:r>
        <w:rPr>
          <w:rFonts w:hint="eastAsia" w:ascii="宋体" w:hAnsi="宋体" w:cs="仿宋_GB2312"/>
          <w:sz w:val="24"/>
          <w:szCs w:val="24"/>
        </w:rPr>
        <w:t>中控平台上实时显示的进水量数据，或运行人员坚持每</w:t>
      </w:r>
      <w:r>
        <w:rPr>
          <w:rFonts w:ascii="宋体" w:hAnsi="宋体" w:cs="仿宋_GB2312"/>
          <w:sz w:val="24"/>
          <w:szCs w:val="24"/>
        </w:rPr>
        <w:t>2</w:t>
      </w:r>
      <w:r>
        <w:rPr>
          <w:rFonts w:hint="eastAsia" w:ascii="宋体" w:hAnsi="宋体" w:cs="仿宋_GB2312"/>
          <w:sz w:val="24"/>
          <w:szCs w:val="24"/>
        </w:rPr>
        <w:t>小时对进水流量计及进水泵房液位进行的巡视记录。</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w:t>
      </w:r>
      <w:r>
        <w:rPr>
          <w:rFonts w:ascii="宋体" w:hAnsi="宋体"/>
          <w:b/>
          <w:sz w:val="28"/>
          <w:szCs w:val="28"/>
        </w:rPr>
        <w:t>.</w:t>
      </w:r>
      <w:r>
        <w:rPr>
          <w:rFonts w:hint="eastAsia" w:ascii="宋体" w:hAnsi="宋体"/>
          <w:b/>
          <w:sz w:val="28"/>
          <w:szCs w:val="28"/>
        </w:rPr>
        <w:t>5</w:t>
      </w:r>
      <w:r>
        <w:rPr>
          <w:rFonts w:hint="eastAsia" w:ascii="宋体" w:hAnsi="宋体" w:cs="仿宋_GB2312"/>
          <w:b/>
          <w:sz w:val="28"/>
          <w:szCs w:val="28"/>
        </w:rPr>
        <w:t>进厂废水量超标</w:t>
      </w:r>
      <w:r>
        <w:rPr>
          <w:rFonts w:hint="eastAsia" w:cs="仿宋_GB2312" w:asciiTheme="minorEastAsia" w:hAnsiTheme="minorEastAsia" w:eastAsiaTheme="minorEastAsia"/>
          <w:b/>
          <w:kern w:val="0"/>
          <w:sz w:val="24"/>
          <w:szCs w:val="24"/>
        </w:rPr>
        <w:t>处置措施</w:t>
      </w:r>
    </w:p>
    <w:p>
      <w:pPr>
        <w:spacing w:line="360" w:lineRule="auto"/>
        <w:rPr>
          <w:rFonts w:ascii="宋体" w:cs="仿宋_GB2312"/>
          <w:sz w:val="24"/>
          <w:szCs w:val="24"/>
        </w:rPr>
      </w:pPr>
      <w:r>
        <w:rPr>
          <w:rFonts w:ascii="宋体" w:hAnsi="宋体" w:cs="仿宋_GB2312"/>
          <w:sz w:val="24"/>
          <w:szCs w:val="24"/>
        </w:rPr>
        <w:t xml:space="preserve">    </w:t>
      </w:r>
      <w:r>
        <w:rPr>
          <w:rFonts w:hint="eastAsia" w:ascii="宋体" w:hAnsi="宋体" w:cs="仿宋_GB2312"/>
          <w:sz w:val="24"/>
          <w:szCs w:val="24"/>
        </w:rPr>
        <w:t>一般来说污水量的增加为缓慢曲线式增加，遇到水量陡增的情况一般是有新接入</w:t>
      </w:r>
      <w:r>
        <w:rPr>
          <w:rFonts w:hint="eastAsia" w:ascii="宋体" w:hAnsi="宋体" w:cs="仿宋_GB2312"/>
          <w:sz w:val="24"/>
          <w:szCs w:val="24"/>
          <w:lang w:eastAsia="zh-CN"/>
        </w:rPr>
        <w:t>管</w:t>
      </w:r>
      <w:r>
        <w:rPr>
          <w:rFonts w:hint="eastAsia" w:ascii="宋体" w:hAnsi="宋体" w:cs="仿宋_GB2312"/>
          <w:sz w:val="24"/>
          <w:szCs w:val="24"/>
        </w:rPr>
        <w:t>网或排水企业导致，处置方案为：</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1）</w:t>
      </w:r>
      <w:r>
        <w:rPr>
          <w:rFonts w:hint="eastAsia" w:ascii="仿宋_GB2312" w:cs="仿宋_GB2312"/>
          <w:sz w:val="24"/>
          <w:szCs w:val="24"/>
          <w:lang w:val="zh-CN"/>
        </w:rPr>
        <w:t>警戒保卫组</w:t>
      </w:r>
      <w:r>
        <w:rPr>
          <w:rFonts w:hint="eastAsia" w:ascii="宋体" w:hAnsi="宋体" w:cs="仿宋_GB2312"/>
          <w:sz w:val="24"/>
          <w:szCs w:val="24"/>
        </w:rPr>
        <w:t>在发现进厂污水量超标时，应及时发挥调节池的存储功能，可切换阀门将多余废水导入调节池临时存储。</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)调整工艺应对水量冲击，减少当日排泥量，并增加曝气量和投药量。必要时手动调节</w:t>
      </w:r>
      <w:r>
        <w:rPr>
          <w:rFonts w:ascii="宋体" w:hAnsi="宋体" w:cs="仿宋_GB2312"/>
          <w:sz w:val="24"/>
          <w:szCs w:val="24"/>
        </w:rPr>
        <w:t>CASS</w:t>
      </w:r>
      <w:r>
        <w:rPr>
          <w:rFonts w:hint="eastAsia" w:ascii="宋体" w:hAnsi="宋体" w:cs="仿宋_GB2312"/>
          <w:sz w:val="24"/>
          <w:szCs w:val="24"/>
        </w:rPr>
        <w:t>进水频率，避免一次进水量过多造成的波动。</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3</w:t>
      </w:r>
      <w:r>
        <w:rPr>
          <w:rFonts w:hint="eastAsia" w:ascii="宋体" w:hAnsi="宋体" w:cs="仿宋_GB2312"/>
          <w:sz w:val="24"/>
          <w:szCs w:val="24"/>
        </w:rPr>
        <w:t>)在工艺允许保证溶解氧的情况下适当缩短</w:t>
      </w:r>
      <w:r>
        <w:rPr>
          <w:rFonts w:ascii="宋体" w:hAnsi="宋体" w:cs="仿宋_GB2312"/>
          <w:sz w:val="24"/>
          <w:szCs w:val="24"/>
        </w:rPr>
        <w:t>SBR</w:t>
      </w:r>
      <w:r>
        <w:rPr>
          <w:rFonts w:hint="eastAsia" w:ascii="宋体" w:hAnsi="宋体" w:cs="仿宋_GB2312"/>
          <w:sz w:val="24"/>
          <w:szCs w:val="24"/>
        </w:rPr>
        <w:t>周期，提高当日</w:t>
      </w:r>
      <w:r>
        <w:rPr>
          <w:rFonts w:ascii="宋体" w:hAnsi="宋体" w:cs="仿宋_GB2312"/>
          <w:sz w:val="24"/>
          <w:szCs w:val="24"/>
        </w:rPr>
        <w:t>SBR</w:t>
      </w:r>
      <w:r>
        <w:rPr>
          <w:rFonts w:hint="eastAsia" w:ascii="宋体" w:hAnsi="宋体" w:cs="仿宋_GB2312"/>
          <w:sz w:val="24"/>
          <w:szCs w:val="24"/>
        </w:rPr>
        <w:t>运行周期数，水量峰值过去后及时处理导入应急池的废水处置。</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4</w:t>
      </w:r>
      <w:r>
        <w:rPr>
          <w:rFonts w:hint="eastAsia" w:ascii="宋体" w:hAnsi="宋体" w:cs="仿宋_GB2312"/>
          <w:sz w:val="24"/>
          <w:szCs w:val="24"/>
        </w:rPr>
        <w:t>)厂长应同时通知</w:t>
      </w:r>
      <w:r>
        <w:rPr>
          <w:rFonts w:hint="eastAsia" w:ascii="宋体" w:hAnsi="宋体" w:cs="宋体"/>
          <w:kern w:val="0"/>
          <w:sz w:val="24"/>
          <w:szCs w:val="24"/>
        </w:rPr>
        <w:t>抢险救灾组</w:t>
      </w:r>
      <w:r>
        <w:rPr>
          <w:rFonts w:hint="eastAsia" w:ascii="宋体" w:hAnsi="宋体" w:cs="仿宋_GB2312"/>
          <w:sz w:val="24"/>
          <w:szCs w:val="24"/>
        </w:rPr>
        <w:t>对百胜镇污水管网进行排查，如是企业集中排污导致，立刻协调企业停止集中式排放。</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5</w:t>
      </w:r>
      <w:r>
        <w:rPr>
          <w:rFonts w:hint="eastAsia" w:ascii="宋体" w:hAnsi="宋体" w:cs="仿宋_GB2312"/>
          <w:sz w:val="24"/>
          <w:szCs w:val="24"/>
        </w:rPr>
        <w:t>)</w:t>
      </w:r>
      <w:r>
        <w:rPr>
          <w:rFonts w:hint="eastAsia" w:ascii="仿宋_GB2312" w:cs="仿宋_GB2312"/>
          <w:sz w:val="24"/>
          <w:szCs w:val="24"/>
          <w:lang w:val="zh-CN"/>
        </w:rPr>
        <w:t>环境监测组</w:t>
      </w:r>
      <w:r>
        <w:rPr>
          <w:rFonts w:hint="eastAsia" w:ascii="宋体" w:hAnsi="宋体" w:cs="仿宋_GB2312"/>
          <w:sz w:val="24"/>
          <w:szCs w:val="24"/>
        </w:rPr>
        <w:t>在进水量超标期间应加强对排水水质和工艺参数的化验检测直至恢复正常。</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6</w:t>
      </w:r>
      <w:r>
        <w:rPr>
          <w:rFonts w:hint="eastAsia" w:ascii="宋体" w:hAnsi="宋体" w:cs="仿宋_GB2312"/>
          <w:sz w:val="24"/>
          <w:szCs w:val="24"/>
        </w:rPr>
        <w:t>)做好详细的运行记录，必要时向本地环保部门报告。</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4.3</w:t>
      </w:r>
      <w:r>
        <w:rPr>
          <w:rFonts w:ascii="宋体" w:hAnsi="宋体"/>
          <w:b/>
          <w:sz w:val="28"/>
          <w:szCs w:val="28"/>
        </w:rPr>
        <w:t>.</w:t>
      </w:r>
      <w:r>
        <w:rPr>
          <w:rFonts w:hint="eastAsia" w:ascii="宋体" w:hAnsi="宋体"/>
          <w:b/>
          <w:sz w:val="28"/>
          <w:szCs w:val="28"/>
        </w:rPr>
        <w:t>6</w:t>
      </w:r>
      <w:r>
        <w:rPr>
          <w:rFonts w:ascii="宋体" w:hAnsi="宋体" w:cs="仿宋_GB2312"/>
          <w:b/>
          <w:sz w:val="28"/>
          <w:szCs w:val="28"/>
        </w:rPr>
        <w:t xml:space="preserve"> </w:t>
      </w:r>
      <w:r>
        <w:rPr>
          <w:rFonts w:hint="eastAsia" w:ascii="宋体" w:hAnsi="宋体" w:cs="仿宋_GB2312"/>
          <w:b/>
          <w:sz w:val="28"/>
          <w:szCs w:val="28"/>
        </w:rPr>
        <w:t>降雨导致的进水量超标</w:t>
      </w:r>
      <w:r>
        <w:rPr>
          <w:rFonts w:hint="eastAsia" w:cs="仿宋_GB2312" w:asciiTheme="minorEastAsia" w:hAnsiTheme="minorEastAsia" w:eastAsiaTheme="minorEastAsia"/>
          <w:b/>
          <w:kern w:val="0"/>
          <w:sz w:val="24"/>
          <w:szCs w:val="24"/>
        </w:rPr>
        <w:t>处置措施</w:t>
      </w:r>
    </w:p>
    <w:p>
      <w:pPr>
        <w:spacing w:line="360" w:lineRule="auto"/>
        <w:ind w:firstLine="486" w:firstLineChars="200"/>
        <w:rPr>
          <w:rFonts w:ascii="宋体" w:cs="仿宋_GB2312"/>
          <w:sz w:val="24"/>
          <w:szCs w:val="24"/>
        </w:rPr>
      </w:pPr>
      <w:r>
        <w:rPr>
          <w:rFonts w:hint="eastAsia" w:ascii="宋体" w:hAnsi="宋体" w:cs="仿宋_GB2312"/>
          <w:sz w:val="24"/>
          <w:szCs w:val="24"/>
        </w:rPr>
        <w:t>对于合流制或半合流制的管网会出现在暴雨后进厂水量激增的现象，且往往超过设计日处理量。处置方案为：</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w:t>
      </w:r>
      <w:r>
        <w:rPr>
          <w:rFonts w:hint="eastAsia" w:ascii="宋体" w:hAnsi="宋体" w:cs="宋体"/>
          <w:kern w:val="0"/>
          <w:sz w:val="24"/>
          <w:szCs w:val="24"/>
        </w:rPr>
        <w:t>抢险救灾组</w:t>
      </w:r>
      <w:r>
        <w:rPr>
          <w:rFonts w:hint="eastAsia" w:ascii="宋体" w:hAnsi="宋体" w:cs="仿宋_GB2312"/>
          <w:sz w:val="24"/>
          <w:szCs w:val="24"/>
        </w:rPr>
        <w:t>在暴雨后应严密监测进厂水量数据，当超过设计日处理能力时，为保护活性污泥系统在报告厂长并取得同意后方能开启进厂超越。</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)厂长对进厂水超越行为向应急指挥小组报告，并及时用正式方式报地方环保部门备案。</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3</w:t>
      </w:r>
      <w:r>
        <w:rPr>
          <w:rFonts w:hint="eastAsia" w:ascii="宋体" w:hAnsi="宋体" w:cs="仿宋_GB2312"/>
          <w:sz w:val="24"/>
          <w:szCs w:val="24"/>
        </w:rPr>
        <w:t>)当进水超标峰值过去后，立刻关闭超越系统，并详细记录开启、关闭超越的时间。</w:t>
      </w:r>
    </w:p>
    <w:p>
      <w:pPr>
        <w:spacing w:line="360" w:lineRule="auto"/>
        <w:ind w:firstLine="486" w:firstLineChars="200"/>
        <w:rPr>
          <w:rFonts w:ascii="宋体" w:cs="仿宋_GB2312"/>
          <w:sz w:val="24"/>
          <w:szCs w:val="24"/>
        </w:rPr>
      </w:pPr>
      <w:r>
        <w:rPr>
          <w:rFonts w:hint="eastAsia" w:ascii="宋体" w:hAnsi="宋体" w:cs="仿宋_GB2312"/>
          <w:sz w:val="24"/>
          <w:szCs w:val="24"/>
        </w:rPr>
        <w:t>(</w:t>
      </w:r>
      <w:r>
        <w:rPr>
          <w:rFonts w:ascii="宋体" w:hAnsi="宋体" w:cs="仿宋_GB2312"/>
          <w:sz w:val="24"/>
          <w:szCs w:val="24"/>
        </w:rPr>
        <w:t>4</w:t>
      </w:r>
      <w:r>
        <w:rPr>
          <w:rFonts w:hint="eastAsia" w:ascii="宋体" w:hAnsi="宋体" w:cs="仿宋_GB2312"/>
          <w:sz w:val="24"/>
          <w:szCs w:val="24"/>
        </w:rPr>
        <w:t>)</w:t>
      </w:r>
      <w:r>
        <w:rPr>
          <w:rFonts w:hint="eastAsia" w:ascii="仿宋_GB2312" w:cs="仿宋_GB2312"/>
          <w:sz w:val="24"/>
          <w:szCs w:val="24"/>
          <w:lang w:val="zh-CN"/>
        </w:rPr>
        <w:t>环境监测组</w:t>
      </w:r>
      <w:r>
        <w:rPr>
          <w:rFonts w:hint="eastAsia" w:ascii="宋体" w:hAnsi="宋体" w:cs="仿宋_GB2312"/>
          <w:sz w:val="24"/>
          <w:szCs w:val="24"/>
        </w:rPr>
        <w:t>应在超越期间加强对污水处理厂总排口附近水域的采样监测，评估其环境影响。</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w:t>
      </w:r>
      <w:r>
        <w:rPr>
          <w:rFonts w:ascii="宋体" w:hAnsi="宋体"/>
          <w:b/>
          <w:sz w:val="28"/>
          <w:szCs w:val="28"/>
        </w:rPr>
        <w:t>.</w:t>
      </w:r>
      <w:r>
        <w:rPr>
          <w:rFonts w:hint="eastAsia" w:ascii="宋体" w:hAnsi="宋体"/>
          <w:b/>
          <w:sz w:val="28"/>
          <w:szCs w:val="28"/>
        </w:rPr>
        <w:t>7</w:t>
      </w:r>
      <w:r>
        <w:rPr>
          <w:rFonts w:hint="eastAsia" w:ascii="宋体" w:hAnsi="宋体" w:cs="仿宋_GB2312"/>
          <w:b/>
          <w:kern w:val="0"/>
          <w:sz w:val="24"/>
          <w:szCs w:val="24"/>
        </w:rPr>
        <w:t>主要治理设备异常</w:t>
      </w:r>
      <w:r>
        <w:rPr>
          <w:rFonts w:hint="eastAsia" w:cs="仿宋_GB2312" w:asciiTheme="minorEastAsia" w:hAnsiTheme="minorEastAsia" w:eastAsiaTheme="minorEastAsia"/>
          <w:b/>
          <w:kern w:val="0"/>
          <w:sz w:val="24"/>
          <w:szCs w:val="24"/>
        </w:rPr>
        <w:t>处置措施</w:t>
      </w:r>
    </w:p>
    <w:p>
      <w:pPr>
        <w:spacing w:line="360" w:lineRule="auto"/>
        <w:ind w:firstLine="486" w:firstLineChars="200"/>
        <w:rPr>
          <w:rFonts w:ascii="宋体"/>
          <w:kern w:val="0"/>
          <w:sz w:val="24"/>
          <w:szCs w:val="24"/>
        </w:rPr>
      </w:pPr>
      <w:r>
        <w:rPr>
          <w:rFonts w:hint="eastAsia" w:ascii="宋体" w:hAnsi="宋体"/>
          <w:kern w:val="0"/>
          <w:sz w:val="24"/>
          <w:szCs w:val="24"/>
        </w:rPr>
        <w:t>百胜榨菜废水处理厂采用活性污泥工艺，主要设备为：提升泵、曝气机、脱水机、排泥泵、回流泵、滗水器。均为一备一用或一用两备。如果重要设备同时无法正常运行，可能对工艺造成较大影响，引发环境污染风险。其重要设备异常处置方案为：</w:t>
      </w:r>
    </w:p>
    <w:p>
      <w:pPr>
        <w:spacing w:line="360" w:lineRule="auto"/>
        <w:ind w:firstLine="486" w:firstLineChars="200"/>
        <w:rPr>
          <w:rFonts w:ascii="宋体" w:cs="仿宋_GB2312"/>
          <w:kern w:val="0"/>
          <w:sz w:val="24"/>
          <w:szCs w:val="24"/>
        </w:rPr>
      </w:pPr>
      <w:r>
        <w:rPr>
          <w:rFonts w:hint="eastAsia" w:ascii="宋体" w:hAnsi="宋体" w:cs="仿宋_GB2312"/>
          <w:kern w:val="0"/>
          <w:sz w:val="24"/>
          <w:szCs w:val="24"/>
        </w:rPr>
        <w:t>(</w:t>
      </w:r>
      <w:r>
        <w:rPr>
          <w:rFonts w:ascii="宋体" w:hAnsi="宋体" w:cs="仿宋_GB2312"/>
          <w:kern w:val="0"/>
          <w:sz w:val="24"/>
          <w:szCs w:val="24"/>
        </w:rPr>
        <w:t>1</w:t>
      </w:r>
      <w:r>
        <w:rPr>
          <w:rFonts w:hint="eastAsia" w:ascii="宋体" w:hAnsi="宋体" w:cs="仿宋_GB2312"/>
          <w:kern w:val="0"/>
          <w:sz w:val="24"/>
          <w:szCs w:val="24"/>
        </w:rPr>
        <w:t>)运行异常但有备用设备可运行的。立即启用备用设备，运行人员报维修科维修处置，执行正常报修程序。</w:t>
      </w:r>
    </w:p>
    <w:p>
      <w:pPr>
        <w:spacing w:line="360" w:lineRule="auto"/>
        <w:ind w:firstLine="486" w:firstLineChars="200"/>
        <w:rPr>
          <w:rFonts w:ascii="宋体" w:cs="仿宋_GB2312"/>
          <w:kern w:val="0"/>
          <w:sz w:val="24"/>
          <w:szCs w:val="24"/>
        </w:rPr>
      </w:pPr>
      <w:r>
        <w:rPr>
          <w:rFonts w:hint="eastAsia" w:ascii="宋体" w:hAnsi="宋体" w:cs="仿宋_GB2312"/>
          <w:kern w:val="0"/>
          <w:sz w:val="24"/>
          <w:szCs w:val="24"/>
        </w:rPr>
        <w:t>(</w:t>
      </w:r>
      <w:r>
        <w:rPr>
          <w:rFonts w:ascii="宋体" w:hAnsi="宋体" w:cs="仿宋_GB2312"/>
          <w:kern w:val="0"/>
          <w:sz w:val="24"/>
          <w:szCs w:val="24"/>
        </w:rPr>
        <w:t>2</w:t>
      </w:r>
      <w:r>
        <w:rPr>
          <w:rFonts w:hint="eastAsia" w:ascii="宋体" w:hAnsi="宋体" w:cs="仿宋_GB2312"/>
          <w:kern w:val="0"/>
          <w:sz w:val="24"/>
          <w:szCs w:val="24"/>
        </w:rPr>
        <w:t>)运行异常且无备用设备的。启动应急预案，由</w:t>
      </w:r>
      <w:r>
        <w:rPr>
          <w:rFonts w:hint="eastAsia" w:ascii="仿宋_GB2312" w:cs="仿宋_GB2312"/>
          <w:sz w:val="24"/>
          <w:szCs w:val="24"/>
          <w:lang w:val="zh-CN"/>
        </w:rPr>
        <w:t>警戒保卫组</w:t>
      </w:r>
      <w:r>
        <w:rPr>
          <w:rFonts w:hint="eastAsia" w:ascii="宋体" w:hAnsi="宋体" w:cs="仿宋_GB2312"/>
          <w:kern w:val="0"/>
          <w:sz w:val="24"/>
          <w:szCs w:val="24"/>
        </w:rPr>
        <w:t>报指挥组，指挥组批示应急维修组立刻进行抢修，生技科协助维修物资保障，必须在</w:t>
      </w:r>
      <w:r>
        <w:rPr>
          <w:rFonts w:ascii="宋体" w:hAnsi="宋体" w:cs="仿宋_GB2312"/>
          <w:kern w:val="0"/>
          <w:sz w:val="24"/>
          <w:szCs w:val="24"/>
        </w:rPr>
        <w:t>8</w:t>
      </w:r>
      <w:r>
        <w:rPr>
          <w:rFonts w:hint="eastAsia" w:ascii="宋体" w:hAnsi="宋体" w:cs="仿宋_GB2312"/>
          <w:kern w:val="0"/>
          <w:sz w:val="24"/>
          <w:szCs w:val="24"/>
        </w:rPr>
        <w:t>小时恢复设备正常运行。</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w:t>
      </w:r>
      <w:r>
        <w:rPr>
          <w:rFonts w:ascii="宋体" w:hAnsi="宋体"/>
          <w:b/>
          <w:sz w:val="28"/>
          <w:szCs w:val="28"/>
        </w:rPr>
        <w:t>.</w:t>
      </w:r>
      <w:r>
        <w:rPr>
          <w:rFonts w:hint="eastAsia" w:ascii="宋体" w:hAnsi="宋体"/>
          <w:b/>
          <w:sz w:val="28"/>
          <w:szCs w:val="28"/>
        </w:rPr>
        <w:t>8</w:t>
      </w:r>
      <w:r>
        <w:rPr>
          <w:rFonts w:hint="eastAsia" w:ascii="宋体" w:hAnsi="宋体" w:cs="仿宋_GB2312"/>
          <w:b/>
          <w:kern w:val="0"/>
          <w:sz w:val="28"/>
          <w:szCs w:val="28"/>
        </w:rPr>
        <w:t>管网堵塞、破裂污水外流</w:t>
      </w:r>
      <w:r>
        <w:rPr>
          <w:rFonts w:hint="eastAsia" w:cs="仿宋_GB2312" w:asciiTheme="minorEastAsia" w:hAnsiTheme="minorEastAsia" w:eastAsiaTheme="minorEastAsia"/>
          <w:b/>
          <w:kern w:val="0"/>
          <w:sz w:val="24"/>
          <w:szCs w:val="24"/>
        </w:rPr>
        <w:t>处置措施</w:t>
      </w:r>
    </w:p>
    <w:p>
      <w:pPr>
        <w:spacing w:beforeLines="50" w:afterLines="50" w:line="360" w:lineRule="auto"/>
        <w:ind w:firstLine="486" w:firstLineChars="200"/>
        <w:rPr>
          <w:rFonts w:ascii="宋体"/>
          <w:kern w:val="0"/>
          <w:sz w:val="24"/>
          <w:szCs w:val="24"/>
        </w:rPr>
      </w:pPr>
      <w:r>
        <w:rPr>
          <w:rFonts w:hint="eastAsia" w:ascii="宋体" w:hAnsi="宋体"/>
          <w:kern w:val="0"/>
          <w:sz w:val="24"/>
          <w:szCs w:val="24"/>
        </w:rPr>
        <w:t>百胜榨菜污水处理厂管网主要收集永安片区榨菜企业废水，管网干管厂</w:t>
      </w:r>
      <w:r>
        <w:rPr>
          <w:rFonts w:ascii="宋体" w:hAnsi="宋体"/>
          <w:kern w:val="0"/>
          <w:sz w:val="24"/>
          <w:szCs w:val="24"/>
        </w:rPr>
        <w:t>5.3km</w:t>
      </w:r>
      <w:r>
        <w:rPr>
          <w:rFonts w:hint="eastAsia" w:ascii="宋体" w:hAnsi="宋体"/>
          <w:kern w:val="0"/>
          <w:sz w:val="24"/>
          <w:szCs w:val="24"/>
        </w:rPr>
        <w:t>，由我公司负责巡查维护。存在的风险包括滑坡、沉降、人为破坏导致的管网损坏污水外流的情况，可造成局部环境污染，引发居民投诉。主要处置方案为：</w:t>
      </w:r>
    </w:p>
    <w:p>
      <w:pPr>
        <w:numPr>
          <w:ilvl w:val="0"/>
          <w:numId w:val="4"/>
        </w:numPr>
        <w:spacing w:beforeLines="50" w:afterLines="50" w:line="360" w:lineRule="auto"/>
        <w:ind w:firstLine="486" w:firstLineChars="200"/>
        <w:rPr>
          <w:rFonts w:ascii="宋体" w:cs="仿宋_GB2312"/>
          <w:kern w:val="0"/>
          <w:sz w:val="24"/>
          <w:szCs w:val="24"/>
        </w:rPr>
      </w:pPr>
      <w:r>
        <w:rPr>
          <w:rFonts w:hint="eastAsia" w:ascii="宋体" w:hAnsi="宋体" w:cs="仿宋_GB2312"/>
          <w:kern w:val="0"/>
          <w:sz w:val="24"/>
          <w:szCs w:val="24"/>
        </w:rPr>
        <w:t>滑坡或人为导致的少量管网损坏。</w:t>
      </w:r>
      <w:r>
        <w:rPr>
          <w:rFonts w:hint="eastAsia" w:ascii="宋体" w:hAnsi="宋体" w:cs="宋体"/>
          <w:kern w:val="0"/>
          <w:sz w:val="24"/>
          <w:szCs w:val="24"/>
        </w:rPr>
        <w:t>抢险救灾组</w:t>
      </w:r>
      <w:r>
        <w:rPr>
          <w:rFonts w:hint="eastAsia" w:ascii="宋体" w:hAnsi="宋体" w:cs="仿宋_GB2312"/>
          <w:kern w:val="0"/>
          <w:sz w:val="24"/>
          <w:szCs w:val="24"/>
        </w:rPr>
        <w:t>立刻到现场评估被损管网的长度，在地质条件允许的情况下，于接到报告的当天更换预备好的同管径污水管网，并做好附属的管网基础加固工作。</w:t>
      </w:r>
    </w:p>
    <w:p>
      <w:pPr>
        <w:numPr>
          <w:ilvl w:val="0"/>
          <w:numId w:val="4"/>
        </w:numPr>
        <w:spacing w:beforeLines="50" w:afterLines="50" w:line="360" w:lineRule="auto"/>
        <w:ind w:firstLine="486" w:firstLineChars="200"/>
        <w:rPr>
          <w:rFonts w:ascii="宋体" w:cs="仿宋_GB2312"/>
          <w:kern w:val="0"/>
          <w:sz w:val="24"/>
          <w:szCs w:val="24"/>
        </w:rPr>
      </w:pPr>
      <w:r>
        <w:rPr>
          <w:rFonts w:hint="eastAsia" w:ascii="宋体" w:hAnsi="宋体" w:cs="仿宋_GB2312"/>
          <w:kern w:val="0"/>
          <w:sz w:val="24"/>
          <w:szCs w:val="24"/>
        </w:rPr>
        <w:t>地址沉降、堵塞导致的无法通水。</w:t>
      </w:r>
      <w:r>
        <w:rPr>
          <w:rFonts w:hint="eastAsia" w:ascii="宋体" w:hAnsi="宋体" w:cs="宋体"/>
          <w:kern w:val="0"/>
          <w:sz w:val="24"/>
          <w:szCs w:val="24"/>
        </w:rPr>
        <w:t>抢险救灾组</w:t>
      </w:r>
      <w:r>
        <w:rPr>
          <w:rFonts w:hint="eastAsia" w:ascii="宋体" w:hAnsi="宋体" w:cs="仿宋_GB2312"/>
          <w:kern w:val="0"/>
          <w:sz w:val="24"/>
          <w:szCs w:val="24"/>
        </w:rPr>
        <w:t>应及时到现场用管网机器人探测沉降变形的管网，准确找到并记录堵塞点位，并及时统计工程量上报预算整改。同时协调该管网主要排污企业暂停排污，待恢复后排放，以减轻环境影响</w:t>
      </w:r>
    </w:p>
    <w:p>
      <w:pPr>
        <w:numPr>
          <w:ilvl w:val="0"/>
          <w:numId w:val="4"/>
        </w:numPr>
        <w:spacing w:beforeLines="50" w:afterLines="50" w:line="360" w:lineRule="auto"/>
        <w:ind w:firstLine="486" w:firstLineChars="200"/>
        <w:rPr>
          <w:rFonts w:ascii="宋体" w:cs="仿宋_GB2312"/>
          <w:kern w:val="0"/>
          <w:sz w:val="24"/>
          <w:szCs w:val="24"/>
        </w:rPr>
      </w:pPr>
      <w:r>
        <w:rPr>
          <w:rFonts w:hint="eastAsia" w:ascii="宋体" w:hAnsi="宋体" w:cs="仿宋_GB2312"/>
          <w:kern w:val="0"/>
          <w:sz w:val="24"/>
          <w:szCs w:val="24"/>
        </w:rPr>
        <w:t>管网堵塞无法通水。由管网巡视人员发现后报管网科组织清掏队伍，务必在</w:t>
      </w:r>
      <w:r>
        <w:rPr>
          <w:rFonts w:ascii="宋体" w:hAnsi="宋体" w:cs="仿宋_GB2312"/>
          <w:kern w:val="0"/>
          <w:sz w:val="24"/>
          <w:szCs w:val="24"/>
        </w:rPr>
        <w:t>6</w:t>
      </w:r>
      <w:r>
        <w:rPr>
          <w:rFonts w:hint="eastAsia" w:ascii="宋体" w:hAnsi="宋体" w:cs="仿宋_GB2312"/>
          <w:kern w:val="0"/>
          <w:sz w:val="24"/>
          <w:szCs w:val="24"/>
        </w:rPr>
        <w:t>小时内疏通堵塞管网，为防止对环境敏感源造成影响必要时可搭接临时管网防止污水外流。</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w:t>
      </w:r>
      <w:r>
        <w:rPr>
          <w:rFonts w:ascii="宋体" w:hAnsi="宋体"/>
          <w:b/>
          <w:sz w:val="28"/>
          <w:szCs w:val="28"/>
        </w:rPr>
        <w:t>.</w:t>
      </w:r>
      <w:r>
        <w:rPr>
          <w:rFonts w:hint="eastAsia" w:ascii="宋体" w:hAnsi="宋体"/>
          <w:b/>
          <w:sz w:val="28"/>
          <w:szCs w:val="28"/>
        </w:rPr>
        <w:t>9</w:t>
      </w:r>
      <w:r>
        <w:rPr>
          <w:rFonts w:hint="eastAsia" w:ascii="宋体" w:hAnsi="宋体" w:cs="仿宋_GB2312"/>
          <w:b/>
          <w:kern w:val="0"/>
          <w:sz w:val="28"/>
          <w:szCs w:val="28"/>
        </w:rPr>
        <w:t>污泥处置</w:t>
      </w:r>
      <w:r>
        <w:rPr>
          <w:rFonts w:hint="eastAsia" w:cs="仿宋_GB2312" w:asciiTheme="minorEastAsia" w:hAnsiTheme="minorEastAsia" w:eastAsiaTheme="minorEastAsia"/>
          <w:b/>
          <w:kern w:val="0"/>
          <w:sz w:val="24"/>
          <w:szCs w:val="24"/>
        </w:rPr>
        <w:t>处置措施</w:t>
      </w:r>
    </w:p>
    <w:p>
      <w:pPr>
        <w:spacing w:line="460" w:lineRule="exact"/>
        <w:ind w:firstLine="486" w:firstLineChars="200"/>
        <w:rPr>
          <w:rFonts w:ascii="宋体"/>
          <w:sz w:val="24"/>
          <w:szCs w:val="24"/>
        </w:rPr>
      </w:pPr>
      <w:r>
        <w:rPr>
          <w:rFonts w:hint="eastAsia" w:ascii="宋体" w:hAnsi="宋体"/>
          <w:sz w:val="24"/>
          <w:szCs w:val="24"/>
        </w:rPr>
        <w:t>百胜榨菜废水处理厂的脱水污泥为一般固废，</w:t>
      </w:r>
      <w:r>
        <w:rPr>
          <w:rFonts w:hint="eastAsia" w:ascii="宋体" w:hAnsi="宋体" w:cs="仿宋_GB2312"/>
          <w:sz w:val="24"/>
          <w:szCs w:val="24"/>
        </w:rPr>
        <w:t>公司已与</w:t>
      </w:r>
      <w:r>
        <w:rPr>
          <w:rFonts w:hint="eastAsia" w:ascii="宋体" w:hAnsi="宋体"/>
          <w:sz w:val="24"/>
          <w:szCs w:val="24"/>
        </w:rPr>
        <w:t>重庆市涪陵区玉环固体废物污染治理有限公司</w:t>
      </w:r>
      <w:r>
        <w:rPr>
          <w:rFonts w:hint="eastAsia" w:ascii="宋体" w:hAnsi="宋体" w:cs="仿宋_GB2312"/>
          <w:sz w:val="24"/>
          <w:szCs w:val="24"/>
        </w:rPr>
        <w:t>签订了固体废物处置合同</w:t>
      </w:r>
      <w:r>
        <w:rPr>
          <w:rFonts w:hint="eastAsia" w:ascii="宋体" w:hAnsi="宋体"/>
          <w:sz w:val="24"/>
          <w:szCs w:val="24"/>
        </w:rPr>
        <w:t>。污水处理厂已按照环评和“三同时”要求建设了污泥堆场，并对污泥堆场进行了防雨、防腐、防渗漏处理，设置安全警示标识。同时污水厂根据污泥的产生量已与重庆市涪陵区玉环固体废物污染治理有限公司达成了及时转运处置协议。并要求运输公司加强对驾驶员和押运人员加强教育，预防事故的发生。</w:t>
      </w:r>
    </w:p>
    <w:p>
      <w:pPr>
        <w:spacing w:line="460" w:lineRule="exact"/>
        <w:ind w:firstLine="486" w:firstLineChars="200"/>
        <w:rPr>
          <w:rFonts w:ascii="宋体" w:cs="仿宋_GB2312"/>
          <w:sz w:val="24"/>
          <w:szCs w:val="24"/>
        </w:rPr>
      </w:pPr>
      <w:r>
        <w:rPr>
          <w:rFonts w:hint="eastAsia" w:ascii="宋体" w:hAnsi="宋体" w:cs="仿宋_GB2312"/>
          <w:sz w:val="24"/>
          <w:szCs w:val="24"/>
        </w:rPr>
        <w:t>按照转运合同要求，运输途中出现的一切安全及其他事故由重庆市涪陵区玉环固体废物污染治理有限公司负责，污水处理厂负责配合协调处理。</w:t>
      </w:r>
    </w:p>
    <w:p>
      <w:pPr>
        <w:spacing w:line="460" w:lineRule="exact"/>
        <w:ind w:firstLine="570"/>
        <w:rPr>
          <w:rFonts w:ascii="宋体" w:cs="仿宋_GB2312"/>
          <w:sz w:val="24"/>
          <w:szCs w:val="24"/>
        </w:rPr>
      </w:pPr>
      <w:r>
        <w:rPr>
          <w:rFonts w:hint="eastAsia" w:ascii="宋体" w:hAnsi="宋体" w:cs="仿宋_GB2312"/>
          <w:sz w:val="24"/>
          <w:szCs w:val="24"/>
        </w:rPr>
        <w:t>当转运途中出现污泥溢流和车辆事故时。</w:t>
      </w:r>
    </w:p>
    <w:p>
      <w:pPr>
        <w:spacing w:line="460" w:lineRule="exact"/>
        <w:rPr>
          <w:rFonts w:ascii="宋体" w:cs="仿宋_GB2312"/>
          <w:sz w:val="24"/>
          <w:szCs w:val="24"/>
        </w:rPr>
      </w:pPr>
      <w:r>
        <w:rPr>
          <w:rFonts w:ascii="宋体" w:hAnsi="宋体" w:cs="仿宋_GB2312"/>
          <w:sz w:val="24"/>
          <w:szCs w:val="24"/>
        </w:rPr>
        <w:t xml:space="preserve">    </w:t>
      </w:r>
      <w:r>
        <w:rPr>
          <w:rFonts w:hint="eastAsia" w:ascii="宋体" w:hAnsi="宋体" w:cs="仿宋_GB2312"/>
          <w:sz w:val="24"/>
          <w:szCs w:val="24"/>
        </w:rPr>
        <w:t>（</w:t>
      </w:r>
      <w:r>
        <w:rPr>
          <w:rFonts w:ascii="宋体" w:hAnsi="宋体" w:cs="仿宋_GB2312"/>
          <w:sz w:val="24"/>
          <w:szCs w:val="24"/>
        </w:rPr>
        <w:t>1</w:t>
      </w:r>
      <w:r>
        <w:rPr>
          <w:rFonts w:hint="eastAsia" w:ascii="宋体" w:hAnsi="宋体" w:cs="仿宋_GB2312"/>
          <w:sz w:val="24"/>
          <w:szCs w:val="24"/>
        </w:rPr>
        <w:t>）立即报告区环保局。</w:t>
      </w:r>
    </w:p>
    <w:p>
      <w:pPr>
        <w:spacing w:line="460" w:lineRule="exact"/>
        <w:rPr>
          <w:rFonts w:ascii="宋体" w:cs="仿宋_GB2312"/>
          <w:sz w:val="24"/>
          <w:szCs w:val="24"/>
        </w:rPr>
      </w:pPr>
      <w:r>
        <w:rPr>
          <w:rFonts w:ascii="宋体" w:hAnsi="宋体" w:cs="仿宋_GB2312"/>
          <w:sz w:val="24"/>
          <w:szCs w:val="24"/>
        </w:rPr>
        <w:t xml:space="preserve">    </w:t>
      </w:r>
      <w:r>
        <w:rPr>
          <w:rFonts w:hint="eastAsia" w:ascii="宋体" w:hAnsi="宋体" w:cs="仿宋_GB2312"/>
          <w:sz w:val="24"/>
          <w:szCs w:val="24"/>
        </w:rPr>
        <w:t>（</w:t>
      </w:r>
      <w:r>
        <w:rPr>
          <w:rFonts w:ascii="宋体" w:hAnsi="宋体" w:cs="仿宋_GB2312"/>
          <w:sz w:val="24"/>
          <w:szCs w:val="24"/>
        </w:rPr>
        <w:t>2</w:t>
      </w:r>
      <w:r>
        <w:rPr>
          <w:rFonts w:hint="eastAsia" w:ascii="宋体" w:hAnsi="宋体" w:cs="仿宋_GB2312"/>
          <w:sz w:val="24"/>
          <w:szCs w:val="24"/>
        </w:rPr>
        <w:t>）配合玉环公司协调组织机具对污泥及时清运处理。</w:t>
      </w:r>
    </w:p>
    <w:p>
      <w:pPr>
        <w:spacing w:line="460" w:lineRule="exact"/>
        <w:rPr>
          <w:rFonts w:ascii="宋体" w:cs="仿宋_GB2312"/>
          <w:sz w:val="24"/>
          <w:szCs w:val="24"/>
        </w:rPr>
      </w:pPr>
      <w:r>
        <w:rPr>
          <w:rFonts w:ascii="宋体" w:hAnsi="宋体" w:cs="仿宋_GB2312"/>
          <w:sz w:val="24"/>
          <w:szCs w:val="24"/>
        </w:rPr>
        <w:t xml:space="preserve">    </w:t>
      </w:r>
      <w:r>
        <w:rPr>
          <w:rFonts w:hint="eastAsia" w:ascii="宋体" w:hAnsi="宋体" w:cs="仿宋_GB2312"/>
          <w:sz w:val="24"/>
          <w:szCs w:val="24"/>
        </w:rPr>
        <w:t>（</w:t>
      </w:r>
      <w:r>
        <w:rPr>
          <w:rFonts w:ascii="宋体" w:hAnsi="宋体" w:cs="仿宋_GB2312"/>
          <w:sz w:val="24"/>
          <w:szCs w:val="24"/>
        </w:rPr>
        <w:t>3</w:t>
      </w:r>
      <w:r>
        <w:rPr>
          <w:rFonts w:hint="eastAsia" w:ascii="宋体" w:hAnsi="宋体" w:cs="仿宋_GB2312"/>
          <w:sz w:val="24"/>
          <w:szCs w:val="24"/>
        </w:rPr>
        <w:t>）总结事故并如实上报。</w:t>
      </w:r>
    </w:p>
    <w:p>
      <w:pPr>
        <w:spacing w:beforeLines="50" w:afterLines="50" w:line="440" w:lineRule="exact"/>
        <w:rPr>
          <w:rFonts w:cs="仿宋_GB2312" w:asciiTheme="minorEastAsia" w:hAnsiTheme="minorEastAsia" w:eastAsiaTheme="minorEastAsia"/>
          <w:b/>
          <w:kern w:val="0"/>
          <w:sz w:val="24"/>
          <w:szCs w:val="24"/>
        </w:rPr>
      </w:pPr>
      <w:r>
        <w:rPr>
          <w:rFonts w:ascii="宋体" w:hAnsi="宋体"/>
          <w:b/>
          <w:sz w:val="28"/>
          <w:szCs w:val="28"/>
        </w:rPr>
        <w:t>6.</w:t>
      </w:r>
      <w:r>
        <w:rPr>
          <w:rFonts w:hint="eastAsia" w:ascii="宋体" w:hAnsi="宋体"/>
          <w:b/>
          <w:sz w:val="28"/>
          <w:szCs w:val="28"/>
        </w:rPr>
        <w:t>4</w:t>
      </w:r>
      <w:r>
        <w:rPr>
          <w:rFonts w:ascii="宋体" w:hAnsi="宋体"/>
          <w:b/>
          <w:sz w:val="28"/>
          <w:szCs w:val="28"/>
        </w:rPr>
        <w:t>.</w:t>
      </w:r>
      <w:r>
        <w:rPr>
          <w:rFonts w:hint="eastAsia" w:ascii="宋体" w:hAnsi="宋体"/>
          <w:b/>
          <w:sz w:val="28"/>
          <w:szCs w:val="28"/>
        </w:rPr>
        <w:t>3</w:t>
      </w:r>
      <w:r>
        <w:rPr>
          <w:rFonts w:ascii="宋体" w:hAnsi="宋体"/>
          <w:b/>
          <w:sz w:val="28"/>
          <w:szCs w:val="28"/>
        </w:rPr>
        <w:t>.1</w:t>
      </w:r>
      <w:r>
        <w:rPr>
          <w:rFonts w:hint="eastAsia" w:ascii="宋体" w:hAnsi="宋体"/>
          <w:b/>
          <w:sz w:val="28"/>
          <w:szCs w:val="28"/>
        </w:rPr>
        <w:t>0</w:t>
      </w:r>
      <w:r>
        <w:rPr>
          <w:rFonts w:hint="eastAsia" w:ascii="宋体" w:hAnsi="宋体" w:cs="仿宋_GB2312"/>
          <w:b/>
          <w:bCs/>
          <w:sz w:val="24"/>
          <w:szCs w:val="24"/>
        </w:rPr>
        <w:t>减轻与消除污染</w:t>
      </w:r>
      <w:r>
        <w:rPr>
          <w:rFonts w:hint="eastAsia" w:cs="仿宋_GB2312" w:asciiTheme="minorEastAsia" w:hAnsiTheme="minorEastAsia" w:eastAsiaTheme="minorEastAsia"/>
          <w:b/>
          <w:kern w:val="0"/>
          <w:sz w:val="24"/>
          <w:szCs w:val="24"/>
        </w:rPr>
        <w:t>处置措施</w:t>
      </w:r>
    </w:p>
    <w:p>
      <w:pPr>
        <w:spacing w:line="460" w:lineRule="exact"/>
        <w:ind w:firstLine="486" w:firstLineChars="200"/>
        <w:rPr>
          <w:rFonts w:hint="eastAsia" w:ascii="宋体" w:hAnsi="宋体"/>
          <w:sz w:val="24"/>
          <w:szCs w:val="24"/>
        </w:rPr>
      </w:pPr>
      <w:r>
        <w:rPr>
          <w:rFonts w:hint="eastAsia" w:ascii="宋体" w:hAnsi="宋体"/>
          <w:sz w:val="24"/>
          <w:szCs w:val="24"/>
        </w:rPr>
        <w:t>消防废水的消除：现场进入排水系统的消防水</w:t>
      </w:r>
      <w:bookmarkStart w:id="397" w:name="_Toc15591"/>
      <w:bookmarkStart w:id="398" w:name="_Toc11330"/>
      <w:bookmarkStart w:id="399" w:name="_Toc17112"/>
      <w:bookmarkStart w:id="400" w:name="_Toc304964450"/>
      <w:bookmarkStart w:id="401" w:name="_Toc262051544"/>
      <w:bookmarkStart w:id="402" w:name="_Toc387131507"/>
      <w:bookmarkStart w:id="403" w:name="_Toc304963607"/>
      <w:bookmarkStart w:id="404" w:name="_Toc387131764"/>
      <w:bookmarkStart w:id="405" w:name="_Toc304833240"/>
      <w:bookmarkStart w:id="406" w:name="_Toc415254550"/>
      <w:bookmarkStart w:id="407" w:name="_Toc262040283"/>
      <w:bookmarkStart w:id="408" w:name="_Toc336327135"/>
      <w:bookmarkStart w:id="409" w:name="_Toc408274444"/>
      <w:bookmarkStart w:id="410" w:name="_Toc262051123"/>
      <w:bookmarkStart w:id="411" w:name="_Toc304962963"/>
      <w:bookmarkStart w:id="412" w:name="_Toc262050873"/>
      <w:bookmarkStart w:id="413" w:name="_Toc387131433"/>
      <w:bookmarkStart w:id="414" w:name="_Toc336326857"/>
      <w:r>
        <w:rPr>
          <w:rFonts w:hint="eastAsia" w:ascii="宋体" w:hAnsi="宋体"/>
          <w:sz w:val="24"/>
          <w:szCs w:val="24"/>
        </w:rPr>
        <w:t>应及时发挥事故应急池的功能，可从提升泵房将多余废水导入调节池临时存储。建议企业：修建1个容积</w:t>
      </w:r>
      <w:r>
        <w:rPr>
          <w:rFonts w:hint="eastAsia" w:ascii="宋体" w:hAnsi="宋体"/>
          <w:sz w:val="24"/>
          <w:szCs w:val="24"/>
          <w:lang w:eastAsia="zh-CN"/>
        </w:rPr>
        <w:t>至少</w:t>
      </w:r>
      <w:r>
        <w:rPr>
          <w:rFonts w:hint="eastAsia" w:ascii="宋体" w:hAnsi="宋体"/>
          <w:sz w:val="24"/>
          <w:szCs w:val="24"/>
        </w:rPr>
        <w:t>为600</w:t>
      </w:r>
      <w:r>
        <w:rPr>
          <w:rFonts w:hint="eastAsia" w:ascii="宋体" w:hAnsi="宋体"/>
          <w:sz w:val="24"/>
          <w:szCs w:val="24"/>
          <w:lang w:val="zh-CN"/>
        </w:rPr>
        <w:t xml:space="preserve"> m3的</w:t>
      </w:r>
      <w:r>
        <w:rPr>
          <w:rFonts w:hint="eastAsia" w:ascii="宋体" w:hAnsi="宋体"/>
          <w:sz w:val="24"/>
          <w:szCs w:val="24"/>
        </w:rPr>
        <w:t>应急事故池。</w:t>
      </w:r>
    </w:p>
    <w:bookmarkEnd w:id="397"/>
    <w:bookmarkEnd w:id="398"/>
    <w:bookmarkEnd w:id="399"/>
    <w:p>
      <w:pPr>
        <w:adjustRightInd w:val="0"/>
        <w:snapToGrid w:val="0"/>
        <w:spacing w:line="460" w:lineRule="exact"/>
        <w:outlineLvl w:val="1"/>
        <w:rPr>
          <w:rFonts w:hint="eastAsia"/>
          <w:b/>
          <w:color w:val="000000"/>
          <w:sz w:val="26"/>
          <w:szCs w:val="26"/>
          <w:lang w:val="zh-CN"/>
        </w:rPr>
      </w:pPr>
      <w:bookmarkStart w:id="415" w:name="_Toc2231"/>
      <w:bookmarkStart w:id="416" w:name="_Toc22481"/>
      <w:bookmarkStart w:id="417" w:name="_Toc25546"/>
      <w:bookmarkStart w:id="418" w:name="_Toc16814"/>
      <w:r>
        <w:rPr>
          <w:rFonts w:hint="eastAsia"/>
          <w:b/>
          <w:color w:val="000000"/>
          <w:sz w:val="26"/>
          <w:szCs w:val="26"/>
          <w:lang w:val="zh-CN"/>
        </w:rPr>
        <w:t>6.5应急监测</w:t>
      </w:r>
      <w:bookmarkEnd w:id="415"/>
      <w:bookmarkEnd w:id="416"/>
      <w:bookmarkEnd w:id="417"/>
      <w:bookmarkEnd w:id="418"/>
    </w:p>
    <w:p>
      <w:pPr>
        <w:adjustRightInd w:val="0"/>
        <w:snapToGrid w:val="0"/>
        <w:spacing w:line="460" w:lineRule="exact"/>
        <w:ind w:firstLine="477" w:firstLineChars="196"/>
        <w:jc w:val="left"/>
        <w:rPr>
          <w:rFonts w:ascii="宋体"/>
          <w:kern w:val="0"/>
          <w:sz w:val="24"/>
        </w:rPr>
      </w:pPr>
      <w:bookmarkStart w:id="419" w:name="_Toc278981746"/>
      <w:r>
        <w:rPr>
          <w:rFonts w:hint="eastAsia" w:ascii="宋体" w:hAnsi="宋体"/>
          <w:kern w:val="0"/>
          <w:sz w:val="24"/>
        </w:rPr>
        <w:t>（1）百胜榨菜污水处理厂在生产车间配有监控、消防器材和火灾报警器系统，保证在万一泄漏的情况下能够及时发现，采取处置措施，以及对环境空气进行监测。</w:t>
      </w:r>
    </w:p>
    <w:p>
      <w:pPr>
        <w:adjustRightInd w:val="0"/>
        <w:snapToGrid w:val="0"/>
        <w:spacing w:line="460" w:lineRule="exact"/>
        <w:ind w:firstLine="477" w:firstLineChars="196"/>
        <w:jc w:val="left"/>
        <w:rPr>
          <w:rFonts w:ascii="宋体"/>
          <w:kern w:val="0"/>
          <w:sz w:val="24"/>
        </w:rPr>
      </w:pPr>
      <w:r>
        <w:rPr>
          <w:rFonts w:ascii="宋体" w:hAnsi="宋体"/>
          <w:kern w:val="0"/>
          <w:sz w:val="24"/>
        </w:rPr>
        <w:t>(</w:t>
      </w:r>
      <w:r>
        <w:rPr>
          <w:rFonts w:hint="eastAsia" w:ascii="宋体" w:hAnsi="宋体"/>
          <w:kern w:val="0"/>
          <w:sz w:val="24"/>
        </w:rPr>
        <w:t>2</w:t>
      </w:r>
      <w:r>
        <w:rPr>
          <w:rFonts w:ascii="宋体" w:hAnsi="宋体"/>
          <w:kern w:val="0"/>
          <w:sz w:val="24"/>
        </w:rPr>
        <w:t>)</w:t>
      </w:r>
      <w:r>
        <w:rPr>
          <w:rFonts w:hint="eastAsia" w:ascii="宋体" w:hAnsi="宋体"/>
          <w:kern w:val="0"/>
          <w:sz w:val="24"/>
        </w:rPr>
        <w:t>另外还可以依托涪陵区环境监测站对危化品事故产生的危害进行监测，对水体进行连续监测，同时针对人员、水体、土壤、大气采取隔离、收集和清除等方法，直至符合国家、地方环境保护标准。</w:t>
      </w:r>
      <w:bookmarkEnd w:id="419"/>
    </w:p>
    <w:p>
      <w:pPr>
        <w:adjustRightInd w:val="0"/>
        <w:snapToGrid w:val="0"/>
        <w:spacing w:line="460" w:lineRule="exact"/>
        <w:ind w:firstLine="477" w:firstLineChars="196"/>
        <w:jc w:val="left"/>
        <w:rPr>
          <w:rFonts w:ascii="宋体"/>
          <w:kern w:val="0"/>
          <w:sz w:val="24"/>
        </w:rPr>
      </w:pPr>
      <w:bookmarkStart w:id="420" w:name="_Toc278981747"/>
      <w:r>
        <w:rPr>
          <w:rFonts w:hint="eastAsia" w:ascii="宋体" w:hAnsi="宋体"/>
          <w:kern w:val="0"/>
          <w:sz w:val="24"/>
        </w:rPr>
        <w:t>（3）对于不明性质物质</w:t>
      </w:r>
      <w:r>
        <w:rPr>
          <w:rFonts w:hint="eastAsia" w:ascii="宋体" w:hAnsi="宋体"/>
          <w:kern w:val="0"/>
          <w:sz w:val="24"/>
          <w:lang w:eastAsia="zh-CN"/>
        </w:rPr>
        <w:t>的</w:t>
      </w:r>
      <w:r>
        <w:rPr>
          <w:rFonts w:hint="eastAsia" w:ascii="宋体" w:hAnsi="宋体"/>
          <w:kern w:val="0"/>
          <w:sz w:val="24"/>
        </w:rPr>
        <w:t>大气监测，由公司安全环保部邀请涪陵区环境监测站等专业机构支援。</w:t>
      </w:r>
      <w:bookmarkEnd w:id="420"/>
    </w:p>
    <w:p>
      <w:pPr>
        <w:pStyle w:val="193"/>
        <w:rPr>
          <w:rFonts w:ascii="宋体"/>
          <w:b/>
          <w:bCs/>
        </w:rPr>
      </w:pPr>
      <w:r>
        <w:rPr>
          <w:rFonts w:hint="eastAsia" w:ascii="宋体" w:hAnsi="宋体"/>
        </w:rPr>
        <w:t>应急监测方案</w:t>
      </w:r>
    </w:p>
    <w:tbl>
      <w:tblPr>
        <w:tblStyle w:val="54"/>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33"/>
        <w:gridCol w:w="2673"/>
        <w:gridCol w:w="2822"/>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675" w:type="dxa"/>
            <w:vAlign w:val="center"/>
          </w:tcPr>
          <w:p>
            <w:pPr>
              <w:pStyle w:val="193"/>
              <w:rPr>
                <w:rFonts w:ascii="宋体"/>
                <w:sz w:val="21"/>
                <w:szCs w:val="24"/>
              </w:rPr>
            </w:pPr>
            <w:r>
              <w:rPr>
                <w:rFonts w:hint="eastAsia" w:ascii="宋体" w:hAnsi="宋体"/>
                <w:sz w:val="21"/>
                <w:szCs w:val="24"/>
              </w:rPr>
              <w:t>类别</w:t>
            </w:r>
          </w:p>
        </w:tc>
        <w:tc>
          <w:tcPr>
            <w:tcW w:w="1333" w:type="dxa"/>
            <w:vAlign w:val="center"/>
          </w:tcPr>
          <w:p>
            <w:pPr>
              <w:pStyle w:val="193"/>
              <w:rPr>
                <w:rFonts w:ascii="宋体"/>
                <w:sz w:val="21"/>
                <w:szCs w:val="24"/>
              </w:rPr>
            </w:pPr>
            <w:r>
              <w:rPr>
                <w:rFonts w:hint="eastAsia" w:ascii="宋体" w:hAnsi="宋体"/>
                <w:sz w:val="21"/>
                <w:szCs w:val="24"/>
              </w:rPr>
              <w:t>事故点</w:t>
            </w:r>
          </w:p>
        </w:tc>
        <w:tc>
          <w:tcPr>
            <w:tcW w:w="2673" w:type="dxa"/>
            <w:vAlign w:val="center"/>
          </w:tcPr>
          <w:p>
            <w:pPr>
              <w:pStyle w:val="193"/>
              <w:rPr>
                <w:rFonts w:ascii="宋体"/>
                <w:sz w:val="21"/>
                <w:szCs w:val="24"/>
              </w:rPr>
            </w:pPr>
            <w:r>
              <w:rPr>
                <w:rFonts w:hint="eastAsia" w:ascii="宋体" w:hAnsi="宋体"/>
                <w:sz w:val="21"/>
                <w:szCs w:val="24"/>
              </w:rPr>
              <w:t>监测点</w:t>
            </w:r>
          </w:p>
        </w:tc>
        <w:tc>
          <w:tcPr>
            <w:tcW w:w="2822" w:type="dxa"/>
            <w:vAlign w:val="center"/>
          </w:tcPr>
          <w:p>
            <w:pPr>
              <w:pStyle w:val="193"/>
              <w:rPr>
                <w:rFonts w:ascii="宋体"/>
                <w:sz w:val="21"/>
                <w:szCs w:val="24"/>
              </w:rPr>
            </w:pPr>
            <w:r>
              <w:rPr>
                <w:rFonts w:hint="eastAsia" w:ascii="宋体" w:hAnsi="宋体"/>
                <w:sz w:val="21"/>
                <w:szCs w:val="24"/>
              </w:rPr>
              <w:t>监测频率、分析方法</w:t>
            </w:r>
          </w:p>
        </w:tc>
        <w:tc>
          <w:tcPr>
            <w:tcW w:w="1568" w:type="dxa"/>
            <w:vAlign w:val="center"/>
          </w:tcPr>
          <w:p>
            <w:pPr>
              <w:pStyle w:val="193"/>
              <w:rPr>
                <w:rFonts w:ascii="宋体"/>
                <w:sz w:val="21"/>
                <w:szCs w:val="24"/>
              </w:rPr>
            </w:pPr>
            <w:r>
              <w:rPr>
                <w:rFonts w:hint="eastAsia" w:ascii="宋体" w:hAnsi="宋体"/>
                <w:sz w:val="21"/>
                <w:szCs w:val="24"/>
              </w:rPr>
              <w:t>监测因子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675" w:type="dxa"/>
            <w:vAlign w:val="center"/>
          </w:tcPr>
          <w:p>
            <w:pPr>
              <w:pStyle w:val="193"/>
              <w:rPr>
                <w:rFonts w:ascii="宋体"/>
                <w:sz w:val="21"/>
                <w:szCs w:val="24"/>
              </w:rPr>
            </w:pPr>
            <w:r>
              <w:rPr>
                <w:rFonts w:hint="eastAsia" w:ascii="宋体" w:hAnsi="宋体"/>
                <w:sz w:val="21"/>
                <w:szCs w:val="24"/>
              </w:rPr>
              <w:t>地表水</w:t>
            </w:r>
          </w:p>
        </w:tc>
        <w:tc>
          <w:tcPr>
            <w:tcW w:w="1333" w:type="dxa"/>
            <w:vAlign w:val="center"/>
          </w:tcPr>
          <w:p>
            <w:pPr>
              <w:pStyle w:val="193"/>
              <w:rPr>
                <w:rFonts w:ascii="宋体"/>
                <w:sz w:val="21"/>
                <w:szCs w:val="24"/>
              </w:rPr>
            </w:pPr>
            <w:r>
              <w:rPr>
                <w:rFonts w:hint="eastAsia" w:ascii="宋体" w:hAnsi="宋体"/>
                <w:sz w:val="21"/>
                <w:szCs w:val="24"/>
              </w:rPr>
              <w:t>污水处理厂</w:t>
            </w:r>
          </w:p>
        </w:tc>
        <w:tc>
          <w:tcPr>
            <w:tcW w:w="2673" w:type="dxa"/>
            <w:vAlign w:val="center"/>
          </w:tcPr>
          <w:p>
            <w:pPr>
              <w:pStyle w:val="193"/>
              <w:jc w:val="left"/>
              <w:rPr>
                <w:rFonts w:ascii="宋体"/>
                <w:sz w:val="21"/>
                <w:szCs w:val="24"/>
              </w:rPr>
            </w:pPr>
            <w:r>
              <w:rPr>
                <w:rFonts w:hint="eastAsia" w:ascii="宋体" w:hAnsi="宋体"/>
                <w:sz w:val="21"/>
                <w:szCs w:val="24"/>
              </w:rPr>
              <w:t>污水处理设施排放口、百胜榨菜污水处理厂下游</w:t>
            </w:r>
            <w:r>
              <w:rPr>
                <w:rFonts w:hint="eastAsia" w:ascii="宋体" w:hAnsi="宋体"/>
                <w:kern w:val="2"/>
                <w:sz w:val="21"/>
                <w:szCs w:val="22"/>
              </w:rPr>
              <w:t>珍溪</w:t>
            </w:r>
            <w:r>
              <w:rPr>
                <w:rFonts w:hint="eastAsia" w:ascii="宋体" w:hAnsi="宋体"/>
                <w:sz w:val="21"/>
                <w:szCs w:val="24"/>
              </w:rPr>
              <w:t>断面</w:t>
            </w:r>
            <w:r>
              <w:rPr>
                <w:rFonts w:hint="eastAsia"/>
                <w:sz w:val="21"/>
                <w:szCs w:val="24"/>
              </w:rPr>
              <w:t>长江约</w:t>
            </w:r>
            <w:r>
              <w:rPr>
                <w:rFonts w:ascii="宋体" w:hAnsi="宋体"/>
                <w:sz w:val="21"/>
                <w:szCs w:val="24"/>
              </w:rPr>
              <w:t>200m</w:t>
            </w:r>
            <w:r>
              <w:rPr>
                <w:rFonts w:hint="eastAsia" w:ascii="宋体" w:hAnsi="宋体"/>
                <w:sz w:val="21"/>
                <w:szCs w:val="24"/>
              </w:rPr>
              <w:t>处</w:t>
            </w:r>
          </w:p>
        </w:tc>
        <w:tc>
          <w:tcPr>
            <w:tcW w:w="2822" w:type="dxa"/>
            <w:vAlign w:val="center"/>
          </w:tcPr>
          <w:p>
            <w:pPr>
              <w:pStyle w:val="193"/>
              <w:rPr>
                <w:rFonts w:ascii="宋体"/>
                <w:bCs/>
                <w:sz w:val="21"/>
                <w:szCs w:val="21"/>
              </w:rPr>
            </w:pPr>
            <w:r>
              <w:rPr>
                <w:rFonts w:hint="eastAsia" w:ascii="宋体" w:hAnsi="宋体"/>
                <w:bCs/>
                <w:sz w:val="21"/>
                <w:szCs w:val="21"/>
              </w:rPr>
              <w:t>采样</w:t>
            </w:r>
            <w:r>
              <w:rPr>
                <w:rFonts w:ascii="宋体" w:hAnsi="宋体"/>
                <w:bCs/>
                <w:sz w:val="21"/>
                <w:szCs w:val="21"/>
              </w:rPr>
              <w:t>1</w:t>
            </w:r>
            <w:r>
              <w:rPr>
                <w:rFonts w:hint="eastAsia" w:ascii="宋体" w:hAnsi="宋体"/>
                <w:bCs/>
                <w:sz w:val="21"/>
                <w:szCs w:val="21"/>
              </w:rPr>
              <w:t>次</w:t>
            </w:r>
            <w:r>
              <w:rPr>
                <w:rFonts w:ascii="宋体" w:hAnsi="宋体"/>
                <w:bCs/>
                <w:sz w:val="21"/>
                <w:szCs w:val="21"/>
              </w:rPr>
              <w:t>/30min</w:t>
            </w:r>
            <w:r>
              <w:rPr>
                <w:rFonts w:hint="eastAsia" w:ascii="宋体" w:hAnsi="宋体"/>
                <w:bCs/>
                <w:sz w:val="21"/>
                <w:szCs w:val="21"/>
              </w:rPr>
              <w:t>，</w:t>
            </w:r>
            <w:r>
              <w:rPr>
                <w:rFonts w:ascii="宋体" w:hAnsi="宋体"/>
                <w:bCs/>
                <w:sz w:val="21"/>
                <w:szCs w:val="21"/>
              </w:rPr>
              <w:t>1h</w:t>
            </w:r>
            <w:r>
              <w:rPr>
                <w:rFonts w:hint="eastAsia" w:ascii="宋体" w:hAnsi="宋体"/>
                <w:bCs/>
                <w:sz w:val="21"/>
                <w:szCs w:val="21"/>
              </w:rPr>
              <w:t>向指挥部报数据</w:t>
            </w:r>
            <w:r>
              <w:rPr>
                <w:rFonts w:ascii="宋体" w:hAnsi="宋体"/>
                <w:bCs/>
                <w:sz w:val="21"/>
                <w:szCs w:val="21"/>
              </w:rPr>
              <w:t>1</w:t>
            </w:r>
            <w:r>
              <w:rPr>
                <w:rFonts w:hint="eastAsia" w:ascii="宋体" w:hAnsi="宋体"/>
                <w:bCs/>
                <w:sz w:val="21"/>
                <w:szCs w:val="21"/>
              </w:rPr>
              <w:t>次；</w:t>
            </w:r>
            <w:r>
              <w:rPr>
                <w:rFonts w:ascii="宋体" w:hAnsi="宋体"/>
                <w:bCs/>
                <w:sz w:val="21"/>
                <w:szCs w:val="21"/>
              </w:rPr>
              <w:t>pH</w:t>
            </w:r>
            <w:r>
              <w:rPr>
                <w:rFonts w:hint="eastAsia" w:ascii="宋体" w:hAnsi="宋体"/>
                <w:bCs/>
                <w:sz w:val="21"/>
                <w:szCs w:val="21"/>
              </w:rPr>
              <w:t>计、重铬酸钾法，五日培养法</w:t>
            </w:r>
          </w:p>
        </w:tc>
        <w:tc>
          <w:tcPr>
            <w:tcW w:w="1568" w:type="dxa"/>
            <w:tcBorders/>
            <w:vAlign w:val="center"/>
          </w:tcPr>
          <w:p>
            <w:pPr>
              <w:pStyle w:val="193"/>
              <w:rPr>
                <w:rFonts w:ascii="宋体" w:hAnsi="宋体"/>
                <w:sz w:val="21"/>
                <w:szCs w:val="24"/>
              </w:rPr>
            </w:pPr>
            <w:r>
              <w:rPr>
                <w:rFonts w:ascii="宋体" w:hAnsi="宋体"/>
                <w:sz w:val="21"/>
                <w:szCs w:val="24"/>
              </w:rPr>
              <w:t>pH</w:t>
            </w:r>
            <w:r>
              <w:rPr>
                <w:rFonts w:hint="eastAsia" w:ascii="宋体" w:hAnsi="宋体"/>
                <w:sz w:val="21"/>
                <w:szCs w:val="24"/>
              </w:rPr>
              <w:t>、</w:t>
            </w:r>
            <w:r>
              <w:rPr>
                <w:rFonts w:ascii="宋体" w:hAnsi="宋体"/>
                <w:sz w:val="21"/>
                <w:szCs w:val="24"/>
              </w:rPr>
              <w:t>BOD</w:t>
            </w:r>
            <w:r>
              <w:rPr>
                <w:rFonts w:hint="eastAsia" w:ascii="宋体" w:hAnsi="宋体"/>
                <w:sz w:val="21"/>
                <w:szCs w:val="24"/>
              </w:rPr>
              <w:t>、</w:t>
            </w:r>
            <w:r>
              <w:rPr>
                <w:rFonts w:ascii="宋体" w:hAnsi="宋体"/>
                <w:sz w:val="21"/>
                <w:szCs w:val="24"/>
              </w:rPr>
              <w:t>COD</w:t>
            </w:r>
          </w:p>
        </w:tc>
      </w:tr>
    </w:tbl>
    <w:p>
      <w:pPr>
        <w:adjustRightInd w:val="0"/>
        <w:snapToGrid w:val="0"/>
        <w:spacing w:line="460" w:lineRule="exact"/>
        <w:outlineLvl w:val="1"/>
        <w:rPr>
          <w:rFonts w:hint="eastAsia"/>
          <w:b/>
          <w:color w:val="000000"/>
          <w:sz w:val="26"/>
          <w:szCs w:val="26"/>
          <w:lang w:val="zh-CN"/>
        </w:rPr>
      </w:pPr>
      <w:bookmarkStart w:id="421" w:name="_Toc6563"/>
      <w:bookmarkStart w:id="422" w:name="_Toc25668"/>
      <w:bookmarkStart w:id="423" w:name="_Toc31531"/>
      <w:bookmarkStart w:id="424" w:name="_Toc17665"/>
      <w:r>
        <w:rPr>
          <w:rFonts w:hint="eastAsia"/>
          <w:b/>
          <w:color w:val="000000"/>
          <w:sz w:val="26"/>
          <w:szCs w:val="26"/>
          <w:lang w:val="zh-CN"/>
        </w:rPr>
        <w:t>6.6应急终止</w:t>
      </w:r>
      <w:bookmarkEnd w:id="421"/>
      <w:bookmarkEnd w:id="422"/>
      <w:bookmarkEnd w:id="423"/>
      <w:bookmarkEnd w:id="424"/>
    </w:p>
    <w:p>
      <w:pPr>
        <w:spacing w:line="460" w:lineRule="exact"/>
        <w:jc w:val="left"/>
        <w:rPr>
          <w:rFonts w:ascii="宋体"/>
          <w:b/>
          <w:color w:val="000000"/>
          <w:sz w:val="28"/>
          <w:szCs w:val="28"/>
        </w:rPr>
      </w:pPr>
      <w:bookmarkStart w:id="425" w:name="_Toc354653995"/>
      <w:bookmarkStart w:id="426" w:name="_Toc9648"/>
      <w:bookmarkStart w:id="427" w:name="_Toc8834"/>
      <w:bookmarkStart w:id="428" w:name="_Toc11392"/>
      <w:r>
        <w:rPr>
          <w:rFonts w:ascii="宋体" w:hAnsi="宋体"/>
          <w:b/>
          <w:color w:val="000000"/>
          <w:sz w:val="28"/>
          <w:szCs w:val="28"/>
        </w:rPr>
        <w:t xml:space="preserve">6.6.1  </w:t>
      </w:r>
      <w:r>
        <w:rPr>
          <w:rFonts w:hint="eastAsia" w:ascii="宋体" w:hAnsi="宋体"/>
          <w:b/>
          <w:color w:val="000000"/>
          <w:sz w:val="28"/>
          <w:szCs w:val="28"/>
        </w:rPr>
        <w:t>应急终止的条件：</w:t>
      </w:r>
      <w:bookmarkEnd w:id="425"/>
      <w:bookmarkEnd w:id="426"/>
      <w:bookmarkEnd w:id="427"/>
      <w:bookmarkEnd w:id="428"/>
    </w:p>
    <w:p>
      <w:pPr>
        <w:adjustRightInd w:val="0"/>
        <w:snapToGrid w:val="0"/>
        <w:spacing w:line="460" w:lineRule="exact"/>
        <w:ind w:firstLine="477" w:firstLineChars="196"/>
        <w:jc w:val="left"/>
        <w:rPr>
          <w:rFonts w:ascii="宋体"/>
          <w:kern w:val="0"/>
          <w:sz w:val="24"/>
        </w:rPr>
      </w:pPr>
      <w:bookmarkStart w:id="429" w:name="_Toc354653996"/>
      <w:r>
        <w:rPr>
          <w:rFonts w:hint="eastAsia" w:ascii="宋体" w:hAnsi="宋体"/>
          <w:kern w:val="0"/>
          <w:sz w:val="24"/>
        </w:rPr>
        <w:t>符合下列条件之一的，即满足应急终止条件：</w:t>
      </w:r>
      <w:bookmarkEnd w:id="429"/>
    </w:p>
    <w:p>
      <w:pPr>
        <w:adjustRightInd w:val="0"/>
        <w:snapToGrid w:val="0"/>
        <w:spacing w:line="460" w:lineRule="exact"/>
        <w:ind w:firstLine="477" w:firstLineChars="196"/>
        <w:jc w:val="left"/>
        <w:rPr>
          <w:rFonts w:ascii="宋体"/>
          <w:kern w:val="0"/>
          <w:sz w:val="24"/>
        </w:rPr>
      </w:pPr>
      <w:bookmarkStart w:id="430" w:name="_Toc354653997"/>
      <w:r>
        <w:rPr>
          <w:rFonts w:hint="eastAsia" w:ascii="宋体" w:hAnsi="宋体"/>
          <w:kern w:val="0"/>
          <w:sz w:val="24"/>
        </w:rPr>
        <w:t>（</w:t>
      </w:r>
      <w:r>
        <w:rPr>
          <w:rFonts w:ascii="宋体" w:hAnsi="宋体"/>
          <w:kern w:val="0"/>
          <w:sz w:val="24"/>
        </w:rPr>
        <w:t>1</w:t>
      </w:r>
      <w:r>
        <w:rPr>
          <w:rFonts w:hint="eastAsia" w:ascii="宋体" w:hAnsi="宋体"/>
          <w:kern w:val="0"/>
          <w:sz w:val="24"/>
        </w:rPr>
        <w:t>）事件现场得到控制，事件条件已消除。</w:t>
      </w:r>
      <w:bookmarkEnd w:id="430"/>
    </w:p>
    <w:p>
      <w:pPr>
        <w:adjustRightInd w:val="0"/>
        <w:snapToGrid w:val="0"/>
        <w:spacing w:line="460" w:lineRule="exact"/>
        <w:ind w:firstLine="477" w:firstLineChars="196"/>
        <w:jc w:val="left"/>
        <w:rPr>
          <w:rFonts w:ascii="宋体"/>
          <w:kern w:val="0"/>
          <w:sz w:val="24"/>
        </w:rPr>
      </w:pPr>
      <w:bookmarkStart w:id="431" w:name="_Toc354653998"/>
      <w:r>
        <w:rPr>
          <w:rFonts w:hint="eastAsia" w:ascii="宋体" w:hAnsi="宋体"/>
          <w:kern w:val="0"/>
          <w:sz w:val="24"/>
        </w:rPr>
        <w:t>（</w:t>
      </w:r>
      <w:r>
        <w:rPr>
          <w:rFonts w:ascii="宋体" w:hAnsi="宋体"/>
          <w:kern w:val="0"/>
          <w:sz w:val="24"/>
        </w:rPr>
        <w:t>2</w:t>
      </w:r>
      <w:r>
        <w:rPr>
          <w:rFonts w:hint="eastAsia" w:ascii="宋体" w:hAnsi="宋体"/>
          <w:kern w:val="0"/>
          <w:sz w:val="24"/>
        </w:rPr>
        <w:t>）事件所造成的危害已经被彻底消除，无继发可能。</w:t>
      </w:r>
      <w:bookmarkEnd w:id="431"/>
    </w:p>
    <w:p>
      <w:pPr>
        <w:adjustRightInd w:val="0"/>
        <w:snapToGrid w:val="0"/>
        <w:spacing w:line="460" w:lineRule="exact"/>
        <w:ind w:firstLine="477" w:firstLineChars="196"/>
        <w:jc w:val="left"/>
        <w:rPr>
          <w:rFonts w:ascii="宋体"/>
          <w:kern w:val="0"/>
          <w:sz w:val="24"/>
        </w:rPr>
      </w:pPr>
      <w:bookmarkStart w:id="432" w:name="_Toc354653999"/>
      <w:r>
        <w:rPr>
          <w:rFonts w:hint="eastAsia" w:ascii="宋体" w:hAnsi="宋体"/>
          <w:kern w:val="0"/>
          <w:sz w:val="24"/>
        </w:rPr>
        <w:t>（</w:t>
      </w:r>
      <w:r>
        <w:rPr>
          <w:rFonts w:ascii="宋体" w:hAnsi="宋体"/>
          <w:kern w:val="0"/>
          <w:sz w:val="24"/>
        </w:rPr>
        <w:t>3</w:t>
      </w:r>
      <w:r>
        <w:rPr>
          <w:rFonts w:hint="eastAsia" w:ascii="宋体" w:hAnsi="宋体"/>
          <w:kern w:val="0"/>
          <w:sz w:val="24"/>
        </w:rPr>
        <w:t>）事件现场的各种专业应急处置行动已无继续必要。</w:t>
      </w:r>
      <w:bookmarkEnd w:id="432"/>
    </w:p>
    <w:p>
      <w:pPr>
        <w:adjustRightInd w:val="0"/>
        <w:snapToGrid w:val="0"/>
        <w:spacing w:line="460" w:lineRule="exact"/>
        <w:ind w:firstLine="477" w:firstLineChars="196"/>
        <w:jc w:val="left"/>
        <w:rPr>
          <w:rFonts w:ascii="宋体"/>
          <w:kern w:val="0"/>
          <w:sz w:val="24"/>
        </w:rPr>
      </w:pPr>
      <w:bookmarkStart w:id="433" w:name="_Toc354654000"/>
      <w:r>
        <w:rPr>
          <w:rFonts w:hint="eastAsia" w:ascii="宋体" w:hAnsi="宋体"/>
          <w:kern w:val="0"/>
          <w:sz w:val="24"/>
        </w:rPr>
        <w:t>（</w:t>
      </w:r>
      <w:r>
        <w:rPr>
          <w:rFonts w:ascii="宋体" w:hAnsi="宋体"/>
          <w:kern w:val="0"/>
          <w:sz w:val="24"/>
        </w:rPr>
        <w:t>4</w:t>
      </w:r>
      <w:r>
        <w:rPr>
          <w:rFonts w:hint="eastAsia" w:ascii="宋体" w:hAnsi="宋体"/>
          <w:kern w:val="0"/>
          <w:sz w:val="24"/>
        </w:rPr>
        <w:t>）采取了必要的防护措施，以保护员工，周边居民（村）民免受再次危害，并使事件不能引起的中长期影响趋于合理且尽量降低水平。</w:t>
      </w:r>
      <w:bookmarkEnd w:id="433"/>
    </w:p>
    <w:p>
      <w:pPr>
        <w:adjustRightInd w:val="0"/>
        <w:snapToGrid w:val="0"/>
        <w:spacing w:line="460" w:lineRule="exact"/>
        <w:jc w:val="left"/>
        <w:rPr>
          <w:rFonts w:ascii="宋体"/>
          <w:b/>
          <w:bCs/>
          <w:kern w:val="0"/>
          <w:sz w:val="28"/>
          <w:szCs w:val="28"/>
        </w:rPr>
      </w:pPr>
      <w:bookmarkStart w:id="434" w:name="_Toc7004"/>
      <w:bookmarkStart w:id="435" w:name="_Toc1269"/>
      <w:bookmarkStart w:id="436" w:name="_Toc354654001"/>
      <w:bookmarkStart w:id="437" w:name="_Toc22640"/>
      <w:r>
        <w:rPr>
          <w:rFonts w:ascii="宋体" w:hAnsi="宋体"/>
          <w:b/>
          <w:bCs/>
          <w:kern w:val="0"/>
          <w:sz w:val="28"/>
          <w:szCs w:val="28"/>
        </w:rPr>
        <w:t>6.6.2</w:t>
      </w:r>
      <w:r>
        <w:rPr>
          <w:rFonts w:hint="eastAsia" w:ascii="宋体" w:hAnsi="宋体"/>
          <w:b/>
          <w:bCs/>
          <w:kern w:val="0"/>
          <w:sz w:val="28"/>
          <w:szCs w:val="28"/>
        </w:rPr>
        <w:t>应急终止程序</w:t>
      </w:r>
      <w:bookmarkEnd w:id="434"/>
      <w:bookmarkEnd w:id="435"/>
      <w:bookmarkEnd w:id="436"/>
      <w:bookmarkEnd w:id="437"/>
    </w:p>
    <w:p>
      <w:pPr>
        <w:adjustRightInd w:val="0"/>
        <w:snapToGrid w:val="0"/>
        <w:spacing w:line="460" w:lineRule="exact"/>
        <w:ind w:firstLine="477" w:firstLineChars="196"/>
        <w:jc w:val="left"/>
        <w:rPr>
          <w:rFonts w:ascii="宋体"/>
          <w:kern w:val="0"/>
          <w:sz w:val="24"/>
        </w:rPr>
      </w:pPr>
      <w:r>
        <w:rPr>
          <w:rFonts w:ascii="宋体" w:hAnsi="宋体"/>
          <w:kern w:val="0"/>
          <w:sz w:val="24"/>
        </w:rPr>
        <w:t xml:space="preserve"> </w:t>
      </w:r>
      <w:r>
        <w:rPr>
          <w:rFonts w:hint="eastAsia" w:ascii="宋体" w:hAnsi="宋体"/>
          <w:kern w:val="0"/>
          <w:sz w:val="24"/>
        </w:rPr>
        <w:t>各应急小组负责人向应急指挥部报告事故相关险情已处置完毕，应急救援副总指挥汇同应急指挥部其它成员对全公司及周边受到事故影响的区域进行危险性评估，确定符合应急终止条件后，报告应急救援总指挥，由应急救援总指挥宣布公司事故应急救援行动终止。</w:t>
      </w:r>
    </w:p>
    <w:p>
      <w:pPr>
        <w:adjustRightInd w:val="0"/>
        <w:snapToGrid w:val="0"/>
        <w:spacing w:line="460" w:lineRule="exact"/>
        <w:ind w:firstLine="477" w:firstLineChars="196"/>
        <w:jc w:val="left"/>
        <w:rPr>
          <w:rFonts w:ascii="宋体"/>
        </w:rPr>
      </w:pPr>
      <w:r>
        <w:rPr>
          <w:rFonts w:hint="eastAsia" w:ascii="宋体" w:hAnsi="宋体"/>
          <w:kern w:val="0"/>
          <w:sz w:val="24"/>
        </w:rPr>
        <w:t>应急状态终止后，有关部门（单位）应根据指挥部指示及实际情况，继续进行环境监测、组织设备设施的抢修，尽快恢复正常生产。</w:t>
      </w:r>
    </w:p>
    <w:p>
      <w:pPr>
        <w:adjustRightInd w:val="0"/>
        <w:snapToGrid w:val="0"/>
        <w:spacing w:line="460" w:lineRule="exact"/>
        <w:jc w:val="left"/>
        <w:rPr>
          <w:rFonts w:ascii="宋体"/>
          <w:b/>
          <w:bCs/>
          <w:kern w:val="0"/>
          <w:sz w:val="28"/>
          <w:szCs w:val="28"/>
        </w:rPr>
      </w:pPr>
      <w:bookmarkStart w:id="438" w:name="_Toc10247"/>
      <w:bookmarkStart w:id="439" w:name="_Toc10509"/>
      <w:bookmarkStart w:id="440" w:name="_Toc354654005"/>
      <w:bookmarkStart w:id="441" w:name="_Toc19038"/>
      <w:r>
        <w:rPr>
          <w:rFonts w:ascii="宋体" w:hAnsi="宋体"/>
          <w:b/>
          <w:bCs/>
          <w:kern w:val="0"/>
          <w:sz w:val="28"/>
          <w:szCs w:val="28"/>
        </w:rPr>
        <w:t>6.6.3</w:t>
      </w:r>
      <w:r>
        <w:rPr>
          <w:rFonts w:hint="eastAsia" w:ascii="宋体" w:hAnsi="宋体"/>
          <w:b/>
          <w:bCs/>
          <w:kern w:val="0"/>
          <w:sz w:val="28"/>
          <w:szCs w:val="28"/>
        </w:rPr>
        <w:t>应急终止后的行动</w:t>
      </w:r>
      <w:bookmarkEnd w:id="438"/>
      <w:bookmarkEnd w:id="439"/>
      <w:bookmarkEnd w:id="440"/>
      <w:bookmarkEnd w:id="441"/>
    </w:p>
    <w:p>
      <w:pPr>
        <w:adjustRightInd w:val="0"/>
        <w:snapToGrid w:val="0"/>
        <w:spacing w:line="460" w:lineRule="exact"/>
        <w:ind w:firstLine="477" w:firstLineChars="196"/>
        <w:jc w:val="left"/>
        <w:rPr>
          <w:rFonts w:ascii="宋体"/>
          <w:kern w:val="0"/>
          <w:sz w:val="24"/>
        </w:rPr>
      </w:pPr>
      <w:r>
        <w:rPr>
          <w:rFonts w:hint="eastAsia" w:ascii="宋体" w:hAnsi="宋体"/>
          <w:kern w:val="0"/>
          <w:sz w:val="24"/>
        </w:rPr>
        <w:t>应急行动终止后，应做好以下工作：</w:t>
      </w:r>
    </w:p>
    <w:p>
      <w:pPr>
        <w:adjustRightInd w:val="0"/>
        <w:snapToGrid w:val="0"/>
        <w:spacing w:line="460" w:lineRule="exact"/>
        <w:ind w:firstLine="477" w:firstLineChars="196"/>
        <w:jc w:val="left"/>
        <w:rPr>
          <w:rFonts w:ascii="宋体"/>
          <w:kern w:val="0"/>
          <w:sz w:val="24"/>
        </w:rPr>
      </w:pPr>
      <w:r>
        <w:rPr>
          <w:rFonts w:hint="eastAsia" w:ascii="宋体" w:hAnsi="宋体"/>
          <w:kern w:val="0"/>
          <w:sz w:val="24"/>
        </w:rPr>
        <w:t>（</w:t>
      </w:r>
      <w:r>
        <w:rPr>
          <w:rFonts w:ascii="宋体" w:hAnsi="宋体"/>
          <w:kern w:val="0"/>
          <w:sz w:val="24"/>
        </w:rPr>
        <w:t>1</w:t>
      </w:r>
      <w:r>
        <w:rPr>
          <w:rFonts w:hint="eastAsia" w:ascii="宋体" w:hAnsi="宋体"/>
          <w:kern w:val="0"/>
          <w:sz w:val="24"/>
        </w:rPr>
        <w:t>）及时通知本单位相关部门、周边企业（或事业）单位、社区、社会关注区及人员事件危险已解除；</w:t>
      </w:r>
    </w:p>
    <w:p>
      <w:pPr>
        <w:adjustRightInd w:val="0"/>
        <w:snapToGrid w:val="0"/>
        <w:spacing w:line="460" w:lineRule="exact"/>
        <w:ind w:firstLine="477" w:firstLineChars="196"/>
        <w:jc w:val="left"/>
        <w:rPr>
          <w:rFonts w:ascii="宋体"/>
          <w:kern w:val="0"/>
          <w:sz w:val="24"/>
        </w:rPr>
      </w:pPr>
      <w:r>
        <w:rPr>
          <w:rFonts w:hint="eastAsia" w:ascii="宋体" w:hAnsi="宋体"/>
          <w:kern w:val="0"/>
          <w:sz w:val="24"/>
        </w:rPr>
        <w:t>（</w:t>
      </w:r>
      <w:r>
        <w:rPr>
          <w:rFonts w:ascii="宋体" w:hAnsi="宋体"/>
          <w:kern w:val="0"/>
          <w:sz w:val="24"/>
        </w:rPr>
        <w:t>2</w:t>
      </w:r>
      <w:r>
        <w:rPr>
          <w:rFonts w:hint="eastAsia" w:ascii="宋体" w:hAnsi="宋体"/>
          <w:kern w:val="0"/>
          <w:sz w:val="24"/>
        </w:rPr>
        <w:t>）对现场中暴露的工作人员、应急行动人员和受污染设备进行清洁净化；</w:t>
      </w:r>
    </w:p>
    <w:p>
      <w:pPr>
        <w:adjustRightInd w:val="0"/>
        <w:snapToGrid w:val="0"/>
        <w:spacing w:line="460" w:lineRule="exact"/>
        <w:ind w:firstLine="477" w:firstLineChars="196"/>
        <w:jc w:val="left"/>
        <w:rPr>
          <w:rFonts w:ascii="宋体"/>
          <w:kern w:val="0"/>
          <w:sz w:val="24"/>
        </w:rPr>
      </w:pPr>
      <w:r>
        <w:rPr>
          <w:rFonts w:hint="eastAsia" w:ascii="宋体" w:hAnsi="宋体"/>
          <w:kern w:val="0"/>
          <w:sz w:val="24"/>
        </w:rPr>
        <w:t>（</w:t>
      </w:r>
      <w:r>
        <w:rPr>
          <w:rFonts w:ascii="宋体" w:hAnsi="宋体"/>
          <w:kern w:val="0"/>
          <w:sz w:val="24"/>
        </w:rPr>
        <w:t>3</w:t>
      </w:r>
      <w:r>
        <w:rPr>
          <w:rFonts w:hint="eastAsia" w:ascii="宋体" w:hAnsi="宋体"/>
          <w:kern w:val="0"/>
          <w:sz w:val="24"/>
        </w:rPr>
        <w:t>）做好事件情况的后续报告；</w:t>
      </w:r>
    </w:p>
    <w:p>
      <w:pPr>
        <w:adjustRightInd w:val="0"/>
        <w:snapToGrid w:val="0"/>
        <w:spacing w:line="460" w:lineRule="exact"/>
        <w:ind w:firstLine="477" w:firstLineChars="196"/>
        <w:jc w:val="left"/>
        <w:rPr>
          <w:rFonts w:ascii="宋体"/>
          <w:kern w:val="0"/>
          <w:sz w:val="24"/>
        </w:rPr>
      </w:pPr>
      <w:r>
        <w:rPr>
          <w:rFonts w:hint="eastAsia" w:ascii="宋体" w:hAnsi="宋体"/>
          <w:kern w:val="0"/>
          <w:sz w:val="24"/>
        </w:rPr>
        <w:t>（</w:t>
      </w:r>
      <w:r>
        <w:rPr>
          <w:rFonts w:ascii="宋体" w:hAnsi="宋体"/>
          <w:kern w:val="0"/>
          <w:sz w:val="24"/>
        </w:rPr>
        <w:t>4</w:t>
      </w:r>
      <w:r>
        <w:rPr>
          <w:rFonts w:hint="eastAsia" w:ascii="宋体" w:hAnsi="宋体"/>
          <w:kern w:val="0"/>
          <w:sz w:val="24"/>
        </w:rPr>
        <w:t>）配合上级部门的调查，向事件调查处理小组提供相关资料；</w:t>
      </w:r>
    </w:p>
    <w:p>
      <w:pPr>
        <w:adjustRightInd w:val="0"/>
        <w:snapToGrid w:val="0"/>
        <w:spacing w:line="460" w:lineRule="exact"/>
        <w:ind w:firstLine="477" w:firstLineChars="196"/>
        <w:jc w:val="left"/>
        <w:rPr>
          <w:rFonts w:ascii="宋体"/>
          <w:kern w:val="0"/>
          <w:sz w:val="24"/>
        </w:rPr>
      </w:pPr>
      <w:r>
        <w:rPr>
          <w:rFonts w:hint="eastAsia" w:ascii="宋体" w:hAnsi="宋体"/>
          <w:kern w:val="0"/>
          <w:sz w:val="24"/>
        </w:rPr>
        <w:t>（</w:t>
      </w:r>
      <w:r>
        <w:rPr>
          <w:rFonts w:ascii="宋体" w:hAnsi="宋体"/>
          <w:kern w:val="0"/>
          <w:sz w:val="24"/>
        </w:rPr>
        <w:t>5</w:t>
      </w:r>
      <w:r>
        <w:rPr>
          <w:rFonts w:hint="eastAsia" w:ascii="宋体" w:hAnsi="宋体"/>
          <w:kern w:val="0"/>
          <w:sz w:val="24"/>
        </w:rPr>
        <w:t>）事件原因、损失调查与责任认定；</w:t>
      </w:r>
    </w:p>
    <w:p>
      <w:pPr>
        <w:adjustRightInd w:val="0"/>
        <w:snapToGrid w:val="0"/>
        <w:spacing w:line="360" w:lineRule="auto"/>
        <w:ind w:firstLine="477" w:firstLineChars="196"/>
        <w:jc w:val="left"/>
        <w:rPr>
          <w:rFonts w:ascii="宋体"/>
          <w:kern w:val="0"/>
          <w:sz w:val="24"/>
        </w:rPr>
      </w:pPr>
      <w:r>
        <w:rPr>
          <w:rFonts w:hint="eastAsia" w:ascii="宋体" w:hAnsi="宋体"/>
          <w:kern w:val="0"/>
          <w:sz w:val="24"/>
        </w:rPr>
        <w:t>（</w:t>
      </w:r>
      <w:r>
        <w:rPr>
          <w:rFonts w:ascii="宋体" w:hAnsi="宋体"/>
          <w:kern w:val="0"/>
          <w:sz w:val="24"/>
        </w:rPr>
        <w:t>6</w:t>
      </w:r>
      <w:r>
        <w:rPr>
          <w:rFonts w:hint="eastAsia" w:ascii="宋体" w:hAnsi="宋体"/>
          <w:kern w:val="0"/>
          <w:sz w:val="24"/>
        </w:rPr>
        <w:t>）对应急过程进行评价，对事件应急救援工作做好总结报告，突发环境事件应急预案的修订；</w:t>
      </w:r>
    </w:p>
    <w:p>
      <w:pPr>
        <w:adjustRightInd w:val="0"/>
        <w:snapToGrid w:val="0"/>
        <w:spacing w:line="360" w:lineRule="auto"/>
        <w:ind w:firstLine="477" w:firstLineChars="196"/>
        <w:jc w:val="left"/>
        <w:rPr>
          <w:rFonts w:ascii="宋体"/>
          <w:kern w:val="0"/>
          <w:sz w:val="24"/>
        </w:rPr>
      </w:pPr>
      <w:r>
        <w:rPr>
          <w:rFonts w:hint="eastAsia" w:ascii="宋体" w:hAnsi="宋体"/>
          <w:kern w:val="0"/>
          <w:sz w:val="24"/>
        </w:rPr>
        <w:t>（</w:t>
      </w:r>
      <w:r>
        <w:rPr>
          <w:rFonts w:ascii="宋体" w:hAnsi="宋体"/>
          <w:kern w:val="0"/>
          <w:sz w:val="24"/>
        </w:rPr>
        <w:t>7</w:t>
      </w:r>
      <w:r>
        <w:rPr>
          <w:rFonts w:hint="eastAsia" w:ascii="宋体" w:hAnsi="宋体"/>
          <w:kern w:val="0"/>
          <w:sz w:val="24"/>
        </w:rPr>
        <w:t>）对应急器材及时进行检查、复位、补充。</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Start w:id="442" w:name="_Toc17333"/>
      <w:bookmarkStart w:id="443" w:name="_Toc229283978"/>
      <w:bookmarkStart w:id="444" w:name="_Toc184809557"/>
      <w:bookmarkStart w:id="445" w:name="_Toc304963608"/>
      <w:bookmarkStart w:id="446" w:name="_Toc197251348"/>
      <w:bookmarkStart w:id="447" w:name="_Toc304964451"/>
      <w:bookmarkStart w:id="448" w:name="_Toc336327136"/>
      <w:bookmarkStart w:id="449" w:name="_Toc387131765"/>
      <w:bookmarkStart w:id="450" w:name="_Toc198355328"/>
      <w:bookmarkStart w:id="451" w:name="_Toc415254551"/>
      <w:bookmarkStart w:id="452" w:name="_Toc196018644"/>
      <w:bookmarkStart w:id="453" w:name="_Toc198007343"/>
      <w:bookmarkStart w:id="454" w:name="_Toc336326858"/>
      <w:bookmarkStart w:id="455" w:name="_Toc183339230"/>
      <w:bookmarkStart w:id="456" w:name="_Toc262051548"/>
      <w:bookmarkStart w:id="457" w:name="_Toc387131434"/>
      <w:bookmarkStart w:id="458" w:name="_Toc262050874"/>
      <w:bookmarkStart w:id="459" w:name="_Toc304833241"/>
      <w:bookmarkStart w:id="460" w:name="_Toc262051127"/>
      <w:bookmarkStart w:id="461" w:name="_Toc196018440"/>
      <w:bookmarkStart w:id="462" w:name="_Toc387131508"/>
      <w:bookmarkStart w:id="463" w:name="_Toc408274445"/>
      <w:bookmarkStart w:id="464" w:name="_Toc262040284"/>
      <w:bookmarkStart w:id="465" w:name="_Toc304962964"/>
      <w:bookmarkStart w:id="466" w:name="_Toc196018549"/>
      <w:bookmarkStart w:id="467" w:name="_Toc185670990"/>
      <w:bookmarkStart w:id="468" w:name="_Toc183339506"/>
      <w:bookmarkStart w:id="469" w:name="_Toc184808770"/>
    </w:p>
    <w:p>
      <w:pPr>
        <w:adjustRightInd w:val="0"/>
        <w:snapToGrid w:val="0"/>
        <w:spacing w:line="360" w:lineRule="auto"/>
        <w:jc w:val="center"/>
        <w:textAlignment w:val="center"/>
        <w:outlineLvl w:val="0"/>
        <w:rPr>
          <w:rFonts w:ascii="宋体"/>
          <w:b/>
          <w:color w:val="000000"/>
          <w:sz w:val="32"/>
        </w:rPr>
      </w:pPr>
      <w:bookmarkStart w:id="470" w:name="_Toc2854"/>
      <w:r>
        <w:rPr>
          <w:rFonts w:ascii="宋体" w:hAnsi="宋体"/>
          <w:b/>
          <w:color w:val="000000"/>
          <w:sz w:val="32"/>
        </w:rPr>
        <w:t>7</w:t>
      </w:r>
      <w:r>
        <w:rPr>
          <w:rFonts w:hint="eastAsia" w:ascii="宋体" w:hAnsi="宋体"/>
          <w:b/>
          <w:color w:val="000000"/>
          <w:sz w:val="32"/>
        </w:rPr>
        <w:t>后期处置</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pPr>
        <w:adjustRightInd w:val="0"/>
        <w:snapToGrid w:val="0"/>
        <w:spacing w:line="460" w:lineRule="exact"/>
        <w:outlineLvl w:val="1"/>
        <w:rPr>
          <w:rFonts w:hint="eastAsia"/>
          <w:b/>
          <w:color w:val="000000"/>
          <w:sz w:val="26"/>
          <w:szCs w:val="26"/>
          <w:lang w:val="zh-CN"/>
        </w:rPr>
      </w:pPr>
      <w:bookmarkStart w:id="471" w:name="_Toc27785"/>
      <w:bookmarkStart w:id="472" w:name="_Toc387131766"/>
      <w:bookmarkStart w:id="473" w:name="_Toc387131509"/>
      <w:bookmarkStart w:id="474" w:name="_Toc387131435"/>
      <w:bookmarkStart w:id="475" w:name="_Toc350931210"/>
      <w:bookmarkStart w:id="476" w:name="_Toc415254552"/>
      <w:bookmarkStart w:id="477" w:name="_Toc19849"/>
      <w:bookmarkStart w:id="478" w:name="_Toc183339507"/>
      <w:bookmarkStart w:id="479" w:name="_Toc262040285"/>
      <w:bookmarkStart w:id="480" w:name="_Toc229283979"/>
      <w:bookmarkStart w:id="481" w:name="_Toc196018645"/>
      <w:bookmarkStart w:id="482" w:name="_Toc198355329"/>
      <w:bookmarkStart w:id="483" w:name="_Toc179794563"/>
      <w:bookmarkStart w:id="484" w:name="_Toc184808771"/>
      <w:bookmarkStart w:id="485" w:name="_Toc196018441"/>
      <w:bookmarkStart w:id="486" w:name="_Toc262051549"/>
      <w:bookmarkStart w:id="487" w:name="_Toc304964452"/>
      <w:bookmarkStart w:id="488" w:name="_Toc304962965"/>
      <w:bookmarkStart w:id="489" w:name="_Toc336326859"/>
      <w:bookmarkStart w:id="490" w:name="_Toc262051128"/>
      <w:bookmarkStart w:id="491" w:name="_Toc262050875"/>
      <w:bookmarkStart w:id="492" w:name="_Toc184809558"/>
      <w:bookmarkStart w:id="493" w:name="_Toc196018550"/>
      <w:bookmarkStart w:id="494" w:name="_Toc336327137"/>
      <w:bookmarkStart w:id="495" w:name="_Toc304833242"/>
      <w:bookmarkStart w:id="496" w:name="_Toc185670991"/>
      <w:bookmarkStart w:id="497" w:name="_Toc198007344"/>
      <w:bookmarkStart w:id="498" w:name="_Toc304963609"/>
      <w:bookmarkStart w:id="499" w:name="_Toc197251349"/>
      <w:bookmarkStart w:id="500" w:name="_Toc183339231"/>
      <w:r>
        <w:rPr>
          <w:rFonts w:hint="eastAsia"/>
          <w:b/>
          <w:color w:val="000000"/>
          <w:sz w:val="26"/>
          <w:szCs w:val="26"/>
          <w:lang w:val="zh-CN"/>
        </w:rPr>
        <w:t>7.1 污染物处理</w:t>
      </w:r>
      <w:bookmarkEnd w:id="471"/>
      <w:bookmarkEnd w:id="472"/>
      <w:bookmarkEnd w:id="473"/>
      <w:bookmarkEnd w:id="474"/>
      <w:bookmarkEnd w:id="475"/>
      <w:bookmarkEnd w:id="476"/>
      <w:bookmarkEnd w:id="477"/>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本着科学处理、尽可能减少对周围环境污染的原则对因发生事故而产生的污染物进行处理。</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对于事故处理过程中产生事故废水，禁止直接排入下水道，应采用事故水收集系统管道送至事故水收集池收集，再集中由污水处理站按不同物料分批次处理。</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对于事故处理过程中产生的含危险废物的消防沙，以及无法再使用的危险废物，应收集在危险废物堆场，再由委托有资质的处理单位处理。</w:t>
      </w:r>
    </w:p>
    <w:p>
      <w:pPr>
        <w:adjustRightInd w:val="0"/>
        <w:snapToGrid w:val="0"/>
        <w:spacing w:line="460" w:lineRule="exact"/>
        <w:outlineLvl w:val="1"/>
        <w:rPr>
          <w:rFonts w:hint="eastAsia"/>
          <w:b/>
          <w:color w:val="000000"/>
          <w:sz w:val="26"/>
          <w:szCs w:val="26"/>
          <w:lang w:val="zh-CN"/>
        </w:rPr>
      </w:pPr>
      <w:bookmarkStart w:id="501" w:name="_Toc18325"/>
      <w:bookmarkStart w:id="502" w:name="_Toc350931212"/>
      <w:bookmarkStart w:id="503" w:name="_Toc387131767"/>
      <w:bookmarkStart w:id="504" w:name="_Toc387131510"/>
      <w:bookmarkStart w:id="505" w:name="_Toc415254553"/>
      <w:bookmarkStart w:id="506" w:name="_Toc387131436"/>
      <w:bookmarkStart w:id="507" w:name="_Toc30813"/>
      <w:r>
        <w:rPr>
          <w:rFonts w:hint="eastAsia"/>
          <w:b/>
          <w:color w:val="000000"/>
          <w:sz w:val="26"/>
          <w:szCs w:val="26"/>
          <w:lang w:val="zh-CN"/>
        </w:rPr>
        <w:t>7.2生产秩序恢复</w:t>
      </w:r>
      <w:bookmarkEnd w:id="501"/>
      <w:bookmarkEnd w:id="502"/>
      <w:bookmarkEnd w:id="503"/>
      <w:bookmarkEnd w:id="504"/>
      <w:bookmarkEnd w:id="505"/>
      <w:bookmarkEnd w:id="506"/>
      <w:bookmarkEnd w:id="507"/>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应急救援终止后，公司</w:t>
      </w:r>
      <w:r>
        <w:rPr>
          <w:rFonts w:hint="eastAsia" w:ascii="宋体" w:hAnsi="宋体" w:cs="宋体"/>
          <w:kern w:val="0"/>
          <w:sz w:val="24"/>
          <w:szCs w:val="24"/>
        </w:rPr>
        <w:t>抢险救灾组</w:t>
      </w:r>
      <w:r>
        <w:rPr>
          <w:rFonts w:hint="eastAsia" w:ascii="宋体" w:hAnsi="宋体"/>
          <w:color w:val="000000"/>
          <w:sz w:val="24"/>
          <w:szCs w:val="24"/>
        </w:rPr>
        <w:t>应制定切实可行的现场清理、修复方案，避免出现新的危险。在现场取证工作未结束前，警戒保卫组必须继续对现场进行保护，不得破坏有关物证资料。综合协调组妥善安置和慰问受害及受影响人员，保证社会稳定，尽快恢复正常秩序。</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公司按制定的现场修复方案，有序进行现场恢复。事故发生部门负责调整岗位人员、调试设备，尽快恢复生产，尽可能的降低事故损失。</w:t>
      </w:r>
    </w:p>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Pr>
        <w:adjustRightInd w:val="0"/>
        <w:snapToGrid w:val="0"/>
        <w:spacing w:line="460" w:lineRule="exact"/>
        <w:outlineLvl w:val="1"/>
        <w:rPr>
          <w:rFonts w:hint="eastAsia"/>
          <w:b/>
          <w:color w:val="000000"/>
          <w:sz w:val="26"/>
          <w:szCs w:val="26"/>
          <w:lang w:val="zh-CN"/>
        </w:rPr>
      </w:pPr>
      <w:bookmarkStart w:id="508" w:name="_Toc387131437"/>
      <w:bookmarkStart w:id="509" w:name="_Toc387131511"/>
      <w:bookmarkStart w:id="510" w:name="_Toc350931213"/>
      <w:bookmarkStart w:id="511" w:name="_Toc387131768"/>
      <w:bookmarkStart w:id="512" w:name="_Toc19333"/>
      <w:bookmarkStart w:id="513" w:name="_Toc415254554"/>
      <w:bookmarkStart w:id="514" w:name="_Toc20637"/>
      <w:r>
        <w:rPr>
          <w:rFonts w:hint="eastAsia"/>
          <w:b/>
          <w:color w:val="000000"/>
          <w:sz w:val="26"/>
          <w:szCs w:val="26"/>
          <w:lang w:val="zh-CN"/>
        </w:rPr>
        <w:t>7.3善后</w:t>
      </w:r>
      <w:bookmarkEnd w:id="508"/>
      <w:bookmarkEnd w:id="509"/>
      <w:bookmarkEnd w:id="510"/>
      <w:bookmarkEnd w:id="511"/>
      <w:r>
        <w:rPr>
          <w:rFonts w:hint="eastAsia"/>
          <w:b/>
          <w:color w:val="000000"/>
          <w:sz w:val="26"/>
          <w:szCs w:val="26"/>
          <w:lang w:val="zh-CN"/>
        </w:rPr>
        <w:t>处置（医疗救治、人员安置、善后赔偿）</w:t>
      </w:r>
      <w:bookmarkEnd w:id="512"/>
      <w:bookmarkEnd w:id="513"/>
      <w:bookmarkEnd w:id="514"/>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生产安全事故发生后，公司财务部、综合部应及时与保险机构联系，及时开展受灾人员、财产保险理赔工作。发生人员伤亡的，成立善后工作组，及时对伤亡人员及其家属进行安抚，商谈救治期间的费用问题；对受灾人员应妥善安置，及时解决受灾人员生活所需；安全生产部准备工伤认定材料，按照工伤上报程序进行上报。</w:t>
      </w:r>
    </w:p>
    <w:p>
      <w:pPr>
        <w:adjustRightInd w:val="0"/>
        <w:snapToGrid w:val="0"/>
        <w:spacing w:line="460" w:lineRule="exact"/>
        <w:outlineLvl w:val="1"/>
        <w:rPr>
          <w:rFonts w:hint="eastAsia"/>
          <w:b/>
          <w:color w:val="000000"/>
          <w:sz w:val="26"/>
          <w:szCs w:val="26"/>
          <w:lang w:val="zh-CN"/>
        </w:rPr>
      </w:pPr>
      <w:bookmarkStart w:id="515" w:name="_Toc262051130"/>
      <w:bookmarkStart w:id="516" w:name="_Toc336326861"/>
      <w:bookmarkStart w:id="517" w:name="_Toc304833244"/>
      <w:bookmarkStart w:id="518" w:name="_Toc262051551"/>
      <w:bookmarkStart w:id="519" w:name="_Toc262050877"/>
      <w:bookmarkStart w:id="520" w:name="_Toc198007346"/>
      <w:bookmarkStart w:id="521" w:name="_Toc304964454"/>
      <w:bookmarkStart w:id="522" w:name="_Toc185670993"/>
      <w:bookmarkStart w:id="523" w:name="_Toc336327139"/>
      <w:bookmarkStart w:id="524" w:name="_Toc304963611"/>
      <w:bookmarkStart w:id="525" w:name="_Toc179794565"/>
      <w:bookmarkStart w:id="526" w:name="_Toc196018443"/>
      <w:bookmarkStart w:id="527" w:name="_Toc304962967"/>
      <w:bookmarkStart w:id="528" w:name="_Toc183339509"/>
      <w:bookmarkStart w:id="529" w:name="_Toc183339233"/>
      <w:bookmarkStart w:id="530" w:name="_Toc196018552"/>
      <w:bookmarkStart w:id="531" w:name="_Toc197251351"/>
      <w:bookmarkStart w:id="532" w:name="_Toc184808773"/>
      <w:bookmarkStart w:id="533" w:name="_Toc229283981"/>
      <w:bookmarkStart w:id="534" w:name="_Toc198355331"/>
      <w:bookmarkStart w:id="535" w:name="_Toc262040287"/>
      <w:bookmarkStart w:id="536" w:name="_Toc196018647"/>
      <w:bookmarkStart w:id="537" w:name="_Toc184809560"/>
      <w:bookmarkStart w:id="538" w:name="_Toc387131769"/>
      <w:bookmarkStart w:id="539" w:name="_Toc32621"/>
      <w:bookmarkStart w:id="540" w:name="_Toc415254555"/>
      <w:bookmarkStart w:id="541" w:name="_Toc387131438"/>
      <w:bookmarkStart w:id="542" w:name="_Toc387131512"/>
      <w:bookmarkStart w:id="543" w:name="_Toc29081"/>
      <w:r>
        <w:rPr>
          <w:rFonts w:hint="eastAsia"/>
          <w:b/>
          <w:color w:val="000000"/>
          <w:sz w:val="26"/>
          <w:szCs w:val="26"/>
          <w:lang w:val="zh-CN"/>
        </w:rPr>
        <w:t>7.4</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Pr>
          <w:rFonts w:hint="eastAsia"/>
          <w:b/>
          <w:color w:val="000000"/>
          <w:sz w:val="26"/>
          <w:szCs w:val="26"/>
          <w:lang w:val="zh-CN"/>
        </w:rPr>
        <w:t>应急救援能力评估</w:t>
      </w:r>
      <w:bookmarkEnd w:id="538"/>
      <w:bookmarkEnd w:id="539"/>
      <w:bookmarkEnd w:id="540"/>
      <w:bookmarkEnd w:id="541"/>
      <w:bookmarkEnd w:id="542"/>
      <w:bookmarkEnd w:id="543"/>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 xml:space="preserve">1) </w:t>
      </w:r>
      <w:r>
        <w:rPr>
          <w:rFonts w:hint="eastAsia" w:ascii="宋体" w:hAnsi="宋体"/>
          <w:color w:val="000000"/>
          <w:sz w:val="24"/>
          <w:szCs w:val="24"/>
        </w:rPr>
        <w:t>应急指挥部所有成员对事故进行评估，通过评估，总结经验、吸取教训，达到有效地防范事故或将事故危害减小到最低程度的目的。</w:t>
      </w:r>
    </w:p>
    <w:p>
      <w:pPr>
        <w:adjustRightInd w:val="0"/>
        <w:snapToGrid w:val="0"/>
        <w:spacing w:line="360" w:lineRule="auto"/>
        <w:ind w:firstLine="486" w:firstLineChars="200"/>
        <w:jc w:val="left"/>
        <w:textAlignment w:val="center"/>
        <w:rPr>
          <w:rFonts w:ascii="宋体"/>
          <w:b/>
          <w:color w:val="000000"/>
          <w:sz w:val="32"/>
        </w:rPr>
      </w:pPr>
      <w:r>
        <w:rPr>
          <w:rFonts w:ascii="宋体" w:hAnsi="宋体"/>
          <w:color w:val="000000"/>
          <w:sz w:val="24"/>
          <w:szCs w:val="24"/>
        </w:rPr>
        <w:t xml:space="preserve">2) </w:t>
      </w:r>
      <w:r>
        <w:rPr>
          <w:rFonts w:hint="eastAsia" w:ascii="宋体" w:hAnsi="宋体"/>
          <w:color w:val="000000"/>
          <w:sz w:val="24"/>
          <w:szCs w:val="24"/>
        </w:rPr>
        <w:t>生产安全事故善后处置工作结束后，安全生产部应分析总结应急救援经验教训，对抢险过程和应急救援能力进行评估，提出改进应急救援工作的建议，及时修订完善应急救援预案。</w:t>
      </w:r>
      <w:bookmarkStart w:id="544" w:name="_Toc262050878"/>
      <w:bookmarkStart w:id="545" w:name="_Toc185670994"/>
      <w:bookmarkStart w:id="546" w:name="_Toc304963612"/>
      <w:bookmarkStart w:id="547" w:name="_Toc196018444"/>
      <w:bookmarkStart w:id="548" w:name="_Toc336327140"/>
      <w:bookmarkStart w:id="549" w:name="_Toc262051552"/>
      <w:bookmarkStart w:id="550" w:name="_Toc135709128"/>
      <w:bookmarkStart w:id="551" w:name="_Toc184808774"/>
      <w:bookmarkStart w:id="552" w:name="_Toc304962968"/>
      <w:bookmarkStart w:id="553" w:name="_Toc196018648"/>
      <w:bookmarkStart w:id="554" w:name="_Toc196018553"/>
      <w:bookmarkStart w:id="555" w:name="_Toc304833245"/>
      <w:bookmarkStart w:id="556" w:name="_Toc183339510"/>
      <w:bookmarkStart w:id="557" w:name="_Toc198007347"/>
      <w:bookmarkStart w:id="558" w:name="_Toc262040288"/>
      <w:bookmarkStart w:id="559" w:name="_Toc197251352"/>
      <w:bookmarkStart w:id="560" w:name="_Toc183339234"/>
      <w:bookmarkStart w:id="561" w:name="_Toc336326862"/>
      <w:bookmarkStart w:id="562" w:name="_Toc229283982"/>
      <w:bookmarkStart w:id="563" w:name="_Toc198355332"/>
      <w:bookmarkStart w:id="564" w:name="_Toc262051131"/>
      <w:bookmarkStart w:id="565" w:name="_Toc184809561"/>
      <w:bookmarkStart w:id="566" w:name="_Toc304964455"/>
      <w:bookmarkStart w:id="567" w:name="_Toc387131770"/>
      <w:bookmarkStart w:id="568" w:name="_Toc387131439"/>
      <w:bookmarkStart w:id="569" w:name="_Toc415254556"/>
      <w:bookmarkStart w:id="570" w:name="_Toc387131513"/>
    </w:p>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Pr>
        <w:adjustRightInd w:val="0"/>
        <w:snapToGrid w:val="0"/>
        <w:spacing w:line="360" w:lineRule="auto"/>
        <w:jc w:val="center"/>
        <w:textAlignment w:val="center"/>
        <w:outlineLvl w:val="0"/>
        <w:rPr>
          <w:rFonts w:ascii="宋体"/>
          <w:b/>
          <w:color w:val="000000"/>
          <w:sz w:val="32"/>
        </w:rPr>
      </w:pPr>
      <w:bookmarkStart w:id="571" w:name="_Toc26559"/>
      <w:bookmarkStart w:id="572" w:name="_Toc13731"/>
      <w:r>
        <w:rPr>
          <w:rFonts w:ascii="宋体" w:hAnsi="宋体"/>
          <w:b/>
          <w:color w:val="000000"/>
          <w:sz w:val="32"/>
        </w:rPr>
        <w:t>8</w:t>
      </w:r>
      <w:r>
        <w:rPr>
          <w:rFonts w:hint="eastAsia" w:ascii="宋体" w:hAnsi="宋体"/>
          <w:b/>
          <w:color w:val="000000"/>
          <w:sz w:val="32"/>
        </w:rPr>
        <w:t>保障措施</w:t>
      </w:r>
      <w:bookmarkEnd w:id="567"/>
      <w:bookmarkEnd w:id="568"/>
      <w:bookmarkEnd w:id="569"/>
      <w:bookmarkEnd w:id="570"/>
      <w:bookmarkEnd w:id="571"/>
      <w:bookmarkEnd w:id="572"/>
    </w:p>
    <w:p>
      <w:pPr>
        <w:adjustRightInd w:val="0"/>
        <w:snapToGrid w:val="0"/>
        <w:spacing w:line="460" w:lineRule="exact"/>
        <w:outlineLvl w:val="1"/>
        <w:rPr>
          <w:rFonts w:hint="eastAsia"/>
          <w:b/>
          <w:color w:val="000000"/>
          <w:sz w:val="26"/>
          <w:szCs w:val="26"/>
          <w:lang w:val="zh-CN"/>
        </w:rPr>
      </w:pPr>
      <w:bookmarkStart w:id="573" w:name="_Toc135709129"/>
      <w:bookmarkStart w:id="574" w:name="_Toc183339235"/>
      <w:bookmarkStart w:id="575" w:name="_Toc183339511"/>
      <w:bookmarkStart w:id="576" w:name="_Toc197251353"/>
      <w:bookmarkStart w:id="577" w:name="_Toc184809562"/>
      <w:bookmarkStart w:id="578" w:name="_Toc387131440"/>
      <w:bookmarkStart w:id="579" w:name="_Toc262051553"/>
      <w:bookmarkStart w:id="580" w:name="_Toc336327141"/>
      <w:bookmarkStart w:id="581" w:name="_Toc262050879"/>
      <w:bookmarkStart w:id="582" w:name="_Toc387131514"/>
      <w:bookmarkStart w:id="583" w:name="_Toc196018649"/>
      <w:bookmarkStart w:id="584" w:name="_Toc304964456"/>
      <w:bookmarkStart w:id="585" w:name="_Toc6425"/>
      <w:bookmarkStart w:id="586" w:name="_Toc262051132"/>
      <w:bookmarkStart w:id="587" w:name="_Toc304962969"/>
      <w:bookmarkStart w:id="588" w:name="_Toc387131771"/>
      <w:bookmarkStart w:id="589" w:name="_Toc229283983"/>
      <w:bookmarkStart w:id="590" w:name="_Toc304963613"/>
      <w:bookmarkStart w:id="591" w:name="_Toc304833246"/>
      <w:bookmarkStart w:id="592" w:name="_Toc196018445"/>
      <w:bookmarkStart w:id="593" w:name="_Toc415254557"/>
      <w:bookmarkStart w:id="594" w:name="_Toc198007348"/>
      <w:bookmarkStart w:id="595" w:name="_Toc198355333"/>
      <w:bookmarkStart w:id="596" w:name="_Toc196018554"/>
      <w:bookmarkStart w:id="597" w:name="_Toc185670995"/>
      <w:bookmarkStart w:id="598" w:name="_Toc336326863"/>
      <w:bookmarkStart w:id="599" w:name="_Toc184808775"/>
      <w:bookmarkStart w:id="600" w:name="_Toc262040289"/>
      <w:bookmarkStart w:id="601" w:name="_Toc18426"/>
      <w:r>
        <w:rPr>
          <w:rFonts w:hint="eastAsia"/>
          <w:b/>
          <w:color w:val="000000"/>
          <w:sz w:val="26"/>
          <w:szCs w:val="26"/>
          <w:lang w:val="zh-CN"/>
        </w:rPr>
        <w:t>8.1</w:t>
      </w:r>
      <w:bookmarkEnd w:id="573"/>
      <w:bookmarkEnd w:id="574"/>
      <w:bookmarkEnd w:id="575"/>
      <w:r>
        <w:rPr>
          <w:rFonts w:hint="eastAsia"/>
          <w:b/>
          <w:color w:val="000000"/>
          <w:sz w:val="26"/>
          <w:szCs w:val="26"/>
          <w:lang w:val="zh-CN"/>
        </w:rPr>
        <w:t>通信与信息保障</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 xml:space="preserve">1) </w:t>
      </w:r>
      <w:r>
        <w:rPr>
          <w:rFonts w:hint="eastAsia" w:ascii="宋体" w:hAnsi="宋体"/>
          <w:color w:val="000000"/>
          <w:sz w:val="24"/>
          <w:szCs w:val="24"/>
        </w:rPr>
        <w:t>百胜榨菜污水处理厂建立有有线电话、无线电话和对讲机等多渠道的应急通信系统，通讯方式包括厂区行政电话系统、生产调度电话系统、无线对讲机、火灾自动报警及消防联动系统等。</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2) 24</w:t>
      </w:r>
      <w:r>
        <w:rPr>
          <w:rFonts w:hint="eastAsia" w:ascii="宋体" w:hAnsi="宋体"/>
          <w:color w:val="000000"/>
          <w:sz w:val="24"/>
          <w:szCs w:val="24"/>
        </w:rPr>
        <w:t>小时应急值守电话是：</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应急值班电话：（</w:t>
      </w:r>
      <w:r>
        <w:rPr>
          <w:rFonts w:ascii="宋体" w:hAnsi="宋体"/>
          <w:b/>
          <w:bCs/>
          <w:color w:val="000000"/>
          <w:sz w:val="24"/>
          <w:szCs w:val="24"/>
        </w:rPr>
        <w:t>023-</w:t>
      </w:r>
      <w:r>
        <w:rPr>
          <w:rFonts w:ascii="宋体" w:hAnsi="宋体" w:cs="仿宋_GB2312"/>
          <w:b/>
          <w:color w:val="000000"/>
          <w:sz w:val="24"/>
          <w:szCs w:val="24"/>
        </w:rPr>
        <w:t>72160135</w:t>
      </w:r>
      <w:r>
        <w:rPr>
          <w:rFonts w:ascii="宋体" w:hAnsi="宋体"/>
          <w:b/>
          <w:color w:val="000000"/>
          <w:sz w:val="24"/>
          <w:szCs w:val="24"/>
        </w:rPr>
        <w:t>)</w:t>
      </w:r>
      <w:r>
        <w:rPr>
          <w:rFonts w:ascii="宋体" w:hAnsi="宋体"/>
          <w:color w:val="000000"/>
          <w:sz w:val="24"/>
          <w:szCs w:val="24"/>
        </w:rPr>
        <w:t xml:space="preserve"> </w:t>
      </w:r>
      <w:r>
        <w:rPr>
          <w:rFonts w:hint="eastAsia" w:ascii="宋体" w:hAnsi="宋体"/>
          <w:color w:val="000000"/>
          <w:sz w:val="24"/>
          <w:szCs w:val="24"/>
        </w:rPr>
        <w:t>应急指挥部向全公司发布救援信号，采用移动通讯的方式。公司已经根据应急需要补偿部分员工的通讯费用，并要求他们的手机</w:t>
      </w:r>
      <w:r>
        <w:rPr>
          <w:rFonts w:ascii="宋体" w:hAnsi="宋体"/>
          <w:color w:val="000000"/>
          <w:sz w:val="24"/>
          <w:szCs w:val="24"/>
        </w:rPr>
        <w:t>24</w:t>
      </w:r>
      <w:r>
        <w:rPr>
          <w:rFonts w:hint="eastAsia" w:ascii="宋体" w:hAnsi="宋体"/>
          <w:color w:val="000000"/>
          <w:sz w:val="24"/>
          <w:szCs w:val="24"/>
        </w:rPr>
        <w:t>小时处于开机状态。</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应急救援通讯联络方式见附件。</w:t>
      </w:r>
    </w:p>
    <w:p>
      <w:pPr>
        <w:adjustRightInd w:val="0"/>
        <w:snapToGrid w:val="0"/>
        <w:spacing w:line="460" w:lineRule="exact"/>
        <w:outlineLvl w:val="1"/>
        <w:rPr>
          <w:rFonts w:hint="eastAsia"/>
          <w:b/>
          <w:color w:val="000000"/>
          <w:sz w:val="26"/>
          <w:szCs w:val="26"/>
          <w:lang w:val="zh-CN"/>
        </w:rPr>
      </w:pPr>
      <w:bookmarkStart w:id="602" w:name="_Toc184808776"/>
      <w:bookmarkStart w:id="603" w:name="_Toc304964457"/>
      <w:bookmarkStart w:id="604" w:name="_Toc229283984"/>
      <w:bookmarkStart w:id="605" w:name="_Toc336327142"/>
      <w:bookmarkStart w:id="606" w:name="_Toc387131441"/>
      <w:bookmarkStart w:id="607" w:name="_Toc8907"/>
      <w:bookmarkStart w:id="608" w:name="_Toc198355334"/>
      <w:bookmarkStart w:id="609" w:name="_Toc304962970"/>
      <w:bookmarkStart w:id="610" w:name="_Toc197251354"/>
      <w:bookmarkStart w:id="611" w:name="_Toc304833247"/>
      <w:bookmarkStart w:id="612" w:name="_Toc387131772"/>
      <w:bookmarkStart w:id="613" w:name="_Toc262051133"/>
      <w:bookmarkStart w:id="614" w:name="_Toc415254558"/>
      <w:bookmarkStart w:id="615" w:name="_Toc196018446"/>
      <w:bookmarkStart w:id="616" w:name="_Toc185670996"/>
      <w:bookmarkStart w:id="617" w:name="_Toc262040290"/>
      <w:bookmarkStart w:id="618" w:name="_Toc304963614"/>
      <w:bookmarkStart w:id="619" w:name="_Toc196018650"/>
      <w:bookmarkStart w:id="620" w:name="_Toc184809563"/>
      <w:bookmarkStart w:id="621" w:name="_Toc196018555"/>
      <w:bookmarkStart w:id="622" w:name="_Toc262051554"/>
      <w:bookmarkStart w:id="623" w:name="_Toc198007349"/>
      <w:bookmarkStart w:id="624" w:name="_Toc387131515"/>
      <w:bookmarkStart w:id="625" w:name="_Toc262050880"/>
      <w:bookmarkStart w:id="626" w:name="_Toc336326864"/>
      <w:bookmarkStart w:id="627" w:name="_Toc15170"/>
      <w:r>
        <w:rPr>
          <w:rFonts w:hint="eastAsia"/>
          <w:b/>
          <w:color w:val="000000"/>
          <w:sz w:val="26"/>
          <w:szCs w:val="26"/>
          <w:lang w:val="zh-CN"/>
        </w:rPr>
        <w:t>8.2应急队伍保障</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pPr>
        <w:adjustRightInd w:val="0"/>
        <w:snapToGrid w:val="0"/>
        <w:spacing w:line="360" w:lineRule="auto"/>
        <w:ind w:firstLine="486" w:firstLineChars="200"/>
        <w:jc w:val="left"/>
        <w:textAlignment w:val="center"/>
        <w:rPr>
          <w:rFonts w:hint="eastAsia" w:ascii="宋体" w:hAnsi="宋体"/>
          <w:color w:val="000000"/>
          <w:sz w:val="24"/>
          <w:szCs w:val="24"/>
          <w:lang w:val="zh-CN"/>
        </w:rPr>
      </w:pPr>
      <w:bookmarkStart w:id="628" w:name="_Toc196018447"/>
      <w:bookmarkStart w:id="629" w:name="_Toc179794569"/>
      <w:bookmarkStart w:id="630" w:name="_Toc196018651"/>
      <w:bookmarkStart w:id="631" w:name="_Toc185670997"/>
      <w:bookmarkStart w:id="632" w:name="_Toc198007350"/>
      <w:bookmarkStart w:id="633" w:name="_Toc229283985"/>
      <w:bookmarkStart w:id="634" w:name="_Toc262051555"/>
      <w:bookmarkStart w:id="635" w:name="_Toc262050881"/>
      <w:bookmarkStart w:id="636" w:name="_Toc262051134"/>
      <w:bookmarkStart w:id="637" w:name="_Toc197251355"/>
      <w:bookmarkStart w:id="638" w:name="_Toc198355335"/>
      <w:bookmarkStart w:id="639" w:name="_Toc184808777"/>
      <w:bookmarkStart w:id="640" w:name="_Toc184809564"/>
      <w:bookmarkStart w:id="641" w:name="_Toc262040291"/>
      <w:bookmarkStart w:id="642" w:name="_Toc196018556"/>
      <w:r>
        <w:rPr>
          <w:rFonts w:hint="eastAsia" w:ascii="宋体" w:hAnsi="宋体"/>
          <w:color w:val="000000"/>
          <w:sz w:val="24"/>
          <w:szCs w:val="24"/>
        </w:rPr>
        <w:t xml:space="preserve">1) </w:t>
      </w:r>
      <w:r>
        <w:rPr>
          <w:rFonts w:hint="eastAsia" w:ascii="宋体" w:hAnsi="宋体"/>
          <w:color w:val="000000"/>
          <w:sz w:val="24"/>
          <w:szCs w:val="24"/>
        </w:rPr>
        <w:t>公司组建应急救援抢险队伍，包括抢险救灾组、</w:t>
      </w:r>
      <w:r>
        <w:rPr>
          <w:rFonts w:hint="eastAsia" w:ascii="宋体" w:hAnsi="宋体"/>
          <w:color w:val="000000"/>
          <w:sz w:val="24"/>
          <w:szCs w:val="24"/>
          <w:lang w:val="zh-CN"/>
        </w:rPr>
        <w:t>医疗救护组、警戒保卫组、环境监测组、综合协调组</w:t>
      </w:r>
      <w:r>
        <w:rPr>
          <w:rFonts w:hint="eastAsia" w:ascii="宋体" w:hAnsi="宋体"/>
          <w:color w:val="000000"/>
          <w:sz w:val="24"/>
          <w:szCs w:val="24"/>
        </w:rPr>
        <w:t>等。公司不断加强对应急救援队伍的专业培训和应急演练，以提高本公司应急救援队伍的素质。</w:t>
      </w:r>
    </w:p>
    <w:p>
      <w:pPr>
        <w:adjustRightInd w:val="0"/>
        <w:snapToGrid w:val="0"/>
        <w:spacing w:line="360" w:lineRule="auto"/>
        <w:ind w:firstLine="486" w:firstLineChars="200"/>
        <w:jc w:val="left"/>
        <w:textAlignment w:val="center"/>
        <w:rPr>
          <w:rFonts w:hint="eastAsia" w:ascii="宋体" w:hAnsi="宋体"/>
          <w:color w:val="000000"/>
          <w:sz w:val="24"/>
          <w:szCs w:val="24"/>
        </w:rPr>
      </w:pPr>
      <w:r>
        <w:rPr>
          <w:rFonts w:hint="eastAsia" w:ascii="宋体" w:hAnsi="宋体"/>
          <w:color w:val="000000"/>
          <w:sz w:val="24"/>
          <w:szCs w:val="24"/>
        </w:rPr>
        <w:t xml:space="preserve">2) </w:t>
      </w:r>
      <w:r>
        <w:rPr>
          <w:rFonts w:hint="eastAsia" w:ascii="宋体" w:hAnsi="宋体"/>
          <w:color w:val="000000"/>
          <w:sz w:val="24"/>
          <w:szCs w:val="24"/>
        </w:rPr>
        <w:t>公司位于涪陵百胜镇紫竹村，镇内有榨菜企业专业救援队伍和重庆市涪陵区百胜政府义务消防队，其能力可满足公司应急需要，可以作为公司应急资源保障。</w:t>
      </w:r>
    </w:p>
    <w:p>
      <w:pPr>
        <w:adjustRightInd w:val="0"/>
        <w:snapToGrid w:val="0"/>
        <w:spacing w:line="360" w:lineRule="auto"/>
        <w:ind w:firstLine="486" w:firstLineChars="200"/>
        <w:jc w:val="left"/>
        <w:textAlignment w:val="center"/>
        <w:rPr>
          <w:rFonts w:hint="eastAsia" w:ascii="宋体" w:hAnsi="宋体"/>
          <w:color w:val="000000"/>
          <w:sz w:val="24"/>
          <w:szCs w:val="24"/>
        </w:rPr>
      </w:pPr>
      <w:r>
        <w:rPr>
          <w:rFonts w:hint="eastAsia" w:ascii="宋体" w:hAnsi="宋体"/>
          <w:color w:val="000000"/>
          <w:sz w:val="24"/>
          <w:szCs w:val="24"/>
        </w:rPr>
        <w:t>公司应急救援队伍组成见附件。</w:t>
      </w:r>
    </w:p>
    <w:p>
      <w:pPr>
        <w:adjustRightInd w:val="0"/>
        <w:snapToGrid w:val="0"/>
        <w:spacing w:line="460" w:lineRule="exact"/>
        <w:outlineLvl w:val="1"/>
        <w:rPr>
          <w:rFonts w:hint="eastAsia"/>
          <w:b/>
          <w:color w:val="000000"/>
          <w:sz w:val="26"/>
          <w:szCs w:val="26"/>
          <w:lang w:val="zh-CN"/>
        </w:rPr>
      </w:pPr>
      <w:bookmarkStart w:id="643" w:name="_Toc336327143"/>
      <w:bookmarkStart w:id="644" w:name="_Toc304962971"/>
      <w:bookmarkStart w:id="645" w:name="_Toc387131773"/>
      <w:bookmarkStart w:id="646" w:name="_Toc387131442"/>
      <w:bookmarkStart w:id="647" w:name="_Toc304833248"/>
      <w:bookmarkStart w:id="648" w:name="_Toc22113"/>
      <w:bookmarkStart w:id="649" w:name="_Toc304964458"/>
      <w:bookmarkStart w:id="650" w:name="_Toc304963615"/>
      <w:bookmarkStart w:id="651" w:name="_Toc387131516"/>
      <w:bookmarkStart w:id="652" w:name="_Toc415254559"/>
      <w:bookmarkStart w:id="653" w:name="_Toc336326865"/>
      <w:bookmarkStart w:id="654" w:name="_Toc20847"/>
      <w:r>
        <w:rPr>
          <w:rFonts w:hint="eastAsia"/>
          <w:b/>
          <w:color w:val="000000"/>
          <w:sz w:val="26"/>
          <w:szCs w:val="26"/>
          <w:lang w:val="zh-CN"/>
        </w:rPr>
        <w:t>8.3物资装备保障</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 xml:space="preserve">1) </w:t>
      </w:r>
      <w:r>
        <w:rPr>
          <w:rFonts w:hint="eastAsia" w:ascii="宋体" w:hAnsi="宋体"/>
          <w:color w:val="000000"/>
          <w:sz w:val="24"/>
          <w:szCs w:val="24"/>
        </w:rPr>
        <w:t>公司自备应急救援物资</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公司生产区、仓库设有完善的消防水灭火系统、火灾报警系统等，以及交通运输车、各型灭火器、消火栓、空气呼吸器、全面罩防毒面具、防护服、护目镜、防护手套，以及应急照明设施等。详见附件。该物资由百胜厂负责管理，其联系方式是</w:t>
      </w:r>
      <w:r>
        <w:rPr>
          <w:rFonts w:ascii="宋体" w:hAnsi="宋体" w:cs="仿宋_GB2312"/>
          <w:sz w:val="24"/>
          <w:szCs w:val="24"/>
          <w:lang w:val="zh-CN"/>
        </w:rPr>
        <w:t>15123643138</w:t>
      </w:r>
      <w:r>
        <w:rPr>
          <w:rFonts w:hint="eastAsia" w:ascii="宋体" w:hAnsi="宋体"/>
          <w:color w:val="000000"/>
          <w:sz w:val="24"/>
          <w:szCs w:val="24"/>
        </w:rPr>
        <w:t>或</w:t>
      </w:r>
      <w:r>
        <w:rPr>
          <w:rFonts w:ascii="宋体" w:hAnsi="宋体"/>
          <w:color w:val="000000"/>
          <w:sz w:val="24"/>
          <w:szCs w:val="24"/>
        </w:rPr>
        <w:t>023-</w:t>
      </w:r>
      <w:r>
        <w:rPr>
          <w:rFonts w:ascii="宋体" w:hAnsi="宋体" w:cs="仿宋_GB2312"/>
          <w:sz w:val="24"/>
          <w:szCs w:val="24"/>
        </w:rPr>
        <w:t>72160135</w:t>
      </w:r>
      <w:r>
        <w:rPr>
          <w:rFonts w:hint="eastAsia" w:ascii="宋体" w:hAnsi="宋体"/>
          <w:color w:val="000000"/>
          <w:sz w:val="24"/>
          <w:szCs w:val="24"/>
        </w:rPr>
        <w:t>。</w:t>
      </w:r>
    </w:p>
    <w:p>
      <w:pPr>
        <w:autoSpaceDE w:val="0"/>
        <w:autoSpaceDN w:val="0"/>
        <w:adjustRightInd w:val="0"/>
        <w:spacing w:line="400" w:lineRule="exact"/>
        <w:ind w:firstLine="477" w:firstLineChars="196"/>
        <w:rPr>
          <w:rFonts w:ascii="仿宋_GB2312" w:eastAsia="仿宋_GB2312" w:cs="仿宋_GB2312"/>
          <w:sz w:val="32"/>
          <w:szCs w:val="32"/>
        </w:rPr>
      </w:pPr>
      <w:r>
        <w:rPr>
          <w:rFonts w:ascii="宋体" w:hAnsi="宋体"/>
          <w:color w:val="000000"/>
          <w:sz w:val="24"/>
          <w:szCs w:val="24"/>
        </w:rPr>
        <w:t xml:space="preserve">2) </w:t>
      </w:r>
      <w:r>
        <w:rPr>
          <w:rFonts w:hint="eastAsia" w:ascii="宋体" w:hAnsi="宋体"/>
          <w:color w:val="000000"/>
          <w:sz w:val="24"/>
          <w:szCs w:val="24"/>
        </w:rPr>
        <w:t>消防设施布置图、现场平面布置图、工艺流程图、周围地区图、气象资料存放在公司资料室由安全生产部保存管理，其联系方式：</w:t>
      </w:r>
      <w:r>
        <w:rPr>
          <w:rFonts w:ascii="宋体" w:hAnsi="宋体"/>
          <w:color w:val="000000"/>
          <w:sz w:val="24"/>
          <w:szCs w:val="24"/>
        </w:rPr>
        <w:t>023-</w:t>
      </w:r>
      <w:r>
        <w:rPr>
          <w:rFonts w:ascii="宋体" w:hAnsi="宋体" w:cs="仿宋_GB2312"/>
          <w:sz w:val="24"/>
          <w:szCs w:val="24"/>
        </w:rPr>
        <w:t>72881721</w:t>
      </w:r>
      <w:r>
        <w:rPr>
          <w:rFonts w:hint="eastAsia" w:ascii="宋体" w:hAnsi="宋体"/>
          <w:color w:val="000000"/>
          <w:sz w:val="24"/>
          <w:szCs w:val="24"/>
        </w:rPr>
        <w:t>或</w:t>
      </w:r>
      <w:r>
        <w:rPr>
          <w:rFonts w:ascii="宋体" w:hAnsi="宋体"/>
          <w:color w:val="000000"/>
          <w:sz w:val="24"/>
          <w:szCs w:val="24"/>
        </w:rPr>
        <w:t>18996819776</w:t>
      </w:r>
      <w:r>
        <w:rPr>
          <w:rFonts w:hint="eastAsia" w:ascii="宋体" w:hAnsi="宋体"/>
          <w:color w:val="000000"/>
          <w:sz w:val="24"/>
          <w:szCs w:val="24"/>
        </w:rPr>
        <w:t>。</w:t>
      </w:r>
    </w:p>
    <w:p>
      <w:pPr>
        <w:adjustRightInd w:val="0"/>
        <w:snapToGrid w:val="0"/>
        <w:spacing w:line="460" w:lineRule="exact"/>
        <w:outlineLvl w:val="1"/>
        <w:rPr>
          <w:rFonts w:hint="eastAsia"/>
          <w:b/>
          <w:color w:val="000000"/>
          <w:sz w:val="26"/>
          <w:szCs w:val="26"/>
          <w:lang w:val="zh-CN"/>
        </w:rPr>
      </w:pPr>
      <w:bookmarkStart w:id="655" w:name="_Toc184809568"/>
      <w:bookmarkStart w:id="656" w:name="_Toc304833249"/>
      <w:bookmarkStart w:id="657" w:name="_Toc197251359"/>
      <w:bookmarkStart w:id="658" w:name="_Toc262051138"/>
      <w:bookmarkStart w:id="659" w:name="_Toc336327144"/>
      <w:bookmarkStart w:id="660" w:name="_Toc198007354"/>
      <w:bookmarkStart w:id="661" w:name="_Toc196018655"/>
      <w:bookmarkStart w:id="662" w:name="_Toc184808781"/>
      <w:bookmarkStart w:id="663" w:name="_Toc196018451"/>
      <w:bookmarkStart w:id="664" w:name="_Toc262050885"/>
      <w:bookmarkStart w:id="665" w:name="_Toc198355339"/>
      <w:bookmarkStart w:id="666" w:name="_Toc304964459"/>
      <w:bookmarkStart w:id="667" w:name="_Toc262051559"/>
      <w:bookmarkStart w:id="668" w:name="_Toc304963616"/>
      <w:bookmarkStart w:id="669" w:name="_Toc185671001"/>
      <w:bookmarkStart w:id="670" w:name="_Toc196018560"/>
      <w:bookmarkStart w:id="671" w:name="_Toc262040295"/>
      <w:bookmarkStart w:id="672" w:name="_Toc336326866"/>
      <w:bookmarkStart w:id="673" w:name="_Toc229283989"/>
      <w:bookmarkStart w:id="674" w:name="_Toc304962972"/>
      <w:bookmarkStart w:id="675" w:name="_Toc387131443"/>
      <w:bookmarkStart w:id="676" w:name="_Toc387131517"/>
      <w:bookmarkStart w:id="677" w:name="_Toc415254560"/>
      <w:bookmarkStart w:id="678" w:name="_Toc3023"/>
      <w:bookmarkStart w:id="679" w:name="_Toc408274454"/>
      <w:bookmarkStart w:id="680" w:name="_Toc387131774"/>
      <w:bookmarkStart w:id="681" w:name="_Toc12813"/>
      <w:r>
        <w:rPr>
          <w:rFonts w:hint="eastAsia"/>
          <w:b/>
          <w:color w:val="000000"/>
          <w:sz w:val="26"/>
          <w:szCs w:val="26"/>
          <w:lang w:val="zh-CN"/>
        </w:rPr>
        <w:t>8.4</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Pr>
          <w:rFonts w:hint="eastAsia"/>
          <w:b/>
          <w:color w:val="000000"/>
          <w:sz w:val="26"/>
          <w:szCs w:val="26"/>
          <w:lang w:val="zh-CN"/>
        </w:rPr>
        <w:t>其他保障</w:t>
      </w:r>
      <w:bookmarkEnd w:id="675"/>
      <w:bookmarkEnd w:id="676"/>
      <w:bookmarkEnd w:id="677"/>
      <w:bookmarkEnd w:id="678"/>
      <w:bookmarkEnd w:id="679"/>
      <w:bookmarkEnd w:id="680"/>
      <w:bookmarkEnd w:id="681"/>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经费保障：公司安全生产部对应急工作的日常费用作出预算，经总经理审定后列入年度预算，由公司财务予以保证；应急资金由公司安全费用中列支。</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医疗保障：百胜镇内有百胜卫生院可以作为公司医疗保障，此外，距离公司</w:t>
      </w:r>
      <w:r>
        <w:rPr>
          <w:rFonts w:ascii="宋体" w:hAnsi="宋体"/>
          <w:color w:val="000000"/>
          <w:sz w:val="24"/>
          <w:szCs w:val="24"/>
        </w:rPr>
        <w:t>50min</w:t>
      </w:r>
      <w:r>
        <w:rPr>
          <w:rFonts w:hint="eastAsia" w:ascii="宋体" w:hAnsi="宋体"/>
          <w:color w:val="000000"/>
          <w:sz w:val="24"/>
          <w:szCs w:val="24"/>
        </w:rPr>
        <w:t>车程的涪陵中心医院等也可作为公司医疗保障。</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交通保障：办公室负责交通运输保障。应急状态时，保证车辆及驾驶人员及时将应急救援人员、装备和物资送达抢险现场。</w:t>
      </w:r>
    </w:p>
    <w:p>
      <w:pPr>
        <w:adjustRightInd w:val="0"/>
        <w:snapToGrid w:val="0"/>
        <w:spacing w:line="360" w:lineRule="auto"/>
        <w:ind w:firstLine="486" w:firstLineChars="200"/>
        <w:jc w:val="left"/>
        <w:textAlignment w:val="center"/>
        <w:rPr>
          <w:rFonts w:ascii="宋体" w:hAnsi="宋体"/>
          <w:b/>
          <w:color w:val="000000"/>
          <w:sz w:val="32"/>
        </w:rPr>
      </w:pPr>
      <w:r>
        <w:rPr>
          <w:rFonts w:hint="eastAsia" w:ascii="宋体" w:hAnsi="宋体"/>
          <w:color w:val="000000"/>
          <w:sz w:val="24"/>
          <w:szCs w:val="24"/>
        </w:rPr>
        <w:t>技术保障：公司每年派出了特种作业和应该持证上岗的人员进行外出培训学习，保证知识的更新，同时聘请经验丰富的专家和学者来公司培训指导，公司对相关岗位紧急停车系统，进一步保证了安全生产。</w:t>
      </w:r>
      <w:bookmarkStart w:id="682" w:name="_Toc408274455"/>
      <w:bookmarkStart w:id="683" w:name="_Toc387131444"/>
      <w:bookmarkStart w:id="684" w:name="_Toc415254561"/>
      <w:bookmarkStart w:id="685" w:name="_Toc387131518"/>
      <w:bookmarkStart w:id="686" w:name="_Toc387131775"/>
      <w:bookmarkStart w:id="687" w:name="_Toc29797"/>
    </w:p>
    <w:p>
      <w:pPr>
        <w:adjustRightInd w:val="0"/>
        <w:snapToGrid w:val="0"/>
        <w:spacing w:line="360" w:lineRule="auto"/>
        <w:jc w:val="center"/>
        <w:textAlignment w:val="center"/>
        <w:outlineLvl w:val="0"/>
        <w:rPr>
          <w:rFonts w:hint="eastAsia" w:ascii="宋体" w:hAnsi="宋体"/>
          <w:b/>
          <w:color w:val="000000"/>
          <w:sz w:val="32"/>
        </w:rPr>
      </w:pPr>
    </w:p>
    <w:p>
      <w:pPr>
        <w:adjustRightInd w:val="0"/>
        <w:snapToGrid w:val="0"/>
        <w:spacing w:line="360" w:lineRule="auto"/>
        <w:jc w:val="center"/>
        <w:textAlignment w:val="center"/>
        <w:outlineLvl w:val="0"/>
        <w:rPr>
          <w:rFonts w:ascii="宋体"/>
          <w:b/>
          <w:color w:val="000000"/>
          <w:sz w:val="32"/>
        </w:rPr>
      </w:pPr>
      <w:bookmarkStart w:id="688" w:name="_Toc3374"/>
      <w:r>
        <w:rPr>
          <w:rFonts w:ascii="宋体" w:hAnsi="宋体"/>
          <w:b/>
          <w:color w:val="000000"/>
          <w:sz w:val="32"/>
        </w:rPr>
        <w:t>9</w:t>
      </w:r>
      <w:r>
        <w:rPr>
          <w:rFonts w:hint="eastAsia" w:ascii="宋体" w:hAnsi="宋体"/>
          <w:b/>
          <w:color w:val="000000"/>
          <w:sz w:val="32"/>
        </w:rPr>
        <w:t>应急预案管理</w:t>
      </w:r>
      <w:bookmarkEnd w:id="682"/>
      <w:bookmarkEnd w:id="683"/>
      <w:bookmarkEnd w:id="684"/>
      <w:bookmarkEnd w:id="685"/>
      <w:bookmarkEnd w:id="686"/>
      <w:bookmarkEnd w:id="687"/>
      <w:bookmarkEnd w:id="688"/>
    </w:p>
    <w:p>
      <w:pPr>
        <w:adjustRightInd w:val="0"/>
        <w:snapToGrid w:val="0"/>
        <w:spacing w:line="460" w:lineRule="exact"/>
        <w:outlineLvl w:val="1"/>
        <w:rPr>
          <w:rFonts w:hint="eastAsia"/>
          <w:b/>
          <w:color w:val="000000"/>
          <w:sz w:val="26"/>
          <w:szCs w:val="26"/>
          <w:lang w:val="zh-CN"/>
        </w:rPr>
      </w:pPr>
      <w:bookmarkStart w:id="689" w:name="_Toc387131776"/>
      <w:bookmarkStart w:id="690" w:name="_Toc304964462"/>
      <w:bookmarkStart w:id="691" w:name="_Toc183339514"/>
      <w:bookmarkStart w:id="692" w:name="_Toc198007357"/>
      <w:bookmarkStart w:id="693" w:name="_Toc196018454"/>
      <w:bookmarkStart w:id="694" w:name="_Toc262050888"/>
      <w:bookmarkStart w:id="695" w:name="_Toc387131519"/>
      <w:bookmarkStart w:id="696" w:name="_Toc196018658"/>
      <w:bookmarkStart w:id="697" w:name="_Toc185671004"/>
      <w:bookmarkStart w:id="698" w:name="_Toc29617"/>
      <w:bookmarkStart w:id="699" w:name="_Toc135709136"/>
      <w:bookmarkStart w:id="700" w:name="_Toc183339238"/>
      <w:bookmarkStart w:id="701" w:name="_Toc304833252"/>
      <w:bookmarkStart w:id="702" w:name="_Toc336327147"/>
      <w:bookmarkStart w:id="703" w:name="_Toc304963619"/>
      <w:bookmarkStart w:id="704" w:name="_Toc387131445"/>
      <w:bookmarkStart w:id="705" w:name="_Toc197251362"/>
      <w:bookmarkStart w:id="706" w:name="_Toc336326869"/>
      <w:bookmarkStart w:id="707" w:name="_Toc184809571"/>
      <w:bookmarkStart w:id="708" w:name="_Toc196018563"/>
      <w:bookmarkStart w:id="709" w:name="_Toc415254562"/>
      <w:bookmarkStart w:id="710" w:name="_Toc262040298"/>
      <w:bookmarkStart w:id="711" w:name="_Toc262051562"/>
      <w:bookmarkStart w:id="712" w:name="_Toc262051141"/>
      <w:bookmarkStart w:id="713" w:name="_Toc229283992"/>
      <w:bookmarkStart w:id="714" w:name="_Toc198355342"/>
      <w:bookmarkStart w:id="715" w:name="_Toc304962975"/>
      <w:bookmarkStart w:id="716" w:name="_Toc408274456"/>
      <w:bookmarkStart w:id="717" w:name="_Toc184808784"/>
      <w:bookmarkStart w:id="718" w:name="_Toc4490"/>
      <w:r>
        <w:rPr>
          <w:rFonts w:hint="eastAsia"/>
          <w:b/>
          <w:color w:val="000000"/>
          <w:sz w:val="26"/>
          <w:szCs w:val="26"/>
          <w:lang w:val="zh-CN"/>
        </w:rPr>
        <w:t>9.1应急预案培训</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综合部会同相关部门，通过各种宣传手段，对公司员工和企业周边公众广泛宣传事故的危险危害及应急常识。</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公司安全生产部每年至少组织一次公司级综合性应急知识培训；生产部、各部门定期对各部门所属员工进行应急培训；各班组每月组织班员进行针对性的现场处置知识培训。</w:t>
      </w:r>
    </w:p>
    <w:p>
      <w:pPr>
        <w:adjustRightInd w:val="0"/>
        <w:snapToGrid w:val="0"/>
        <w:spacing w:line="360" w:lineRule="auto"/>
        <w:ind w:firstLine="486" w:firstLineChars="200"/>
        <w:jc w:val="left"/>
        <w:textAlignment w:val="center"/>
        <w:rPr>
          <w:rFonts w:ascii="宋体" w:hAnsi="宋体"/>
          <w:color w:val="000000"/>
          <w:sz w:val="24"/>
          <w:szCs w:val="24"/>
        </w:rPr>
      </w:pPr>
      <w:r>
        <w:rPr>
          <w:rFonts w:hint="eastAsia" w:ascii="宋体" w:hAnsi="宋体"/>
          <w:color w:val="000000"/>
          <w:sz w:val="24"/>
          <w:szCs w:val="24"/>
        </w:rPr>
        <w:t>对本公司员工加强应对突发事故的能力培训，具体内容包括：</w:t>
      </w:r>
      <w:r>
        <w:rPr>
          <w:rFonts w:ascii="宋体" w:hAnsi="宋体"/>
          <w:color w:val="000000"/>
          <w:sz w:val="24"/>
          <w:szCs w:val="24"/>
        </w:rPr>
        <w:t xml:space="preserve"> </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1</w:t>
      </w:r>
      <w:r>
        <w:rPr>
          <w:rFonts w:hint="eastAsia" w:ascii="宋体" w:hAnsi="宋体"/>
          <w:color w:val="000000"/>
          <w:sz w:val="24"/>
          <w:szCs w:val="24"/>
        </w:rPr>
        <w:t>）培训员工熟悉并掌握用身边的工具，以最快最有效地报警或发出事故警报；</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2</w:t>
      </w:r>
      <w:r>
        <w:rPr>
          <w:rFonts w:hint="eastAsia" w:ascii="宋体" w:hAnsi="宋体"/>
          <w:color w:val="000000"/>
          <w:sz w:val="24"/>
          <w:szCs w:val="24"/>
        </w:rPr>
        <w:t>）培训员工突发事故时怎样用现有条件进行自我保护，并相互实施救助；</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3</w:t>
      </w:r>
      <w:r>
        <w:rPr>
          <w:rFonts w:hint="eastAsia" w:ascii="宋体" w:hAnsi="宋体"/>
          <w:color w:val="000000"/>
          <w:sz w:val="24"/>
          <w:szCs w:val="24"/>
        </w:rPr>
        <w:t>）为避免员工事故突发时因惊慌失措而发生不必要的伤亡，培训员工怎么有序地按事先规定的路线疏散。对人员疏散的培训主要在应急演练中进行；</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4</w:t>
      </w:r>
      <w:r>
        <w:rPr>
          <w:rFonts w:hint="eastAsia" w:ascii="宋体" w:hAnsi="宋体"/>
          <w:color w:val="000000"/>
          <w:sz w:val="24"/>
          <w:szCs w:val="24"/>
        </w:rPr>
        <w:t>）培训员工熟悉消防等应急救援器具的使用，掌握事故初发时应急处置基本技术，使其在事故发生时不会手足无措，为控制事态赢得时机。</w:t>
      </w:r>
    </w:p>
    <w:p>
      <w:pPr>
        <w:adjustRightInd w:val="0"/>
        <w:snapToGrid w:val="0"/>
        <w:spacing w:line="460" w:lineRule="exact"/>
        <w:outlineLvl w:val="1"/>
        <w:rPr>
          <w:rFonts w:hint="eastAsia"/>
          <w:b/>
          <w:color w:val="000000"/>
          <w:sz w:val="26"/>
          <w:szCs w:val="26"/>
          <w:lang w:val="zh-CN"/>
        </w:rPr>
      </w:pPr>
      <w:bookmarkStart w:id="719" w:name="_Toc229283993"/>
      <w:bookmarkStart w:id="720" w:name="_Toc135709137"/>
      <w:bookmarkStart w:id="721" w:name="_Toc184808785"/>
      <w:bookmarkStart w:id="722" w:name="_Toc387131446"/>
      <w:bookmarkStart w:id="723" w:name="_Toc183339515"/>
      <w:bookmarkStart w:id="724" w:name="_Toc262051563"/>
      <w:bookmarkStart w:id="725" w:name="_Toc304962976"/>
      <w:bookmarkStart w:id="726" w:name="_Toc184809572"/>
      <w:bookmarkStart w:id="727" w:name="_Toc408274457"/>
      <w:bookmarkStart w:id="728" w:name="_Toc183339239"/>
      <w:bookmarkStart w:id="729" w:name="_Toc262050889"/>
      <w:bookmarkStart w:id="730" w:name="_Toc304833253"/>
      <w:bookmarkStart w:id="731" w:name="_Toc387131777"/>
      <w:bookmarkStart w:id="732" w:name="_Toc262051142"/>
      <w:bookmarkStart w:id="733" w:name="_Toc336327148"/>
      <w:bookmarkStart w:id="734" w:name="_Toc304964463"/>
      <w:bookmarkStart w:id="735" w:name="_Toc3991"/>
      <w:bookmarkStart w:id="736" w:name="_Toc196018659"/>
      <w:bookmarkStart w:id="737" w:name="_Toc196018455"/>
      <w:bookmarkStart w:id="738" w:name="_Toc304963620"/>
      <w:bookmarkStart w:id="739" w:name="_Toc262040299"/>
      <w:bookmarkStart w:id="740" w:name="_Toc336326870"/>
      <w:bookmarkStart w:id="741" w:name="_Toc415254563"/>
      <w:bookmarkStart w:id="742" w:name="_Toc197251363"/>
      <w:bookmarkStart w:id="743" w:name="_Toc387131520"/>
      <w:bookmarkStart w:id="744" w:name="_Toc196018564"/>
      <w:bookmarkStart w:id="745" w:name="_Toc198007358"/>
      <w:bookmarkStart w:id="746" w:name="_Toc198355343"/>
      <w:bookmarkStart w:id="747" w:name="_Toc185671005"/>
      <w:bookmarkStart w:id="748" w:name="_Toc23852"/>
      <w:r>
        <w:rPr>
          <w:rFonts w:hint="eastAsia"/>
          <w:b/>
          <w:color w:val="000000"/>
          <w:sz w:val="26"/>
          <w:szCs w:val="26"/>
          <w:lang w:val="zh-CN"/>
        </w:rPr>
        <w:t>9.2应急预案演练</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pPr>
        <w:spacing w:line="360" w:lineRule="auto"/>
        <w:jc w:val="left"/>
        <w:outlineLvl w:val="2"/>
        <w:rPr>
          <w:rStyle w:val="135"/>
          <w:rFonts w:ascii="宋体" w:eastAsia="宋体"/>
          <w:bCs/>
          <w:color w:val="000000"/>
          <w:sz w:val="28"/>
          <w:szCs w:val="28"/>
        </w:rPr>
      </w:pPr>
      <w:bookmarkStart w:id="749" w:name="_Toc272328359"/>
      <w:bookmarkStart w:id="750" w:name="_Toc262051143"/>
      <w:bookmarkStart w:id="751" w:name="_Toc262040300"/>
      <w:bookmarkStart w:id="752" w:name="_Toc262051564"/>
      <w:bookmarkStart w:id="753" w:name="_Toc262050890"/>
      <w:r>
        <w:rPr>
          <w:rStyle w:val="135"/>
          <w:rFonts w:ascii="宋体" w:hAnsi="宋体" w:eastAsia="宋体"/>
          <w:bCs/>
          <w:color w:val="000000"/>
          <w:sz w:val="28"/>
          <w:szCs w:val="28"/>
        </w:rPr>
        <w:t>9.2.1</w:t>
      </w:r>
      <w:r>
        <w:rPr>
          <w:rStyle w:val="135"/>
          <w:rFonts w:hint="eastAsia" w:ascii="宋体" w:hAnsi="宋体" w:eastAsia="宋体"/>
          <w:bCs/>
          <w:color w:val="000000"/>
          <w:sz w:val="28"/>
          <w:szCs w:val="28"/>
        </w:rPr>
        <w:t>演练频次</w:t>
      </w:r>
      <w:bookmarkEnd w:id="749"/>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综合应急预案和专项应急预案的演练由公司分管副总经理组织，每年至少进行一次。现场处置方案由生产部每半年度演练</w:t>
      </w:r>
      <w:r>
        <w:rPr>
          <w:rFonts w:ascii="宋体" w:hAnsi="宋体"/>
          <w:color w:val="000000"/>
          <w:sz w:val="24"/>
          <w:szCs w:val="24"/>
        </w:rPr>
        <w:t>1</w:t>
      </w:r>
      <w:r>
        <w:rPr>
          <w:rFonts w:hint="eastAsia" w:ascii="宋体" w:hAnsi="宋体"/>
          <w:color w:val="000000"/>
          <w:sz w:val="24"/>
          <w:szCs w:val="24"/>
        </w:rPr>
        <w:t>次。</w:t>
      </w:r>
    </w:p>
    <w:p>
      <w:pPr>
        <w:spacing w:line="360" w:lineRule="auto"/>
        <w:jc w:val="left"/>
        <w:outlineLvl w:val="2"/>
        <w:rPr>
          <w:rStyle w:val="135"/>
          <w:rFonts w:ascii="宋体" w:eastAsia="宋体"/>
          <w:bCs/>
          <w:color w:val="000000"/>
          <w:sz w:val="28"/>
          <w:szCs w:val="28"/>
        </w:rPr>
      </w:pPr>
      <w:bookmarkStart w:id="754" w:name="_Toc272328360"/>
      <w:r>
        <w:rPr>
          <w:rStyle w:val="135"/>
          <w:rFonts w:ascii="宋体" w:hAnsi="宋体" w:eastAsia="宋体"/>
          <w:bCs/>
          <w:color w:val="000000"/>
          <w:sz w:val="28"/>
          <w:szCs w:val="28"/>
        </w:rPr>
        <w:t>9.2.2</w:t>
      </w:r>
      <w:r>
        <w:rPr>
          <w:rStyle w:val="135"/>
          <w:rFonts w:hint="eastAsia" w:ascii="宋体" w:hAnsi="宋体" w:eastAsia="宋体"/>
          <w:bCs/>
          <w:color w:val="000000"/>
          <w:sz w:val="28"/>
          <w:szCs w:val="28"/>
        </w:rPr>
        <w:t>演练要求</w:t>
      </w:r>
      <w:bookmarkEnd w:id="754"/>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每次演练应明确目的、内容；组织人员对演练进行评价，发现问题提出相应的解决措施；安排人员做好演练文字记录、图片音像资料；及时对预案进行修订完善。</w:t>
      </w:r>
    </w:p>
    <w:p>
      <w:pPr>
        <w:spacing w:line="360" w:lineRule="auto"/>
        <w:jc w:val="left"/>
        <w:outlineLvl w:val="2"/>
        <w:rPr>
          <w:rStyle w:val="135"/>
          <w:rFonts w:ascii="宋体" w:eastAsia="宋体"/>
          <w:bCs/>
          <w:color w:val="000000"/>
          <w:sz w:val="28"/>
          <w:szCs w:val="28"/>
        </w:rPr>
      </w:pPr>
      <w:bookmarkStart w:id="755" w:name="_Toc272328361"/>
      <w:r>
        <w:rPr>
          <w:rStyle w:val="135"/>
          <w:rFonts w:ascii="宋体" w:hAnsi="宋体" w:eastAsia="宋体"/>
          <w:bCs/>
          <w:color w:val="000000"/>
          <w:sz w:val="28"/>
          <w:szCs w:val="28"/>
        </w:rPr>
        <w:t>9.2.3</w:t>
      </w:r>
      <w:r>
        <w:rPr>
          <w:rStyle w:val="135"/>
          <w:rFonts w:hint="eastAsia" w:ascii="宋体" w:hAnsi="宋体" w:eastAsia="宋体"/>
          <w:bCs/>
          <w:color w:val="000000"/>
          <w:sz w:val="28"/>
          <w:szCs w:val="28"/>
        </w:rPr>
        <w:t>演练内容</w:t>
      </w:r>
      <w:bookmarkEnd w:id="755"/>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 xml:space="preserve">1) </w:t>
      </w:r>
      <w:r>
        <w:rPr>
          <w:rFonts w:hint="eastAsia" w:ascii="宋体" w:hAnsi="宋体"/>
          <w:color w:val="000000"/>
          <w:sz w:val="24"/>
          <w:szCs w:val="24"/>
        </w:rPr>
        <w:t>通信联络、报警、信息报告程序演练。</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 xml:space="preserve">2) </w:t>
      </w:r>
      <w:r>
        <w:rPr>
          <w:rFonts w:hint="eastAsia" w:ascii="宋体" w:hAnsi="宋体"/>
          <w:color w:val="000000"/>
          <w:sz w:val="24"/>
          <w:szCs w:val="24"/>
        </w:rPr>
        <w:t>疏散、人员集中清点、应急器材、物资到位演练。</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 xml:space="preserve">3) </w:t>
      </w:r>
      <w:r>
        <w:rPr>
          <w:rFonts w:hint="eastAsia" w:ascii="宋体" w:hAnsi="宋体"/>
          <w:color w:val="000000"/>
          <w:sz w:val="24"/>
          <w:szCs w:val="24"/>
        </w:rPr>
        <w:t>各救援小组迅速就位演练、应急处置演练。</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 xml:space="preserve">4) </w:t>
      </w:r>
      <w:r>
        <w:rPr>
          <w:rFonts w:hint="eastAsia" w:ascii="宋体" w:hAnsi="宋体"/>
          <w:color w:val="000000"/>
          <w:sz w:val="24"/>
          <w:szCs w:val="24"/>
        </w:rPr>
        <w:t>各单位间相互配合协调应急演练等。</w:t>
      </w:r>
    </w:p>
    <w:p>
      <w:pPr>
        <w:adjustRightInd w:val="0"/>
        <w:snapToGrid w:val="0"/>
        <w:spacing w:line="460" w:lineRule="exact"/>
        <w:outlineLvl w:val="1"/>
        <w:rPr>
          <w:rFonts w:hint="eastAsia"/>
          <w:b/>
          <w:color w:val="000000"/>
          <w:sz w:val="26"/>
          <w:szCs w:val="26"/>
          <w:lang w:val="zh-CN"/>
        </w:rPr>
      </w:pPr>
      <w:bookmarkStart w:id="756" w:name="_Toc262050894"/>
      <w:bookmarkStart w:id="757" w:name="_Toc304833260"/>
      <w:bookmarkStart w:id="758" w:name="_Toc304962983"/>
      <w:bookmarkStart w:id="759" w:name="_Toc262051570"/>
      <w:bookmarkStart w:id="760" w:name="_Toc262051149"/>
      <w:bookmarkStart w:id="761" w:name="_Toc336327155"/>
      <w:bookmarkStart w:id="762" w:name="_Toc336326877"/>
      <w:bookmarkStart w:id="763" w:name="_Toc304963627"/>
      <w:bookmarkStart w:id="764" w:name="_Toc304964470"/>
      <w:bookmarkStart w:id="765" w:name="_Toc408274458"/>
      <w:bookmarkStart w:id="766" w:name="_Toc387131447"/>
      <w:bookmarkStart w:id="767" w:name="_Toc387131778"/>
      <w:bookmarkStart w:id="768" w:name="_Toc415254564"/>
      <w:bookmarkStart w:id="769" w:name="_Toc24500"/>
      <w:bookmarkStart w:id="770" w:name="_Toc387131521"/>
      <w:bookmarkStart w:id="771" w:name="_Toc25170"/>
      <w:r>
        <w:rPr>
          <w:rFonts w:hint="eastAsia"/>
          <w:b/>
          <w:color w:val="000000"/>
          <w:sz w:val="26"/>
          <w:szCs w:val="26"/>
          <w:lang w:val="zh-CN"/>
        </w:rPr>
        <w:t>9.3</w:t>
      </w:r>
      <w:bookmarkEnd w:id="756"/>
      <w:bookmarkEnd w:id="757"/>
      <w:bookmarkEnd w:id="758"/>
      <w:bookmarkEnd w:id="759"/>
      <w:bookmarkEnd w:id="760"/>
      <w:bookmarkEnd w:id="761"/>
      <w:bookmarkEnd w:id="762"/>
      <w:bookmarkEnd w:id="763"/>
      <w:bookmarkEnd w:id="764"/>
      <w:r>
        <w:rPr>
          <w:rFonts w:hint="eastAsia"/>
          <w:b/>
          <w:color w:val="000000"/>
          <w:sz w:val="26"/>
          <w:szCs w:val="26"/>
          <w:lang w:val="zh-CN"/>
        </w:rPr>
        <w:t>应急预案修订</w:t>
      </w:r>
      <w:bookmarkEnd w:id="765"/>
      <w:bookmarkEnd w:id="766"/>
      <w:bookmarkEnd w:id="767"/>
      <w:bookmarkEnd w:id="768"/>
      <w:bookmarkEnd w:id="769"/>
      <w:bookmarkEnd w:id="770"/>
      <w:bookmarkEnd w:id="771"/>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 xml:space="preserve">1) </w:t>
      </w:r>
      <w:r>
        <w:rPr>
          <w:rFonts w:hint="eastAsia" w:ascii="宋体" w:hAnsi="宋体"/>
          <w:color w:val="000000"/>
          <w:sz w:val="24"/>
          <w:szCs w:val="24"/>
        </w:rPr>
        <w:t>安</w:t>
      </w:r>
      <w:r>
        <w:rPr>
          <w:rFonts w:hint="eastAsia" w:ascii="宋体" w:hAnsi="宋体" w:cs="仿宋_GB2312"/>
          <w:sz w:val="24"/>
          <w:szCs w:val="24"/>
        </w:rPr>
        <w:t>全</w:t>
      </w:r>
      <w:r>
        <w:rPr>
          <w:rFonts w:hint="eastAsia" w:ascii="宋体" w:hAnsi="宋体"/>
          <w:color w:val="000000"/>
          <w:sz w:val="24"/>
          <w:szCs w:val="24"/>
        </w:rPr>
        <w:t>生产部每</w:t>
      </w:r>
      <w:r>
        <w:rPr>
          <w:rFonts w:ascii="宋体" w:hAnsi="宋体"/>
          <w:color w:val="000000"/>
          <w:sz w:val="24"/>
          <w:szCs w:val="24"/>
        </w:rPr>
        <w:t>3</w:t>
      </w:r>
      <w:r>
        <w:rPr>
          <w:rFonts w:hint="eastAsia" w:ascii="宋体" w:hAnsi="宋体"/>
          <w:color w:val="000000"/>
          <w:sz w:val="24"/>
          <w:szCs w:val="24"/>
        </w:rPr>
        <w:t>年至少组织一次公司生产安全事故应急预案的修订，同时负责本预案的管理。</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w:t>
      </w:r>
      <w:r>
        <w:rPr>
          <w:rFonts w:ascii="宋体" w:hAnsi="宋体"/>
          <w:color w:val="000000"/>
          <w:sz w:val="24"/>
          <w:szCs w:val="24"/>
        </w:rPr>
        <w:t>2</w:t>
      </w:r>
      <w:r>
        <w:rPr>
          <w:rFonts w:hint="eastAsia" w:ascii="宋体" w:hAnsi="宋体"/>
          <w:color w:val="000000"/>
          <w:sz w:val="24"/>
          <w:szCs w:val="24"/>
        </w:rPr>
        <w:t>）因以下原因出现不符合项，应及时对预案进行修订、更新：</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1</w:t>
      </w:r>
      <w:r>
        <w:rPr>
          <w:rFonts w:hint="eastAsia" w:ascii="宋体" w:hAnsi="宋体"/>
          <w:color w:val="000000"/>
          <w:sz w:val="24"/>
          <w:szCs w:val="24"/>
        </w:rPr>
        <w:t>）新法律法规、标准的颁布实施、相关法律法规、标准的修订；</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2</w:t>
      </w:r>
      <w:r>
        <w:rPr>
          <w:rFonts w:hint="eastAsia" w:ascii="宋体" w:hAnsi="宋体"/>
          <w:color w:val="000000"/>
          <w:sz w:val="24"/>
          <w:szCs w:val="24"/>
        </w:rPr>
        <w:t>）机构重大调整、工艺改革、关键设备更换或应急资源发生变化；</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3</w:t>
      </w:r>
      <w:r>
        <w:rPr>
          <w:rFonts w:hint="eastAsia" w:ascii="宋体" w:hAnsi="宋体"/>
          <w:color w:val="000000"/>
          <w:sz w:val="24"/>
          <w:szCs w:val="24"/>
        </w:rPr>
        <w:t>）预案演练或潜在事件和突发事故应急处置中发现不符合项；</w:t>
      </w:r>
    </w:p>
    <w:p>
      <w:pPr>
        <w:adjustRightInd w:val="0"/>
        <w:snapToGrid w:val="0"/>
        <w:spacing w:line="360" w:lineRule="auto"/>
        <w:ind w:firstLine="486" w:firstLineChars="200"/>
        <w:jc w:val="left"/>
        <w:textAlignment w:val="center"/>
        <w:rPr>
          <w:rFonts w:ascii="宋体"/>
          <w:color w:val="000000"/>
          <w:sz w:val="24"/>
          <w:szCs w:val="24"/>
        </w:rPr>
      </w:pPr>
      <w:r>
        <w:rPr>
          <w:rFonts w:ascii="宋体" w:hAnsi="宋体"/>
          <w:color w:val="000000"/>
          <w:sz w:val="24"/>
          <w:szCs w:val="24"/>
        </w:rPr>
        <w:t>4</w:t>
      </w:r>
      <w:r>
        <w:rPr>
          <w:rFonts w:hint="eastAsia" w:ascii="宋体" w:hAnsi="宋体"/>
          <w:color w:val="000000"/>
          <w:sz w:val="24"/>
          <w:szCs w:val="24"/>
        </w:rPr>
        <w:t>）其他原因。</w:t>
      </w:r>
    </w:p>
    <w:p>
      <w:pPr>
        <w:adjustRightInd w:val="0"/>
        <w:snapToGrid w:val="0"/>
        <w:spacing w:line="360" w:lineRule="auto"/>
        <w:ind w:firstLine="486" w:firstLineChars="200"/>
        <w:jc w:val="left"/>
        <w:textAlignment w:val="center"/>
        <w:rPr>
          <w:rFonts w:ascii="宋体"/>
          <w:color w:val="000000"/>
          <w:sz w:val="28"/>
          <w:szCs w:val="28"/>
        </w:rPr>
      </w:pPr>
      <w:r>
        <w:rPr>
          <w:rFonts w:hint="eastAsia" w:ascii="宋体" w:hAnsi="宋体"/>
          <w:color w:val="000000"/>
          <w:sz w:val="24"/>
          <w:szCs w:val="24"/>
        </w:rPr>
        <w:t>（</w:t>
      </w:r>
      <w:r>
        <w:rPr>
          <w:rFonts w:ascii="宋体" w:hAnsi="宋体"/>
          <w:color w:val="000000"/>
          <w:sz w:val="24"/>
          <w:szCs w:val="24"/>
        </w:rPr>
        <w:t>3</w:t>
      </w:r>
      <w:r>
        <w:rPr>
          <w:rFonts w:hint="eastAsia" w:ascii="宋体" w:hAnsi="宋体"/>
          <w:color w:val="000000"/>
          <w:sz w:val="24"/>
          <w:szCs w:val="24"/>
        </w:rPr>
        <w:t>）为确保预案的科学性、合理性和可操作性，在预案修订小组内部评审后，报上级应急预案管理</w:t>
      </w:r>
      <w:r>
        <w:rPr>
          <w:rFonts w:ascii="宋体" w:hAnsi="宋体"/>
          <w:color w:val="000000"/>
          <w:sz w:val="24"/>
          <w:szCs w:val="24"/>
        </w:rPr>
        <w:t>(</w:t>
      </w:r>
      <w:r>
        <w:rPr>
          <w:rFonts w:hint="eastAsia" w:ascii="宋体" w:hAnsi="宋体"/>
          <w:color w:val="000000"/>
          <w:sz w:val="24"/>
          <w:szCs w:val="24"/>
        </w:rPr>
        <w:t>备案</w:t>
      </w:r>
      <w:r>
        <w:rPr>
          <w:rFonts w:ascii="宋体" w:hAnsi="宋体"/>
          <w:color w:val="000000"/>
          <w:sz w:val="24"/>
          <w:szCs w:val="24"/>
        </w:rPr>
        <w:t>)</w:t>
      </w:r>
      <w:r>
        <w:rPr>
          <w:rFonts w:hint="eastAsia" w:ascii="宋体" w:hAnsi="宋体"/>
          <w:color w:val="000000"/>
          <w:sz w:val="24"/>
          <w:szCs w:val="24"/>
        </w:rPr>
        <w:t>部门组织专家评审，实现可持续改进。</w:t>
      </w:r>
    </w:p>
    <w:p>
      <w:pPr>
        <w:adjustRightInd w:val="0"/>
        <w:snapToGrid w:val="0"/>
        <w:spacing w:line="460" w:lineRule="exact"/>
        <w:outlineLvl w:val="1"/>
        <w:rPr>
          <w:rFonts w:hint="eastAsia"/>
          <w:b/>
          <w:color w:val="000000"/>
          <w:sz w:val="26"/>
          <w:szCs w:val="26"/>
          <w:lang w:val="zh-CN"/>
        </w:rPr>
      </w:pPr>
      <w:bookmarkStart w:id="772" w:name="_Toc387131522"/>
      <w:bookmarkStart w:id="773" w:name="_Toc387131448"/>
      <w:bookmarkStart w:id="774" w:name="_Toc304963626"/>
      <w:bookmarkStart w:id="775" w:name="_Toc304962982"/>
      <w:bookmarkStart w:id="776" w:name="_Toc415254565"/>
      <w:bookmarkStart w:id="777" w:name="_Toc304964469"/>
      <w:bookmarkStart w:id="778" w:name="_Toc304833259"/>
      <w:bookmarkStart w:id="779" w:name="_Toc336327154"/>
      <w:bookmarkStart w:id="780" w:name="_Toc336326876"/>
      <w:bookmarkStart w:id="781" w:name="_Toc408274459"/>
      <w:bookmarkStart w:id="782" w:name="_Toc387131779"/>
      <w:bookmarkStart w:id="783" w:name="_Toc28765"/>
      <w:bookmarkStart w:id="784" w:name="_Toc1070"/>
      <w:r>
        <w:rPr>
          <w:rFonts w:hint="eastAsia"/>
          <w:b/>
          <w:color w:val="000000"/>
          <w:sz w:val="26"/>
          <w:szCs w:val="26"/>
          <w:lang w:val="zh-CN"/>
        </w:rPr>
        <w:t>9.4应急预案备案</w:t>
      </w:r>
      <w:bookmarkEnd w:id="772"/>
      <w:bookmarkEnd w:id="773"/>
      <w:bookmarkEnd w:id="774"/>
      <w:bookmarkEnd w:id="775"/>
      <w:bookmarkEnd w:id="776"/>
      <w:bookmarkEnd w:id="777"/>
      <w:bookmarkEnd w:id="778"/>
      <w:bookmarkEnd w:id="779"/>
      <w:bookmarkEnd w:id="780"/>
      <w:bookmarkEnd w:id="781"/>
      <w:bookmarkEnd w:id="782"/>
      <w:bookmarkEnd w:id="783"/>
      <w:bookmarkEnd w:id="784"/>
      <w:bookmarkStart w:id="785" w:name="_Toc262050895"/>
      <w:bookmarkStart w:id="786" w:name="_Toc304963628"/>
      <w:bookmarkStart w:id="787" w:name="_Toc336326878"/>
      <w:bookmarkStart w:id="788" w:name="_Toc336327156"/>
      <w:bookmarkStart w:id="789" w:name="_Toc304964471"/>
      <w:bookmarkStart w:id="790" w:name="_Toc304962984"/>
      <w:bookmarkStart w:id="791" w:name="_Toc262051150"/>
      <w:bookmarkStart w:id="792" w:name="_Toc304833261"/>
      <w:bookmarkStart w:id="793" w:name="_Toc262051571"/>
      <w:bookmarkStart w:id="794" w:name="_Toc415254566"/>
      <w:bookmarkStart w:id="795" w:name="_Toc387131780"/>
      <w:bookmarkStart w:id="796" w:name="_Toc387131523"/>
      <w:bookmarkStart w:id="797" w:name="_Toc408274460"/>
      <w:bookmarkStart w:id="798" w:name="_Toc387131449"/>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按照“分类管理、分级负责”及属地管理的原则，报涪陵区安全生产监督管理局备案。</w:t>
      </w:r>
    </w:p>
    <w:p>
      <w:pPr>
        <w:adjustRightInd w:val="0"/>
        <w:snapToGrid w:val="0"/>
        <w:spacing w:line="460" w:lineRule="exact"/>
        <w:outlineLvl w:val="1"/>
        <w:rPr>
          <w:rFonts w:hint="eastAsia"/>
          <w:b/>
          <w:color w:val="000000"/>
          <w:sz w:val="26"/>
          <w:szCs w:val="26"/>
          <w:lang w:val="zh-CN"/>
        </w:rPr>
      </w:pPr>
      <w:bookmarkStart w:id="799" w:name="_Toc13844"/>
      <w:bookmarkStart w:id="800" w:name="_Toc3682"/>
      <w:r>
        <w:rPr>
          <w:rFonts w:hint="eastAsia"/>
          <w:b/>
          <w:color w:val="000000"/>
          <w:sz w:val="26"/>
          <w:szCs w:val="26"/>
          <w:lang w:val="zh-CN"/>
        </w:rPr>
        <w:t>9.5</w:t>
      </w:r>
      <w:bookmarkEnd w:id="785"/>
      <w:bookmarkEnd w:id="786"/>
      <w:bookmarkEnd w:id="787"/>
      <w:bookmarkEnd w:id="788"/>
      <w:bookmarkEnd w:id="789"/>
      <w:bookmarkEnd w:id="790"/>
      <w:bookmarkEnd w:id="791"/>
      <w:bookmarkEnd w:id="792"/>
      <w:bookmarkEnd w:id="793"/>
      <w:r>
        <w:rPr>
          <w:rFonts w:hint="eastAsia"/>
          <w:b/>
          <w:color w:val="000000"/>
          <w:sz w:val="26"/>
          <w:szCs w:val="26"/>
          <w:lang w:val="zh-CN"/>
        </w:rPr>
        <w:t>应急预案实施</w:t>
      </w:r>
      <w:bookmarkEnd w:id="794"/>
      <w:bookmarkEnd w:id="795"/>
      <w:bookmarkEnd w:id="796"/>
      <w:bookmarkEnd w:id="797"/>
      <w:bookmarkEnd w:id="798"/>
      <w:bookmarkEnd w:id="799"/>
      <w:bookmarkEnd w:id="800"/>
    </w:p>
    <w:p>
      <w:pPr>
        <w:adjustRightInd w:val="0"/>
        <w:snapToGrid w:val="0"/>
        <w:spacing w:line="360" w:lineRule="auto"/>
        <w:ind w:firstLine="486" w:firstLineChars="200"/>
        <w:jc w:val="left"/>
        <w:textAlignment w:val="center"/>
        <w:rPr>
          <w:rFonts w:ascii="宋体"/>
          <w:color w:val="000000"/>
          <w:sz w:val="24"/>
          <w:szCs w:val="24"/>
        </w:rPr>
      </w:pPr>
      <w:bookmarkStart w:id="801" w:name="_Toc262051151"/>
      <w:bookmarkStart w:id="802" w:name="_Toc262050896"/>
      <w:bookmarkStart w:id="803" w:name="_Toc262051572"/>
      <w:r>
        <w:rPr>
          <w:rFonts w:hint="eastAsia" w:ascii="宋体" w:hAnsi="宋体"/>
          <w:color w:val="000000"/>
          <w:sz w:val="24"/>
          <w:szCs w:val="24"/>
        </w:rPr>
        <w:t>本预案由公司安全生产部组织制定并负责解释。</w:t>
      </w:r>
    </w:p>
    <w:p>
      <w:pPr>
        <w:adjustRightInd w:val="0"/>
        <w:snapToGrid w:val="0"/>
        <w:spacing w:line="360" w:lineRule="auto"/>
        <w:ind w:firstLine="486" w:firstLineChars="200"/>
        <w:jc w:val="left"/>
        <w:textAlignment w:val="center"/>
        <w:rPr>
          <w:rFonts w:ascii="宋体"/>
          <w:color w:val="000000"/>
          <w:sz w:val="24"/>
          <w:szCs w:val="24"/>
        </w:rPr>
      </w:pPr>
      <w:r>
        <w:rPr>
          <w:rFonts w:hint="eastAsia" w:ascii="宋体" w:hAnsi="宋体"/>
          <w:color w:val="000000"/>
          <w:sz w:val="24"/>
          <w:szCs w:val="24"/>
        </w:rPr>
        <w:t>本预案自发布之日起实施。</w:t>
      </w:r>
    </w:p>
    <w:bookmarkEnd w:id="750"/>
    <w:bookmarkEnd w:id="751"/>
    <w:bookmarkEnd w:id="752"/>
    <w:bookmarkEnd w:id="753"/>
    <w:bookmarkEnd w:id="801"/>
    <w:bookmarkEnd w:id="802"/>
    <w:bookmarkEnd w:id="803"/>
    <w:p>
      <w:pPr>
        <w:adjustRightInd w:val="0"/>
        <w:snapToGrid w:val="0"/>
        <w:spacing w:line="360" w:lineRule="auto"/>
        <w:jc w:val="center"/>
        <w:textAlignment w:val="center"/>
        <w:outlineLvl w:val="0"/>
        <w:rPr>
          <w:rFonts w:asciiTheme="minorEastAsia" w:hAnsiTheme="minorEastAsia" w:eastAsiaTheme="minorEastAsia"/>
          <w:b/>
          <w:color w:val="000000"/>
          <w:sz w:val="32"/>
        </w:rPr>
      </w:pPr>
      <w:bookmarkStart w:id="804" w:name="_Toc387131450"/>
      <w:bookmarkStart w:id="805" w:name="_Toc387131781"/>
      <w:bookmarkStart w:id="806" w:name="_Toc304833263"/>
      <w:bookmarkStart w:id="807" w:name="_Toc262040312"/>
      <w:bookmarkStart w:id="808" w:name="_Toc304963630"/>
      <w:bookmarkStart w:id="809" w:name="_Toc304962986"/>
      <w:bookmarkStart w:id="810" w:name="_Toc262051165"/>
      <w:bookmarkStart w:id="811" w:name="_Toc229284005"/>
      <w:bookmarkStart w:id="812" w:name="_Toc336326880"/>
      <w:bookmarkStart w:id="813" w:name="_Toc387131524"/>
      <w:bookmarkStart w:id="814" w:name="_Toc304964473"/>
      <w:bookmarkStart w:id="815" w:name="_Toc198355354"/>
      <w:bookmarkStart w:id="816" w:name="_Toc408274461"/>
      <w:bookmarkStart w:id="817" w:name="_Toc336327158"/>
      <w:bookmarkStart w:id="818" w:name="_Toc262051586"/>
      <w:bookmarkStart w:id="819" w:name="_Toc262050910"/>
      <w:r>
        <w:rPr>
          <w:rFonts w:ascii="宋体"/>
          <w:b/>
          <w:color w:val="000000"/>
          <w:sz w:val="28"/>
          <w:szCs w:val="28"/>
        </w:rPr>
        <w:br w:type="page"/>
      </w:r>
      <w:bookmarkStart w:id="820" w:name="_Toc21852"/>
      <w:bookmarkStart w:id="821" w:name="_Toc19910"/>
      <w:bookmarkStart w:id="822" w:name="_Toc415254567"/>
      <w:r>
        <w:rPr>
          <w:rFonts w:hint="eastAsia" w:asciiTheme="minorEastAsia" w:hAnsiTheme="minorEastAsia" w:eastAsiaTheme="minorEastAsia"/>
          <w:b/>
          <w:color w:val="000000"/>
          <w:sz w:val="32"/>
        </w:rPr>
        <w:t>10应急预案管理</w:t>
      </w:r>
      <w:bookmarkEnd w:id="820"/>
    </w:p>
    <w:p>
      <w:pPr>
        <w:adjustRightInd w:val="0"/>
        <w:snapToGrid w:val="0"/>
        <w:spacing w:line="460" w:lineRule="exact"/>
        <w:outlineLvl w:val="1"/>
        <w:rPr>
          <w:rFonts w:hint="eastAsia"/>
          <w:b/>
          <w:color w:val="000000"/>
          <w:sz w:val="26"/>
          <w:szCs w:val="26"/>
          <w:lang w:val="zh-CN"/>
        </w:rPr>
      </w:pPr>
      <w:bookmarkStart w:id="823" w:name="_Toc28893"/>
      <w:r>
        <w:rPr>
          <w:rFonts w:hint="eastAsia"/>
          <w:b/>
          <w:color w:val="000000"/>
          <w:sz w:val="26"/>
          <w:szCs w:val="26"/>
          <w:lang w:val="zh-CN"/>
        </w:rPr>
        <w:t>10.1应急预案培训</w:t>
      </w:r>
      <w:bookmarkEnd w:id="823"/>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综合部会同相关部门，通过各种宣传手段，对公司员工和企业周边公众广泛宣传事故的危险危害及应急常识。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公司安全生产部每年至少组织一次公司级综合性应急知识培训；生产部、各部门定期对各部门所属员工进行应急培训；各班组每月组织班员进行针对性的现场处置知识培训。</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 xml:space="preserve">对本公司员工加强应对突发事故的能力培训，具体内容包括： </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1）培训员工熟悉并掌握用身边的工具，以最快最有效地报警或发出事故警报；</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2）培训员工突发事故时怎样用现有条件进行自我保护，并相互实施救助；</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3）为避免员工事故突发时因惊慌失措而发生不必要的伤亡，培训员工怎么有序地按事先规定的路线疏散。对人员疏散的培训主要在应急演练中进行；</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4）培训员工熟悉消防等应急救援器具的使用，掌握事故初发时应急处置基本技术，使其在事故发生时不会手足无措，为控制事态赢得时机。</w:t>
      </w:r>
    </w:p>
    <w:p>
      <w:pPr>
        <w:adjustRightInd w:val="0"/>
        <w:snapToGrid w:val="0"/>
        <w:spacing w:line="460" w:lineRule="exact"/>
        <w:outlineLvl w:val="1"/>
        <w:rPr>
          <w:rFonts w:hint="eastAsia"/>
          <w:b/>
          <w:color w:val="000000"/>
          <w:sz w:val="26"/>
          <w:szCs w:val="26"/>
          <w:lang w:val="zh-CN"/>
        </w:rPr>
      </w:pPr>
      <w:bookmarkStart w:id="824" w:name="_Toc10628"/>
      <w:r>
        <w:rPr>
          <w:rFonts w:hint="eastAsia"/>
          <w:b/>
          <w:color w:val="000000"/>
          <w:sz w:val="26"/>
          <w:szCs w:val="26"/>
          <w:lang w:val="zh-CN"/>
        </w:rPr>
        <w:t>10.2应急预案演练</w:t>
      </w:r>
      <w:bookmarkEnd w:id="824"/>
    </w:p>
    <w:p>
      <w:pPr>
        <w:spacing w:line="360" w:lineRule="auto"/>
        <w:jc w:val="left"/>
        <w:outlineLvl w:val="2"/>
        <w:rPr>
          <w:rStyle w:val="135"/>
          <w:rFonts w:asciiTheme="minorEastAsia" w:hAnsiTheme="minorEastAsia" w:eastAsiaTheme="minorEastAsia"/>
          <w:color w:val="000000"/>
        </w:rPr>
      </w:pPr>
      <w:r>
        <w:rPr>
          <w:rStyle w:val="135"/>
          <w:rFonts w:hint="eastAsia" w:asciiTheme="minorEastAsia" w:hAnsiTheme="minorEastAsia" w:eastAsiaTheme="minorEastAsia"/>
          <w:color w:val="000000"/>
        </w:rPr>
        <w:t>10.2.1演练频次</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综合应急预案和专项应急预案的演练由公司分管副总经理组织，每年至少进行一次。现场处置方案由安全生产部每半年度演练1次。</w:t>
      </w:r>
    </w:p>
    <w:p>
      <w:pPr>
        <w:spacing w:line="360" w:lineRule="auto"/>
        <w:jc w:val="left"/>
        <w:outlineLvl w:val="2"/>
        <w:rPr>
          <w:rStyle w:val="135"/>
          <w:rFonts w:asciiTheme="minorEastAsia" w:hAnsiTheme="minorEastAsia" w:eastAsiaTheme="minorEastAsia"/>
          <w:color w:val="000000"/>
        </w:rPr>
      </w:pPr>
      <w:r>
        <w:rPr>
          <w:rStyle w:val="135"/>
          <w:rFonts w:hint="eastAsia" w:asciiTheme="minorEastAsia" w:hAnsiTheme="minorEastAsia" w:eastAsiaTheme="minorEastAsia"/>
          <w:color w:val="000000"/>
        </w:rPr>
        <w:t>10.2.2演练要求</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每次演练应明确目的、内容；组织人员对演练进行评价，发现问题提出相应的解决措施；安排人员做好演练文字记录、图片音像资料；及时对预案进行修订完善。</w:t>
      </w:r>
    </w:p>
    <w:p>
      <w:pPr>
        <w:spacing w:line="360" w:lineRule="auto"/>
        <w:jc w:val="left"/>
        <w:outlineLvl w:val="2"/>
        <w:rPr>
          <w:rStyle w:val="135"/>
          <w:rFonts w:asciiTheme="minorEastAsia" w:hAnsiTheme="minorEastAsia" w:eastAsiaTheme="minorEastAsia"/>
          <w:color w:val="000000"/>
        </w:rPr>
      </w:pPr>
      <w:r>
        <w:rPr>
          <w:rStyle w:val="135"/>
          <w:rFonts w:hint="eastAsia" w:asciiTheme="minorEastAsia" w:hAnsiTheme="minorEastAsia" w:eastAsiaTheme="minorEastAsia"/>
          <w:color w:val="000000"/>
        </w:rPr>
        <w:t>10.2.3演练内容</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通信联络、报警、信息报告程序演练。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 疏散、人员集中清点、应急器材、物资到位演练。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 各救援小组迅速就位演练、应急处置演练。</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 各单位间相互配合协调应急演练等。</w:t>
      </w:r>
    </w:p>
    <w:p>
      <w:pPr>
        <w:adjustRightInd w:val="0"/>
        <w:snapToGrid w:val="0"/>
        <w:spacing w:line="460" w:lineRule="exact"/>
        <w:outlineLvl w:val="1"/>
        <w:rPr>
          <w:rFonts w:hint="eastAsia"/>
          <w:b/>
          <w:color w:val="000000"/>
          <w:sz w:val="26"/>
          <w:szCs w:val="26"/>
          <w:lang w:val="zh-CN"/>
        </w:rPr>
      </w:pPr>
      <w:bookmarkStart w:id="825" w:name="_Toc2236"/>
      <w:r>
        <w:rPr>
          <w:rFonts w:hint="eastAsia"/>
          <w:b/>
          <w:color w:val="000000"/>
          <w:sz w:val="26"/>
          <w:szCs w:val="26"/>
          <w:lang w:val="zh-CN"/>
        </w:rPr>
        <w:t>10.3应急预案修订</w:t>
      </w:r>
      <w:bookmarkEnd w:id="825"/>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 安全生产部每3年至少组织一次公司生产安全事故应急预案的修订，同时负责本预案的管理。</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2）因以下原因出现不符合项，应及时对预案进行修订、更新：</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（1）新法律法规、标准的颁布实施、相关法律法规、标准的修订；</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（2）机构重大调整、工艺改革、关键设备更换或应急资源发生变化；</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（3）预案演练或潜在事件和突发事故应急处置中发现不符合项；</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（4）其他原因。</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3）为确保预案的科学性、合理性和可操作性，在预案修订小组内部评审后，报上级应急预案管理(备案)部门组织专家评审，实现可持续改进。</w:t>
      </w:r>
    </w:p>
    <w:p>
      <w:pPr>
        <w:adjustRightInd w:val="0"/>
        <w:snapToGrid w:val="0"/>
        <w:spacing w:line="460" w:lineRule="exact"/>
        <w:outlineLvl w:val="1"/>
        <w:rPr>
          <w:rFonts w:hint="eastAsia"/>
          <w:b/>
          <w:color w:val="000000"/>
          <w:sz w:val="26"/>
          <w:szCs w:val="26"/>
          <w:lang w:val="zh-CN"/>
        </w:rPr>
      </w:pPr>
      <w:bookmarkStart w:id="826" w:name="_Toc3958"/>
      <w:r>
        <w:rPr>
          <w:rFonts w:hint="eastAsia"/>
          <w:b/>
          <w:color w:val="000000"/>
          <w:sz w:val="26"/>
          <w:szCs w:val="26"/>
          <w:lang w:val="zh-CN"/>
        </w:rPr>
        <w:t>10.4应急预案备案</w:t>
      </w:r>
      <w:bookmarkEnd w:id="826"/>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按照“分类管理、分级负责”及属地管理的原则，报涪陵区区环境保护局或安全生产监督管理局备案。</w:t>
      </w:r>
    </w:p>
    <w:p>
      <w:pPr>
        <w:adjustRightInd w:val="0"/>
        <w:snapToGrid w:val="0"/>
        <w:spacing w:line="460" w:lineRule="exact"/>
        <w:outlineLvl w:val="1"/>
        <w:rPr>
          <w:rFonts w:hint="eastAsia"/>
          <w:b/>
          <w:color w:val="000000"/>
          <w:sz w:val="26"/>
          <w:szCs w:val="26"/>
          <w:lang w:val="zh-CN"/>
        </w:rPr>
      </w:pPr>
      <w:bookmarkStart w:id="827" w:name="_Toc3666"/>
      <w:r>
        <w:rPr>
          <w:rFonts w:hint="eastAsia"/>
          <w:b/>
          <w:color w:val="000000"/>
          <w:sz w:val="26"/>
          <w:szCs w:val="26"/>
          <w:lang w:val="zh-CN"/>
        </w:rPr>
        <w:t>10.5应急预案实施</w:t>
      </w:r>
      <w:bookmarkEnd w:id="827"/>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本预案由公司安全生产部组织制定并负责解释。</w:t>
      </w:r>
    </w:p>
    <w:p>
      <w:pPr>
        <w:adjustRightInd w:val="0"/>
        <w:snapToGrid w:val="0"/>
        <w:spacing w:line="460" w:lineRule="exact"/>
        <w:ind w:firstLine="486"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本预案自发布之日起实施。</w:t>
      </w:r>
      <w:bookmarkStart w:id="828" w:name="_Toc458674314"/>
    </w:p>
    <w:bookmarkEnd w:id="828"/>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p>
    <w:p>
      <w:pPr>
        <w:spacing w:afterLines="50" w:line="360" w:lineRule="auto"/>
        <w:jc w:val="center"/>
        <w:outlineLvl w:val="0"/>
        <w:rPr>
          <w:rFonts w:asciiTheme="minorEastAsia" w:hAnsiTheme="minorEastAsia" w:eastAsiaTheme="minorEastAsia"/>
          <w:b/>
          <w:color w:val="000000"/>
          <w:sz w:val="32"/>
        </w:rPr>
      </w:pPr>
      <w:bookmarkStart w:id="829" w:name="_Toc6162"/>
      <w:r>
        <w:rPr>
          <w:rFonts w:hint="eastAsia" w:asciiTheme="minorEastAsia" w:hAnsiTheme="minorEastAsia" w:eastAsiaTheme="minorEastAsia"/>
          <w:b/>
          <w:color w:val="000000"/>
          <w:sz w:val="32"/>
        </w:rPr>
        <w:t>11 附件</w:t>
      </w:r>
      <w:bookmarkEnd w:id="829"/>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 专项应急预案</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附件2 外部救援联系电话</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附件3 内部救援人员的联系方式</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附件4 应急物资装备清单  </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附件5 关键的路线、标识和图纸</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附件6 相关应急预案目录</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附件7 应急疏散路径图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附件8 雨污管网布置图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附件9 厂区平面布置图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附件10 项目地理位置图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附件11 环境敏感点分布图</w:t>
      </w:r>
    </w:p>
    <w:p>
      <w:pPr>
        <w:adjustRightInd w:val="0"/>
        <w:snapToGrid w:val="0"/>
        <w:spacing w:line="360" w:lineRule="auto"/>
        <w:ind w:firstLine="486" w:firstLineChars="200"/>
        <w:jc w:val="left"/>
        <w:textAlignment w:val="center"/>
        <w:rPr>
          <w:rFonts w:asciiTheme="minorEastAsia" w:hAnsiTheme="minorEastAsia" w:eastAsiaTheme="minorEastAsia"/>
          <w:color w:val="000000"/>
          <w:sz w:val="24"/>
          <w:szCs w:val="24"/>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pStyle w:val="44"/>
        <w:shd w:val="clear" w:color="auto" w:fill="FFFFFF"/>
        <w:spacing w:before="0" w:beforeAutospacing="0" w:after="180" w:afterAutospacing="0" w:line="420" w:lineRule="atLeast"/>
        <w:rPr>
          <w:rFonts w:cs="Times New Roman" w:asciiTheme="minorEastAsia" w:hAnsiTheme="minorEastAsia" w:eastAsiaTheme="minorEastAsia"/>
          <w:b/>
          <w:color w:val="000000"/>
          <w:sz w:val="28"/>
          <w:szCs w:val="28"/>
        </w:rPr>
      </w:pPr>
    </w:p>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突发事件报告单</w:t>
      </w:r>
    </w:p>
    <w:p>
      <w:pPr>
        <w:pStyle w:val="120"/>
        <w:ind w:firstLine="486"/>
        <w:jc w:val="center"/>
      </w:pPr>
      <w:r>
        <w:t>突发事件报告单</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343"/>
        <w:gridCol w:w="1351"/>
        <w:gridCol w:w="154"/>
        <w:gridCol w:w="714"/>
        <w:gridCol w:w="202"/>
        <w:gridCol w:w="1227"/>
        <w:gridCol w:w="1114"/>
        <w:gridCol w:w="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报告单位</w:t>
            </w:r>
          </w:p>
        </w:tc>
        <w:tc>
          <w:tcPr>
            <w:tcW w:w="3764" w:type="dxa"/>
            <w:gridSpan w:val="5"/>
            <w:vAlign w:val="center"/>
          </w:tcPr>
          <w:p>
            <w:pPr>
              <w:jc w:val="center"/>
              <w:rPr>
                <w:color w:val="000000"/>
                <w:sz w:val="22"/>
              </w:rPr>
            </w:pPr>
          </w:p>
        </w:tc>
        <w:tc>
          <w:tcPr>
            <w:tcW w:w="1227" w:type="dxa"/>
            <w:vAlign w:val="center"/>
          </w:tcPr>
          <w:p>
            <w:pPr>
              <w:jc w:val="center"/>
              <w:rPr>
                <w:color w:val="000000"/>
                <w:sz w:val="22"/>
              </w:rPr>
            </w:pPr>
            <w:r>
              <w:rPr>
                <w:color w:val="000000"/>
                <w:sz w:val="22"/>
              </w:rPr>
              <w:t>报告编号</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报告时间</w:t>
            </w:r>
          </w:p>
        </w:tc>
        <w:tc>
          <w:tcPr>
            <w:tcW w:w="3764" w:type="dxa"/>
            <w:gridSpan w:val="5"/>
            <w:vAlign w:val="center"/>
          </w:tcPr>
          <w:p>
            <w:pPr>
              <w:jc w:val="center"/>
              <w:rPr>
                <w:color w:val="000000"/>
                <w:sz w:val="22"/>
              </w:rPr>
            </w:pPr>
            <w:r>
              <w:rPr>
                <w:color w:val="000000"/>
                <w:sz w:val="22"/>
              </w:rPr>
              <w:t xml:space="preserve">       年    月    日    时    分</w:t>
            </w:r>
          </w:p>
        </w:tc>
        <w:tc>
          <w:tcPr>
            <w:tcW w:w="1227" w:type="dxa"/>
            <w:vAlign w:val="center"/>
          </w:tcPr>
          <w:p>
            <w:pPr>
              <w:jc w:val="center"/>
              <w:rPr>
                <w:color w:val="000000"/>
                <w:sz w:val="22"/>
              </w:rPr>
            </w:pPr>
            <w:r>
              <w:rPr>
                <w:color w:val="000000"/>
                <w:sz w:val="22"/>
              </w:rPr>
              <w:t>收到时间</w:t>
            </w:r>
          </w:p>
        </w:tc>
        <w:tc>
          <w:tcPr>
            <w:tcW w:w="1749" w:type="dxa"/>
            <w:gridSpan w:val="2"/>
            <w:vAlign w:val="center"/>
          </w:tcPr>
          <w:p>
            <w:pPr>
              <w:rPr>
                <w:color w:val="000000"/>
                <w:sz w:val="22"/>
              </w:rPr>
            </w:pPr>
            <w:r>
              <w:rPr>
                <w:color w:val="000000"/>
                <w:sz w:val="22"/>
              </w:rPr>
              <w:t xml:space="preserve">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报告人姓名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电    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报告地点</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restart"/>
            <w:vAlign w:val="center"/>
          </w:tcPr>
          <w:p>
            <w:pPr>
              <w:jc w:val="center"/>
              <w:rPr>
                <w:color w:val="000000"/>
                <w:sz w:val="22"/>
              </w:rPr>
            </w:pPr>
            <w:r>
              <w:rPr>
                <w:color w:val="000000"/>
                <w:sz w:val="22"/>
              </w:rPr>
              <w:t>信息联系人</w:t>
            </w:r>
          </w:p>
          <w:p>
            <w:pPr>
              <w:jc w:val="center"/>
              <w:rPr>
                <w:color w:val="000000"/>
                <w:sz w:val="22"/>
              </w:rPr>
            </w:pPr>
            <w:r>
              <w:rPr>
                <w:color w:val="000000"/>
                <w:sz w:val="22"/>
              </w:rPr>
              <w:t>姓名</w:t>
            </w: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联系电话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移动电话</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jc w:val="center"/>
              <w:rPr>
                <w:color w:val="000000"/>
                <w:sz w:val="22"/>
              </w:rPr>
            </w:pPr>
          </w:p>
        </w:tc>
        <w:tc>
          <w:tcPr>
            <w:tcW w:w="1343" w:type="dxa"/>
            <w:vAlign w:val="center"/>
          </w:tcPr>
          <w:p>
            <w:pPr>
              <w:jc w:val="center"/>
              <w:rPr>
                <w:color w:val="000000"/>
                <w:sz w:val="22"/>
              </w:rPr>
            </w:pPr>
          </w:p>
        </w:tc>
        <w:tc>
          <w:tcPr>
            <w:tcW w:w="1351" w:type="dxa"/>
            <w:vAlign w:val="center"/>
          </w:tcPr>
          <w:p>
            <w:pPr>
              <w:jc w:val="center"/>
              <w:rPr>
                <w:color w:val="000000"/>
                <w:sz w:val="22"/>
              </w:rPr>
            </w:pPr>
            <w:r>
              <w:rPr>
                <w:color w:val="000000"/>
                <w:sz w:val="22"/>
              </w:rPr>
              <w:t>传真电话</w:t>
            </w:r>
          </w:p>
        </w:tc>
        <w:tc>
          <w:tcPr>
            <w:tcW w:w="1070" w:type="dxa"/>
            <w:gridSpan w:val="3"/>
            <w:vAlign w:val="center"/>
          </w:tcPr>
          <w:p>
            <w:pPr>
              <w:jc w:val="center"/>
              <w:rPr>
                <w:color w:val="000000"/>
                <w:sz w:val="22"/>
              </w:rPr>
            </w:pPr>
          </w:p>
        </w:tc>
        <w:tc>
          <w:tcPr>
            <w:tcW w:w="1227" w:type="dxa"/>
            <w:vAlign w:val="center"/>
          </w:tcPr>
          <w:p>
            <w:pPr>
              <w:jc w:val="center"/>
              <w:rPr>
                <w:color w:val="000000"/>
                <w:sz w:val="22"/>
              </w:rPr>
            </w:pPr>
            <w:r>
              <w:rPr>
                <w:color w:val="000000"/>
                <w:sz w:val="22"/>
              </w:rPr>
              <w:t>电子邮箱</w:t>
            </w:r>
          </w:p>
        </w:tc>
        <w:tc>
          <w:tcPr>
            <w:tcW w:w="1749" w:type="dxa"/>
            <w:gridSpan w:val="2"/>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9"/>
            <w:vAlign w:val="center"/>
          </w:tcPr>
          <w:p>
            <w:pPr>
              <w:jc w:val="center"/>
              <w:rPr>
                <w:color w:val="000000"/>
                <w:sz w:val="22"/>
              </w:rPr>
            </w:pPr>
            <w:r>
              <w:rPr>
                <w:color w:val="000000"/>
                <w:sz w:val="22"/>
              </w:rPr>
              <w:t>事件简要情况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事件发生时间</w:t>
            </w:r>
          </w:p>
        </w:tc>
        <w:tc>
          <w:tcPr>
            <w:tcW w:w="6740" w:type="dxa"/>
            <w:gridSpan w:val="8"/>
            <w:vAlign w:val="center"/>
          </w:tcPr>
          <w:p>
            <w:pPr>
              <w:jc w:val="center"/>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Align w:val="center"/>
          </w:tcPr>
          <w:p>
            <w:pPr>
              <w:jc w:val="center"/>
              <w:rPr>
                <w:color w:val="000000"/>
                <w:sz w:val="22"/>
              </w:rPr>
            </w:pPr>
            <w:r>
              <w:rPr>
                <w:color w:val="000000"/>
                <w:sz w:val="22"/>
              </w:rPr>
              <w:t>事件发生地点</w:t>
            </w:r>
          </w:p>
        </w:tc>
        <w:tc>
          <w:tcPr>
            <w:tcW w:w="6740" w:type="dxa"/>
            <w:gridSpan w:val="8"/>
            <w:vAlign w:val="center"/>
          </w:tcPr>
          <w:p>
            <w:pPr>
              <w:jc w:val="center"/>
              <w:rPr>
                <w:color w:val="000000"/>
                <w:sz w:val="22"/>
              </w:rPr>
            </w:pPr>
            <w:r>
              <w:rPr>
                <w:color w:val="000000"/>
                <w:sz w:val="22"/>
              </w:rPr>
              <w:t>省（自治区）       县（市）       乡镇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Align w:val="center"/>
          </w:tcPr>
          <w:p>
            <w:pPr>
              <w:jc w:val="center"/>
              <w:rPr>
                <w:color w:val="000000"/>
                <w:sz w:val="22"/>
              </w:rPr>
            </w:pPr>
            <w:r>
              <w:rPr>
                <w:color w:val="000000"/>
                <w:sz w:val="22"/>
              </w:rPr>
              <w:t>事件发生单位</w:t>
            </w:r>
          </w:p>
        </w:tc>
        <w:tc>
          <w:tcPr>
            <w:tcW w:w="6740" w:type="dxa"/>
            <w:gridSpan w:val="8"/>
            <w:vAlign w:val="center"/>
          </w:tcPr>
          <w:p>
            <w:pPr>
              <w:jc w:val="center"/>
              <w:rPr>
                <w:color w:val="000000"/>
                <w:sz w:val="22"/>
              </w:rPr>
            </w:pPr>
            <w:r>
              <w:rPr>
                <w:color w:val="000000"/>
                <w:sz w:val="22"/>
              </w:rPr>
              <w:t>（企业）          （二级单位）          （基层）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restart"/>
            <w:vAlign w:val="center"/>
          </w:tcPr>
          <w:p>
            <w:pPr>
              <w:rPr>
                <w:color w:val="000000"/>
                <w:sz w:val="22"/>
              </w:rPr>
            </w:pPr>
            <w:r>
              <w:rPr>
                <w:color w:val="000000"/>
                <w:sz w:val="22"/>
              </w:rPr>
              <w:t>事件类型</w:t>
            </w:r>
          </w:p>
          <w:p>
            <w:pPr>
              <w:rPr>
                <w:color w:val="000000"/>
                <w:sz w:val="22"/>
              </w:rPr>
            </w:pPr>
            <w:r>
              <w:rPr>
                <w:color w:val="000000"/>
                <w:sz w:val="22"/>
              </w:rPr>
              <w:t>□事故灾难</w:t>
            </w:r>
          </w:p>
          <w:p>
            <w:pPr>
              <w:rPr>
                <w:color w:val="000000"/>
                <w:sz w:val="22"/>
              </w:rPr>
            </w:pPr>
            <w:r>
              <w:rPr>
                <w:color w:val="000000"/>
                <w:sz w:val="22"/>
              </w:rPr>
              <w:t>□公共卫生</w:t>
            </w:r>
          </w:p>
          <w:p>
            <w:pPr>
              <w:rPr>
                <w:color w:val="000000"/>
                <w:sz w:val="22"/>
              </w:rPr>
            </w:pPr>
            <w:r>
              <w:rPr>
                <w:color w:val="000000"/>
                <w:sz w:val="22"/>
              </w:rPr>
              <w:t>□自然灾害</w:t>
            </w:r>
          </w:p>
          <w:p>
            <w:pPr>
              <w:rPr>
                <w:color w:val="000000"/>
                <w:sz w:val="22"/>
              </w:rPr>
            </w:pPr>
            <w:r>
              <w:rPr>
                <w:color w:val="000000"/>
                <w:sz w:val="22"/>
              </w:rPr>
              <w:t>□社会安全</w:t>
            </w:r>
          </w:p>
        </w:tc>
        <w:tc>
          <w:tcPr>
            <w:tcW w:w="2848" w:type="dxa"/>
            <w:gridSpan w:val="3"/>
            <w:vAlign w:val="center"/>
          </w:tcPr>
          <w:p>
            <w:pPr>
              <w:rPr>
                <w:color w:val="000000"/>
                <w:sz w:val="22"/>
              </w:rPr>
            </w:pPr>
            <w:r>
              <w:rPr>
                <w:color w:val="000000"/>
                <w:sz w:val="22"/>
              </w:rPr>
              <w:t>井喷失控事故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油气站库及炼化装置爆炸着火</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危险化学品泄漏失控和中毒</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长输管道事故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海洋石油开发事故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剧毒危险品运输事故</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群体性事件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公共文化场所和文化活动突发事件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涉外突发事件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涉外防恐</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防恐</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火工品被盗丢失事件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网络与信息安全事故</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重大自然灾害突发事件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2" w:type="dxa"/>
            <w:vMerge w:val="continue"/>
            <w:vAlign w:val="center"/>
          </w:tcPr>
          <w:p>
            <w:pPr>
              <w:rPr>
                <w:color w:val="000000"/>
                <w:sz w:val="22"/>
              </w:rPr>
            </w:pPr>
          </w:p>
        </w:tc>
        <w:tc>
          <w:tcPr>
            <w:tcW w:w="2848" w:type="dxa"/>
            <w:gridSpan w:val="3"/>
            <w:vAlign w:val="center"/>
          </w:tcPr>
          <w:p>
            <w:pPr>
              <w:rPr>
                <w:color w:val="000000"/>
                <w:sz w:val="22"/>
              </w:rPr>
            </w:pPr>
            <w:r>
              <w:rPr>
                <w:color w:val="000000"/>
                <w:sz w:val="22"/>
              </w:rPr>
              <w:t>重大公共卫生事件</w:t>
            </w:r>
          </w:p>
        </w:tc>
        <w:tc>
          <w:tcPr>
            <w:tcW w:w="714" w:type="dxa"/>
            <w:vAlign w:val="center"/>
          </w:tcPr>
          <w:p>
            <w:pPr>
              <w:rPr>
                <w:color w:val="000000"/>
                <w:sz w:val="22"/>
              </w:rPr>
            </w:pPr>
          </w:p>
        </w:tc>
        <w:tc>
          <w:tcPr>
            <w:tcW w:w="2543" w:type="dxa"/>
            <w:gridSpan w:val="3"/>
            <w:vAlign w:val="center"/>
          </w:tcPr>
          <w:p>
            <w:pPr>
              <w:rPr>
                <w:color w:val="000000"/>
                <w:sz w:val="22"/>
              </w:rPr>
            </w:pPr>
            <w:r>
              <w:rPr>
                <w:color w:val="000000"/>
                <w:sz w:val="22"/>
              </w:rPr>
              <w:t>突发环境事件</w:t>
            </w:r>
          </w:p>
        </w:tc>
        <w:tc>
          <w:tcPr>
            <w:tcW w:w="635" w:type="dxa"/>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4" w:hRule="atLeast"/>
          <w:jc w:val="center"/>
        </w:trPr>
        <w:tc>
          <w:tcPr>
            <w:tcW w:w="1532" w:type="dxa"/>
            <w:vAlign w:val="center"/>
          </w:tcPr>
          <w:p>
            <w:pPr>
              <w:jc w:val="center"/>
              <w:rPr>
                <w:color w:val="000000"/>
                <w:sz w:val="22"/>
              </w:rPr>
            </w:pPr>
            <w:r>
              <w:rPr>
                <w:color w:val="000000"/>
                <w:sz w:val="22"/>
              </w:rPr>
              <w:t>事故经过</w:t>
            </w:r>
          </w:p>
          <w:p>
            <w:pPr>
              <w:jc w:val="center"/>
              <w:rPr>
                <w:color w:val="000000"/>
                <w:sz w:val="22"/>
              </w:rPr>
            </w:pPr>
            <w:r>
              <w:rPr>
                <w:color w:val="000000"/>
                <w:sz w:val="22"/>
              </w:rPr>
              <w:t>简要描述</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1" w:hRule="atLeast"/>
          <w:jc w:val="center"/>
        </w:trPr>
        <w:tc>
          <w:tcPr>
            <w:tcW w:w="1532" w:type="dxa"/>
            <w:vAlign w:val="center"/>
          </w:tcPr>
          <w:p>
            <w:pPr>
              <w:jc w:val="center"/>
              <w:rPr>
                <w:color w:val="000000"/>
                <w:sz w:val="22"/>
              </w:rPr>
            </w:pPr>
            <w:r>
              <w:rPr>
                <w:color w:val="000000"/>
                <w:sz w:val="22"/>
              </w:rPr>
              <w:t>目前人员</w:t>
            </w:r>
          </w:p>
          <w:p>
            <w:pPr>
              <w:jc w:val="center"/>
              <w:rPr>
                <w:color w:val="000000"/>
                <w:sz w:val="22"/>
              </w:rPr>
            </w:pPr>
            <w:r>
              <w:rPr>
                <w:color w:val="000000"/>
                <w:sz w:val="22"/>
              </w:rPr>
              <w:t>伤亡情况</w:t>
            </w:r>
          </w:p>
        </w:tc>
        <w:tc>
          <w:tcPr>
            <w:tcW w:w="6740" w:type="dxa"/>
            <w:gridSpan w:val="8"/>
            <w:vAlign w:val="center"/>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0" w:hRule="atLeast"/>
          <w:jc w:val="center"/>
        </w:trPr>
        <w:tc>
          <w:tcPr>
            <w:tcW w:w="1532" w:type="dxa"/>
            <w:vAlign w:val="center"/>
          </w:tcPr>
          <w:p>
            <w:pPr>
              <w:jc w:val="center"/>
              <w:rPr>
                <w:color w:val="000000"/>
                <w:sz w:val="22"/>
              </w:rPr>
            </w:pPr>
            <w:r>
              <w:rPr>
                <w:color w:val="000000"/>
                <w:sz w:val="22"/>
              </w:rPr>
              <w:t>目前环境</w:t>
            </w:r>
          </w:p>
          <w:p>
            <w:pPr>
              <w:jc w:val="center"/>
              <w:rPr>
                <w:color w:val="000000"/>
                <w:sz w:val="22"/>
              </w:rPr>
            </w:pPr>
            <w:r>
              <w:rPr>
                <w:color w:val="000000"/>
                <w:sz w:val="22"/>
              </w:rPr>
              <w:t>污染情况</w:t>
            </w:r>
          </w:p>
        </w:tc>
        <w:tc>
          <w:tcPr>
            <w:tcW w:w="6740" w:type="dxa"/>
            <w:gridSpan w:val="8"/>
            <w:vAlign w:val="center"/>
          </w:tcPr>
          <w:p>
            <w:pPr>
              <w:rPr>
                <w:color w:val="000000"/>
                <w:sz w:val="22"/>
              </w:rPr>
            </w:pPr>
          </w:p>
        </w:tc>
      </w:tr>
    </w:tbl>
    <w:p>
      <w:pPr>
        <w:rPr>
          <w:color w:val="000000"/>
          <w:sz w:val="24"/>
        </w:rPr>
      </w:pPr>
    </w:p>
    <w:tbl>
      <w:tblPr>
        <w:tblStyle w:val="5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448"/>
        <w:gridCol w:w="1575"/>
        <w:gridCol w:w="388"/>
        <w:gridCol w:w="1082"/>
        <w:gridCol w:w="21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8" w:hRule="atLeast"/>
        </w:trPr>
        <w:tc>
          <w:tcPr>
            <w:tcW w:w="1705" w:type="dxa"/>
            <w:vAlign w:val="center"/>
          </w:tcPr>
          <w:p>
            <w:pPr>
              <w:jc w:val="center"/>
              <w:rPr>
                <w:color w:val="000000"/>
                <w:sz w:val="22"/>
              </w:rPr>
            </w:pPr>
            <w:r>
              <w:rPr>
                <w:color w:val="000000"/>
                <w:sz w:val="22"/>
              </w:rPr>
              <w:t>目前造成</w:t>
            </w:r>
          </w:p>
          <w:p>
            <w:pPr>
              <w:jc w:val="center"/>
              <w:rPr>
                <w:color w:val="000000"/>
                <w:sz w:val="22"/>
              </w:rPr>
            </w:pPr>
            <w:r>
              <w:rPr>
                <w:color w:val="000000"/>
                <w:sz w:val="22"/>
              </w:rPr>
              <w:t>周边影响</w:t>
            </w:r>
          </w:p>
        </w:tc>
        <w:tc>
          <w:tcPr>
            <w:tcW w:w="6823" w:type="dxa"/>
            <w:gridSpan w:val="6"/>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Align w:val="center"/>
          </w:tcPr>
          <w:p>
            <w:pPr>
              <w:jc w:val="center"/>
              <w:rPr>
                <w:color w:val="000000"/>
                <w:sz w:val="22"/>
              </w:rPr>
            </w:pPr>
            <w:r>
              <w:rPr>
                <w:color w:val="000000"/>
                <w:sz w:val="22"/>
              </w:rPr>
              <w:t>现场负责人</w:t>
            </w:r>
          </w:p>
          <w:p>
            <w:pPr>
              <w:jc w:val="center"/>
              <w:rPr>
                <w:color w:val="000000"/>
                <w:sz w:val="22"/>
              </w:rPr>
            </w:pPr>
            <w:r>
              <w:rPr>
                <w:color w:val="000000"/>
                <w:sz w:val="22"/>
              </w:rPr>
              <w:t>姓  名</w:t>
            </w:r>
          </w:p>
        </w:tc>
        <w:tc>
          <w:tcPr>
            <w:tcW w:w="3411" w:type="dxa"/>
            <w:gridSpan w:val="3"/>
            <w:vAlign w:val="center"/>
          </w:tcPr>
          <w:p>
            <w:pPr>
              <w:jc w:val="center"/>
              <w:rPr>
                <w:color w:val="000000"/>
                <w:sz w:val="22"/>
              </w:rPr>
            </w:pP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restart"/>
            <w:vAlign w:val="center"/>
          </w:tcPr>
          <w:p>
            <w:pPr>
              <w:jc w:val="center"/>
              <w:rPr>
                <w:color w:val="000000"/>
                <w:sz w:val="22"/>
              </w:rPr>
            </w:pPr>
            <w:r>
              <w:rPr>
                <w:color w:val="000000"/>
                <w:sz w:val="22"/>
              </w:rPr>
              <w:t>企业应急</w:t>
            </w:r>
          </w:p>
          <w:p>
            <w:pPr>
              <w:jc w:val="center"/>
              <w:rPr>
                <w:color w:val="000000"/>
                <w:sz w:val="22"/>
              </w:rPr>
            </w:pPr>
            <w:r>
              <w:rPr>
                <w:color w:val="000000"/>
                <w:sz w:val="22"/>
              </w:rPr>
              <w:t>人员情况</w:t>
            </w:r>
          </w:p>
        </w:tc>
        <w:tc>
          <w:tcPr>
            <w:tcW w:w="1448" w:type="dxa"/>
            <w:vAlign w:val="center"/>
          </w:tcPr>
          <w:p>
            <w:pPr>
              <w:jc w:val="center"/>
              <w:rPr>
                <w:color w:val="000000"/>
                <w:sz w:val="22"/>
              </w:rPr>
            </w:pPr>
            <w:r>
              <w:rPr>
                <w:color w:val="000000"/>
                <w:sz w:val="22"/>
              </w:rPr>
              <w:t>应急职务</w:t>
            </w:r>
          </w:p>
        </w:tc>
        <w:tc>
          <w:tcPr>
            <w:tcW w:w="1963" w:type="dxa"/>
            <w:gridSpan w:val="2"/>
            <w:vAlign w:val="center"/>
          </w:tcPr>
          <w:p>
            <w:pPr>
              <w:jc w:val="center"/>
              <w:rPr>
                <w:color w:val="000000"/>
                <w:sz w:val="22"/>
              </w:rPr>
            </w:pPr>
            <w:r>
              <w:rPr>
                <w:color w:val="000000"/>
                <w:sz w:val="22"/>
              </w:rPr>
              <w:t>姓   名</w:t>
            </w:r>
          </w:p>
        </w:tc>
        <w:tc>
          <w:tcPr>
            <w:tcW w:w="1292" w:type="dxa"/>
            <w:gridSpan w:val="2"/>
            <w:vAlign w:val="center"/>
          </w:tcPr>
          <w:p>
            <w:pPr>
              <w:jc w:val="center"/>
              <w:rPr>
                <w:color w:val="000000"/>
                <w:sz w:val="22"/>
              </w:rPr>
            </w:pPr>
            <w:r>
              <w:rPr>
                <w:color w:val="000000"/>
                <w:sz w:val="22"/>
              </w:rPr>
              <w:t>联系电话</w:t>
            </w:r>
          </w:p>
        </w:tc>
        <w:tc>
          <w:tcPr>
            <w:tcW w:w="2120" w:type="dxa"/>
            <w:vAlign w:val="center"/>
          </w:tcPr>
          <w:p>
            <w:pPr>
              <w:jc w:val="center"/>
              <w:rPr>
                <w:color w:val="000000"/>
                <w:sz w:val="22"/>
              </w:rPr>
            </w:pPr>
            <w:r>
              <w:rPr>
                <w:color w:val="000000"/>
                <w:sz w:val="22"/>
              </w:rPr>
              <w:t>移动电话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总指挥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信息联络</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05" w:type="dxa"/>
            <w:vMerge w:val="continue"/>
            <w:vAlign w:val="center"/>
          </w:tcPr>
          <w:p>
            <w:pPr>
              <w:jc w:val="center"/>
              <w:rPr>
                <w:color w:val="000000"/>
                <w:sz w:val="22"/>
              </w:rPr>
            </w:pPr>
          </w:p>
        </w:tc>
        <w:tc>
          <w:tcPr>
            <w:tcW w:w="1448" w:type="dxa"/>
            <w:vAlign w:val="center"/>
          </w:tcPr>
          <w:p>
            <w:pPr>
              <w:jc w:val="center"/>
              <w:rPr>
                <w:color w:val="000000"/>
                <w:sz w:val="22"/>
              </w:rPr>
            </w:pPr>
            <w:r>
              <w:rPr>
                <w:color w:val="000000"/>
                <w:sz w:val="22"/>
              </w:rPr>
              <w:t>现场指挥</w:t>
            </w:r>
          </w:p>
        </w:tc>
        <w:tc>
          <w:tcPr>
            <w:tcW w:w="1963" w:type="dxa"/>
            <w:gridSpan w:val="2"/>
            <w:vAlign w:val="center"/>
          </w:tcPr>
          <w:p>
            <w:pPr>
              <w:jc w:val="center"/>
              <w:rPr>
                <w:color w:val="000000"/>
                <w:sz w:val="22"/>
              </w:rPr>
            </w:pPr>
          </w:p>
        </w:tc>
        <w:tc>
          <w:tcPr>
            <w:tcW w:w="1292" w:type="dxa"/>
            <w:gridSpan w:val="2"/>
            <w:vAlign w:val="center"/>
          </w:tcPr>
          <w:p>
            <w:pPr>
              <w:jc w:val="center"/>
              <w:rPr>
                <w:color w:val="000000"/>
                <w:sz w:val="22"/>
              </w:rPr>
            </w:pPr>
          </w:p>
        </w:tc>
        <w:tc>
          <w:tcPr>
            <w:tcW w:w="2120" w:type="dxa"/>
            <w:vAlign w:val="center"/>
          </w:tcPr>
          <w:p>
            <w:pPr>
              <w:jc w:val="cente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事件初步</w:t>
            </w:r>
          </w:p>
          <w:p>
            <w:pPr>
              <w:jc w:val="center"/>
              <w:rPr>
                <w:color w:val="000000"/>
                <w:sz w:val="22"/>
              </w:rPr>
            </w:pPr>
            <w:r>
              <w:rPr>
                <w:color w:val="000000"/>
                <w:sz w:val="22"/>
              </w:rPr>
              <w:t>原因描述</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5" w:hRule="atLeast"/>
        </w:trPr>
        <w:tc>
          <w:tcPr>
            <w:tcW w:w="1705" w:type="dxa"/>
            <w:vAlign w:val="center"/>
          </w:tcPr>
          <w:p>
            <w:pPr>
              <w:jc w:val="center"/>
              <w:rPr>
                <w:color w:val="000000"/>
                <w:sz w:val="22"/>
              </w:rPr>
            </w:pPr>
            <w:r>
              <w:rPr>
                <w:color w:val="000000"/>
                <w:sz w:val="22"/>
              </w:rPr>
              <w:t>已经实施或正在采取的控制措施</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3" w:hRule="atLeast"/>
        </w:trPr>
        <w:tc>
          <w:tcPr>
            <w:tcW w:w="1705" w:type="dxa"/>
            <w:vAlign w:val="center"/>
          </w:tcPr>
          <w:p>
            <w:pPr>
              <w:jc w:val="center"/>
              <w:rPr>
                <w:color w:val="000000"/>
                <w:sz w:val="22"/>
              </w:rPr>
            </w:pPr>
            <w:r>
              <w:rPr>
                <w:color w:val="000000"/>
                <w:sz w:val="22"/>
              </w:rPr>
              <w:t>事件潜在后果以及可能对周边造成的影响</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8" w:hRule="atLeast"/>
        </w:trPr>
        <w:tc>
          <w:tcPr>
            <w:tcW w:w="1705" w:type="dxa"/>
            <w:vAlign w:val="center"/>
          </w:tcPr>
          <w:p>
            <w:pPr>
              <w:jc w:val="center"/>
              <w:rPr>
                <w:color w:val="000000"/>
                <w:sz w:val="22"/>
              </w:rPr>
            </w:pPr>
            <w:r>
              <w:rPr>
                <w:color w:val="000000"/>
                <w:sz w:val="22"/>
              </w:rPr>
              <w:t>现场气象、海况及主要自然天气情况</w:t>
            </w:r>
          </w:p>
        </w:tc>
        <w:tc>
          <w:tcPr>
            <w:tcW w:w="6823" w:type="dxa"/>
            <w:gridSpan w:val="6"/>
          </w:tcPr>
          <w:p>
            <w:pPr>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90" w:hRule="atLeast"/>
        </w:trPr>
        <w:tc>
          <w:tcPr>
            <w:tcW w:w="1705" w:type="dxa"/>
            <w:vAlign w:val="center"/>
          </w:tcPr>
          <w:p>
            <w:pPr>
              <w:jc w:val="center"/>
              <w:rPr>
                <w:color w:val="000000"/>
                <w:sz w:val="22"/>
              </w:rPr>
            </w:pPr>
            <w:r>
              <w:rPr>
                <w:color w:val="000000"/>
                <w:sz w:val="22"/>
              </w:rPr>
              <w:t>信息报送情况</w:t>
            </w:r>
          </w:p>
        </w:tc>
        <w:tc>
          <w:tcPr>
            <w:tcW w:w="6823" w:type="dxa"/>
            <w:gridSpan w:val="6"/>
          </w:tcPr>
          <w:p>
            <w:pPr>
              <w:rPr>
                <w:color w:val="000000"/>
                <w:sz w:val="22"/>
              </w:rPr>
            </w:pPr>
            <w:r>
              <w:rPr>
                <w:color w:val="000000"/>
                <w:sz w:val="22"/>
              </w:rPr>
              <w:t>□本企业领导：</w:t>
            </w:r>
          </w:p>
          <w:p>
            <w:pPr>
              <w:rPr>
                <w:color w:val="000000"/>
                <w:sz w:val="22"/>
              </w:rPr>
            </w:pPr>
            <w:r>
              <w:rPr>
                <w:color w:val="000000"/>
                <w:sz w:val="22"/>
              </w:rPr>
              <w:t>□本企业有关部门：</w:t>
            </w:r>
          </w:p>
          <w:p>
            <w:pPr>
              <w:rPr>
                <w:color w:val="000000"/>
                <w:sz w:val="22"/>
              </w:rPr>
            </w:pPr>
            <w:r>
              <w:rPr>
                <w:color w:val="000000"/>
                <w:sz w:val="22"/>
              </w:rPr>
              <w:t>□上级部门：</w:t>
            </w:r>
          </w:p>
          <w:p>
            <w:pPr>
              <w:rPr>
                <w:color w:val="000000"/>
                <w:sz w:val="22"/>
              </w:rPr>
            </w:pPr>
            <w:r>
              <w:rPr>
                <w:color w:val="000000"/>
                <w:sz w:val="22"/>
              </w:rPr>
              <w:t>□政府部门：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trPr>
        <w:tc>
          <w:tcPr>
            <w:tcW w:w="1705" w:type="dxa"/>
            <w:vAlign w:val="center"/>
          </w:tcPr>
          <w:p>
            <w:pPr>
              <w:jc w:val="center"/>
              <w:rPr>
                <w:color w:val="000000"/>
                <w:sz w:val="22"/>
              </w:rPr>
            </w:pPr>
            <w:r>
              <w:rPr>
                <w:color w:val="000000"/>
                <w:sz w:val="22"/>
              </w:rPr>
              <w:t>此报告信息</w:t>
            </w:r>
          </w:p>
          <w:p>
            <w:pPr>
              <w:jc w:val="center"/>
              <w:rPr>
                <w:color w:val="000000"/>
                <w:sz w:val="22"/>
              </w:rPr>
            </w:pPr>
            <w:r>
              <w:rPr>
                <w:color w:val="000000"/>
                <w:sz w:val="22"/>
              </w:rPr>
              <w:t>接收人</w:t>
            </w:r>
          </w:p>
        </w:tc>
        <w:tc>
          <w:tcPr>
            <w:tcW w:w="3023" w:type="dxa"/>
            <w:gridSpan w:val="2"/>
          </w:tcPr>
          <w:p>
            <w:pPr>
              <w:rPr>
                <w:color w:val="000000"/>
                <w:sz w:val="22"/>
              </w:rPr>
            </w:pPr>
          </w:p>
        </w:tc>
        <w:tc>
          <w:tcPr>
            <w:tcW w:w="1470" w:type="dxa"/>
            <w:gridSpan w:val="2"/>
            <w:vAlign w:val="center"/>
          </w:tcPr>
          <w:p>
            <w:pPr>
              <w:jc w:val="center"/>
              <w:rPr>
                <w:color w:val="000000"/>
                <w:sz w:val="22"/>
              </w:rPr>
            </w:pPr>
            <w:r>
              <w:rPr>
                <w:color w:val="000000"/>
                <w:sz w:val="22"/>
              </w:rPr>
              <w:t>接受时间</w:t>
            </w:r>
          </w:p>
        </w:tc>
        <w:tc>
          <w:tcPr>
            <w:tcW w:w="2330" w:type="dxa"/>
            <w:gridSpan w:val="2"/>
            <w:vAlign w:val="center"/>
          </w:tcPr>
          <w:p>
            <w:pPr>
              <w:ind w:firstLine="893" w:firstLineChars="400"/>
              <w:rPr>
                <w:color w:val="000000"/>
                <w:sz w:val="22"/>
              </w:rPr>
            </w:pPr>
            <w:r>
              <w:rPr>
                <w:color w:val="000000"/>
                <w:sz w:val="22"/>
              </w:rPr>
              <w:t>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8" w:hRule="atLeast"/>
        </w:trPr>
        <w:tc>
          <w:tcPr>
            <w:tcW w:w="1705" w:type="dxa"/>
            <w:vAlign w:val="center"/>
          </w:tcPr>
          <w:p>
            <w:pPr>
              <w:jc w:val="center"/>
              <w:rPr>
                <w:color w:val="000000"/>
                <w:sz w:val="22"/>
              </w:rPr>
            </w:pPr>
            <w:r>
              <w:rPr>
                <w:color w:val="000000"/>
                <w:sz w:val="22"/>
              </w:rPr>
              <w:t>备注</w:t>
            </w:r>
          </w:p>
        </w:tc>
        <w:tc>
          <w:tcPr>
            <w:tcW w:w="6823" w:type="dxa"/>
            <w:gridSpan w:val="6"/>
          </w:tcPr>
          <w:p>
            <w:pPr>
              <w:rPr>
                <w:color w:val="000000"/>
                <w:sz w:val="22"/>
              </w:rPr>
            </w:pPr>
          </w:p>
        </w:tc>
      </w:tr>
    </w:tbl>
    <w:p>
      <w:pPr>
        <w:rPr>
          <w:color w:val="000000"/>
          <w:sz w:val="24"/>
        </w:rPr>
      </w:pPr>
      <w:r>
        <w:rPr>
          <w:color w:val="000000"/>
          <w:sz w:val="24"/>
        </w:rPr>
        <w:t>注：此报告单可以作为快报。</w:t>
      </w:r>
    </w:p>
    <w:p>
      <w:pPr>
        <w:rPr>
          <w:color w:val="000000"/>
          <w:sz w:val="24"/>
        </w:rPr>
      </w:pPr>
    </w:p>
    <w:p>
      <w:pPr>
        <w:spacing w:line="460" w:lineRule="exact"/>
        <w:jc w:val="left"/>
        <w:rPr>
          <w:b/>
          <w:color w:val="000000"/>
          <w:sz w:val="24"/>
        </w:rPr>
      </w:pPr>
      <w:r>
        <w:rPr>
          <w:color w:val="000000"/>
          <w:sz w:val="26"/>
          <w:szCs w:val="26"/>
        </w:rPr>
        <w:t>附件</w:t>
      </w:r>
      <w:r>
        <w:rPr>
          <w:rFonts w:hint="eastAsia"/>
          <w:color w:val="000000"/>
          <w:sz w:val="26"/>
          <w:szCs w:val="26"/>
        </w:rPr>
        <w:t xml:space="preserve"> </w:t>
      </w:r>
      <w:r>
        <w:rPr>
          <w:color w:val="000000"/>
          <w:sz w:val="26"/>
          <w:szCs w:val="26"/>
        </w:rPr>
        <w:t>应急预案启动令（格式）</w:t>
      </w:r>
    </w:p>
    <w:p>
      <w:pPr>
        <w:pStyle w:val="120"/>
        <w:ind w:firstLine="486"/>
        <w:jc w:val="center"/>
      </w:pPr>
      <w:r>
        <w:t>应急预案启动令（格式）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（包括信息来源、事件现状、宣布事项） </w:t>
            </w:r>
          </w:p>
          <w:p>
            <w:pPr>
              <w:spacing w:before="156" w:after="156"/>
              <w:rPr>
                <w:color w:val="000000"/>
                <w:sz w:val="22"/>
              </w:rPr>
            </w:pPr>
          </w:p>
          <w:p>
            <w:pPr>
              <w:spacing w:before="156" w:after="156"/>
              <w:rPr>
                <w:color w:val="000000"/>
                <w:sz w:val="22"/>
              </w:rPr>
            </w:pPr>
            <w:r>
              <w:rPr>
                <w:color w:val="000000"/>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5"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p>
            <w:pPr>
              <w:spacing w:before="156" w:after="156"/>
              <w:rPr>
                <w:color w:val="000000"/>
                <w:sz w:val="22"/>
              </w:rPr>
            </w:pPr>
          </w:p>
        </w:tc>
      </w:tr>
    </w:tbl>
    <w:p>
      <w:pPr>
        <w:spacing w:line="460" w:lineRule="exact"/>
        <w:jc w:val="left"/>
        <w:rPr>
          <w:color w:val="000000"/>
          <w:sz w:val="26"/>
          <w:szCs w:val="26"/>
        </w:rPr>
      </w:pPr>
      <w:r>
        <w:rPr>
          <w:color w:val="000000"/>
          <w:sz w:val="26"/>
          <w:szCs w:val="26"/>
        </w:rPr>
        <w:t>附件</w:t>
      </w:r>
      <w:r>
        <w:rPr>
          <w:rFonts w:hint="eastAsia"/>
          <w:color w:val="000000"/>
          <w:sz w:val="26"/>
          <w:szCs w:val="26"/>
        </w:rPr>
        <w:t xml:space="preserve"> </w:t>
      </w:r>
      <w:r>
        <w:rPr>
          <w:color w:val="000000"/>
          <w:sz w:val="26"/>
          <w:szCs w:val="26"/>
        </w:rPr>
        <w:t>应急状态终止令（格式）</w:t>
      </w:r>
    </w:p>
    <w:p>
      <w:pPr>
        <w:rPr>
          <w:b/>
          <w:color w:val="000000"/>
          <w:sz w:val="24"/>
        </w:rPr>
      </w:pPr>
    </w:p>
    <w:p>
      <w:pPr>
        <w:pStyle w:val="120"/>
        <w:ind w:firstLine="486"/>
        <w:jc w:val="center"/>
      </w:pPr>
      <w:r>
        <w:t>应急状态终止令（格式）</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9"/>
        <w:gridCol w:w="1798"/>
        <w:gridCol w:w="1259"/>
        <w:gridCol w:w="3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签发人</w:t>
            </w:r>
          </w:p>
        </w:tc>
        <w:tc>
          <w:tcPr>
            <w:tcW w:w="1798" w:type="dxa"/>
          </w:tcPr>
          <w:p>
            <w:pPr>
              <w:spacing w:before="156" w:after="156"/>
              <w:rPr>
                <w:color w:val="000000"/>
                <w:sz w:val="22"/>
              </w:rPr>
            </w:pPr>
          </w:p>
        </w:tc>
        <w:tc>
          <w:tcPr>
            <w:tcW w:w="1259" w:type="dxa"/>
          </w:tcPr>
          <w:p>
            <w:pPr>
              <w:spacing w:before="156" w:after="156"/>
              <w:ind w:right="72" w:rightChars="34"/>
              <w:rPr>
                <w:color w:val="000000"/>
                <w:sz w:val="22"/>
              </w:rPr>
            </w:pPr>
            <w:r>
              <w:rPr>
                <w:color w:val="000000"/>
                <w:sz w:val="22"/>
              </w:rPr>
              <w:t>签发时间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9" w:type="dxa"/>
          </w:tcPr>
          <w:p>
            <w:pPr>
              <w:spacing w:before="156" w:after="156"/>
              <w:rPr>
                <w:color w:val="000000"/>
                <w:sz w:val="22"/>
              </w:rPr>
            </w:pPr>
            <w:r>
              <w:rPr>
                <w:color w:val="000000"/>
                <w:sz w:val="22"/>
              </w:rPr>
              <w:t>传令人</w:t>
            </w:r>
          </w:p>
        </w:tc>
        <w:tc>
          <w:tcPr>
            <w:tcW w:w="1798" w:type="dxa"/>
          </w:tcPr>
          <w:p>
            <w:pPr>
              <w:spacing w:before="156" w:after="156"/>
              <w:rPr>
                <w:color w:val="000000"/>
                <w:sz w:val="22"/>
              </w:rPr>
            </w:pPr>
          </w:p>
        </w:tc>
        <w:tc>
          <w:tcPr>
            <w:tcW w:w="1259" w:type="dxa"/>
          </w:tcPr>
          <w:p>
            <w:pPr>
              <w:spacing w:before="156" w:after="156"/>
              <w:rPr>
                <w:color w:val="000000"/>
                <w:sz w:val="22"/>
              </w:rPr>
            </w:pPr>
            <w:r>
              <w:rPr>
                <w:color w:val="000000"/>
                <w:sz w:val="22"/>
              </w:rPr>
              <w:t>传令时间</w:t>
            </w:r>
          </w:p>
        </w:tc>
        <w:tc>
          <w:tcPr>
            <w:tcW w:w="3596" w:type="dxa"/>
          </w:tcPr>
          <w:p>
            <w:pPr>
              <w:spacing w:before="156" w:after="156"/>
              <w:ind w:firstLine="446" w:firstLineChars="200"/>
              <w:rPr>
                <w:color w:val="000000"/>
                <w:sz w:val="22"/>
              </w:rPr>
            </w:pPr>
            <w:r>
              <w:rPr>
                <w:color w:val="000000"/>
                <w:sz w:val="22"/>
              </w:rPr>
              <w:t>年  月   日    时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3" w:hRule="atLeast"/>
          <w:jc w:val="center"/>
        </w:trPr>
        <w:tc>
          <w:tcPr>
            <w:tcW w:w="8272" w:type="dxa"/>
            <w:gridSpan w:val="4"/>
          </w:tcPr>
          <w:p>
            <w:pPr>
              <w:spacing w:before="156" w:after="156"/>
              <w:rPr>
                <w:color w:val="000000"/>
                <w:sz w:val="22"/>
              </w:rPr>
            </w:pPr>
            <w:r>
              <w:rPr>
                <w:color w:val="000000"/>
                <w:sz w:val="22"/>
              </w:rPr>
              <w:t>命令内容：</w:t>
            </w:r>
          </w:p>
          <w:p>
            <w:pPr>
              <w:spacing w:before="156" w:after="156"/>
              <w:rPr>
                <w:color w:val="000000"/>
                <w:sz w:val="22"/>
              </w:rPr>
            </w:pPr>
            <w:r>
              <w:rPr>
                <w:color w:val="000000"/>
                <w:sz w:val="22"/>
              </w:rPr>
              <w:t xml:space="preserve">（宣布事件应急救援工作基本结束，现场基本恢复，现场指挥部（小组）撤销，相关部门认真做好善后恢复工作。） </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9" w:hRule="atLeast"/>
          <w:jc w:val="center"/>
        </w:trPr>
        <w:tc>
          <w:tcPr>
            <w:tcW w:w="8272" w:type="dxa"/>
            <w:gridSpan w:val="4"/>
          </w:tcPr>
          <w:p>
            <w:pPr>
              <w:spacing w:before="156" w:after="156"/>
              <w:rPr>
                <w:color w:val="000000"/>
                <w:sz w:val="22"/>
              </w:rPr>
            </w:pPr>
            <w:r>
              <w:rPr>
                <w:color w:val="000000"/>
                <w:sz w:val="22"/>
              </w:rPr>
              <w:t>受令单位：</w:t>
            </w:r>
          </w:p>
          <w:p>
            <w:pPr>
              <w:spacing w:before="156" w:after="156"/>
              <w:rPr>
                <w:color w:val="000000"/>
                <w:sz w:val="22"/>
              </w:rPr>
            </w:pPr>
          </w:p>
          <w:p>
            <w:pPr>
              <w:spacing w:before="156" w:after="156"/>
              <w:rPr>
                <w:color w:val="000000"/>
                <w:sz w:val="22"/>
              </w:rPr>
            </w:pPr>
            <w:r>
              <w:rPr>
                <w:color w:val="000000"/>
                <w:sz w:val="22"/>
              </w:rPr>
              <w:t>受令人：</w:t>
            </w:r>
          </w:p>
          <w:p>
            <w:pPr>
              <w:spacing w:before="156" w:after="156"/>
              <w:rPr>
                <w:color w:val="000000"/>
                <w:sz w:val="22"/>
              </w:rPr>
            </w:pPr>
          </w:p>
          <w:p>
            <w:pPr>
              <w:spacing w:before="156" w:after="156"/>
              <w:rPr>
                <w:color w:val="000000"/>
                <w:sz w:val="22"/>
              </w:rPr>
            </w:pPr>
            <w:r>
              <w:rPr>
                <w:color w:val="000000"/>
                <w:sz w:val="22"/>
              </w:rPr>
              <w:t>时间：</w:t>
            </w: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3" w:hRule="atLeast"/>
          <w:jc w:val="center"/>
        </w:trPr>
        <w:tc>
          <w:tcPr>
            <w:tcW w:w="8272" w:type="dxa"/>
            <w:gridSpan w:val="4"/>
          </w:tcPr>
          <w:p>
            <w:pPr>
              <w:spacing w:before="156" w:after="156"/>
              <w:rPr>
                <w:color w:val="000000"/>
                <w:sz w:val="22"/>
              </w:rPr>
            </w:pPr>
            <w:r>
              <w:rPr>
                <w:color w:val="000000"/>
                <w:sz w:val="22"/>
              </w:rPr>
              <w:t>备注：</w:t>
            </w:r>
          </w:p>
          <w:p>
            <w:pPr>
              <w:spacing w:before="156" w:after="156"/>
              <w:rPr>
                <w:color w:val="000000"/>
                <w:sz w:val="22"/>
              </w:rPr>
            </w:pPr>
          </w:p>
          <w:p>
            <w:pPr>
              <w:spacing w:before="156" w:after="156"/>
              <w:rPr>
                <w:color w:val="000000"/>
                <w:sz w:val="22"/>
              </w:rPr>
            </w:pPr>
          </w:p>
        </w:tc>
      </w:tr>
    </w:tbl>
    <w:p>
      <w:pPr>
        <w:rPr>
          <w:color w:val="000000"/>
          <w:sz w:val="26"/>
          <w:szCs w:val="26"/>
        </w:rPr>
      </w:pPr>
      <w:r>
        <w:rPr>
          <w:color w:val="000000"/>
          <w:sz w:val="26"/>
          <w:szCs w:val="26"/>
        </w:rPr>
        <w:t>附件5  应急预案变更记录表</w:t>
      </w:r>
    </w:p>
    <w:p>
      <w:pPr>
        <w:pStyle w:val="120"/>
        <w:ind w:firstLine="486"/>
        <w:jc w:val="center"/>
      </w:pPr>
      <w:r>
        <w:t>应急预案变更记录表</w:t>
      </w:r>
    </w:p>
    <w:tbl>
      <w:tblPr>
        <w:tblStyle w:val="54"/>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2" w:hRule="atLeast"/>
          <w:jc w:val="center"/>
        </w:trPr>
        <w:tc>
          <w:tcPr>
            <w:tcW w:w="8272" w:type="dxa"/>
          </w:tcPr>
          <w:p>
            <w:pPr>
              <w:spacing w:before="156" w:after="156"/>
              <w:rPr>
                <w:color w:val="000000"/>
                <w:sz w:val="22"/>
              </w:rPr>
            </w:pPr>
            <w:r>
              <w:rPr>
                <w:color w:val="000000"/>
                <w:sz w:val="22"/>
              </w:rPr>
              <w:t>变更原因、依据、时间：</w:t>
            </w: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0" w:hRule="atLeast"/>
          <w:jc w:val="center"/>
        </w:trPr>
        <w:tc>
          <w:tcPr>
            <w:tcW w:w="8272" w:type="dxa"/>
          </w:tcPr>
          <w:p>
            <w:pPr>
              <w:spacing w:before="156" w:after="156"/>
              <w:rPr>
                <w:color w:val="000000"/>
                <w:sz w:val="22"/>
              </w:rPr>
            </w:pPr>
            <w:r>
              <w:rPr>
                <w:color w:val="000000"/>
                <w:sz w:val="22"/>
              </w:rPr>
              <w:t>变更内容（可附页）：</w:t>
            </w:r>
          </w:p>
          <w:p>
            <w:pPr>
              <w:spacing w:before="156" w:after="156"/>
              <w:rPr>
                <w:color w:val="000000"/>
                <w:sz w:val="22"/>
              </w:rPr>
            </w:pP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1" w:hRule="atLeast"/>
          <w:jc w:val="center"/>
        </w:trPr>
        <w:tc>
          <w:tcPr>
            <w:tcW w:w="8272" w:type="dxa"/>
          </w:tcPr>
          <w:p>
            <w:pPr>
              <w:spacing w:before="156" w:after="156"/>
              <w:rPr>
                <w:color w:val="000000"/>
                <w:sz w:val="22"/>
              </w:rPr>
            </w:pPr>
            <w:r>
              <w:rPr>
                <w:color w:val="000000"/>
                <w:sz w:val="22"/>
              </w:rPr>
              <w:t>申报单位：</w:t>
            </w:r>
          </w:p>
          <w:p>
            <w:pPr>
              <w:spacing w:before="156" w:after="156"/>
              <w:rPr>
                <w:color w:val="000000"/>
                <w:sz w:val="22"/>
              </w:rPr>
            </w:pPr>
          </w:p>
          <w:p>
            <w:pPr>
              <w:spacing w:before="156" w:after="156"/>
              <w:rPr>
                <w:color w:val="000000"/>
                <w:sz w:val="22"/>
              </w:rPr>
            </w:pPr>
          </w:p>
          <w:p>
            <w:pPr>
              <w:spacing w:before="156" w:after="156"/>
              <w:rPr>
                <w:color w:val="00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1" w:hRule="atLeast"/>
          <w:jc w:val="center"/>
        </w:trPr>
        <w:tc>
          <w:tcPr>
            <w:tcW w:w="8272" w:type="dxa"/>
          </w:tcPr>
          <w:p>
            <w:pPr>
              <w:spacing w:before="156" w:after="156"/>
              <w:rPr>
                <w:color w:val="000000"/>
                <w:sz w:val="22"/>
              </w:rPr>
            </w:pPr>
            <w:r>
              <w:rPr>
                <w:color w:val="000000"/>
                <w:sz w:val="22"/>
              </w:rPr>
              <w:t>相关方获知情况：</w:t>
            </w:r>
          </w:p>
          <w:p>
            <w:pPr>
              <w:spacing w:before="156" w:after="156"/>
              <w:rPr>
                <w:color w:val="000000"/>
                <w:sz w:val="22"/>
              </w:rPr>
            </w:pPr>
          </w:p>
        </w:tc>
      </w:t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1"/>
      <w:bookmarkEnd w:id="822"/>
    </w:tbl>
    <w:p>
      <w:pPr>
        <w:adjustRightInd w:val="0"/>
        <w:snapToGrid w:val="0"/>
        <w:spacing w:line="360" w:lineRule="auto"/>
        <w:jc w:val="left"/>
        <w:textAlignment w:val="center"/>
        <w:rPr>
          <w:rFonts w:ascii="宋体"/>
          <w:color w:val="000000"/>
          <w:sz w:val="24"/>
          <w:szCs w:val="24"/>
        </w:rPr>
      </w:pPr>
    </w:p>
    <w:sectPr>
      <w:footerReference r:id="rId9" w:type="default"/>
      <w:pgSz w:w="11906" w:h="16838"/>
      <w:pgMar w:top="1440" w:right="1797" w:bottom="1440" w:left="1797" w:header="680" w:footer="624" w:gutter="0"/>
      <w:cols w:space="720" w:num="1"/>
      <w:docGrid w:type="linesAndChars" w:linePitch="312" w:charSpace="64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Palatino Linotype">
    <w:panose1 w:val="02040502050505030304"/>
    <w:charset w:val="00"/>
    <w:family w:val="roman"/>
    <w:pitch w:val="default"/>
    <w:sig w:usb0="E0000387" w:usb1="40000013" w:usb2="00000000" w:usb3="00000000" w:csb0="2000019F" w:csb1="00000000"/>
  </w:font>
  <w:font w:name="Sylfaen">
    <w:altName w:val="Courier New"/>
    <w:panose1 w:val="010A0502050306030303"/>
    <w:charset w:val="00"/>
    <w:family w:val="roman"/>
    <w:pitch w:val="default"/>
    <w:sig w:usb0="00000000" w:usb1="00000000" w:usb2="00000000" w:usb3="00000000" w:csb0="0000009F" w:csb1="00000000"/>
  </w:font>
  <w:font w:name="MingLiU">
    <w:panose1 w:val="02020309000000000000"/>
    <w:charset w:val="88"/>
    <w:family w:val="modern"/>
    <w:pitch w:val="default"/>
    <w:sig w:usb0="00000003" w:usb1="082E0000" w:usb2="00000016" w:usb3="00000000" w:csb0="00100001" w:csb1="00000000"/>
  </w:font>
  <w:font w:name="Tahoma">
    <w:panose1 w:val="020B0604030504040204"/>
    <w:charset w:val="00"/>
    <w:family w:val="swiss"/>
    <w:pitch w:val="default"/>
    <w:sig w:usb0="61007A87" w:usb1="80000000" w:usb2="00000008" w:usb3="00000000" w:csb0="200101FF" w:csb1="20280000"/>
  </w:font>
  <w:font w:name="??">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MS Sans Serif">
    <w:altName w:val="Arial"/>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00000287" w:usb1="00000000" w:usb2="00000000" w:usb3="00000000" w:csb0="2000019F" w:csb1="00000000"/>
  </w:font>
  <w:font w:name="Trebuchet MS">
    <w:panose1 w:val="020B0603020202020204"/>
    <w:charset w:val="00"/>
    <w:family w:val="swiss"/>
    <w:pitch w:val="default"/>
    <w:sig w:usb0="00000287" w:usb1="00000000" w:usb2="00000000" w:usb3="00000000" w:csb0="2000009F" w:csb1="00000000"/>
  </w:font>
  <w:font w:name="Vrinda">
    <w:altName w:val="Century Gothic"/>
    <w:panose1 w:val="020B0502040204020203"/>
    <w:charset w:val="00"/>
    <w:family w:val="swiss"/>
    <w:pitch w:val="default"/>
    <w:sig w:usb0="00000000" w:usb1="00000000" w:usb2="00000000" w:usb3="00000000" w:csb0="00000001" w:csb1="00000000"/>
  </w:font>
  <w:font w:name="Helv">
    <w:altName w:val="Microsoft Sans Serif"/>
    <w:panose1 w:val="020B0604020202030204"/>
    <w:charset w:val="00"/>
    <w:family w:val="swiss"/>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方正小标宋简体">
    <w:altName w:val="宋体"/>
    <w:panose1 w:val="00000000000000000000"/>
    <w:charset w:val="86"/>
    <w:family w:val="script"/>
    <w:pitch w:val="default"/>
    <w:sig w:usb0="00000000" w:usb1="00000000" w:usb2="00000010" w:usb3="00000000" w:csb0="00040000" w:csb1="00000000"/>
  </w:font>
  <w:font w:name="仿宋">
    <w:altName w:val="新宋体"/>
    <w:panose1 w:val="02010609060101010101"/>
    <w:charset w:val="86"/>
    <w:family w:val="modern"/>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altName w:val="楷体_GB2312"/>
    <w:panose1 w:val="02010609060101010101"/>
    <w:charset w:val="86"/>
    <w:family w:val="modern"/>
    <w:pitch w:val="default"/>
    <w:sig w:usb0="00000000" w:usb1="00000000" w:usb2="00000016" w:usb3="00000000" w:csb0="00040001" w:csb1="00000000"/>
  </w:font>
  <w:font w:name="Century Gothic">
    <w:panose1 w:val="020B0502020202020204"/>
    <w:charset w:val="00"/>
    <w:family w:val="auto"/>
    <w:pitch w:val="default"/>
    <w:sig w:usb0="00000287" w:usb1="00000000" w:usb2="00000000" w:usb3="00000000" w:csb0="2000009F" w:csb1="DFD70000"/>
  </w:font>
  <w:font w:name="Microsoft Sans Serif">
    <w:panose1 w:val="020B0604020202020204"/>
    <w:charset w:val="00"/>
    <w:family w:val="auto"/>
    <w:pitch w:val="default"/>
    <w:sig w:usb0="61007BDF" w:usb1="80000000" w:usb2="00000008" w:usb3="00000000" w:csb0="200101FF" w:csb1="20280000"/>
  </w:font>
  <w:font w:name="新宋体">
    <w:panose1 w:val="02010609030101010101"/>
    <w:charset w:val="86"/>
    <w:family w:val="auto"/>
    <w:pitch w:val="default"/>
    <w:sig w:usb0="00000003" w:usb1="080E0000" w:usb2="00000000" w:usb3="00000000" w:csb0="00040001" w:csb1="00000000"/>
  </w:font>
  <w:font w:name="华文仿宋">
    <w:altName w:val="仿宋_GB2312"/>
    <w:panose1 w:val="00000000000000000000"/>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Vrinda">
    <w:altName w:val="Courier New"/>
    <w:panose1 w:val="00000400000000000000"/>
    <w:charset w:val="01"/>
    <w:family w:val="roman"/>
    <w:pitch w:val="default"/>
    <w:sig w:usb0="00000000" w:usb1="00000000" w:usb2="00000000" w:usb3="00000000" w:csb0="00000000" w:csb1="00000000"/>
  </w:font>
  <w:font w:name="Candara">
    <w:panose1 w:val="020E0502030303020204"/>
    <w:charset w:val="00"/>
    <w:family w:val="swiss"/>
    <w:pitch w:val="default"/>
    <w:sig w:usb0="A00002EF" w:usb1="4000204B" w:usb2="00000000" w:usb3="00000000" w:csb0="2000009F" w:csb1="00000000"/>
  </w:font>
  <w:font w:name="Bookman Old Style">
    <w:panose1 w:val="02050604050505020204"/>
    <w:charset w:val="00"/>
    <w:family w:val="roman"/>
    <w:pitch w:val="default"/>
    <w:sig w:usb0="00000287" w:usb1="00000000" w:usb2="00000000" w:usb3="00000000" w:csb0="2000009F" w:csb1="DFD70000"/>
  </w:font>
  <w:font w:name="Georgia">
    <w:panose1 w:val="02040502050405020303"/>
    <w:charset w:val="00"/>
    <w:family w:val="roman"/>
    <w:pitch w:val="default"/>
    <w:sig w:usb0="00000287" w:usb1="00000000" w:usb2="00000000" w:usb3="00000000" w:csb0="2000009F" w:csb1="00000000"/>
  </w:font>
  <w:font w:name="FrankRuehl">
    <w:altName w:val="Courier New"/>
    <w:panose1 w:val="00000000000000000000"/>
    <w:charset w:val="B1"/>
    <w:family w:val="swiss"/>
    <w:pitch w:val="default"/>
    <w:sig w:usb0="00000000" w:usb1="00000000" w:usb2="00000000" w:usb3="00000000" w:csb0="00000020" w:csb1="00000000"/>
  </w:font>
  <w:font w:name="Franklin Gothic Heavy">
    <w:altName w:val="Courier New"/>
    <w:panose1 w:val="00000000000000000000"/>
    <w:charset w:val="00"/>
    <w:family w:val="swiss"/>
    <w:pitch w:val="default"/>
    <w:sig w:usb0="00000000" w:usb1="00000000" w:usb2="00000000" w:usb3="00000000" w:csb0="0000009F" w:csb1="00000000"/>
  </w:font>
  <w:font w:name="Consolas">
    <w:panose1 w:val="020B0609020204030204"/>
    <w:charset w:val="00"/>
    <w:family w:val="modern"/>
    <w:pitch w:val="default"/>
    <w:sig w:usb0="A00002EF" w:usb1="4000204B" w:usb2="00000000" w:usb3="00000000" w:csb0="2000009F" w:csb1="00000000"/>
  </w:font>
  <w:font w:name="Impact">
    <w:panose1 w:val="020B0806030902050204"/>
    <w:charset w:val="00"/>
    <w:family w:val="swiss"/>
    <w:pitch w:val="default"/>
    <w:sig w:usb0="00000287" w:usb1="00000000" w:usb2="00000000" w:usb3="00000000" w:csb0="2000009F" w:csb1="DFD70000"/>
  </w:font>
  <w:font w:name="仿宋体">
    <w:altName w:val="仿宋_GB2312"/>
    <w:panose1 w:val="00000000000000000000"/>
    <w:charset w:val="86"/>
    <w:family w:val="roman"/>
    <w:pitch w:val="default"/>
    <w:sig w:usb0="00000000" w:usb1="00000000" w:usb2="00000010" w:usb3="00000000" w:csb0="00040000" w:csb1="00000000"/>
  </w:font>
  <w:font w:name="MingLiU_HKSCS">
    <w:altName w:val="MingLiU"/>
    <w:panose1 w:val="00000000000000000000"/>
    <w:charset w:val="88"/>
    <w:family w:val="roman"/>
    <w:pitch w:val="default"/>
    <w:sig w:usb0="00000000" w:usb1="00000000" w:usb2="00000016" w:usb3="00000000" w:csb0="00100001" w:csb1="00000000"/>
  </w:font>
  <w:font w:name="Mincho">
    <w:altName w:val="MS UI Gothic"/>
    <w:panose1 w:val="02020609040305080305"/>
    <w:charset w:val="80"/>
    <w:family w:val="roman"/>
    <w:pitch w:val="default"/>
    <w:sig w:usb0="00000000" w:usb1="00000000" w:usb2="00000010" w:usb3="00000000" w:csb0="00020000" w:csb1="00000000"/>
  </w:font>
  <w:font w:name="MS UI Gothic">
    <w:panose1 w:val="020B0600070205080204"/>
    <w:charset w:val="80"/>
    <w:family w:val="auto"/>
    <w:pitch w:val="default"/>
    <w:sig w:usb0="A00002BF" w:usb1="68C7FCFB" w:usb2="00000010" w:usb3="00000000" w:csb0="4002009F" w:csb1="DFD70000"/>
  </w:font>
  <w:font w:name="MingLiUfalt">
    <w:altName w:val="MingLiU"/>
    <w:panose1 w:val="00000000000000000000"/>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pict>
        <v:shape id="_x0000_s2050" o:spid="_x0000_s2050" o:spt="202" type="#_x0000_t202" style="position:absolute;left:0pt;margin-top:0pt;height:10.35pt;width:4.55pt;mso-position-horizontal:center;mso-position-horizontal-relative:margin;mso-wrap-style:none;z-index:251658240;mso-width-relative:page;mso-height-relative:page;" filled="f" stroked="f" coordsize="21600,21600">
          <v:path/>
          <v:fill on="f" focussize="0,0"/>
          <v:stroke on="f" weight="1.2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30</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Fonts w:ascii="宋体" w:cs="宋体"/>
      </w:rPr>
    </w:pPr>
    <w:r>
      <w:rPr>
        <w:rFonts w:hint="eastAsia" w:ascii="宋体" w:cs="宋体"/>
        <w:bCs/>
        <w:spacing w:val="-20"/>
        <w:lang w:val="zh-CN"/>
      </w:rPr>
      <w:t>重庆市涪陵区拓源污水治理有限公司</w:t>
    </w:r>
    <w:r>
      <w:rPr>
        <w:rFonts w:hint="eastAsia" w:ascii="宋体" w:hAnsi="宋体"/>
      </w:rPr>
      <w:t>百胜榨菜废水集中处理厂</w:t>
    </w:r>
    <w:r>
      <w:rPr>
        <w:rFonts w:hint="eastAsia" w:ascii="宋体" w:hAnsi="宋体" w:cs="宋体"/>
      </w:rPr>
      <w:t>突发环境事件应急预案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FA94D"/>
    <w:multiLevelType w:val="multilevel"/>
    <w:tmpl w:val="548FA94D"/>
    <w:lvl w:ilvl="0" w:tentative="0">
      <w:start w:val="1"/>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1">
    <w:nsid w:val="548FADCF"/>
    <w:multiLevelType w:val="multilevel"/>
    <w:tmpl w:val="548FADCF"/>
    <w:lvl w:ilvl="0" w:tentative="0">
      <w:start w:val="6"/>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2">
    <w:nsid w:val="5493CA0C"/>
    <w:multiLevelType w:val="multilevel"/>
    <w:tmpl w:val="5493CA0C"/>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3">
    <w:nsid w:val="54992709"/>
    <w:multiLevelType w:val="multilevel"/>
    <w:tmpl w:val="54992709"/>
    <w:lvl w:ilvl="0" w:tentative="0">
      <w:start w:val="1"/>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7"/>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835"/>
    <w:rsid w:val="00000BE3"/>
    <w:rsid w:val="0000255F"/>
    <w:rsid w:val="0000276B"/>
    <w:rsid w:val="00007CAE"/>
    <w:rsid w:val="0001003E"/>
    <w:rsid w:val="000114A3"/>
    <w:rsid w:val="000118EA"/>
    <w:rsid w:val="00011AE5"/>
    <w:rsid w:val="00011B99"/>
    <w:rsid w:val="00014B9E"/>
    <w:rsid w:val="0002417E"/>
    <w:rsid w:val="00024CBE"/>
    <w:rsid w:val="00026599"/>
    <w:rsid w:val="000308FB"/>
    <w:rsid w:val="00034DDF"/>
    <w:rsid w:val="00036C12"/>
    <w:rsid w:val="00047E99"/>
    <w:rsid w:val="00052FFA"/>
    <w:rsid w:val="00056075"/>
    <w:rsid w:val="00056944"/>
    <w:rsid w:val="00061D24"/>
    <w:rsid w:val="000631C1"/>
    <w:rsid w:val="00064120"/>
    <w:rsid w:val="000668BF"/>
    <w:rsid w:val="000677FD"/>
    <w:rsid w:val="00070019"/>
    <w:rsid w:val="000719F4"/>
    <w:rsid w:val="00071E0B"/>
    <w:rsid w:val="00076299"/>
    <w:rsid w:val="00086F2F"/>
    <w:rsid w:val="00094FF1"/>
    <w:rsid w:val="000B05F7"/>
    <w:rsid w:val="000B0BA4"/>
    <w:rsid w:val="000B61FC"/>
    <w:rsid w:val="000B7842"/>
    <w:rsid w:val="000C6CD0"/>
    <w:rsid w:val="000D14D8"/>
    <w:rsid w:val="000D2388"/>
    <w:rsid w:val="000D4373"/>
    <w:rsid w:val="000D735F"/>
    <w:rsid w:val="000E4B80"/>
    <w:rsid w:val="000E5587"/>
    <w:rsid w:val="000E559A"/>
    <w:rsid w:val="000F0F3C"/>
    <w:rsid w:val="000F74E7"/>
    <w:rsid w:val="00101C0E"/>
    <w:rsid w:val="0010209C"/>
    <w:rsid w:val="00103484"/>
    <w:rsid w:val="0010641D"/>
    <w:rsid w:val="00113BE0"/>
    <w:rsid w:val="0011425A"/>
    <w:rsid w:val="001143A8"/>
    <w:rsid w:val="00117278"/>
    <w:rsid w:val="00122C30"/>
    <w:rsid w:val="00127E60"/>
    <w:rsid w:val="00130CE8"/>
    <w:rsid w:val="00136421"/>
    <w:rsid w:val="00141BAF"/>
    <w:rsid w:val="00152A2A"/>
    <w:rsid w:val="00153AE3"/>
    <w:rsid w:val="001575DE"/>
    <w:rsid w:val="001621FA"/>
    <w:rsid w:val="00162EE8"/>
    <w:rsid w:val="001637DB"/>
    <w:rsid w:val="00166975"/>
    <w:rsid w:val="00172A27"/>
    <w:rsid w:val="00174155"/>
    <w:rsid w:val="00190466"/>
    <w:rsid w:val="001909F5"/>
    <w:rsid w:val="00193893"/>
    <w:rsid w:val="00193F12"/>
    <w:rsid w:val="001A0DCD"/>
    <w:rsid w:val="001A54B1"/>
    <w:rsid w:val="001A5D74"/>
    <w:rsid w:val="001B1755"/>
    <w:rsid w:val="001B44A1"/>
    <w:rsid w:val="001B55EA"/>
    <w:rsid w:val="001C2C3D"/>
    <w:rsid w:val="001C36A7"/>
    <w:rsid w:val="001E0ED2"/>
    <w:rsid w:val="001E5B00"/>
    <w:rsid w:val="001E6C0D"/>
    <w:rsid w:val="001E7281"/>
    <w:rsid w:val="001F4256"/>
    <w:rsid w:val="001F6462"/>
    <w:rsid w:val="00201255"/>
    <w:rsid w:val="00201BE8"/>
    <w:rsid w:val="00202C20"/>
    <w:rsid w:val="0020385E"/>
    <w:rsid w:val="00206690"/>
    <w:rsid w:val="00206835"/>
    <w:rsid w:val="00211BA7"/>
    <w:rsid w:val="00214DB3"/>
    <w:rsid w:val="00216880"/>
    <w:rsid w:val="00217504"/>
    <w:rsid w:val="00236E2E"/>
    <w:rsid w:val="00243054"/>
    <w:rsid w:val="00245A2B"/>
    <w:rsid w:val="00245D4A"/>
    <w:rsid w:val="00250860"/>
    <w:rsid w:val="00250BC6"/>
    <w:rsid w:val="00250D2E"/>
    <w:rsid w:val="00254205"/>
    <w:rsid w:val="002623B5"/>
    <w:rsid w:val="00263EF0"/>
    <w:rsid w:val="002651D5"/>
    <w:rsid w:val="00265ABA"/>
    <w:rsid w:val="002675E4"/>
    <w:rsid w:val="002710FB"/>
    <w:rsid w:val="00275585"/>
    <w:rsid w:val="0028434C"/>
    <w:rsid w:val="00284364"/>
    <w:rsid w:val="00285452"/>
    <w:rsid w:val="00286512"/>
    <w:rsid w:val="002870C4"/>
    <w:rsid w:val="00287281"/>
    <w:rsid w:val="002910C3"/>
    <w:rsid w:val="00294851"/>
    <w:rsid w:val="00295C54"/>
    <w:rsid w:val="00296B12"/>
    <w:rsid w:val="002A57CF"/>
    <w:rsid w:val="002B16C7"/>
    <w:rsid w:val="002B5543"/>
    <w:rsid w:val="002B7280"/>
    <w:rsid w:val="002B7A40"/>
    <w:rsid w:val="002C1A4D"/>
    <w:rsid w:val="002C1A62"/>
    <w:rsid w:val="002C327B"/>
    <w:rsid w:val="002C32BE"/>
    <w:rsid w:val="002C4C2B"/>
    <w:rsid w:val="002C4F9D"/>
    <w:rsid w:val="002C78F5"/>
    <w:rsid w:val="002C7D53"/>
    <w:rsid w:val="002D1775"/>
    <w:rsid w:val="002D1904"/>
    <w:rsid w:val="002D5B7A"/>
    <w:rsid w:val="002E0F4D"/>
    <w:rsid w:val="002E5E62"/>
    <w:rsid w:val="00301AC2"/>
    <w:rsid w:val="003020A2"/>
    <w:rsid w:val="00310C2E"/>
    <w:rsid w:val="00315D68"/>
    <w:rsid w:val="00316432"/>
    <w:rsid w:val="00322D65"/>
    <w:rsid w:val="00325205"/>
    <w:rsid w:val="003265B9"/>
    <w:rsid w:val="00326BEB"/>
    <w:rsid w:val="00333AAC"/>
    <w:rsid w:val="00333F91"/>
    <w:rsid w:val="003414FF"/>
    <w:rsid w:val="00344718"/>
    <w:rsid w:val="0034644C"/>
    <w:rsid w:val="003470C7"/>
    <w:rsid w:val="00347534"/>
    <w:rsid w:val="00354A99"/>
    <w:rsid w:val="003674FA"/>
    <w:rsid w:val="00370A90"/>
    <w:rsid w:val="003731C2"/>
    <w:rsid w:val="00373F90"/>
    <w:rsid w:val="00374AD2"/>
    <w:rsid w:val="003762AC"/>
    <w:rsid w:val="003842AE"/>
    <w:rsid w:val="00387F4C"/>
    <w:rsid w:val="00395222"/>
    <w:rsid w:val="003A2EDF"/>
    <w:rsid w:val="003A5E82"/>
    <w:rsid w:val="003A6598"/>
    <w:rsid w:val="003A7A96"/>
    <w:rsid w:val="003B0B2F"/>
    <w:rsid w:val="003B4A55"/>
    <w:rsid w:val="003C03E6"/>
    <w:rsid w:val="003C08CA"/>
    <w:rsid w:val="003C2FF0"/>
    <w:rsid w:val="003C4F1C"/>
    <w:rsid w:val="003C74E8"/>
    <w:rsid w:val="003E01CC"/>
    <w:rsid w:val="003E7557"/>
    <w:rsid w:val="003F0C09"/>
    <w:rsid w:val="003F4336"/>
    <w:rsid w:val="003F6069"/>
    <w:rsid w:val="003F7FD4"/>
    <w:rsid w:val="0040786C"/>
    <w:rsid w:val="004104C9"/>
    <w:rsid w:val="00411AEE"/>
    <w:rsid w:val="00414242"/>
    <w:rsid w:val="004150AB"/>
    <w:rsid w:val="004160DA"/>
    <w:rsid w:val="00416997"/>
    <w:rsid w:val="00423611"/>
    <w:rsid w:val="00424E6B"/>
    <w:rsid w:val="00425A0D"/>
    <w:rsid w:val="00433E07"/>
    <w:rsid w:val="00433F3B"/>
    <w:rsid w:val="00435A8D"/>
    <w:rsid w:val="004373F8"/>
    <w:rsid w:val="00440D5B"/>
    <w:rsid w:val="004436C6"/>
    <w:rsid w:val="00443EC0"/>
    <w:rsid w:val="004441D5"/>
    <w:rsid w:val="004452B3"/>
    <w:rsid w:val="0046130C"/>
    <w:rsid w:val="004626EC"/>
    <w:rsid w:val="0046622E"/>
    <w:rsid w:val="00470D5D"/>
    <w:rsid w:val="004719E1"/>
    <w:rsid w:val="00471C6C"/>
    <w:rsid w:val="00471CF5"/>
    <w:rsid w:val="004746DE"/>
    <w:rsid w:val="00474D96"/>
    <w:rsid w:val="00474DEF"/>
    <w:rsid w:val="00475FD0"/>
    <w:rsid w:val="004768C4"/>
    <w:rsid w:val="00476C2C"/>
    <w:rsid w:val="00486E3B"/>
    <w:rsid w:val="004870E7"/>
    <w:rsid w:val="004871E0"/>
    <w:rsid w:val="004A0A89"/>
    <w:rsid w:val="004A191B"/>
    <w:rsid w:val="004A3A21"/>
    <w:rsid w:val="004A52B0"/>
    <w:rsid w:val="004A74BF"/>
    <w:rsid w:val="004A7B58"/>
    <w:rsid w:val="004C1B6D"/>
    <w:rsid w:val="004C3E5D"/>
    <w:rsid w:val="004C6423"/>
    <w:rsid w:val="004C7090"/>
    <w:rsid w:val="004C762E"/>
    <w:rsid w:val="004D3169"/>
    <w:rsid w:val="004D7093"/>
    <w:rsid w:val="004E37D0"/>
    <w:rsid w:val="004F0CA4"/>
    <w:rsid w:val="004F1341"/>
    <w:rsid w:val="004F2DBA"/>
    <w:rsid w:val="004F5475"/>
    <w:rsid w:val="004F75E4"/>
    <w:rsid w:val="00504155"/>
    <w:rsid w:val="00505FC6"/>
    <w:rsid w:val="005067B2"/>
    <w:rsid w:val="005137B6"/>
    <w:rsid w:val="00513A8A"/>
    <w:rsid w:val="00520525"/>
    <w:rsid w:val="00522E59"/>
    <w:rsid w:val="00527512"/>
    <w:rsid w:val="005276A1"/>
    <w:rsid w:val="0053002B"/>
    <w:rsid w:val="00531AA9"/>
    <w:rsid w:val="0053461D"/>
    <w:rsid w:val="00535F6D"/>
    <w:rsid w:val="005455AC"/>
    <w:rsid w:val="00545C39"/>
    <w:rsid w:val="00550171"/>
    <w:rsid w:val="0055587F"/>
    <w:rsid w:val="00556BB3"/>
    <w:rsid w:val="0056186E"/>
    <w:rsid w:val="00564CE7"/>
    <w:rsid w:val="00571010"/>
    <w:rsid w:val="005732BB"/>
    <w:rsid w:val="00573975"/>
    <w:rsid w:val="0057792A"/>
    <w:rsid w:val="005800A8"/>
    <w:rsid w:val="00580539"/>
    <w:rsid w:val="00580EB9"/>
    <w:rsid w:val="005819AE"/>
    <w:rsid w:val="00585F58"/>
    <w:rsid w:val="005916DE"/>
    <w:rsid w:val="005957F0"/>
    <w:rsid w:val="00597E9C"/>
    <w:rsid w:val="005A07FC"/>
    <w:rsid w:val="005A4458"/>
    <w:rsid w:val="005A4DA2"/>
    <w:rsid w:val="005B43DC"/>
    <w:rsid w:val="005B5F84"/>
    <w:rsid w:val="005B6BA9"/>
    <w:rsid w:val="005C1E4C"/>
    <w:rsid w:val="005C4135"/>
    <w:rsid w:val="005C6979"/>
    <w:rsid w:val="005D3953"/>
    <w:rsid w:val="005D5126"/>
    <w:rsid w:val="005D52EB"/>
    <w:rsid w:val="005D68C3"/>
    <w:rsid w:val="005E3E32"/>
    <w:rsid w:val="005E416D"/>
    <w:rsid w:val="005E4DBB"/>
    <w:rsid w:val="005E5F50"/>
    <w:rsid w:val="005F0544"/>
    <w:rsid w:val="005F1B76"/>
    <w:rsid w:val="005F79FC"/>
    <w:rsid w:val="00600988"/>
    <w:rsid w:val="006011DF"/>
    <w:rsid w:val="00605709"/>
    <w:rsid w:val="00607443"/>
    <w:rsid w:val="00611576"/>
    <w:rsid w:val="00615D93"/>
    <w:rsid w:val="00623157"/>
    <w:rsid w:val="006239CA"/>
    <w:rsid w:val="0063448A"/>
    <w:rsid w:val="00635A41"/>
    <w:rsid w:val="006360C9"/>
    <w:rsid w:val="006379ED"/>
    <w:rsid w:val="00642230"/>
    <w:rsid w:val="00645FDC"/>
    <w:rsid w:val="00646346"/>
    <w:rsid w:val="00650C77"/>
    <w:rsid w:val="0065602F"/>
    <w:rsid w:val="0065605E"/>
    <w:rsid w:val="00662F9A"/>
    <w:rsid w:val="006630A3"/>
    <w:rsid w:val="00665355"/>
    <w:rsid w:val="006677EE"/>
    <w:rsid w:val="00670011"/>
    <w:rsid w:val="00672999"/>
    <w:rsid w:val="00680AFA"/>
    <w:rsid w:val="00683522"/>
    <w:rsid w:val="00683A60"/>
    <w:rsid w:val="006922B3"/>
    <w:rsid w:val="006925EC"/>
    <w:rsid w:val="00695C1A"/>
    <w:rsid w:val="006A0D32"/>
    <w:rsid w:val="006A0E2C"/>
    <w:rsid w:val="006A2139"/>
    <w:rsid w:val="006A665C"/>
    <w:rsid w:val="006A66A8"/>
    <w:rsid w:val="006B5184"/>
    <w:rsid w:val="006B7107"/>
    <w:rsid w:val="006B7735"/>
    <w:rsid w:val="006C3022"/>
    <w:rsid w:val="006C7CFC"/>
    <w:rsid w:val="006D16EB"/>
    <w:rsid w:val="006D5157"/>
    <w:rsid w:val="006E201E"/>
    <w:rsid w:val="006E37B7"/>
    <w:rsid w:val="006E456A"/>
    <w:rsid w:val="006E623F"/>
    <w:rsid w:val="006E6FED"/>
    <w:rsid w:val="006F1ABD"/>
    <w:rsid w:val="006F2342"/>
    <w:rsid w:val="00703D6E"/>
    <w:rsid w:val="0070768C"/>
    <w:rsid w:val="00707DCB"/>
    <w:rsid w:val="007111F1"/>
    <w:rsid w:val="00717BF8"/>
    <w:rsid w:val="00722708"/>
    <w:rsid w:val="00722E17"/>
    <w:rsid w:val="00724479"/>
    <w:rsid w:val="00731DF5"/>
    <w:rsid w:val="00732179"/>
    <w:rsid w:val="00732736"/>
    <w:rsid w:val="00732870"/>
    <w:rsid w:val="00733A64"/>
    <w:rsid w:val="00734ACE"/>
    <w:rsid w:val="00737FDA"/>
    <w:rsid w:val="0074588B"/>
    <w:rsid w:val="00745A09"/>
    <w:rsid w:val="007546C8"/>
    <w:rsid w:val="0075474F"/>
    <w:rsid w:val="007605C0"/>
    <w:rsid w:val="00760A0E"/>
    <w:rsid w:val="00763365"/>
    <w:rsid w:val="00764A29"/>
    <w:rsid w:val="00764B1E"/>
    <w:rsid w:val="00764FB8"/>
    <w:rsid w:val="00766B96"/>
    <w:rsid w:val="007675A8"/>
    <w:rsid w:val="007705DD"/>
    <w:rsid w:val="00770FCC"/>
    <w:rsid w:val="007748CB"/>
    <w:rsid w:val="00776B08"/>
    <w:rsid w:val="00780829"/>
    <w:rsid w:val="007864AA"/>
    <w:rsid w:val="007918CB"/>
    <w:rsid w:val="007A0640"/>
    <w:rsid w:val="007A1616"/>
    <w:rsid w:val="007A3F7A"/>
    <w:rsid w:val="007B3498"/>
    <w:rsid w:val="007C29D1"/>
    <w:rsid w:val="007C7EFD"/>
    <w:rsid w:val="007D33C4"/>
    <w:rsid w:val="007D49CE"/>
    <w:rsid w:val="007E138A"/>
    <w:rsid w:val="007E452D"/>
    <w:rsid w:val="007E78B2"/>
    <w:rsid w:val="007F4DE7"/>
    <w:rsid w:val="007F673E"/>
    <w:rsid w:val="0080541C"/>
    <w:rsid w:val="0081041B"/>
    <w:rsid w:val="00813611"/>
    <w:rsid w:val="00827EA7"/>
    <w:rsid w:val="00833389"/>
    <w:rsid w:val="00833790"/>
    <w:rsid w:val="00840065"/>
    <w:rsid w:val="00841014"/>
    <w:rsid w:val="0084253E"/>
    <w:rsid w:val="00843387"/>
    <w:rsid w:val="008467F8"/>
    <w:rsid w:val="00850594"/>
    <w:rsid w:val="00857C46"/>
    <w:rsid w:val="0086185B"/>
    <w:rsid w:val="008624D9"/>
    <w:rsid w:val="00865141"/>
    <w:rsid w:val="00872847"/>
    <w:rsid w:val="00877A79"/>
    <w:rsid w:val="008809B1"/>
    <w:rsid w:val="008819F8"/>
    <w:rsid w:val="00895A1B"/>
    <w:rsid w:val="00897921"/>
    <w:rsid w:val="008B2A29"/>
    <w:rsid w:val="008B6CD6"/>
    <w:rsid w:val="008B7044"/>
    <w:rsid w:val="008B72A1"/>
    <w:rsid w:val="008C6448"/>
    <w:rsid w:val="008C66D8"/>
    <w:rsid w:val="008D11FC"/>
    <w:rsid w:val="008D1C99"/>
    <w:rsid w:val="008D28E7"/>
    <w:rsid w:val="008D2F66"/>
    <w:rsid w:val="008D3944"/>
    <w:rsid w:val="008D657F"/>
    <w:rsid w:val="008D7B66"/>
    <w:rsid w:val="008D7D7A"/>
    <w:rsid w:val="008E09C7"/>
    <w:rsid w:val="008E114F"/>
    <w:rsid w:val="008E3592"/>
    <w:rsid w:val="008E4C2D"/>
    <w:rsid w:val="008E5862"/>
    <w:rsid w:val="008F14CF"/>
    <w:rsid w:val="008F4DCA"/>
    <w:rsid w:val="008F7089"/>
    <w:rsid w:val="009017C0"/>
    <w:rsid w:val="00903B9E"/>
    <w:rsid w:val="00911015"/>
    <w:rsid w:val="00912C8C"/>
    <w:rsid w:val="009157E5"/>
    <w:rsid w:val="0092009B"/>
    <w:rsid w:val="0092173F"/>
    <w:rsid w:val="00923A51"/>
    <w:rsid w:val="00924E0A"/>
    <w:rsid w:val="0093254D"/>
    <w:rsid w:val="009355CE"/>
    <w:rsid w:val="00936500"/>
    <w:rsid w:val="009435B1"/>
    <w:rsid w:val="009479B5"/>
    <w:rsid w:val="009578A5"/>
    <w:rsid w:val="009604B7"/>
    <w:rsid w:val="009627AF"/>
    <w:rsid w:val="00964974"/>
    <w:rsid w:val="00965086"/>
    <w:rsid w:val="0096657C"/>
    <w:rsid w:val="00973C37"/>
    <w:rsid w:val="00973F66"/>
    <w:rsid w:val="009756CA"/>
    <w:rsid w:val="009768E9"/>
    <w:rsid w:val="00977EEA"/>
    <w:rsid w:val="00980FA1"/>
    <w:rsid w:val="009824EC"/>
    <w:rsid w:val="00983F14"/>
    <w:rsid w:val="00985EB4"/>
    <w:rsid w:val="0099051E"/>
    <w:rsid w:val="0099089C"/>
    <w:rsid w:val="009934AA"/>
    <w:rsid w:val="0099693F"/>
    <w:rsid w:val="00997B06"/>
    <w:rsid w:val="009A0587"/>
    <w:rsid w:val="009B463D"/>
    <w:rsid w:val="009B606C"/>
    <w:rsid w:val="009B7FFA"/>
    <w:rsid w:val="009C0D85"/>
    <w:rsid w:val="009C4C5D"/>
    <w:rsid w:val="009C6294"/>
    <w:rsid w:val="009C71E8"/>
    <w:rsid w:val="009E4BD7"/>
    <w:rsid w:val="009E59D4"/>
    <w:rsid w:val="009F297E"/>
    <w:rsid w:val="009F2B87"/>
    <w:rsid w:val="009F339F"/>
    <w:rsid w:val="00A0485E"/>
    <w:rsid w:val="00A04EB8"/>
    <w:rsid w:val="00A05C26"/>
    <w:rsid w:val="00A06105"/>
    <w:rsid w:val="00A12C2E"/>
    <w:rsid w:val="00A1301D"/>
    <w:rsid w:val="00A159BF"/>
    <w:rsid w:val="00A15E1D"/>
    <w:rsid w:val="00A23D81"/>
    <w:rsid w:val="00A2792B"/>
    <w:rsid w:val="00A27AB8"/>
    <w:rsid w:val="00A30048"/>
    <w:rsid w:val="00A3113D"/>
    <w:rsid w:val="00A31697"/>
    <w:rsid w:val="00A31EA8"/>
    <w:rsid w:val="00A33DF5"/>
    <w:rsid w:val="00A34366"/>
    <w:rsid w:val="00A44128"/>
    <w:rsid w:val="00A44CC7"/>
    <w:rsid w:val="00A461F1"/>
    <w:rsid w:val="00A515D5"/>
    <w:rsid w:val="00A53A37"/>
    <w:rsid w:val="00A61A51"/>
    <w:rsid w:val="00A65222"/>
    <w:rsid w:val="00A65D28"/>
    <w:rsid w:val="00A717DB"/>
    <w:rsid w:val="00A7335A"/>
    <w:rsid w:val="00A813E5"/>
    <w:rsid w:val="00A8734A"/>
    <w:rsid w:val="00A876B4"/>
    <w:rsid w:val="00A906F9"/>
    <w:rsid w:val="00A91DCA"/>
    <w:rsid w:val="00A95CCD"/>
    <w:rsid w:val="00A95F4A"/>
    <w:rsid w:val="00AA1B66"/>
    <w:rsid w:val="00AA6080"/>
    <w:rsid w:val="00AA6453"/>
    <w:rsid w:val="00AA65BD"/>
    <w:rsid w:val="00AB2005"/>
    <w:rsid w:val="00AB22D3"/>
    <w:rsid w:val="00AB7463"/>
    <w:rsid w:val="00AC0B82"/>
    <w:rsid w:val="00AC16B0"/>
    <w:rsid w:val="00AC2BA6"/>
    <w:rsid w:val="00AC40DC"/>
    <w:rsid w:val="00AD3090"/>
    <w:rsid w:val="00AD4435"/>
    <w:rsid w:val="00AE1AE4"/>
    <w:rsid w:val="00AE56B9"/>
    <w:rsid w:val="00AE618C"/>
    <w:rsid w:val="00AF2FF3"/>
    <w:rsid w:val="00AF4562"/>
    <w:rsid w:val="00AF5B46"/>
    <w:rsid w:val="00AF6078"/>
    <w:rsid w:val="00AF693C"/>
    <w:rsid w:val="00B0578E"/>
    <w:rsid w:val="00B100F1"/>
    <w:rsid w:val="00B10826"/>
    <w:rsid w:val="00B1113C"/>
    <w:rsid w:val="00B12979"/>
    <w:rsid w:val="00B12B59"/>
    <w:rsid w:val="00B1465C"/>
    <w:rsid w:val="00B1496E"/>
    <w:rsid w:val="00B221CF"/>
    <w:rsid w:val="00B243EF"/>
    <w:rsid w:val="00B30383"/>
    <w:rsid w:val="00B33101"/>
    <w:rsid w:val="00B37382"/>
    <w:rsid w:val="00B4248E"/>
    <w:rsid w:val="00B42499"/>
    <w:rsid w:val="00B4301B"/>
    <w:rsid w:val="00B449E1"/>
    <w:rsid w:val="00B45403"/>
    <w:rsid w:val="00B4615F"/>
    <w:rsid w:val="00B5484B"/>
    <w:rsid w:val="00B54EFD"/>
    <w:rsid w:val="00B5606D"/>
    <w:rsid w:val="00B6346D"/>
    <w:rsid w:val="00B6712B"/>
    <w:rsid w:val="00B7158E"/>
    <w:rsid w:val="00B72A90"/>
    <w:rsid w:val="00B74BC6"/>
    <w:rsid w:val="00B76D9C"/>
    <w:rsid w:val="00B823E2"/>
    <w:rsid w:val="00B8278F"/>
    <w:rsid w:val="00B845A4"/>
    <w:rsid w:val="00B861E7"/>
    <w:rsid w:val="00B872BF"/>
    <w:rsid w:val="00B90DF2"/>
    <w:rsid w:val="00B911C3"/>
    <w:rsid w:val="00B95599"/>
    <w:rsid w:val="00B9717A"/>
    <w:rsid w:val="00BA08F1"/>
    <w:rsid w:val="00BA43CE"/>
    <w:rsid w:val="00BA4411"/>
    <w:rsid w:val="00BB02CC"/>
    <w:rsid w:val="00BB0834"/>
    <w:rsid w:val="00BB0CF4"/>
    <w:rsid w:val="00BC1E88"/>
    <w:rsid w:val="00BC3A0F"/>
    <w:rsid w:val="00BC44BF"/>
    <w:rsid w:val="00BC546C"/>
    <w:rsid w:val="00BD1249"/>
    <w:rsid w:val="00BD2C77"/>
    <w:rsid w:val="00BD306C"/>
    <w:rsid w:val="00BF1979"/>
    <w:rsid w:val="00C01A68"/>
    <w:rsid w:val="00C023A8"/>
    <w:rsid w:val="00C028B6"/>
    <w:rsid w:val="00C0757D"/>
    <w:rsid w:val="00C076E6"/>
    <w:rsid w:val="00C07C97"/>
    <w:rsid w:val="00C170AC"/>
    <w:rsid w:val="00C17BDA"/>
    <w:rsid w:val="00C21763"/>
    <w:rsid w:val="00C30CEA"/>
    <w:rsid w:val="00C31FA6"/>
    <w:rsid w:val="00C32CD7"/>
    <w:rsid w:val="00C41992"/>
    <w:rsid w:val="00C521F4"/>
    <w:rsid w:val="00C566D2"/>
    <w:rsid w:val="00C665F4"/>
    <w:rsid w:val="00C676CD"/>
    <w:rsid w:val="00C703FC"/>
    <w:rsid w:val="00C74E57"/>
    <w:rsid w:val="00C7633F"/>
    <w:rsid w:val="00C82020"/>
    <w:rsid w:val="00C856B5"/>
    <w:rsid w:val="00C874CB"/>
    <w:rsid w:val="00C90528"/>
    <w:rsid w:val="00C962E5"/>
    <w:rsid w:val="00CA1267"/>
    <w:rsid w:val="00CA33AC"/>
    <w:rsid w:val="00CA45F4"/>
    <w:rsid w:val="00CA476D"/>
    <w:rsid w:val="00CA4A73"/>
    <w:rsid w:val="00CA7B71"/>
    <w:rsid w:val="00CB5D43"/>
    <w:rsid w:val="00CB635D"/>
    <w:rsid w:val="00CB685A"/>
    <w:rsid w:val="00CB6A1C"/>
    <w:rsid w:val="00CC1A9C"/>
    <w:rsid w:val="00CC3981"/>
    <w:rsid w:val="00CC5E40"/>
    <w:rsid w:val="00CD2A4F"/>
    <w:rsid w:val="00CD70E9"/>
    <w:rsid w:val="00CE0D9C"/>
    <w:rsid w:val="00CE1118"/>
    <w:rsid w:val="00CE1E50"/>
    <w:rsid w:val="00CE2B7D"/>
    <w:rsid w:val="00CE3B3A"/>
    <w:rsid w:val="00CE69CA"/>
    <w:rsid w:val="00CE6B53"/>
    <w:rsid w:val="00CF0921"/>
    <w:rsid w:val="00CF76AA"/>
    <w:rsid w:val="00D10CB7"/>
    <w:rsid w:val="00D11B5E"/>
    <w:rsid w:val="00D1204B"/>
    <w:rsid w:val="00D12EC4"/>
    <w:rsid w:val="00D20306"/>
    <w:rsid w:val="00D25F20"/>
    <w:rsid w:val="00D27325"/>
    <w:rsid w:val="00D30082"/>
    <w:rsid w:val="00D303B5"/>
    <w:rsid w:val="00D37C39"/>
    <w:rsid w:val="00D40E2B"/>
    <w:rsid w:val="00D414B4"/>
    <w:rsid w:val="00D422D6"/>
    <w:rsid w:val="00D42424"/>
    <w:rsid w:val="00D43DCC"/>
    <w:rsid w:val="00D477BD"/>
    <w:rsid w:val="00D510E6"/>
    <w:rsid w:val="00D52855"/>
    <w:rsid w:val="00D5697A"/>
    <w:rsid w:val="00D57C1D"/>
    <w:rsid w:val="00D65EBA"/>
    <w:rsid w:val="00D76E83"/>
    <w:rsid w:val="00D801A5"/>
    <w:rsid w:val="00D845BC"/>
    <w:rsid w:val="00D856F7"/>
    <w:rsid w:val="00D86704"/>
    <w:rsid w:val="00D96561"/>
    <w:rsid w:val="00DA3AD5"/>
    <w:rsid w:val="00DA5C6D"/>
    <w:rsid w:val="00DB0F08"/>
    <w:rsid w:val="00DB3552"/>
    <w:rsid w:val="00DB3BC0"/>
    <w:rsid w:val="00DB51B3"/>
    <w:rsid w:val="00DC29FD"/>
    <w:rsid w:val="00DC2E2D"/>
    <w:rsid w:val="00DC4224"/>
    <w:rsid w:val="00DC5CC2"/>
    <w:rsid w:val="00DD0324"/>
    <w:rsid w:val="00DD2924"/>
    <w:rsid w:val="00DD697C"/>
    <w:rsid w:val="00DD7553"/>
    <w:rsid w:val="00DF0A4E"/>
    <w:rsid w:val="00DF5B20"/>
    <w:rsid w:val="00DF6921"/>
    <w:rsid w:val="00E01691"/>
    <w:rsid w:val="00E02044"/>
    <w:rsid w:val="00E03D3B"/>
    <w:rsid w:val="00E04BAC"/>
    <w:rsid w:val="00E11A9D"/>
    <w:rsid w:val="00E325E8"/>
    <w:rsid w:val="00E346C4"/>
    <w:rsid w:val="00E37DC8"/>
    <w:rsid w:val="00E41067"/>
    <w:rsid w:val="00E42420"/>
    <w:rsid w:val="00E45633"/>
    <w:rsid w:val="00E519F2"/>
    <w:rsid w:val="00E56F25"/>
    <w:rsid w:val="00E57F54"/>
    <w:rsid w:val="00E6642F"/>
    <w:rsid w:val="00E73F80"/>
    <w:rsid w:val="00E75CB4"/>
    <w:rsid w:val="00E77D5B"/>
    <w:rsid w:val="00E8126A"/>
    <w:rsid w:val="00E81E06"/>
    <w:rsid w:val="00E83D22"/>
    <w:rsid w:val="00E870DD"/>
    <w:rsid w:val="00E87288"/>
    <w:rsid w:val="00E90206"/>
    <w:rsid w:val="00E9056E"/>
    <w:rsid w:val="00E93882"/>
    <w:rsid w:val="00E975DE"/>
    <w:rsid w:val="00E97A52"/>
    <w:rsid w:val="00EA0EF1"/>
    <w:rsid w:val="00EA628A"/>
    <w:rsid w:val="00EB2CB4"/>
    <w:rsid w:val="00EB2D27"/>
    <w:rsid w:val="00EB33E9"/>
    <w:rsid w:val="00EB46AD"/>
    <w:rsid w:val="00EC440E"/>
    <w:rsid w:val="00ED1BE2"/>
    <w:rsid w:val="00ED5A12"/>
    <w:rsid w:val="00ED7939"/>
    <w:rsid w:val="00EE1969"/>
    <w:rsid w:val="00EE1B1A"/>
    <w:rsid w:val="00EE3CCF"/>
    <w:rsid w:val="00EE4A61"/>
    <w:rsid w:val="00EF1AE3"/>
    <w:rsid w:val="00EF263A"/>
    <w:rsid w:val="00EF31C8"/>
    <w:rsid w:val="00F07654"/>
    <w:rsid w:val="00F11CFF"/>
    <w:rsid w:val="00F15AE6"/>
    <w:rsid w:val="00F170E4"/>
    <w:rsid w:val="00F2072C"/>
    <w:rsid w:val="00F21AF5"/>
    <w:rsid w:val="00F25987"/>
    <w:rsid w:val="00F25E16"/>
    <w:rsid w:val="00F273A1"/>
    <w:rsid w:val="00F27DB4"/>
    <w:rsid w:val="00F32076"/>
    <w:rsid w:val="00F379F9"/>
    <w:rsid w:val="00F430DB"/>
    <w:rsid w:val="00F54B57"/>
    <w:rsid w:val="00F56BAE"/>
    <w:rsid w:val="00F615FA"/>
    <w:rsid w:val="00F66D4D"/>
    <w:rsid w:val="00F7049A"/>
    <w:rsid w:val="00F70ABA"/>
    <w:rsid w:val="00F7403F"/>
    <w:rsid w:val="00F7743D"/>
    <w:rsid w:val="00F822ED"/>
    <w:rsid w:val="00F83A0D"/>
    <w:rsid w:val="00F900AA"/>
    <w:rsid w:val="00F90FCF"/>
    <w:rsid w:val="00F93A1E"/>
    <w:rsid w:val="00F9501A"/>
    <w:rsid w:val="00F9545E"/>
    <w:rsid w:val="00F97871"/>
    <w:rsid w:val="00FA361B"/>
    <w:rsid w:val="00FB07B3"/>
    <w:rsid w:val="00FC2F6F"/>
    <w:rsid w:val="00FC7E25"/>
    <w:rsid w:val="00FD56D7"/>
    <w:rsid w:val="00FD794E"/>
    <w:rsid w:val="00FE0E44"/>
    <w:rsid w:val="00FF1EC0"/>
    <w:rsid w:val="00FF54EF"/>
    <w:rsid w:val="027570B1"/>
    <w:rsid w:val="04DA5BB1"/>
    <w:rsid w:val="07A61CC5"/>
    <w:rsid w:val="08465135"/>
    <w:rsid w:val="08F4542C"/>
    <w:rsid w:val="135A6E7F"/>
    <w:rsid w:val="1B71340A"/>
    <w:rsid w:val="312E27C0"/>
    <w:rsid w:val="31A41A55"/>
    <w:rsid w:val="35752683"/>
    <w:rsid w:val="36660180"/>
    <w:rsid w:val="36D15B29"/>
    <w:rsid w:val="3B7911BC"/>
    <w:rsid w:val="3C533057"/>
    <w:rsid w:val="3C757C49"/>
    <w:rsid w:val="3CE901CD"/>
    <w:rsid w:val="5A930D2C"/>
    <w:rsid w:val="5D9741EB"/>
    <w:rsid w:val="5DBC484C"/>
    <w:rsid w:val="666037A2"/>
    <w:rsid w:val="67F55427"/>
    <w:rsid w:val="69227EC6"/>
    <w:rsid w:val="726D4CB9"/>
    <w:rsid w:val="72CF71E2"/>
    <w:rsid w:val="7A04152D"/>
    <w:rsid w:val="7DFA2EA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104"/>
        <o:r id="V:Rule2" type="connector" idref="#_x0000_s1106"/>
        <o:r id="V:Rule3" type="connector" idref="#_x0000_s1109"/>
        <o:r id="V:Rule4" type="connector" idref="#_x0000_s1114"/>
        <o:r id="V:Rule5" type="connector" idref="#_x0000_s1115"/>
        <o:r id="V:Rule6" type="connector" idref="#_x0000_s1116"/>
        <o:r id="V:Rule7" type="connector" idref="#_x0000_s1120"/>
        <o:r id="V:Rule8" type="connector" idref="#_x0000_s1122"/>
        <o:r id="V:Rule9" type="connector" idref="#_x0000_s1126"/>
        <o:r id="V:Rule10" type="connector" idref="#_x0000_s1127"/>
        <o:r id="V:Rule11" type="connector" idref="#_x0000_s1128"/>
        <o:r id="V:Rule12" type="connector" idref="#_x0000_s1133"/>
        <o:r id="V:Rule13" type="connector" idref="#_x0000_s1134"/>
        <o:r id="V:Rule14" type="connector" idref="#_x0000_s1135"/>
        <o:r id="V:Rule15" type="connector" idref="#_x0000_s1140"/>
        <o:r id="V:Rule16" type="connector" idref="#_x0000_s1142"/>
        <o:r id="V:Rule17" type="connector" idref="#_x0000_s1144"/>
        <o:r id="V:Rule18" type="connector" idref="#自选图形 194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semiHidden="0"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nhideWhenUsed="0" w:uiPriority="99" w:semiHidden="0" w:name="Normal Indent"/>
    <w:lsdException w:qFormat="1" w:unhideWhenUsed="0" w:uiPriority="99" w:semiHidden="0" w:name="footnote text"/>
    <w:lsdException w:uiPriority="99" w:name="annotation text" w:locked="1"/>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uiPriority="99" w:name="List 3" w:locked="1"/>
    <w:lsdException w:uiPriority="99" w:name="List 4" w:locked="1"/>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qFormat="1" w:unhideWhenUsed="0" w:uiPriority="99" w:semiHidden="0" w:name="List Continue 2"/>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0"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sdException w:uiPriority="99" w:name="HTML Sample" w:locked="1"/>
    <w:lsdException w:qFormat="1" w:unhideWhenUsed="0" w:uiPriority="99" w:semiHidden="0" w:name="HTML Typewriter"/>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2"/>
    <w:qFormat/>
    <w:uiPriority w:val="99"/>
    <w:pPr>
      <w:keepNext/>
      <w:outlineLvl w:val="0"/>
    </w:pPr>
    <w:rPr>
      <w:rFonts w:ascii="黑体"/>
      <w:sz w:val="52"/>
    </w:rPr>
  </w:style>
  <w:style w:type="paragraph" w:styleId="3">
    <w:name w:val="heading 2"/>
    <w:basedOn w:val="1"/>
    <w:next w:val="1"/>
    <w:link w:val="162"/>
    <w:qFormat/>
    <w:uiPriority w:val="99"/>
    <w:pPr>
      <w:keepNext/>
      <w:keepLines/>
      <w:spacing w:before="260" w:after="260" w:line="416" w:lineRule="auto"/>
      <w:outlineLvl w:val="1"/>
    </w:pPr>
    <w:rPr>
      <w:rFonts w:ascii="Arial" w:hAnsi="Arial" w:eastAsia="黑体"/>
      <w:b/>
      <w:sz w:val="32"/>
    </w:rPr>
  </w:style>
  <w:style w:type="paragraph" w:styleId="4">
    <w:name w:val="heading 3"/>
    <w:basedOn w:val="1"/>
    <w:next w:val="1"/>
    <w:link w:val="58"/>
    <w:qFormat/>
    <w:uiPriority w:val="99"/>
    <w:pPr>
      <w:keepNext/>
      <w:keepLines/>
      <w:spacing w:before="260" w:after="260" w:line="416" w:lineRule="auto"/>
      <w:outlineLvl w:val="2"/>
    </w:pPr>
    <w:rPr>
      <w:b/>
      <w:bCs/>
      <w:sz w:val="32"/>
      <w:szCs w:val="32"/>
    </w:rPr>
  </w:style>
  <w:style w:type="paragraph" w:styleId="5">
    <w:name w:val="heading 4"/>
    <w:basedOn w:val="1"/>
    <w:next w:val="1"/>
    <w:link w:val="59"/>
    <w:qFormat/>
    <w:uiPriority w:val="99"/>
    <w:pPr>
      <w:keepNext/>
      <w:tabs>
        <w:tab w:val="left" w:pos="629"/>
      </w:tabs>
      <w:jc w:val="center"/>
      <w:outlineLvl w:val="3"/>
    </w:pPr>
    <w:rPr>
      <w:rFonts w:ascii="宋体" w:hAnsi="宋体"/>
      <w:sz w:val="28"/>
      <w:szCs w:val="24"/>
    </w:rPr>
  </w:style>
  <w:style w:type="paragraph" w:styleId="6">
    <w:name w:val="heading 5"/>
    <w:basedOn w:val="1"/>
    <w:next w:val="1"/>
    <w:link w:val="60"/>
    <w:qFormat/>
    <w:uiPriority w:val="99"/>
    <w:pPr>
      <w:keepNext/>
      <w:tabs>
        <w:tab w:val="left" w:pos="633"/>
      </w:tabs>
      <w:ind w:left="401" w:leftChars="-5" w:hanging="412" w:hangingChars="147"/>
      <w:jc w:val="center"/>
      <w:outlineLvl w:val="4"/>
    </w:pPr>
    <w:rPr>
      <w:rFonts w:ascii="宋体" w:hAnsi="宋体" w:eastAsia="黑体"/>
      <w:sz w:val="28"/>
      <w:szCs w:val="24"/>
    </w:rPr>
  </w:style>
  <w:style w:type="paragraph" w:styleId="7">
    <w:name w:val="heading 6"/>
    <w:basedOn w:val="1"/>
    <w:next w:val="1"/>
    <w:link w:val="61"/>
    <w:qFormat/>
    <w:uiPriority w:val="99"/>
    <w:pPr>
      <w:keepNext/>
      <w:ind w:left="192" w:leftChars="91" w:firstLine="414" w:firstLineChars="148"/>
      <w:outlineLvl w:val="5"/>
    </w:pPr>
    <w:rPr>
      <w:rFonts w:ascii="宋体" w:hAnsi="宋体" w:eastAsia="黑体"/>
      <w:sz w:val="28"/>
      <w:szCs w:val="24"/>
    </w:rPr>
  </w:style>
  <w:style w:type="paragraph" w:styleId="8">
    <w:name w:val="heading 7"/>
    <w:basedOn w:val="1"/>
    <w:next w:val="9"/>
    <w:link w:val="62"/>
    <w:qFormat/>
    <w:uiPriority w:val="99"/>
    <w:pPr>
      <w:keepNext/>
      <w:keepLines/>
      <w:spacing w:before="240" w:after="64" w:line="320" w:lineRule="auto"/>
      <w:outlineLvl w:val="6"/>
    </w:pPr>
    <w:rPr>
      <w:b/>
      <w:sz w:val="24"/>
    </w:rPr>
  </w:style>
  <w:style w:type="paragraph" w:styleId="10">
    <w:name w:val="heading 8"/>
    <w:basedOn w:val="1"/>
    <w:next w:val="9"/>
    <w:link w:val="63"/>
    <w:qFormat/>
    <w:uiPriority w:val="99"/>
    <w:pPr>
      <w:keepNext/>
      <w:keepLines/>
      <w:spacing w:before="240" w:after="64" w:line="320" w:lineRule="auto"/>
      <w:outlineLvl w:val="7"/>
    </w:pPr>
    <w:rPr>
      <w:rFonts w:ascii="Arial" w:hAnsi="Arial" w:eastAsia="黑体"/>
      <w:sz w:val="24"/>
    </w:rPr>
  </w:style>
  <w:style w:type="paragraph" w:styleId="11">
    <w:name w:val="heading 9"/>
    <w:basedOn w:val="1"/>
    <w:next w:val="9"/>
    <w:link w:val="64"/>
    <w:qFormat/>
    <w:uiPriority w:val="99"/>
    <w:pPr>
      <w:keepNext/>
      <w:keepLines/>
      <w:spacing w:before="240" w:after="64" w:line="320" w:lineRule="auto"/>
      <w:outlineLvl w:val="8"/>
    </w:pPr>
    <w:rPr>
      <w:rFonts w:ascii="Arial" w:hAnsi="Arial" w:eastAsia="黑体"/>
      <w:sz w:val="24"/>
    </w:rPr>
  </w:style>
  <w:style w:type="character" w:default="1" w:styleId="47">
    <w:name w:val="Default Paragraph Font"/>
    <w:unhideWhenUsed/>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9">
    <w:name w:val="Normal Indent"/>
    <w:basedOn w:val="1"/>
    <w:qFormat/>
    <w:uiPriority w:val="99"/>
    <w:pPr>
      <w:adjustRightInd w:val="0"/>
      <w:spacing w:line="360" w:lineRule="atLeast"/>
      <w:ind w:firstLine="420"/>
      <w:jc w:val="left"/>
      <w:textAlignment w:val="baseline"/>
    </w:pPr>
    <w:rPr>
      <w:kern w:val="0"/>
      <w:sz w:val="24"/>
    </w:rPr>
  </w:style>
  <w:style w:type="paragraph" w:styleId="12">
    <w:name w:val="toc 7"/>
    <w:basedOn w:val="1"/>
    <w:next w:val="1"/>
    <w:semiHidden/>
    <w:qFormat/>
    <w:uiPriority w:val="99"/>
    <w:pPr>
      <w:ind w:left="1260"/>
      <w:jc w:val="left"/>
    </w:pPr>
    <w:rPr>
      <w:sz w:val="18"/>
      <w:szCs w:val="18"/>
    </w:rPr>
  </w:style>
  <w:style w:type="paragraph" w:styleId="13">
    <w:name w:val="Body Text First Indent"/>
    <w:basedOn w:val="14"/>
    <w:link w:val="66"/>
    <w:qFormat/>
    <w:uiPriority w:val="99"/>
    <w:pPr>
      <w:ind w:firstLine="420" w:firstLineChars="100"/>
    </w:pPr>
    <w:rPr>
      <w:szCs w:val="20"/>
    </w:rPr>
  </w:style>
  <w:style w:type="paragraph" w:styleId="14">
    <w:name w:val="Body Text"/>
    <w:basedOn w:val="1"/>
    <w:link w:val="65"/>
    <w:qFormat/>
    <w:uiPriority w:val="99"/>
    <w:pPr>
      <w:spacing w:after="120"/>
    </w:pPr>
    <w:rPr>
      <w:szCs w:val="24"/>
    </w:rPr>
  </w:style>
  <w:style w:type="paragraph" w:styleId="15">
    <w:name w:val="Note Heading"/>
    <w:basedOn w:val="1"/>
    <w:next w:val="1"/>
    <w:link w:val="67"/>
    <w:qFormat/>
    <w:uiPriority w:val="99"/>
    <w:pPr>
      <w:jc w:val="center"/>
    </w:pPr>
    <w:rPr>
      <w:rFonts w:ascii="宋体"/>
    </w:rPr>
  </w:style>
  <w:style w:type="paragraph" w:styleId="16">
    <w:name w:val="caption"/>
    <w:basedOn w:val="1"/>
    <w:next w:val="1"/>
    <w:qFormat/>
    <w:uiPriority w:val="99"/>
    <w:pPr>
      <w:jc w:val="center"/>
    </w:pPr>
    <w:rPr>
      <w:rFonts w:cs="Arial"/>
      <w:sz w:val="24"/>
    </w:rPr>
  </w:style>
  <w:style w:type="paragraph" w:styleId="17">
    <w:name w:val="Document Map"/>
    <w:basedOn w:val="1"/>
    <w:link w:val="68"/>
    <w:semiHidden/>
    <w:qFormat/>
    <w:uiPriority w:val="99"/>
    <w:pPr>
      <w:shd w:val="clear" w:color="auto" w:fill="000080"/>
    </w:pPr>
  </w:style>
  <w:style w:type="paragraph" w:styleId="18">
    <w:name w:val="Body Text 3"/>
    <w:basedOn w:val="1"/>
    <w:link w:val="69"/>
    <w:qFormat/>
    <w:uiPriority w:val="99"/>
    <w:pPr>
      <w:jc w:val="center"/>
    </w:pPr>
    <w:rPr>
      <w:rFonts w:ascii="楷体_GB2312" w:eastAsia="楷体_GB2312"/>
      <w:b/>
      <w:sz w:val="28"/>
      <w:szCs w:val="24"/>
    </w:rPr>
  </w:style>
  <w:style w:type="paragraph" w:styleId="19">
    <w:name w:val="Body Text Indent"/>
    <w:basedOn w:val="1"/>
    <w:link w:val="70"/>
    <w:qFormat/>
    <w:uiPriority w:val="99"/>
    <w:pPr>
      <w:ind w:left="360"/>
      <w:jc w:val="left"/>
    </w:pPr>
    <w:rPr>
      <w:rFonts w:ascii="宋体"/>
      <w:b/>
    </w:rPr>
  </w:style>
  <w:style w:type="paragraph" w:styleId="20">
    <w:name w:val="List 2"/>
    <w:basedOn w:val="1"/>
    <w:qFormat/>
    <w:uiPriority w:val="99"/>
    <w:pPr>
      <w:ind w:left="840" w:hanging="420"/>
    </w:pPr>
  </w:style>
  <w:style w:type="paragraph" w:styleId="21">
    <w:name w:val="toc 5"/>
    <w:basedOn w:val="1"/>
    <w:next w:val="1"/>
    <w:semiHidden/>
    <w:qFormat/>
    <w:uiPriority w:val="99"/>
    <w:pPr>
      <w:ind w:left="840"/>
      <w:jc w:val="left"/>
    </w:pPr>
    <w:rPr>
      <w:sz w:val="18"/>
      <w:szCs w:val="18"/>
    </w:rPr>
  </w:style>
  <w:style w:type="paragraph" w:styleId="22">
    <w:name w:val="toc 3"/>
    <w:basedOn w:val="1"/>
    <w:next w:val="1"/>
    <w:qFormat/>
    <w:uiPriority w:val="99"/>
    <w:pPr>
      <w:ind w:left="420"/>
      <w:jc w:val="left"/>
    </w:pPr>
    <w:rPr>
      <w:i/>
      <w:iCs/>
      <w:sz w:val="20"/>
    </w:rPr>
  </w:style>
  <w:style w:type="paragraph" w:styleId="23">
    <w:name w:val="Plain Text"/>
    <w:basedOn w:val="1"/>
    <w:link w:val="71"/>
    <w:qFormat/>
    <w:uiPriority w:val="99"/>
    <w:rPr>
      <w:rFonts w:ascii="宋体" w:hAnsi="Courier New"/>
    </w:rPr>
  </w:style>
  <w:style w:type="paragraph" w:styleId="24">
    <w:name w:val="toc 8"/>
    <w:basedOn w:val="1"/>
    <w:next w:val="1"/>
    <w:semiHidden/>
    <w:qFormat/>
    <w:uiPriority w:val="99"/>
    <w:pPr>
      <w:ind w:left="1470"/>
      <w:jc w:val="left"/>
    </w:pPr>
    <w:rPr>
      <w:sz w:val="18"/>
      <w:szCs w:val="18"/>
    </w:rPr>
  </w:style>
  <w:style w:type="paragraph" w:styleId="25">
    <w:name w:val="Date"/>
    <w:basedOn w:val="1"/>
    <w:next w:val="1"/>
    <w:link w:val="72"/>
    <w:qFormat/>
    <w:uiPriority w:val="99"/>
    <w:pPr>
      <w:adjustRightInd w:val="0"/>
      <w:spacing w:line="312" w:lineRule="atLeast"/>
      <w:textAlignment w:val="baseline"/>
    </w:pPr>
    <w:rPr>
      <w:rFonts w:ascii="宋体"/>
      <w:kern w:val="0"/>
    </w:rPr>
  </w:style>
  <w:style w:type="paragraph" w:styleId="26">
    <w:name w:val="Body Text Indent 2"/>
    <w:basedOn w:val="1"/>
    <w:link w:val="73"/>
    <w:qFormat/>
    <w:uiPriority w:val="99"/>
    <w:pPr>
      <w:spacing w:after="120" w:line="480" w:lineRule="auto"/>
      <w:ind w:left="420" w:leftChars="200"/>
    </w:pPr>
    <w:rPr>
      <w:szCs w:val="24"/>
    </w:rPr>
  </w:style>
  <w:style w:type="paragraph" w:styleId="27">
    <w:name w:val="Balloon Text"/>
    <w:basedOn w:val="1"/>
    <w:link w:val="74"/>
    <w:qFormat/>
    <w:uiPriority w:val="99"/>
    <w:rPr>
      <w:sz w:val="18"/>
      <w:szCs w:val="18"/>
    </w:rPr>
  </w:style>
  <w:style w:type="paragraph" w:styleId="28">
    <w:name w:val="footer"/>
    <w:basedOn w:val="1"/>
    <w:link w:val="98"/>
    <w:qFormat/>
    <w:uiPriority w:val="99"/>
    <w:pPr>
      <w:tabs>
        <w:tab w:val="center" w:pos="4153"/>
        <w:tab w:val="right" w:pos="8306"/>
      </w:tabs>
      <w:snapToGrid w:val="0"/>
      <w:jc w:val="left"/>
    </w:pPr>
    <w:rPr>
      <w:sz w:val="18"/>
    </w:rPr>
  </w:style>
  <w:style w:type="paragraph" w:styleId="29">
    <w:name w:val="header"/>
    <w:basedOn w:val="1"/>
    <w:link w:val="158"/>
    <w:qFormat/>
    <w:uiPriority w:val="99"/>
    <w:pPr>
      <w:pBdr>
        <w:bottom w:val="single" w:color="auto" w:sz="6" w:space="1"/>
      </w:pBdr>
      <w:tabs>
        <w:tab w:val="center" w:pos="4153"/>
        <w:tab w:val="right" w:pos="8306"/>
      </w:tabs>
      <w:snapToGrid w:val="0"/>
      <w:jc w:val="center"/>
    </w:pPr>
    <w:rPr>
      <w:sz w:val="18"/>
    </w:rPr>
  </w:style>
  <w:style w:type="paragraph" w:styleId="30">
    <w:name w:val="toc 1"/>
    <w:basedOn w:val="1"/>
    <w:next w:val="1"/>
    <w:qFormat/>
    <w:uiPriority w:val="39"/>
    <w:pPr>
      <w:tabs>
        <w:tab w:val="right" w:leader="dot" w:pos="9174"/>
      </w:tabs>
      <w:spacing w:before="120" w:after="120" w:line="540" w:lineRule="exact"/>
      <w:jc w:val="left"/>
    </w:pPr>
    <w:rPr>
      <w:rFonts w:ascii="宋体" w:hAnsi="宋体"/>
      <w:bCs/>
      <w:caps/>
      <w:sz w:val="28"/>
      <w:szCs w:val="28"/>
    </w:rPr>
  </w:style>
  <w:style w:type="paragraph" w:styleId="31">
    <w:name w:val="toc 4"/>
    <w:basedOn w:val="1"/>
    <w:next w:val="1"/>
    <w:semiHidden/>
    <w:qFormat/>
    <w:uiPriority w:val="99"/>
    <w:pPr>
      <w:ind w:left="630"/>
      <w:jc w:val="left"/>
    </w:pPr>
    <w:rPr>
      <w:sz w:val="18"/>
      <w:szCs w:val="18"/>
    </w:rPr>
  </w:style>
  <w:style w:type="paragraph" w:styleId="32">
    <w:name w:val="index heading"/>
    <w:basedOn w:val="1"/>
    <w:next w:val="33"/>
    <w:qFormat/>
    <w:uiPriority w:val="99"/>
    <w:rPr>
      <w:szCs w:val="24"/>
    </w:rPr>
  </w:style>
  <w:style w:type="paragraph" w:styleId="33">
    <w:name w:val="index 1"/>
    <w:basedOn w:val="1"/>
    <w:next w:val="1"/>
    <w:semiHidden/>
    <w:qFormat/>
    <w:uiPriority w:val="99"/>
    <w:pPr>
      <w:spacing w:line="400" w:lineRule="exact"/>
    </w:pPr>
    <w:rPr>
      <w:szCs w:val="24"/>
    </w:rPr>
  </w:style>
  <w:style w:type="paragraph" w:styleId="34">
    <w:name w:val="List"/>
    <w:basedOn w:val="1"/>
    <w:qFormat/>
    <w:uiPriority w:val="99"/>
    <w:pPr>
      <w:ind w:left="200" w:hanging="200" w:hangingChars="200"/>
    </w:pPr>
    <w:rPr>
      <w:szCs w:val="24"/>
    </w:rPr>
  </w:style>
  <w:style w:type="paragraph" w:styleId="35">
    <w:name w:val="footnote text"/>
    <w:basedOn w:val="1"/>
    <w:link w:val="77"/>
    <w:qFormat/>
    <w:uiPriority w:val="99"/>
    <w:pPr>
      <w:snapToGrid w:val="0"/>
      <w:jc w:val="left"/>
    </w:pPr>
    <w:rPr>
      <w:sz w:val="18"/>
      <w:szCs w:val="18"/>
    </w:rPr>
  </w:style>
  <w:style w:type="paragraph" w:styleId="36">
    <w:name w:val="toc 6"/>
    <w:basedOn w:val="1"/>
    <w:next w:val="1"/>
    <w:semiHidden/>
    <w:qFormat/>
    <w:uiPriority w:val="99"/>
    <w:pPr>
      <w:ind w:left="1050"/>
      <w:jc w:val="left"/>
    </w:pPr>
    <w:rPr>
      <w:sz w:val="18"/>
      <w:szCs w:val="18"/>
    </w:rPr>
  </w:style>
  <w:style w:type="paragraph" w:styleId="37">
    <w:name w:val="List 5"/>
    <w:basedOn w:val="1"/>
    <w:qFormat/>
    <w:uiPriority w:val="99"/>
    <w:pPr>
      <w:tabs>
        <w:tab w:val="left" w:pos="3780"/>
      </w:tabs>
      <w:ind w:left="3780" w:hanging="420"/>
    </w:pPr>
    <w:rPr>
      <w:sz w:val="32"/>
    </w:rPr>
  </w:style>
  <w:style w:type="paragraph" w:styleId="38">
    <w:name w:val="Body Text Indent 3"/>
    <w:basedOn w:val="1"/>
    <w:link w:val="78"/>
    <w:qFormat/>
    <w:uiPriority w:val="99"/>
    <w:pPr>
      <w:tabs>
        <w:tab w:val="left" w:pos="1520"/>
      </w:tabs>
      <w:spacing w:line="600" w:lineRule="exact"/>
      <w:ind w:firstLine="480"/>
    </w:pPr>
    <w:rPr>
      <w:rFonts w:ascii="宋体" w:hAnsi="宋体"/>
      <w:sz w:val="28"/>
      <w:szCs w:val="24"/>
    </w:rPr>
  </w:style>
  <w:style w:type="paragraph" w:styleId="39">
    <w:name w:val="toc 2"/>
    <w:basedOn w:val="1"/>
    <w:next w:val="1"/>
    <w:qFormat/>
    <w:uiPriority w:val="39"/>
    <w:pPr>
      <w:ind w:left="210"/>
      <w:jc w:val="left"/>
    </w:pPr>
    <w:rPr>
      <w:smallCaps/>
      <w:sz w:val="20"/>
    </w:rPr>
  </w:style>
  <w:style w:type="paragraph" w:styleId="40">
    <w:name w:val="toc 9"/>
    <w:basedOn w:val="1"/>
    <w:next w:val="1"/>
    <w:semiHidden/>
    <w:qFormat/>
    <w:uiPriority w:val="99"/>
    <w:pPr>
      <w:ind w:left="1680"/>
      <w:jc w:val="left"/>
    </w:pPr>
    <w:rPr>
      <w:sz w:val="18"/>
      <w:szCs w:val="18"/>
    </w:rPr>
  </w:style>
  <w:style w:type="paragraph" w:styleId="41">
    <w:name w:val="Body Text 2"/>
    <w:basedOn w:val="1"/>
    <w:link w:val="79"/>
    <w:qFormat/>
    <w:uiPriority w:val="99"/>
    <w:pPr>
      <w:spacing w:after="120" w:line="480" w:lineRule="auto"/>
    </w:pPr>
  </w:style>
  <w:style w:type="paragraph" w:styleId="42">
    <w:name w:val="List Continue 2"/>
    <w:basedOn w:val="1"/>
    <w:qFormat/>
    <w:uiPriority w:val="99"/>
    <w:pPr>
      <w:spacing w:after="120"/>
      <w:ind w:left="400" w:leftChars="400"/>
    </w:pPr>
    <w:rPr>
      <w:szCs w:val="24"/>
    </w:rPr>
  </w:style>
  <w:style w:type="paragraph" w:styleId="43">
    <w:name w:val="HTML Preformatted"/>
    <w:basedOn w:val="1"/>
    <w:link w:val="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45">
    <w:name w:val="index 2"/>
    <w:basedOn w:val="1"/>
    <w:next w:val="1"/>
    <w:qFormat/>
    <w:uiPriority w:val="99"/>
    <w:pPr>
      <w:ind w:left="420" w:hanging="210"/>
      <w:jc w:val="left"/>
    </w:pPr>
  </w:style>
  <w:style w:type="paragraph" w:styleId="46">
    <w:name w:val="Title"/>
    <w:basedOn w:val="1"/>
    <w:next w:val="3"/>
    <w:link w:val="81"/>
    <w:qFormat/>
    <w:uiPriority w:val="99"/>
    <w:pPr>
      <w:spacing w:beforeLines="30" w:afterLines="30" w:line="360" w:lineRule="auto"/>
      <w:ind w:firstLine="200" w:firstLineChars="200"/>
      <w:jc w:val="center"/>
      <w:outlineLvl w:val="0"/>
    </w:pPr>
    <w:rPr>
      <w:rFonts w:ascii="Arial" w:hAnsi="Arial" w:cs="Arial"/>
      <w:b/>
      <w:kern w:val="0"/>
      <w:sz w:val="32"/>
      <w:szCs w:val="32"/>
    </w:rPr>
  </w:style>
  <w:style w:type="character" w:styleId="48">
    <w:name w:val="Strong"/>
    <w:basedOn w:val="47"/>
    <w:qFormat/>
    <w:uiPriority w:val="99"/>
    <w:rPr>
      <w:rFonts w:cs="Times New Roman"/>
      <w:b/>
    </w:rPr>
  </w:style>
  <w:style w:type="character" w:styleId="49">
    <w:name w:val="page number"/>
    <w:basedOn w:val="47"/>
    <w:qFormat/>
    <w:uiPriority w:val="99"/>
    <w:rPr>
      <w:rFonts w:cs="Times New Roman"/>
    </w:rPr>
  </w:style>
  <w:style w:type="character" w:styleId="50">
    <w:name w:val="FollowedHyperlink"/>
    <w:basedOn w:val="47"/>
    <w:qFormat/>
    <w:uiPriority w:val="99"/>
    <w:rPr>
      <w:rFonts w:cs="Times New Roman"/>
      <w:color w:val="800080"/>
      <w:u w:val="single"/>
    </w:rPr>
  </w:style>
  <w:style w:type="character" w:styleId="51">
    <w:name w:val="Emphasis"/>
    <w:basedOn w:val="47"/>
    <w:qFormat/>
    <w:uiPriority w:val="99"/>
    <w:rPr>
      <w:rFonts w:cs="Times New Roman"/>
      <w:i/>
    </w:rPr>
  </w:style>
  <w:style w:type="character" w:styleId="52">
    <w:name w:val="HTML Typewriter"/>
    <w:basedOn w:val="47"/>
    <w:qFormat/>
    <w:uiPriority w:val="99"/>
    <w:rPr>
      <w:rFonts w:ascii="Courier New" w:hAnsi="Courier New" w:cs="Times New Roman"/>
      <w:sz w:val="20"/>
    </w:rPr>
  </w:style>
  <w:style w:type="character" w:styleId="53">
    <w:name w:val="Hyperlink"/>
    <w:basedOn w:val="47"/>
    <w:qFormat/>
    <w:uiPriority w:val="99"/>
    <w:rPr>
      <w:rFonts w:cs="Times New Roman"/>
      <w:color w:val="0000FF"/>
      <w:u w:val="single"/>
    </w:rPr>
  </w:style>
  <w:style w:type="table" w:styleId="55">
    <w:name w:val="Table Grid"/>
    <w:basedOn w:val="5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56">
    <w:name w:val="Heading 1 Char"/>
    <w:basedOn w:val="47"/>
    <w:link w:val="2"/>
    <w:qFormat/>
    <w:locked/>
    <w:uiPriority w:val="99"/>
    <w:rPr>
      <w:rFonts w:cs="Times New Roman"/>
      <w:b/>
      <w:kern w:val="44"/>
      <w:sz w:val="44"/>
    </w:rPr>
  </w:style>
  <w:style w:type="character" w:customStyle="1" w:styleId="57">
    <w:name w:val="Heading 2 Char"/>
    <w:basedOn w:val="47"/>
    <w:link w:val="3"/>
    <w:qFormat/>
    <w:locked/>
    <w:uiPriority w:val="99"/>
    <w:rPr>
      <w:rFonts w:ascii="Arial" w:hAnsi="Arial" w:eastAsia="黑体" w:cs="Times New Roman"/>
      <w:b/>
      <w:kern w:val="2"/>
      <w:sz w:val="32"/>
    </w:rPr>
  </w:style>
  <w:style w:type="character" w:customStyle="1" w:styleId="58">
    <w:name w:val="标题 3 Char1"/>
    <w:basedOn w:val="47"/>
    <w:link w:val="4"/>
    <w:qFormat/>
    <w:locked/>
    <w:uiPriority w:val="99"/>
    <w:rPr>
      <w:rFonts w:eastAsia="宋体" w:cs="Times New Roman"/>
      <w:b/>
      <w:kern w:val="2"/>
      <w:sz w:val="32"/>
      <w:lang w:val="en-US" w:eastAsia="zh-CN"/>
    </w:rPr>
  </w:style>
  <w:style w:type="character" w:customStyle="1" w:styleId="59">
    <w:name w:val="标题 4 Char"/>
    <w:basedOn w:val="47"/>
    <w:link w:val="5"/>
    <w:qFormat/>
    <w:locked/>
    <w:uiPriority w:val="99"/>
    <w:rPr>
      <w:rFonts w:ascii="宋体" w:hAnsi="宋体" w:eastAsia="宋体" w:cs="Times New Roman"/>
      <w:kern w:val="2"/>
      <w:sz w:val="24"/>
      <w:lang w:val="en-US" w:eastAsia="zh-CN"/>
    </w:rPr>
  </w:style>
  <w:style w:type="character" w:customStyle="1" w:styleId="60">
    <w:name w:val="标题 5 Char"/>
    <w:basedOn w:val="47"/>
    <w:link w:val="6"/>
    <w:qFormat/>
    <w:locked/>
    <w:uiPriority w:val="99"/>
    <w:rPr>
      <w:rFonts w:ascii="宋体" w:hAnsi="宋体" w:eastAsia="黑体" w:cs="Times New Roman"/>
      <w:kern w:val="2"/>
      <w:sz w:val="24"/>
      <w:lang w:val="en-US" w:eastAsia="zh-CN"/>
    </w:rPr>
  </w:style>
  <w:style w:type="character" w:customStyle="1" w:styleId="61">
    <w:name w:val="标题 6 Char"/>
    <w:basedOn w:val="47"/>
    <w:link w:val="7"/>
    <w:qFormat/>
    <w:locked/>
    <w:uiPriority w:val="99"/>
    <w:rPr>
      <w:rFonts w:ascii="宋体" w:hAnsi="宋体" w:eastAsia="黑体" w:cs="Times New Roman"/>
      <w:kern w:val="2"/>
      <w:sz w:val="24"/>
      <w:lang w:val="en-US" w:eastAsia="zh-CN"/>
    </w:rPr>
  </w:style>
  <w:style w:type="character" w:customStyle="1" w:styleId="62">
    <w:name w:val="标题 7 Char"/>
    <w:basedOn w:val="47"/>
    <w:link w:val="8"/>
    <w:qFormat/>
    <w:locked/>
    <w:uiPriority w:val="99"/>
    <w:rPr>
      <w:rFonts w:eastAsia="宋体" w:cs="Times New Roman"/>
      <w:b/>
      <w:kern w:val="2"/>
      <w:sz w:val="24"/>
      <w:lang w:val="en-US" w:eastAsia="zh-CN"/>
    </w:rPr>
  </w:style>
  <w:style w:type="character" w:customStyle="1" w:styleId="63">
    <w:name w:val="标题 8 Char"/>
    <w:basedOn w:val="47"/>
    <w:link w:val="10"/>
    <w:qFormat/>
    <w:locked/>
    <w:uiPriority w:val="99"/>
    <w:rPr>
      <w:rFonts w:ascii="Arial" w:hAnsi="Arial" w:eastAsia="黑体" w:cs="Times New Roman"/>
      <w:kern w:val="2"/>
      <w:sz w:val="24"/>
      <w:lang w:val="en-US" w:eastAsia="zh-CN"/>
    </w:rPr>
  </w:style>
  <w:style w:type="character" w:customStyle="1" w:styleId="64">
    <w:name w:val="标题 9 Char"/>
    <w:basedOn w:val="47"/>
    <w:link w:val="11"/>
    <w:qFormat/>
    <w:locked/>
    <w:uiPriority w:val="99"/>
    <w:rPr>
      <w:rFonts w:ascii="Arial" w:hAnsi="Arial" w:eastAsia="黑体" w:cs="Times New Roman"/>
      <w:kern w:val="2"/>
      <w:sz w:val="24"/>
      <w:lang w:val="en-US" w:eastAsia="zh-CN"/>
    </w:rPr>
  </w:style>
  <w:style w:type="character" w:customStyle="1" w:styleId="65">
    <w:name w:val="正文文本 Char"/>
    <w:basedOn w:val="47"/>
    <w:link w:val="14"/>
    <w:qFormat/>
    <w:locked/>
    <w:uiPriority w:val="99"/>
    <w:rPr>
      <w:rFonts w:eastAsia="宋体" w:cs="Times New Roman"/>
      <w:kern w:val="2"/>
      <w:sz w:val="24"/>
      <w:lang w:val="en-US" w:eastAsia="zh-CN"/>
    </w:rPr>
  </w:style>
  <w:style w:type="character" w:customStyle="1" w:styleId="66">
    <w:name w:val="正文首行缩进 Char"/>
    <w:basedOn w:val="65"/>
    <w:link w:val="13"/>
    <w:qFormat/>
    <w:locked/>
    <w:uiPriority w:val="99"/>
    <w:rPr>
      <w:sz w:val="21"/>
    </w:rPr>
  </w:style>
  <w:style w:type="character" w:customStyle="1" w:styleId="67">
    <w:name w:val="注释标题 Char"/>
    <w:basedOn w:val="47"/>
    <w:link w:val="15"/>
    <w:semiHidden/>
    <w:qFormat/>
    <w:locked/>
    <w:uiPriority w:val="99"/>
    <w:rPr>
      <w:rFonts w:cs="Times New Roman"/>
      <w:sz w:val="20"/>
      <w:szCs w:val="20"/>
    </w:rPr>
  </w:style>
  <w:style w:type="character" w:customStyle="1" w:styleId="68">
    <w:name w:val="文档结构图 Char"/>
    <w:basedOn w:val="47"/>
    <w:link w:val="17"/>
    <w:semiHidden/>
    <w:qFormat/>
    <w:locked/>
    <w:uiPriority w:val="99"/>
    <w:rPr>
      <w:rFonts w:cs="Times New Roman"/>
      <w:sz w:val="2"/>
    </w:rPr>
  </w:style>
  <w:style w:type="character" w:customStyle="1" w:styleId="69">
    <w:name w:val="正文文本 3 Char"/>
    <w:basedOn w:val="47"/>
    <w:link w:val="18"/>
    <w:semiHidden/>
    <w:qFormat/>
    <w:locked/>
    <w:uiPriority w:val="99"/>
    <w:rPr>
      <w:rFonts w:cs="Times New Roman"/>
      <w:sz w:val="16"/>
      <w:szCs w:val="16"/>
    </w:rPr>
  </w:style>
  <w:style w:type="character" w:customStyle="1" w:styleId="70">
    <w:name w:val="正文文本缩进 Char"/>
    <w:basedOn w:val="47"/>
    <w:link w:val="19"/>
    <w:qFormat/>
    <w:locked/>
    <w:uiPriority w:val="99"/>
    <w:rPr>
      <w:rFonts w:ascii="宋体" w:eastAsia="宋体" w:cs="Times New Roman"/>
      <w:b/>
      <w:kern w:val="2"/>
      <w:sz w:val="21"/>
      <w:lang w:val="en-US" w:eastAsia="zh-CN"/>
    </w:rPr>
  </w:style>
  <w:style w:type="character" w:customStyle="1" w:styleId="71">
    <w:name w:val="纯文本 Char"/>
    <w:basedOn w:val="47"/>
    <w:link w:val="23"/>
    <w:qFormat/>
    <w:locked/>
    <w:uiPriority w:val="99"/>
    <w:rPr>
      <w:rFonts w:ascii="宋体" w:hAnsi="Courier New" w:eastAsia="宋体" w:cs="Times New Roman"/>
      <w:kern w:val="2"/>
      <w:sz w:val="21"/>
      <w:lang w:val="en-US" w:eastAsia="zh-CN"/>
    </w:rPr>
  </w:style>
  <w:style w:type="character" w:customStyle="1" w:styleId="72">
    <w:name w:val="日期 Char"/>
    <w:basedOn w:val="47"/>
    <w:link w:val="25"/>
    <w:semiHidden/>
    <w:qFormat/>
    <w:locked/>
    <w:uiPriority w:val="99"/>
    <w:rPr>
      <w:rFonts w:cs="Times New Roman"/>
      <w:sz w:val="20"/>
      <w:szCs w:val="20"/>
    </w:rPr>
  </w:style>
  <w:style w:type="character" w:customStyle="1" w:styleId="73">
    <w:name w:val="正文文本缩进 2 Char"/>
    <w:basedOn w:val="47"/>
    <w:link w:val="26"/>
    <w:semiHidden/>
    <w:qFormat/>
    <w:locked/>
    <w:uiPriority w:val="99"/>
    <w:rPr>
      <w:rFonts w:cs="Times New Roman"/>
      <w:sz w:val="20"/>
      <w:szCs w:val="20"/>
    </w:rPr>
  </w:style>
  <w:style w:type="character" w:customStyle="1" w:styleId="74">
    <w:name w:val="批注框文本 Char"/>
    <w:basedOn w:val="47"/>
    <w:link w:val="27"/>
    <w:qFormat/>
    <w:locked/>
    <w:uiPriority w:val="99"/>
    <w:rPr>
      <w:rFonts w:eastAsia="宋体" w:cs="Times New Roman"/>
      <w:kern w:val="2"/>
      <w:sz w:val="18"/>
      <w:lang w:val="en-US" w:eastAsia="zh-CN"/>
    </w:rPr>
  </w:style>
  <w:style w:type="character" w:customStyle="1" w:styleId="75">
    <w:name w:val="Footer Char"/>
    <w:basedOn w:val="47"/>
    <w:link w:val="28"/>
    <w:semiHidden/>
    <w:qFormat/>
    <w:locked/>
    <w:uiPriority w:val="99"/>
    <w:rPr>
      <w:rFonts w:cs="Times New Roman"/>
      <w:kern w:val="2"/>
      <w:sz w:val="18"/>
    </w:rPr>
  </w:style>
  <w:style w:type="character" w:customStyle="1" w:styleId="76">
    <w:name w:val="Header Char"/>
    <w:basedOn w:val="47"/>
    <w:link w:val="29"/>
    <w:semiHidden/>
    <w:qFormat/>
    <w:locked/>
    <w:uiPriority w:val="99"/>
    <w:rPr>
      <w:rFonts w:cs="Times New Roman"/>
      <w:kern w:val="2"/>
      <w:sz w:val="18"/>
    </w:rPr>
  </w:style>
  <w:style w:type="character" w:customStyle="1" w:styleId="77">
    <w:name w:val="脚注文本 Char"/>
    <w:basedOn w:val="47"/>
    <w:link w:val="35"/>
    <w:qFormat/>
    <w:locked/>
    <w:uiPriority w:val="99"/>
    <w:rPr>
      <w:rFonts w:cs="Times New Roman"/>
      <w:kern w:val="2"/>
      <w:sz w:val="18"/>
    </w:rPr>
  </w:style>
  <w:style w:type="character" w:customStyle="1" w:styleId="78">
    <w:name w:val="正文文本缩进 3 Char"/>
    <w:basedOn w:val="47"/>
    <w:link w:val="38"/>
    <w:qFormat/>
    <w:locked/>
    <w:uiPriority w:val="99"/>
    <w:rPr>
      <w:rFonts w:ascii="宋体" w:hAnsi="宋体" w:eastAsia="宋体" w:cs="Times New Roman"/>
      <w:kern w:val="2"/>
      <w:sz w:val="24"/>
      <w:lang w:val="en-US" w:eastAsia="zh-CN"/>
    </w:rPr>
  </w:style>
  <w:style w:type="character" w:customStyle="1" w:styleId="79">
    <w:name w:val="正文文本 2 Char1"/>
    <w:basedOn w:val="47"/>
    <w:link w:val="41"/>
    <w:qFormat/>
    <w:locked/>
    <w:uiPriority w:val="99"/>
    <w:rPr>
      <w:rFonts w:eastAsia="宋体" w:cs="Times New Roman"/>
      <w:kern w:val="2"/>
      <w:sz w:val="21"/>
      <w:lang w:val="en-US" w:eastAsia="zh-CN"/>
    </w:rPr>
  </w:style>
  <w:style w:type="character" w:customStyle="1" w:styleId="80">
    <w:name w:val="HTML 预设格式 Char"/>
    <w:basedOn w:val="47"/>
    <w:link w:val="43"/>
    <w:semiHidden/>
    <w:qFormat/>
    <w:locked/>
    <w:uiPriority w:val="99"/>
    <w:rPr>
      <w:rFonts w:ascii="Courier New" w:hAnsi="Courier New" w:cs="Courier New"/>
      <w:sz w:val="20"/>
      <w:szCs w:val="20"/>
    </w:rPr>
  </w:style>
  <w:style w:type="character" w:customStyle="1" w:styleId="81">
    <w:name w:val="标题 Char"/>
    <w:basedOn w:val="47"/>
    <w:link w:val="46"/>
    <w:qFormat/>
    <w:locked/>
    <w:uiPriority w:val="99"/>
    <w:rPr>
      <w:rFonts w:ascii="Arial" w:hAnsi="Arial" w:eastAsia="宋体" w:cs="Times New Roman"/>
      <w:b/>
      <w:snapToGrid w:val="0"/>
      <w:sz w:val="32"/>
      <w:lang w:val="en-US" w:eastAsia="zh-CN"/>
    </w:rPr>
  </w:style>
  <w:style w:type="character" w:customStyle="1" w:styleId="82">
    <w:name w:val="标题 1 Char Char"/>
    <w:qFormat/>
    <w:uiPriority w:val="99"/>
    <w:rPr>
      <w:rFonts w:ascii="黑体" w:hAnsi="宋体" w:eastAsia="黑体"/>
      <w:b/>
      <w:kern w:val="2"/>
      <w:sz w:val="24"/>
      <w:lang w:val="en-US" w:eastAsia="zh-CN"/>
    </w:rPr>
  </w:style>
  <w:style w:type="character" w:customStyle="1" w:styleId="83">
    <w:name w:val="apple-style-span"/>
    <w:basedOn w:val="47"/>
    <w:qFormat/>
    <w:uiPriority w:val="99"/>
    <w:rPr>
      <w:rFonts w:cs="Times New Roman"/>
    </w:rPr>
  </w:style>
  <w:style w:type="character" w:customStyle="1" w:styleId="84">
    <w:name w:val="页眉00 Char Char"/>
    <w:qFormat/>
    <w:locked/>
    <w:uiPriority w:val="99"/>
    <w:rPr>
      <w:rFonts w:ascii="宋体" w:hAnsi="宋体" w:eastAsia="宋体"/>
      <w:kern w:val="2"/>
      <w:sz w:val="18"/>
      <w:lang w:val="en-US" w:eastAsia="zh-CN"/>
    </w:rPr>
  </w:style>
  <w:style w:type="character" w:customStyle="1" w:styleId="85">
    <w:name w:val="标题 8 Char Char"/>
    <w:qFormat/>
    <w:uiPriority w:val="99"/>
    <w:rPr>
      <w:rFonts w:ascii="Arial" w:hAnsi="Arial" w:eastAsia="黑体"/>
      <w:kern w:val="2"/>
      <w:sz w:val="24"/>
      <w:lang w:val="en-US" w:eastAsia="zh-CN"/>
    </w:rPr>
  </w:style>
  <w:style w:type="character" w:customStyle="1" w:styleId="86">
    <w:name w:val="Font Style213"/>
    <w:qFormat/>
    <w:uiPriority w:val="99"/>
    <w:rPr>
      <w:rFonts w:ascii="宋体" w:eastAsia="宋体"/>
      <w:b/>
      <w:sz w:val="22"/>
    </w:rPr>
  </w:style>
  <w:style w:type="character" w:customStyle="1" w:styleId="87">
    <w:name w:val="普通(网站) Char"/>
    <w:qFormat/>
    <w:uiPriority w:val="99"/>
    <w:rPr>
      <w:rFonts w:ascii="宋体" w:hAnsi="宋体" w:eastAsia="宋体"/>
      <w:color w:val="000000"/>
      <w:sz w:val="24"/>
      <w:lang w:val="en-US" w:eastAsia="zh-CN"/>
    </w:rPr>
  </w:style>
  <w:style w:type="character" w:customStyle="1" w:styleId="88">
    <w:name w:val="正文文本 2 Char Char"/>
    <w:qFormat/>
    <w:uiPriority w:val="99"/>
    <w:rPr>
      <w:rFonts w:eastAsia="宋体"/>
      <w:kern w:val="2"/>
      <w:sz w:val="24"/>
      <w:lang w:val="en-US" w:eastAsia="zh-CN"/>
    </w:rPr>
  </w:style>
  <w:style w:type="character" w:customStyle="1" w:styleId="89">
    <w:name w:val="正文缩进 Char Char"/>
    <w:qFormat/>
    <w:uiPriority w:val="99"/>
    <w:rPr>
      <w:rFonts w:eastAsia="宋体"/>
      <w:spacing w:val="10"/>
      <w:kern w:val="2"/>
      <w:sz w:val="28"/>
      <w:lang w:val="en-US" w:eastAsia="zh-CN"/>
    </w:rPr>
  </w:style>
  <w:style w:type="character" w:customStyle="1" w:styleId="90">
    <w:name w:val="Char Char12"/>
    <w:qFormat/>
    <w:uiPriority w:val="99"/>
    <w:rPr>
      <w:b/>
      <w:kern w:val="2"/>
      <w:sz w:val="24"/>
    </w:rPr>
  </w:style>
  <w:style w:type="character" w:customStyle="1" w:styleId="91">
    <w:name w:val="Char Char7"/>
    <w:qFormat/>
    <w:uiPriority w:val="99"/>
    <w:rPr>
      <w:kern w:val="2"/>
      <w:sz w:val="24"/>
    </w:rPr>
  </w:style>
  <w:style w:type="character" w:customStyle="1" w:styleId="92">
    <w:name w:val="标题 1 Char"/>
    <w:link w:val="2"/>
    <w:qFormat/>
    <w:locked/>
    <w:uiPriority w:val="99"/>
    <w:rPr>
      <w:rFonts w:ascii="黑体" w:eastAsia="宋体"/>
      <w:kern w:val="2"/>
      <w:sz w:val="52"/>
      <w:lang w:val="en-US" w:eastAsia="zh-CN"/>
    </w:rPr>
  </w:style>
  <w:style w:type="character" w:customStyle="1" w:styleId="93">
    <w:name w:val="样式 宋体 小四"/>
    <w:qFormat/>
    <w:uiPriority w:val="99"/>
    <w:rPr>
      <w:rFonts w:ascii="宋体" w:hAnsi="宋体" w:eastAsia="宋体"/>
      <w:b/>
      <w:sz w:val="24"/>
    </w:rPr>
  </w:style>
  <w:style w:type="character" w:customStyle="1" w:styleId="94">
    <w:name w:val="Font Style120"/>
    <w:qFormat/>
    <w:uiPriority w:val="99"/>
    <w:rPr>
      <w:rFonts w:ascii="宋体" w:eastAsia="宋体"/>
      <w:sz w:val="22"/>
    </w:rPr>
  </w:style>
  <w:style w:type="character" w:customStyle="1" w:styleId="95">
    <w:name w:val="Font Style205"/>
    <w:qFormat/>
    <w:uiPriority w:val="99"/>
    <w:rPr>
      <w:rFonts w:ascii="宋体" w:eastAsia="宋体"/>
      <w:b/>
      <w:sz w:val="24"/>
    </w:rPr>
  </w:style>
  <w:style w:type="character" w:customStyle="1" w:styleId="96">
    <w:name w:val="标题 1 Char Char Char"/>
    <w:qFormat/>
    <w:uiPriority w:val="99"/>
    <w:rPr>
      <w:rFonts w:ascii="Arial" w:hAnsi="Arial" w:eastAsia="黑体"/>
      <w:snapToGrid w:val="0"/>
      <w:spacing w:val="10"/>
      <w:w w:val="90"/>
      <w:kern w:val="30"/>
      <w:sz w:val="21"/>
    </w:rPr>
  </w:style>
  <w:style w:type="character" w:customStyle="1" w:styleId="97">
    <w:name w:val="t_tag"/>
    <w:basedOn w:val="47"/>
    <w:qFormat/>
    <w:uiPriority w:val="99"/>
    <w:rPr>
      <w:rFonts w:cs="Times New Roman"/>
    </w:rPr>
  </w:style>
  <w:style w:type="character" w:customStyle="1" w:styleId="98">
    <w:name w:val="页脚 Char"/>
    <w:link w:val="28"/>
    <w:qFormat/>
    <w:locked/>
    <w:uiPriority w:val="99"/>
    <w:rPr>
      <w:rFonts w:eastAsia="宋体"/>
      <w:kern w:val="2"/>
      <w:sz w:val="18"/>
      <w:lang w:val="en-US" w:eastAsia="zh-CN"/>
    </w:rPr>
  </w:style>
  <w:style w:type="character" w:customStyle="1" w:styleId="99">
    <w:name w:val="Char Char2"/>
    <w:uiPriority w:val="99"/>
    <w:rPr>
      <w:rFonts w:eastAsia="宋体"/>
      <w:sz w:val="18"/>
      <w:lang w:val="en-US" w:eastAsia="zh-CN"/>
    </w:rPr>
  </w:style>
  <w:style w:type="character" w:customStyle="1" w:styleId="100">
    <w:name w:val="正文首行缩进 Char Char"/>
    <w:uiPriority w:val="99"/>
    <w:rPr>
      <w:rFonts w:eastAsia="宋体"/>
      <w:spacing w:val="10"/>
      <w:kern w:val="24"/>
      <w:sz w:val="24"/>
      <w:lang w:val="en-US" w:eastAsia="zh-CN"/>
    </w:rPr>
  </w:style>
  <w:style w:type="character" w:customStyle="1" w:styleId="101">
    <w:name w:val="Font Style215"/>
    <w:uiPriority w:val="99"/>
    <w:rPr>
      <w:rFonts w:ascii="Palatino Linotype" w:hAnsi="Palatino Linotype"/>
      <w:b/>
      <w:i/>
      <w:sz w:val="22"/>
    </w:rPr>
  </w:style>
  <w:style w:type="character" w:customStyle="1" w:styleId="102">
    <w:name w:val="正文文本 2 Char"/>
    <w:uiPriority w:val="99"/>
    <w:rPr>
      <w:kern w:val="2"/>
      <w:sz w:val="24"/>
    </w:rPr>
  </w:style>
  <w:style w:type="character" w:customStyle="1" w:styleId="103">
    <w:name w:val="news_c_da1"/>
    <w:uiPriority w:val="99"/>
    <w:rPr>
      <w:b/>
      <w:color w:val="000000"/>
      <w:sz w:val="24"/>
    </w:rPr>
  </w:style>
  <w:style w:type="character" w:customStyle="1" w:styleId="104">
    <w:name w:val="正文1 Char Char Char"/>
    <w:uiPriority w:val="99"/>
    <w:rPr>
      <w:rFonts w:eastAsia="宋体"/>
      <w:snapToGrid w:val="0"/>
      <w:kern w:val="21"/>
      <w:sz w:val="21"/>
      <w:lang w:val="en-US" w:eastAsia="zh-CN"/>
    </w:rPr>
  </w:style>
  <w:style w:type="character" w:customStyle="1" w:styleId="105">
    <w:name w:val="9points1"/>
    <w:uiPriority w:val="99"/>
    <w:rPr>
      <w:color w:val="003366"/>
      <w:sz w:val="18"/>
      <w:u w:val="none"/>
    </w:rPr>
  </w:style>
  <w:style w:type="character" w:customStyle="1" w:styleId="106">
    <w:name w:val="样式 正文首行缩进 + 首行缩进:  1 字符2 Char Char"/>
    <w:uiPriority w:val="99"/>
    <w:rPr>
      <w:rFonts w:ascii="宋体" w:eastAsia="宋体"/>
      <w:kern w:val="2"/>
      <w:sz w:val="24"/>
    </w:rPr>
  </w:style>
  <w:style w:type="character" w:customStyle="1" w:styleId="107">
    <w:name w:val="Font Style208"/>
    <w:qFormat/>
    <w:uiPriority w:val="99"/>
    <w:rPr>
      <w:rFonts w:ascii="Sylfaen" w:hAnsi="Sylfaen"/>
      <w:spacing w:val="-20"/>
      <w:sz w:val="18"/>
    </w:rPr>
  </w:style>
  <w:style w:type="character" w:customStyle="1" w:styleId="108">
    <w:name w:val="style71"/>
    <w:qFormat/>
    <w:uiPriority w:val="99"/>
    <w:rPr>
      <w:rFonts w:ascii="黑体" w:eastAsia="黑体"/>
      <w:b/>
    </w:rPr>
  </w:style>
  <w:style w:type="character" w:customStyle="1" w:styleId="109">
    <w:name w:val="Font Style191"/>
    <w:uiPriority w:val="99"/>
    <w:rPr>
      <w:rFonts w:ascii="宋体" w:eastAsia="宋体"/>
      <w:sz w:val="26"/>
    </w:rPr>
  </w:style>
  <w:style w:type="character" w:customStyle="1" w:styleId="110">
    <w:name w:val="unnamed11"/>
    <w:qFormat/>
    <w:uiPriority w:val="99"/>
    <w:rPr>
      <w:rFonts w:ascii="宋体" w:hAnsi="宋体" w:eastAsia="宋体"/>
      <w:sz w:val="21"/>
    </w:rPr>
  </w:style>
  <w:style w:type="character" w:customStyle="1" w:styleId="111">
    <w:name w:val="正文1"/>
    <w:qFormat/>
    <w:uiPriority w:val="99"/>
    <w:rPr>
      <w:rFonts w:ascii="宋体" w:hAnsi="宋体" w:eastAsia="宋体"/>
      <w:color w:val="000000"/>
      <w:spacing w:val="400"/>
      <w:sz w:val="22"/>
    </w:rPr>
  </w:style>
  <w:style w:type="character" w:customStyle="1" w:styleId="112">
    <w:name w:val="正文文本 (2)_"/>
    <w:basedOn w:val="47"/>
    <w:link w:val="113"/>
    <w:qFormat/>
    <w:locked/>
    <w:uiPriority w:val="99"/>
    <w:rPr>
      <w:rFonts w:ascii="MingLiU" w:hAnsi="Calibri" w:eastAsia="MingLiU" w:cs="MingLiU"/>
      <w:kern w:val="0"/>
      <w:sz w:val="26"/>
      <w:szCs w:val="26"/>
    </w:rPr>
  </w:style>
  <w:style w:type="paragraph" w:customStyle="1" w:styleId="113">
    <w:name w:val="正文文本 (2)1"/>
    <w:basedOn w:val="1"/>
    <w:link w:val="112"/>
    <w:qFormat/>
    <w:uiPriority w:val="99"/>
    <w:pPr>
      <w:shd w:val="clear" w:color="auto" w:fill="FFFFFF"/>
      <w:spacing w:line="479" w:lineRule="exact"/>
      <w:jc w:val="left"/>
    </w:pPr>
    <w:rPr>
      <w:rFonts w:ascii="MingLiU" w:hAnsi="Calibri" w:eastAsia="MingLiU" w:cs="MingLiU"/>
      <w:kern w:val="0"/>
      <w:sz w:val="26"/>
      <w:szCs w:val="26"/>
    </w:rPr>
  </w:style>
  <w:style w:type="character" w:customStyle="1" w:styleId="114">
    <w:name w:val="Char Char15"/>
    <w:qFormat/>
    <w:uiPriority w:val="99"/>
    <w:rPr>
      <w:rFonts w:ascii="Arial" w:hAnsi="Arial" w:eastAsia="黑体"/>
      <w:b/>
      <w:kern w:val="2"/>
      <w:sz w:val="28"/>
      <w:lang w:val="en-US" w:eastAsia="zh-CN"/>
    </w:rPr>
  </w:style>
  <w:style w:type="character" w:customStyle="1" w:styleId="115">
    <w:name w:val="normal_0020table__char"/>
    <w:basedOn w:val="47"/>
    <w:qFormat/>
    <w:uiPriority w:val="99"/>
    <w:rPr>
      <w:rFonts w:cs="Times New Roman"/>
    </w:rPr>
  </w:style>
  <w:style w:type="character" w:customStyle="1" w:styleId="116">
    <w:name w:val="Char Char6"/>
    <w:qFormat/>
    <w:uiPriority w:val="99"/>
    <w:rPr>
      <w:rFonts w:ascii="宋体" w:eastAsia="宋体"/>
      <w:kern w:val="2"/>
      <w:sz w:val="24"/>
    </w:rPr>
  </w:style>
  <w:style w:type="character" w:customStyle="1" w:styleId="117">
    <w:name w:val="text11"/>
    <w:qFormat/>
    <w:uiPriority w:val="99"/>
    <w:rPr>
      <w:sz w:val="21"/>
    </w:rPr>
  </w:style>
  <w:style w:type="character" w:customStyle="1" w:styleId="118">
    <w:name w:val="word3noad"/>
    <w:basedOn w:val="47"/>
    <w:qFormat/>
    <w:uiPriority w:val="99"/>
    <w:rPr>
      <w:rFonts w:cs="Times New Roman"/>
    </w:rPr>
  </w:style>
  <w:style w:type="character" w:customStyle="1" w:styleId="119">
    <w:name w:val="报告正文 Char Char"/>
    <w:link w:val="120"/>
    <w:qFormat/>
    <w:locked/>
    <w:uiPriority w:val="0"/>
    <w:rPr>
      <w:rFonts w:ascii="宋体" w:hAnsi="宋体" w:eastAsia="宋体"/>
      <w:color w:val="000000"/>
      <w:sz w:val="24"/>
      <w:lang w:val="en-US" w:eastAsia="zh-CN"/>
    </w:rPr>
  </w:style>
  <w:style w:type="paragraph" w:customStyle="1" w:styleId="120">
    <w:name w:val="报告正文"/>
    <w:basedOn w:val="13"/>
    <w:link w:val="119"/>
    <w:qFormat/>
    <w:uiPriority w:val="0"/>
    <w:pPr>
      <w:spacing w:after="0" w:line="600" w:lineRule="exact"/>
      <w:ind w:firstLine="200" w:firstLineChars="200"/>
      <w:jc w:val="left"/>
    </w:pPr>
    <w:rPr>
      <w:rFonts w:ascii="宋体" w:hAnsi="宋体"/>
      <w:color w:val="000000"/>
      <w:kern w:val="0"/>
      <w:sz w:val="24"/>
    </w:rPr>
  </w:style>
  <w:style w:type="character" w:customStyle="1" w:styleId="121">
    <w:name w:val="Font Style216"/>
    <w:qFormat/>
    <w:uiPriority w:val="99"/>
    <w:rPr>
      <w:rFonts w:ascii="宋体" w:eastAsia="宋体"/>
      <w:b/>
      <w:sz w:val="22"/>
    </w:rPr>
  </w:style>
  <w:style w:type="character" w:customStyle="1" w:styleId="122">
    <w:name w:val="页脚 Char Char"/>
    <w:qFormat/>
    <w:uiPriority w:val="99"/>
    <w:rPr>
      <w:rFonts w:eastAsia="宋体"/>
      <w:kern w:val="2"/>
      <w:sz w:val="18"/>
      <w:lang w:val="en-US" w:eastAsia="zh-CN"/>
    </w:rPr>
  </w:style>
  <w:style w:type="character" w:customStyle="1" w:styleId="123">
    <w:name w:val="样式 正文缩进正文（首行缩进两字） Char表格标题正文（首行缩进两字） Char Char Char Char Char... Char"/>
    <w:qFormat/>
    <w:uiPriority w:val="99"/>
    <w:rPr>
      <w:rFonts w:ascii="宋体" w:hAnsi="宋体" w:eastAsia="宋体"/>
      <w:color w:val="000000"/>
      <w:spacing w:val="-2"/>
      <w:kern w:val="2"/>
      <w:sz w:val="28"/>
      <w:lang w:val="en-US" w:eastAsia="zh-CN"/>
    </w:rPr>
  </w:style>
  <w:style w:type="character" w:customStyle="1" w:styleId="124">
    <w:name w:val="title"/>
    <w:basedOn w:val="47"/>
    <w:qFormat/>
    <w:uiPriority w:val="99"/>
    <w:rPr>
      <w:rFonts w:cs="Times New Roman"/>
    </w:rPr>
  </w:style>
  <w:style w:type="character" w:customStyle="1" w:styleId="125">
    <w:name w:val="Font Style214"/>
    <w:qFormat/>
    <w:uiPriority w:val="99"/>
    <w:rPr>
      <w:rFonts w:ascii="宋体" w:eastAsia="宋体"/>
      <w:spacing w:val="-10"/>
      <w:w w:val="150"/>
      <w:sz w:val="14"/>
    </w:rPr>
  </w:style>
  <w:style w:type="character" w:customStyle="1" w:styleId="126">
    <w:name w:val="样式 正文首行缩进 + 首行缩进:  1 字符2 Char"/>
    <w:link w:val="127"/>
    <w:qFormat/>
    <w:locked/>
    <w:uiPriority w:val="99"/>
    <w:rPr>
      <w:rFonts w:ascii="宋体" w:eastAsia="宋体"/>
      <w:kern w:val="2"/>
      <w:sz w:val="24"/>
    </w:rPr>
  </w:style>
  <w:style w:type="paragraph" w:customStyle="1" w:styleId="127">
    <w:name w:val="样式 正文首行缩进 + 首行缩进:  1 字符2"/>
    <w:basedOn w:val="1"/>
    <w:link w:val="126"/>
    <w:qFormat/>
    <w:uiPriority w:val="99"/>
    <w:pPr>
      <w:spacing w:line="360" w:lineRule="auto"/>
      <w:ind w:firstLine="480" w:firstLineChars="200"/>
    </w:pPr>
    <w:rPr>
      <w:rFonts w:ascii="宋体"/>
      <w:sz w:val="24"/>
    </w:rPr>
  </w:style>
  <w:style w:type="character" w:customStyle="1" w:styleId="128">
    <w:name w:val="apple-converted-space"/>
    <w:basedOn w:val="47"/>
    <w:qFormat/>
    <w:uiPriority w:val="99"/>
    <w:rPr>
      <w:rFonts w:cs="Times New Roman"/>
    </w:rPr>
  </w:style>
  <w:style w:type="character" w:customStyle="1" w:styleId="129">
    <w:name w:val="h3 Char1"/>
    <w:qFormat/>
    <w:uiPriority w:val="99"/>
    <w:rPr>
      <w:b/>
      <w:kern w:val="2"/>
      <w:sz w:val="32"/>
    </w:rPr>
  </w:style>
  <w:style w:type="character" w:customStyle="1" w:styleId="130">
    <w:name w:val="正文首行缩进 Char Char Char"/>
    <w:qFormat/>
    <w:uiPriority w:val="99"/>
    <w:rPr>
      <w:rFonts w:eastAsia="宋体"/>
      <w:spacing w:val="10"/>
      <w:kern w:val="24"/>
      <w:sz w:val="24"/>
      <w:lang w:val="en-US" w:eastAsia="zh-CN"/>
    </w:rPr>
  </w:style>
  <w:style w:type="character" w:customStyle="1" w:styleId="131">
    <w:name w:val="环正文 Char1"/>
    <w:link w:val="132"/>
    <w:qFormat/>
    <w:locked/>
    <w:uiPriority w:val="99"/>
    <w:rPr>
      <w:rFonts w:ascii="Tahoma" w:hAnsi="Tahoma"/>
      <w:sz w:val="21"/>
    </w:rPr>
  </w:style>
  <w:style w:type="paragraph" w:customStyle="1" w:styleId="132">
    <w:name w:val="环正文"/>
    <w:basedOn w:val="1"/>
    <w:link w:val="131"/>
    <w:qFormat/>
    <w:uiPriority w:val="99"/>
    <w:pPr>
      <w:widowControl/>
      <w:suppressAutoHyphens/>
      <w:adjustRightInd w:val="0"/>
      <w:ind w:left="-59" w:leftChars="-28"/>
      <w:jc w:val="center"/>
      <w:textAlignment w:val="baseline"/>
    </w:pPr>
    <w:rPr>
      <w:rFonts w:ascii="Tahoma" w:hAnsi="Tahoma"/>
      <w:kern w:val="0"/>
    </w:rPr>
  </w:style>
  <w:style w:type="character" w:customStyle="1" w:styleId="133">
    <w:name w:val="正文缩进 Char"/>
    <w:qFormat/>
    <w:uiPriority w:val="99"/>
    <w:rPr>
      <w:rFonts w:eastAsia="宋体"/>
      <w:spacing w:val="10"/>
      <w:kern w:val="2"/>
      <w:sz w:val="28"/>
      <w:lang w:val="en-US" w:eastAsia="zh-CN"/>
    </w:rPr>
  </w:style>
  <w:style w:type="character" w:customStyle="1" w:styleId="134">
    <w:name w:val="Font Style221"/>
    <w:qFormat/>
    <w:uiPriority w:val="99"/>
    <w:rPr>
      <w:rFonts w:ascii="MingLiU" w:eastAsia="MingLiU"/>
      <w:spacing w:val="10"/>
      <w:sz w:val="18"/>
    </w:rPr>
  </w:style>
  <w:style w:type="character" w:customStyle="1" w:styleId="135">
    <w:name w:val="标题 3 Char"/>
    <w:qFormat/>
    <w:uiPriority w:val="0"/>
    <w:rPr>
      <w:rFonts w:ascii="黑体" w:eastAsia="黑体"/>
      <w:b/>
      <w:kern w:val="2"/>
      <w:sz w:val="24"/>
      <w:lang w:val="en-US" w:eastAsia="zh-CN"/>
    </w:rPr>
  </w:style>
  <w:style w:type="character" w:customStyle="1" w:styleId="136">
    <w:name w:val="Font Style210"/>
    <w:qFormat/>
    <w:uiPriority w:val="99"/>
    <w:rPr>
      <w:rFonts w:ascii="宋体" w:eastAsia="宋体"/>
      <w:b/>
      <w:sz w:val="24"/>
    </w:rPr>
  </w:style>
  <w:style w:type="character" w:customStyle="1" w:styleId="137">
    <w:name w:val="Char Char"/>
    <w:qFormat/>
    <w:uiPriority w:val="99"/>
    <w:rPr>
      <w:rFonts w:ascii="宋体" w:hAnsi="宋体" w:eastAsia="宋体"/>
      <w:kern w:val="2"/>
      <w:sz w:val="21"/>
      <w:lang w:val="en-US" w:eastAsia="zh-CN"/>
    </w:rPr>
  </w:style>
  <w:style w:type="character" w:customStyle="1" w:styleId="138">
    <w:name w:val="标题 7 Char Char"/>
    <w:qFormat/>
    <w:uiPriority w:val="99"/>
    <w:rPr>
      <w:rFonts w:eastAsia="宋体"/>
      <w:b/>
      <w:kern w:val="2"/>
      <w:sz w:val="24"/>
      <w:lang w:val="en-US" w:eastAsia="zh-CN"/>
    </w:rPr>
  </w:style>
  <w:style w:type="character" w:customStyle="1" w:styleId="139">
    <w:name w:val="页眉 Char Char"/>
    <w:qFormat/>
    <w:uiPriority w:val="99"/>
    <w:rPr>
      <w:rFonts w:eastAsia="宋体"/>
      <w:spacing w:val="10"/>
      <w:kern w:val="24"/>
      <w:sz w:val="18"/>
      <w:lang w:val="en-US" w:eastAsia="zh-CN"/>
    </w:rPr>
  </w:style>
  <w:style w:type="character" w:customStyle="1" w:styleId="140">
    <w:name w:val="标题 3 Char Char"/>
    <w:qFormat/>
    <w:uiPriority w:val="99"/>
    <w:rPr>
      <w:rFonts w:ascii="黑体" w:eastAsia="黑体"/>
      <w:b/>
      <w:kern w:val="2"/>
      <w:sz w:val="24"/>
      <w:lang w:val="en-US" w:eastAsia="zh-CN"/>
    </w:rPr>
  </w:style>
  <w:style w:type="character" w:customStyle="1" w:styleId="141">
    <w:name w:val="Font Style203"/>
    <w:qFormat/>
    <w:uiPriority w:val="99"/>
    <w:rPr>
      <w:rFonts w:ascii="宋体" w:eastAsia="宋体"/>
      <w:b/>
      <w:spacing w:val="-10"/>
      <w:sz w:val="28"/>
    </w:rPr>
  </w:style>
  <w:style w:type="character" w:customStyle="1" w:styleId="142">
    <w:name w:val="zw1"/>
    <w:qFormat/>
    <w:uiPriority w:val="99"/>
    <w:rPr>
      <w:rFonts w:ascii="宋体" w:hAnsi="宋体" w:eastAsia="宋体"/>
      <w:sz w:val="22"/>
    </w:rPr>
  </w:style>
  <w:style w:type="character" w:customStyle="1" w:styleId="143">
    <w:name w:val="detail1"/>
    <w:qFormat/>
    <w:uiPriority w:val="99"/>
    <w:rPr>
      <w:rFonts w:ascii="??" w:hAnsi="??"/>
      <w:sz w:val="21"/>
      <w:u w:val="none"/>
    </w:rPr>
  </w:style>
  <w:style w:type="character" w:customStyle="1" w:styleId="144">
    <w:name w:val="正文1 Char Char"/>
    <w:qFormat/>
    <w:uiPriority w:val="99"/>
    <w:rPr>
      <w:snapToGrid w:val="0"/>
      <w:kern w:val="21"/>
      <w:sz w:val="21"/>
    </w:rPr>
  </w:style>
  <w:style w:type="character" w:customStyle="1" w:styleId="145">
    <w:name w:val="标题 2 Char"/>
    <w:qFormat/>
    <w:uiPriority w:val="99"/>
    <w:rPr>
      <w:rFonts w:ascii="Arial" w:hAnsi="Arial" w:eastAsia="黑体"/>
      <w:snapToGrid w:val="0"/>
      <w:spacing w:val="10"/>
      <w:w w:val="90"/>
      <w:kern w:val="28"/>
      <w:sz w:val="28"/>
      <w:lang w:val="en-US" w:eastAsia="zh-CN"/>
    </w:rPr>
  </w:style>
  <w:style w:type="character" w:customStyle="1" w:styleId="146">
    <w:name w:val="No Spacing Char Char"/>
    <w:link w:val="147"/>
    <w:qFormat/>
    <w:locked/>
    <w:uiPriority w:val="99"/>
    <w:rPr>
      <w:rFonts w:ascii="Calibri" w:hAnsi="Calibri"/>
      <w:sz w:val="22"/>
      <w:szCs w:val="22"/>
      <w:lang w:val="en-US" w:eastAsia="zh-CN" w:bidi="ar-SA"/>
    </w:rPr>
  </w:style>
  <w:style w:type="paragraph" w:customStyle="1" w:styleId="147">
    <w:name w:val="无间隔1"/>
    <w:link w:val="146"/>
    <w:qFormat/>
    <w:uiPriority w:val="99"/>
    <w:rPr>
      <w:rFonts w:ascii="Calibri" w:hAnsi="Calibri" w:eastAsia="宋体" w:cs="Times New Roman"/>
      <w:sz w:val="22"/>
      <w:szCs w:val="22"/>
      <w:lang w:val="en-US" w:eastAsia="zh-CN" w:bidi="ar-SA"/>
    </w:rPr>
  </w:style>
  <w:style w:type="character" w:customStyle="1" w:styleId="148">
    <w:name w:val="large1"/>
    <w:qFormat/>
    <w:uiPriority w:val="99"/>
    <w:rPr>
      <w:rFonts w:ascii="宋体" w:hAnsi="宋体" w:eastAsia="宋体"/>
      <w:sz w:val="22"/>
    </w:rPr>
  </w:style>
  <w:style w:type="character" w:customStyle="1" w:styleId="149">
    <w:name w:val="Font Style194"/>
    <w:qFormat/>
    <w:uiPriority w:val="99"/>
    <w:rPr>
      <w:rFonts w:ascii="宋体" w:eastAsia="宋体"/>
      <w:b/>
      <w:sz w:val="18"/>
    </w:rPr>
  </w:style>
  <w:style w:type="character" w:customStyle="1" w:styleId="150">
    <w:name w:val="Char Char11"/>
    <w:qFormat/>
    <w:uiPriority w:val="99"/>
    <w:rPr>
      <w:rFonts w:ascii="Arial" w:hAnsi="Arial" w:eastAsia="黑体"/>
      <w:kern w:val="2"/>
      <w:sz w:val="24"/>
    </w:rPr>
  </w:style>
  <w:style w:type="character" w:customStyle="1" w:styleId="151">
    <w:name w:val="Char Char10"/>
    <w:qFormat/>
    <w:uiPriority w:val="99"/>
    <w:rPr>
      <w:rFonts w:eastAsia="宋体"/>
      <w:b/>
      <w:spacing w:val="10"/>
      <w:kern w:val="2"/>
      <w:sz w:val="32"/>
      <w:lang w:val="en-US" w:eastAsia="zh-CN"/>
    </w:rPr>
  </w:style>
  <w:style w:type="character" w:customStyle="1" w:styleId="152">
    <w:name w:val="节标题 Char1"/>
    <w:qFormat/>
    <w:uiPriority w:val="99"/>
    <w:rPr>
      <w:rFonts w:ascii="Arial" w:hAnsi="Arial" w:eastAsia="黑体"/>
      <w:b/>
      <w:kern w:val="2"/>
      <w:sz w:val="32"/>
      <w:lang w:val="en-US" w:eastAsia="zh-CN"/>
    </w:rPr>
  </w:style>
  <w:style w:type="character" w:customStyle="1" w:styleId="153">
    <w:name w:val="cont2"/>
    <w:basedOn w:val="47"/>
    <w:qFormat/>
    <w:uiPriority w:val="99"/>
    <w:rPr>
      <w:rFonts w:cs="Times New Roman"/>
    </w:rPr>
  </w:style>
  <w:style w:type="character" w:customStyle="1" w:styleId="154">
    <w:name w:val="样式 正文首行缩进 + 首行缩进:  1 字符2 + 首行缩进:  2 字符 Char Char"/>
    <w:link w:val="155"/>
    <w:qFormat/>
    <w:locked/>
    <w:uiPriority w:val="99"/>
    <w:rPr>
      <w:rFonts w:ascii="宋体" w:eastAsia="宋体"/>
      <w:sz w:val="24"/>
      <w:lang w:val="zh-CN"/>
    </w:rPr>
  </w:style>
  <w:style w:type="paragraph" w:customStyle="1" w:styleId="155">
    <w:name w:val="样式 正文首行缩进 + 首行缩进:  1 字符2 + 首行缩进:  2 字符"/>
    <w:basedOn w:val="1"/>
    <w:link w:val="154"/>
    <w:qFormat/>
    <w:uiPriority w:val="99"/>
    <w:pPr>
      <w:tabs>
        <w:tab w:val="left" w:pos="1575"/>
      </w:tabs>
      <w:spacing w:line="360" w:lineRule="auto"/>
      <w:ind w:firstLine="480" w:firstLineChars="200"/>
    </w:pPr>
    <w:rPr>
      <w:rFonts w:ascii="宋体"/>
      <w:kern w:val="0"/>
      <w:sz w:val="24"/>
      <w:lang w:val="zh-CN"/>
    </w:rPr>
  </w:style>
  <w:style w:type="character" w:customStyle="1" w:styleId="156">
    <w:name w:val="Char Char13"/>
    <w:qFormat/>
    <w:uiPriority w:val="99"/>
    <w:rPr>
      <w:rFonts w:ascii="宋体" w:hAnsi="宋体" w:eastAsia="黑体"/>
      <w:kern w:val="2"/>
      <w:sz w:val="24"/>
    </w:rPr>
  </w:style>
  <w:style w:type="character" w:customStyle="1" w:styleId="157">
    <w:name w:val="Char Char8"/>
    <w:qFormat/>
    <w:uiPriority w:val="99"/>
    <w:rPr>
      <w:rFonts w:eastAsia="宋体"/>
      <w:spacing w:val="10"/>
      <w:kern w:val="24"/>
      <w:sz w:val="24"/>
      <w:lang w:val="en-US" w:eastAsia="zh-CN"/>
    </w:rPr>
  </w:style>
  <w:style w:type="character" w:customStyle="1" w:styleId="158">
    <w:name w:val="页眉 Char"/>
    <w:link w:val="29"/>
    <w:qFormat/>
    <w:locked/>
    <w:uiPriority w:val="99"/>
    <w:rPr>
      <w:rFonts w:eastAsia="宋体"/>
      <w:kern w:val="2"/>
      <w:sz w:val="18"/>
      <w:lang w:val="en-US" w:eastAsia="zh-CN"/>
    </w:rPr>
  </w:style>
  <w:style w:type="character" w:customStyle="1" w:styleId="159">
    <w:name w:val="不明显强调1"/>
    <w:qFormat/>
    <w:uiPriority w:val="99"/>
    <w:rPr>
      <w:i/>
      <w:color w:val="808080"/>
    </w:rPr>
  </w:style>
  <w:style w:type="character" w:customStyle="1" w:styleId="160">
    <w:name w:val="正文1 Char"/>
    <w:qFormat/>
    <w:uiPriority w:val="99"/>
    <w:rPr>
      <w:rFonts w:eastAsia="宋体"/>
      <w:snapToGrid w:val="0"/>
      <w:kern w:val="21"/>
      <w:sz w:val="21"/>
      <w:lang w:val="en-US" w:eastAsia="zh-CN"/>
    </w:rPr>
  </w:style>
  <w:style w:type="character" w:customStyle="1" w:styleId="161">
    <w:name w:val="style11"/>
    <w:qFormat/>
    <w:uiPriority w:val="99"/>
    <w:rPr>
      <w:rFonts w:ascii="Arial" w:hAnsi="Arial"/>
      <w:sz w:val="21"/>
    </w:rPr>
  </w:style>
  <w:style w:type="character" w:customStyle="1" w:styleId="162">
    <w:name w:val="标题 2 Char1"/>
    <w:link w:val="3"/>
    <w:qFormat/>
    <w:locked/>
    <w:uiPriority w:val="99"/>
    <w:rPr>
      <w:rFonts w:ascii="Arial" w:hAnsi="Arial" w:eastAsia="黑体"/>
      <w:b/>
      <w:kern w:val="2"/>
      <w:sz w:val="32"/>
      <w:lang w:val="en-US" w:eastAsia="zh-CN"/>
    </w:rPr>
  </w:style>
  <w:style w:type="character" w:customStyle="1" w:styleId="163">
    <w:name w:val="标题 3 Char3"/>
    <w:qFormat/>
    <w:uiPriority w:val="99"/>
    <w:rPr>
      <w:rFonts w:eastAsia="宋体"/>
      <w:b/>
      <w:kern w:val="2"/>
      <w:sz w:val="32"/>
      <w:lang w:val="en-US" w:eastAsia="zh-CN"/>
    </w:rPr>
  </w:style>
  <w:style w:type="character" w:customStyle="1" w:styleId="164">
    <w:name w:val="无间隔 Char"/>
    <w:link w:val="165"/>
    <w:qFormat/>
    <w:locked/>
    <w:uiPriority w:val="99"/>
    <w:rPr>
      <w:rFonts w:ascii="Calibri" w:hAnsi="Calibri"/>
      <w:sz w:val="22"/>
      <w:szCs w:val="22"/>
      <w:lang w:val="en-US" w:eastAsia="zh-CN" w:bidi="ar-SA"/>
    </w:rPr>
  </w:style>
  <w:style w:type="paragraph" w:customStyle="1" w:styleId="165">
    <w:name w:val="无间隔2"/>
    <w:link w:val="164"/>
    <w:uiPriority w:val="99"/>
    <w:rPr>
      <w:rFonts w:ascii="Calibri" w:hAnsi="Calibri" w:eastAsia="宋体" w:cs="Times New Roman"/>
      <w:sz w:val="22"/>
      <w:szCs w:val="22"/>
      <w:lang w:val="en-US" w:eastAsia="zh-CN" w:bidi="ar-SA"/>
    </w:rPr>
  </w:style>
  <w:style w:type="character" w:customStyle="1" w:styleId="166">
    <w:name w:val="h2 Char"/>
    <w:uiPriority w:val="99"/>
    <w:rPr>
      <w:rFonts w:ascii="Arial" w:hAnsi="Arial" w:eastAsia="黑体"/>
      <w:b/>
      <w:kern w:val="2"/>
      <w:sz w:val="32"/>
      <w:lang w:val="en-US" w:eastAsia="zh-CN"/>
    </w:rPr>
  </w:style>
  <w:style w:type="character" w:customStyle="1" w:styleId="167">
    <w:name w:val="style81"/>
    <w:uiPriority w:val="99"/>
    <w:rPr>
      <w:sz w:val="24"/>
    </w:rPr>
  </w:style>
  <w:style w:type="character" w:customStyle="1" w:styleId="168">
    <w:name w:val="ed11"/>
    <w:uiPriority w:val="99"/>
    <w:rPr>
      <w:b/>
      <w:color w:val="05006C"/>
      <w:sz w:val="33"/>
    </w:rPr>
  </w:style>
  <w:style w:type="character" w:customStyle="1" w:styleId="169">
    <w:name w:val="s c c"/>
    <w:basedOn w:val="47"/>
    <w:uiPriority w:val="99"/>
    <w:rPr>
      <w:rFonts w:cs="Times New Roman"/>
    </w:rPr>
  </w:style>
  <w:style w:type="character" w:customStyle="1" w:styleId="170">
    <w:name w:val="正文（首行缩进2字） Char"/>
    <w:uiPriority w:val="99"/>
    <w:rPr>
      <w:rFonts w:eastAsia="宋体"/>
      <w:kern w:val="2"/>
      <w:sz w:val="30"/>
      <w:lang w:val="en-US" w:eastAsia="zh-CN"/>
    </w:rPr>
  </w:style>
  <w:style w:type="paragraph" w:customStyle="1" w:styleId="171">
    <w:name w:val="Char Char Char Char Char Char Char"/>
    <w:basedOn w:val="1"/>
    <w:uiPriority w:val="99"/>
    <w:pPr>
      <w:spacing w:line="360" w:lineRule="auto"/>
    </w:pPr>
    <w:rPr>
      <w:sz w:val="24"/>
      <w:szCs w:val="24"/>
    </w:rPr>
  </w:style>
  <w:style w:type="paragraph" w:customStyle="1" w:styleId="172">
    <w:name w:val="列出段落1"/>
    <w:basedOn w:val="1"/>
    <w:uiPriority w:val="0"/>
    <w:pPr>
      <w:ind w:firstLine="420" w:firstLineChars="200"/>
    </w:pPr>
    <w:rPr>
      <w:szCs w:val="24"/>
    </w:rPr>
  </w:style>
  <w:style w:type="paragraph" w:customStyle="1" w:styleId="173">
    <w:name w:val="xl125"/>
    <w:basedOn w:val="1"/>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174">
    <w:name w:val="样式2"/>
    <w:basedOn w:val="1"/>
    <w:uiPriority w:val="99"/>
    <w:pPr>
      <w:tabs>
        <w:tab w:val="left" w:pos="360"/>
      </w:tabs>
      <w:adjustRightInd w:val="0"/>
      <w:snapToGrid w:val="0"/>
      <w:spacing w:beforeLines="50" w:line="300" w:lineRule="auto"/>
    </w:pPr>
    <w:rPr>
      <w:spacing w:val="20"/>
      <w:kern w:val="0"/>
      <w:sz w:val="24"/>
    </w:rPr>
  </w:style>
  <w:style w:type="paragraph" w:customStyle="1" w:styleId="175">
    <w:name w:val="标准表格"/>
    <w:basedOn w:val="1"/>
    <w:uiPriority w:val="99"/>
    <w:pPr>
      <w:tabs>
        <w:tab w:val="left" w:pos="0"/>
      </w:tabs>
      <w:adjustRightInd w:val="0"/>
      <w:spacing w:line="360" w:lineRule="exact"/>
      <w:jc w:val="center"/>
      <w:textAlignment w:val="center"/>
    </w:pPr>
    <w:rPr>
      <w:rFonts w:ascii="宋体" w:hAnsi="宋体"/>
      <w:kern w:val="0"/>
    </w:rPr>
  </w:style>
  <w:style w:type="paragraph" w:customStyle="1" w:styleId="176">
    <w:name w:val="xl86"/>
    <w:basedOn w:val="1"/>
    <w:uiPriority w:val="99"/>
    <w:pPr>
      <w:widowControl/>
      <w:pBdr>
        <w:top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77">
    <w:name w:val="char"/>
    <w:basedOn w:val="1"/>
    <w:qFormat/>
    <w:uiPriority w:val="99"/>
    <w:pPr>
      <w:widowControl/>
      <w:spacing w:after="160" w:line="240" w:lineRule="exact"/>
      <w:jc w:val="left"/>
    </w:pPr>
    <w:rPr>
      <w:szCs w:val="24"/>
    </w:rPr>
  </w:style>
  <w:style w:type="paragraph" w:customStyle="1" w:styleId="178">
    <w:name w:val="xl8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kern w:val="0"/>
      <w:sz w:val="24"/>
      <w:szCs w:val="24"/>
    </w:rPr>
  </w:style>
  <w:style w:type="paragraph" w:customStyle="1" w:styleId="179">
    <w:name w:val="Char1"/>
    <w:basedOn w:val="1"/>
    <w:qFormat/>
    <w:uiPriority w:val="99"/>
  </w:style>
  <w:style w:type="paragraph" w:customStyle="1" w:styleId="180">
    <w:name w:val="font20"/>
    <w:basedOn w:val="1"/>
    <w:qFormat/>
    <w:uiPriority w:val="99"/>
    <w:pPr>
      <w:widowControl/>
      <w:spacing w:before="100" w:beforeAutospacing="1" w:after="100" w:afterAutospacing="1"/>
      <w:jc w:val="left"/>
    </w:pPr>
    <w:rPr>
      <w:kern w:val="0"/>
      <w:sz w:val="20"/>
    </w:rPr>
  </w:style>
  <w:style w:type="paragraph" w:customStyle="1" w:styleId="181">
    <w:name w:val="正文(首行缩进)"/>
    <w:basedOn w:val="1"/>
    <w:qFormat/>
    <w:uiPriority w:val="99"/>
    <w:pPr>
      <w:tabs>
        <w:tab w:val="left" w:pos="4584"/>
      </w:tabs>
      <w:adjustRightInd w:val="0"/>
      <w:spacing w:beforeLines="50" w:line="560" w:lineRule="exact"/>
      <w:ind w:firstLine="600" w:firstLineChars="200"/>
    </w:pPr>
    <w:rPr>
      <w:rFonts w:ascii="宋体" w:hAnsi="宋体"/>
      <w:spacing w:val="10"/>
      <w:kern w:val="0"/>
      <w:sz w:val="28"/>
    </w:rPr>
  </w:style>
  <w:style w:type="paragraph" w:customStyle="1" w:styleId="182">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83">
    <w:name w:val="Style47"/>
    <w:basedOn w:val="1"/>
    <w:qFormat/>
    <w:uiPriority w:val="99"/>
    <w:pPr>
      <w:adjustRightInd w:val="0"/>
      <w:jc w:val="left"/>
    </w:pPr>
    <w:rPr>
      <w:rFonts w:ascii="宋体"/>
      <w:kern w:val="0"/>
      <w:sz w:val="24"/>
      <w:szCs w:val="24"/>
    </w:rPr>
  </w:style>
  <w:style w:type="paragraph" w:customStyle="1" w:styleId="184">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16"/>
      <w:szCs w:val="16"/>
    </w:rPr>
  </w:style>
  <w:style w:type="paragraph" w:customStyle="1" w:styleId="185">
    <w:name w:val="xl7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186">
    <w:name w:val="font19"/>
    <w:basedOn w:val="1"/>
    <w:qFormat/>
    <w:uiPriority w:val="99"/>
    <w:pPr>
      <w:widowControl/>
      <w:spacing w:before="100" w:beforeAutospacing="1" w:after="100" w:afterAutospacing="1"/>
      <w:jc w:val="left"/>
    </w:pPr>
    <w:rPr>
      <w:rFonts w:ascii="宋体" w:hAnsi="宋体" w:cs="Arial Unicode MS"/>
      <w:kern w:val="0"/>
      <w:sz w:val="20"/>
    </w:rPr>
  </w:style>
  <w:style w:type="paragraph" w:customStyle="1" w:styleId="187">
    <w:name w:val="Char Char Char Char Char Char Char Char Char Char Char1 Char Char Char Char Char Char Char"/>
    <w:basedOn w:val="1"/>
    <w:uiPriority w:val="99"/>
    <w:rPr>
      <w:szCs w:val="24"/>
    </w:rPr>
  </w:style>
  <w:style w:type="paragraph" w:customStyle="1" w:styleId="188">
    <w:name w:val="xl3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olor w:val="000000"/>
      <w:kern w:val="0"/>
      <w:sz w:val="20"/>
    </w:rPr>
  </w:style>
  <w:style w:type="paragraph" w:customStyle="1" w:styleId="189">
    <w:name w:val="xl105"/>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190">
    <w:name w:val="p0"/>
    <w:basedOn w:val="1"/>
    <w:qFormat/>
    <w:uiPriority w:val="99"/>
    <w:pPr>
      <w:widowControl/>
    </w:pPr>
    <w:rPr>
      <w:rFonts w:ascii="Calibri" w:hAnsi="Calibri" w:cs="宋体"/>
      <w:kern w:val="0"/>
      <w:szCs w:val="21"/>
    </w:rPr>
  </w:style>
  <w:style w:type="paragraph" w:customStyle="1" w:styleId="191">
    <w:name w:val="xl9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192">
    <w:name w:val="xl12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193">
    <w:name w:val="表格"/>
    <w:basedOn w:val="1"/>
    <w:link w:val="419"/>
    <w:qFormat/>
    <w:uiPriority w:val="99"/>
    <w:pPr>
      <w:widowControl/>
      <w:snapToGrid w:val="0"/>
      <w:jc w:val="center"/>
    </w:pPr>
    <w:rPr>
      <w:kern w:val="0"/>
      <w:sz w:val="24"/>
    </w:rPr>
  </w:style>
  <w:style w:type="paragraph" w:customStyle="1" w:styleId="194">
    <w:name w:val="表格03"/>
    <w:basedOn w:val="1"/>
    <w:qFormat/>
    <w:uiPriority w:val="99"/>
    <w:pPr>
      <w:adjustRightInd w:val="0"/>
      <w:spacing w:line="400" w:lineRule="exact"/>
      <w:jc w:val="center"/>
      <w:textAlignment w:val="baseline"/>
    </w:pPr>
  </w:style>
  <w:style w:type="paragraph" w:customStyle="1" w:styleId="195">
    <w:name w:val="xl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color w:val="0000FF"/>
      <w:kern w:val="0"/>
      <w:sz w:val="16"/>
      <w:szCs w:val="16"/>
    </w:rPr>
  </w:style>
  <w:style w:type="paragraph" w:customStyle="1" w:styleId="196">
    <w:name w:val="xl7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97">
    <w:name w:val="font9"/>
    <w:basedOn w:val="1"/>
    <w:qFormat/>
    <w:uiPriority w:val="99"/>
    <w:pPr>
      <w:widowControl/>
      <w:spacing w:before="100" w:beforeAutospacing="1" w:after="100" w:afterAutospacing="1"/>
      <w:jc w:val="left"/>
    </w:pPr>
    <w:rPr>
      <w:rFonts w:ascii="Arial" w:hAnsi="Arial" w:cs="Arial"/>
      <w:kern w:val="0"/>
      <w:sz w:val="12"/>
      <w:szCs w:val="12"/>
    </w:rPr>
  </w:style>
  <w:style w:type="paragraph" w:customStyle="1" w:styleId="198">
    <w:name w:val="xl6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199">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0">
    <w:name w:val="纯文本1"/>
    <w:basedOn w:val="1"/>
    <w:qFormat/>
    <w:uiPriority w:val="99"/>
    <w:pPr>
      <w:adjustRightInd w:val="0"/>
      <w:textAlignment w:val="baseline"/>
    </w:pPr>
    <w:rPr>
      <w:rFonts w:ascii="宋体" w:hAnsi="Courier New"/>
      <w:color w:val="000000"/>
      <w:kern w:val="0"/>
    </w:rPr>
  </w:style>
  <w:style w:type="paragraph" w:customStyle="1" w:styleId="201">
    <w:name w:val="xl70"/>
    <w:basedOn w:val="1"/>
    <w:qFormat/>
    <w:uiPriority w:val="99"/>
    <w:pPr>
      <w:widowControl/>
      <w:spacing w:before="100" w:after="100"/>
      <w:jc w:val="center"/>
    </w:pPr>
    <w:rPr>
      <w:kern w:val="0"/>
      <w:sz w:val="24"/>
    </w:rPr>
  </w:style>
  <w:style w:type="paragraph" w:customStyle="1" w:styleId="202">
    <w:name w:val="xl63"/>
    <w:basedOn w:val="1"/>
    <w:qFormat/>
    <w:uiPriority w:val="99"/>
    <w:pPr>
      <w:widowControl/>
      <w:pBdr>
        <w:top w:val="single" w:color="auto" w:sz="4" w:space="0"/>
        <w:left w:val="single" w:color="auto" w:sz="4" w:space="0"/>
      </w:pBdr>
      <w:spacing w:before="100" w:beforeAutospacing="1" w:after="100" w:afterAutospacing="1"/>
      <w:jc w:val="center"/>
    </w:pPr>
    <w:rPr>
      <w:color w:val="FF0000"/>
      <w:kern w:val="0"/>
      <w:sz w:val="24"/>
      <w:szCs w:val="24"/>
    </w:rPr>
  </w:style>
  <w:style w:type="paragraph" w:customStyle="1" w:styleId="203">
    <w:name w:val="样式1"/>
    <w:basedOn w:val="1"/>
    <w:qFormat/>
    <w:uiPriority w:val="99"/>
    <w:rPr>
      <w:sz w:val="24"/>
    </w:rPr>
  </w:style>
  <w:style w:type="paragraph" w:customStyle="1" w:styleId="204">
    <w:name w:val="Char2"/>
    <w:basedOn w:val="1"/>
    <w:qFormat/>
    <w:uiPriority w:val="99"/>
    <w:pPr>
      <w:ind w:left="510"/>
    </w:pPr>
    <w:rPr>
      <w:szCs w:val="24"/>
    </w:rPr>
  </w:style>
  <w:style w:type="paragraph" w:customStyle="1" w:styleId="205">
    <w:name w:val="xl93"/>
    <w:basedOn w:val="1"/>
    <w:qFormat/>
    <w:uiPriority w:val="99"/>
    <w:pPr>
      <w:widowControl/>
      <w:pBdr>
        <w:top w:val="single" w:color="auto" w:sz="4" w:space="0"/>
        <w:left w:val="single" w:color="auto" w:sz="12"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06">
    <w:name w:val="样式4"/>
    <w:basedOn w:val="203"/>
    <w:qFormat/>
    <w:uiPriority w:val="99"/>
  </w:style>
  <w:style w:type="paragraph" w:customStyle="1" w:styleId="207">
    <w:name w:val="xl12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08">
    <w:name w:val="xl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09">
    <w:name w:val="reader-word-layer reader-word-s3-1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0">
    <w:name w:val="xl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211">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212">
    <w:name w:val="标题5"/>
    <w:basedOn w:val="9"/>
    <w:qFormat/>
    <w:uiPriority w:val="99"/>
    <w:pPr>
      <w:tabs>
        <w:tab w:val="left" w:pos="1260"/>
      </w:tabs>
      <w:adjustRightInd/>
      <w:spacing w:line="240" w:lineRule="auto"/>
      <w:ind w:left="1260" w:hanging="420"/>
      <w:jc w:val="both"/>
      <w:textAlignment w:val="auto"/>
    </w:pPr>
    <w:rPr>
      <w:b/>
      <w:spacing w:val="10"/>
      <w:kern w:val="2"/>
      <w:sz w:val="28"/>
    </w:rPr>
  </w:style>
  <w:style w:type="paragraph" w:customStyle="1" w:styleId="213">
    <w:name w:val="xl7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214">
    <w:name w:val="批注框文本 Char Char"/>
    <w:basedOn w:val="1"/>
    <w:qFormat/>
    <w:uiPriority w:val="99"/>
    <w:pPr>
      <w:adjustRightInd w:val="0"/>
      <w:spacing w:line="360" w:lineRule="atLeast"/>
      <w:jc w:val="left"/>
      <w:textAlignment w:val="baseline"/>
    </w:pPr>
    <w:rPr>
      <w:kern w:val="0"/>
      <w:sz w:val="18"/>
    </w:rPr>
  </w:style>
  <w:style w:type="paragraph" w:customStyle="1" w:styleId="215">
    <w:name w:val="a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16">
    <w:name w:val="xl1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217">
    <w:name w:val="xl76"/>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218">
    <w:name w:val="环评正文"/>
    <w:basedOn w:val="2"/>
    <w:qFormat/>
    <w:uiPriority w:val="99"/>
    <w:pPr>
      <w:keepNext w:val="0"/>
      <w:spacing w:beforeLines="100" w:afterLines="50" w:line="400" w:lineRule="exact"/>
      <w:ind w:firstLine="480"/>
      <w:outlineLvl w:val="9"/>
    </w:pPr>
    <w:rPr>
      <w:rFonts w:ascii="Times New Roman" w:eastAsia="仿宋_GB2312"/>
      <w:kern w:val="44"/>
      <w:sz w:val="24"/>
    </w:rPr>
  </w:style>
  <w:style w:type="paragraph" w:customStyle="1" w:styleId="219">
    <w:name w:val="xl113"/>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0000"/>
      <w:kern w:val="0"/>
      <w:sz w:val="24"/>
      <w:szCs w:val="24"/>
    </w:rPr>
  </w:style>
  <w:style w:type="paragraph" w:customStyle="1" w:styleId="220">
    <w:name w:val="xl108"/>
    <w:basedOn w:val="1"/>
    <w:qFormat/>
    <w:uiPriority w:val="99"/>
    <w:pPr>
      <w:widowControl/>
      <w:pBdr>
        <w:top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221">
    <w:name w:val="默认段落字体 Para Char Char Char Char"/>
    <w:basedOn w:val="1"/>
    <w:qFormat/>
    <w:uiPriority w:val="99"/>
    <w:rPr>
      <w:szCs w:val="24"/>
    </w:rPr>
  </w:style>
  <w:style w:type="paragraph" w:customStyle="1" w:styleId="222">
    <w:name w:val="Char Char Char Char"/>
    <w:basedOn w:val="1"/>
    <w:qFormat/>
    <w:uiPriority w:val="99"/>
  </w:style>
  <w:style w:type="paragraph" w:customStyle="1" w:styleId="223">
    <w:name w:val="font6"/>
    <w:basedOn w:val="1"/>
    <w:qFormat/>
    <w:uiPriority w:val="99"/>
    <w:pPr>
      <w:widowControl/>
      <w:spacing w:before="100" w:beforeAutospacing="1" w:after="100" w:afterAutospacing="1"/>
      <w:jc w:val="left"/>
    </w:pPr>
    <w:rPr>
      <w:rFonts w:ascii="宋体" w:hAnsi="宋体"/>
      <w:kern w:val="0"/>
      <w:sz w:val="16"/>
      <w:szCs w:val="16"/>
    </w:rPr>
  </w:style>
  <w:style w:type="paragraph" w:customStyle="1" w:styleId="224">
    <w:name w:val="xl77"/>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25">
    <w:name w:val="表"/>
    <w:basedOn w:val="1"/>
    <w:qFormat/>
    <w:uiPriority w:val="99"/>
    <w:pPr>
      <w:ind w:right="-48" w:rightChars="-48"/>
    </w:pPr>
    <w:rPr>
      <w:kern w:val="0"/>
    </w:rPr>
  </w:style>
  <w:style w:type="paragraph" w:customStyle="1" w:styleId="226">
    <w:name w:val="Char Char Char Char Char Char Char1"/>
    <w:basedOn w:val="1"/>
    <w:qFormat/>
    <w:uiPriority w:val="99"/>
    <w:rPr>
      <w:szCs w:val="24"/>
    </w:rPr>
  </w:style>
  <w:style w:type="paragraph" w:customStyle="1" w:styleId="227">
    <w:name w:val="xl11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28">
    <w:name w:val="xl11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29">
    <w:name w:val="样式1 + 加粗"/>
    <w:basedOn w:val="203"/>
    <w:qFormat/>
    <w:uiPriority w:val="99"/>
    <w:pPr>
      <w:spacing w:line="336" w:lineRule="auto"/>
    </w:pPr>
    <w:rPr>
      <w:rFonts w:eastAsia="黑体"/>
      <w:bCs/>
      <w:szCs w:val="24"/>
    </w:rPr>
  </w:style>
  <w:style w:type="paragraph" w:customStyle="1" w:styleId="230">
    <w:name w:val="xl6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0"/>
    </w:rPr>
  </w:style>
  <w:style w:type="paragraph" w:customStyle="1" w:styleId="231">
    <w:name w:val="reader-word-layer reader-word-s3-1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2">
    <w:name w:val="font7"/>
    <w:basedOn w:val="1"/>
    <w:qFormat/>
    <w:uiPriority w:val="99"/>
    <w:pPr>
      <w:widowControl/>
      <w:spacing w:before="100" w:beforeAutospacing="1" w:after="100" w:afterAutospacing="1"/>
      <w:jc w:val="left"/>
    </w:pPr>
    <w:rPr>
      <w:b/>
      <w:bCs/>
      <w:kern w:val="0"/>
      <w:sz w:val="20"/>
    </w:rPr>
  </w:style>
  <w:style w:type="paragraph" w:customStyle="1" w:styleId="233">
    <w:name w:val="xl126"/>
    <w:basedOn w:val="1"/>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34">
    <w:name w:val="Char4 Char Char Char"/>
    <w:basedOn w:val="1"/>
    <w:qFormat/>
    <w:uiPriority w:val="99"/>
    <w:pPr>
      <w:adjustRightInd w:val="0"/>
      <w:snapToGrid w:val="0"/>
      <w:spacing w:line="360" w:lineRule="auto"/>
      <w:ind w:firstLine="200" w:firstLineChars="200"/>
    </w:pPr>
    <w:rPr>
      <w:szCs w:val="24"/>
    </w:rPr>
  </w:style>
  <w:style w:type="paragraph" w:customStyle="1" w:styleId="235">
    <w:name w:val="日期1"/>
    <w:basedOn w:val="1"/>
    <w:next w:val="1"/>
    <w:qFormat/>
    <w:uiPriority w:val="99"/>
    <w:pPr>
      <w:adjustRightInd w:val="0"/>
      <w:textAlignment w:val="baseline"/>
    </w:pPr>
  </w:style>
  <w:style w:type="paragraph" w:customStyle="1" w:styleId="236">
    <w:name w:val="Style37"/>
    <w:basedOn w:val="1"/>
    <w:qFormat/>
    <w:uiPriority w:val="99"/>
    <w:pPr>
      <w:adjustRightInd w:val="0"/>
      <w:jc w:val="left"/>
    </w:pPr>
    <w:rPr>
      <w:rFonts w:ascii="宋体"/>
      <w:kern w:val="0"/>
      <w:sz w:val="24"/>
      <w:szCs w:val="24"/>
    </w:rPr>
  </w:style>
  <w:style w:type="paragraph" w:customStyle="1" w:styleId="237">
    <w:name w:val="表内字一"/>
    <w:basedOn w:val="238"/>
    <w:uiPriority w:val="99"/>
    <w:pPr>
      <w:spacing w:line="280" w:lineRule="atLeast"/>
      <w:jc w:val="both"/>
    </w:pPr>
  </w:style>
  <w:style w:type="paragraph" w:customStyle="1" w:styleId="238">
    <w:name w:val="表内字"/>
    <w:basedOn w:val="1"/>
    <w:qFormat/>
    <w:uiPriority w:val="99"/>
    <w:pPr>
      <w:spacing w:before="80" w:after="80"/>
      <w:jc w:val="center"/>
    </w:pPr>
    <w:rPr>
      <w:color w:val="FF0000"/>
      <w:szCs w:val="24"/>
    </w:rPr>
  </w:style>
  <w:style w:type="paragraph" w:customStyle="1" w:styleId="239">
    <w:name w:val="xl121"/>
    <w:basedOn w:val="1"/>
    <w:uiPriority w:val="99"/>
    <w:pPr>
      <w:widowControl/>
      <w:pBdr>
        <w:top w:val="single" w:color="auto" w:sz="4" w:space="0"/>
        <w:left w:val="single" w:color="auto" w:sz="4" w:space="0"/>
        <w:bottom w:val="single" w:color="auto" w:sz="4" w:space="0"/>
      </w:pBdr>
      <w:spacing w:before="100" w:beforeAutospacing="1" w:after="100" w:afterAutospacing="1"/>
    </w:pPr>
    <w:rPr>
      <w:kern w:val="0"/>
      <w:sz w:val="24"/>
      <w:szCs w:val="24"/>
    </w:rPr>
  </w:style>
  <w:style w:type="paragraph" w:customStyle="1" w:styleId="240">
    <w:name w:val="样式1 + 四号 居中"/>
    <w:basedOn w:val="203"/>
    <w:qFormat/>
    <w:uiPriority w:val="99"/>
    <w:pPr>
      <w:spacing w:line="336" w:lineRule="auto"/>
      <w:jc w:val="center"/>
    </w:pPr>
    <w:rPr>
      <w:sz w:val="28"/>
    </w:rPr>
  </w:style>
  <w:style w:type="paragraph" w:customStyle="1" w:styleId="241">
    <w:name w:val="Normal - Schedule"/>
    <w:qFormat/>
    <w:uiPriority w:val="99"/>
    <w:pPr>
      <w:tabs>
        <w:tab w:val="left" w:pos="454"/>
        <w:tab w:val="left" w:pos="907"/>
        <w:tab w:val="left" w:pos="1361"/>
        <w:tab w:val="left" w:pos="1814"/>
        <w:tab w:val="left" w:pos="2722"/>
      </w:tabs>
      <w:overflowPunct w:val="0"/>
      <w:autoSpaceDE w:val="0"/>
      <w:autoSpaceDN w:val="0"/>
      <w:adjustRightInd w:val="0"/>
      <w:spacing w:before="120"/>
      <w:textAlignment w:val="baseline"/>
    </w:pPr>
    <w:rPr>
      <w:rFonts w:ascii="Times New Roman" w:hAnsi="Times New Roman" w:eastAsia="宋体" w:cs="Times New Roman"/>
      <w:lang w:val="en-AU" w:eastAsia="en-US" w:bidi="ar-SA"/>
    </w:rPr>
  </w:style>
  <w:style w:type="paragraph" w:customStyle="1" w:styleId="242">
    <w:name w:val="表格文字样式"/>
    <w:basedOn w:val="1"/>
    <w:qFormat/>
    <w:uiPriority w:val="99"/>
    <w:pPr>
      <w:tabs>
        <w:tab w:val="left" w:pos="567"/>
      </w:tabs>
      <w:jc w:val="center"/>
    </w:pPr>
    <w:rPr>
      <w:rFonts w:eastAsia="华文中宋"/>
      <w:spacing w:val="20"/>
      <w:sz w:val="24"/>
    </w:rPr>
  </w:style>
  <w:style w:type="paragraph" w:customStyle="1" w:styleId="243">
    <w:name w:val="Char21"/>
    <w:basedOn w:val="1"/>
    <w:semiHidden/>
    <w:qFormat/>
    <w:uiPriority w:val="99"/>
    <w:pPr>
      <w:ind w:left="510"/>
    </w:pPr>
    <w:rPr>
      <w:szCs w:val="21"/>
    </w:rPr>
  </w:style>
  <w:style w:type="paragraph" w:customStyle="1" w:styleId="244">
    <w:name w:val="xl56"/>
    <w:basedOn w:val="1"/>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008000"/>
      <w:kern w:val="0"/>
      <w:sz w:val="24"/>
      <w:szCs w:val="24"/>
    </w:rPr>
  </w:style>
  <w:style w:type="paragraph" w:customStyle="1" w:styleId="245">
    <w:name w:val="xl59"/>
    <w:basedOn w:val="1"/>
    <w:qFormat/>
    <w:uiPriority w:val="99"/>
    <w:pPr>
      <w:widowControl/>
      <w:pBdr>
        <w:top w:val="single" w:color="auto" w:sz="4" w:space="0"/>
        <w:left w:val="single" w:color="auto" w:sz="4" w:space="0"/>
      </w:pBdr>
      <w:spacing w:before="100" w:beforeAutospacing="1" w:after="100" w:afterAutospacing="1"/>
      <w:jc w:val="center"/>
    </w:pPr>
    <w:rPr>
      <w:kern w:val="0"/>
      <w:sz w:val="24"/>
      <w:szCs w:val="24"/>
    </w:rPr>
  </w:style>
  <w:style w:type="paragraph" w:customStyle="1" w:styleId="246">
    <w:name w:val="1"/>
    <w:basedOn w:val="1"/>
    <w:next w:val="1"/>
    <w:qFormat/>
    <w:uiPriority w:val="99"/>
    <w:pPr>
      <w:jc w:val="center"/>
    </w:pPr>
  </w:style>
  <w:style w:type="paragraph" w:customStyle="1" w:styleId="247">
    <w:name w:val="附录章标题"/>
    <w:next w:val="199"/>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48">
    <w:name w:val="Style67"/>
    <w:basedOn w:val="1"/>
    <w:qFormat/>
    <w:uiPriority w:val="99"/>
    <w:pPr>
      <w:adjustRightInd w:val="0"/>
      <w:jc w:val="left"/>
    </w:pPr>
    <w:rPr>
      <w:rFonts w:ascii="宋体"/>
      <w:kern w:val="0"/>
      <w:sz w:val="24"/>
      <w:szCs w:val="24"/>
    </w:rPr>
  </w:style>
  <w:style w:type="paragraph" w:customStyle="1" w:styleId="249">
    <w:name w:val="Char Char1 Char Char Char Char Char Char Char Char Char Char Char Char Char Char Char Char Char Char Char"/>
    <w:basedOn w:val="1"/>
    <w:qFormat/>
    <w:uiPriority w:val="99"/>
    <w:pPr>
      <w:widowControl/>
      <w:jc w:val="left"/>
    </w:pPr>
    <w:rPr>
      <w:rFonts w:ascii="宋体" w:hAnsi="宋体" w:cs="宋体"/>
      <w:color w:val="000000"/>
      <w:kern w:val="0"/>
      <w:sz w:val="24"/>
      <w:szCs w:val="24"/>
    </w:rPr>
  </w:style>
  <w:style w:type="paragraph" w:customStyle="1" w:styleId="250">
    <w:name w:val="font13"/>
    <w:basedOn w:val="1"/>
    <w:uiPriority w:val="99"/>
    <w:pPr>
      <w:widowControl/>
      <w:spacing w:before="100" w:beforeAutospacing="1" w:after="100" w:afterAutospacing="1"/>
      <w:jc w:val="left"/>
    </w:pPr>
    <w:rPr>
      <w:color w:val="0000FF"/>
      <w:kern w:val="0"/>
      <w:sz w:val="16"/>
      <w:szCs w:val="16"/>
    </w:rPr>
  </w:style>
  <w:style w:type="paragraph" w:customStyle="1" w:styleId="251">
    <w:name w:val="xl31"/>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kern w:val="0"/>
      <w:sz w:val="16"/>
      <w:szCs w:val="16"/>
    </w:rPr>
  </w:style>
  <w:style w:type="paragraph" w:customStyle="1" w:styleId="252">
    <w:name w:val="xl49"/>
    <w:basedOn w:val="1"/>
    <w:qFormat/>
    <w:uiPriority w:val="99"/>
    <w:pPr>
      <w:widowControl/>
      <w:pBdr>
        <w:left w:val="single" w:color="auto" w:sz="4" w:space="0"/>
        <w:bottom w:val="single" w:color="auto" w:sz="4" w:space="0"/>
      </w:pBdr>
      <w:spacing w:before="100" w:after="100"/>
      <w:jc w:val="center"/>
      <w:textAlignment w:val="center"/>
    </w:pPr>
    <w:rPr>
      <w:rFonts w:ascii="宋体" w:hAnsi="宋体"/>
      <w:kern w:val="0"/>
      <w:sz w:val="28"/>
      <w:szCs w:val="28"/>
    </w:rPr>
  </w:style>
  <w:style w:type="paragraph" w:customStyle="1" w:styleId="253">
    <w:name w:val="表格文字"/>
    <w:basedOn w:val="1"/>
    <w:uiPriority w:val="99"/>
    <w:pPr>
      <w:adjustRightInd w:val="0"/>
      <w:spacing w:line="360" w:lineRule="atLeast"/>
      <w:jc w:val="center"/>
      <w:textAlignment w:val="baseline"/>
    </w:pPr>
    <w:rPr>
      <w:kern w:val="0"/>
    </w:rPr>
  </w:style>
  <w:style w:type="paragraph" w:customStyle="1" w:styleId="254">
    <w:name w:val="xl96"/>
    <w:basedOn w:val="1"/>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255">
    <w:name w:val="缺省文本_宋体"/>
    <w:basedOn w:val="1"/>
    <w:qFormat/>
    <w:uiPriority w:val="99"/>
    <w:pPr>
      <w:tabs>
        <w:tab w:val="left" w:pos="525"/>
        <w:tab w:val="center" w:pos="5670"/>
        <w:tab w:val="right" w:pos="7655"/>
      </w:tabs>
      <w:spacing w:before="80" w:after="120" w:line="360" w:lineRule="auto"/>
      <w:outlineLvl w:val="7"/>
    </w:pPr>
    <w:rPr>
      <w:spacing w:val="16"/>
      <w:kern w:val="28"/>
      <w:sz w:val="24"/>
    </w:rPr>
  </w:style>
  <w:style w:type="paragraph" w:customStyle="1" w:styleId="256">
    <w:name w:val="wg"/>
    <w:basedOn w:val="1"/>
    <w:uiPriority w:val="99"/>
    <w:rPr>
      <w:sz w:val="28"/>
    </w:rPr>
  </w:style>
  <w:style w:type="paragraph" w:customStyle="1" w:styleId="257">
    <w:name w:val="xl40"/>
    <w:basedOn w:val="1"/>
    <w:qFormat/>
    <w:uiPriority w:val="99"/>
    <w:pPr>
      <w:widowControl/>
      <w:pBdr>
        <w:left w:val="single" w:color="auto" w:sz="8"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58">
    <w:name w:val="Style68"/>
    <w:basedOn w:val="1"/>
    <w:uiPriority w:val="99"/>
    <w:pPr>
      <w:adjustRightInd w:val="0"/>
      <w:spacing w:line="274" w:lineRule="exact"/>
      <w:jc w:val="left"/>
    </w:pPr>
    <w:rPr>
      <w:rFonts w:ascii="宋体"/>
      <w:kern w:val="0"/>
      <w:sz w:val="24"/>
      <w:szCs w:val="24"/>
    </w:rPr>
  </w:style>
  <w:style w:type="paragraph" w:customStyle="1" w:styleId="259">
    <w:name w:val="xl10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260">
    <w:name w:val="xl5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261">
    <w:name w:val="font17"/>
    <w:basedOn w:val="1"/>
    <w:qFormat/>
    <w:uiPriority w:val="99"/>
    <w:pPr>
      <w:widowControl/>
      <w:spacing w:before="100" w:beforeAutospacing="1" w:after="100" w:afterAutospacing="1"/>
      <w:jc w:val="left"/>
    </w:pPr>
    <w:rPr>
      <w:rFonts w:ascii="宋体" w:hAnsi="宋体" w:cs="Arial Unicode MS"/>
      <w:color w:val="008000"/>
      <w:kern w:val="0"/>
      <w:sz w:val="24"/>
      <w:szCs w:val="24"/>
    </w:rPr>
  </w:style>
  <w:style w:type="paragraph" w:customStyle="1" w:styleId="262">
    <w:name w:val="font22"/>
    <w:basedOn w:val="1"/>
    <w:qFormat/>
    <w:uiPriority w:val="99"/>
    <w:pPr>
      <w:widowControl/>
      <w:spacing w:before="100" w:beforeAutospacing="1" w:after="100" w:afterAutospacing="1"/>
      <w:jc w:val="left"/>
    </w:pPr>
    <w:rPr>
      <w:kern w:val="0"/>
      <w:szCs w:val="21"/>
    </w:rPr>
  </w:style>
  <w:style w:type="paragraph" w:customStyle="1" w:styleId="263">
    <w:name w:val="样式 正文（首行缩进两字） + 宋体"/>
    <w:basedOn w:val="9"/>
    <w:qFormat/>
    <w:uiPriority w:val="99"/>
    <w:pPr>
      <w:spacing w:line="240" w:lineRule="auto"/>
      <w:ind w:firstLine="0"/>
      <w:jc w:val="both"/>
      <w:textAlignment w:val="auto"/>
    </w:pPr>
    <w:rPr>
      <w:rFonts w:ascii="宋体" w:hAnsi="宋体"/>
      <w:kern w:val="2"/>
      <w:sz w:val="28"/>
    </w:rPr>
  </w:style>
  <w:style w:type="paragraph" w:customStyle="1" w:styleId="264">
    <w:name w:val="xl24"/>
    <w:basedOn w:val="1"/>
    <w:uiPriority w:val="99"/>
    <w:pPr>
      <w:widowControl/>
      <w:spacing w:before="100" w:beforeAutospacing="1" w:after="100" w:afterAutospacing="1"/>
      <w:jc w:val="left"/>
      <w:textAlignment w:val="center"/>
    </w:pPr>
    <w:rPr>
      <w:kern w:val="0"/>
      <w:sz w:val="16"/>
      <w:szCs w:val="16"/>
    </w:rPr>
  </w:style>
  <w:style w:type="paragraph" w:customStyle="1" w:styleId="265">
    <w:name w:val="Char1 Char Char Char"/>
    <w:basedOn w:val="1"/>
    <w:qFormat/>
    <w:uiPriority w:val="99"/>
    <w:pPr>
      <w:widowControl/>
      <w:spacing w:after="160" w:line="240" w:lineRule="exact"/>
      <w:jc w:val="left"/>
    </w:pPr>
    <w:rPr>
      <w:rFonts w:ascii="Arial" w:hAnsi="Arial" w:cs="Verdana"/>
      <w:b/>
      <w:kern w:val="0"/>
      <w:sz w:val="24"/>
      <w:szCs w:val="24"/>
      <w:lang w:eastAsia="en-US"/>
    </w:rPr>
  </w:style>
  <w:style w:type="paragraph" w:customStyle="1" w:styleId="266">
    <w:name w:val="xl5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67">
    <w:name w:val="附录标识"/>
    <w:basedOn w:val="1"/>
    <w:qFormat/>
    <w:uiPriority w:val="99"/>
    <w:pPr>
      <w:widowControl/>
      <w:shd w:val="clear" w:color="FFFFFF" w:fill="FFFFFF"/>
      <w:tabs>
        <w:tab w:val="left" w:pos="6405"/>
      </w:tabs>
      <w:spacing w:before="640" w:after="200"/>
      <w:jc w:val="center"/>
      <w:outlineLvl w:val="0"/>
    </w:pPr>
    <w:rPr>
      <w:rFonts w:ascii="黑体" w:eastAsia="黑体"/>
      <w:kern w:val="0"/>
    </w:rPr>
  </w:style>
  <w:style w:type="paragraph" w:customStyle="1" w:styleId="268">
    <w:name w:val="Char Char Char Char Char Char Char Char Char Char"/>
    <w:basedOn w:val="1"/>
    <w:uiPriority w:val="99"/>
    <w:rPr>
      <w:szCs w:val="24"/>
    </w:rPr>
  </w:style>
  <w:style w:type="paragraph" w:customStyle="1" w:styleId="269">
    <w:name w:val="附录五级条标题"/>
    <w:basedOn w:val="270"/>
    <w:next w:val="199"/>
    <w:qFormat/>
    <w:uiPriority w:val="99"/>
    <w:pPr>
      <w:outlineLvl w:val="6"/>
    </w:pPr>
  </w:style>
  <w:style w:type="paragraph" w:customStyle="1" w:styleId="270">
    <w:name w:val="附录四级条标题"/>
    <w:basedOn w:val="271"/>
    <w:next w:val="199"/>
    <w:qFormat/>
    <w:uiPriority w:val="99"/>
    <w:pPr>
      <w:outlineLvl w:val="5"/>
    </w:pPr>
  </w:style>
  <w:style w:type="paragraph" w:customStyle="1" w:styleId="271">
    <w:name w:val="附录三级条标题"/>
    <w:basedOn w:val="272"/>
    <w:next w:val="199"/>
    <w:qFormat/>
    <w:uiPriority w:val="99"/>
    <w:pPr>
      <w:outlineLvl w:val="4"/>
    </w:pPr>
  </w:style>
  <w:style w:type="paragraph" w:customStyle="1" w:styleId="272">
    <w:name w:val="附录二级条标题"/>
    <w:basedOn w:val="273"/>
    <w:next w:val="199"/>
    <w:qFormat/>
    <w:uiPriority w:val="99"/>
    <w:pPr>
      <w:outlineLvl w:val="3"/>
    </w:pPr>
  </w:style>
  <w:style w:type="paragraph" w:customStyle="1" w:styleId="273">
    <w:name w:val="附录一级条标题"/>
    <w:basedOn w:val="247"/>
    <w:next w:val="199"/>
    <w:qFormat/>
    <w:uiPriority w:val="99"/>
    <w:pPr>
      <w:autoSpaceDN w:val="0"/>
      <w:spacing w:beforeLines="0" w:afterLines="0"/>
      <w:outlineLvl w:val="2"/>
    </w:pPr>
  </w:style>
  <w:style w:type="paragraph" w:customStyle="1" w:styleId="274">
    <w:name w:val="zw"/>
    <w:basedOn w:val="1"/>
    <w:qFormat/>
    <w:uiPriority w:val="99"/>
    <w:pPr>
      <w:widowControl/>
      <w:spacing w:before="100" w:beforeAutospacing="1" w:after="100" w:afterAutospacing="1" w:line="440" w:lineRule="atLeast"/>
      <w:jc w:val="left"/>
    </w:pPr>
    <w:rPr>
      <w:rFonts w:ascii="宋体" w:hAnsi="宋体" w:cs="宋体"/>
      <w:kern w:val="0"/>
      <w:sz w:val="22"/>
      <w:szCs w:val="22"/>
    </w:rPr>
  </w:style>
  <w:style w:type="paragraph" w:customStyle="1" w:styleId="275">
    <w:name w:val="样式3"/>
    <w:basedOn w:val="1"/>
    <w:qFormat/>
    <w:uiPriority w:val="99"/>
    <w:pPr>
      <w:adjustRightInd w:val="0"/>
      <w:snapToGrid w:val="0"/>
      <w:spacing w:line="360" w:lineRule="auto"/>
      <w:jc w:val="center"/>
    </w:pPr>
    <w:rPr>
      <w:rFonts w:ascii="宋体" w:hAnsi="宋体"/>
      <w:b/>
      <w:bCs/>
    </w:rPr>
  </w:style>
  <w:style w:type="paragraph" w:customStyle="1" w:styleId="276">
    <w:name w:val="xl3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color w:val="000000"/>
      <w:kern w:val="0"/>
      <w:sz w:val="16"/>
      <w:szCs w:val="16"/>
    </w:rPr>
  </w:style>
  <w:style w:type="paragraph" w:customStyle="1" w:styleId="277">
    <w:name w:val="xl100"/>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278">
    <w:name w:val="Char11"/>
    <w:basedOn w:val="1"/>
    <w:qFormat/>
    <w:uiPriority w:val="99"/>
  </w:style>
  <w:style w:type="paragraph" w:customStyle="1" w:styleId="279">
    <w:name w:val="基准标题"/>
    <w:basedOn w:val="14"/>
    <w:next w:val="14"/>
    <w:qFormat/>
    <w:uiPriority w:val="99"/>
    <w:pPr>
      <w:spacing w:before="80" w:after="80"/>
      <w:jc w:val="center"/>
    </w:pPr>
    <w:rPr>
      <w:rFonts w:ascii="宋体" w:hAnsi="宋体"/>
      <w:kern w:val="0"/>
      <w:szCs w:val="21"/>
    </w:rPr>
  </w:style>
  <w:style w:type="paragraph" w:customStyle="1" w:styleId="280">
    <w:name w:val="xl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281">
    <w:name w:val="xl11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282">
    <w:name w:val="font16"/>
    <w:basedOn w:val="1"/>
    <w:qFormat/>
    <w:uiPriority w:val="99"/>
    <w:pPr>
      <w:widowControl/>
      <w:spacing w:before="100" w:beforeAutospacing="1" w:after="100" w:afterAutospacing="1"/>
      <w:jc w:val="left"/>
    </w:pPr>
    <w:rPr>
      <w:color w:val="FF0000"/>
      <w:kern w:val="0"/>
      <w:sz w:val="24"/>
      <w:szCs w:val="24"/>
    </w:rPr>
  </w:style>
  <w:style w:type="paragraph" w:customStyle="1" w:styleId="283">
    <w:name w:val="a"/>
    <w:basedOn w:val="1"/>
    <w:uiPriority w:val="99"/>
    <w:pPr>
      <w:widowControl/>
      <w:spacing w:before="100" w:beforeAutospacing="1" w:after="100" w:afterAutospacing="1"/>
      <w:jc w:val="left"/>
    </w:pPr>
    <w:rPr>
      <w:rFonts w:ascii="宋体" w:hAnsi="宋体" w:cs="宋体"/>
      <w:kern w:val="0"/>
      <w:sz w:val="24"/>
      <w:szCs w:val="24"/>
    </w:rPr>
  </w:style>
  <w:style w:type="paragraph" w:customStyle="1" w:styleId="284">
    <w:name w:val="xl95"/>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85">
    <w:name w:val="样式 题注 + 首行缩进:  2 字符1"/>
    <w:basedOn w:val="16"/>
    <w:qFormat/>
    <w:uiPriority w:val="99"/>
    <w:pPr>
      <w:spacing w:afterLines="50" w:line="400" w:lineRule="exact"/>
    </w:pPr>
    <w:rPr>
      <w:rFonts w:cs="宋体"/>
    </w:rPr>
  </w:style>
  <w:style w:type="paragraph" w:customStyle="1" w:styleId="286">
    <w:name w:val="样式7"/>
    <w:basedOn w:val="1"/>
    <w:qFormat/>
    <w:uiPriority w:val="99"/>
    <w:pPr>
      <w:spacing w:line="340" w:lineRule="exact"/>
      <w:ind w:firstLine="562" w:firstLineChars="200"/>
    </w:pPr>
    <w:rPr>
      <w:b/>
      <w:bCs/>
      <w:spacing w:val="20"/>
      <w:sz w:val="24"/>
    </w:rPr>
  </w:style>
  <w:style w:type="paragraph" w:customStyle="1" w:styleId="287">
    <w:name w:val="样式 题注 + 首行缩进:  2 字符"/>
    <w:basedOn w:val="16"/>
    <w:qFormat/>
    <w:uiPriority w:val="99"/>
    <w:pPr>
      <w:spacing w:line="400" w:lineRule="exact"/>
    </w:pPr>
    <w:rPr>
      <w:rFonts w:cs="宋体"/>
    </w:rPr>
  </w:style>
  <w:style w:type="paragraph" w:customStyle="1" w:styleId="288">
    <w:name w:val="样式 段前: 7.8 磅 段后: 7.8 磅"/>
    <w:basedOn w:val="1"/>
    <w:qFormat/>
    <w:uiPriority w:val="99"/>
    <w:pPr>
      <w:spacing w:before="10" w:after="10" w:line="440" w:lineRule="exact"/>
      <w:ind w:firstLine="200" w:firstLineChars="200"/>
      <w:jc w:val="left"/>
    </w:pPr>
    <w:rPr>
      <w:rFonts w:cs="宋体"/>
      <w:sz w:val="24"/>
    </w:rPr>
  </w:style>
  <w:style w:type="paragraph" w:customStyle="1" w:styleId="289">
    <w:name w:val="xl118"/>
    <w:basedOn w:val="1"/>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290">
    <w:name w:val="p18"/>
    <w:basedOn w:val="1"/>
    <w:qFormat/>
    <w:uiPriority w:val="99"/>
    <w:pPr>
      <w:widowControl/>
      <w:jc w:val="left"/>
    </w:pPr>
    <w:rPr>
      <w:rFonts w:ascii="宋体" w:hAnsi="宋体" w:cs="宋体"/>
      <w:color w:val="000000"/>
      <w:kern w:val="0"/>
      <w:sz w:val="24"/>
      <w:szCs w:val="24"/>
    </w:rPr>
  </w:style>
  <w:style w:type="paragraph" w:customStyle="1" w:styleId="291">
    <w:name w:val="xl94"/>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92">
    <w:name w:val="xl68"/>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293">
    <w:name w:val="xl85"/>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294">
    <w:name w:val="Style136"/>
    <w:basedOn w:val="1"/>
    <w:qFormat/>
    <w:uiPriority w:val="99"/>
    <w:pPr>
      <w:adjustRightInd w:val="0"/>
      <w:spacing w:line="288" w:lineRule="exact"/>
      <w:jc w:val="left"/>
    </w:pPr>
    <w:rPr>
      <w:rFonts w:ascii="宋体"/>
      <w:kern w:val="0"/>
      <w:sz w:val="24"/>
      <w:szCs w:val="24"/>
    </w:rPr>
  </w:style>
  <w:style w:type="paragraph" w:customStyle="1" w:styleId="295">
    <w:name w:val="p16"/>
    <w:basedOn w:val="1"/>
    <w:qFormat/>
    <w:uiPriority w:val="99"/>
    <w:pPr>
      <w:widowControl/>
      <w:jc w:val="left"/>
    </w:pPr>
    <w:rPr>
      <w:rFonts w:ascii="宋体" w:hAnsi="宋体" w:cs="宋体"/>
      <w:color w:val="000000"/>
      <w:kern w:val="0"/>
      <w:sz w:val="24"/>
      <w:szCs w:val="24"/>
    </w:rPr>
  </w:style>
  <w:style w:type="paragraph" w:customStyle="1" w:styleId="296">
    <w:name w:val="说明书标题"/>
    <w:basedOn w:val="1"/>
    <w:next w:val="1"/>
    <w:qFormat/>
    <w:uiPriority w:val="99"/>
    <w:pPr>
      <w:tabs>
        <w:tab w:val="left" w:pos="210"/>
        <w:tab w:val="left" w:pos="360"/>
      </w:tabs>
      <w:spacing w:line="520" w:lineRule="exact"/>
      <w:ind w:left="227" w:hanging="227"/>
    </w:pPr>
    <w:rPr>
      <w:rFonts w:ascii="Trebuchet MS" w:hAnsi="Trebuchet MS" w:eastAsia="黑体"/>
      <w:sz w:val="28"/>
    </w:rPr>
  </w:style>
  <w:style w:type="paragraph" w:customStyle="1" w:styleId="297">
    <w:name w:val="reader-word-layer reader-word-s5-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98">
    <w:name w:val="样式 样式 样式4 + 首行缩进:  1.92 字符 + 仿宋_GB2312"/>
    <w:basedOn w:val="299"/>
    <w:qFormat/>
    <w:uiPriority w:val="99"/>
    <w:rPr>
      <w:rFonts w:ascii="仿宋_GB2312" w:eastAsia="仿宋_GB2312"/>
      <w:szCs w:val="28"/>
    </w:rPr>
  </w:style>
  <w:style w:type="paragraph" w:customStyle="1" w:styleId="299">
    <w:name w:val="样式 样式4 + 首行缩进:  1.92 字符"/>
    <w:basedOn w:val="1"/>
    <w:uiPriority w:val="99"/>
    <w:pPr>
      <w:snapToGrid w:val="0"/>
      <w:spacing w:line="300" w:lineRule="auto"/>
      <w:ind w:firstLine="538" w:firstLineChars="192"/>
    </w:pPr>
    <w:rPr>
      <w:sz w:val="28"/>
    </w:rPr>
  </w:style>
  <w:style w:type="paragraph" w:customStyle="1" w:styleId="300">
    <w:name w:val="xl44"/>
    <w:basedOn w:val="1"/>
    <w:uiPriority w:val="99"/>
    <w:pPr>
      <w:widowControl/>
      <w:pBdr>
        <w:bottom w:val="single" w:color="auto" w:sz="4" w:space="0"/>
        <w:right w:val="single" w:color="auto" w:sz="4" w:space="0"/>
      </w:pBdr>
      <w:spacing w:before="100" w:beforeAutospacing="1" w:after="100" w:afterAutospacing="1"/>
      <w:jc w:val="center"/>
    </w:pPr>
    <w:rPr>
      <w:kern w:val="0"/>
      <w:sz w:val="24"/>
      <w:szCs w:val="24"/>
    </w:rPr>
  </w:style>
  <w:style w:type="paragraph" w:customStyle="1" w:styleId="301">
    <w:name w:val="xl84"/>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4"/>
      <w:szCs w:val="24"/>
    </w:rPr>
  </w:style>
  <w:style w:type="paragraph" w:customStyle="1" w:styleId="302">
    <w:name w:val="xl50"/>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03">
    <w:name w:val="Document 1"/>
    <w:qFormat/>
    <w:uiPriority w:val="99"/>
    <w:pPr>
      <w:keepNext/>
      <w:keepLines/>
      <w:widowControl w:val="0"/>
      <w:tabs>
        <w:tab w:val="left" w:pos="-720"/>
      </w:tabs>
      <w:suppressAutoHyphens/>
    </w:pPr>
    <w:rPr>
      <w:rFonts w:ascii="Courier New" w:hAnsi="Courier New" w:eastAsia="宋体" w:cs="Vrinda"/>
      <w:lang w:val="en-US" w:eastAsia="en-US" w:bidi="ar-SA"/>
    </w:rPr>
  </w:style>
  <w:style w:type="paragraph" w:customStyle="1" w:styleId="304">
    <w:name w:val="font11"/>
    <w:basedOn w:val="1"/>
    <w:qFormat/>
    <w:uiPriority w:val="99"/>
    <w:pPr>
      <w:widowControl/>
      <w:spacing w:before="100" w:beforeAutospacing="1" w:after="100" w:afterAutospacing="1"/>
      <w:jc w:val="left"/>
    </w:pPr>
    <w:rPr>
      <w:rFonts w:ascii="宋体" w:hAnsi="宋体"/>
      <w:color w:val="0000FF"/>
      <w:kern w:val="0"/>
      <w:sz w:val="16"/>
      <w:szCs w:val="16"/>
    </w:rPr>
  </w:style>
  <w:style w:type="paragraph" w:customStyle="1" w:styleId="305">
    <w:name w:val="xl43"/>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06">
    <w:name w:val="xl10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color w:val="FF0000"/>
      <w:kern w:val="0"/>
      <w:sz w:val="24"/>
      <w:szCs w:val="24"/>
    </w:rPr>
  </w:style>
  <w:style w:type="paragraph" w:customStyle="1" w:styleId="307">
    <w:name w:val="正文文本缩进 21"/>
    <w:basedOn w:val="1"/>
    <w:qFormat/>
    <w:uiPriority w:val="99"/>
    <w:pPr>
      <w:adjustRightInd w:val="0"/>
      <w:spacing w:line="480" w:lineRule="exact"/>
      <w:ind w:firstLine="560"/>
      <w:textAlignment w:val="baseline"/>
    </w:pPr>
    <w:rPr>
      <w:color w:val="000000"/>
      <w:kern w:val="0"/>
      <w:sz w:val="24"/>
    </w:rPr>
  </w:style>
  <w:style w:type="paragraph" w:customStyle="1" w:styleId="308">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MS Sans Serif" w:hAnsi="MS Sans Serif"/>
      <w:color w:val="000000"/>
      <w:kern w:val="0"/>
      <w:sz w:val="16"/>
      <w:szCs w:val="16"/>
    </w:rPr>
  </w:style>
  <w:style w:type="paragraph" w:customStyle="1" w:styleId="309">
    <w:name w:val="xl10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color w:val="FF0000"/>
      <w:kern w:val="0"/>
      <w:sz w:val="24"/>
      <w:szCs w:val="24"/>
    </w:rPr>
  </w:style>
  <w:style w:type="paragraph" w:customStyle="1" w:styleId="310">
    <w:name w:val="BG1"/>
    <w:basedOn w:val="1"/>
    <w:qFormat/>
    <w:uiPriority w:val="99"/>
    <w:pPr>
      <w:adjustRightInd w:val="0"/>
      <w:jc w:val="center"/>
    </w:pPr>
    <w:rPr>
      <w:spacing w:val="20"/>
      <w:szCs w:val="24"/>
    </w:rPr>
  </w:style>
  <w:style w:type="paragraph" w:customStyle="1" w:styleId="311">
    <w:name w:val="xl11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12">
    <w:name w:val="Char1 Char Char Char1"/>
    <w:basedOn w:val="1"/>
    <w:qFormat/>
    <w:uiPriority w:val="99"/>
    <w:rPr>
      <w:rFonts w:ascii="Tahoma" w:hAnsi="Tahoma"/>
      <w:sz w:val="30"/>
      <w:szCs w:val="30"/>
    </w:rPr>
  </w:style>
  <w:style w:type="paragraph" w:customStyle="1" w:styleId="313">
    <w:name w:val="xl4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4">
    <w:name w:val="Style60"/>
    <w:basedOn w:val="1"/>
    <w:qFormat/>
    <w:uiPriority w:val="99"/>
    <w:pPr>
      <w:adjustRightInd w:val="0"/>
      <w:spacing w:line="446" w:lineRule="exact"/>
      <w:ind w:firstLine="396"/>
      <w:jc w:val="left"/>
    </w:pPr>
    <w:rPr>
      <w:rFonts w:ascii="宋体"/>
      <w:kern w:val="0"/>
      <w:sz w:val="24"/>
      <w:szCs w:val="24"/>
    </w:rPr>
  </w:style>
  <w:style w:type="paragraph" w:customStyle="1" w:styleId="315">
    <w:name w:val="Char"/>
    <w:basedOn w:val="1"/>
    <w:qFormat/>
    <w:uiPriority w:val="99"/>
    <w:rPr>
      <w:szCs w:val="24"/>
    </w:rPr>
  </w:style>
  <w:style w:type="paragraph" w:customStyle="1" w:styleId="316">
    <w:name w:val="xl127"/>
    <w:basedOn w:val="1"/>
    <w:qFormat/>
    <w:uiPriority w:val="99"/>
    <w:pPr>
      <w:widowControl/>
      <w:pBdr>
        <w:top w:val="single" w:color="auto" w:sz="4" w:space="0"/>
        <w:bottom w:val="single" w:color="auto" w:sz="4" w:space="0"/>
      </w:pBdr>
      <w:spacing w:before="100" w:beforeAutospacing="1" w:after="100" w:afterAutospacing="1"/>
      <w:jc w:val="left"/>
    </w:pPr>
    <w:rPr>
      <w:color w:val="008000"/>
      <w:kern w:val="0"/>
      <w:sz w:val="24"/>
      <w:szCs w:val="24"/>
    </w:rPr>
  </w:style>
  <w:style w:type="paragraph" w:customStyle="1" w:styleId="317">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8">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6"/>
      <w:szCs w:val="16"/>
    </w:rPr>
  </w:style>
  <w:style w:type="paragraph" w:customStyle="1" w:styleId="319">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20">
    <w:name w:val="默认段落字体 Para Char"/>
    <w:basedOn w:val="1"/>
    <w:next w:val="1"/>
    <w:qFormat/>
    <w:uiPriority w:val="99"/>
    <w:pPr>
      <w:spacing w:line="360" w:lineRule="auto"/>
      <w:ind w:firstLine="200" w:firstLineChars="200"/>
    </w:pPr>
    <w:rPr>
      <w:rFonts w:ascii="宋体" w:hAnsi="宋体" w:cs="宋体"/>
      <w:sz w:val="24"/>
      <w:szCs w:val="24"/>
    </w:rPr>
  </w:style>
  <w:style w:type="paragraph" w:customStyle="1" w:styleId="321">
    <w:name w:val="正式文"/>
    <w:basedOn w:val="1"/>
    <w:qFormat/>
    <w:uiPriority w:val="99"/>
    <w:pPr>
      <w:spacing w:line="360" w:lineRule="auto"/>
      <w:ind w:firstLine="200" w:firstLineChars="200"/>
    </w:pPr>
    <w:rPr>
      <w:rFonts w:ascii="Calibri" w:hAnsi="Calibri"/>
      <w:sz w:val="24"/>
      <w:szCs w:val="22"/>
    </w:rPr>
  </w:style>
  <w:style w:type="paragraph" w:customStyle="1" w:styleId="322">
    <w:name w:val="xl58"/>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323">
    <w:name w:val="font8"/>
    <w:basedOn w:val="1"/>
    <w:qFormat/>
    <w:uiPriority w:val="99"/>
    <w:pPr>
      <w:widowControl/>
      <w:spacing w:before="100" w:beforeAutospacing="1" w:after="100" w:afterAutospacing="1"/>
      <w:jc w:val="left"/>
    </w:pPr>
    <w:rPr>
      <w:b/>
      <w:bCs/>
      <w:kern w:val="0"/>
      <w:sz w:val="20"/>
      <w:u w:val="single"/>
    </w:rPr>
  </w:style>
  <w:style w:type="paragraph" w:customStyle="1" w:styleId="324">
    <w:name w:val="xl92"/>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25">
    <w:name w:val="xl52"/>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326">
    <w:name w:val="xl89"/>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27">
    <w:name w:val="Texte"/>
    <w:basedOn w:val="1"/>
    <w:qFormat/>
    <w:uiPriority w:val="99"/>
    <w:pPr>
      <w:widowControl/>
      <w:spacing w:before="120" w:after="120"/>
      <w:ind w:left="851" w:firstLine="200" w:firstLineChars="200"/>
    </w:pPr>
    <w:rPr>
      <w:rFonts w:ascii="Arial" w:hAnsi="Arial"/>
      <w:kern w:val="0"/>
      <w:sz w:val="22"/>
      <w:lang w:val="en-GB"/>
    </w:rPr>
  </w:style>
  <w:style w:type="paragraph" w:customStyle="1" w:styleId="328">
    <w:name w:val="xl116"/>
    <w:basedOn w:val="1"/>
    <w:uiPriority w:val="99"/>
    <w:pPr>
      <w:widowControl/>
      <w:pBdr>
        <w:top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29">
    <w:name w:val="xl91"/>
    <w:basedOn w:val="1"/>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30">
    <w:name w:val="标-7"/>
    <w:basedOn w:val="1"/>
    <w:qFormat/>
    <w:uiPriority w:val="99"/>
    <w:pPr>
      <w:tabs>
        <w:tab w:val="left" w:pos="420"/>
      </w:tabs>
      <w:spacing w:before="120"/>
      <w:ind w:left="1701" w:hanging="425"/>
    </w:pPr>
    <w:rPr>
      <w:sz w:val="24"/>
    </w:rPr>
  </w:style>
  <w:style w:type="paragraph" w:customStyle="1" w:styleId="331">
    <w:name w:val="font14"/>
    <w:basedOn w:val="1"/>
    <w:uiPriority w:val="99"/>
    <w:pPr>
      <w:widowControl/>
      <w:spacing w:before="100" w:beforeAutospacing="1" w:after="100" w:afterAutospacing="1"/>
      <w:jc w:val="left"/>
    </w:pPr>
    <w:rPr>
      <w:rFonts w:ascii="Helv" w:hAnsi="Helv"/>
      <w:kern w:val="0"/>
      <w:sz w:val="20"/>
    </w:rPr>
  </w:style>
  <w:style w:type="paragraph" w:customStyle="1" w:styleId="332">
    <w:name w:val="font5"/>
    <w:basedOn w:val="1"/>
    <w:uiPriority w:val="99"/>
    <w:pPr>
      <w:widowControl/>
      <w:spacing w:before="100" w:beforeAutospacing="1" w:after="100" w:afterAutospacing="1"/>
      <w:jc w:val="left"/>
    </w:pPr>
    <w:rPr>
      <w:rFonts w:ascii="宋体" w:hAnsi="宋体"/>
      <w:kern w:val="0"/>
      <w:sz w:val="18"/>
      <w:szCs w:val="18"/>
    </w:rPr>
  </w:style>
  <w:style w:type="paragraph" w:customStyle="1" w:styleId="333">
    <w:name w:val="xl65"/>
    <w:basedOn w:val="1"/>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34">
    <w:name w:val="xl115"/>
    <w:basedOn w:val="1"/>
    <w:qFormat/>
    <w:uiPriority w:val="99"/>
    <w:pPr>
      <w:widowControl/>
      <w:pBdr>
        <w:top w:val="single" w:color="auto" w:sz="4" w:space="0"/>
        <w:left w:val="single" w:color="auto" w:sz="4" w:space="0"/>
        <w:bottom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35">
    <w:name w:val="font12"/>
    <w:basedOn w:val="1"/>
    <w:qFormat/>
    <w:uiPriority w:val="99"/>
    <w:pPr>
      <w:widowControl/>
      <w:spacing w:before="100" w:beforeAutospacing="1" w:after="100" w:afterAutospacing="1"/>
      <w:jc w:val="left"/>
    </w:pPr>
    <w:rPr>
      <w:kern w:val="0"/>
      <w:sz w:val="16"/>
      <w:szCs w:val="16"/>
    </w:rPr>
  </w:style>
  <w:style w:type="paragraph" w:customStyle="1" w:styleId="336">
    <w:name w:val="xl53"/>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337">
    <w:name w:val="Style59"/>
    <w:basedOn w:val="1"/>
    <w:qFormat/>
    <w:uiPriority w:val="99"/>
    <w:pPr>
      <w:adjustRightInd w:val="0"/>
      <w:spacing w:line="514" w:lineRule="exact"/>
      <w:ind w:firstLine="547"/>
    </w:pPr>
    <w:rPr>
      <w:rFonts w:ascii="宋体"/>
      <w:kern w:val="0"/>
      <w:sz w:val="24"/>
      <w:szCs w:val="24"/>
    </w:rPr>
  </w:style>
  <w:style w:type="paragraph" w:customStyle="1" w:styleId="338">
    <w:name w:val="xl74"/>
    <w:basedOn w:val="1"/>
    <w:qFormat/>
    <w:uiPriority w:val="99"/>
    <w:pPr>
      <w:widowControl/>
      <w:pBdr>
        <w:left w:val="single" w:color="auto" w:sz="12" w:space="0"/>
        <w:bottom w:val="single" w:color="auto" w:sz="4" w:space="0"/>
        <w:right w:val="single" w:color="auto" w:sz="4" w:space="0"/>
      </w:pBdr>
      <w:spacing w:before="100" w:beforeAutospacing="1" w:after="100" w:afterAutospacing="1"/>
      <w:jc w:val="left"/>
    </w:pPr>
    <w:rPr>
      <w:color w:val="008000"/>
      <w:kern w:val="0"/>
      <w:sz w:val="24"/>
      <w:szCs w:val="24"/>
    </w:rPr>
  </w:style>
  <w:style w:type="paragraph" w:customStyle="1" w:styleId="339">
    <w:name w:val="xl9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2"/>
      <w:szCs w:val="22"/>
    </w:rPr>
  </w:style>
  <w:style w:type="paragraph" w:customStyle="1" w:styleId="340">
    <w:name w:val="表文"/>
    <w:basedOn w:val="1"/>
    <w:qFormat/>
    <w:uiPriority w:val="99"/>
    <w:pPr>
      <w:spacing w:beforeLines="20" w:afterLines="20" w:line="280" w:lineRule="exact"/>
      <w:jc w:val="center"/>
    </w:pPr>
    <w:rPr>
      <w:rFonts w:ascii="黑体" w:hAnsi="宋体"/>
    </w:rPr>
  </w:style>
  <w:style w:type="paragraph" w:customStyle="1" w:styleId="341">
    <w:name w:val="font23"/>
    <w:basedOn w:val="1"/>
    <w:uiPriority w:val="99"/>
    <w:pPr>
      <w:widowControl/>
      <w:spacing w:before="100" w:beforeAutospacing="1" w:after="100" w:afterAutospacing="1"/>
      <w:jc w:val="left"/>
    </w:pPr>
    <w:rPr>
      <w:color w:val="FF6600"/>
      <w:kern w:val="0"/>
      <w:szCs w:val="21"/>
    </w:rPr>
  </w:style>
  <w:style w:type="paragraph" w:customStyle="1" w:styleId="342">
    <w:name w:val="font18"/>
    <w:basedOn w:val="1"/>
    <w:qFormat/>
    <w:uiPriority w:val="99"/>
    <w:pPr>
      <w:widowControl/>
      <w:spacing w:before="100" w:beforeAutospacing="1" w:after="100" w:afterAutospacing="1"/>
      <w:jc w:val="left"/>
    </w:pPr>
    <w:rPr>
      <w:kern w:val="0"/>
      <w:sz w:val="22"/>
      <w:szCs w:val="22"/>
    </w:rPr>
  </w:style>
  <w:style w:type="paragraph" w:customStyle="1" w:styleId="343">
    <w:name w:val="xl48"/>
    <w:basedOn w:val="1"/>
    <w:qFormat/>
    <w:uiPriority w:val="99"/>
    <w:pPr>
      <w:widowControl/>
      <w:spacing w:before="100" w:beforeAutospacing="1" w:after="100" w:afterAutospacing="1"/>
      <w:jc w:val="left"/>
    </w:pPr>
    <w:rPr>
      <w:kern w:val="0"/>
      <w:sz w:val="24"/>
      <w:szCs w:val="24"/>
    </w:rPr>
  </w:style>
  <w:style w:type="paragraph" w:customStyle="1" w:styleId="344">
    <w:name w:val="xl122"/>
    <w:basedOn w:val="1"/>
    <w:qFormat/>
    <w:uiPriority w:val="99"/>
    <w:pPr>
      <w:widowControl/>
      <w:pBdr>
        <w:top w:val="single" w:color="auto" w:sz="4" w:space="0"/>
        <w:bottom w:val="single" w:color="auto" w:sz="4" w:space="0"/>
      </w:pBdr>
      <w:spacing w:before="100" w:beforeAutospacing="1" w:after="100" w:afterAutospacing="1"/>
    </w:pPr>
    <w:rPr>
      <w:kern w:val="0"/>
      <w:sz w:val="24"/>
      <w:szCs w:val="24"/>
    </w:rPr>
  </w:style>
  <w:style w:type="paragraph" w:customStyle="1" w:styleId="345">
    <w:name w:val="xl123"/>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kern w:val="0"/>
      <w:sz w:val="24"/>
      <w:szCs w:val="24"/>
    </w:rPr>
  </w:style>
  <w:style w:type="paragraph" w:customStyle="1" w:styleId="346">
    <w:name w:val="标题4"/>
    <w:basedOn w:val="1"/>
    <w:link w:val="422"/>
    <w:qFormat/>
    <w:uiPriority w:val="99"/>
    <w:pPr>
      <w:tabs>
        <w:tab w:val="left" w:pos="360"/>
      </w:tabs>
      <w:adjustRightInd w:val="0"/>
      <w:snapToGrid w:val="0"/>
      <w:spacing w:beforeLines="50" w:line="360" w:lineRule="auto"/>
      <w:jc w:val="left"/>
    </w:pPr>
    <w:rPr>
      <w:rFonts w:ascii="Arial Unicode MS" w:hAnsi="Arial Unicode MS" w:eastAsia="黑体"/>
      <w:snapToGrid w:val="0"/>
      <w:spacing w:val="20"/>
      <w:kern w:val="0"/>
      <w:sz w:val="24"/>
    </w:rPr>
  </w:style>
  <w:style w:type="paragraph" w:customStyle="1" w:styleId="347">
    <w:name w:val="简单回函地址"/>
    <w:basedOn w:val="1"/>
    <w:uiPriority w:val="99"/>
    <w:rPr>
      <w:szCs w:val="24"/>
    </w:rPr>
  </w:style>
  <w:style w:type="paragraph" w:customStyle="1" w:styleId="348">
    <w:name w:val="font10"/>
    <w:basedOn w:val="1"/>
    <w:qFormat/>
    <w:uiPriority w:val="99"/>
    <w:pPr>
      <w:widowControl/>
      <w:spacing w:before="100" w:beforeAutospacing="1" w:after="100" w:afterAutospacing="1"/>
      <w:jc w:val="left"/>
    </w:pPr>
    <w:rPr>
      <w:kern w:val="0"/>
      <w:sz w:val="14"/>
      <w:szCs w:val="14"/>
    </w:rPr>
  </w:style>
  <w:style w:type="paragraph" w:customStyle="1" w:styleId="349">
    <w:name w:val="puce"/>
    <w:basedOn w:val="1"/>
    <w:qFormat/>
    <w:uiPriority w:val="99"/>
    <w:pPr>
      <w:widowControl/>
      <w:tabs>
        <w:tab w:val="left" w:pos="1040"/>
      </w:tabs>
      <w:adjustRightInd w:val="0"/>
      <w:snapToGrid w:val="0"/>
      <w:spacing w:beforeLines="50" w:after="120" w:line="360" w:lineRule="auto"/>
      <w:ind w:left="1021" w:hanging="341"/>
    </w:pPr>
    <w:rPr>
      <w:rFonts w:ascii="Arial" w:hAnsi="Arial" w:cs="Arial"/>
      <w:kern w:val="0"/>
      <w:sz w:val="24"/>
    </w:rPr>
  </w:style>
  <w:style w:type="paragraph" w:customStyle="1" w:styleId="350">
    <w:name w:val="表格内容"/>
    <w:basedOn w:val="1"/>
    <w:qFormat/>
    <w:uiPriority w:val="99"/>
    <w:pPr>
      <w:overflowPunct w:val="0"/>
      <w:adjustRightInd w:val="0"/>
      <w:snapToGrid w:val="0"/>
      <w:spacing w:line="300" w:lineRule="auto"/>
      <w:textAlignment w:val="baseline"/>
    </w:pPr>
    <w:rPr>
      <w:rFonts w:ascii="Arial" w:hAnsi="Arial" w:eastAsia="仿宋_GB2312"/>
      <w:kern w:val="0"/>
    </w:rPr>
  </w:style>
  <w:style w:type="paragraph" w:customStyle="1" w:styleId="351">
    <w:name w:val="xl67"/>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4"/>
      <w:szCs w:val="24"/>
    </w:rPr>
  </w:style>
  <w:style w:type="paragraph" w:customStyle="1" w:styleId="352">
    <w:name w:val="xl102"/>
    <w:basedOn w:val="1"/>
    <w:qFormat/>
    <w:uiPriority w:val="99"/>
    <w:pPr>
      <w:widowControl/>
      <w:pBdr>
        <w:top w:val="single" w:color="auto" w:sz="4" w:space="0"/>
        <w:bottom w:val="single" w:color="auto" w:sz="4" w:space="0"/>
      </w:pBdr>
      <w:spacing w:before="100" w:beforeAutospacing="1" w:after="100" w:afterAutospacing="1"/>
      <w:jc w:val="left"/>
    </w:pPr>
    <w:rPr>
      <w:kern w:val="0"/>
      <w:sz w:val="24"/>
      <w:szCs w:val="24"/>
    </w:rPr>
  </w:style>
  <w:style w:type="paragraph" w:customStyle="1" w:styleId="353">
    <w:name w:val="xl88"/>
    <w:basedOn w:val="1"/>
    <w:qFormat/>
    <w:uiPriority w:val="99"/>
    <w:pPr>
      <w:widowControl/>
      <w:pBdr>
        <w:top w:val="single" w:color="auto" w:sz="4" w:space="0"/>
        <w:bottom w:val="single" w:color="auto" w:sz="4" w:space="0"/>
      </w:pBdr>
      <w:spacing w:before="100" w:beforeAutospacing="1" w:after="100" w:afterAutospacing="1"/>
      <w:jc w:val="center"/>
    </w:pPr>
    <w:rPr>
      <w:kern w:val="0"/>
      <w:sz w:val="24"/>
      <w:szCs w:val="24"/>
    </w:rPr>
  </w:style>
  <w:style w:type="paragraph" w:customStyle="1" w:styleId="354">
    <w:name w:val="新正文样式"/>
    <w:basedOn w:val="1"/>
    <w:qFormat/>
    <w:uiPriority w:val="99"/>
    <w:pPr>
      <w:tabs>
        <w:tab w:val="left" w:pos="567"/>
      </w:tabs>
      <w:spacing w:line="360" w:lineRule="auto"/>
      <w:ind w:firstLine="560" w:firstLineChars="200"/>
    </w:pPr>
    <w:rPr>
      <w:rFonts w:eastAsia="华文中宋"/>
      <w:spacing w:val="20"/>
      <w:sz w:val="24"/>
    </w:rPr>
  </w:style>
  <w:style w:type="paragraph" w:customStyle="1" w:styleId="355">
    <w:name w:val="正文文本 21"/>
    <w:basedOn w:val="1"/>
    <w:qFormat/>
    <w:uiPriority w:val="99"/>
    <w:pPr>
      <w:overflowPunct w:val="0"/>
      <w:autoSpaceDE w:val="0"/>
      <w:autoSpaceDN w:val="0"/>
      <w:adjustRightInd w:val="0"/>
      <w:spacing w:after="120" w:line="360" w:lineRule="auto"/>
      <w:textAlignment w:val="baseline"/>
    </w:pPr>
    <w:rPr>
      <w:sz w:val="24"/>
    </w:rPr>
  </w:style>
  <w:style w:type="paragraph" w:customStyle="1" w:styleId="356">
    <w:name w:val="xl5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357">
    <w:name w:val="xl66"/>
    <w:basedOn w:val="1"/>
    <w:qFormat/>
    <w:uiPriority w:val="0"/>
    <w:pPr>
      <w:widowControl/>
      <w:spacing w:before="100" w:after="100"/>
      <w:jc w:val="center"/>
      <w:textAlignment w:val="top"/>
    </w:pPr>
    <w:rPr>
      <w:kern w:val="0"/>
      <w:sz w:val="24"/>
      <w:szCs w:val="24"/>
    </w:rPr>
  </w:style>
  <w:style w:type="paragraph" w:customStyle="1" w:styleId="358">
    <w:name w:val="xl41"/>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359">
    <w:name w:val="xl98"/>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color w:val="008000"/>
      <w:kern w:val="0"/>
      <w:sz w:val="24"/>
      <w:szCs w:val="24"/>
    </w:rPr>
  </w:style>
  <w:style w:type="paragraph" w:customStyle="1" w:styleId="360">
    <w:name w:val="表头"/>
    <w:basedOn w:val="1"/>
    <w:next w:val="1"/>
    <w:qFormat/>
    <w:uiPriority w:val="99"/>
    <w:pPr>
      <w:keepNext/>
      <w:snapToGrid w:val="0"/>
      <w:spacing w:before="60" w:after="60" w:line="400" w:lineRule="exact"/>
      <w:jc w:val="center"/>
    </w:pPr>
    <w:rPr>
      <w:rFonts w:ascii="黑体" w:eastAsia="黑体"/>
      <w:spacing w:val="10"/>
      <w:kern w:val="21"/>
    </w:rPr>
  </w:style>
  <w:style w:type="paragraph" w:customStyle="1" w:styleId="361">
    <w:name w:val="Char Char Char Char1"/>
    <w:basedOn w:val="1"/>
    <w:qFormat/>
    <w:uiPriority w:val="99"/>
  </w:style>
  <w:style w:type="paragraph" w:customStyle="1" w:styleId="362">
    <w:name w:val="基准页眉样式"/>
    <w:basedOn w:val="14"/>
    <w:qFormat/>
    <w:uiPriority w:val="99"/>
    <w:pPr>
      <w:keepLines/>
      <w:widowControl/>
      <w:tabs>
        <w:tab w:val="center" w:pos="-18551"/>
        <w:tab w:val="right" w:pos="4320"/>
      </w:tabs>
      <w:spacing w:after="0" w:line="240" w:lineRule="atLeast"/>
      <w:jc w:val="center"/>
    </w:pPr>
    <w:rPr>
      <w:rFonts w:ascii="Garamond" w:hAnsi="Garamond"/>
      <w:smallCaps/>
      <w:spacing w:val="15"/>
      <w:kern w:val="0"/>
      <w:szCs w:val="21"/>
    </w:rPr>
  </w:style>
  <w:style w:type="paragraph" w:customStyle="1" w:styleId="363">
    <w:name w:val="表体"/>
    <w:basedOn w:val="1"/>
    <w:qFormat/>
    <w:uiPriority w:val="99"/>
    <w:pPr>
      <w:spacing w:line="280" w:lineRule="exact"/>
    </w:pPr>
    <w:rPr>
      <w:rFonts w:ascii="宋体" w:hAnsi="宋体"/>
      <w:szCs w:val="24"/>
    </w:rPr>
  </w:style>
  <w:style w:type="paragraph" w:customStyle="1" w:styleId="364">
    <w:name w:val="流程图"/>
    <w:basedOn w:val="1"/>
    <w:qFormat/>
    <w:uiPriority w:val="99"/>
    <w:pPr>
      <w:tabs>
        <w:tab w:val="left" w:pos="0"/>
      </w:tabs>
      <w:autoSpaceDE w:val="0"/>
      <w:autoSpaceDN w:val="0"/>
      <w:adjustRightInd w:val="0"/>
      <w:spacing w:line="240" w:lineRule="atLeast"/>
      <w:jc w:val="center"/>
      <w:textAlignment w:val="bottom"/>
    </w:pPr>
    <w:rPr>
      <w:rFonts w:ascii="宋体"/>
    </w:rPr>
  </w:style>
  <w:style w:type="paragraph" w:customStyle="1" w:styleId="365">
    <w:name w:val="cell:ctr"/>
    <w:basedOn w:val="1"/>
    <w:qFormat/>
    <w:uiPriority w:val="99"/>
    <w:pPr>
      <w:keepLines/>
      <w:widowControl/>
      <w:overflowPunct w:val="0"/>
      <w:autoSpaceDE w:val="0"/>
      <w:autoSpaceDN w:val="0"/>
      <w:adjustRightInd w:val="0"/>
      <w:spacing w:before="20" w:after="20"/>
      <w:jc w:val="center"/>
      <w:textAlignment w:val="baseline"/>
    </w:pPr>
    <w:rPr>
      <w:kern w:val="0"/>
      <w:sz w:val="24"/>
      <w:lang w:val="en-GB"/>
    </w:rPr>
  </w:style>
  <w:style w:type="paragraph" w:customStyle="1" w:styleId="366">
    <w:name w:val="xl104"/>
    <w:basedOn w:val="1"/>
    <w:qFormat/>
    <w:uiPriority w:val="99"/>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367">
    <w:name w:val="xl60"/>
    <w:basedOn w:val="1"/>
    <w:qFormat/>
    <w:uiPriority w:val="99"/>
    <w:pPr>
      <w:widowControl/>
      <w:pBdr>
        <w:left w:val="single" w:color="auto" w:sz="8" w:space="0"/>
        <w:right w:val="single" w:color="auto" w:sz="4" w:space="0"/>
      </w:pBdr>
      <w:spacing w:before="100" w:after="100"/>
      <w:jc w:val="center"/>
      <w:textAlignment w:val="top"/>
    </w:pPr>
    <w:rPr>
      <w:kern w:val="0"/>
      <w:sz w:val="24"/>
    </w:rPr>
  </w:style>
  <w:style w:type="paragraph" w:customStyle="1" w:styleId="368">
    <w:name w:val="Style38"/>
    <w:basedOn w:val="1"/>
    <w:qFormat/>
    <w:uiPriority w:val="99"/>
    <w:pPr>
      <w:adjustRightInd w:val="0"/>
      <w:spacing w:line="436" w:lineRule="exact"/>
      <w:ind w:hanging="490"/>
      <w:jc w:val="left"/>
    </w:pPr>
    <w:rPr>
      <w:kern w:val="0"/>
      <w:sz w:val="24"/>
      <w:szCs w:val="24"/>
    </w:rPr>
  </w:style>
  <w:style w:type="paragraph" w:customStyle="1" w:styleId="369">
    <w:name w:val="xl46"/>
    <w:basedOn w:val="1"/>
    <w:qFormat/>
    <w:uiPriority w:val="99"/>
    <w:pPr>
      <w:widowControl/>
      <w:pBdr>
        <w:bottom w:val="single" w:color="auto" w:sz="4" w:space="0"/>
        <w:right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70">
    <w:name w:val="xl64"/>
    <w:basedOn w:val="1"/>
    <w:qFormat/>
    <w:uiPriority w:val="99"/>
    <w:pPr>
      <w:widowControl/>
      <w:pBdr>
        <w:left w:val="single" w:color="auto" w:sz="4" w:space="0"/>
        <w:bottom w:val="single" w:color="auto" w:sz="4" w:space="0"/>
        <w:right w:val="single" w:color="auto" w:sz="4" w:space="0"/>
      </w:pBdr>
      <w:spacing w:before="100" w:beforeAutospacing="1" w:after="100" w:afterAutospacing="1"/>
      <w:jc w:val="right"/>
    </w:pPr>
    <w:rPr>
      <w:color w:val="FF0000"/>
      <w:kern w:val="0"/>
      <w:sz w:val="24"/>
      <w:szCs w:val="24"/>
    </w:rPr>
  </w:style>
  <w:style w:type="paragraph" w:customStyle="1" w:styleId="371">
    <w:name w:val="Paratitre"/>
    <w:basedOn w:val="1"/>
    <w:qFormat/>
    <w:uiPriority w:val="99"/>
    <w:pPr>
      <w:widowControl/>
      <w:overflowPunct w:val="0"/>
      <w:autoSpaceDE w:val="0"/>
      <w:autoSpaceDN w:val="0"/>
      <w:adjustRightInd w:val="0"/>
      <w:spacing w:before="240"/>
      <w:ind w:left="700"/>
      <w:textAlignment w:val="baseline"/>
    </w:pPr>
    <w:rPr>
      <w:rFonts w:ascii="Arial" w:hAnsi="Arial"/>
      <w:kern w:val="0"/>
      <w:sz w:val="20"/>
      <w:lang w:val="fr-FR"/>
    </w:rPr>
  </w:style>
  <w:style w:type="paragraph" w:customStyle="1" w:styleId="372">
    <w:name w:val="xl129"/>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2"/>
      <w:szCs w:val="22"/>
    </w:rPr>
  </w:style>
  <w:style w:type="paragraph" w:customStyle="1" w:styleId="373">
    <w:name w:val="xl51"/>
    <w:basedOn w:val="1"/>
    <w:qFormat/>
    <w:uiPriority w:val="99"/>
    <w:pPr>
      <w:widowControl/>
      <w:pBdr>
        <w:left w:val="single" w:color="auto" w:sz="12"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74">
    <w:name w:val="xl39"/>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left"/>
      <w:textAlignment w:val="center"/>
    </w:pPr>
    <w:rPr>
      <w:rFonts w:ascii="宋体" w:hAnsi="宋体"/>
      <w:kern w:val="0"/>
      <w:sz w:val="16"/>
      <w:szCs w:val="16"/>
    </w:rPr>
  </w:style>
  <w:style w:type="paragraph" w:customStyle="1" w:styleId="375">
    <w:name w:val="font0"/>
    <w:basedOn w:val="1"/>
    <w:uiPriority w:val="99"/>
    <w:pPr>
      <w:widowControl/>
      <w:spacing w:before="100" w:after="100"/>
      <w:jc w:val="left"/>
    </w:pPr>
    <w:rPr>
      <w:rFonts w:ascii="宋体" w:hAnsi="宋体"/>
      <w:kern w:val="0"/>
      <w:sz w:val="24"/>
      <w:szCs w:val="24"/>
    </w:rPr>
  </w:style>
  <w:style w:type="paragraph" w:customStyle="1" w:styleId="376">
    <w:name w:val="列出段落2"/>
    <w:basedOn w:val="1"/>
    <w:qFormat/>
    <w:uiPriority w:val="99"/>
    <w:pPr>
      <w:ind w:firstLine="420" w:firstLineChars="200"/>
    </w:pPr>
    <w:rPr>
      <w:szCs w:val="24"/>
    </w:rPr>
  </w:style>
  <w:style w:type="paragraph" w:customStyle="1" w:styleId="377">
    <w:name w:val="xl111"/>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color w:val="FF0000"/>
      <w:kern w:val="0"/>
      <w:sz w:val="24"/>
      <w:szCs w:val="24"/>
    </w:rPr>
  </w:style>
  <w:style w:type="paragraph" w:customStyle="1" w:styleId="378">
    <w:name w:val="reader-word-layer reader-word-s3-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79">
    <w:name w:val="Char Char Char Char Char Char Char Char Char Char1"/>
    <w:basedOn w:val="1"/>
    <w:qFormat/>
    <w:uiPriority w:val="99"/>
    <w:rPr>
      <w:szCs w:val="24"/>
    </w:rPr>
  </w:style>
  <w:style w:type="paragraph" w:customStyle="1" w:styleId="380">
    <w:name w:val="font15"/>
    <w:basedOn w:val="1"/>
    <w:qFormat/>
    <w:uiPriority w:val="99"/>
    <w:pPr>
      <w:widowControl/>
      <w:spacing w:before="100" w:beforeAutospacing="1" w:after="100" w:afterAutospacing="1"/>
      <w:jc w:val="left"/>
    </w:pPr>
    <w:rPr>
      <w:kern w:val="0"/>
      <w:sz w:val="24"/>
      <w:szCs w:val="24"/>
    </w:rPr>
  </w:style>
  <w:style w:type="paragraph" w:customStyle="1" w:styleId="381">
    <w:name w:val="font21"/>
    <w:basedOn w:val="1"/>
    <w:qFormat/>
    <w:uiPriority w:val="99"/>
    <w:pPr>
      <w:widowControl/>
      <w:spacing w:before="100" w:beforeAutospacing="1" w:after="100" w:afterAutospacing="1"/>
      <w:jc w:val="left"/>
    </w:pPr>
    <w:rPr>
      <w:color w:val="FF0000"/>
      <w:kern w:val="0"/>
      <w:sz w:val="24"/>
      <w:szCs w:val="24"/>
    </w:rPr>
  </w:style>
  <w:style w:type="paragraph" w:customStyle="1" w:styleId="382">
    <w:name w:val="正文段落"/>
    <w:basedOn w:val="1"/>
    <w:qFormat/>
    <w:uiPriority w:val="99"/>
    <w:pPr>
      <w:spacing w:line="500" w:lineRule="exact"/>
      <w:ind w:firstLine="480" w:firstLineChars="200"/>
    </w:pPr>
    <w:rPr>
      <w:rFonts w:ascii="宋体" w:hAnsi="宋体"/>
      <w:kern w:val="0"/>
      <w:sz w:val="24"/>
    </w:rPr>
  </w:style>
  <w:style w:type="paragraph" w:customStyle="1" w:styleId="383">
    <w:name w:val="xl34"/>
    <w:basedOn w:val="1"/>
    <w:qFormat/>
    <w:uiPriority w:val="99"/>
    <w:pPr>
      <w:widowControl/>
      <w:spacing w:before="100" w:beforeAutospacing="1" w:after="100" w:afterAutospacing="1"/>
      <w:jc w:val="left"/>
      <w:textAlignment w:val="center"/>
    </w:pPr>
    <w:rPr>
      <w:rFonts w:ascii="宋体" w:hAnsi="宋体"/>
      <w:kern w:val="0"/>
      <w:sz w:val="16"/>
      <w:szCs w:val="16"/>
    </w:rPr>
  </w:style>
  <w:style w:type="paragraph" w:customStyle="1" w:styleId="384">
    <w:name w:val="xl99"/>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color w:val="008000"/>
      <w:kern w:val="0"/>
      <w:sz w:val="24"/>
      <w:szCs w:val="24"/>
    </w:rPr>
  </w:style>
  <w:style w:type="paragraph" w:customStyle="1" w:styleId="385">
    <w:name w:val="Char3"/>
    <w:basedOn w:val="1"/>
    <w:qFormat/>
    <w:uiPriority w:val="99"/>
    <w:pPr>
      <w:spacing w:line="360" w:lineRule="auto"/>
    </w:pPr>
    <w:rPr>
      <w:rFonts w:ascii="仿宋_GB2312" w:hAnsi="Tahoma" w:eastAsia="仿宋_GB2312"/>
      <w:szCs w:val="21"/>
    </w:rPr>
  </w:style>
  <w:style w:type="paragraph" w:customStyle="1" w:styleId="386">
    <w:name w:val="xl4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FF0000"/>
      <w:kern w:val="0"/>
      <w:sz w:val="24"/>
      <w:szCs w:val="24"/>
    </w:rPr>
  </w:style>
  <w:style w:type="paragraph" w:customStyle="1" w:styleId="387">
    <w:name w:val="框图"/>
    <w:basedOn w:val="1"/>
    <w:qFormat/>
    <w:uiPriority w:val="99"/>
    <w:pPr>
      <w:autoSpaceDE w:val="0"/>
      <w:autoSpaceDN w:val="0"/>
      <w:adjustRightInd w:val="0"/>
      <w:jc w:val="center"/>
    </w:pPr>
    <w:rPr>
      <w:rFonts w:ascii="宋体" w:hAnsi="宋体"/>
      <w:spacing w:val="-8"/>
      <w:szCs w:val="24"/>
    </w:rPr>
  </w:style>
  <w:style w:type="paragraph" w:customStyle="1" w:styleId="388">
    <w:name w:val="xl47"/>
    <w:basedOn w:val="1"/>
    <w:qFormat/>
    <w:uiPriority w:val="99"/>
    <w:pPr>
      <w:widowControl/>
      <w:pBdr>
        <w:left w:val="single" w:color="auto" w:sz="4" w:space="0"/>
        <w:bottom w:val="single" w:color="auto" w:sz="4" w:space="0"/>
      </w:pBdr>
      <w:spacing w:before="100" w:beforeAutospacing="1" w:after="100" w:afterAutospacing="1"/>
      <w:jc w:val="center"/>
    </w:pPr>
    <w:rPr>
      <w:kern w:val="0"/>
      <w:sz w:val="24"/>
      <w:szCs w:val="24"/>
    </w:rPr>
  </w:style>
  <w:style w:type="paragraph" w:customStyle="1" w:styleId="389">
    <w:name w:val="xl79"/>
    <w:basedOn w:val="1"/>
    <w:qFormat/>
    <w:uiPriority w:val="99"/>
    <w:pPr>
      <w:widowControl/>
      <w:pBdr>
        <w:top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390">
    <w:name w:val="小标题2"/>
    <w:basedOn w:val="1"/>
    <w:qFormat/>
    <w:uiPriority w:val="99"/>
    <w:pPr>
      <w:tabs>
        <w:tab w:val="left" w:pos="5400"/>
      </w:tabs>
      <w:overflowPunct w:val="0"/>
      <w:adjustRightInd w:val="0"/>
      <w:spacing w:line="336" w:lineRule="auto"/>
      <w:ind w:firstLine="600" w:firstLineChars="200"/>
    </w:pPr>
    <w:rPr>
      <w:rFonts w:ascii="宋体" w:hAnsi="宋体"/>
      <w:sz w:val="30"/>
    </w:rPr>
  </w:style>
  <w:style w:type="paragraph" w:customStyle="1" w:styleId="391">
    <w:name w:val="正文 首行缩进:  2 字符"/>
    <w:basedOn w:val="1"/>
    <w:qFormat/>
    <w:uiPriority w:val="99"/>
    <w:pPr>
      <w:ind w:firstLine="420" w:firstLineChars="200"/>
    </w:pPr>
    <w:rPr>
      <w:rFonts w:ascii="宋体" w:hAnsi="宋体"/>
      <w:sz w:val="28"/>
    </w:rPr>
  </w:style>
  <w:style w:type="paragraph" w:customStyle="1" w:styleId="39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3">
    <w:name w:val="xl117"/>
    <w:basedOn w:val="1"/>
    <w:qFormat/>
    <w:uiPriority w:val="99"/>
    <w:pPr>
      <w:widowControl/>
      <w:pBdr>
        <w:top w:val="single" w:color="auto" w:sz="4" w:space="0"/>
        <w:bottom w:val="single" w:color="auto" w:sz="4" w:space="0"/>
        <w:right w:val="single" w:color="auto" w:sz="4" w:space="0"/>
      </w:pBdr>
      <w:spacing w:before="100" w:beforeAutospacing="1" w:after="100" w:afterAutospacing="1"/>
    </w:pPr>
    <w:rPr>
      <w:rFonts w:ascii="Arial Unicode MS" w:hAnsi="Arial Unicode MS" w:cs="Arial Unicode MS"/>
      <w:kern w:val="0"/>
      <w:sz w:val="24"/>
      <w:szCs w:val="24"/>
    </w:rPr>
  </w:style>
  <w:style w:type="paragraph" w:customStyle="1" w:styleId="394">
    <w:name w:val="xl2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kern w:val="0"/>
      <w:szCs w:val="21"/>
    </w:rPr>
  </w:style>
  <w:style w:type="paragraph" w:customStyle="1" w:styleId="395">
    <w:name w:val="xl106"/>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color w:val="FF0000"/>
      <w:kern w:val="0"/>
      <w:sz w:val="24"/>
      <w:szCs w:val="24"/>
    </w:rPr>
  </w:style>
  <w:style w:type="paragraph" w:customStyle="1" w:styleId="396">
    <w:name w:val="方框"/>
    <w:basedOn w:val="1"/>
    <w:qFormat/>
    <w:uiPriority w:val="99"/>
    <w:pPr>
      <w:widowControl/>
      <w:spacing w:line="240" w:lineRule="atLeast"/>
    </w:pPr>
    <w:rPr>
      <w:rFonts w:ascii="宋体"/>
      <w:kern w:val="0"/>
      <w:sz w:val="24"/>
    </w:rPr>
  </w:style>
  <w:style w:type="paragraph" w:customStyle="1" w:styleId="397">
    <w:name w:val="ENUM"/>
    <w:basedOn w:val="1"/>
    <w:qFormat/>
    <w:uiPriority w:val="99"/>
    <w:pPr>
      <w:widowControl/>
      <w:tabs>
        <w:tab w:val="left" w:pos="1418"/>
      </w:tabs>
      <w:spacing w:before="60" w:after="60"/>
      <w:ind w:left="1418" w:hanging="284"/>
    </w:pPr>
    <w:rPr>
      <w:rFonts w:ascii="Arial" w:hAnsi="Arial"/>
      <w:kern w:val="0"/>
      <w:sz w:val="22"/>
      <w:lang w:val="en-GB"/>
    </w:rPr>
  </w:style>
  <w:style w:type="paragraph" w:customStyle="1" w:styleId="398">
    <w:name w:val="xl81"/>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399">
    <w:name w:val="xl7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0">
    <w:name w:val="Style53"/>
    <w:basedOn w:val="1"/>
    <w:qFormat/>
    <w:uiPriority w:val="99"/>
    <w:pPr>
      <w:adjustRightInd w:val="0"/>
      <w:jc w:val="center"/>
    </w:pPr>
    <w:rPr>
      <w:rFonts w:ascii="宋体"/>
      <w:kern w:val="0"/>
      <w:sz w:val="24"/>
      <w:szCs w:val="24"/>
    </w:rPr>
  </w:style>
  <w:style w:type="paragraph" w:customStyle="1" w:styleId="401">
    <w:name w:val="xl120"/>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2">
    <w:name w:val="xl130"/>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pPr>
    <w:rPr>
      <w:kern w:val="0"/>
      <w:sz w:val="20"/>
    </w:rPr>
  </w:style>
  <w:style w:type="paragraph" w:customStyle="1" w:styleId="403">
    <w:name w:val="表格1"/>
    <w:basedOn w:val="1"/>
    <w:qFormat/>
    <w:uiPriority w:val="99"/>
    <w:pPr>
      <w:spacing w:line="320" w:lineRule="exact"/>
      <w:jc w:val="center"/>
    </w:pPr>
    <w:rPr>
      <w:bCs/>
      <w:color w:val="000000"/>
      <w:kern w:val="0"/>
      <w:szCs w:val="19"/>
    </w:rPr>
  </w:style>
  <w:style w:type="paragraph" w:customStyle="1" w:styleId="404">
    <w:name w:val="xl25"/>
    <w:basedOn w:val="1"/>
    <w:qFormat/>
    <w:uiPriority w:val="99"/>
    <w:pPr>
      <w:widowControl/>
      <w:spacing w:before="100" w:beforeAutospacing="1" w:after="100" w:afterAutospacing="1"/>
      <w:jc w:val="left"/>
      <w:textAlignment w:val="center"/>
    </w:pPr>
    <w:rPr>
      <w:color w:val="FF0000"/>
      <w:kern w:val="0"/>
      <w:sz w:val="16"/>
      <w:szCs w:val="16"/>
    </w:rPr>
  </w:style>
  <w:style w:type="paragraph" w:customStyle="1" w:styleId="405">
    <w:name w:val="目次、标准名称标题"/>
    <w:basedOn w:val="1"/>
    <w:next w:val="199"/>
    <w:qFormat/>
    <w:uiPriority w:val="99"/>
    <w:pPr>
      <w:widowControl/>
      <w:shd w:val="clear" w:color="FFFFFF" w:fill="FFFFFF"/>
      <w:spacing w:before="640" w:after="560" w:line="460" w:lineRule="exact"/>
      <w:jc w:val="center"/>
      <w:outlineLvl w:val="0"/>
    </w:pPr>
    <w:rPr>
      <w:rFonts w:ascii="黑体" w:eastAsia="黑体"/>
      <w:kern w:val="0"/>
      <w:sz w:val="32"/>
    </w:rPr>
  </w:style>
  <w:style w:type="paragraph" w:customStyle="1" w:styleId="406">
    <w:name w:val="xl28"/>
    <w:basedOn w:val="1"/>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6"/>
      <w:szCs w:val="16"/>
    </w:rPr>
  </w:style>
  <w:style w:type="paragraph" w:customStyle="1" w:styleId="407">
    <w:name w:val="xl80"/>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cs="Arial Unicode MS"/>
      <w:kern w:val="0"/>
      <w:sz w:val="24"/>
      <w:szCs w:val="24"/>
    </w:rPr>
  </w:style>
  <w:style w:type="paragraph" w:customStyle="1" w:styleId="408">
    <w:name w:val="样式 样式 环评正文 + (西文) 仿宋_GB2312 (中文) 宋体 10.5 磅 首行缩进:  2 字符 + 首行缩进:  ..."/>
    <w:basedOn w:val="1"/>
    <w:uiPriority w:val="99"/>
    <w:pPr>
      <w:spacing w:line="400" w:lineRule="exact"/>
      <w:ind w:firstLine="200" w:firstLineChars="200"/>
    </w:pPr>
    <w:rPr>
      <w:rFonts w:ascii="仿宋_GB2312" w:hAnsi="仿宋_GB2312"/>
      <w:sz w:val="24"/>
    </w:rPr>
  </w:style>
  <w:style w:type="paragraph" w:customStyle="1" w:styleId="409">
    <w:name w:val="Style134"/>
    <w:basedOn w:val="1"/>
    <w:qFormat/>
    <w:uiPriority w:val="99"/>
    <w:pPr>
      <w:adjustRightInd w:val="0"/>
      <w:spacing w:line="173" w:lineRule="exact"/>
    </w:pPr>
    <w:rPr>
      <w:rFonts w:ascii="宋体"/>
      <w:kern w:val="0"/>
      <w:sz w:val="24"/>
      <w:szCs w:val="24"/>
    </w:rPr>
  </w:style>
  <w:style w:type="paragraph" w:customStyle="1" w:styleId="410">
    <w:name w:val="xl82"/>
    <w:basedOn w:val="1"/>
    <w:qFormat/>
    <w:uiPriority w:val="99"/>
    <w:pPr>
      <w:widowControl/>
      <w:pBdr>
        <w:top w:val="single" w:color="auto" w:sz="4" w:space="0"/>
        <w:bottom w:val="single" w:color="auto" w:sz="4" w:space="0"/>
      </w:pBdr>
      <w:spacing w:before="100" w:beforeAutospacing="1" w:after="100" w:afterAutospacing="1"/>
      <w:jc w:val="left"/>
    </w:pPr>
    <w:rPr>
      <w:rFonts w:ascii="Arial Unicode MS" w:hAnsi="Arial Unicode MS" w:cs="Arial Unicode MS"/>
      <w:kern w:val="0"/>
      <w:sz w:val="20"/>
    </w:rPr>
  </w:style>
  <w:style w:type="paragraph" w:customStyle="1" w:styleId="411">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12">
    <w:name w:val="一级标题"/>
    <w:basedOn w:val="1"/>
    <w:qFormat/>
    <w:uiPriority w:val="99"/>
    <w:rPr>
      <w:sz w:val="24"/>
      <w:szCs w:val="24"/>
    </w:rPr>
  </w:style>
  <w:style w:type="paragraph" w:customStyle="1" w:styleId="413">
    <w:name w:val="表标题"/>
    <w:basedOn w:val="1"/>
    <w:qFormat/>
    <w:uiPriority w:val="99"/>
    <w:pPr>
      <w:tabs>
        <w:tab w:val="left" w:pos="900"/>
      </w:tabs>
      <w:autoSpaceDE w:val="0"/>
      <w:autoSpaceDN w:val="0"/>
      <w:adjustRightInd w:val="0"/>
      <w:spacing w:line="520" w:lineRule="exact"/>
      <w:ind w:left="2" w:leftChars="1" w:firstLine="840" w:firstLineChars="300"/>
    </w:pPr>
    <w:rPr>
      <w:rFonts w:ascii="宋体" w:hAnsi="宋体"/>
      <w:color w:val="000000"/>
      <w:sz w:val="28"/>
      <w:szCs w:val="28"/>
    </w:rPr>
  </w:style>
  <w:style w:type="paragraph" w:customStyle="1" w:styleId="414">
    <w:name w:val="reader-word-layer reader-word-s5-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15">
    <w:name w:val="封面标准名称"/>
    <w:qFormat/>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416">
    <w:name w:val="三级条标题"/>
    <w:basedOn w:val="1"/>
    <w:next w:val="199"/>
    <w:qFormat/>
    <w:uiPriority w:val="99"/>
    <w:pPr>
      <w:widowControl/>
      <w:tabs>
        <w:tab w:val="left" w:pos="1680"/>
      </w:tabs>
      <w:ind w:left="1680" w:hanging="420"/>
      <w:outlineLvl w:val="4"/>
    </w:pPr>
    <w:rPr>
      <w:rFonts w:ascii="黑体" w:eastAsia="黑体" w:cs="黑体"/>
      <w:szCs w:val="21"/>
    </w:rPr>
  </w:style>
  <w:style w:type="paragraph" w:customStyle="1" w:styleId="417">
    <w:name w:val="Char Char Char Char Char2 Char"/>
    <w:basedOn w:val="1"/>
    <w:semiHidden/>
    <w:qFormat/>
    <w:uiPriority w:val="99"/>
    <w:pPr>
      <w:adjustRightInd w:val="0"/>
      <w:snapToGrid w:val="0"/>
      <w:spacing w:line="360" w:lineRule="auto"/>
      <w:ind w:firstLine="200" w:firstLineChars="200"/>
    </w:pPr>
    <w:rPr>
      <w:rFonts w:ascii="宋体" w:hAnsi="宋体" w:cs="宋体"/>
      <w:sz w:val="24"/>
      <w:szCs w:val="26"/>
    </w:rPr>
  </w:style>
  <w:style w:type="paragraph" w:customStyle="1" w:styleId="418">
    <w:name w:val="列出段落3"/>
    <w:basedOn w:val="1"/>
    <w:qFormat/>
    <w:uiPriority w:val="99"/>
    <w:pPr>
      <w:ind w:firstLine="420" w:firstLineChars="200"/>
    </w:pPr>
  </w:style>
  <w:style w:type="character" w:customStyle="1" w:styleId="419">
    <w:name w:val="表格 Char Char"/>
    <w:link w:val="193"/>
    <w:qFormat/>
    <w:locked/>
    <w:uiPriority w:val="99"/>
    <w:rPr>
      <w:sz w:val="24"/>
    </w:rPr>
  </w:style>
  <w:style w:type="character" w:customStyle="1" w:styleId="420">
    <w:name w:val="t1"/>
    <w:basedOn w:val="47"/>
    <w:qFormat/>
    <w:uiPriority w:val="99"/>
    <w:rPr>
      <w:rFonts w:cs="Times New Roman"/>
      <w:sz w:val="24"/>
      <w:szCs w:val="24"/>
      <w:u w:val="none"/>
    </w:rPr>
  </w:style>
  <w:style w:type="paragraph" w:customStyle="1" w:styleId="421">
    <w:name w:val="样式8"/>
    <w:basedOn w:val="4"/>
    <w:qFormat/>
    <w:uiPriority w:val="99"/>
    <w:pPr>
      <w:adjustRightInd w:val="0"/>
      <w:snapToGrid w:val="0"/>
      <w:spacing w:before="0" w:after="0" w:line="480" w:lineRule="exact"/>
    </w:pPr>
    <w:rPr>
      <w:sz w:val="26"/>
      <w:szCs w:val="24"/>
    </w:rPr>
  </w:style>
  <w:style w:type="character" w:customStyle="1" w:styleId="422">
    <w:name w:val="标题4 Char"/>
    <w:link w:val="346"/>
    <w:qFormat/>
    <w:locked/>
    <w:uiPriority w:val="99"/>
    <w:rPr>
      <w:rFonts w:ascii="Arial Unicode MS" w:hAnsi="Arial Unicode MS" w:eastAsia="黑体"/>
      <w:snapToGrid w:val="0"/>
      <w:spacing w:val="20"/>
      <w:sz w:val="24"/>
    </w:rPr>
  </w:style>
  <w:style w:type="character" w:customStyle="1" w:styleId="423">
    <w:name w:val="正文文本 (11) Exact"/>
    <w:link w:val="424"/>
    <w:qFormat/>
    <w:locked/>
    <w:uiPriority w:val="99"/>
    <w:rPr>
      <w:spacing w:val="2"/>
      <w:sz w:val="17"/>
      <w:shd w:val="clear" w:color="auto" w:fill="FFFFFF"/>
      <w:lang w:eastAsia="en-US"/>
    </w:rPr>
  </w:style>
  <w:style w:type="paragraph" w:customStyle="1" w:styleId="424">
    <w:name w:val="正文文本 (11)"/>
    <w:basedOn w:val="1"/>
    <w:link w:val="423"/>
    <w:qFormat/>
    <w:uiPriority w:val="99"/>
    <w:pPr>
      <w:shd w:val="clear" w:color="auto" w:fill="FFFFFF"/>
      <w:spacing w:line="240" w:lineRule="atLeast"/>
      <w:jc w:val="left"/>
    </w:pPr>
    <w:rPr>
      <w:spacing w:val="2"/>
      <w:kern w:val="0"/>
      <w:sz w:val="17"/>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1027"/>
    <customShpInfo spid="_x0000_s1028"/>
    <customShpInfo spid="_x0000_s1029"/>
    <customShpInfo spid="_x0000_s1030"/>
    <customShpInfo spid="_x0000_s1031"/>
    <customShpInfo spid="_x0000_s1032"/>
    <customShpInfo spid="_x0000_s1033"/>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089"/>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295"/>
    <customShpInfo spid="_x0000_s1296"/>
    <customShpInfo spid="_x0000_s1297"/>
    <customShpInfo spid="_x0000_s1298"/>
    <customShpInfo spid="_x0000_s1299"/>
    <customShpInfo spid="_x0000_s1300"/>
    <customShpInfo spid="_x0000_s1301"/>
    <customShpInfo spid="_x0000_s1302"/>
    <customShpInfo spid="_x0000_s1303"/>
    <customShpInfo spid="_x0000_s1304"/>
    <customShpInfo spid="_x0000_s1305"/>
    <customShpInfo spid="_x0000_s1306"/>
    <customShpInfo spid="_x0000_s1307"/>
    <customShpInfo spid="_x0000_s1308"/>
    <customShpInfo spid="_x0000_s1309"/>
    <customShpInfo spid="_x0000_s1310"/>
    <customShpInfo spid="_x0000_s1311"/>
    <customShpInfo spid="_x0000_s1312"/>
    <customShpInfo spid="_x0000_s1313"/>
    <customShpInfo spid="_x0000_s1314"/>
    <customShpInfo spid="_x0000_s1315"/>
    <customShpInfo spid="_x0000_s1316"/>
    <customShpInfo spid="_x0000_s1317"/>
    <customShpInfo spid="_x0000_s1318"/>
    <customShpInfo spid="_x0000_s1319"/>
    <customShpInfo spid="_x0000_s1320"/>
    <customShpInfo spid="_x0000_s1321"/>
    <customShpInfo spid="_x0000_s1322"/>
    <customShpInfo spid="_x0000_s1323"/>
    <customShpInfo spid="_x0000_s1324"/>
    <customShpInfo spid="_x0000_s1325"/>
    <customShpInfo spid="_x0000_s1326"/>
    <customShpInfo spid="_x0000_s1327"/>
    <customShpInfo spid="_x0000_s1328"/>
    <customShpInfo spid="_x0000_s1329"/>
    <customShpInfo spid="_x0000_s1330"/>
    <customShpInfo spid="_x0000_s1294"/>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6E3C0-5215-4BF4-8934-44353216B17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5097</Words>
  <Characters>29055</Characters>
  <Lines>242</Lines>
  <Paragraphs>68</Paragraphs>
  <TotalTime>0</TotalTime>
  <ScaleCrop>false</ScaleCrop>
  <LinksUpToDate>false</LinksUpToDate>
  <CharactersWithSpaces>34084</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2017-05-28T00:43:00Z</dcterms:created>
  <dc:creator>wn</dc:creator>
  <cp:lastModifiedBy>Administrator</cp:lastModifiedBy>
  <cp:lastPrinted>2015-01-20T06:22:00Z</cp:lastPrinted>
  <dcterms:modified xsi:type="dcterms:W3CDTF">2017-05-28T11:14:31Z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