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strike/>
          <w:color w:val="000000"/>
          <w:sz w:val="28"/>
        </w:rPr>
      </w:pPr>
    </w:p>
    <w:p>
      <w:pPr>
        <w:tabs>
          <w:tab w:val="left" w:pos="3012"/>
        </w:tabs>
        <w:jc w:val="right"/>
        <w:rPr>
          <w:rFonts w:asciiTheme="minorEastAsia" w:hAnsiTheme="minorEastAsia" w:eastAsiaTheme="minorEastAsia"/>
          <w:b/>
          <w:sz w:val="30"/>
          <w:szCs w:val="30"/>
        </w:rPr>
      </w:pPr>
      <w:r>
        <w:rPr>
          <w:rFonts w:hint="eastAsia" w:asciiTheme="minorEastAsia" w:hAnsiTheme="minorEastAsia" w:eastAsiaTheme="minorEastAsia"/>
          <w:b/>
          <w:sz w:val="30"/>
          <w:szCs w:val="30"/>
        </w:rPr>
        <w:t>版本号：2017版</w:t>
      </w:r>
    </w:p>
    <w:p>
      <w:pPr>
        <w:pStyle w:val="30"/>
        <w:tabs>
          <w:tab w:val="right" w:leader="dot" w:pos="8296"/>
          <w:tab w:val="clear" w:pos="9174"/>
        </w:tabs>
        <w:jc w:val="center"/>
        <w:rPr>
          <w:rFonts w:asciiTheme="minorEastAsia" w:hAnsiTheme="minorEastAsia" w:eastAsiaTheme="minorEastAsia"/>
          <w:b/>
          <w:sz w:val="44"/>
          <w:szCs w:val="44"/>
        </w:rPr>
      </w:pPr>
    </w:p>
    <w:p>
      <w:pPr>
        <w:autoSpaceDE w:val="0"/>
        <w:autoSpaceDN w:val="0"/>
        <w:adjustRightInd w:val="0"/>
        <w:jc w:val="center"/>
        <w:rPr>
          <w:rFonts w:asciiTheme="minorEastAsia" w:hAnsiTheme="minorEastAsia" w:eastAsiaTheme="minorEastAsia"/>
          <w:b/>
          <w:bCs/>
          <w:spacing w:val="-20"/>
          <w:sz w:val="52"/>
          <w:szCs w:val="52"/>
        </w:rPr>
      </w:pPr>
      <w:r>
        <w:rPr>
          <w:rFonts w:hint="eastAsia" w:cs="宋体" w:asciiTheme="minorEastAsia" w:hAnsiTheme="minorEastAsia" w:eastAsiaTheme="minorEastAsia"/>
          <w:b/>
          <w:bCs/>
          <w:spacing w:val="-20"/>
          <w:sz w:val="52"/>
          <w:szCs w:val="52"/>
          <w:lang w:val="zh-CN"/>
        </w:rPr>
        <w:t>重庆市涪陵区拓源污水治理有限公司</w:t>
      </w:r>
    </w:p>
    <w:p>
      <w:pPr>
        <w:autoSpaceDE w:val="0"/>
        <w:autoSpaceDN w:val="0"/>
        <w:adjustRightInd w:val="0"/>
        <w:spacing w:line="680" w:lineRule="exact"/>
        <w:jc w:val="center"/>
        <w:rPr>
          <w:rFonts w:asciiTheme="minorEastAsia" w:hAnsiTheme="minorEastAsia" w:eastAsiaTheme="minorEastAsia"/>
          <w:b/>
          <w:kern w:val="0"/>
          <w:sz w:val="52"/>
          <w:szCs w:val="52"/>
        </w:rPr>
      </w:pPr>
      <w:r>
        <w:rPr>
          <w:rFonts w:hint="eastAsia" w:asciiTheme="minorEastAsia" w:hAnsiTheme="minorEastAsia" w:eastAsiaTheme="minorEastAsia"/>
          <w:b/>
        </w:rPr>
        <w:t xml:space="preserve"> </w:t>
      </w:r>
      <w:r>
        <w:rPr>
          <w:rFonts w:hint="eastAsia" w:cs="黑体" w:asciiTheme="minorEastAsia" w:hAnsiTheme="minorEastAsia" w:eastAsiaTheme="minorEastAsia"/>
          <w:b/>
          <w:color w:val="000000"/>
          <w:kern w:val="0"/>
          <w:sz w:val="52"/>
          <w:szCs w:val="52"/>
          <w:lang w:val="zh-CN"/>
        </w:rPr>
        <w:t>李渡大耍坝</w:t>
      </w:r>
      <w:r>
        <w:rPr>
          <w:rFonts w:hint="eastAsia" w:asciiTheme="minorEastAsia" w:hAnsiTheme="minorEastAsia" w:eastAsiaTheme="minorEastAsia"/>
          <w:b/>
        </w:rPr>
        <w:t xml:space="preserve"> </w:t>
      </w:r>
      <w:r>
        <w:rPr>
          <w:rFonts w:hint="eastAsia" w:cs="黑体" w:asciiTheme="minorEastAsia" w:hAnsiTheme="minorEastAsia" w:eastAsiaTheme="minorEastAsia"/>
          <w:b/>
          <w:kern w:val="0"/>
          <w:sz w:val="52"/>
          <w:szCs w:val="52"/>
          <w:lang w:val="zh-CN"/>
        </w:rPr>
        <w:t>污水处理厂</w:t>
      </w:r>
    </w:p>
    <w:p>
      <w:pPr>
        <w:pStyle w:val="409"/>
        <w:rPr>
          <w:rFonts w:asciiTheme="minorEastAsia" w:hAnsiTheme="minorEastAsia" w:eastAsiaTheme="minorEastAsia"/>
        </w:rPr>
      </w:pPr>
    </w:p>
    <w:p>
      <w:pPr>
        <w:adjustRightInd w:val="0"/>
        <w:snapToGrid w:val="0"/>
        <w:spacing w:line="480" w:lineRule="auto"/>
        <w:jc w:val="center"/>
        <w:rPr>
          <w:rFonts w:asciiTheme="minorEastAsia" w:hAnsiTheme="minorEastAsia" w:eastAsiaTheme="minorEastAsia"/>
          <w:b/>
          <w:sz w:val="52"/>
        </w:rPr>
      </w:pPr>
      <w:r>
        <w:rPr>
          <w:rFonts w:hint="eastAsia" w:asciiTheme="minorEastAsia" w:hAnsiTheme="minorEastAsia" w:eastAsiaTheme="minorEastAsia"/>
          <w:b/>
          <w:sz w:val="52"/>
        </w:rPr>
        <w:t xml:space="preserve"> 突发环境事件应急预案</w:t>
      </w: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ind w:firstLine="883" w:firstLineChars="200"/>
        <w:jc w:val="center"/>
        <w:rPr>
          <w:rFonts w:asciiTheme="minorEastAsia" w:hAnsiTheme="minorEastAsia" w:eastAsiaTheme="minorEastAsia"/>
          <w:b/>
          <w:sz w:val="44"/>
          <w:szCs w:val="44"/>
        </w:rPr>
      </w:pPr>
    </w:p>
    <w:p>
      <w:pPr>
        <w:adjustRightInd w:val="0"/>
        <w:snapToGrid w:val="0"/>
        <w:spacing w:line="360" w:lineRule="auto"/>
        <w:rPr>
          <w:rFonts w:asciiTheme="minorEastAsia" w:hAnsiTheme="minorEastAsia" w:eastAsiaTheme="minorEastAsia"/>
          <w:b/>
          <w:sz w:val="44"/>
          <w:szCs w:val="44"/>
        </w:rPr>
      </w:pPr>
    </w:p>
    <w:p>
      <w:pPr>
        <w:autoSpaceDE w:val="0"/>
        <w:autoSpaceDN w:val="0"/>
        <w:adjustRightInd w:val="0"/>
        <w:spacing w:line="680" w:lineRule="exact"/>
        <w:jc w:val="center"/>
        <w:rPr>
          <w:rFonts w:asciiTheme="minorEastAsia" w:hAnsiTheme="minorEastAsia" w:eastAsiaTheme="minorEastAsia"/>
          <w:b/>
          <w:bCs/>
          <w:sz w:val="32"/>
          <w:szCs w:val="32"/>
        </w:rPr>
      </w:pPr>
    </w:p>
    <w:p>
      <w:pPr>
        <w:autoSpaceDE w:val="0"/>
        <w:autoSpaceDN w:val="0"/>
        <w:adjustRightInd w:val="0"/>
        <w:spacing w:line="680" w:lineRule="exact"/>
        <w:jc w:val="center"/>
        <w:rPr>
          <w:rFonts w:cs="宋体" w:asciiTheme="minorEastAsia" w:hAnsiTheme="minorEastAsia" w:eastAsiaTheme="minorEastAsia"/>
          <w:b/>
          <w:bCs/>
          <w:spacing w:val="-20"/>
          <w:sz w:val="32"/>
          <w:szCs w:val="32"/>
          <w:lang w:val="zh-CN"/>
        </w:rPr>
      </w:pPr>
      <w:r>
        <w:rPr>
          <w:rFonts w:hint="eastAsia" w:asciiTheme="minorEastAsia" w:hAnsiTheme="minorEastAsia" w:eastAsiaTheme="minorEastAsia"/>
          <w:b/>
          <w:bCs/>
          <w:sz w:val="32"/>
          <w:szCs w:val="32"/>
        </w:rPr>
        <w:t>评价单位：</w:t>
      </w:r>
      <w:r>
        <w:rPr>
          <w:rFonts w:hint="eastAsia" w:cs="宋体" w:asciiTheme="minorEastAsia" w:hAnsiTheme="minorEastAsia" w:eastAsiaTheme="minorEastAsia"/>
          <w:b/>
          <w:bCs/>
          <w:spacing w:val="-20"/>
          <w:sz w:val="32"/>
          <w:szCs w:val="32"/>
          <w:lang w:val="zh-CN"/>
        </w:rPr>
        <w:t>重庆市涪陵区拓源污水治理有限公司</w:t>
      </w:r>
    </w:p>
    <w:p>
      <w:pPr>
        <w:autoSpaceDE w:val="0"/>
        <w:autoSpaceDN w:val="0"/>
        <w:adjustRightInd w:val="0"/>
        <w:spacing w:line="680" w:lineRule="exact"/>
        <w:jc w:val="center"/>
        <w:rPr>
          <w:rFonts w:asciiTheme="minorEastAsia" w:hAnsiTheme="minorEastAsia" w:eastAsiaTheme="minorEastAsia"/>
          <w:b/>
          <w:kern w:val="0"/>
          <w:sz w:val="32"/>
          <w:szCs w:val="32"/>
        </w:rPr>
      </w:pPr>
      <w:r>
        <w:rPr>
          <w:rFonts w:hint="eastAsia" w:cs="黑体" w:asciiTheme="minorEastAsia" w:hAnsiTheme="minorEastAsia" w:eastAsiaTheme="minorEastAsia"/>
          <w:b/>
          <w:color w:val="000000"/>
          <w:kern w:val="0"/>
          <w:sz w:val="32"/>
          <w:szCs w:val="32"/>
          <w:lang w:val="en-US" w:eastAsia="zh-CN"/>
        </w:rPr>
        <w:t xml:space="preserve">   </w:t>
      </w:r>
      <w:r>
        <w:rPr>
          <w:rFonts w:hint="eastAsia" w:cs="黑体" w:asciiTheme="minorEastAsia" w:hAnsiTheme="minorEastAsia" w:eastAsiaTheme="minorEastAsia"/>
          <w:b/>
          <w:color w:val="000000"/>
          <w:kern w:val="0"/>
          <w:sz w:val="32"/>
          <w:szCs w:val="32"/>
          <w:lang w:val="zh-CN"/>
        </w:rPr>
        <w:t>李渡大耍坝</w:t>
      </w:r>
      <w:r>
        <w:rPr>
          <w:rFonts w:hint="eastAsia" w:cs="黑体" w:asciiTheme="minorEastAsia" w:hAnsiTheme="minorEastAsia" w:eastAsiaTheme="minorEastAsia"/>
          <w:b/>
          <w:kern w:val="0"/>
          <w:sz w:val="32"/>
          <w:szCs w:val="32"/>
          <w:lang w:val="zh-CN"/>
        </w:rPr>
        <w:t>污水处理厂</w:t>
      </w:r>
    </w:p>
    <w:p>
      <w:pPr>
        <w:rPr>
          <w:rFonts w:asciiTheme="minorEastAsia" w:hAnsiTheme="minorEastAsia" w:eastAsiaTheme="minorEastAsia"/>
          <w:b/>
          <w:bCs/>
          <w:sz w:val="32"/>
          <w:szCs w:val="32"/>
        </w:rPr>
      </w:pPr>
    </w:p>
    <w:p>
      <w:pPr>
        <w:jc w:val="center"/>
        <w:rPr>
          <w:rFonts w:asciiTheme="minorEastAsia" w:hAnsiTheme="minorEastAsia" w:eastAsiaTheme="minorEastAsia"/>
          <w:sz w:val="32"/>
          <w:szCs w:val="32"/>
        </w:rPr>
      </w:pPr>
      <w:r>
        <w:rPr>
          <w:rFonts w:hint="eastAsia" w:asciiTheme="minorEastAsia" w:hAnsiTheme="minorEastAsia" w:eastAsiaTheme="minorEastAsia"/>
          <w:b/>
          <w:bCs/>
          <w:sz w:val="32"/>
          <w:szCs w:val="32"/>
        </w:rPr>
        <w:t>编制日期：二</w:t>
      </w:r>
      <w:r>
        <w:rPr>
          <w:rFonts w:hint="eastAsia" w:asciiTheme="minorEastAsia" w:hAnsiTheme="minorEastAsia" w:eastAsiaTheme="minorEastAsia"/>
          <w:b/>
          <w:sz w:val="32"/>
          <w:szCs w:val="32"/>
        </w:rPr>
        <w:t>○</w:t>
      </w:r>
      <w:r>
        <w:rPr>
          <w:rFonts w:hint="eastAsia" w:asciiTheme="minorEastAsia" w:hAnsiTheme="minorEastAsia" w:eastAsiaTheme="minorEastAsia"/>
          <w:b/>
          <w:bCs/>
          <w:sz w:val="32"/>
          <w:szCs w:val="32"/>
        </w:rPr>
        <w:t>一七年五月</w:t>
      </w:r>
    </w:p>
    <w:p>
      <w:pPr>
        <w:spacing w:line="360" w:lineRule="auto"/>
        <w:jc w:val="center"/>
        <w:rPr>
          <w:rFonts w:asciiTheme="minorEastAsia" w:hAnsiTheme="minorEastAsia" w:eastAsiaTheme="minorEastAsia"/>
          <w:b/>
          <w:bCs/>
          <w:color w:val="FF0000"/>
          <w:spacing w:val="8"/>
          <w:sz w:val="44"/>
          <w:szCs w:val="44"/>
        </w:rPr>
        <w:sectPr>
          <w:headerReference r:id="rId4" w:type="first"/>
          <w:headerReference r:id="rId3" w:type="default"/>
          <w:pgSz w:w="11906" w:h="16838"/>
          <w:pgMar w:top="1440" w:right="1797" w:bottom="1440" w:left="1797" w:header="851" w:footer="510" w:gutter="0"/>
          <w:cols w:space="720" w:num="1"/>
          <w:titlePg/>
          <w:docGrid w:linePitch="381" w:charSpace="0"/>
        </w:sectPr>
      </w:pPr>
    </w:p>
    <w:p>
      <w:pPr>
        <w:spacing w:line="360" w:lineRule="auto"/>
        <w:jc w:val="center"/>
        <w:rPr>
          <w:rFonts w:cs="宋体" w:asciiTheme="minorEastAsia" w:hAnsiTheme="minorEastAsia" w:eastAsiaTheme="minorEastAsia"/>
          <w:b/>
          <w:bCs/>
          <w:color w:val="FF0000"/>
          <w:spacing w:val="-20"/>
          <w:sz w:val="44"/>
          <w:szCs w:val="44"/>
          <w:lang w:val="zh-CN"/>
        </w:rPr>
      </w:pPr>
      <w:r>
        <w:rPr>
          <w:rFonts w:hint="eastAsia" w:asciiTheme="minorEastAsia" w:hAnsiTheme="minorEastAsia" w:eastAsiaTheme="minorEastAsia"/>
          <w:b/>
          <w:bCs/>
          <w:color w:val="FF0000"/>
          <w:spacing w:val="8"/>
          <w:sz w:val="44"/>
          <w:szCs w:val="44"/>
        </w:rPr>
        <w:t>关于</w:t>
      </w:r>
      <w:r>
        <w:rPr>
          <w:rFonts w:hint="eastAsia" w:cs="宋体" w:asciiTheme="minorEastAsia" w:hAnsiTheme="minorEastAsia" w:eastAsiaTheme="minorEastAsia"/>
          <w:b/>
          <w:bCs/>
          <w:color w:val="FF0000"/>
          <w:spacing w:val="-20"/>
          <w:sz w:val="44"/>
          <w:szCs w:val="44"/>
          <w:lang w:val="zh-CN"/>
        </w:rPr>
        <w:t>重庆市涪陵区拓源污水治理有限公司</w:t>
      </w:r>
    </w:p>
    <w:p>
      <w:pPr>
        <w:spacing w:line="360" w:lineRule="auto"/>
        <w:jc w:val="center"/>
        <w:rPr>
          <w:rFonts w:asciiTheme="minorEastAsia" w:hAnsiTheme="minorEastAsia" w:eastAsiaTheme="minorEastAsia"/>
          <w:b/>
          <w:bCs/>
          <w:color w:val="FF0000"/>
          <w:spacing w:val="8"/>
          <w:sz w:val="44"/>
          <w:szCs w:val="44"/>
        </w:rPr>
      </w:pPr>
      <w:r>
        <w:rPr>
          <w:rFonts w:hint="eastAsia" w:cs="黑体" w:asciiTheme="minorEastAsia" w:hAnsiTheme="minorEastAsia" w:eastAsiaTheme="minorEastAsia"/>
          <w:b/>
          <w:color w:val="FF0000"/>
          <w:kern w:val="0"/>
          <w:sz w:val="44"/>
          <w:szCs w:val="44"/>
          <w:lang w:val="zh-CN"/>
        </w:rPr>
        <w:t>李渡大耍坝</w:t>
      </w:r>
      <w:r>
        <w:rPr>
          <w:rFonts w:hint="eastAsia" w:asciiTheme="minorEastAsia" w:hAnsiTheme="minorEastAsia" w:eastAsiaTheme="minorEastAsia"/>
          <w:b/>
          <w:color w:val="FF0000"/>
          <w:sz w:val="44"/>
          <w:szCs w:val="44"/>
        </w:rPr>
        <w:t>污水处理厂</w:t>
      </w:r>
    </w:p>
    <w:p>
      <w:pPr>
        <w:spacing w:line="360" w:lineRule="auto"/>
        <w:jc w:val="center"/>
        <w:rPr>
          <w:rFonts w:asciiTheme="minorEastAsia" w:hAnsiTheme="minorEastAsia" w:eastAsiaTheme="minorEastAsia"/>
        </w:rPr>
      </w:pPr>
      <w:r>
        <w:rPr>
          <w:rFonts w:hint="eastAsia" w:asciiTheme="minorEastAsia" w:hAnsiTheme="minorEastAsia" w:eastAsiaTheme="minorEastAsia"/>
          <w:b/>
          <w:bCs/>
          <w:color w:val="FF0000"/>
          <w:spacing w:val="8"/>
          <w:sz w:val="44"/>
          <w:szCs w:val="44"/>
          <w:u w:val="double"/>
        </w:rPr>
        <w:t>《突发环境事件应急预案》实行的通知</w:t>
      </w:r>
    </w:p>
    <w:p>
      <w:pPr>
        <w:spacing w:line="460" w:lineRule="exact"/>
        <w:rPr>
          <w:rFonts w:asciiTheme="minorEastAsia" w:hAnsiTheme="minorEastAsia" w:eastAsiaTheme="minorEastAsia"/>
          <w:sz w:val="30"/>
        </w:rPr>
      </w:pPr>
      <w:r>
        <w:rPr>
          <w:rFonts w:hint="eastAsia" w:asciiTheme="minorEastAsia" w:hAnsiTheme="minorEastAsia" w:eastAsiaTheme="minorEastAsia"/>
          <w:sz w:val="30"/>
        </w:rPr>
        <w:t xml:space="preserve">    </w:t>
      </w:r>
    </w:p>
    <w:p>
      <w:pPr>
        <w:spacing w:line="460" w:lineRule="exact"/>
        <w:ind w:firstLine="600" w:firstLineChars="200"/>
        <w:rPr>
          <w:rFonts w:asciiTheme="minorEastAsia" w:hAnsiTheme="minorEastAsia" w:eastAsiaTheme="minorEastAsia"/>
          <w:sz w:val="24"/>
          <w:szCs w:val="24"/>
        </w:rPr>
      </w:pPr>
      <w:r>
        <w:rPr>
          <w:rFonts w:hint="eastAsia" w:asciiTheme="minorEastAsia" w:hAnsiTheme="minorEastAsia" w:eastAsiaTheme="minorEastAsia"/>
          <w:sz w:val="30"/>
        </w:rPr>
        <w:t>为贯彻《中华人民共和国环境保护法》及其他国家法律、法规及有关文件的要求，有效防范应对突发环境事件，减少单位财产损失，使本公司全体员工了解、熟悉本公司在发生突发环境事件时的应急处置程序，最大限度的减少发生突发环境事件造成的环境污染和生态损失。本单位委托相关部门和机构编制了《</w:t>
      </w:r>
      <w:r>
        <w:rPr>
          <w:rFonts w:hint="eastAsia" w:cs="宋体" w:asciiTheme="minorEastAsia" w:hAnsiTheme="minorEastAsia" w:eastAsiaTheme="minorEastAsia"/>
          <w:bCs/>
          <w:spacing w:val="-20"/>
          <w:sz w:val="30"/>
          <w:szCs w:val="30"/>
          <w:lang w:val="zh-CN"/>
        </w:rPr>
        <w:t>重庆市涪陵区拓源污水治理有限公司李渡大耍</w:t>
      </w:r>
      <w:r>
        <w:rPr>
          <w:rFonts w:hint="eastAsia" w:asciiTheme="minorEastAsia" w:hAnsiTheme="minorEastAsia" w:eastAsiaTheme="minorEastAsia"/>
          <w:sz w:val="30"/>
        </w:rPr>
        <w:t>坝</w:t>
      </w:r>
      <w:r>
        <w:rPr>
          <w:rFonts w:hint="eastAsia" w:asciiTheme="minorEastAsia" w:hAnsiTheme="minorEastAsia" w:eastAsiaTheme="minorEastAsia"/>
          <w:sz w:val="30"/>
          <w:szCs w:val="30"/>
        </w:rPr>
        <w:t>污水处理厂</w:t>
      </w:r>
      <w:r>
        <w:rPr>
          <w:rFonts w:hint="eastAsia" w:asciiTheme="minorEastAsia" w:hAnsiTheme="minorEastAsia" w:eastAsiaTheme="minorEastAsia"/>
          <w:sz w:val="30"/>
        </w:rPr>
        <w:t>突发环境事件应急预案》。该预案是本单位实施应急救援的规范性文件，用于指导本单位突发环境事故的应急救援行动。</w:t>
      </w:r>
    </w:p>
    <w:p>
      <w:pPr>
        <w:spacing w:line="460" w:lineRule="exact"/>
        <w:ind w:firstLine="600" w:firstLineChars="200"/>
        <w:rPr>
          <w:rFonts w:asciiTheme="minorEastAsia" w:hAnsiTheme="minorEastAsia" w:eastAsiaTheme="minorEastAsia"/>
          <w:sz w:val="30"/>
        </w:rPr>
      </w:pPr>
      <w:r>
        <w:rPr>
          <w:rFonts w:hint="eastAsia" w:asciiTheme="minorEastAsia" w:hAnsiTheme="minorEastAsia" w:eastAsiaTheme="minorEastAsia"/>
          <w:sz w:val="30"/>
        </w:rPr>
        <w:t>本应急预案于2017 年  月  日批准发布，2017 年  月  日正式实施。</w:t>
      </w:r>
    </w:p>
    <w:p>
      <w:pPr>
        <w:spacing w:line="460" w:lineRule="exact"/>
        <w:rPr>
          <w:rFonts w:asciiTheme="minorEastAsia" w:hAnsiTheme="minorEastAsia" w:eastAsiaTheme="minorEastAsia"/>
          <w:sz w:val="30"/>
        </w:rPr>
      </w:pPr>
    </w:p>
    <w:p>
      <w:pPr>
        <w:spacing w:line="460" w:lineRule="exact"/>
        <w:rPr>
          <w:rFonts w:asciiTheme="minorEastAsia" w:hAnsiTheme="minorEastAsia" w:eastAsiaTheme="minorEastAsia"/>
          <w:sz w:val="30"/>
        </w:rPr>
      </w:pPr>
    </w:p>
    <w:p>
      <w:pPr>
        <w:spacing w:line="460" w:lineRule="exact"/>
        <w:rPr>
          <w:rFonts w:asciiTheme="minorEastAsia" w:hAnsiTheme="minorEastAsia" w:eastAsiaTheme="minorEastAsia"/>
          <w:sz w:val="30"/>
        </w:rPr>
      </w:pPr>
    </w:p>
    <w:p>
      <w:pPr>
        <w:spacing w:line="460" w:lineRule="exact"/>
        <w:rPr>
          <w:rFonts w:asciiTheme="minorEastAsia" w:hAnsiTheme="minorEastAsia" w:eastAsiaTheme="minorEastAsia"/>
          <w:sz w:val="30"/>
        </w:rPr>
      </w:pPr>
    </w:p>
    <w:p>
      <w:pPr>
        <w:spacing w:line="460" w:lineRule="exact"/>
        <w:rPr>
          <w:rFonts w:asciiTheme="minorEastAsia" w:hAnsiTheme="minorEastAsia" w:eastAsiaTheme="minorEastAsia"/>
          <w:sz w:val="30"/>
        </w:rPr>
      </w:pPr>
    </w:p>
    <w:p>
      <w:pPr>
        <w:spacing w:line="460" w:lineRule="exact"/>
        <w:ind w:right="520"/>
        <w:jc w:val="center"/>
        <w:rPr>
          <w:rFonts w:cs="宋体" w:asciiTheme="minorEastAsia" w:hAnsiTheme="minorEastAsia" w:eastAsiaTheme="minorEastAsia"/>
          <w:bCs/>
          <w:spacing w:val="-20"/>
          <w:sz w:val="30"/>
          <w:szCs w:val="30"/>
          <w:lang w:val="zh-CN"/>
        </w:rPr>
      </w:pPr>
      <w:r>
        <w:rPr>
          <w:rFonts w:hint="eastAsia" w:cs="宋体" w:asciiTheme="minorEastAsia" w:hAnsiTheme="minorEastAsia" w:eastAsiaTheme="minorEastAsia"/>
          <w:bCs/>
          <w:spacing w:val="-20"/>
          <w:sz w:val="30"/>
          <w:szCs w:val="30"/>
          <w:lang w:val="zh-CN"/>
        </w:rPr>
        <w:t xml:space="preserve">                                 </w:t>
      </w:r>
    </w:p>
    <w:p>
      <w:pPr>
        <w:spacing w:line="460" w:lineRule="exact"/>
        <w:ind w:right="520"/>
        <w:jc w:val="center"/>
        <w:rPr>
          <w:rFonts w:cs="宋体" w:asciiTheme="minorEastAsia" w:hAnsiTheme="minorEastAsia" w:eastAsiaTheme="minorEastAsia"/>
          <w:bCs/>
          <w:spacing w:val="-20"/>
          <w:sz w:val="30"/>
          <w:szCs w:val="30"/>
          <w:lang w:val="zh-CN"/>
        </w:rPr>
      </w:pPr>
    </w:p>
    <w:p>
      <w:pPr>
        <w:spacing w:line="460" w:lineRule="exact"/>
        <w:ind w:right="520"/>
        <w:jc w:val="center"/>
        <w:rPr>
          <w:rFonts w:cs="宋体" w:asciiTheme="minorEastAsia" w:hAnsiTheme="minorEastAsia" w:eastAsiaTheme="minorEastAsia"/>
          <w:bCs/>
          <w:spacing w:val="-20"/>
          <w:sz w:val="30"/>
          <w:szCs w:val="30"/>
          <w:lang w:val="zh-CN"/>
        </w:rPr>
      </w:pPr>
    </w:p>
    <w:p>
      <w:pPr>
        <w:spacing w:line="460" w:lineRule="exact"/>
        <w:ind w:right="520"/>
        <w:jc w:val="center"/>
        <w:rPr>
          <w:rFonts w:cs="宋体" w:asciiTheme="minorEastAsia" w:hAnsiTheme="minorEastAsia" w:eastAsiaTheme="minorEastAsia"/>
          <w:bCs/>
          <w:spacing w:val="-20"/>
          <w:sz w:val="30"/>
          <w:szCs w:val="30"/>
          <w:lang w:val="zh-CN"/>
        </w:rPr>
      </w:pPr>
      <w:r>
        <w:rPr>
          <w:rFonts w:hint="eastAsia" w:cs="宋体" w:asciiTheme="minorEastAsia" w:hAnsiTheme="minorEastAsia" w:eastAsiaTheme="minorEastAsia"/>
          <w:bCs/>
          <w:spacing w:val="-20"/>
          <w:sz w:val="30"/>
          <w:szCs w:val="30"/>
          <w:lang w:val="zh-CN"/>
        </w:rPr>
        <w:t xml:space="preserve">                                   重庆市涪陵区拓源污水治理有限公司</w:t>
      </w:r>
    </w:p>
    <w:p>
      <w:pPr>
        <w:spacing w:line="460" w:lineRule="exact"/>
        <w:ind w:right="1120" w:firstLine="4940" w:firstLineChars="1900"/>
        <w:rPr>
          <w:rFonts w:asciiTheme="minorEastAsia" w:hAnsiTheme="minorEastAsia" w:eastAsiaTheme="minorEastAsia"/>
          <w:sz w:val="30"/>
          <w:szCs w:val="30"/>
        </w:rPr>
      </w:pPr>
      <w:r>
        <w:rPr>
          <w:rFonts w:hint="eastAsia" w:cs="宋体" w:asciiTheme="minorEastAsia" w:hAnsiTheme="minorEastAsia" w:eastAsiaTheme="minorEastAsia"/>
          <w:bCs/>
          <w:spacing w:val="-20"/>
          <w:sz w:val="30"/>
          <w:szCs w:val="30"/>
          <w:lang w:val="zh-CN"/>
        </w:rPr>
        <w:t>李渡大耍</w:t>
      </w:r>
      <w:r>
        <w:rPr>
          <w:rFonts w:hint="eastAsia" w:asciiTheme="minorEastAsia" w:hAnsiTheme="minorEastAsia" w:eastAsiaTheme="minorEastAsia"/>
          <w:sz w:val="30"/>
        </w:rPr>
        <w:t>坝</w:t>
      </w:r>
      <w:r>
        <w:rPr>
          <w:rFonts w:hint="eastAsia" w:asciiTheme="minorEastAsia" w:hAnsiTheme="minorEastAsia" w:eastAsiaTheme="minorEastAsia"/>
          <w:sz w:val="30"/>
          <w:szCs w:val="30"/>
        </w:rPr>
        <w:t>污水处理厂</w:t>
      </w:r>
    </w:p>
    <w:p>
      <w:pPr>
        <w:spacing w:line="460" w:lineRule="exact"/>
        <w:ind w:right="600"/>
        <w:jc w:val="right"/>
        <w:rPr>
          <w:rFonts w:asciiTheme="minorEastAsia" w:hAnsiTheme="minorEastAsia" w:eastAsiaTheme="minorEastAsia"/>
          <w:sz w:val="30"/>
          <w:szCs w:val="30"/>
        </w:rPr>
      </w:pPr>
      <w:r>
        <w:rPr>
          <w:rFonts w:hint="eastAsia" w:asciiTheme="minorEastAsia" w:hAnsiTheme="minorEastAsia" w:eastAsiaTheme="minorEastAsia"/>
          <w:sz w:val="30"/>
          <w:szCs w:val="30"/>
        </w:rPr>
        <w:t xml:space="preserve">                            </w:t>
      </w:r>
    </w:p>
    <w:p>
      <w:pPr>
        <w:spacing w:line="460" w:lineRule="exact"/>
        <w:rPr>
          <w:rFonts w:asciiTheme="minorEastAsia" w:hAnsiTheme="minorEastAsia" w:eastAsiaTheme="minorEastAsia"/>
          <w:color w:val="FF0000"/>
          <w:spacing w:val="-40"/>
          <w:w w:val="50"/>
          <w:sz w:val="144"/>
        </w:rPr>
      </w:pPr>
      <w:r>
        <w:rPr>
          <w:rFonts w:hint="eastAsia" w:asciiTheme="minorEastAsia" w:hAnsiTheme="minorEastAsia" w:eastAsiaTheme="minorEastAsia"/>
          <w:sz w:val="28"/>
        </w:rPr>
        <w:t xml:space="preserve">                                         2017年   月   日</w:t>
      </w:r>
    </w:p>
    <w:p>
      <w:pPr>
        <w:pageBreakBefore/>
        <w:spacing w:line="360" w:lineRule="auto"/>
        <w:jc w:val="center"/>
        <w:rPr>
          <w:rFonts w:asciiTheme="minorEastAsia" w:hAnsiTheme="minorEastAsia" w:eastAsiaTheme="minorEastAsia"/>
          <w:b/>
          <w:color w:val="000000"/>
          <w:sz w:val="36"/>
          <w:szCs w:val="36"/>
        </w:rPr>
      </w:pPr>
      <w:r>
        <w:rPr>
          <w:rFonts w:hint="eastAsia" w:asciiTheme="minorEastAsia" w:hAnsiTheme="minorEastAsia" w:eastAsiaTheme="minorEastAsia"/>
          <w:b/>
          <w:color w:val="000000"/>
          <w:sz w:val="36"/>
          <w:szCs w:val="36"/>
        </w:rPr>
        <w:t>目  录</w:t>
      </w:r>
    </w:p>
    <w:p>
      <w:pPr>
        <w:pStyle w:val="30"/>
        <w:tabs>
          <w:tab w:val="right" w:leader="dot" w:pos="9014"/>
          <w:tab w:val="clear" w:pos="9174"/>
        </w:tabs>
      </w:pPr>
      <w:r>
        <w:rPr>
          <w:rFonts w:hint="eastAsia" w:asciiTheme="minorEastAsia" w:hAnsiTheme="minorEastAsia" w:eastAsiaTheme="minorEastAsia"/>
          <w:color w:val="000000"/>
          <w:sz w:val="24"/>
          <w:szCs w:val="24"/>
        </w:rPr>
        <w:fldChar w:fldCharType="begin"/>
      </w:r>
      <w:r>
        <w:rPr>
          <w:rFonts w:hint="eastAsia" w:asciiTheme="minorEastAsia" w:hAnsiTheme="minorEastAsia" w:eastAsiaTheme="minorEastAsia"/>
          <w:color w:val="000000"/>
          <w:sz w:val="24"/>
          <w:szCs w:val="24"/>
        </w:rPr>
        <w:instrText xml:space="preserve">TOC \o "1-2" \h \u </w:instrText>
      </w:r>
      <w:r>
        <w:rPr>
          <w:rFonts w:hint="eastAsia" w:asciiTheme="minorEastAsia" w:hAnsiTheme="minorEastAsia" w:eastAsiaTheme="minorEastAsia"/>
          <w:color w:val="000000"/>
          <w:sz w:val="24"/>
          <w:szCs w:val="24"/>
        </w:rPr>
        <w:fldChar w:fldCharType="separate"/>
      </w: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_Toc26204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1总则</w:t>
      </w:r>
      <w:r>
        <w:tab/>
      </w:r>
      <w:r>
        <w:fldChar w:fldCharType="begin"/>
      </w:r>
      <w:r>
        <w:instrText xml:space="preserve"> PAGEREF _Toc26204 </w:instrText>
      </w:r>
      <w:r>
        <w:fldChar w:fldCharType="separate"/>
      </w:r>
      <w:r>
        <w:t>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_Toc11205 </w:instrText>
      </w:r>
      <w:r>
        <w:rPr>
          <w:rFonts w:hint="eastAsia" w:asciiTheme="minorEastAsia" w:hAnsiTheme="minorEastAsia" w:eastAsiaTheme="minorEastAsia"/>
          <w:szCs w:val="24"/>
        </w:rPr>
        <w:fldChar w:fldCharType="separate"/>
      </w:r>
      <w:r>
        <w:rPr>
          <w:rFonts w:hint="eastAsia"/>
          <w:b/>
          <w:szCs w:val="26"/>
        </w:rPr>
        <w:t>1.1编制目的</w:t>
      </w:r>
      <w:r>
        <w:tab/>
      </w:r>
      <w:r>
        <w:fldChar w:fldCharType="begin"/>
      </w:r>
      <w:r>
        <w:instrText xml:space="preserve"> PAGEREF _Toc11205 </w:instrText>
      </w:r>
      <w:r>
        <w:fldChar w:fldCharType="separate"/>
      </w:r>
      <w:r>
        <w:t>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_Toc30975 </w:instrText>
      </w:r>
      <w:r>
        <w:rPr>
          <w:rFonts w:hint="eastAsia" w:asciiTheme="minorEastAsia" w:hAnsiTheme="minorEastAsia" w:eastAsiaTheme="minorEastAsia"/>
          <w:szCs w:val="24"/>
        </w:rPr>
        <w:fldChar w:fldCharType="separate"/>
      </w:r>
      <w:r>
        <w:rPr>
          <w:rFonts w:hint="eastAsia"/>
          <w:b/>
          <w:szCs w:val="26"/>
        </w:rPr>
        <w:t>1.2编制依据</w:t>
      </w:r>
      <w:r>
        <w:tab/>
      </w:r>
      <w:r>
        <w:fldChar w:fldCharType="begin"/>
      </w:r>
      <w:r>
        <w:instrText xml:space="preserve"> PAGEREF _Toc30975 </w:instrText>
      </w:r>
      <w:r>
        <w:fldChar w:fldCharType="separate"/>
      </w:r>
      <w:r>
        <w:t>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_Toc31715 </w:instrText>
      </w:r>
      <w:r>
        <w:rPr>
          <w:rFonts w:hint="eastAsia" w:asciiTheme="minorEastAsia" w:hAnsiTheme="minorEastAsia" w:eastAsiaTheme="minorEastAsia"/>
          <w:szCs w:val="24"/>
        </w:rPr>
        <w:fldChar w:fldCharType="separate"/>
      </w:r>
      <w:r>
        <w:rPr>
          <w:rFonts w:hint="eastAsia"/>
          <w:b/>
          <w:szCs w:val="26"/>
        </w:rPr>
        <w:t>1.3 适用范围</w:t>
      </w:r>
      <w:r>
        <w:tab/>
      </w:r>
      <w:r>
        <w:fldChar w:fldCharType="begin"/>
      </w:r>
      <w:r>
        <w:instrText xml:space="preserve"> PAGEREF _Toc31715 </w:instrText>
      </w:r>
      <w:r>
        <w:fldChar w:fldCharType="separate"/>
      </w:r>
      <w:r>
        <w:t>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_Toc10923 </w:instrText>
      </w:r>
      <w:r>
        <w:rPr>
          <w:rFonts w:hint="eastAsia" w:asciiTheme="minorEastAsia" w:hAnsiTheme="minorEastAsia" w:eastAsiaTheme="minorEastAsia"/>
          <w:szCs w:val="24"/>
        </w:rPr>
        <w:fldChar w:fldCharType="separate"/>
      </w:r>
      <w:r>
        <w:rPr>
          <w:rFonts w:hint="eastAsia"/>
          <w:b/>
          <w:szCs w:val="26"/>
        </w:rPr>
        <w:t>1.4应急预案体系</w:t>
      </w:r>
      <w:r>
        <w:tab/>
      </w:r>
      <w:r>
        <w:fldChar w:fldCharType="begin"/>
      </w:r>
      <w:r>
        <w:instrText xml:space="preserve"> PAGEREF _Toc10923 </w:instrText>
      </w:r>
      <w:r>
        <w:fldChar w:fldCharType="separate"/>
      </w:r>
      <w:r>
        <w:t>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_Toc21097 </w:instrText>
      </w:r>
      <w:r>
        <w:rPr>
          <w:rFonts w:hint="eastAsia" w:asciiTheme="minorEastAsia" w:hAnsiTheme="minorEastAsia" w:eastAsiaTheme="minorEastAsia"/>
          <w:szCs w:val="24"/>
        </w:rPr>
        <w:fldChar w:fldCharType="separate"/>
      </w:r>
      <w:r>
        <w:rPr>
          <w:rFonts w:hint="eastAsia"/>
          <w:b/>
          <w:szCs w:val="26"/>
        </w:rPr>
        <w:t>1.5应急工作原则</w:t>
      </w:r>
      <w:r>
        <w:tab/>
      </w:r>
      <w:r>
        <w:fldChar w:fldCharType="begin"/>
      </w:r>
      <w:r>
        <w:instrText xml:space="preserve"> PAGEREF _Toc21097 </w:instrText>
      </w:r>
      <w:r>
        <w:fldChar w:fldCharType="separate"/>
      </w:r>
      <w:r>
        <w:t>7</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_Toc28576 </w:instrText>
      </w:r>
      <w:r>
        <w:rPr>
          <w:rFonts w:hint="eastAsia" w:asciiTheme="minorEastAsia" w:hAnsiTheme="minorEastAsia" w:eastAsiaTheme="minorEastAsia"/>
          <w:szCs w:val="24"/>
        </w:rPr>
        <w:fldChar w:fldCharType="separate"/>
      </w:r>
      <w:r>
        <w:rPr>
          <w:b/>
          <w:szCs w:val="26"/>
        </w:rPr>
        <w:t>1.</w:t>
      </w:r>
      <w:r>
        <w:rPr>
          <w:rFonts w:hint="eastAsia"/>
          <w:b/>
          <w:szCs w:val="26"/>
        </w:rPr>
        <w:t>6</w:t>
      </w:r>
      <w:r>
        <w:rPr>
          <w:b/>
          <w:szCs w:val="26"/>
        </w:rPr>
        <w:t xml:space="preserve"> 事故分级</w:t>
      </w:r>
      <w:r>
        <w:tab/>
      </w:r>
      <w:r>
        <w:fldChar w:fldCharType="begin"/>
      </w:r>
      <w:r>
        <w:instrText xml:space="preserve"> PAGEREF _Toc28576 </w:instrText>
      </w:r>
      <w:r>
        <w:fldChar w:fldCharType="separate"/>
      </w:r>
      <w:r>
        <w:t>7</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_Toc2195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2企业基本信息</w:t>
      </w:r>
      <w:r>
        <w:tab/>
      </w:r>
      <w:r>
        <w:fldChar w:fldCharType="begin"/>
      </w:r>
      <w:r>
        <w:instrText xml:space="preserve"> PAGEREF _Toc2195 </w:instrText>
      </w:r>
      <w:r>
        <w:fldChar w:fldCharType="separate"/>
      </w:r>
      <w:r>
        <w:t>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_Toc8738 </w:instrText>
      </w:r>
      <w:r>
        <w:rPr>
          <w:rFonts w:hint="eastAsia" w:asciiTheme="minorEastAsia" w:hAnsiTheme="minorEastAsia" w:eastAsiaTheme="minorEastAsia"/>
          <w:szCs w:val="24"/>
        </w:rPr>
        <w:fldChar w:fldCharType="separate"/>
      </w:r>
      <w:r>
        <w:rPr>
          <w:rFonts w:hint="eastAsia"/>
          <w:b/>
          <w:szCs w:val="28"/>
        </w:rPr>
        <w:t>2.1企业基本信息</w:t>
      </w:r>
      <w:r>
        <w:tab/>
      </w:r>
      <w:r>
        <w:fldChar w:fldCharType="begin"/>
      </w:r>
      <w:r>
        <w:instrText xml:space="preserve"> PAGEREF _Toc8738 </w:instrText>
      </w:r>
      <w:r>
        <w:fldChar w:fldCharType="separate"/>
      </w:r>
      <w:r>
        <w:t>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_Toc17837 </w:instrText>
      </w:r>
      <w:r>
        <w:rPr>
          <w:rFonts w:hint="eastAsia" w:asciiTheme="minorEastAsia" w:hAnsiTheme="minorEastAsia" w:eastAsiaTheme="minorEastAsia"/>
          <w:szCs w:val="24"/>
        </w:rPr>
        <w:fldChar w:fldCharType="separate"/>
      </w:r>
      <w:r>
        <w:rPr>
          <w:rFonts w:hint="eastAsia"/>
          <w:b/>
          <w:szCs w:val="28"/>
        </w:rPr>
        <w:t>2.2 周边环境概况</w:t>
      </w:r>
      <w:r>
        <w:tab/>
      </w:r>
      <w:r>
        <w:fldChar w:fldCharType="begin"/>
      </w:r>
      <w:r>
        <w:instrText xml:space="preserve"> PAGEREF _Toc17837 </w:instrText>
      </w:r>
      <w:r>
        <w:fldChar w:fldCharType="separate"/>
      </w:r>
      <w:r>
        <w:t>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_Toc29209 </w:instrText>
      </w:r>
      <w:r>
        <w:rPr>
          <w:rFonts w:hint="eastAsia" w:asciiTheme="minorEastAsia" w:hAnsiTheme="minorEastAsia" w:eastAsiaTheme="minorEastAsia"/>
          <w:szCs w:val="24"/>
        </w:rPr>
        <w:fldChar w:fldCharType="separate"/>
      </w:r>
      <w:r>
        <w:rPr>
          <w:rFonts w:hint="eastAsia"/>
          <w:b/>
          <w:szCs w:val="28"/>
        </w:rPr>
        <w:t>2.3周边环境关系</w:t>
      </w:r>
      <w:r>
        <w:tab/>
      </w:r>
      <w:r>
        <w:fldChar w:fldCharType="begin"/>
      </w:r>
      <w:r>
        <w:instrText xml:space="preserve"> PAGEREF _Toc29209 </w:instrText>
      </w:r>
      <w:r>
        <w:fldChar w:fldCharType="separate"/>
      </w:r>
      <w:r>
        <w:t>11</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_Toc12444 </w:instrText>
      </w:r>
      <w:r>
        <w:rPr>
          <w:rFonts w:hint="eastAsia" w:asciiTheme="minorEastAsia" w:hAnsiTheme="minorEastAsia" w:eastAsiaTheme="minorEastAsia"/>
          <w:szCs w:val="24"/>
        </w:rPr>
        <w:fldChar w:fldCharType="separate"/>
      </w:r>
      <w:r>
        <w:rPr>
          <w:rFonts w:hint="eastAsia"/>
          <w:b/>
          <w:szCs w:val="28"/>
        </w:rPr>
        <w:t>2.4企业现有污染物及排放标准</w:t>
      </w:r>
      <w:r>
        <w:tab/>
      </w:r>
      <w:r>
        <w:fldChar w:fldCharType="begin"/>
      </w:r>
      <w:r>
        <w:instrText xml:space="preserve"> PAGEREF _Toc12444 </w:instrText>
      </w:r>
      <w:r>
        <w:fldChar w:fldCharType="separate"/>
      </w:r>
      <w:r>
        <w:t>11</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_Toc20205 </w:instrText>
      </w:r>
      <w:r>
        <w:rPr>
          <w:rFonts w:hint="eastAsia" w:asciiTheme="minorEastAsia" w:hAnsiTheme="minorEastAsia" w:eastAsiaTheme="minorEastAsia"/>
          <w:szCs w:val="24"/>
        </w:rPr>
        <w:fldChar w:fldCharType="separate"/>
      </w:r>
      <w:r>
        <w:rPr>
          <w:b/>
          <w:szCs w:val="28"/>
        </w:rPr>
        <w:t>2.</w:t>
      </w:r>
      <w:r>
        <w:rPr>
          <w:rFonts w:hint="eastAsia"/>
          <w:b/>
          <w:szCs w:val="28"/>
        </w:rPr>
        <w:t>5</w:t>
      </w:r>
      <w:r>
        <w:rPr>
          <w:b/>
          <w:szCs w:val="28"/>
        </w:rPr>
        <w:t>环境保护目标</w:t>
      </w:r>
      <w:r>
        <w:tab/>
      </w:r>
      <w:r>
        <w:fldChar w:fldCharType="begin"/>
      </w:r>
      <w:r>
        <w:instrText xml:space="preserve"> PAGEREF _Toc20205 </w:instrText>
      </w:r>
      <w:r>
        <w:fldChar w:fldCharType="separate"/>
      </w:r>
      <w:r>
        <w:t>12</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_Toc14044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3环境风险源与环境风险评价</w:t>
      </w:r>
      <w:r>
        <w:tab/>
      </w:r>
      <w:r>
        <w:fldChar w:fldCharType="begin"/>
      </w:r>
      <w:r>
        <w:instrText xml:space="preserve"> PAGEREF _Toc14044 </w:instrText>
      </w:r>
      <w:r>
        <w:fldChar w:fldCharType="separate"/>
      </w:r>
      <w:r>
        <w:t>13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_Toc1300 </w:instrText>
      </w:r>
      <w:r>
        <w:rPr>
          <w:rFonts w:hint="eastAsia" w:asciiTheme="minorEastAsia" w:hAnsiTheme="minorEastAsia" w:eastAsiaTheme="minorEastAsia"/>
          <w:szCs w:val="24"/>
        </w:rPr>
        <w:fldChar w:fldCharType="separate"/>
      </w:r>
      <w:r>
        <w:rPr>
          <w:rFonts w:hint="eastAsia"/>
          <w:b/>
          <w:szCs w:val="28"/>
        </w:rPr>
        <w:t>3.1生产工艺简介（氧化沟生物工艺流程）</w:t>
      </w:r>
      <w:r>
        <w:tab/>
      </w:r>
      <w:r>
        <w:fldChar w:fldCharType="begin"/>
      </w:r>
      <w:r>
        <w:instrText xml:space="preserve"> PAGEREF _Toc1300 </w:instrText>
      </w:r>
      <w:r>
        <w:fldChar w:fldCharType="separate"/>
      </w:r>
      <w:r>
        <w:t>13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_Toc23632 </w:instrText>
      </w:r>
      <w:r>
        <w:rPr>
          <w:rFonts w:hint="eastAsia" w:asciiTheme="minorEastAsia" w:hAnsiTheme="minorEastAsia" w:eastAsiaTheme="minorEastAsia"/>
          <w:szCs w:val="24"/>
        </w:rPr>
        <w:fldChar w:fldCharType="separate"/>
      </w:r>
      <w:r>
        <w:rPr>
          <w:rFonts w:hint="eastAsia"/>
          <w:b/>
          <w:szCs w:val="28"/>
        </w:rPr>
        <w:t>3</w:t>
      </w:r>
      <w:r>
        <w:rPr>
          <w:b/>
          <w:szCs w:val="28"/>
        </w:rPr>
        <w:t>.2</w:t>
      </w:r>
      <w:r>
        <w:rPr>
          <w:rFonts w:hint="eastAsia"/>
          <w:b/>
          <w:szCs w:val="28"/>
        </w:rPr>
        <w:t>企业</w:t>
      </w:r>
      <w:r>
        <w:rPr>
          <w:b/>
          <w:szCs w:val="28"/>
        </w:rPr>
        <w:t>三废产生及排放处置情况</w:t>
      </w:r>
      <w:r>
        <w:tab/>
      </w:r>
      <w:r>
        <w:fldChar w:fldCharType="begin"/>
      </w:r>
      <w:r>
        <w:instrText xml:space="preserve"> PAGEREF _Toc23632 </w:instrText>
      </w:r>
      <w:r>
        <w:fldChar w:fldCharType="separate"/>
      </w:r>
      <w:r>
        <w:t>13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_Toc21793 </w:instrText>
      </w:r>
      <w:r>
        <w:rPr>
          <w:rFonts w:hint="eastAsia" w:asciiTheme="minorEastAsia" w:hAnsiTheme="minorEastAsia" w:eastAsiaTheme="minorEastAsia"/>
          <w:szCs w:val="24"/>
        </w:rPr>
        <w:fldChar w:fldCharType="separate"/>
      </w:r>
      <w:r>
        <w:rPr>
          <w:rFonts w:hint="eastAsia"/>
          <w:b/>
          <w:szCs w:val="28"/>
        </w:rPr>
        <w:t>3</w:t>
      </w:r>
      <w:r>
        <w:rPr>
          <w:b/>
          <w:szCs w:val="28"/>
        </w:rPr>
        <w:t>.3环境风险源识别</w:t>
      </w:r>
      <w:r>
        <w:tab/>
      </w:r>
      <w:r>
        <w:fldChar w:fldCharType="begin"/>
      </w:r>
      <w:r>
        <w:instrText xml:space="preserve"> PAGEREF _Toc21793 </w:instrText>
      </w:r>
      <w:r>
        <w:fldChar w:fldCharType="separate"/>
      </w:r>
      <w:r>
        <w:t>14</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_Toc25228 </w:instrText>
      </w:r>
      <w:r>
        <w:rPr>
          <w:rFonts w:hint="eastAsia" w:asciiTheme="minorEastAsia" w:hAnsiTheme="minorEastAsia" w:eastAsiaTheme="minorEastAsia"/>
          <w:szCs w:val="24"/>
        </w:rPr>
        <w:fldChar w:fldCharType="separate"/>
      </w:r>
      <w:r>
        <w:rPr>
          <w:rFonts w:hint="eastAsia"/>
          <w:b/>
          <w:szCs w:val="26"/>
        </w:rPr>
        <w:t>3</w:t>
      </w:r>
      <w:r>
        <w:rPr>
          <w:b/>
          <w:szCs w:val="26"/>
        </w:rPr>
        <w:t>.4重大危险源识别</w:t>
      </w:r>
      <w:r>
        <w:tab/>
      </w:r>
      <w:r>
        <w:fldChar w:fldCharType="begin"/>
      </w:r>
      <w:r>
        <w:instrText xml:space="preserve"> PAGEREF _Toc25228 </w:instrText>
      </w:r>
      <w:r>
        <w:fldChar w:fldCharType="separate"/>
      </w:r>
      <w:r>
        <w:t>16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_Toc14436 </w:instrText>
      </w:r>
      <w:r>
        <w:rPr>
          <w:rFonts w:hint="eastAsia" w:asciiTheme="minorEastAsia" w:hAnsiTheme="minorEastAsia" w:eastAsiaTheme="minorEastAsia"/>
          <w:szCs w:val="24"/>
        </w:rPr>
        <w:fldChar w:fldCharType="separate"/>
      </w:r>
      <w:r>
        <w:rPr>
          <w:rFonts w:hint="eastAsia"/>
          <w:b/>
          <w:szCs w:val="28"/>
        </w:rPr>
        <w:t>3</w:t>
      </w:r>
      <w:r>
        <w:rPr>
          <w:b/>
          <w:szCs w:val="28"/>
        </w:rPr>
        <w:t>.5企业突发环境事件影响分析</w:t>
      </w:r>
      <w:r>
        <w:tab/>
      </w:r>
      <w:r>
        <w:fldChar w:fldCharType="begin"/>
      </w:r>
      <w:r>
        <w:instrText xml:space="preserve"> PAGEREF _Toc14436 </w:instrText>
      </w:r>
      <w:r>
        <w:fldChar w:fldCharType="separate"/>
      </w:r>
      <w:r>
        <w:t>18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_Toc19334 </w:instrText>
      </w:r>
      <w:r>
        <w:rPr>
          <w:rFonts w:hint="eastAsia" w:asciiTheme="minorEastAsia" w:hAnsiTheme="minorEastAsia" w:eastAsiaTheme="minorEastAsia"/>
          <w:szCs w:val="24"/>
        </w:rPr>
        <w:fldChar w:fldCharType="separate"/>
      </w:r>
      <w:r>
        <w:rPr>
          <w:rFonts w:hint="eastAsia"/>
          <w:b/>
          <w:szCs w:val="28"/>
        </w:rPr>
        <w:t>3</w:t>
      </w:r>
      <w:r>
        <w:rPr>
          <w:b/>
          <w:szCs w:val="28"/>
        </w:rPr>
        <w:t>.</w:t>
      </w:r>
      <w:r>
        <w:rPr>
          <w:rFonts w:hint="eastAsia"/>
          <w:b/>
          <w:szCs w:val="28"/>
        </w:rPr>
        <w:t>5</w:t>
      </w:r>
      <w:r>
        <w:rPr>
          <w:b/>
          <w:szCs w:val="28"/>
        </w:rPr>
        <w:t>.</w:t>
      </w:r>
      <w:r>
        <w:rPr>
          <w:rFonts w:hint="eastAsia"/>
          <w:b/>
          <w:szCs w:val="28"/>
        </w:rPr>
        <w:t>1盐酸泄漏影响分析</w:t>
      </w:r>
      <w:r>
        <w:tab/>
      </w:r>
      <w:r>
        <w:fldChar w:fldCharType="begin"/>
      </w:r>
      <w:r>
        <w:instrText xml:space="preserve"> PAGEREF _Toc19334 </w:instrText>
      </w:r>
      <w:r>
        <w:fldChar w:fldCharType="separate"/>
      </w:r>
      <w:r>
        <w:t>18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_Toc26446 </w:instrText>
      </w:r>
      <w:r>
        <w:rPr>
          <w:rFonts w:hint="eastAsia" w:asciiTheme="minorEastAsia" w:hAnsiTheme="minorEastAsia" w:eastAsiaTheme="minorEastAsia"/>
          <w:szCs w:val="24"/>
        </w:rPr>
        <w:fldChar w:fldCharType="separate"/>
      </w:r>
      <w:r>
        <w:rPr>
          <w:rFonts w:hint="eastAsia"/>
          <w:b/>
          <w:szCs w:val="28"/>
        </w:rPr>
        <w:t>3</w:t>
      </w:r>
      <w:r>
        <w:rPr>
          <w:b/>
          <w:szCs w:val="28"/>
        </w:rPr>
        <w:t>.</w:t>
      </w:r>
      <w:r>
        <w:rPr>
          <w:rFonts w:hint="eastAsia"/>
          <w:b/>
          <w:szCs w:val="28"/>
        </w:rPr>
        <w:t>5</w:t>
      </w:r>
      <w:r>
        <w:rPr>
          <w:b/>
          <w:szCs w:val="28"/>
        </w:rPr>
        <w:t>.</w:t>
      </w:r>
      <w:r>
        <w:rPr>
          <w:rFonts w:hint="eastAsia"/>
          <w:b/>
          <w:szCs w:val="28"/>
        </w:rPr>
        <w:t>2污水直接排放影响分析</w:t>
      </w:r>
      <w:r>
        <w:tab/>
      </w:r>
      <w:r>
        <w:fldChar w:fldCharType="begin"/>
      </w:r>
      <w:r>
        <w:instrText xml:space="preserve"> PAGEREF _Toc26446 </w:instrText>
      </w:r>
      <w:r>
        <w:fldChar w:fldCharType="separate"/>
      </w:r>
      <w:r>
        <w:t>18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_Toc6874 </w:instrText>
      </w:r>
      <w:r>
        <w:rPr>
          <w:rFonts w:hint="eastAsia" w:asciiTheme="minorEastAsia" w:hAnsiTheme="minorEastAsia" w:eastAsiaTheme="minorEastAsia"/>
          <w:szCs w:val="24"/>
        </w:rPr>
        <w:fldChar w:fldCharType="separate"/>
      </w:r>
      <w:r>
        <w:rPr>
          <w:rFonts w:hint="eastAsia"/>
          <w:b/>
          <w:szCs w:val="28"/>
        </w:rPr>
        <w:t>3</w:t>
      </w:r>
      <w:r>
        <w:rPr>
          <w:b/>
          <w:szCs w:val="28"/>
        </w:rPr>
        <w:t>.</w:t>
      </w:r>
      <w:r>
        <w:rPr>
          <w:rFonts w:hint="eastAsia"/>
          <w:b/>
          <w:szCs w:val="28"/>
        </w:rPr>
        <w:t>5</w:t>
      </w:r>
      <w:r>
        <w:rPr>
          <w:b/>
          <w:szCs w:val="28"/>
        </w:rPr>
        <w:t>.</w:t>
      </w:r>
      <w:r>
        <w:rPr>
          <w:rFonts w:hint="eastAsia"/>
          <w:b/>
          <w:szCs w:val="28"/>
        </w:rPr>
        <w:t>3污水经处理后未达标排放影响分析</w:t>
      </w:r>
      <w:r>
        <w:tab/>
      </w:r>
      <w:r>
        <w:fldChar w:fldCharType="begin"/>
      </w:r>
      <w:r>
        <w:instrText xml:space="preserve"> PAGEREF _Toc6874 </w:instrText>
      </w:r>
      <w:r>
        <w:fldChar w:fldCharType="separate"/>
      </w:r>
      <w:r>
        <w:t>19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_Toc6203 </w:instrText>
      </w:r>
      <w:r>
        <w:rPr>
          <w:rFonts w:hint="eastAsia" w:asciiTheme="minorEastAsia" w:hAnsiTheme="minorEastAsia" w:eastAsiaTheme="minorEastAsia"/>
          <w:szCs w:val="24"/>
        </w:rPr>
        <w:fldChar w:fldCharType="separate"/>
      </w:r>
      <w:r>
        <w:rPr>
          <w:rFonts w:hint="eastAsia"/>
          <w:b/>
          <w:szCs w:val="28"/>
        </w:rPr>
        <w:t>3</w:t>
      </w:r>
      <w:r>
        <w:rPr>
          <w:b/>
          <w:szCs w:val="28"/>
        </w:rPr>
        <w:t>.</w:t>
      </w:r>
      <w:r>
        <w:rPr>
          <w:rFonts w:hint="eastAsia"/>
          <w:b/>
          <w:szCs w:val="28"/>
        </w:rPr>
        <w:t>6</w:t>
      </w:r>
      <w:r>
        <w:rPr>
          <w:b/>
          <w:szCs w:val="28"/>
        </w:rPr>
        <w:t>现有风险防范措施</w:t>
      </w:r>
      <w:r>
        <w:tab/>
      </w:r>
      <w:r>
        <w:fldChar w:fldCharType="begin"/>
      </w:r>
      <w:r>
        <w:instrText xml:space="preserve"> PAGEREF _Toc6203 </w:instrText>
      </w:r>
      <w:r>
        <w:fldChar w:fldCharType="separate"/>
      </w:r>
      <w:r>
        <w:t>21</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_Toc4600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4应急组织及职责</w:t>
      </w:r>
      <w:r>
        <w:tab/>
      </w:r>
      <w:r>
        <w:fldChar w:fldCharType="begin"/>
      </w:r>
      <w:r>
        <w:instrText xml:space="preserve"> PAGEREF _Toc4600 </w:instrText>
      </w:r>
      <w:r>
        <w:fldChar w:fldCharType="separate"/>
      </w:r>
      <w:r>
        <w:t>23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_Toc24916 </w:instrText>
      </w:r>
      <w:r>
        <w:rPr>
          <w:rFonts w:hint="eastAsia" w:asciiTheme="minorEastAsia" w:hAnsiTheme="minorEastAsia" w:eastAsiaTheme="minorEastAsia"/>
          <w:szCs w:val="24"/>
        </w:rPr>
        <w:fldChar w:fldCharType="separate"/>
      </w:r>
      <w:r>
        <w:rPr>
          <w:rFonts w:hint="eastAsia"/>
          <w:b/>
          <w:szCs w:val="28"/>
        </w:rPr>
        <w:t>4.1应急组织机构图</w:t>
      </w:r>
      <w:r>
        <w:tab/>
      </w:r>
      <w:r>
        <w:fldChar w:fldCharType="begin"/>
      </w:r>
      <w:r>
        <w:instrText xml:space="preserve"> PAGEREF _Toc24916 </w:instrText>
      </w:r>
      <w:r>
        <w:fldChar w:fldCharType="separate"/>
      </w:r>
      <w:r>
        <w:t>23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_Toc18167 </w:instrText>
      </w:r>
      <w:r>
        <w:rPr>
          <w:rFonts w:hint="eastAsia" w:asciiTheme="minorEastAsia" w:hAnsiTheme="minorEastAsia" w:eastAsiaTheme="minorEastAsia"/>
          <w:szCs w:val="24"/>
        </w:rPr>
        <w:fldChar w:fldCharType="separate"/>
      </w:r>
      <w:r>
        <w:rPr>
          <w:rFonts w:hint="eastAsia"/>
          <w:b/>
          <w:szCs w:val="28"/>
        </w:rPr>
        <w:t>4.2组织机构成员名单</w:t>
      </w:r>
      <w:r>
        <w:tab/>
      </w:r>
      <w:r>
        <w:fldChar w:fldCharType="begin"/>
      </w:r>
      <w:r>
        <w:instrText xml:space="preserve"> PAGEREF _Toc18167 </w:instrText>
      </w:r>
      <w:r>
        <w:fldChar w:fldCharType="separate"/>
      </w:r>
      <w:r>
        <w:t>23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_Toc16029 </w:instrText>
      </w:r>
      <w:r>
        <w:rPr>
          <w:rFonts w:hint="eastAsia" w:asciiTheme="minorEastAsia" w:hAnsiTheme="minorEastAsia" w:eastAsiaTheme="minorEastAsia"/>
          <w:szCs w:val="24"/>
        </w:rPr>
        <w:fldChar w:fldCharType="separate"/>
      </w:r>
      <w:r>
        <w:rPr>
          <w:rFonts w:hint="eastAsia"/>
          <w:b/>
          <w:szCs w:val="28"/>
        </w:rPr>
        <w:t>4.3应急组职责</w:t>
      </w:r>
      <w:r>
        <w:tab/>
      </w:r>
      <w:r>
        <w:fldChar w:fldCharType="begin"/>
      </w:r>
      <w:r>
        <w:instrText xml:space="preserve"> PAGEREF _Toc16029 </w:instrText>
      </w:r>
      <w:r>
        <w:fldChar w:fldCharType="separate"/>
      </w:r>
      <w:r>
        <w:t>25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_Toc13034 </w:instrText>
      </w:r>
      <w:r>
        <w:rPr>
          <w:rFonts w:hint="eastAsia" w:asciiTheme="minorEastAsia" w:hAnsiTheme="minorEastAsia" w:eastAsiaTheme="minorEastAsia"/>
          <w:szCs w:val="24"/>
        </w:rPr>
        <w:fldChar w:fldCharType="separate"/>
      </w:r>
      <w:r>
        <w:rPr>
          <w:rFonts w:hint="eastAsia"/>
          <w:b/>
          <w:szCs w:val="28"/>
        </w:rPr>
        <w:t>4.4应急</w:t>
      </w:r>
      <w:r>
        <w:rPr>
          <w:b/>
          <w:szCs w:val="28"/>
        </w:rPr>
        <w:t>预案</w:t>
      </w:r>
      <w:r>
        <w:rPr>
          <w:rFonts w:hint="eastAsia"/>
          <w:b/>
          <w:szCs w:val="28"/>
        </w:rPr>
        <w:t>体系转换</w:t>
      </w:r>
      <w:r>
        <w:rPr>
          <w:b/>
          <w:szCs w:val="28"/>
        </w:rPr>
        <w:t>与</w:t>
      </w:r>
      <w:r>
        <w:rPr>
          <w:rFonts w:hint="eastAsia"/>
          <w:b/>
          <w:szCs w:val="28"/>
        </w:rPr>
        <w:t>衔接条件</w:t>
      </w:r>
      <w:r>
        <w:tab/>
      </w:r>
      <w:r>
        <w:fldChar w:fldCharType="begin"/>
      </w:r>
      <w:r>
        <w:instrText xml:space="preserve"> PAGEREF _Toc13034 </w:instrText>
      </w:r>
      <w:r>
        <w:fldChar w:fldCharType="separate"/>
      </w:r>
      <w:r>
        <w:t>27</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_Toc1399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5预警及信息报告</w:t>
      </w:r>
      <w:r>
        <w:tab/>
      </w:r>
      <w:r>
        <w:fldChar w:fldCharType="begin"/>
      </w:r>
      <w:r>
        <w:instrText xml:space="preserve"> PAGEREF _Toc1399 </w:instrText>
      </w:r>
      <w:r>
        <w:fldChar w:fldCharType="separate"/>
      </w:r>
      <w:r>
        <w:t>28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_Toc31716 </w:instrText>
      </w:r>
      <w:r>
        <w:rPr>
          <w:rFonts w:hint="eastAsia" w:asciiTheme="minorEastAsia" w:hAnsiTheme="minorEastAsia" w:eastAsiaTheme="minorEastAsia"/>
          <w:szCs w:val="24"/>
        </w:rPr>
        <w:fldChar w:fldCharType="separate"/>
      </w:r>
      <w:r>
        <w:rPr>
          <w:rFonts w:hint="eastAsia"/>
          <w:b/>
          <w:szCs w:val="28"/>
        </w:rPr>
        <w:t>5.1预防措施</w:t>
      </w:r>
      <w:r>
        <w:tab/>
      </w:r>
      <w:r>
        <w:fldChar w:fldCharType="begin"/>
      </w:r>
      <w:r>
        <w:instrText xml:space="preserve"> PAGEREF _Toc31716 </w:instrText>
      </w:r>
      <w:r>
        <w:fldChar w:fldCharType="separate"/>
      </w:r>
      <w:r>
        <w:t>28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_Toc6420 </w:instrText>
      </w:r>
      <w:r>
        <w:rPr>
          <w:rFonts w:hint="eastAsia" w:asciiTheme="minorEastAsia" w:hAnsiTheme="minorEastAsia" w:eastAsiaTheme="minorEastAsia"/>
          <w:szCs w:val="24"/>
        </w:rPr>
        <w:fldChar w:fldCharType="separate"/>
      </w:r>
      <w:r>
        <w:rPr>
          <w:rFonts w:hint="eastAsia"/>
          <w:b/>
          <w:szCs w:val="28"/>
        </w:rPr>
        <w:t>5.2预警措施</w:t>
      </w:r>
      <w:r>
        <w:tab/>
      </w:r>
      <w:r>
        <w:fldChar w:fldCharType="begin"/>
      </w:r>
      <w:r>
        <w:instrText xml:space="preserve"> PAGEREF _Toc6420 </w:instrText>
      </w:r>
      <w:r>
        <w:fldChar w:fldCharType="separate"/>
      </w:r>
      <w:r>
        <w:t>28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_Toc8205 </w:instrText>
      </w:r>
      <w:r>
        <w:rPr>
          <w:rFonts w:hint="eastAsia" w:asciiTheme="minorEastAsia" w:hAnsiTheme="minorEastAsia" w:eastAsiaTheme="minorEastAsia"/>
          <w:szCs w:val="24"/>
        </w:rPr>
        <w:fldChar w:fldCharType="separate"/>
      </w:r>
      <w:r>
        <w:rPr>
          <w:rFonts w:hint="eastAsia"/>
          <w:b/>
          <w:szCs w:val="28"/>
        </w:rPr>
        <w:t>5.3有效报警方式</w:t>
      </w:r>
      <w:r>
        <w:tab/>
      </w:r>
      <w:r>
        <w:fldChar w:fldCharType="begin"/>
      </w:r>
      <w:r>
        <w:instrText xml:space="preserve"> PAGEREF _Toc8205 </w:instrText>
      </w:r>
      <w:r>
        <w:fldChar w:fldCharType="separate"/>
      </w:r>
      <w:r>
        <w:t>30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_Toc4021 </w:instrText>
      </w:r>
      <w:r>
        <w:rPr>
          <w:rFonts w:hint="eastAsia" w:asciiTheme="minorEastAsia" w:hAnsiTheme="minorEastAsia" w:eastAsiaTheme="minorEastAsia"/>
          <w:szCs w:val="24"/>
        </w:rPr>
        <w:fldChar w:fldCharType="separate"/>
      </w:r>
      <w:r>
        <w:rPr>
          <w:rFonts w:hint="eastAsia"/>
          <w:b/>
          <w:szCs w:val="28"/>
        </w:rPr>
        <w:t>5.4</w:t>
      </w:r>
      <w:r>
        <w:rPr>
          <w:b/>
          <w:szCs w:val="28"/>
        </w:rPr>
        <w:t>信息报告与通报</w:t>
      </w:r>
      <w:r>
        <w:tab/>
      </w:r>
      <w:r>
        <w:fldChar w:fldCharType="begin"/>
      </w:r>
      <w:r>
        <w:instrText xml:space="preserve"> PAGEREF _Toc4021 </w:instrText>
      </w:r>
      <w:r>
        <w:fldChar w:fldCharType="separate"/>
      </w:r>
      <w:r>
        <w:t>30</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_Toc4729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6应急响应与措施</w:t>
      </w:r>
      <w:r>
        <w:tab/>
      </w:r>
      <w:r>
        <w:fldChar w:fldCharType="begin"/>
      </w:r>
      <w:r>
        <w:instrText xml:space="preserve"> PAGEREF _Toc4729 </w:instrText>
      </w:r>
      <w:r>
        <w:fldChar w:fldCharType="separate"/>
      </w:r>
      <w:r>
        <w:t>32</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_Toc13990 </w:instrText>
      </w:r>
      <w:r>
        <w:rPr>
          <w:rFonts w:hint="eastAsia" w:asciiTheme="minorEastAsia" w:hAnsiTheme="minorEastAsia" w:eastAsiaTheme="minorEastAsia"/>
          <w:szCs w:val="24"/>
        </w:rPr>
        <w:fldChar w:fldCharType="separate"/>
      </w:r>
      <w:r>
        <w:rPr>
          <w:rFonts w:hint="eastAsia"/>
          <w:b/>
          <w:szCs w:val="28"/>
        </w:rPr>
        <w:t>6.1响应分级</w:t>
      </w:r>
      <w:r>
        <w:tab/>
      </w:r>
      <w:r>
        <w:fldChar w:fldCharType="begin"/>
      </w:r>
      <w:r>
        <w:instrText xml:space="preserve"> PAGEREF _Toc13990 </w:instrText>
      </w:r>
      <w:r>
        <w:fldChar w:fldCharType="separate"/>
      </w:r>
      <w:r>
        <w:t>32</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_Toc8098 </w:instrText>
      </w:r>
      <w:r>
        <w:rPr>
          <w:rFonts w:hint="eastAsia" w:asciiTheme="minorEastAsia" w:hAnsiTheme="minorEastAsia" w:eastAsiaTheme="minorEastAsia"/>
          <w:szCs w:val="24"/>
        </w:rPr>
        <w:fldChar w:fldCharType="separate"/>
      </w:r>
      <w:r>
        <w:rPr>
          <w:rFonts w:hint="eastAsia"/>
          <w:b/>
          <w:szCs w:val="28"/>
        </w:rPr>
        <w:t>6.2响应程序</w:t>
      </w:r>
      <w:r>
        <w:tab/>
      </w:r>
      <w:r>
        <w:fldChar w:fldCharType="begin"/>
      </w:r>
      <w:r>
        <w:instrText xml:space="preserve"> PAGEREF _Toc8098 </w:instrText>
      </w:r>
      <w:r>
        <w:fldChar w:fldCharType="separate"/>
      </w:r>
      <w:r>
        <w:t>32</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_Toc4950 </w:instrText>
      </w:r>
      <w:r>
        <w:rPr>
          <w:rFonts w:hint="eastAsia" w:asciiTheme="minorEastAsia" w:hAnsiTheme="minorEastAsia" w:eastAsiaTheme="minorEastAsia"/>
          <w:szCs w:val="24"/>
        </w:rPr>
        <w:fldChar w:fldCharType="separate"/>
      </w:r>
      <w:r>
        <w:rPr>
          <w:rFonts w:hint="eastAsia"/>
          <w:b/>
          <w:szCs w:val="28"/>
          <w:lang w:val="zh-CN"/>
        </w:rPr>
        <w:t>6.3 抢险、救援及控制措施</w:t>
      </w:r>
      <w:r>
        <w:tab/>
      </w:r>
      <w:r>
        <w:fldChar w:fldCharType="begin"/>
      </w:r>
      <w:r>
        <w:instrText xml:space="preserve"> PAGEREF _Toc4950 </w:instrText>
      </w:r>
      <w:r>
        <w:fldChar w:fldCharType="separate"/>
      </w:r>
      <w:r>
        <w:t>32</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_Toc24236 </w:instrText>
      </w:r>
      <w:r>
        <w:rPr>
          <w:rFonts w:hint="eastAsia" w:asciiTheme="minorEastAsia" w:hAnsiTheme="minorEastAsia" w:eastAsiaTheme="minorEastAsia"/>
          <w:szCs w:val="24"/>
        </w:rPr>
        <w:fldChar w:fldCharType="separate"/>
      </w:r>
      <w:r>
        <w:rPr>
          <w:rFonts w:hint="eastAsia"/>
          <w:b/>
          <w:szCs w:val="28"/>
        </w:rPr>
        <w:t>6.4应急处置措施</w:t>
      </w:r>
      <w:r>
        <w:tab/>
      </w:r>
      <w:r>
        <w:fldChar w:fldCharType="begin"/>
      </w:r>
      <w:r>
        <w:instrText xml:space="preserve"> PAGEREF _Toc24236 </w:instrText>
      </w:r>
      <w:r>
        <w:fldChar w:fldCharType="separate"/>
      </w:r>
      <w:r>
        <w:t>35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_Toc12804 </w:instrText>
      </w:r>
      <w:r>
        <w:rPr>
          <w:rFonts w:hint="eastAsia" w:asciiTheme="minorEastAsia" w:hAnsiTheme="minorEastAsia" w:eastAsiaTheme="minorEastAsia"/>
          <w:szCs w:val="24"/>
        </w:rPr>
        <w:fldChar w:fldCharType="separate"/>
      </w:r>
      <w:r>
        <w:rPr>
          <w:rFonts w:hint="eastAsia"/>
          <w:b/>
          <w:szCs w:val="24"/>
        </w:rPr>
        <w:t>6.4.1处置原则</w:t>
      </w:r>
      <w:r>
        <w:tab/>
      </w:r>
      <w:r>
        <w:fldChar w:fldCharType="begin"/>
      </w:r>
      <w:r>
        <w:instrText xml:space="preserve"> PAGEREF _Toc12804 </w:instrText>
      </w:r>
      <w:r>
        <w:fldChar w:fldCharType="separate"/>
      </w:r>
      <w:r>
        <w:t>35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_Toc24034 </w:instrText>
      </w:r>
      <w:r>
        <w:rPr>
          <w:rFonts w:hint="eastAsia" w:asciiTheme="minorEastAsia" w:hAnsiTheme="minorEastAsia" w:eastAsiaTheme="minorEastAsia"/>
          <w:szCs w:val="24"/>
        </w:rPr>
        <w:fldChar w:fldCharType="separate"/>
      </w:r>
      <w:r>
        <w:rPr>
          <w:rFonts w:hint="eastAsia"/>
          <w:b/>
          <w:szCs w:val="24"/>
        </w:rPr>
        <w:t>6</w:t>
      </w:r>
      <w:r>
        <w:rPr>
          <w:b/>
          <w:szCs w:val="24"/>
        </w:rPr>
        <w:t>.</w:t>
      </w:r>
      <w:r>
        <w:rPr>
          <w:rFonts w:hint="eastAsia"/>
          <w:b/>
          <w:szCs w:val="24"/>
        </w:rPr>
        <w:t>4</w:t>
      </w:r>
      <w:r>
        <w:rPr>
          <w:b/>
          <w:szCs w:val="24"/>
        </w:rPr>
        <w:t>.</w:t>
      </w:r>
      <w:r>
        <w:rPr>
          <w:rFonts w:hint="eastAsia"/>
          <w:b/>
          <w:szCs w:val="24"/>
        </w:rPr>
        <w:t>2</w:t>
      </w:r>
      <w:r>
        <w:rPr>
          <w:b/>
          <w:szCs w:val="24"/>
        </w:rPr>
        <w:t xml:space="preserve"> </w:t>
      </w:r>
      <w:r>
        <w:rPr>
          <w:rFonts w:hint="eastAsia"/>
          <w:b/>
          <w:szCs w:val="24"/>
        </w:rPr>
        <w:t>应急</w:t>
      </w:r>
      <w:r>
        <w:rPr>
          <w:b/>
          <w:szCs w:val="24"/>
        </w:rPr>
        <w:t>流程</w:t>
      </w:r>
      <w:r>
        <w:tab/>
      </w:r>
      <w:r>
        <w:fldChar w:fldCharType="begin"/>
      </w:r>
      <w:r>
        <w:instrText xml:space="preserve"> PAGEREF _Toc24034 </w:instrText>
      </w:r>
      <w:r>
        <w:fldChar w:fldCharType="separate"/>
      </w:r>
      <w:r>
        <w:t>35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_Toc22214 </w:instrText>
      </w:r>
      <w:r>
        <w:rPr>
          <w:rFonts w:hint="eastAsia" w:asciiTheme="minorEastAsia" w:hAnsiTheme="minorEastAsia" w:eastAsiaTheme="minorEastAsia"/>
          <w:szCs w:val="24"/>
        </w:rPr>
        <w:fldChar w:fldCharType="separate"/>
      </w:r>
      <w:r>
        <w:rPr>
          <w:rFonts w:hint="eastAsia"/>
          <w:b/>
          <w:szCs w:val="28"/>
        </w:rPr>
        <w:t>6.4.3</w:t>
      </w:r>
      <w:r>
        <w:rPr>
          <w:b/>
          <w:szCs w:val="28"/>
        </w:rPr>
        <w:t>一源一案</w:t>
      </w:r>
      <w:r>
        <w:tab/>
      </w:r>
      <w:r>
        <w:fldChar w:fldCharType="begin"/>
      </w:r>
      <w:r>
        <w:instrText xml:space="preserve"> PAGEREF _Toc22214 </w:instrText>
      </w:r>
      <w:r>
        <w:fldChar w:fldCharType="separate"/>
      </w:r>
      <w:r>
        <w:t>36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_Toc27664 </w:instrText>
      </w:r>
      <w:r>
        <w:rPr>
          <w:rFonts w:hint="eastAsia" w:asciiTheme="minorEastAsia" w:hAnsiTheme="minorEastAsia" w:eastAsiaTheme="minorEastAsia"/>
          <w:szCs w:val="24"/>
        </w:rPr>
        <w:fldChar w:fldCharType="separate"/>
      </w:r>
      <w:r>
        <w:rPr>
          <w:rFonts w:hint="eastAsia"/>
          <w:b/>
          <w:szCs w:val="28"/>
        </w:rPr>
        <w:t>6.5应急监测</w:t>
      </w:r>
      <w:r>
        <w:tab/>
      </w:r>
      <w:r>
        <w:fldChar w:fldCharType="begin"/>
      </w:r>
      <w:r>
        <w:instrText xml:space="preserve"> PAGEREF _Toc27664 </w:instrText>
      </w:r>
      <w:r>
        <w:fldChar w:fldCharType="separate"/>
      </w:r>
      <w:r>
        <w:t>43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_Toc3076 </w:instrText>
      </w:r>
      <w:r>
        <w:rPr>
          <w:rFonts w:hint="eastAsia" w:asciiTheme="minorEastAsia" w:hAnsiTheme="minorEastAsia" w:eastAsiaTheme="minorEastAsia"/>
          <w:szCs w:val="24"/>
        </w:rPr>
        <w:fldChar w:fldCharType="separate"/>
      </w:r>
      <w:r>
        <w:rPr>
          <w:rFonts w:hint="eastAsia"/>
          <w:b/>
          <w:szCs w:val="28"/>
        </w:rPr>
        <w:t>6.6应急终止</w:t>
      </w:r>
      <w:r>
        <w:tab/>
      </w:r>
      <w:r>
        <w:fldChar w:fldCharType="begin"/>
      </w:r>
      <w:r>
        <w:instrText xml:space="preserve"> PAGEREF _Toc3076 </w:instrText>
      </w:r>
      <w:r>
        <w:fldChar w:fldCharType="separate"/>
      </w:r>
      <w:r>
        <w:t>44</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_Toc11678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7后期处置</w:t>
      </w:r>
      <w:r>
        <w:tab/>
      </w:r>
      <w:r>
        <w:fldChar w:fldCharType="begin"/>
      </w:r>
      <w:r>
        <w:instrText xml:space="preserve"> PAGEREF _Toc11678 </w:instrText>
      </w:r>
      <w:r>
        <w:fldChar w:fldCharType="separate"/>
      </w:r>
      <w:r>
        <w:t>45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_Toc8608 </w:instrText>
      </w:r>
      <w:r>
        <w:rPr>
          <w:rFonts w:hint="eastAsia" w:asciiTheme="minorEastAsia" w:hAnsiTheme="minorEastAsia" w:eastAsiaTheme="minorEastAsia"/>
          <w:szCs w:val="24"/>
        </w:rPr>
        <w:fldChar w:fldCharType="separate"/>
      </w:r>
      <w:r>
        <w:rPr>
          <w:rFonts w:hint="eastAsia"/>
          <w:b/>
          <w:szCs w:val="28"/>
        </w:rPr>
        <w:t>7.1 污染物处理</w:t>
      </w:r>
      <w:r>
        <w:tab/>
      </w:r>
      <w:r>
        <w:fldChar w:fldCharType="begin"/>
      </w:r>
      <w:r>
        <w:instrText xml:space="preserve"> PAGEREF _Toc8608 </w:instrText>
      </w:r>
      <w:r>
        <w:fldChar w:fldCharType="separate"/>
      </w:r>
      <w:r>
        <w:t>45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_Toc25500 </w:instrText>
      </w:r>
      <w:r>
        <w:rPr>
          <w:rFonts w:hint="eastAsia" w:asciiTheme="minorEastAsia" w:hAnsiTheme="minorEastAsia" w:eastAsiaTheme="minorEastAsia"/>
          <w:szCs w:val="24"/>
        </w:rPr>
        <w:fldChar w:fldCharType="separate"/>
      </w:r>
      <w:r>
        <w:rPr>
          <w:rFonts w:hint="eastAsia"/>
          <w:b/>
          <w:szCs w:val="28"/>
        </w:rPr>
        <w:t>7.2生产秩序恢复</w:t>
      </w:r>
      <w:r>
        <w:tab/>
      </w:r>
      <w:r>
        <w:fldChar w:fldCharType="begin"/>
      </w:r>
      <w:r>
        <w:instrText xml:space="preserve"> PAGEREF _Toc25500 </w:instrText>
      </w:r>
      <w:r>
        <w:fldChar w:fldCharType="separate"/>
      </w:r>
      <w:r>
        <w:t>45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_Toc2641 </w:instrText>
      </w:r>
      <w:r>
        <w:rPr>
          <w:rFonts w:hint="eastAsia" w:asciiTheme="minorEastAsia" w:hAnsiTheme="minorEastAsia" w:eastAsiaTheme="minorEastAsia"/>
          <w:szCs w:val="24"/>
        </w:rPr>
        <w:fldChar w:fldCharType="separate"/>
      </w:r>
      <w:r>
        <w:rPr>
          <w:rFonts w:hint="eastAsia"/>
          <w:b/>
          <w:szCs w:val="28"/>
        </w:rPr>
        <w:t>7.3善后处置（医疗救治、人员安置、善后赔偿）</w:t>
      </w:r>
      <w:r>
        <w:tab/>
      </w:r>
      <w:r>
        <w:fldChar w:fldCharType="begin"/>
      </w:r>
      <w:r>
        <w:instrText xml:space="preserve"> PAGEREF _Toc2641 </w:instrText>
      </w:r>
      <w:r>
        <w:fldChar w:fldCharType="separate"/>
      </w:r>
      <w:r>
        <w:t>45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_Toc15395 </w:instrText>
      </w:r>
      <w:r>
        <w:rPr>
          <w:rFonts w:hint="eastAsia" w:asciiTheme="minorEastAsia" w:hAnsiTheme="minorEastAsia" w:eastAsiaTheme="minorEastAsia"/>
          <w:szCs w:val="24"/>
        </w:rPr>
        <w:fldChar w:fldCharType="separate"/>
      </w:r>
      <w:r>
        <w:rPr>
          <w:rFonts w:hint="eastAsia"/>
          <w:b/>
          <w:szCs w:val="28"/>
        </w:rPr>
        <w:t>7.4应急救援能力评估</w:t>
      </w:r>
      <w:r>
        <w:tab/>
      </w:r>
      <w:r>
        <w:fldChar w:fldCharType="begin"/>
      </w:r>
      <w:r>
        <w:instrText xml:space="preserve"> PAGEREF _Toc15395 </w:instrText>
      </w:r>
      <w:r>
        <w:fldChar w:fldCharType="separate"/>
      </w:r>
      <w:r>
        <w:t>45</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_Toc12555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8保障措施</w:t>
      </w:r>
      <w:r>
        <w:tab/>
      </w:r>
      <w:r>
        <w:fldChar w:fldCharType="begin"/>
      </w:r>
      <w:r>
        <w:instrText xml:space="preserve"> PAGEREF _Toc12555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_Toc32430 </w:instrText>
      </w:r>
      <w:r>
        <w:rPr>
          <w:rFonts w:hint="eastAsia" w:asciiTheme="minorEastAsia" w:hAnsiTheme="minorEastAsia" w:eastAsiaTheme="minorEastAsia"/>
          <w:szCs w:val="24"/>
        </w:rPr>
        <w:fldChar w:fldCharType="separate"/>
      </w:r>
      <w:r>
        <w:rPr>
          <w:rFonts w:hint="eastAsia"/>
          <w:b/>
          <w:szCs w:val="24"/>
        </w:rPr>
        <w:t>8.1通信与信息保障</w:t>
      </w:r>
      <w:r>
        <w:tab/>
      </w:r>
      <w:r>
        <w:fldChar w:fldCharType="begin"/>
      </w:r>
      <w:r>
        <w:instrText xml:space="preserve"> PAGEREF _Toc32430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_Toc28257 </w:instrText>
      </w:r>
      <w:r>
        <w:rPr>
          <w:rFonts w:hint="eastAsia" w:asciiTheme="minorEastAsia" w:hAnsiTheme="minorEastAsia" w:eastAsiaTheme="minorEastAsia"/>
          <w:szCs w:val="24"/>
        </w:rPr>
        <w:fldChar w:fldCharType="separate"/>
      </w:r>
      <w:r>
        <w:rPr>
          <w:rFonts w:hint="eastAsia"/>
          <w:b/>
          <w:szCs w:val="28"/>
        </w:rPr>
        <w:t>8.2应急队伍保障</w:t>
      </w:r>
      <w:r>
        <w:tab/>
      </w:r>
      <w:r>
        <w:fldChar w:fldCharType="begin"/>
      </w:r>
      <w:r>
        <w:instrText xml:space="preserve"> PAGEREF _Toc28257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_Toc15456 </w:instrText>
      </w:r>
      <w:r>
        <w:rPr>
          <w:rFonts w:hint="eastAsia" w:asciiTheme="minorEastAsia" w:hAnsiTheme="minorEastAsia" w:eastAsiaTheme="minorEastAsia"/>
          <w:szCs w:val="24"/>
        </w:rPr>
        <w:fldChar w:fldCharType="separate"/>
      </w:r>
      <w:r>
        <w:rPr>
          <w:rFonts w:hint="eastAsia"/>
          <w:b/>
          <w:szCs w:val="28"/>
        </w:rPr>
        <w:t>8.3物资装备保障</w:t>
      </w:r>
      <w:r>
        <w:tab/>
      </w:r>
      <w:r>
        <w:fldChar w:fldCharType="begin"/>
      </w:r>
      <w:r>
        <w:instrText xml:space="preserve"> PAGEREF _Toc15456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_Toc17993 </w:instrText>
      </w:r>
      <w:r>
        <w:rPr>
          <w:rFonts w:hint="eastAsia" w:asciiTheme="minorEastAsia" w:hAnsiTheme="minorEastAsia" w:eastAsiaTheme="minorEastAsia"/>
          <w:szCs w:val="24"/>
        </w:rPr>
        <w:fldChar w:fldCharType="separate"/>
      </w:r>
      <w:r>
        <w:rPr>
          <w:rFonts w:hint="eastAsia"/>
          <w:b/>
          <w:szCs w:val="28"/>
        </w:rPr>
        <w:t>8.4其他保障</w:t>
      </w:r>
      <w:r>
        <w:tab/>
      </w:r>
      <w:r>
        <w:fldChar w:fldCharType="begin"/>
      </w:r>
      <w:r>
        <w:instrText xml:space="preserve"> PAGEREF _Toc17993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_Toc11087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9</w:t>
      </w:r>
      <w:r>
        <w:rPr>
          <w:rFonts w:asciiTheme="minorEastAsia" w:hAnsiTheme="minorEastAsia" w:eastAsiaTheme="minorEastAsia"/>
          <w:b/>
        </w:rPr>
        <w:t>奖励与责任追究</w:t>
      </w:r>
      <w:r>
        <w:tab/>
      </w:r>
      <w:r>
        <w:fldChar w:fldCharType="begin"/>
      </w:r>
      <w:r>
        <w:instrText xml:space="preserve"> PAGEREF _Toc11087 </w:instrText>
      </w:r>
      <w:r>
        <w:fldChar w:fldCharType="separate"/>
      </w:r>
      <w:r>
        <w:t>48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_Toc6312 </w:instrText>
      </w:r>
      <w:r>
        <w:rPr>
          <w:rFonts w:hint="eastAsia" w:asciiTheme="minorEastAsia" w:hAnsiTheme="minorEastAsia" w:eastAsiaTheme="minorEastAsia"/>
          <w:szCs w:val="24"/>
        </w:rPr>
        <w:fldChar w:fldCharType="separate"/>
      </w:r>
      <w:r>
        <w:rPr>
          <w:rFonts w:hint="eastAsia"/>
          <w:b/>
          <w:szCs w:val="28"/>
        </w:rPr>
        <w:t>9</w:t>
      </w:r>
      <w:r>
        <w:rPr>
          <w:b/>
          <w:szCs w:val="28"/>
        </w:rPr>
        <w:t>.1奖励</w:t>
      </w:r>
      <w:r>
        <w:tab/>
      </w:r>
      <w:r>
        <w:fldChar w:fldCharType="begin"/>
      </w:r>
      <w:r>
        <w:instrText xml:space="preserve"> PAGEREF _Toc6312 </w:instrText>
      </w:r>
      <w:r>
        <w:fldChar w:fldCharType="separate"/>
      </w:r>
      <w:r>
        <w:t>48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_Toc19787 </w:instrText>
      </w:r>
      <w:r>
        <w:rPr>
          <w:rFonts w:hint="eastAsia" w:asciiTheme="minorEastAsia" w:hAnsiTheme="minorEastAsia" w:eastAsiaTheme="minorEastAsia"/>
          <w:szCs w:val="24"/>
        </w:rPr>
        <w:fldChar w:fldCharType="separate"/>
      </w:r>
      <w:r>
        <w:rPr>
          <w:rFonts w:hint="eastAsia"/>
          <w:b/>
          <w:szCs w:val="28"/>
        </w:rPr>
        <w:t>9</w:t>
      </w:r>
      <w:r>
        <w:rPr>
          <w:b/>
          <w:szCs w:val="28"/>
        </w:rPr>
        <w:t>.2责任追究</w:t>
      </w:r>
      <w:r>
        <w:tab/>
      </w:r>
      <w:r>
        <w:fldChar w:fldCharType="begin"/>
      </w:r>
      <w:r>
        <w:instrText xml:space="preserve"> PAGEREF _Toc19787 </w:instrText>
      </w:r>
      <w:r>
        <w:fldChar w:fldCharType="separate"/>
      </w:r>
      <w:r>
        <w:t>48</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_Toc909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10应急预案管理</w:t>
      </w:r>
      <w:r>
        <w:tab/>
      </w:r>
      <w:r>
        <w:fldChar w:fldCharType="begin"/>
      </w:r>
      <w:r>
        <w:instrText xml:space="preserve"> PAGEREF _Toc909 </w:instrText>
      </w:r>
      <w:r>
        <w:fldChar w:fldCharType="separate"/>
      </w:r>
      <w:r>
        <w:t>49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_Toc17849 </w:instrText>
      </w:r>
      <w:r>
        <w:rPr>
          <w:rFonts w:hint="eastAsia" w:asciiTheme="minorEastAsia" w:hAnsiTheme="minorEastAsia" w:eastAsiaTheme="minorEastAsia"/>
          <w:szCs w:val="24"/>
        </w:rPr>
        <w:fldChar w:fldCharType="separate"/>
      </w:r>
      <w:r>
        <w:rPr>
          <w:rFonts w:hint="eastAsia"/>
          <w:b/>
          <w:szCs w:val="28"/>
        </w:rPr>
        <w:t>10.1应急预案培训</w:t>
      </w:r>
      <w:r>
        <w:tab/>
      </w:r>
      <w:r>
        <w:fldChar w:fldCharType="begin"/>
      </w:r>
      <w:r>
        <w:instrText xml:space="preserve"> PAGEREF _Toc17849 </w:instrText>
      </w:r>
      <w:r>
        <w:fldChar w:fldCharType="separate"/>
      </w:r>
      <w:r>
        <w:t>49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_Toc27660 </w:instrText>
      </w:r>
      <w:r>
        <w:rPr>
          <w:rFonts w:hint="eastAsia" w:asciiTheme="minorEastAsia" w:hAnsiTheme="minorEastAsia" w:eastAsiaTheme="minorEastAsia"/>
          <w:szCs w:val="24"/>
        </w:rPr>
        <w:fldChar w:fldCharType="separate"/>
      </w:r>
      <w:r>
        <w:rPr>
          <w:rFonts w:hint="eastAsia"/>
          <w:b/>
          <w:szCs w:val="28"/>
        </w:rPr>
        <w:t>10.2应急预案演练</w:t>
      </w:r>
      <w:r>
        <w:tab/>
      </w:r>
      <w:r>
        <w:fldChar w:fldCharType="begin"/>
      </w:r>
      <w:r>
        <w:instrText xml:space="preserve"> PAGEREF _Toc27660 </w:instrText>
      </w:r>
      <w:r>
        <w:fldChar w:fldCharType="separate"/>
      </w:r>
      <w:r>
        <w:t>49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_Toc8064 </w:instrText>
      </w:r>
      <w:r>
        <w:rPr>
          <w:rFonts w:hint="eastAsia" w:asciiTheme="minorEastAsia" w:hAnsiTheme="minorEastAsia" w:eastAsiaTheme="minorEastAsia"/>
          <w:szCs w:val="24"/>
        </w:rPr>
        <w:fldChar w:fldCharType="separate"/>
      </w:r>
      <w:r>
        <w:rPr>
          <w:rFonts w:hint="eastAsia"/>
          <w:b/>
          <w:szCs w:val="24"/>
        </w:rPr>
        <w:t>10.3应急预案修订</w:t>
      </w:r>
      <w:r>
        <w:tab/>
      </w:r>
      <w:r>
        <w:fldChar w:fldCharType="begin"/>
      </w:r>
      <w:r>
        <w:instrText xml:space="preserve"> PAGEREF _Toc8064 </w:instrText>
      </w:r>
      <w:r>
        <w:fldChar w:fldCharType="separate"/>
      </w:r>
      <w:r>
        <w:t>49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_Toc2829 </w:instrText>
      </w:r>
      <w:r>
        <w:rPr>
          <w:rFonts w:hint="eastAsia" w:asciiTheme="minorEastAsia" w:hAnsiTheme="minorEastAsia" w:eastAsiaTheme="minorEastAsia"/>
          <w:szCs w:val="24"/>
        </w:rPr>
        <w:fldChar w:fldCharType="separate"/>
      </w:r>
      <w:r>
        <w:rPr>
          <w:rFonts w:hint="eastAsia"/>
          <w:b/>
          <w:szCs w:val="24"/>
        </w:rPr>
        <w:t>10.4应急预案备案</w:t>
      </w:r>
      <w:r>
        <w:tab/>
      </w:r>
      <w:r>
        <w:fldChar w:fldCharType="begin"/>
      </w:r>
      <w:r>
        <w:instrText xml:space="preserve"> PAGEREF _Toc2829 </w:instrText>
      </w:r>
      <w:r>
        <w:fldChar w:fldCharType="separate"/>
      </w:r>
      <w:r>
        <w:t>50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_Toc2839 </w:instrText>
      </w:r>
      <w:r>
        <w:rPr>
          <w:rFonts w:hint="eastAsia" w:asciiTheme="minorEastAsia" w:hAnsiTheme="minorEastAsia" w:eastAsiaTheme="minorEastAsia"/>
          <w:szCs w:val="24"/>
        </w:rPr>
        <w:fldChar w:fldCharType="separate"/>
      </w:r>
      <w:r>
        <w:rPr>
          <w:rFonts w:hint="eastAsia"/>
          <w:b/>
          <w:szCs w:val="24"/>
        </w:rPr>
        <w:t>10.5应急预案实施</w:t>
      </w:r>
      <w:r>
        <w:tab/>
      </w:r>
      <w:r>
        <w:fldChar w:fldCharType="begin"/>
      </w:r>
      <w:r>
        <w:instrText xml:space="preserve"> PAGEREF _Toc2839 </w:instrText>
      </w:r>
      <w:r>
        <w:fldChar w:fldCharType="separate"/>
      </w:r>
      <w:r>
        <w:t>50</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_Toc1432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11 附件</w:t>
      </w:r>
      <w:r>
        <w:tab/>
      </w:r>
      <w:r>
        <w:fldChar w:fldCharType="begin"/>
      </w:r>
      <w:r>
        <w:instrText xml:space="preserve"> PAGEREF _Toc1432 </w:instrText>
      </w:r>
      <w:r>
        <w:fldChar w:fldCharType="separate"/>
      </w:r>
      <w:r>
        <w:t>51</w:t>
      </w:r>
      <w:r>
        <w:fldChar w:fldCharType="end"/>
      </w:r>
      <w:r>
        <w:rPr>
          <w:rFonts w:hint="eastAsia" w:asciiTheme="minorEastAsia" w:hAnsiTheme="minorEastAsia" w:eastAsiaTheme="minorEastAsia"/>
          <w:color w:val="000000"/>
          <w:szCs w:val="24"/>
        </w:rPr>
        <w:fldChar w:fldCharType="end"/>
      </w:r>
    </w:p>
    <w:p>
      <w:pPr>
        <w:pageBreakBefore/>
        <w:spacing w:line="360" w:lineRule="auto"/>
        <w:jc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Cs w:val="24"/>
        </w:rPr>
        <w:fldChar w:fldCharType="end"/>
      </w:r>
      <w:bookmarkStart w:id="0" w:name="_Toc229283958"/>
      <w:bookmarkStart w:id="1" w:name="_Toc183339209"/>
      <w:bookmarkStart w:id="2" w:name="_Toc262040262"/>
      <w:bookmarkStart w:id="3" w:name="_Toc304833219"/>
      <w:bookmarkStart w:id="4" w:name="_Toc184809536"/>
      <w:bookmarkStart w:id="5" w:name="_Toc262051102"/>
      <w:bookmarkStart w:id="6" w:name="_Toc185670969"/>
      <w:bookmarkStart w:id="7" w:name="_Toc183339485"/>
      <w:bookmarkStart w:id="8" w:name="_Toc196018527"/>
      <w:bookmarkStart w:id="9" w:name="_Toc184808749"/>
      <w:bookmarkStart w:id="10" w:name="_Toc262051523"/>
      <w:bookmarkStart w:id="11" w:name="_Toc179794530"/>
      <w:bookmarkStart w:id="12" w:name="_Toc197251327"/>
      <w:bookmarkStart w:id="13" w:name="_Toc196018623"/>
      <w:bookmarkStart w:id="14" w:name="_Toc196018418"/>
      <w:bookmarkStart w:id="15" w:name="_Toc262050852"/>
      <w:bookmarkStart w:id="16" w:name="_Toc198007322"/>
      <w:bookmarkStart w:id="17" w:name="_Toc198355307"/>
      <w:r>
        <w:rPr>
          <w:rFonts w:hint="eastAsia" w:asciiTheme="minorEastAsia" w:hAnsiTheme="minorEastAsia" w:eastAsiaTheme="minorEastAsia"/>
          <w:b/>
          <w:kern w:val="0"/>
          <w:sz w:val="32"/>
          <w:szCs w:val="32"/>
        </w:rPr>
        <w:t>应急预案编制小组</w:t>
      </w:r>
    </w:p>
    <w:tbl>
      <w:tblPr>
        <w:tblStyle w:val="54"/>
        <w:tblpPr w:leftFromText="180" w:rightFromText="180" w:vertAnchor="text" w:tblpY="1"/>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745"/>
        <w:gridCol w:w="198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姓  名</w:t>
            </w:r>
          </w:p>
        </w:tc>
        <w:tc>
          <w:tcPr>
            <w:tcW w:w="2745" w:type="dxa"/>
            <w:vAlign w:val="center"/>
          </w:tcPr>
          <w:p>
            <w:pPr>
              <w:tabs>
                <w:tab w:val="left" w:pos="7395"/>
              </w:tabs>
              <w:spacing w:beforeLines="50" w:after="120" w:line="600" w:lineRule="exact"/>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职务</w:t>
            </w:r>
          </w:p>
        </w:tc>
        <w:tc>
          <w:tcPr>
            <w:tcW w:w="1984" w:type="dxa"/>
            <w:vAlign w:val="center"/>
          </w:tcPr>
          <w:p>
            <w:pPr>
              <w:tabs>
                <w:tab w:val="left" w:pos="7395"/>
              </w:tabs>
              <w:spacing w:beforeLines="50" w:after="120" w:line="600" w:lineRule="exact"/>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工作职责</w:t>
            </w:r>
          </w:p>
        </w:tc>
        <w:tc>
          <w:tcPr>
            <w:tcW w:w="3011" w:type="dxa"/>
            <w:vAlign w:val="center"/>
          </w:tcPr>
          <w:p>
            <w:pPr>
              <w:tabs>
                <w:tab w:val="left" w:pos="7395"/>
              </w:tabs>
              <w:spacing w:beforeLines="50" w:after="120" w:line="600" w:lineRule="exact"/>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秦廷伟</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组长</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校验</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操 准</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预案编制</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陶建华</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风险分析</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向广川</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风险分析</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cs="仿宋_GB2312" w:asciiTheme="minorEastAsia" w:hAnsiTheme="minorEastAsia" w:eastAsiaTheme="minorEastAsia"/>
                <w:sz w:val="28"/>
                <w:szCs w:val="28"/>
              </w:rPr>
              <w:t>梅杰</w:t>
            </w:r>
          </w:p>
        </w:tc>
        <w:tc>
          <w:tcPr>
            <w:tcW w:w="2745"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center"/>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预案整理收集</w:t>
            </w:r>
          </w:p>
        </w:tc>
        <w:tc>
          <w:tcPr>
            <w:tcW w:w="3011" w:type="dxa"/>
            <w:vAlign w:val="center"/>
          </w:tcPr>
          <w:p>
            <w:pPr>
              <w:tabs>
                <w:tab w:val="left" w:pos="7395"/>
              </w:tabs>
              <w:spacing w:beforeLines="50" w:after="120" w:line="600" w:lineRule="exact"/>
              <w:jc w:val="center"/>
              <w:rPr>
                <w:rFonts w:asciiTheme="minorEastAsia" w:hAnsiTheme="minorEastAsia" w:eastAsiaTheme="minorEastAsia"/>
                <w:color w:val="000000"/>
                <w:sz w:val="28"/>
                <w:szCs w:val="28"/>
              </w:rPr>
            </w:pPr>
          </w:p>
        </w:tc>
      </w:tr>
    </w:tbl>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应急预案审议小组</w:t>
      </w:r>
    </w:p>
    <w:tbl>
      <w:tblPr>
        <w:tblStyle w:val="54"/>
        <w:tblW w:w="9264"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0"/>
        <w:gridCol w:w="2693"/>
        <w:gridCol w:w="2126"/>
        <w:gridCol w:w="2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60"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姓名</w:t>
            </w:r>
          </w:p>
        </w:tc>
        <w:tc>
          <w:tcPr>
            <w:tcW w:w="2693"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职务</w:t>
            </w:r>
          </w:p>
        </w:tc>
        <w:tc>
          <w:tcPr>
            <w:tcW w:w="2126" w:type="dxa"/>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工作职责</w:t>
            </w:r>
          </w:p>
        </w:tc>
        <w:tc>
          <w:tcPr>
            <w:tcW w:w="2885"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sz w:val="28"/>
                <w:szCs w:val="28"/>
              </w:rPr>
              <w:t>况敬良</w:t>
            </w:r>
          </w:p>
        </w:tc>
        <w:tc>
          <w:tcPr>
            <w:tcW w:w="2693"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组长</w:t>
            </w:r>
          </w:p>
        </w:tc>
        <w:tc>
          <w:tcPr>
            <w:tcW w:w="2126" w:type="dxa"/>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批准</w:t>
            </w:r>
          </w:p>
        </w:tc>
        <w:tc>
          <w:tcPr>
            <w:tcW w:w="2885" w:type="dxa"/>
            <w:vAlign w:val="center"/>
          </w:tcPr>
          <w:p>
            <w:pPr>
              <w:adjustRightInd w:val="0"/>
              <w:snapToGrid w:val="0"/>
              <w:spacing w:line="500" w:lineRule="exact"/>
              <w:jc w:val="center"/>
              <w:rPr>
                <w:rFonts w:asciiTheme="minorEastAsia" w:hAnsiTheme="minorEastAsia" w:eastAsiaTheme="minorEastAsia"/>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cs="仿宋_GB2312" w:asciiTheme="minorEastAsia" w:hAnsiTheme="minorEastAsia" w:eastAsiaTheme="minorEastAsia"/>
                <w:sz w:val="28"/>
                <w:szCs w:val="28"/>
              </w:rPr>
              <w:t>张平生</w:t>
            </w:r>
          </w:p>
        </w:tc>
        <w:tc>
          <w:tcPr>
            <w:tcW w:w="2693"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组员</w:t>
            </w:r>
          </w:p>
        </w:tc>
        <w:tc>
          <w:tcPr>
            <w:tcW w:w="2126"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可行性审核</w:t>
            </w:r>
          </w:p>
        </w:tc>
        <w:tc>
          <w:tcPr>
            <w:tcW w:w="2885" w:type="dxa"/>
            <w:vAlign w:val="center"/>
          </w:tcPr>
          <w:p>
            <w:pPr>
              <w:adjustRightInd w:val="0"/>
              <w:snapToGrid w:val="0"/>
              <w:spacing w:line="500" w:lineRule="exact"/>
              <w:jc w:val="center"/>
              <w:rPr>
                <w:rFonts w:asciiTheme="minorEastAsia" w:hAnsiTheme="minorEastAsia" w:eastAsiaTheme="minorEastAsia"/>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Theme="minorEastAsia" w:hAnsiTheme="minorEastAsia" w:eastAsiaTheme="minorEastAsia"/>
                <w:b/>
                <w:sz w:val="28"/>
                <w:szCs w:val="28"/>
              </w:rPr>
            </w:pPr>
            <w:r>
              <w:rPr>
                <w:rFonts w:hint="eastAsia" w:cs="仿宋_GB2312" w:asciiTheme="minorEastAsia" w:hAnsiTheme="minorEastAsia" w:eastAsiaTheme="minorEastAsia"/>
                <w:sz w:val="28"/>
                <w:szCs w:val="28"/>
              </w:rPr>
              <w:t>刘江义</w:t>
            </w:r>
          </w:p>
        </w:tc>
        <w:tc>
          <w:tcPr>
            <w:tcW w:w="2693"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组员</w:t>
            </w:r>
          </w:p>
        </w:tc>
        <w:tc>
          <w:tcPr>
            <w:tcW w:w="2126" w:type="dxa"/>
            <w:vAlign w:val="center"/>
          </w:tcPr>
          <w:p>
            <w:pPr>
              <w:adjustRightInd w:val="0"/>
              <w:snapToGrid w:val="0"/>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规范性审核</w:t>
            </w:r>
          </w:p>
        </w:tc>
        <w:tc>
          <w:tcPr>
            <w:tcW w:w="2885" w:type="dxa"/>
            <w:vAlign w:val="center"/>
          </w:tcPr>
          <w:p>
            <w:pPr>
              <w:adjustRightInd w:val="0"/>
              <w:snapToGrid w:val="0"/>
              <w:spacing w:line="500" w:lineRule="exact"/>
              <w:jc w:val="center"/>
              <w:rPr>
                <w:rFonts w:asciiTheme="minorEastAsia" w:hAnsiTheme="minorEastAsia" w:eastAsiaTheme="minorEastAsia"/>
                <w:b/>
                <w:sz w:val="28"/>
                <w:szCs w:val="28"/>
              </w:rPr>
            </w:pPr>
          </w:p>
        </w:tc>
      </w:tr>
    </w:tbl>
    <w:p>
      <w:pPr>
        <w:rPr>
          <w:rFonts w:asciiTheme="minorEastAsia" w:hAnsiTheme="minorEastAsia" w:eastAsiaTheme="minorEastAsia"/>
          <w:color w:val="000000"/>
          <w:sz w:val="24"/>
          <w:szCs w:val="24"/>
        </w:rPr>
        <w:sectPr>
          <w:pgSz w:w="11906" w:h="16838"/>
          <w:pgMar w:top="1418" w:right="1418" w:bottom="1418" w:left="1474" w:header="709" w:footer="680" w:gutter="0"/>
          <w:pgNumType w:start="1"/>
          <w:cols w:space="720" w:num="1"/>
          <w:docGrid w:linePitch="312" w:charSpace="0"/>
        </w:sectPr>
      </w:pPr>
    </w:p>
    <w:p>
      <w:pPr>
        <w:pStyle w:val="2"/>
        <w:spacing w:before="120" w:after="120" w:line="360" w:lineRule="auto"/>
        <w:jc w:val="center"/>
        <w:rPr>
          <w:rFonts w:asciiTheme="minorEastAsia" w:hAnsiTheme="minorEastAsia" w:eastAsiaTheme="minorEastAsia"/>
          <w:b/>
          <w:color w:val="000000"/>
          <w:sz w:val="32"/>
          <w:szCs w:val="28"/>
        </w:rPr>
      </w:pPr>
      <w:bookmarkStart w:id="18" w:name="_Toc336326836"/>
      <w:bookmarkStart w:id="19" w:name="_Toc336327114"/>
      <w:bookmarkStart w:id="20" w:name="_Toc387131487"/>
      <w:bookmarkStart w:id="21" w:name="_Toc387131744"/>
      <w:bookmarkStart w:id="22" w:name="_Toc415254529"/>
      <w:bookmarkStart w:id="23" w:name="_Toc304964429"/>
      <w:bookmarkStart w:id="24" w:name="_Toc26204"/>
      <w:r>
        <w:rPr>
          <w:rFonts w:hint="eastAsia" w:asciiTheme="minorEastAsia" w:hAnsiTheme="minorEastAsia" w:eastAsiaTheme="minorEastAsia"/>
          <w:b/>
          <w:color w:val="000000"/>
          <w:sz w:val="32"/>
        </w:rPr>
        <w:t>1总则</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adjustRightInd w:val="0"/>
        <w:snapToGrid w:val="0"/>
        <w:spacing w:line="460" w:lineRule="exact"/>
        <w:outlineLvl w:val="1"/>
        <w:rPr>
          <w:b/>
          <w:color w:val="000000"/>
          <w:sz w:val="26"/>
          <w:szCs w:val="26"/>
        </w:rPr>
      </w:pPr>
      <w:bookmarkStart w:id="25" w:name="_Toc179794531"/>
      <w:bookmarkStart w:id="26" w:name="_Toc183339210"/>
      <w:bookmarkStart w:id="27" w:name="_Toc183339486"/>
      <w:bookmarkStart w:id="28" w:name="_Toc184808750"/>
      <w:bookmarkStart w:id="29" w:name="_Toc184809537"/>
      <w:bookmarkStart w:id="30" w:name="_Toc185670970"/>
      <w:bookmarkStart w:id="31" w:name="_Toc196018419"/>
      <w:bookmarkStart w:id="32" w:name="_Toc196018528"/>
      <w:bookmarkStart w:id="33" w:name="_Toc196018624"/>
      <w:bookmarkStart w:id="34" w:name="_Toc197251328"/>
      <w:bookmarkStart w:id="35" w:name="_Toc198007323"/>
      <w:bookmarkStart w:id="36" w:name="_Toc198355308"/>
      <w:bookmarkStart w:id="37" w:name="_Toc229283959"/>
      <w:bookmarkStart w:id="38" w:name="_Toc262040263"/>
      <w:bookmarkStart w:id="39" w:name="_Toc262050853"/>
      <w:bookmarkStart w:id="40" w:name="_Toc262051103"/>
      <w:bookmarkStart w:id="41" w:name="_Toc262051524"/>
      <w:bookmarkStart w:id="42" w:name="_Toc304833220"/>
      <w:bookmarkStart w:id="43" w:name="_Toc304962943"/>
      <w:bookmarkStart w:id="44" w:name="_Toc304963587"/>
      <w:bookmarkStart w:id="45" w:name="_Toc304964430"/>
      <w:bookmarkStart w:id="46" w:name="_Toc336326837"/>
      <w:bookmarkStart w:id="47" w:name="_Toc336327115"/>
      <w:bookmarkStart w:id="48" w:name="_Toc387131414"/>
      <w:bookmarkStart w:id="49" w:name="_Toc387131488"/>
      <w:bookmarkStart w:id="50" w:name="_Toc387131745"/>
      <w:bookmarkStart w:id="51" w:name="_Toc415254530"/>
      <w:bookmarkStart w:id="52" w:name="_Toc11205"/>
      <w:r>
        <w:rPr>
          <w:rFonts w:hint="eastAsia"/>
          <w:b/>
          <w:color w:val="000000"/>
          <w:sz w:val="26"/>
          <w:szCs w:val="26"/>
        </w:rPr>
        <w:t>1.1编制目的</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bookmarkStart w:id="53" w:name="_Toc179794532"/>
      <w:bookmarkStart w:id="54" w:name="_Toc183339211"/>
      <w:bookmarkStart w:id="55" w:name="_Toc183339487"/>
      <w:bookmarkStart w:id="56" w:name="_Toc184808751"/>
      <w:bookmarkStart w:id="57" w:name="_Toc184809538"/>
      <w:bookmarkStart w:id="58" w:name="_Toc185670971"/>
      <w:bookmarkStart w:id="59" w:name="_Toc196018420"/>
      <w:bookmarkStart w:id="60" w:name="_Toc196018529"/>
      <w:bookmarkStart w:id="61" w:name="_Toc196018625"/>
      <w:bookmarkStart w:id="62" w:name="_Toc197251329"/>
      <w:bookmarkStart w:id="63" w:name="_Toc198007324"/>
      <w:bookmarkStart w:id="64" w:name="_Toc198355309"/>
      <w:bookmarkStart w:id="65" w:name="_Toc229283960"/>
      <w:bookmarkStart w:id="66" w:name="_Toc262040264"/>
      <w:bookmarkStart w:id="67" w:name="_Toc262050854"/>
      <w:bookmarkStart w:id="68" w:name="_Toc262051104"/>
      <w:bookmarkStart w:id="69" w:name="_Toc262051525"/>
      <w:bookmarkStart w:id="70" w:name="_Toc304833221"/>
      <w:bookmarkStart w:id="71" w:name="_Toc304962944"/>
      <w:bookmarkStart w:id="72" w:name="_Toc304963588"/>
      <w:bookmarkStart w:id="73" w:name="_Toc304964431"/>
      <w:bookmarkStart w:id="74" w:name="_Toc336326838"/>
      <w:bookmarkStart w:id="75" w:name="_Toc336327116"/>
      <w:bookmarkStart w:id="76" w:name="_Toc387131415"/>
      <w:bookmarkStart w:id="77" w:name="_Toc387131489"/>
      <w:bookmarkStart w:id="78" w:name="_Toc387131746"/>
      <w:r>
        <w:rPr>
          <w:rFonts w:hint="eastAsia" w:asciiTheme="minorEastAsia" w:hAnsiTheme="minorEastAsia" w:eastAsiaTheme="minorEastAsia"/>
          <w:color w:val="000000"/>
          <w:sz w:val="24"/>
          <w:szCs w:val="24"/>
        </w:rPr>
        <w:t>为进一步增强应对和防范事故风险和事故灾难的能力，在事故、事件发生时，能以最快的速度、最大的效能，有序地实施救援，最大限度地减少事故灾难造成的人员伤亡和财产损失。本着“预防为先、自救为主、统一指挥、分工负责”的原则，根据《中华人民共和国安全生产法》、《中华人民共和国突发事件应对法》、《生产安全事故应急预案管理办法》等有关法律、法规相关要求，结合我公司实际情况，特制订本预案。</w:t>
      </w:r>
    </w:p>
    <w:p>
      <w:pPr>
        <w:adjustRightInd w:val="0"/>
        <w:snapToGrid w:val="0"/>
        <w:spacing w:line="460" w:lineRule="exact"/>
        <w:outlineLvl w:val="1"/>
        <w:rPr>
          <w:b/>
          <w:color w:val="000000"/>
          <w:sz w:val="26"/>
          <w:szCs w:val="26"/>
        </w:rPr>
      </w:pPr>
      <w:bookmarkStart w:id="79" w:name="_Toc415254531"/>
      <w:bookmarkStart w:id="80" w:name="_Toc30975"/>
      <w:r>
        <w:rPr>
          <w:rFonts w:hint="eastAsia"/>
          <w:b/>
          <w:color w:val="000000"/>
          <w:sz w:val="26"/>
          <w:szCs w:val="26"/>
        </w:rPr>
        <w:t>1.2编制依据</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（1）《中华人民共和国环境保护法》（中华人民共和国主席令第9号）；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（2）《中华人民共和国大气污染防治法》（中华人民共和国主席令第32号）；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（3）《中华人民共和国水污染防治法》（中华人民共和国主席令第87号）；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（4）《中华人民共和国固体废物污染环境防治法》（中华人民共和国主席令第5号2005年4月1日）；</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（5）《中华人民共和国安全生产法》（中华人民共和国主席令第13号）；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（6）《中华人民共和国消防法》（中华人民共和国主席令第6号）；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（7）《中华人民共和国职业病防治法》（中华人民共和国主席令第52号）；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（8）《国务院办公厅转发安全监管总局等部门关于加强企业应急管理工作意见的通知》（国办发〔2007〕13号）；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（9）《国务院办公厅关于加强基层应急管理工作意见》（国办发〔2007〕52号）；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（10）《国务院办公厅关于加强基层应急管理工作意见》(AQ/T9002-2006)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（11）《国家突发公共事件总体应急预案》；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（12）《国家突发环境事件应急预案》；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（13）《关于防范环境风险加强环境影响评价管理的通知》（环发〔2005〕152号）；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（14）《关于督促化工企业切实做好几项安全环保重点工作的紧急通知》（安监总危化〔2006〕10号）；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（15）《危险化学品名录》（2016版）；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（16）《剧毒化学品名录》（国家安全生产监督管理局等8部门公告2003第2号）；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（17）《国家危险废物名录》（环境保护部令 第39号 ）；</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（18）《石油化工企业环境应急预案编制指南》（环办[2010]10号）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（19）《危险化学品重大危险源辨识》（GB18218-2014）；</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（20）《建设项目环境风险评价技术导则》（HJ/T169-2004）；</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（21）《建设项目环境影响评价分类管理名录》（中华人民共和国环境保护部令第33号）；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（22）《地表水环境质量标准》（GB3838-2002）；</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（23）《环境空气质量标准》（GB3095-2012）；</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（24）《重庆市大气污染物综合排放标准》（DB 50/418-2016）；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（25）《污水综合排放标准》（GB8978-1996）；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（26）《工作场所有害因素职业接触限值化学有害因素》（GBZ2.1-2007）；</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（27）《工作场所有害因素职业接触限值物理因素》（GBZ2.2-2007）；</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（28）《恶臭污染物排放标准》（GB14554－93）；</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（29）《工业企业设计卫生标准》（GBZ1-2010）；</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（30）《重庆三峡库区流域水环境突发公共事件应急预案》；</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（31）《重庆市环境保护系统突发环境事件应急处理暂行办法》；</w:t>
      </w:r>
    </w:p>
    <w:p>
      <w:pPr>
        <w:adjustRightInd w:val="0"/>
        <w:snapToGrid w:val="0"/>
        <w:spacing w:line="460" w:lineRule="exact"/>
        <w:ind w:firstLine="480" w:firstLineChars="200"/>
        <w:jc w:val="left"/>
        <w:textAlignment w:val="center"/>
        <w:rPr>
          <w:rFonts w:asciiTheme="minorEastAsia" w:hAnsiTheme="minorEastAsia" w:eastAsiaTheme="minorEastAsia"/>
          <w:b/>
          <w:bCs/>
          <w:sz w:val="32"/>
          <w:szCs w:val="32"/>
        </w:rPr>
      </w:pPr>
      <w:r>
        <w:rPr>
          <w:rFonts w:hint="eastAsia" w:asciiTheme="minorEastAsia" w:hAnsiTheme="minorEastAsia" w:eastAsiaTheme="minorEastAsia"/>
          <w:color w:val="000000"/>
          <w:sz w:val="24"/>
          <w:szCs w:val="24"/>
        </w:rPr>
        <w:t xml:space="preserve">其他相关的法律、法规、规章及公司相关的安评、环评报告等。    </w:t>
      </w:r>
      <w:r>
        <w:rPr>
          <w:rFonts w:hint="eastAsia" w:asciiTheme="minorEastAsia" w:hAnsiTheme="minorEastAsia" w:eastAsiaTheme="minorEastAsia"/>
          <w:b/>
          <w:bCs/>
          <w:sz w:val="32"/>
          <w:szCs w:val="32"/>
        </w:rPr>
        <w:t xml:space="preserve">   </w:t>
      </w:r>
    </w:p>
    <w:p>
      <w:pPr>
        <w:adjustRightInd w:val="0"/>
        <w:snapToGrid w:val="0"/>
        <w:spacing w:line="460" w:lineRule="exact"/>
        <w:outlineLvl w:val="1"/>
        <w:rPr>
          <w:b/>
          <w:color w:val="000000"/>
          <w:sz w:val="26"/>
          <w:szCs w:val="26"/>
        </w:rPr>
      </w:pPr>
      <w:bookmarkStart w:id="81" w:name="_Toc31715"/>
      <w:r>
        <w:rPr>
          <w:rFonts w:hint="eastAsia"/>
          <w:b/>
          <w:color w:val="000000"/>
          <w:sz w:val="26"/>
          <w:szCs w:val="26"/>
        </w:rPr>
        <w:t>1.3 适用范围</w:t>
      </w:r>
      <w:bookmarkEnd w:id="81"/>
    </w:p>
    <w:p>
      <w:pPr>
        <w:spacing w:line="460" w:lineRule="exact"/>
        <w:ind w:firstLine="360" w:firstLineChars="150"/>
        <w:rPr>
          <w:rFonts w:cs="仿宋_GB2312" w:asciiTheme="minorEastAsia" w:hAnsiTheme="minorEastAsia" w:eastAsiaTheme="minorEastAsia"/>
        </w:rPr>
      </w:pPr>
      <w:bookmarkStart w:id="82" w:name="_Toc179794534"/>
      <w:bookmarkStart w:id="83" w:name="_Toc183339213"/>
      <w:bookmarkStart w:id="84" w:name="_Toc183339489"/>
      <w:bookmarkStart w:id="85" w:name="_Toc184808753"/>
      <w:bookmarkStart w:id="86" w:name="_Toc184809540"/>
      <w:bookmarkStart w:id="87" w:name="_Toc185670973"/>
      <w:bookmarkStart w:id="88" w:name="_Toc196018422"/>
      <w:bookmarkStart w:id="89" w:name="_Toc196018531"/>
      <w:bookmarkStart w:id="90" w:name="_Toc196018627"/>
      <w:bookmarkStart w:id="91" w:name="_Toc197251331"/>
      <w:bookmarkStart w:id="92" w:name="_Toc198007326"/>
      <w:bookmarkStart w:id="93" w:name="_Toc198355311"/>
      <w:bookmarkStart w:id="94" w:name="_Toc229283962"/>
      <w:bookmarkStart w:id="95" w:name="_Toc262040266"/>
      <w:bookmarkStart w:id="96" w:name="_Toc262050856"/>
      <w:bookmarkStart w:id="97" w:name="_Toc262051106"/>
      <w:bookmarkStart w:id="98" w:name="_Toc262051527"/>
      <w:bookmarkStart w:id="99" w:name="_Toc304833223"/>
      <w:bookmarkStart w:id="100" w:name="_Toc304962946"/>
      <w:bookmarkStart w:id="101" w:name="_Toc304963590"/>
      <w:bookmarkStart w:id="102" w:name="_Toc304964433"/>
      <w:bookmarkStart w:id="103" w:name="_Toc336326840"/>
      <w:bookmarkStart w:id="104" w:name="_Toc336327118"/>
      <w:bookmarkStart w:id="105" w:name="_Toc387131417"/>
      <w:bookmarkStart w:id="106" w:name="_Toc387131491"/>
      <w:bookmarkStart w:id="107" w:name="_Toc387131748"/>
      <w:bookmarkStart w:id="108" w:name="_Toc415254532"/>
      <w:r>
        <w:rPr>
          <w:rFonts w:hint="eastAsia" w:asciiTheme="minorEastAsia" w:hAnsiTheme="minorEastAsia" w:eastAsiaTheme="minorEastAsia"/>
          <w:color w:val="000000"/>
          <w:sz w:val="24"/>
          <w:szCs w:val="24"/>
        </w:rPr>
        <w:t>本预案适用于</w:t>
      </w:r>
      <w:r>
        <w:rPr>
          <w:rFonts w:hint="eastAsia" w:cs="仿宋_GB2312" w:asciiTheme="minorEastAsia" w:hAnsiTheme="minorEastAsia" w:eastAsiaTheme="minorEastAsia"/>
          <w:sz w:val="24"/>
          <w:szCs w:val="24"/>
        </w:rPr>
        <w:t>重庆市涪陵区拓源污水治理有限公司</w:t>
      </w:r>
      <w:r>
        <w:rPr>
          <w:rFonts w:hint="eastAsia" w:asciiTheme="minorEastAsia" w:hAnsiTheme="minorEastAsia" w:eastAsiaTheme="minorEastAsia"/>
          <w:sz w:val="24"/>
          <w:szCs w:val="24"/>
        </w:rPr>
        <w:t>李渡</w:t>
      </w:r>
      <w:r>
        <w:rPr>
          <w:rFonts w:hint="eastAsia" w:cs="宋体" w:asciiTheme="minorEastAsia" w:hAnsiTheme="minorEastAsia" w:eastAsiaTheme="minorEastAsia"/>
          <w:bCs/>
          <w:spacing w:val="-20"/>
          <w:sz w:val="24"/>
          <w:szCs w:val="24"/>
          <w:lang w:val="zh-CN"/>
        </w:rPr>
        <w:t>李渡大耍</w:t>
      </w:r>
      <w:r>
        <w:rPr>
          <w:rFonts w:hint="eastAsia" w:asciiTheme="minorEastAsia" w:hAnsiTheme="minorEastAsia" w:eastAsiaTheme="minorEastAsia"/>
          <w:sz w:val="24"/>
          <w:szCs w:val="24"/>
        </w:rPr>
        <w:t>污水处理厂范围内所发生的突发环境事件的</w:t>
      </w:r>
      <w:r>
        <w:rPr>
          <w:rFonts w:hint="eastAsia" w:asciiTheme="minorEastAsia" w:hAnsiTheme="minorEastAsia" w:eastAsiaTheme="minorEastAsia"/>
          <w:bCs/>
          <w:color w:val="000000"/>
          <w:sz w:val="24"/>
          <w:szCs w:val="24"/>
        </w:rPr>
        <w:t>预</w:t>
      </w:r>
      <w:r>
        <w:rPr>
          <w:rFonts w:hint="eastAsia" w:asciiTheme="minorEastAsia" w:hAnsiTheme="minorEastAsia" w:eastAsiaTheme="minorEastAsia"/>
          <w:color w:val="000000"/>
          <w:sz w:val="24"/>
          <w:szCs w:val="24"/>
        </w:rPr>
        <w:t>警、应急处置和救援工作，包括污染物超标排放或者自然灾害、生产安全事故因素，导致有毒有害物质进入大气、土壤、水体等环境介质突然造成或者可能造成环境质量下降，危及公众身体健康和财产安全，或造成生态环境破坏，或者重大社会影响，需要采取紧急措施予以应对的事件。</w:t>
      </w:r>
    </w:p>
    <w:p>
      <w:pPr>
        <w:adjustRightInd w:val="0"/>
        <w:snapToGrid w:val="0"/>
        <w:spacing w:line="460" w:lineRule="exact"/>
        <w:outlineLvl w:val="1"/>
        <w:rPr>
          <w:b/>
          <w:color w:val="000000"/>
          <w:sz w:val="26"/>
          <w:szCs w:val="26"/>
        </w:rPr>
      </w:pPr>
      <w:bookmarkStart w:id="109" w:name="_Toc10923"/>
      <w:r>
        <w:rPr>
          <w:rFonts w:hint="eastAsia"/>
          <w:b/>
          <w:color w:val="000000"/>
          <w:sz w:val="26"/>
          <w:szCs w:val="26"/>
        </w:rPr>
        <w:t>1.4应急预案体系</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bookmarkStart w:id="110" w:name="_Toc196018423"/>
      <w:bookmarkStart w:id="111" w:name="_Toc196018532"/>
      <w:r>
        <w:rPr>
          <w:rFonts w:hint="eastAsia" w:asciiTheme="minorEastAsia" w:hAnsiTheme="minorEastAsia" w:eastAsiaTheme="minorEastAsia"/>
          <w:color w:val="000000"/>
          <w:sz w:val="24"/>
          <w:szCs w:val="24"/>
        </w:rPr>
        <w:t>当厂区风险事故不涉及企业大范围及单位周边，车间能控制事态及有效进行应急处置，按本公司现场处置方案进行处理；</w:t>
      </w:r>
      <w:bookmarkEnd w:id="110"/>
      <w:bookmarkEnd w:id="111"/>
      <w:r>
        <w:rPr>
          <w:rFonts w:hint="eastAsia" w:asciiTheme="minorEastAsia" w:hAnsiTheme="minorEastAsia" w:eastAsiaTheme="minorEastAsia"/>
          <w:color w:val="000000"/>
          <w:sz w:val="24"/>
          <w:szCs w:val="24"/>
        </w:rPr>
        <w:t>当厂区风险已蔓延到事故车间无法控制但未波及单位周边，此时按重庆市涪陵区拓源污水治理有限公司李渡大耍坝污水处理厂综合预案进行处理；当厂区风险波及单位周边，超出本预案处置范围的立即报告上级政府部门启动相应预案。</w:t>
      </w:r>
    </w:p>
    <w:p>
      <w:pPr>
        <w:adjustRightInd w:val="0"/>
        <w:snapToGrid w:val="0"/>
        <w:spacing w:line="460" w:lineRule="exact"/>
        <w:ind w:firstLine="480" w:firstLineChars="200"/>
        <w:jc w:val="center"/>
        <w:textAlignment w:val="center"/>
        <w:rPr>
          <w:rFonts w:asciiTheme="minorEastAsia" w:hAnsiTheme="minorEastAsia" w:eastAsiaTheme="minorEastAsia"/>
          <w:color w:val="000000"/>
          <w:sz w:val="24"/>
          <w:szCs w:val="24"/>
        </w:rPr>
      </w:pPr>
    </w:p>
    <w:p>
      <w:pPr>
        <w:adjustRightInd w:val="0"/>
        <w:snapToGrid w:val="0"/>
        <w:spacing w:line="460" w:lineRule="exact"/>
        <w:ind w:firstLine="480" w:firstLineChars="200"/>
        <w:jc w:val="center"/>
        <w:textAlignment w:val="center"/>
        <w:rPr>
          <w:rFonts w:asciiTheme="minorEastAsia" w:hAnsiTheme="minorEastAsia" w:eastAsiaTheme="minorEastAsia"/>
          <w:color w:val="000000"/>
          <w:sz w:val="24"/>
          <w:szCs w:val="24"/>
        </w:rPr>
      </w:pPr>
    </w:p>
    <w:p>
      <w:pPr>
        <w:adjustRightInd w:val="0"/>
        <w:snapToGrid w:val="0"/>
        <w:spacing w:line="460" w:lineRule="exact"/>
        <w:ind w:firstLine="480" w:firstLineChars="200"/>
        <w:jc w:val="center"/>
        <w:textAlignment w:val="center"/>
        <w:rPr>
          <w:rFonts w:asciiTheme="minorEastAsia" w:hAnsiTheme="minorEastAsia" w:eastAsiaTheme="minorEastAsia"/>
          <w:color w:val="000000"/>
          <w:sz w:val="24"/>
          <w:szCs w:val="24"/>
        </w:rPr>
      </w:pPr>
    </w:p>
    <w:p>
      <w:pPr>
        <w:adjustRightInd w:val="0"/>
        <w:snapToGrid w:val="0"/>
        <w:spacing w:line="460" w:lineRule="exact"/>
        <w:ind w:firstLine="480" w:firstLineChars="200"/>
        <w:jc w:val="center"/>
        <w:textAlignment w:val="center"/>
        <w:rPr>
          <w:rFonts w:asciiTheme="minorEastAsia" w:hAnsiTheme="minorEastAsia" w:eastAsiaTheme="minorEastAsia"/>
          <w:color w:val="000000"/>
          <w:sz w:val="24"/>
          <w:szCs w:val="24"/>
        </w:rPr>
      </w:pPr>
    </w:p>
    <w:p>
      <w:pPr>
        <w:spacing w:afterLines="150" w:line="56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pict>
          <v:rect id="Rectangle 606" o:spid="_x0000_s2055" o:spt="1" style="position:absolute;left:0pt;margin-left:80.95pt;margin-top:21.95pt;height:34pt;width:270pt;z-index:251634688;mso-width-relative:page;mso-height-relative:page;" coordsize="21600,21600">
            <v:path/>
            <v:fill focussize="0,0"/>
            <v:stroke/>
            <v:imagedata o:title=""/>
            <o:lock v:ext="edit"/>
            <v:textbox>
              <w:txbxContent>
                <w:p>
                  <w:pPr>
                    <w:jc w:val="center"/>
                    <w:rPr>
                      <w:rFonts w:ascii="宋体" w:hAnsi="宋体"/>
                      <w:sz w:val="24"/>
                      <w:szCs w:val="24"/>
                    </w:rPr>
                  </w:pPr>
                  <w:r>
                    <w:rPr>
                      <w:rFonts w:hint="eastAsia" w:ascii="宋体" w:hAnsi="宋体"/>
                      <w:sz w:val="24"/>
                      <w:szCs w:val="24"/>
                    </w:rPr>
                    <w:t>涪陵区生产安全事故应急处理预案</w:t>
                  </w:r>
                </w:p>
              </w:txbxContent>
            </v:textbox>
          </v:rect>
        </w:pict>
      </w:r>
    </w:p>
    <w:p>
      <w:pPr>
        <w:spacing w:afterLines="150" w:line="5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pict>
          <v:line id="Line 607" o:spid="_x0000_s2056" o:spt="20" style="position:absolute;left:0pt;flip:x y;margin-left:215.35pt;margin-top:9.95pt;height:39pt;width:0pt;z-index:251635712;mso-width-relative:page;mso-height-relative:page;" coordsize="21600,21600">
            <v:path arrowok="t"/>
            <v:fill focussize="0,0"/>
            <v:stroke endarrow="block"/>
            <v:imagedata o:title=""/>
            <o:lock v:ext="edit"/>
          </v:line>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pict>
          <v:rect id="Rectangle 605" o:spid="_x0000_s2057" o:spt="1" style="position:absolute;left:0pt;margin-left:69.5pt;margin-top:2.95pt;height:30.15pt;width:291.95pt;z-index:251633664;mso-width-relative:page;mso-height-relative:page;" coordsize="21600,21600">
            <v:path/>
            <v:fill focussize="0,0"/>
            <v:stroke/>
            <v:imagedata o:title=""/>
            <o:lock v:ext="edit"/>
            <v:textbox>
              <w:txbxContent>
                <w:p>
                  <w:pPr>
                    <w:jc w:val="center"/>
                    <w:rPr>
                      <w:rFonts w:ascii="宋体" w:hAnsi="宋体"/>
                      <w:sz w:val="24"/>
                      <w:szCs w:val="24"/>
                    </w:rPr>
                  </w:pPr>
                  <w:r>
                    <w:rPr>
                      <w:rFonts w:hint="eastAsia" w:ascii="宋体" w:hAnsi="宋体" w:cs="Arial"/>
                      <w:sz w:val="24"/>
                      <w:szCs w:val="24"/>
                    </w:rPr>
                    <w:t>涪陵李渡新城区</w:t>
                  </w:r>
                  <w:r>
                    <w:rPr>
                      <w:rFonts w:hint="eastAsia" w:ascii="宋体" w:hAnsi="宋体"/>
                      <w:sz w:val="24"/>
                      <w:szCs w:val="24"/>
                    </w:rPr>
                    <w:t>生产安全事故综合应急预案</w:t>
                  </w:r>
                </w:p>
              </w:txbxContent>
            </v:textbox>
          </v:rect>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pict>
          <v:line id="Line 609" o:spid="_x0000_s2058" o:spt="20" style="position:absolute;left:0pt;flip:y;margin-left:215.35pt;margin-top:3.1pt;height:42.25pt;width:0pt;z-index:251636736;mso-width-relative:page;mso-height-relative:page;" coordsize="21600,21600">
            <v:path arrowok="t"/>
            <v:fill focussize="0,0"/>
            <v:stroke endarrow="block"/>
            <v:imagedata o:title=""/>
            <o:lock v:ext="edit"/>
          </v:line>
        </w:pict>
      </w:r>
    </w:p>
    <w:p>
      <w:pPr>
        <w:spacing w:line="60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pict>
          <v:shape id="AutoShape 602" o:spid="_x0000_s2059" o:spt="109" type="#_x0000_t109" style="position:absolute;left:0pt;margin-left:80.6pt;margin-top:20.1pt;height:37.3pt;width:270pt;z-index:251632640;mso-width-relative:page;mso-height-relative:page;" coordsize="21600,21600">
            <v:path/>
            <v:fill focussize="0,0"/>
            <v:stroke joinstyle="miter"/>
            <v:imagedata o:title=""/>
            <o:lock v:ext="edit"/>
            <v:textbox>
              <w:txbxContent>
                <w:p>
                  <w:pPr>
                    <w:rPr>
                      <w:rFonts w:ascii="宋体" w:hAnsi="宋体" w:cs="Arial"/>
                      <w:sz w:val="24"/>
                      <w:szCs w:val="24"/>
                    </w:rPr>
                  </w:pPr>
                  <w:r>
                    <w:rPr>
                      <w:rFonts w:hint="eastAsia" w:ascii="仿宋_GB2312" w:hAnsi="宋体" w:cs="仿宋_GB2312"/>
                      <w:sz w:val="24"/>
                      <w:szCs w:val="24"/>
                    </w:rPr>
                    <w:t>重庆市涪陵区拓源污水治理有限公司</w:t>
                  </w:r>
                  <w:r>
                    <w:rPr>
                      <w:rFonts w:hint="eastAsia" w:cs="宋体" w:asciiTheme="minorEastAsia" w:hAnsiTheme="minorEastAsia" w:eastAsiaTheme="minorEastAsia"/>
                      <w:bCs/>
                      <w:spacing w:val="-20"/>
                      <w:sz w:val="24"/>
                      <w:szCs w:val="24"/>
                      <w:lang w:val="zh-CN"/>
                    </w:rPr>
                    <w:t>李渡大耍</w:t>
                  </w:r>
                  <w:r>
                    <w:rPr>
                      <w:rFonts w:hint="eastAsia" w:asciiTheme="minorEastAsia" w:hAnsiTheme="minorEastAsia" w:eastAsiaTheme="minorEastAsia"/>
                      <w:sz w:val="24"/>
                      <w:szCs w:val="24"/>
                    </w:rPr>
                    <w:t>坝污水处理厂</w:t>
                  </w:r>
                  <w:r>
                    <w:rPr>
                      <w:rFonts w:hint="eastAsia" w:ascii="宋体" w:hAnsi="宋体" w:cs="Arial"/>
                      <w:sz w:val="24"/>
                      <w:szCs w:val="24"/>
                    </w:rPr>
                    <w:t>生产安全事故综合应急预案</w:t>
                  </w:r>
                </w:p>
              </w:txbxContent>
            </v:textbox>
          </v:shape>
        </w:pict>
      </w:r>
    </w:p>
    <w:p>
      <w:pPr>
        <w:spacing w:beforeLines="50" w:afterLines="50" w:line="56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pict>
          <v:line id="Line 952" o:spid="_x0000_s2060" o:spt="20" style="position:absolute;left:0pt;flip:x y;margin-left:215.35pt;margin-top:26.6pt;height:42.5pt;width:0pt;z-index:251638784;mso-width-relative:page;mso-height-relative:page;" coordsize="21600,21600">
            <v:path arrowok="t"/>
            <v:fill focussize="0,0"/>
            <v:stroke endarrow="block"/>
            <v:imagedata o:title=""/>
            <o:lock v:ext="edit"/>
          </v:line>
        </w:pict>
      </w:r>
    </w:p>
    <w:p>
      <w:pPr>
        <w:spacing w:beforeLines="50" w:afterLines="50" w:line="560" w:lineRule="exac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pict>
          <v:shape id="AutoShape 951" o:spid="_x0000_s2061" o:spt="109" type="#_x0000_t109" style="position:absolute;left:0pt;margin-left:199.7pt;margin-top:-66.35pt;height:219.75pt;width:29.75pt;rotation:5898240f;z-index:251637760;mso-width-relative:page;mso-height-relative:page;" coordsize="21600,21600">
            <v:path/>
            <v:fill focussize="0,0"/>
            <v:stroke joinstyle="miter"/>
            <v:imagedata o:title=""/>
            <o:lock v:ext="edit"/>
            <v:textbox>
              <w:txbxContent>
                <w:p>
                  <w:pPr>
                    <w:jc w:val="center"/>
                    <w:rPr>
                      <w:rFonts w:ascii="宋体" w:hAnsi="宋体"/>
                      <w:sz w:val="24"/>
                      <w:szCs w:val="24"/>
                    </w:rPr>
                  </w:pPr>
                  <w:r>
                    <w:rPr>
                      <w:rFonts w:hint="eastAsia" w:ascii="宋体" w:hAnsi="宋体"/>
                      <w:sz w:val="24"/>
                      <w:szCs w:val="24"/>
                    </w:rPr>
                    <w:t>现场处置方案</w:t>
                  </w:r>
                </w:p>
              </w:txbxContent>
            </v:textbox>
          </v:shape>
        </w:pict>
      </w:r>
    </w:p>
    <w:p>
      <w:pPr>
        <w:spacing w:line="600" w:lineRule="exact"/>
        <w:rPr>
          <w:rFonts w:asciiTheme="minorEastAsia" w:hAnsiTheme="minorEastAsia" w:eastAsiaTheme="minorEastAsia"/>
          <w:color w:val="000000"/>
          <w:sz w:val="28"/>
          <w:szCs w:val="28"/>
        </w:rPr>
      </w:pPr>
    </w:p>
    <w:p>
      <w:pPr>
        <w:adjustRightInd w:val="0"/>
        <w:snapToGrid w:val="0"/>
        <w:spacing w:line="460" w:lineRule="exact"/>
        <w:ind w:firstLine="480" w:firstLineChars="200"/>
        <w:jc w:val="center"/>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图1-1 应急预案体系图</w:t>
      </w:r>
    </w:p>
    <w:p>
      <w:pPr>
        <w:adjustRightInd w:val="0"/>
        <w:snapToGrid w:val="0"/>
        <w:spacing w:line="460" w:lineRule="exact"/>
        <w:outlineLvl w:val="1"/>
        <w:rPr>
          <w:b/>
          <w:color w:val="000000"/>
          <w:sz w:val="26"/>
          <w:szCs w:val="26"/>
        </w:rPr>
      </w:pPr>
      <w:bookmarkStart w:id="112" w:name="_Toc196018424"/>
      <w:bookmarkStart w:id="113" w:name="_Toc196018533"/>
      <w:bookmarkStart w:id="114" w:name="_Toc196018628"/>
      <w:bookmarkStart w:id="115" w:name="_Toc197251332"/>
      <w:bookmarkStart w:id="116" w:name="_Toc198007327"/>
      <w:bookmarkStart w:id="117" w:name="_Toc198355312"/>
      <w:bookmarkStart w:id="118" w:name="_Toc229283963"/>
      <w:bookmarkStart w:id="119" w:name="_Toc262040267"/>
      <w:bookmarkStart w:id="120" w:name="_Toc262050857"/>
      <w:bookmarkStart w:id="121" w:name="_Toc262051107"/>
      <w:bookmarkStart w:id="122" w:name="_Toc262051528"/>
      <w:bookmarkStart w:id="123" w:name="_Toc304833224"/>
      <w:bookmarkStart w:id="124" w:name="_Toc304962947"/>
      <w:bookmarkStart w:id="125" w:name="_Toc304963591"/>
      <w:bookmarkStart w:id="126" w:name="_Toc304964434"/>
      <w:bookmarkStart w:id="127" w:name="_Toc336326841"/>
      <w:bookmarkStart w:id="128" w:name="_Toc336327119"/>
      <w:bookmarkStart w:id="129" w:name="_Toc387131418"/>
      <w:bookmarkStart w:id="130" w:name="_Toc387131492"/>
      <w:bookmarkStart w:id="131" w:name="_Toc387131749"/>
      <w:bookmarkStart w:id="132" w:name="_Toc408274426"/>
      <w:bookmarkStart w:id="133" w:name="_Toc415254533"/>
      <w:bookmarkStart w:id="134" w:name="_Toc21097"/>
      <w:bookmarkStart w:id="135" w:name="_Toc179794535"/>
      <w:bookmarkStart w:id="136" w:name="_Toc183339214"/>
      <w:bookmarkStart w:id="137" w:name="_Toc183339490"/>
      <w:bookmarkStart w:id="138" w:name="_Toc184808754"/>
      <w:bookmarkStart w:id="139" w:name="_Toc184809541"/>
      <w:bookmarkStart w:id="140" w:name="_Toc185670974"/>
      <w:r>
        <w:rPr>
          <w:rFonts w:hint="eastAsia"/>
          <w:b/>
          <w:color w:val="000000"/>
          <w:sz w:val="26"/>
          <w:szCs w:val="26"/>
        </w:rPr>
        <w:t>1.5应急工作原则</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spacing w:line="276" w:lineRule="auto"/>
        <w:ind w:firstLine="560"/>
        <w:rPr>
          <w:rFonts w:asciiTheme="minorEastAsia" w:hAnsiTheme="minorEastAsia" w:eastAsiaTheme="minorEastAsia"/>
          <w:sz w:val="24"/>
          <w:szCs w:val="24"/>
        </w:rPr>
      </w:pPr>
      <w:bookmarkStart w:id="141" w:name="_Toc183339215"/>
      <w:bookmarkStart w:id="142" w:name="_Toc183339491"/>
      <w:bookmarkStart w:id="143" w:name="_Toc184808755"/>
      <w:bookmarkStart w:id="144" w:name="_Toc184809542"/>
      <w:bookmarkStart w:id="145" w:name="_Toc185670975"/>
      <w:bookmarkStart w:id="146" w:name="_Toc196018425"/>
      <w:bookmarkStart w:id="147" w:name="_Toc196018534"/>
      <w:bookmarkStart w:id="148" w:name="_Toc196018629"/>
      <w:bookmarkStart w:id="149" w:name="_Toc197251333"/>
      <w:bookmarkStart w:id="150" w:name="_Toc198007328"/>
      <w:bookmarkStart w:id="151" w:name="_Toc198355313"/>
      <w:bookmarkStart w:id="152" w:name="_Toc229283964"/>
      <w:bookmarkStart w:id="153" w:name="_Toc262040268"/>
      <w:bookmarkStart w:id="154" w:name="_Toc262050858"/>
      <w:bookmarkStart w:id="155" w:name="_Toc262051108"/>
      <w:bookmarkStart w:id="156" w:name="_Toc262051529"/>
      <w:bookmarkStart w:id="157" w:name="_Toc304833225"/>
      <w:bookmarkStart w:id="158" w:name="_Toc304962948"/>
      <w:bookmarkStart w:id="159" w:name="_Toc304963592"/>
      <w:bookmarkStart w:id="160" w:name="_Toc304964435"/>
      <w:bookmarkStart w:id="161" w:name="_Toc336326842"/>
      <w:bookmarkStart w:id="162" w:name="_Toc336327120"/>
      <w:bookmarkStart w:id="163" w:name="_Toc387131419"/>
      <w:bookmarkStart w:id="164" w:name="_Toc387131493"/>
      <w:bookmarkStart w:id="165" w:name="_Toc387131750"/>
      <w:bookmarkStart w:id="166" w:name="_Toc408274427"/>
      <w:bookmarkStart w:id="167" w:name="_Toc415254534"/>
      <w:r>
        <w:rPr>
          <w:rFonts w:hint="eastAsia" w:asciiTheme="minorEastAsia" w:hAnsiTheme="minorEastAsia" w:eastAsiaTheme="minorEastAsia"/>
          <w:sz w:val="24"/>
          <w:szCs w:val="24"/>
        </w:rPr>
        <w:t>本着实事求是、切实可行的方针，始终贯彻如下原则：</w:t>
      </w:r>
    </w:p>
    <w:p>
      <w:pPr>
        <w:spacing w:line="276" w:lineRule="auto"/>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（1）以人为本、安全第一。</w:t>
      </w:r>
    </w:p>
    <w:p>
      <w:pPr>
        <w:spacing w:line="276" w:lineRule="auto"/>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把保障员工的身体健康、生命安全作为首要任务。切实加强应急救援人员的安全防护，充分发挥专业救援力量的骨干作用。</w:t>
      </w:r>
    </w:p>
    <w:p>
      <w:pPr>
        <w:spacing w:line="276" w:lineRule="auto"/>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（2）环境优先原则。</w:t>
      </w:r>
    </w:p>
    <w:p>
      <w:pPr>
        <w:spacing w:line="276" w:lineRule="auto"/>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发生突发环境事件后，采取的应急措施行动中要体现环境重于财务的原则，优先考虑对环境的保护和减少环境影响的紧急措施。</w:t>
      </w:r>
    </w:p>
    <w:p>
      <w:pPr>
        <w:spacing w:line="276" w:lineRule="auto"/>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（3）先期处置原则。</w:t>
      </w:r>
    </w:p>
    <w:p>
      <w:pPr>
        <w:spacing w:line="276"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一旦发生事故，事故单位应立即启动先期处置应急预案，迅速采取有效措施，尽可能的控制事态发展，以减少人员伤亡和财产损失。</w:t>
      </w:r>
    </w:p>
    <w:p>
      <w:pPr>
        <w:spacing w:line="276" w:lineRule="auto"/>
        <w:ind w:firstLine="410" w:firstLineChars="171"/>
        <w:rPr>
          <w:rFonts w:asciiTheme="minorEastAsia" w:hAnsiTheme="minorEastAsia" w:eastAsiaTheme="minorEastAsia"/>
          <w:sz w:val="24"/>
          <w:szCs w:val="24"/>
        </w:rPr>
      </w:pPr>
      <w:r>
        <w:rPr>
          <w:rFonts w:hint="eastAsia" w:asciiTheme="minorEastAsia" w:hAnsiTheme="minorEastAsia" w:eastAsiaTheme="minorEastAsia"/>
          <w:sz w:val="24"/>
          <w:szCs w:val="24"/>
        </w:rPr>
        <w:t>（4）快速响应、科学应急。</w:t>
      </w:r>
    </w:p>
    <w:p>
      <w:pPr>
        <w:spacing w:line="276" w:lineRule="auto"/>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发生突发环境事件后，有应急指挥中心全面负责内部的统一指挥、统一调度，按照事故内型进行针对性的处置，并配合、服从上级有关部门的统一指挥，按照各自职责，密切协作，保证处置工作的科学性、统一性和高效性。</w:t>
      </w:r>
    </w:p>
    <w:p>
      <w:pPr>
        <w:spacing w:line="276" w:lineRule="auto"/>
        <w:ind w:firstLine="290" w:firstLineChars="121"/>
        <w:rPr>
          <w:rFonts w:asciiTheme="minorEastAsia" w:hAnsiTheme="minorEastAsia" w:eastAsiaTheme="minorEastAsia"/>
          <w:sz w:val="24"/>
          <w:szCs w:val="24"/>
        </w:rPr>
      </w:pPr>
      <w:r>
        <w:rPr>
          <w:rFonts w:hint="eastAsia" w:asciiTheme="minorEastAsia" w:hAnsiTheme="minorEastAsia" w:eastAsiaTheme="minorEastAsia"/>
          <w:sz w:val="24"/>
          <w:szCs w:val="24"/>
        </w:rPr>
        <w:t>（5）预防为主，平战结合。</w:t>
      </w:r>
    </w:p>
    <w:p>
      <w:pPr>
        <w:spacing w:line="276" w:lineRule="auto"/>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贯彻落实“安全第一，预防为主，综合治理”的方针，坚持事故应急与预防工作相结合。做好预防、预测、预警和预报工作。加强对环境危险源的监控，实施长效监督管理机制。</w:t>
      </w:r>
    </w:p>
    <w:p>
      <w:pPr>
        <w:adjustRightInd w:val="0"/>
        <w:snapToGrid w:val="0"/>
        <w:spacing w:line="460" w:lineRule="exact"/>
        <w:outlineLvl w:val="1"/>
        <w:rPr>
          <w:b/>
          <w:color w:val="000000"/>
          <w:sz w:val="26"/>
          <w:szCs w:val="26"/>
        </w:rPr>
      </w:pPr>
      <w:bookmarkStart w:id="168" w:name="_Toc346872531"/>
      <w:bookmarkStart w:id="169" w:name="_Toc458674230"/>
      <w:bookmarkStart w:id="170" w:name="_Toc28576"/>
      <w:r>
        <w:rPr>
          <w:b/>
          <w:color w:val="000000"/>
          <w:sz w:val="26"/>
          <w:szCs w:val="26"/>
        </w:rPr>
        <w:t>1.</w:t>
      </w:r>
      <w:r>
        <w:rPr>
          <w:rFonts w:hint="eastAsia"/>
          <w:b/>
          <w:color w:val="000000"/>
          <w:sz w:val="26"/>
          <w:szCs w:val="26"/>
        </w:rPr>
        <w:t>6</w:t>
      </w:r>
      <w:r>
        <w:rPr>
          <w:b/>
          <w:color w:val="000000"/>
          <w:sz w:val="26"/>
          <w:szCs w:val="26"/>
        </w:rPr>
        <w:t xml:space="preserve"> 事故分级</w:t>
      </w:r>
      <w:bookmarkEnd w:id="168"/>
      <w:bookmarkEnd w:id="169"/>
      <w:bookmarkEnd w:id="170"/>
    </w:p>
    <w:p>
      <w:pPr>
        <w:spacing w:line="460" w:lineRule="exact"/>
        <w:ind w:firstLine="480" w:firstLineChars="200"/>
        <w:rPr>
          <w:color w:val="000000"/>
          <w:sz w:val="26"/>
          <w:szCs w:val="26"/>
        </w:rPr>
      </w:pPr>
      <w:r>
        <w:rPr>
          <w:rFonts w:asciiTheme="minorEastAsia" w:hAnsiTheme="minorEastAsia" w:eastAsiaTheme="minorEastAsia"/>
          <w:sz w:val="24"/>
          <w:szCs w:val="24"/>
        </w:rPr>
        <w:t>按照突发事件严重性和紧急程度，突发环境事件分为特别重大环境事件(Ⅰ级)、重大环境事件(Ⅱ级)、较大环境事件(Ⅲ级)和一般环境事件(Ⅳ级)四级</w:t>
      </w:r>
      <w:r>
        <w:rPr>
          <w:color w:val="000000"/>
          <w:sz w:val="26"/>
          <w:szCs w:val="26"/>
        </w:rPr>
        <w:t>。</w:t>
      </w:r>
    </w:p>
    <w:p>
      <w:pPr>
        <w:pStyle w:val="101"/>
        <w:ind w:firstLine="0" w:firstLineChars="0"/>
        <w:rPr>
          <w:b/>
          <w:sz w:val="24"/>
        </w:rPr>
      </w:pPr>
      <w:bookmarkStart w:id="171" w:name="_Toc346872532"/>
      <w:bookmarkStart w:id="172" w:name="_Toc458674231"/>
      <w:r>
        <w:rPr>
          <w:b/>
          <w:sz w:val="24"/>
        </w:rPr>
        <w:t>l.</w:t>
      </w:r>
      <w:r>
        <w:rPr>
          <w:rFonts w:hint="eastAsia"/>
          <w:b/>
          <w:sz w:val="24"/>
        </w:rPr>
        <w:t>6</w:t>
      </w:r>
      <w:r>
        <w:rPr>
          <w:b/>
          <w:sz w:val="24"/>
        </w:rPr>
        <w:t>.1 特别重大环境事件(Ⅰ级)</w:t>
      </w:r>
      <w:bookmarkEnd w:id="171"/>
      <w:bookmarkEnd w:id="172"/>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凡符合下列情形之一的，为特别重大环境事件：</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 发生30人以上死亡，或中毒(重伤)100人以上；</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 因环境事件需疏散、转移群众5万人以上，或直接经济损失1000万元以上；</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 区域生态功能严重丧失或濒危物种生存环境遭到严重污染；</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 因环境污染使当地正常的经济、社会活动受到严重影响；</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 利用放射性物质进行人为破坏事件，或1、2类放射源失控造成大范围严重辐射污染后果；</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(6) 因环境污染造成重要城市主要水源地取水中断的污染事故；</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(7) 因危险化学品(含剧毒品)生产和贮运中发生泄漏，严重影响人民群众生产、生活的污染事故。</w:t>
      </w:r>
    </w:p>
    <w:p>
      <w:pPr>
        <w:pStyle w:val="101"/>
        <w:ind w:firstLine="0" w:firstLineChars="0"/>
        <w:rPr>
          <w:b/>
          <w:sz w:val="24"/>
        </w:rPr>
      </w:pPr>
      <w:bookmarkStart w:id="173" w:name="_Toc346872533"/>
      <w:bookmarkStart w:id="174" w:name="_Toc458674232"/>
      <w:r>
        <w:rPr>
          <w:b/>
          <w:sz w:val="24"/>
        </w:rPr>
        <w:t>1.</w:t>
      </w:r>
      <w:r>
        <w:rPr>
          <w:rFonts w:hint="eastAsia"/>
          <w:b/>
          <w:sz w:val="24"/>
        </w:rPr>
        <w:t>6</w:t>
      </w:r>
      <w:r>
        <w:rPr>
          <w:b/>
          <w:sz w:val="24"/>
        </w:rPr>
        <w:t>.2 重大环境事件(Ⅱ级)</w:t>
      </w:r>
      <w:bookmarkEnd w:id="173"/>
      <w:bookmarkEnd w:id="174"/>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凡符合下列情形之一的，为重大环境事件：</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 发生10人以上、30人以下死亡，或中毒(重伤)50人以上、100人以下；</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 区域生态功能部分丧失或濒危物种生存环境受到污染；</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 因环境污染使当地经济、社会活动受到较大影响，疏散转移群众1万人以上、5万人以下的；</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 1、2类放射源丢失、被盗或失控；</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 因环境污染造成重要河流、湖泊、水库及沿海水域大面积污染，或县级以上城镇水源地取水中断的污染事件。</w:t>
      </w:r>
    </w:p>
    <w:p>
      <w:pPr>
        <w:pStyle w:val="101"/>
        <w:ind w:firstLine="0" w:firstLineChars="0"/>
        <w:rPr>
          <w:b/>
          <w:sz w:val="24"/>
        </w:rPr>
      </w:pPr>
      <w:bookmarkStart w:id="175" w:name="_Toc342405908"/>
      <w:bookmarkStart w:id="176" w:name="_Toc346872534"/>
      <w:bookmarkStart w:id="177" w:name="_Toc458674233"/>
      <w:r>
        <w:rPr>
          <w:b/>
          <w:sz w:val="24"/>
        </w:rPr>
        <w:t>1.</w:t>
      </w:r>
      <w:r>
        <w:rPr>
          <w:rFonts w:hint="eastAsia"/>
          <w:b/>
          <w:sz w:val="24"/>
        </w:rPr>
        <w:t>6</w:t>
      </w:r>
      <w:r>
        <w:rPr>
          <w:b/>
          <w:sz w:val="24"/>
        </w:rPr>
        <w:t>.3 较大环境事件(Ⅲ级)</w:t>
      </w:r>
      <w:bookmarkEnd w:id="175"/>
      <w:bookmarkEnd w:id="176"/>
      <w:bookmarkEnd w:id="177"/>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凡符合下列情形之一的，为较大环境事件：</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 发生3人以上、10人以下死亡，或中毒(重伤)50人以下；</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 因环境污染造成跨地级行政区域纠纷，使当地经济、社会活动受到影响；</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 3类放射源丢失、被盗或失控。</w:t>
      </w:r>
    </w:p>
    <w:p>
      <w:pPr>
        <w:pStyle w:val="101"/>
        <w:ind w:firstLine="0" w:firstLineChars="0"/>
        <w:rPr>
          <w:b/>
          <w:sz w:val="24"/>
        </w:rPr>
      </w:pPr>
      <w:bookmarkStart w:id="178" w:name="_Toc346872535"/>
      <w:bookmarkStart w:id="179" w:name="_Toc458674234"/>
      <w:r>
        <w:rPr>
          <w:b/>
          <w:sz w:val="24"/>
        </w:rPr>
        <w:t>l.</w:t>
      </w:r>
      <w:r>
        <w:rPr>
          <w:rFonts w:hint="eastAsia"/>
          <w:b/>
          <w:sz w:val="24"/>
        </w:rPr>
        <w:t>6</w:t>
      </w:r>
      <w:r>
        <w:rPr>
          <w:b/>
          <w:sz w:val="24"/>
        </w:rPr>
        <w:t>.4 一般环境事件(Ⅳ级)</w:t>
      </w:r>
      <w:bookmarkEnd w:id="178"/>
      <w:bookmarkEnd w:id="179"/>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凡符合下列情形之一的，为一般环境事件：</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 发生3人以下死亡；</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 因环境污染造成跨县级行政区域纠纷，引起一般群体性影响的；</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 4、5类放射源丢失、被盗或失控。</w:t>
      </w:r>
    </w:p>
    <w:p>
      <w:pPr>
        <w:spacing w:line="46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根据</w:t>
      </w:r>
      <w:r>
        <w:rPr>
          <w:rFonts w:hint="eastAsia" w:asciiTheme="minorEastAsia" w:hAnsiTheme="minorEastAsia" w:eastAsiaTheme="minorEastAsia"/>
          <w:sz w:val="24"/>
          <w:szCs w:val="24"/>
        </w:rPr>
        <w:t>重庆市涪陵区拓源污水治理有限公司李渡大耍坝污水处理厂</w:t>
      </w:r>
      <w:r>
        <w:rPr>
          <w:rFonts w:asciiTheme="minorEastAsia" w:hAnsiTheme="minorEastAsia" w:eastAsiaTheme="minorEastAsia"/>
          <w:sz w:val="24"/>
          <w:szCs w:val="24"/>
        </w:rPr>
        <w:t>的地理位置及现场情况，综合可能发生事故的严重性和紧急程度，确定</w:t>
      </w:r>
      <w:r>
        <w:rPr>
          <w:rFonts w:hint="eastAsia" w:asciiTheme="minorEastAsia" w:hAnsiTheme="minorEastAsia" w:eastAsiaTheme="minorEastAsia"/>
          <w:sz w:val="24"/>
          <w:szCs w:val="24"/>
        </w:rPr>
        <w:t>李渡大耍坝污水处理厂</w:t>
      </w:r>
      <w:r>
        <w:rPr>
          <w:rFonts w:asciiTheme="minorEastAsia" w:hAnsiTheme="minorEastAsia" w:eastAsiaTheme="minorEastAsia"/>
          <w:sz w:val="24"/>
          <w:szCs w:val="24"/>
        </w:rPr>
        <w:t>的突发环境事件为</w:t>
      </w:r>
      <w:r>
        <w:rPr>
          <w:rFonts w:hint="eastAsia" w:asciiTheme="minorEastAsia" w:hAnsiTheme="minorEastAsia" w:eastAsiaTheme="minorEastAsia"/>
          <w:sz w:val="24"/>
          <w:szCs w:val="24"/>
        </w:rPr>
        <w:t>Ⅳ</w:t>
      </w:r>
      <w:r>
        <w:rPr>
          <w:rFonts w:asciiTheme="minorEastAsia" w:hAnsiTheme="minorEastAsia" w:eastAsiaTheme="minorEastAsia"/>
          <w:sz w:val="24"/>
          <w:szCs w:val="24"/>
        </w:rPr>
        <w:t>级。</w:t>
      </w:r>
    </w:p>
    <w:p>
      <w:pPr>
        <w:ind w:firstLine="560"/>
        <w:rPr>
          <w:rFonts w:asciiTheme="minorEastAsia" w:hAnsiTheme="minorEastAsia" w:eastAsiaTheme="minorEastAsia"/>
          <w:sz w:val="24"/>
          <w:szCs w:val="24"/>
        </w:rPr>
      </w:pPr>
    </w:p>
    <w:p>
      <w:pPr>
        <w:pStyle w:val="2"/>
        <w:spacing w:before="120" w:after="120" w:line="360" w:lineRule="auto"/>
        <w:jc w:val="center"/>
        <w:rPr>
          <w:rFonts w:asciiTheme="minorEastAsia" w:hAnsiTheme="minorEastAsia" w:eastAsiaTheme="minorEastAsia"/>
          <w:b/>
          <w:color w:val="000000"/>
          <w:sz w:val="32"/>
        </w:rPr>
      </w:pPr>
      <w:bookmarkStart w:id="180" w:name="_Toc2195"/>
      <w:r>
        <w:rPr>
          <w:rFonts w:hint="eastAsia" w:asciiTheme="minorEastAsia" w:hAnsiTheme="minorEastAsia" w:eastAsiaTheme="minorEastAsia"/>
          <w:b/>
          <w:color w:val="000000"/>
          <w:sz w:val="32"/>
        </w:rPr>
        <w:t>2企业基本信息</w:t>
      </w:r>
      <w:bookmarkEnd w:id="180"/>
    </w:p>
    <w:p>
      <w:pPr>
        <w:adjustRightInd w:val="0"/>
        <w:snapToGrid w:val="0"/>
        <w:spacing w:line="460" w:lineRule="exact"/>
        <w:outlineLvl w:val="1"/>
        <w:rPr>
          <w:b/>
          <w:color w:val="000000"/>
          <w:sz w:val="28"/>
          <w:szCs w:val="28"/>
        </w:rPr>
      </w:pPr>
      <w:bookmarkStart w:id="181" w:name="_Toc8738"/>
      <w:r>
        <w:rPr>
          <w:rFonts w:hint="eastAsia"/>
          <w:b/>
          <w:color w:val="000000"/>
          <w:sz w:val="28"/>
          <w:szCs w:val="28"/>
        </w:rPr>
        <w:t>2.1企业基本信息</w:t>
      </w:r>
      <w:bookmarkEnd w:id="181"/>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重庆市涪陵区拓源污水治理有限公司李渡大耍坝污水处理厂地处重庆涪陵区李渡新城区双溪一组，占地42亩，总投资8867万元，现有员工12人，由涪陵区拓源污水治理有限公司负责运营管理，是一家专业处理城市生活污水和经预处理的工业废水服务为一体的企业。</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李渡大耍坝污水处理厂“一期污水处理规模为30000吨/日”，于2010年3月开工建设，2012年12月投入试运行。主要负责对新城区的生活污水和工业废水进行收集和处理，配套污水管网23公里，已实现达标排放，并通过环保验收。</w:t>
      </w:r>
    </w:p>
    <w:p>
      <w:pPr>
        <w:pStyle w:val="187"/>
        <w:rPr>
          <w:rFonts w:asciiTheme="minorEastAsia" w:hAnsiTheme="minorEastAsia" w:eastAsiaTheme="minorEastAsia"/>
        </w:rPr>
      </w:pPr>
      <w:r>
        <w:rPr>
          <w:rFonts w:hint="eastAsia" w:asciiTheme="minorEastAsia" w:hAnsiTheme="minorEastAsia" w:eastAsiaTheme="minorEastAsia"/>
        </w:rPr>
        <w:t>表2-1企业基本信息一览表</w:t>
      </w:r>
    </w:p>
    <w:tbl>
      <w:tblPr>
        <w:tblStyle w:val="54"/>
        <w:tblW w:w="92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60"/>
        <w:gridCol w:w="783"/>
        <w:gridCol w:w="445"/>
        <w:gridCol w:w="731"/>
        <w:gridCol w:w="129"/>
        <w:gridCol w:w="416"/>
        <w:gridCol w:w="680"/>
        <w:gridCol w:w="454"/>
        <w:gridCol w:w="2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552" w:type="dxa"/>
            <w:tcBorders>
              <w:top w:val="thinThickSmallGap" w:color="auto" w:sz="24" w:space="0"/>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企业名称</w:t>
            </w:r>
          </w:p>
        </w:tc>
        <w:tc>
          <w:tcPr>
            <w:tcW w:w="3119" w:type="dxa"/>
            <w:gridSpan w:val="4"/>
            <w:tcBorders>
              <w:top w:val="thinThickSmallGap" w:color="auto" w:sz="24" w:space="0"/>
            </w:tcBorders>
            <w:vAlign w:val="center"/>
          </w:tcPr>
          <w:p>
            <w:pPr>
              <w:pStyle w:val="187"/>
              <w:rPr>
                <w:rFonts w:asciiTheme="minorEastAsia" w:hAnsiTheme="minorEastAsia" w:eastAsiaTheme="minorEastAsia"/>
                <w:szCs w:val="21"/>
              </w:rPr>
            </w:pPr>
            <w:r>
              <w:rPr>
                <w:rFonts w:hint="eastAsia" w:cs="方正小标宋简体" w:asciiTheme="minorEastAsia" w:hAnsiTheme="minorEastAsia" w:eastAsiaTheme="minorEastAsia"/>
                <w:bCs/>
              </w:rPr>
              <w:t>重庆市涪陵区拓源污水治理有限公司</w:t>
            </w:r>
            <w:r>
              <w:rPr>
                <w:rFonts w:hint="eastAsia" w:asciiTheme="minorEastAsia" w:hAnsiTheme="minorEastAsia" w:eastAsiaTheme="minorEastAsia"/>
                <w:szCs w:val="21"/>
              </w:rPr>
              <w:t>李渡大</w:t>
            </w:r>
            <w:r>
              <w:rPr>
                <w:rFonts w:hint="eastAsia" w:asciiTheme="minorEastAsia" w:hAnsiTheme="minorEastAsia" w:eastAsiaTheme="minorEastAsia"/>
                <w:color w:val="000000"/>
                <w:szCs w:val="21"/>
              </w:rPr>
              <w:t>耍</w:t>
            </w:r>
            <w:r>
              <w:rPr>
                <w:rFonts w:hint="eastAsia" w:asciiTheme="minorEastAsia" w:hAnsiTheme="minorEastAsia" w:eastAsiaTheme="minorEastAsia"/>
                <w:szCs w:val="21"/>
              </w:rPr>
              <w:t>坝污水处理厂</w:t>
            </w:r>
          </w:p>
        </w:tc>
        <w:tc>
          <w:tcPr>
            <w:tcW w:w="1679" w:type="dxa"/>
            <w:gridSpan w:val="4"/>
            <w:tcBorders>
              <w:top w:val="thinThickSmallGap" w:color="auto" w:sz="24" w:space="0"/>
            </w:tcBorders>
            <w:vAlign w:val="center"/>
          </w:tcPr>
          <w:p>
            <w:pPr>
              <w:pStyle w:val="187"/>
              <w:rPr>
                <w:rFonts w:asciiTheme="minorEastAsia" w:hAnsiTheme="minorEastAsia" w:eastAsiaTheme="minorEastAsia"/>
                <w:szCs w:val="21"/>
              </w:rPr>
            </w:pPr>
            <w:r>
              <w:rPr>
                <w:rFonts w:hint="eastAsia" w:asciiTheme="minorEastAsia" w:hAnsiTheme="minorEastAsia" w:eastAsiaTheme="minorEastAsia"/>
                <w:szCs w:val="21"/>
              </w:rPr>
              <w:t>组织机构代码</w:t>
            </w:r>
          </w:p>
        </w:tc>
        <w:tc>
          <w:tcPr>
            <w:tcW w:w="2854" w:type="dxa"/>
            <w:tcBorders>
              <w:top w:val="thinThickSmallGap" w:color="auto" w:sz="24" w:space="0"/>
              <w:right w:val="thinThickSmallGap" w:color="auto" w:sz="24" w:space="0"/>
            </w:tcBorders>
            <w:vAlign w:val="center"/>
          </w:tcPr>
          <w:p>
            <w:pPr>
              <w:pStyle w:val="187"/>
              <w:rPr>
                <w:rFonts w:asciiTheme="minorEastAsia" w:hAnsiTheme="minorEastAsia" w:eastAsiaTheme="minorEastAsia"/>
                <w:color w:val="FF0000"/>
                <w:szCs w:val="21"/>
              </w:rPr>
            </w:pPr>
            <w:r>
              <w:rPr>
                <w:rFonts w:hint="eastAsia" w:cs="宋体" w:asciiTheme="minorEastAsia" w:hAnsiTheme="minorEastAsia" w:eastAsiaTheme="minorEastAsia"/>
                <w:szCs w:val="21"/>
              </w:rPr>
              <w:t>91500102MA5U56568C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法定代表人</w:t>
            </w:r>
          </w:p>
        </w:tc>
        <w:tc>
          <w:tcPr>
            <w:tcW w:w="1160" w:type="dxa"/>
            <w:vAlign w:val="center"/>
          </w:tcPr>
          <w:p>
            <w:pPr>
              <w:pStyle w:val="187"/>
              <w:rPr>
                <w:rFonts w:asciiTheme="minorEastAsia" w:hAnsiTheme="minorEastAsia" w:eastAsiaTheme="minorEastAsia"/>
                <w:color w:val="000000"/>
                <w:szCs w:val="21"/>
              </w:rPr>
            </w:pPr>
            <w:r>
              <w:rPr>
                <w:rFonts w:hint="eastAsia" w:cs="仿宋_GB2312" w:asciiTheme="minorEastAsia" w:hAnsiTheme="minorEastAsia" w:eastAsiaTheme="minorEastAsia"/>
                <w:szCs w:val="21"/>
              </w:rPr>
              <w:t>况敬良</w:t>
            </w:r>
          </w:p>
        </w:tc>
        <w:tc>
          <w:tcPr>
            <w:tcW w:w="1228" w:type="dxa"/>
            <w:gridSpan w:val="2"/>
            <w:vAlign w:val="center"/>
          </w:tcPr>
          <w:p>
            <w:pPr>
              <w:pStyle w:val="187"/>
              <w:rPr>
                <w:rFonts w:asciiTheme="minorEastAsia" w:hAnsiTheme="minorEastAsia" w:eastAsiaTheme="minorEastAsia"/>
                <w:szCs w:val="21"/>
              </w:rPr>
            </w:pPr>
            <w:r>
              <w:rPr>
                <w:rFonts w:hint="eastAsia" w:asciiTheme="minorEastAsia" w:hAnsiTheme="minorEastAsia" w:eastAsiaTheme="minorEastAsia"/>
                <w:szCs w:val="21"/>
              </w:rPr>
              <w:t>联系人</w:t>
            </w:r>
          </w:p>
        </w:tc>
        <w:tc>
          <w:tcPr>
            <w:tcW w:w="1276" w:type="dxa"/>
            <w:gridSpan w:val="3"/>
            <w:vAlign w:val="center"/>
          </w:tcPr>
          <w:p>
            <w:pPr>
              <w:pStyle w:val="187"/>
              <w:rPr>
                <w:rFonts w:asciiTheme="minorEastAsia" w:hAnsiTheme="minorEastAsia" w:eastAsiaTheme="minorEastAsia"/>
                <w:szCs w:val="21"/>
              </w:rPr>
            </w:pPr>
            <w:r>
              <w:rPr>
                <w:rFonts w:hint="eastAsia" w:asciiTheme="minorEastAsia" w:hAnsiTheme="minorEastAsia" w:eastAsiaTheme="minorEastAsia"/>
                <w:szCs w:val="21"/>
              </w:rPr>
              <w:t>梅杰</w:t>
            </w:r>
          </w:p>
        </w:tc>
        <w:tc>
          <w:tcPr>
            <w:tcW w:w="1134" w:type="dxa"/>
            <w:gridSpan w:val="2"/>
            <w:vAlign w:val="center"/>
          </w:tcPr>
          <w:p>
            <w:pPr>
              <w:pStyle w:val="187"/>
              <w:rPr>
                <w:rFonts w:asciiTheme="minorEastAsia" w:hAnsiTheme="minorEastAsia" w:eastAsiaTheme="minorEastAsia"/>
                <w:szCs w:val="21"/>
              </w:rPr>
            </w:pPr>
            <w:r>
              <w:rPr>
                <w:rFonts w:hint="eastAsia" w:asciiTheme="minorEastAsia" w:hAnsiTheme="minorEastAsia" w:eastAsiaTheme="minorEastAsia"/>
                <w:szCs w:val="21"/>
              </w:rPr>
              <w:t>电话</w:t>
            </w:r>
          </w:p>
        </w:tc>
        <w:tc>
          <w:tcPr>
            <w:tcW w:w="2854" w:type="dxa"/>
            <w:tcBorders>
              <w:right w:val="thinThickSmallGap" w:color="auto" w:sz="24" w:space="0"/>
            </w:tcBorders>
            <w:vAlign w:val="center"/>
          </w:tcPr>
          <w:p>
            <w:pPr>
              <w:pStyle w:val="187"/>
              <w:rPr>
                <w:rFonts w:asciiTheme="minorEastAsia" w:hAnsiTheme="minorEastAsia" w:eastAsiaTheme="minorEastAsia"/>
                <w:szCs w:val="21"/>
              </w:rPr>
            </w:pPr>
            <w:r>
              <w:rPr>
                <w:rFonts w:hint="eastAsia" w:cs="仿宋_GB2312" w:asciiTheme="minorEastAsia" w:hAnsiTheme="minorEastAsia" w:eastAsiaTheme="minorEastAsia"/>
                <w:szCs w:val="21"/>
              </w:rPr>
              <w:t>13452108787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通讯地址</w:t>
            </w:r>
          </w:p>
        </w:tc>
        <w:tc>
          <w:tcPr>
            <w:tcW w:w="7652" w:type="dxa"/>
            <w:gridSpan w:val="9"/>
            <w:tcBorders>
              <w:right w:val="thinThickSmallGap" w:color="auto" w:sz="24" w:space="0"/>
            </w:tcBorders>
            <w:vAlign w:val="center"/>
          </w:tcPr>
          <w:p>
            <w:pPr>
              <w:pStyle w:val="187"/>
              <w:rPr>
                <w:rFonts w:asciiTheme="minorEastAsia" w:hAnsiTheme="minorEastAsia" w:eastAsiaTheme="minorEastAsia"/>
                <w:szCs w:val="21"/>
              </w:rPr>
            </w:pPr>
            <w:r>
              <w:rPr>
                <w:rFonts w:hint="eastAsia" w:ascii="仿宋_GB2312" w:hAnsi="宋体" w:cs="Arial"/>
                <w:kern w:val="2"/>
                <w:szCs w:val="21"/>
              </w:rPr>
              <w:t>重庆市涪陵区李渡新区银滩路2号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单位所在地</w:t>
            </w:r>
          </w:p>
        </w:tc>
        <w:tc>
          <w:tcPr>
            <w:tcW w:w="7652" w:type="dxa"/>
            <w:gridSpan w:val="9"/>
            <w:tcBorders>
              <w:right w:val="thinThickSmallGap" w:color="auto" w:sz="24" w:space="0"/>
            </w:tcBorders>
            <w:vAlign w:val="center"/>
          </w:tcPr>
          <w:p>
            <w:pPr>
              <w:pStyle w:val="187"/>
              <w:rPr>
                <w:rFonts w:asciiTheme="minorEastAsia" w:hAnsiTheme="minorEastAsia" w:eastAsiaTheme="minorEastAsia"/>
                <w:szCs w:val="21"/>
              </w:rPr>
            </w:pPr>
            <w:r>
              <w:rPr>
                <w:rFonts w:hint="eastAsia" w:asciiTheme="minorEastAsia" w:hAnsiTheme="minorEastAsia" w:eastAsiaTheme="minorEastAsia"/>
                <w:szCs w:val="21"/>
              </w:rPr>
              <w:t>涪陵区李渡街道办事处双溪村一社、石马村八社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中心经纬度</w:t>
            </w:r>
          </w:p>
        </w:tc>
        <w:tc>
          <w:tcPr>
            <w:tcW w:w="7652" w:type="dxa"/>
            <w:gridSpan w:val="9"/>
            <w:tcBorders>
              <w:right w:val="thinThickSmallGap" w:color="auto" w:sz="24" w:space="0"/>
            </w:tcBorders>
            <w:vAlign w:val="center"/>
          </w:tcPr>
          <w:p>
            <w:pPr>
              <w:pStyle w:val="187"/>
              <w:rPr>
                <w:rFonts w:asciiTheme="minorEastAsia" w:hAnsiTheme="minorEastAsia" w:eastAsiaTheme="minorEastAsia"/>
                <w:color w:val="000000"/>
              </w:rPr>
            </w:pPr>
            <w:r>
              <w:rPr>
                <w:rFonts w:hint="eastAsia" w:asciiTheme="minorEastAsia" w:hAnsiTheme="minorEastAsia" w:eastAsiaTheme="minorEastAsia"/>
                <w:color w:val="000000"/>
                <w:szCs w:val="15"/>
              </w:rPr>
              <w:t xml:space="preserve">东经E107°15′56.55′，北纬N29°43′2.12′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8"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建厂时间</w:t>
            </w:r>
          </w:p>
        </w:tc>
        <w:tc>
          <w:tcPr>
            <w:tcW w:w="2388" w:type="dxa"/>
            <w:gridSpan w:val="3"/>
            <w:vAlign w:val="center"/>
          </w:tcPr>
          <w:p>
            <w:pPr>
              <w:pStyle w:val="187"/>
              <w:rPr>
                <w:rFonts w:asciiTheme="minorEastAsia" w:hAnsiTheme="minorEastAsia" w:eastAsiaTheme="minorEastAsia"/>
                <w:szCs w:val="15"/>
              </w:rPr>
            </w:pPr>
            <w:r>
              <w:rPr>
                <w:rFonts w:hint="eastAsia" w:asciiTheme="minorEastAsia" w:hAnsiTheme="minorEastAsia" w:eastAsiaTheme="minorEastAsia"/>
                <w:szCs w:val="28"/>
              </w:rPr>
              <w:t>2010年1月</w:t>
            </w:r>
          </w:p>
        </w:tc>
        <w:tc>
          <w:tcPr>
            <w:tcW w:w="1956" w:type="dxa"/>
            <w:gridSpan w:val="4"/>
            <w:vAlign w:val="center"/>
          </w:tcPr>
          <w:p>
            <w:pPr>
              <w:pStyle w:val="187"/>
              <w:rPr>
                <w:rFonts w:asciiTheme="minorEastAsia" w:hAnsiTheme="minorEastAsia" w:eastAsiaTheme="minorEastAsia"/>
                <w:szCs w:val="15"/>
              </w:rPr>
            </w:pPr>
            <w:r>
              <w:rPr>
                <w:rFonts w:hint="eastAsia" w:asciiTheme="minorEastAsia" w:hAnsiTheme="minorEastAsia" w:eastAsiaTheme="minorEastAsia"/>
                <w:szCs w:val="15"/>
              </w:rPr>
              <w:t>投产时间</w:t>
            </w:r>
          </w:p>
        </w:tc>
        <w:tc>
          <w:tcPr>
            <w:tcW w:w="3308" w:type="dxa"/>
            <w:gridSpan w:val="2"/>
            <w:tcBorders>
              <w:right w:val="thinThickSmallGap" w:color="auto" w:sz="24" w:space="0"/>
            </w:tcBorders>
            <w:vAlign w:val="center"/>
          </w:tcPr>
          <w:p>
            <w:pPr>
              <w:pStyle w:val="187"/>
              <w:rPr>
                <w:rFonts w:asciiTheme="minorEastAsia" w:hAnsiTheme="minorEastAsia" w:eastAsiaTheme="minorEastAsia"/>
                <w:szCs w:val="15"/>
              </w:rPr>
            </w:pPr>
            <w:r>
              <w:rPr>
                <w:rFonts w:hint="eastAsia" w:asciiTheme="minorEastAsia" w:hAnsiTheme="minorEastAsia" w:eastAsiaTheme="minorEastAsia"/>
                <w:szCs w:val="28"/>
              </w:rPr>
              <w:t>2012年12月</w:t>
            </w:r>
            <w:r>
              <w:rPr>
                <w:rFonts w:hint="eastAsia" w:asciiTheme="minorEastAsia" w:hAnsiTheme="minorEastAsia" w:eastAsiaTheme="minorEastAsia"/>
                <w:szCs w:val="21"/>
              </w:rPr>
              <w:t>试</w:t>
            </w:r>
            <w:r>
              <w:rPr>
                <w:rFonts w:hint="eastAsia" w:asciiTheme="minorEastAsia" w:hAnsiTheme="minorEastAsia" w:eastAsiaTheme="minorEastAsia"/>
                <w:szCs w:val="28"/>
              </w:rPr>
              <w:t>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所属行业类别</w:t>
            </w:r>
          </w:p>
        </w:tc>
        <w:tc>
          <w:tcPr>
            <w:tcW w:w="7652" w:type="dxa"/>
            <w:gridSpan w:val="9"/>
            <w:tcBorders>
              <w:right w:val="thinThickSmallGap" w:color="auto" w:sz="24" w:space="0"/>
            </w:tcBorders>
            <w:vAlign w:val="center"/>
          </w:tcPr>
          <w:p>
            <w:pPr>
              <w:pStyle w:val="187"/>
              <w:rPr>
                <w:rFonts w:asciiTheme="minorEastAsia" w:hAnsiTheme="minorEastAsia" w:eastAsiaTheme="minorEastAsia"/>
                <w:szCs w:val="21"/>
              </w:rPr>
            </w:pPr>
            <w:r>
              <w:rPr>
                <w:rFonts w:hint="eastAsia" w:cs="Arial" w:asciiTheme="minorEastAsia" w:hAnsiTheme="minorEastAsia" w:eastAsiaTheme="minorEastAsia"/>
                <w:szCs w:val="21"/>
              </w:rPr>
              <w:t>D4620污水处理及其再生利用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3"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企业规模</w:t>
            </w:r>
          </w:p>
        </w:tc>
        <w:tc>
          <w:tcPr>
            <w:tcW w:w="1943" w:type="dxa"/>
            <w:gridSpan w:val="2"/>
            <w:vAlign w:val="center"/>
          </w:tcPr>
          <w:p>
            <w:pPr>
              <w:pStyle w:val="187"/>
              <w:rPr>
                <w:rFonts w:asciiTheme="minorEastAsia" w:hAnsiTheme="minorEastAsia" w:eastAsiaTheme="minorEastAsia"/>
              </w:rPr>
            </w:pPr>
            <w:r>
              <w:rPr>
                <w:rFonts w:hint="eastAsia" w:asciiTheme="minorEastAsia" w:hAnsiTheme="minorEastAsia" w:eastAsiaTheme="minorEastAsia"/>
              </w:rPr>
              <w:t>中型</w:t>
            </w:r>
          </w:p>
        </w:tc>
        <w:tc>
          <w:tcPr>
            <w:tcW w:w="1305" w:type="dxa"/>
            <w:gridSpan w:val="3"/>
            <w:vAlign w:val="center"/>
          </w:tcPr>
          <w:p>
            <w:pPr>
              <w:pStyle w:val="187"/>
              <w:rPr>
                <w:rFonts w:asciiTheme="minorEastAsia" w:hAnsiTheme="minorEastAsia" w:eastAsiaTheme="minorEastAsia"/>
              </w:rPr>
            </w:pPr>
            <w:r>
              <w:rPr>
                <w:rFonts w:hint="eastAsia" w:asciiTheme="minorEastAsia" w:hAnsiTheme="minorEastAsia" w:eastAsiaTheme="minorEastAsia"/>
              </w:rPr>
              <w:t>占地面积</w:t>
            </w:r>
          </w:p>
        </w:tc>
        <w:tc>
          <w:tcPr>
            <w:tcW w:w="4404" w:type="dxa"/>
            <w:gridSpan w:val="4"/>
            <w:tcBorders>
              <w:righ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42亩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劳动定员</w:t>
            </w:r>
          </w:p>
        </w:tc>
        <w:tc>
          <w:tcPr>
            <w:tcW w:w="7652" w:type="dxa"/>
            <w:gridSpan w:val="9"/>
            <w:tcBorders>
              <w:right w:val="thinThickSmallGap" w:color="auto" w:sz="24" w:space="0"/>
            </w:tcBorders>
            <w:vAlign w:val="center"/>
          </w:tcPr>
          <w:p>
            <w:pPr>
              <w:ind w:firstLine="420"/>
              <w:jc w:val="left"/>
              <w:rPr>
                <w:rFonts w:asciiTheme="minorEastAsia" w:hAnsiTheme="minorEastAsia" w:eastAsiaTheme="minorEastAsia"/>
              </w:rPr>
            </w:pPr>
            <w:r>
              <w:rPr>
                <w:rFonts w:hint="eastAsia" w:asciiTheme="minorEastAsia" w:hAnsiTheme="minorEastAsia" w:eastAsiaTheme="minorEastAsia"/>
              </w:rPr>
              <w:t>定员12人，</w:t>
            </w:r>
            <w:r>
              <w:rPr>
                <w:rFonts w:hint="eastAsia" w:asciiTheme="minorEastAsia" w:hAnsiTheme="minorEastAsia" w:eastAsiaTheme="minorEastAsia"/>
                <w:szCs w:val="21"/>
              </w:rPr>
              <w:t>其中管理人员2人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1552" w:type="dxa"/>
            <w:tcBorders>
              <w:left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工作制度</w:t>
            </w:r>
          </w:p>
        </w:tc>
        <w:tc>
          <w:tcPr>
            <w:tcW w:w="7652" w:type="dxa"/>
            <w:gridSpan w:val="9"/>
            <w:tcBorders>
              <w:right w:val="thinThickSmallGap" w:color="auto" w:sz="24" w:space="0"/>
            </w:tcBorders>
            <w:vAlign w:val="center"/>
          </w:tcPr>
          <w:p>
            <w:pPr>
              <w:pStyle w:val="187"/>
              <w:jc w:val="left"/>
              <w:rPr>
                <w:rFonts w:asciiTheme="minorEastAsia" w:hAnsiTheme="minorEastAsia" w:eastAsiaTheme="minorEastAsia"/>
              </w:rPr>
            </w:pPr>
            <w:r>
              <w:rPr>
                <w:rFonts w:hint="eastAsia" w:asciiTheme="minorEastAsia" w:hAnsiTheme="minorEastAsia" w:eastAsiaTheme="minorEastAsia"/>
              </w:rPr>
              <w:t>年生产天数365，生产制度实行四班三运转，操作时数为8786小时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jc w:val="center"/>
        </w:trPr>
        <w:tc>
          <w:tcPr>
            <w:tcW w:w="1552" w:type="dxa"/>
            <w:tcBorders>
              <w:left w:val="thinThickSmallGap" w:color="auto" w:sz="24" w:space="0"/>
              <w:bottom w:val="thinThickSmallGap" w:color="auto" w:sz="24" w:space="0"/>
            </w:tcBorders>
            <w:vAlign w:val="center"/>
          </w:tcPr>
          <w:p>
            <w:pPr>
              <w:pStyle w:val="187"/>
              <w:rPr>
                <w:rFonts w:asciiTheme="minorEastAsia" w:hAnsiTheme="minorEastAsia" w:eastAsiaTheme="minorEastAsia"/>
              </w:rPr>
            </w:pPr>
            <w:r>
              <w:rPr>
                <w:rFonts w:hint="eastAsia" w:asciiTheme="minorEastAsia" w:hAnsiTheme="minorEastAsia" w:eastAsiaTheme="minorEastAsia"/>
              </w:rPr>
              <w:t>产品方案</w:t>
            </w:r>
          </w:p>
        </w:tc>
        <w:tc>
          <w:tcPr>
            <w:tcW w:w="7652" w:type="dxa"/>
            <w:gridSpan w:val="9"/>
            <w:tcBorders>
              <w:bottom w:val="thinThickSmallGap" w:color="auto" w:sz="24" w:space="0"/>
              <w:right w:val="thinThickSmallGap" w:color="auto" w:sz="24" w:space="0"/>
            </w:tcBorders>
            <w:vAlign w:val="center"/>
          </w:tcPr>
          <w:p>
            <w:pPr>
              <w:rPr>
                <w:rFonts w:asciiTheme="minorEastAsia" w:hAnsiTheme="minorEastAsia" w:eastAsiaTheme="minorEastAsia"/>
                <w:color w:val="000000"/>
                <w:szCs w:val="21"/>
              </w:rPr>
            </w:pPr>
            <w:r>
              <w:rPr>
                <w:rFonts w:hint="eastAsia" w:cs="仿宋_GB2312" w:asciiTheme="minorEastAsia" w:hAnsiTheme="minorEastAsia" w:eastAsiaTheme="minorEastAsia"/>
                <w:kern w:val="0"/>
                <w:szCs w:val="21"/>
                <w:lang w:val="zh-CN"/>
              </w:rPr>
              <w:t>污水处理规模为30000吨/日、一般</w:t>
            </w:r>
            <w:r>
              <w:rPr>
                <w:rFonts w:hint="eastAsia" w:cs="仿宋_GB2312" w:asciiTheme="minorEastAsia" w:hAnsiTheme="minorEastAsia" w:eastAsiaTheme="minorEastAsia"/>
                <w:szCs w:val="21"/>
              </w:rPr>
              <w:t>污泥</w:t>
            </w:r>
          </w:p>
        </w:tc>
      </w:tr>
    </w:tbl>
    <w:p>
      <w:pPr>
        <w:adjustRightInd w:val="0"/>
        <w:snapToGrid w:val="0"/>
        <w:spacing w:line="460" w:lineRule="exact"/>
        <w:outlineLvl w:val="1"/>
        <w:rPr>
          <w:b/>
          <w:color w:val="000000"/>
          <w:sz w:val="28"/>
          <w:szCs w:val="28"/>
        </w:rPr>
      </w:pPr>
      <w:bookmarkStart w:id="182" w:name="_Toc17837"/>
      <w:r>
        <w:rPr>
          <w:rFonts w:hint="eastAsia"/>
          <w:b/>
          <w:color w:val="000000"/>
          <w:sz w:val="28"/>
          <w:szCs w:val="28"/>
        </w:rPr>
        <w:t>2.2 周边环境概况</w:t>
      </w:r>
      <w:bookmarkEnd w:id="182"/>
    </w:p>
    <w:p>
      <w:pPr>
        <w:pStyle w:val="413"/>
        <w:rPr>
          <w:rFonts w:asciiTheme="minorEastAsia" w:hAnsiTheme="minorEastAsia" w:eastAsiaTheme="minorEastAsia"/>
          <w:snapToGrid w:val="0"/>
          <w:sz w:val="28"/>
          <w:szCs w:val="28"/>
        </w:rPr>
      </w:pPr>
      <w:r>
        <w:rPr>
          <w:rFonts w:hint="eastAsia" w:asciiTheme="minorEastAsia" w:hAnsiTheme="minorEastAsia" w:eastAsiaTheme="minorEastAsia"/>
          <w:snapToGrid w:val="0"/>
          <w:sz w:val="28"/>
          <w:szCs w:val="28"/>
        </w:rPr>
        <w:t>2.2.1地理位置</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涪陵区地处长江与乌江交汇外,位于重庆市区下游120公里,地理座标东径106 o 56’至107o43ˊ,北纬29 o 21ˊ至30 o 01ˊ。东邻丰都,出三峡与武汉、南京、上海一衣带水；南接武隆，经 319 国道涪长段公路、涪南段公路与长寿、南川及湘鄂边区连接；西接巴南区，距重庆 120 公里。</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李渡大耍坝污水处理厂位于涪陵区李渡街道办事处双溪村一社、石马村八社，渝涪高速公路高速路出口处，南临正在开工建设的李渡新区环四大道，东邻来滩河，西临规划的涞滩路。距涪陵港码头4公里，距渝怀铁路涪陵编组站2公里，距重庆江北国际机场75公里。该地区交通便捷，区位优势明显，属李渡经济“黄金带”，地理位置极其优越。园区内公路为“一环五横三纵”呈棋盘式布局。与外界连接的有国道319线和渝涪高速路相连。</w:t>
      </w:r>
    </w:p>
    <w:p>
      <w:pPr>
        <w:pStyle w:val="413"/>
        <w:rPr>
          <w:rFonts w:asciiTheme="minorEastAsia" w:hAnsiTheme="minorEastAsia" w:eastAsiaTheme="minorEastAsia"/>
          <w:snapToGrid w:val="0"/>
          <w:sz w:val="28"/>
          <w:szCs w:val="28"/>
        </w:rPr>
      </w:pPr>
      <w:r>
        <w:rPr>
          <w:rFonts w:hint="eastAsia" w:asciiTheme="minorEastAsia" w:hAnsiTheme="minorEastAsia" w:eastAsiaTheme="minorEastAsia"/>
          <w:snapToGrid w:val="0"/>
          <w:sz w:val="28"/>
          <w:szCs w:val="28"/>
        </w:rPr>
        <w:t>2.2.2地形、地貌与地质情况</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涪陵区位于新华夏构造体系的川东褶皱带和南北走向构造体系的川黔北构造带的结合部，地质构造比较复杂，具有背斜长，向斜宽缓的隔档式构造特点。境内地势起伏较大，东南高、西北低，地貌类型多样，以丘陵、台地为主，其次为低山、中山、平坝。</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本厂所处位置为构造剥蚀浅丘斜坡地貌及浸蚀河谷地貌。地势总体为北西高南东低。地质构造位处石溪堡子场向斜北端西翼，无断层通过，地质构造简单。通过对影响建设用地条件的地质、地貌、高程、坡度、坡向、植被、水系等相关因素的分析，场地工程地质情况简单，无不良地质情况。</w:t>
      </w:r>
    </w:p>
    <w:p>
      <w:pPr>
        <w:pStyle w:val="413"/>
        <w:rPr>
          <w:rFonts w:asciiTheme="minorEastAsia" w:hAnsiTheme="minorEastAsia" w:eastAsiaTheme="minorEastAsia"/>
          <w:snapToGrid w:val="0"/>
          <w:sz w:val="28"/>
          <w:szCs w:val="28"/>
        </w:rPr>
      </w:pPr>
      <w:r>
        <w:rPr>
          <w:rFonts w:hint="eastAsia" w:asciiTheme="minorEastAsia" w:hAnsiTheme="minorEastAsia" w:eastAsiaTheme="minorEastAsia"/>
          <w:snapToGrid w:val="0"/>
          <w:sz w:val="28"/>
          <w:szCs w:val="28"/>
        </w:rPr>
        <w:t>2.2.3气候、气象</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李渡大耍坝污水处理厂所处位置属中亚热带湿润季风气候区，其总的特点是：四季分明，热量充足，降水丰沛，光照欠足，四季分明，立体气候差异明显，灾害性天气频繁；光、热、水资源同步等。四季气候变化总的规律是：冬无严寒，霜雪较少，雾日多；春季回暖早，空气活动频繁，气温不稳定，大雨来得早，春旱、寒潮、风雹、低温阴雨时有发生；夏长炎热，夏旱少，伏旱频繁，时有暴雨洪涝；秋季低温来得迟，秋绵雨严重。年平均气温18.1℃，极端最高温度42.2℃，极端最底温度-2.7℃，最热月平均温度28.6℃，平均降雨量1072.2mm，日最大降雨量113.1mm，平均降雨日150.2d，无霜期353d，年平均日照时数1188h。</w:t>
      </w:r>
    </w:p>
    <w:p>
      <w:pPr>
        <w:pStyle w:val="413"/>
        <w:rPr>
          <w:rFonts w:asciiTheme="minorEastAsia" w:hAnsiTheme="minorEastAsia" w:eastAsiaTheme="minorEastAsia"/>
          <w:snapToGrid w:val="0"/>
          <w:sz w:val="28"/>
          <w:szCs w:val="28"/>
        </w:rPr>
      </w:pPr>
      <w:r>
        <w:rPr>
          <w:rFonts w:hint="eastAsia" w:asciiTheme="minorEastAsia" w:hAnsiTheme="minorEastAsia" w:eastAsiaTheme="minorEastAsia"/>
          <w:snapToGrid w:val="0"/>
          <w:sz w:val="28"/>
          <w:szCs w:val="28"/>
        </w:rPr>
        <w:t>2.2.4水文特征</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本厂所处位置常年性河流有双溪河，双溪河又名来滩河，是长江涪陵段的重要支流，正源发源于大柏乡黄草山东麓，经金银、马鞍、义和、李渡等乡镇在石板滩汇入长江，全长28.3km，流域面积123km2，总落差314m，平均坡降11.1%，河面最宽处79.50m，最窄处36.00m。上游已建成水磨滩水库，下游有双溪、上桥两座小水电站。</w:t>
      </w:r>
    </w:p>
    <w:p>
      <w:pPr>
        <w:pStyle w:val="413"/>
        <w:rPr>
          <w:rFonts w:asciiTheme="minorEastAsia" w:hAnsiTheme="minorEastAsia" w:eastAsiaTheme="minorEastAsia"/>
          <w:snapToGrid w:val="0"/>
          <w:sz w:val="28"/>
          <w:szCs w:val="28"/>
        </w:rPr>
      </w:pPr>
      <w:r>
        <w:rPr>
          <w:rFonts w:hint="eastAsia" w:asciiTheme="minorEastAsia" w:hAnsiTheme="minorEastAsia" w:eastAsiaTheme="minorEastAsia"/>
          <w:snapToGrid w:val="0"/>
          <w:sz w:val="28"/>
          <w:szCs w:val="28"/>
        </w:rPr>
        <w:t>2.2.5生态现状</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李渡新城区用地属涪陵区城市总体规划确定的工业用地，园区现状无集中林地，目前新城片区开发较好，属于农村地区，主要种植有玉米、蔬菜、小麦、马铃薯、红苕等。未发现有可供开发利用的矿产资源，无珍稀动植物、名木古树、自然保护区、名胜古迹和重点文物保护单位。</w:t>
      </w:r>
    </w:p>
    <w:p>
      <w:pPr>
        <w:adjustRightInd w:val="0"/>
        <w:snapToGrid w:val="0"/>
        <w:spacing w:line="460" w:lineRule="exact"/>
        <w:outlineLvl w:val="1"/>
        <w:rPr>
          <w:b/>
          <w:color w:val="000000"/>
          <w:sz w:val="28"/>
          <w:szCs w:val="28"/>
        </w:rPr>
      </w:pPr>
      <w:bookmarkStart w:id="183" w:name="_Toc29209"/>
      <w:r>
        <w:rPr>
          <w:rFonts w:hint="eastAsia"/>
          <w:b/>
          <w:color w:val="000000"/>
          <w:sz w:val="28"/>
          <w:szCs w:val="28"/>
        </w:rPr>
        <w:t>2.3周边环境关系</w:t>
      </w:r>
      <w:bookmarkEnd w:id="183"/>
    </w:p>
    <w:p>
      <w:pPr>
        <w:autoSpaceDE w:val="0"/>
        <w:autoSpaceDN w:val="0"/>
        <w:spacing w:line="460" w:lineRule="exact"/>
        <w:ind w:firstLine="480"/>
        <w:rPr>
          <w:rFonts w:asciiTheme="minorEastAsia" w:hAnsiTheme="minorEastAsia" w:eastAsiaTheme="minorEastAsia"/>
          <w:spacing w:val="-4"/>
          <w:kern w:val="0"/>
          <w:sz w:val="24"/>
          <w:szCs w:val="24"/>
        </w:rPr>
      </w:pPr>
      <w:r>
        <w:rPr>
          <w:rFonts w:hint="eastAsia" w:asciiTheme="minorEastAsia" w:hAnsiTheme="minorEastAsia" w:eastAsiaTheme="minorEastAsia"/>
          <w:kern w:val="0"/>
          <w:sz w:val="24"/>
          <w:szCs w:val="24"/>
        </w:rPr>
        <w:t>李渡大耍坝污水处理厂</w:t>
      </w:r>
      <w:r>
        <w:rPr>
          <w:rFonts w:hint="eastAsia" w:asciiTheme="minorEastAsia" w:hAnsiTheme="minorEastAsia" w:eastAsiaTheme="minorEastAsia"/>
          <w:bCs/>
          <w:kern w:val="0"/>
          <w:sz w:val="24"/>
          <w:szCs w:val="24"/>
        </w:rPr>
        <w:t>位于</w:t>
      </w:r>
      <w:r>
        <w:rPr>
          <w:rFonts w:hint="eastAsia" w:asciiTheme="minorEastAsia" w:hAnsiTheme="minorEastAsia" w:eastAsiaTheme="minorEastAsia"/>
          <w:kern w:val="0"/>
          <w:sz w:val="24"/>
          <w:szCs w:val="24"/>
        </w:rPr>
        <w:t>涪陵区李渡街道办事处双溪村一社、石马村八社</w:t>
      </w:r>
      <w:r>
        <w:rPr>
          <w:rFonts w:hint="eastAsia" w:asciiTheme="minorEastAsia" w:hAnsiTheme="minorEastAsia" w:eastAsiaTheme="minorEastAsia"/>
          <w:spacing w:val="-4"/>
          <w:kern w:val="0"/>
          <w:sz w:val="24"/>
          <w:szCs w:val="24"/>
        </w:rPr>
        <w:t>，</w:t>
      </w:r>
      <w:r>
        <w:rPr>
          <w:rFonts w:hint="eastAsia" w:asciiTheme="minorEastAsia" w:hAnsiTheme="minorEastAsia" w:eastAsiaTheme="minorEastAsia"/>
          <w:bCs/>
          <w:snapToGrid w:val="0"/>
          <w:kern w:val="0"/>
          <w:sz w:val="24"/>
          <w:szCs w:val="24"/>
        </w:rPr>
        <w:t>根据对现场的调查，项目区不处于自然保护区、风景名胜区、生态功能保护区、基本农田保护区、水土流失重点防治区、森林公园、地质公园、世界遗产地、国家重点文物保护单位、历史文化保护地等</w:t>
      </w:r>
      <w:r>
        <w:rPr>
          <w:rFonts w:hint="eastAsia" w:asciiTheme="minorEastAsia" w:hAnsiTheme="minorEastAsia" w:eastAsiaTheme="minorEastAsia"/>
          <w:spacing w:val="-4"/>
          <w:kern w:val="0"/>
          <w:sz w:val="24"/>
          <w:szCs w:val="24"/>
        </w:rPr>
        <w:t>周围</w:t>
      </w:r>
      <w:r>
        <w:rPr>
          <w:rFonts w:hint="eastAsia" w:cs="仿宋_GB2312" w:asciiTheme="minorEastAsia" w:hAnsiTheme="minorEastAsia" w:eastAsiaTheme="minorEastAsia"/>
          <w:sz w:val="24"/>
          <w:szCs w:val="24"/>
          <w:lang w:val="zh-CN"/>
        </w:rPr>
        <w:t>民已搬迁，无</w:t>
      </w:r>
      <w:r>
        <w:rPr>
          <w:rFonts w:hint="eastAsia" w:asciiTheme="minorEastAsia" w:hAnsiTheme="minorEastAsia" w:eastAsiaTheme="minorEastAsia"/>
          <w:spacing w:val="-4"/>
          <w:kern w:val="0"/>
          <w:sz w:val="24"/>
          <w:szCs w:val="24"/>
        </w:rPr>
        <w:t>名胜古迹和自然保护区及重要的文物保护单位和医院等。</w:t>
      </w:r>
      <w:r>
        <w:rPr>
          <w:rFonts w:hint="eastAsia" w:asciiTheme="minorEastAsia" w:hAnsiTheme="minorEastAsia" w:eastAsiaTheme="minorEastAsia"/>
          <w:kern w:val="0"/>
          <w:sz w:val="24"/>
          <w:szCs w:val="24"/>
        </w:rPr>
        <w:t>李渡大耍坝污水处理厂东、北、西南面有农户</w:t>
      </w:r>
      <w:r>
        <w:rPr>
          <w:rFonts w:hint="eastAsia" w:asciiTheme="minorEastAsia" w:hAnsiTheme="minorEastAsia" w:eastAsiaTheme="minorEastAsia"/>
          <w:spacing w:val="-4"/>
          <w:kern w:val="0"/>
          <w:sz w:val="24"/>
          <w:szCs w:val="24"/>
        </w:rPr>
        <w:t>，区域内环境敏感点见表2-2。</w:t>
      </w:r>
    </w:p>
    <w:p>
      <w:pPr>
        <w:autoSpaceDE w:val="0"/>
        <w:autoSpaceDN w:val="0"/>
        <w:spacing w:line="460" w:lineRule="exact"/>
        <w:ind w:firstLine="480"/>
        <w:rPr>
          <w:rFonts w:asciiTheme="minorEastAsia" w:hAnsiTheme="minorEastAsia" w:eastAsiaTheme="minorEastAsia"/>
          <w:bCs/>
          <w:snapToGrid w:val="0"/>
          <w:kern w:val="0"/>
          <w:sz w:val="24"/>
          <w:szCs w:val="24"/>
        </w:rPr>
      </w:pPr>
      <w:r>
        <w:rPr>
          <w:rFonts w:hint="eastAsia" w:asciiTheme="minorEastAsia" w:hAnsiTheme="minorEastAsia" w:eastAsiaTheme="minorEastAsia"/>
          <w:color w:val="000000" w:themeColor="text1"/>
          <w:kern w:val="0"/>
          <w:sz w:val="24"/>
          <w:szCs w:val="24"/>
        </w:rPr>
        <w:t>李渡双溪河</w:t>
      </w:r>
      <w:r>
        <w:rPr>
          <w:rFonts w:hint="eastAsia" w:asciiTheme="minorEastAsia" w:hAnsiTheme="minorEastAsia" w:eastAsiaTheme="minorEastAsia"/>
          <w:kern w:val="0"/>
          <w:sz w:val="24"/>
          <w:szCs w:val="24"/>
        </w:rPr>
        <w:t>汇入长江下游2.0km对岸为</w:t>
      </w:r>
      <w:r>
        <w:rPr>
          <w:rFonts w:hint="eastAsia" w:asciiTheme="minorEastAsia" w:hAnsiTheme="minorEastAsia" w:eastAsiaTheme="minorEastAsia"/>
          <w:bCs/>
          <w:snapToGrid w:val="0"/>
          <w:kern w:val="0"/>
          <w:sz w:val="24"/>
          <w:szCs w:val="24"/>
        </w:rPr>
        <w:t>龙桥工业园区水厂、电厂</w:t>
      </w:r>
      <w:r>
        <w:rPr>
          <w:rFonts w:hint="eastAsia" w:asciiTheme="minorEastAsia" w:hAnsiTheme="minorEastAsia" w:eastAsiaTheme="minorEastAsia"/>
          <w:kern w:val="0"/>
          <w:sz w:val="24"/>
          <w:szCs w:val="24"/>
        </w:rPr>
        <w:t>取水口，3.0km为李渡水厂取水口中。</w:t>
      </w:r>
    </w:p>
    <w:p>
      <w:pPr>
        <w:spacing w:line="460" w:lineRule="exact"/>
        <w:ind w:right="44" w:firstLine="480"/>
        <w:jc w:val="center"/>
        <w:rPr>
          <w:rFonts w:ascii="仿宋_GB2312"/>
          <w:szCs w:val="24"/>
        </w:rPr>
      </w:pPr>
      <w:r>
        <w:rPr>
          <w:rFonts w:hint="eastAsia" w:asciiTheme="minorEastAsia" w:hAnsiTheme="minorEastAsia" w:eastAsiaTheme="minorEastAsia"/>
          <w:b/>
          <w:sz w:val="24"/>
          <w:szCs w:val="24"/>
        </w:rPr>
        <w:t>表2-2项目主要敏感点分布一览表</w:t>
      </w:r>
    </w:p>
    <w:tbl>
      <w:tblPr>
        <w:tblStyle w:val="54"/>
        <w:tblW w:w="93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835"/>
        <w:gridCol w:w="758"/>
        <w:gridCol w:w="549"/>
        <w:gridCol w:w="1502"/>
        <w:gridCol w:w="1417"/>
        <w:gridCol w:w="1275"/>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restart"/>
            <w:vAlign w:val="center"/>
          </w:tcPr>
          <w:p>
            <w:pPr>
              <w:pStyle w:val="416"/>
              <w:autoSpaceDE w:val="0"/>
              <w:autoSpaceDN w:val="0"/>
              <w:spacing w:line="320" w:lineRule="atLeast"/>
              <w:jc w:val="both"/>
              <w:textAlignment w:val="baseline"/>
              <w:rPr>
                <w:rFonts w:ascii="仿宋_GB2312" w:eastAsia="仿宋_GB2312"/>
                <w:kern w:val="0"/>
                <w:sz w:val="21"/>
                <w:szCs w:val="21"/>
              </w:rPr>
            </w:pPr>
            <w:r>
              <w:rPr>
                <w:rFonts w:hint="eastAsia" w:ascii="仿宋_GB2312" w:eastAsia="仿宋_GB2312"/>
                <w:kern w:val="0"/>
                <w:sz w:val="21"/>
                <w:szCs w:val="21"/>
              </w:rPr>
              <w:t>编号</w:t>
            </w:r>
          </w:p>
        </w:tc>
        <w:tc>
          <w:tcPr>
            <w:tcW w:w="835"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环境</w:t>
            </w:r>
          </w:p>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要素</w:t>
            </w:r>
          </w:p>
        </w:tc>
        <w:tc>
          <w:tcPr>
            <w:tcW w:w="2809" w:type="dxa"/>
            <w:gridSpan w:val="3"/>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环境</w:t>
            </w:r>
          </w:p>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敏感点</w:t>
            </w:r>
          </w:p>
        </w:tc>
        <w:tc>
          <w:tcPr>
            <w:tcW w:w="2692" w:type="dxa"/>
            <w:gridSpan w:val="2"/>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特征</w:t>
            </w:r>
          </w:p>
        </w:tc>
        <w:tc>
          <w:tcPr>
            <w:tcW w:w="2372"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2809" w:type="dxa"/>
            <w:gridSpan w:val="3"/>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1417" w:type="dxa"/>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方位</w:t>
            </w:r>
          </w:p>
        </w:tc>
        <w:tc>
          <w:tcPr>
            <w:tcW w:w="1275" w:type="dxa"/>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距离</w:t>
            </w:r>
          </w:p>
        </w:tc>
        <w:tc>
          <w:tcPr>
            <w:tcW w:w="2372"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一</w:t>
            </w:r>
          </w:p>
        </w:tc>
        <w:tc>
          <w:tcPr>
            <w:tcW w:w="835"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环境</w:t>
            </w:r>
          </w:p>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空气*</w:t>
            </w:r>
          </w:p>
        </w:tc>
        <w:tc>
          <w:tcPr>
            <w:tcW w:w="2809" w:type="dxa"/>
            <w:gridSpan w:val="3"/>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1#居民</w:t>
            </w:r>
          </w:p>
        </w:tc>
        <w:tc>
          <w:tcPr>
            <w:tcW w:w="1417"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东面</w:t>
            </w:r>
          </w:p>
        </w:tc>
        <w:tc>
          <w:tcPr>
            <w:tcW w:w="1275"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300m</w:t>
            </w:r>
          </w:p>
        </w:tc>
        <w:tc>
          <w:tcPr>
            <w:tcW w:w="2372"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2809" w:type="dxa"/>
            <w:gridSpan w:val="3"/>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2#居民</w:t>
            </w:r>
          </w:p>
        </w:tc>
        <w:tc>
          <w:tcPr>
            <w:tcW w:w="1417"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西南面</w:t>
            </w:r>
          </w:p>
        </w:tc>
        <w:tc>
          <w:tcPr>
            <w:tcW w:w="1275"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250m</w:t>
            </w:r>
          </w:p>
        </w:tc>
        <w:tc>
          <w:tcPr>
            <w:tcW w:w="2372"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2809" w:type="dxa"/>
            <w:gridSpan w:val="3"/>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3#居民</w:t>
            </w:r>
          </w:p>
        </w:tc>
        <w:tc>
          <w:tcPr>
            <w:tcW w:w="1417"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西北面</w:t>
            </w:r>
          </w:p>
        </w:tc>
        <w:tc>
          <w:tcPr>
            <w:tcW w:w="1275"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150m</w:t>
            </w:r>
          </w:p>
        </w:tc>
        <w:tc>
          <w:tcPr>
            <w:tcW w:w="2372"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2809" w:type="dxa"/>
            <w:gridSpan w:val="3"/>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4#居民</w:t>
            </w:r>
          </w:p>
        </w:tc>
        <w:tc>
          <w:tcPr>
            <w:tcW w:w="1417"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北面</w:t>
            </w:r>
          </w:p>
        </w:tc>
        <w:tc>
          <w:tcPr>
            <w:tcW w:w="1275"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50m</w:t>
            </w:r>
          </w:p>
        </w:tc>
        <w:tc>
          <w:tcPr>
            <w:tcW w:w="2372"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二</w:t>
            </w:r>
          </w:p>
        </w:tc>
        <w:tc>
          <w:tcPr>
            <w:tcW w:w="835"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地表水</w:t>
            </w:r>
          </w:p>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环境</w:t>
            </w:r>
          </w:p>
        </w:tc>
        <w:tc>
          <w:tcPr>
            <w:tcW w:w="2809" w:type="dxa"/>
            <w:gridSpan w:val="3"/>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长江评价段</w:t>
            </w:r>
          </w:p>
        </w:tc>
        <w:tc>
          <w:tcPr>
            <w:tcW w:w="2692" w:type="dxa"/>
            <w:gridSpan w:val="2"/>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本项目纳污水体</w:t>
            </w:r>
          </w:p>
        </w:tc>
        <w:tc>
          <w:tcPr>
            <w:tcW w:w="2372"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Ⅲ类水域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2809" w:type="dxa"/>
            <w:gridSpan w:val="3"/>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龙桥电厂取水口</w:t>
            </w:r>
          </w:p>
        </w:tc>
        <w:tc>
          <w:tcPr>
            <w:tcW w:w="2692" w:type="dxa"/>
            <w:gridSpan w:val="2"/>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下游2km对岸</w:t>
            </w:r>
          </w:p>
        </w:tc>
        <w:tc>
          <w:tcPr>
            <w:tcW w:w="2372" w:type="dxa"/>
            <w:vAlign w:val="center"/>
          </w:tcPr>
          <w:p>
            <w:pPr>
              <w:pStyle w:val="416"/>
              <w:autoSpaceDE w:val="0"/>
              <w:autoSpaceDN w:val="0"/>
              <w:spacing w:line="320" w:lineRule="atLeast"/>
              <w:textAlignment w:val="baseline"/>
              <w:rPr>
                <w:rFonts w:hint="eastAsia" w:ascii="仿宋_GB2312" w:eastAsia="仿宋_GB2312"/>
                <w:kern w:val="0"/>
                <w:sz w:val="21"/>
                <w:szCs w:val="21"/>
              </w:rPr>
            </w:pPr>
            <w:r>
              <w:rPr>
                <w:rFonts w:hint="eastAsia" w:ascii="仿宋_GB2312" w:eastAsia="仿宋_GB2312"/>
                <w:kern w:val="0"/>
                <w:sz w:val="21"/>
                <w:szCs w:val="21"/>
              </w:rPr>
              <w:t>（工业用水）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2809" w:type="dxa"/>
            <w:gridSpan w:val="3"/>
            <w:vAlign w:val="center"/>
          </w:tcPr>
          <w:p>
            <w:pPr>
              <w:spacing w:line="360" w:lineRule="exact"/>
              <w:ind w:firstLine="0" w:firstLineChars="0"/>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龙桥工业园区水厂取水口</w:t>
            </w:r>
          </w:p>
        </w:tc>
        <w:tc>
          <w:tcPr>
            <w:tcW w:w="2692" w:type="dxa"/>
            <w:gridSpan w:val="2"/>
            <w:vAlign w:val="center"/>
          </w:tcPr>
          <w:p>
            <w:pPr>
              <w:autoSpaceDE w:val="0"/>
              <w:autoSpaceDN w:val="0"/>
              <w:spacing w:line="240" w:lineRule="atLeast"/>
              <w:ind w:firstLine="0" w:firstLineChars="0"/>
              <w:jc w:val="center"/>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下游2km对岸</w:t>
            </w:r>
          </w:p>
        </w:tc>
        <w:tc>
          <w:tcPr>
            <w:tcW w:w="2372"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（工业用水）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2809" w:type="dxa"/>
            <w:gridSpan w:val="3"/>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李渡水厂取水口</w:t>
            </w:r>
          </w:p>
        </w:tc>
        <w:tc>
          <w:tcPr>
            <w:tcW w:w="2692" w:type="dxa"/>
            <w:gridSpan w:val="2"/>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下游3km同岸</w:t>
            </w:r>
          </w:p>
        </w:tc>
        <w:tc>
          <w:tcPr>
            <w:tcW w:w="2372"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城市生活用水取水口</w:t>
            </w:r>
          </w:p>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（饮用水源保护区）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669"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三</w:t>
            </w:r>
          </w:p>
        </w:tc>
        <w:tc>
          <w:tcPr>
            <w:tcW w:w="835"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声环境*</w:t>
            </w:r>
          </w:p>
        </w:tc>
        <w:tc>
          <w:tcPr>
            <w:tcW w:w="758" w:type="dxa"/>
            <w:vMerge w:val="restart"/>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污水处理厂</w:t>
            </w:r>
          </w:p>
        </w:tc>
        <w:tc>
          <w:tcPr>
            <w:tcW w:w="2051" w:type="dxa"/>
            <w:gridSpan w:val="2"/>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1#居民</w:t>
            </w:r>
          </w:p>
        </w:tc>
        <w:tc>
          <w:tcPr>
            <w:tcW w:w="1417"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东面</w:t>
            </w:r>
          </w:p>
        </w:tc>
        <w:tc>
          <w:tcPr>
            <w:tcW w:w="1275"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300m</w:t>
            </w:r>
          </w:p>
        </w:tc>
        <w:tc>
          <w:tcPr>
            <w:tcW w:w="2372"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758" w:type="dxa"/>
            <w:vMerge w:val="continue"/>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p>
        </w:tc>
        <w:tc>
          <w:tcPr>
            <w:tcW w:w="2051" w:type="dxa"/>
            <w:gridSpan w:val="2"/>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2#居民</w:t>
            </w:r>
          </w:p>
        </w:tc>
        <w:tc>
          <w:tcPr>
            <w:tcW w:w="1417"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西南面</w:t>
            </w:r>
          </w:p>
        </w:tc>
        <w:tc>
          <w:tcPr>
            <w:tcW w:w="1275"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250m</w:t>
            </w:r>
          </w:p>
        </w:tc>
        <w:tc>
          <w:tcPr>
            <w:tcW w:w="2372" w:type="dxa"/>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758" w:type="dxa"/>
            <w:vMerge w:val="continue"/>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p>
        </w:tc>
        <w:tc>
          <w:tcPr>
            <w:tcW w:w="2051" w:type="dxa"/>
            <w:gridSpan w:val="2"/>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3#居民</w:t>
            </w:r>
          </w:p>
        </w:tc>
        <w:tc>
          <w:tcPr>
            <w:tcW w:w="1417"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西北面</w:t>
            </w:r>
          </w:p>
        </w:tc>
        <w:tc>
          <w:tcPr>
            <w:tcW w:w="1275"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150m</w:t>
            </w:r>
          </w:p>
        </w:tc>
        <w:tc>
          <w:tcPr>
            <w:tcW w:w="2372" w:type="dxa"/>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758" w:type="dxa"/>
            <w:vMerge w:val="continue"/>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p>
        </w:tc>
        <w:tc>
          <w:tcPr>
            <w:tcW w:w="2051" w:type="dxa"/>
            <w:gridSpan w:val="2"/>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4#居民</w:t>
            </w:r>
          </w:p>
        </w:tc>
        <w:tc>
          <w:tcPr>
            <w:tcW w:w="1417"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北面</w:t>
            </w:r>
          </w:p>
        </w:tc>
        <w:tc>
          <w:tcPr>
            <w:tcW w:w="1275"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50m</w:t>
            </w:r>
          </w:p>
        </w:tc>
        <w:tc>
          <w:tcPr>
            <w:tcW w:w="2372" w:type="dxa"/>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669"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四</w:t>
            </w:r>
          </w:p>
        </w:tc>
        <w:tc>
          <w:tcPr>
            <w:tcW w:w="835" w:type="dxa"/>
            <w:vMerge w:val="restart"/>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生态</w:t>
            </w:r>
          </w:p>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环境</w:t>
            </w:r>
          </w:p>
        </w:tc>
        <w:tc>
          <w:tcPr>
            <w:tcW w:w="1307" w:type="dxa"/>
            <w:gridSpan w:val="2"/>
            <w:vMerge w:val="restart"/>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产卵场</w:t>
            </w:r>
          </w:p>
        </w:tc>
        <w:tc>
          <w:tcPr>
            <w:tcW w:w="1502" w:type="dxa"/>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旋鱼凼</w:t>
            </w:r>
          </w:p>
        </w:tc>
        <w:tc>
          <w:tcPr>
            <w:tcW w:w="2692" w:type="dxa"/>
            <w:gridSpan w:val="2"/>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上游2.5km同岸</w:t>
            </w:r>
          </w:p>
        </w:tc>
        <w:tc>
          <w:tcPr>
            <w:tcW w:w="2372" w:type="dxa"/>
            <w:vMerge w:val="restart"/>
            <w:vAlign w:val="center"/>
          </w:tcPr>
          <w:p>
            <w:pPr>
              <w:pStyle w:val="416"/>
              <w:autoSpaceDE w:val="0"/>
              <w:autoSpaceDN w:val="0"/>
              <w:spacing w:line="320" w:lineRule="atLeast"/>
              <w:textAlignment w:val="baseline"/>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 w:val="21"/>
                <w:szCs w:val="21"/>
                <w:lang w:val="en-US" w:eastAsia="zh-CN" w:bidi="ar-SA"/>
              </w:rPr>
              <w:t>经济鱼类产卵场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1307" w:type="dxa"/>
            <w:gridSpan w:val="2"/>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1502" w:type="dxa"/>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大曲浩</w:t>
            </w:r>
          </w:p>
        </w:tc>
        <w:tc>
          <w:tcPr>
            <w:tcW w:w="2692" w:type="dxa"/>
            <w:gridSpan w:val="2"/>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下游2.5km同岸</w:t>
            </w:r>
          </w:p>
        </w:tc>
        <w:tc>
          <w:tcPr>
            <w:tcW w:w="2372"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835"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1307" w:type="dxa"/>
            <w:gridSpan w:val="2"/>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c>
          <w:tcPr>
            <w:tcW w:w="1502" w:type="dxa"/>
            <w:vAlign w:val="center"/>
          </w:tcPr>
          <w:p>
            <w:pPr>
              <w:pStyle w:val="416"/>
              <w:autoSpaceDE w:val="0"/>
              <w:autoSpaceDN w:val="0"/>
              <w:spacing w:line="320" w:lineRule="atLeast"/>
              <w:textAlignment w:val="baseline"/>
              <w:rPr>
                <w:rFonts w:ascii="仿宋_GB2312" w:eastAsia="仿宋_GB2312"/>
                <w:kern w:val="0"/>
                <w:sz w:val="21"/>
                <w:szCs w:val="21"/>
              </w:rPr>
            </w:pPr>
            <w:r>
              <w:rPr>
                <w:rFonts w:hint="eastAsia" w:ascii="仿宋_GB2312" w:eastAsia="仿宋_GB2312"/>
                <w:kern w:val="0"/>
                <w:sz w:val="21"/>
                <w:szCs w:val="21"/>
              </w:rPr>
              <w:t>麻柳滩</w:t>
            </w:r>
          </w:p>
        </w:tc>
        <w:tc>
          <w:tcPr>
            <w:tcW w:w="2692" w:type="dxa"/>
            <w:gridSpan w:val="2"/>
            <w:vAlign w:val="center"/>
          </w:tcPr>
          <w:p>
            <w:pPr>
              <w:pStyle w:val="416"/>
              <w:autoSpaceDE w:val="0"/>
              <w:autoSpaceDN w:val="0"/>
              <w:spacing w:line="320" w:lineRule="atLeast"/>
              <w:ind w:firstLine="525" w:firstLineChars="250"/>
              <w:jc w:val="both"/>
              <w:textAlignment w:val="baseline"/>
              <w:rPr>
                <w:rFonts w:ascii="仿宋_GB2312" w:eastAsia="仿宋_GB2312"/>
                <w:kern w:val="0"/>
                <w:sz w:val="21"/>
                <w:szCs w:val="21"/>
              </w:rPr>
            </w:pPr>
            <w:r>
              <w:rPr>
                <w:rFonts w:hint="eastAsia" w:ascii="仿宋_GB2312" w:eastAsia="仿宋_GB2312"/>
                <w:kern w:val="0"/>
                <w:sz w:val="21"/>
                <w:szCs w:val="21"/>
              </w:rPr>
              <w:t>下游2.5km同岸</w:t>
            </w:r>
          </w:p>
        </w:tc>
        <w:tc>
          <w:tcPr>
            <w:tcW w:w="2372" w:type="dxa"/>
            <w:vMerge w:val="continue"/>
            <w:vAlign w:val="center"/>
          </w:tcPr>
          <w:p>
            <w:pPr>
              <w:pStyle w:val="416"/>
              <w:autoSpaceDE w:val="0"/>
              <w:autoSpaceDN w:val="0"/>
              <w:spacing w:line="320" w:lineRule="atLeast"/>
              <w:textAlignment w:val="baseline"/>
              <w:rPr>
                <w:rFonts w:ascii="仿宋_GB2312" w:eastAsia="仿宋_GB2312"/>
                <w:kern w:val="0"/>
                <w:sz w:val="21"/>
                <w:szCs w:val="21"/>
              </w:rPr>
            </w:pPr>
          </w:p>
        </w:tc>
      </w:tr>
    </w:tbl>
    <w:p>
      <w:pPr>
        <w:pStyle w:val="280"/>
        <w:spacing w:before="120" w:line="240" w:lineRule="atLeast"/>
        <w:ind w:firstLine="480"/>
        <w:rPr>
          <w:rFonts w:ascii="仿宋_GB2312" w:hAnsi="宋体" w:eastAsia="仿宋_GB2312"/>
          <w:bCs/>
          <w:snapToGrid w:val="0"/>
          <w:sz w:val="24"/>
          <w:szCs w:val="22"/>
        </w:rPr>
      </w:pPr>
      <w:r>
        <w:rPr>
          <w:rFonts w:hint="eastAsia" w:ascii="仿宋_GB2312" w:hAnsi="宋体" w:eastAsia="仿宋_GB2312"/>
          <w:bCs/>
          <w:snapToGrid w:val="0"/>
          <w:sz w:val="24"/>
          <w:szCs w:val="22"/>
        </w:rPr>
        <w:t>注：环境空气敏感点方位距离以调节池为中心原点，声环境敏感点方位距离以污水处理厂鼓风机房。</w:t>
      </w:r>
    </w:p>
    <w:p>
      <w:pPr>
        <w:adjustRightInd w:val="0"/>
        <w:snapToGrid w:val="0"/>
        <w:spacing w:line="460" w:lineRule="exact"/>
        <w:outlineLvl w:val="1"/>
        <w:rPr>
          <w:b/>
          <w:color w:val="000000"/>
          <w:sz w:val="28"/>
          <w:szCs w:val="28"/>
        </w:rPr>
      </w:pPr>
      <w:bookmarkStart w:id="184" w:name="_Toc12444"/>
      <w:r>
        <w:rPr>
          <w:rFonts w:hint="eastAsia"/>
          <w:b/>
          <w:color w:val="000000"/>
          <w:sz w:val="28"/>
          <w:szCs w:val="28"/>
        </w:rPr>
        <w:t>2.4企业现有污染物及排放标准</w:t>
      </w:r>
      <w:bookmarkEnd w:id="184"/>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（1）废气</w:t>
      </w:r>
    </w:p>
    <w:p>
      <w:pPr>
        <w:spacing w:line="460" w:lineRule="exact"/>
        <w:ind w:firstLine="480"/>
        <w:rPr>
          <w:rFonts w:ascii="仿宋_GB2312"/>
          <w:snapToGrid w:val="0"/>
          <w:szCs w:val="28"/>
        </w:rPr>
      </w:pPr>
      <w:r>
        <w:rPr>
          <w:rFonts w:hint="eastAsia" w:asciiTheme="minorEastAsia" w:hAnsiTheme="minorEastAsia" w:eastAsiaTheme="minorEastAsia"/>
          <w:sz w:val="24"/>
          <w:szCs w:val="24"/>
        </w:rPr>
        <w:t>根据《重庆市大气污染物综合排放标准》（DB50/418-2012），臭气执行《恶臭污染物排放标准》（GB14554-93）厂界标准二级，见表2-3。</w:t>
      </w:r>
    </w:p>
    <w:p>
      <w:pPr>
        <w:pStyle w:val="187"/>
        <w:rPr>
          <w:rFonts w:ascii="仿宋_GB2312"/>
          <w:snapToGrid w:val="0"/>
        </w:rPr>
      </w:pPr>
      <w:r>
        <w:rPr>
          <w:rFonts w:hint="eastAsia" w:ascii="仿宋_GB2312"/>
          <w:snapToGrid w:val="0"/>
        </w:rPr>
        <w:t xml:space="preserve">                        表2-3废气排放标准                   单位：mg/m</w:t>
      </w:r>
      <w:r>
        <w:rPr>
          <w:rFonts w:hint="eastAsia" w:ascii="仿宋_GB2312"/>
          <w:snapToGrid w:val="0"/>
          <w:vertAlign w:val="superscript"/>
        </w:rPr>
        <w:t>3</w:t>
      </w:r>
    </w:p>
    <w:tbl>
      <w:tblPr>
        <w:tblStyle w:val="54"/>
        <w:tblW w:w="9006"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423"/>
        <w:gridCol w:w="2127"/>
        <w:gridCol w:w="4456"/>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423" w:type="dxa"/>
            <w:tcBorders>
              <w:top w:val="thinThickSmallGap" w:color="auto" w:sz="18" w:space="0"/>
              <w:right w:val="single" w:color="auto" w:sz="4" w:space="0"/>
            </w:tcBorders>
            <w:vAlign w:val="center"/>
          </w:tcPr>
          <w:p>
            <w:pPr>
              <w:pStyle w:val="187"/>
              <w:rPr>
                <w:rFonts w:ascii="仿宋_GB2312"/>
                <w:kern w:val="2"/>
                <w:szCs w:val="22"/>
              </w:rPr>
            </w:pPr>
            <w:r>
              <w:rPr>
                <w:rFonts w:hint="eastAsia" w:ascii="仿宋_GB2312"/>
                <w:kern w:val="2"/>
                <w:szCs w:val="22"/>
              </w:rPr>
              <w:t>污染物名称</w:t>
            </w:r>
          </w:p>
        </w:tc>
        <w:tc>
          <w:tcPr>
            <w:tcW w:w="2127" w:type="dxa"/>
            <w:tcBorders>
              <w:top w:val="thinThickSmallGap" w:color="auto" w:sz="18" w:space="0"/>
              <w:left w:val="single" w:color="auto" w:sz="4" w:space="0"/>
            </w:tcBorders>
            <w:vAlign w:val="center"/>
          </w:tcPr>
          <w:p>
            <w:pPr>
              <w:pStyle w:val="187"/>
              <w:rPr>
                <w:rFonts w:ascii="仿宋_GB2312"/>
                <w:kern w:val="2"/>
                <w:szCs w:val="22"/>
              </w:rPr>
            </w:pPr>
            <w:r>
              <w:rPr>
                <w:rFonts w:hint="eastAsia" w:ascii="仿宋_GB2312"/>
                <w:kern w:val="2"/>
                <w:szCs w:val="22"/>
              </w:rPr>
              <w:t>周界外浓度最高点</w:t>
            </w:r>
          </w:p>
        </w:tc>
        <w:tc>
          <w:tcPr>
            <w:tcW w:w="4456" w:type="dxa"/>
            <w:tcBorders>
              <w:top w:val="thinThickSmallGap" w:color="auto" w:sz="18" w:space="0"/>
              <w:left w:val="single" w:color="auto" w:sz="4" w:space="0"/>
            </w:tcBorders>
            <w:vAlign w:val="center"/>
          </w:tcPr>
          <w:p>
            <w:pPr>
              <w:pStyle w:val="187"/>
              <w:rPr>
                <w:rFonts w:ascii="仿宋_GB2312"/>
                <w:kern w:val="2"/>
                <w:szCs w:val="22"/>
              </w:rPr>
            </w:pPr>
            <w:r>
              <w:rPr>
                <w:rFonts w:hint="eastAsia" w:ascii="仿宋_GB2312"/>
                <w:kern w:val="2"/>
                <w:szCs w:val="22"/>
              </w:rPr>
              <w:t>依 据</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423" w:type="dxa"/>
            <w:tcBorders>
              <w:right w:val="single" w:color="auto" w:sz="4" w:space="0"/>
            </w:tcBorders>
            <w:vAlign w:val="center"/>
          </w:tcPr>
          <w:p>
            <w:pPr>
              <w:pStyle w:val="187"/>
              <w:rPr>
                <w:rFonts w:ascii="仿宋_GB2312"/>
                <w:kern w:val="2"/>
                <w:szCs w:val="22"/>
              </w:rPr>
            </w:pPr>
            <w:r>
              <w:rPr>
                <w:rFonts w:hint="eastAsia" w:ascii="仿宋_GB2312"/>
                <w:kern w:val="2"/>
                <w:szCs w:val="22"/>
              </w:rPr>
              <w:t>臭气</w:t>
            </w:r>
          </w:p>
        </w:tc>
        <w:tc>
          <w:tcPr>
            <w:tcW w:w="2127" w:type="dxa"/>
            <w:tcBorders>
              <w:left w:val="single" w:color="auto" w:sz="4" w:space="0"/>
            </w:tcBorders>
            <w:vAlign w:val="center"/>
          </w:tcPr>
          <w:p>
            <w:pPr>
              <w:pStyle w:val="187"/>
              <w:rPr>
                <w:rFonts w:ascii="仿宋_GB2312"/>
                <w:kern w:val="2"/>
                <w:szCs w:val="22"/>
              </w:rPr>
            </w:pPr>
            <w:r>
              <w:rPr>
                <w:rFonts w:hint="eastAsia" w:ascii="仿宋_GB2312"/>
                <w:kern w:val="2"/>
                <w:szCs w:val="22"/>
              </w:rPr>
              <w:t>20</w:t>
            </w:r>
          </w:p>
        </w:tc>
        <w:tc>
          <w:tcPr>
            <w:tcW w:w="4456" w:type="dxa"/>
            <w:tcBorders>
              <w:left w:val="single" w:color="auto" w:sz="4" w:space="0"/>
            </w:tcBorders>
            <w:vAlign w:val="center"/>
          </w:tcPr>
          <w:p>
            <w:pPr>
              <w:pStyle w:val="187"/>
              <w:rPr>
                <w:rFonts w:ascii="仿宋_GB2312"/>
                <w:kern w:val="2"/>
                <w:szCs w:val="22"/>
              </w:rPr>
            </w:pPr>
            <w:r>
              <w:rPr>
                <w:rFonts w:hint="eastAsia" w:ascii="仿宋_GB2312"/>
                <w:kern w:val="2"/>
                <w:szCs w:val="22"/>
              </w:rPr>
              <w:t>《恶臭污染物排放标准》（GB14554-93）</w:t>
            </w:r>
          </w:p>
        </w:tc>
      </w:tr>
    </w:tbl>
    <w:p>
      <w:pPr>
        <w:pStyle w:val="187"/>
        <w:jc w:val="both"/>
        <w:rPr>
          <w:rFonts w:asciiTheme="minorEastAsia" w:hAnsiTheme="minorEastAsia" w:eastAsiaTheme="minorEastAsia"/>
          <w:kern w:val="2"/>
          <w:sz w:val="24"/>
        </w:rPr>
      </w:pPr>
      <w:r>
        <w:rPr>
          <w:rFonts w:hint="eastAsia" w:asciiTheme="minorEastAsia" w:hAnsiTheme="minorEastAsia" w:eastAsiaTheme="minorEastAsia"/>
          <w:kern w:val="2"/>
          <w:sz w:val="24"/>
        </w:rPr>
        <w:t>（2）废水</w:t>
      </w:r>
    </w:p>
    <w:p>
      <w:pPr>
        <w:spacing w:line="460" w:lineRule="exact"/>
        <w:ind w:firstLine="480"/>
        <w:rPr>
          <w:rFonts w:ascii="仿宋_GB2312"/>
        </w:rPr>
      </w:pPr>
      <w:r>
        <w:rPr>
          <w:rFonts w:hint="eastAsia" w:asciiTheme="minorEastAsia" w:hAnsiTheme="minorEastAsia" w:eastAsiaTheme="minorEastAsia"/>
          <w:sz w:val="24"/>
          <w:szCs w:val="24"/>
        </w:rPr>
        <w:t xml:space="preserve">根据《城镇污水处理厂污染物排放标准》（GB18918-2002），污水处理站处理达一级B标准后，污水处理达标后通过尾水排放管排入长江。废水排放标准，见表2-4。 </w:t>
      </w:r>
      <w:r>
        <w:rPr>
          <w:rFonts w:hint="eastAsia" w:ascii="仿宋_GB2312"/>
        </w:rPr>
        <w:t xml:space="preserve">                         </w:t>
      </w:r>
    </w:p>
    <w:p>
      <w:pPr>
        <w:pStyle w:val="187"/>
        <w:rPr>
          <w:rFonts w:ascii="仿宋_GB2312"/>
        </w:rPr>
      </w:pPr>
      <w:r>
        <w:rPr>
          <w:rFonts w:hint="eastAsia" w:ascii="仿宋_GB2312"/>
        </w:rPr>
        <w:t xml:space="preserve"> </w:t>
      </w:r>
    </w:p>
    <w:p>
      <w:pPr>
        <w:pStyle w:val="187"/>
        <w:rPr>
          <w:rFonts w:ascii="仿宋_GB2312"/>
        </w:rPr>
      </w:pPr>
    </w:p>
    <w:p>
      <w:pPr>
        <w:pStyle w:val="187"/>
        <w:rPr>
          <w:rFonts w:ascii="仿宋_GB2312"/>
        </w:rPr>
      </w:pPr>
      <w:r>
        <w:rPr>
          <w:rFonts w:hint="eastAsia" w:ascii="仿宋_GB2312"/>
        </w:rPr>
        <w:t>2-4废水排放标准                   单位：mg/L</w:t>
      </w:r>
    </w:p>
    <w:tbl>
      <w:tblPr>
        <w:tblStyle w:val="54"/>
        <w:tblW w:w="8896"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935"/>
        <w:gridCol w:w="3121"/>
        <w:gridCol w:w="2840"/>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9" w:hRule="atLeast"/>
          <w:jc w:val="center"/>
        </w:trPr>
        <w:tc>
          <w:tcPr>
            <w:tcW w:w="2935" w:type="dxa"/>
            <w:tcBorders>
              <w:top w:val="thinThickSmallGap" w:color="auto" w:sz="18" w:space="0"/>
              <w:right w:val="single" w:color="auto" w:sz="4" w:space="0"/>
            </w:tcBorders>
            <w:vAlign w:val="center"/>
          </w:tcPr>
          <w:p>
            <w:pPr>
              <w:pStyle w:val="187"/>
              <w:rPr>
                <w:rFonts w:ascii="仿宋_GB2312"/>
                <w:kern w:val="2"/>
                <w:szCs w:val="22"/>
              </w:rPr>
            </w:pPr>
            <w:r>
              <w:rPr>
                <w:rFonts w:hint="eastAsia" w:ascii="仿宋_GB2312"/>
                <w:kern w:val="2"/>
                <w:szCs w:val="22"/>
              </w:rPr>
              <w:t>污染物名称</w:t>
            </w:r>
          </w:p>
        </w:tc>
        <w:tc>
          <w:tcPr>
            <w:tcW w:w="3121" w:type="dxa"/>
            <w:tcBorders>
              <w:top w:val="thinThickSmallGap" w:color="auto" w:sz="18" w:space="0"/>
              <w:left w:val="single" w:color="auto" w:sz="4" w:space="0"/>
            </w:tcBorders>
            <w:vAlign w:val="center"/>
          </w:tcPr>
          <w:p>
            <w:pPr>
              <w:pStyle w:val="187"/>
              <w:rPr>
                <w:rFonts w:ascii="仿宋_GB2312"/>
                <w:kern w:val="2"/>
                <w:szCs w:val="22"/>
              </w:rPr>
            </w:pPr>
            <w:r>
              <w:rPr>
                <w:rFonts w:hint="eastAsia" w:ascii="仿宋_GB2312"/>
                <w:kern w:val="2"/>
                <w:szCs w:val="22"/>
              </w:rPr>
              <w:t>一级B标准</w:t>
            </w:r>
          </w:p>
        </w:tc>
        <w:tc>
          <w:tcPr>
            <w:tcW w:w="2840" w:type="dxa"/>
            <w:tcBorders>
              <w:top w:val="thinThickSmallGap" w:color="auto" w:sz="18" w:space="0"/>
              <w:left w:val="single" w:color="auto" w:sz="4" w:space="0"/>
            </w:tcBorders>
            <w:vAlign w:val="center"/>
          </w:tcPr>
          <w:p>
            <w:pPr>
              <w:pStyle w:val="187"/>
              <w:rPr>
                <w:rFonts w:ascii="仿宋_GB2312"/>
                <w:kern w:val="2"/>
                <w:szCs w:val="22"/>
              </w:rPr>
            </w:pPr>
            <w:r>
              <w:rPr>
                <w:rFonts w:hint="eastAsia" w:ascii="仿宋_GB2312"/>
                <w:kern w:val="2"/>
                <w:szCs w:val="22"/>
              </w:rPr>
              <w:t>依据</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9" w:hRule="atLeast"/>
          <w:jc w:val="center"/>
        </w:trPr>
        <w:tc>
          <w:tcPr>
            <w:tcW w:w="2935" w:type="dxa"/>
            <w:tcBorders>
              <w:right w:val="single" w:color="auto" w:sz="4" w:space="0"/>
            </w:tcBorders>
            <w:vAlign w:val="center"/>
          </w:tcPr>
          <w:p>
            <w:pPr>
              <w:pStyle w:val="187"/>
              <w:rPr>
                <w:rFonts w:ascii="仿宋_GB2312"/>
                <w:kern w:val="2"/>
                <w:szCs w:val="22"/>
              </w:rPr>
            </w:pPr>
            <w:r>
              <w:rPr>
                <w:rFonts w:hint="eastAsia" w:ascii="仿宋_GB2312"/>
                <w:kern w:val="2"/>
                <w:szCs w:val="22"/>
              </w:rPr>
              <w:t>pH</w:t>
            </w:r>
          </w:p>
        </w:tc>
        <w:tc>
          <w:tcPr>
            <w:tcW w:w="3121" w:type="dxa"/>
            <w:tcBorders>
              <w:left w:val="single" w:color="auto" w:sz="4" w:space="0"/>
            </w:tcBorders>
            <w:vAlign w:val="center"/>
          </w:tcPr>
          <w:p>
            <w:pPr>
              <w:pStyle w:val="187"/>
              <w:rPr>
                <w:rFonts w:ascii="仿宋_GB2312"/>
                <w:kern w:val="2"/>
                <w:szCs w:val="22"/>
              </w:rPr>
            </w:pPr>
            <w:r>
              <w:rPr>
                <w:rFonts w:hint="eastAsia" w:ascii="仿宋_GB2312"/>
                <w:kern w:val="2"/>
                <w:szCs w:val="22"/>
              </w:rPr>
              <w:t>6～9</w:t>
            </w:r>
          </w:p>
        </w:tc>
        <w:tc>
          <w:tcPr>
            <w:tcW w:w="2840" w:type="dxa"/>
            <w:tcBorders>
              <w:left w:val="single" w:color="auto" w:sz="4" w:space="0"/>
            </w:tcBorders>
            <w:vAlign w:val="center"/>
          </w:tcPr>
          <w:p>
            <w:pPr>
              <w:ind w:firstLine="480"/>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87"/>
              <w:rPr>
                <w:rFonts w:ascii="仿宋_GB2312"/>
                <w:kern w:val="2"/>
                <w:szCs w:val="22"/>
              </w:rPr>
            </w:pPr>
            <w:r>
              <w:rPr>
                <w:rFonts w:hint="eastAsia" w:ascii="仿宋_GB2312"/>
                <w:kern w:val="2"/>
                <w:szCs w:val="22"/>
              </w:rPr>
              <w:t>COD</w:t>
            </w:r>
          </w:p>
        </w:tc>
        <w:tc>
          <w:tcPr>
            <w:tcW w:w="3121" w:type="dxa"/>
            <w:tcBorders>
              <w:left w:val="single" w:color="auto" w:sz="4" w:space="0"/>
            </w:tcBorders>
            <w:vAlign w:val="center"/>
          </w:tcPr>
          <w:p>
            <w:pPr>
              <w:pStyle w:val="187"/>
              <w:rPr>
                <w:rFonts w:ascii="仿宋_GB2312"/>
                <w:kern w:val="2"/>
                <w:szCs w:val="22"/>
              </w:rPr>
            </w:pPr>
            <w:r>
              <w:rPr>
                <w:rFonts w:hint="eastAsia" w:ascii="仿宋_GB2312"/>
                <w:kern w:val="2"/>
                <w:szCs w:val="22"/>
              </w:rPr>
              <w:t>60</w:t>
            </w:r>
          </w:p>
        </w:tc>
        <w:tc>
          <w:tcPr>
            <w:tcW w:w="2840" w:type="dxa"/>
            <w:vMerge w:val="restart"/>
            <w:tcBorders>
              <w:left w:val="single" w:color="auto" w:sz="4" w:space="0"/>
            </w:tcBorders>
            <w:vAlign w:val="center"/>
          </w:tcPr>
          <w:p>
            <w:pPr>
              <w:pStyle w:val="187"/>
              <w:rPr>
                <w:rFonts w:ascii="仿宋_GB2312"/>
                <w:kern w:val="2"/>
                <w:szCs w:val="22"/>
              </w:rPr>
            </w:pPr>
            <w:r>
              <w:rPr>
                <w:rFonts w:hint="eastAsia" w:ascii="仿宋_GB2312"/>
              </w:rPr>
              <w:t>《城镇污水处理厂污染物排放标准》（GB18918-2002）</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87"/>
              <w:rPr>
                <w:rFonts w:ascii="仿宋_GB2312"/>
                <w:kern w:val="2"/>
                <w:szCs w:val="22"/>
              </w:rPr>
            </w:pPr>
            <w:r>
              <w:rPr>
                <w:rFonts w:hint="eastAsia" w:ascii="仿宋_GB2312"/>
                <w:kern w:val="2"/>
                <w:szCs w:val="22"/>
              </w:rPr>
              <w:t>BOD</w:t>
            </w:r>
            <w:r>
              <w:rPr>
                <w:rFonts w:hint="eastAsia" w:ascii="仿宋_GB2312"/>
                <w:kern w:val="2"/>
                <w:szCs w:val="22"/>
                <w:vertAlign w:val="subscript"/>
              </w:rPr>
              <w:t>5</w:t>
            </w:r>
          </w:p>
        </w:tc>
        <w:tc>
          <w:tcPr>
            <w:tcW w:w="3121" w:type="dxa"/>
            <w:tcBorders>
              <w:left w:val="single" w:color="auto" w:sz="4" w:space="0"/>
            </w:tcBorders>
            <w:vAlign w:val="center"/>
          </w:tcPr>
          <w:p>
            <w:pPr>
              <w:pStyle w:val="187"/>
              <w:rPr>
                <w:rFonts w:ascii="仿宋_GB2312"/>
                <w:kern w:val="2"/>
                <w:szCs w:val="22"/>
              </w:rPr>
            </w:pPr>
            <w:r>
              <w:rPr>
                <w:rFonts w:hint="eastAsia" w:ascii="仿宋_GB2312"/>
                <w:kern w:val="2"/>
                <w:szCs w:val="22"/>
              </w:rPr>
              <w:t>20</w:t>
            </w:r>
          </w:p>
        </w:tc>
        <w:tc>
          <w:tcPr>
            <w:tcW w:w="2840" w:type="dxa"/>
            <w:vMerge w:val="continue"/>
            <w:tcBorders>
              <w:left w:val="single" w:color="auto" w:sz="4" w:space="0"/>
            </w:tcBorders>
            <w:vAlign w:val="center"/>
          </w:tcPr>
          <w:p>
            <w:pPr>
              <w:ind w:firstLine="480"/>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87"/>
              <w:rPr>
                <w:rFonts w:ascii="仿宋_GB2312"/>
                <w:kern w:val="2"/>
                <w:szCs w:val="22"/>
              </w:rPr>
            </w:pPr>
            <w:r>
              <w:rPr>
                <w:rFonts w:hint="eastAsia" w:ascii="仿宋_GB2312"/>
                <w:kern w:val="2"/>
                <w:szCs w:val="22"/>
              </w:rPr>
              <w:t>氨氮</w:t>
            </w:r>
          </w:p>
        </w:tc>
        <w:tc>
          <w:tcPr>
            <w:tcW w:w="3121" w:type="dxa"/>
            <w:tcBorders>
              <w:left w:val="single" w:color="auto" w:sz="4" w:space="0"/>
            </w:tcBorders>
            <w:vAlign w:val="center"/>
          </w:tcPr>
          <w:p>
            <w:pPr>
              <w:pStyle w:val="187"/>
              <w:rPr>
                <w:rFonts w:ascii="仿宋_GB2312"/>
                <w:kern w:val="2"/>
                <w:szCs w:val="22"/>
              </w:rPr>
            </w:pPr>
            <w:r>
              <w:rPr>
                <w:rFonts w:hint="eastAsia" w:ascii="仿宋_GB2312"/>
                <w:kern w:val="2"/>
                <w:szCs w:val="22"/>
              </w:rPr>
              <w:t>8</w:t>
            </w:r>
          </w:p>
        </w:tc>
        <w:tc>
          <w:tcPr>
            <w:tcW w:w="2840" w:type="dxa"/>
            <w:vMerge w:val="continue"/>
            <w:tcBorders>
              <w:left w:val="single" w:color="auto" w:sz="4" w:space="0"/>
            </w:tcBorders>
            <w:vAlign w:val="center"/>
          </w:tcPr>
          <w:p>
            <w:pPr>
              <w:ind w:firstLine="480"/>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PrEx>
        <w:trPr>
          <w:cantSplit/>
          <w:trHeight w:val="53" w:hRule="atLeast"/>
          <w:jc w:val="center"/>
        </w:trPr>
        <w:tc>
          <w:tcPr>
            <w:tcW w:w="2935" w:type="dxa"/>
            <w:tcBorders>
              <w:right w:val="single" w:color="auto" w:sz="4" w:space="0"/>
            </w:tcBorders>
            <w:vAlign w:val="center"/>
          </w:tcPr>
          <w:p>
            <w:pPr>
              <w:pStyle w:val="187"/>
              <w:rPr>
                <w:rFonts w:ascii="仿宋_GB2312"/>
                <w:kern w:val="2"/>
                <w:szCs w:val="22"/>
              </w:rPr>
            </w:pPr>
            <w:r>
              <w:rPr>
                <w:rFonts w:hint="eastAsia" w:ascii="仿宋_GB2312"/>
                <w:kern w:val="2"/>
                <w:szCs w:val="22"/>
              </w:rPr>
              <w:t>SS</w:t>
            </w:r>
          </w:p>
        </w:tc>
        <w:tc>
          <w:tcPr>
            <w:tcW w:w="3121" w:type="dxa"/>
            <w:tcBorders>
              <w:left w:val="single" w:color="auto" w:sz="4" w:space="0"/>
            </w:tcBorders>
            <w:vAlign w:val="center"/>
          </w:tcPr>
          <w:p>
            <w:pPr>
              <w:pStyle w:val="187"/>
              <w:rPr>
                <w:rFonts w:ascii="仿宋_GB2312"/>
                <w:kern w:val="2"/>
                <w:szCs w:val="22"/>
              </w:rPr>
            </w:pPr>
            <w:r>
              <w:rPr>
                <w:rFonts w:hint="eastAsia" w:ascii="仿宋_GB2312"/>
                <w:kern w:val="2"/>
                <w:szCs w:val="22"/>
              </w:rPr>
              <w:t>20</w:t>
            </w:r>
          </w:p>
        </w:tc>
        <w:tc>
          <w:tcPr>
            <w:tcW w:w="2840" w:type="dxa"/>
            <w:vMerge w:val="continue"/>
            <w:tcBorders>
              <w:left w:val="single" w:color="auto" w:sz="4" w:space="0"/>
            </w:tcBorders>
            <w:vAlign w:val="center"/>
          </w:tcPr>
          <w:p>
            <w:pPr>
              <w:ind w:firstLine="480"/>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right w:val="single" w:color="auto" w:sz="4" w:space="0"/>
            </w:tcBorders>
            <w:vAlign w:val="center"/>
          </w:tcPr>
          <w:p>
            <w:pPr>
              <w:pStyle w:val="187"/>
              <w:rPr>
                <w:rFonts w:ascii="仿宋_GB2312"/>
                <w:kern w:val="2"/>
                <w:szCs w:val="22"/>
              </w:rPr>
            </w:pPr>
            <w:r>
              <w:rPr>
                <w:rFonts w:hint="eastAsia" w:ascii="仿宋_GB2312"/>
                <w:kern w:val="2"/>
                <w:szCs w:val="22"/>
              </w:rPr>
              <w:t>动植物油</w:t>
            </w:r>
          </w:p>
        </w:tc>
        <w:tc>
          <w:tcPr>
            <w:tcW w:w="3121" w:type="dxa"/>
            <w:tcBorders>
              <w:left w:val="single" w:color="auto" w:sz="4" w:space="0"/>
            </w:tcBorders>
            <w:vAlign w:val="center"/>
          </w:tcPr>
          <w:p>
            <w:pPr>
              <w:pStyle w:val="187"/>
              <w:rPr>
                <w:rFonts w:ascii="仿宋_GB2312"/>
                <w:kern w:val="2"/>
                <w:szCs w:val="22"/>
              </w:rPr>
            </w:pPr>
            <w:r>
              <w:rPr>
                <w:rFonts w:hint="eastAsia" w:ascii="仿宋_GB2312"/>
                <w:kern w:val="2"/>
                <w:szCs w:val="22"/>
              </w:rPr>
              <w:t>3.0</w:t>
            </w:r>
          </w:p>
        </w:tc>
        <w:tc>
          <w:tcPr>
            <w:tcW w:w="2840" w:type="dxa"/>
            <w:vMerge w:val="continue"/>
            <w:tcBorders>
              <w:left w:val="single" w:color="auto" w:sz="4" w:space="0"/>
            </w:tcBorders>
            <w:vAlign w:val="center"/>
          </w:tcPr>
          <w:p>
            <w:pPr>
              <w:ind w:firstLine="480"/>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935" w:type="dxa"/>
            <w:tcBorders>
              <w:bottom w:val="thickThinSmallGap" w:color="auto" w:sz="18" w:space="0"/>
              <w:right w:val="single" w:color="auto" w:sz="4" w:space="0"/>
            </w:tcBorders>
            <w:vAlign w:val="center"/>
          </w:tcPr>
          <w:p>
            <w:pPr>
              <w:pStyle w:val="187"/>
              <w:rPr>
                <w:rFonts w:ascii="仿宋_GB2312"/>
                <w:kern w:val="2"/>
                <w:szCs w:val="22"/>
              </w:rPr>
            </w:pPr>
            <w:r>
              <w:rPr>
                <w:rFonts w:hint="eastAsia" w:ascii="仿宋_GB2312"/>
                <w:kern w:val="2"/>
                <w:szCs w:val="22"/>
              </w:rPr>
              <w:t>TP</w:t>
            </w:r>
          </w:p>
        </w:tc>
        <w:tc>
          <w:tcPr>
            <w:tcW w:w="3121" w:type="dxa"/>
            <w:tcBorders>
              <w:left w:val="single" w:color="auto" w:sz="4" w:space="0"/>
              <w:bottom w:val="thickThinSmallGap" w:color="auto" w:sz="18" w:space="0"/>
            </w:tcBorders>
            <w:vAlign w:val="center"/>
          </w:tcPr>
          <w:p>
            <w:pPr>
              <w:pStyle w:val="187"/>
              <w:rPr>
                <w:rFonts w:ascii="仿宋_GB2312"/>
                <w:kern w:val="2"/>
                <w:szCs w:val="22"/>
              </w:rPr>
            </w:pPr>
            <w:r>
              <w:rPr>
                <w:rFonts w:hint="eastAsia" w:ascii="仿宋_GB2312"/>
                <w:kern w:val="2"/>
                <w:szCs w:val="22"/>
              </w:rPr>
              <w:t>1.0</w:t>
            </w:r>
          </w:p>
        </w:tc>
        <w:tc>
          <w:tcPr>
            <w:tcW w:w="2840" w:type="dxa"/>
            <w:vMerge w:val="continue"/>
            <w:tcBorders>
              <w:left w:val="single" w:color="auto" w:sz="4" w:space="0"/>
              <w:bottom w:val="thickThinSmallGap" w:color="auto" w:sz="18" w:space="0"/>
            </w:tcBorders>
            <w:vAlign w:val="center"/>
          </w:tcPr>
          <w:p>
            <w:pPr>
              <w:ind w:firstLine="480"/>
              <w:rPr>
                <w:rFonts w:ascii="仿宋_GB2312"/>
              </w:rPr>
            </w:pPr>
          </w:p>
        </w:tc>
      </w:tr>
    </w:tbl>
    <w:p>
      <w:pPr>
        <w:pStyle w:val="187"/>
        <w:jc w:val="both"/>
        <w:rPr>
          <w:rFonts w:asciiTheme="minorEastAsia" w:hAnsiTheme="minorEastAsia" w:eastAsiaTheme="minorEastAsia"/>
          <w:kern w:val="2"/>
          <w:sz w:val="24"/>
        </w:rPr>
      </w:pPr>
      <w:r>
        <w:rPr>
          <w:rFonts w:hint="eastAsia" w:asciiTheme="minorEastAsia" w:hAnsiTheme="minorEastAsia" w:eastAsiaTheme="minorEastAsia"/>
          <w:kern w:val="2"/>
          <w:sz w:val="24"/>
        </w:rPr>
        <w:t>（3）噪声</w:t>
      </w:r>
    </w:p>
    <w:p>
      <w:pPr>
        <w:pStyle w:val="187"/>
        <w:jc w:val="both"/>
        <w:rPr>
          <w:rFonts w:asciiTheme="minorEastAsia" w:hAnsiTheme="minorEastAsia" w:eastAsiaTheme="minorEastAsia"/>
          <w:kern w:val="2"/>
          <w:sz w:val="24"/>
        </w:rPr>
      </w:pPr>
      <w:r>
        <w:rPr>
          <w:rFonts w:hint="eastAsia" w:asciiTheme="minorEastAsia" w:hAnsiTheme="minorEastAsia" w:eastAsiaTheme="minorEastAsia"/>
          <w:kern w:val="2"/>
          <w:sz w:val="24"/>
        </w:rPr>
        <w:t>《工业企业厂界噪声标准》（GB12348-90）中Ⅱ类标准，昼间厂界噪声限制60dB(A)、夜间50dB(A)。有关标准分别见表3-9。</w:t>
      </w:r>
    </w:p>
    <w:p>
      <w:pPr>
        <w:pStyle w:val="187"/>
        <w:spacing w:line="460" w:lineRule="exact"/>
        <w:rPr>
          <w:rFonts w:ascii="仿宋_GB2312"/>
        </w:rPr>
      </w:pPr>
      <w:r>
        <w:rPr>
          <w:rFonts w:hint="eastAsia" w:ascii="仿宋_GB2312"/>
        </w:rPr>
        <w:t>表3-9  工业企业厂界噪声标准              单位：dB</w:t>
      </w:r>
    </w:p>
    <w:tbl>
      <w:tblPr>
        <w:tblStyle w:val="54"/>
        <w:tblW w:w="8678" w:type="dxa"/>
        <w:jc w:val="center"/>
        <w:tblInd w:w="0"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3045"/>
        <w:gridCol w:w="3149"/>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484" w:type="dxa"/>
            <w:tcBorders>
              <w:top w:val="thinThickSmallGap" w:color="auto" w:sz="24" w:space="0"/>
            </w:tcBorders>
            <w:vAlign w:val="center"/>
          </w:tcPr>
          <w:p>
            <w:pPr>
              <w:pStyle w:val="187"/>
              <w:rPr>
                <w:rFonts w:ascii="仿宋_GB2312"/>
                <w:kern w:val="2"/>
                <w:szCs w:val="22"/>
              </w:rPr>
            </w:pPr>
            <w:r>
              <w:rPr>
                <w:rFonts w:hint="eastAsia" w:ascii="仿宋_GB2312"/>
                <w:kern w:val="2"/>
                <w:szCs w:val="22"/>
              </w:rPr>
              <w:t>类      别</w:t>
            </w:r>
          </w:p>
        </w:tc>
        <w:tc>
          <w:tcPr>
            <w:tcW w:w="3045" w:type="dxa"/>
            <w:tcBorders>
              <w:top w:val="thinThickSmallGap" w:color="auto" w:sz="24" w:space="0"/>
            </w:tcBorders>
            <w:vAlign w:val="center"/>
          </w:tcPr>
          <w:p>
            <w:pPr>
              <w:pStyle w:val="187"/>
              <w:rPr>
                <w:rFonts w:ascii="仿宋_GB2312"/>
                <w:kern w:val="2"/>
                <w:szCs w:val="22"/>
              </w:rPr>
            </w:pPr>
            <w:r>
              <w:rPr>
                <w:rFonts w:hint="eastAsia" w:ascii="仿宋_GB2312"/>
                <w:kern w:val="2"/>
                <w:szCs w:val="22"/>
              </w:rPr>
              <w:t>昼      间</w:t>
            </w:r>
          </w:p>
        </w:tc>
        <w:tc>
          <w:tcPr>
            <w:tcW w:w="3149" w:type="dxa"/>
            <w:tcBorders>
              <w:top w:val="thinThickSmallGap" w:color="auto" w:sz="24" w:space="0"/>
            </w:tcBorders>
            <w:vAlign w:val="center"/>
          </w:tcPr>
          <w:p>
            <w:pPr>
              <w:pStyle w:val="187"/>
              <w:rPr>
                <w:rFonts w:ascii="仿宋_GB2312"/>
                <w:kern w:val="2"/>
                <w:szCs w:val="22"/>
              </w:rPr>
            </w:pPr>
            <w:r>
              <w:rPr>
                <w:rFonts w:hint="eastAsia" w:ascii="仿宋_GB2312"/>
                <w:kern w:val="2"/>
                <w:szCs w:val="22"/>
              </w:rPr>
              <w:t>夜      间</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2484" w:type="dxa"/>
            <w:tcBorders>
              <w:bottom w:val="thinThickSmallGap" w:color="auto" w:sz="24" w:space="0"/>
            </w:tcBorders>
            <w:vAlign w:val="center"/>
          </w:tcPr>
          <w:p>
            <w:pPr>
              <w:pStyle w:val="187"/>
              <w:rPr>
                <w:rFonts w:ascii="仿宋_GB2312"/>
                <w:kern w:val="2"/>
                <w:szCs w:val="22"/>
              </w:rPr>
            </w:pPr>
            <w:r>
              <w:rPr>
                <w:rFonts w:hint="eastAsia" w:ascii="仿宋_GB2312"/>
                <w:snapToGrid w:val="0"/>
                <w:szCs w:val="28"/>
              </w:rPr>
              <w:t>GB12348-90</w:t>
            </w:r>
            <w:r>
              <w:rPr>
                <w:rFonts w:hint="eastAsia" w:ascii="仿宋_GB2312"/>
                <w:kern w:val="2"/>
                <w:szCs w:val="22"/>
              </w:rPr>
              <w:t xml:space="preserve">  </w:t>
            </w:r>
            <w:r>
              <w:rPr>
                <w:rFonts w:hint="eastAsia" w:ascii="仿宋_GB2312" w:hAnsi="宋体" w:cs="宋体"/>
                <w:snapToGrid w:val="0"/>
                <w:szCs w:val="28"/>
              </w:rPr>
              <w:t>Ⅱ</w:t>
            </w:r>
            <w:r>
              <w:rPr>
                <w:rFonts w:hint="eastAsia" w:ascii="仿宋_GB2312"/>
                <w:snapToGrid w:val="0"/>
                <w:szCs w:val="28"/>
              </w:rPr>
              <w:t>类</w:t>
            </w:r>
          </w:p>
        </w:tc>
        <w:tc>
          <w:tcPr>
            <w:tcW w:w="3045" w:type="dxa"/>
            <w:tcBorders>
              <w:bottom w:val="thinThickSmallGap" w:color="auto" w:sz="24" w:space="0"/>
            </w:tcBorders>
            <w:vAlign w:val="center"/>
          </w:tcPr>
          <w:p>
            <w:pPr>
              <w:pStyle w:val="187"/>
              <w:rPr>
                <w:rFonts w:ascii="仿宋_GB2312"/>
                <w:kern w:val="2"/>
                <w:szCs w:val="22"/>
              </w:rPr>
            </w:pPr>
            <w:r>
              <w:rPr>
                <w:rFonts w:hint="eastAsia" w:ascii="仿宋_GB2312"/>
                <w:kern w:val="2"/>
                <w:szCs w:val="22"/>
              </w:rPr>
              <w:t>60</w:t>
            </w:r>
          </w:p>
        </w:tc>
        <w:tc>
          <w:tcPr>
            <w:tcW w:w="3149" w:type="dxa"/>
            <w:tcBorders>
              <w:bottom w:val="thinThickSmallGap" w:color="auto" w:sz="24" w:space="0"/>
            </w:tcBorders>
            <w:vAlign w:val="center"/>
          </w:tcPr>
          <w:p>
            <w:pPr>
              <w:pStyle w:val="187"/>
              <w:rPr>
                <w:rFonts w:ascii="仿宋_GB2312"/>
                <w:kern w:val="2"/>
                <w:szCs w:val="22"/>
              </w:rPr>
            </w:pPr>
            <w:r>
              <w:rPr>
                <w:rFonts w:hint="eastAsia" w:ascii="仿宋_GB2312"/>
                <w:kern w:val="2"/>
                <w:szCs w:val="22"/>
              </w:rPr>
              <w:t>50</w:t>
            </w:r>
          </w:p>
        </w:tc>
      </w:tr>
    </w:tbl>
    <w:p>
      <w:pPr>
        <w:pStyle w:val="187"/>
        <w:jc w:val="both"/>
        <w:rPr>
          <w:rFonts w:asciiTheme="minorEastAsia" w:hAnsiTheme="minorEastAsia" w:eastAsiaTheme="minorEastAsia"/>
          <w:kern w:val="2"/>
          <w:sz w:val="24"/>
        </w:rPr>
      </w:pPr>
      <w:r>
        <w:rPr>
          <w:rFonts w:hint="eastAsia" w:asciiTheme="minorEastAsia" w:hAnsiTheme="minorEastAsia" w:eastAsiaTheme="minorEastAsia"/>
          <w:kern w:val="2"/>
          <w:sz w:val="24"/>
        </w:rPr>
        <w:t>（4）固体废物</w:t>
      </w:r>
    </w:p>
    <w:p>
      <w:pPr>
        <w:pStyle w:val="187"/>
        <w:jc w:val="both"/>
        <w:rPr>
          <w:rFonts w:asciiTheme="minorEastAsia" w:hAnsiTheme="minorEastAsia" w:eastAsiaTheme="minorEastAsia"/>
          <w:kern w:val="2"/>
          <w:sz w:val="24"/>
        </w:rPr>
      </w:pPr>
      <w:r>
        <w:rPr>
          <w:rFonts w:hint="eastAsia" w:asciiTheme="minorEastAsia" w:hAnsiTheme="minorEastAsia" w:eastAsiaTheme="minorEastAsia"/>
          <w:kern w:val="2"/>
          <w:sz w:val="24"/>
        </w:rPr>
        <w:t>《一般工业固体废物贮存、处置场污染物控制标准》（GB18599-2001）。</w:t>
      </w:r>
    </w:p>
    <w:p>
      <w:pPr>
        <w:pStyle w:val="187"/>
        <w:jc w:val="both"/>
        <w:rPr>
          <w:rFonts w:asciiTheme="minorEastAsia" w:hAnsiTheme="minorEastAsia" w:eastAsiaTheme="minorEastAsia"/>
          <w:kern w:val="2"/>
          <w:sz w:val="24"/>
        </w:rPr>
      </w:pPr>
      <w:r>
        <w:rPr>
          <w:rFonts w:hint="eastAsia" w:asciiTheme="minorEastAsia" w:hAnsiTheme="minorEastAsia" w:eastAsiaTheme="minorEastAsia"/>
          <w:kern w:val="2"/>
          <w:sz w:val="24"/>
        </w:rPr>
        <w:t>《危险废物贮存污染控制标准》（GB18597-2001）；</w:t>
      </w:r>
    </w:p>
    <w:p>
      <w:pPr>
        <w:pStyle w:val="187"/>
        <w:jc w:val="both"/>
        <w:rPr>
          <w:rFonts w:asciiTheme="minorEastAsia" w:hAnsiTheme="minorEastAsia" w:eastAsiaTheme="minorEastAsia"/>
          <w:kern w:val="2"/>
          <w:sz w:val="24"/>
        </w:rPr>
      </w:pPr>
      <w:r>
        <w:rPr>
          <w:rFonts w:hint="eastAsia" w:asciiTheme="minorEastAsia" w:hAnsiTheme="minorEastAsia" w:eastAsiaTheme="minorEastAsia"/>
          <w:kern w:val="2"/>
          <w:sz w:val="24"/>
        </w:rPr>
        <w:t>《生活垃圾填埋污染控制标准》（GB16889-2008）。</w:t>
      </w:r>
    </w:p>
    <w:p>
      <w:pPr>
        <w:adjustRightInd w:val="0"/>
        <w:snapToGrid w:val="0"/>
        <w:spacing w:line="460" w:lineRule="exact"/>
        <w:outlineLvl w:val="1"/>
        <w:rPr>
          <w:b/>
          <w:color w:val="000000"/>
          <w:sz w:val="28"/>
          <w:szCs w:val="28"/>
        </w:rPr>
      </w:pPr>
      <w:bookmarkStart w:id="185" w:name="_Toc20205"/>
      <w:bookmarkStart w:id="186" w:name="_Toc458674249"/>
      <w:r>
        <w:rPr>
          <w:b/>
          <w:color w:val="000000"/>
          <w:sz w:val="28"/>
          <w:szCs w:val="28"/>
        </w:rPr>
        <w:t>2.</w:t>
      </w:r>
      <w:r>
        <w:rPr>
          <w:rFonts w:hint="eastAsia"/>
          <w:b/>
          <w:color w:val="000000"/>
          <w:sz w:val="28"/>
          <w:szCs w:val="28"/>
        </w:rPr>
        <w:t>5</w:t>
      </w:r>
      <w:r>
        <w:rPr>
          <w:b/>
          <w:color w:val="000000"/>
          <w:sz w:val="28"/>
          <w:szCs w:val="28"/>
        </w:rPr>
        <w:t>环境保护目标</w:t>
      </w:r>
      <w:bookmarkEnd w:id="185"/>
      <w:bookmarkEnd w:id="186"/>
    </w:p>
    <w:p>
      <w:pPr>
        <w:pStyle w:val="187"/>
        <w:spacing w:line="360" w:lineRule="auto"/>
        <w:ind w:firstLine="480" w:firstLineChars="200"/>
        <w:jc w:val="both"/>
        <w:rPr>
          <w:rFonts w:hint="eastAsia" w:cs="仿宋_GB2312" w:asciiTheme="minorEastAsia" w:hAnsiTheme="minorEastAsia" w:eastAsiaTheme="minorEastAsia"/>
          <w:sz w:val="24"/>
        </w:rPr>
      </w:pPr>
      <w:r>
        <w:rPr>
          <w:rFonts w:cs="仿宋_GB2312" w:asciiTheme="minorEastAsia" w:hAnsiTheme="minorEastAsia" w:eastAsiaTheme="minorEastAsia"/>
          <w:sz w:val="24"/>
        </w:rPr>
        <w:t>企业本身为污水处理厂，确保收集污水经厂区处理达标排放，不改变地表水体水域功能。在保护环境上，我们针对企业内部危险单元修建了风险范围措施，制定了针对突发环境事件处理应急预案，确保无人员伤亡，努力做到对周边环境影响最小、区域生态环境免遭污染、</w:t>
      </w:r>
      <w:r>
        <w:rPr>
          <w:rFonts w:hint="eastAsia" w:cs="仿宋_GB2312" w:asciiTheme="minorEastAsia" w:hAnsiTheme="minorEastAsia" w:eastAsiaTheme="minorEastAsia"/>
          <w:sz w:val="24"/>
        </w:rPr>
        <w:t>企业</w:t>
      </w:r>
      <w:r>
        <w:rPr>
          <w:rFonts w:cs="仿宋_GB2312" w:asciiTheme="minorEastAsia" w:hAnsiTheme="minorEastAsia" w:eastAsiaTheme="minorEastAsia"/>
          <w:sz w:val="24"/>
        </w:rPr>
        <w:t>周围及沿线经济活动不受影响，不影响人民群众生产、生活。</w:t>
      </w:r>
    </w:p>
    <w:p>
      <w:pPr>
        <w:pStyle w:val="187"/>
        <w:spacing w:line="360" w:lineRule="auto"/>
        <w:ind w:firstLine="480" w:firstLineChars="200"/>
        <w:jc w:val="both"/>
        <w:rPr>
          <w:rFonts w:hint="eastAsia" w:cs="仿宋_GB2312" w:asciiTheme="minorEastAsia" w:hAnsiTheme="minorEastAsia" w:eastAsiaTheme="minorEastAsia"/>
          <w:sz w:val="24"/>
        </w:rPr>
      </w:pPr>
    </w:p>
    <w:p>
      <w:pPr>
        <w:pStyle w:val="187"/>
        <w:spacing w:line="360" w:lineRule="auto"/>
        <w:ind w:firstLine="480" w:firstLineChars="200"/>
        <w:jc w:val="both"/>
        <w:rPr>
          <w:rFonts w:hint="eastAsia" w:cs="仿宋_GB2312" w:asciiTheme="minorEastAsia" w:hAnsiTheme="minorEastAsia" w:eastAsiaTheme="minorEastAsia"/>
          <w:sz w:val="24"/>
        </w:rPr>
      </w:pPr>
    </w:p>
    <w:p>
      <w:pPr>
        <w:pStyle w:val="2"/>
        <w:spacing w:before="120" w:after="120" w:line="360" w:lineRule="auto"/>
        <w:jc w:val="center"/>
        <w:rPr>
          <w:rFonts w:asciiTheme="minorEastAsia" w:hAnsiTheme="minorEastAsia" w:eastAsiaTheme="minorEastAsia"/>
          <w:b/>
          <w:color w:val="000000"/>
          <w:sz w:val="32"/>
        </w:rPr>
      </w:pPr>
      <w:bookmarkStart w:id="187" w:name="_Toc14044"/>
      <w:r>
        <w:rPr>
          <w:rFonts w:hint="eastAsia" w:asciiTheme="minorEastAsia" w:hAnsiTheme="minorEastAsia" w:eastAsiaTheme="minorEastAsia"/>
          <w:b/>
          <w:color w:val="000000"/>
          <w:sz w:val="32"/>
        </w:rPr>
        <w:t>3环境风险源与环境风险评价</w:t>
      </w:r>
      <w:bookmarkEnd w:id="187"/>
    </w:p>
    <w:p>
      <w:pPr>
        <w:adjustRightInd w:val="0"/>
        <w:snapToGrid w:val="0"/>
        <w:spacing w:line="460" w:lineRule="exact"/>
        <w:outlineLvl w:val="1"/>
        <w:rPr>
          <w:b/>
          <w:color w:val="000000"/>
          <w:sz w:val="28"/>
          <w:szCs w:val="28"/>
        </w:rPr>
      </w:pPr>
      <w:bookmarkStart w:id="188" w:name="_Toc1300"/>
      <w:bookmarkStart w:id="189" w:name="_Toc183339494"/>
      <w:bookmarkStart w:id="190" w:name="_Toc184808758"/>
      <w:bookmarkStart w:id="191" w:name="_Toc184809545"/>
      <w:bookmarkStart w:id="192" w:name="_Toc185670978"/>
      <w:bookmarkStart w:id="193" w:name="_Toc196018428"/>
      <w:bookmarkStart w:id="194" w:name="_Toc196018537"/>
      <w:bookmarkStart w:id="195" w:name="_Toc196018632"/>
      <w:bookmarkStart w:id="196" w:name="_Toc197251336"/>
      <w:bookmarkStart w:id="197" w:name="_Toc183339218"/>
      <w:bookmarkStart w:id="198" w:name="_Toc198007331"/>
      <w:bookmarkStart w:id="199" w:name="_Toc198355316"/>
      <w:bookmarkStart w:id="200" w:name="_Toc229283967"/>
      <w:bookmarkStart w:id="201" w:name="_Toc262040271"/>
      <w:bookmarkStart w:id="202" w:name="_Toc262050861"/>
      <w:bookmarkStart w:id="203" w:name="_Toc262051111"/>
      <w:bookmarkStart w:id="204" w:name="_Toc262051532"/>
      <w:bookmarkStart w:id="205" w:name="_Toc304833228"/>
      <w:bookmarkStart w:id="206" w:name="_Toc304962951"/>
      <w:bookmarkStart w:id="207" w:name="_Toc304963595"/>
      <w:bookmarkStart w:id="208" w:name="_Toc304964438"/>
      <w:bookmarkStart w:id="209" w:name="_Toc336326845"/>
      <w:bookmarkStart w:id="210" w:name="_Toc336327123"/>
      <w:bookmarkStart w:id="211" w:name="_Toc387131422"/>
      <w:bookmarkStart w:id="212" w:name="_Toc387131496"/>
      <w:bookmarkStart w:id="213" w:name="_Toc387131753"/>
      <w:bookmarkStart w:id="214" w:name="_Toc408274430"/>
      <w:bookmarkStart w:id="215" w:name="_Toc415254537"/>
      <w:r>
        <w:rPr>
          <w:rFonts w:hint="eastAsia"/>
          <w:b/>
          <w:color w:val="000000"/>
          <w:sz w:val="28"/>
          <w:szCs w:val="28"/>
        </w:rPr>
        <w:t>3.1生产工艺简介（氧化沟生物工艺流程）</w:t>
      </w:r>
      <w:bookmarkEnd w:id="188"/>
    </w:p>
    <w:p>
      <w:pPr>
        <w:spacing w:line="460" w:lineRule="exact"/>
        <w:ind w:firstLine="480"/>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本项目采用A-A-O氧化沟生物工艺，即带有生物脱氮除磷的活性污泥法。把保证污水处理效果做为重点，优先选用抗冲击负荷能力较强的成熟工艺，并在设计时考虑采用较低的负荷参数，适当的留有一定的富余，以保证未来水质发生变化后污水厂能够正常运行。A-A-O氧化沟工艺成熟可靠，属无终端曝气系统，池容大，有较高的缓冲能力，抗冲击负荷能力强，运行稳定。具体可见图3-1。</w:t>
      </w:r>
    </w:p>
    <w:p>
      <w:pPr>
        <w:ind w:firstLine="234" w:firstLineChars="90"/>
        <w:rPr>
          <w:rFonts w:ascii="仿宋_GB2312"/>
          <w:sz w:val="26"/>
        </w:rPr>
      </w:pPr>
      <w:r>
        <w:rPr>
          <w:rFonts w:ascii="仿宋_GB2312"/>
          <w:sz w:val="26"/>
        </w:rPr>
        <w:drawing>
          <wp:inline distT="0" distB="0" distL="0" distR="0">
            <wp:extent cx="5438775" cy="26289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srcRect/>
                    <a:stretch>
                      <a:fillRect/>
                    </a:stretch>
                  </pic:blipFill>
                  <pic:spPr>
                    <a:xfrm>
                      <a:off x="0" y="0"/>
                      <a:ext cx="5438775" cy="2628900"/>
                    </a:xfrm>
                    <a:prstGeom prst="rect">
                      <a:avLst/>
                    </a:prstGeom>
                    <a:noFill/>
                    <a:ln w="9525">
                      <a:noFill/>
                      <a:miter lim="800000"/>
                      <a:headEnd/>
                      <a:tailEnd/>
                    </a:ln>
                  </pic:spPr>
                </pic:pic>
              </a:graphicData>
            </a:graphic>
          </wp:inline>
        </w:drawing>
      </w:r>
    </w:p>
    <w:p>
      <w:pPr>
        <w:pStyle w:val="101"/>
        <w:ind w:firstLine="482"/>
        <w:jc w:val="center"/>
        <w:rPr>
          <w:b/>
          <w:sz w:val="24"/>
        </w:rPr>
      </w:pPr>
      <w:r>
        <w:rPr>
          <w:rFonts w:hint="eastAsia"/>
          <w:b/>
          <w:sz w:val="24"/>
        </w:rPr>
        <w:t>图3-1  A-A-O</w:t>
      </w:r>
      <w:r>
        <w:rPr>
          <w:rFonts w:hint="eastAsia" w:hAnsi="Calibri" w:cs="仿宋_GB2312"/>
          <w:b/>
          <w:sz w:val="24"/>
          <w:lang w:val="zh-CN"/>
        </w:rPr>
        <w:t>氧化沟</w:t>
      </w:r>
      <w:r>
        <w:rPr>
          <w:rFonts w:hint="eastAsia"/>
          <w:b/>
          <w:kern w:val="2"/>
          <w:sz w:val="24"/>
        </w:rPr>
        <w:t>生物工艺流程</w:t>
      </w:r>
    </w:p>
    <w:p>
      <w:pPr>
        <w:adjustRightInd w:val="0"/>
        <w:snapToGrid w:val="0"/>
        <w:spacing w:line="460" w:lineRule="exact"/>
        <w:outlineLvl w:val="1"/>
        <w:rPr>
          <w:sz w:val="28"/>
          <w:szCs w:val="28"/>
        </w:rPr>
      </w:pPr>
      <w:bookmarkStart w:id="216" w:name="_Toc23632"/>
      <w:r>
        <w:rPr>
          <w:rFonts w:hint="eastAsia"/>
          <w:b/>
          <w:color w:val="000000"/>
          <w:sz w:val="28"/>
          <w:szCs w:val="28"/>
        </w:rPr>
        <w:t>3</w:t>
      </w:r>
      <w:r>
        <w:rPr>
          <w:b/>
          <w:color w:val="000000"/>
          <w:sz w:val="28"/>
          <w:szCs w:val="28"/>
        </w:rPr>
        <w:t>.2</w:t>
      </w:r>
      <w:r>
        <w:rPr>
          <w:rFonts w:hint="eastAsia"/>
          <w:b/>
          <w:color w:val="000000"/>
          <w:sz w:val="28"/>
          <w:szCs w:val="28"/>
        </w:rPr>
        <w:t>企业</w:t>
      </w:r>
      <w:r>
        <w:rPr>
          <w:b/>
          <w:color w:val="000000"/>
          <w:sz w:val="28"/>
          <w:szCs w:val="28"/>
        </w:rPr>
        <w:t>三废产生及排放处置情况</w:t>
      </w:r>
      <w:bookmarkEnd w:id="216"/>
    </w:p>
    <w:p>
      <w:pPr>
        <w:spacing w:line="460" w:lineRule="exact"/>
        <w:ind w:firstLine="480" w:firstLineChars="200"/>
        <w:jc w:val="left"/>
        <w:rPr>
          <w:color w:val="FF0000"/>
          <w:sz w:val="24"/>
          <w:szCs w:val="24"/>
        </w:rPr>
      </w:pPr>
      <w:r>
        <w:rPr>
          <w:rFonts w:hint="eastAsia"/>
          <w:color w:val="000000"/>
          <w:sz w:val="24"/>
          <w:szCs w:val="24"/>
        </w:rPr>
        <w:t>李渡大耍坝污水处理厂</w:t>
      </w:r>
      <w:r>
        <w:rPr>
          <w:color w:val="000000"/>
          <w:sz w:val="24"/>
          <w:szCs w:val="24"/>
        </w:rPr>
        <w:t>原环评报告提出的污染防治措施和已采取的污染防治措施见表3.2-1。</w:t>
      </w:r>
    </w:p>
    <w:p>
      <w:pPr>
        <w:spacing w:line="460" w:lineRule="exact"/>
        <w:ind w:firstLine="482" w:firstLineChars="200"/>
        <w:jc w:val="center"/>
        <w:rPr>
          <w:b/>
          <w:color w:val="000000"/>
          <w:sz w:val="24"/>
          <w:szCs w:val="24"/>
        </w:rPr>
      </w:pPr>
      <w:r>
        <w:rPr>
          <w:b/>
          <w:color w:val="000000"/>
          <w:sz w:val="24"/>
          <w:szCs w:val="24"/>
        </w:rPr>
        <w:t xml:space="preserve">表3.2-1     </w:t>
      </w:r>
      <w:r>
        <w:rPr>
          <w:rFonts w:hint="eastAsia"/>
          <w:b/>
          <w:color w:val="000000"/>
          <w:sz w:val="24"/>
          <w:szCs w:val="24"/>
        </w:rPr>
        <w:t>企业</w:t>
      </w:r>
      <w:r>
        <w:rPr>
          <w:b/>
          <w:color w:val="000000"/>
          <w:sz w:val="24"/>
          <w:szCs w:val="24"/>
        </w:rPr>
        <w:t>环评污染防治措施及现有防治措施</w:t>
      </w:r>
    </w:p>
    <w:tbl>
      <w:tblPr>
        <w:tblStyle w:val="54"/>
        <w:tblW w:w="8788"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677"/>
        <w:gridCol w:w="3321"/>
        <w:gridCol w:w="31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序号</w:t>
            </w:r>
          </w:p>
        </w:tc>
        <w:tc>
          <w:tcPr>
            <w:tcW w:w="1677" w:type="dxa"/>
            <w:vAlign w:val="center"/>
          </w:tcPr>
          <w:p>
            <w:pPr>
              <w:snapToGrid w:val="0"/>
              <w:jc w:val="center"/>
              <w:rPr>
                <w:snapToGrid w:val="0"/>
                <w:color w:val="000000"/>
                <w:kern w:val="0"/>
                <w:szCs w:val="21"/>
              </w:rPr>
            </w:pPr>
            <w:r>
              <w:rPr>
                <w:snapToGrid w:val="0"/>
                <w:color w:val="000000"/>
                <w:kern w:val="0"/>
                <w:szCs w:val="21"/>
              </w:rPr>
              <w:t>污染源</w:t>
            </w:r>
          </w:p>
        </w:tc>
        <w:tc>
          <w:tcPr>
            <w:tcW w:w="3321" w:type="dxa"/>
            <w:vAlign w:val="center"/>
          </w:tcPr>
          <w:p>
            <w:pPr>
              <w:snapToGrid w:val="0"/>
              <w:jc w:val="center"/>
              <w:rPr>
                <w:snapToGrid w:val="0"/>
                <w:color w:val="000000"/>
                <w:kern w:val="0"/>
                <w:szCs w:val="21"/>
              </w:rPr>
            </w:pPr>
            <w:r>
              <w:rPr>
                <w:snapToGrid w:val="0"/>
                <w:color w:val="000000"/>
                <w:kern w:val="0"/>
                <w:szCs w:val="21"/>
              </w:rPr>
              <w:t>环评报告中污染防治措施</w:t>
            </w:r>
          </w:p>
        </w:tc>
        <w:tc>
          <w:tcPr>
            <w:tcW w:w="3114" w:type="dxa"/>
            <w:vAlign w:val="center"/>
          </w:tcPr>
          <w:p>
            <w:pPr>
              <w:snapToGrid w:val="0"/>
              <w:jc w:val="center"/>
              <w:rPr>
                <w:snapToGrid w:val="0"/>
                <w:color w:val="000000"/>
                <w:kern w:val="0"/>
                <w:szCs w:val="21"/>
              </w:rPr>
            </w:pPr>
            <w:r>
              <w:rPr>
                <w:rFonts w:hint="eastAsia"/>
                <w:snapToGrid w:val="0"/>
                <w:color w:val="000000"/>
                <w:kern w:val="0"/>
                <w:szCs w:val="21"/>
              </w:rPr>
              <w:t>现污水处理</w:t>
            </w:r>
            <w:r>
              <w:rPr>
                <w:snapToGrid w:val="0"/>
                <w:color w:val="000000"/>
                <w:kern w:val="0"/>
                <w:szCs w:val="21"/>
              </w:rPr>
              <w:t>厂区已采取措施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一</w:t>
            </w:r>
          </w:p>
        </w:tc>
        <w:tc>
          <w:tcPr>
            <w:tcW w:w="8112" w:type="dxa"/>
            <w:gridSpan w:val="3"/>
            <w:vAlign w:val="center"/>
          </w:tcPr>
          <w:p>
            <w:pPr>
              <w:snapToGrid w:val="0"/>
              <w:jc w:val="center"/>
              <w:rPr>
                <w:snapToGrid w:val="0"/>
                <w:color w:val="000000"/>
                <w:kern w:val="0"/>
                <w:szCs w:val="21"/>
              </w:rPr>
            </w:pPr>
            <w:r>
              <w:rPr>
                <w:snapToGrid w:val="0"/>
                <w:color w:val="000000"/>
                <w:kern w:val="0"/>
                <w:szCs w:val="21"/>
              </w:rPr>
              <w:t>大气污染防治措施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1</w:t>
            </w:r>
          </w:p>
        </w:tc>
        <w:tc>
          <w:tcPr>
            <w:tcW w:w="1677" w:type="dxa"/>
            <w:vAlign w:val="center"/>
          </w:tcPr>
          <w:p>
            <w:pPr>
              <w:snapToGrid w:val="0"/>
              <w:jc w:val="left"/>
              <w:rPr>
                <w:snapToGrid w:val="0"/>
                <w:color w:val="000000"/>
                <w:kern w:val="0"/>
                <w:szCs w:val="21"/>
              </w:rPr>
            </w:pPr>
            <w:r>
              <w:rPr>
                <w:snapToGrid w:val="0"/>
                <w:color w:val="000000"/>
                <w:kern w:val="0"/>
                <w:szCs w:val="21"/>
              </w:rPr>
              <w:t>格栅井、氧化沟、污泥干化池</w:t>
            </w:r>
          </w:p>
        </w:tc>
        <w:tc>
          <w:tcPr>
            <w:tcW w:w="3321" w:type="dxa"/>
            <w:vAlign w:val="center"/>
          </w:tcPr>
          <w:p>
            <w:pPr>
              <w:snapToGrid w:val="0"/>
              <w:jc w:val="left"/>
              <w:rPr>
                <w:color w:val="000000"/>
                <w:szCs w:val="21"/>
              </w:rPr>
            </w:pPr>
            <w:r>
              <w:rPr>
                <w:snapToGrid w:val="0"/>
                <w:color w:val="000000"/>
                <w:kern w:val="0"/>
                <w:szCs w:val="21"/>
              </w:rPr>
              <w:t>格栅井、</w:t>
            </w:r>
            <w:r>
              <w:rPr>
                <w:rFonts w:hint="eastAsia"/>
                <w:snapToGrid w:val="0"/>
                <w:color w:val="000000"/>
                <w:kern w:val="0"/>
                <w:szCs w:val="21"/>
              </w:rPr>
              <w:t>生化池</w:t>
            </w:r>
            <w:r>
              <w:rPr>
                <w:snapToGrid w:val="0"/>
                <w:color w:val="000000"/>
                <w:kern w:val="0"/>
                <w:szCs w:val="21"/>
              </w:rPr>
              <w:t>、污泥干化池产生的硫化氢和氨气，无组织排放，在其周围设置绿化带，并设置100m的卫生防护距离</w:t>
            </w:r>
          </w:p>
        </w:tc>
        <w:tc>
          <w:tcPr>
            <w:tcW w:w="3114" w:type="dxa"/>
            <w:vAlign w:val="center"/>
          </w:tcPr>
          <w:p>
            <w:pPr>
              <w:snapToGrid w:val="0"/>
              <w:jc w:val="left"/>
              <w:rPr>
                <w:snapToGrid w:val="0"/>
                <w:color w:val="000000"/>
                <w:kern w:val="0"/>
                <w:szCs w:val="21"/>
              </w:rPr>
            </w:pPr>
            <w:r>
              <w:rPr>
                <w:snapToGrid w:val="0"/>
                <w:color w:val="000000"/>
                <w:kern w:val="0"/>
                <w:szCs w:val="21"/>
              </w:rPr>
              <w:t>格栅井、</w:t>
            </w:r>
            <w:r>
              <w:rPr>
                <w:rFonts w:hint="eastAsia"/>
                <w:snapToGrid w:val="0"/>
                <w:color w:val="000000"/>
                <w:kern w:val="0"/>
                <w:szCs w:val="21"/>
              </w:rPr>
              <w:t>生化池</w:t>
            </w:r>
            <w:r>
              <w:rPr>
                <w:snapToGrid w:val="0"/>
                <w:color w:val="000000"/>
                <w:kern w:val="0"/>
                <w:szCs w:val="21"/>
              </w:rPr>
              <w:t>、污泥干化池周围设置了绿化带，厂区设置100m的卫生防护距离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二</w:t>
            </w:r>
          </w:p>
        </w:tc>
        <w:tc>
          <w:tcPr>
            <w:tcW w:w="8112" w:type="dxa"/>
            <w:gridSpan w:val="3"/>
            <w:tcBorders>
              <w:bottom w:val="single" w:color="auto" w:sz="4" w:space="0"/>
            </w:tcBorders>
            <w:vAlign w:val="center"/>
          </w:tcPr>
          <w:p>
            <w:pPr>
              <w:snapToGrid w:val="0"/>
              <w:jc w:val="center"/>
              <w:rPr>
                <w:snapToGrid w:val="0"/>
                <w:color w:val="000000"/>
                <w:kern w:val="0"/>
                <w:szCs w:val="21"/>
              </w:rPr>
            </w:pPr>
            <w:r>
              <w:rPr>
                <w:snapToGrid w:val="0"/>
                <w:color w:val="000000"/>
                <w:kern w:val="0"/>
                <w:szCs w:val="21"/>
              </w:rPr>
              <w:t>废水污染防治措施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51"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1</w:t>
            </w:r>
          </w:p>
        </w:tc>
        <w:tc>
          <w:tcPr>
            <w:tcW w:w="1677" w:type="dxa"/>
            <w:vAlign w:val="center"/>
          </w:tcPr>
          <w:p>
            <w:pPr>
              <w:snapToGrid w:val="0"/>
              <w:jc w:val="left"/>
              <w:rPr>
                <w:color w:val="000000"/>
                <w:szCs w:val="21"/>
              </w:rPr>
            </w:pPr>
            <w:r>
              <w:rPr>
                <w:color w:val="000000"/>
                <w:szCs w:val="21"/>
              </w:rPr>
              <w:t>厂区雨水和生活污水</w:t>
            </w:r>
          </w:p>
        </w:tc>
        <w:tc>
          <w:tcPr>
            <w:tcW w:w="3321" w:type="dxa"/>
            <w:vAlign w:val="center"/>
          </w:tcPr>
          <w:p>
            <w:pPr>
              <w:snapToGrid w:val="0"/>
              <w:jc w:val="left"/>
              <w:rPr>
                <w:color w:val="000000"/>
                <w:szCs w:val="21"/>
              </w:rPr>
            </w:pPr>
            <w:r>
              <w:rPr>
                <w:color w:val="000000"/>
                <w:szCs w:val="21"/>
              </w:rPr>
              <w:t>厂区初期雨水和生活污水通过厂区排水管网送至提升井，经提升井送至厂区污水处理系统处理达标后排放</w:t>
            </w:r>
          </w:p>
        </w:tc>
        <w:tc>
          <w:tcPr>
            <w:tcW w:w="3114" w:type="dxa"/>
            <w:shd w:val="clear" w:color="auto" w:fill="auto"/>
            <w:vAlign w:val="center"/>
          </w:tcPr>
          <w:p>
            <w:pPr>
              <w:snapToGrid w:val="0"/>
              <w:jc w:val="left"/>
              <w:rPr>
                <w:color w:val="000000"/>
                <w:szCs w:val="21"/>
              </w:rPr>
            </w:pPr>
            <w:r>
              <w:rPr>
                <w:color w:val="000000"/>
                <w:szCs w:val="21"/>
              </w:rPr>
              <w:t>企业为污水处理厂，厂区雨水和污水均经厂区排水管网送至提升井，经提升井送至厂区污水处理系统处理达标后排放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1151"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2</w:t>
            </w:r>
          </w:p>
        </w:tc>
        <w:tc>
          <w:tcPr>
            <w:tcW w:w="1677" w:type="dxa"/>
            <w:vAlign w:val="center"/>
          </w:tcPr>
          <w:p>
            <w:pPr>
              <w:snapToGrid w:val="0"/>
              <w:jc w:val="center"/>
              <w:rPr>
                <w:color w:val="000000"/>
                <w:szCs w:val="21"/>
              </w:rPr>
            </w:pPr>
            <w:r>
              <w:rPr>
                <w:color w:val="000000"/>
                <w:szCs w:val="21"/>
              </w:rPr>
              <w:t>处理工艺</w:t>
            </w:r>
          </w:p>
        </w:tc>
        <w:tc>
          <w:tcPr>
            <w:tcW w:w="3321" w:type="dxa"/>
            <w:vAlign w:val="center"/>
          </w:tcPr>
          <w:p>
            <w:pPr>
              <w:snapToGrid w:val="0"/>
              <w:jc w:val="left"/>
              <w:rPr>
                <w:color w:val="000000"/>
                <w:szCs w:val="21"/>
              </w:rPr>
            </w:pPr>
            <w:r>
              <w:rPr>
                <w:color w:val="000000"/>
                <w:szCs w:val="21"/>
              </w:rPr>
              <w:t>企业污水处理系统设置</w:t>
            </w:r>
            <w:r>
              <w:rPr>
                <w:rFonts w:hint="eastAsia"/>
                <w:color w:val="000000"/>
                <w:szCs w:val="21"/>
              </w:rPr>
              <w:t>一用一备</w:t>
            </w:r>
            <w:r>
              <w:rPr>
                <w:color w:val="000000"/>
                <w:szCs w:val="21"/>
              </w:rPr>
              <w:t>运营处理工艺，厂区采用双回路电源供电，防止厂区污水处理设施故障导致污水直接或未处理达标后排放</w:t>
            </w:r>
          </w:p>
        </w:tc>
        <w:tc>
          <w:tcPr>
            <w:tcW w:w="3114" w:type="dxa"/>
            <w:shd w:val="clear" w:color="auto" w:fill="auto"/>
            <w:vAlign w:val="center"/>
          </w:tcPr>
          <w:p>
            <w:pPr>
              <w:snapToGrid w:val="0"/>
              <w:jc w:val="left"/>
              <w:rPr>
                <w:color w:val="000000"/>
                <w:szCs w:val="21"/>
              </w:rPr>
            </w:pPr>
            <w:r>
              <w:rPr>
                <w:color w:val="000000"/>
                <w:szCs w:val="21"/>
              </w:rPr>
              <w:t>企业污水处理系统为2套并联运行系统，电源采用了</w:t>
            </w:r>
            <w:r>
              <w:rPr>
                <w:rFonts w:hint="eastAsia"/>
                <w:color w:val="000000"/>
                <w:szCs w:val="21"/>
              </w:rPr>
              <w:t>单</w:t>
            </w:r>
            <w:r>
              <w:rPr>
                <w:color w:val="000000"/>
                <w:szCs w:val="21"/>
              </w:rPr>
              <w:t>回路电源，</w:t>
            </w:r>
            <w:r>
              <w:rPr>
                <w:rFonts w:hint="eastAsia"/>
                <w:color w:val="000000"/>
                <w:szCs w:val="21"/>
              </w:rPr>
              <w:t>但在配电房配置了柴油发电机作为备用电源，</w:t>
            </w:r>
            <w:r>
              <w:rPr>
                <w:color w:val="000000"/>
                <w:szCs w:val="21"/>
              </w:rPr>
              <w:t>最大可能的避免厂区污水处理设施故障。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三</w:t>
            </w:r>
          </w:p>
        </w:tc>
        <w:tc>
          <w:tcPr>
            <w:tcW w:w="8112" w:type="dxa"/>
            <w:gridSpan w:val="3"/>
            <w:vAlign w:val="center"/>
          </w:tcPr>
          <w:p>
            <w:pPr>
              <w:snapToGrid w:val="0"/>
              <w:jc w:val="center"/>
              <w:rPr>
                <w:snapToGrid w:val="0"/>
                <w:color w:val="000000"/>
                <w:kern w:val="0"/>
                <w:szCs w:val="21"/>
              </w:rPr>
            </w:pPr>
            <w:r>
              <w:rPr>
                <w:snapToGrid w:val="0"/>
                <w:color w:val="000000"/>
                <w:kern w:val="0"/>
                <w:szCs w:val="21"/>
              </w:rPr>
              <w:t>固体废物处置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1</w:t>
            </w:r>
          </w:p>
        </w:tc>
        <w:tc>
          <w:tcPr>
            <w:tcW w:w="1677" w:type="dxa"/>
            <w:vAlign w:val="center"/>
          </w:tcPr>
          <w:p>
            <w:pPr>
              <w:spacing w:line="360" w:lineRule="exact"/>
              <w:jc w:val="center"/>
              <w:rPr>
                <w:color w:val="000000"/>
                <w:szCs w:val="21"/>
              </w:rPr>
            </w:pPr>
            <w:r>
              <w:rPr>
                <w:color w:val="000000"/>
                <w:szCs w:val="21"/>
              </w:rPr>
              <w:t>废含油棉纱、手套、废机油</w:t>
            </w:r>
          </w:p>
        </w:tc>
        <w:tc>
          <w:tcPr>
            <w:tcW w:w="3321" w:type="dxa"/>
            <w:vAlign w:val="center"/>
          </w:tcPr>
          <w:p>
            <w:pPr>
              <w:spacing w:line="360" w:lineRule="exact"/>
              <w:jc w:val="left"/>
              <w:rPr>
                <w:color w:val="000000"/>
                <w:szCs w:val="21"/>
              </w:rPr>
            </w:pPr>
            <w:r>
              <w:rPr>
                <w:color w:val="000000"/>
                <w:szCs w:val="21"/>
              </w:rPr>
              <w:t>废含油棉纱、手套、废机油属于危险废物，分别在现有危废间单独设置危废收集桶进行收集，</w:t>
            </w:r>
            <w:r>
              <w:rPr>
                <w:color w:val="000000"/>
                <w:szCs w:val="21"/>
                <w:lang w:val="zh-CN"/>
              </w:rPr>
              <w:t>容器加上标签，</w:t>
            </w:r>
            <w:r>
              <w:rPr>
                <w:color w:val="000000"/>
                <w:szCs w:val="21"/>
              </w:rPr>
              <w:t>然后委托有相关资质的单位进行收集处理。</w:t>
            </w:r>
          </w:p>
        </w:tc>
        <w:tc>
          <w:tcPr>
            <w:tcW w:w="3114" w:type="dxa"/>
            <w:vAlign w:val="center"/>
          </w:tcPr>
          <w:p>
            <w:pPr>
              <w:spacing w:line="360" w:lineRule="exact"/>
              <w:jc w:val="left"/>
              <w:rPr>
                <w:color w:val="000000"/>
                <w:szCs w:val="21"/>
              </w:rPr>
            </w:pPr>
            <w:r>
              <w:rPr>
                <w:color w:val="000000"/>
                <w:szCs w:val="21"/>
              </w:rPr>
              <w:t>设置了危废暂存间，建筑面积约为10m</w:t>
            </w:r>
            <w:r>
              <w:rPr>
                <w:color w:val="000000"/>
                <w:szCs w:val="21"/>
                <w:vertAlign w:val="superscript"/>
              </w:rPr>
              <w:t>2</w:t>
            </w:r>
            <w:r>
              <w:rPr>
                <w:color w:val="000000"/>
                <w:szCs w:val="21"/>
              </w:rPr>
              <w:t>，暂存间进行“三防”处理，地面防渗，设置消防柜、照明、通风等设施。危险废物必须分类储存，定期转运送往具有危险废物处理资质的单位处理，转运采用“五联单”制度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2</w:t>
            </w:r>
          </w:p>
        </w:tc>
        <w:tc>
          <w:tcPr>
            <w:tcW w:w="1677" w:type="dxa"/>
            <w:vAlign w:val="center"/>
          </w:tcPr>
          <w:p>
            <w:pPr>
              <w:spacing w:line="360" w:lineRule="exact"/>
              <w:jc w:val="center"/>
              <w:rPr>
                <w:color w:val="000000"/>
                <w:szCs w:val="21"/>
              </w:rPr>
            </w:pPr>
            <w:r>
              <w:rPr>
                <w:color w:val="000000"/>
                <w:szCs w:val="21"/>
              </w:rPr>
              <w:t>生活垃圾</w:t>
            </w:r>
          </w:p>
        </w:tc>
        <w:tc>
          <w:tcPr>
            <w:tcW w:w="3321" w:type="dxa"/>
            <w:vAlign w:val="center"/>
          </w:tcPr>
          <w:p>
            <w:pPr>
              <w:adjustRightInd w:val="0"/>
              <w:snapToGrid w:val="0"/>
              <w:spacing w:line="360" w:lineRule="exact"/>
              <w:jc w:val="left"/>
              <w:rPr>
                <w:bCs/>
                <w:snapToGrid w:val="0"/>
                <w:color w:val="000000"/>
                <w:kern w:val="0"/>
                <w:szCs w:val="21"/>
              </w:rPr>
            </w:pPr>
            <w:r>
              <w:rPr>
                <w:color w:val="000000"/>
                <w:szCs w:val="21"/>
              </w:rPr>
              <w:t>交由区市政环卫部门统一收集处理，禁止随意堆放</w:t>
            </w:r>
          </w:p>
        </w:tc>
        <w:tc>
          <w:tcPr>
            <w:tcW w:w="3114" w:type="dxa"/>
            <w:vAlign w:val="center"/>
          </w:tcPr>
          <w:p>
            <w:pPr>
              <w:adjustRightInd w:val="0"/>
              <w:snapToGrid w:val="0"/>
              <w:spacing w:line="360" w:lineRule="exact"/>
              <w:jc w:val="left"/>
              <w:rPr>
                <w:bCs/>
                <w:snapToGrid w:val="0"/>
                <w:color w:val="000000"/>
                <w:kern w:val="0"/>
                <w:szCs w:val="21"/>
              </w:rPr>
            </w:pPr>
            <w:r>
              <w:rPr>
                <w:color w:val="000000"/>
                <w:szCs w:val="21"/>
              </w:rPr>
              <w:t>交由区市政环卫部门统一收集处理，禁止随意堆放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3</w:t>
            </w:r>
          </w:p>
        </w:tc>
        <w:tc>
          <w:tcPr>
            <w:tcW w:w="1677" w:type="dxa"/>
            <w:vAlign w:val="center"/>
          </w:tcPr>
          <w:p>
            <w:pPr>
              <w:spacing w:line="360" w:lineRule="exact"/>
              <w:jc w:val="center"/>
              <w:rPr>
                <w:color w:val="000000"/>
                <w:szCs w:val="21"/>
              </w:rPr>
            </w:pPr>
            <w:r>
              <w:rPr>
                <w:color w:val="000000"/>
                <w:szCs w:val="21"/>
              </w:rPr>
              <w:t>污泥</w:t>
            </w:r>
          </w:p>
        </w:tc>
        <w:tc>
          <w:tcPr>
            <w:tcW w:w="3321" w:type="dxa"/>
            <w:vAlign w:val="center"/>
          </w:tcPr>
          <w:p>
            <w:pPr>
              <w:adjustRightInd w:val="0"/>
              <w:snapToGrid w:val="0"/>
              <w:spacing w:line="360" w:lineRule="exact"/>
              <w:jc w:val="left"/>
              <w:rPr>
                <w:color w:val="000000"/>
                <w:szCs w:val="21"/>
              </w:rPr>
            </w:pPr>
            <w:r>
              <w:rPr>
                <w:color w:val="000000"/>
                <w:szCs w:val="21"/>
              </w:rPr>
              <w:t>污泥进行干化处理后送相关企业进行堆肥和作为绿化肥料</w:t>
            </w:r>
          </w:p>
        </w:tc>
        <w:tc>
          <w:tcPr>
            <w:tcW w:w="3114" w:type="dxa"/>
            <w:vAlign w:val="center"/>
          </w:tcPr>
          <w:p>
            <w:pPr>
              <w:adjustRightInd w:val="0"/>
              <w:snapToGrid w:val="0"/>
              <w:spacing w:line="360" w:lineRule="exact"/>
              <w:jc w:val="left"/>
              <w:rPr>
                <w:color w:val="000000"/>
                <w:szCs w:val="21"/>
              </w:rPr>
            </w:pPr>
            <w:r>
              <w:rPr>
                <w:color w:val="000000"/>
                <w:szCs w:val="21"/>
              </w:rPr>
              <w:t>厂区设置了污泥浓缩水池和污泥干化设备，污泥经干化后由需要企业自行运输用于堆肥和绿化肥料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四</w:t>
            </w:r>
          </w:p>
        </w:tc>
        <w:tc>
          <w:tcPr>
            <w:tcW w:w="8112" w:type="dxa"/>
            <w:gridSpan w:val="3"/>
            <w:vAlign w:val="center"/>
          </w:tcPr>
          <w:p>
            <w:pPr>
              <w:snapToGrid w:val="0"/>
              <w:jc w:val="center"/>
              <w:rPr>
                <w:snapToGrid w:val="0"/>
                <w:color w:val="000000"/>
                <w:kern w:val="0"/>
                <w:szCs w:val="21"/>
              </w:rPr>
            </w:pPr>
            <w:r>
              <w:rPr>
                <w:snapToGrid w:val="0"/>
                <w:color w:val="000000"/>
                <w:kern w:val="0"/>
                <w:szCs w:val="21"/>
              </w:rPr>
              <w:t>噪声控制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1</w:t>
            </w:r>
          </w:p>
        </w:tc>
        <w:tc>
          <w:tcPr>
            <w:tcW w:w="1677" w:type="dxa"/>
            <w:vAlign w:val="center"/>
          </w:tcPr>
          <w:p>
            <w:pPr>
              <w:snapToGrid w:val="0"/>
              <w:jc w:val="center"/>
              <w:rPr>
                <w:snapToGrid w:val="0"/>
                <w:color w:val="000000"/>
                <w:kern w:val="0"/>
                <w:szCs w:val="21"/>
              </w:rPr>
            </w:pPr>
            <w:r>
              <w:rPr>
                <w:snapToGrid w:val="0"/>
                <w:color w:val="000000"/>
                <w:kern w:val="0"/>
                <w:szCs w:val="21"/>
              </w:rPr>
              <w:t>设备噪声</w:t>
            </w:r>
          </w:p>
        </w:tc>
        <w:tc>
          <w:tcPr>
            <w:tcW w:w="3321" w:type="dxa"/>
            <w:vAlign w:val="center"/>
          </w:tcPr>
          <w:p>
            <w:pPr>
              <w:snapToGrid w:val="0"/>
              <w:jc w:val="left"/>
              <w:rPr>
                <w:color w:val="000000"/>
                <w:szCs w:val="21"/>
              </w:rPr>
            </w:pPr>
            <w:r>
              <w:rPr>
                <w:color w:val="000000"/>
                <w:szCs w:val="21"/>
              </w:rPr>
              <w:t>使用低</w:t>
            </w:r>
            <w:r>
              <w:rPr>
                <w:szCs w:val="21"/>
              </w:rPr>
              <w:t>噪声、高功率的泵</w:t>
            </w:r>
            <w:r>
              <w:rPr>
                <w:color w:val="000000"/>
                <w:szCs w:val="21"/>
              </w:rPr>
              <w:t>，定期对设备进行维护、保养，确保设备运行正常，</w:t>
            </w:r>
            <w:r>
              <w:rPr>
                <w:szCs w:val="21"/>
              </w:rPr>
              <w:t>设置减震垫，厂区设置绿化带等</w:t>
            </w:r>
          </w:p>
        </w:tc>
        <w:tc>
          <w:tcPr>
            <w:tcW w:w="3114" w:type="dxa"/>
            <w:vAlign w:val="center"/>
          </w:tcPr>
          <w:p>
            <w:pPr>
              <w:snapToGrid w:val="0"/>
              <w:jc w:val="left"/>
              <w:rPr>
                <w:snapToGrid w:val="0"/>
                <w:color w:val="000000"/>
                <w:kern w:val="0"/>
                <w:szCs w:val="21"/>
              </w:rPr>
            </w:pPr>
            <w:r>
              <w:rPr>
                <w:color w:val="000000"/>
                <w:szCs w:val="21"/>
              </w:rPr>
              <w:t>企业使用了低</w:t>
            </w:r>
            <w:r>
              <w:rPr>
                <w:szCs w:val="21"/>
              </w:rPr>
              <w:t>噪声、高功率的泵</w:t>
            </w:r>
            <w:r>
              <w:rPr>
                <w:color w:val="000000"/>
                <w:szCs w:val="21"/>
              </w:rPr>
              <w:t>，并将泵置于地下或者专门泵房内，定期对设备进行了维护、保养，确保设备运行正常，</w:t>
            </w:r>
            <w:r>
              <w:rPr>
                <w:szCs w:val="21"/>
              </w:rPr>
              <w:t>设置减震垫，厂区设置了绿化带。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五</w:t>
            </w:r>
          </w:p>
        </w:tc>
        <w:tc>
          <w:tcPr>
            <w:tcW w:w="8112" w:type="dxa"/>
            <w:gridSpan w:val="3"/>
            <w:vAlign w:val="center"/>
          </w:tcPr>
          <w:p>
            <w:pPr>
              <w:snapToGrid w:val="0"/>
              <w:jc w:val="center"/>
              <w:rPr>
                <w:color w:val="000000"/>
                <w:szCs w:val="21"/>
              </w:rPr>
            </w:pPr>
            <w:r>
              <w:rPr>
                <w:color w:val="000000"/>
                <w:szCs w:val="21"/>
              </w:rPr>
              <w:t>风险防范措施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1</w:t>
            </w:r>
          </w:p>
        </w:tc>
        <w:tc>
          <w:tcPr>
            <w:tcW w:w="1677" w:type="dxa"/>
            <w:vAlign w:val="center"/>
          </w:tcPr>
          <w:p>
            <w:pPr>
              <w:snapToGrid w:val="0"/>
              <w:jc w:val="center"/>
              <w:rPr>
                <w:snapToGrid w:val="0"/>
                <w:color w:val="000000"/>
                <w:kern w:val="0"/>
                <w:szCs w:val="21"/>
              </w:rPr>
            </w:pPr>
            <w:r>
              <w:rPr>
                <w:snapToGrid w:val="0"/>
                <w:color w:val="000000"/>
                <w:kern w:val="0"/>
                <w:szCs w:val="21"/>
              </w:rPr>
              <w:t>盐酸储罐</w:t>
            </w:r>
          </w:p>
        </w:tc>
        <w:tc>
          <w:tcPr>
            <w:tcW w:w="3321" w:type="dxa"/>
            <w:vAlign w:val="center"/>
          </w:tcPr>
          <w:p>
            <w:pPr>
              <w:snapToGrid w:val="0"/>
              <w:jc w:val="left"/>
              <w:rPr>
                <w:color w:val="000000"/>
                <w:szCs w:val="21"/>
              </w:rPr>
            </w:pPr>
            <w:r>
              <w:rPr>
                <w:color w:val="000000"/>
                <w:szCs w:val="21"/>
              </w:rPr>
              <w:t>在盐酸储罐区域上设置围堰，地面进行防渗、防腐处理。</w:t>
            </w:r>
          </w:p>
        </w:tc>
        <w:tc>
          <w:tcPr>
            <w:tcW w:w="3114" w:type="dxa"/>
            <w:vAlign w:val="center"/>
          </w:tcPr>
          <w:p>
            <w:pPr>
              <w:snapToGrid w:val="0"/>
              <w:jc w:val="left"/>
              <w:rPr>
                <w:snapToGrid w:val="0"/>
                <w:color w:val="000000"/>
                <w:kern w:val="0"/>
                <w:szCs w:val="21"/>
              </w:rPr>
            </w:pPr>
            <w:r>
              <w:rPr>
                <w:color w:val="000000"/>
                <w:szCs w:val="21"/>
              </w:rPr>
              <w:t>盐酸储罐区域设置了围堰，地面进行了硬化处理。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2</w:t>
            </w:r>
          </w:p>
        </w:tc>
        <w:tc>
          <w:tcPr>
            <w:tcW w:w="1677" w:type="dxa"/>
            <w:vAlign w:val="center"/>
          </w:tcPr>
          <w:p>
            <w:pPr>
              <w:snapToGrid w:val="0"/>
              <w:jc w:val="center"/>
              <w:rPr>
                <w:snapToGrid w:val="0"/>
                <w:color w:val="000000"/>
                <w:kern w:val="0"/>
                <w:szCs w:val="21"/>
              </w:rPr>
            </w:pPr>
            <w:r>
              <w:rPr>
                <w:snapToGrid w:val="0"/>
                <w:color w:val="000000"/>
                <w:kern w:val="0"/>
                <w:szCs w:val="21"/>
              </w:rPr>
              <w:t>加氯加药间</w:t>
            </w:r>
          </w:p>
        </w:tc>
        <w:tc>
          <w:tcPr>
            <w:tcW w:w="3321" w:type="dxa"/>
            <w:vAlign w:val="center"/>
          </w:tcPr>
          <w:p>
            <w:pPr>
              <w:snapToGrid w:val="0"/>
              <w:jc w:val="left"/>
              <w:rPr>
                <w:color w:val="000000"/>
                <w:szCs w:val="21"/>
              </w:rPr>
            </w:pPr>
            <w:r>
              <w:rPr>
                <w:szCs w:val="21"/>
              </w:rPr>
              <w:t>企业盐酸、二氧化氯泄漏挥发出的氯化氢、二氧化氯气体配备了防毒面具、监控设施、喷淋中和设施等泄漏应急处置装置</w:t>
            </w:r>
          </w:p>
        </w:tc>
        <w:tc>
          <w:tcPr>
            <w:tcW w:w="3114" w:type="dxa"/>
            <w:vAlign w:val="center"/>
          </w:tcPr>
          <w:p>
            <w:pPr>
              <w:snapToGrid w:val="0"/>
              <w:jc w:val="left"/>
              <w:rPr>
                <w:snapToGrid w:val="0"/>
                <w:color w:val="000000"/>
                <w:kern w:val="0"/>
                <w:szCs w:val="21"/>
              </w:rPr>
            </w:pPr>
            <w:r>
              <w:rPr>
                <w:szCs w:val="21"/>
              </w:rPr>
              <w:t>企业针对盐酸、二氧化氯泄漏挥发出的氯化氢、二氧化氯气体配备了防毒面具、监控设施、喷淋中和设施等泄漏应急处置装置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Cs w:val="21"/>
              </w:rPr>
            </w:pPr>
            <w:r>
              <w:rPr>
                <w:snapToGrid w:val="0"/>
                <w:color w:val="000000"/>
                <w:kern w:val="0"/>
                <w:szCs w:val="21"/>
              </w:rPr>
              <w:t>3</w:t>
            </w:r>
          </w:p>
        </w:tc>
        <w:tc>
          <w:tcPr>
            <w:tcW w:w="1677" w:type="dxa"/>
            <w:vAlign w:val="center"/>
          </w:tcPr>
          <w:p>
            <w:pPr>
              <w:snapToGrid w:val="0"/>
              <w:jc w:val="center"/>
              <w:rPr>
                <w:snapToGrid w:val="0"/>
                <w:color w:val="000000"/>
                <w:kern w:val="0"/>
                <w:szCs w:val="21"/>
              </w:rPr>
            </w:pPr>
            <w:r>
              <w:rPr>
                <w:snapToGrid w:val="0"/>
                <w:color w:val="000000"/>
                <w:kern w:val="0"/>
                <w:szCs w:val="21"/>
              </w:rPr>
              <w:t>其它</w:t>
            </w:r>
          </w:p>
        </w:tc>
        <w:tc>
          <w:tcPr>
            <w:tcW w:w="3321" w:type="dxa"/>
            <w:vAlign w:val="center"/>
          </w:tcPr>
          <w:p>
            <w:pPr>
              <w:snapToGrid w:val="0"/>
              <w:jc w:val="left"/>
              <w:rPr>
                <w:color w:val="000000"/>
                <w:szCs w:val="21"/>
              </w:rPr>
            </w:pPr>
            <w:r>
              <w:rPr>
                <w:color w:val="000000"/>
                <w:szCs w:val="21"/>
              </w:rPr>
              <w:t>备置防毒面具、防护服、防护眼睛、应急灯等应急物资</w:t>
            </w:r>
          </w:p>
        </w:tc>
        <w:tc>
          <w:tcPr>
            <w:tcW w:w="3114" w:type="dxa"/>
            <w:vAlign w:val="center"/>
          </w:tcPr>
          <w:p>
            <w:pPr>
              <w:snapToGrid w:val="0"/>
              <w:jc w:val="left"/>
              <w:rPr>
                <w:color w:val="000000"/>
                <w:szCs w:val="21"/>
              </w:rPr>
            </w:pPr>
            <w:r>
              <w:rPr>
                <w:color w:val="000000"/>
                <w:szCs w:val="21"/>
              </w:rPr>
              <w:t>备置了防毒面具、防护服、防护眼睛、应急灯等应急物资</w:t>
            </w:r>
          </w:p>
        </w:tc>
      </w:tr>
    </w:tbl>
    <w:p>
      <w:pPr>
        <w:adjustRightInd w:val="0"/>
        <w:snapToGrid w:val="0"/>
        <w:spacing w:line="460" w:lineRule="exact"/>
        <w:outlineLvl w:val="1"/>
        <w:rPr>
          <w:b/>
          <w:color w:val="000000"/>
          <w:sz w:val="28"/>
          <w:szCs w:val="28"/>
        </w:rPr>
      </w:pPr>
      <w:bookmarkStart w:id="217" w:name="_Toc21793"/>
      <w:bookmarkStart w:id="218" w:name="_Toc458674253"/>
      <w:r>
        <w:rPr>
          <w:rFonts w:hint="eastAsia"/>
          <w:b/>
          <w:color w:val="000000"/>
          <w:sz w:val="28"/>
          <w:szCs w:val="28"/>
        </w:rPr>
        <w:t>3</w:t>
      </w:r>
      <w:r>
        <w:rPr>
          <w:b/>
          <w:color w:val="000000"/>
          <w:sz w:val="28"/>
          <w:szCs w:val="28"/>
        </w:rPr>
        <w:t>.3环境风险源识别</w:t>
      </w:r>
      <w:bookmarkEnd w:id="217"/>
      <w:bookmarkEnd w:id="218"/>
    </w:p>
    <w:p>
      <w:pPr>
        <w:pStyle w:val="101"/>
        <w:ind w:firstLine="0" w:firstLineChars="0"/>
        <w:rPr>
          <w:b/>
          <w:szCs w:val="28"/>
        </w:rPr>
      </w:pPr>
      <w:bookmarkStart w:id="219" w:name="_Toc346872561"/>
      <w:bookmarkStart w:id="220" w:name="_Toc458674254"/>
      <w:bookmarkStart w:id="221" w:name="_Toc317088625"/>
      <w:bookmarkStart w:id="222" w:name="_Toc376848492"/>
      <w:r>
        <w:rPr>
          <w:rFonts w:hint="eastAsia"/>
          <w:b/>
          <w:szCs w:val="28"/>
        </w:rPr>
        <w:t>3</w:t>
      </w:r>
      <w:r>
        <w:rPr>
          <w:b/>
          <w:szCs w:val="28"/>
        </w:rPr>
        <w:t>.3.1 生产过程潜在风险识别</w:t>
      </w:r>
      <w:bookmarkEnd w:id="219"/>
      <w:bookmarkEnd w:id="220"/>
    </w:p>
    <w:p>
      <w:pPr>
        <w:pStyle w:val="16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（1）生产工艺过程</w:t>
      </w:r>
    </w:p>
    <w:p>
      <w:pPr>
        <w:pStyle w:val="166"/>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盐酸储罐：企业所使用的盐酸由供应商负责运输至厂区，然后由专门的保管人员验收存放于危险化学品仓库。由于装卸过程操作不当、储存管理疏忽、管道法兰等设备老化损坏破了等可能导致盐酸储罐中盐酸发生泄漏。</w:t>
      </w:r>
    </w:p>
    <w:p>
      <w:pPr>
        <w:pStyle w:val="166"/>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消毒车间：企业生产工艺过程中涉及到危险化学品的工序是二氧化氯消毒工艺，主要有毒化学品装置为二氧化氯发生器。二氧化氯发生器由于管道破裂等可能导致二氧化氯泄漏，但是企业二氧化发生器采用计算机自动控制，在二氧化氯发生器所在房间设置了报警装置、各管道设置了报警控制开关，一旦发生泄漏报警开关自动关闭，二氧化氯泄漏发生概率较小，且有严格的防范措施。</w:t>
      </w:r>
    </w:p>
    <w:p>
      <w:pPr>
        <w:pStyle w:val="16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（2）停电</w:t>
      </w:r>
    </w:p>
    <w:p>
      <w:pPr>
        <w:pStyle w:val="166"/>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企业为城市污水处理厂，一旦发生停电时，污水处理设备不能运转导致厂区内收集的污水直接排放到外环境，造成地表水污染，影响地表水环境及下游取水口、鱼类三场等水环境风险受体。</w:t>
      </w:r>
    </w:p>
    <w:p>
      <w:pPr>
        <w:pStyle w:val="16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（3）污染治理设施非正常运营</w:t>
      </w:r>
    </w:p>
    <w:p>
      <w:pPr>
        <w:pStyle w:val="166"/>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企业为城市污水处理厂，一旦污染治理设施不能正常运营导致污水治理效果下降使污水未达标而排放到地表水体造成地表水环境污染，考虑到企业为</w:t>
      </w:r>
      <w:r>
        <w:rPr>
          <w:rFonts w:hint="eastAsia" w:cs="仿宋_GB2312" w:asciiTheme="minorEastAsia" w:hAnsiTheme="minorEastAsia" w:eastAsiaTheme="minorEastAsia"/>
          <w:kern w:val="0"/>
          <w:sz w:val="24"/>
        </w:rPr>
        <w:t>一用一备</w:t>
      </w:r>
      <w:r>
        <w:rPr>
          <w:rFonts w:cs="仿宋_GB2312" w:asciiTheme="minorEastAsia" w:hAnsiTheme="minorEastAsia" w:eastAsiaTheme="minorEastAsia"/>
          <w:kern w:val="0"/>
          <w:sz w:val="24"/>
        </w:rPr>
        <w:t>2套污水治理设施，在污染治理设施非正常运营考虑50%治理效率。</w:t>
      </w:r>
    </w:p>
    <w:p>
      <w:pPr>
        <w:pStyle w:val="16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（4）各种自然灾害、极端天气</w:t>
      </w:r>
    </w:p>
    <w:p>
      <w:pPr>
        <w:pStyle w:val="166"/>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在各</w:t>
      </w:r>
      <w:r>
        <w:rPr>
          <w:rFonts w:hint="eastAsia" w:cs="仿宋_GB2312" w:asciiTheme="minorEastAsia" w:hAnsiTheme="minorEastAsia" w:eastAsiaTheme="minorEastAsia"/>
          <w:kern w:val="0"/>
          <w:sz w:val="24"/>
        </w:rPr>
        <w:t>种</w:t>
      </w:r>
      <w:r>
        <w:rPr>
          <w:rFonts w:cs="仿宋_GB2312" w:asciiTheme="minorEastAsia" w:hAnsiTheme="minorEastAsia" w:eastAsiaTheme="minorEastAsia"/>
          <w:kern w:val="0"/>
          <w:sz w:val="24"/>
        </w:rPr>
        <w:t>自然灾害、极端天气情况下，企业突发环境事故为污水未经处理直接排放到外环境造成后果与停电情况下一致。</w:t>
      </w:r>
    </w:p>
    <w:p>
      <w:pPr>
        <w:spacing w:line="460" w:lineRule="exact"/>
        <w:ind w:firstLine="482" w:firstLineChars="200"/>
        <w:jc w:val="center"/>
        <w:rPr>
          <w:b/>
          <w:color w:val="000000"/>
          <w:sz w:val="24"/>
          <w:szCs w:val="24"/>
        </w:rPr>
      </w:pPr>
      <w:r>
        <w:rPr>
          <w:b/>
          <w:color w:val="000000"/>
          <w:sz w:val="24"/>
          <w:szCs w:val="24"/>
        </w:rPr>
        <w:t>表3.3-1  生产过程风险一览表</w:t>
      </w:r>
    </w:p>
    <w:tbl>
      <w:tblPr>
        <w:tblStyle w:val="54"/>
        <w:tblW w:w="8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7"/>
        <w:gridCol w:w="982"/>
        <w:gridCol w:w="1870"/>
        <w:gridCol w:w="2862"/>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7" w:type="dxa"/>
            <w:vAlign w:val="center"/>
          </w:tcPr>
          <w:p>
            <w:pPr>
              <w:adjustRightInd w:val="0"/>
              <w:snapToGrid w:val="0"/>
              <w:jc w:val="center"/>
              <w:rPr>
                <w:color w:val="000000"/>
                <w:szCs w:val="21"/>
              </w:rPr>
            </w:pPr>
            <w:r>
              <w:rPr>
                <w:color w:val="000000"/>
                <w:szCs w:val="21"/>
              </w:rPr>
              <w:t>生产单元</w:t>
            </w:r>
          </w:p>
        </w:tc>
        <w:tc>
          <w:tcPr>
            <w:tcW w:w="982" w:type="dxa"/>
            <w:vAlign w:val="center"/>
          </w:tcPr>
          <w:p>
            <w:pPr>
              <w:adjustRightInd w:val="0"/>
              <w:snapToGrid w:val="0"/>
              <w:jc w:val="center"/>
              <w:rPr>
                <w:color w:val="000000"/>
                <w:szCs w:val="21"/>
              </w:rPr>
            </w:pPr>
            <w:r>
              <w:rPr>
                <w:color w:val="000000"/>
                <w:szCs w:val="21"/>
              </w:rPr>
              <w:t>危险物质</w:t>
            </w:r>
          </w:p>
        </w:tc>
        <w:tc>
          <w:tcPr>
            <w:tcW w:w="1870" w:type="dxa"/>
            <w:vAlign w:val="center"/>
          </w:tcPr>
          <w:p>
            <w:pPr>
              <w:adjustRightInd w:val="0"/>
              <w:snapToGrid w:val="0"/>
              <w:jc w:val="center"/>
              <w:rPr>
                <w:color w:val="000000"/>
                <w:szCs w:val="21"/>
              </w:rPr>
            </w:pPr>
            <w:r>
              <w:rPr>
                <w:color w:val="000000"/>
                <w:szCs w:val="21"/>
              </w:rPr>
              <w:t>事故形式</w:t>
            </w:r>
          </w:p>
        </w:tc>
        <w:tc>
          <w:tcPr>
            <w:tcW w:w="2862" w:type="dxa"/>
            <w:vAlign w:val="center"/>
          </w:tcPr>
          <w:p>
            <w:pPr>
              <w:adjustRightInd w:val="0"/>
              <w:snapToGrid w:val="0"/>
              <w:jc w:val="center"/>
              <w:rPr>
                <w:color w:val="000000"/>
                <w:szCs w:val="21"/>
              </w:rPr>
            </w:pPr>
            <w:r>
              <w:rPr>
                <w:color w:val="000000"/>
                <w:szCs w:val="21"/>
              </w:rPr>
              <w:t>产生原因</w:t>
            </w:r>
          </w:p>
        </w:tc>
        <w:tc>
          <w:tcPr>
            <w:tcW w:w="1537" w:type="dxa"/>
            <w:vAlign w:val="center"/>
          </w:tcPr>
          <w:p>
            <w:pPr>
              <w:adjustRightInd w:val="0"/>
              <w:snapToGrid w:val="0"/>
              <w:jc w:val="center"/>
              <w:rPr>
                <w:color w:val="000000"/>
                <w:szCs w:val="21"/>
              </w:rPr>
            </w:pPr>
            <w:r>
              <w:rPr>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7" w:type="dxa"/>
            <w:vAlign w:val="center"/>
          </w:tcPr>
          <w:p>
            <w:pPr>
              <w:adjustRightInd w:val="0"/>
              <w:snapToGrid w:val="0"/>
              <w:jc w:val="center"/>
              <w:rPr>
                <w:color w:val="000000"/>
                <w:szCs w:val="21"/>
              </w:rPr>
            </w:pPr>
            <w:r>
              <w:rPr>
                <w:snapToGrid w:val="0"/>
                <w:szCs w:val="21"/>
              </w:rPr>
              <w:t>盐酸储罐</w:t>
            </w:r>
          </w:p>
        </w:tc>
        <w:tc>
          <w:tcPr>
            <w:tcW w:w="982" w:type="dxa"/>
            <w:vAlign w:val="center"/>
          </w:tcPr>
          <w:p>
            <w:pPr>
              <w:adjustRightInd w:val="0"/>
              <w:snapToGrid w:val="0"/>
              <w:jc w:val="center"/>
              <w:rPr>
                <w:color w:val="000000"/>
                <w:szCs w:val="21"/>
              </w:rPr>
            </w:pPr>
            <w:r>
              <w:rPr>
                <w:color w:val="000000"/>
                <w:szCs w:val="21"/>
              </w:rPr>
              <w:t>氯化氢</w:t>
            </w:r>
          </w:p>
        </w:tc>
        <w:tc>
          <w:tcPr>
            <w:tcW w:w="1870" w:type="dxa"/>
            <w:vAlign w:val="center"/>
          </w:tcPr>
          <w:p>
            <w:pPr>
              <w:adjustRightInd w:val="0"/>
              <w:snapToGrid w:val="0"/>
              <w:jc w:val="left"/>
              <w:rPr>
                <w:color w:val="000000"/>
                <w:szCs w:val="21"/>
              </w:rPr>
            </w:pPr>
            <w:r>
              <w:rPr>
                <w:color w:val="000000"/>
                <w:szCs w:val="21"/>
              </w:rPr>
              <w:t>泄漏、中毒、环境污染</w:t>
            </w:r>
          </w:p>
        </w:tc>
        <w:tc>
          <w:tcPr>
            <w:tcW w:w="2862" w:type="dxa"/>
            <w:vAlign w:val="center"/>
          </w:tcPr>
          <w:p>
            <w:pPr>
              <w:adjustRightInd w:val="0"/>
              <w:snapToGrid w:val="0"/>
              <w:jc w:val="left"/>
              <w:rPr>
                <w:color w:val="000000"/>
                <w:szCs w:val="21"/>
              </w:rPr>
            </w:pPr>
            <w:r>
              <w:rPr>
                <w:color w:val="000000"/>
                <w:szCs w:val="21"/>
              </w:rPr>
              <w:t>阀门管道堵塞、破裂、损坏、操作失误、停电、自然灾害</w:t>
            </w:r>
          </w:p>
        </w:tc>
        <w:tc>
          <w:tcPr>
            <w:tcW w:w="1537" w:type="dxa"/>
            <w:vAlign w:val="center"/>
          </w:tcPr>
          <w:p>
            <w:pPr>
              <w:adjustRightInd w:val="0"/>
              <w:snapToGrid w:val="0"/>
              <w:jc w:val="center"/>
              <w:rPr>
                <w:color w:val="000000"/>
                <w:szCs w:val="21"/>
              </w:rPr>
            </w:pPr>
            <w:r>
              <w:rPr>
                <w:color w:val="000000"/>
                <w:szCs w:val="21"/>
              </w:rPr>
              <w:t>盐酸储罐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7" w:type="dxa"/>
            <w:vAlign w:val="center"/>
          </w:tcPr>
          <w:p>
            <w:pPr>
              <w:adjustRightInd w:val="0"/>
              <w:snapToGrid w:val="0"/>
              <w:jc w:val="center"/>
              <w:rPr>
                <w:snapToGrid w:val="0"/>
                <w:szCs w:val="21"/>
              </w:rPr>
            </w:pPr>
            <w:r>
              <w:rPr>
                <w:rFonts w:hint="eastAsia"/>
                <w:snapToGrid w:val="0"/>
                <w:szCs w:val="21"/>
              </w:rPr>
              <w:t>二氧化氯发生器</w:t>
            </w:r>
          </w:p>
        </w:tc>
        <w:tc>
          <w:tcPr>
            <w:tcW w:w="982" w:type="dxa"/>
            <w:vAlign w:val="center"/>
          </w:tcPr>
          <w:p>
            <w:pPr>
              <w:adjustRightInd w:val="0"/>
              <w:snapToGrid w:val="0"/>
              <w:jc w:val="center"/>
              <w:rPr>
                <w:color w:val="000000"/>
                <w:szCs w:val="21"/>
              </w:rPr>
            </w:pPr>
            <w:r>
              <w:rPr>
                <w:rFonts w:hint="eastAsia"/>
                <w:color w:val="000000"/>
                <w:szCs w:val="21"/>
              </w:rPr>
              <w:t>二氧化氯</w:t>
            </w:r>
          </w:p>
        </w:tc>
        <w:tc>
          <w:tcPr>
            <w:tcW w:w="1870" w:type="dxa"/>
            <w:vAlign w:val="center"/>
          </w:tcPr>
          <w:p>
            <w:pPr>
              <w:adjustRightInd w:val="0"/>
              <w:snapToGrid w:val="0"/>
              <w:jc w:val="left"/>
              <w:rPr>
                <w:color w:val="000000"/>
                <w:szCs w:val="21"/>
              </w:rPr>
            </w:pPr>
            <w:r>
              <w:rPr>
                <w:color w:val="000000"/>
                <w:szCs w:val="21"/>
              </w:rPr>
              <w:t>泄漏、中毒、环境污染</w:t>
            </w:r>
          </w:p>
        </w:tc>
        <w:tc>
          <w:tcPr>
            <w:tcW w:w="2862" w:type="dxa"/>
            <w:vAlign w:val="center"/>
          </w:tcPr>
          <w:p>
            <w:pPr>
              <w:adjustRightInd w:val="0"/>
              <w:snapToGrid w:val="0"/>
              <w:jc w:val="left"/>
              <w:rPr>
                <w:color w:val="000000"/>
                <w:szCs w:val="21"/>
              </w:rPr>
            </w:pPr>
            <w:r>
              <w:rPr>
                <w:color w:val="000000"/>
                <w:szCs w:val="21"/>
              </w:rPr>
              <w:t>阀门管道堵塞、破裂、损坏、操作失误、停电、自然灾害</w:t>
            </w:r>
          </w:p>
        </w:tc>
        <w:tc>
          <w:tcPr>
            <w:tcW w:w="1537" w:type="dxa"/>
            <w:vAlign w:val="center"/>
          </w:tcPr>
          <w:p>
            <w:pPr>
              <w:adjustRightInd w:val="0"/>
              <w:snapToGrid w:val="0"/>
              <w:jc w:val="center"/>
              <w:rPr>
                <w:color w:val="000000"/>
                <w:szCs w:val="21"/>
              </w:rPr>
            </w:pPr>
            <w:r>
              <w:rPr>
                <w:rFonts w:hint="eastAsia"/>
                <w:color w:val="000000"/>
                <w:szCs w:val="21"/>
              </w:rPr>
              <w:t>二氧化氯发生器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7" w:type="dxa"/>
            <w:vAlign w:val="center"/>
          </w:tcPr>
          <w:p>
            <w:pPr>
              <w:adjustRightInd w:val="0"/>
              <w:snapToGrid w:val="0"/>
              <w:jc w:val="center"/>
              <w:rPr>
                <w:color w:val="000000"/>
                <w:szCs w:val="21"/>
              </w:rPr>
            </w:pPr>
            <w:r>
              <w:rPr>
                <w:color w:val="000000"/>
                <w:szCs w:val="21"/>
              </w:rPr>
              <w:t>污水处理系统</w:t>
            </w:r>
          </w:p>
        </w:tc>
        <w:tc>
          <w:tcPr>
            <w:tcW w:w="982" w:type="dxa"/>
            <w:vAlign w:val="center"/>
          </w:tcPr>
          <w:p>
            <w:pPr>
              <w:adjustRightInd w:val="0"/>
              <w:snapToGrid w:val="0"/>
              <w:jc w:val="center"/>
              <w:rPr>
                <w:color w:val="000000"/>
                <w:szCs w:val="21"/>
              </w:rPr>
            </w:pPr>
            <w:r>
              <w:rPr>
                <w:color w:val="000000"/>
                <w:szCs w:val="21"/>
              </w:rPr>
              <w:t>收集污水</w:t>
            </w:r>
          </w:p>
        </w:tc>
        <w:tc>
          <w:tcPr>
            <w:tcW w:w="1870" w:type="dxa"/>
            <w:vAlign w:val="center"/>
          </w:tcPr>
          <w:p>
            <w:pPr>
              <w:adjustRightInd w:val="0"/>
              <w:snapToGrid w:val="0"/>
              <w:jc w:val="left"/>
              <w:rPr>
                <w:color w:val="000000"/>
                <w:szCs w:val="21"/>
              </w:rPr>
            </w:pPr>
            <w:r>
              <w:rPr>
                <w:color w:val="000000"/>
                <w:szCs w:val="21"/>
              </w:rPr>
              <w:t>泄漏、环境污染</w:t>
            </w:r>
          </w:p>
        </w:tc>
        <w:tc>
          <w:tcPr>
            <w:tcW w:w="2862" w:type="dxa"/>
            <w:vAlign w:val="center"/>
          </w:tcPr>
          <w:p>
            <w:pPr>
              <w:adjustRightInd w:val="0"/>
              <w:snapToGrid w:val="0"/>
              <w:jc w:val="left"/>
              <w:rPr>
                <w:color w:val="000000"/>
                <w:szCs w:val="21"/>
              </w:rPr>
            </w:pPr>
            <w:r>
              <w:rPr>
                <w:color w:val="000000"/>
                <w:szCs w:val="21"/>
              </w:rPr>
              <w:t>污水处理设备发生故障、停电、自然灾害等</w:t>
            </w:r>
          </w:p>
        </w:tc>
        <w:tc>
          <w:tcPr>
            <w:tcW w:w="1537" w:type="dxa"/>
            <w:vAlign w:val="center"/>
          </w:tcPr>
          <w:p>
            <w:pPr>
              <w:adjustRightInd w:val="0"/>
              <w:snapToGrid w:val="0"/>
              <w:jc w:val="center"/>
              <w:rPr>
                <w:color w:val="000000"/>
                <w:szCs w:val="21"/>
              </w:rPr>
            </w:pPr>
            <w:r>
              <w:rPr>
                <w:color w:val="000000"/>
                <w:szCs w:val="21"/>
              </w:rPr>
              <w:t>污水</w:t>
            </w:r>
          </w:p>
        </w:tc>
      </w:tr>
    </w:tbl>
    <w:p>
      <w:pPr>
        <w:ind w:firstLine="420" w:firstLineChars="200"/>
        <w:jc w:val="left"/>
        <w:rPr>
          <w:color w:val="000000"/>
        </w:rPr>
      </w:pPr>
    </w:p>
    <w:p>
      <w:pPr>
        <w:pStyle w:val="101"/>
        <w:ind w:firstLine="0" w:firstLineChars="0"/>
        <w:rPr>
          <w:b/>
          <w:szCs w:val="28"/>
        </w:rPr>
      </w:pPr>
      <w:bookmarkStart w:id="223" w:name="_Toc346872562"/>
      <w:bookmarkStart w:id="224" w:name="_Toc458674255"/>
      <w:r>
        <w:rPr>
          <w:rFonts w:hint="eastAsia"/>
          <w:b/>
          <w:szCs w:val="28"/>
        </w:rPr>
        <w:t>3</w:t>
      </w:r>
      <w:r>
        <w:rPr>
          <w:b/>
          <w:szCs w:val="28"/>
        </w:rPr>
        <w:t>.3.2</w:t>
      </w:r>
      <w:bookmarkEnd w:id="221"/>
      <w:bookmarkEnd w:id="223"/>
      <w:r>
        <w:rPr>
          <w:b/>
          <w:szCs w:val="28"/>
        </w:rPr>
        <w:t>运输过程潜在风险识别</w:t>
      </w:r>
      <w:bookmarkEnd w:id="224"/>
    </w:p>
    <w:p>
      <w:pPr>
        <w:pStyle w:val="166"/>
        <w:spacing w:line="500" w:lineRule="exact"/>
        <w:ind w:firstLine="480"/>
        <w:rPr>
          <w:rFonts w:cs="仿宋_GB2312" w:asciiTheme="minorEastAsia" w:hAnsiTheme="minorEastAsia" w:eastAsiaTheme="minorEastAsia"/>
          <w:kern w:val="0"/>
          <w:sz w:val="24"/>
        </w:rPr>
      </w:pPr>
      <w:bookmarkStart w:id="225" w:name="_Toc317088626"/>
      <w:bookmarkStart w:id="226" w:name="_Toc346872563"/>
      <w:r>
        <w:rPr>
          <w:rFonts w:cs="仿宋_GB2312" w:asciiTheme="minorEastAsia" w:hAnsiTheme="minorEastAsia" w:eastAsiaTheme="minorEastAsia"/>
          <w:kern w:val="0"/>
          <w:sz w:val="24"/>
        </w:rPr>
        <w:t>经核实，企业原辅材料等由供应商提供运输至厂区，运输过程中的突发环境事故风险防范应由供应商完成，</w:t>
      </w:r>
      <w:r>
        <w:rPr>
          <w:rFonts w:hint="eastAsia" w:cs="仿宋_GB2312" w:asciiTheme="minorEastAsia" w:hAnsiTheme="minorEastAsia" w:eastAsiaTheme="minorEastAsia"/>
          <w:kern w:val="0"/>
          <w:sz w:val="24"/>
        </w:rPr>
        <w:t>按照转运协议要求，运输途中出现的一切安全及其他事故由转运单位负责，污水处理厂负责配合协调处理，不纳入本次评估范围。</w:t>
      </w:r>
    </w:p>
    <w:p>
      <w:pPr>
        <w:pStyle w:val="101"/>
        <w:ind w:firstLine="0" w:firstLineChars="0"/>
        <w:rPr>
          <w:b/>
          <w:sz w:val="26"/>
          <w:szCs w:val="26"/>
        </w:rPr>
      </w:pPr>
      <w:bookmarkStart w:id="227" w:name="_Toc458674256"/>
      <w:r>
        <w:rPr>
          <w:rFonts w:hint="eastAsia"/>
          <w:b/>
          <w:sz w:val="24"/>
        </w:rPr>
        <w:t>3</w:t>
      </w:r>
      <w:r>
        <w:rPr>
          <w:b/>
          <w:sz w:val="24"/>
        </w:rPr>
        <w:t>.3.3 次/伴生风险识别</w:t>
      </w:r>
      <w:bookmarkEnd w:id="225"/>
      <w:bookmarkEnd w:id="226"/>
      <w:bookmarkEnd w:id="227"/>
    </w:p>
    <w:p>
      <w:pPr>
        <w:pStyle w:val="16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若发生盐酸泄漏事故，由于盐酸挥发产生氯化氢气体逸散到大气环境中造成二次污染。</w:t>
      </w:r>
    </w:p>
    <w:p>
      <w:pPr>
        <w:adjustRightInd w:val="0"/>
        <w:snapToGrid w:val="0"/>
        <w:spacing w:line="460" w:lineRule="exact"/>
        <w:outlineLvl w:val="1"/>
        <w:rPr>
          <w:b/>
          <w:color w:val="000000"/>
          <w:sz w:val="26"/>
          <w:szCs w:val="26"/>
        </w:rPr>
      </w:pPr>
      <w:bookmarkStart w:id="228" w:name="_Toc25228"/>
      <w:bookmarkStart w:id="229" w:name="_Toc458674257"/>
      <w:r>
        <w:rPr>
          <w:rFonts w:hint="eastAsia"/>
          <w:b/>
          <w:color w:val="000000"/>
          <w:sz w:val="26"/>
          <w:szCs w:val="26"/>
        </w:rPr>
        <w:t>3</w:t>
      </w:r>
      <w:r>
        <w:rPr>
          <w:b/>
          <w:color w:val="000000"/>
          <w:sz w:val="26"/>
          <w:szCs w:val="26"/>
        </w:rPr>
        <w:t>.4重大危险源识别</w:t>
      </w:r>
      <w:bookmarkEnd w:id="228"/>
      <w:bookmarkEnd w:id="229"/>
    </w:p>
    <w:p>
      <w:pPr>
        <w:pStyle w:val="101"/>
        <w:ind w:firstLine="0" w:firstLineChars="0"/>
        <w:rPr>
          <w:b/>
          <w:sz w:val="24"/>
        </w:rPr>
      </w:pPr>
      <w:bookmarkStart w:id="230" w:name="_Toc458674258"/>
      <w:r>
        <w:rPr>
          <w:rFonts w:hint="eastAsia"/>
          <w:b/>
          <w:sz w:val="24"/>
        </w:rPr>
        <w:t>3</w:t>
      </w:r>
      <w:r>
        <w:rPr>
          <w:b/>
          <w:sz w:val="24"/>
        </w:rPr>
        <w:t>.4.1 物质危险性识别</w:t>
      </w:r>
      <w:bookmarkEnd w:id="222"/>
      <w:bookmarkEnd w:id="230"/>
    </w:p>
    <w:p>
      <w:pPr>
        <w:pStyle w:val="166"/>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（1）危险化学品</w:t>
      </w:r>
    </w:p>
    <w:p>
      <w:pPr>
        <w:pStyle w:val="166"/>
        <w:spacing w:line="500" w:lineRule="exact"/>
        <w:ind w:firstLine="480"/>
        <w:rPr>
          <w:color w:val="000000"/>
          <w:sz w:val="26"/>
          <w:szCs w:val="26"/>
        </w:rPr>
      </w:pPr>
      <w:r>
        <w:rPr>
          <w:rFonts w:hint="eastAsia" w:cs="仿宋_GB2312" w:asciiTheme="minorEastAsia" w:hAnsiTheme="minorEastAsia" w:eastAsiaTheme="minorEastAsia"/>
          <w:kern w:val="0"/>
          <w:sz w:val="24"/>
        </w:rPr>
        <w:t>李渡大耍坝污水处理厂</w:t>
      </w:r>
      <w:r>
        <w:rPr>
          <w:rFonts w:cs="仿宋_GB2312" w:asciiTheme="minorEastAsia" w:hAnsiTheme="minorEastAsia" w:eastAsiaTheme="minorEastAsia"/>
          <w:kern w:val="0"/>
          <w:sz w:val="24"/>
        </w:rPr>
        <w:t>污水处理工艺过程中使用到的化学试剂。根据《危险化学品名录》（2012年版）和《剧毒化学品目录》（2012年版），</w:t>
      </w:r>
      <w:r>
        <w:rPr>
          <w:rFonts w:hint="eastAsia" w:cs="仿宋_GB2312" w:asciiTheme="minorEastAsia" w:hAnsiTheme="minorEastAsia" w:eastAsiaTheme="minorEastAsia"/>
          <w:kern w:val="0"/>
          <w:sz w:val="24"/>
        </w:rPr>
        <w:t>李渡大耍坝污水处理厂</w:t>
      </w:r>
      <w:r>
        <w:rPr>
          <w:rFonts w:cs="仿宋_GB2312" w:asciiTheme="minorEastAsia" w:hAnsiTheme="minorEastAsia" w:eastAsiaTheme="minorEastAsia"/>
          <w:kern w:val="0"/>
          <w:sz w:val="24"/>
        </w:rPr>
        <w:t>在污水处理过程中涉及的主要危险化学品为盐酸、氯酸钠、二氧化氯、废机油等。</w:t>
      </w:r>
    </w:p>
    <w:p>
      <w:pPr>
        <w:spacing w:line="460" w:lineRule="exact"/>
        <w:jc w:val="center"/>
        <w:rPr>
          <w:sz w:val="24"/>
          <w:szCs w:val="24"/>
        </w:rPr>
      </w:pPr>
      <w:r>
        <w:rPr>
          <w:color w:val="000000"/>
          <w:sz w:val="24"/>
          <w:szCs w:val="24"/>
        </w:rPr>
        <w:t>表3.4-1</w:t>
      </w:r>
      <w:r>
        <w:rPr>
          <w:rFonts w:hint="eastAsia"/>
          <w:color w:val="000000"/>
          <w:sz w:val="24"/>
          <w:szCs w:val="24"/>
        </w:rPr>
        <w:t xml:space="preserve">  </w:t>
      </w:r>
      <w:r>
        <w:rPr>
          <w:rFonts w:hint="eastAsia"/>
          <w:sz w:val="24"/>
          <w:szCs w:val="24"/>
        </w:rPr>
        <w:t>企业</w:t>
      </w:r>
      <w:r>
        <w:rPr>
          <w:sz w:val="24"/>
          <w:szCs w:val="24"/>
        </w:rPr>
        <w:t>生产原料、产品以及“三废”中涉及的环境风险物质</w:t>
      </w:r>
      <w:r>
        <w:rPr>
          <w:rFonts w:hint="eastAsia"/>
          <w:sz w:val="24"/>
          <w:szCs w:val="24"/>
        </w:rPr>
        <w:t>储量</w:t>
      </w:r>
      <w:r>
        <w:rPr>
          <w:sz w:val="24"/>
          <w:szCs w:val="24"/>
        </w:rPr>
        <w:t>统计</w:t>
      </w:r>
      <w:r>
        <w:rPr>
          <w:rFonts w:hint="eastAsia"/>
          <w:sz w:val="24"/>
          <w:szCs w:val="24"/>
        </w:rPr>
        <w:t>表</w:t>
      </w:r>
    </w:p>
    <w:tbl>
      <w:tblPr>
        <w:tblStyle w:val="54"/>
        <w:tblW w:w="9033" w:type="dxa"/>
        <w:jc w:val="center"/>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467"/>
        <w:gridCol w:w="1418"/>
        <w:gridCol w:w="1365"/>
        <w:gridCol w:w="1470"/>
        <w:gridCol w:w="163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blHeader/>
          <w:jc w:val="center"/>
        </w:trPr>
        <w:tc>
          <w:tcPr>
            <w:tcW w:w="679" w:type="dxa"/>
            <w:tcBorders>
              <w:top w:val="thinThickSmallGap" w:color="auto" w:sz="12" w:space="0"/>
            </w:tcBorders>
            <w:vAlign w:val="center"/>
          </w:tcPr>
          <w:p>
            <w:pPr>
              <w:pStyle w:val="187"/>
              <w:spacing w:line="400" w:lineRule="exact"/>
              <w:rPr>
                <w:rFonts w:ascii="仿宋_GB2312"/>
                <w:kern w:val="2"/>
                <w:szCs w:val="21"/>
              </w:rPr>
            </w:pPr>
            <w:r>
              <w:rPr>
                <w:rFonts w:hint="eastAsia" w:ascii="仿宋_GB2312"/>
                <w:kern w:val="2"/>
                <w:szCs w:val="21"/>
              </w:rPr>
              <w:t>序号</w:t>
            </w:r>
          </w:p>
        </w:tc>
        <w:tc>
          <w:tcPr>
            <w:tcW w:w="2467" w:type="dxa"/>
            <w:tcBorders>
              <w:top w:val="thinThickSmallGap" w:color="auto" w:sz="12" w:space="0"/>
            </w:tcBorders>
            <w:vAlign w:val="center"/>
          </w:tcPr>
          <w:p>
            <w:pPr>
              <w:pStyle w:val="187"/>
              <w:spacing w:line="400" w:lineRule="exact"/>
              <w:rPr>
                <w:rFonts w:ascii="仿宋_GB2312"/>
                <w:kern w:val="2"/>
                <w:szCs w:val="21"/>
              </w:rPr>
            </w:pPr>
            <w:r>
              <w:rPr>
                <w:rFonts w:hint="eastAsia" w:ascii="仿宋_GB2312"/>
                <w:kern w:val="2"/>
                <w:szCs w:val="21"/>
              </w:rPr>
              <w:t>品种名称</w:t>
            </w:r>
          </w:p>
        </w:tc>
        <w:tc>
          <w:tcPr>
            <w:tcW w:w="1418" w:type="dxa"/>
            <w:tcBorders>
              <w:top w:val="thinThickSmallGap" w:color="auto" w:sz="12" w:space="0"/>
            </w:tcBorders>
            <w:vAlign w:val="center"/>
          </w:tcPr>
          <w:p>
            <w:pPr>
              <w:pStyle w:val="187"/>
              <w:spacing w:line="400" w:lineRule="exact"/>
              <w:rPr>
                <w:rFonts w:ascii="仿宋_GB2312"/>
                <w:kern w:val="2"/>
                <w:szCs w:val="21"/>
              </w:rPr>
            </w:pPr>
            <w:r>
              <w:rPr>
                <w:rFonts w:hint="eastAsia" w:ascii="仿宋_GB2312"/>
                <w:kern w:val="2"/>
                <w:szCs w:val="21"/>
              </w:rPr>
              <w:t>最大储量（t）</w:t>
            </w:r>
          </w:p>
        </w:tc>
        <w:tc>
          <w:tcPr>
            <w:tcW w:w="1365" w:type="dxa"/>
            <w:tcBorders>
              <w:top w:val="thinThickSmallGap" w:color="auto" w:sz="12" w:space="0"/>
            </w:tcBorders>
            <w:vAlign w:val="center"/>
          </w:tcPr>
          <w:p>
            <w:pPr>
              <w:pStyle w:val="187"/>
              <w:spacing w:line="400" w:lineRule="exact"/>
              <w:rPr>
                <w:rFonts w:ascii="仿宋_GB2312"/>
                <w:kern w:val="2"/>
                <w:szCs w:val="21"/>
              </w:rPr>
            </w:pPr>
            <w:r>
              <w:rPr>
                <w:rFonts w:hint="eastAsia" w:ascii="仿宋_GB2312"/>
                <w:kern w:val="2"/>
                <w:szCs w:val="21"/>
              </w:rPr>
              <w:t>储存方式</w:t>
            </w:r>
          </w:p>
        </w:tc>
        <w:tc>
          <w:tcPr>
            <w:tcW w:w="1470" w:type="dxa"/>
            <w:tcBorders>
              <w:top w:val="thinThickSmallGap" w:color="auto" w:sz="12" w:space="0"/>
            </w:tcBorders>
            <w:vAlign w:val="center"/>
          </w:tcPr>
          <w:p>
            <w:pPr>
              <w:pStyle w:val="187"/>
              <w:spacing w:line="400" w:lineRule="exact"/>
              <w:rPr>
                <w:rFonts w:ascii="仿宋_GB2312"/>
                <w:kern w:val="2"/>
                <w:szCs w:val="21"/>
              </w:rPr>
            </w:pPr>
            <w:r>
              <w:rPr>
                <w:rFonts w:hint="eastAsia" w:ascii="仿宋_GB2312"/>
                <w:kern w:val="2"/>
                <w:szCs w:val="21"/>
              </w:rPr>
              <w:t>年用量（t）</w:t>
            </w:r>
          </w:p>
        </w:tc>
        <w:tc>
          <w:tcPr>
            <w:tcW w:w="1634" w:type="dxa"/>
            <w:tcBorders>
              <w:top w:val="thinThickSmallGap" w:color="auto" w:sz="12" w:space="0"/>
            </w:tcBorders>
            <w:vAlign w:val="center"/>
          </w:tcPr>
          <w:p>
            <w:pPr>
              <w:pStyle w:val="187"/>
              <w:spacing w:line="400" w:lineRule="exact"/>
              <w:rPr>
                <w:rFonts w:ascii="仿宋_GB2312"/>
                <w:kern w:val="2"/>
                <w:szCs w:val="21"/>
              </w:rPr>
            </w:pPr>
            <w:r>
              <w:rPr>
                <w:rFonts w:hint="eastAsia" w:ascii="仿宋_GB2312"/>
                <w:kern w:val="2"/>
                <w:szCs w:val="21"/>
              </w:rPr>
              <w:t>备注</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6"/>
            <w:vAlign w:val="center"/>
          </w:tcPr>
          <w:p>
            <w:pPr>
              <w:pStyle w:val="187"/>
              <w:spacing w:line="400" w:lineRule="exact"/>
              <w:rPr>
                <w:rFonts w:ascii="仿宋_GB2312"/>
                <w:kern w:val="2"/>
                <w:szCs w:val="21"/>
              </w:rPr>
            </w:pPr>
            <w:r>
              <w:rPr>
                <w:rFonts w:hint="eastAsia" w:ascii="仿宋_GB2312"/>
                <w:kern w:val="2"/>
                <w:szCs w:val="21"/>
              </w:rPr>
              <w:t>原辅料</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87"/>
              <w:rPr>
                <w:rFonts w:ascii="仿宋_GB2312"/>
                <w:kern w:val="2"/>
                <w:szCs w:val="21"/>
              </w:rPr>
            </w:pPr>
            <w:r>
              <w:rPr>
                <w:rFonts w:hint="eastAsia" w:ascii="仿宋_GB2312"/>
                <w:kern w:val="2"/>
                <w:szCs w:val="21"/>
              </w:rPr>
              <w:t>1</w:t>
            </w:r>
          </w:p>
        </w:tc>
        <w:tc>
          <w:tcPr>
            <w:tcW w:w="2467" w:type="dxa"/>
            <w:vAlign w:val="center"/>
          </w:tcPr>
          <w:p>
            <w:pPr>
              <w:autoSpaceDE w:val="0"/>
              <w:autoSpaceDN w:val="0"/>
              <w:spacing w:line="460" w:lineRule="exact"/>
              <w:jc w:val="center"/>
              <w:rPr>
                <w:rFonts w:ascii="仿宋_GB2312" w:hAnsi="宋体"/>
                <w:szCs w:val="21"/>
              </w:rPr>
            </w:pPr>
            <w:r>
              <w:rPr>
                <w:rFonts w:hint="eastAsia" w:ascii="仿宋_GB2312" w:hAnsi="宋体"/>
                <w:szCs w:val="21"/>
              </w:rPr>
              <w:t>氯酸钠</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3</w:t>
            </w:r>
          </w:p>
        </w:tc>
        <w:tc>
          <w:tcPr>
            <w:tcW w:w="1365" w:type="dxa"/>
            <w:vAlign w:val="center"/>
          </w:tcPr>
          <w:p>
            <w:pPr>
              <w:pStyle w:val="187"/>
              <w:rPr>
                <w:rFonts w:ascii="仿宋_GB2312"/>
                <w:kern w:val="2"/>
                <w:szCs w:val="21"/>
              </w:rPr>
            </w:pPr>
            <w:r>
              <w:rPr>
                <w:rFonts w:hint="eastAsia" w:ascii="仿宋_GB2312"/>
                <w:kern w:val="2"/>
                <w:szCs w:val="21"/>
              </w:rPr>
              <w:t>储罐</w:t>
            </w:r>
          </w:p>
        </w:tc>
        <w:tc>
          <w:tcPr>
            <w:tcW w:w="1470" w:type="dxa"/>
            <w:vAlign w:val="center"/>
          </w:tcPr>
          <w:p>
            <w:pPr>
              <w:pStyle w:val="187"/>
              <w:rPr>
                <w:rFonts w:ascii="仿宋_GB2312" w:hAnsi="宋体"/>
                <w:kern w:val="2"/>
                <w:szCs w:val="21"/>
              </w:rPr>
            </w:pPr>
            <w:r>
              <w:rPr>
                <w:rFonts w:hint="eastAsia" w:ascii="仿宋_GB2312" w:hAnsi="宋体"/>
                <w:kern w:val="2"/>
                <w:szCs w:val="21"/>
              </w:rPr>
              <w:t>5</w:t>
            </w:r>
          </w:p>
        </w:tc>
        <w:tc>
          <w:tcPr>
            <w:tcW w:w="1634" w:type="dxa"/>
          </w:tcPr>
          <w:p>
            <w:pPr>
              <w:jc w:val="center"/>
              <w:rPr>
                <w:rFonts w:ascii="仿宋_GB2312"/>
                <w:szCs w:val="21"/>
              </w:rPr>
            </w:pPr>
            <w:r>
              <w:rPr>
                <w:rFonts w:hint="eastAsia" w:ascii="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87"/>
              <w:rPr>
                <w:rFonts w:ascii="仿宋_GB2312"/>
                <w:kern w:val="2"/>
                <w:szCs w:val="21"/>
              </w:rPr>
            </w:pPr>
            <w:r>
              <w:rPr>
                <w:rFonts w:hint="eastAsia" w:ascii="仿宋_GB2312"/>
                <w:kern w:val="2"/>
                <w:szCs w:val="21"/>
              </w:rPr>
              <w:t>2</w:t>
            </w:r>
          </w:p>
        </w:tc>
        <w:tc>
          <w:tcPr>
            <w:tcW w:w="2467" w:type="dxa"/>
            <w:vAlign w:val="center"/>
          </w:tcPr>
          <w:p>
            <w:pPr>
              <w:autoSpaceDE w:val="0"/>
              <w:autoSpaceDN w:val="0"/>
              <w:spacing w:line="460" w:lineRule="exact"/>
              <w:jc w:val="center"/>
              <w:rPr>
                <w:rFonts w:ascii="仿宋_GB2312" w:hAnsi="宋体"/>
                <w:szCs w:val="21"/>
              </w:rPr>
            </w:pPr>
            <w:r>
              <w:rPr>
                <w:rFonts w:hint="eastAsia" w:ascii="仿宋_GB2312"/>
                <w:szCs w:val="21"/>
              </w:rPr>
              <w:t>盐酸</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3</w:t>
            </w:r>
          </w:p>
        </w:tc>
        <w:tc>
          <w:tcPr>
            <w:tcW w:w="1365" w:type="dxa"/>
            <w:vAlign w:val="center"/>
          </w:tcPr>
          <w:p>
            <w:pPr>
              <w:pStyle w:val="187"/>
              <w:rPr>
                <w:rFonts w:ascii="仿宋_GB2312"/>
                <w:kern w:val="2"/>
                <w:szCs w:val="21"/>
              </w:rPr>
            </w:pPr>
            <w:r>
              <w:rPr>
                <w:rFonts w:hint="eastAsia" w:ascii="仿宋_GB2312"/>
                <w:kern w:val="2"/>
                <w:szCs w:val="21"/>
              </w:rPr>
              <w:t>储罐</w:t>
            </w:r>
          </w:p>
        </w:tc>
        <w:tc>
          <w:tcPr>
            <w:tcW w:w="1470" w:type="dxa"/>
            <w:vAlign w:val="center"/>
          </w:tcPr>
          <w:p>
            <w:pPr>
              <w:pStyle w:val="187"/>
              <w:rPr>
                <w:rFonts w:ascii="仿宋_GB2312" w:hAnsi="宋体"/>
                <w:kern w:val="2"/>
                <w:szCs w:val="21"/>
              </w:rPr>
            </w:pPr>
            <w:r>
              <w:rPr>
                <w:rFonts w:hint="eastAsia" w:ascii="仿宋_GB2312" w:hAnsi="宋体"/>
                <w:kern w:val="2"/>
                <w:szCs w:val="21"/>
              </w:rPr>
              <w:t>5</w:t>
            </w:r>
          </w:p>
        </w:tc>
        <w:tc>
          <w:tcPr>
            <w:tcW w:w="1634" w:type="dxa"/>
          </w:tcPr>
          <w:p>
            <w:pPr>
              <w:jc w:val="center"/>
              <w:rPr>
                <w:rFonts w:ascii="仿宋_GB2312"/>
                <w:szCs w:val="21"/>
              </w:rPr>
            </w:pPr>
            <w:r>
              <w:rPr>
                <w:rFonts w:hint="eastAsia" w:ascii="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87"/>
              <w:rPr>
                <w:rFonts w:ascii="仿宋_GB2312"/>
                <w:kern w:val="2"/>
                <w:szCs w:val="21"/>
              </w:rPr>
            </w:pPr>
            <w:r>
              <w:rPr>
                <w:rFonts w:hint="eastAsia" w:ascii="仿宋_GB2312"/>
                <w:kern w:val="2"/>
                <w:szCs w:val="21"/>
              </w:rPr>
              <w:t>3</w:t>
            </w:r>
          </w:p>
        </w:tc>
        <w:tc>
          <w:tcPr>
            <w:tcW w:w="2467" w:type="dxa"/>
            <w:vAlign w:val="center"/>
          </w:tcPr>
          <w:p>
            <w:pPr>
              <w:autoSpaceDE w:val="0"/>
              <w:autoSpaceDN w:val="0"/>
              <w:spacing w:line="460" w:lineRule="exact"/>
              <w:jc w:val="center"/>
              <w:rPr>
                <w:rFonts w:ascii="仿宋_GB2312"/>
                <w:szCs w:val="21"/>
              </w:rPr>
            </w:pPr>
            <w:r>
              <w:rPr>
                <w:rFonts w:hint="eastAsia" w:ascii="仿宋_GB2312"/>
                <w:szCs w:val="21"/>
              </w:rPr>
              <w:t>氢氧化钠</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4</w:t>
            </w:r>
          </w:p>
        </w:tc>
        <w:tc>
          <w:tcPr>
            <w:tcW w:w="1365" w:type="dxa"/>
            <w:vAlign w:val="center"/>
          </w:tcPr>
          <w:p>
            <w:pPr>
              <w:pStyle w:val="187"/>
              <w:rPr>
                <w:rFonts w:ascii="仿宋_GB2312"/>
                <w:kern w:val="2"/>
                <w:szCs w:val="21"/>
              </w:rPr>
            </w:pPr>
            <w:r>
              <w:rPr>
                <w:rFonts w:hint="eastAsia" w:ascii="仿宋_GB2312"/>
                <w:kern w:val="2"/>
                <w:szCs w:val="21"/>
              </w:rPr>
              <w:t>袋装</w:t>
            </w:r>
          </w:p>
        </w:tc>
        <w:tc>
          <w:tcPr>
            <w:tcW w:w="1470" w:type="dxa"/>
            <w:vAlign w:val="center"/>
          </w:tcPr>
          <w:p>
            <w:pPr>
              <w:pStyle w:val="187"/>
              <w:rPr>
                <w:rFonts w:ascii="仿宋_GB2312" w:hAnsi="宋体"/>
                <w:kern w:val="2"/>
                <w:szCs w:val="21"/>
              </w:rPr>
            </w:pPr>
            <w:r>
              <w:rPr>
                <w:rFonts w:hint="eastAsia" w:ascii="仿宋_GB2312" w:hAnsi="宋体"/>
                <w:kern w:val="2"/>
                <w:szCs w:val="21"/>
              </w:rPr>
              <w:t>130</w:t>
            </w:r>
          </w:p>
        </w:tc>
        <w:tc>
          <w:tcPr>
            <w:tcW w:w="1634" w:type="dxa"/>
          </w:tcPr>
          <w:p>
            <w:pPr>
              <w:jc w:val="center"/>
              <w:rPr>
                <w:rFonts w:ascii="仿宋_GB2312"/>
                <w:szCs w:val="21"/>
              </w:rPr>
            </w:pPr>
            <w:r>
              <w:rPr>
                <w:rFonts w:hint="eastAsia" w:ascii="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388" w:hRule="atLeast"/>
          <w:jc w:val="center"/>
        </w:trPr>
        <w:tc>
          <w:tcPr>
            <w:tcW w:w="679" w:type="dxa"/>
            <w:vAlign w:val="center"/>
          </w:tcPr>
          <w:p>
            <w:pPr>
              <w:pStyle w:val="187"/>
              <w:rPr>
                <w:rFonts w:ascii="仿宋_GB2312"/>
                <w:kern w:val="2"/>
                <w:szCs w:val="21"/>
              </w:rPr>
            </w:pPr>
            <w:r>
              <w:rPr>
                <w:rFonts w:hint="eastAsia" w:ascii="仿宋_GB2312"/>
                <w:kern w:val="2"/>
                <w:szCs w:val="21"/>
              </w:rPr>
              <w:t>4</w:t>
            </w:r>
          </w:p>
        </w:tc>
        <w:tc>
          <w:tcPr>
            <w:tcW w:w="2467" w:type="dxa"/>
            <w:vAlign w:val="center"/>
          </w:tcPr>
          <w:p>
            <w:pPr>
              <w:autoSpaceDE w:val="0"/>
              <w:autoSpaceDN w:val="0"/>
              <w:spacing w:line="460" w:lineRule="exact"/>
              <w:jc w:val="center"/>
              <w:rPr>
                <w:rFonts w:ascii="仿宋_GB2312" w:hAnsi="宋体"/>
                <w:szCs w:val="21"/>
              </w:rPr>
            </w:pPr>
            <w:r>
              <w:rPr>
                <w:rFonts w:hint="eastAsia" w:ascii="仿宋_GB2312" w:hAnsi="宋体"/>
                <w:szCs w:val="21"/>
              </w:rPr>
              <w:t>聚丙烯酰胺</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2</w:t>
            </w:r>
          </w:p>
        </w:tc>
        <w:tc>
          <w:tcPr>
            <w:tcW w:w="1365" w:type="dxa"/>
          </w:tcPr>
          <w:p>
            <w:pPr>
              <w:jc w:val="center"/>
              <w:rPr>
                <w:rFonts w:ascii="仿宋_GB2312"/>
                <w:szCs w:val="21"/>
              </w:rPr>
            </w:pPr>
            <w:r>
              <w:rPr>
                <w:rFonts w:hint="eastAsia" w:ascii="仿宋_GB2312"/>
                <w:szCs w:val="21"/>
              </w:rPr>
              <w:t>袋装</w:t>
            </w:r>
          </w:p>
        </w:tc>
        <w:tc>
          <w:tcPr>
            <w:tcW w:w="1470" w:type="dxa"/>
            <w:vAlign w:val="center"/>
          </w:tcPr>
          <w:p>
            <w:pPr>
              <w:pStyle w:val="187"/>
              <w:rPr>
                <w:rFonts w:ascii="仿宋_GB2312"/>
                <w:bCs/>
                <w:snapToGrid w:val="0"/>
                <w:kern w:val="2"/>
                <w:szCs w:val="21"/>
              </w:rPr>
            </w:pPr>
            <w:r>
              <w:rPr>
                <w:rFonts w:hint="eastAsia" w:ascii="仿宋_GB2312" w:hAnsi="宋体"/>
                <w:kern w:val="2"/>
                <w:szCs w:val="21"/>
              </w:rPr>
              <w:t>90</w:t>
            </w:r>
          </w:p>
        </w:tc>
        <w:tc>
          <w:tcPr>
            <w:tcW w:w="1634" w:type="dxa"/>
          </w:tcPr>
          <w:p>
            <w:pPr>
              <w:jc w:val="center"/>
              <w:rPr>
                <w:rFonts w:ascii="仿宋_GB2312"/>
                <w:szCs w:val="21"/>
              </w:rPr>
            </w:pPr>
            <w:r>
              <w:rPr>
                <w:rFonts w:hint="eastAsia" w:ascii="仿宋_GB231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87"/>
              <w:rPr>
                <w:rFonts w:ascii="仿宋_GB2312"/>
                <w:kern w:val="2"/>
                <w:szCs w:val="21"/>
              </w:rPr>
            </w:pPr>
            <w:r>
              <w:rPr>
                <w:rFonts w:hint="eastAsia" w:ascii="仿宋_GB2312"/>
                <w:kern w:val="2"/>
                <w:szCs w:val="21"/>
              </w:rPr>
              <w:t>5</w:t>
            </w:r>
          </w:p>
        </w:tc>
        <w:tc>
          <w:tcPr>
            <w:tcW w:w="2467" w:type="dxa"/>
            <w:vAlign w:val="center"/>
          </w:tcPr>
          <w:p>
            <w:pPr>
              <w:autoSpaceDE w:val="0"/>
              <w:autoSpaceDN w:val="0"/>
              <w:spacing w:line="460" w:lineRule="exact"/>
              <w:jc w:val="center"/>
              <w:rPr>
                <w:rFonts w:ascii="仿宋_GB2312" w:hAnsi="宋体"/>
                <w:szCs w:val="21"/>
              </w:rPr>
            </w:pPr>
            <w:r>
              <w:rPr>
                <w:rFonts w:hint="eastAsia" w:ascii="仿宋_GB2312" w:hAnsi="宋体"/>
                <w:szCs w:val="21"/>
              </w:rPr>
              <w:t>聚合氯化铝</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2</w:t>
            </w:r>
          </w:p>
        </w:tc>
        <w:tc>
          <w:tcPr>
            <w:tcW w:w="1365" w:type="dxa"/>
          </w:tcPr>
          <w:p>
            <w:pPr>
              <w:tabs>
                <w:tab w:val="center" w:pos="529"/>
              </w:tabs>
              <w:rPr>
                <w:rFonts w:ascii="仿宋_GB2312"/>
                <w:szCs w:val="21"/>
              </w:rPr>
            </w:pPr>
            <w:r>
              <w:rPr>
                <w:rFonts w:hint="eastAsia" w:ascii="仿宋_GB2312"/>
                <w:szCs w:val="21"/>
              </w:rPr>
              <w:tab/>
            </w:r>
            <w:r>
              <w:rPr>
                <w:rFonts w:hint="eastAsia" w:ascii="仿宋_GB2312"/>
                <w:szCs w:val="21"/>
              </w:rPr>
              <w:t>袋装</w:t>
            </w:r>
          </w:p>
        </w:tc>
        <w:tc>
          <w:tcPr>
            <w:tcW w:w="1470" w:type="dxa"/>
            <w:vAlign w:val="center"/>
          </w:tcPr>
          <w:p>
            <w:pPr>
              <w:keepNext/>
              <w:spacing w:line="240" w:lineRule="atLeast"/>
              <w:jc w:val="center"/>
              <w:rPr>
                <w:rFonts w:ascii="仿宋_GB2312"/>
                <w:bCs/>
                <w:snapToGrid w:val="0"/>
                <w:szCs w:val="21"/>
              </w:rPr>
            </w:pPr>
            <w:r>
              <w:rPr>
                <w:rFonts w:hint="eastAsia" w:ascii="仿宋_GB2312" w:hAnsi="宋体"/>
                <w:szCs w:val="21"/>
              </w:rPr>
              <w:t>120</w:t>
            </w:r>
          </w:p>
        </w:tc>
        <w:tc>
          <w:tcPr>
            <w:tcW w:w="1634" w:type="dxa"/>
          </w:tcPr>
          <w:p>
            <w:pPr>
              <w:jc w:val="center"/>
              <w:rPr>
                <w:rFonts w:ascii="仿宋_GB2312"/>
                <w:szCs w:val="21"/>
              </w:rPr>
            </w:pPr>
            <w:r>
              <w:rPr>
                <w:rFonts w:hint="eastAsia" w:ascii="仿宋_GB231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6"/>
            <w:vAlign w:val="center"/>
          </w:tcPr>
          <w:p>
            <w:pPr>
              <w:pStyle w:val="187"/>
              <w:rPr>
                <w:rFonts w:ascii="仿宋_GB2312"/>
                <w:kern w:val="2"/>
                <w:szCs w:val="21"/>
              </w:rPr>
            </w:pPr>
            <w:r>
              <w:rPr>
                <w:rFonts w:hint="eastAsia" w:ascii="仿宋_GB2312"/>
                <w:kern w:val="2"/>
                <w:szCs w:val="21"/>
              </w:rPr>
              <w:t>中间产物</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87"/>
              <w:rPr>
                <w:rFonts w:ascii="仿宋_GB2312"/>
                <w:kern w:val="2"/>
                <w:szCs w:val="21"/>
              </w:rPr>
            </w:pPr>
            <w:r>
              <w:rPr>
                <w:rFonts w:hint="eastAsia" w:ascii="仿宋_GB2312"/>
                <w:kern w:val="2"/>
                <w:szCs w:val="21"/>
              </w:rPr>
              <w:t>1</w:t>
            </w:r>
          </w:p>
        </w:tc>
        <w:tc>
          <w:tcPr>
            <w:tcW w:w="2467" w:type="dxa"/>
            <w:vAlign w:val="center"/>
          </w:tcPr>
          <w:p>
            <w:pPr>
              <w:pStyle w:val="187"/>
              <w:rPr>
                <w:rFonts w:ascii="仿宋_GB2312"/>
                <w:kern w:val="2"/>
                <w:szCs w:val="21"/>
              </w:rPr>
            </w:pPr>
            <w:r>
              <w:rPr>
                <w:rFonts w:hint="eastAsia" w:ascii="仿宋_GB2312" w:hAnsi="宋体"/>
                <w:kern w:val="2"/>
                <w:szCs w:val="21"/>
              </w:rPr>
              <w:t>二氧化氯</w:t>
            </w:r>
          </w:p>
        </w:tc>
        <w:tc>
          <w:tcPr>
            <w:tcW w:w="1418" w:type="dxa"/>
            <w:vAlign w:val="center"/>
          </w:tcPr>
          <w:p>
            <w:pPr>
              <w:pStyle w:val="187"/>
              <w:rPr>
                <w:rFonts w:ascii="仿宋_GB2312"/>
                <w:kern w:val="2"/>
                <w:szCs w:val="21"/>
              </w:rPr>
            </w:pPr>
            <w:r>
              <w:rPr>
                <w:rFonts w:hint="eastAsia" w:ascii="仿宋_GB2312"/>
                <w:kern w:val="2"/>
                <w:szCs w:val="21"/>
              </w:rPr>
              <w:t>/</w:t>
            </w:r>
          </w:p>
        </w:tc>
        <w:tc>
          <w:tcPr>
            <w:tcW w:w="1365" w:type="dxa"/>
            <w:vAlign w:val="center"/>
          </w:tcPr>
          <w:p>
            <w:pPr>
              <w:pStyle w:val="187"/>
              <w:rPr>
                <w:rFonts w:ascii="仿宋_GB2312"/>
                <w:kern w:val="2"/>
                <w:szCs w:val="21"/>
              </w:rPr>
            </w:pPr>
            <w:r>
              <w:rPr>
                <w:rFonts w:hint="eastAsia" w:ascii="仿宋_GB2312"/>
                <w:kern w:val="2"/>
                <w:szCs w:val="21"/>
              </w:rPr>
              <w:t>/</w:t>
            </w:r>
          </w:p>
        </w:tc>
        <w:tc>
          <w:tcPr>
            <w:tcW w:w="1470" w:type="dxa"/>
            <w:vAlign w:val="center"/>
          </w:tcPr>
          <w:p>
            <w:pPr>
              <w:pStyle w:val="187"/>
              <w:rPr>
                <w:rFonts w:ascii="仿宋_GB2312"/>
                <w:kern w:val="2"/>
                <w:szCs w:val="21"/>
              </w:rPr>
            </w:pPr>
            <w:r>
              <w:rPr>
                <w:rFonts w:hint="eastAsia" w:ascii="仿宋_GB2312"/>
                <w:kern w:val="2"/>
                <w:szCs w:val="21"/>
              </w:rPr>
              <w:t>/</w:t>
            </w:r>
          </w:p>
        </w:tc>
        <w:tc>
          <w:tcPr>
            <w:tcW w:w="1634" w:type="dxa"/>
            <w:vAlign w:val="center"/>
          </w:tcPr>
          <w:p>
            <w:pPr>
              <w:pStyle w:val="187"/>
              <w:rPr>
                <w:rFonts w:ascii="仿宋_GB2312"/>
                <w:kern w:val="2"/>
                <w:szCs w:val="21"/>
              </w:rPr>
            </w:pPr>
            <w:r>
              <w:rPr>
                <w:rFonts w:hint="eastAsia" w:ascii="仿宋_GB2312"/>
                <w:kern w:val="2"/>
                <w:szCs w:val="21"/>
              </w:rPr>
              <w:t>现用现制</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6"/>
            <w:vAlign w:val="center"/>
          </w:tcPr>
          <w:p>
            <w:pPr>
              <w:pStyle w:val="187"/>
              <w:rPr>
                <w:rFonts w:ascii="仿宋_GB2312"/>
                <w:kern w:val="2"/>
                <w:szCs w:val="21"/>
              </w:rPr>
            </w:pPr>
            <w:r>
              <w:rPr>
                <w:rFonts w:hint="eastAsia" w:ascii="仿宋_GB2312"/>
                <w:sz w:val="24"/>
              </w:rPr>
              <w:t>三废</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87"/>
              <w:rPr>
                <w:rFonts w:ascii="仿宋_GB2312"/>
                <w:kern w:val="2"/>
                <w:szCs w:val="21"/>
              </w:rPr>
            </w:pPr>
            <w:r>
              <w:rPr>
                <w:rFonts w:hint="eastAsia" w:ascii="仿宋_GB2312"/>
                <w:kern w:val="2"/>
                <w:szCs w:val="21"/>
              </w:rPr>
              <w:t>1</w:t>
            </w:r>
          </w:p>
        </w:tc>
        <w:tc>
          <w:tcPr>
            <w:tcW w:w="2467" w:type="dxa"/>
          </w:tcPr>
          <w:p>
            <w:pPr>
              <w:jc w:val="center"/>
              <w:rPr>
                <w:rFonts w:ascii="仿宋_GB2312"/>
                <w:szCs w:val="21"/>
              </w:rPr>
            </w:pPr>
            <w:r>
              <w:rPr>
                <w:rFonts w:hint="eastAsia" w:ascii="仿宋_GB2312" w:cs="仿宋_GB2312"/>
                <w:szCs w:val="21"/>
              </w:rPr>
              <w:t>一般污泥</w:t>
            </w:r>
          </w:p>
        </w:tc>
        <w:tc>
          <w:tcPr>
            <w:tcW w:w="1418" w:type="dxa"/>
            <w:vAlign w:val="center"/>
          </w:tcPr>
          <w:p>
            <w:pPr>
              <w:pStyle w:val="187"/>
              <w:rPr>
                <w:rFonts w:ascii="仿宋_GB2312"/>
                <w:kern w:val="2"/>
                <w:szCs w:val="21"/>
              </w:rPr>
            </w:pPr>
            <w:r>
              <w:rPr>
                <w:rFonts w:hint="eastAsia" w:ascii="仿宋_GB2312"/>
                <w:kern w:val="2"/>
                <w:szCs w:val="21"/>
              </w:rPr>
              <w:t>60</w:t>
            </w:r>
          </w:p>
        </w:tc>
        <w:tc>
          <w:tcPr>
            <w:tcW w:w="1365" w:type="dxa"/>
            <w:vAlign w:val="center"/>
          </w:tcPr>
          <w:p>
            <w:pPr>
              <w:pStyle w:val="187"/>
              <w:rPr>
                <w:rFonts w:ascii="仿宋_GB2312"/>
                <w:kern w:val="2"/>
                <w:szCs w:val="21"/>
              </w:rPr>
            </w:pPr>
            <w:r>
              <w:rPr>
                <w:rFonts w:hint="eastAsia" w:ascii="仿宋_GB2312"/>
                <w:kern w:val="2"/>
                <w:szCs w:val="21"/>
              </w:rPr>
              <w:t>污泥暂存区</w:t>
            </w:r>
          </w:p>
        </w:tc>
        <w:tc>
          <w:tcPr>
            <w:tcW w:w="1470" w:type="dxa"/>
            <w:vAlign w:val="center"/>
          </w:tcPr>
          <w:p>
            <w:pPr>
              <w:pStyle w:val="187"/>
              <w:rPr>
                <w:rFonts w:ascii="仿宋_GB2312"/>
                <w:kern w:val="2"/>
                <w:szCs w:val="21"/>
              </w:rPr>
            </w:pPr>
            <w:r>
              <w:rPr>
                <w:rFonts w:hint="eastAsia" w:ascii="仿宋_GB2312"/>
                <w:kern w:val="2"/>
                <w:szCs w:val="21"/>
              </w:rPr>
              <w:t>5000</w:t>
            </w:r>
          </w:p>
        </w:tc>
        <w:tc>
          <w:tcPr>
            <w:tcW w:w="1634" w:type="dxa"/>
            <w:vAlign w:val="center"/>
          </w:tcPr>
          <w:p>
            <w:pPr>
              <w:pStyle w:val="187"/>
              <w:rPr>
                <w:rFonts w:ascii="仿宋_GB2312"/>
                <w:kern w:val="2"/>
                <w:szCs w:val="21"/>
              </w:rPr>
            </w:pPr>
            <w:r>
              <w:rPr>
                <w:rFonts w:hint="eastAsia" w:ascii="仿宋_GB2312"/>
                <w:kern w:val="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388" w:hRule="atLeast"/>
          <w:jc w:val="center"/>
        </w:trPr>
        <w:tc>
          <w:tcPr>
            <w:tcW w:w="679" w:type="dxa"/>
            <w:vAlign w:val="center"/>
          </w:tcPr>
          <w:p>
            <w:pPr>
              <w:pStyle w:val="187"/>
              <w:rPr>
                <w:rFonts w:ascii="仿宋_GB2312"/>
                <w:kern w:val="2"/>
                <w:szCs w:val="21"/>
              </w:rPr>
            </w:pPr>
            <w:r>
              <w:rPr>
                <w:rFonts w:hint="eastAsia" w:ascii="仿宋_GB2312"/>
                <w:kern w:val="2"/>
                <w:szCs w:val="21"/>
              </w:rPr>
              <w:t>2</w:t>
            </w:r>
          </w:p>
        </w:tc>
        <w:tc>
          <w:tcPr>
            <w:tcW w:w="2467" w:type="dxa"/>
          </w:tcPr>
          <w:p>
            <w:pPr>
              <w:jc w:val="center"/>
              <w:rPr>
                <w:rFonts w:ascii="仿宋_GB2312" w:cs="仿宋_GB2312"/>
                <w:szCs w:val="21"/>
              </w:rPr>
            </w:pPr>
            <w:r>
              <w:rPr>
                <w:rFonts w:hint="eastAsia" w:ascii="仿宋_GB2312" w:cs="仿宋_GB2312"/>
                <w:szCs w:val="21"/>
              </w:rPr>
              <w:t>废机油</w:t>
            </w:r>
          </w:p>
        </w:tc>
        <w:tc>
          <w:tcPr>
            <w:tcW w:w="1418" w:type="dxa"/>
            <w:vAlign w:val="center"/>
          </w:tcPr>
          <w:p>
            <w:pPr>
              <w:pStyle w:val="187"/>
              <w:rPr>
                <w:rFonts w:ascii="仿宋_GB2312"/>
                <w:kern w:val="2"/>
                <w:szCs w:val="21"/>
              </w:rPr>
            </w:pPr>
            <w:r>
              <w:rPr>
                <w:rFonts w:hint="eastAsia" w:ascii="仿宋_GB2312"/>
                <w:kern w:val="2"/>
                <w:szCs w:val="21"/>
              </w:rPr>
              <w:t>0.5</w:t>
            </w:r>
          </w:p>
        </w:tc>
        <w:tc>
          <w:tcPr>
            <w:tcW w:w="1365" w:type="dxa"/>
            <w:vAlign w:val="center"/>
          </w:tcPr>
          <w:p>
            <w:pPr>
              <w:pStyle w:val="187"/>
              <w:rPr>
                <w:rFonts w:ascii="仿宋_GB2312"/>
                <w:kern w:val="2"/>
                <w:szCs w:val="21"/>
              </w:rPr>
            </w:pPr>
            <w:r>
              <w:rPr>
                <w:rFonts w:ascii="仿宋_GB2312"/>
                <w:kern w:val="2"/>
                <w:szCs w:val="21"/>
              </w:rPr>
              <w:t>危废储存间</w:t>
            </w:r>
          </w:p>
        </w:tc>
        <w:tc>
          <w:tcPr>
            <w:tcW w:w="1470" w:type="dxa"/>
            <w:vAlign w:val="center"/>
          </w:tcPr>
          <w:p>
            <w:pPr>
              <w:pStyle w:val="187"/>
              <w:rPr>
                <w:rFonts w:ascii="仿宋_GB2312"/>
                <w:kern w:val="2"/>
                <w:szCs w:val="21"/>
              </w:rPr>
            </w:pPr>
            <w:r>
              <w:rPr>
                <w:rFonts w:hint="eastAsia" w:ascii="仿宋_GB2312"/>
                <w:kern w:val="2"/>
                <w:szCs w:val="21"/>
              </w:rPr>
              <w:t>0.5</w:t>
            </w:r>
          </w:p>
        </w:tc>
        <w:tc>
          <w:tcPr>
            <w:tcW w:w="1634" w:type="dxa"/>
            <w:vAlign w:val="center"/>
          </w:tcPr>
          <w:p>
            <w:pPr>
              <w:pStyle w:val="187"/>
              <w:rPr>
                <w:rFonts w:ascii="仿宋_GB2312"/>
                <w:kern w:val="2"/>
                <w:szCs w:val="21"/>
              </w:rPr>
            </w:pPr>
            <w:r>
              <w:rPr>
                <w:rFonts w:hint="eastAsia" w:ascii="仿宋_GB2312"/>
                <w:kern w:val="2"/>
                <w:szCs w:val="21"/>
              </w:rPr>
              <w:t>危险废物</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（2）危险废物</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根据《国家危废名录》，</w:t>
      </w:r>
      <w:r>
        <w:rPr>
          <w:rFonts w:hint="eastAsia" w:cs="仿宋_GB2312" w:asciiTheme="minorEastAsia" w:hAnsiTheme="minorEastAsia" w:eastAsiaTheme="minorEastAsia"/>
          <w:kern w:val="0"/>
          <w:sz w:val="24"/>
          <w:szCs w:val="24"/>
        </w:rPr>
        <w:t>李渡大耍坝污水处理厂</w:t>
      </w:r>
      <w:r>
        <w:rPr>
          <w:rFonts w:cs="仿宋_GB2312" w:asciiTheme="minorEastAsia" w:hAnsiTheme="minorEastAsia" w:eastAsiaTheme="minorEastAsia"/>
          <w:kern w:val="0"/>
          <w:sz w:val="24"/>
          <w:szCs w:val="24"/>
        </w:rPr>
        <w:t>在生产过程中产生的危险废物有废含油棉纱手套、废机油等，各危险废物的危险特性见表3.4-2。</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企业现有生产区设有10m2的危险废物暂存点，用于危险废物的临时储存，暂存点进行了“三防”处理，地面采取了防渗措施，同时在危废暂存间内设置消防柜、照明、通风等设施。危险废物必须分类储存，定期转运送往具有危险废物处理资质的单位处理，转运采用“五联单”制度</w:t>
      </w:r>
    </w:p>
    <w:p>
      <w:pPr>
        <w:spacing w:line="460" w:lineRule="exact"/>
        <w:ind w:firstLine="482" w:firstLineChars="200"/>
        <w:jc w:val="center"/>
        <w:rPr>
          <w:b/>
          <w:color w:val="000000"/>
          <w:sz w:val="24"/>
          <w:szCs w:val="24"/>
        </w:rPr>
      </w:pPr>
      <w:r>
        <w:rPr>
          <w:b/>
          <w:color w:val="000000"/>
          <w:sz w:val="24"/>
          <w:szCs w:val="24"/>
        </w:rPr>
        <w:t>表3.4-2               危废危险特性表</w:t>
      </w:r>
    </w:p>
    <w:tbl>
      <w:tblPr>
        <w:tblStyle w:val="54"/>
        <w:tblW w:w="878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27"/>
        <w:gridCol w:w="1181"/>
        <w:gridCol w:w="1687"/>
        <w:gridCol w:w="1701"/>
        <w:gridCol w:w="2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废渣名称</w:t>
            </w:r>
          </w:p>
        </w:tc>
        <w:tc>
          <w:tcPr>
            <w:tcW w:w="118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产生量（t/a）</w:t>
            </w:r>
          </w:p>
        </w:tc>
        <w:tc>
          <w:tcPr>
            <w:tcW w:w="168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组成及特性</w:t>
            </w:r>
          </w:p>
        </w:tc>
        <w:tc>
          <w:tcPr>
            <w:tcW w:w="17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危险废物编号</w:t>
            </w:r>
          </w:p>
        </w:tc>
        <w:tc>
          <w:tcPr>
            <w:tcW w:w="2192" w:type="dxa"/>
            <w:tcBorders>
              <w:top w:val="single" w:color="000000" w:sz="2" w:space="0"/>
              <w:left w:val="single" w:color="000000" w:sz="4" w:space="0"/>
              <w:bottom w:val="single" w:color="000000" w:sz="2" w:space="0"/>
              <w:right w:val="single" w:color="000000" w:sz="4" w:space="0"/>
            </w:tcBorders>
            <w:vAlign w:val="center"/>
          </w:tcPr>
          <w:p>
            <w:pPr>
              <w:autoSpaceDE w:val="0"/>
              <w:autoSpaceDN w:val="0"/>
              <w:adjustRightInd w:val="0"/>
              <w:jc w:val="center"/>
              <w:rPr>
                <w:color w:val="000000"/>
                <w:kern w:val="0"/>
                <w:szCs w:val="21"/>
              </w:rPr>
            </w:pPr>
            <w:r>
              <w:rPr>
                <w:color w:val="000000"/>
                <w:kern w:val="0"/>
                <w:szCs w:val="21"/>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废含油棉纱手套</w:t>
            </w:r>
          </w:p>
        </w:tc>
        <w:tc>
          <w:tcPr>
            <w:tcW w:w="1181" w:type="dxa"/>
            <w:vMerge w:val="restart"/>
            <w:tcBorders>
              <w:top w:val="single" w:color="000000" w:sz="2" w:space="0"/>
              <w:left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0.5</w:t>
            </w:r>
          </w:p>
        </w:tc>
        <w:tc>
          <w:tcPr>
            <w:tcW w:w="168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7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900-249-08</w:t>
            </w:r>
          </w:p>
        </w:tc>
        <w:tc>
          <w:tcPr>
            <w:tcW w:w="2192" w:type="dxa"/>
            <w:vMerge w:val="restart"/>
            <w:tcBorders>
              <w:top w:val="single" w:color="000000" w:sz="2" w:space="0"/>
              <w:left w:val="single" w:color="000000" w:sz="4" w:space="0"/>
              <w:right w:val="single" w:color="000000" w:sz="4" w:space="0"/>
            </w:tcBorders>
            <w:vAlign w:val="center"/>
          </w:tcPr>
          <w:p>
            <w:pPr>
              <w:autoSpaceDE w:val="0"/>
              <w:autoSpaceDN w:val="0"/>
              <w:adjustRightInd w:val="0"/>
              <w:jc w:val="left"/>
              <w:rPr>
                <w:color w:val="000000"/>
                <w:kern w:val="0"/>
                <w:szCs w:val="21"/>
              </w:rPr>
            </w:pPr>
            <w:r>
              <w:rPr>
                <w:color w:val="000000"/>
                <w:kern w:val="0"/>
                <w:szCs w:val="21"/>
              </w:rPr>
              <w:t>厂区设危废暂存点收集暂存，定期交由具有危废处理资质单位处理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181" w:type="dxa"/>
            <w:vMerge w:val="continue"/>
            <w:tcBorders>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p>
        </w:tc>
        <w:tc>
          <w:tcPr>
            <w:tcW w:w="1687" w:type="dxa"/>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701" w:type="dxa"/>
            <w:tcBorders>
              <w:top w:val="single" w:color="auto" w:sz="4"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900-249-08</w:t>
            </w:r>
          </w:p>
        </w:tc>
        <w:tc>
          <w:tcPr>
            <w:tcW w:w="2192" w:type="dxa"/>
            <w:vMerge w:val="continue"/>
            <w:tcBorders>
              <w:left w:val="single" w:color="000000" w:sz="4" w:space="0"/>
              <w:bottom w:val="single" w:color="auto" w:sz="4" w:space="0"/>
              <w:right w:val="single" w:color="000000" w:sz="4" w:space="0"/>
            </w:tcBorders>
            <w:vAlign w:val="center"/>
          </w:tcPr>
          <w:p>
            <w:pPr>
              <w:autoSpaceDE w:val="0"/>
              <w:autoSpaceDN w:val="0"/>
              <w:adjustRightInd w:val="0"/>
              <w:jc w:val="center"/>
              <w:rPr>
                <w:color w:val="000000"/>
                <w:kern w:val="0"/>
                <w:sz w:val="22"/>
              </w:rPr>
            </w:pPr>
          </w:p>
        </w:tc>
      </w:tr>
    </w:tbl>
    <w:p>
      <w:pPr>
        <w:pStyle w:val="101"/>
        <w:ind w:firstLine="0" w:firstLineChars="0"/>
        <w:rPr>
          <w:b/>
          <w:szCs w:val="28"/>
        </w:rPr>
      </w:pPr>
      <w:r>
        <w:rPr>
          <w:rFonts w:hint="eastAsia"/>
          <w:b/>
          <w:szCs w:val="28"/>
        </w:rPr>
        <w:t>3</w:t>
      </w:r>
      <w:r>
        <w:rPr>
          <w:b/>
          <w:szCs w:val="28"/>
        </w:rPr>
        <w:t>.4.</w:t>
      </w:r>
      <w:r>
        <w:rPr>
          <w:rFonts w:hint="eastAsia"/>
          <w:b/>
          <w:szCs w:val="28"/>
        </w:rPr>
        <w:t>2</w:t>
      </w:r>
      <w:r>
        <w:rPr>
          <w:b/>
          <w:szCs w:val="28"/>
        </w:rPr>
        <w:t>重大危险源辨识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（1）物质危险性识别</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李渡大耍坝污水处理厂突发环境事件风险评估报告》企业</w:t>
      </w:r>
      <w:r>
        <w:rPr>
          <w:rFonts w:cs="仿宋_GB2312" w:asciiTheme="minorEastAsia" w:hAnsiTheme="minorEastAsia" w:eastAsiaTheme="minorEastAsia"/>
          <w:kern w:val="0"/>
          <w:sz w:val="24"/>
          <w:szCs w:val="24"/>
        </w:rPr>
        <w:t>物质危险性识别见表3.4-</w:t>
      </w:r>
      <w:r>
        <w:rPr>
          <w:rFonts w:hint="eastAsia" w:cs="仿宋_GB2312" w:asciiTheme="minorEastAsia" w:hAnsiTheme="minorEastAsia" w:eastAsiaTheme="minorEastAsia"/>
          <w:kern w:val="0"/>
          <w:sz w:val="24"/>
          <w:szCs w:val="24"/>
        </w:rPr>
        <w:t>3</w:t>
      </w:r>
    </w:p>
    <w:p>
      <w:pPr>
        <w:spacing w:line="460" w:lineRule="exact"/>
        <w:ind w:firstLine="482" w:firstLineChars="200"/>
        <w:jc w:val="center"/>
        <w:rPr>
          <w:b/>
          <w:sz w:val="24"/>
          <w:szCs w:val="24"/>
        </w:rPr>
      </w:pPr>
      <w:r>
        <w:rPr>
          <w:b/>
          <w:sz w:val="24"/>
          <w:szCs w:val="24"/>
        </w:rPr>
        <w:t>表3.4-</w:t>
      </w:r>
      <w:r>
        <w:rPr>
          <w:rFonts w:hint="eastAsia"/>
          <w:b/>
          <w:sz w:val="24"/>
          <w:szCs w:val="24"/>
        </w:rPr>
        <w:t>3</w:t>
      </w:r>
      <w:r>
        <w:rPr>
          <w:b/>
          <w:sz w:val="24"/>
          <w:szCs w:val="24"/>
        </w:rPr>
        <w:t xml:space="preserve">  </w:t>
      </w:r>
      <w:r>
        <w:rPr>
          <w:rFonts w:hint="eastAsia"/>
          <w:b/>
          <w:sz w:val="24"/>
          <w:szCs w:val="24"/>
        </w:rPr>
        <w:t>企业</w:t>
      </w:r>
      <w:r>
        <w:rPr>
          <w:b/>
          <w:sz w:val="24"/>
          <w:szCs w:val="24"/>
        </w:rPr>
        <w:t>物质危险性识别表</w:t>
      </w:r>
    </w:p>
    <w:tbl>
      <w:tblPr>
        <w:tblStyle w:val="54"/>
        <w:tblW w:w="8221" w:type="dxa"/>
        <w:tblInd w:w="534"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276"/>
        <w:gridCol w:w="2126"/>
        <w:gridCol w:w="992"/>
        <w:gridCol w:w="709"/>
        <w:gridCol w:w="2126"/>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992" w:type="dxa"/>
            <w:tcBorders>
              <w:top w:val="thinThickSmallGap" w:color="auto" w:sz="24" w:space="0"/>
            </w:tcBorders>
            <w:vAlign w:val="center"/>
          </w:tcPr>
          <w:p>
            <w:pPr>
              <w:pStyle w:val="187"/>
              <w:rPr>
                <w:rFonts w:ascii="仿宋_GB2312"/>
                <w:kern w:val="2"/>
                <w:szCs w:val="21"/>
              </w:rPr>
            </w:pPr>
            <w:r>
              <w:rPr>
                <w:szCs w:val="21"/>
              </w:rPr>
              <w:t>分类</w:t>
            </w:r>
          </w:p>
        </w:tc>
        <w:tc>
          <w:tcPr>
            <w:tcW w:w="1276" w:type="dxa"/>
            <w:tcBorders>
              <w:top w:val="thinThickSmallGap" w:color="auto" w:sz="24" w:space="0"/>
            </w:tcBorders>
            <w:vAlign w:val="center"/>
          </w:tcPr>
          <w:p>
            <w:pPr>
              <w:jc w:val="center"/>
              <w:rPr>
                <w:szCs w:val="21"/>
              </w:rPr>
            </w:pPr>
            <w:r>
              <w:rPr>
                <w:szCs w:val="21"/>
              </w:rPr>
              <w:t>名称</w:t>
            </w:r>
          </w:p>
        </w:tc>
        <w:tc>
          <w:tcPr>
            <w:tcW w:w="2126" w:type="dxa"/>
            <w:tcBorders>
              <w:top w:val="thinThickSmallGap" w:color="auto" w:sz="24" w:space="0"/>
            </w:tcBorders>
            <w:vAlign w:val="center"/>
          </w:tcPr>
          <w:p>
            <w:pPr>
              <w:jc w:val="center"/>
              <w:rPr>
                <w:szCs w:val="21"/>
              </w:rPr>
            </w:pPr>
            <w:r>
              <w:rPr>
                <w:szCs w:val="21"/>
              </w:rPr>
              <w:t>危险性类别</w:t>
            </w:r>
          </w:p>
        </w:tc>
        <w:tc>
          <w:tcPr>
            <w:tcW w:w="992" w:type="dxa"/>
            <w:tcBorders>
              <w:top w:val="thinThickSmallGap" w:color="auto" w:sz="24" w:space="0"/>
            </w:tcBorders>
            <w:vAlign w:val="center"/>
          </w:tcPr>
          <w:p>
            <w:pPr>
              <w:jc w:val="center"/>
              <w:rPr>
                <w:szCs w:val="21"/>
              </w:rPr>
            </w:pPr>
            <w:r>
              <w:rPr>
                <w:szCs w:val="21"/>
              </w:rPr>
              <w:t>腐蚀性</w:t>
            </w:r>
          </w:p>
        </w:tc>
        <w:tc>
          <w:tcPr>
            <w:tcW w:w="709" w:type="dxa"/>
            <w:tcBorders>
              <w:top w:val="thinThickSmallGap" w:color="auto" w:sz="24" w:space="0"/>
            </w:tcBorders>
            <w:vAlign w:val="center"/>
          </w:tcPr>
          <w:p>
            <w:pPr>
              <w:jc w:val="center"/>
              <w:rPr>
                <w:szCs w:val="21"/>
              </w:rPr>
            </w:pPr>
            <w:r>
              <w:rPr>
                <w:szCs w:val="21"/>
              </w:rPr>
              <w:t>毒性</w:t>
            </w:r>
          </w:p>
        </w:tc>
        <w:tc>
          <w:tcPr>
            <w:tcW w:w="2126" w:type="dxa"/>
            <w:tcBorders>
              <w:top w:val="thinThickSmallGap" w:color="auto" w:sz="24" w:space="0"/>
            </w:tcBorders>
            <w:vAlign w:val="center"/>
          </w:tcPr>
          <w:p>
            <w:pPr>
              <w:jc w:val="center"/>
              <w:rPr>
                <w:szCs w:val="21"/>
              </w:rPr>
            </w:pPr>
            <w:r>
              <w:rPr>
                <w:szCs w:val="21"/>
              </w:rPr>
              <w:t>是否为风险性物质</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992" w:type="dxa"/>
            <w:vMerge w:val="restart"/>
            <w:vAlign w:val="center"/>
          </w:tcPr>
          <w:p>
            <w:pPr>
              <w:pStyle w:val="187"/>
              <w:rPr>
                <w:rFonts w:ascii="仿宋_GB2312"/>
                <w:kern w:val="2"/>
                <w:szCs w:val="21"/>
              </w:rPr>
            </w:pPr>
          </w:p>
          <w:p>
            <w:pPr>
              <w:pStyle w:val="187"/>
              <w:rPr>
                <w:rFonts w:ascii="仿宋_GB2312"/>
                <w:kern w:val="2"/>
                <w:szCs w:val="21"/>
              </w:rPr>
            </w:pPr>
            <w:r>
              <w:rPr>
                <w:szCs w:val="21"/>
              </w:rPr>
              <w:t>原辅料</w:t>
            </w:r>
          </w:p>
        </w:tc>
        <w:tc>
          <w:tcPr>
            <w:tcW w:w="1276" w:type="dxa"/>
            <w:vAlign w:val="center"/>
          </w:tcPr>
          <w:p>
            <w:pPr>
              <w:jc w:val="center"/>
              <w:rPr>
                <w:szCs w:val="21"/>
              </w:rPr>
            </w:pPr>
            <w:r>
              <w:rPr>
                <w:szCs w:val="21"/>
              </w:rPr>
              <w:t>盐酸</w:t>
            </w:r>
          </w:p>
        </w:tc>
        <w:tc>
          <w:tcPr>
            <w:tcW w:w="2126" w:type="dxa"/>
            <w:vAlign w:val="center"/>
          </w:tcPr>
          <w:p>
            <w:pPr>
              <w:jc w:val="center"/>
              <w:rPr>
                <w:szCs w:val="21"/>
              </w:rPr>
            </w:pPr>
            <w:r>
              <w:rPr>
                <w:szCs w:val="21"/>
              </w:rPr>
              <w:t>第8.1类酸性腐蚀品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992" w:type="dxa"/>
            <w:vMerge w:val="continue"/>
            <w:vAlign w:val="center"/>
          </w:tcPr>
          <w:p>
            <w:pPr>
              <w:pStyle w:val="187"/>
              <w:rPr>
                <w:rFonts w:ascii="仿宋_GB2312"/>
                <w:kern w:val="2"/>
                <w:szCs w:val="21"/>
              </w:rPr>
            </w:pPr>
          </w:p>
        </w:tc>
        <w:tc>
          <w:tcPr>
            <w:tcW w:w="1276" w:type="dxa"/>
            <w:vAlign w:val="center"/>
          </w:tcPr>
          <w:p>
            <w:pPr>
              <w:jc w:val="center"/>
              <w:rPr>
                <w:szCs w:val="21"/>
              </w:rPr>
            </w:pPr>
            <w:r>
              <w:rPr>
                <w:rFonts w:hint="eastAsia"/>
                <w:szCs w:val="21"/>
              </w:rPr>
              <w:t>氢氧化钠</w:t>
            </w:r>
          </w:p>
        </w:tc>
        <w:tc>
          <w:tcPr>
            <w:tcW w:w="2126" w:type="dxa"/>
            <w:vAlign w:val="center"/>
          </w:tcPr>
          <w:p>
            <w:pPr>
              <w:jc w:val="center"/>
              <w:rPr>
                <w:szCs w:val="21"/>
              </w:rPr>
            </w:pPr>
            <w:r>
              <w:rPr>
                <w:szCs w:val="21"/>
              </w:rPr>
              <w:t>第8.</w:t>
            </w:r>
            <w:r>
              <w:rPr>
                <w:rFonts w:hint="eastAsia"/>
                <w:szCs w:val="21"/>
              </w:rPr>
              <w:t>2</w:t>
            </w:r>
            <w:r>
              <w:rPr>
                <w:szCs w:val="21"/>
              </w:rPr>
              <w:t>类</w:t>
            </w:r>
            <w:r>
              <w:rPr>
                <w:rFonts w:hint="eastAsia"/>
                <w:szCs w:val="21"/>
              </w:rPr>
              <w:t>碱性</w:t>
            </w:r>
            <w:r>
              <w:rPr>
                <w:szCs w:val="21"/>
              </w:rPr>
              <w:t>腐蚀品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87"/>
              <w:rPr>
                <w:rFonts w:ascii="仿宋_GB2312"/>
                <w:kern w:val="2"/>
                <w:szCs w:val="21"/>
              </w:rPr>
            </w:pPr>
          </w:p>
        </w:tc>
        <w:tc>
          <w:tcPr>
            <w:tcW w:w="1276" w:type="dxa"/>
            <w:vAlign w:val="center"/>
          </w:tcPr>
          <w:p>
            <w:pPr>
              <w:jc w:val="center"/>
              <w:rPr>
                <w:szCs w:val="21"/>
              </w:rPr>
            </w:pPr>
            <w:r>
              <w:rPr>
                <w:szCs w:val="21"/>
              </w:rPr>
              <w:t>氯酸钠</w:t>
            </w:r>
          </w:p>
        </w:tc>
        <w:tc>
          <w:tcPr>
            <w:tcW w:w="2126" w:type="dxa"/>
            <w:vAlign w:val="center"/>
          </w:tcPr>
          <w:p>
            <w:pPr>
              <w:jc w:val="center"/>
              <w:rPr>
                <w:szCs w:val="21"/>
              </w:rPr>
            </w:pPr>
            <w:r>
              <w:rPr>
                <w:szCs w:val="21"/>
              </w:rPr>
              <w:t>第5.1类氧化剂</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87"/>
              <w:rPr>
                <w:rFonts w:ascii="仿宋_GB2312"/>
                <w:kern w:val="2"/>
                <w:szCs w:val="21"/>
              </w:rPr>
            </w:pPr>
          </w:p>
        </w:tc>
        <w:tc>
          <w:tcPr>
            <w:tcW w:w="1276" w:type="dxa"/>
            <w:vAlign w:val="center"/>
          </w:tcPr>
          <w:p>
            <w:pPr>
              <w:jc w:val="center"/>
              <w:rPr>
                <w:szCs w:val="21"/>
              </w:rPr>
            </w:pPr>
            <w:r>
              <w:rPr>
                <w:szCs w:val="21"/>
              </w:rPr>
              <w:t>聚氯化铝</w:t>
            </w:r>
          </w:p>
        </w:tc>
        <w:tc>
          <w:tcPr>
            <w:tcW w:w="2126" w:type="dxa"/>
            <w:vAlign w:val="center"/>
          </w:tcPr>
          <w:p>
            <w:pPr>
              <w:jc w:val="center"/>
              <w:rPr>
                <w:szCs w:val="21"/>
              </w:rPr>
            </w:pPr>
            <w:r>
              <w:rPr>
                <w:szCs w:val="21"/>
              </w:rPr>
              <w:t>/</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PrEx>
        <w:trPr>
          <w:trHeight w:val="422" w:hRule="atLeast"/>
        </w:trPr>
        <w:tc>
          <w:tcPr>
            <w:tcW w:w="992" w:type="dxa"/>
            <w:vMerge w:val="continue"/>
            <w:vAlign w:val="center"/>
          </w:tcPr>
          <w:p>
            <w:pPr>
              <w:pStyle w:val="187"/>
              <w:rPr>
                <w:rFonts w:ascii="仿宋_GB2312"/>
                <w:kern w:val="2"/>
                <w:szCs w:val="21"/>
              </w:rPr>
            </w:pPr>
          </w:p>
        </w:tc>
        <w:tc>
          <w:tcPr>
            <w:tcW w:w="1276" w:type="dxa"/>
            <w:vAlign w:val="center"/>
          </w:tcPr>
          <w:p>
            <w:pPr>
              <w:jc w:val="center"/>
              <w:rPr>
                <w:color w:val="000000"/>
                <w:szCs w:val="21"/>
              </w:rPr>
            </w:pPr>
            <w:r>
              <w:rPr>
                <w:color w:val="000000"/>
                <w:szCs w:val="21"/>
              </w:rPr>
              <w:t>聚丙烯酰胺</w:t>
            </w:r>
          </w:p>
        </w:tc>
        <w:tc>
          <w:tcPr>
            <w:tcW w:w="2126" w:type="dxa"/>
            <w:vAlign w:val="center"/>
          </w:tcPr>
          <w:p>
            <w:pPr>
              <w:jc w:val="center"/>
              <w:rPr>
                <w:color w:val="000000"/>
                <w:szCs w:val="21"/>
              </w:rPr>
            </w:pPr>
            <w:r>
              <w:rPr>
                <w:color w:val="000000"/>
                <w:szCs w:val="21"/>
              </w:rPr>
              <w:t>/</w:t>
            </w:r>
          </w:p>
        </w:tc>
        <w:tc>
          <w:tcPr>
            <w:tcW w:w="992" w:type="dxa"/>
            <w:vAlign w:val="center"/>
          </w:tcPr>
          <w:p>
            <w:pPr>
              <w:jc w:val="center"/>
              <w:rPr>
                <w:color w:val="000000"/>
                <w:szCs w:val="21"/>
              </w:rPr>
            </w:pPr>
            <w:r>
              <w:rPr>
                <w:color w:val="000000"/>
                <w:szCs w:val="21"/>
              </w:rPr>
              <w:t>是</w:t>
            </w:r>
          </w:p>
        </w:tc>
        <w:tc>
          <w:tcPr>
            <w:tcW w:w="709" w:type="dxa"/>
            <w:vAlign w:val="center"/>
          </w:tcPr>
          <w:p>
            <w:pPr>
              <w:jc w:val="center"/>
              <w:rPr>
                <w:color w:val="000000"/>
                <w:szCs w:val="21"/>
              </w:rPr>
            </w:pPr>
            <w:r>
              <w:rPr>
                <w:color w:val="000000"/>
                <w:szCs w:val="21"/>
              </w:rPr>
              <w:t>否</w:t>
            </w:r>
          </w:p>
        </w:tc>
        <w:tc>
          <w:tcPr>
            <w:tcW w:w="2126" w:type="dxa"/>
            <w:vAlign w:val="center"/>
          </w:tcPr>
          <w:p>
            <w:pPr>
              <w:jc w:val="center"/>
              <w:rPr>
                <w:color w:val="000000"/>
                <w:szCs w:val="21"/>
              </w:rPr>
            </w:pPr>
            <w:r>
              <w:rPr>
                <w:color w:val="000000"/>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87"/>
              <w:jc w:val="both"/>
              <w:rPr>
                <w:rFonts w:ascii="仿宋_GB2312"/>
                <w:kern w:val="2"/>
                <w:szCs w:val="21"/>
              </w:rPr>
            </w:pPr>
          </w:p>
        </w:tc>
        <w:tc>
          <w:tcPr>
            <w:tcW w:w="1276" w:type="dxa"/>
            <w:vAlign w:val="center"/>
          </w:tcPr>
          <w:p>
            <w:pPr>
              <w:jc w:val="center"/>
              <w:rPr>
                <w:szCs w:val="21"/>
              </w:rPr>
            </w:pPr>
            <w:r>
              <w:rPr>
                <w:szCs w:val="21"/>
              </w:rPr>
              <w:t>二氧化氯</w:t>
            </w:r>
          </w:p>
        </w:tc>
        <w:tc>
          <w:tcPr>
            <w:tcW w:w="2126" w:type="dxa"/>
            <w:vAlign w:val="center"/>
          </w:tcPr>
          <w:p>
            <w:pPr>
              <w:jc w:val="center"/>
              <w:rPr>
                <w:szCs w:val="21"/>
              </w:rPr>
            </w:pPr>
            <w:r>
              <w:rPr>
                <w:szCs w:val="21"/>
              </w:rPr>
              <w:t>第1A类剧毒品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是</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992" w:type="dxa"/>
            <w:vAlign w:val="center"/>
          </w:tcPr>
          <w:p>
            <w:pPr>
              <w:jc w:val="center"/>
              <w:rPr>
                <w:szCs w:val="21"/>
              </w:rPr>
            </w:pPr>
            <w:r>
              <w:rPr>
                <w:szCs w:val="21"/>
              </w:rPr>
              <w:t>产品</w:t>
            </w:r>
          </w:p>
        </w:tc>
        <w:tc>
          <w:tcPr>
            <w:tcW w:w="1276" w:type="dxa"/>
            <w:vAlign w:val="center"/>
          </w:tcPr>
          <w:p>
            <w:pPr>
              <w:jc w:val="center"/>
              <w:rPr>
                <w:szCs w:val="21"/>
              </w:rPr>
            </w:pPr>
            <w:r>
              <w:rPr>
                <w:szCs w:val="21"/>
              </w:rPr>
              <w:t>生活污水</w:t>
            </w:r>
          </w:p>
        </w:tc>
        <w:tc>
          <w:tcPr>
            <w:tcW w:w="2126" w:type="dxa"/>
            <w:vAlign w:val="center"/>
          </w:tcPr>
          <w:p>
            <w:pPr>
              <w:jc w:val="center"/>
              <w:rPr>
                <w:szCs w:val="21"/>
              </w:rPr>
            </w:pPr>
            <w:r>
              <w:rPr>
                <w:szCs w:val="21"/>
              </w:rPr>
              <w:t>/</w:t>
            </w:r>
          </w:p>
        </w:tc>
        <w:tc>
          <w:tcPr>
            <w:tcW w:w="992" w:type="dxa"/>
            <w:vAlign w:val="center"/>
          </w:tcPr>
          <w:p>
            <w:pPr>
              <w:jc w:val="center"/>
              <w:rPr>
                <w:szCs w:val="21"/>
              </w:rPr>
            </w:pPr>
            <w:r>
              <w:rPr>
                <w:szCs w:val="21"/>
              </w:rPr>
              <w:t>/</w:t>
            </w:r>
          </w:p>
        </w:tc>
        <w:tc>
          <w:tcPr>
            <w:tcW w:w="709" w:type="dxa"/>
            <w:vAlign w:val="center"/>
          </w:tcPr>
          <w:p>
            <w:pPr>
              <w:jc w:val="center"/>
              <w:rPr>
                <w:szCs w:val="21"/>
              </w:rPr>
            </w:pPr>
            <w:r>
              <w:rPr>
                <w:szCs w:val="21"/>
              </w:rPr>
              <w:t>/</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992" w:type="dxa"/>
            <w:vMerge w:val="restart"/>
            <w:vAlign w:val="center"/>
          </w:tcPr>
          <w:p>
            <w:pPr>
              <w:jc w:val="center"/>
              <w:rPr>
                <w:szCs w:val="21"/>
              </w:rPr>
            </w:pPr>
            <w:r>
              <w:rPr>
                <w:szCs w:val="21"/>
              </w:rPr>
              <w:t>三废</w:t>
            </w:r>
          </w:p>
        </w:tc>
        <w:tc>
          <w:tcPr>
            <w:tcW w:w="1276" w:type="dxa"/>
            <w:vAlign w:val="center"/>
          </w:tcPr>
          <w:p>
            <w:pPr>
              <w:jc w:val="center"/>
              <w:rPr>
                <w:szCs w:val="21"/>
              </w:rPr>
            </w:pPr>
            <w:r>
              <w:rPr>
                <w:szCs w:val="21"/>
              </w:rPr>
              <w:t>活性污泥</w:t>
            </w:r>
          </w:p>
        </w:tc>
        <w:tc>
          <w:tcPr>
            <w:tcW w:w="2126" w:type="dxa"/>
            <w:vAlign w:val="center"/>
          </w:tcPr>
          <w:p>
            <w:pPr>
              <w:jc w:val="center"/>
              <w:rPr>
                <w:szCs w:val="21"/>
              </w:rPr>
            </w:pPr>
            <w:r>
              <w:rPr>
                <w:szCs w:val="21"/>
              </w:rPr>
              <w:t>生产废物</w:t>
            </w:r>
          </w:p>
        </w:tc>
        <w:tc>
          <w:tcPr>
            <w:tcW w:w="992" w:type="dxa"/>
            <w:vAlign w:val="center"/>
          </w:tcPr>
          <w:p>
            <w:pPr>
              <w:jc w:val="center"/>
              <w:rPr>
                <w:szCs w:val="21"/>
              </w:rPr>
            </w:pPr>
            <w:r>
              <w:rPr>
                <w:szCs w:val="21"/>
              </w:rPr>
              <w:t>/</w:t>
            </w:r>
          </w:p>
        </w:tc>
        <w:tc>
          <w:tcPr>
            <w:tcW w:w="709" w:type="dxa"/>
            <w:vAlign w:val="center"/>
          </w:tcPr>
          <w:p>
            <w:pPr>
              <w:jc w:val="center"/>
              <w:rPr>
                <w:szCs w:val="21"/>
              </w:rPr>
            </w:pPr>
            <w:r>
              <w:rPr>
                <w:szCs w:val="21"/>
              </w:rPr>
              <w:t>/</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tcBorders>
              <w:bottom w:val="thinThickSmallGap" w:color="auto" w:sz="24" w:space="0"/>
            </w:tcBorders>
            <w:vAlign w:val="center"/>
          </w:tcPr>
          <w:p>
            <w:pPr>
              <w:pStyle w:val="187"/>
              <w:rPr>
                <w:rFonts w:ascii="仿宋_GB2312"/>
                <w:kern w:val="2"/>
                <w:szCs w:val="21"/>
              </w:rPr>
            </w:pPr>
          </w:p>
        </w:tc>
        <w:tc>
          <w:tcPr>
            <w:tcW w:w="1276" w:type="dxa"/>
            <w:tcBorders>
              <w:bottom w:val="thinThickSmallGap" w:color="auto" w:sz="24" w:space="0"/>
            </w:tcBorders>
            <w:vAlign w:val="center"/>
          </w:tcPr>
          <w:p>
            <w:pPr>
              <w:jc w:val="center"/>
              <w:rPr>
                <w:color w:val="000000"/>
                <w:szCs w:val="21"/>
              </w:rPr>
            </w:pPr>
            <w:r>
              <w:rPr>
                <w:szCs w:val="21"/>
              </w:rPr>
              <w:t>废机油</w:t>
            </w:r>
          </w:p>
        </w:tc>
        <w:tc>
          <w:tcPr>
            <w:tcW w:w="2126" w:type="dxa"/>
            <w:tcBorders>
              <w:bottom w:val="thinThickSmallGap" w:color="auto" w:sz="24" w:space="0"/>
            </w:tcBorders>
            <w:vAlign w:val="center"/>
          </w:tcPr>
          <w:p>
            <w:pPr>
              <w:jc w:val="center"/>
              <w:rPr>
                <w:color w:val="000000"/>
                <w:szCs w:val="21"/>
              </w:rPr>
            </w:pPr>
            <w:r>
              <w:rPr>
                <w:szCs w:val="21"/>
              </w:rPr>
              <w:t>/</w:t>
            </w:r>
          </w:p>
        </w:tc>
        <w:tc>
          <w:tcPr>
            <w:tcW w:w="992" w:type="dxa"/>
            <w:tcBorders>
              <w:bottom w:val="thinThickSmallGap" w:color="auto" w:sz="24" w:space="0"/>
            </w:tcBorders>
            <w:vAlign w:val="center"/>
          </w:tcPr>
          <w:p>
            <w:pPr>
              <w:jc w:val="center"/>
              <w:rPr>
                <w:color w:val="000000"/>
                <w:szCs w:val="21"/>
              </w:rPr>
            </w:pPr>
          </w:p>
        </w:tc>
        <w:tc>
          <w:tcPr>
            <w:tcW w:w="709" w:type="dxa"/>
            <w:tcBorders>
              <w:bottom w:val="thinThickSmallGap" w:color="auto" w:sz="24" w:space="0"/>
            </w:tcBorders>
            <w:vAlign w:val="center"/>
          </w:tcPr>
          <w:p>
            <w:pPr>
              <w:jc w:val="center"/>
              <w:rPr>
                <w:color w:val="000000"/>
                <w:szCs w:val="21"/>
              </w:rPr>
            </w:pPr>
          </w:p>
        </w:tc>
        <w:tc>
          <w:tcPr>
            <w:tcW w:w="2126" w:type="dxa"/>
            <w:tcBorders>
              <w:bottom w:val="thinThickSmallGap" w:color="auto" w:sz="24" w:space="0"/>
            </w:tcBorders>
            <w:vAlign w:val="center"/>
          </w:tcPr>
          <w:p>
            <w:pPr>
              <w:jc w:val="center"/>
              <w:rPr>
                <w:color w:val="000000"/>
                <w:szCs w:val="21"/>
              </w:rPr>
            </w:pPr>
            <w:r>
              <w:rPr>
                <w:szCs w:val="21"/>
              </w:rPr>
              <w:t>是</w:t>
            </w:r>
          </w:p>
        </w:tc>
      </w:tr>
    </w:tbl>
    <w:p>
      <w:pPr>
        <w:spacing w:line="460" w:lineRule="exact"/>
        <w:ind w:firstLine="470" w:firstLineChars="196"/>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由上表可知重庆市涪陵区拓源污水治理有限公司</w:t>
      </w:r>
      <w:r>
        <w:rPr>
          <w:rFonts w:hint="eastAsia" w:cs="仿宋_GB2312" w:asciiTheme="minorEastAsia" w:hAnsiTheme="minorEastAsia" w:eastAsiaTheme="minorEastAsia"/>
          <w:kern w:val="0"/>
          <w:sz w:val="24"/>
          <w:szCs w:val="24"/>
        </w:rPr>
        <w:t>李渡大耍坝污水处理厂</w:t>
      </w:r>
      <w:r>
        <w:rPr>
          <w:rFonts w:cs="仿宋_GB2312" w:asciiTheme="minorEastAsia" w:hAnsiTheme="minorEastAsia" w:eastAsiaTheme="minorEastAsia"/>
          <w:kern w:val="0"/>
          <w:sz w:val="24"/>
          <w:szCs w:val="24"/>
        </w:rPr>
        <w:t>使用原辅材料、产品及“三废”中属于环境风险物质的是盐酸、氯酸钠</w:t>
      </w:r>
      <w:r>
        <w:rPr>
          <w:rFonts w:hint="eastAsia" w:cs="仿宋_GB2312" w:asciiTheme="minorEastAsia" w:hAnsiTheme="minorEastAsia" w:eastAsiaTheme="minorEastAsia"/>
          <w:kern w:val="0"/>
          <w:sz w:val="24"/>
          <w:szCs w:val="24"/>
        </w:rPr>
        <w:t>、氢氧化钠、二氧化氯、</w:t>
      </w:r>
      <w:r>
        <w:rPr>
          <w:rFonts w:cs="仿宋_GB2312" w:asciiTheme="minorEastAsia" w:hAnsiTheme="minorEastAsia" w:eastAsiaTheme="minorEastAsia"/>
          <w:kern w:val="0"/>
          <w:sz w:val="24"/>
          <w:szCs w:val="24"/>
        </w:rPr>
        <w:t>废机油等。</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（2）重大危险源辨识</w:t>
      </w:r>
    </w:p>
    <w:p>
      <w:pPr>
        <w:spacing w:line="460" w:lineRule="exact"/>
        <w:ind w:firstLine="480" w:firstLineChars="200"/>
        <w:jc w:val="left"/>
        <w:rPr>
          <w:rFonts w:cs="仿宋_GB2312" w:asciiTheme="minorEastAsia" w:hAnsiTheme="minorEastAsia" w:eastAsiaTheme="minorEastAsia"/>
          <w:kern w:val="0"/>
          <w:sz w:val="24"/>
          <w:szCs w:val="24"/>
        </w:rPr>
      </w:pPr>
      <w:bookmarkStart w:id="231" w:name="_Toc246994508"/>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李渡大耍坝污水处理厂突发环境事件风险评估报告》</w:t>
      </w:r>
      <w:r>
        <w:rPr>
          <w:rFonts w:cs="仿宋_GB2312" w:asciiTheme="minorEastAsia" w:hAnsiTheme="minorEastAsia" w:eastAsiaTheme="minorEastAsia"/>
          <w:kern w:val="0"/>
          <w:sz w:val="24"/>
          <w:szCs w:val="24"/>
        </w:rPr>
        <w:t>企业厂区内所有环境风险物质与《建设项目环境风险评价技术导则（HJ/T169-2004）》（附录2有毒物质名称及临界量）对照情况见表3.4</w:t>
      </w:r>
      <w:r>
        <w:rPr>
          <w:rFonts w:hint="eastAsia" w:cs="仿宋_GB2312" w:asciiTheme="minorEastAsia" w:hAnsiTheme="minorEastAsia" w:eastAsiaTheme="minorEastAsia"/>
          <w:kern w:val="0"/>
          <w:sz w:val="24"/>
          <w:szCs w:val="24"/>
        </w:rPr>
        <w:t>-4。</w:t>
      </w:r>
    </w:p>
    <w:p>
      <w:pPr>
        <w:pStyle w:val="187"/>
        <w:spacing w:line="460" w:lineRule="exact"/>
        <w:rPr>
          <w:rFonts w:ascii="仿宋_GB2312"/>
          <w:b/>
          <w:color w:val="FF0000"/>
          <w:sz w:val="24"/>
        </w:rPr>
      </w:pPr>
      <w:r>
        <w:rPr>
          <w:rFonts w:ascii="仿宋_GB2312"/>
          <w:b/>
          <w:sz w:val="24"/>
        </w:rPr>
        <w:t>3.4</w:t>
      </w:r>
      <w:r>
        <w:rPr>
          <w:rFonts w:hint="eastAsia" w:ascii="仿宋_GB2312"/>
          <w:b/>
          <w:sz w:val="24"/>
        </w:rPr>
        <w:t>-4 危险化学品储存情况一览表</w:t>
      </w:r>
    </w:p>
    <w:tbl>
      <w:tblPr>
        <w:tblStyle w:val="54"/>
        <w:tblW w:w="9214" w:type="dxa"/>
        <w:tblInd w:w="-34"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2127"/>
        <w:gridCol w:w="850"/>
        <w:gridCol w:w="1276"/>
        <w:gridCol w:w="1701"/>
        <w:gridCol w:w="1417"/>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709" w:type="dxa"/>
            <w:tcBorders>
              <w:top w:val="thinThickSmallGap" w:color="auto" w:sz="24" w:space="0"/>
            </w:tcBorders>
            <w:vAlign w:val="center"/>
          </w:tcPr>
          <w:p>
            <w:pPr>
              <w:pStyle w:val="187"/>
              <w:rPr>
                <w:rFonts w:ascii="仿宋_GB2312"/>
                <w:kern w:val="2"/>
                <w:szCs w:val="22"/>
              </w:rPr>
            </w:pPr>
            <w:r>
              <w:rPr>
                <w:rFonts w:hint="eastAsia" w:ascii="仿宋_GB2312"/>
                <w:kern w:val="2"/>
                <w:szCs w:val="22"/>
              </w:rPr>
              <w:t>序号</w:t>
            </w:r>
          </w:p>
        </w:tc>
        <w:tc>
          <w:tcPr>
            <w:tcW w:w="1134" w:type="dxa"/>
            <w:tcBorders>
              <w:top w:val="thinThickSmallGap" w:color="auto" w:sz="24" w:space="0"/>
            </w:tcBorders>
            <w:vAlign w:val="center"/>
          </w:tcPr>
          <w:p>
            <w:pPr>
              <w:spacing w:line="240" w:lineRule="exact"/>
              <w:rPr>
                <w:rFonts w:ascii="仿宋_GB2312"/>
                <w:szCs w:val="21"/>
              </w:rPr>
            </w:pPr>
            <w:r>
              <w:rPr>
                <w:rFonts w:hint="eastAsia" w:ascii="仿宋_GB2312"/>
                <w:szCs w:val="21"/>
              </w:rPr>
              <w:t>物质名称</w:t>
            </w:r>
          </w:p>
        </w:tc>
        <w:tc>
          <w:tcPr>
            <w:tcW w:w="2127" w:type="dxa"/>
            <w:tcBorders>
              <w:top w:val="thinThickSmallGap" w:color="auto" w:sz="24" w:space="0"/>
            </w:tcBorders>
            <w:vAlign w:val="center"/>
          </w:tcPr>
          <w:p>
            <w:pPr>
              <w:pStyle w:val="187"/>
              <w:rPr>
                <w:rFonts w:ascii="仿宋_GB2312"/>
                <w:kern w:val="2"/>
                <w:szCs w:val="21"/>
              </w:rPr>
            </w:pPr>
            <w:r>
              <w:rPr>
                <w:rFonts w:hint="eastAsia" w:ascii="仿宋_GB2312"/>
                <w:bCs/>
                <w:caps/>
                <w:kern w:val="2"/>
                <w:szCs w:val="21"/>
              </w:rPr>
              <w:t>所属类别</w:t>
            </w:r>
          </w:p>
        </w:tc>
        <w:tc>
          <w:tcPr>
            <w:tcW w:w="850" w:type="dxa"/>
            <w:tcBorders>
              <w:top w:val="thinThickSmallGap" w:color="auto" w:sz="24" w:space="0"/>
            </w:tcBorders>
            <w:vAlign w:val="center"/>
          </w:tcPr>
          <w:p>
            <w:pPr>
              <w:pStyle w:val="187"/>
              <w:rPr>
                <w:rFonts w:ascii="仿宋_GB2312"/>
                <w:kern w:val="2"/>
                <w:szCs w:val="21"/>
              </w:rPr>
            </w:pPr>
            <w:r>
              <w:rPr>
                <w:rFonts w:hint="eastAsia" w:ascii="仿宋_GB2312"/>
                <w:kern w:val="2"/>
                <w:szCs w:val="22"/>
              </w:rPr>
              <w:t>临界量</w:t>
            </w:r>
          </w:p>
        </w:tc>
        <w:tc>
          <w:tcPr>
            <w:tcW w:w="1276" w:type="dxa"/>
            <w:tcBorders>
              <w:top w:val="thinThickSmallGap" w:color="auto" w:sz="24" w:space="0"/>
            </w:tcBorders>
            <w:vAlign w:val="center"/>
          </w:tcPr>
          <w:p>
            <w:pPr>
              <w:pStyle w:val="187"/>
              <w:rPr>
                <w:rFonts w:ascii="仿宋_GB2312"/>
                <w:kern w:val="2"/>
                <w:szCs w:val="22"/>
              </w:rPr>
            </w:pPr>
            <w:r>
              <w:rPr>
                <w:rFonts w:hint="eastAsia" w:ascii="仿宋_GB2312"/>
                <w:kern w:val="2"/>
                <w:szCs w:val="22"/>
              </w:rPr>
              <w:t>实际最</w:t>
            </w:r>
          </w:p>
          <w:p>
            <w:pPr>
              <w:pStyle w:val="187"/>
              <w:rPr>
                <w:rFonts w:ascii="仿宋_GB2312"/>
                <w:kern w:val="2"/>
                <w:szCs w:val="21"/>
              </w:rPr>
            </w:pPr>
            <w:r>
              <w:rPr>
                <w:rFonts w:hint="eastAsia" w:ascii="仿宋_GB2312"/>
                <w:kern w:val="2"/>
                <w:szCs w:val="22"/>
              </w:rPr>
              <w:t>大贮量</w:t>
            </w:r>
          </w:p>
        </w:tc>
        <w:tc>
          <w:tcPr>
            <w:tcW w:w="1701" w:type="dxa"/>
            <w:tcBorders>
              <w:top w:val="thinThickSmallGap" w:color="auto" w:sz="24" w:space="0"/>
            </w:tcBorders>
            <w:vAlign w:val="center"/>
          </w:tcPr>
          <w:p>
            <w:pPr>
              <w:pStyle w:val="187"/>
              <w:rPr>
                <w:rFonts w:ascii="仿宋_GB2312"/>
                <w:kern w:val="2"/>
                <w:szCs w:val="21"/>
              </w:rPr>
            </w:pPr>
            <w:r>
              <w:rPr>
                <w:rFonts w:hint="eastAsia" w:ascii="仿宋_GB2312"/>
                <w:bCs/>
                <w:caps/>
                <w:kern w:val="2"/>
                <w:szCs w:val="21"/>
              </w:rPr>
              <w:t>辨识依据</w:t>
            </w:r>
          </w:p>
        </w:tc>
        <w:tc>
          <w:tcPr>
            <w:tcW w:w="1417" w:type="dxa"/>
            <w:tcBorders>
              <w:top w:val="thinThickSmallGap" w:color="auto" w:sz="24" w:space="0"/>
            </w:tcBorders>
            <w:vAlign w:val="center"/>
          </w:tcPr>
          <w:p>
            <w:pPr>
              <w:pStyle w:val="187"/>
              <w:rPr>
                <w:rFonts w:ascii="仿宋_GB2312"/>
                <w:kern w:val="2"/>
                <w:szCs w:val="21"/>
              </w:rPr>
            </w:pPr>
            <w:r>
              <w:rPr>
                <w:rFonts w:hint="eastAsia" w:ascii="仿宋_GB2312"/>
                <w:kern w:val="2"/>
                <w:szCs w:val="22"/>
              </w:rPr>
              <w:t>是否构成重大危险源</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87"/>
              <w:rPr>
                <w:rFonts w:ascii="仿宋_GB2312"/>
                <w:kern w:val="2"/>
                <w:szCs w:val="22"/>
              </w:rPr>
            </w:pPr>
            <w:r>
              <w:rPr>
                <w:rFonts w:hint="eastAsia" w:ascii="仿宋_GB2312"/>
                <w:kern w:val="2"/>
                <w:szCs w:val="22"/>
              </w:rPr>
              <w:t>1</w:t>
            </w:r>
          </w:p>
        </w:tc>
        <w:tc>
          <w:tcPr>
            <w:tcW w:w="1134" w:type="dxa"/>
            <w:vAlign w:val="center"/>
          </w:tcPr>
          <w:p>
            <w:pPr>
              <w:pStyle w:val="187"/>
              <w:rPr>
                <w:rFonts w:ascii="仿宋_GB2312"/>
                <w:kern w:val="2"/>
                <w:szCs w:val="21"/>
              </w:rPr>
            </w:pPr>
            <w:r>
              <w:rPr>
                <w:rFonts w:hint="eastAsia" w:ascii="仿宋_GB2312"/>
                <w:kern w:val="2"/>
                <w:szCs w:val="21"/>
              </w:rPr>
              <w:t>氢氧化钠</w:t>
            </w:r>
          </w:p>
        </w:tc>
        <w:tc>
          <w:tcPr>
            <w:tcW w:w="2127" w:type="dxa"/>
            <w:vAlign w:val="center"/>
          </w:tcPr>
          <w:p>
            <w:pPr>
              <w:pStyle w:val="187"/>
              <w:rPr>
                <w:rFonts w:ascii="仿宋_GB2312"/>
                <w:kern w:val="2"/>
                <w:szCs w:val="21"/>
              </w:rPr>
            </w:pPr>
            <w:r>
              <w:rPr>
                <w:rFonts w:hint="eastAsia" w:ascii="仿宋_GB2312"/>
                <w:bCs/>
                <w:caps/>
                <w:kern w:val="2"/>
                <w:szCs w:val="21"/>
              </w:rPr>
              <w:t>第8.2类碱性腐蚀品</w:t>
            </w:r>
          </w:p>
        </w:tc>
        <w:tc>
          <w:tcPr>
            <w:tcW w:w="850" w:type="dxa"/>
            <w:vAlign w:val="center"/>
          </w:tcPr>
          <w:p>
            <w:pPr>
              <w:pStyle w:val="187"/>
              <w:rPr>
                <w:rFonts w:ascii="仿宋_GB2312"/>
                <w:kern w:val="2"/>
                <w:sz w:val="24"/>
              </w:rPr>
            </w:pPr>
            <w:r>
              <w:rPr>
                <w:rFonts w:hint="eastAsia" w:ascii="仿宋_GB2312"/>
                <w:kern w:val="2"/>
                <w:sz w:val="24"/>
              </w:rPr>
              <w:t>50t</w:t>
            </w:r>
          </w:p>
        </w:tc>
        <w:tc>
          <w:tcPr>
            <w:tcW w:w="1276" w:type="dxa"/>
            <w:vAlign w:val="center"/>
          </w:tcPr>
          <w:p>
            <w:pPr>
              <w:pStyle w:val="187"/>
              <w:rPr>
                <w:rFonts w:ascii="仿宋_GB2312"/>
                <w:kern w:val="2"/>
                <w:sz w:val="24"/>
              </w:rPr>
            </w:pPr>
            <w:r>
              <w:rPr>
                <w:rFonts w:hint="eastAsia" w:ascii="仿宋_GB2312"/>
                <w:kern w:val="2"/>
                <w:sz w:val="24"/>
              </w:rPr>
              <w:t>4t</w:t>
            </w:r>
          </w:p>
        </w:tc>
        <w:tc>
          <w:tcPr>
            <w:tcW w:w="1701" w:type="dxa"/>
            <w:vAlign w:val="center"/>
          </w:tcPr>
          <w:p>
            <w:pPr>
              <w:pStyle w:val="187"/>
              <w:rPr>
                <w:rFonts w:ascii="仿宋_GB2312"/>
                <w:kern w:val="2"/>
                <w:szCs w:val="21"/>
              </w:rPr>
            </w:pPr>
            <w:r>
              <w:rPr>
                <w:rFonts w:hint="eastAsia" w:ascii="仿宋_GB2312"/>
                <w:bCs/>
                <w:caps/>
                <w:kern w:val="2"/>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87"/>
              <w:rPr>
                <w:rFonts w:ascii="仿宋_GB2312"/>
                <w:kern w:val="2"/>
                <w:szCs w:val="22"/>
              </w:rPr>
            </w:pPr>
            <w:r>
              <w:rPr>
                <w:rFonts w:hint="eastAsia" w:ascii="仿宋_GB2312"/>
                <w:kern w:val="2"/>
                <w:szCs w:val="22"/>
              </w:rPr>
              <w:t>2</w:t>
            </w:r>
          </w:p>
        </w:tc>
        <w:tc>
          <w:tcPr>
            <w:tcW w:w="1134" w:type="dxa"/>
            <w:vAlign w:val="center"/>
          </w:tcPr>
          <w:p>
            <w:pPr>
              <w:pStyle w:val="187"/>
              <w:rPr>
                <w:rFonts w:ascii="仿宋_GB2312"/>
                <w:kern w:val="2"/>
                <w:szCs w:val="21"/>
              </w:rPr>
            </w:pPr>
            <w:r>
              <w:rPr>
                <w:rFonts w:hint="eastAsia" w:ascii="仿宋_GB2312" w:hAnsi="宋体" w:cs="宋体"/>
                <w:kern w:val="2"/>
                <w:szCs w:val="21"/>
              </w:rPr>
              <w:t>盐酸</w:t>
            </w:r>
          </w:p>
        </w:tc>
        <w:tc>
          <w:tcPr>
            <w:tcW w:w="2127" w:type="dxa"/>
            <w:vAlign w:val="center"/>
          </w:tcPr>
          <w:p>
            <w:pPr>
              <w:pStyle w:val="187"/>
              <w:rPr>
                <w:rFonts w:ascii="仿宋_GB2312"/>
                <w:kern w:val="2"/>
                <w:szCs w:val="21"/>
              </w:rPr>
            </w:pPr>
            <w:r>
              <w:rPr>
                <w:rFonts w:hint="eastAsia" w:ascii="仿宋_GB2312"/>
                <w:bCs/>
                <w:caps/>
                <w:kern w:val="2"/>
                <w:szCs w:val="21"/>
              </w:rPr>
              <w:t>第8.1类酸性腐蚀品</w:t>
            </w:r>
          </w:p>
        </w:tc>
        <w:tc>
          <w:tcPr>
            <w:tcW w:w="850" w:type="dxa"/>
            <w:vAlign w:val="center"/>
          </w:tcPr>
          <w:p>
            <w:pPr>
              <w:pStyle w:val="187"/>
              <w:rPr>
                <w:rFonts w:ascii="仿宋_GB2312"/>
                <w:kern w:val="2"/>
                <w:sz w:val="24"/>
              </w:rPr>
            </w:pPr>
            <w:r>
              <w:rPr>
                <w:rFonts w:hint="eastAsia" w:ascii="仿宋_GB2312"/>
                <w:kern w:val="2"/>
                <w:sz w:val="24"/>
              </w:rPr>
              <w:t>50t</w:t>
            </w:r>
          </w:p>
        </w:tc>
        <w:tc>
          <w:tcPr>
            <w:tcW w:w="1276" w:type="dxa"/>
            <w:vAlign w:val="center"/>
          </w:tcPr>
          <w:p>
            <w:pPr>
              <w:pStyle w:val="187"/>
              <w:rPr>
                <w:rFonts w:ascii="仿宋_GB2312"/>
                <w:kern w:val="2"/>
                <w:sz w:val="24"/>
              </w:rPr>
            </w:pPr>
            <w:r>
              <w:rPr>
                <w:rFonts w:hint="eastAsia" w:ascii="仿宋_GB2312"/>
                <w:kern w:val="2"/>
                <w:sz w:val="24"/>
              </w:rPr>
              <w:t>3t</w:t>
            </w:r>
          </w:p>
        </w:tc>
        <w:tc>
          <w:tcPr>
            <w:tcW w:w="1701" w:type="dxa"/>
            <w:vAlign w:val="center"/>
          </w:tcPr>
          <w:p>
            <w:pPr>
              <w:pStyle w:val="187"/>
              <w:rPr>
                <w:rFonts w:ascii="仿宋_GB2312"/>
                <w:kern w:val="2"/>
                <w:szCs w:val="21"/>
              </w:rPr>
            </w:pPr>
            <w:r>
              <w:rPr>
                <w:rFonts w:hint="eastAsia" w:ascii="仿宋_GB2312"/>
                <w:bCs/>
                <w:caps/>
                <w:kern w:val="2"/>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87"/>
              <w:rPr>
                <w:rFonts w:ascii="仿宋_GB2312"/>
                <w:kern w:val="2"/>
                <w:szCs w:val="22"/>
              </w:rPr>
            </w:pPr>
            <w:r>
              <w:rPr>
                <w:rFonts w:hint="eastAsia" w:ascii="仿宋_GB2312"/>
                <w:kern w:val="2"/>
                <w:szCs w:val="22"/>
              </w:rPr>
              <w:t>3</w:t>
            </w:r>
          </w:p>
        </w:tc>
        <w:tc>
          <w:tcPr>
            <w:tcW w:w="1134" w:type="dxa"/>
            <w:vAlign w:val="center"/>
          </w:tcPr>
          <w:p>
            <w:pPr>
              <w:pStyle w:val="187"/>
              <w:rPr>
                <w:rFonts w:ascii="仿宋_GB2312" w:hAnsi="宋体" w:cs="宋体"/>
                <w:kern w:val="2"/>
                <w:szCs w:val="21"/>
              </w:rPr>
            </w:pPr>
            <w:r>
              <w:rPr>
                <w:rFonts w:hint="eastAsia" w:ascii="仿宋_GB2312" w:cs="仿宋_GB2312"/>
                <w:kern w:val="2"/>
                <w:szCs w:val="21"/>
                <w:lang w:val="zh-CN"/>
              </w:rPr>
              <w:t>氯酸钠</w:t>
            </w:r>
          </w:p>
        </w:tc>
        <w:tc>
          <w:tcPr>
            <w:tcW w:w="2127" w:type="dxa"/>
            <w:vAlign w:val="center"/>
          </w:tcPr>
          <w:p>
            <w:pPr>
              <w:pStyle w:val="187"/>
              <w:rPr>
                <w:rFonts w:ascii="仿宋_GB2312"/>
                <w:bCs/>
                <w:caps/>
                <w:kern w:val="2"/>
                <w:szCs w:val="21"/>
              </w:rPr>
            </w:pPr>
            <w:r>
              <w:rPr>
                <w:rFonts w:hint="eastAsia" w:ascii="仿宋_GB2312"/>
                <w:bCs/>
                <w:caps/>
                <w:kern w:val="2"/>
                <w:szCs w:val="21"/>
              </w:rPr>
              <w:t>第5.1类氧化剂</w:t>
            </w:r>
          </w:p>
        </w:tc>
        <w:tc>
          <w:tcPr>
            <w:tcW w:w="850" w:type="dxa"/>
            <w:vAlign w:val="center"/>
          </w:tcPr>
          <w:p>
            <w:pPr>
              <w:pStyle w:val="187"/>
              <w:rPr>
                <w:rFonts w:ascii="仿宋_GB2312"/>
                <w:kern w:val="2"/>
                <w:sz w:val="24"/>
              </w:rPr>
            </w:pPr>
            <w:r>
              <w:rPr>
                <w:rFonts w:hint="eastAsia" w:ascii="仿宋_GB2312"/>
                <w:kern w:val="2"/>
                <w:sz w:val="24"/>
              </w:rPr>
              <w:t>100t*</w:t>
            </w:r>
          </w:p>
        </w:tc>
        <w:tc>
          <w:tcPr>
            <w:tcW w:w="1276" w:type="dxa"/>
            <w:vAlign w:val="center"/>
          </w:tcPr>
          <w:p>
            <w:pPr>
              <w:pStyle w:val="187"/>
              <w:rPr>
                <w:rFonts w:ascii="仿宋_GB2312"/>
                <w:kern w:val="2"/>
                <w:sz w:val="24"/>
              </w:rPr>
            </w:pPr>
            <w:r>
              <w:rPr>
                <w:rFonts w:hint="eastAsia" w:ascii="仿宋_GB2312"/>
                <w:kern w:val="2"/>
                <w:sz w:val="24"/>
              </w:rPr>
              <w:t>3t</w:t>
            </w:r>
          </w:p>
        </w:tc>
        <w:tc>
          <w:tcPr>
            <w:tcW w:w="1701" w:type="dxa"/>
            <w:vAlign w:val="center"/>
          </w:tcPr>
          <w:p>
            <w:pPr>
              <w:pStyle w:val="187"/>
              <w:rPr>
                <w:rFonts w:ascii="仿宋_GB2312"/>
                <w:bCs/>
                <w:caps/>
                <w:kern w:val="2"/>
                <w:szCs w:val="21"/>
              </w:rPr>
            </w:pPr>
            <w:r>
              <w:rPr>
                <w:rFonts w:hint="eastAsia" w:ascii="仿宋_GB2312"/>
                <w:bCs/>
                <w:caps/>
                <w:kern w:val="2"/>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tcBorders>
              <w:bottom w:val="thinThickSmallGap" w:color="auto" w:sz="24" w:space="0"/>
            </w:tcBorders>
            <w:vAlign w:val="center"/>
          </w:tcPr>
          <w:p>
            <w:pPr>
              <w:pStyle w:val="187"/>
              <w:rPr>
                <w:rFonts w:ascii="仿宋_GB2312"/>
                <w:kern w:val="2"/>
                <w:szCs w:val="22"/>
              </w:rPr>
            </w:pPr>
            <w:r>
              <w:rPr>
                <w:rFonts w:hint="eastAsia" w:ascii="仿宋_GB2312"/>
                <w:kern w:val="2"/>
                <w:szCs w:val="22"/>
              </w:rPr>
              <w:t>4</w:t>
            </w:r>
          </w:p>
        </w:tc>
        <w:tc>
          <w:tcPr>
            <w:tcW w:w="1134" w:type="dxa"/>
            <w:tcBorders>
              <w:bottom w:val="thinThickSmallGap" w:color="auto" w:sz="24" w:space="0"/>
            </w:tcBorders>
            <w:vAlign w:val="center"/>
          </w:tcPr>
          <w:p>
            <w:pPr>
              <w:pStyle w:val="187"/>
              <w:rPr>
                <w:rFonts w:ascii="仿宋_GB2312" w:cs="仿宋_GB2312"/>
                <w:kern w:val="2"/>
                <w:szCs w:val="21"/>
                <w:lang w:val="zh-CN"/>
              </w:rPr>
            </w:pPr>
            <w:r>
              <w:rPr>
                <w:rFonts w:hint="eastAsia" w:ascii="仿宋_GB2312" w:hAnsi="宋体"/>
                <w:kern w:val="2"/>
                <w:szCs w:val="22"/>
              </w:rPr>
              <w:t>二氧化氯</w:t>
            </w:r>
          </w:p>
        </w:tc>
        <w:tc>
          <w:tcPr>
            <w:tcW w:w="2127" w:type="dxa"/>
            <w:tcBorders>
              <w:bottom w:val="thinThickSmallGap" w:color="auto" w:sz="24" w:space="0"/>
            </w:tcBorders>
            <w:vAlign w:val="center"/>
          </w:tcPr>
          <w:p>
            <w:pPr>
              <w:pStyle w:val="187"/>
              <w:rPr>
                <w:rFonts w:ascii="仿宋_GB2312"/>
                <w:bCs/>
                <w:caps/>
                <w:kern w:val="2"/>
                <w:szCs w:val="21"/>
              </w:rPr>
            </w:pPr>
            <w:r>
              <w:rPr>
                <w:rFonts w:hint="eastAsia" w:ascii="仿宋_GB2312"/>
                <w:bCs/>
                <w:caps/>
                <w:kern w:val="2"/>
                <w:szCs w:val="21"/>
              </w:rPr>
              <w:t>第1A类剧毒品</w:t>
            </w:r>
          </w:p>
        </w:tc>
        <w:tc>
          <w:tcPr>
            <w:tcW w:w="850" w:type="dxa"/>
            <w:tcBorders>
              <w:bottom w:val="thinThickSmallGap" w:color="auto" w:sz="24" w:space="0"/>
            </w:tcBorders>
            <w:vAlign w:val="center"/>
          </w:tcPr>
          <w:p>
            <w:pPr>
              <w:pStyle w:val="187"/>
              <w:rPr>
                <w:rFonts w:ascii="仿宋_GB2312"/>
                <w:kern w:val="2"/>
                <w:sz w:val="24"/>
              </w:rPr>
            </w:pPr>
            <w:r>
              <w:rPr>
                <w:rFonts w:hint="eastAsia" w:ascii="仿宋_GB2312"/>
                <w:kern w:val="2"/>
                <w:sz w:val="24"/>
              </w:rPr>
              <w:t>0.5 t</w:t>
            </w:r>
          </w:p>
        </w:tc>
        <w:tc>
          <w:tcPr>
            <w:tcW w:w="1276" w:type="dxa"/>
            <w:tcBorders>
              <w:bottom w:val="thinThickSmallGap" w:color="auto" w:sz="24" w:space="0"/>
            </w:tcBorders>
            <w:vAlign w:val="center"/>
          </w:tcPr>
          <w:p>
            <w:pPr>
              <w:pStyle w:val="187"/>
              <w:rPr>
                <w:rFonts w:ascii="仿宋_GB2312"/>
                <w:kern w:val="2"/>
                <w:sz w:val="24"/>
              </w:rPr>
            </w:pPr>
            <w:r>
              <w:rPr>
                <w:rFonts w:hint="eastAsia" w:ascii="仿宋_GB2312"/>
                <w:kern w:val="2"/>
                <w:sz w:val="24"/>
              </w:rPr>
              <w:t>0</w:t>
            </w:r>
          </w:p>
        </w:tc>
        <w:tc>
          <w:tcPr>
            <w:tcW w:w="1701" w:type="dxa"/>
            <w:tcBorders>
              <w:bottom w:val="thinThickSmallGap" w:color="auto" w:sz="24" w:space="0"/>
            </w:tcBorders>
            <w:vAlign w:val="center"/>
          </w:tcPr>
          <w:p>
            <w:pPr>
              <w:pStyle w:val="187"/>
              <w:rPr>
                <w:rFonts w:ascii="仿宋_GB2312"/>
                <w:bCs/>
                <w:caps/>
                <w:kern w:val="2"/>
                <w:szCs w:val="21"/>
              </w:rPr>
            </w:pPr>
            <w:r>
              <w:rPr>
                <w:rFonts w:hint="eastAsia" w:ascii="仿宋_GB2312"/>
                <w:bCs/>
                <w:caps/>
                <w:kern w:val="2"/>
                <w:szCs w:val="21"/>
              </w:rPr>
              <w:t>《危险化学品名录》（2002版</w:t>
            </w:r>
          </w:p>
        </w:tc>
        <w:tc>
          <w:tcPr>
            <w:tcW w:w="1417" w:type="dxa"/>
            <w:tcBorders>
              <w:bottom w:val="thinThickSmallGap" w:color="auto" w:sz="24" w:space="0"/>
            </w:tcBorders>
            <w:vAlign w:val="center"/>
          </w:tcPr>
          <w:p>
            <w:pPr>
              <w:jc w:val="center"/>
              <w:rPr>
                <w:rFonts w:ascii="仿宋_GB2312"/>
                <w:szCs w:val="21"/>
              </w:rPr>
            </w:pPr>
            <w:r>
              <w:rPr>
                <w:rFonts w:hint="eastAsia" w:ascii="仿宋_GB2312"/>
                <w:szCs w:val="21"/>
              </w:rPr>
              <w:t>否</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*代表该种物质临界量确定参考了 GB18218-2014中氧化性物质。**代表该物质临界量参考了《突发环境事件风险物质及临界量清单》有毒物质临界量。本项目氢氧化钠、氯酸钠、盐酸、二氧化氯均不构成重大危险源。</w:t>
      </w:r>
    </w:p>
    <w:p>
      <w:pPr>
        <w:pStyle w:val="101"/>
        <w:ind w:firstLine="0" w:firstLineChars="0"/>
        <w:rPr>
          <w:b/>
          <w:szCs w:val="28"/>
        </w:rPr>
      </w:pPr>
      <w:bookmarkStart w:id="232" w:name="_Toc458674261"/>
      <w:r>
        <w:rPr>
          <w:rFonts w:hint="eastAsia"/>
          <w:b/>
          <w:szCs w:val="28"/>
        </w:rPr>
        <w:t>3</w:t>
      </w:r>
      <w:r>
        <w:rPr>
          <w:b/>
          <w:szCs w:val="28"/>
        </w:rPr>
        <w:t>.4.</w:t>
      </w:r>
      <w:r>
        <w:rPr>
          <w:rFonts w:hint="eastAsia"/>
          <w:b/>
          <w:szCs w:val="28"/>
        </w:rPr>
        <w:t>3</w:t>
      </w:r>
      <w:r>
        <w:rPr>
          <w:b/>
          <w:szCs w:val="28"/>
        </w:rPr>
        <w:t>最大可信事故</w:t>
      </w:r>
      <w:bookmarkEnd w:id="231"/>
      <w:bookmarkEnd w:id="232"/>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最大可信事故是指在所有预测的概率不为零的事故中，对环境（健康）危害最严重的重大事故。其目的是针对典型事故进行环境风险分析，并不意味着其他事故不具环境风险。在项目的生产、贮存、运输等过程中，存在许多事故风险因素，风险评价不可能面面俱到，只能尽可能考虑对环境危害最大的事故风险。</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李渡大耍坝污水处理厂</w:t>
      </w:r>
      <w:r>
        <w:rPr>
          <w:rFonts w:cs="仿宋_GB2312" w:asciiTheme="minorEastAsia" w:hAnsiTheme="minorEastAsia" w:eastAsiaTheme="minorEastAsia"/>
          <w:kern w:val="0"/>
          <w:sz w:val="24"/>
          <w:szCs w:val="24"/>
        </w:rPr>
        <w:t>最主要的危险单元为盐酸储罐</w:t>
      </w:r>
      <w:r>
        <w:rPr>
          <w:rFonts w:hint="eastAsia" w:cs="仿宋_GB2312" w:asciiTheme="minorEastAsia" w:hAnsiTheme="minorEastAsia" w:eastAsiaTheme="minorEastAsia"/>
          <w:kern w:val="0"/>
          <w:sz w:val="24"/>
          <w:szCs w:val="24"/>
        </w:rPr>
        <w:t>和污水处理设施</w:t>
      </w:r>
      <w:r>
        <w:rPr>
          <w:rFonts w:cs="仿宋_GB2312" w:asciiTheme="minorEastAsia" w:hAnsiTheme="minorEastAsia" w:eastAsiaTheme="minorEastAsia"/>
          <w:kern w:val="0"/>
          <w:sz w:val="24"/>
          <w:szCs w:val="24"/>
        </w:rPr>
        <w:t>，因此最大可信事故为</w:t>
      </w:r>
      <w:r>
        <w:rPr>
          <w:rFonts w:hint="eastAsia" w:cs="仿宋_GB2312" w:asciiTheme="minorEastAsia" w:hAnsiTheme="minorEastAsia" w:eastAsiaTheme="minorEastAsia"/>
          <w:kern w:val="0"/>
          <w:sz w:val="24"/>
          <w:szCs w:val="24"/>
        </w:rPr>
        <w:t>盐酸储罐</w:t>
      </w:r>
      <w:r>
        <w:rPr>
          <w:rFonts w:cs="仿宋_GB2312" w:asciiTheme="minorEastAsia" w:hAnsiTheme="minorEastAsia" w:eastAsiaTheme="minorEastAsia"/>
          <w:kern w:val="0"/>
          <w:sz w:val="24"/>
          <w:szCs w:val="24"/>
        </w:rPr>
        <w:t>阀门和管道泄漏</w:t>
      </w:r>
      <w:r>
        <w:rPr>
          <w:rFonts w:hint="eastAsia" w:cs="仿宋_GB2312" w:asciiTheme="minorEastAsia" w:hAnsiTheme="minorEastAsia" w:eastAsiaTheme="minorEastAsia"/>
          <w:kern w:val="0"/>
          <w:sz w:val="24"/>
          <w:szCs w:val="24"/>
        </w:rPr>
        <w:t>、污水直接排放到地表水体、污水经处理后未达标排入地表水体；</w:t>
      </w:r>
      <w:r>
        <w:rPr>
          <w:rFonts w:cs="仿宋_GB2312" w:asciiTheme="minorEastAsia" w:hAnsiTheme="minorEastAsia" w:eastAsiaTheme="minorEastAsia"/>
          <w:kern w:val="0"/>
          <w:sz w:val="24"/>
          <w:szCs w:val="24"/>
        </w:rPr>
        <w:t>典型事故为阀门和管道出现损坏或腐蚀而发生连续泄漏，造成污染事故</w:t>
      </w:r>
      <w:r>
        <w:rPr>
          <w:rFonts w:hint="eastAsia" w:cs="仿宋_GB2312" w:asciiTheme="minorEastAsia" w:hAnsiTheme="minorEastAsia" w:eastAsiaTheme="minorEastAsia"/>
          <w:kern w:val="0"/>
          <w:sz w:val="24"/>
          <w:szCs w:val="24"/>
        </w:rPr>
        <w:t>；停电、自然灾害、设备设施故障导则厂区内的污水直接进入地表水体、或经处理后未达标进入地表水体，造成污染事故</w:t>
      </w:r>
      <w:r>
        <w:rPr>
          <w:rFonts w:cs="仿宋_GB2312" w:asciiTheme="minorEastAsia" w:hAnsiTheme="minorEastAsia" w:eastAsiaTheme="minorEastAsia"/>
          <w:kern w:val="0"/>
          <w:sz w:val="24"/>
          <w:szCs w:val="24"/>
        </w:rPr>
        <w:t>。</w:t>
      </w:r>
    </w:p>
    <w:p>
      <w:pPr>
        <w:adjustRightInd w:val="0"/>
        <w:snapToGrid w:val="0"/>
        <w:spacing w:line="460" w:lineRule="exact"/>
        <w:outlineLvl w:val="1"/>
        <w:rPr>
          <w:b/>
          <w:color w:val="000000"/>
          <w:sz w:val="28"/>
          <w:szCs w:val="28"/>
        </w:rPr>
      </w:pPr>
      <w:bookmarkStart w:id="233" w:name="_Toc14436"/>
      <w:bookmarkStart w:id="234" w:name="_Toc458674263"/>
      <w:r>
        <w:rPr>
          <w:rFonts w:hint="eastAsia"/>
          <w:b/>
          <w:color w:val="000000"/>
          <w:sz w:val="28"/>
          <w:szCs w:val="28"/>
        </w:rPr>
        <w:t>3</w:t>
      </w:r>
      <w:r>
        <w:rPr>
          <w:b/>
          <w:color w:val="000000"/>
          <w:sz w:val="28"/>
          <w:szCs w:val="28"/>
        </w:rPr>
        <w:t>.5企业突发环境事件影响分析</w:t>
      </w:r>
      <w:bookmarkEnd w:id="233"/>
      <w:bookmarkEnd w:id="234"/>
    </w:p>
    <w:p>
      <w:pPr>
        <w:adjustRightInd w:val="0"/>
        <w:snapToGrid w:val="0"/>
        <w:spacing w:line="460" w:lineRule="exact"/>
        <w:outlineLvl w:val="1"/>
        <w:rPr>
          <w:b/>
          <w:color w:val="000000"/>
          <w:sz w:val="28"/>
          <w:szCs w:val="28"/>
        </w:rPr>
      </w:pPr>
      <w:bookmarkStart w:id="235" w:name="_Toc458674262"/>
      <w:bookmarkStart w:id="236" w:name="_Toc19334"/>
      <w:r>
        <w:rPr>
          <w:rFonts w:hint="eastAsia"/>
          <w:b/>
          <w:color w:val="000000"/>
          <w:sz w:val="28"/>
          <w:szCs w:val="28"/>
        </w:rPr>
        <w:t>3</w:t>
      </w:r>
      <w:r>
        <w:rPr>
          <w:b/>
          <w:color w:val="000000"/>
          <w:sz w:val="28"/>
          <w:szCs w:val="28"/>
        </w:rPr>
        <w:t>.</w:t>
      </w:r>
      <w:r>
        <w:rPr>
          <w:rFonts w:hint="eastAsia"/>
          <w:b/>
          <w:color w:val="000000"/>
          <w:sz w:val="28"/>
          <w:szCs w:val="28"/>
        </w:rPr>
        <w:t>5</w:t>
      </w:r>
      <w:r>
        <w:rPr>
          <w:b/>
          <w:color w:val="000000"/>
          <w:sz w:val="28"/>
          <w:szCs w:val="28"/>
        </w:rPr>
        <w:t>.</w:t>
      </w:r>
      <w:bookmarkEnd w:id="235"/>
      <w:r>
        <w:rPr>
          <w:rFonts w:hint="eastAsia"/>
          <w:b/>
          <w:color w:val="000000"/>
          <w:sz w:val="28"/>
          <w:szCs w:val="28"/>
        </w:rPr>
        <w:t>1盐酸泄漏影响分析</w:t>
      </w:r>
      <w:bookmarkEnd w:id="236"/>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李渡大耍坝污水处理厂突发环境事件风险评估报告》，</w:t>
      </w:r>
      <w:r>
        <w:rPr>
          <w:rFonts w:cs="仿宋_GB2312" w:asciiTheme="minorEastAsia" w:hAnsiTheme="minorEastAsia" w:eastAsiaTheme="minorEastAsia"/>
          <w:kern w:val="0"/>
          <w:sz w:val="24"/>
          <w:szCs w:val="24"/>
        </w:rPr>
        <w:t>企业发生盐酸泄漏后30min内最大落地浓度为618.45mg/m3，出现14.6m处（厂界范围内）；同时会出现危险生命和健康（IDLH）浓度，最大影响范围最大约</w:t>
      </w:r>
      <w:r>
        <w:rPr>
          <w:rFonts w:hint="eastAsia" w:cs="仿宋_GB2312" w:asciiTheme="minorEastAsia" w:hAnsiTheme="minorEastAsia" w:eastAsiaTheme="minorEastAsia"/>
          <w:kern w:val="0"/>
          <w:sz w:val="24"/>
          <w:szCs w:val="24"/>
        </w:rPr>
        <w:t>50</w:t>
      </w:r>
      <w:r>
        <w:rPr>
          <w:rFonts w:cs="仿宋_GB2312" w:asciiTheme="minorEastAsia" w:hAnsiTheme="minorEastAsia" w:eastAsiaTheme="minorEastAsia"/>
          <w:kern w:val="0"/>
          <w:sz w:val="24"/>
          <w:szCs w:val="24"/>
        </w:rPr>
        <w:t>m（厂界范围内）。企业周边最近敏感点主要为零星居民，距离企业最近约为</w:t>
      </w:r>
      <w:r>
        <w:rPr>
          <w:rFonts w:hint="eastAsia" w:cs="仿宋_GB2312" w:asciiTheme="minorEastAsia" w:hAnsiTheme="minorEastAsia" w:eastAsiaTheme="minorEastAsia"/>
          <w:kern w:val="0"/>
          <w:sz w:val="24"/>
          <w:szCs w:val="24"/>
        </w:rPr>
        <w:t>500</w:t>
      </w:r>
      <w:r>
        <w:rPr>
          <w:rFonts w:cs="仿宋_GB2312" w:asciiTheme="minorEastAsia" w:hAnsiTheme="minorEastAsia" w:eastAsiaTheme="minorEastAsia"/>
          <w:kern w:val="0"/>
          <w:sz w:val="24"/>
          <w:szCs w:val="24"/>
        </w:rPr>
        <w:t>m，所以在发生泄漏事故时，不需要对周边零星居民进行疏散。</w:t>
      </w:r>
    </w:p>
    <w:p>
      <w:pPr>
        <w:adjustRightInd w:val="0"/>
        <w:snapToGrid w:val="0"/>
        <w:spacing w:line="460" w:lineRule="exact"/>
        <w:outlineLvl w:val="1"/>
        <w:rPr>
          <w:b/>
          <w:color w:val="000000"/>
          <w:sz w:val="28"/>
          <w:szCs w:val="28"/>
        </w:rPr>
      </w:pPr>
      <w:bookmarkStart w:id="237" w:name="_Toc26446"/>
      <w:r>
        <w:rPr>
          <w:rFonts w:hint="eastAsia"/>
          <w:b/>
          <w:color w:val="000000"/>
          <w:sz w:val="28"/>
          <w:szCs w:val="28"/>
        </w:rPr>
        <w:t>3</w:t>
      </w:r>
      <w:r>
        <w:rPr>
          <w:b/>
          <w:color w:val="000000"/>
          <w:sz w:val="28"/>
          <w:szCs w:val="28"/>
        </w:rPr>
        <w:t>.</w:t>
      </w:r>
      <w:r>
        <w:rPr>
          <w:rFonts w:hint="eastAsia"/>
          <w:b/>
          <w:color w:val="000000"/>
          <w:sz w:val="28"/>
          <w:szCs w:val="28"/>
        </w:rPr>
        <w:t>5</w:t>
      </w:r>
      <w:r>
        <w:rPr>
          <w:b/>
          <w:color w:val="000000"/>
          <w:sz w:val="28"/>
          <w:szCs w:val="28"/>
        </w:rPr>
        <w:t>.</w:t>
      </w:r>
      <w:r>
        <w:rPr>
          <w:rFonts w:hint="eastAsia"/>
          <w:b/>
          <w:color w:val="000000"/>
          <w:sz w:val="28"/>
          <w:szCs w:val="28"/>
        </w:rPr>
        <w:t>2污水直接排放影响分析</w:t>
      </w:r>
      <w:bookmarkEnd w:id="237"/>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李渡大耍坝污水处理厂突发环境事件风险评估报告》，企业在突发环境事件情况下，污水直接排放到外环境中，对地表水（高水位+175m）环境的影响预测结果如下：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2000m处预测浓度接近背景浓度，因此，企业他发环境事件污水直接排放对地表水的影响范围为横向1~100m，流向1~2000m范围。COD、NH3-N最大浓度贡献值与现状监测值叠加后，预测浓度值分别在</w:t>
      </w:r>
      <w:r>
        <w:rPr>
          <w:rFonts w:hint="eastAsia" w:cs="仿宋_GB2312" w:asciiTheme="minorEastAsia" w:hAnsiTheme="minorEastAsia" w:eastAsiaTheme="minorEastAsia"/>
          <w:kern w:val="0"/>
          <w:sz w:val="24"/>
          <w:szCs w:val="24"/>
        </w:rPr>
        <w:t>14.00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28.83</w:t>
      </w:r>
      <w:r>
        <w:rPr>
          <w:rFonts w:cs="仿宋_GB2312" w:asciiTheme="minorEastAsia" w:hAnsiTheme="minorEastAsia" w:eastAsiaTheme="minorEastAsia"/>
          <w:kern w:val="0"/>
          <w:sz w:val="24"/>
          <w:szCs w:val="24"/>
        </w:rPr>
        <w:t>mg/L、0.</w:t>
      </w:r>
      <w:r>
        <w:rPr>
          <w:rFonts w:hint="eastAsia" w:cs="仿宋_GB2312" w:asciiTheme="minorEastAsia" w:hAnsiTheme="minorEastAsia" w:eastAsiaTheme="minorEastAsia"/>
          <w:kern w:val="0"/>
          <w:sz w:val="24"/>
          <w:szCs w:val="24"/>
        </w:rPr>
        <w:t>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1.66</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28.83</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1.66</w:t>
      </w:r>
      <w:r>
        <w:rPr>
          <w:rFonts w:cs="仿宋_GB2312" w:asciiTheme="minorEastAsia" w:hAnsiTheme="minorEastAsia" w:eastAsiaTheme="minorEastAsia"/>
          <w:kern w:val="0"/>
          <w:sz w:val="24"/>
          <w:szCs w:val="24"/>
        </w:rPr>
        <w:t>mg/Lmg/L，其中NH3-N均满足《地表水环境质量标准》Ⅲ类水域水质标准要求，COD超过《地表水环境质量标准》Ⅲ类水域水质标准要求，超标区域为COD：横向河宽1~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5</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12</w:t>
      </w:r>
      <w:r>
        <w:rPr>
          <w:rFonts w:cs="仿宋_GB2312" w:asciiTheme="minorEastAsia" w:hAnsiTheme="minorEastAsia" w:eastAsiaTheme="minorEastAsia"/>
          <w:kern w:val="0"/>
          <w:sz w:val="24"/>
          <w:szCs w:val="24"/>
        </w:rPr>
        <w:t>m。根据企业周边地表水环境风险受体调查，高水位（+175m）时段，</w:t>
      </w:r>
      <w:r>
        <w:rPr>
          <w:rFonts w:hint="eastAsia" w:cs="仿宋_GB2312" w:asciiTheme="minorEastAsia" w:hAnsiTheme="minorEastAsia" w:eastAsiaTheme="minorEastAsia"/>
          <w:kern w:val="0"/>
          <w:sz w:val="24"/>
          <w:szCs w:val="24"/>
        </w:rPr>
        <w:t>李渡大耍坝污水处理厂</w:t>
      </w:r>
      <w:r>
        <w:rPr>
          <w:rFonts w:cs="仿宋_GB2312" w:asciiTheme="minorEastAsia" w:hAnsiTheme="minorEastAsia" w:eastAsiaTheme="minorEastAsia"/>
          <w:kern w:val="0"/>
          <w:sz w:val="24"/>
          <w:szCs w:val="24"/>
        </w:rPr>
        <w:t>突发环境事件直接排放情况下，对长江水环境有一定的影响，</w:t>
      </w:r>
      <w:r>
        <w:rPr>
          <w:rFonts w:hint="eastAsia" w:cs="仿宋_GB2312" w:asciiTheme="minorEastAsia" w:hAnsiTheme="minorEastAsia" w:eastAsiaTheme="minorEastAsia"/>
          <w:kern w:val="0"/>
          <w:sz w:val="24"/>
          <w:szCs w:val="24"/>
          <w:lang w:eastAsia="zh-CN"/>
        </w:rPr>
        <w:t>对</w:t>
      </w:r>
      <w:r>
        <w:rPr>
          <w:rFonts w:cs="仿宋_GB2312" w:asciiTheme="minorEastAsia" w:hAnsiTheme="minorEastAsia" w:eastAsiaTheme="minorEastAsia"/>
          <w:kern w:val="0"/>
          <w:sz w:val="24"/>
          <w:szCs w:val="24"/>
        </w:rPr>
        <w:t>地表</w:t>
      </w:r>
      <w:r>
        <w:rPr>
          <w:rFonts w:hint="eastAsia" w:cs="仿宋_GB2312" w:asciiTheme="minorEastAsia" w:hAnsiTheme="minorEastAsia" w:eastAsiaTheme="minorEastAsia"/>
          <w:kern w:val="0"/>
          <w:sz w:val="24"/>
          <w:szCs w:val="24"/>
          <w:lang w:eastAsia="zh-CN"/>
        </w:rPr>
        <w:t>水</w:t>
      </w:r>
      <w:r>
        <w:rPr>
          <w:rFonts w:cs="仿宋_GB2312" w:asciiTheme="minorEastAsia" w:hAnsiTheme="minorEastAsia" w:eastAsiaTheme="minorEastAsia"/>
          <w:kern w:val="0"/>
          <w:sz w:val="24"/>
          <w:szCs w:val="24"/>
        </w:rPr>
        <w:t>风险受体影响较小。</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李渡大耍坝污水处理厂突发环境事件风险评估报告》，企业在突发环境事件情况下，污水直接排放到外环境中，对地表水（低水位+145m）环境的影响预测结果如下：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200m处预测接近背景浓度，在河流流向4000m处预测浓度接近背景浓度，因此，企业他发环境事件污水直接排放对地表水的影响范围为横向1~</w:t>
      </w:r>
      <w:r>
        <w:rPr>
          <w:rFonts w:hint="eastAsia" w:cs="仿宋_GB2312" w:asciiTheme="minorEastAsia" w:hAnsiTheme="minorEastAsia" w:eastAsiaTheme="minorEastAsia"/>
          <w:kern w:val="0"/>
          <w:sz w:val="24"/>
          <w:szCs w:val="24"/>
        </w:rPr>
        <w:t>1</w:t>
      </w:r>
      <w:r>
        <w:rPr>
          <w:rFonts w:cs="仿宋_GB2312" w:asciiTheme="minorEastAsia" w:hAnsiTheme="minorEastAsia" w:eastAsiaTheme="minorEastAsia"/>
          <w:kern w:val="0"/>
          <w:sz w:val="24"/>
          <w:szCs w:val="24"/>
        </w:rPr>
        <w:t>0m，流向1~4000m范围。COD、NH3-N最大浓度贡献值与现状监测值叠加后，预测浓度值分别在</w:t>
      </w:r>
      <w:r>
        <w:rPr>
          <w:rFonts w:hint="eastAsia" w:cs="仿宋_GB2312" w:asciiTheme="minorEastAsia" w:hAnsiTheme="minorEastAsia" w:eastAsiaTheme="minorEastAsia"/>
          <w:kern w:val="0"/>
          <w:sz w:val="24"/>
          <w:szCs w:val="24"/>
        </w:rPr>
        <w:t>14.0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mg/L，其中NH3-N均满足《地表水环境质量标准》Ⅲ类水域水质标准要求，COD超过《地表水环境质量标准》Ⅲ类水域水质标准要求，超标区域为COD：横向河宽1~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3</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6</w:t>
      </w:r>
      <w:r>
        <w:rPr>
          <w:rFonts w:cs="仿宋_GB2312" w:asciiTheme="minorEastAsia" w:hAnsiTheme="minorEastAsia" w:eastAsiaTheme="minorEastAsia"/>
          <w:kern w:val="0"/>
          <w:sz w:val="24"/>
          <w:szCs w:val="24"/>
        </w:rPr>
        <w:t>m。根据企业周边地表水环境风险受体调查，低水位（+145m）时段，</w:t>
      </w:r>
      <w:r>
        <w:rPr>
          <w:rFonts w:hint="eastAsia" w:cs="仿宋_GB2312" w:asciiTheme="minorEastAsia" w:hAnsiTheme="minorEastAsia" w:eastAsiaTheme="minorEastAsia"/>
          <w:kern w:val="0"/>
          <w:sz w:val="24"/>
          <w:szCs w:val="24"/>
        </w:rPr>
        <w:t>李渡大耍坝污水处理厂</w:t>
      </w:r>
      <w:r>
        <w:rPr>
          <w:rFonts w:cs="仿宋_GB2312" w:asciiTheme="minorEastAsia" w:hAnsiTheme="minorEastAsia" w:eastAsiaTheme="minorEastAsia"/>
          <w:kern w:val="0"/>
          <w:sz w:val="24"/>
          <w:szCs w:val="24"/>
        </w:rPr>
        <w:t>突发环境事件直接排放情况下，对长江地表水</w:t>
      </w:r>
      <w:r>
        <w:rPr>
          <w:rFonts w:hint="eastAsia" w:cs="仿宋_GB2312" w:asciiTheme="minorEastAsia" w:hAnsiTheme="minorEastAsia" w:eastAsiaTheme="minorEastAsia"/>
          <w:kern w:val="0"/>
          <w:sz w:val="24"/>
          <w:szCs w:val="24"/>
        </w:rPr>
        <w:t>环境影响较小</w:t>
      </w:r>
      <w:r>
        <w:rPr>
          <w:rFonts w:cs="仿宋_GB2312" w:asciiTheme="minorEastAsia" w:hAnsiTheme="minorEastAsia" w:eastAsiaTheme="minorEastAsia"/>
          <w:kern w:val="0"/>
          <w:sz w:val="24"/>
          <w:szCs w:val="24"/>
        </w:rPr>
        <w:t>。</w:t>
      </w:r>
    </w:p>
    <w:p>
      <w:pPr>
        <w:adjustRightInd w:val="0"/>
        <w:snapToGrid w:val="0"/>
        <w:spacing w:line="460" w:lineRule="exact"/>
        <w:outlineLvl w:val="1"/>
        <w:rPr>
          <w:b/>
          <w:color w:val="000000"/>
          <w:sz w:val="28"/>
          <w:szCs w:val="28"/>
        </w:rPr>
      </w:pPr>
      <w:bookmarkStart w:id="238" w:name="_Toc6874"/>
      <w:r>
        <w:rPr>
          <w:rFonts w:hint="eastAsia"/>
          <w:b/>
          <w:color w:val="000000"/>
          <w:sz w:val="28"/>
          <w:szCs w:val="28"/>
        </w:rPr>
        <w:t>3</w:t>
      </w:r>
      <w:r>
        <w:rPr>
          <w:b/>
          <w:color w:val="000000"/>
          <w:sz w:val="28"/>
          <w:szCs w:val="28"/>
        </w:rPr>
        <w:t>.</w:t>
      </w:r>
      <w:r>
        <w:rPr>
          <w:rFonts w:hint="eastAsia"/>
          <w:b/>
          <w:color w:val="000000"/>
          <w:sz w:val="28"/>
          <w:szCs w:val="28"/>
        </w:rPr>
        <w:t>5</w:t>
      </w:r>
      <w:r>
        <w:rPr>
          <w:b/>
          <w:color w:val="000000"/>
          <w:sz w:val="28"/>
          <w:szCs w:val="28"/>
        </w:rPr>
        <w:t>.</w:t>
      </w:r>
      <w:r>
        <w:rPr>
          <w:rFonts w:hint="eastAsia"/>
          <w:b/>
          <w:color w:val="000000"/>
          <w:sz w:val="28"/>
          <w:szCs w:val="28"/>
        </w:rPr>
        <w:t>3污水经处理后未达标排放影响分析</w:t>
      </w:r>
      <w:bookmarkEnd w:id="238"/>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李渡大耍坝污水处理厂突发环境事件风险评估报告》，企业在突发环境事件情况下，污水经处理后，由于处理效果不</w:t>
      </w:r>
      <w:r>
        <w:rPr>
          <w:rFonts w:hint="eastAsia" w:cs="仿宋_GB2312" w:asciiTheme="minorEastAsia" w:hAnsiTheme="minorEastAsia" w:eastAsiaTheme="minorEastAsia"/>
          <w:kern w:val="0"/>
          <w:sz w:val="24"/>
          <w:szCs w:val="24"/>
          <w:lang w:eastAsia="zh-CN"/>
        </w:rPr>
        <w:t>理想</w:t>
      </w:r>
      <w:bookmarkStart w:id="906" w:name="_GoBack"/>
      <w:bookmarkEnd w:id="906"/>
      <w:r>
        <w:rPr>
          <w:rFonts w:hint="eastAsia" w:cs="仿宋_GB2312" w:asciiTheme="minorEastAsia" w:hAnsiTheme="minorEastAsia" w:eastAsiaTheme="minorEastAsia"/>
          <w:kern w:val="0"/>
          <w:sz w:val="24"/>
          <w:szCs w:val="24"/>
        </w:rPr>
        <w:t>未达标排放到外环境中，对地表水（高水位+175m）环境的影响预测结果如下：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COD、NH3-N的浓度整体随河流流向逐渐衰减，随河流横向河宽逐渐衰减。其中COD、NH3-N在河流横向河宽100m处预测接近背景浓度，在河流流向3000m处预测浓度接近背景浓度，因此，企业他发环境事件</w:t>
      </w:r>
      <w:r>
        <w:rPr>
          <w:rFonts w:hint="eastAsia" w:cs="仿宋_GB2312" w:asciiTheme="minorEastAsia" w:hAnsiTheme="minorEastAsia" w:eastAsiaTheme="minorEastAsia"/>
          <w:kern w:val="0"/>
          <w:sz w:val="24"/>
          <w:szCs w:val="24"/>
        </w:rPr>
        <w:t>污水经处理未达标排放</w:t>
      </w:r>
      <w:r>
        <w:rPr>
          <w:rFonts w:cs="仿宋_GB2312" w:asciiTheme="minorEastAsia" w:hAnsiTheme="minorEastAsia" w:eastAsiaTheme="minorEastAsia"/>
          <w:kern w:val="0"/>
          <w:sz w:val="24"/>
          <w:szCs w:val="24"/>
        </w:rPr>
        <w:t>对地表水的影响范围为横向1~100m，流向1~3000m范围。COD、NH3-N最大浓度贡献值与现状监测值叠加后，预测浓度值分别在</w:t>
      </w:r>
      <w:r>
        <w:rPr>
          <w:rFonts w:hint="eastAsia" w:cs="仿宋_GB2312" w:asciiTheme="minorEastAsia" w:hAnsiTheme="minorEastAsia" w:eastAsiaTheme="minorEastAsia"/>
          <w:kern w:val="0"/>
          <w:sz w:val="24"/>
          <w:szCs w:val="24"/>
        </w:rPr>
        <w:t>14.0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20.17</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0.87</w:t>
      </w:r>
      <w:r>
        <w:rPr>
          <w:rFonts w:cs="仿宋_GB2312" w:asciiTheme="minorEastAsia" w:hAnsiTheme="minorEastAsia" w:eastAsiaTheme="minorEastAsia"/>
          <w:kern w:val="0"/>
          <w:sz w:val="24"/>
          <w:szCs w:val="24"/>
        </w:rPr>
        <w:t>mg/L之间，最大浓度值分别为9.65mg/L、1.53mg/L，其中NH3-N满足《地表水环境质量标准》Ⅲ类水域水质标准要求，COD超过《地表水环境质量标准》Ⅲ类水域水质标准要求，超标区域为COD：横向河宽1~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2</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5</w:t>
      </w:r>
      <w:r>
        <w:rPr>
          <w:rFonts w:cs="仿宋_GB2312" w:asciiTheme="minorEastAsia" w:hAnsiTheme="minorEastAsia" w:eastAsiaTheme="minorEastAsia"/>
          <w:kern w:val="0"/>
          <w:sz w:val="24"/>
          <w:szCs w:val="24"/>
        </w:rPr>
        <w:t>m。根据企业周边地表水环境风险受体调查，高水位（+175m）时段，</w:t>
      </w:r>
      <w:r>
        <w:rPr>
          <w:rFonts w:hint="eastAsia" w:cs="仿宋_GB2312" w:asciiTheme="minorEastAsia" w:hAnsiTheme="minorEastAsia" w:eastAsiaTheme="minorEastAsia"/>
          <w:kern w:val="0"/>
          <w:sz w:val="24"/>
          <w:szCs w:val="24"/>
        </w:rPr>
        <w:t>李渡大耍坝污水处理厂</w:t>
      </w:r>
      <w:r>
        <w:rPr>
          <w:rFonts w:cs="仿宋_GB2312" w:asciiTheme="minorEastAsia" w:hAnsiTheme="minorEastAsia" w:eastAsiaTheme="minorEastAsia"/>
          <w:kern w:val="0"/>
          <w:sz w:val="24"/>
          <w:szCs w:val="24"/>
        </w:rPr>
        <w:t>突发环境事件直接排放情况下，对长江水环境有一定的影响，</w:t>
      </w:r>
      <w:r>
        <w:rPr>
          <w:rFonts w:hint="eastAsia" w:cs="仿宋_GB2312" w:asciiTheme="minorEastAsia" w:hAnsiTheme="minorEastAsia" w:eastAsiaTheme="minorEastAsia"/>
          <w:kern w:val="0"/>
          <w:sz w:val="24"/>
          <w:szCs w:val="24"/>
          <w:lang w:eastAsia="zh-CN"/>
        </w:rPr>
        <w:t>对</w:t>
      </w:r>
      <w:r>
        <w:rPr>
          <w:rFonts w:cs="仿宋_GB2312" w:asciiTheme="minorEastAsia" w:hAnsiTheme="minorEastAsia" w:eastAsiaTheme="minorEastAsia"/>
          <w:kern w:val="0"/>
          <w:sz w:val="24"/>
          <w:szCs w:val="24"/>
        </w:rPr>
        <w:t>地表</w:t>
      </w:r>
      <w:r>
        <w:rPr>
          <w:rFonts w:hint="eastAsia" w:cs="仿宋_GB2312" w:asciiTheme="minorEastAsia" w:hAnsiTheme="minorEastAsia" w:eastAsiaTheme="minorEastAsia"/>
          <w:kern w:val="0"/>
          <w:sz w:val="24"/>
          <w:szCs w:val="24"/>
          <w:lang w:eastAsia="zh-CN"/>
        </w:rPr>
        <w:t>水</w:t>
      </w:r>
      <w:r>
        <w:rPr>
          <w:rFonts w:cs="仿宋_GB2312" w:asciiTheme="minorEastAsia" w:hAnsiTheme="minorEastAsia" w:eastAsiaTheme="minorEastAsia"/>
          <w:kern w:val="0"/>
          <w:sz w:val="24"/>
          <w:szCs w:val="24"/>
        </w:rPr>
        <w:t>风险受体影响较小。</w:t>
      </w:r>
    </w:p>
    <w:p>
      <w:pPr>
        <w:spacing w:line="460" w:lineRule="exact"/>
        <w:ind w:firstLine="480" w:firstLineChars="200"/>
        <w:jc w:val="left"/>
        <w:rPr>
          <w:rFonts w:cs="仿宋_GB2312" w:asciiTheme="minorEastAsia" w:hAnsiTheme="minorEastAsia" w:eastAsiaTheme="minorEastAsia"/>
          <w:kern w:val="0"/>
          <w:sz w:val="24"/>
          <w:szCs w:val="24"/>
        </w:rPr>
        <w:sectPr>
          <w:pgSz w:w="11906" w:h="16838"/>
          <w:pgMar w:top="1247" w:right="1531" w:bottom="1247" w:left="1531" w:header="851" w:footer="992" w:gutter="0"/>
          <w:cols w:space="425" w:num="1"/>
          <w:docGrid w:type="linesAndChars" w:linePitch="312" w:charSpace="0"/>
        </w:sect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李渡大耍坝污水处理厂突发环境事件风险评估报告》，企业在突发环境事件情况下，污水经处理后，由于处理效果不</w:t>
      </w:r>
      <w:r>
        <w:rPr>
          <w:rFonts w:hint="eastAsia" w:cs="仿宋_GB2312" w:asciiTheme="minorEastAsia" w:hAnsiTheme="minorEastAsia" w:eastAsiaTheme="minorEastAsia"/>
          <w:kern w:val="0"/>
          <w:sz w:val="24"/>
          <w:szCs w:val="24"/>
          <w:lang w:eastAsia="zh-CN"/>
        </w:rPr>
        <w:t>理想</w:t>
      </w:r>
      <w:r>
        <w:rPr>
          <w:rFonts w:hint="eastAsia" w:cs="仿宋_GB2312" w:asciiTheme="minorEastAsia" w:hAnsiTheme="minorEastAsia" w:eastAsiaTheme="minorEastAsia"/>
          <w:kern w:val="0"/>
          <w:sz w:val="24"/>
          <w:szCs w:val="24"/>
        </w:rPr>
        <w:t>未达标排放到外环境中，对地表水（高水位+145m）环境的影响预测结果如下：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1500m处预测浓度接近背景浓度，因此，企业他发环境事件污水直接排放对地表水的影响范围为横向1~100m，流向1~1500m范围。COD、NH3-N最大浓度贡献值与现状监测值叠加后，预测浓度值分别在</w:t>
      </w:r>
      <w:r>
        <w:rPr>
          <w:rFonts w:hint="eastAsia" w:cs="仿宋_GB2312" w:asciiTheme="minorEastAsia" w:hAnsiTheme="minorEastAsia" w:eastAsiaTheme="minorEastAsia"/>
          <w:kern w:val="0"/>
          <w:sz w:val="24"/>
          <w:szCs w:val="24"/>
        </w:rPr>
        <w:t>14.00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其中NH3-N满足《地表水环境质量标准》Ⅲ类水域水质标准要求，COD超过《地表水环境质量标准》Ⅲ类水域水质标准要求，超标区域为COD：横向河宽1~20m，流向1~100m.。根据企业周边地表水环境风险受体调查，低水位（+145m）时段，</w:t>
      </w:r>
      <w:r>
        <w:rPr>
          <w:rFonts w:hint="eastAsia" w:cs="仿宋_GB2312" w:asciiTheme="minorEastAsia" w:hAnsiTheme="minorEastAsia" w:eastAsiaTheme="minorEastAsia"/>
          <w:kern w:val="0"/>
          <w:sz w:val="24"/>
          <w:szCs w:val="24"/>
        </w:rPr>
        <w:t>李渡大耍坝污水处理厂</w:t>
      </w:r>
      <w:r>
        <w:rPr>
          <w:rFonts w:cs="仿宋_GB2312" w:asciiTheme="minorEastAsia" w:hAnsiTheme="minorEastAsia" w:eastAsiaTheme="minorEastAsia"/>
          <w:kern w:val="0"/>
          <w:sz w:val="24"/>
          <w:szCs w:val="24"/>
        </w:rPr>
        <w:t>突发环境事件污染物未达标排放情况下，对长江水环境及地表水风险受体</w:t>
      </w:r>
      <w:r>
        <w:rPr>
          <w:rFonts w:hint="eastAsia" w:cs="仿宋_GB2312" w:asciiTheme="minorEastAsia" w:hAnsiTheme="minorEastAsia" w:eastAsiaTheme="minorEastAsia"/>
          <w:kern w:val="0"/>
          <w:sz w:val="24"/>
          <w:szCs w:val="24"/>
        </w:rPr>
        <w:t>影响较小</w:t>
      </w:r>
      <w:r>
        <w:rPr>
          <w:rFonts w:cs="仿宋_GB2312" w:asciiTheme="minorEastAsia" w:hAnsiTheme="minorEastAsia" w:eastAsiaTheme="minorEastAsia"/>
          <w:kern w:val="0"/>
          <w:sz w:val="24"/>
          <w:szCs w:val="24"/>
        </w:rPr>
        <w:t>。</w:t>
      </w:r>
    </w:p>
    <w:p>
      <w:pPr>
        <w:adjustRightInd w:val="0"/>
        <w:snapToGrid w:val="0"/>
        <w:spacing w:line="460" w:lineRule="exact"/>
        <w:outlineLvl w:val="1"/>
        <w:rPr>
          <w:b/>
          <w:color w:val="000000"/>
          <w:sz w:val="28"/>
          <w:szCs w:val="28"/>
        </w:rPr>
      </w:pPr>
      <w:bookmarkStart w:id="239" w:name="_Toc6203"/>
      <w:bookmarkStart w:id="240" w:name="_Toc376848495"/>
      <w:bookmarkStart w:id="241" w:name="_Toc458674265"/>
      <w:r>
        <w:rPr>
          <w:rFonts w:hint="eastAsia"/>
          <w:b/>
          <w:color w:val="000000"/>
          <w:sz w:val="28"/>
          <w:szCs w:val="28"/>
        </w:rPr>
        <w:t>3</w:t>
      </w:r>
      <w:r>
        <w:rPr>
          <w:b/>
          <w:color w:val="000000"/>
          <w:sz w:val="28"/>
          <w:szCs w:val="28"/>
        </w:rPr>
        <w:t>.</w:t>
      </w:r>
      <w:r>
        <w:rPr>
          <w:rFonts w:hint="eastAsia"/>
          <w:b/>
          <w:color w:val="000000"/>
          <w:sz w:val="28"/>
          <w:szCs w:val="28"/>
        </w:rPr>
        <w:t>6</w:t>
      </w:r>
      <w:r>
        <w:rPr>
          <w:b/>
          <w:color w:val="000000"/>
          <w:sz w:val="28"/>
          <w:szCs w:val="28"/>
        </w:rPr>
        <w:t>现有风险防范措施</w:t>
      </w:r>
      <w:bookmarkEnd w:id="239"/>
      <w:bookmarkEnd w:id="240"/>
      <w:bookmarkEnd w:id="241"/>
    </w:p>
    <w:p>
      <w:pPr>
        <w:pStyle w:val="101"/>
        <w:ind w:firstLine="0" w:firstLineChars="0"/>
        <w:rPr>
          <w:b/>
          <w:szCs w:val="28"/>
        </w:rPr>
      </w:pPr>
      <w:bookmarkStart w:id="242" w:name="_Toc458674266"/>
      <w:bookmarkStart w:id="243" w:name="_Toc346872569"/>
      <w:bookmarkStart w:id="244" w:name="_Toc317088632"/>
      <w:r>
        <w:rPr>
          <w:rFonts w:hint="eastAsia"/>
          <w:b/>
          <w:szCs w:val="28"/>
        </w:rPr>
        <w:t>3</w:t>
      </w:r>
      <w:r>
        <w:rPr>
          <w:b/>
          <w:szCs w:val="28"/>
        </w:rPr>
        <w:t>.</w:t>
      </w:r>
      <w:r>
        <w:rPr>
          <w:rFonts w:hint="eastAsia"/>
          <w:b/>
          <w:szCs w:val="28"/>
        </w:rPr>
        <w:t>6</w:t>
      </w:r>
      <w:r>
        <w:rPr>
          <w:b/>
          <w:szCs w:val="28"/>
        </w:rPr>
        <w:t>.1 总体布局</w:t>
      </w:r>
      <w:bookmarkEnd w:id="242"/>
      <w:bookmarkEnd w:id="243"/>
      <w:bookmarkEnd w:id="244"/>
    </w:p>
    <w:p>
      <w:pPr>
        <w:spacing w:line="460" w:lineRule="exact"/>
        <w:ind w:firstLine="486"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总平面布置中，充分考虑了总体布置的安全性，总图布置较合理，各管线和辅助装置均按功能分区布置，并充分考虑消防和疏散通道问题，有利于风险事故的防范和处理。</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总图布置符合GB50016-2006《建筑设计防火规范》和国家现行的“总图运输设计规范”及相关管理规定的要求。</w:t>
      </w:r>
    </w:p>
    <w:p>
      <w:pPr>
        <w:pStyle w:val="101"/>
        <w:ind w:firstLine="0" w:firstLineChars="0"/>
        <w:rPr>
          <w:b/>
          <w:szCs w:val="28"/>
        </w:rPr>
      </w:pPr>
      <w:bookmarkStart w:id="245" w:name="_Toc317088633"/>
      <w:bookmarkStart w:id="246" w:name="_Toc458674267"/>
      <w:bookmarkStart w:id="247" w:name="_Toc346872570"/>
      <w:r>
        <w:rPr>
          <w:rFonts w:hint="eastAsia"/>
          <w:b/>
          <w:szCs w:val="28"/>
        </w:rPr>
        <w:t>3</w:t>
      </w:r>
      <w:r>
        <w:rPr>
          <w:b/>
          <w:szCs w:val="28"/>
        </w:rPr>
        <w:t>.</w:t>
      </w:r>
      <w:r>
        <w:rPr>
          <w:rFonts w:hint="eastAsia"/>
          <w:b/>
          <w:szCs w:val="28"/>
        </w:rPr>
        <w:t>6</w:t>
      </w:r>
      <w:r>
        <w:rPr>
          <w:b/>
          <w:szCs w:val="28"/>
        </w:rPr>
        <w:t xml:space="preserve">.2 </w:t>
      </w:r>
      <w:bookmarkEnd w:id="245"/>
      <w:bookmarkEnd w:id="246"/>
      <w:bookmarkEnd w:id="247"/>
      <w:r>
        <w:rPr>
          <w:rFonts w:hint="eastAsia"/>
          <w:b/>
          <w:szCs w:val="28"/>
        </w:rPr>
        <w:t>盐酸加药间风险防范措施</w:t>
      </w:r>
    </w:p>
    <w:p>
      <w:pPr>
        <w:spacing w:line="460" w:lineRule="exact"/>
        <w:ind w:firstLine="486" w:firstLineChars="200"/>
        <w:jc w:val="left"/>
        <w:rPr>
          <w:rFonts w:cs="仿宋_GB2312" w:asciiTheme="minorEastAsia" w:hAnsiTheme="minorEastAsia" w:eastAsiaTheme="minorEastAsia"/>
          <w:kern w:val="0"/>
          <w:sz w:val="24"/>
          <w:szCs w:val="24"/>
        </w:rPr>
      </w:pPr>
      <w:bookmarkStart w:id="248" w:name="_Toc317088634"/>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各建筑物严格按照GB50016-2006《建筑设计防火规范》及相应规定要求予以设计。盐酸储罐采用</w:t>
      </w:r>
      <w:r>
        <w:rPr>
          <w:rFonts w:hint="eastAsia" w:cs="仿宋_GB2312" w:asciiTheme="minorEastAsia" w:hAnsiTheme="minorEastAsia" w:eastAsiaTheme="minorEastAsia"/>
          <w:kern w:val="0"/>
          <w:sz w:val="24"/>
          <w:szCs w:val="24"/>
        </w:rPr>
        <w:t>玻璃钢</w:t>
      </w:r>
      <w:r>
        <w:rPr>
          <w:rFonts w:cs="仿宋_GB2312" w:asciiTheme="minorEastAsia" w:hAnsiTheme="minorEastAsia" w:eastAsiaTheme="minorEastAsia"/>
          <w:kern w:val="0"/>
          <w:sz w:val="24"/>
          <w:szCs w:val="24"/>
        </w:rPr>
        <w:t>体，置于</w:t>
      </w:r>
      <w:r>
        <w:rPr>
          <w:rFonts w:hint="eastAsia" w:cs="仿宋_GB2312" w:asciiTheme="minorEastAsia" w:hAnsiTheme="minorEastAsia" w:eastAsiaTheme="minorEastAsia"/>
          <w:kern w:val="0"/>
          <w:sz w:val="24"/>
          <w:szCs w:val="24"/>
        </w:rPr>
        <w:t>加药间</w:t>
      </w:r>
      <w:r>
        <w:rPr>
          <w:rFonts w:cs="仿宋_GB2312" w:asciiTheme="minorEastAsia" w:hAnsiTheme="minorEastAsia" w:eastAsiaTheme="minorEastAsia"/>
          <w:kern w:val="0"/>
          <w:sz w:val="24"/>
          <w:szCs w:val="24"/>
        </w:rPr>
        <w:t>内，并修建了围堰，地面采用混泥土进行了硬化处理。厂区各处设置了消防栓，安装摆放了消防箱，放置灭火器等。在</w:t>
      </w:r>
      <w:r>
        <w:rPr>
          <w:rFonts w:hint="eastAsia" w:cs="仿宋_GB2312" w:asciiTheme="minorEastAsia" w:hAnsiTheme="minorEastAsia" w:eastAsiaTheme="minorEastAsia"/>
          <w:kern w:val="0"/>
          <w:sz w:val="24"/>
          <w:szCs w:val="24"/>
        </w:rPr>
        <w:t>存储间</w:t>
      </w:r>
      <w:r>
        <w:rPr>
          <w:rFonts w:cs="仿宋_GB2312" w:asciiTheme="minorEastAsia" w:hAnsiTheme="minorEastAsia" w:eastAsiaTheme="minorEastAsia"/>
          <w:kern w:val="0"/>
          <w:sz w:val="24"/>
          <w:szCs w:val="24"/>
        </w:rPr>
        <w:t>外设置了喷淋措施、洗眼设施等应急装置。</w:t>
      </w:r>
    </w:p>
    <w:p>
      <w:pPr>
        <w:pStyle w:val="101"/>
        <w:ind w:firstLine="0" w:firstLineChars="0"/>
        <w:rPr>
          <w:b/>
          <w:szCs w:val="28"/>
        </w:rPr>
      </w:pPr>
      <w:bookmarkStart w:id="249" w:name="_Toc346872571"/>
      <w:bookmarkStart w:id="250" w:name="_Toc458674268"/>
      <w:r>
        <w:rPr>
          <w:rFonts w:hint="eastAsia"/>
          <w:b/>
          <w:szCs w:val="28"/>
        </w:rPr>
        <w:t>3</w:t>
      </w:r>
      <w:r>
        <w:rPr>
          <w:b/>
          <w:szCs w:val="28"/>
        </w:rPr>
        <w:t>.</w:t>
      </w:r>
      <w:r>
        <w:rPr>
          <w:rFonts w:hint="eastAsia"/>
          <w:b/>
          <w:szCs w:val="28"/>
        </w:rPr>
        <w:t>6</w:t>
      </w:r>
      <w:r>
        <w:rPr>
          <w:b/>
          <w:szCs w:val="28"/>
        </w:rPr>
        <w:t xml:space="preserve">.3 </w:t>
      </w:r>
      <w:bookmarkEnd w:id="248"/>
      <w:bookmarkEnd w:id="249"/>
      <w:r>
        <w:rPr>
          <w:b/>
          <w:szCs w:val="28"/>
        </w:rPr>
        <w:t>加氯加药间风险防范措施</w:t>
      </w:r>
      <w:bookmarkEnd w:id="250"/>
    </w:p>
    <w:p>
      <w:pPr>
        <w:spacing w:line="460" w:lineRule="exact"/>
        <w:ind w:firstLine="486" w:firstLineChars="200"/>
        <w:jc w:val="left"/>
        <w:rPr>
          <w:rFonts w:cs="仿宋_GB2312" w:asciiTheme="minorEastAsia" w:hAnsiTheme="minorEastAsia" w:eastAsiaTheme="minorEastAsia"/>
          <w:kern w:val="0"/>
          <w:sz w:val="24"/>
          <w:szCs w:val="24"/>
        </w:rPr>
      </w:pPr>
      <w:bookmarkStart w:id="251" w:name="_Toc317088635"/>
      <w:r>
        <w:rPr>
          <w:rFonts w:cs="仿宋_GB2312" w:asciiTheme="minorEastAsia" w:hAnsiTheme="minorEastAsia" w:eastAsiaTheme="minorEastAsia"/>
          <w:kern w:val="0"/>
          <w:sz w:val="24"/>
          <w:szCs w:val="24"/>
        </w:rPr>
        <w:t xml:space="preserve">(1) </w:t>
      </w:r>
      <w:r>
        <w:rPr>
          <w:rFonts w:hint="eastAsia" w:cs="仿宋_GB2312" w:asciiTheme="minorEastAsia" w:hAnsiTheme="minorEastAsia" w:eastAsiaTheme="minorEastAsia"/>
          <w:kern w:val="0"/>
          <w:sz w:val="24"/>
          <w:szCs w:val="24"/>
        </w:rPr>
        <w:t>氯酸钠</w:t>
      </w:r>
      <w:r>
        <w:rPr>
          <w:rFonts w:cs="仿宋_GB2312" w:asciiTheme="minorEastAsia" w:hAnsiTheme="minorEastAsia" w:eastAsiaTheme="minorEastAsia"/>
          <w:kern w:val="0"/>
          <w:sz w:val="24"/>
          <w:szCs w:val="24"/>
        </w:rPr>
        <w:t>储罐设置围堰，围堰、地面进行防渗、防腐措施。</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(2)建立环境管理与风险防范制度，制定环境风险应急预案和落实环境风险防范措施，定期开展应急预案演习，并派专人负责，杜绝跑冒滴漏现象，防止因事故引发环境污染。</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 针对盐酸、二氧化氯泄漏挥发出的氯化氢、二氧化氯气体配备气体监测报警装置。二氧化氯发生器设置了报警开关，一旦发生泄漏开关自动关闭。</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(4) 加氯加药间配备消防应急物资，设置了防毒面具、喷淋中和设施、防护服、防护眼罩、应急灯、堵漏等设施。</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(5)厂区设置风险事故应急撤离路线指示标及风向标、物料标识、危险标识，安装集中监控报警和连锁装置。加强对输送管线、各物料储存场所、闸阀、法兰、各类仪表等部位的检查和校验。</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(6)凡容易发生事故或危及生命安全的场所和设备，以及需要提醒操作人员注意的地点，均按标准设置有各种安全标志，并安装有防爆应急灯。</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(7)涉及危化品操作的人员均配置适量个人防护用具，如过滤式防毒面具、防护服等。</w:t>
      </w:r>
    </w:p>
    <w:p>
      <w:pPr>
        <w:pStyle w:val="101"/>
        <w:ind w:firstLine="0" w:firstLineChars="0"/>
        <w:rPr>
          <w:b/>
          <w:szCs w:val="28"/>
        </w:rPr>
      </w:pPr>
      <w:bookmarkStart w:id="252" w:name="_Toc458674269"/>
      <w:bookmarkStart w:id="253" w:name="_Toc346872572"/>
      <w:r>
        <w:rPr>
          <w:rFonts w:hint="eastAsia"/>
          <w:b/>
          <w:szCs w:val="28"/>
        </w:rPr>
        <w:t>3</w:t>
      </w:r>
      <w:r>
        <w:rPr>
          <w:b/>
          <w:szCs w:val="28"/>
        </w:rPr>
        <w:t>.</w:t>
      </w:r>
      <w:r>
        <w:rPr>
          <w:rFonts w:hint="eastAsia"/>
          <w:b/>
          <w:szCs w:val="28"/>
        </w:rPr>
        <w:t>6</w:t>
      </w:r>
      <w:r>
        <w:rPr>
          <w:b/>
          <w:szCs w:val="28"/>
        </w:rPr>
        <w:t>.4</w:t>
      </w:r>
      <w:bookmarkEnd w:id="251"/>
      <w:r>
        <w:rPr>
          <w:b/>
          <w:szCs w:val="28"/>
        </w:rPr>
        <w:t>污水处理设备风险防范措施</w:t>
      </w:r>
      <w:bookmarkEnd w:id="252"/>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 设置出水、进水水质在线监测装置，定期监测出水水质，防止污水未达标排放。</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(2)定期对污水治理设施设备进行检查，维护保养，减少设备出现故障概率。</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 配备双回路电源，防止停电等发生时对污水处理设备无法正常运营。</w:t>
      </w:r>
    </w:p>
    <w:p>
      <w:pPr>
        <w:pStyle w:val="101"/>
        <w:ind w:firstLine="0" w:firstLineChars="0"/>
        <w:rPr>
          <w:b/>
          <w:szCs w:val="28"/>
        </w:rPr>
      </w:pPr>
      <w:bookmarkStart w:id="254" w:name="_Toc458674270"/>
      <w:r>
        <w:rPr>
          <w:rFonts w:hint="eastAsia"/>
          <w:b/>
          <w:szCs w:val="28"/>
        </w:rPr>
        <w:t>3</w:t>
      </w:r>
      <w:r>
        <w:rPr>
          <w:b/>
          <w:szCs w:val="28"/>
        </w:rPr>
        <w:t>.</w:t>
      </w:r>
      <w:r>
        <w:rPr>
          <w:rFonts w:hint="eastAsia"/>
          <w:b/>
          <w:szCs w:val="28"/>
        </w:rPr>
        <w:t>6</w:t>
      </w:r>
      <w:r>
        <w:rPr>
          <w:b/>
          <w:szCs w:val="28"/>
        </w:rPr>
        <w:t>.5</w:t>
      </w:r>
      <w:r>
        <w:rPr>
          <w:rFonts w:hint="eastAsia"/>
          <w:b/>
          <w:szCs w:val="28"/>
        </w:rPr>
        <w:t>工艺</w:t>
      </w:r>
      <w:r>
        <w:rPr>
          <w:b/>
          <w:szCs w:val="28"/>
        </w:rPr>
        <w:t>设备</w:t>
      </w:r>
      <w:bookmarkEnd w:id="253"/>
      <w:bookmarkEnd w:id="254"/>
      <w:r>
        <w:rPr>
          <w:rFonts w:hint="eastAsia"/>
          <w:b/>
          <w:szCs w:val="28"/>
        </w:rPr>
        <w:t>保障</w:t>
      </w:r>
    </w:p>
    <w:p>
      <w:pPr>
        <w:spacing w:line="460" w:lineRule="exact"/>
        <w:ind w:firstLine="486"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采用先进、成熟、可靠的工艺技术和设备，减少了“跑、冒、滴、漏”；在生产中应加强生产装置的安全管理，按国家规定的有关安全生产的规章制度进行定期检测，做到生产装置不带“病”上岗，保证不泄漏。</w:t>
      </w:r>
    </w:p>
    <w:p>
      <w:pPr>
        <w:pStyle w:val="101"/>
        <w:ind w:firstLine="0" w:firstLineChars="0"/>
        <w:rPr>
          <w:b/>
          <w:szCs w:val="28"/>
        </w:rPr>
      </w:pPr>
      <w:bookmarkStart w:id="255" w:name="_Toc346872573"/>
      <w:bookmarkStart w:id="256" w:name="_Toc458674271"/>
      <w:r>
        <w:rPr>
          <w:rFonts w:hint="eastAsia"/>
          <w:b/>
          <w:szCs w:val="28"/>
        </w:rPr>
        <w:t>3</w:t>
      </w:r>
      <w:r>
        <w:rPr>
          <w:b/>
          <w:szCs w:val="28"/>
        </w:rPr>
        <w:t>.</w:t>
      </w:r>
      <w:r>
        <w:rPr>
          <w:rFonts w:hint="eastAsia"/>
          <w:b/>
          <w:szCs w:val="28"/>
        </w:rPr>
        <w:t>6</w:t>
      </w:r>
      <w:r>
        <w:rPr>
          <w:b/>
          <w:szCs w:val="28"/>
        </w:rPr>
        <w:t>.6 消防依托</w:t>
      </w:r>
      <w:bookmarkEnd w:id="255"/>
      <w:bookmarkEnd w:id="256"/>
    </w:p>
    <w:p>
      <w:pPr>
        <w:spacing w:line="460" w:lineRule="exact"/>
        <w:ind w:firstLine="486"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组建有自己的义务消防队，由公司当日值班人员组成。接到报警后5min能赶到现场展开应急救援工作。</w:t>
      </w:r>
    </w:p>
    <w:p>
      <w:pPr>
        <w:spacing w:line="460" w:lineRule="exact"/>
        <w:ind w:firstLine="486"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厂区配有符合消防要求的消火栓，并配备一定数量的干粉灭火器、消防沙箱，厂区内消防通道道路畅通。</w:t>
      </w:r>
    </w:p>
    <w:p>
      <w:pPr>
        <w:pStyle w:val="101"/>
        <w:ind w:firstLine="0" w:firstLineChars="0"/>
        <w:rPr>
          <w:b/>
          <w:szCs w:val="28"/>
        </w:rPr>
      </w:pPr>
      <w:bookmarkStart w:id="257" w:name="_Toc458674272"/>
      <w:r>
        <w:rPr>
          <w:rFonts w:hint="eastAsia"/>
          <w:b/>
          <w:szCs w:val="28"/>
        </w:rPr>
        <w:t>3</w:t>
      </w:r>
      <w:r>
        <w:rPr>
          <w:b/>
          <w:szCs w:val="28"/>
        </w:rPr>
        <w:t>.</w:t>
      </w:r>
      <w:r>
        <w:rPr>
          <w:rFonts w:hint="eastAsia"/>
          <w:b/>
          <w:szCs w:val="28"/>
        </w:rPr>
        <w:t>6</w:t>
      </w:r>
      <w:r>
        <w:rPr>
          <w:b/>
          <w:szCs w:val="28"/>
        </w:rPr>
        <w:t>.7 生产管理</w:t>
      </w:r>
      <w:bookmarkEnd w:id="257"/>
    </w:p>
    <w:p>
      <w:pPr>
        <w:spacing w:line="460" w:lineRule="exact"/>
        <w:ind w:firstLine="486"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设置了专门的管理机构负责安全、消防和环保的管理工作，制定了完善的管理制度。每个岗位制定有相应的安全操作规程，并在车间上墙，时刻提醒工作人员规范操作。危险化学品操作人员均持证上岗，压力容器作业人员和锅炉作业人员持有特殊工种上岗证。加强对员工的安全、环保意识的教育，实行持证上岗，并配备了完善的消防设施。</w:t>
      </w: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pStyle w:val="101"/>
        <w:ind w:firstLine="0" w:firstLineChars="0"/>
        <w:rPr>
          <w:rFonts w:asciiTheme="minorEastAsia" w:hAnsiTheme="minorEastAsia" w:eastAsiaTheme="minorEastAsia"/>
          <w:b/>
          <w:sz w:val="32"/>
        </w:rPr>
      </w:pP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258" w:name="_Toc4600"/>
      <w:r>
        <w:rPr>
          <w:rFonts w:hint="eastAsia" w:asciiTheme="minorEastAsia" w:hAnsiTheme="minorEastAsia" w:eastAsiaTheme="minorEastAsia"/>
          <w:b/>
          <w:color w:val="000000"/>
          <w:sz w:val="32"/>
        </w:rPr>
        <w:t>4应急组织及职责</w:t>
      </w:r>
      <w:bookmarkEnd w:id="205"/>
      <w:bookmarkEnd w:id="206"/>
      <w:bookmarkEnd w:id="207"/>
      <w:bookmarkEnd w:id="208"/>
      <w:bookmarkEnd w:id="209"/>
      <w:bookmarkEnd w:id="210"/>
      <w:bookmarkEnd w:id="211"/>
      <w:bookmarkEnd w:id="212"/>
      <w:bookmarkEnd w:id="213"/>
      <w:bookmarkEnd w:id="214"/>
      <w:bookmarkEnd w:id="215"/>
      <w:bookmarkEnd w:id="258"/>
    </w:p>
    <w:p>
      <w:pPr>
        <w:adjustRightInd w:val="0"/>
        <w:snapToGrid w:val="0"/>
        <w:spacing w:line="460" w:lineRule="exact"/>
        <w:outlineLvl w:val="1"/>
        <w:rPr>
          <w:b/>
          <w:color w:val="000000"/>
          <w:sz w:val="28"/>
          <w:szCs w:val="28"/>
        </w:rPr>
      </w:pPr>
      <w:bookmarkStart w:id="259" w:name="_Toc24916"/>
      <w:bookmarkStart w:id="260" w:name="_Toc262040272"/>
      <w:bookmarkStart w:id="261" w:name="_Toc262050862"/>
      <w:bookmarkStart w:id="262" w:name="_Toc262051112"/>
      <w:bookmarkStart w:id="263" w:name="_Toc262051533"/>
      <w:bookmarkStart w:id="264" w:name="_Toc304833229"/>
      <w:bookmarkStart w:id="265" w:name="_Toc304962952"/>
      <w:bookmarkStart w:id="266" w:name="_Toc304963596"/>
      <w:bookmarkStart w:id="267" w:name="_Toc304964439"/>
      <w:bookmarkStart w:id="268" w:name="_Toc310580998"/>
      <w:bookmarkStart w:id="269" w:name="_Toc310581485"/>
      <w:bookmarkStart w:id="270" w:name="_Toc351103342"/>
      <w:bookmarkStart w:id="271" w:name="_Toc351319181"/>
      <w:bookmarkStart w:id="272" w:name="_Toc387131423"/>
      <w:bookmarkStart w:id="273" w:name="_Toc387131497"/>
      <w:bookmarkStart w:id="274" w:name="_Toc387131754"/>
      <w:bookmarkStart w:id="275" w:name="_Toc408274431"/>
      <w:bookmarkStart w:id="276" w:name="_Toc415254538"/>
      <w:bookmarkStart w:id="277" w:name="_Toc1469"/>
      <w:bookmarkStart w:id="278" w:name="_Toc304833230"/>
      <w:bookmarkStart w:id="279" w:name="_Toc304962953"/>
      <w:bookmarkStart w:id="280" w:name="_Toc304963597"/>
      <w:bookmarkStart w:id="281" w:name="_Toc304964440"/>
      <w:bookmarkStart w:id="282" w:name="_Toc336326847"/>
      <w:bookmarkStart w:id="283" w:name="_Toc336327125"/>
      <w:r>
        <w:rPr>
          <w:rFonts w:hint="eastAsia"/>
          <w:b/>
          <w:color w:val="000000"/>
          <w:sz w:val="28"/>
          <w:szCs w:val="28"/>
        </w:rPr>
        <w:t>4.1应急组织机构图</w:t>
      </w:r>
      <w:bookmarkEnd w:id="259"/>
    </w:p>
    <w:p>
      <w:pPr>
        <w:pStyle w:val="340"/>
        <w:spacing w:before="156" w:line="460" w:lineRule="exact"/>
        <w:ind w:firstLine="426" w:firstLineChars="150"/>
        <w:rPr>
          <w:rFonts w:asciiTheme="minorEastAsia" w:hAnsiTheme="minorEastAsia" w:eastAsiaTheme="minorEastAsia"/>
          <w:b/>
          <w:sz w:val="28"/>
          <w:szCs w:val="28"/>
        </w:rPr>
      </w:pPr>
      <w:bookmarkStart w:id="284" w:name="_Toc339024842"/>
      <w:bookmarkStart w:id="285" w:name="_Toc339024717"/>
      <w:bookmarkStart w:id="286" w:name="_Toc428803438"/>
      <w:r>
        <w:rPr>
          <w:rFonts w:hint="eastAsia" w:asciiTheme="minorEastAsia" w:hAnsiTheme="minorEastAsia" w:eastAsiaTheme="minorEastAsia"/>
          <w:b/>
          <w:szCs w:val="28"/>
        </w:rPr>
        <w:t>(</w:t>
      </w:r>
      <w:r>
        <w:rPr>
          <w:rFonts w:hint="eastAsia" w:asciiTheme="minorEastAsia" w:hAnsiTheme="minorEastAsia" w:eastAsiaTheme="minorEastAsia"/>
          <w:b/>
          <w:sz w:val="28"/>
          <w:szCs w:val="28"/>
        </w:rPr>
        <w:t>1)应急组织机构</w:t>
      </w:r>
      <w:bookmarkEnd w:id="284"/>
      <w:bookmarkEnd w:id="285"/>
      <w:bookmarkEnd w:id="286"/>
      <w:r>
        <w:rPr>
          <w:rFonts w:hint="eastAsia" w:asciiTheme="minorEastAsia" w:hAnsiTheme="minorEastAsia" w:eastAsiaTheme="minorEastAsia"/>
          <w:b/>
          <w:sz w:val="28"/>
          <w:szCs w:val="28"/>
        </w:rPr>
        <w:t>图</w:t>
      </w:r>
    </w:p>
    <w:p>
      <w:pPr>
        <w:ind w:firstLine="480"/>
        <w:rPr>
          <w:rFonts w:asciiTheme="minorEastAsia" w:hAnsiTheme="minorEastAsia" w:eastAsiaTheme="minorEastAsia"/>
          <w:b/>
          <w:sz w:val="28"/>
          <w:szCs w:val="28"/>
        </w:rPr>
      </w:pPr>
      <w:r>
        <w:rPr>
          <w:rFonts w:asciiTheme="minorEastAsia" w:hAnsiTheme="minorEastAsia" w:eastAsiaTheme="minorEastAsia"/>
          <w:szCs w:val="22"/>
        </w:rPr>
        <w:pict>
          <v:group id="_x0000_s4318" o:spid="_x0000_s4318" o:spt="203" style="position:absolute;left:0pt;margin-left:23.75pt;margin-top:2.85pt;height:247.05pt;width:397pt;z-index:251680768;mso-width-relative:page;mso-height-relative:page;" coordorigin="2453,1584" coordsize="6247,4305">
            <o:lock v:ext="edit"/>
            <v:rect id="Rectangle 65" o:spid="_x0000_s4319" o:spt="1" style="position:absolute;left:3823;top:4166;height:1713;width:540;" coordsize="21600,21600">
              <v:path/>
              <v:fill focussize="0,0"/>
              <v:stroke/>
              <v:imagedata o:title=""/>
              <o:lock v:ext="edit"/>
              <v:textbox>
                <w:txbxContent>
                  <w:p>
                    <w:pPr>
                      <w:pStyle w:val="187"/>
                      <w:rPr>
                        <w:rFonts w:ascii="宋体" w:hAnsi="宋体"/>
                      </w:rPr>
                    </w:pPr>
                    <w:r>
                      <w:rPr>
                        <w:rFonts w:hint="eastAsia" w:ascii="宋体" w:hAnsi="宋体"/>
                      </w:rPr>
                      <w:t>医疗救护组</w:t>
                    </w:r>
                  </w:p>
                </w:txbxContent>
              </v:textbox>
            </v:rect>
            <v:rect id="Rectangle 66" o:spid="_x0000_s4320" o:spt="1" style="position:absolute;left:5261;top:4176;height:1713;width:540;" coordsize="21600,21600">
              <v:path/>
              <v:fill focussize="0,0"/>
              <v:stroke/>
              <v:imagedata o:title=""/>
              <o:lock v:ext="edit"/>
              <v:textbox>
                <w:txbxContent>
                  <w:p>
                    <w:pPr>
                      <w:pStyle w:val="187"/>
                      <w:rPr>
                        <w:rFonts w:ascii="宋体" w:hAnsi="宋体"/>
                      </w:rPr>
                    </w:pPr>
                    <w:r>
                      <w:rPr>
                        <w:rFonts w:hint="eastAsia" w:ascii="宋体" w:hAnsi="宋体"/>
                      </w:rPr>
                      <w:t>警戒保卫组</w:t>
                    </w:r>
                  </w:p>
                </w:txbxContent>
              </v:textbox>
            </v:rect>
            <v:line id="Line 70" o:spid="_x0000_s4321" o:spt="20" style="position:absolute;left:2749;top:3759;flip:y;height:0;width:5661;" coordsize="21600,21600">
              <v:path arrowok="t"/>
              <v:fill focussize="0,0"/>
              <v:stroke/>
              <v:imagedata o:title=""/>
              <o:lock v:ext="edit"/>
            </v:line>
            <v:line id="Line 74" o:spid="_x0000_s4322" o:spt="20" style="position:absolute;left:5546;top:3755;height:421;width:1;" coordsize="21600,21600">
              <v:path arrowok="t"/>
              <v:fill focussize="0,0"/>
              <v:stroke endarrow="block"/>
              <v:imagedata o:title=""/>
              <o:lock v:ext="edit"/>
            </v:line>
            <v:line id="Line 75" o:spid="_x0000_s4323" o:spt="20" style="position:absolute;left:4073;top:3755;height:404;width:1;" coordsize="21600,21600">
              <v:path arrowok="t"/>
              <v:fill focussize="0,0"/>
              <v:stroke endarrow="block"/>
              <v:imagedata o:title=""/>
              <o:lock v:ext="edit"/>
            </v:line>
            <v:line id="Line 76" o:spid="_x0000_s4324" o:spt="20" style="position:absolute;left:2741;top:3755;height:421;width:1;" coordsize="21600,21600">
              <v:path arrowok="t"/>
              <v:fill focussize="0,0"/>
              <v:stroke endarrow="block"/>
              <v:imagedata o:title=""/>
              <o:lock v:ext="edit"/>
            </v:line>
            <v:line id="Line 79" o:spid="_x0000_s4325" o:spt="20" style="position:absolute;left:6972;top:3753;height:398;width:1;" coordsize="21600,21600">
              <v:path arrowok="t"/>
              <v:fill focussize="0,0"/>
              <v:stroke endarrow="block"/>
              <v:imagedata o:title=""/>
              <o:lock v:ext="edit"/>
            </v:line>
            <v:line id="Line 80" o:spid="_x0000_s4326" o:spt="20" style="position:absolute;left:8409;top:3742;height:409;width:1;" coordsize="21600,21600">
              <v:path arrowok="t"/>
              <v:fill focussize="0,0"/>
              <v:stroke endarrow="block"/>
              <v:imagedata o:title=""/>
              <o:lock v:ext="edit"/>
            </v:line>
            <v:rect id="Rectangle 87" o:spid="_x0000_s4327" o:spt="1" style="position:absolute;left:4176;top:1584;height:583;width:2728;" coordsize="21600,21600">
              <v:path/>
              <v:fill focussize="0,0"/>
              <v:stroke/>
              <v:imagedata o:title=""/>
              <o:lock v:ext="edit"/>
              <v:textbox>
                <w:txbxContent>
                  <w:p>
                    <w:pPr>
                      <w:pStyle w:val="187"/>
                      <w:rPr>
                        <w:rFonts w:ascii="宋体" w:hAnsi="宋体"/>
                        <w:sz w:val="24"/>
                      </w:rPr>
                    </w:pPr>
                    <w:r>
                      <w:rPr>
                        <w:rFonts w:hint="eastAsia" w:ascii="宋体" w:hAnsi="宋体"/>
                        <w:sz w:val="24"/>
                      </w:rPr>
                      <w:t xml:space="preserve"> </w:t>
                    </w:r>
                    <w:r>
                      <w:rPr>
                        <w:rFonts w:hint="eastAsia" w:ascii="宋体" w:hAnsi="宋体"/>
                      </w:rPr>
                      <w:t>公司应急救援总指挥部</w:t>
                    </w:r>
                  </w:p>
                </w:txbxContent>
              </v:textbox>
            </v:rect>
            <v:rect id="Rectangle 88" o:spid="_x0000_s4328" o:spt="1" style="position:absolute;left:4222;top:2807;height:572;width:2682;" coordsize="21600,21600">
              <v:path/>
              <v:fill focussize="0,0"/>
              <v:stroke/>
              <v:imagedata o:title=""/>
              <o:lock v:ext="edit"/>
              <v:textbox>
                <w:txbxContent>
                  <w:p>
                    <w:pPr>
                      <w:pStyle w:val="187"/>
                      <w:rPr>
                        <w:rFonts w:ascii="宋体" w:hAnsi="宋体"/>
                      </w:rPr>
                    </w:pPr>
                    <w:r>
                      <w:rPr>
                        <w:rFonts w:hint="eastAsia" w:ascii="宋体" w:hAnsi="宋体"/>
                        <w:sz w:val="24"/>
                      </w:rPr>
                      <w:t xml:space="preserve"> </w:t>
                    </w:r>
                    <w:r>
                      <w:rPr>
                        <w:rFonts w:hint="eastAsia" w:ascii="宋体" w:hAnsi="宋体"/>
                      </w:rPr>
                      <w:t>公司应急救援办公室</w:t>
                    </w:r>
                  </w:p>
                </w:txbxContent>
              </v:textbox>
            </v:rect>
            <v:rect id="Rectangle 92" o:spid="_x0000_s4329" o:spt="1" style="position:absolute;left:2453;top:4159;height:1720;width:540;" coordsize="21600,21600">
              <v:path/>
              <v:fill focussize="0,0"/>
              <v:stroke/>
              <v:imagedata o:title=""/>
              <o:lock v:ext="edit"/>
              <v:textbox>
                <w:txbxContent>
                  <w:p>
                    <w:pPr>
                      <w:pStyle w:val="187"/>
                      <w:rPr>
                        <w:rFonts w:ascii="宋体" w:hAnsi="宋体"/>
                      </w:rPr>
                    </w:pPr>
                    <w:r>
                      <w:rPr>
                        <w:rFonts w:hint="eastAsia" w:ascii="宋体" w:hAnsi="宋体"/>
                      </w:rPr>
                      <w:t>抢险救灾组</w:t>
                    </w:r>
                  </w:p>
                </w:txbxContent>
              </v:textbox>
            </v:rect>
            <v:rect id="Rectangle 94" o:spid="_x0000_s4330" o:spt="1" style="position:absolute;left:8160;top:4180;height:1697;width:540;" coordsize="21600,21600">
              <v:path/>
              <v:fill focussize="0,0"/>
              <v:stroke/>
              <v:imagedata o:title=""/>
              <o:lock v:ext="edit"/>
              <v:textbox>
                <w:txbxContent>
                  <w:p>
                    <w:pPr>
                      <w:pStyle w:val="187"/>
                      <w:rPr>
                        <w:rFonts w:ascii="宋体" w:hAnsi="宋体"/>
                      </w:rPr>
                    </w:pPr>
                    <w:r>
                      <w:rPr>
                        <w:rFonts w:hint="eastAsia" w:ascii="宋体" w:hAnsi="宋体"/>
                      </w:rPr>
                      <w:t>综合协调组</w:t>
                    </w:r>
                  </w:p>
                </w:txbxContent>
              </v:textbox>
            </v:rect>
            <v:rect id="Rectangle 95" o:spid="_x0000_s4331" o:spt="1" style="position:absolute;left:6740;top:4177;height:1702;width:540;" coordsize="21600,21600">
              <v:path/>
              <v:fill focussize="0,0"/>
              <v:stroke/>
              <v:imagedata o:title=""/>
              <o:lock v:ext="edit"/>
              <v:textbox>
                <w:txbxContent>
                  <w:p>
                    <w:pPr>
                      <w:pStyle w:val="187"/>
                      <w:rPr>
                        <w:rFonts w:ascii="宋体" w:hAnsi="宋体"/>
                      </w:rPr>
                    </w:pPr>
                    <w:r>
                      <w:rPr>
                        <w:rFonts w:hint="eastAsia" w:ascii="宋体" w:hAnsi="宋体"/>
                      </w:rPr>
                      <w:t>环境监测组</w:t>
                    </w:r>
                  </w:p>
                </w:txbxContent>
              </v:textbox>
            </v:rect>
            <v:line id="Line 98" o:spid="_x0000_s4332" o:spt="20" style="position:absolute;left:5553;top:2167;height:453;width:1;" coordsize="21600,21600">
              <v:path arrowok="t"/>
              <v:fill focussize="0,0"/>
              <v:stroke endarrow="block"/>
              <v:imagedata o:title=""/>
              <o:lock v:ext="edit"/>
            </v:line>
          </v:group>
        </w:pict>
      </w:r>
      <w:r>
        <w:rPr>
          <w:rFonts w:asciiTheme="minorEastAsia" w:hAnsiTheme="minorEastAsia" w:eastAsiaTheme="minorEastAsia"/>
          <w:szCs w:val="22"/>
        </w:rPr>
        <w:pict>
          <v:shape id="_x0000_s4333" o:spid="_x0000_s4333" o:spt="32" type="#_x0000_t32" style="position:absolute;left:0pt;flip:x;margin-left:220.8pt;margin-top:106pt;height:20.85pt;width:0.1pt;z-index:251681792;mso-width-relative:page;mso-height-relative:page;" o:connectortype="straight" filled="f" coordsize="21600,21600">
            <v:path arrowok="t"/>
            <v:fill on="f" focussize="0,0"/>
            <v:stroke endarrow="block"/>
            <v:imagedata o:title=""/>
            <o:lock v:ext="edit"/>
          </v:shape>
        </w:pict>
      </w: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spacing w:line="460" w:lineRule="exact"/>
        <w:rPr>
          <w:rFonts w:cs="楷体" w:asciiTheme="minorEastAsia" w:hAnsiTheme="minorEastAsia" w:eastAsiaTheme="minorEastAsia"/>
          <w:b/>
          <w:sz w:val="28"/>
          <w:szCs w:val="28"/>
        </w:rPr>
      </w:pPr>
    </w:p>
    <w:p>
      <w:pPr>
        <w:spacing w:line="460" w:lineRule="exact"/>
        <w:rPr>
          <w:rFonts w:cs="楷体" w:asciiTheme="minorEastAsia" w:hAnsiTheme="minorEastAsia" w:eastAsiaTheme="minorEastAsia"/>
          <w:b/>
          <w:sz w:val="28"/>
          <w:szCs w:val="28"/>
        </w:rPr>
      </w:pPr>
    </w:p>
    <w:p>
      <w:pPr>
        <w:adjustRightInd w:val="0"/>
        <w:snapToGrid w:val="0"/>
        <w:spacing w:line="460" w:lineRule="exact"/>
        <w:outlineLvl w:val="1"/>
        <w:rPr>
          <w:b/>
          <w:color w:val="000000"/>
          <w:sz w:val="28"/>
          <w:szCs w:val="28"/>
        </w:rPr>
      </w:pPr>
      <w:bookmarkStart w:id="287" w:name="_Toc18167"/>
      <w:r>
        <w:rPr>
          <w:rFonts w:hint="eastAsia"/>
          <w:b/>
          <w:color w:val="000000"/>
          <w:sz w:val="28"/>
          <w:szCs w:val="28"/>
        </w:rPr>
        <w:t>4.2组织机构成员名单</w:t>
      </w:r>
      <w:bookmarkEnd w:id="287"/>
    </w:p>
    <w:p>
      <w:pPr>
        <w:spacing w:line="460" w:lineRule="exact"/>
        <w:ind w:left="1586" w:hanging="1586" w:hangingChars="650"/>
        <w:jc w:val="center"/>
        <w:rPr>
          <w:rFonts w:asciiTheme="minorEastAsia" w:hAnsiTheme="minorEastAsia" w:eastAsiaTheme="minorEastAsia"/>
          <w:b/>
          <w:szCs w:val="24"/>
        </w:rPr>
      </w:pPr>
      <w:r>
        <w:rPr>
          <w:rFonts w:hint="eastAsia" w:asciiTheme="minorEastAsia" w:hAnsiTheme="minorEastAsia" w:eastAsiaTheme="minorEastAsia"/>
          <w:b/>
          <w:sz w:val="24"/>
          <w:szCs w:val="24"/>
        </w:rPr>
        <w:t>表4.2-1现有应急救援队伍情况一览表</w:t>
      </w:r>
    </w:p>
    <w:tbl>
      <w:tblPr>
        <w:tblStyle w:val="54"/>
        <w:tblW w:w="8961" w:type="dxa"/>
        <w:jc w:val="center"/>
        <w:tblInd w:w="595" w:type="dxa"/>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59"/>
        <w:gridCol w:w="1985"/>
        <w:gridCol w:w="2126"/>
        <w:gridCol w:w="2254"/>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037" w:type="dxa"/>
            <w:tcBorders>
              <w:top w:val="thinThickSmallGap" w:color="auto" w:sz="18" w:space="0"/>
            </w:tcBorders>
          </w:tcPr>
          <w:p>
            <w:pPr>
              <w:pStyle w:val="187"/>
              <w:spacing w:line="460" w:lineRule="exact"/>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559" w:type="dxa"/>
            <w:tcBorders>
              <w:top w:val="thinThickSmallGap" w:color="auto" w:sz="18" w:space="0"/>
            </w:tcBorders>
            <w:vAlign w:val="center"/>
          </w:tcPr>
          <w:p>
            <w:pPr>
              <w:pStyle w:val="187"/>
              <w:spacing w:line="460" w:lineRule="exact"/>
              <w:rPr>
                <w:rFonts w:asciiTheme="minorEastAsia" w:hAnsiTheme="minorEastAsia" w:eastAsiaTheme="minorEastAsia"/>
                <w:szCs w:val="21"/>
              </w:rPr>
            </w:pPr>
            <w:r>
              <w:rPr>
                <w:rFonts w:hint="eastAsia" w:asciiTheme="minorEastAsia" w:hAnsiTheme="minorEastAsia" w:eastAsiaTheme="minorEastAsia"/>
                <w:szCs w:val="21"/>
              </w:rPr>
              <w:t>姓名</w:t>
            </w:r>
          </w:p>
        </w:tc>
        <w:tc>
          <w:tcPr>
            <w:tcW w:w="1985" w:type="dxa"/>
            <w:tcBorders>
              <w:top w:val="thinThickSmallGap" w:color="auto" w:sz="18" w:space="0"/>
            </w:tcBorders>
            <w:vAlign w:val="center"/>
          </w:tcPr>
          <w:p>
            <w:pPr>
              <w:pStyle w:val="187"/>
              <w:spacing w:line="460" w:lineRule="exact"/>
              <w:rPr>
                <w:rFonts w:asciiTheme="minorEastAsia" w:hAnsiTheme="minorEastAsia" w:eastAsiaTheme="minorEastAsia"/>
                <w:szCs w:val="21"/>
              </w:rPr>
            </w:pPr>
            <w:r>
              <w:rPr>
                <w:rFonts w:hint="eastAsia" w:asciiTheme="minorEastAsia" w:hAnsiTheme="minorEastAsia" w:eastAsiaTheme="minorEastAsia"/>
                <w:szCs w:val="21"/>
              </w:rPr>
              <w:t>应急职务</w:t>
            </w:r>
          </w:p>
        </w:tc>
        <w:tc>
          <w:tcPr>
            <w:tcW w:w="2126" w:type="dxa"/>
            <w:tcBorders>
              <w:top w:val="thinThickSmallGap" w:color="auto" w:sz="18" w:space="0"/>
            </w:tcBorders>
            <w:vAlign w:val="center"/>
          </w:tcPr>
          <w:p>
            <w:pPr>
              <w:pStyle w:val="187"/>
              <w:spacing w:line="460" w:lineRule="exact"/>
              <w:rPr>
                <w:rFonts w:asciiTheme="minorEastAsia" w:hAnsiTheme="minorEastAsia" w:eastAsiaTheme="minorEastAsia"/>
                <w:szCs w:val="21"/>
              </w:rPr>
            </w:pPr>
            <w:r>
              <w:rPr>
                <w:rFonts w:hint="eastAsia" w:asciiTheme="minorEastAsia" w:hAnsiTheme="minorEastAsia" w:eastAsiaTheme="minorEastAsia"/>
                <w:szCs w:val="21"/>
              </w:rPr>
              <w:t>公司职位</w:t>
            </w:r>
          </w:p>
        </w:tc>
        <w:tc>
          <w:tcPr>
            <w:tcW w:w="2254" w:type="dxa"/>
            <w:tcBorders>
              <w:top w:val="thinThickSmallGap" w:color="auto" w:sz="18" w:space="0"/>
            </w:tcBorders>
            <w:vAlign w:val="center"/>
          </w:tcPr>
          <w:p>
            <w:pPr>
              <w:pStyle w:val="187"/>
              <w:spacing w:line="460" w:lineRule="exact"/>
              <w:rPr>
                <w:rFonts w:asciiTheme="minorEastAsia" w:hAnsiTheme="minorEastAsia" w:eastAsiaTheme="minorEastAsia"/>
                <w:szCs w:val="21"/>
              </w:rPr>
            </w:pPr>
            <w:r>
              <w:rPr>
                <w:rFonts w:hint="eastAsia" w:asciiTheme="minorEastAsia" w:hAnsiTheme="minorEastAsia" w:eastAsiaTheme="minorEastAsia"/>
                <w:szCs w:val="21"/>
              </w:rPr>
              <w:t>手机</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961" w:type="dxa"/>
            <w:gridSpan w:val="5"/>
            <w:tcBorders>
              <w:top w:val="thinThickSmallGap" w:color="auto" w:sz="18" w:space="0"/>
            </w:tcBorders>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楷体" w:asciiTheme="minorEastAsia" w:hAnsiTheme="minorEastAsia" w:eastAsiaTheme="minorEastAsia"/>
                <w:bCs/>
                <w:szCs w:val="21"/>
              </w:rPr>
              <w:t>应急指挥部</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87"/>
              <w:spacing w:line="460" w:lineRule="exact"/>
              <w:rPr>
                <w:rFonts w:asciiTheme="minorEastAsia" w:hAnsiTheme="minorEastAsia" w:eastAsiaTheme="minorEastAsia"/>
                <w:szCs w:val="21"/>
              </w:rPr>
            </w:pPr>
            <w:r>
              <w:rPr>
                <w:rFonts w:hint="eastAsia" w:asciiTheme="minorEastAsia" w:hAnsiTheme="minorEastAsia" w:eastAsiaTheme="minorEastAsia"/>
                <w:szCs w:val="21"/>
              </w:rPr>
              <w:t>1</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况敬良</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总经理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18983330040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87"/>
              <w:spacing w:line="460" w:lineRule="exact"/>
              <w:rPr>
                <w:rFonts w:asciiTheme="minorEastAsia" w:hAnsiTheme="minorEastAsia" w:eastAsiaTheme="minorEastAsia"/>
                <w:szCs w:val="21"/>
              </w:rPr>
            </w:pPr>
            <w:r>
              <w:rPr>
                <w:rFonts w:hint="eastAsia" w:asciiTheme="minorEastAsia" w:hAnsiTheme="minorEastAsia" w:eastAsiaTheme="minorEastAsia"/>
                <w:szCs w:val="21"/>
              </w:rPr>
              <w:t>2</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秦廷伟</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副经理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副组长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13996798479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87"/>
              <w:spacing w:line="460" w:lineRule="exact"/>
              <w:rPr>
                <w:rFonts w:asciiTheme="minorEastAsia" w:hAnsiTheme="minorEastAsia" w:eastAsiaTheme="minorEastAsia"/>
                <w:szCs w:val="21"/>
              </w:rPr>
            </w:pPr>
            <w:r>
              <w:rPr>
                <w:rFonts w:hint="eastAsia" w:asciiTheme="minorEastAsia" w:hAnsiTheme="minorEastAsia" w:eastAsiaTheme="minorEastAsia"/>
                <w:szCs w:val="21"/>
              </w:rPr>
              <w:t>3</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蒲传友</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副经理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副组长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13609469333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操准</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安全生产部部长</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5</w:t>
            </w:r>
          </w:p>
        </w:tc>
        <w:tc>
          <w:tcPr>
            <w:tcW w:w="1559"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梅杰</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厂长（李渡）</w:t>
            </w:r>
          </w:p>
        </w:tc>
        <w:tc>
          <w:tcPr>
            <w:tcW w:w="2126"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13450108787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6</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杜平兴</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7</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谭郑</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运营维修部副部长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8</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葛娅</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综合部部长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9</w:t>
            </w:r>
          </w:p>
        </w:tc>
        <w:tc>
          <w:tcPr>
            <w:tcW w:w="1559"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罗雯予</w:t>
            </w:r>
          </w:p>
        </w:tc>
        <w:tc>
          <w:tcPr>
            <w:tcW w:w="1985"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asciiTheme="minorEastAsia" w:hAnsiTheme="minorEastAsia" w:eastAsiaTheme="minorEastAsia"/>
                <w:szCs w:val="21"/>
              </w:rPr>
              <w:t>综合部副部长</w:t>
            </w:r>
          </w:p>
        </w:tc>
        <w:tc>
          <w:tcPr>
            <w:tcW w:w="2126"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10</w:t>
            </w:r>
          </w:p>
        </w:tc>
        <w:tc>
          <w:tcPr>
            <w:tcW w:w="1559"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况鳗洋</w:t>
            </w:r>
          </w:p>
        </w:tc>
        <w:tc>
          <w:tcPr>
            <w:tcW w:w="1985"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化验中心主任</w:t>
            </w:r>
          </w:p>
        </w:tc>
        <w:tc>
          <w:tcPr>
            <w:tcW w:w="2126"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宋体" w:asciiTheme="minorEastAsia" w:hAnsiTheme="minorEastAsia" w:eastAsiaTheme="minorEastAsia"/>
                <w:kern w:val="0"/>
                <w:szCs w:val="21"/>
              </w:rPr>
              <w:t>抢险救灾组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11</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杜平兴</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谭郑</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运营维修部副部长</w:t>
            </w:r>
          </w:p>
        </w:tc>
        <w:tc>
          <w:tcPr>
            <w:tcW w:w="2126"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冉家豪</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15978998799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钱祥波</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15025655051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薛文</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18983338287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16</w:t>
            </w:r>
          </w:p>
        </w:tc>
        <w:tc>
          <w:tcPr>
            <w:tcW w:w="1559" w:type="dxa"/>
            <w:vAlign w:val="center"/>
          </w:tcPr>
          <w:p>
            <w:pPr>
              <w:autoSpaceDE w:val="0"/>
              <w:autoSpaceDN w:val="0"/>
              <w:spacing w:line="460" w:lineRule="exact"/>
              <w:jc w:val="center"/>
              <w:rPr>
                <w:rFonts w:cs="??_GB2312" w:asciiTheme="minorEastAsia" w:hAnsiTheme="minorEastAsia" w:eastAsiaTheme="minorEastAsia"/>
                <w:kern w:val="0"/>
                <w:szCs w:val="21"/>
                <w:lang w:val="zh-CN"/>
              </w:rPr>
            </w:pPr>
            <w:r>
              <w:rPr>
                <w:rFonts w:hint="eastAsia" w:cs="??_GB2312" w:asciiTheme="minorEastAsia" w:hAnsiTheme="minorEastAsia" w:eastAsiaTheme="minorEastAsia"/>
                <w:kern w:val="0"/>
                <w:szCs w:val="21"/>
                <w:lang w:val="zh-CN"/>
              </w:rPr>
              <w:t>李小峰</w:t>
            </w:r>
          </w:p>
        </w:tc>
        <w:tc>
          <w:tcPr>
            <w:tcW w:w="1985"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职员</w:t>
            </w:r>
          </w:p>
        </w:tc>
        <w:tc>
          <w:tcPr>
            <w:tcW w:w="2126"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13594585786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医疗救护组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17</w:t>
            </w:r>
          </w:p>
        </w:tc>
        <w:tc>
          <w:tcPr>
            <w:tcW w:w="1559"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罗雯予</w:t>
            </w:r>
          </w:p>
        </w:tc>
        <w:tc>
          <w:tcPr>
            <w:tcW w:w="1985"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asciiTheme="minorEastAsia" w:hAnsiTheme="minorEastAsia" w:eastAsiaTheme="minorEastAsia"/>
                <w:szCs w:val="21"/>
              </w:rPr>
              <w:t>综合部副部长</w:t>
            </w:r>
          </w:p>
        </w:tc>
        <w:tc>
          <w:tcPr>
            <w:tcW w:w="2126"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组长</w:t>
            </w:r>
          </w:p>
        </w:tc>
        <w:tc>
          <w:tcPr>
            <w:tcW w:w="2254" w:type="dxa"/>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18</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rPr>
              <w:t>廖黎立</w:t>
            </w:r>
          </w:p>
        </w:tc>
        <w:tc>
          <w:tcPr>
            <w:tcW w:w="1985" w:type="dxa"/>
            <w:vAlign w:val="center"/>
          </w:tcPr>
          <w:p>
            <w:pPr>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13372786906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559" w:type="dxa"/>
            <w:vAlign w:val="center"/>
          </w:tcPr>
          <w:p>
            <w:pPr>
              <w:autoSpaceDE w:val="0"/>
              <w:autoSpaceDN w:val="0"/>
              <w:spacing w:line="460" w:lineRule="exact"/>
              <w:jc w:val="center"/>
              <w:rPr>
                <w:rFonts w:cs="仿宋_GB2312" w:asciiTheme="minorEastAsia" w:hAnsiTheme="minorEastAsia" w:eastAsiaTheme="minorEastAsia"/>
                <w:kern w:val="0"/>
                <w:szCs w:val="21"/>
                <w:lang w:val="zh-CN"/>
              </w:rPr>
            </w:pPr>
            <w:r>
              <w:rPr>
                <w:rFonts w:hint="eastAsia" w:cs="仿宋_GB2312" w:asciiTheme="minorEastAsia" w:hAnsiTheme="minorEastAsia" w:eastAsiaTheme="minorEastAsia"/>
                <w:kern w:val="0"/>
                <w:szCs w:val="21"/>
              </w:rPr>
              <w:t>张毅</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13594522854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20</w:t>
            </w:r>
          </w:p>
        </w:tc>
        <w:tc>
          <w:tcPr>
            <w:tcW w:w="1559" w:type="dxa"/>
            <w:vAlign w:val="center"/>
          </w:tcPr>
          <w:p>
            <w:pPr>
              <w:spacing w:line="460" w:lineRule="exact"/>
              <w:jc w:val="center"/>
              <w:rPr>
                <w:rFonts w:cs="楷体" w:asciiTheme="minorEastAsia" w:hAnsiTheme="minorEastAsia" w:eastAsiaTheme="minorEastAsia"/>
                <w:szCs w:val="21"/>
              </w:rPr>
            </w:pPr>
            <w:r>
              <w:rPr>
                <w:rFonts w:hint="eastAsia" w:cs="仿宋_GB2312" w:asciiTheme="minorEastAsia" w:hAnsiTheme="minorEastAsia" w:eastAsiaTheme="minorEastAsia"/>
                <w:kern w:val="0"/>
                <w:szCs w:val="21"/>
              </w:rPr>
              <w:t>杜魏</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15213681034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21</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田源</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18523651007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警戒保卫组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操准</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安全生产部部长</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23</w:t>
            </w:r>
          </w:p>
        </w:tc>
        <w:tc>
          <w:tcPr>
            <w:tcW w:w="1559"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梅杰</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厂长（李渡）</w:t>
            </w:r>
          </w:p>
        </w:tc>
        <w:tc>
          <w:tcPr>
            <w:tcW w:w="2126"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13450108787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任波</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18225108867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李茂</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13896661651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26</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陈杰</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18512343757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27</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常东</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13983338939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环境监测组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28</w:t>
            </w:r>
          </w:p>
        </w:tc>
        <w:tc>
          <w:tcPr>
            <w:tcW w:w="1559"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况鳗洋</w:t>
            </w:r>
          </w:p>
        </w:tc>
        <w:tc>
          <w:tcPr>
            <w:tcW w:w="1985"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化验中心主任</w:t>
            </w:r>
          </w:p>
        </w:tc>
        <w:tc>
          <w:tcPr>
            <w:tcW w:w="2126"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29</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张贵风</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15123645632</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30</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任婧</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31</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晏伟</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张春梅</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18983318386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综合协调组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33</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葛娅</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综合部部长</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熊学海</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18996813477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冉德容</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rPr>
              <w:t>18983313573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36</w:t>
            </w:r>
          </w:p>
        </w:tc>
        <w:tc>
          <w:tcPr>
            <w:tcW w:w="1559" w:type="dxa"/>
            <w:vAlign w:val="center"/>
          </w:tcPr>
          <w:p>
            <w:pPr>
              <w:autoSpaceDE w:val="0"/>
              <w:autoSpaceDN w:val="0"/>
              <w:spacing w:line="460" w:lineRule="exact"/>
              <w:jc w:val="center"/>
              <w:rPr>
                <w:rFonts w:cs="仿宋_GB2312" w:asciiTheme="minorEastAsia" w:hAnsiTheme="minorEastAsia" w:eastAsiaTheme="minorEastAsia"/>
                <w:kern w:val="0"/>
                <w:szCs w:val="21"/>
                <w:lang w:val="zh-CN"/>
              </w:rPr>
            </w:pPr>
            <w:r>
              <w:rPr>
                <w:rFonts w:hint="eastAsia" w:cs="仿宋_GB2312" w:asciiTheme="minorEastAsia" w:hAnsiTheme="minorEastAsia" w:eastAsiaTheme="minorEastAsia"/>
                <w:kern w:val="0"/>
                <w:szCs w:val="21"/>
              </w:rPr>
              <w:t>陈平友</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13594557563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37</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刘元清</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15310559560</w:t>
            </w:r>
          </w:p>
        </w:tc>
      </w:tr>
    </w:tbl>
    <w:p>
      <w:pPr>
        <w:adjustRightInd w:val="0"/>
        <w:snapToGrid w:val="0"/>
        <w:spacing w:line="460" w:lineRule="exact"/>
        <w:outlineLvl w:val="1"/>
        <w:rPr>
          <w:b/>
          <w:color w:val="000000"/>
          <w:sz w:val="28"/>
          <w:szCs w:val="28"/>
        </w:rPr>
      </w:pPr>
      <w:bookmarkStart w:id="288" w:name="_Toc16029"/>
      <w:r>
        <w:rPr>
          <w:rFonts w:hint="eastAsia"/>
          <w:b/>
          <w:color w:val="000000"/>
          <w:sz w:val="28"/>
          <w:szCs w:val="28"/>
        </w:rPr>
        <w:t>4.3应急组职责</w:t>
      </w:r>
      <w:bookmarkEnd w:id="288"/>
    </w:p>
    <w:p>
      <w:pPr>
        <w:spacing w:line="460" w:lineRule="exact"/>
        <w:ind w:firstLine="560"/>
        <w:rPr>
          <w:rFonts w:asciiTheme="minorEastAsia" w:hAnsiTheme="minorEastAsia" w:eastAsiaTheme="minorEastAsia"/>
          <w:b/>
          <w:sz w:val="28"/>
          <w:szCs w:val="28"/>
        </w:rPr>
      </w:pPr>
      <w:r>
        <w:rPr>
          <w:rFonts w:hint="eastAsia" w:asciiTheme="minorEastAsia" w:hAnsiTheme="minorEastAsia" w:eastAsiaTheme="minorEastAsia"/>
          <w:b/>
          <w:sz w:val="28"/>
          <w:szCs w:val="28"/>
        </w:rPr>
        <w:t>1指挥部职责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rPr>
        <w:t>（</w:t>
      </w:r>
      <w:r>
        <w:rPr>
          <w:rFonts w:hint="eastAsia" w:asciiTheme="minorEastAsia" w:hAnsiTheme="minorEastAsia" w:eastAsiaTheme="minorEastAsia"/>
          <w:sz w:val="24"/>
          <w:szCs w:val="24"/>
        </w:rPr>
        <w:t>1）负责人员、资源配置、应急队伍的调动；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（2）协调事故现场有关工作；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（3）批准本预案的启动与终止；</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（4）组织指挥救援队伍实施救援行动，保护事故现场；</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（5)向上级和各相关部门汇报事故情况，必要时向有关单位和政府发出救援请求，并接受政府的指令和调动；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(6)组织事故调查，总结应急救援工作的经验教训。</w:t>
      </w:r>
    </w:p>
    <w:p>
      <w:pPr>
        <w:spacing w:line="460" w:lineRule="exact"/>
        <w:ind w:firstLine="560"/>
        <w:rPr>
          <w:rFonts w:asciiTheme="minorEastAsia" w:hAnsiTheme="minorEastAsia" w:eastAsiaTheme="minorEastAsia"/>
          <w:b/>
          <w:sz w:val="28"/>
          <w:szCs w:val="28"/>
        </w:rPr>
      </w:pPr>
      <w:r>
        <w:rPr>
          <w:rFonts w:hint="eastAsia" w:asciiTheme="minorEastAsia" w:hAnsiTheme="minorEastAsia" w:eastAsiaTheme="minorEastAsia"/>
          <w:b/>
          <w:sz w:val="28"/>
          <w:szCs w:val="28"/>
        </w:rPr>
        <w:t>2总指挥职责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rPr>
        <w:t xml:space="preserve"> (</w:t>
      </w:r>
      <w:r>
        <w:rPr>
          <w:rFonts w:hint="eastAsia" w:asciiTheme="minorEastAsia" w:hAnsiTheme="minorEastAsia" w:eastAsiaTheme="minorEastAsia"/>
          <w:sz w:val="24"/>
          <w:szCs w:val="24"/>
        </w:rPr>
        <w:t>1)分析紧急状态和确定相应报警级别；</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(2)指挥、协调应急反应行动；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(3)与外部应急人员、部门、组织和机构进行联络；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(4)保证现场和企业外人员安全；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(5)协调后勤方面以支援反应组织。</w:t>
      </w:r>
    </w:p>
    <w:p>
      <w:pPr>
        <w:spacing w:line="460" w:lineRule="exact"/>
        <w:ind w:firstLine="560"/>
        <w:rPr>
          <w:rFonts w:asciiTheme="minorEastAsia" w:hAnsiTheme="minorEastAsia" w:eastAsiaTheme="minorEastAsia"/>
          <w:b/>
          <w:sz w:val="28"/>
          <w:szCs w:val="28"/>
        </w:rPr>
      </w:pPr>
      <w:r>
        <w:rPr>
          <w:rFonts w:hint="eastAsia" w:asciiTheme="minorEastAsia" w:hAnsiTheme="minorEastAsia" w:eastAsiaTheme="minorEastAsia"/>
          <w:b/>
          <w:sz w:val="28"/>
          <w:szCs w:val="28"/>
        </w:rPr>
        <w:t>3 副总指挥职责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（1）协助总指挥工作；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（2）负责应急救援现场的协调调度；</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（3）总指挥不在的情况下组织应急救援工作。</w:t>
      </w:r>
    </w:p>
    <w:p>
      <w:pPr>
        <w:spacing w:line="460" w:lineRule="exact"/>
        <w:ind w:firstLine="560"/>
        <w:rPr>
          <w:rFonts w:asciiTheme="minorEastAsia" w:hAnsiTheme="minorEastAsia" w:eastAsiaTheme="minorEastAsia"/>
          <w:b/>
          <w:sz w:val="28"/>
          <w:szCs w:val="28"/>
        </w:rPr>
      </w:pPr>
      <w:r>
        <w:rPr>
          <w:rFonts w:hint="eastAsia" w:asciiTheme="minorEastAsia" w:hAnsiTheme="minorEastAsia" w:eastAsiaTheme="minorEastAsia"/>
          <w:b/>
          <w:sz w:val="28"/>
          <w:szCs w:val="28"/>
        </w:rPr>
        <w:t>4各专业组的职责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抢险救灾组：对事故现场进行营救。抢救受害人员、被事故破坏的设备及道路交通设施、关闭有害物质泄漏源、隔离其他危险源；扑灭已经发生的火灾，及时撤走易燃易爆物品或物质，控制灾害的进一步发展等。</w:t>
      </w:r>
    </w:p>
    <w:p>
      <w:pPr>
        <w:spacing w:line="460" w:lineRule="exact"/>
        <w:ind w:firstLine="482"/>
        <w:rPr>
          <w:rFonts w:asciiTheme="minorEastAsia" w:hAnsiTheme="minorEastAsia" w:eastAsiaTheme="minorEastAsia"/>
          <w:sz w:val="24"/>
          <w:szCs w:val="24"/>
        </w:rPr>
      </w:pPr>
      <w:r>
        <w:rPr>
          <w:rFonts w:hint="eastAsia" w:asciiTheme="minorEastAsia" w:hAnsiTheme="minorEastAsia" w:eastAsiaTheme="minorEastAsia"/>
          <w:sz w:val="24"/>
          <w:szCs w:val="24"/>
        </w:rPr>
        <w:t>（2）警戒保卫组：设置警界区域，维护现场秩序，疏通道路；按技术专家组确定的避灾路线组织危险区人员撤离；劝说围观群众离开现场，进行人员疏散，保证人员安全撤离；保证交通路线畅通，保障救灾物资（防毒设备等）安全、顺利到达事故现场；事故发生后，禁止无关人员进入现场。</w:t>
      </w:r>
    </w:p>
    <w:p>
      <w:pPr>
        <w:spacing w:line="460" w:lineRule="exact"/>
        <w:ind w:firstLine="482"/>
        <w:rPr>
          <w:rFonts w:asciiTheme="minorEastAsia" w:hAnsiTheme="minorEastAsia" w:eastAsiaTheme="minorEastAsia"/>
          <w:sz w:val="24"/>
          <w:szCs w:val="24"/>
        </w:rPr>
      </w:pPr>
      <w:r>
        <w:rPr>
          <w:rFonts w:hint="eastAsia" w:asciiTheme="minorEastAsia" w:hAnsiTheme="minorEastAsia" w:eastAsiaTheme="minorEastAsia"/>
          <w:sz w:val="24"/>
          <w:szCs w:val="24"/>
        </w:rPr>
        <w:t>（3）医疗救援组职责：对受伤、中毒人员进行现场救护，保证救治药品和救护器材的供应。负责转运受伤人员过程的医疗监护。</w:t>
      </w:r>
    </w:p>
    <w:p>
      <w:pPr>
        <w:spacing w:line="460" w:lineRule="exact"/>
        <w:ind w:firstLine="482"/>
        <w:rPr>
          <w:rFonts w:asciiTheme="minorEastAsia" w:hAnsiTheme="minorEastAsia" w:eastAsiaTheme="minorEastAsia"/>
          <w:sz w:val="24"/>
          <w:szCs w:val="24"/>
        </w:rPr>
      </w:pPr>
      <w:r>
        <w:rPr>
          <w:rFonts w:hint="eastAsia" w:asciiTheme="minorEastAsia" w:hAnsiTheme="minorEastAsia" w:eastAsiaTheme="minorEastAsia"/>
          <w:sz w:val="24"/>
          <w:szCs w:val="24"/>
        </w:rPr>
        <w:t>（4）环境监测组：对发生污染区域的水、大气、土壤、动植物受污染程度、危害范围进行检测，迅速作出监测报告，并进行跟踪监测，提出处理报告。</w:t>
      </w:r>
    </w:p>
    <w:p>
      <w:pPr>
        <w:spacing w:line="460" w:lineRule="exact"/>
        <w:ind w:firstLine="482"/>
        <w:rPr>
          <w:rFonts w:asciiTheme="minorEastAsia" w:hAnsiTheme="minorEastAsia" w:eastAsiaTheme="minorEastAsia"/>
          <w:sz w:val="24"/>
          <w:szCs w:val="24"/>
        </w:rPr>
      </w:pPr>
      <w:r>
        <w:rPr>
          <w:rFonts w:hint="eastAsia" w:asciiTheme="minorEastAsia" w:hAnsiTheme="minorEastAsia" w:eastAsiaTheme="minorEastAsia"/>
          <w:sz w:val="24"/>
          <w:szCs w:val="24"/>
        </w:rPr>
        <w:t>（5）综合协调组：</w:t>
      </w:r>
    </w:p>
    <w:p>
      <w:pPr>
        <w:spacing w:line="460" w:lineRule="exact"/>
        <w:ind w:firstLine="482"/>
        <w:rPr>
          <w:rFonts w:asciiTheme="minorEastAsia" w:hAnsiTheme="minorEastAsia" w:eastAsiaTheme="minorEastAsia"/>
          <w:sz w:val="24"/>
          <w:szCs w:val="24"/>
        </w:rPr>
      </w:pPr>
      <w:r>
        <w:rPr>
          <w:rFonts w:hint="eastAsia" w:cs="宋体" w:asciiTheme="minorEastAsia" w:hAnsiTheme="minorEastAsia" w:eastAsiaTheme="minorEastAsia"/>
          <w:sz w:val="24"/>
          <w:szCs w:val="24"/>
        </w:rPr>
        <w:t>①</w:t>
      </w:r>
      <w:r>
        <w:rPr>
          <w:rFonts w:hint="eastAsia" w:asciiTheme="minorEastAsia" w:hAnsiTheme="minorEastAsia" w:eastAsiaTheme="minorEastAsia"/>
          <w:sz w:val="24"/>
          <w:szCs w:val="24"/>
        </w:rPr>
        <w:t>、(1)对受伤、中毒人员进行现场救护，保证救治药品和救护器材的供应。负责转运受伤人员过程的医疗监护。公司与（涪陵急救中心）医院签定救护协议，对较严重的受伤人员进行救护。</w:t>
      </w:r>
    </w:p>
    <w:p>
      <w:pPr>
        <w:spacing w:line="460" w:lineRule="exact"/>
        <w:ind w:firstLine="482"/>
        <w:rPr>
          <w:rFonts w:asciiTheme="minorEastAsia" w:hAnsiTheme="minorEastAsia" w:eastAsiaTheme="minorEastAsia"/>
          <w:sz w:val="24"/>
          <w:szCs w:val="24"/>
        </w:rPr>
      </w:pPr>
      <w:r>
        <w:rPr>
          <w:rFonts w:hint="eastAsia" w:cs="宋体" w:asciiTheme="minorEastAsia" w:hAnsiTheme="minorEastAsia" w:eastAsiaTheme="minorEastAsia"/>
          <w:sz w:val="24"/>
          <w:szCs w:val="24"/>
        </w:rPr>
        <w:t>②</w:t>
      </w:r>
      <w:r>
        <w:rPr>
          <w:rFonts w:hint="eastAsia" w:asciiTheme="minorEastAsia" w:hAnsiTheme="minorEastAsia" w:eastAsiaTheme="minorEastAsia"/>
          <w:sz w:val="24"/>
          <w:szCs w:val="24"/>
        </w:rPr>
        <w:t>、负责调集救援物资（如：防毒面具、防护服、抢险用具等）并组织发放，组织指挥人员和抢险人员的现场食宿安排，协助处理伤员的救护工作。</w:t>
      </w:r>
    </w:p>
    <w:p>
      <w:pPr>
        <w:spacing w:line="460" w:lineRule="exact"/>
        <w:ind w:firstLine="482"/>
        <w:rPr>
          <w:rFonts w:asciiTheme="minorEastAsia" w:hAnsiTheme="minorEastAsia" w:eastAsiaTheme="minorEastAsia"/>
          <w:sz w:val="24"/>
          <w:szCs w:val="24"/>
        </w:rPr>
      </w:pPr>
      <w:r>
        <w:rPr>
          <w:rFonts w:hint="eastAsia" w:cs="宋体" w:asciiTheme="minorEastAsia" w:hAnsiTheme="minorEastAsia" w:eastAsiaTheme="minorEastAsia"/>
          <w:sz w:val="24"/>
          <w:szCs w:val="24"/>
        </w:rPr>
        <w:t>③</w:t>
      </w:r>
      <w:r>
        <w:rPr>
          <w:rFonts w:hint="eastAsia" w:asciiTheme="minorEastAsia" w:hAnsiTheme="minorEastAsia" w:eastAsiaTheme="minorEastAsia"/>
          <w:sz w:val="24"/>
          <w:szCs w:val="24"/>
        </w:rPr>
        <w:t>、负责对死难、受伤人员家属的安抚、慰问工作，作好群众的思想稳定工作，妥善处理好善后事宜，消除各种不安全、不稳定因素。</w:t>
      </w:r>
    </w:p>
    <w:p>
      <w:pPr>
        <w:spacing w:line="460" w:lineRule="exact"/>
        <w:ind w:firstLine="482"/>
        <w:rPr>
          <w:rFonts w:asciiTheme="minorEastAsia" w:hAnsiTheme="minorEastAsia" w:eastAsiaTheme="minorEastAsia"/>
          <w:sz w:val="24"/>
          <w:szCs w:val="24"/>
        </w:rPr>
      </w:pPr>
      <w:r>
        <w:rPr>
          <w:rFonts w:hint="eastAsia" w:cs="宋体" w:asciiTheme="minorEastAsia" w:hAnsiTheme="minorEastAsia" w:eastAsiaTheme="minorEastAsia"/>
          <w:sz w:val="24"/>
          <w:szCs w:val="24"/>
        </w:rPr>
        <w:t>④</w:t>
      </w:r>
      <w:r>
        <w:rPr>
          <w:rFonts w:hint="eastAsia" w:asciiTheme="minorEastAsia" w:hAnsiTheme="minorEastAsia" w:eastAsiaTheme="minorEastAsia"/>
          <w:sz w:val="24"/>
          <w:szCs w:val="24"/>
        </w:rPr>
        <w:t>、协助相关应急小组的工作。</w:t>
      </w:r>
    </w:p>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Pr>
        <w:adjustRightInd w:val="0"/>
        <w:snapToGrid w:val="0"/>
        <w:spacing w:line="460" w:lineRule="exact"/>
        <w:outlineLvl w:val="1"/>
        <w:rPr>
          <w:b/>
          <w:color w:val="000000"/>
          <w:sz w:val="26"/>
          <w:szCs w:val="26"/>
        </w:rPr>
      </w:pPr>
      <w:bookmarkStart w:id="289" w:name="_Toc179794543"/>
      <w:bookmarkStart w:id="290" w:name="_Toc183339221"/>
      <w:bookmarkStart w:id="291" w:name="_Toc183339497"/>
      <w:bookmarkStart w:id="292" w:name="_Toc185670981"/>
      <w:bookmarkStart w:id="293" w:name="_Toc184808761"/>
      <w:bookmarkStart w:id="294" w:name="_Toc184809548"/>
      <w:bookmarkStart w:id="295" w:name="_Toc196018431"/>
      <w:bookmarkStart w:id="296" w:name="_Toc196018540"/>
      <w:bookmarkStart w:id="297" w:name="_Toc196018635"/>
      <w:bookmarkStart w:id="298" w:name="_Toc197251339"/>
      <w:bookmarkStart w:id="299" w:name="_Toc198007334"/>
      <w:bookmarkStart w:id="300" w:name="_Toc198355319"/>
      <w:bookmarkStart w:id="301" w:name="_Toc229283970"/>
      <w:bookmarkStart w:id="302" w:name="_Toc262040275"/>
      <w:bookmarkStart w:id="303" w:name="_Toc262050865"/>
      <w:bookmarkStart w:id="304" w:name="_Toc262051115"/>
      <w:bookmarkStart w:id="305" w:name="_Toc304833232"/>
      <w:bookmarkStart w:id="306" w:name="_Toc304962955"/>
      <w:bookmarkStart w:id="307" w:name="_Toc262051536"/>
      <w:bookmarkStart w:id="308" w:name="_Toc304963599"/>
      <w:bookmarkStart w:id="309" w:name="_Toc304964442"/>
      <w:bookmarkStart w:id="310" w:name="_Toc336326849"/>
      <w:bookmarkStart w:id="311" w:name="_Toc336327127"/>
      <w:bookmarkStart w:id="312" w:name="_Toc387131499"/>
      <w:bookmarkStart w:id="313" w:name="_Toc387131425"/>
      <w:bookmarkStart w:id="314" w:name="_Toc387131756"/>
      <w:bookmarkStart w:id="315" w:name="_Toc408274433"/>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6"/>
          <w:szCs w:val="26"/>
        </w:rPr>
      </w:pPr>
    </w:p>
    <w:p>
      <w:pPr>
        <w:adjustRightInd w:val="0"/>
        <w:snapToGrid w:val="0"/>
        <w:spacing w:line="460" w:lineRule="exact"/>
        <w:outlineLvl w:val="1"/>
        <w:rPr>
          <w:b/>
          <w:color w:val="000000"/>
          <w:sz w:val="28"/>
          <w:szCs w:val="28"/>
        </w:rPr>
      </w:pPr>
      <w:bookmarkStart w:id="316" w:name="_Toc13034"/>
      <w:r>
        <w:rPr>
          <w:rFonts w:hint="eastAsia"/>
          <w:b/>
          <w:color w:val="000000"/>
          <w:sz w:val="28"/>
          <w:szCs w:val="28"/>
        </w:rPr>
        <w:t>4.4应急</w:t>
      </w:r>
      <w:r>
        <w:rPr>
          <w:b/>
          <w:color w:val="000000"/>
          <w:sz w:val="28"/>
          <w:szCs w:val="28"/>
        </w:rPr>
        <w:t>预案</w:t>
      </w:r>
      <w:r>
        <w:rPr>
          <w:rFonts w:hint="eastAsia"/>
          <w:b/>
          <w:color w:val="000000"/>
          <w:sz w:val="28"/>
          <w:szCs w:val="28"/>
        </w:rPr>
        <w:t>体系转换</w:t>
      </w:r>
      <w:r>
        <w:rPr>
          <w:b/>
          <w:color w:val="000000"/>
          <w:sz w:val="28"/>
          <w:szCs w:val="28"/>
        </w:rPr>
        <w:t>与</w:t>
      </w:r>
      <w:r>
        <w:rPr>
          <w:rFonts w:hint="eastAsia"/>
          <w:b/>
          <w:color w:val="000000"/>
          <w:sz w:val="28"/>
          <w:szCs w:val="28"/>
        </w:rPr>
        <w:t>衔接条件</w:t>
      </w:r>
      <w:bookmarkEnd w:id="316"/>
    </w:p>
    <w:p>
      <w:pPr>
        <w:rPr>
          <w:b/>
          <w:color w:val="000000"/>
          <w:sz w:val="28"/>
          <w:szCs w:val="28"/>
        </w:rPr>
      </w:pPr>
      <w:r>
        <w:rPr>
          <w:b/>
          <w:color w:val="000000"/>
          <w:sz w:val="28"/>
          <w:szCs w:val="28"/>
        </w:rPr>
        <w:pict>
          <v:shape id="_x0000_s4496" o:spid="_x0000_s4496" o:spt="202" type="#_x0000_t202" style="position:absolute;left:0pt;margin-left:81pt;margin-top:15.6pt;height:23.4pt;width:108pt;z-index:251639808;mso-width-relative:page;mso-height-relative:page;" coordsize="21600,21600">
            <v:path/>
            <v:fill focussize="0,0"/>
            <v:stroke joinstyle="miter"/>
            <v:imagedata o:title=""/>
            <o:lock v:ext="edit"/>
            <v:textbox>
              <w:txbxContent>
                <w:p>
                  <w:pPr>
                    <w:rPr>
                      <w:sz w:val="22"/>
                    </w:rPr>
                  </w:pPr>
                  <w:r>
                    <w:rPr>
                      <w:rFonts w:hint="eastAsia"/>
                      <w:sz w:val="22"/>
                    </w:rPr>
                    <w:t>现场环境事件发生</w:t>
                  </w:r>
                </w:p>
              </w:txbxContent>
            </v:textbox>
          </v:shape>
        </w:pict>
      </w:r>
    </w:p>
    <w:p>
      <w:pPr>
        <w:rPr>
          <w:b/>
          <w:color w:val="000000"/>
          <w:sz w:val="28"/>
          <w:szCs w:val="28"/>
        </w:rPr>
      </w:pPr>
      <w:r>
        <w:rPr>
          <w:b/>
          <w:color w:val="000000"/>
          <w:sz w:val="28"/>
          <w:szCs w:val="28"/>
        </w:rPr>
        <w:pict>
          <v:shape id="_x0000_s4497" o:spid="_x0000_s4497" o:spt="32" type="#_x0000_t32" style="position:absolute;left:0pt;margin-left:132pt;margin-top:12.9pt;height:29.25pt;width:0.75pt;z-index:25164083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4505" o:spid="_x0000_s4505" o:spt="202" type="#_x0000_t202" style="position:absolute;left:0pt;margin-left:291pt;margin-top:29.25pt;height:47.25pt;width:44.25pt;z-index:251641856;mso-width-relative:page;mso-height-relative:page;" filled="f" stroked="f" coordsize="21600,21600">
            <v:path/>
            <v:fill on="f" focussize="0,0"/>
            <v:stroke on="f" joinstyle="miter"/>
            <v:imagedata o:title=""/>
            <o:lock v:ext="edit"/>
            <v:textbox>
              <w:txbxContent>
                <w:p>
                  <w:pPr>
                    <w:rPr>
                      <w:szCs w:val="21"/>
                    </w:rPr>
                  </w:pPr>
                  <w:r>
                    <w:rPr>
                      <w:rFonts w:hint="eastAsia"/>
                      <w:szCs w:val="21"/>
                    </w:rPr>
                    <w:t>事件平 息</w:t>
                  </w:r>
                </w:p>
              </w:txbxContent>
            </v:textbox>
          </v:shape>
        </w:pict>
      </w:r>
      <w:r>
        <w:rPr>
          <w:b/>
          <w:color w:val="000000"/>
          <w:sz w:val="28"/>
          <w:szCs w:val="28"/>
        </w:rPr>
        <w:pict>
          <v:shape id="_x0000_s4503" o:spid="_x0000_s4503" o:spt="202" type="#_x0000_t202" style="position:absolute;left:0pt;margin-left:244.5pt;margin-top:39pt;height:73.95pt;width:45.75pt;z-index:251642880;mso-width-relative:page;mso-height-relative:page;" coordsize="21600,21600">
            <v:path/>
            <v:fill focussize="0,0"/>
            <v:stroke joinstyle="miter"/>
            <v:imagedata o:title=""/>
            <o:lock v:ext="edit"/>
            <v:textbox>
              <w:txbxContent>
                <w:p>
                  <w:pPr>
                    <w:rPr>
                      <w:sz w:val="22"/>
                    </w:rPr>
                  </w:pPr>
                  <w:r>
                    <w:rPr>
                      <w:rFonts w:hint="eastAsia"/>
                      <w:sz w:val="22"/>
                    </w:rPr>
                    <w:t>发布单位现场预 警</w:t>
                  </w:r>
                </w:p>
              </w:txbxContent>
            </v:textbox>
          </v:shape>
        </w:pict>
      </w:r>
      <w:r>
        <w:rPr>
          <w:b/>
          <w:color w:val="000000"/>
          <w:sz w:val="28"/>
          <w:szCs w:val="28"/>
        </w:rPr>
        <w:pict>
          <v:shape id="_x0000_s4501" o:spid="_x0000_s4501" o:spt="32" type="#_x0000_t32" style="position:absolute;left:0pt;margin-left:181.5pt;margin-top:69pt;height:0pt;width:63pt;z-index:251643904;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498" o:spid="_x0000_s4498" o:spt="202" type="#_x0000_t202" style="position:absolute;left:0pt;margin-left:81pt;margin-top:9.75pt;height:21.45pt;width:117pt;z-index:251644928;mso-width-relative:page;mso-height-relative:page;" coordsize="21600,21600">
            <v:path/>
            <v:fill focussize="0,0"/>
            <v:stroke joinstyle="miter"/>
            <v:imagedata o:title=""/>
            <o:lock v:ext="edit"/>
            <v:textbox>
              <w:txbxContent>
                <w:p>
                  <w:pPr>
                    <w:rPr>
                      <w:sz w:val="22"/>
                    </w:rPr>
                  </w:pPr>
                  <w:r>
                    <w:rPr>
                      <w:rFonts w:hint="eastAsia"/>
                      <w:sz w:val="22"/>
                    </w:rPr>
                    <w:t>现场应急小组组长</w:t>
                  </w:r>
                </w:p>
              </w:txbxContent>
            </v:textbox>
          </v:shape>
        </w:pict>
      </w:r>
    </w:p>
    <w:p>
      <w:pPr>
        <w:rPr>
          <w:b/>
          <w:color w:val="000000"/>
          <w:sz w:val="28"/>
          <w:szCs w:val="28"/>
        </w:rPr>
      </w:pPr>
      <w:r>
        <w:rPr>
          <w:b/>
          <w:color w:val="000000"/>
          <w:sz w:val="28"/>
          <w:szCs w:val="28"/>
        </w:rPr>
        <w:pict>
          <v:shape id="_x0000_s4506" o:spid="_x0000_s4506" o:spt="202" type="#_x0000_t202" style="position:absolute;left:0pt;margin-left:339pt;margin-top:22.05pt;height:71.55pt;width:30pt;z-index:251645952;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4502" o:spid="_x0000_s4502" o:spt="202" type="#_x0000_t202" style="position:absolute;left:0pt;margin-left:193.45pt;margin-top:17.55pt;height:30pt;width:39.75pt;z-index:251646976;mso-width-relative:page;mso-height-relative:page;" filled="f" stroked="f" coordsize="21600,21600">
            <v:path/>
            <v:fill on="f" focussize="0,0"/>
            <v:stroke on="f" joinstyle="miter"/>
            <v:imagedata o:title=""/>
            <o:lock v:ext="edit"/>
            <v:textbox>
              <w:txbxContent>
                <w:p>
                  <w:r>
                    <w:rPr>
                      <w:rFonts w:hint="eastAsia"/>
                    </w:rPr>
                    <w:t>IV级</w:t>
                  </w:r>
                </w:p>
              </w:txbxContent>
            </v:textbox>
          </v:shape>
        </w:pict>
      </w:r>
      <w:r>
        <w:rPr>
          <w:b/>
          <w:color w:val="000000"/>
          <w:sz w:val="28"/>
          <w:szCs w:val="28"/>
        </w:rPr>
        <w:pict>
          <v:shape id="_x0000_s4500" o:spid="_x0000_s4500" o:spt="202" type="#_x0000_t202" style="position:absolute;left:0pt;margin-left:90pt;margin-top:23.4pt;height:23.4pt;width:90pt;z-index:251648000;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r>
        <w:rPr>
          <w:b/>
          <w:color w:val="000000"/>
          <w:sz w:val="28"/>
          <w:szCs w:val="28"/>
        </w:rPr>
        <w:pict>
          <v:shape id="_x0000_s4499" o:spid="_x0000_s4499" o:spt="32" type="#_x0000_t32" style="position:absolute;left:0pt;margin-left:132.4pt;margin-top:0pt;height:23.25pt;width:0pt;z-index:25164902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4504" o:spid="_x0000_s4504" o:spt="32" type="#_x0000_t32" style="position:absolute;left:0pt;margin-left:290.5pt;margin-top:7.15pt;height:0pt;width:42pt;z-index:25165004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507" o:spid="_x0000_s4507" o:spt="32" type="#_x0000_t32" style="position:absolute;left:0pt;margin-left:132.05pt;margin-top:15.6pt;height:23.25pt;width:0pt;z-index:25165107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4516" o:spid="_x0000_s4516" o:spt="202" type="#_x0000_t202" style="position:absolute;left:0pt;margin-left:266.4pt;margin-top:22.9pt;height:38.25pt;width:50.25pt;z-index:251652096;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4515" o:spid="_x0000_s4515" o:spt="202" type="#_x0000_t202" style="position:absolute;left:0pt;margin-left:217.75pt;margin-top:22.25pt;height:38.25pt;width:50.25pt;z-index:251653120;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4518" o:spid="_x0000_s4518" o:spt="202" type="#_x0000_t202" style="position:absolute;left:0pt;margin-left:242.9pt;margin-top:167.35pt;height:72pt;width:46.5pt;z-index:251654144;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4514" o:spid="_x0000_s4514" o:spt="32" type="#_x0000_t32" style="position:absolute;left:0pt;flip:y;margin-left:265.4pt;margin-top:18.85pt;height:38.25pt;width:0pt;z-index:25165516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513" o:spid="_x0000_s4513" o:spt="202" type="#_x0000_t202" style="position:absolute;left:0pt;margin-left:241.4pt;margin-top:57.1pt;height:72pt;width:46.5pt;z-index:251656192;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4517" o:spid="_x0000_s4517" o:spt="32" type="#_x0000_t32" style="position:absolute;left:0pt;flip:y;margin-left:265.4pt;margin-top:129.1pt;height:38.25pt;width:0pt;z-index:25165721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508" o:spid="_x0000_s4508" o:spt="202" type="#_x0000_t202" style="position:absolute;left:0pt;margin-left:94.55pt;margin-top:6.3pt;height:26.85pt;width:73.5pt;z-index:251658240;mso-width-relative:page;mso-height-relative:page;" coordsize="21600,21600">
            <v:path/>
            <v:fill focussize="0,0"/>
            <v:stroke joinstyle="miter"/>
            <v:imagedata o:title=""/>
            <o:lock v:ext="edit"/>
            <v:textbox>
              <w:txbxContent>
                <w:p>
                  <w:pPr>
                    <w:rPr>
                      <w:sz w:val="22"/>
                    </w:rPr>
                  </w:pPr>
                  <w:r>
                    <w:rPr>
                      <w:rFonts w:hint="eastAsia"/>
                      <w:sz w:val="22"/>
                    </w:rPr>
                    <w:t>安全环保组</w:t>
                  </w:r>
                </w:p>
              </w:txbxContent>
            </v:textbox>
          </v:shape>
        </w:pict>
      </w:r>
    </w:p>
    <w:p>
      <w:pPr>
        <w:rPr>
          <w:b/>
          <w:color w:val="000000"/>
          <w:sz w:val="28"/>
          <w:szCs w:val="28"/>
        </w:rPr>
      </w:pPr>
      <w:r>
        <w:rPr>
          <w:b/>
          <w:color w:val="000000"/>
          <w:sz w:val="28"/>
          <w:szCs w:val="28"/>
        </w:rPr>
        <w:pict>
          <v:shape id="_x0000_s4512" o:spid="_x0000_s4512" o:spt="202" type="#_x0000_t202" style="position:absolute;left:0pt;margin-left:189pt;margin-top:21.45pt;height:30pt;width:39.75pt;z-index:251658240;mso-width-relative:page;mso-height-relative:page;" filled="f" stroked="f" coordsize="21600,21600">
            <v:path/>
            <v:fill on="f" focussize="0,0"/>
            <v:stroke on="f" joinstyle="miter"/>
            <v:imagedata o:title=""/>
            <o:lock v:ext="edit"/>
            <v:textbox>
              <w:txbxContent>
                <w:p>
                  <w:r>
                    <w:rPr>
                      <w:rFonts w:hint="eastAsia"/>
                    </w:rPr>
                    <w:t>III级</w:t>
                  </w:r>
                </w:p>
              </w:txbxContent>
            </v:textbox>
          </v:shape>
        </w:pict>
      </w:r>
      <w:r>
        <w:rPr>
          <w:b/>
          <w:color w:val="000000"/>
          <w:sz w:val="28"/>
          <w:szCs w:val="28"/>
        </w:rPr>
        <w:pict>
          <v:shape id="_x0000_s4510" o:spid="_x0000_s4510" o:spt="202" type="#_x0000_t202" style="position:absolute;left:0pt;margin-left:90.55pt;margin-top:24.45pt;height:26.25pt;width:82.5pt;z-index:251659264;mso-width-relative:page;mso-height-relative:page;" coordsize="21600,21600">
            <v:path/>
            <v:fill focussize="0,0"/>
            <v:stroke joinstyle="miter"/>
            <v:imagedata o:title=""/>
            <o:lock v:ext="edit"/>
            <v:textbox>
              <w:txbxContent>
                <w:p>
                  <w:pPr>
                    <w:rPr>
                      <w:sz w:val="22"/>
                    </w:rPr>
                  </w:pPr>
                  <w:r>
                    <w:rPr>
                      <w:rFonts w:hint="eastAsia"/>
                      <w:sz w:val="22"/>
                    </w:rPr>
                    <w:t>事件等级判读</w:t>
                  </w:r>
                </w:p>
              </w:txbxContent>
            </v:textbox>
          </v:shape>
        </w:pict>
      </w:r>
      <w:r>
        <w:rPr>
          <w:b/>
          <w:color w:val="000000"/>
          <w:sz w:val="28"/>
          <w:szCs w:val="28"/>
        </w:rPr>
        <w:pict>
          <v:shape id="_x0000_s4509" o:spid="_x0000_s4509" o:spt="32" type="#_x0000_t32" style="position:absolute;left:0pt;margin-left:131.95pt;margin-top:1.95pt;height:23.25pt;width:0pt;z-index:251660288;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4511" o:spid="_x0000_s4511" o:spt="32" type="#_x0000_t32" style="position:absolute;left:0pt;margin-left:180pt;margin-top:7.8pt;height:0pt;width:63pt;z-index:251661312;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521" o:spid="_x0000_s4521" o:spt="32" type="#_x0000_t32" style="position:absolute;left:0pt;margin-left:132pt;margin-top:21.5pt;height:23.25pt;width:0pt;z-index:251662336;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4522" o:spid="_x0000_s4522" o:spt="202" type="#_x0000_t202" style="position:absolute;left:0pt;margin-left:79.5pt;margin-top:13.55pt;height:24.15pt;width:100.5pt;z-index:251663360;mso-width-relative:page;mso-height-relative:page;" coordsize="21600,21600">
            <v:path/>
            <v:fill focussize="0,0"/>
            <v:stroke joinstyle="miter"/>
            <v:imagedata o:title=""/>
            <o:lock v:ext="edit"/>
            <v:textbox>
              <w:txbxContent>
                <w:p>
                  <w:pPr>
                    <w:rPr>
                      <w:sz w:val="22"/>
                    </w:rPr>
                  </w:pPr>
                  <w:r>
                    <w:rPr>
                      <w:rFonts w:hint="eastAsia"/>
                      <w:sz w:val="22"/>
                    </w:rPr>
                    <w:t>环境应急指挥部</w:t>
                  </w:r>
                </w:p>
              </w:txbxContent>
            </v:textbox>
          </v:shape>
        </w:pict>
      </w:r>
    </w:p>
    <w:p>
      <w:pPr>
        <w:rPr>
          <w:b/>
          <w:color w:val="000000"/>
          <w:sz w:val="28"/>
          <w:szCs w:val="28"/>
        </w:rPr>
      </w:pPr>
      <w:r>
        <w:rPr>
          <w:b/>
          <w:color w:val="000000"/>
          <w:sz w:val="28"/>
          <w:szCs w:val="28"/>
        </w:rPr>
        <w:pict>
          <v:shape id="_x0000_s4526" o:spid="_x0000_s4526" o:spt="202" type="#_x0000_t202" style="position:absolute;left:0pt;margin-left:189pt;margin-top:23.4pt;height:30pt;width:39.75pt;z-index:251664384;mso-width-relative:page;mso-height-relative:page;" filled="f" stroked="f" coordsize="21600,21600">
            <v:path/>
            <v:fill on="f" focussize="0,0"/>
            <v:stroke on="f" joinstyle="miter"/>
            <v:imagedata o:title=""/>
            <o:lock v:ext="edit"/>
            <v:textbox>
              <w:txbxContent>
                <w:p>
                  <w:r>
                    <w:rPr>
                      <w:rFonts w:hint="eastAsia"/>
                    </w:rPr>
                    <w:t>II级</w:t>
                  </w:r>
                </w:p>
              </w:txbxContent>
            </v:textbox>
          </v:shape>
        </w:pict>
      </w:r>
      <w:r>
        <w:rPr>
          <w:b/>
          <w:color w:val="000000"/>
          <w:sz w:val="28"/>
          <w:szCs w:val="28"/>
        </w:rPr>
        <w:pict>
          <v:shape id="_x0000_s4520" o:spid="_x0000_s4520" o:spt="202" type="#_x0000_t202" style="position:absolute;left:0pt;margin-left:269.65pt;margin-top:4.15pt;height:42.65pt;width:36.35pt;z-index:251665408;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4519" o:spid="_x0000_s4519" o:spt="202" type="#_x0000_t202" style="position:absolute;left:0pt;margin-left:217.75pt;margin-top:3.5pt;height:38.25pt;width:50.25pt;z-index:251666432;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4523" o:spid="_x0000_s4523" o:spt="32" type="#_x0000_t32" style="position:absolute;left:0pt;margin-left:131.3pt;margin-top:7.8pt;height:23.25pt;width:0pt;z-index:251667456;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4525" o:spid="_x0000_s4525" o:spt="32" type="#_x0000_t32" style="position:absolute;left:0pt;margin-left:180pt;margin-top:15.6pt;height:0pt;width:63pt;z-index:251668480;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527" o:spid="_x0000_s4527" o:spt="32" type="#_x0000_t32" style="position:absolute;left:0pt;margin-left:130.65pt;margin-top:22.1pt;height:23.25pt;width:0pt;z-index:251669504;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524" o:spid="_x0000_s4524" o:spt="202" type="#_x0000_t202" style="position:absolute;left:0pt;margin-left:89.25pt;margin-top:-0.15pt;height:23.55pt;width:82.5pt;z-index:251670528;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r>
        <w:rPr>
          <w:b/>
          <w:color w:val="000000"/>
          <w:sz w:val="28"/>
          <w:szCs w:val="28"/>
        </w:rPr>
        <w:pict>
          <v:shape id="_x0000_s4528" o:spid="_x0000_s4528" o:spt="202" type="#_x0000_t202" style="position:absolute;left:0pt;margin-left:100.2pt;margin-top:13.5pt;height:22.95pt;width:64.5pt;z-index:251671552;mso-width-relative:page;mso-height-relative:page;" coordsize="21600,21600">
            <v:path/>
            <v:fill focussize="0,0"/>
            <v:stroke joinstyle="miter"/>
            <v:imagedata o:title=""/>
            <o:lock v:ext="edit"/>
            <v:textbox>
              <w:txbxContent>
                <w:p>
                  <w:pPr>
                    <w:rPr>
                      <w:sz w:val="22"/>
                    </w:rPr>
                  </w:pPr>
                  <w:r>
                    <w:rPr>
                      <w:rFonts w:hint="eastAsia"/>
                      <w:sz w:val="22"/>
                    </w:rPr>
                    <w:t>政府部门</w:t>
                  </w:r>
                </w:p>
              </w:txbxContent>
            </v:textbox>
          </v:shape>
        </w:pict>
      </w:r>
    </w:p>
    <w:p>
      <w:pPr>
        <w:rPr>
          <w:b/>
          <w:color w:val="000000"/>
          <w:sz w:val="28"/>
          <w:szCs w:val="28"/>
        </w:rPr>
      </w:pPr>
      <w:r>
        <w:rPr>
          <w:b/>
          <w:color w:val="000000"/>
          <w:sz w:val="28"/>
          <w:szCs w:val="28"/>
        </w:rPr>
        <w:pict>
          <v:shape id="_x0000_s4529" o:spid="_x0000_s4529" o:spt="202" type="#_x0000_t202" style="position:absolute;left:0pt;margin-left:189pt;margin-top:23.4pt;height:23.25pt;width:33.75pt;z-index:251672576;mso-width-relative:page;mso-height-relative:page;" filled="f" stroked="f" coordsize="21600,21600">
            <v:path/>
            <v:fill on="f" focussize="0,0"/>
            <v:stroke on="f" joinstyle="miter"/>
            <v:imagedata o:title=""/>
            <o:lock v:ext="edit"/>
            <v:textbox>
              <w:txbxContent>
                <w:p>
                  <w:r>
                    <w:t>I级</w:t>
                  </w:r>
                </w:p>
              </w:txbxContent>
            </v:textbox>
          </v:shape>
        </w:pict>
      </w:r>
      <w:r>
        <w:rPr>
          <w:b/>
          <w:color w:val="000000"/>
          <w:sz w:val="28"/>
          <w:szCs w:val="28"/>
        </w:rPr>
        <w:pict>
          <v:shape id="_x0000_s4533" o:spid="_x0000_s4533" o:spt="202" type="#_x0000_t202" style="position:absolute;left:0pt;margin-left:243pt;margin-top:23.4pt;height:151.5pt;width:46.5pt;z-index:251673600;mso-width-relative:page;mso-height-relative:page;" coordsize="21600,21600">
            <v:path/>
            <v:fill focussize="0,0"/>
            <v:stroke joinstyle="miter"/>
            <v:imagedata o:title=""/>
            <o:lock v:ext="edit"/>
            <v:textbox>
              <w:txbxContent>
                <w:p>
                  <w:pPr>
                    <w:rPr>
                      <w:sz w:val="22"/>
                    </w:rPr>
                  </w:pPr>
                  <w:r>
                    <w:rPr>
                      <w:rFonts w:hint="eastAsia"/>
                      <w:sz w:val="22"/>
                    </w:rPr>
                    <w:t>根据情况针对敏感区域发布响应级别预 警</w:t>
                  </w:r>
                </w:p>
              </w:txbxContent>
            </v:textbox>
          </v:shape>
        </w:pict>
      </w:r>
      <w:r>
        <w:rPr>
          <w:b/>
          <w:color w:val="000000"/>
          <w:sz w:val="28"/>
          <w:szCs w:val="28"/>
        </w:rPr>
        <w:pict>
          <v:shape id="_x0000_s4530" o:spid="_x0000_s4530" o:spt="32" type="#_x0000_t32" style="position:absolute;left:0pt;margin-left:131.3pt;margin-top:6.5pt;height:23.25pt;width:0pt;z-index:25167462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4536" o:spid="_x0000_s4536" o:spt="202" type="#_x0000_t202" style="position:absolute;left:0pt;margin-left:352.3pt;margin-top:23.4pt;height:78pt;width:25.7pt;z-index:251675648;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4534" o:spid="_x0000_s4534" o:spt="32" type="#_x0000_t32" style="position:absolute;left:0pt;margin-left:291.7pt;margin-top:56.85pt;height:0pt;width:61.5pt;z-index:251676672;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535" o:spid="_x0000_s4535" o:spt="202" type="#_x0000_t202" style="position:absolute;left:0pt;margin-left:298.45pt;margin-top:9.6pt;height:47.25pt;width:39.75pt;z-index:251677696;mso-width-relative:page;mso-height-relative:page;" filled="f" stroked="f" coordsize="21600,21600">
            <v:path/>
            <v:fill on="f" focussize="0,0"/>
            <v:stroke on="f" joinstyle="miter"/>
            <v:imagedata o:title=""/>
            <o:lock v:ext="edit"/>
            <v:textbox>
              <w:txbxContent>
                <w:p>
                  <w:r>
                    <w:rPr>
                      <w:rFonts w:hint="eastAsia"/>
                    </w:rPr>
                    <w:t>事件平息</w:t>
                  </w:r>
                </w:p>
              </w:txbxContent>
            </v:textbox>
          </v:shape>
        </w:pict>
      </w:r>
      <w:r>
        <w:rPr>
          <w:b/>
          <w:color w:val="000000"/>
          <w:sz w:val="28"/>
          <w:szCs w:val="28"/>
        </w:rPr>
        <w:pict>
          <v:shape id="_x0000_s4532" o:spid="_x0000_s4532" o:spt="32" type="#_x0000_t32" style="position:absolute;left:0pt;margin-left:172.3pt;margin-top:13.65pt;height:0pt;width:63pt;z-index:251678720;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4531" o:spid="_x0000_s4531" o:spt="202" type="#_x0000_t202" style="position:absolute;left:0pt;margin-left:89.9pt;margin-top:-0.25pt;height:22.35pt;width:82.5pt;z-index:251679744;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317" w:name="_Toc1399"/>
      <w:r>
        <w:rPr>
          <w:rFonts w:hint="eastAsia" w:asciiTheme="minorEastAsia" w:hAnsiTheme="minorEastAsia" w:eastAsiaTheme="minorEastAsia"/>
          <w:b/>
          <w:color w:val="000000"/>
          <w:sz w:val="32"/>
        </w:rPr>
        <w:t>5预警</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Pr>
          <w:rFonts w:hint="eastAsia" w:asciiTheme="minorEastAsia" w:hAnsiTheme="minorEastAsia" w:eastAsiaTheme="minorEastAsia"/>
          <w:b/>
          <w:color w:val="000000"/>
          <w:sz w:val="32"/>
        </w:rPr>
        <w:t>及信息报告</w:t>
      </w:r>
      <w:bookmarkEnd w:id="312"/>
      <w:bookmarkEnd w:id="313"/>
      <w:bookmarkEnd w:id="314"/>
      <w:bookmarkEnd w:id="315"/>
      <w:bookmarkEnd w:id="317"/>
    </w:p>
    <w:p>
      <w:pPr>
        <w:adjustRightInd w:val="0"/>
        <w:snapToGrid w:val="0"/>
        <w:spacing w:line="460" w:lineRule="exact"/>
        <w:outlineLvl w:val="1"/>
        <w:rPr>
          <w:b/>
          <w:color w:val="000000"/>
          <w:sz w:val="28"/>
          <w:szCs w:val="28"/>
        </w:rPr>
      </w:pPr>
      <w:bookmarkStart w:id="318" w:name="_Toc31716"/>
      <w:bookmarkStart w:id="319" w:name="_Toc387131426"/>
      <w:bookmarkStart w:id="320" w:name="_Toc387131500"/>
      <w:bookmarkStart w:id="321" w:name="_Toc387131757"/>
      <w:bookmarkStart w:id="322" w:name="_Toc408274434"/>
      <w:bookmarkStart w:id="323" w:name="_Toc415254540"/>
      <w:bookmarkStart w:id="324" w:name="_Toc179794545"/>
      <w:bookmarkStart w:id="325" w:name="_Toc183339223"/>
      <w:bookmarkStart w:id="326" w:name="_Toc183339499"/>
      <w:bookmarkStart w:id="327" w:name="_Toc184808763"/>
      <w:bookmarkStart w:id="328" w:name="_Toc184809550"/>
      <w:bookmarkStart w:id="329" w:name="_Toc185670983"/>
      <w:bookmarkStart w:id="330" w:name="_Toc196018433"/>
      <w:bookmarkStart w:id="331" w:name="_Toc196018542"/>
      <w:bookmarkStart w:id="332" w:name="_Toc196018637"/>
      <w:bookmarkStart w:id="333" w:name="_Toc197251341"/>
      <w:bookmarkStart w:id="334" w:name="_Toc198007336"/>
      <w:bookmarkStart w:id="335" w:name="_Toc198355321"/>
      <w:bookmarkStart w:id="336" w:name="_Toc229283972"/>
      <w:bookmarkStart w:id="337" w:name="_Toc262040277"/>
      <w:bookmarkStart w:id="338" w:name="_Toc262050867"/>
      <w:bookmarkStart w:id="339" w:name="_Toc262051117"/>
      <w:bookmarkStart w:id="340" w:name="_Toc262051538"/>
      <w:bookmarkStart w:id="341" w:name="_Toc304833234"/>
      <w:bookmarkStart w:id="342" w:name="_Toc304962957"/>
      <w:bookmarkStart w:id="343" w:name="_Toc304963601"/>
      <w:bookmarkStart w:id="344" w:name="_Toc304964444"/>
      <w:bookmarkStart w:id="345" w:name="_Toc336326851"/>
      <w:bookmarkStart w:id="346" w:name="_Toc336327129"/>
      <w:r>
        <w:rPr>
          <w:rFonts w:hint="eastAsia"/>
          <w:b/>
          <w:color w:val="000000"/>
          <w:sz w:val="28"/>
          <w:szCs w:val="28"/>
        </w:rPr>
        <w:t>5.1预防措施</w:t>
      </w:r>
      <w:bookmarkEnd w:id="318"/>
    </w:p>
    <w:p>
      <w:pPr>
        <w:spacing w:line="360" w:lineRule="auto"/>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根据风险识别，项目风险源主要有储酸室储罐和生产区，企业采取的风险源监控及</w:t>
      </w:r>
      <w:r>
        <w:rPr>
          <w:rFonts w:hint="eastAsia" w:asciiTheme="minorEastAsia" w:hAnsiTheme="minorEastAsia" w:eastAsiaTheme="minorEastAsia"/>
          <w:color w:val="000000"/>
          <w:sz w:val="24"/>
          <w:szCs w:val="24"/>
        </w:rPr>
        <w:t>预防措施有：</w:t>
      </w:r>
    </w:p>
    <w:p>
      <w:pPr>
        <w:spacing w:line="360" w:lineRule="auto"/>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szCs w:val="24"/>
        </w:rPr>
        <w:t>盐酸、氯酸钠储</w:t>
      </w:r>
      <w:r>
        <w:rPr>
          <w:rFonts w:hint="eastAsia" w:asciiTheme="minorEastAsia" w:hAnsiTheme="minorEastAsia" w:eastAsiaTheme="minorEastAsia"/>
          <w:color w:val="000000"/>
          <w:sz w:val="24"/>
          <w:szCs w:val="24"/>
        </w:rPr>
        <w:t>罐区风险防控措施</w:t>
      </w:r>
    </w:p>
    <w:p>
      <w:pPr>
        <w:pStyle w:val="187"/>
        <w:spacing w:line="276" w:lineRule="auto"/>
        <w:ind w:firstLine="486" w:firstLineChars="200"/>
        <w:jc w:val="left"/>
        <w:rPr>
          <w:rFonts w:asciiTheme="minorEastAsia" w:hAnsiTheme="minorEastAsia" w:eastAsiaTheme="minorEastAsia"/>
          <w:sz w:val="24"/>
        </w:rPr>
      </w:pPr>
      <w:r>
        <w:rPr>
          <w:rFonts w:hint="eastAsia" w:asciiTheme="minorEastAsia" w:hAnsiTheme="minorEastAsia" w:eastAsiaTheme="minorEastAsia"/>
          <w:color w:val="000000"/>
          <w:sz w:val="24"/>
        </w:rPr>
        <w:t>（1）库房设有专人管理。定期检查。</w:t>
      </w:r>
    </w:p>
    <w:p>
      <w:pPr>
        <w:spacing w:line="276" w:lineRule="auto"/>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（2）盐酸和氯酸钠储罐区有消防器材和堵漏工具；</w:t>
      </w:r>
    </w:p>
    <w:p>
      <w:pPr>
        <w:spacing w:line="360" w:lineRule="auto"/>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（3）储罐区设置有围堰和储罐区外设置有截流沟分流系统；</w:t>
      </w:r>
    </w:p>
    <w:p>
      <w:pPr>
        <w:spacing w:line="360" w:lineRule="auto"/>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地面采用混泥土进行了防渗、防腐处理。</w:t>
      </w:r>
    </w:p>
    <w:p>
      <w:pPr>
        <w:spacing w:line="360" w:lineRule="auto"/>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（5）存储间</w:t>
      </w:r>
      <w:r>
        <w:rPr>
          <w:rFonts w:asciiTheme="minorEastAsia" w:hAnsiTheme="minorEastAsia" w:eastAsiaTheme="minorEastAsia"/>
          <w:color w:val="000000"/>
          <w:sz w:val="24"/>
          <w:szCs w:val="24"/>
        </w:rPr>
        <w:t>外设置了喷淋措施、洗眼设施等应急装置。</w:t>
      </w:r>
    </w:p>
    <w:p>
      <w:pPr>
        <w:spacing w:line="360" w:lineRule="auto"/>
        <w:ind w:left="972" w:leftChars="228" w:hanging="486" w:hangingChars="200"/>
        <w:rPr>
          <w:rFonts w:asciiTheme="minorEastAsia" w:hAnsiTheme="minorEastAsia" w:eastAsiaTheme="minorEastAsia"/>
          <w:sz w:val="24"/>
          <w:szCs w:val="24"/>
        </w:rPr>
      </w:pPr>
      <w:r>
        <w:rPr>
          <w:rFonts w:hint="eastAsia" w:asciiTheme="minorEastAsia" w:hAnsiTheme="minorEastAsia" w:eastAsiaTheme="minorEastAsia"/>
          <w:color w:val="000000"/>
          <w:sz w:val="24"/>
          <w:szCs w:val="24"/>
        </w:rPr>
        <w:t>（6）</w:t>
      </w:r>
      <w:r>
        <w:rPr>
          <w:rFonts w:asciiTheme="minorEastAsia" w:hAnsiTheme="minorEastAsia" w:eastAsiaTheme="minorEastAsia"/>
          <w:sz w:val="24"/>
          <w:szCs w:val="24"/>
        </w:rPr>
        <w:t>针对盐酸、二氧化氯泄漏挥发出的氯化氢、二氧化氯气体配备气体监测报警装置。</w:t>
      </w:r>
    </w:p>
    <w:p>
      <w:pPr>
        <w:spacing w:line="360" w:lineRule="auto"/>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2、生产区风险防控措施</w:t>
      </w:r>
    </w:p>
    <w:p>
      <w:pPr>
        <w:pStyle w:val="187"/>
        <w:spacing w:line="276" w:lineRule="auto"/>
        <w:ind w:left="1094" w:leftChars="228" w:hanging="608" w:hangingChars="250"/>
        <w:jc w:val="left"/>
        <w:rPr>
          <w:rFonts w:asciiTheme="minorEastAsia" w:hAnsiTheme="minorEastAsia" w:eastAsiaTheme="minorEastAsia"/>
          <w:sz w:val="24"/>
        </w:rPr>
      </w:pPr>
      <w:r>
        <w:rPr>
          <w:rFonts w:hint="eastAsia" w:asciiTheme="minorEastAsia" w:hAnsiTheme="minorEastAsia" w:eastAsiaTheme="minorEastAsia"/>
          <w:color w:val="000000"/>
          <w:sz w:val="24"/>
        </w:rPr>
        <w:t>（1）企业</w:t>
      </w:r>
      <w:r>
        <w:rPr>
          <w:rFonts w:hint="eastAsia" w:asciiTheme="minorEastAsia" w:hAnsiTheme="minorEastAsia" w:eastAsiaTheme="minorEastAsia"/>
          <w:sz w:val="24"/>
        </w:rPr>
        <w:t>有一套日处理30000</w:t>
      </w:r>
      <w:r>
        <w:rPr>
          <w:rFonts w:hint="eastAsia" w:cs="仿宋_GB2312" w:asciiTheme="minorEastAsia" w:hAnsiTheme="minorEastAsia" w:eastAsiaTheme="minorEastAsia"/>
          <w:sz w:val="24"/>
          <w:lang w:val="zh-CN"/>
        </w:rPr>
        <w:t xml:space="preserve"> m</w:t>
      </w:r>
      <w:r>
        <w:rPr>
          <w:rFonts w:hint="eastAsia" w:cs="仿宋_GB2312" w:asciiTheme="minorEastAsia" w:hAnsiTheme="minorEastAsia" w:eastAsiaTheme="minorEastAsia"/>
          <w:sz w:val="24"/>
          <w:vertAlign w:val="superscript"/>
          <w:lang w:val="zh-CN"/>
        </w:rPr>
        <w:t>3</w:t>
      </w:r>
      <w:r>
        <w:rPr>
          <w:rFonts w:hint="eastAsia" w:asciiTheme="minorEastAsia" w:hAnsiTheme="minorEastAsia" w:eastAsiaTheme="minorEastAsia"/>
          <w:sz w:val="24"/>
        </w:rPr>
        <w:t>/</w:t>
      </w:r>
      <w:r>
        <w:rPr>
          <w:rFonts w:hint="eastAsia" w:asciiTheme="minorEastAsia" w:hAnsiTheme="minorEastAsia" w:eastAsiaTheme="minorEastAsia"/>
          <w:color w:val="000000"/>
          <w:sz w:val="24"/>
        </w:rPr>
        <w:t>d</w:t>
      </w:r>
      <w:r>
        <w:rPr>
          <w:rFonts w:hint="eastAsia" w:asciiTheme="minorEastAsia" w:hAnsiTheme="minorEastAsia" w:eastAsiaTheme="minorEastAsia"/>
          <w:sz w:val="24"/>
        </w:rPr>
        <w:t>备用的生产线，遇突发环境事件可作为事故应急事故池</w:t>
      </w:r>
      <w:r>
        <w:rPr>
          <w:rFonts w:hint="eastAsia" w:asciiTheme="minorEastAsia" w:hAnsiTheme="minorEastAsia" w:eastAsiaTheme="minorEastAsia"/>
          <w:color w:val="000000"/>
          <w:sz w:val="24"/>
        </w:rPr>
        <w:t>，可以保证事故状态下厂内污染污水及工业园区污水的收集；</w:t>
      </w:r>
    </w:p>
    <w:p>
      <w:pPr>
        <w:spacing w:line="360" w:lineRule="auto"/>
        <w:ind w:left="972" w:leftChars="228" w:hanging="486" w:hanging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（2）二氧化氯车间配有气体泄漏报警仪、消防器材和堵漏工具；</w:t>
      </w:r>
      <w:r>
        <w:rPr>
          <w:rFonts w:asciiTheme="minorEastAsia" w:hAnsiTheme="minorEastAsia" w:eastAsiaTheme="minorEastAsia"/>
          <w:sz w:val="24"/>
          <w:szCs w:val="24"/>
        </w:rPr>
        <w:t>二氧化氯发生器设置了报警开关，一旦发生泄漏</w:t>
      </w:r>
      <w:r>
        <w:rPr>
          <w:rFonts w:hint="eastAsia" w:asciiTheme="minorEastAsia" w:hAnsiTheme="minorEastAsia" w:eastAsiaTheme="minorEastAsia"/>
          <w:sz w:val="24"/>
          <w:szCs w:val="24"/>
        </w:rPr>
        <w:t>，</w:t>
      </w:r>
      <w:r>
        <w:rPr>
          <w:rFonts w:asciiTheme="minorEastAsia" w:hAnsiTheme="minorEastAsia" w:eastAsiaTheme="minorEastAsia"/>
          <w:sz w:val="24"/>
          <w:szCs w:val="24"/>
        </w:rPr>
        <w:t>开关自动关闭。</w:t>
      </w:r>
    </w:p>
    <w:p>
      <w:pPr>
        <w:spacing w:line="360" w:lineRule="auto"/>
        <w:ind w:left="1094" w:leftChars="228" w:hanging="608" w:hangingChars="25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设置出水、进水水质在线监测装置，定期监测出水水质，防止污水未达标排放。</w:t>
      </w:r>
    </w:p>
    <w:p>
      <w:pPr>
        <w:spacing w:line="360" w:lineRule="auto"/>
        <w:ind w:left="1094" w:leftChars="228" w:hanging="608" w:hangingChars="25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定期对污水治理设施设备进行检查，维护保养，减少设备出现故障概率。</w:t>
      </w:r>
    </w:p>
    <w:p>
      <w:pPr>
        <w:spacing w:line="360" w:lineRule="auto"/>
        <w:ind w:left="1094" w:leftChars="228" w:hanging="608" w:hangingChars="250"/>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（5）配备双回路电源，防止停电发生时</w:t>
      </w:r>
      <w:r>
        <w:rPr>
          <w:rFonts w:hint="eastAsia" w:asciiTheme="minorEastAsia" w:hAnsiTheme="minorEastAsia" w:eastAsiaTheme="minorEastAsia"/>
          <w:color w:val="000000"/>
          <w:sz w:val="24"/>
          <w:szCs w:val="24"/>
          <w:lang w:eastAsia="zh-CN"/>
        </w:rPr>
        <w:t>应</w:t>
      </w:r>
      <w:r>
        <w:rPr>
          <w:rFonts w:hint="eastAsia" w:asciiTheme="minorEastAsia" w:hAnsiTheme="minorEastAsia" w:eastAsiaTheme="minorEastAsia"/>
          <w:color w:val="000000"/>
          <w:sz w:val="24"/>
          <w:szCs w:val="24"/>
        </w:rPr>
        <w:t>对污水处理设备无法正常运营</w:t>
      </w:r>
      <w:r>
        <w:rPr>
          <w:rFonts w:hint="eastAsia" w:asciiTheme="minorEastAsia" w:hAnsiTheme="minorEastAsia" w:eastAsiaTheme="minorEastAsia"/>
          <w:color w:val="000000"/>
          <w:sz w:val="24"/>
          <w:szCs w:val="24"/>
          <w:lang w:eastAsia="zh-CN"/>
        </w:rPr>
        <w:t>的</w:t>
      </w:r>
      <w:r>
        <w:rPr>
          <w:rFonts w:hint="eastAsia" w:asciiTheme="minorEastAsia" w:hAnsiTheme="minorEastAsia" w:eastAsiaTheme="minorEastAsia"/>
          <w:color w:val="000000"/>
          <w:sz w:val="24"/>
          <w:szCs w:val="24"/>
          <w:lang w:val="en-US" w:eastAsia="zh-CN"/>
        </w:rPr>
        <w:t xml:space="preserve">       </w:t>
      </w:r>
      <w:r>
        <w:rPr>
          <w:rFonts w:hint="eastAsia" w:asciiTheme="minorEastAsia" w:hAnsiTheme="minorEastAsia" w:eastAsiaTheme="minorEastAsia"/>
          <w:color w:val="000000"/>
          <w:sz w:val="24"/>
          <w:szCs w:val="24"/>
          <w:lang w:eastAsia="zh-CN"/>
        </w:rPr>
        <w:t>情况</w:t>
      </w:r>
      <w:r>
        <w:rPr>
          <w:rFonts w:hint="eastAsia" w:asciiTheme="minorEastAsia" w:hAnsiTheme="minorEastAsia" w:eastAsiaTheme="minorEastAsia"/>
          <w:color w:val="000000"/>
          <w:sz w:val="24"/>
          <w:szCs w:val="24"/>
        </w:rPr>
        <w:t>。</w:t>
      </w:r>
    </w:p>
    <w:p>
      <w:pPr>
        <w:adjustRightInd w:val="0"/>
        <w:snapToGrid w:val="0"/>
        <w:spacing w:line="460" w:lineRule="exact"/>
        <w:outlineLvl w:val="1"/>
        <w:rPr>
          <w:b/>
          <w:color w:val="000000"/>
          <w:sz w:val="28"/>
          <w:szCs w:val="28"/>
        </w:rPr>
      </w:pPr>
      <w:bookmarkStart w:id="347" w:name="_Toc6420"/>
      <w:r>
        <w:rPr>
          <w:rFonts w:hint="eastAsia"/>
          <w:b/>
          <w:color w:val="000000"/>
          <w:sz w:val="28"/>
          <w:szCs w:val="28"/>
        </w:rPr>
        <w:t>5.2预警措施</w:t>
      </w:r>
      <w:bookmarkEnd w:id="347"/>
    </w:p>
    <w:p>
      <w:pPr>
        <w:spacing w:line="360" w:lineRule="auto"/>
        <w:rPr>
          <w:rFonts w:asciiTheme="minorEastAsia" w:hAnsiTheme="minorEastAsia" w:eastAsiaTheme="minorEastAsia"/>
          <w:sz w:val="24"/>
          <w:szCs w:val="24"/>
        </w:rPr>
      </w:pPr>
      <w:r>
        <w:rPr>
          <w:rFonts w:hint="eastAsia" w:asciiTheme="minorEastAsia" w:hAnsiTheme="minorEastAsia" w:eastAsiaTheme="minorEastAsia"/>
          <w:color w:val="000000"/>
          <w:sz w:val="24"/>
          <w:szCs w:val="24"/>
        </w:rPr>
        <w:t>（1）在污水进水口及排放口安装有COD在线分析仪/氨氮在线分析仪/流量计，进水口平时每2小时监测一次，出水口每1小时监测一次。同时辅以手动监测，可随时了解进、出水水质状况；此外，设备具有自动报警系统，一旦监测值超过设定限值，设备将自动报警。</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）进水口和排放口都安装有超声波明渠流量计，可随时监测进、出水的流量大小，再结合进、出水的水质状况，对处理药剂配比进行调整。</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）进水口前端设有溢洪口，当暴雨水量超过处理能力时，多余的部分，将从溢洪口直接排入长江，以保证污水处理厂的正常运行。</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）定期采取进、出水口水样，对各项水质指标进行检测；同时有值班人员不定期巡视进出水质状况，通常每</w:t>
      </w:r>
      <w:r>
        <w:rPr>
          <w:rFonts w:asciiTheme="minorEastAsia" w:hAnsiTheme="minorEastAsia" w:eastAsiaTheme="minorEastAsia"/>
          <w:sz w:val="24"/>
          <w:szCs w:val="24"/>
        </w:rPr>
        <w:t>2</w:t>
      </w:r>
      <w:r>
        <w:rPr>
          <w:rFonts w:hint="eastAsia" w:asciiTheme="minorEastAsia" w:hAnsiTheme="minorEastAsia" w:eastAsiaTheme="minorEastAsia"/>
          <w:sz w:val="24"/>
          <w:szCs w:val="24"/>
        </w:rPr>
        <w:t>小时至少巡视一次，以应对水质浓度的骤变。</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机修人员做好设备维护保养工作。</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水量冲击预警</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巡检组负责对天气情况进行72小时预报。</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巡检时发现提升泵井液位明显增加，立即上报</w:t>
      </w:r>
      <w:r>
        <w:rPr>
          <w:rFonts w:hint="eastAsia" w:asciiTheme="minorEastAsia" w:hAnsiTheme="minorEastAsia" w:eastAsiaTheme="minorEastAsia"/>
          <w:sz w:val="24"/>
          <w:szCs w:val="24"/>
        </w:rPr>
        <w:t>厂长</w:t>
      </w:r>
      <w:r>
        <w:rPr>
          <w:rFonts w:asciiTheme="minorEastAsia" w:hAnsiTheme="minorEastAsia" w:eastAsiaTheme="minorEastAsia"/>
          <w:sz w:val="24"/>
          <w:szCs w:val="24"/>
        </w:rPr>
        <w:t>，并采取相应防范措施。</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发生暴雨时，中控室在</w:t>
      </w:r>
      <w:r>
        <w:rPr>
          <w:rFonts w:hint="eastAsia" w:asciiTheme="minorEastAsia" w:hAnsiTheme="minorEastAsia" w:eastAsiaTheme="minorEastAsia"/>
          <w:sz w:val="24"/>
          <w:szCs w:val="24"/>
        </w:rPr>
        <w:t>岗</w:t>
      </w:r>
      <w:r>
        <w:rPr>
          <w:rFonts w:asciiTheme="minorEastAsia" w:hAnsiTheme="minorEastAsia" w:eastAsiaTheme="minorEastAsia"/>
          <w:sz w:val="24"/>
          <w:szCs w:val="24"/>
        </w:rPr>
        <w:t>人员密切观察提升泵井液位。当中控室人员发现液位上升增快时，立即上报厂长。</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水质冲击预警</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巡检过程中发现水质恶臭、浊度等异常，立即向厂长报告</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中控室发现进水水质在线监测数据超过进水标准，立即向厂长报告。</w:t>
      </w:r>
    </w:p>
    <w:p>
      <w:pPr>
        <w:spacing w:line="360" w:lineRule="auto"/>
        <w:ind w:firstLine="486" w:firstLineChars="200"/>
        <w:rPr>
          <w:rFonts w:asciiTheme="minorEastAsia" w:hAnsiTheme="minorEastAsia" w:eastAsiaTheme="minorEastAsia"/>
          <w:sz w:val="24"/>
          <w:szCs w:val="24"/>
        </w:rPr>
      </w:pPr>
      <w:r>
        <w:rPr>
          <w:rFonts w:asciiTheme="minorEastAsia" w:hAnsiTheme="minorEastAsia" w:eastAsiaTheme="minorEastAsia"/>
          <w:sz w:val="24"/>
          <w:szCs w:val="24"/>
        </w:rPr>
        <w:t>3）厂长接到进水水质冲击报告后，立即通知化验室负责人，对进水水质进行</w:t>
      </w:r>
      <w:r>
        <w:rPr>
          <w:rFonts w:hint="eastAsia" w:asciiTheme="minorEastAsia" w:hAnsiTheme="minorEastAsia" w:eastAsiaTheme="minorEastAsia"/>
          <w:sz w:val="24"/>
          <w:szCs w:val="24"/>
        </w:rPr>
        <w:t>人工</w:t>
      </w:r>
      <w:r>
        <w:rPr>
          <w:rFonts w:asciiTheme="minorEastAsia" w:hAnsiTheme="minorEastAsia" w:eastAsiaTheme="minorEastAsia"/>
          <w:sz w:val="24"/>
          <w:szCs w:val="24"/>
        </w:rPr>
        <w:t>采样监测</w:t>
      </w:r>
      <w:r>
        <w:rPr>
          <w:rFonts w:hint="eastAsia" w:asciiTheme="minorEastAsia" w:hAnsiTheme="minorEastAsia" w:eastAsiaTheme="minorEastAsia"/>
          <w:sz w:val="24"/>
          <w:szCs w:val="24"/>
        </w:rPr>
        <w:t>，</w:t>
      </w:r>
      <w:r>
        <w:rPr>
          <w:rFonts w:asciiTheme="minorEastAsia" w:hAnsiTheme="minorEastAsia" w:eastAsiaTheme="minorEastAsia"/>
          <w:sz w:val="24"/>
          <w:szCs w:val="24"/>
        </w:rPr>
        <w:t>监测结果报厂长</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）确认进水水质超标后，厂长（书面、口头）立即向公司</w:t>
      </w:r>
      <w:r>
        <w:rPr>
          <w:rFonts w:hint="eastAsia" w:asciiTheme="minorEastAsia" w:hAnsiTheme="minorEastAsia" w:eastAsiaTheme="minorEastAsia"/>
          <w:color w:val="000000"/>
          <w:sz w:val="24"/>
          <w:szCs w:val="24"/>
        </w:rPr>
        <w:t>安全环保部、</w:t>
      </w:r>
      <w:r>
        <w:rPr>
          <w:rFonts w:asciiTheme="minorEastAsia" w:hAnsiTheme="minorEastAsia" w:eastAsiaTheme="minorEastAsia"/>
          <w:color w:val="000000"/>
          <w:sz w:val="24"/>
          <w:szCs w:val="24"/>
        </w:rPr>
        <w:t>应急指挥中心办公室报告，并且启动污水管网排查；对</w:t>
      </w:r>
      <w:r>
        <w:rPr>
          <w:rFonts w:hint="eastAsia" w:asciiTheme="minorEastAsia" w:hAnsiTheme="minorEastAsia" w:eastAsiaTheme="minorEastAsia"/>
          <w:color w:val="000000"/>
          <w:sz w:val="24"/>
          <w:szCs w:val="24"/>
        </w:rPr>
        <w:t>污水处理厂服务范围内的</w:t>
      </w:r>
      <w:r>
        <w:rPr>
          <w:rFonts w:asciiTheme="minorEastAsia" w:hAnsiTheme="minorEastAsia" w:eastAsiaTheme="minorEastAsia"/>
          <w:color w:val="000000"/>
          <w:sz w:val="24"/>
          <w:szCs w:val="24"/>
        </w:rPr>
        <w:t>企业进行排查是否有企业废水处理不达标而直接排入污水管网。对易发生险情的目标</w:t>
      </w: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加强监视和处理，发现异常立即上报厂长</w:t>
      </w:r>
    </w:p>
    <w:p>
      <w:pPr>
        <w:adjustRightInd w:val="0"/>
        <w:snapToGrid w:val="0"/>
        <w:spacing w:line="360" w:lineRule="auto"/>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w:t>
      </w:r>
      <w:r>
        <w:rPr>
          <w:rFonts w:asciiTheme="minorEastAsia" w:hAnsiTheme="minorEastAsia" w:eastAsiaTheme="minorEastAsia"/>
          <w:color w:val="000000"/>
          <w:sz w:val="24"/>
          <w:szCs w:val="24"/>
        </w:rPr>
        <w:t>停电预警</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1）电力部门提前发布停电通知，由</w:t>
      </w:r>
      <w:r>
        <w:rPr>
          <w:rFonts w:hint="eastAsia" w:asciiTheme="minorEastAsia" w:hAnsiTheme="minorEastAsia" w:eastAsiaTheme="minorEastAsia"/>
          <w:color w:val="000000"/>
          <w:sz w:val="24"/>
          <w:szCs w:val="24"/>
        </w:rPr>
        <w:t>综合部</w:t>
      </w:r>
      <w:r>
        <w:rPr>
          <w:rFonts w:asciiTheme="minorEastAsia" w:hAnsiTheme="minorEastAsia" w:eastAsiaTheme="minorEastAsia"/>
          <w:color w:val="000000"/>
          <w:sz w:val="24"/>
          <w:szCs w:val="24"/>
        </w:rPr>
        <w:t>收集停电通知，</w:t>
      </w:r>
      <w:r>
        <w:rPr>
          <w:rFonts w:hint="eastAsia" w:asciiTheme="minorEastAsia" w:hAnsiTheme="minorEastAsia" w:eastAsiaTheme="minorEastAsia"/>
          <w:color w:val="000000"/>
          <w:sz w:val="24"/>
          <w:szCs w:val="24"/>
        </w:rPr>
        <w:t>安全生产部</w:t>
      </w:r>
      <w:r>
        <w:rPr>
          <w:rFonts w:asciiTheme="minorEastAsia" w:hAnsiTheme="minorEastAsia" w:eastAsiaTheme="minorEastAsia"/>
          <w:color w:val="000000"/>
          <w:sz w:val="24"/>
          <w:szCs w:val="24"/>
        </w:rPr>
        <w:t>提前做好备用</w:t>
      </w:r>
      <w:r>
        <w:rPr>
          <w:rFonts w:hint="eastAsia" w:asciiTheme="minorEastAsia" w:hAnsiTheme="minorEastAsia" w:eastAsiaTheme="minorEastAsia"/>
          <w:color w:val="000000"/>
          <w:sz w:val="24"/>
          <w:szCs w:val="24"/>
        </w:rPr>
        <w:t>电源供电</w:t>
      </w:r>
      <w:r>
        <w:rPr>
          <w:rFonts w:asciiTheme="minorEastAsia" w:hAnsiTheme="minorEastAsia" w:eastAsiaTheme="minorEastAsia"/>
          <w:color w:val="000000"/>
          <w:sz w:val="24"/>
          <w:szCs w:val="24"/>
        </w:rPr>
        <w:t>准备。</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2）中控室设置有断电应急灯，当发生设备断电时，应急灯亮起。</w:t>
      </w:r>
      <w:r>
        <w:rPr>
          <w:rFonts w:hint="eastAsia" w:asciiTheme="minorEastAsia" w:hAnsiTheme="minorEastAsia" w:eastAsiaTheme="minorEastAsia"/>
          <w:color w:val="000000"/>
          <w:sz w:val="24"/>
          <w:szCs w:val="24"/>
        </w:rPr>
        <w:t>安全生产部及时</w:t>
      </w:r>
      <w:r>
        <w:rPr>
          <w:rFonts w:asciiTheme="minorEastAsia" w:hAnsiTheme="minorEastAsia" w:eastAsiaTheme="minorEastAsia"/>
          <w:color w:val="000000"/>
          <w:sz w:val="24"/>
          <w:szCs w:val="24"/>
        </w:rPr>
        <w:t>启动</w:t>
      </w:r>
      <w:r>
        <w:rPr>
          <w:rFonts w:hint="eastAsia" w:asciiTheme="minorEastAsia" w:hAnsiTheme="minorEastAsia" w:eastAsiaTheme="minorEastAsia"/>
          <w:color w:val="000000"/>
          <w:sz w:val="24"/>
          <w:szCs w:val="24"/>
        </w:rPr>
        <w:t>备用电源</w:t>
      </w:r>
      <w:r>
        <w:rPr>
          <w:rFonts w:asciiTheme="minorEastAsia" w:hAnsiTheme="minorEastAsia" w:eastAsiaTheme="minorEastAsia"/>
          <w:color w:val="000000"/>
          <w:sz w:val="24"/>
          <w:szCs w:val="24"/>
        </w:rPr>
        <w:t>。</w:t>
      </w:r>
    </w:p>
    <w:p>
      <w:pPr>
        <w:adjustRightInd w:val="0"/>
        <w:snapToGrid w:val="0"/>
        <w:spacing w:line="360" w:lineRule="auto"/>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（9）泄漏</w:t>
      </w:r>
      <w:r>
        <w:rPr>
          <w:rFonts w:asciiTheme="minorEastAsia" w:hAnsiTheme="minorEastAsia" w:eastAsiaTheme="minorEastAsia"/>
          <w:color w:val="000000"/>
          <w:sz w:val="24"/>
          <w:szCs w:val="24"/>
        </w:rPr>
        <w:t>预警</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1）二氧化氯车间设置有漏氯泄漏报警仪，与中央控制室报警相连，现场设置监控摄像头，与中央控制室电视监控设备相连。（在测氯气浓度为1mg/L时可立即自动启动）。</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2）现场人员负责对加氯间进行2小时巡检，遇报警器响或有大量刺激性气体溢出时及时向厂区应急领导报告，并采取相应防范措施。</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3）各运行班组工作人员严格执行维护保养规程，发现异常情况立即上报，机修人员及时处理确保设备运行正常。</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预警条件：当储酸室储罐区、生产区出现危险化学品发生泄漏或火灾、灼伤、爆炸等事故时，现场发现人员立即采取人工报警。</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方式、方法：现场人员可采取边报警边处理的方式，预警方式可以采用电话报警或人员现场通知的方式，要求上报要快（2分钟内）。使用电话报警时，人员必须跑到危险区域外进行报警。各级人员在接到事故信息后，要按照应急预案的规定程序及时上报，并确定解决方案，通知本单位相关人员采取防范措施或启动相应预案。各部门接到可能导致事故的信息后，要做好事故的预测与预警工作。　　</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信息发布程序：当总经理决定启动公司应急预案后，应立即告诫有关人员发生了安全事故，应进行紧急疏散和事故应急抢险。若需对外上报信息时，必须经总经理同意后，方可对外上报事故信息。</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Pr>
        <w:adjustRightInd w:val="0"/>
        <w:snapToGrid w:val="0"/>
        <w:spacing w:line="460" w:lineRule="exact"/>
        <w:outlineLvl w:val="1"/>
        <w:rPr>
          <w:b/>
          <w:color w:val="000000"/>
          <w:sz w:val="28"/>
          <w:szCs w:val="28"/>
        </w:rPr>
      </w:pPr>
      <w:bookmarkStart w:id="348" w:name="_Toc8205"/>
      <w:bookmarkStart w:id="349" w:name="_Toc415254542"/>
      <w:bookmarkStart w:id="350" w:name="_Toc408274436"/>
      <w:r>
        <w:rPr>
          <w:rFonts w:hint="eastAsia"/>
          <w:b/>
          <w:color w:val="000000"/>
          <w:sz w:val="28"/>
          <w:szCs w:val="28"/>
        </w:rPr>
        <w:t>5.3有效报警方式</w:t>
      </w:r>
      <w:bookmarkEnd w:id="348"/>
      <w:r>
        <w:rPr>
          <w:b/>
          <w:color w:val="000000"/>
          <w:sz w:val="28"/>
          <w:szCs w:val="28"/>
        </w:rPr>
        <w:t xml:space="preserve"> </w:t>
      </w:r>
    </w:p>
    <w:p>
      <w:pPr>
        <w:adjustRightInd w:val="0"/>
        <w:snapToGrid w:val="0"/>
        <w:spacing w:line="360" w:lineRule="auto"/>
        <w:ind w:firstLine="406" w:firstLineChars="200"/>
        <w:jc w:val="left"/>
        <w:textAlignment w:val="center"/>
        <w:rPr>
          <w:rFonts w:asciiTheme="minorEastAsia" w:hAnsiTheme="minorEastAsia" w:eastAsiaTheme="minorEastAsia"/>
          <w:sz w:val="24"/>
          <w:szCs w:val="24"/>
        </w:rPr>
      </w:pPr>
      <w:bookmarkStart w:id="351" w:name="_Toc317862352"/>
      <w:r>
        <w:rPr>
          <w:rFonts w:hint="eastAsia" w:cs="宋体" w:asciiTheme="minorEastAsia" w:hAnsiTheme="minorEastAsia" w:eastAsiaTheme="minorEastAsia"/>
          <w:bCs/>
          <w:spacing w:val="-20"/>
          <w:sz w:val="24"/>
          <w:szCs w:val="24"/>
          <w:lang w:val="zh-CN"/>
        </w:rPr>
        <w:t>李渡大耍</w:t>
      </w:r>
      <w:r>
        <w:rPr>
          <w:rFonts w:hint="eastAsia" w:asciiTheme="minorEastAsia" w:hAnsiTheme="minorEastAsia" w:eastAsiaTheme="minorEastAsia"/>
          <w:sz w:val="24"/>
          <w:szCs w:val="24"/>
        </w:rPr>
        <w:t>坝污水处理厂</w:t>
      </w:r>
      <w:r>
        <w:rPr>
          <w:rFonts w:asciiTheme="minorEastAsia" w:hAnsiTheme="minorEastAsia" w:eastAsiaTheme="minorEastAsia"/>
          <w:color w:val="000000"/>
          <w:sz w:val="24"/>
          <w:szCs w:val="24"/>
        </w:rPr>
        <w:t>应急救援指挥</w:t>
      </w:r>
      <w:r>
        <w:rPr>
          <w:rFonts w:hint="eastAsia" w:asciiTheme="minorEastAsia" w:hAnsiTheme="minorEastAsia" w:eastAsiaTheme="minorEastAsia"/>
          <w:color w:val="000000"/>
          <w:sz w:val="24"/>
          <w:szCs w:val="24"/>
        </w:rPr>
        <w:t>部</w:t>
      </w:r>
      <w:r>
        <w:rPr>
          <w:rFonts w:asciiTheme="minorEastAsia" w:hAnsiTheme="minorEastAsia" w:eastAsiaTheme="minorEastAsia"/>
          <w:color w:val="000000"/>
          <w:sz w:val="24"/>
          <w:szCs w:val="24"/>
        </w:rPr>
        <w:t>常设</w:t>
      </w:r>
      <w:r>
        <w:rPr>
          <w:rFonts w:hint="eastAsia" w:asciiTheme="minorEastAsia" w:hAnsiTheme="minorEastAsia" w:eastAsiaTheme="minorEastAsia"/>
          <w:color w:val="000000"/>
          <w:sz w:val="24"/>
          <w:szCs w:val="24"/>
        </w:rPr>
        <w:t>24小时值班报警电话：</w:t>
      </w:r>
      <w:r>
        <w:rPr>
          <w:rFonts w:hint="eastAsia" w:asciiTheme="minorEastAsia" w:hAnsiTheme="minorEastAsia" w:eastAsiaTheme="minorEastAsia"/>
          <w:b/>
          <w:bCs/>
          <w:color w:val="000000"/>
          <w:sz w:val="24"/>
          <w:szCs w:val="24"/>
        </w:rPr>
        <w:t>72311501</w:t>
      </w:r>
      <w:r>
        <w:rPr>
          <w:rFonts w:asciiTheme="minorEastAsia" w:hAnsiTheme="minorEastAsia" w:eastAsiaTheme="minorEastAsia"/>
          <w:color w:val="000000"/>
          <w:sz w:val="24"/>
          <w:szCs w:val="24"/>
        </w:rPr>
        <w:t>并</w:t>
      </w:r>
      <w:r>
        <w:rPr>
          <w:rFonts w:hint="eastAsia" w:asciiTheme="minorEastAsia" w:hAnsiTheme="minorEastAsia" w:eastAsiaTheme="minorEastAsia"/>
          <w:color w:val="000000"/>
          <w:sz w:val="24"/>
          <w:szCs w:val="24"/>
        </w:rPr>
        <w:t>派</w:t>
      </w:r>
      <w:r>
        <w:rPr>
          <w:rFonts w:asciiTheme="minorEastAsia" w:hAnsiTheme="minorEastAsia" w:eastAsiaTheme="minorEastAsia"/>
          <w:color w:val="000000"/>
          <w:sz w:val="24"/>
          <w:szCs w:val="24"/>
        </w:rPr>
        <w:t>专人值守。</w:t>
      </w:r>
      <w:r>
        <w:rPr>
          <w:rFonts w:hint="eastAsia" w:asciiTheme="minorEastAsia" w:hAnsiTheme="minorEastAsia" w:eastAsiaTheme="minorEastAsia"/>
          <w:color w:val="000000"/>
          <w:sz w:val="24"/>
          <w:szCs w:val="24"/>
        </w:rPr>
        <w:t>必须确保24小时能有人接听。</w:t>
      </w:r>
      <w:r>
        <w:rPr>
          <w:rFonts w:asciiTheme="minorEastAsia" w:hAnsiTheme="minorEastAsia" w:eastAsiaTheme="minorEastAsia"/>
          <w:sz w:val="24"/>
          <w:szCs w:val="24"/>
        </w:rPr>
        <w:t>应急救援人员之间采用内部和外部电话（包括手机、对讲机等）线路进行联系，应急救援小组的电话必须24小时开机</w:t>
      </w:r>
      <w:r>
        <w:rPr>
          <w:rFonts w:hint="eastAsia" w:asciiTheme="minorEastAsia" w:hAnsiTheme="minorEastAsia" w:eastAsiaTheme="minorEastAsia"/>
          <w:color w:val="000000"/>
          <w:sz w:val="24"/>
          <w:szCs w:val="24"/>
        </w:rPr>
        <w:t>确保手机畅通</w:t>
      </w:r>
      <w:r>
        <w:rPr>
          <w:rFonts w:asciiTheme="minorEastAsia" w:hAnsiTheme="minorEastAsia" w:eastAsiaTheme="minorEastAsia"/>
          <w:sz w:val="24"/>
          <w:szCs w:val="24"/>
        </w:rPr>
        <w:t>，禁止随意更换电话号码。特殊情况下，电话号码发生变更，必须在变更之日起48小时内向各部门、各企业单位公布。</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企业内部、企业与园区之间危险化学品事故报警方式采用内部电话和外部电话（包括手机、对讲机等）线路进行报警，由指挥部根据事态情况发布事故消息，做出紧急疏散和撤离等警报。需要向社会和周边发布警报时，由指挥部人员向政府以及周边单位发送警报消息。事态严重紧急时，通过指挥部直接联系政府以及周边单位负责人，由总指挥亲自向政府或负责人发布消息，提出要求组织撤离疏散或者请求援助，随时保持电话联系。</w:t>
      </w:r>
      <w:bookmarkEnd w:id="351"/>
      <w:bookmarkStart w:id="352" w:name="_Toc458674283"/>
    </w:p>
    <w:p>
      <w:pPr>
        <w:adjustRightInd w:val="0"/>
        <w:snapToGrid w:val="0"/>
        <w:spacing w:line="460" w:lineRule="exact"/>
        <w:outlineLvl w:val="1"/>
        <w:rPr>
          <w:b/>
          <w:color w:val="000000"/>
          <w:sz w:val="28"/>
          <w:szCs w:val="28"/>
        </w:rPr>
      </w:pPr>
      <w:bookmarkStart w:id="353" w:name="_Toc4021"/>
      <w:r>
        <w:rPr>
          <w:rFonts w:hint="eastAsia"/>
          <w:b/>
          <w:color w:val="000000"/>
          <w:sz w:val="28"/>
          <w:szCs w:val="28"/>
        </w:rPr>
        <w:t>5.4</w:t>
      </w:r>
      <w:r>
        <w:rPr>
          <w:b/>
          <w:color w:val="000000"/>
          <w:sz w:val="28"/>
          <w:szCs w:val="28"/>
        </w:rPr>
        <w:t>信息报告与通报</w:t>
      </w:r>
      <w:bookmarkEnd w:id="352"/>
      <w:bookmarkEnd w:id="353"/>
    </w:p>
    <w:p>
      <w:pPr>
        <w:pStyle w:val="101"/>
        <w:ind w:firstLine="0" w:firstLineChars="0"/>
        <w:rPr>
          <w:b/>
          <w:sz w:val="24"/>
        </w:rPr>
      </w:pPr>
      <w:bookmarkStart w:id="354" w:name="_Toc458674284"/>
      <w:r>
        <w:rPr>
          <w:rFonts w:hint="eastAsia"/>
          <w:b/>
          <w:sz w:val="24"/>
        </w:rPr>
        <w:t>5</w:t>
      </w:r>
      <w:r>
        <w:rPr>
          <w:b/>
          <w:sz w:val="24"/>
        </w:rPr>
        <w:t>.</w:t>
      </w:r>
      <w:r>
        <w:rPr>
          <w:rFonts w:hint="eastAsia"/>
          <w:b/>
          <w:sz w:val="24"/>
        </w:rPr>
        <w:t>4</w:t>
      </w:r>
      <w:r>
        <w:rPr>
          <w:b/>
          <w:sz w:val="24"/>
        </w:rPr>
        <w:t>.1突发环境事件报告时限和程序</w:t>
      </w:r>
      <w:bookmarkEnd w:id="354"/>
    </w:p>
    <w:p>
      <w:pPr>
        <w:adjustRightInd w:val="0"/>
        <w:snapToGrid w:val="0"/>
        <w:spacing w:line="460" w:lineRule="exact"/>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在发生</w:t>
      </w:r>
      <w:r>
        <w:rPr>
          <w:rFonts w:hint="eastAsia" w:asciiTheme="minorEastAsia" w:hAnsiTheme="minorEastAsia" w:eastAsiaTheme="minorEastAsia"/>
          <w:color w:val="000000"/>
          <w:sz w:val="24"/>
          <w:szCs w:val="24"/>
        </w:rPr>
        <w:t>突发</w:t>
      </w:r>
      <w:r>
        <w:rPr>
          <w:rFonts w:asciiTheme="minorEastAsia" w:hAnsiTheme="minorEastAsia" w:eastAsiaTheme="minorEastAsia"/>
          <w:color w:val="000000"/>
          <w:sz w:val="24"/>
          <w:szCs w:val="24"/>
        </w:rPr>
        <w:t>环境污染事件后，</w:t>
      </w:r>
      <w:r>
        <w:rPr>
          <w:rFonts w:hint="eastAsia" w:asciiTheme="minorEastAsia" w:hAnsiTheme="minorEastAsia" w:eastAsiaTheme="minorEastAsia"/>
          <w:color w:val="000000"/>
          <w:sz w:val="24"/>
          <w:szCs w:val="24"/>
        </w:rPr>
        <w:t>事故现场有关人员应立即报告现场管理人员或当班负责人。单位主要负责人根据事故情况决定是否启动本单位现场处置方案或综合应急救援预案。每级上报时间不得超过10分钟。情况紧急时，可以直接越级上报或现场人员直接向事故发生地区县级以上人民政府安全生产监督管理部门和负有安全生产监督管理职责的有关部门报告。当厂长觉得有必要启动应急救援预案时，可直接启动</w:t>
      </w:r>
      <w:r>
        <w:rPr>
          <w:rFonts w:asciiTheme="minorEastAsia" w:hAnsiTheme="minorEastAsia" w:eastAsiaTheme="minorEastAsia"/>
          <w:color w:val="000000"/>
          <w:sz w:val="24"/>
          <w:szCs w:val="24"/>
        </w:rPr>
        <w:t>相应</w:t>
      </w:r>
      <w:r>
        <w:rPr>
          <w:rFonts w:hint="eastAsia" w:asciiTheme="minorEastAsia" w:hAnsiTheme="minorEastAsia" w:eastAsiaTheme="minorEastAsia"/>
          <w:color w:val="000000"/>
          <w:sz w:val="24"/>
          <w:szCs w:val="24"/>
        </w:rPr>
        <w:t>应急预案开展事故救援工作。</w:t>
      </w:r>
    </w:p>
    <w:p>
      <w:pPr>
        <w:pStyle w:val="101"/>
        <w:ind w:firstLine="0" w:firstLineChars="0"/>
        <w:rPr>
          <w:b/>
          <w:sz w:val="24"/>
        </w:rPr>
      </w:pPr>
      <w:bookmarkStart w:id="355" w:name="_Toc458674285"/>
      <w:r>
        <w:rPr>
          <w:rFonts w:hint="eastAsia"/>
          <w:b/>
          <w:sz w:val="24"/>
        </w:rPr>
        <w:t>5</w:t>
      </w:r>
      <w:r>
        <w:rPr>
          <w:b/>
          <w:sz w:val="24"/>
        </w:rPr>
        <w:t>.</w:t>
      </w:r>
      <w:r>
        <w:rPr>
          <w:rFonts w:hint="eastAsia"/>
          <w:b/>
          <w:sz w:val="24"/>
        </w:rPr>
        <w:t>4</w:t>
      </w:r>
      <w:r>
        <w:rPr>
          <w:b/>
          <w:sz w:val="24"/>
        </w:rPr>
        <w:t>.2突发环境事件报告方式与内容</w:t>
      </w:r>
      <w:bookmarkEnd w:id="355"/>
    </w:p>
    <w:p>
      <w:pPr>
        <w:adjustRightInd w:val="0"/>
        <w:snapToGrid w:val="0"/>
        <w:spacing w:line="460" w:lineRule="exact"/>
        <w:ind w:firstLine="486"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（1）厂内报告方式</w:t>
      </w:r>
    </w:p>
    <w:p>
      <w:pPr>
        <w:adjustRightInd w:val="0"/>
        <w:snapToGrid w:val="0"/>
        <w:spacing w:line="460" w:lineRule="exact"/>
        <w:ind w:firstLine="486" w:firstLineChars="200"/>
        <w:rPr>
          <w:color w:val="000000"/>
          <w:sz w:val="26"/>
          <w:szCs w:val="26"/>
        </w:rPr>
      </w:pP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在发生</w:t>
      </w:r>
      <w:r>
        <w:rPr>
          <w:rFonts w:hint="eastAsia" w:asciiTheme="minorEastAsia" w:hAnsiTheme="minorEastAsia" w:eastAsiaTheme="minorEastAsia"/>
          <w:color w:val="000000"/>
          <w:sz w:val="24"/>
          <w:szCs w:val="24"/>
        </w:rPr>
        <w:t>突发</w:t>
      </w:r>
      <w:r>
        <w:rPr>
          <w:rFonts w:asciiTheme="minorEastAsia" w:hAnsiTheme="minorEastAsia" w:eastAsiaTheme="minorEastAsia"/>
          <w:color w:val="000000"/>
          <w:sz w:val="24"/>
          <w:szCs w:val="24"/>
        </w:rPr>
        <w:t>环境污染事件后，</w:t>
      </w:r>
      <w:r>
        <w:rPr>
          <w:rFonts w:hint="eastAsia" w:asciiTheme="minorEastAsia" w:hAnsiTheme="minorEastAsia" w:eastAsiaTheme="minorEastAsia"/>
          <w:color w:val="000000"/>
          <w:sz w:val="24"/>
          <w:szCs w:val="24"/>
        </w:rPr>
        <w:t>事故现场有关人员应立即报告现场管理人员或当班负责人。单位主要负责人根据事故情况决定是否启动本单位现场处置方案或综合应急救援预案。每级上报时间不得超过10分钟。</w:t>
      </w:r>
      <w:r>
        <w:rPr>
          <w:rFonts w:asciiTheme="minorEastAsia" w:hAnsiTheme="minorEastAsia" w:eastAsiaTheme="minorEastAsia"/>
          <w:color w:val="000000"/>
          <w:sz w:val="24"/>
          <w:szCs w:val="24"/>
        </w:rPr>
        <w:t>各部门建立领导干部联系电话图表，予以公布。</w:t>
      </w:r>
      <w:r>
        <w:rPr>
          <w:rFonts w:hint="eastAsia" w:asciiTheme="minorEastAsia" w:hAnsiTheme="minorEastAsia" w:eastAsiaTheme="minorEastAsia"/>
          <w:color w:val="000000"/>
          <w:sz w:val="24"/>
          <w:szCs w:val="24"/>
        </w:rPr>
        <w:t>并</w:t>
      </w:r>
      <w:r>
        <w:rPr>
          <w:rFonts w:asciiTheme="minorEastAsia" w:hAnsiTheme="minorEastAsia" w:eastAsiaTheme="minorEastAsia"/>
          <w:color w:val="000000"/>
          <w:sz w:val="24"/>
          <w:szCs w:val="24"/>
        </w:rPr>
        <w:t>定期进行修订。</w:t>
      </w:r>
    </w:p>
    <w:p>
      <w:pPr>
        <w:adjustRightInd w:val="0"/>
        <w:snapToGrid w:val="0"/>
        <w:spacing w:line="460" w:lineRule="exact"/>
        <w:ind w:firstLine="486"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（2）厂外报告方式</w:t>
      </w:r>
    </w:p>
    <w:p>
      <w:pPr>
        <w:adjustRightInd w:val="0"/>
        <w:snapToGrid w:val="0"/>
        <w:spacing w:line="460" w:lineRule="exact"/>
        <w:ind w:firstLine="486"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当事故信息上报至公司主要负责人后，主要负责人认为本单位应急能力不能对事故进行控制和处理时，由主要负责人直接在事故发生l小时内上报李渡新城区应急部门或区安全生产监督管理部门、主管部门以及负有安全生产监督管理职责的有关部门。</w:t>
      </w:r>
    </w:p>
    <w:p>
      <w:pPr>
        <w:adjustRightInd w:val="0"/>
        <w:snapToGrid w:val="0"/>
        <w:spacing w:line="460" w:lineRule="exact"/>
        <w:ind w:firstLine="486" w:firstLineChars="200"/>
        <w:rPr>
          <w:color w:val="000000"/>
          <w:sz w:val="26"/>
          <w:szCs w:val="26"/>
        </w:rPr>
      </w:pPr>
      <w:bookmarkStart w:id="356" w:name="_Toc363593031"/>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）事件报告内容</w:t>
      </w:r>
      <w:bookmarkEnd w:id="356"/>
    </w:p>
    <w:p>
      <w:pPr>
        <w:adjustRightInd w:val="0"/>
        <w:snapToGrid w:val="0"/>
        <w:spacing w:line="460" w:lineRule="exact"/>
        <w:ind w:firstLine="486" w:firstLineChars="200"/>
        <w:rPr>
          <w:color w:val="000000"/>
          <w:sz w:val="26"/>
          <w:szCs w:val="26"/>
        </w:rPr>
      </w:pPr>
      <w:r>
        <w:rPr>
          <w:rFonts w:hint="eastAsia" w:asciiTheme="minorEastAsia" w:hAnsiTheme="minorEastAsia" w:eastAsiaTheme="minorEastAsia"/>
          <w:color w:val="000000"/>
          <w:sz w:val="24"/>
          <w:szCs w:val="24"/>
        </w:rPr>
        <w:t>报告事故的内容应当包括：事故发生单位概况；事故发生的时间、地点以及事故现场情况；事故的简要经过；事故已经造成或者可能造成的伤亡人数(包括下落不明的人数)和初步估计的直接经济损失；已经采取的措施；</w:t>
      </w:r>
      <w:r>
        <w:rPr>
          <w:rFonts w:asciiTheme="minorEastAsia" w:hAnsiTheme="minorEastAsia" w:eastAsiaTheme="minorEastAsia"/>
          <w:color w:val="000000"/>
          <w:sz w:val="24"/>
          <w:szCs w:val="24"/>
        </w:rPr>
        <w:t>潜在的危害程度，转化方式及趋向，可能受影响区域及</w:t>
      </w:r>
      <w:r>
        <w:rPr>
          <w:rFonts w:hint="eastAsia" w:asciiTheme="minorEastAsia" w:hAnsiTheme="minorEastAsia" w:eastAsiaTheme="minorEastAsia"/>
          <w:color w:val="000000"/>
          <w:sz w:val="24"/>
          <w:szCs w:val="24"/>
        </w:rPr>
        <w:t>已采取的措施和现场控制情况、其他应当报告的情况。</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涪陵区环保局电话：023-72899929</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涪陵区安监局电话：023-72230615</w:t>
      </w:r>
    </w:p>
    <w:p>
      <w:pPr>
        <w:adjustRightInd w:val="0"/>
        <w:snapToGrid w:val="0"/>
        <w:spacing w:line="360" w:lineRule="auto"/>
        <w:ind w:firstLine="486" w:firstLineChars="200"/>
        <w:jc w:val="left"/>
        <w:textAlignment w:val="center"/>
        <w:rPr>
          <w:rFonts w:asciiTheme="minorEastAsia" w:hAnsiTheme="minorEastAsia" w:eastAsiaTheme="minorEastAsia"/>
          <w:sz w:val="24"/>
        </w:rPr>
      </w:pPr>
      <w:r>
        <w:rPr>
          <w:rFonts w:hint="eastAsia" w:asciiTheme="minorEastAsia" w:hAnsiTheme="minorEastAsia" w:eastAsiaTheme="minorEastAsia"/>
          <w:color w:val="000000"/>
          <w:sz w:val="24"/>
          <w:szCs w:val="24"/>
        </w:rPr>
        <w:t>消防队电话：119</w:t>
      </w:r>
    </w:p>
    <w:p>
      <w:pPr>
        <w:pStyle w:val="101"/>
        <w:spacing w:line="360" w:lineRule="auto"/>
        <w:ind w:firstLine="486"/>
        <w:rPr>
          <w:rFonts w:asciiTheme="minorEastAsia" w:hAnsiTheme="minorEastAsia" w:eastAsiaTheme="minorEastAsia"/>
          <w:kern w:val="2"/>
          <w:sz w:val="24"/>
          <w:lang w:bidi="ar-SA"/>
        </w:rPr>
      </w:pPr>
      <w:r>
        <w:rPr>
          <w:rFonts w:asciiTheme="minorEastAsia" w:hAnsiTheme="minorEastAsia" w:eastAsiaTheme="minorEastAsia"/>
          <w:kern w:val="2"/>
          <w:sz w:val="24"/>
          <w:lang w:bidi="ar-SA"/>
        </w:rPr>
        <w:t>公司领导小组成员及各部门领导</w:t>
      </w:r>
      <w:r>
        <w:rPr>
          <w:rFonts w:hint="eastAsia" w:asciiTheme="minorEastAsia" w:hAnsiTheme="minorEastAsia" w:eastAsiaTheme="minorEastAsia"/>
          <w:kern w:val="2"/>
          <w:sz w:val="24"/>
          <w:lang w:bidi="ar-SA"/>
        </w:rPr>
        <w:t>、</w:t>
      </w:r>
      <w:r>
        <w:rPr>
          <w:rFonts w:asciiTheme="minorEastAsia" w:hAnsiTheme="minorEastAsia" w:eastAsiaTheme="minorEastAsia"/>
          <w:kern w:val="2"/>
          <w:sz w:val="24"/>
          <w:lang w:bidi="ar-SA"/>
        </w:rPr>
        <w:t>相关部门、单位的联系方式</w:t>
      </w:r>
      <w:r>
        <w:rPr>
          <w:rFonts w:hint="eastAsia" w:asciiTheme="minorEastAsia" w:hAnsiTheme="minorEastAsia" w:eastAsiaTheme="minorEastAsia"/>
          <w:kern w:val="2"/>
          <w:sz w:val="24"/>
          <w:lang w:bidi="ar-SA"/>
        </w:rPr>
        <w:t>见附件</w:t>
      </w:r>
    </w:p>
    <w:bookmarkEnd w:id="349"/>
    <w:bookmarkEnd w:id="350"/>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357" w:name="_Toc229283974"/>
      <w:bookmarkStart w:id="358" w:name="_Toc262040279"/>
      <w:bookmarkStart w:id="359" w:name="_Toc262050869"/>
      <w:bookmarkStart w:id="360" w:name="_Toc262051119"/>
      <w:bookmarkStart w:id="361" w:name="_Toc262051540"/>
      <w:bookmarkStart w:id="362" w:name="_Toc304833236"/>
      <w:bookmarkStart w:id="363" w:name="_Toc304962959"/>
      <w:bookmarkStart w:id="364" w:name="_Toc304963603"/>
      <w:bookmarkStart w:id="365" w:name="_Toc304964446"/>
      <w:bookmarkStart w:id="366" w:name="_Toc336326853"/>
      <w:bookmarkStart w:id="367" w:name="_Toc336327131"/>
      <w:bookmarkStart w:id="368" w:name="_Toc387131428"/>
      <w:bookmarkStart w:id="369" w:name="_Toc387131502"/>
      <w:bookmarkStart w:id="370" w:name="_Toc387131759"/>
      <w:bookmarkStart w:id="371" w:name="_Toc415254545"/>
      <w:bookmarkStart w:id="372" w:name="_Toc179794547"/>
      <w:bookmarkStart w:id="373" w:name="_Toc183339225"/>
      <w:bookmarkStart w:id="374" w:name="_Toc183339501"/>
      <w:bookmarkStart w:id="375" w:name="_Toc184808765"/>
      <w:bookmarkStart w:id="376" w:name="_Toc184809552"/>
      <w:bookmarkStart w:id="377" w:name="_Toc185670985"/>
      <w:bookmarkStart w:id="378" w:name="_Toc196018435"/>
      <w:bookmarkStart w:id="379" w:name="_Toc196018544"/>
      <w:bookmarkStart w:id="380" w:name="_Toc196018639"/>
      <w:bookmarkStart w:id="381" w:name="_Toc197251343"/>
      <w:bookmarkStart w:id="382" w:name="_Toc198007338"/>
      <w:bookmarkStart w:id="383" w:name="_Toc198355323"/>
    </w:p>
    <w:p>
      <w:pPr>
        <w:adjustRightInd w:val="0"/>
        <w:snapToGrid w:val="0"/>
        <w:spacing w:line="440" w:lineRule="exact"/>
        <w:jc w:val="center"/>
        <w:textAlignment w:val="center"/>
        <w:outlineLvl w:val="0"/>
        <w:rPr>
          <w:rFonts w:asciiTheme="minorEastAsia" w:hAnsiTheme="minorEastAsia" w:eastAsiaTheme="minorEastAsia"/>
          <w:b/>
          <w:color w:val="000000"/>
          <w:sz w:val="32"/>
        </w:rPr>
      </w:pPr>
    </w:p>
    <w:p>
      <w:pPr>
        <w:adjustRightInd w:val="0"/>
        <w:snapToGrid w:val="0"/>
        <w:spacing w:line="440" w:lineRule="exact"/>
        <w:jc w:val="center"/>
        <w:textAlignment w:val="center"/>
        <w:outlineLvl w:val="0"/>
        <w:rPr>
          <w:rFonts w:asciiTheme="minorEastAsia" w:hAnsiTheme="minorEastAsia" w:eastAsiaTheme="minorEastAsia"/>
          <w:b/>
          <w:color w:val="000000"/>
          <w:sz w:val="32"/>
        </w:rPr>
      </w:pPr>
    </w:p>
    <w:p>
      <w:pPr>
        <w:adjustRightInd w:val="0"/>
        <w:snapToGrid w:val="0"/>
        <w:spacing w:line="440" w:lineRule="exact"/>
        <w:jc w:val="center"/>
        <w:textAlignment w:val="center"/>
        <w:outlineLvl w:val="0"/>
        <w:rPr>
          <w:rFonts w:asciiTheme="minorEastAsia" w:hAnsiTheme="minorEastAsia" w:eastAsiaTheme="minorEastAsia"/>
          <w:b/>
          <w:color w:val="000000"/>
          <w:sz w:val="32"/>
        </w:rPr>
      </w:pPr>
    </w:p>
    <w:p>
      <w:pPr>
        <w:adjustRightInd w:val="0"/>
        <w:snapToGrid w:val="0"/>
        <w:spacing w:line="440" w:lineRule="exact"/>
        <w:jc w:val="center"/>
        <w:textAlignment w:val="center"/>
        <w:outlineLvl w:val="0"/>
        <w:rPr>
          <w:rFonts w:asciiTheme="minorEastAsia" w:hAnsiTheme="minorEastAsia" w:eastAsiaTheme="minorEastAsia"/>
          <w:b/>
          <w:color w:val="000000"/>
          <w:sz w:val="32"/>
        </w:rPr>
      </w:pPr>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384" w:name="_Toc4729"/>
      <w:r>
        <w:rPr>
          <w:rFonts w:hint="eastAsia" w:asciiTheme="minorEastAsia" w:hAnsiTheme="minorEastAsia" w:eastAsiaTheme="minorEastAsia"/>
          <w:b/>
          <w:color w:val="000000"/>
          <w:sz w:val="32"/>
        </w:rPr>
        <w:t>6应急响应</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Pr>
          <w:rFonts w:hint="eastAsia" w:asciiTheme="minorEastAsia" w:hAnsiTheme="minorEastAsia" w:eastAsiaTheme="minorEastAsia"/>
          <w:b/>
          <w:color w:val="000000"/>
          <w:sz w:val="32"/>
        </w:rPr>
        <w:t>与措施</w:t>
      </w:r>
      <w:bookmarkEnd w:id="384"/>
    </w:p>
    <w:p>
      <w:pPr>
        <w:adjustRightInd w:val="0"/>
        <w:snapToGrid w:val="0"/>
        <w:spacing w:line="460" w:lineRule="exact"/>
        <w:outlineLvl w:val="1"/>
        <w:rPr>
          <w:b/>
          <w:color w:val="000000"/>
          <w:sz w:val="28"/>
          <w:szCs w:val="28"/>
        </w:rPr>
      </w:pPr>
      <w:bookmarkStart w:id="385" w:name="_Toc387131429"/>
      <w:bookmarkStart w:id="386" w:name="_Toc387131503"/>
      <w:bookmarkStart w:id="387" w:name="_Toc387131760"/>
      <w:bookmarkStart w:id="388" w:name="_Toc415254546"/>
      <w:bookmarkStart w:id="389" w:name="_Toc198007339"/>
      <w:bookmarkStart w:id="390" w:name="_Toc198355324"/>
      <w:bookmarkStart w:id="391" w:name="_Toc229283975"/>
      <w:bookmarkStart w:id="392" w:name="_Toc262040280"/>
      <w:bookmarkStart w:id="393" w:name="_Toc262050870"/>
      <w:bookmarkStart w:id="394" w:name="_Toc262051120"/>
      <w:bookmarkStart w:id="395" w:name="_Toc262051541"/>
      <w:bookmarkStart w:id="396" w:name="_Toc304833237"/>
      <w:bookmarkStart w:id="397" w:name="_Toc304962960"/>
      <w:bookmarkStart w:id="398" w:name="_Toc304963604"/>
      <w:bookmarkStart w:id="399" w:name="_Toc304964447"/>
      <w:bookmarkStart w:id="400" w:name="_Toc336326854"/>
      <w:bookmarkStart w:id="401" w:name="_Toc336327132"/>
      <w:bookmarkStart w:id="402" w:name="_Toc179794548"/>
      <w:bookmarkStart w:id="403" w:name="_Toc183339226"/>
      <w:bookmarkStart w:id="404" w:name="_Toc183339502"/>
      <w:bookmarkStart w:id="405" w:name="_Toc184808766"/>
      <w:bookmarkStart w:id="406" w:name="_Toc184809553"/>
      <w:bookmarkStart w:id="407" w:name="_Toc185670986"/>
      <w:bookmarkStart w:id="408" w:name="_Toc196018436"/>
      <w:bookmarkStart w:id="409" w:name="_Toc196018545"/>
      <w:bookmarkStart w:id="410" w:name="_Toc196018640"/>
      <w:bookmarkStart w:id="411" w:name="_Toc197251344"/>
      <w:bookmarkStart w:id="412" w:name="_Toc13990"/>
      <w:r>
        <w:rPr>
          <w:rFonts w:hint="eastAsia"/>
          <w:b/>
          <w:color w:val="000000"/>
          <w:sz w:val="28"/>
          <w:szCs w:val="28"/>
        </w:rPr>
        <w:t>6.1响应分级</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针对事故严重程度、影响范围和单位对事态控制的能力，将应急响应分为三级：一级响应、二级响应、三级响应。</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lang w:val="zh-CN"/>
        </w:rPr>
      </w:pPr>
      <w:bookmarkStart w:id="413" w:name="_Toc15640"/>
      <w:bookmarkStart w:id="414" w:name="_Toc400018367"/>
      <w:bookmarkStart w:id="415" w:name="_Toc403509919"/>
      <w:r>
        <w:rPr>
          <w:rFonts w:hint="eastAsia" w:asciiTheme="minorEastAsia" w:hAnsiTheme="minorEastAsia" w:eastAsiaTheme="minorEastAsia"/>
          <w:color w:val="000000"/>
          <w:sz w:val="24"/>
          <w:szCs w:val="24"/>
          <w:lang w:val="zh-CN"/>
        </w:rPr>
        <w:t>一级预警为事故波及单位周边；本单位无力控制事态及有效进行应急处置（外部级）。</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lang w:val="zh-CN"/>
        </w:rPr>
      </w:pPr>
      <w:r>
        <w:rPr>
          <w:rFonts w:hint="eastAsia" w:asciiTheme="minorEastAsia" w:hAnsiTheme="minorEastAsia" w:eastAsiaTheme="minorEastAsia"/>
          <w:color w:val="000000"/>
          <w:sz w:val="24"/>
          <w:szCs w:val="24"/>
          <w:lang w:val="zh-CN"/>
        </w:rPr>
        <w:t>二级预警事故不波及单位周边；本单位能控制事态及有效进行应急处置（内部级）。</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lang w:val="zh-CN"/>
        </w:rPr>
      </w:pPr>
      <w:r>
        <w:rPr>
          <w:rFonts w:hint="eastAsia" w:asciiTheme="minorEastAsia" w:hAnsiTheme="minorEastAsia" w:eastAsiaTheme="minorEastAsia"/>
          <w:color w:val="000000"/>
          <w:sz w:val="24"/>
          <w:szCs w:val="24"/>
          <w:lang w:val="zh-CN"/>
        </w:rPr>
        <w:t>三级预警事故为班组级，不涉及企业大范围及单位周边；班组能控制事态及有效进行应急处置（班组织）</w:t>
      </w:r>
      <w:bookmarkEnd w:id="413"/>
      <w:r>
        <w:rPr>
          <w:rFonts w:hint="eastAsia" w:asciiTheme="minorEastAsia" w:hAnsiTheme="minorEastAsia" w:eastAsiaTheme="minorEastAsia"/>
          <w:color w:val="000000"/>
          <w:sz w:val="24"/>
          <w:szCs w:val="24"/>
          <w:lang w:val="zh-CN"/>
        </w:rPr>
        <w:t xml:space="preserve">  </w:t>
      </w:r>
    </w:p>
    <w:p>
      <w:pPr>
        <w:adjustRightInd w:val="0"/>
        <w:snapToGrid w:val="0"/>
        <w:spacing w:line="460" w:lineRule="exact"/>
        <w:outlineLvl w:val="1"/>
        <w:rPr>
          <w:b/>
          <w:color w:val="000000"/>
          <w:sz w:val="28"/>
          <w:szCs w:val="28"/>
        </w:rPr>
      </w:pPr>
      <w:bookmarkStart w:id="416" w:name="_Toc8098"/>
      <w:r>
        <w:rPr>
          <w:rFonts w:hint="eastAsia"/>
          <w:b/>
          <w:color w:val="000000"/>
          <w:sz w:val="28"/>
          <w:szCs w:val="28"/>
        </w:rPr>
        <w:t>6.2响应程序</w:t>
      </w:r>
      <w:bookmarkEnd w:id="414"/>
      <w:bookmarkEnd w:id="415"/>
      <w:bookmarkEnd w:id="416"/>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一级响应，现场应急指挥组长及时掌握事故应急处置情况，当事故的严重程度及发展趋势超出了本单位应急救援能力时，应及时扩大应急响应级别为一级，立即组织周边群众或单位疏散，并在10分钟内上报涪陵区李渡新城区应急值班人员或涪陵区安监局，申请启动李渡管委会或区应急救援预案。上报人： 总经理，联系电话： 18983330040</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二级响应，当班人员或现场管理人员在5分钟内迅速通知公司主要负责人，主要负责人召集全体应急救援人员迅速赶往事故现场，按公司综合应急救援预案实施救援。上报人： 生产副总 ，联系电话： 13996798479</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三级响应，当班值班管理人员组织现场操作人员，在5分钟内上报班组织负责人，按本单位制定的现场处置方案实施处置救援，结束后报告公司主要负责人。 上报人：生产厂长 ，联系电话：13450107878</w:t>
      </w:r>
    </w:p>
    <w:p>
      <w:pPr>
        <w:adjustRightInd w:val="0"/>
        <w:snapToGrid w:val="0"/>
        <w:spacing w:line="460" w:lineRule="exact"/>
        <w:outlineLvl w:val="1"/>
        <w:rPr>
          <w:rFonts w:hint="eastAsia"/>
          <w:b/>
          <w:color w:val="000000"/>
          <w:sz w:val="28"/>
          <w:szCs w:val="28"/>
          <w:lang w:val="zh-CN"/>
        </w:rPr>
      </w:pPr>
      <w:bookmarkStart w:id="417" w:name="_Toc317088663"/>
      <w:bookmarkStart w:id="418" w:name="_Toc458674290"/>
      <w:bookmarkStart w:id="419" w:name="_Toc346872596"/>
      <w:bookmarkStart w:id="420" w:name="_Toc4950"/>
      <w:bookmarkStart w:id="421" w:name="_Toc415254548"/>
      <w:bookmarkStart w:id="422" w:name="_Toc387131762"/>
      <w:bookmarkStart w:id="423" w:name="_Toc387131505"/>
      <w:bookmarkStart w:id="424" w:name="_Toc387131431"/>
      <w:r>
        <w:rPr>
          <w:rFonts w:hint="eastAsia"/>
          <w:b/>
          <w:color w:val="000000"/>
          <w:sz w:val="28"/>
          <w:szCs w:val="28"/>
          <w:lang w:val="zh-CN"/>
        </w:rPr>
        <w:t>6.3 抢险、救援及控制措施</w:t>
      </w:r>
      <w:bookmarkEnd w:id="417"/>
      <w:bookmarkEnd w:id="418"/>
      <w:bookmarkEnd w:id="419"/>
      <w:bookmarkEnd w:id="420"/>
    </w:p>
    <w:p>
      <w:pPr>
        <w:pStyle w:val="101"/>
        <w:ind w:firstLine="0" w:firstLineChars="0"/>
        <w:rPr>
          <w:b/>
          <w:sz w:val="24"/>
        </w:rPr>
      </w:pPr>
      <w:bookmarkStart w:id="425" w:name="_Toc270087503"/>
      <w:bookmarkStart w:id="426" w:name="_Toc270088680"/>
      <w:bookmarkStart w:id="427" w:name="_Toc270519223"/>
      <w:bookmarkStart w:id="428" w:name="_Toc26393"/>
      <w:bookmarkStart w:id="429" w:name="_Toc27474"/>
      <w:bookmarkStart w:id="430" w:name="_Toc288309358"/>
      <w:bookmarkStart w:id="431" w:name="_Toc317088664"/>
      <w:bookmarkStart w:id="432" w:name="_Toc346872597"/>
      <w:bookmarkStart w:id="433" w:name="_Toc458674291"/>
      <w:r>
        <w:rPr>
          <w:rFonts w:hint="eastAsia"/>
          <w:b/>
          <w:sz w:val="24"/>
        </w:rPr>
        <w:t>6</w:t>
      </w:r>
      <w:r>
        <w:rPr>
          <w:b/>
          <w:sz w:val="24"/>
        </w:rPr>
        <w:t>.</w:t>
      </w:r>
      <w:r>
        <w:rPr>
          <w:rFonts w:hint="eastAsia"/>
          <w:b/>
          <w:sz w:val="24"/>
        </w:rPr>
        <w:t>3</w:t>
      </w:r>
      <w:r>
        <w:rPr>
          <w:b/>
          <w:sz w:val="24"/>
        </w:rPr>
        <w:t>.1 人员疏散方案</w:t>
      </w:r>
      <w:bookmarkEnd w:id="425"/>
      <w:bookmarkEnd w:id="426"/>
      <w:bookmarkEnd w:id="427"/>
      <w:bookmarkEnd w:id="428"/>
      <w:bookmarkEnd w:id="429"/>
      <w:bookmarkEnd w:id="430"/>
      <w:bookmarkEnd w:id="431"/>
      <w:bookmarkEnd w:id="432"/>
      <w:bookmarkEnd w:id="433"/>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听到公司疏散人员报警信号时，公司内的人员在负责人带领下迅速有序的离开危险区域，并到指定地点集合，从而避免人员伤亡，装置负责人在撤离前，利用最短时间，关闭该领域内可能会引起更大事故的电源和管道阀门等。事态严重时通知周边人员撤离。</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事故现场人员的撤离</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事故发生后当班负责人应将厂区人员有秩序的疏散到上风口的安全地带，疏散从最危险地段人员开始，相互兼顾照应，并根据风向指明集合地点，人员在安全地点集合，负责人负责清点人数，并向指挥部报告人员情况，发现缺员，应报告所缺员工的姓名和事故前所在位置，立即派人前往灾区寻找失踪人员，提供急救。</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抢救人员在撤离前、撤离后的报告</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负责抢险和救护的人员在接指挥部通知后，应立即带上防护和防护装备赶往现场，听候指令，听从指挥。由组长分工，分批进入事发点进行抢险或救护。在进入事故点前，组长必须向指挥部报告每批参加抢险或救护人员的数量和名单并登记。</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抢修或救护组完成任务后，组长向指挥部报告任务执行情况以及抢险及救护人员安全状况，申请下达撤离命令，指挥部根据事故控制情况，做出撤离或继续抢险抢救的决定，组长若接到撤离命令后，带领抢险或抢救人员撤离事故点至安全地带，清点人数，向指挥部报告。</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周边区域人员的疏散方式方法</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当事故危及周边人员时，由指挥部人员向政府以及周边单位书面发送警报，事态严重紧急时，通过喇叭告知周边人员及时撤离，同时指挥部直接联系政府以及周边单位负责人，由总指挥亲自向政府或负责人发布消息，提出要求组织撤离疏散或请求援助。在发布消息时必须发布事态的缓急程度，提出撤离的具体方法、方式和路线。撤离过程中应采取一定的预防措施，撤离路线原则上按照拟定的路线，撤离距离根据事态严重情况通知。撤离时公司应急小组负责指引周边群众有组织的撤离危险区域。</w:t>
      </w:r>
    </w:p>
    <w:p>
      <w:pPr>
        <w:pStyle w:val="101"/>
        <w:ind w:firstLine="0" w:firstLineChars="0"/>
        <w:rPr>
          <w:b/>
          <w:sz w:val="24"/>
        </w:rPr>
      </w:pPr>
      <w:bookmarkStart w:id="434" w:name="_Toc21767"/>
      <w:bookmarkStart w:id="435" w:name="_Toc288309359"/>
      <w:bookmarkStart w:id="436" w:name="_Toc317088665"/>
      <w:bookmarkStart w:id="437" w:name="_Toc346872598"/>
      <w:bookmarkStart w:id="438" w:name="_Toc458674292"/>
      <w:bookmarkStart w:id="439" w:name="_Toc270087504"/>
      <w:bookmarkStart w:id="440" w:name="_Toc270088681"/>
      <w:bookmarkStart w:id="441" w:name="_Toc270519224"/>
      <w:bookmarkStart w:id="442" w:name="_Toc29881"/>
      <w:r>
        <w:rPr>
          <w:rFonts w:hint="eastAsia"/>
          <w:b/>
          <w:sz w:val="24"/>
        </w:rPr>
        <w:t>6</w:t>
      </w:r>
      <w:r>
        <w:rPr>
          <w:b/>
          <w:sz w:val="24"/>
        </w:rPr>
        <w:t>.</w:t>
      </w:r>
      <w:r>
        <w:rPr>
          <w:rFonts w:hint="eastAsia"/>
          <w:b/>
          <w:sz w:val="24"/>
        </w:rPr>
        <w:t>3</w:t>
      </w:r>
      <w:r>
        <w:rPr>
          <w:b/>
          <w:sz w:val="24"/>
        </w:rPr>
        <w:t>.2 事故现场隔离区的划定、方法</w:t>
      </w:r>
      <w:bookmarkEnd w:id="434"/>
      <w:bookmarkEnd w:id="435"/>
      <w:bookmarkEnd w:id="436"/>
      <w:bookmarkEnd w:id="437"/>
      <w:bookmarkEnd w:id="438"/>
      <w:bookmarkEnd w:id="439"/>
      <w:bookmarkEnd w:id="440"/>
      <w:bookmarkEnd w:id="441"/>
      <w:bookmarkEnd w:id="442"/>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为防止无关人员误入现场造成伤害，按危险区的设定，建立警戒区域，划定事故现场隔离区范围。</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警戒区域的边界应设警示标志并有专人警戒。</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除消防、应急处理人员以及必须坚守岗位的人员外，其他人员禁止进入警戒区。</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注意事故区风向，尤其是下风周围环境，对事故区厂外道路要实行临时的戒严措施。</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 戒严区域内严禁火种，迅速控制泄漏扩散区域方向可能产生明火的地点，控制室关严门窗，扑灭火种。限制车辆通行。</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(5) 泄漏的危险物质可能扩散到厂区外的的，应尽快联络通知周边民众，说明情况，要求采取避险措施。</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(6) 泄漏的危险物质可能扩散影响到更大区域，应尽快联系通知各政府职能单位，说明情况，请求协助处理。</w:t>
      </w:r>
    </w:p>
    <w:p>
      <w:pPr>
        <w:pStyle w:val="101"/>
        <w:ind w:firstLine="0" w:firstLineChars="0"/>
        <w:rPr>
          <w:b/>
          <w:sz w:val="24"/>
        </w:rPr>
      </w:pPr>
      <w:bookmarkStart w:id="443" w:name="_Toc458674293"/>
      <w:bookmarkStart w:id="444" w:name="_Toc22419"/>
      <w:bookmarkStart w:id="445" w:name="_Toc5739"/>
      <w:bookmarkStart w:id="446" w:name="_Toc288309360"/>
      <w:bookmarkStart w:id="447" w:name="_Toc317088666"/>
      <w:bookmarkStart w:id="448" w:name="_Toc346872599"/>
      <w:r>
        <w:rPr>
          <w:rFonts w:hint="eastAsia"/>
          <w:b/>
          <w:sz w:val="24"/>
        </w:rPr>
        <w:t>6</w:t>
      </w:r>
      <w:r>
        <w:rPr>
          <w:b/>
          <w:sz w:val="24"/>
        </w:rPr>
        <w:t>.</w:t>
      </w:r>
      <w:r>
        <w:rPr>
          <w:rFonts w:hint="eastAsia"/>
          <w:b/>
          <w:sz w:val="24"/>
        </w:rPr>
        <w:t>3</w:t>
      </w:r>
      <w:r>
        <w:rPr>
          <w:b/>
          <w:sz w:val="24"/>
        </w:rPr>
        <w:t>.3 事故现场周边区域的道路隔离或交通疏导办法</w:t>
      </w:r>
      <w:bookmarkEnd w:id="443"/>
      <w:bookmarkEnd w:id="444"/>
      <w:bookmarkEnd w:id="445"/>
      <w:bookmarkEnd w:id="446"/>
      <w:bookmarkEnd w:id="447"/>
      <w:bookmarkEnd w:id="448"/>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事故中心区域的道路疏导由应急疏散组负责，在警戒区的路口上设置“事故处理，禁止通行”字样的标识。并指定专人负责指明道路绕行方向。</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事故波及区外道路由政府交通管理部门负责，禁止任何车辆和人员进入，并负责指明道路绕行方向。</w:t>
      </w:r>
    </w:p>
    <w:p>
      <w:pPr>
        <w:pStyle w:val="101"/>
        <w:ind w:firstLine="0" w:firstLineChars="0"/>
        <w:rPr>
          <w:b/>
          <w:sz w:val="24"/>
        </w:rPr>
      </w:pPr>
      <w:bookmarkStart w:id="449" w:name="_Toc270519226"/>
      <w:bookmarkStart w:id="450" w:name="_Toc8962"/>
      <w:bookmarkStart w:id="451" w:name="_Toc4900"/>
      <w:bookmarkStart w:id="452" w:name="_Toc288309361"/>
      <w:bookmarkStart w:id="453" w:name="_Toc317088667"/>
      <w:bookmarkStart w:id="454" w:name="_Toc346872600"/>
      <w:bookmarkStart w:id="455" w:name="_Toc458674294"/>
      <w:bookmarkStart w:id="456" w:name="_Toc270087506"/>
      <w:bookmarkStart w:id="457" w:name="_Toc270088683"/>
      <w:r>
        <w:rPr>
          <w:rFonts w:hint="eastAsia"/>
          <w:b/>
          <w:sz w:val="24"/>
        </w:rPr>
        <w:t>6</w:t>
      </w:r>
      <w:r>
        <w:rPr>
          <w:b/>
          <w:sz w:val="24"/>
        </w:rPr>
        <w:t>.</w:t>
      </w:r>
      <w:r>
        <w:rPr>
          <w:rFonts w:hint="eastAsia"/>
          <w:b/>
          <w:sz w:val="24"/>
        </w:rPr>
        <w:t>3</w:t>
      </w:r>
      <w:r>
        <w:rPr>
          <w:b/>
          <w:sz w:val="24"/>
        </w:rPr>
        <w:t>.4 抢险、救援</w:t>
      </w:r>
      <w:bookmarkEnd w:id="449"/>
      <w:bookmarkEnd w:id="450"/>
      <w:bookmarkEnd w:id="451"/>
      <w:bookmarkEnd w:id="452"/>
      <w:bookmarkEnd w:id="453"/>
      <w:bookmarkEnd w:id="454"/>
      <w:bookmarkEnd w:id="455"/>
      <w:bookmarkEnd w:id="456"/>
      <w:bookmarkEnd w:id="457"/>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抢救原则：</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发生伤亡事故，抢救、急救工作要分秒必争，及时、果断、正确，不得耽误、拖延；</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救护人员进入危险区域必须两人以上分组进行；</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救护人员必须在确保自己安全的前提下进行救护；</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救护人员必须听从指挥，了解危险物质特性及现场情况，防护器具佩戴齐全；</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迅速将伤员抬离现场，搬运方法要正确。</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人员防护</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一般泄漏的防护要求：</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呼吸系统的防护：可能接触其蒸气时，必须佩带防毒面具或供气式头盔；</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眼睛防护：戴化学安全防护镜；</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防护服：穿工作服(防腐材料制作)；</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手防护：戴橡皮手套；</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参加救护、救援人员必须按规定着装，佩戴好个人防护器具，并注意风向，在昏暗地区救援时，应配备有照明灯具。</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人员监护</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以互助监护为主，按照必须在确保自身安全的前提下进行救护原则处理。在救援中因为不可预见因素而导致队员受伤的，其他救援人员发现时必须向指挥部报告，并作出是否支援的决定，若申请支援时，由指挥部下达预备救援队进入事故现场参加救援的命令，同时将受伤人员带离危险地区。</w:t>
      </w:r>
    </w:p>
    <w:p>
      <w:pPr>
        <w:adjustRightInd w:val="0"/>
        <w:snapToGrid w:val="0"/>
        <w:spacing w:line="460" w:lineRule="exact"/>
        <w:outlineLvl w:val="1"/>
        <w:rPr>
          <w:b/>
          <w:color w:val="000000"/>
          <w:sz w:val="28"/>
          <w:szCs w:val="28"/>
        </w:rPr>
      </w:pPr>
      <w:bookmarkStart w:id="458" w:name="_Toc24236"/>
      <w:r>
        <w:rPr>
          <w:rFonts w:hint="eastAsia"/>
          <w:b/>
          <w:color w:val="000000"/>
          <w:sz w:val="28"/>
          <w:szCs w:val="28"/>
        </w:rPr>
        <w:t>6.4</w:t>
      </w:r>
      <w:bookmarkEnd w:id="421"/>
      <w:bookmarkEnd w:id="422"/>
      <w:bookmarkEnd w:id="423"/>
      <w:bookmarkEnd w:id="424"/>
      <w:r>
        <w:rPr>
          <w:rFonts w:hint="eastAsia"/>
          <w:b/>
          <w:color w:val="000000"/>
          <w:sz w:val="28"/>
          <w:szCs w:val="28"/>
        </w:rPr>
        <w:t>应急处置措施</w:t>
      </w:r>
      <w:bookmarkEnd w:id="458"/>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确定的危险区域有</w:t>
      </w:r>
      <w:r>
        <w:rPr>
          <w:rFonts w:hint="eastAsia" w:asciiTheme="minorEastAsia" w:hAnsiTheme="minorEastAsia" w:eastAsiaTheme="minorEastAsia"/>
          <w:sz w:val="24"/>
          <w:szCs w:val="24"/>
          <w:lang w:val="zh-CN"/>
        </w:rPr>
        <w:t>①</w:t>
      </w:r>
      <w:r>
        <w:rPr>
          <w:rFonts w:asciiTheme="minorEastAsia" w:hAnsiTheme="minorEastAsia" w:eastAsiaTheme="minorEastAsia"/>
          <w:sz w:val="24"/>
          <w:szCs w:val="24"/>
          <w:lang w:val="zh-CN"/>
        </w:rPr>
        <w:t>盐酸储罐；</w:t>
      </w:r>
      <w:r>
        <w:rPr>
          <w:rFonts w:hint="eastAsia" w:asciiTheme="minorEastAsia" w:hAnsiTheme="minorEastAsia" w:eastAsiaTheme="minorEastAsia"/>
          <w:sz w:val="24"/>
          <w:szCs w:val="24"/>
          <w:lang w:val="zh-CN"/>
        </w:rPr>
        <w:t>②</w:t>
      </w:r>
      <w:r>
        <w:rPr>
          <w:rFonts w:asciiTheme="minorEastAsia" w:hAnsiTheme="minorEastAsia" w:eastAsiaTheme="minorEastAsia"/>
          <w:sz w:val="24"/>
          <w:szCs w:val="24"/>
          <w:lang w:val="zh-CN"/>
        </w:rPr>
        <w:t>厂区污水处理设施设备</w:t>
      </w:r>
      <w:r>
        <w:rPr>
          <w:rFonts w:hint="eastAsia" w:asciiTheme="minorEastAsia" w:hAnsiTheme="minorEastAsia" w:eastAsiaTheme="minorEastAsia"/>
          <w:sz w:val="24"/>
          <w:szCs w:val="24"/>
          <w:lang w:val="zh-CN"/>
        </w:rPr>
        <w:t>及厂外管网泵站</w:t>
      </w:r>
      <w:r>
        <w:rPr>
          <w:rFonts w:asciiTheme="minorEastAsia" w:hAnsiTheme="minorEastAsia" w:eastAsiaTheme="minorEastAsia"/>
          <w:sz w:val="24"/>
          <w:szCs w:val="24"/>
          <w:lang w:val="zh-CN"/>
        </w:rPr>
        <w:t>。根据分析危险源的危险类型可知，</w:t>
      </w: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发生环境事故主要是盐酸等危化品泄漏及污水处理设施设备故障导致污水直接排放或未处理达标排放到地表水体污染环境。按照国家关于危化品生产使用单位突发环境事件应急预案的要求，重大危险源必须一源一案，并做好厂区风险源标识，防范措施卡片化，便于职工操作。</w:t>
      </w:r>
    </w:p>
    <w:p>
      <w:pPr>
        <w:adjustRightInd w:val="0"/>
        <w:snapToGrid w:val="0"/>
        <w:spacing w:line="360" w:lineRule="auto"/>
        <w:outlineLvl w:val="1"/>
        <w:rPr>
          <w:b/>
          <w:color w:val="000000"/>
          <w:sz w:val="24"/>
          <w:szCs w:val="24"/>
        </w:rPr>
      </w:pPr>
      <w:bookmarkStart w:id="459" w:name="_Toc12804"/>
      <w:r>
        <w:rPr>
          <w:rFonts w:hint="eastAsia"/>
          <w:b/>
          <w:color w:val="000000"/>
          <w:sz w:val="24"/>
          <w:szCs w:val="24"/>
        </w:rPr>
        <w:t>6.4.1处置原则</w:t>
      </w:r>
      <w:bookmarkEnd w:id="459"/>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事故或险情出现后，所属人员必须按“保障人员生命安全优先，防止事故扩大措施优先”的原则，实施先期抢险救援。主要内容：抢救受伤人员和在危险区人员；堵漏、关闭阀、停止所有电器设施、灭火、隔离危险区等；组织无关人员撤离到安全区域，清点现场人数；组织力量消除道路堵塞，为下步应急救援创造条件。</w:t>
      </w:r>
    </w:p>
    <w:p>
      <w:pPr>
        <w:adjustRightInd w:val="0"/>
        <w:snapToGrid w:val="0"/>
        <w:spacing w:line="360" w:lineRule="auto"/>
        <w:outlineLvl w:val="1"/>
        <w:rPr>
          <w:b/>
          <w:color w:val="000000"/>
          <w:sz w:val="24"/>
          <w:szCs w:val="24"/>
        </w:rPr>
      </w:pPr>
      <w:bookmarkStart w:id="460" w:name="_Toc24034"/>
      <w:r>
        <w:rPr>
          <w:rFonts w:hint="eastAsia"/>
          <w:b/>
          <w:color w:val="000000"/>
          <w:sz w:val="24"/>
          <w:szCs w:val="24"/>
        </w:rPr>
        <w:t>6</w:t>
      </w:r>
      <w:r>
        <w:rPr>
          <w:b/>
          <w:color w:val="000000"/>
          <w:sz w:val="24"/>
          <w:szCs w:val="24"/>
        </w:rPr>
        <w:t>.</w:t>
      </w:r>
      <w:r>
        <w:rPr>
          <w:rFonts w:hint="eastAsia"/>
          <w:b/>
          <w:color w:val="000000"/>
          <w:sz w:val="24"/>
          <w:szCs w:val="24"/>
        </w:rPr>
        <w:t>4</w:t>
      </w:r>
      <w:r>
        <w:rPr>
          <w:b/>
          <w:color w:val="000000"/>
          <w:sz w:val="24"/>
          <w:szCs w:val="24"/>
        </w:rPr>
        <w:t>.</w:t>
      </w:r>
      <w:r>
        <w:rPr>
          <w:rFonts w:hint="eastAsia"/>
          <w:b/>
          <w:color w:val="000000"/>
          <w:sz w:val="24"/>
          <w:szCs w:val="24"/>
        </w:rPr>
        <w:t>2</w:t>
      </w:r>
      <w:r>
        <w:rPr>
          <w:b/>
          <w:color w:val="000000"/>
          <w:sz w:val="24"/>
          <w:szCs w:val="24"/>
        </w:rPr>
        <w:t xml:space="preserve"> </w:t>
      </w:r>
      <w:r>
        <w:rPr>
          <w:rFonts w:hint="eastAsia"/>
          <w:b/>
          <w:color w:val="000000"/>
          <w:sz w:val="24"/>
          <w:szCs w:val="24"/>
        </w:rPr>
        <w:t>应急</w:t>
      </w:r>
      <w:r>
        <w:rPr>
          <w:b/>
          <w:color w:val="000000"/>
          <w:sz w:val="24"/>
          <w:szCs w:val="24"/>
        </w:rPr>
        <w:t>流程</w:t>
      </w:r>
      <w:bookmarkEnd w:id="460"/>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当发生危险化学品泄漏、环境污染等危险事故时，其处置流程见</w:t>
      </w:r>
      <w:r>
        <w:rPr>
          <w:rFonts w:hint="eastAsia" w:asciiTheme="minorEastAsia" w:hAnsiTheme="minorEastAsia" w:eastAsiaTheme="minorEastAsia"/>
          <w:sz w:val="24"/>
          <w:szCs w:val="24"/>
          <w:lang w:val="zh-CN"/>
        </w:rPr>
        <w:t>图6-2。</w:t>
      </w: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526" w:firstLineChars="200"/>
        <w:rPr>
          <w:color w:val="000000"/>
          <w:sz w:val="26"/>
          <w:szCs w:val="26"/>
        </w:rPr>
      </w:pPr>
      <w:r>
        <w:rPr>
          <w:color w:val="000000"/>
          <w:sz w:val="26"/>
          <w:szCs w:val="26"/>
        </w:rPr>
        <w:pict>
          <v:group id="画布 1912" o:spid="_x0000_s4417" o:spt="203" style="height:577.2pt;width:456.75pt;" coordorigin="1588,3578" coordsize="9135,11544" editas="canvas">
            <o:lock v:ext="edit"/>
            <v:shape id="画布 1912" o:spid="_x0000_s4418" o:spt="75" type="#_x0000_t75" style="position:absolute;left:1588;top:3578;height:11544;width:9135;" filled="f" o:preferrelative="f" stroked="f" coordsize="21600,21600">
              <v:path/>
              <v:fill on="f" focussize="0,0"/>
              <v:stroke on="f" joinstyle="miter"/>
              <v:imagedata o:title=""/>
              <o:lock v:ext="edit" rotation="t" text="t" aspectratio="t"/>
            </v:shape>
            <v:rect id="矩形 1914" o:spid="_x0000_s4419" o:spt="1" style="position:absolute;left:5368;top:4982;height:780;width:1890;" fillcolor="#FF0000" filled="f" coordsize="21600,21600">
              <v:path/>
              <v:fill on="f" focussize="0,0"/>
              <v:stroke/>
              <v:imagedata o:title=""/>
              <o:lock v:ext="edit"/>
              <v:textbox>
                <w:txbxContent>
                  <w:p>
                    <w:pPr>
                      <w:jc w:val="center"/>
                    </w:pPr>
                    <w:r>
                      <w:rPr>
                        <w:rFonts w:hint="eastAsia"/>
                      </w:rPr>
                      <w:t>岗位人员现场紧急处置</w:t>
                    </w:r>
                  </w:p>
                </w:txbxContent>
              </v:textbox>
            </v:rect>
            <v:rect id="矩形 1915" o:spid="_x0000_s4420" o:spt="1" style="position:absolute;left:5247;top:6542;height:778;width:2116;" fillcolor="#FF0000" filled="f" coordsize="21600,21600">
              <v:path/>
              <v:fill on="f" focussize="0,0"/>
              <v:stroke/>
              <v:imagedata o:title=""/>
              <o:lock v:ext="edit"/>
              <v:textbox>
                <w:txbxContent>
                  <w:p>
                    <w:pPr>
                      <w:jc w:val="center"/>
                    </w:pPr>
                    <w:r>
                      <w:rPr>
                        <w:rFonts w:hint="eastAsia"/>
                      </w:rPr>
                      <w:t>同时报告现场管理人员</w:t>
                    </w:r>
                  </w:p>
                </w:txbxContent>
              </v:textbox>
            </v:rect>
            <v:rect id="矩形 1916" o:spid="_x0000_s4421" o:spt="1" style="position:absolute;left:5247;top:7946;height:780;width:2116;" coordsize="21600,21600">
              <v:path/>
              <v:fill focussize="0,0"/>
              <v:stroke/>
              <v:imagedata o:title=""/>
              <o:lock v:ext="edit"/>
              <v:textbox inset="2.54mm,3.3mm,2.54mm,1.27mm">
                <w:txbxContent>
                  <w:p>
                    <w:pPr>
                      <w:jc w:val="center"/>
                      <w:rPr>
                        <w:szCs w:val="21"/>
                      </w:rPr>
                    </w:pPr>
                    <w:r>
                      <w:rPr>
                        <w:rFonts w:hint="eastAsia"/>
                        <w:szCs w:val="21"/>
                      </w:rPr>
                      <w:t>启动现场处置方案</w:t>
                    </w:r>
                  </w:p>
                </w:txbxContent>
              </v:textbox>
            </v:rect>
            <v:line id="直线 1917" o:spid="_x0000_s4422" o:spt="20" style="position:absolute;left:6208;top:4202;height:780;width:0;" coordsize="21600,21600">
              <v:path arrowok="t"/>
              <v:fill focussize="0,0"/>
              <v:stroke endarrow="block"/>
              <v:imagedata o:title=""/>
              <o:lock v:ext="edit"/>
            </v:line>
            <v:line id="直线 1918" o:spid="_x0000_s4423" o:spt="20" style="position:absolute;left:6208;top:5762;height:780;width:0;" coordsize="21600,21600">
              <v:path arrowok="t"/>
              <v:fill focussize="0,0"/>
              <v:stroke endarrow="block"/>
              <v:imagedata o:title=""/>
              <o:lock v:ext="edit"/>
            </v:line>
            <v:rect id="矩形 1919" o:spid="_x0000_s4424" o:spt="1" style="position:absolute;left:6208;top:6073;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0" o:spid="_x0000_s4425" o:spt="1" style="position:absolute;left:5247;top:9659;height:780;width:2116;" coordsize="21600,21600">
              <v:path/>
              <v:fill focussize="0,0"/>
              <v:stroke/>
              <v:imagedata o:title=""/>
              <o:lock v:ext="edit"/>
              <v:textbox inset="2.54mm,3.3mm,2.54mm,1.27mm">
                <w:txbxContent>
                  <w:p>
                    <w:pPr>
                      <w:jc w:val="center"/>
                      <w:rPr>
                        <w:szCs w:val="21"/>
                      </w:rPr>
                    </w:pPr>
                    <w:r>
                      <w:rPr>
                        <w:rFonts w:hint="eastAsia"/>
                        <w:szCs w:val="21"/>
                      </w:rPr>
                      <w:t>启动综合救援预案</w:t>
                    </w:r>
                  </w:p>
                </w:txbxContent>
              </v:textbox>
            </v:rect>
            <v:rect id="矩形 1921" o:spid="_x0000_s4426" o:spt="1" style="position:absolute;left:8428;top:11222;height:780;width:1666;" coordsize="21600,21600">
              <v:path/>
              <v:fill focussize="0,0"/>
              <v:stroke/>
              <v:imagedata o:title=""/>
              <o:lock v:ext="edit"/>
              <v:textbox>
                <w:txbxContent>
                  <w:p>
                    <w:pPr>
                      <w:jc w:val="center"/>
                      <w:rPr>
                        <w:szCs w:val="21"/>
                      </w:rPr>
                    </w:pPr>
                    <w:r>
                      <w:rPr>
                        <w:rFonts w:hint="eastAsia"/>
                        <w:szCs w:val="21"/>
                      </w:rPr>
                      <w:t>启动当地政府应救援预案</w:t>
                    </w:r>
                  </w:p>
                  <w:p>
                    <w:pPr>
                      <w:rPr>
                        <w:szCs w:val="21"/>
                      </w:rPr>
                    </w:pPr>
                  </w:p>
                </w:txbxContent>
              </v:textbox>
            </v:rect>
            <v:rect id="矩形 1922" o:spid="_x0000_s4427" o:spt="1" style="position:absolute;left:5368;top:3578;height:714;width:1799;" coordsize="21600,21600">
              <v:path/>
              <v:fill focussize="0,0"/>
              <v:stroke/>
              <v:imagedata o:title=""/>
              <o:lock v:ext="edit"/>
              <v:textbox>
                <w:txbxContent>
                  <w:p>
                    <w:pPr>
                      <w:spacing w:beforeLines="50" w:afterLines="50"/>
                      <w:jc w:val="center"/>
                      <w:rPr>
                        <w:szCs w:val="21"/>
                      </w:rPr>
                    </w:pPr>
                    <w:r>
                      <w:rPr>
                        <w:rFonts w:hint="eastAsia"/>
                        <w:szCs w:val="21"/>
                      </w:rPr>
                      <w:t>事故发生</w:t>
                    </w:r>
                  </w:p>
                  <w:p>
                    <w:pPr>
                      <w:rPr>
                        <w:szCs w:val="21"/>
                      </w:rPr>
                    </w:pPr>
                  </w:p>
                </w:txbxContent>
              </v:textbox>
            </v:rect>
            <v:line id="直线 1923" o:spid="_x0000_s4428" o:spt="20" style="position:absolute;left:7348;top:11690;height:1;width:1079;" coordsize="21600,21600">
              <v:path arrowok="t"/>
              <v:fill focussize="0,0"/>
              <v:stroke endarrow="block"/>
              <v:imagedata o:title=""/>
              <o:lock v:ext="edit"/>
            </v:line>
            <v:line id="直线 1924" o:spid="_x0000_s4429" o:spt="20" style="position:absolute;left:6208;top:7322;height:624;width:0;" coordsize="21600,21600">
              <v:path arrowok="t"/>
              <v:fill focussize="0,0"/>
              <v:stroke endarrow="block"/>
              <v:imagedata o:title=""/>
              <o:lock v:ext="edit"/>
            </v:line>
            <v:line id="直线 1925" o:spid="_x0000_s4430" o:spt="20" style="position:absolute;left:6297;top:8726;height:933;width:1;" coordsize="21600,21600">
              <v:path arrowok="t"/>
              <v:fill focussize="0,0"/>
              <v:stroke endarrow="block"/>
              <v:imagedata o:title=""/>
              <o:lock v:ext="edit"/>
            </v:line>
            <v:rect id="矩形 1926" o:spid="_x0000_s4431" o:spt="1" style="position:absolute;left:7528;top:11222;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7" o:spid="_x0000_s4432" o:spt="1" style="position:absolute;left:5247;top:11174;height:750;width:2116;" coordsize="21600,21600">
              <v:path/>
              <v:fill focussize="0,0"/>
              <v:stroke/>
              <v:imagedata o:title=""/>
              <o:lock v:ext="edit"/>
              <v:textbox>
                <w:txbxContent>
                  <w:p>
                    <w:pPr>
                      <w:spacing w:beforeLines="50" w:afterLines="50"/>
                      <w:jc w:val="center"/>
                      <w:rPr>
                        <w:szCs w:val="21"/>
                      </w:rPr>
                    </w:pPr>
                    <w:r>
                      <w:rPr>
                        <w:rFonts w:hint="eastAsia"/>
                        <w:szCs w:val="21"/>
                      </w:rPr>
                      <w:t>现场处置</w:t>
                    </w:r>
                  </w:p>
                  <w:p>
                    <w:pPr>
                      <w:rPr>
                        <w:szCs w:val="21"/>
                      </w:rPr>
                    </w:pPr>
                  </w:p>
                </w:txbxContent>
              </v:textbox>
            </v:rect>
            <v:rect id="矩形 1928" o:spid="_x0000_s4433" o:spt="1" style="position:absolute;left:6298;top:10585;height:469;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29" o:spid="_x0000_s4434" o:spt="20" style="position:absolute;left:6297;top:10439;height:735;width:1;" coordsize="21600,21600">
              <v:path arrowok="t"/>
              <v:fill focussize="0,0"/>
              <v:stroke endarrow="block"/>
              <v:imagedata o:title=""/>
              <o:lock v:ext="edit"/>
            </v:line>
            <v:rect id="矩形 1930" o:spid="_x0000_s4435" o:spt="1" style="position:absolute;left:6389;top:8909;height:626;width:974;" filled="f" stroked="t" coordsize="21600,21600">
              <v:path/>
              <v:fill on="f" focussize="0,0"/>
              <v:stroke weight="1pt" color="#FFFFFF" dashstyle="dash"/>
              <v:imagedata o:title=""/>
              <o:lock v:ext="edit"/>
              <v:textbox>
                <w:txbxContent>
                  <w:p>
                    <w:pPr>
                      <w:spacing w:beforeLines="50" w:afterLines="50"/>
                      <w:jc w:val="center"/>
                      <w:rPr>
                        <w:szCs w:val="21"/>
                      </w:rPr>
                    </w:pPr>
                    <w:r>
                      <w:rPr>
                        <w:rFonts w:hint="eastAsia"/>
                        <w:szCs w:val="21"/>
                      </w:rPr>
                      <w:t>不可控</w:t>
                    </w:r>
                  </w:p>
                  <w:p>
                    <w:pPr>
                      <w:rPr>
                        <w:szCs w:val="21"/>
                      </w:rPr>
                    </w:pPr>
                  </w:p>
                </w:txbxContent>
              </v:textbox>
            </v:rect>
            <v:rect id="矩形 1931" o:spid="_x0000_s4436" o:spt="1" style="position:absolute;left:5473;top:13718;height:846;width:1694;" coordsize="21600,21600">
              <v:path/>
              <v:fill focussize="0,0"/>
              <v:stroke/>
              <v:imagedata o:title=""/>
              <o:lock v:ext="edit"/>
              <v:textbox>
                <w:txbxContent>
                  <w:p>
                    <w:pPr>
                      <w:spacing w:beforeLines="50" w:afterLines="50"/>
                      <w:jc w:val="center"/>
                      <w:rPr>
                        <w:szCs w:val="21"/>
                      </w:rPr>
                    </w:pPr>
                    <w:r>
                      <w:rPr>
                        <w:rFonts w:hint="eastAsia"/>
                        <w:szCs w:val="21"/>
                      </w:rPr>
                      <w:t>现场恢复</w:t>
                    </w:r>
                  </w:p>
                  <w:p>
                    <w:pPr>
                      <w:rPr>
                        <w:szCs w:val="21"/>
                      </w:rPr>
                    </w:pPr>
                  </w:p>
                </w:txbxContent>
              </v:textbox>
            </v:rect>
            <v:line id="直线 1932" o:spid="_x0000_s4437" o:spt="20" style="position:absolute;left:6296;top:11924;height:1794;width:1;" coordsize="21600,21600">
              <v:path arrowok="t"/>
              <v:fill focussize="0,0"/>
              <v:stroke endarrow="block"/>
              <v:imagedata o:title=""/>
              <o:lock v:ext="edit"/>
            </v:line>
            <v:line id="直线 1933" o:spid="_x0000_s4438" o:spt="20" style="position:absolute;left:6297;top:12826;flip:x;height:1;width:2955;" coordsize="21600,21600">
              <v:path arrowok="t"/>
              <v:fill focussize="0,0"/>
              <v:stroke endarrow="block"/>
              <v:imagedata o:title=""/>
              <o:lock v:ext="edit"/>
            </v:line>
            <v:line id="直线 1934" o:spid="_x0000_s4439" o:spt="20" style="position:absolute;left:9252;top:12164;flip:y;height:663;width:1;" coordsize="21600,21600">
              <v:path arrowok="t"/>
              <v:fill focussize="0,0"/>
              <v:stroke/>
              <v:imagedata o:title=""/>
              <o:lock v:ext="edit"/>
            </v:line>
            <v:rect id="矩形 1935" o:spid="_x0000_s4440" o:spt="1" style="position:absolute;left:2113;top:12314;height:624;width:1995;" coordsize="21600,21600">
              <v:path/>
              <v:fill focussize="0,0"/>
              <v:stroke/>
              <v:imagedata o:title=""/>
              <o:lock v:ext="edit"/>
              <v:textbox>
                <w:txbxContent>
                  <w:p>
                    <w:pPr>
                      <w:spacing w:beforeLines="50" w:afterLines="50"/>
                      <w:jc w:val="center"/>
                      <w:rPr>
                        <w:szCs w:val="21"/>
                      </w:rPr>
                    </w:pPr>
                    <w:r>
                      <w:rPr>
                        <w:rFonts w:hint="eastAsia"/>
                        <w:szCs w:val="21"/>
                      </w:rPr>
                      <w:t>完成事故调查报告</w:t>
                    </w:r>
                  </w:p>
                  <w:p>
                    <w:pPr>
                      <w:rPr>
                        <w:szCs w:val="21"/>
                      </w:rPr>
                    </w:pPr>
                  </w:p>
                </w:txbxContent>
              </v:textbox>
            </v:rect>
            <v:line id="直线 1936" o:spid="_x0000_s4441" o:spt="20" style="position:absolute;left:4108;top:14030;flip:x;height:0;width:1365;" coordsize="21600,21600">
              <v:path arrowok="t"/>
              <v:fill focussize="0,0"/>
              <v:stroke endarrow="block"/>
              <v:imagedata o:title=""/>
              <o:lock v:ext="edit"/>
            </v:line>
            <v:line id="直线 1937" o:spid="_x0000_s4442" o:spt="20" style="position:absolute;left:3058;top:12938;flip:y;height:780;width:0;" coordsize="21600,21600">
              <v:path arrowok="t"/>
              <v:fill focussize="0,0"/>
              <v:stroke endarrow="block"/>
              <v:imagedata o:title=""/>
              <o:lock v:ext="edit"/>
            </v:line>
            <v:line id="直线 1938" o:spid="_x0000_s4443" o:spt="20" style="position:absolute;left:3028;top:13406;flip:x;height:1;width:1604;" coordsize="21600,21600">
              <v:path arrowok="t"/>
              <v:fill focussize="0,0"/>
              <v:stroke endarrow="block"/>
              <v:imagedata o:title=""/>
              <o:lock v:ext="edit"/>
            </v:line>
            <v:rect id="矩形 1939" o:spid="_x0000_s4444" o:spt="1" style="position:absolute;left:4407;top:7868;height:468;width:840;" fillcolor="#FF0000" filled="f" stroked="f" coordsize="21600,21600">
              <v:path/>
              <v:fill on="f" focussize="0,0"/>
              <v:stroke on="f"/>
              <v:imagedata o:title=""/>
              <o:lock v:ext="edit"/>
              <v:textbox>
                <w:txbxContent>
                  <w:p>
                    <w:pPr>
                      <w:jc w:val="center"/>
                    </w:pPr>
                    <w:r>
                      <w:rPr>
                        <w:rFonts w:hint="eastAsia"/>
                      </w:rPr>
                      <w:t>可控</w:t>
                    </w:r>
                  </w:p>
                </w:txbxContent>
              </v:textbox>
            </v:rect>
            <v:rect id="矩形 1940" o:spid="_x0000_s4445" o:spt="1" style="position:absolute;left:2113;top:13718;height:1404;width:1995;" coordsize="21600,21600">
              <v:path/>
              <v:fill focussize="0,0"/>
              <v:stroke/>
              <v:imagedata o:title=""/>
              <o:lock v:ext="edit"/>
              <v:textbox>
                <w:txbxContent>
                  <w:p>
                    <w:pPr>
                      <w:jc w:val="center"/>
                      <w:rPr>
                        <w:szCs w:val="21"/>
                      </w:rPr>
                    </w:pPr>
                    <w:r>
                      <w:rPr>
                        <w:rFonts w:hint="eastAsia"/>
                        <w:szCs w:val="21"/>
                      </w:rPr>
                      <w:t>现场应急救援组</w:t>
                    </w:r>
                  </w:p>
                  <w:p>
                    <w:pPr>
                      <w:jc w:val="center"/>
                      <w:rPr>
                        <w:szCs w:val="21"/>
                      </w:rPr>
                    </w:pPr>
                    <w:r>
                      <w:rPr>
                        <w:rFonts w:hint="eastAsia"/>
                        <w:szCs w:val="21"/>
                      </w:rPr>
                      <w:t>组长：当班班长</w:t>
                    </w:r>
                  </w:p>
                </w:txbxContent>
              </v:textbox>
            </v:rect>
            <v:line id="直线 1941" o:spid="_x0000_s4446" o:spt="20" style="position:absolute;left:4272;top:5450;flip:x;height:1;width:1096;" coordsize="21600,21600">
              <v:path arrowok="t"/>
              <v:fill focussize="0,0"/>
              <v:stroke/>
              <v:imagedata o:title=""/>
              <o:lock v:ext="edit"/>
            </v:line>
            <v:line id="直线 1942" o:spid="_x0000_s4447" o:spt="20" style="position:absolute;left:4272;top:5451;height:7956;width:1;" coordsize="21600,21600">
              <v:path arrowok="t"/>
              <v:fill focussize="0,0"/>
              <v:stroke/>
              <v:imagedata o:title=""/>
              <o:lock v:ext="edit"/>
            </v:line>
            <v:shape id="自选图形 1943" o:spid="_x0000_s4448" o:spt="33" type="#_x0000_t33" style="position:absolute;left:4632;top:8336;flip:y;height:5070;width:615;rotation:11796480f;" o:connectortype="elbow" filled="f" coordsize="21600,21600" adj="-180281,26346,-180281">
              <v:path arrowok="t"/>
              <v:fill on="f" focussize="0,0"/>
              <v:stroke joinstyle="miter"/>
              <v:imagedata o:title=""/>
              <o:lock v:ext="edit"/>
            </v:shape>
            <v:rect id="矩形 1944" o:spid="_x0000_s4449" o:spt="1" style="position:absolute;left:4407;top:4982;height:468;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45" o:spid="_x0000_s4450" o:spt="20" style="position:absolute;left:5008;top:11534;height:1;width:180;" coordsize="21600,21600">
              <v:path arrowok="t"/>
              <v:fill focussize="0,0"/>
              <v:stroke/>
              <v:imagedata o:title=""/>
              <o:lock v:ext="edit"/>
            </v:line>
            <v:line id="直线 1946" o:spid="_x0000_s4451" o:spt="20" style="position:absolute;left:5008;top:11534;height:1872;width:0;" coordsize="21600,21600">
              <v:path arrowok="t"/>
              <v:fill focussize="0,0"/>
              <v:stroke/>
              <v:imagedata o:title=""/>
              <o:lock v:ext="edit"/>
            </v:line>
            <v:line id="直线 1947" o:spid="_x0000_s4452" o:spt="20" style="position:absolute;left:4648;top:13406;flip:x;height:0;width:360;" coordsize="21600,21600">
              <v:path arrowok="t"/>
              <v:fill focussize="0,0"/>
              <v:stroke/>
              <v:imagedata o:title=""/>
              <o:lock v:ext="edit"/>
            </v:line>
            <v:rect id="矩形 1948" o:spid="_x0000_s4453" o:spt="1" style="position:absolute;left:4468;top:11066;height:468;width:840;" fillcolor="#FF0000" filled="f" stroked="f" coordsize="21600,21600">
              <v:path/>
              <v:fill on="f" focussize="0,0"/>
              <v:stroke on="f"/>
              <v:imagedata o:title=""/>
              <o:lock v:ext="edit"/>
              <v:textbox>
                <w:txbxContent>
                  <w:p>
                    <w:pPr>
                      <w:jc w:val="center"/>
                    </w:pPr>
                    <w:r>
                      <w:rPr>
                        <w:rFonts w:hint="eastAsia"/>
                      </w:rPr>
                      <w:t>可控</w:t>
                    </w:r>
                  </w:p>
                </w:txbxContent>
              </v:textbox>
            </v:rect>
            <w10:wrap type="none"/>
            <w10:anchorlock/>
          </v:group>
        </w:pict>
      </w:r>
    </w:p>
    <w:p>
      <w:pPr>
        <w:adjustRightInd w:val="0"/>
        <w:snapToGrid w:val="0"/>
        <w:spacing w:line="460" w:lineRule="exact"/>
        <w:ind w:firstLine="488" w:firstLineChars="200"/>
        <w:jc w:val="center"/>
        <w:rPr>
          <w:b/>
          <w:color w:val="000000"/>
          <w:sz w:val="26"/>
          <w:szCs w:val="26"/>
        </w:rPr>
      </w:pPr>
      <w:r>
        <w:rPr>
          <w:rFonts w:hint="eastAsia" w:cs="仿宋_GB2312" w:asciiTheme="minorEastAsia" w:hAnsiTheme="minorEastAsia" w:eastAsiaTheme="minorEastAsia"/>
          <w:b/>
          <w:kern w:val="0"/>
          <w:sz w:val="24"/>
          <w:szCs w:val="24"/>
          <w:lang w:val="zh-CN"/>
        </w:rPr>
        <w:t>图6-2 应急工作流程图</w:t>
      </w:r>
    </w:p>
    <w:p>
      <w:pPr>
        <w:adjustRightInd w:val="0"/>
        <w:snapToGrid w:val="0"/>
        <w:spacing w:line="460" w:lineRule="exact"/>
        <w:outlineLvl w:val="1"/>
        <w:rPr>
          <w:rFonts w:hint="eastAsia"/>
          <w:b/>
          <w:color w:val="000000"/>
          <w:sz w:val="28"/>
          <w:szCs w:val="28"/>
        </w:rPr>
      </w:pPr>
      <w:bookmarkStart w:id="461" w:name="_Toc22214"/>
    </w:p>
    <w:p>
      <w:pPr>
        <w:adjustRightInd w:val="0"/>
        <w:snapToGrid w:val="0"/>
        <w:spacing w:line="460" w:lineRule="exact"/>
        <w:outlineLvl w:val="1"/>
        <w:rPr>
          <w:b/>
          <w:color w:val="000000"/>
          <w:sz w:val="28"/>
          <w:szCs w:val="28"/>
        </w:rPr>
      </w:pPr>
      <w:r>
        <w:rPr>
          <w:rFonts w:hint="eastAsia"/>
          <w:b/>
          <w:color w:val="000000"/>
          <w:sz w:val="28"/>
          <w:szCs w:val="28"/>
        </w:rPr>
        <w:t>6.4.3</w:t>
      </w:r>
      <w:r>
        <w:rPr>
          <w:b/>
          <w:color w:val="000000"/>
          <w:sz w:val="28"/>
          <w:szCs w:val="28"/>
        </w:rPr>
        <w:t>一源一案</w:t>
      </w:r>
      <w:bookmarkEnd w:id="461"/>
    </w:p>
    <w:p>
      <w:pPr>
        <w:spacing w:line="48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6.4.3</w:t>
      </w:r>
      <w:r>
        <w:rPr>
          <w:rFonts w:hint="eastAsia" w:asciiTheme="minorEastAsia" w:hAnsiTheme="minorEastAsia" w:eastAsiaTheme="minorEastAsia"/>
          <w:b/>
          <w:sz w:val="24"/>
          <w:szCs w:val="24"/>
          <w:lang w:val="zh-CN"/>
        </w:rPr>
        <w:t>.</w:t>
      </w:r>
      <w:r>
        <w:rPr>
          <w:rFonts w:hint="eastAsia" w:asciiTheme="minorEastAsia" w:hAnsiTheme="minorEastAsia" w:eastAsiaTheme="minorEastAsia"/>
          <w:b/>
          <w:sz w:val="24"/>
          <w:szCs w:val="24"/>
          <w:lang w:val="en-US" w:eastAsia="zh-CN"/>
        </w:rPr>
        <w:t>1</w:t>
      </w:r>
      <w:r>
        <w:rPr>
          <w:rFonts w:hint="eastAsia" w:asciiTheme="minorEastAsia" w:hAnsiTheme="minorEastAsia" w:eastAsiaTheme="minorEastAsia"/>
          <w:b/>
          <w:sz w:val="24"/>
          <w:szCs w:val="24"/>
        </w:rPr>
        <w:t>储罐区化学品泄漏</w:t>
      </w:r>
      <w:r>
        <w:rPr>
          <w:rFonts w:asciiTheme="minorEastAsia" w:hAnsiTheme="minorEastAsia" w:eastAsiaTheme="minorEastAsia"/>
          <w:b/>
          <w:sz w:val="24"/>
          <w:szCs w:val="24"/>
        </w:rPr>
        <w:t>事故处理</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李渡大耍坝污水处理厂盐酸储罐、氯酸钠储罐已按环评和环保三同时的要求对其制作了围堰，并修建了事故收集池，对围堰和事故收集池进行了“三布五油”玻璃钢防腐，能满足盐酸、氯酸钠储存时的安全。</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容易发生泄漏的只有使用和来料下车时可能发生，当发生泄漏时：</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（1）泄漏危害预防：本厂使用的为31%左右的稀盐酸，有腐蚀性，且能与氯酸钠快速发生反应，所以固体氯酸钠必须同盐酸分房间存放。</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（2）泄漏源控制：关闭阀门、停止作业等；采用合适的材料和技术手段堵住泄漏处，进行此项操作必须穿戴酸碱防护服、防毒面具。</w:t>
      </w:r>
    </w:p>
    <w:p>
      <w:pPr>
        <w:spacing w:line="360" w:lineRule="auto"/>
        <w:ind w:firstLine="486" w:firstLineChars="200"/>
        <w:jc w:val="left"/>
        <w:rPr>
          <w:rFonts w:asciiTheme="minorEastAsia" w:hAnsiTheme="minorEastAsia" w:eastAsiaTheme="minorEastAsia"/>
          <w:sz w:val="24"/>
          <w:szCs w:val="24"/>
          <w:lang w:val="zh-CN"/>
        </w:rPr>
      </w:pPr>
      <w:bookmarkStart w:id="462" w:name="_Toc392755514"/>
      <w:bookmarkStart w:id="463" w:name="_Toc394501592"/>
      <w:bookmarkStart w:id="464" w:name="_Toc394840212"/>
      <w:bookmarkStart w:id="465" w:name="_Toc408274474"/>
      <w:r>
        <w:rPr>
          <w:rFonts w:hint="eastAsia" w:asciiTheme="minorEastAsia" w:hAnsiTheme="minorEastAsia" w:eastAsiaTheme="minorEastAsia"/>
          <w:sz w:val="24"/>
          <w:szCs w:val="24"/>
          <w:lang w:val="zh-CN"/>
        </w:rPr>
        <w:t>（3）警戒保卫组迅速设置安全警戒线，严禁无关人员和车辆进入危险区域。</w:t>
      </w:r>
    </w:p>
    <w:bookmarkEnd w:id="462"/>
    <w:bookmarkEnd w:id="463"/>
    <w:bookmarkEnd w:id="464"/>
    <w:bookmarkEnd w:id="465"/>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（4）泄漏物处理</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围堤堵截：液体泄漏时及时检查围堤出口阀门的状态，保证其处于关闭状态。并准备沙子备用,以防流入地沟。</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稀释与中和：向泄漏现场施放大量生石灰和水，以中和泄漏盐酸，并降低盐酸与氢氧化钙中和反应时产生的大量热。</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（5）收容（集）：对于发生大量泄漏，可选择用隔膜泵将泄漏出的物料抽入容器内或槽车内；当泄漏量小时，可用沙子吸收。</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（6）收集的中和后的泄漏物运至废物处理场所处置。用消防水冲洗剩下的少量物料，冲洗水经过检测排入污水处理系统进行处理。</w:t>
      </w:r>
    </w:p>
    <w:p>
      <w:pPr>
        <w:adjustRightInd w:val="0"/>
        <w:snapToGrid w:val="0"/>
        <w:spacing w:line="460" w:lineRule="exact"/>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6.4.3.2加药间仓库氢氧化钠泄漏处置措施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迅速查明泄漏部位和泄漏量大小，在确保安全的情况采取如下措施：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应急处置过程中应急处理人员必须穿戴好工作服，佩戴化学安全防护眼镜，戴耐酸碱手套。</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小量泄漏：尽可能将溢漏固体集在塑胶容器内，收集回收后用水冲洗残留物，冲洗水进入事故池，用适量盐酸中和，测定PH值等后合格后经环保部门批准排放。</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大量泄漏：若固态氢氧化钠发生大量泄漏后遇水，确认储存区围堰至事故池阀门关闭，用耐酸泵转移至专用容器中，若无法盛装，通过槽车转移至废物处理单位。残液用水冲洗，冲洗水进入事故池，用适量盐酸中和，测定PH值等合格后经环保部门批准后排放。</w:t>
      </w:r>
    </w:p>
    <w:p>
      <w:pPr>
        <w:autoSpaceDE w:val="0"/>
        <w:autoSpaceDN w:val="0"/>
        <w:spacing w:beforeLines="50" w:afterLines="50" w:line="460" w:lineRule="exact"/>
        <w:jc w:val="left"/>
        <w:rPr>
          <w:rFonts w:cs="仿宋_GB2312" w:asciiTheme="minorEastAsia" w:hAnsiTheme="minorEastAsia" w:eastAsiaTheme="minorEastAsia"/>
          <w:b/>
          <w:kern w:val="0"/>
          <w:sz w:val="24"/>
          <w:szCs w:val="24"/>
          <w:lang w:val="zh-CN"/>
        </w:rPr>
      </w:pPr>
      <w:r>
        <w:rPr>
          <w:rFonts w:hint="eastAsia" w:asciiTheme="minorEastAsia" w:hAnsiTheme="minorEastAsia" w:eastAsiaTheme="minorEastAsia"/>
          <w:b/>
          <w:sz w:val="24"/>
          <w:szCs w:val="24"/>
        </w:rPr>
        <w:t>6.4.3.3</w:t>
      </w:r>
      <w:r>
        <w:rPr>
          <w:rFonts w:hint="eastAsia" w:asciiTheme="minorEastAsia" w:hAnsiTheme="minorEastAsia" w:eastAsiaTheme="minorEastAsia"/>
          <w:b/>
          <w:sz w:val="24"/>
          <w:szCs w:val="24"/>
          <w:lang w:val="en-US" w:eastAsia="zh-CN"/>
        </w:rPr>
        <w:t xml:space="preserve"> </w:t>
      </w:r>
      <w:r>
        <w:rPr>
          <w:rFonts w:hint="eastAsia" w:cs="仿宋_GB2312" w:asciiTheme="minorEastAsia" w:hAnsiTheme="minorEastAsia" w:eastAsiaTheme="minorEastAsia"/>
          <w:b/>
          <w:kern w:val="0"/>
          <w:sz w:val="24"/>
          <w:szCs w:val="24"/>
          <w:lang w:val="zh-CN"/>
        </w:rPr>
        <w:t xml:space="preserve">氯气泄漏处理措施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氯气少量泄漏（无人员中毒）</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1、值班人员戴好有效的氧气呼吸器，关闭二氧化氯发生器加药系统。</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2、检查事故系统泄漏原因，能处理的及时处理、恢复使用，不能处理的及时报生技科、维修科处理解决，或调整加氯系统，恢复正常生产。由公司应急指挥部下达解除令。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氯气一定量泄漏（操作、巡视时发生轻微中毒）</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1、由于轻微中毒一般能行走，应立即离开中毒区，迎风向高处跑，并进行求援、报告。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2、救援人员戴好有效的氧气呼吸器，关闭事故系统管道及加氯机阀门。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3、救护人员对轻微中毒人员进行救护，中毒人员应处在通风处，并注意防晒、防冻，吃一些保护粘膜的食物如生鸡蛋、熟猪油加糖，对中毒反应强烈者应送医院治疗。</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4、待泄漏氯气消失后，检查事故原因，修复或调整工作系统，恢复正常生产。直至有公司应急指挥小组下达解除令。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大量泄漏等重大事故，有严重中毒人员：</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1、现场人员能及时逃生者应立即逃生，发现者立即迅速求援，报告事故指挥领导小组成员。</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指挥领导小组下达应急救援命令，各应急救援队伍、指挥领导小组立即到现场。指挥领导小组组长立即将事故发生情况向上级部门、安监、环保等相关部门汇报。报警内容包括：事故发生的时间、地点、企业名称、交通路线、联络电话、联络人姓名、危险化学品的种类、数量、事故类型（火灾、爆炸、有毒物质的大量泄漏等）、周边情况、需要支援的人员、设备、器材等。</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3、公司全体员工全面进入紧急抢险状态，所有通讯、物资、后勤保障、设备等进入24小时抢险状态，直至有公司应急指挥部下达解除令。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4、抢险救灾组或先赶到的其他小组戴好有效氧气呼吸器，将中毒、受伤人员转移出毒区，由救护人员进行现场救护或转医院治疗。</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5、抢险救灾组人员根据扩散情况对可能危及中毒的人员有序疏散，并确保抢救道路畅通。</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6、环境监测组人员应佩带好防护用品并用设备连续测量毒区毒物浓度、扩散方向，为指挥领导小组确定救援方案以及为下一步解除应急救援命令供准确依据。</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7、抢险救灾组应佩戴好氧气呼吸器等防护用具进入现场切断气体产生源，并作简单抢险堵漏。</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8、事故指挥领导小组根据毒物浓度、生产设备情况解除应急救援命令。</w:t>
      </w:r>
    </w:p>
    <w:p>
      <w:pPr>
        <w:spacing w:beforeLines="50" w:afterLines="50" w:line="440" w:lineRule="exact"/>
        <w:rPr>
          <w:rFonts w:cs="仿宋_GB2312" w:asciiTheme="minorEastAsia" w:hAnsiTheme="minorEastAsia" w:eastAsiaTheme="minorEastAsia"/>
          <w:b/>
          <w:kern w:val="0"/>
          <w:sz w:val="24"/>
          <w:szCs w:val="24"/>
        </w:rPr>
      </w:pPr>
      <w:r>
        <w:rPr>
          <w:rFonts w:hint="eastAsia" w:asciiTheme="minorEastAsia" w:hAnsiTheme="minorEastAsia" w:eastAsiaTheme="minorEastAsia"/>
          <w:b/>
          <w:sz w:val="24"/>
          <w:szCs w:val="24"/>
        </w:rPr>
        <w:t>6.4.3.4</w:t>
      </w:r>
      <w:r>
        <w:rPr>
          <w:rFonts w:hint="eastAsia" w:cs="仿宋_GB2312" w:asciiTheme="minorEastAsia" w:hAnsiTheme="minorEastAsia" w:eastAsiaTheme="minorEastAsia"/>
          <w:b/>
          <w:kern w:val="0"/>
          <w:sz w:val="24"/>
          <w:szCs w:val="24"/>
        </w:rPr>
        <w:t>进水水质超标处置措施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运行人员每2小时对进水在线COD、NH3-N、PH监测设备和工艺段进行巡视异常，或化验室例行数据监测报警（化验室每天将数据上传厂办公室，如进水异常，立即通知值班人）。</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主要进水数据超标（任意一项）启动应急处置方案的临界值：</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COD≧900mg/L，NH3-N≧50mg/L，PH≧9或≦6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（1）值班人员迅速报告厂长按厂负责人指令执行。</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（2）厂负责人接报后现场了解情况，视情况逐级报告。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值班人员立即将中控自动切换提升泵房2#事故闸阀，将超标废水切换至事故调节池（应急运行组需保证正常情况应急池为空）。值班人员迅速到提升泵房查看，2#阀门是否开启状态，事故调节池进水情况是否正常。通知管网抢修组进行源头污水排查，到重点排污企业出水口取水送化验中心立即化验，或用进水在线设备检测。抢险救灾组通知疑似超标的排污企业立即停止排放污水。</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（4）对于超标废水已进入生化系统的工艺调整应对。</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 xml:space="preserve">   1）对于COD、NH3-N进水超标处置方法。减少当日排泥，维持较高范围的污泥浓度（3000mg/L以上）以应对负荷冲击；注意增加曝气量调整合适的溶解氧（在2mg/L以上）。同时在选择池增加pac投加量，并投加活性炭粉等方式快速吸附、沉降悬浮有机污染物。</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 xml:space="preserve">   2）对于PH超标处置方法。PH≧9时在调节池投加稀盐酸调至中性，PH≦6时在调节池加氢氧化钠调至中性。</w:t>
      </w:r>
    </w:p>
    <w:p>
      <w:pPr>
        <w:adjustRightInd w:val="0"/>
        <w:snapToGrid w:val="0"/>
        <w:spacing w:line="460" w:lineRule="exact"/>
        <w:ind w:firstLine="725" w:firstLineChars="298"/>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 xml:space="preserve"> 3）处理任何超标废水都应该适当延长SBR周期。</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待处理达标排除超标废水后，正常进水时将事故池超标废水少量分批抽入系统进行处理。超标废水进入系统进行处理时化验室保持化验监测，当发现数据异常和系统异常，立即减少或停止进入超标废水。与超标废水排放企业保持联系。当企业恢复正常生产，排水正常后，管网科取水送化验室监测，达标后方可排入管网。做好超标废水排入后的处置和运行记录，并如实填报和申报。</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（6）做好超标废水排入的事故总结，并编写书面报告存档、备案。</w:t>
      </w:r>
    </w:p>
    <w:p>
      <w:pPr>
        <w:spacing w:beforeLines="50" w:afterLines="50" w:line="440" w:lineRule="exact"/>
        <w:rPr>
          <w:rFonts w:cs="仿宋_GB2312" w:asciiTheme="minorEastAsia" w:hAnsiTheme="minorEastAsia" w:eastAsiaTheme="minorEastAsia"/>
          <w:b/>
          <w:kern w:val="0"/>
          <w:sz w:val="24"/>
          <w:szCs w:val="24"/>
        </w:rPr>
      </w:pPr>
      <w:r>
        <w:rPr>
          <w:rFonts w:hint="eastAsia" w:cs="仿宋_GB2312" w:asciiTheme="minorEastAsia" w:hAnsiTheme="minorEastAsia" w:eastAsiaTheme="minorEastAsia"/>
          <w:b/>
          <w:kern w:val="0"/>
          <w:sz w:val="24"/>
          <w:szCs w:val="24"/>
        </w:rPr>
        <w:t xml:space="preserve"> </w:t>
      </w:r>
      <w:r>
        <w:rPr>
          <w:rFonts w:hint="eastAsia" w:asciiTheme="minorEastAsia" w:hAnsiTheme="minorEastAsia" w:eastAsiaTheme="minorEastAsia"/>
          <w:b/>
          <w:sz w:val="24"/>
          <w:szCs w:val="24"/>
        </w:rPr>
        <w:t>6.4.3.5</w:t>
      </w:r>
      <w:r>
        <w:rPr>
          <w:rFonts w:hint="eastAsia" w:cs="仿宋_GB2312" w:asciiTheme="minorEastAsia" w:hAnsiTheme="minorEastAsia" w:eastAsiaTheme="minorEastAsia"/>
          <w:b/>
          <w:kern w:val="0"/>
          <w:sz w:val="24"/>
          <w:szCs w:val="24"/>
        </w:rPr>
        <w:t>出水水质超标处置措施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运行人员坚持每2小时对运行、待机的设备和工艺段进行巡视检查。出水在线设备COD、NH3-N仪器报警，化验室例行数据监测报警。</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主要出水数据超标（任意一项）启动应急处置方案的临界值：</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COD≧90mg/L，NH3-N≧13mg/L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值班人员立即向厂长（负责人）汇报。</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取得厂长同意后立即停止滗水运行，停止排水。打开消毒池放空阀，使超标废水导入提升泵房，视情况泵入应急池暂存后循环处理。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通知应急化验组取水检测分析，取水位置为厂区进水口、调节池，确认出水水质超标原因。</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（4）厂长立即向应急指挥领导小组汇报出水超标情况。</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（5）如已发生出水在线监测设备数据超标（COD&gt;100mg/L，NH3-N&gt;15mg/L）,应急运行组需在停止排水后立刻清理排水渠，必须在2小时内消除影响（即下一个检测数据恢复正常），并按情况向在线第三方运营单位</w:t>
      </w:r>
      <w:r>
        <w:rPr>
          <w:rFonts w:hint="eastAsia" w:asciiTheme="minorEastAsia" w:hAnsiTheme="minorEastAsia" w:eastAsiaTheme="minorEastAsia"/>
          <w:sz w:val="24"/>
          <w:szCs w:val="24"/>
          <w:lang w:val="en-US" w:eastAsia="zh-CN"/>
        </w:rPr>
        <w:t>-</w:t>
      </w:r>
      <w:r>
        <w:rPr>
          <w:rFonts w:hint="eastAsia" w:asciiTheme="minorEastAsia" w:hAnsiTheme="minorEastAsia" w:eastAsiaTheme="minorEastAsia"/>
          <w:sz w:val="24"/>
          <w:szCs w:val="24"/>
          <w:lang w:val="zh-CN"/>
        </w:rPr>
        <w:t>佳兴环保汇报情况。</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调整工艺，增加曝气量，检查各工艺段运行情况，并延长SBR运行周期。</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如属进水超标导致，通知管网进行源头水排查，并同时启动进水超标处置预案。</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化验室保持每4小时对各工艺段和排水口及周边水域进行一次取水监测直至出水达标。</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做好出水超标后的处置和运行记录，并如实填报和申报。</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做好出水超标的事故总结，并编写书面报告存档、备案。如为人为操作失职导致超标，需严肃追究当事人的责任。</w:t>
      </w:r>
    </w:p>
    <w:p>
      <w:pPr>
        <w:spacing w:beforeLines="50" w:afterLines="50"/>
        <w:rPr>
          <w:rFonts w:cs="仿宋_GB2312" w:asciiTheme="minorEastAsia" w:hAnsiTheme="minorEastAsia" w:eastAsiaTheme="minorEastAsia"/>
          <w:b/>
          <w:sz w:val="24"/>
          <w:szCs w:val="24"/>
        </w:rPr>
      </w:pPr>
      <w:r>
        <w:rPr>
          <w:rFonts w:hint="eastAsia" w:asciiTheme="minorEastAsia" w:hAnsiTheme="minorEastAsia" w:eastAsiaTheme="minorEastAsia"/>
          <w:b/>
          <w:sz w:val="24"/>
          <w:szCs w:val="24"/>
        </w:rPr>
        <w:t>6.4.3.6</w:t>
      </w:r>
      <w:r>
        <w:rPr>
          <w:rFonts w:hint="eastAsia" w:cs="仿宋_GB2312" w:asciiTheme="minorEastAsia" w:hAnsiTheme="minorEastAsia" w:eastAsiaTheme="minorEastAsia"/>
          <w:b/>
          <w:sz w:val="24"/>
          <w:szCs w:val="24"/>
        </w:rPr>
        <w:t>进水量超标</w:t>
      </w:r>
      <w:r>
        <w:rPr>
          <w:rFonts w:hint="eastAsia" w:cs="仿宋_GB2312" w:asciiTheme="minorEastAsia" w:hAnsiTheme="minorEastAsia" w:eastAsiaTheme="minorEastAsia"/>
          <w:b/>
          <w:kern w:val="0"/>
          <w:sz w:val="24"/>
          <w:szCs w:val="24"/>
        </w:rPr>
        <w:t>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中控平台上实时显示的进水量数据，或运行人员坚持每2小时对进水流量计及进水泵房液位进行的巡视记录。</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李渡大耍坝污水处理厂为连续自流式进水，具体为从进水口经过粗细格栅后自流到调节池。判断进水量超标临界值为达到前日进水量的200%以上，或进水超过设计量每日30000m3。（单边氧化沟为15000m3）两种情况均会对活性污泥系统造成很大多负荷冲击，且使水力停留时间缩短，容易导致出水水质超标。</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一般来说污水量的增加为缓慢曲线式增加，遇到水量陡增的情况一般是有新接入官网或排水企业导致，处置方案为：</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（1）应急运行组在发现进厂污水量超标时，应及时发挥事故应急池的功能，污水处理厂应急池为备用系统中的</w:t>
      </w:r>
      <w:r>
        <w:rPr>
          <w:rFonts w:hint="eastAsia" w:asciiTheme="minorEastAsia" w:hAnsiTheme="minorEastAsia" w:eastAsiaTheme="minorEastAsia"/>
          <w:sz w:val="24"/>
          <w:szCs w:val="24"/>
          <w:lang w:val="en-US" w:eastAsia="zh-CN"/>
        </w:rPr>
        <w:t>氧化沟</w:t>
      </w:r>
      <w:r>
        <w:rPr>
          <w:rFonts w:hint="eastAsia" w:asciiTheme="minorEastAsia" w:hAnsiTheme="minorEastAsia" w:eastAsiaTheme="minorEastAsia"/>
          <w:sz w:val="24"/>
          <w:szCs w:val="24"/>
          <w:lang w:val="zh-CN"/>
        </w:rPr>
        <w:t>，可从提升泵房将多余废水导入应急池（</w:t>
      </w:r>
      <w:r>
        <w:rPr>
          <w:rFonts w:hint="eastAsia" w:asciiTheme="minorEastAsia" w:hAnsiTheme="minorEastAsia" w:eastAsiaTheme="minorEastAsia"/>
          <w:sz w:val="24"/>
          <w:szCs w:val="24"/>
          <w:lang w:val="en-US" w:eastAsia="zh-CN"/>
        </w:rPr>
        <w:t>氧化沟</w:t>
      </w:r>
      <w:r>
        <w:rPr>
          <w:rFonts w:hint="eastAsia" w:asciiTheme="minorEastAsia" w:hAnsiTheme="minorEastAsia" w:eastAsiaTheme="minorEastAsia"/>
          <w:sz w:val="24"/>
          <w:szCs w:val="24"/>
          <w:lang w:val="zh-CN"/>
        </w:rPr>
        <w:t>）临时存储。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（2）调整工艺应对水量冲击，减少当日排泥量，并增加曝气量和投药量。必要时手动调节进水频率，避免一次进水量过多造成的波动。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（3）在工艺允许保证溶解氧的情况下适当缩短SBR周期，提高当日SBR运行周期数，水量峰值过去后及时处理导入应急池的废水处置。</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（4）厂长应同时通知管网抢修组对园区污水管网进行排查，如是企业集中排污导致，立刻协调企业停止集中式排放。</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（5）应急化验组在进水量超标期间应加强对排水水质和工艺参数的化验检测直至恢复正常。</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（6）做好详细的运行记录，必要时向本地环保部门报告。</w:t>
      </w:r>
    </w:p>
    <w:p>
      <w:pPr>
        <w:spacing w:beforeLines="50" w:afterLines="50"/>
        <w:rPr>
          <w:rFonts w:cs="仿宋_GB2312" w:asciiTheme="minorEastAsia" w:hAnsiTheme="minorEastAsia" w:eastAsiaTheme="minorEastAsia"/>
          <w:b/>
          <w:sz w:val="24"/>
          <w:szCs w:val="24"/>
        </w:rPr>
      </w:pPr>
      <w:r>
        <w:rPr>
          <w:rFonts w:hint="eastAsia" w:asciiTheme="minorEastAsia" w:hAnsiTheme="minorEastAsia" w:eastAsiaTheme="minorEastAsia"/>
          <w:b/>
          <w:sz w:val="24"/>
          <w:szCs w:val="24"/>
        </w:rPr>
        <w:t>6.4.3.7</w:t>
      </w:r>
      <w:r>
        <w:rPr>
          <w:rFonts w:hint="eastAsia" w:cs="仿宋_GB2312" w:asciiTheme="minorEastAsia" w:hAnsiTheme="minorEastAsia" w:eastAsiaTheme="minorEastAsia"/>
          <w:b/>
          <w:sz w:val="24"/>
          <w:szCs w:val="24"/>
        </w:rPr>
        <w:t xml:space="preserve"> 降雨导致的进水量超标</w:t>
      </w:r>
      <w:r>
        <w:rPr>
          <w:rFonts w:hint="eastAsia" w:cs="仿宋_GB2312" w:asciiTheme="minorEastAsia" w:hAnsiTheme="minorEastAsia" w:eastAsiaTheme="minorEastAsia"/>
          <w:b/>
          <w:kern w:val="0"/>
          <w:sz w:val="24"/>
          <w:szCs w:val="24"/>
        </w:rPr>
        <w:t>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对于合流制或半合流制的管网会出现在暴雨后进厂水量激增的现象，且往往超过设计日处理量。处置方案为：</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1、警戒保卫组在暴雨后应严密监测进厂水量数据，当超过设计日处理能力时，为保护活性污泥系统在报告厂长并取得同意后方能开启进厂超越。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2、厂长对进厂水超越行为向应急指挥小组报告，并及时用正式方式报地方环保部门备案。</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3、当进水超标峰值过去后，立刻关闭超越系统，并详细记录开启、关闭超越的时间。</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4、环境监测组应在超越期间加强对污水处理厂总排口附近水域的采样监测，评估其环境影响。</w:t>
      </w:r>
    </w:p>
    <w:p>
      <w:pPr>
        <w:spacing w:beforeLines="50" w:afterLines="50"/>
        <w:rPr>
          <w:rFonts w:asciiTheme="minorEastAsia" w:hAnsiTheme="minorEastAsia" w:eastAsiaTheme="minorEastAsia"/>
          <w:b/>
          <w:sz w:val="24"/>
          <w:szCs w:val="24"/>
        </w:rPr>
      </w:pPr>
      <w:r>
        <w:rPr>
          <w:rFonts w:hint="eastAsia" w:asciiTheme="minorEastAsia" w:hAnsiTheme="minorEastAsia" w:eastAsiaTheme="minorEastAsia"/>
          <w:b/>
          <w:sz w:val="24"/>
          <w:szCs w:val="24"/>
        </w:rPr>
        <w:t>6.4.3.8主要治理设备异常处置措施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李渡大耍坝污水处理厂采用活性污泥工艺，主要设备为：格栅机、曝气转碟、推流器、回流泵、排泥泵、刮泥机、曝气机、反冲鼓风机。均为一备一用。如果重要设备同时无法正常运行，可能对工艺造成较大影响，引发环境污染风险。其重要设备异常处置方案为：</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（1）运行异常但有备用设备可运行的。立即启用备用设备，运行人员报维修科维修处置，执行正常报修程序。</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（2）运行异常且无备用设备的。启动应急预案，由抢险救灾组报指挥组，指挥组批示抢险救灾组立刻进行抢修，生技科协助维修物资保障，必须在8小时恢复设备正常运行。</w:t>
      </w:r>
    </w:p>
    <w:p>
      <w:pPr>
        <w:spacing w:beforeLines="50" w:afterLines="50"/>
        <w:rPr>
          <w:rFonts w:asciiTheme="minorEastAsia" w:hAnsiTheme="minorEastAsia" w:eastAsiaTheme="minorEastAsia"/>
          <w:b/>
          <w:sz w:val="24"/>
          <w:szCs w:val="24"/>
        </w:rPr>
      </w:pPr>
      <w:r>
        <w:rPr>
          <w:rFonts w:hint="eastAsia" w:asciiTheme="minorEastAsia" w:hAnsiTheme="minorEastAsia" w:eastAsiaTheme="minorEastAsia"/>
          <w:b/>
          <w:sz w:val="24"/>
          <w:szCs w:val="24"/>
        </w:rPr>
        <w:t>6.4.3.9管网堵塞、破裂污水外流处置措施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李渡新区污水管网主要收集李渡新区生活污水和园区企业处理后的废水，管网由李渡新区管委会负责运行维护，我公司有监督报告的权利。存在的风险包括滑坡、沉降、人为破坏导致的管网损坏污水外流的情况，可造成局部环境污染，引发居民投诉。主要处置方案为：</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（1）滑坡或人为导致的少量管网损坏。抢险救灾组立刻到现场评估被损管网的长度，在地质条件允许的情况下，于接到报告的当天更换预备好的同管径污水管网，并做好附属的管网基础加固工作。</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地址沉降、堵塞导致的无法通水。抢险救灾组应及时到现场用管网机器人探测沉降变形的管网，准确找到并记录堵塞点位，并及时统计工程量上报预算整改。同时协调该管网主要排污企业暂停排污，待恢复后排放，以减轻环境影响。</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（3）管网堵塞无法通水。由管网巡视人员发现后报管网科组织清掏队伍，务必在6小时内疏通堵塞管网，为防止对环境敏感源造成影响必要时可搭接临时管网防止污水外流。</w:t>
      </w:r>
    </w:p>
    <w:p>
      <w:pPr>
        <w:spacing w:beforeLines="50" w:afterLines="50" w:line="440" w:lineRule="exact"/>
        <w:rPr>
          <w:rFonts w:cs="仿宋_GB2312" w:asciiTheme="minorEastAsia" w:hAnsiTheme="minorEastAsia" w:eastAsiaTheme="minorEastAsia"/>
          <w:b/>
          <w:kern w:val="0"/>
          <w:sz w:val="24"/>
          <w:szCs w:val="24"/>
        </w:rPr>
      </w:pPr>
      <w:r>
        <w:rPr>
          <w:rFonts w:hint="eastAsia" w:asciiTheme="minorEastAsia" w:hAnsiTheme="minorEastAsia" w:eastAsiaTheme="minorEastAsia"/>
          <w:b/>
          <w:sz w:val="24"/>
          <w:szCs w:val="24"/>
        </w:rPr>
        <w:t>6.4.3.10脱水</w:t>
      </w:r>
      <w:r>
        <w:rPr>
          <w:rFonts w:hint="eastAsia" w:cs="仿宋_GB2312" w:asciiTheme="minorEastAsia" w:hAnsiTheme="minorEastAsia" w:eastAsiaTheme="minorEastAsia"/>
          <w:b/>
          <w:kern w:val="0"/>
          <w:sz w:val="24"/>
          <w:szCs w:val="24"/>
        </w:rPr>
        <w:t>污泥处置措施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李渡大耍坝污水处理厂的脱水污泥为一般废物，公司已与重庆市涪陵区玉环固体废物污染治理有限公司签订了污泥处置合同。污水处理厂已按照环评和“三同时”要求建设了室内污泥堆场。污泥专业严格执行三联单制度，并加强对驾驶员和押运人员加强教育，预防事故的发生。</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按照转运合同要求，运输途中出现的一切安全及其他事故由利特公司负责，污水处理厂负责配合协调处理。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当转运途中出现污泥溢流和车辆事故时。</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 xml:space="preserve">  （1）立即报告区环保局。</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 xml:space="preserve">  （2）配合利特公司协调组织机具对污泥及时清运处理。</w:t>
      </w:r>
    </w:p>
    <w:p>
      <w:pPr>
        <w:adjustRightInd w:val="0"/>
        <w:snapToGrid w:val="0"/>
        <w:spacing w:line="460" w:lineRule="exact"/>
        <w:ind w:firstLine="486" w:firstLineChars="200"/>
        <w:rPr>
          <w:rFonts w:cs="仿宋_GB2312" w:asciiTheme="minorEastAsia" w:hAnsiTheme="minorEastAsia" w:eastAsiaTheme="minorEastAsia"/>
          <w:sz w:val="28"/>
          <w:szCs w:val="28"/>
        </w:rPr>
      </w:pPr>
      <w:r>
        <w:rPr>
          <w:rFonts w:hint="eastAsia" w:asciiTheme="minorEastAsia" w:hAnsiTheme="minorEastAsia" w:eastAsiaTheme="minorEastAsia"/>
          <w:sz w:val="24"/>
          <w:szCs w:val="24"/>
          <w:lang w:val="zh-CN"/>
        </w:rPr>
        <w:t xml:space="preserve">  （3）总结事故并如实上报。</w:t>
      </w:r>
    </w:p>
    <w:p>
      <w:pPr>
        <w:adjustRightInd w:val="0"/>
        <w:snapToGrid w:val="0"/>
        <w:spacing w:line="460" w:lineRule="exact"/>
        <w:outlineLvl w:val="1"/>
        <w:rPr>
          <w:b/>
          <w:color w:val="000000"/>
          <w:sz w:val="28"/>
          <w:szCs w:val="28"/>
        </w:rPr>
      </w:pPr>
      <w:bookmarkStart w:id="466" w:name="_Toc27664"/>
      <w:bookmarkStart w:id="467" w:name="_Toc25546"/>
      <w:bookmarkStart w:id="468" w:name="_Toc2231"/>
      <w:bookmarkStart w:id="469" w:name="_Toc22481"/>
      <w:bookmarkStart w:id="470" w:name="_Toc415254550"/>
      <w:bookmarkStart w:id="471" w:name="_Toc387131764"/>
      <w:bookmarkStart w:id="472" w:name="_Toc408274444"/>
      <w:bookmarkStart w:id="473" w:name="_Toc304963607"/>
      <w:bookmarkStart w:id="474" w:name="_Toc387131507"/>
      <w:bookmarkStart w:id="475" w:name="_Toc387131433"/>
      <w:bookmarkStart w:id="476" w:name="_Toc304962963"/>
      <w:bookmarkStart w:id="477" w:name="_Toc304833240"/>
      <w:bookmarkStart w:id="478" w:name="_Toc262040283"/>
      <w:bookmarkStart w:id="479" w:name="_Toc262050873"/>
      <w:bookmarkStart w:id="480" w:name="_Toc262051123"/>
      <w:bookmarkStart w:id="481" w:name="_Toc262051544"/>
      <w:bookmarkStart w:id="482" w:name="_Toc304964450"/>
      <w:bookmarkStart w:id="483" w:name="_Toc336326857"/>
      <w:bookmarkStart w:id="484" w:name="_Toc336327135"/>
      <w:r>
        <w:rPr>
          <w:rFonts w:hint="eastAsia"/>
          <w:b/>
          <w:color w:val="000000"/>
          <w:sz w:val="28"/>
          <w:szCs w:val="28"/>
        </w:rPr>
        <w:t>6.5应急监测</w:t>
      </w:r>
      <w:bookmarkEnd w:id="466"/>
      <w:bookmarkEnd w:id="467"/>
      <w:bookmarkEnd w:id="468"/>
      <w:bookmarkEnd w:id="469"/>
    </w:p>
    <w:p>
      <w:pPr>
        <w:adjustRightInd w:val="0"/>
        <w:snapToGrid w:val="0"/>
        <w:spacing w:line="460" w:lineRule="exact"/>
        <w:ind w:firstLine="486" w:firstLineChars="200"/>
        <w:rPr>
          <w:rFonts w:asciiTheme="minorEastAsia" w:hAnsiTheme="minorEastAsia" w:eastAsiaTheme="minorEastAsia"/>
          <w:sz w:val="24"/>
          <w:szCs w:val="24"/>
          <w:lang w:val="zh-CN"/>
        </w:rPr>
      </w:pPr>
      <w:bookmarkStart w:id="485" w:name="_Toc278981746"/>
      <w:r>
        <w:rPr>
          <w:rFonts w:asciiTheme="minorEastAsia" w:hAnsiTheme="minorEastAsia" w:eastAsiaTheme="minorEastAsia"/>
          <w:sz w:val="24"/>
          <w:szCs w:val="24"/>
          <w:lang w:val="zh-CN"/>
        </w:rPr>
        <w:t>发生风险事故的情况时，在泄漏物进入外部环境后，立即启动应急响应工作流程，即一方面立即组织实施应急程序，另一方面根据险情发展态势及时上报险情，请求相关机构提供技术援助支持。</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地表水和土壤监测安排在事故发生后4h内，大气监测安排在2h内，定性检测出污染物的种类和可能的危害，24h内定量监测出污染物的浓度、污染的程度和范围，做好记录，完成监测报告，并采取污染跟踪监测，直到污染事故处理完毕，污染警报消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1）李渡大耍坝污水处理厂在生产车间及储罐区设有气体泄漏和火灾报警器，保证在万一泄漏的情况下能够及时发现，采取处置措施，以及对环境空气进行监测。</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2)另外还可以依托涪陵区环境监测站对危化品事故产生的危害进行监测，对水体进行连续监测，同时针对人员、水体、土壤、大气采取隔离、收集和清除等方法，直至符合国家、地方环境保护标准。</w:t>
      </w:r>
      <w:bookmarkEnd w:id="485"/>
    </w:p>
    <w:p>
      <w:pPr>
        <w:adjustRightInd w:val="0"/>
        <w:snapToGrid w:val="0"/>
        <w:spacing w:line="460" w:lineRule="exact"/>
        <w:ind w:firstLine="486" w:firstLineChars="200"/>
        <w:rPr>
          <w:rFonts w:asciiTheme="minorEastAsia" w:hAnsiTheme="minorEastAsia" w:eastAsiaTheme="minorEastAsia"/>
          <w:sz w:val="24"/>
          <w:szCs w:val="24"/>
          <w:lang w:val="zh-CN"/>
        </w:rPr>
      </w:pPr>
      <w:bookmarkStart w:id="486" w:name="_Toc278981747"/>
      <w:r>
        <w:rPr>
          <w:rFonts w:hint="eastAsia" w:asciiTheme="minorEastAsia" w:hAnsiTheme="minorEastAsia" w:eastAsiaTheme="minorEastAsia"/>
          <w:sz w:val="24"/>
          <w:szCs w:val="24"/>
          <w:lang w:val="zh-CN"/>
        </w:rPr>
        <w:t>3）对于不明性质物质的大气监测，由公司安全环保部邀请涪陵区环境监测站等专业机构支援。</w:t>
      </w:r>
      <w:bookmarkEnd w:id="486"/>
    </w:p>
    <w:p>
      <w:pPr>
        <w:adjustRightInd w:val="0"/>
        <w:snapToGrid w:val="0"/>
        <w:spacing w:line="460" w:lineRule="exact"/>
        <w:ind w:firstLine="486" w:firstLineChars="200"/>
        <w:rPr>
          <w:rFonts w:asciiTheme="minorEastAsia" w:hAnsiTheme="minorEastAsia" w:eastAsiaTheme="minorEastAsia"/>
          <w:sz w:val="24"/>
          <w:szCs w:val="24"/>
          <w:lang w:val="zh-CN"/>
        </w:rPr>
      </w:pPr>
      <w:bookmarkStart w:id="487" w:name="_Toc346872611"/>
      <w:bookmarkStart w:id="488" w:name="_Toc458674300"/>
      <w:bookmarkStart w:id="489" w:name="_Toc317088669"/>
      <w:r>
        <w:rPr>
          <w:rFonts w:hint="eastAsia" w:asciiTheme="minorEastAsia" w:hAnsiTheme="minorEastAsia" w:eastAsiaTheme="minorEastAsia"/>
          <w:sz w:val="24"/>
          <w:szCs w:val="24"/>
          <w:lang w:val="zh-CN"/>
        </w:rPr>
        <w:t>4）</w:t>
      </w:r>
      <w:r>
        <w:rPr>
          <w:rFonts w:asciiTheme="minorEastAsia" w:hAnsiTheme="minorEastAsia" w:eastAsiaTheme="minorEastAsia"/>
          <w:sz w:val="24"/>
          <w:szCs w:val="24"/>
          <w:lang w:val="zh-CN"/>
        </w:rPr>
        <w:t>企业突发环境事故监测</w:t>
      </w:r>
      <w:bookmarkEnd w:id="487"/>
      <w:bookmarkEnd w:id="488"/>
      <w:r>
        <w:rPr>
          <w:rFonts w:hint="eastAsia" w:asciiTheme="minorEastAsia" w:hAnsiTheme="minorEastAsia" w:eastAsiaTheme="minorEastAsia"/>
          <w:sz w:val="24"/>
          <w:szCs w:val="24"/>
          <w:lang w:val="zh-CN"/>
        </w:rPr>
        <w:t>因子</w:t>
      </w:r>
    </w:p>
    <w:bookmarkEnd w:id="489"/>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环境空气：氯化氢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监测范围：加氯加药间周边5km范围。</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 xml:space="preserve">地表水：pH、COD、SS、氨氮、总磷、粪大肠菌群数、动植物油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监测范围：</w:t>
      </w:r>
      <w:r>
        <w:rPr>
          <w:rFonts w:hint="eastAsia" w:asciiTheme="minorEastAsia" w:hAnsiTheme="minorEastAsia" w:eastAsiaTheme="minorEastAsia"/>
          <w:sz w:val="24"/>
          <w:szCs w:val="24"/>
          <w:lang w:val="zh-CN"/>
        </w:rPr>
        <w:t>泄漏</w:t>
      </w:r>
      <w:r>
        <w:rPr>
          <w:rFonts w:asciiTheme="minorEastAsia" w:hAnsiTheme="minorEastAsia" w:eastAsiaTheme="minorEastAsia"/>
          <w:sz w:val="24"/>
          <w:szCs w:val="24"/>
          <w:lang w:val="zh-CN"/>
        </w:rPr>
        <w:t>物入水口至下游5km。</w:t>
      </w:r>
    </w:p>
    <w:p>
      <w:pPr>
        <w:pStyle w:val="101"/>
        <w:ind w:firstLine="486"/>
        <w:rPr>
          <w:rFonts w:asciiTheme="minorEastAsia" w:hAnsiTheme="minorEastAsia" w:eastAsiaTheme="minorEastAsia"/>
          <w:color w:val="auto"/>
          <w:kern w:val="2"/>
          <w:sz w:val="24"/>
          <w:lang w:val="zh-CN" w:bidi="ar-SA"/>
        </w:rPr>
      </w:pPr>
      <w:bookmarkStart w:id="490" w:name="_Toc5683"/>
      <w:r>
        <w:rPr>
          <w:rFonts w:hint="eastAsia" w:asciiTheme="minorEastAsia" w:hAnsiTheme="minorEastAsia" w:eastAsiaTheme="minorEastAsia"/>
          <w:color w:val="auto"/>
          <w:kern w:val="2"/>
          <w:sz w:val="24"/>
          <w:lang w:val="zh-CN" w:bidi="ar-SA"/>
        </w:rPr>
        <w:t>5）</w:t>
      </w:r>
      <w:r>
        <w:rPr>
          <w:rFonts w:asciiTheme="minorEastAsia" w:hAnsiTheme="minorEastAsia" w:eastAsiaTheme="minorEastAsia"/>
          <w:color w:val="auto"/>
          <w:kern w:val="2"/>
          <w:sz w:val="24"/>
          <w:lang w:val="zh-CN" w:bidi="ar-SA"/>
        </w:rPr>
        <w:t>监测数据的报告和发布</w:t>
      </w:r>
      <w:bookmarkEnd w:id="490"/>
    </w:p>
    <w:p>
      <w:pPr>
        <w:pStyle w:val="280"/>
        <w:spacing w:line="460" w:lineRule="exact"/>
        <w:ind w:firstLine="486"/>
        <w:jc w:val="left"/>
        <w:rPr>
          <w:rFonts w:asciiTheme="minorEastAsia" w:hAnsiTheme="minorEastAsia" w:eastAsiaTheme="minorEastAsia"/>
          <w:b w:val="0"/>
          <w:bCs w:val="0"/>
          <w:spacing w:val="0"/>
          <w:szCs w:val="24"/>
          <w:lang w:val="zh-CN"/>
        </w:rPr>
      </w:pPr>
      <w:r>
        <w:rPr>
          <w:rFonts w:asciiTheme="minorEastAsia" w:hAnsiTheme="minorEastAsia" w:eastAsiaTheme="minorEastAsia"/>
          <w:b w:val="0"/>
          <w:bCs w:val="0"/>
          <w:spacing w:val="0"/>
          <w:szCs w:val="24"/>
          <w:lang w:val="zh-CN"/>
        </w:rPr>
        <w:t>监测数据应及时向应急领导小组和</w:t>
      </w:r>
      <w:r>
        <w:rPr>
          <w:rFonts w:hint="eastAsia" w:asciiTheme="minorEastAsia" w:hAnsiTheme="minorEastAsia" w:eastAsiaTheme="minorEastAsia"/>
          <w:b w:val="0"/>
          <w:bCs w:val="0"/>
          <w:spacing w:val="0"/>
          <w:szCs w:val="24"/>
          <w:lang w:val="zh-CN"/>
        </w:rPr>
        <w:t>涪陵区环境保护局</w:t>
      </w:r>
      <w:r>
        <w:rPr>
          <w:rFonts w:asciiTheme="minorEastAsia" w:hAnsiTheme="minorEastAsia" w:eastAsiaTheme="minorEastAsia"/>
          <w:b w:val="0"/>
          <w:bCs w:val="0"/>
          <w:spacing w:val="0"/>
          <w:szCs w:val="24"/>
          <w:lang w:val="zh-CN"/>
        </w:rPr>
        <w:t>汇报，应急领导小组据此展开相关应急措施；同时公开向社会发布环境应急监测数据。</w:t>
      </w:r>
    </w:p>
    <w:p>
      <w:pPr>
        <w:adjustRightInd w:val="0"/>
        <w:snapToGrid w:val="0"/>
        <w:spacing w:line="460" w:lineRule="exact"/>
        <w:outlineLvl w:val="1"/>
        <w:rPr>
          <w:b/>
          <w:color w:val="000000"/>
          <w:sz w:val="28"/>
          <w:szCs w:val="28"/>
        </w:rPr>
      </w:pPr>
      <w:bookmarkStart w:id="491" w:name="_Toc31531"/>
      <w:bookmarkStart w:id="492" w:name="_Toc25668"/>
      <w:bookmarkStart w:id="493" w:name="_Toc6563"/>
      <w:bookmarkStart w:id="494" w:name="_Toc3076"/>
      <w:r>
        <w:rPr>
          <w:rFonts w:hint="eastAsia"/>
          <w:b/>
          <w:color w:val="000000"/>
          <w:sz w:val="28"/>
          <w:szCs w:val="28"/>
        </w:rPr>
        <w:t>6.6应急终止</w:t>
      </w:r>
      <w:bookmarkEnd w:id="491"/>
      <w:bookmarkEnd w:id="492"/>
      <w:bookmarkEnd w:id="493"/>
      <w:bookmarkEnd w:id="494"/>
    </w:p>
    <w:p>
      <w:pPr>
        <w:pStyle w:val="101"/>
        <w:spacing w:line="460" w:lineRule="exact"/>
        <w:ind w:firstLine="0" w:firstLineChars="0"/>
        <w:rPr>
          <w:b/>
          <w:sz w:val="24"/>
        </w:rPr>
      </w:pPr>
      <w:bookmarkStart w:id="495" w:name="_Toc354653995"/>
      <w:bookmarkStart w:id="496" w:name="_Toc9648"/>
      <w:bookmarkStart w:id="497" w:name="_Toc8834"/>
      <w:bookmarkStart w:id="498" w:name="_Toc11392"/>
      <w:r>
        <w:rPr>
          <w:rFonts w:hint="eastAsia"/>
          <w:b/>
          <w:sz w:val="24"/>
        </w:rPr>
        <w:t>6.6.1 应急终止的条件</w:t>
      </w:r>
      <w:bookmarkEnd w:id="495"/>
      <w:bookmarkEnd w:id="496"/>
      <w:bookmarkEnd w:id="497"/>
      <w:bookmarkEnd w:id="498"/>
    </w:p>
    <w:p>
      <w:pPr>
        <w:adjustRightInd w:val="0"/>
        <w:snapToGrid w:val="0"/>
        <w:spacing w:line="460" w:lineRule="exact"/>
        <w:ind w:firstLine="486" w:firstLineChars="200"/>
        <w:rPr>
          <w:rFonts w:asciiTheme="minorEastAsia" w:hAnsiTheme="minorEastAsia" w:eastAsiaTheme="minorEastAsia"/>
          <w:sz w:val="24"/>
          <w:szCs w:val="24"/>
          <w:lang w:val="zh-CN"/>
        </w:rPr>
      </w:pPr>
      <w:bookmarkStart w:id="499" w:name="_Toc354653996"/>
      <w:r>
        <w:rPr>
          <w:rFonts w:asciiTheme="minorEastAsia" w:hAnsiTheme="minorEastAsia" w:eastAsiaTheme="minorEastAsia"/>
          <w:sz w:val="24"/>
          <w:szCs w:val="24"/>
          <w:lang w:val="zh-CN"/>
        </w:rPr>
        <w:t>符合下列条件</w:t>
      </w:r>
      <w:r>
        <w:rPr>
          <w:rFonts w:hint="eastAsia" w:asciiTheme="minorEastAsia" w:hAnsiTheme="minorEastAsia" w:eastAsiaTheme="minorEastAsia"/>
          <w:sz w:val="24"/>
          <w:szCs w:val="24"/>
          <w:lang w:val="zh-CN"/>
        </w:rPr>
        <w:t>之一的</w:t>
      </w:r>
      <w:r>
        <w:rPr>
          <w:rFonts w:asciiTheme="minorEastAsia" w:hAnsiTheme="minorEastAsia" w:eastAsiaTheme="minorEastAsia"/>
          <w:sz w:val="24"/>
          <w:szCs w:val="24"/>
          <w:lang w:val="zh-CN"/>
        </w:rPr>
        <w:t>，可终止应急行动：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①污染事故得到完全控制，污染危险已经消除；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②污染物的泄漏或释放，经监测符合相关规定；</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③事故所造成的危害已被彻底消除，无继发可能；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④现场各专业抢险队伍对事故相关险情已处置完毕，应急行动已无继续的必要；</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⑤采取了必要的防护措施以保护员工</w:t>
      </w:r>
      <w:r>
        <w:rPr>
          <w:rFonts w:hint="eastAsia" w:asciiTheme="minorEastAsia" w:hAnsiTheme="minorEastAsia" w:eastAsiaTheme="minorEastAsia"/>
          <w:sz w:val="24"/>
          <w:szCs w:val="24"/>
          <w:lang w:val="zh-CN"/>
        </w:rPr>
        <w:t>、周边居民（村）民</w:t>
      </w:r>
      <w:r>
        <w:rPr>
          <w:rFonts w:asciiTheme="minorEastAsia" w:hAnsiTheme="minorEastAsia" w:eastAsiaTheme="minorEastAsia"/>
          <w:sz w:val="24"/>
          <w:szCs w:val="24"/>
          <w:lang w:val="zh-CN"/>
        </w:rPr>
        <w:t>免受再次危害，并使事件可能引起的中长期影响趋于合理且尽量低的水平。</w:t>
      </w:r>
    </w:p>
    <w:bookmarkEnd w:id="499"/>
    <w:p>
      <w:pPr>
        <w:pStyle w:val="101"/>
        <w:spacing w:line="460" w:lineRule="exact"/>
        <w:ind w:firstLine="0" w:firstLineChars="0"/>
        <w:rPr>
          <w:b/>
          <w:sz w:val="24"/>
        </w:rPr>
      </w:pPr>
      <w:bookmarkStart w:id="500" w:name="_Toc1269"/>
      <w:bookmarkStart w:id="501" w:name="_Toc22640"/>
      <w:bookmarkStart w:id="502" w:name="_Toc7004"/>
      <w:bookmarkStart w:id="503" w:name="_Toc354654001"/>
      <w:r>
        <w:rPr>
          <w:rFonts w:hint="eastAsia"/>
          <w:b/>
          <w:sz w:val="24"/>
        </w:rPr>
        <w:t>6.6.2应急终止程序</w:t>
      </w:r>
      <w:bookmarkEnd w:id="500"/>
      <w:bookmarkEnd w:id="501"/>
      <w:bookmarkEnd w:id="502"/>
      <w:bookmarkEnd w:id="503"/>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kern w:val="0"/>
          <w:sz w:val="24"/>
        </w:rPr>
        <w:t xml:space="preserve"> </w:t>
      </w:r>
      <w:r>
        <w:rPr>
          <w:rFonts w:hint="eastAsia" w:asciiTheme="minorEastAsia" w:hAnsiTheme="minorEastAsia" w:eastAsiaTheme="minorEastAsia"/>
          <w:sz w:val="24"/>
          <w:szCs w:val="24"/>
          <w:lang w:val="zh-CN"/>
        </w:rPr>
        <w:t>各应急小组负责人向应急指挥部报告事故相关险情已处置完毕，应急救援总指挥汇同应急指挥部其它成员对全厂及周边受到事故影响的区域进行危险性评估，确定符合应急终止条件后，报告应急救援总指挥，由应急救援总指挥宣布公司事故应急救援行动终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应急状态终止后，有关部门（单位）应根据指挥部指示及实际情况，继续进行环境监测、组织设备设施的抢修，尽快恢复正常生产。</w:t>
      </w:r>
    </w:p>
    <w:p>
      <w:pPr>
        <w:pStyle w:val="101"/>
        <w:spacing w:line="460" w:lineRule="exact"/>
        <w:ind w:firstLine="0" w:firstLineChars="0"/>
        <w:rPr>
          <w:b/>
          <w:sz w:val="24"/>
        </w:rPr>
      </w:pPr>
      <w:bookmarkStart w:id="504" w:name="_Toc354654005"/>
      <w:bookmarkStart w:id="505" w:name="_Toc10247"/>
      <w:bookmarkStart w:id="506" w:name="_Toc19038"/>
      <w:bookmarkStart w:id="507" w:name="_Toc10509"/>
      <w:r>
        <w:rPr>
          <w:rFonts w:hint="eastAsia"/>
          <w:b/>
          <w:sz w:val="24"/>
        </w:rPr>
        <w:t>6.6.3应急终止后的行动</w:t>
      </w:r>
      <w:bookmarkEnd w:id="504"/>
      <w:bookmarkEnd w:id="505"/>
      <w:bookmarkEnd w:id="506"/>
      <w:bookmarkEnd w:id="507"/>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应急行动终止后，应做好以下工作：</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（1）及时通知本单位相关部门、周边企业（或事业）单位、社区、社会关注区及人员事件危险已解除；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（2）对现场中暴露的工作人员、应急行动人员和受污染设备进行清洁净化；</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（3）做好事件情况的后续报告；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（4）配合上级部门的调查，向事件调查处理小组提供相关资料；</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（5）事件原因、损失调查与责任认定；</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（6）对应急过程进行评价，对事件应急救援工作做好总结报告，突发环境事件应急预案的修订；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（7）对应急器材及时进行检查、复位、补充</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Start w:id="508" w:name="_Toc183339506"/>
      <w:bookmarkStart w:id="509" w:name="_Toc184808770"/>
      <w:bookmarkStart w:id="510" w:name="_Toc184809557"/>
      <w:bookmarkStart w:id="511" w:name="_Toc185670990"/>
      <w:bookmarkStart w:id="512" w:name="_Toc196018440"/>
      <w:bookmarkStart w:id="513" w:name="_Toc196018549"/>
      <w:bookmarkStart w:id="514" w:name="_Toc196018644"/>
      <w:bookmarkStart w:id="515" w:name="_Toc197251348"/>
      <w:bookmarkStart w:id="516" w:name="_Toc198007343"/>
      <w:bookmarkStart w:id="517" w:name="_Toc198355328"/>
      <w:bookmarkStart w:id="518" w:name="_Toc229283978"/>
      <w:bookmarkStart w:id="519" w:name="_Toc262040284"/>
      <w:bookmarkStart w:id="520" w:name="_Toc262050874"/>
      <w:bookmarkStart w:id="521" w:name="_Toc262051127"/>
      <w:bookmarkStart w:id="522" w:name="_Toc262051548"/>
      <w:bookmarkStart w:id="523" w:name="_Toc304833241"/>
      <w:bookmarkStart w:id="524" w:name="_Toc304962964"/>
      <w:bookmarkStart w:id="525" w:name="_Toc304963608"/>
      <w:bookmarkStart w:id="526" w:name="_Toc304964451"/>
      <w:bookmarkStart w:id="527" w:name="_Toc336326858"/>
      <w:bookmarkStart w:id="528" w:name="_Toc336327136"/>
      <w:bookmarkStart w:id="529" w:name="_Toc387131434"/>
      <w:bookmarkStart w:id="530" w:name="_Toc387131508"/>
      <w:bookmarkStart w:id="531" w:name="_Toc387131765"/>
      <w:bookmarkStart w:id="532" w:name="_Toc183339230"/>
      <w:bookmarkStart w:id="533" w:name="_Toc408274445"/>
      <w:bookmarkStart w:id="534" w:name="_Toc415254551"/>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535" w:name="_Toc11678"/>
      <w:r>
        <w:rPr>
          <w:rFonts w:hint="eastAsia" w:asciiTheme="minorEastAsia" w:hAnsiTheme="minorEastAsia" w:eastAsiaTheme="minorEastAsia"/>
          <w:b/>
          <w:color w:val="000000"/>
          <w:sz w:val="32"/>
        </w:rPr>
        <w:t>7后期处置</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pPr>
        <w:adjustRightInd w:val="0"/>
        <w:snapToGrid w:val="0"/>
        <w:spacing w:line="460" w:lineRule="exact"/>
        <w:outlineLvl w:val="1"/>
        <w:rPr>
          <w:b/>
          <w:color w:val="000000"/>
          <w:sz w:val="28"/>
          <w:szCs w:val="28"/>
        </w:rPr>
      </w:pPr>
      <w:bookmarkStart w:id="536" w:name="_Toc350931210"/>
      <w:bookmarkStart w:id="537" w:name="_Toc387131435"/>
      <w:bookmarkStart w:id="538" w:name="_Toc387131509"/>
      <w:bookmarkStart w:id="539" w:name="_Toc387131766"/>
      <w:bookmarkStart w:id="540" w:name="_Toc415254552"/>
      <w:bookmarkStart w:id="541" w:name="_Toc8608"/>
      <w:bookmarkStart w:id="542" w:name="_Toc229283979"/>
      <w:bookmarkStart w:id="543" w:name="_Toc262040285"/>
      <w:bookmarkStart w:id="544" w:name="_Toc262050875"/>
      <w:bookmarkStart w:id="545" w:name="_Toc262051128"/>
      <w:bookmarkStart w:id="546" w:name="_Toc262051549"/>
      <w:bookmarkStart w:id="547" w:name="_Toc304833242"/>
      <w:bookmarkStart w:id="548" w:name="_Toc304962965"/>
      <w:bookmarkStart w:id="549" w:name="_Toc304963609"/>
      <w:bookmarkStart w:id="550" w:name="_Toc304964452"/>
      <w:bookmarkStart w:id="551" w:name="_Toc336326859"/>
      <w:bookmarkStart w:id="552" w:name="_Toc336327137"/>
      <w:bookmarkStart w:id="553" w:name="_Toc179794563"/>
      <w:bookmarkStart w:id="554" w:name="_Toc196018550"/>
      <w:bookmarkStart w:id="555" w:name="_Toc196018645"/>
      <w:bookmarkStart w:id="556" w:name="_Toc197251349"/>
      <w:bookmarkStart w:id="557" w:name="_Toc198007344"/>
      <w:bookmarkStart w:id="558" w:name="_Toc183339231"/>
      <w:bookmarkStart w:id="559" w:name="_Toc183339507"/>
      <w:bookmarkStart w:id="560" w:name="_Toc184808771"/>
      <w:bookmarkStart w:id="561" w:name="_Toc184809558"/>
      <w:bookmarkStart w:id="562" w:name="_Toc185670991"/>
      <w:bookmarkStart w:id="563" w:name="_Toc196018441"/>
      <w:bookmarkStart w:id="564" w:name="_Toc198355329"/>
      <w:r>
        <w:rPr>
          <w:rFonts w:hint="eastAsia"/>
          <w:b/>
          <w:color w:val="000000"/>
          <w:sz w:val="28"/>
          <w:szCs w:val="28"/>
        </w:rPr>
        <w:t>7.1 污染物处理</w:t>
      </w:r>
      <w:bookmarkEnd w:id="536"/>
      <w:bookmarkEnd w:id="537"/>
      <w:bookmarkEnd w:id="538"/>
      <w:bookmarkEnd w:id="539"/>
      <w:bookmarkEnd w:id="540"/>
      <w:bookmarkEnd w:id="541"/>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本着科学处理、尽可能减少对周围环境污染的原则对因发生事故而产生的污染物进行处理。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对于事故处理过程中产生事故废水，禁止直接排入下水道，应采用事故水收集系统管道送至事故水收集池收集，再集中由污水处理厂按不同物料分批次处理。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对于事故处理过程中产生的含危险废物的消防沙，以及无法再使用的危险废物，应收集在危险废物堆场，再由委托有资质的处理单位处理。</w:t>
      </w:r>
    </w:p>
    <w:p>
      <w:pPr>
        <w:adjustRightInd w:val="0"/>
        <w:snapToGrid w:val="0"/>
        <w:spacing w:line="460" w:lineRule="exact"/>
        <w:outlineLvl w:val="1"/>
        <w:rPr>
          <w:b/>
          <w:color w:val="000000"/>
          <w:sz w:val="28"/>
          <w:szCs w:val="28"/>
        </w:rPr>
      </w:pPr>
      <w:bookmarkStart w:id="565" w:name="_Toc387131436"/>
      <w:bookmarkStart w:id="566" w:name="_Toc415254553"/>
      <w:bookmarkStart w:id="567" w:name="_Toc387131767"/>
      <w:bookmarkStart w:id="568" w:name="_Toc350931212"/>
      <w:bookmarkStart w:id="569" w:name="_Toc387131510"/>
      <w:bookmarkStart w:id="570" w:name="_Toc25500"/>
      <w:r>
        <w:rPr>
          <w:rFonts w:hint="eastAsia"/>
          <w:b/>
          <w:color w:val="000000"/>
          <w:sz w:val="28"/>
          <w:szCs w:val="28"/>
        </w:rPr>
        <w:t>7.2生产秩序恢复</w:t>
      </w:r>
      <w:bookmarkEnd w:id="565"/>
      <w:bookmarkEnd w:id="566"/>
      <w:bookmarkEnd w:id="567"/>
      <w:bookmarkEnd w:id="568"/>
      <w:bookmarkEnd w:id="569"/>
      <w:bookmarkEnd w:id="570"/>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救援终止后，厂抢险救灾组应制定切实可行的现场清理、修复方案，避免出现新的危险。在现场取证工作未结束前，警戒保卫组必须对现场进行保护，不得破坏有关物证资料。综合协调组妥善安置和慰问受害及受影响人员，保证社会稳定，尽快恢复正常秩序。</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厂按制定的现场修复方案，有序进行现场恢复。事故发生部门负责调整岗位人员、调试设备，尽快恢复生产，尽可能的降低事故损失。</w:t>
      </w:r>
    </w:p>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Pr>
        <w:adjustRightInd w:val="0"/>
        <w:snapToGrid w:val="0"/>
        <w:spacing w:line="460" w:lineRule="exact"/>
        <w:outlineLvl w:val="1"/>
        <w:rPr>
          <w:b/>
          <w:color w:val="000000"/>
          <w:sz w:val="28"/>
          <w:szCs w:val="28"/>
        </w:rPr>
      </w:pPr>
      <w:bookmarkStart w:id="571" w:name="_Toc350931213"/>
      <w:bookmarkStart w:id="572" w:name="_Toc387131437"/>
      <w:bookmarkStart w:id="573" w:name="_Toc387131511"/>
      <w:bookmarkStart w:id="574" w:name="_Toc387131768"/>
      <w:bookmarkStart w:id="575" w:name="_Toc415254554"/>
      <w:bookmarkStart w:id="576" w:name="_Toc2641"/>
      <w:r>
        <w:rPr>
          <w:rFonts w:hint="eastAsia"/>
          <w:b/>
          <w:color w:val="000000"/>
          <w:sz w:val="28"/>
          <w:szCs w:val="28"/>
        </w:rPr>
        <w:t>7.3善后</w:t>
      </w:r>
      <w:bookmarkEnd w:id="571"/>
      <w:bookmarkEnd w:id="572"/>
      <w:bookmarkEnd w:id="573"/>
      <w:bookmarkEnd w:id="574"/>
      <w:r>
        <w:rPr>
          <w:rFonts w:hint="eastAsia"/>
          <w:b/>
          <w:color w:val="000000"/>
          <w:sz w:val="28"/>
          <w:szCs w:val="28"/>
        </w:rPr>
        <w:t>处置（医疗救治、人员安置、善后赔偿）</w:t>
      </w:r>
      <w:bookmarkEnd w:id="575"/>
      <w:bookmarkEnd w:id="576"/>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生产安全事故发生后，公司财务部、综合部应及时与保险机构联系，及时开展受灾人员、财产保险理赔工作。发生人员伤亡的，成立善后工作组，及时对伤亡人员及其家属进行安抚，商谈救治期间的费用问题；对受灾人员应妥善安置，及时解决受灾人员生活所需；安全环保部准备工伤认定材料，按照工伤上报程序进行上报。</w:t>
      </w:r>
    </w:p>
    <w:p>
      <w:pPr>
        <w:adjustRightInd w:val="0"/>
        <w:snapToGrid w:val="0"/>
        <w:spacing w:line="460" w:lineRule="exact"/>
        <w:outlineLvl w:val="1"/>
        <w:rPr>
          <w:b/>
          <w:color w:val="000000"/>
          <w:sz w:val="28"/>
          <w:szCs w:val="28"/>
        </w:rPr>
      </w:pPr>
      <w:bookmarkStart w:id="577" w:name="_Toc262051551"/>
      <w:bookmarkStart w:id="578" w:name="_Toc304833244"/>
      <w:bookmarkStart w:id="579" w:name="_Toc304962967"/>
      <w:bookmarkStart w:id="580" w:name="_Toc304963611"/>
      <w:bookmarkStart w:id="581" w:name="_Toc304964454"/>
      <w:bookmarkStart w:id="582" w:name="_Toc336326861"/>
      <w:bookmarkStart w:id="583" w:name="_Toc336327139"/>
      <w:bookmarkStart w:id="584" w:name="_Toc184808773"/>
      <w:bookmarkStart w:id="585" w:name="_Toc184809560"/>
      <w:bookmarkStart w:id="586" w:name="_Toc185670993"/>
      <w:bookmarkStart w:id="587" w:name="_Toc196018443"/>
      <w:bookmarkStart w:id="588" w:name="_Toc196018552"/>
      <w:bookmarkStart w:id="589" w:name="_Toc196018647"/>
      <w:bookmarkStart w:id="590" w:name="_Toc197251351"/>
      <w:bookmarkStart w:id="591" w:name="_Toc198007346"/>
      <w:bookmarkStart w:id="592" w:name="_Toc198355331"/>
      <w:bookmarkStart w:id="593" w:name="_Toc229283981"/>
      <w:bookmarkStart w:id="594" w:name="_Toc262040287"/>
      <w:bookmarkStart w:id="595" w:name="_Toc262050877"/>
      <w:bookmarkStart w:id="596" w:name="_Toc262051130"/>
      <w:bookmarkStart w:id="597" w:name="_Toc179794565"/>
      <w:bookmarkStart w:id="598" w:name="_Toc183339233"/>
      <w:bookmarkStart w:id="599" w:name="_Toc183339509"/>
      <w:bookmarkStart w:id="600" w:name="_Toc387131438"/>
      <w:bookmarkStart w:id="601" w:name="_Toc387131512"/>
      <w:bookmarkStart w:id="602" w:name="_Toc387131769"/>
      <w:bookmarkStart w:id="603" w:name="_Toc415254555"/>
      <w:bookmarkStart w:id="604" w:name="_Toc15395"/>
      <w:r>
        <w:rPr>
          <w:rFonts w:hint="eastAsia"/>
          <w:b/>
          <w:color w:val="000000"/>
          <w:sz w:val="28"/>
          <w:szCs w:val="28"/>
        </w:rPr>
        <w:t>7.4</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Pr>
          <w:rFonts w:hint="eastAsia"/>
          <w:b/>
          <w:color w:val="000000"/>
          <w:sz w:val="28"/>
          <w:szCs w:val="28"/>
        </w:rPr>
        <w:t>应急救援能力评估</w:t>
      </w:r>
      <w:bookmarkEnd w:id="600"/>
      <w:bookmarkEnd w:id="601"/>
      <w:bookmarkEnd w:id="602"/>
      <w:bookmarkEnd w:id="603"/>
      <w:bookmarkEnd w:id="604"/>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应急指挥部所有成员对事故进行评估，通过评估，总结经验、吸取教训，达到有效地防范事故或将事故危害减小到最低程度的目的。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 生产安全事故善后处置工作结束后，安全环保部应分析总结应急救援经验教训，对抢险过程和应急救援能力进行评估，提出改进应急救援工作的建议，及时修订完善应急救援预案。</w:t>
      </w:r>
      <w:bookmarkStart w:id="605" w:name="_Toc304962968"/>
      <w:bookmarkStart w:id="606" w:name="_Toc304963612"/>
      <w:bookmarkStart w:id="607" w:name="_Toc304964455"/>
      <w:bookmarkStart w:id="608" w:name="_Toc336326862"/>
      <w:bookmarkStart w:id="609" w:name="_Toc336327140"/>
      <w:bookmarkStart w:id="610" w:name="_Toc135709128"/>
      <w:bookmarkStart w:id="611" w:name="_Toc183339234"/>
      <w:bookmarkStart w:id="612" w:name="_Toc183339510"/>
      <w:bookmarkStart w:id="613" w:name="_Toc184808774"/>
      <w:bookmarkStart w:id="614" w:name="_Toc184809561"/>
      <w:bookmarkStart w:id="615" w:name="_Toc185670994"/>
      <w:bookmarkStart w:id="616" w:name="_Toc196018444"/>
      <w:bookmarkStart w:id="617" w:name="_Toc196018553"/>
      <w:bookmarkStart w:id="618" w:name="_Toc196018648"/>
      <w:bookmarkStart w:id="619" w:name="_Toc197251352"/>
      <w:bookmarkStart w:id="620" w:name="_Toc198007347"/>
      <w:bookmarkStart w:id="621" w:name="_Toc198355332"/>
      <w:bookmarkStart w:id="622" w:name="_Toc229283982"/>
      <w:bookmarkStart w:id="623" w:name="_Toc262040288"/>
      <w:bookmarkStart w:id="624" w:name="_Toc262050878"/>
      <w:bookmarkStart w:id="625" w:name="_Toc262051131"/>
      <w:bookmarkStart w:id="626" w:name="_Toc262051552"/>
      <w:bookmarkStart w:id="627" w:name="_Toc304833245"/>
      <w:bookmarkStart w:id="628" w:name="_Toc387131439"/>
      <w:bookmarkStart w:id="629" w:name="_Toc387131513"/>
      <w:bookmarkStart w:id="630" w:name="_Toc387131770"/>
      <w:bookmarkStart w:id="631" w:name="_Toc415254556"/>
    </w:p>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632" w:name="_Toc12555"/>
      <w:r>
        <w:rPr>
          <w:rFonts w:hint="eastAsia" w:asciiTheme="minorEastAsia" w:hAnsiTheme="minorEastAsia" w:eastAsiaTheme="minorEastAsia"/>
          <w:b/>
          <w:color w:val="000000"/>
          <w:sz w:val="32"/>
        </w:rPr>
        <w:t>8保障措施</w:t>
      </w:r>
      <w:bookmarkEnd w:id="628"/>
      <w:bookmarkEnd w:id="629"/>
      <w:bookmarkEnd w:id="630"/>
      <w:bookmarkEnd w:id="631"/>
      <w:bookmarkEnd w:id="632"/>
    </w:p>
    <w:p>
      <w:pPr>
        <w:adjustRightInd w:val="0"/>
        <w:snapToGrid w:val="0"/>
        <w:spacing w:line="460" w:lineRule="exact"/>
        <w:outlineLvl w:val="1"/>
        <w:rPr>
          <w:b/>
          <w:color w:val="000000"/>
          <w:sz w:val="24"/>
          <w:szCs w:val="24"/>
        </w:rPr>
      </w:pPr>
      <w:bookmarkStart w:id="633" w:name="_Toc135709129"/>
      <w:bookmarkStart w:id="634" w:name="_Toc183339235"/>
      <w:bookmarkStart w:id="635" w:name="_Toc183339511"/>
      <w:bookmarkStart w:id="636" w:name="_Toc304964456"/>
      <w:bookmarkStart w:id="637" w:name="_Toc336326863"/>
      <w:bookmarkStart w:id="638" w:name="_Toc336327141"/>
      <w:bookmarkStart w:id="639" w:name="_Toc387131440"/>
      <w:bookmarkStart w:id="640" w:name="_Toc387131514"/>
      <w:bookmarkStart w:id="641" w:name="_Toc387131771"/>
      <w:bookmarkStart w:id="642" w:name="_Toc415254557"/>
      <w:bookmarkStart w:id="643" w:name="_Toc184808775"/>
      <w:bookmarkStart w:id="644" w:name="_Toc184809562"/>
      <w:bookmarkStart w:id="645" w:name="_Toc185670995"/>
      <w:bookmarkStart w:id="646" w:name="_Toc196018445"/>
      <w:bookmarkStart w:id="647" w:name="_Toc196018554"/>
      <w:bookmarkStart w:id="648" w:name="_Toc196018649"/>
      <w:bookmarkStart w:id="649" w:name="_Toc197251353"/>
      <w:bookmarkStart w:id="650" w:name="_Toc198007348"/>
      <w:bookmarkStart w:id="651" w:name="_Toc198355333"/>
      <w:bookmarkStart w:id="652" w:name="_Toc229283983"/>
      <w:bookmarkStart w:id="653" w:name="_Toc262040289"/>
      <w:bookmarkStart w:id="654" w:name="_Toc262050879"/>
      <w:bookmarkStart w:id="655" w:name="_Toc262051132"/>
      <w:bookmarkStart w:id="656" w:name="_Toc262051553"/>
      <w:bookmarkStart w:id="657" w:name="_Toc304833246"/>
      <w:bookmarkStart w:id="658" w:name="_Toc304962969"/>
      <w:bookmarkStart w:id="659" w:name="_Toc304963613"/>
      <w:bookmarkStart w:id="660" w:name="_Toc32430"/>
      <w:r>
        <w:rPr>
          <w:rFonts w:hint="eastAsia"/>
          <w:b/>
          <w:color w:val="000000"/>
          <w:sz w:val="24"/>
          <w:szCs w:val="24"/>
        </w:rPr>
        <w:t>8.1</w:t>
      </w:r>
      <w:bookmarkEnd w:id="633"/>
      <w:bookmarkEnd w:id="634"/>
      <w:bookmarkEnd w:id="635"/>
      <w:r>
        <w:rPr>
          <w:rFonts w:hint="eastAsia"/>
          <w:b/>
          <w:color w:val="000000"/>
          <w:sz w:val="24"/>
          <w:szCs w:val="24"/>
        </w:rPr>
        <w:t>通信与信息保障</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厂建立有有线电话、无线电话和对讲机等多渠道的应急通信系统，通讯方式包括厂区行政电话系统、生产调度电话系统、无线对讲机、火灾自动报警及消防联动系统等。</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 24小时应急值守电话是：</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李渡大耍坝污水处理厂应急值班电话：（023-72219968) 应急指挥部向全公司发布救援信号，采用移动通讯的方式。公司已经根据应急需要补偿部分员工的通讯费用，并要求他们的手机24小时处于开机状态。</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应急救援通讯联络方式见附件。</w:t>
      </w:r>
    </w:p>
    <w:p>
      <w:pPr>
        <w:adjustRightInd w:val="0"/>
        <w:snapToGrid w:val="0"/>
        <w:spacing w:line="460" w:lineRule="exact"/>
        <w:outlineLvl w:val="1"/>
        <w:rPr>
          <w:b/>
          <w:color w:val="000000"/>
          <w:sz w:val="28"/>
          <w:szCs w:val="28"/>
        </w:rPr>
      </w:pPr>
      <w:bookmarkStart w:id="661" w:name="_Toc184808776"/>
      <w:bookmarkStart w:id="662" w:name="_Toc184809563"/>
      <w:bookmarkStart w:id="663" w:name="_Toc185670996"/>
      <w:bookmarkStart w:id="664" w:name="_Toc196018446"/>
      <w:bookmarkStart w:id="665" w:name="_Toc196018555"/>
      <w:bookmarkStart w:id="666" w:name="_Toc196018650"/>
      <w:bookmarkStart w:id="667" w:name="_Toc197251354"/>
      <w:bookmarkStart w:id="668" w:name="_Toc198007349"/>
      <w:bookmarkStart w:id="669" w:name="_Toc198355334"/>
      <w:bookmarkStart w:id="670" w:name="_Toc229283984"/>
      <w:bookmarkStart w:id="671" w:name="_Toc262040290"/>
      <w:bookmarkStart w:id="672" w:name="_Toc262050880"/>
      <w:bookmarkStart w:id="673" w:name="_Toc262051133"/>
      <w:bookmarkStart w:id="674" w:name="_Toc262051554"/>
      <w:bookmarkStart w:id="675" w:name="_Toc304833247"/>
      <w:bookmarkStart w:id="676" w:name="_Toc304962970"/>
      <w:bookmarkStart w:id="677" w:name="_Toc304963614"/>
      <w:bookmarkStart w:id="678" w:name="_Toc304964457"/>
      <w:bookmarkStart w:id="679" w:name="_Toc336326864"/>
      <w:bookmarkStart w:id="680" w:name="_Toc336327142"/>
      <w:bookmarkStart w:id="681" w:name="_Toc387131441"/>
      <w:bookmarkStart w:id="682" w:name="_Toc387131515"/>
      <w:bookmarkStart w:id="683" w:name="_Toc387131772"/>
      <w:bookmarkStart w:id="684" w:name="_Toc415254558"/>
      <w:bookmarkStart w:id="685" w:name="_Toc28257"/>
      <w:r>
        <w:rPr>
          <w:rFonts w:hint="eastAsia"/>
          <w:b/>
          <w:color w:val="000000"/>
          <w:sz w:val="28"/>
          <w:szCs w:val="28"/>
        </w:rPr>
        <w:t>8.2应急队伍保障</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pPr>
        <w:adjustRightInd w:val="0"/>
        <w:snapToGrid w:val="0"/>
        <w:spacing w:line="460" w:lineRule="exact"/>
        <w:ind w:firstLine="486" w:firstLineChars="200"/>
        <w:rPr>
          <w:rFonts w:asciiTheme="minorEastAsia" w:hAnsiTheme="minorEastAsia" w:eastAsiaTheme="minorEastAsia"/>
          <w:sz w:val="24"/>
          <w:szCs w:val="24"/>
          <w:lang w:val="zh-CN"/>
        </w:rPr>
      </w:pPr>
      <w:bookmarkStart w:id="686" w:name="_Toc179794569"/>
      <w:bookmarkStart w:id="687" w:name="_Toc184808777"/>
      <w:bookmarkStart w:id="688" w:name="_Toc184809564"/>
      <w:bookmarkStart w:id="689" w:name="_Toc185670997"/>
      <w:bookmarkStart w:id="690" w:name="_Toc196018447"/>
      <w:bookmarkStart w:id="691" w:name="_Toc196018556"/>
      <w:bookmarkStart w:id="692" w:name="_Toc196018651"/>
      <w:bookmarkStart w:id="693" w:name="_Toc197251355"/>
      <w:bookmarkStart w:id="694" w:name="_Toc198007350"/>
      <w:bookmarkStart w:id="695" w:name="_Toc198355335"/>
      <w:bookmarkStart w:id="696" w:name="_Toc229283985"/>
      <w:bookmarkStart w:id="697" w:name="_Toc262040291"/>
      <w:bookmarkStart w:id="698" w:name="_Toc262050881"/>
      <w:bookmarkStart w:id="699" w:name="_Toc262051134"/>
      <w:bookmarkStart w:id="700" w:name="_Toc262051555"/>
      <w:r>
        <w:rPr>
          <w:rFonts w:hint="eastAsia" w:asciiTheme="minorEastAsia" w:hAnsiTheme="minorEastAsia" w:eastAsiaTheme="minorEastAsia"/>
          <w:sz w:val="24"/>
          <w:szCs w:val="24"/>
          <w:lang w:val="zh-CN"/>
        </w:rPr>
        <w:t>1) 厂组建应急救援抢险队伍，包括现抢险救灾组、医疗救护组、警戒保卫组、环境监测组、综合协调组等。公司不断加强对应急救援队伍的专业培训和应急演练，以提高本公司应急救援队伍的素质。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 李渡大耍坝污水处理厂位于涪陵新城区双溪一组，园区内有专业化工救援队伍：重庆市涪陵区武警李渡新区消防中队，其能力可满足公司应急需要，可以作为公司应急资源保障。厂应急救援队伍组成见附件。</w:t>
      </w:r>
    </w:p>
    <w:p>
      <w:pPr>
        <w:adjustRightInd w:val="0"/>
        <w:snapToGrid w:val="0"/>
        <w:spacing w:line="460" w:lineRule="exact"/>
        <w:outlineLvl w:val="1"/>
        <w:rPr>
          <w:b/>
          <w:color w:val="000000"/>
          <w:sz w:val="28"/>
          <w:szCs w:val="28"/>
        </w:rPr>
      </w:pPr>
      <w:bookmarkStart w:id="701" w:name="_Toc304833248"/>
      <w:bookmarkStart w:id="702" w:name="_Toc304962971"/>
      <w:bookmarkStart w:id="703" w:name="_Toc304963615"/>
      <w:bookmarkStart w:id="704" w:name="_Toc304964458"/>
      <w:bookmarkStart w:id="705" w:name="_Toc336326865"/>
      <w:bookmarkStart w:id="706" w:name="_Toc336327143"/>
      <w:bookmarkStart w:id="707" w:name="_Toc387131442"/>
      <w:bookmarkStart w:id="708" w:name="_Toc387131516"/>
      <w:bookmarkStart w:id="709" w:name="_Toc387131773"/>
      <w:bookmarkStart w:id="710" w:name="_Toc415254559"/>
      <w:bookmarkStart w:id="711" w:name="_Toc15456"/>
      <w:r>
        <w:rPr>
          <w:rFonts w:hint="eastAsia"/>
          <w:b/>
          <w:color w:val="000000"/>
          <w:sz w:val="28"/>
          <w:szCs w:val="28"/>
        </w:rPr>
        <w:t>8.3物资装备保障</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厂自备应急救援物资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厂生产区、储罐区设有完善的消防水灭火系统、储罐冷却水系统和有毒气体浓度检测报警系统等，以及交通运输车、各型灭火器、消火栓、空气呼吸器、全面罩防毒面具、防护服、护目镜、防护手套，以及应急照明设施等。企业应定期检查应急物质，对超过保质期限的应急物质定期更换。详见附件。该物资由李渡厂负责管理，其联系方式是18983320191或023-72219968)。</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 消防设施布置图、现场平面布置图、工艺流程图、周围地形图、气象资料存放在公司资料室由安全生产部保存管理，其联系方式：0232-72881721或18623512227。</w:t>
      </w:r>
    </w:p>
    <w:p>
      <w:pPr>
        <w:adjustRightInd w:val="0"/>
        <w:snapToGrid w:val="0"/>
        <w:spacing w:line="460" w:lineRule="exact"/>
        <w:outlineLvl w:val="1"/>
        <w:rPr>
          <w:b/>
          <w:color w:val="000000"/>
          <w:sz w:val="28"/>
          <w:szCs w:val="28"/>
        </w:rPr>
      </w:pPr>
      <w:bookmarkStart w:id="712" w:name="_Toc184808781"/>
      <w:bookmarkStart w:id="713" w:name="_Toc184809568"/>
      <w:bookmarkStart w:id="714" w:name="_Toc185671001"/>
      <w:bookmarkStart w:id="715" w:name="_Toc196018451"/>
      <w:bookmarkStart w:id="716" w:name="_Toc196018560"/>
      <w:bookmarkStart w:id="717" w:name="_Toc196018655"/>
      <w:bookmarkStart w:id="718" w:name="_Toc197251359"/>
      <w:bookmarkStart w:id="719" w:name="_Toc198007354"/>
      <w:bookmarkStart w:id="720" w:name="_Toc198355339"/>
      <w:bookmarkStart w:id="721" w:name="_Toc229283989"/>
      <w:bookmarkStart w:id="722" w:name="_Toc262040295"/>
      <w:bookmarkStart w:id="723" w:name="_Toc262050885"/>
      <w:bookmarkStart w:id="724" w:name="_Toc262051138"/>
      <w:bookmarkStart w:id="725" w:name="_Toc262051559"/>
      <w:bookmarkStart w:id="726" w:name="_Toc304833249"/>
      <w:bookmarkStart w:id="727" w:name="_Toc304962972"/>
      <w:bookmarkStart w:id="728" w:name="_Toc304963616"/>
      <w:bookmarkStart w:id="729" w:name="_Toc304964459"/>
      <w:bookmarkStart w:id="730" w:name="_Toc336326866"/>
      <w:bookmarkStart w:id="731" w:name="_Toc336327144"/>
      <w:bookmarkStart w:id="732" w:name="_Toc387131443"/>
      <w:bookmarkStart w:id="733" w:name="_Toc387131517"/>
      <w:bookmarkStart w:id="734" w:name="_Toc387131774"/>
      <w:bookmarkStart w:id="735" w:name="_Toc408274454"/>
      <w:bookmarkStart w:id="736" w:name="_Toc415254560"/>
      <w:bookmarkStart w:id="737" w:name="_Toc17993"/>
      <w:r>
        <w:rPr>
          <w:rFonts w:hint="eastAsia"/>
          <w:b/>
          <w:color w:val="000000"/>
          <w:sz w:val="28"/>
          <w:szCs w:val="28"/>
        </w:rPr>
        <w:t>8.4</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rPr>
          <w:rFonts w:hint="eastAsia"/>
          <w:b/>
          <w:color w:val="000000"/>
          <w:sz w:val="28"/>
          <w:szCs w:val="28"/>
        </w:rPr>
        <w:t>其他保障</w:t>
      </w:r>
      <w:bookmarkEnd w:id="732"/>
      <w:bookmarkEnd w:id="733"/>
      <w:bookmarkEnd w:id="734"/>
      <w:bookmarkEnd w:id="735"/>
      <w:bookmarkEnd w:id="736"/>
      <w:bookmarkEnd w:id="737"/>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经费保障：公司安全生产部对应急工作的日常费用作出预算，经总经理审定后列入年度预算，由公司财务予以保证；应急资金由公司安全费用中列支。</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医疗保障：园区内有李渡社区卫生院可以作为公司医疗保障，此外，距离公司40min车程的涪陵中心医院等也可作为公司医疗保障。</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交通保障：办公室负责交通运输保障。应急状态时，保证车辆及驾驶人员及时将应急救援人员、装备和物资送达抢险现场。</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技术保障：公司每年安排特种作业和应该持证上岗的人员进行外出培训学习的机会，保证知识的更新，同时聘请经验丰富的专家和学者来公司培训指导，进一步保证安全生产。</w:t>
      </w:r>
      <w:bookmarkStart w:id="738" w:name="_Toc135709135"/>
      <w:bookmarkStart w:id="739" w:name="_Toc183339237"/>
      <w:bookmarkStart w:id="740" w:name="_Toc183339513"/>
      <w:bookmarkStart w:id="741" w:name="_Toc184808783"/>
      <w:bookmarkStart w:id="742" w:name="_Toc184809570"/>
      <w:bookmarkStart w:id="743" w:name="_Toc185671003"/>
      <w:bookmarkStart w:id="744" w:name="_Toc196018453"/>
      <w:bookmarkStart w:id="745" w:name="_Toc196018562"/>
      <w:bookmarkStart w:id="746" w:name="_Toc196018657"/>
      <w:bookmarkStart w:id="747" w:name="_Toc197251361"/>
      <w:bookmarkStart w:id="748" w:name="_Toc198007356"/>
      <w:bookmarkStart w:id="749" w:name="_Toc198355341"/>
      <w:bookmarkStart w:id="750" w:name="_Toc229283991"/>
      <w:bookmarkStart w:id="751" w:name="_Toc262040297"/>
      <w:bookmarkStart w:id="752" w:name="_Toc262050887"/>
      <w:bookmarkStart w:id="753" w:name="_Toc262051140"/>
      <w:bookmarkStart w:id="754" w:name="_Toc262051561"/>
      <w:bookmarkStart w:id="755" w:name="_Toc304833251"/>
      <w:bookmarkStart w:id="756" w:name="_Toc304962974"/>
      <w:bookmarkStart w:id="757" w:name="_Toc304963618"/>
      <w:bookmarkStart w:id="758" w:name="_Toc304964461"/>
      <w:bookmarkStart w:id="759" w:name="_Toc336326868"/>
      <w:bookmarkStart w:id="760" w:name="_Toc336327146"/>
      <w:bookmarkStart w:id="761" w:name="_Toc387131444"/>
      <w:bookmarkStart w:id="762" w:name="_Toc387131518"/>
      <w:bookmarkStart w:id="763" w:name="_Toc387131775"/>
      <w:bookmarkStart w:id="764" w:name="_Toc408274455"/>
      <w:bookmarkStart w:id="765" w:name="_Toc415254561"/>
    </w:p>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766" w:name="_Toc11087"/>
      <w:r>
        <w:rPr>
          <w:rFonts w:hint="eastAsia" w:asciiTheme="minorEastAsia" w:hAnsiTheme="minorEastAsia" w:eastAsiaTheme="minorEastAsia"/>
          <w:b/>
          <w:color w:val="000000"/>
          <w:sz w:val="32"/>
        </w:rPr>
        <w:t>9</w:t>
      </w:r>
      <w:r>
        <w:rPr>
          <w:rFonts w:asciiTheme="minorEastAsia" w:hAnsiTheme="minorEastAsia" w:eastAsiaTheme="minorEastAsia"/>
          <w:b/>
          <w:color w:val="000000"/>
          <w:sz w:val="32"/>
        </w:rPr>
        <w:t>奖励与责任追究</w:t>
      </w:r>
      <w:bookmarkEnd w:id="766"/>
      <w:bookmarkStart w:id="767" w:name="_Toc317862375"/>
    </w:p>
    <w:p>
      <w:pPr>
        <w:adjustRightInd w:val="0"/>
        <w:snapToGrid w:val="0"/>
        <w:spacing w:line="460" w:lineRule="exact"/>
        <w:outlineLvl w:val="1"/>
        <w:rPr>
          <w:b/>
          <w:color w:val="000000"/>
          <w:sz w:val="28"/>
          <w:szCs w:val="28"/>
        </w:rPr>
      </w:pPr>
      <w:bookmarkStart w:id="768" w:name="_Toc6312"/>
      <w:bookmarkStart w:id="769" w:name="_Toc458674315"/>
      <w:r>
        <w:rPr>
          <w:rFonts w:hint="eastAsia"/>
          <w:b/>
          <w:color w:val="000000"/>
          <w:sz w:val="28"/>
          <w:szCs w:val="28"/>
        </w:rPr>
        <w:t>9</w:t>
      </w:r>
      <w:r>
        <w:rPr>
          <w:b/>
          <w:color w:val="000000"/>
          <w:sz w:val="28"/>
          <w:szCs w:val="28"/>
        </w:rPr>
        <w:t>.1奖励</w:t>
      </w:r>
      <w:bookmarkEnd w:id="767"/>
      <w:bookmarkEnd w:id="768"/>
      <w:bookmarkEnd w:id="769"/>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在突发环境事件中，有下列事件之一的单位和个人，依据有关规定给予奖励。</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（1）出色完成突发环境事件应急处置任务，成绩显著的；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（2）对防止或挽救突发环境事件有功，使国家、集体和人民群众的生命财产免受或者减少损失的；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（3）对事件应急准备与相应提出重大建议，实施效果显著的；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（4）有其他特殊贡献的。</w:t>
      </w:r>
    </w:p>
    <w:p>
      <w:pPr>
        <w:adjustRightInd w:val="0"/>
        <w:snapToGrid w:val="0"/>
        <w:spacing w:line="460" w:lineRule="exact"/>
        <w:outlineLvl w:val="1"/>
        <w:rPr>
          <w:b/>
          <w:color w:val="000000"/>
          <w:sz w:val="28"/>
          <w:szCs w:val="28"/>
        </w:rPr>
      </w:pPr>
      <w:bookmarkStart w:id="770" w:name="_Toc458674316"/>
      <w:bookmarkStart w:id="771" w:name="_Toc317862376"/>
      <w:bookmarkStart w:id="772" w:name="_Toc19787"/>
      <w:r>
        <w:rPr>
          <w:rFonts w:hint="eastAsia"/>
          <w:b/>
          <w:color w:val="000000"/>
          <w:sz w:val="28"/>
          <w:szCs w:val="28"/>
        </w:rPr>
        <w:t>9</w:t>
      </w:r>
      <w:r>
        <w:rPr>
          <w:b/>
          <w:color w:val="000000"/>
          <w:sz w:val="28"/>
          <w:szCs w:val="28"/>
        </w:rPr>
        <w:t>.2责任追究</w:t>
      </w:r>
      <w:bookmarkEnd w:id="770"/>
      <w:bookmarkEnd w:id="771"/>
      <w:bookmarkEnd w:id="772"/>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在突发环境事件应急工作中，有下列事迹之一的，按照有关法律和规定，对有关责任人员视情节和危害后果，由其所在单位或者上级机关给予行政处分；其中，国家公务员和国家行政机关任命的其他人员，分别由任免机关或者监察机关给予行政处分；构成犯罪的，由司法机关依法追究刑事责任。</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（1）不认真履行环保法律、法规而引发环境事件的；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（2）不按照规定制定突发环境事件应急预案，拒绝承担突发环境事件应急准备义务的；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（3）不按照规定报告、通报突发事件真实情况的；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（4）拒不执行突发环境事件应急预案，不服从命令和指挥，或者在事件应急相应时临阵脱逃的；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（5）盗窃、贪污、挪用环境事件应急工作资金、装备和物资的；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（6）阻碍环境事件应急工作人员依法执行职务或者进行破坏活动的；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（7）散步谣言，扰乱社会秩序的；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（8）有其他环境事件应急工作造成损害的。</w:t>
      </w: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773" w:name="_Toc909"/>
      <w:r>
        <w:rPr>
          <w:rFonts w:hint="eastAsia" w:asciiTheme="minorEastAsia" w:hAnsiTheme="minorEastAsia" w:eastAsiaTheme="minorEastAsia"/>
          <w:b/>
          <w:color w:val="000000"/>
          <w:sz w:val="32"/>
        </w:rPr>
        <w:t>10应急预案管理</w:t>
      </w:r>
      <w:bookmarkEnd w:id="761"/>
      <w:bookmarkEnd w:id="762"/>
      <w:bookmarkEnd w:id="763"/>
      <w:bookmarkEnd w:id="764"/>
      <w:bookmarkEnd w:id="765"/>
      <w:bookmarkEnd w:id="773"/>
    </w:p>
    <w:p>
      <w:pPr>
        <w:adjustRightInd w:val="0"/>
        <w:snapToGrid w:val="0"/>
        <w:spacing w:line="460" w:lineRule="exact"/>
        <w:outlineLvl w:val="1"/>
        <w:rPr>
          <w:b/>
          <w:color w:val="000000"/>
          <w:sz w:val="28"/>
          <w:szCs w:val="28"/>
        </w:rPr>
      </w:pPr>
      <w:bookmarkStart w:id="774" w:name="_Toc135709136"/>
      <w:bookmarkStart w:id="775" w:name="_Toc183339238"/>
      <w:bookmarkStart w:id="776" w:name="_Toc183339514"/>
      <w:bookmarkStart w:id="777" w:name="_Toc184808784"/>
      <w:bookmarkStart w:id="778" w:name="_Toc184809571"/>
      <w:bookmarkStart w:id="779" w:name="_Toc185671004"/>
      <w:bookmarkStart w:id="780" w:name="_Toc196018454"/>
      <w:bookmarkStart w:id="781" w:name="_Toc196018563"/>
      <w:bookmarkStart w:id="782" w:name="_Toc196018658"/>
      <w:bookmarkStart w:id="783" w:name="_Toc197251362"/>
      <w:bookmarkStart w:id="784" w:name="_Toc198007357"/>
      <w:bookmarkStart w:id="785" w:name="_Toc198355342"/>
      <w:bookmarkStart w:id="786" w:name="_Toc229283992"/>
      <w:bookmarkStart w:id="787" w:name="_Toc262040298"/>
      <w:bookmarkStart w:id="788" w:name="_Toc262050888"/>
      <w:bookmarkStart w:id="789" w:name="_Toc262051141"/>
      <w:bookmarkStart w:id="790" w:name="_Toc262051562"/>
      <w:bookmarkStart w:id="791" w:name="_Toc304833252"/>
      <w:bookmarkStart w:id="792" w:name="_Toc304962975"/>
      <w:bookmarkStart w:id="793" w:name="_Toc304963619"/>
      <w:bookmarkStart w:id="794" w:name="_Toc304964462"/>
      <w:bookmarkStart w:id="795" w:name="_Toc336326869"/>
      <w:bookmarkStart w:id="796" w:name="_Toc336327147"/>
      <w:bookmarkStart w:id="797" w:name="_Toc387131445"/>
      <w:bookmarkStart w:id="798" w:name="_Toc387131519"/>
      <w:bookmarkStart w:id="799" w:name="_Toc387131776"/>
      <w:bookmarkStart w:id="800" w:name="_Toc408274456"/>
      <w:bookmarkStart w:id="801" w:name="_Toc415254562"/>
      <w:bookmarkStart w:id="802" w:name="_Toc17849"/>
      <w:r>
        <w:rPr>
          <w:rFonts w:hint="eastAsia"/>
          <w:b/>
          <w:color w:val="000000"/>
          <w:sz w:val="28"/>
          <w:szCs w:val="28"/>
        </w:rPr>
        <w:t>10.1应急预案培训</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综合部会同相关部门，通过各种宣传手段，对公司员工和企业周边公众广泛宣传事故的危险危害及应急常识。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公司安全生产部每年至少组织一次公司级综合性应急知识培训；生产部、各部门定期对各部门所属员工进行应急培训；各班组每月组织班员进行针对性的现场处置知识培训。</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 xml:space="preserve">对本公司员工加强应对突发事故的能力培训，具体内容包括：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1）培训员工熟悉并掌握用身边的工具，以最快最有效地报警或发出事故警报；</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2）培训员工突发事故时怎样用现有条件进行自我保护，并相互实施救助；</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3）为避免员工事故突发时因惊慌失措而发生不必要的伤亡，培训员工怎么有序地按事先规定的路线疏散。对人员疏散的培训主要在应急演练中进行；</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4）培训员工熟悉消防等应急救援器具的使用，掌握事故初发时应急处置基本技术，使其在事故发生时不会手足无措，为控制事态赢得时机。</w:t>
      </w:r>
    </w:p>
    <w:p>
      <w:pPr>
        <w:adjustRightInd w:val="0"/>
        <w:snapToGrid w:val="0"/>
        <w:spacing w:line="460" w:lineRule="exact"/>
        <w:outlineLvl w:val="1"/>
        <w:rPr>
          <w:b/>
          <w:color w:val="000000"/>
          <w:sz w:val="28"/>
          <w:szCs w:val="28"/>
        </w:rPr>
      </w:pPr>
      <w:bookmarkStart w:id="803" w:name="_Toc135709137"/>
      <w:bookmarkStart w:id="804" w:name="_Toc183339239"/>
      <w:bookmarkStart w:id="805" w:name="_Toc183339515"/>
      <w:bookmarkStart w:id="806" w:name="_Toc184808785"/>
      <w:bookmarkStart w:id="807" w:name="_Toc184809572"/>
      <w:bookmarkStart w:id="808" w:name="_Toc185671005"/>
      <w:bookmarkStart w:id="809" w:name="_Toc196018455"/>
      <w:bookmarkStart w:id="810" w:name="_Toc196018564"/>
      <w:bookmarkStart w:id="811" w:name="_Toc196018659"/>
      <w:bookmarkStart w:id="812" w:name="_Toc197251363"/>
      <w:bookmarkStart w:id="813" w:name="_Toc198007358"/>
      <w:bookmarkStart w:id="814" w:name="_Toc198355343"/>
      <w:bookmarkStart w:id="815" w:name="_Toc229283993"/>
      <w:bookmarkStart w:id="816" w:name="_Toc262040299"/>
      <w:bookmarkStart w:id="817" w:name="_Toc262050889"/>
      <w:bookmarkStart w:id="818" w:name="_Toc262051142"/>
      <w:bookmarkStart w:id="819" w:name="_Toc262051563"/>
      <w:bookmarkStart w:id="820" w:name="_Toc304833253"/>
      <w:bookmarkStart w:id="821" w:name="_Toc304962976"/>
      <w:bookmarkStart w:id="822" w:name="_Toc304963620"/>
      <w:bookmarkStart w:id="823" w:name="_Toc304964463"/>
      <w:bookmarkStart w:id="824" w:name="_Toc336326870"/>
      <w:bookmarkStart w:id="825" w:name="_Toc336327148"/>
      <w:bookmarkStart w:id="826" w:name="_Toc387131446"/>
      <w:bookmarkStart w:id="827" w:name="_Toc387131520"/>
      <w:bookmarkStart w:id="828" w:name="_Toc387131777"/>
      <w:bookmarkStart w:id="829" w:name="_Toc408274457"/>
      <w:bookmarkStart w:id="830" w:name="_Toc415254563"/>
      <w:bookmarkStart w:id="831" w:name="_Toc27660"/>
      <w:r>
        <w:rPr>
          <w:rFonts w:hint="eastAsia"/>
          <w:b/>
          <w:color w:val="000000"/>
          <w:sz w:val="28"/>
          <w:szCs w:val="28"/>
        </w:rPr>
        <w:t>10.2应急预案演练</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pPr>
        <w:spacing w:line="360" w:lineRule="auto"/>
        <w:jc w:val="left"/>
        <w:outlineLvl w:val="2"/>
        <w:rPr>
          <w:rStyle w:val="122"/>
          <w:rFonts w:asciiTheme="minorEastAsia" w:hAnsiTheme="minorEastAsia" w:eastAsiaTheme="minorEastAsia"/>
          <w:color w:val="000000"/>
        </w:rPr>
      </w:pPr>
      <w:bookmarkStart w:id="832" w:name="_Toc272328359"/>
      <w:bookmarkStart w:id="833" w:name="_Toc262040300"/>
      <w:bookmarkStart w:id="834" w:name="_Toc262050890"/>
      <w:bookmarkStart w:id="835" w:name="_Toc262051143"/>
      <w:bookmarkStart w:id="836" w:name="_Toc262051564"/>
      <w:r>
        <w:rPr>
          <w:rStyle w:val="122"/>
          <w:rFonts w:hint="eastAsia" w:asciiTheme="minorEastAsia" w:hAnsiTheme="minorEastAsia" w:eastAsiaTheme="minorEastAsia"/>
          <w:color w:val="000000"/>
        </w:rPr>
        <w:t>10.2.1演练频次</w:t>
      </w:r>
      <w:bookmarkEnd w:id="832"/>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综合应急预案和专项应急预案的演练由公司分管副总经理组织，每年至少进行一次。现场处置方案由安全生产部每半年度演练1次。</w:t>
      </w:r>
    </w:p>
    <w:p>
      <w:pPr>
        <w:spacing w:line="360" w:lineRule="auto"/>
        <w:jc w:val="left"/>
        <w:outlineLvl w:val="2"/>
        <w:rPr>
          <w:rStyle w:val="122"/>
          <w:rFonts w:asciiTheme="minorEastAsia" w:hAnsiTheme="minorEastAsia" w:eastAsiaTheme="minorEastAsia"/>
          <w:color w:val="000000"/>
        </w:rPr>
      </w:pPr>
      <w:bookmarkStart w:id="837" w:name="_Toc272328360"/>
      <w:r>
        <w:rPr>
          <w:rStyle w:val="122"/>
          <w:rFonts w:hint="eastAsia" w:asciiTheme="minorEastAsia" w:hAnsiTheme="minorEastAsia" w:eastAsiaTheme="minorEastAsia"/>
          <w:color w:val="000000"/>
        </w:rPr>
        <w:t>10.2.2演练要求</w:t>
      </w:r>
      <w:bookmarkEnd w:id="837"/>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每次演练应明确目的、内容；组织人员对演练进行评价，发现问题提出相应的解决措施；安排人员做好演练文字记录、图片音像资料；及时对预案进行修订完善。</w:t>
      </w:r>
    </w:p>
    <w:p>
      <w:pPr>
        <w:spacing w:line="360" w:lineRule="auto"/>
        <w:jc w:val="left"/>
        <w:outlineLvl w:val="2"/>
        <w:rPr>
          <w:rStyle w:val="122"/>
          <w:rFonts w:asciiTheme="minorEastAsia" w:hAnsiTheme="minorEastAsia" w:eastAsiaTheme="minorEastAsia"/>
          <w:color w:val="000000"/>
        </w:rPr>
      </w:pPr>
      <w:bookmarkStart w:id="838" w:name="_Toc272328361"/>
      <w:r>
        <w:rPr>
          <w:rStyle w:val="122"/>
          <w:rFonts w:hint="eastAsia" w:asciiTheme="minorEastAsia" w:hAnsiTheme="minorEastAsia" w:eastAsiaTheme="minorEastAsia"/>
          <w:color w:val="000000"/>
        </w:rPr>
        <w:t>10.2.3演练内容</w:t>
      </w:r>
      <w:bookmarkEnd w:id="838"/>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通信联络、报警、信息报告程序演练。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 疏散、人员集中清点、应急器材、物资到位演练。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 各救援小组迅速就位演练、应急处置演练。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 各单位间相互配合协调应急演练等。</w:t>
      </w:r>
    </w:p>
    <w:p>
      <w:pPr>
        <w:adjustRightInd w:val="0"/>
        <w:snapToGrid w:val="0"/>
        <w:spacing w:line="460" w:lineRule="exact"/>
        <w:outlineLvl w:val="1"/>
        <w:rPr>
          <w:b/>
          <w:color w:val="000000"/>
          <w:sz w:val="24"/>
          <w:szCs w:val="24"/>
        </w:rPr>
      </w:pPr>
      <w:bookmarkStart w:id="839" w:name="_Toc304833260"/>
      <w:bookmarkStart w:id="840" w:name="_Toc304962983"/>
      <w:bookmarkStart w:id="841" w:name="_Toc304963627"/>
      <w:bookmarkStart w:id="842" w:name="_Toc304964470"/>
      <w:bookmarkStart w:id="843" w:name="_Toc336326877"/>
      <w:bookmarkStart w:id="844" w:name="_Toc336327155"/>
      <w:bookmarkStart w:id="845" w:name="_Toc262051570"/>
      <w:bookmarkStart w:id="846" w:name="_Toc262050894"/>
      <w:bookmarkStart w:id="847" w:name="_Toc262051149"/>
      <w:bookmarkStart w:id="848" w:name="_Toc387131447"/>
      <w:bookmarkStart w:id="849" w:name="_Toc387131521"/>
      <w:bookmarkStart w:id="850" w:name="_Toc387131778"/>
      <w:bookmarkStart w:id="851" w:name="_Toc415254564"/>
      <w:bookmarkStart w:id="852" w:name="_Toc408274458"/>
      <w:bookmarkStart w:id="853" w:name="_Toc8064"/>
      <w:r>
        <w:rPr>
          <w:rFonts w:hint="eastAsia"/>
          <w:b/>
          <w:color w:val="000000"/>
          <w:sz w:val="24"/>
          <w:szCs w:val="24"/>
        </w:rPr>
        <w:t>10.3</w:t>
      </w:r>
      <w:bookmarkEnd w:id="839"/>
      <w:bookmarkEnd w:id="840"/>
      <w:bookmarkEnd w:id="841"/>
      <w:bookmarkEnd w:id="842"/>
      <w:bookmarkEnd w:id="843"/>
      <w:bookmarkEnd w:id="844"/>
      <w:bookmarkEnd w:id="845"/>
      <w:bookmarkEnd w:id="846"/>
      <w:bookmarkEnd w:id="847"/>
      <w:r>
        <w:rPr>
          <w:rFonts w:hint="eastAsia"/>
          <w:b/>
          <w:color w:val="000000"/>
          <w:sz w:val="24"/>
          <w:szCs w:val="24"/>
        </w:rPr>
        <w:t>应急预案修订</w:t>
      </w:r>
      <w:bookmarkEnd w:id="848"/>
      <w:bookmarkEnd w:id="849"/>
      <w:bookmarkEnd w:id="850"/>
      <w:bookmarkEnd w:id="851"/>
      <w:bookmarkEnd w:id="852"/>
      <w:bookmarkEnd w:id="853"/>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安全生产部每3年至少组织一次公司生产安全事故应急预案的修订，同时负责本预案的管理。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2）因以下原因出现不符合项，应及时对预案进行修订、更新：</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（1）新法律法规、标准的颁布实施、相关法律法规、标准的修订；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（2）机构重大调整、工艺改革、关键设备更换或应急资源发生变化；</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（3）预案演练或潜在事件和突发事故应急处置中发现不符合项；</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（4）其他原因。</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3）为确保预案的科学性、合理性和可操作性，在预案修订小组内部评审后，报上级应急预案管理(备案)部门组织专家评审，实现可持续改进。</w:t>
      </w:r>
    </w:p>
    <w:p>
      <w:pPr>
        <w:adjustRightInd w:val="0"/>
        <w:snapToGrid w:val="0"/>
        <w:spacing w:line="460" w:lineRule="exact"/>
        <w:outlineLvl w:val="1"/>
        <w:rPr>
          <w:b/>
          <w:color w:val="000000"/>
          <w:sz w:val="24"/>
          <w:szCs w:val="24"/>
        </w:rPr>
      </w:pPr>
      <w:bookmarkStart w:id="854" w:name="_Toc304963626"/>
      <w:bookmarkStart w:id="855" w:name="_Toc415254565"/>
      <w:bookmarkStart w:id="856" w:name="_Toc408274459"/>
      <w:bookmarkStart w:id="857" w:name="_Toc304964469"/>
      <w:bookmarkStart w:id="858" w:name="_Toc336326876"/>
      <w:bookmarkStart w:id="859" w:name="_Toc387131448"/>
      <w:bookmarkStart w:id="860" w:name="_Toc336327154"/>
      <w:bookmarkStart w:id="861" w:name="_Toc387131522"/>
      <w:bookmarkStart w:id="862" w:name="_Toc304833259"/>
      <w:bookmarkStart w:id="863" w:name="_Toc304962982"/>
      <w:bookmarkStart w:id="864" w:name="_Toc387131779"/>
      <w:bookmarkStart w:id="865" w:name="_Toc2829"/>
      <w:r>
        <w:rPr>
          <w:rFonts w:hint="eastAsia"/>
          <w:b/>
          <w:color w:val="000000"/>
          <w:sz w:val="24"/>
          <w:szCs w:val="24"/>
        </w:rPr>
        <w:t>10.4应急预案备案</w:t>
      </w:r>
      <w:bookmarkEnd w:id="854"/>
      <w:bookmarkEnd w:id="855"/>
      <w:bookmarkEnd w:id="856"/>
      <w:bookmarkEnd w:id="857"/>
      <w:bookmarkEnd w:id="858"/>
      <w:bookmarkEnd w:id="859"/>
      <w:bookmarkEnd w:id="860"/>
      <w:bookmarkEnd w:id="861"/>
      <w:bookmarkEnd w:id="862"/>
      <w:bookmarkEnd w:id="863"/>
      <w:bookmarkEnd w:id="864"/>
      <w:bookmarkEnd w:id="865"/>
      <w:bookmarkStart w:id="866" w:name="_Toc304963628"/>
      <w:bookmarkStart w:id="867" w:name="_Toc304964471"/>
      <w:bookmarkStart w:id="868" w:name="_Toc336326878"/>
      <w:bookmarkStart w:id="869" w:name="_Toc336327156"/>
      <w:bookmarkStart w:id="870" w:name="_Toc262050895"/>
      <w:bookmarkStart w:id="871" w:name="_Toc304833261"/>
      <w:bookmarkStart w:id="872" w:name="_Toc262051571"/>
      <w:bookmarkStart w:id="873" w:name="_Toc262051150"/>
      <w:bookmarkStart w:id="874" w:name="_Toc304962984"/>
      <w:bookmarkStart w:id="875" w:name="_Toc387131449"/>
      <w:bookmarkStart w:id="876" w:name="_Toc387131523"/>
      <w:bookmarkStart w:id="877" w:name="_Toc387131780"/>
      <w:bookmarkStart w:id="878" w:name="_Toc415254566"/>
      <w:bookmarkStart w:id="879" w:name="_Toc408274460"/>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按照“分类管理、分级负责”及属地管理的原则，报涪陵区区环境保护局或安全生产监督管理局备案。</w:t>
      </w:r>
    </w:p>
    <w:p>
      <w:pPr>
        <w:adjustRightInd w:val="0"/>
        <w:snapToGrid w:val="0"/>
        <w:spacing w:line="460" w:lineRule="exact"/>
        <w:outlineLvl w:val="1"/>
        <w:rPr>
          <w:b/>
          <w:color w:val="000000"/>
          <w:sz w:val="24"/>
          <w:szCs w:val="24"/>
        </w:rPr>
      </w:pPr>
      <w:bookmarkStart w:id="880" w:name="_Toc2839"/>
      <w:r>
        <w:rPr>
          <w:rFonts w:hint="eastAsia"/>
          <w:b/>
          <w:color w:val="000000"/>
          <w:sz w:val="24"/>
          <w:szCs w:val="24"/>
        </w:rPr>
        <w:t>10.5</w:t>
      </w:r>
      <w:bookmarkEnd w:id="866"/>
      <w:bookmarkEnd w:id="867"/>
      <w:bookmarkEnd w:id="868"/>
      <w:bookmarkEnd w:id="869"/>
      <w:bookmarkEnd w:id="870"/>
      <w:bookmarkEnd w:id="871"/>
      <w:bookmarkEnd w:id="872"/>
      <w:bookmarkEnd w:id="873"/>
      <w:bookmarkEnd w:id="874"/>
      <w:r>
        <w:rPr>
          <w:rFonts w:hint="eastAsia"/>
          <w:b/>
          <w:color w:val="000000"/>
          <w:sz w:val="24"/>
          <w:szCs w:val="24"/>
        </w:rPr>
        <w:t>应急预案实施</w:t>
      </w:r>
      <w:bookmarkEnd w:id="875"/>
      <w:bookmarkEnd w:id="876"/>
      <w:bookmarkEnd w:id="877"/>
      <w:bookmarkEnd w:id="878"/>
      <w:bookmarkEnd w:id="879"/>
      <w:bookmarkEnd w:id="880"/>
    </w:p>
    <w:p>
      <w:pPr>
        <w:adjustRightInd w:val="0"/>
        <w:snapToGrid w:val="0"/>
        <w:spacing w:line="460" w:lineRule="exact"/>
        <w:ind w:firstLine="486" w:firstLineChars="200"/>
        <w:rPr>
          <w:rFonts w:asciiTheme="minorEastAsia" w:hAnsiTheme="minorEastAsia" w:eastAsiaTheme="minorEastAsia"/>
          <w:sz w:val="24"/>
          <w:szCs w:val="24"/>
          <w:lang w:val="zh-CN"/>
        </w:rPr>
      </w:pPr>
      <w:bookmarkStart w:id="881" w:name="_Toc262051572"/>
      <w:bookmarkStart w:id="882" w:name="_Toc262051151"/>
      <w:bookmarkStart w:id="883" w:name="_Toc262050896"/>
      <w:r>
        <w:rPr>
          <w:rFonts w:hint="eastAsia" w:asciiTheme="minorEastAsia" w:hAnsiTheme="minorEastAsia" w:eastAsiaTheme="minorEastAsia"/>
          <w:sz w:val="24"/>
          <w:szCs w:val="24"/>
          <w:lang w:val="zh-CN"/>
        </w:rPr>
        <w:t>本预案由公司安全生产部组织制定并负责解释。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本预案自发布之日起实施。</w:t>
      </w:r>
      <w:bookmarkEnd w:id="833"/>
      <w:bookmarkEnd w:id="834"/>
      <w:bookmarkEnd w:id="835"/>
      <w:bookmarkEnd w:id="836"/>
      <w:bookmarkEnd w:id="881"/>
      <w:bookmarkEnd w:id="882"/>
      <w:bookmarkEnd w:id="883"/>
      <w:bookmarkStart w:id="884" w:name="_Toc458674314"/>
      <w:bookmarkStart w:id="885" w:name="_Toc415254567"/>
      <w:bookmarkStart w:id="886" w:name="_Toc387131781"/>
      <w:bookmarkStart w:id="887" w:name="_Toc229284005"/>
      <w:bookmarkStart w:id="888" w:name="_Toc262040312"/>
      <w:bookmarkStart w:id="889" w:name="_Toc262050910"/>
      <w:bookmarkStart w:id="890" w:name="_Toc336327158"/>
      <w:bookmarkStart w:id="891" w:name="_Toc387131450"/>
      <w:bookmarkStart w:id="892" w:name="_Toc387131524"/>
      <w:bookmarkStart w:id="893" w:name="_Toc304964473"/>
      <w:bookmarkStart w:id="894" w:name="_Toc304833263"/>
      <w:bookmarkStart w:id="895" w:name="_Toc304963630"/>
      <w:bookmarkStart w:id="896" w:name="_Toc336326880"/>
      <w:bookmarkStart w:id="897" w:name="_Toc262051165"/>
      <w:bookmarkStart w:id="898" w:name="_Toc198355354"/>
      <w:bookmarkStart w:id="899" w:name="_Toc304962986"/>
      <w:bookmarkStart w:id="900" w:name="_Toc262051586"/>
      <w:bookmarkStart w:id="901" w:name="_Toc408274461"/>
    </w:p>
    <w:bookmarkEnd w:id="884"/>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bookmarkStart w:id="902" w:name="_Toc1432"/>
      <w:r>
        <w:rPr>
          <w:rFonts w:hint="eastAsia" w:asciiTheme="minorEastAsia" w:hAnsiTheme="minorEastAsia" w:eastAsiaTheme="minorEastAsia"/>
          <w:b/>
          <w:color w:val="000000"/>
          <w:sz w:val="32"/>
        </w:rPr>
        <w:t>11 附件</w:t>
      </w:r>
      <w:bookmarkEnd w:id="885"/>
      <w:bookmarkEnd w:id="902"/>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附件1 </w:t>
      </w:r>
      <w:bookmarkStart w:id="903" w:name="_Toc403509937"/>
      <w:r>
        <w:rPr>
          <w:rFonts w:hint="eastAsia" w:asciiTheme="minorEastAsia" w:hAnsiTheme="minorEastAsia" w:eastAsiaTheme="minorEastAsia"/>
          <w:color w:val="000000"/>
          <w:sz w:val="24"/>
          <w:szCs w:val="24"/>
        </w:rPr>
        <w:t>专项应急预案</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附件2 </w:t>
      </w:r>
      <w:bookmarkEnd w:id="903"/>
      <w:r>
        <w:rPr>
          <w:rFonts w:hint="eastAsia" w:asciiTheme="minorEastAsia" w:hAnsiTheme="minorEastAsia" w:eastAsiaTheme="minorEastAsia"/>
          <w:color w:val="000000"/>
          <w:sz w:val="24"/>
          <w:szCs w:val="24"/>
        </w:rPr>
        <w:t>外部救援联系电话</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附件3 内部救援人员的联系方式</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bookmarkStart w:id="904" w:name="_Toc403509938"/>
      <w:r>
        <w:rPr>
          <w:rFonts w:hint="eastAsia" w:asciiTheme="minorEastAsia" w:hAnsiTheme="minorEastAsia" w:eastAsiaTheme="minorEastAsia"/>
          <w:color w:val="000000"/>
          <w:sz w:val="24"/>
          <w:szCs w:val="24"/>
        </w:rPr>
        <w:t>附件4 应急物资装备清单</w:t>
      </w:r>
      <w:bookmarkEnd w:id="904"/>
      <w:r>
        <w:rPr>
          <w:rFonts w:hint="eastAsia" w:asciiTheme="minorEastAsia" w:hAnsiTheme="minorEastAsia" w:eastAsiaTheme="minorEastAsia"/>
          <w:color w:val="000000"/>
          <w:sz w:val="24"/>
          <w:szCs w:val="24"/>
        </w:rPr>
        <w:t xml:space="preserve">  </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附件5 关键的路线、标识和图纸</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bookmarkStart w:id="905" w:name="_Toc403509942"/>
      <w:r>
        <w:rPr>
          <w:rFonts w:hint="eastAsia" w:asciiTheme="minorEastAsia" w:hAnsiTheme="minorEastAsia" w:eastAsiaTheme="minorEastAsia"/>
          <w:color w:val="000000"/>
          <w:sz w:val="24"/>
          <w:szCs w:val="24"/>
        </w:rPr>
        <w:t>附件6 相关应急预案目录</w:t>
      </w:r>
      <w:bookmarkEnd w:id="905"/>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附件7 应急疏散路径图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附件8 雨污管网布置图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附件9 厂区平面布置图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附件10 项目地理位置图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附件11 环境敏感点分布图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突发事件报告单</w:t>
      </w:r>
    </w:p>
    <w:p>
      <w:pPr>
        <w:pStyle w:val="101"/>
        <w:ind w:firstLine="566"/>
        <w:jc w:val="center"/>
      </w:pPr>
      <w:r>
        <w:t>突发事件报告单</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343"/>
        <w:gridCol w:w="1351"/>
        <w:gridCol w:w="154"/>
        <w:gridCol w:w="714"/>
        <w:gridCol w:w="202"/>
        <w:gridCol w:w="1227"/>
        <w:gridCol w:w="1114"/>
        <w:gridCol w:w="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报告单位</w:t>
            </w:r>
          </w:p>
        </w:tc>
        <w:tc>
          <w:tcPr>
            <w:tcW w:w="3764" w:type="dxa"/>
            <w:gridSpan w:val="5"/>
            <w:vAlign w:val="center"/>
          </w:tcPr>
          <w:p>
            <w:pPr>
              <w:jc w:val="center"/>
              <w:rPr>
                <w:color w:val="000000"/>
                <w:sz w:val="22"/>
              </w:rPr>
            </w:pPr>
          </w:p>
        </w:tc>
        <w:tc>
          <w:tcPr>
            <w:tcW w:w="1227" w:type="dxa"/>
            <w:vAlign w:val="center"/>
          </w:tcPr>
          <w:p>
            <w:pPr>
              <w:jc w:val="center"/>
              <w:rPr>
                <w:color w:val="000000"/>
                <w:sz w:val="22"/>
              </w:rPr>
            </w:pPr>
            <w:r>
              <w:rPr>
                <w:color w:val="000000"/>
                <w:sz w:val="22"/>
              </w:rPr>
              <w:t>报告编号</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报告时间</w:t>
            </w:r>
          </w:p>
        </w:tc>
        <w:tc>
          <w:tcPr>
            <w:tcW w:w="3764" w:type="dxa"/>
            <w:gridSpan w:val="5"/>
            <w:vAlign w:val="center"/>
          </w:tcPr>
          <w:p>
            <w:pPr>
              <w:jc w:val="center"/>
              <w:rPr>
                <w:color w:val="000000"/>
                <w:sz w:val="22"/>
              </w:rPr>
            </w:pPr>
            <w:r>
              <w:rPr>
                <w:color w:val="000000"/>
                <w:sz w:val="22"/>
              </w:rPr>
              <w:t xml:space="preserve">       年    月    日    时    分</w:t>
            </w:r>
          </w:p>
        </w:tc>
        <w:tc>
          <w:tcPr>
            <w:tcW w:w="1227" w:type="dxa"/>
            <w:vAlign w:val="center"/>
          </w:tcPr>
          <w:p>
            <w:pPr>
              <w:jc w:val="center"/>
              <w:rPr>
                <w:color w:val="000000"/>
                <w:sz w:val="22"/>
              </w:rPr>
            </w:pPr>
            <w:r>
              <w:rPr>
                <w:color w:val="000000"/>
                <w:sz w:val="22"/>
              </w:rPr>
              <w:t>收到时间</w:t>
            </w:r>
          </w:p>
        </w:tc>
        <w:tc>
          <w:tcPr>
            <w:tcW w:w="1749" w:type="dxa"/>
            <w:gridSpan w:val="2"/>
            <w:vAlign w:val="center"/>
          </w:tcPr>
          <w:p>
            <w:pPr>
              <w:rPr>
                <w:color w:val="000000"/>
                <w:sz w:val="22"/>
              </w:rPr>
            </w:pPr>
            <w:r>
              <w:rPr>
                <w:color w:val="000000"/>
                <w:sz w:val="22"/>
              </w:rPr>
              <w:t xml:space="preserve">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报告人姓名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电    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报告地点</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restart"/>
            <w:vAlign w:val="center"/>
          </w:tcPr>
          <w:p>
            <w:pPr>
              <w:jc w:val="center"/>
              <w:rPr>
                <w:color w:val="000000"/>
                <w:sz w:val="22"/>
              </w:rPr>
            </w:pPr>
            <w:r>
              <w:rPr>
                <w:color w:val="000000"/>
                <w:sz w:val="22"/>
              </w:rPr>
              <w:t>信息联系人</w:t>
            </w:r>
          </w:p>
          <w:p>
            <w:pPr>
              <w:jc w:val="center"/>
              <w:rPr>
                <w:color w:val="000000"/>
                <w:sz w:val="22"/>
              </w:rPr>
            </w:pPr>
            <w:r>
              <w:rPr>
                <w:color w:val="000000"/>
                <w:sz w:val="22"/>
              </w:rPr>
              <w:t>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联系电话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移动电话</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jc w:val="center"/>
              <w:rPr>
                <w:color w:val="000000"/>
                <w:sz w:val="22"/>
              </w:rPr>
            </w:pP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传真电话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电子邮箱</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9"/>
            <w:vAlign w:val="center"/>
          </w:tcPr>
          <w:p>
            <w:pPr>
              <w:jc w:val="center"/>
              <w:rPr>
                <w:color w:val="000000"/>
                <w:sz w:val="22"/>
              </w:rPr>
            </w:pPr>
            <w:r>
              <w:rPr>
                <w:color w:val="000000"/>
                <w:sz w:val="22"/>
              </w:rPr>
              <w:t>事件简要情况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事件发生时间</w:t>
            </w:r>
          </w:p>
        </w:tc>
        <w:tc>
          <w:tcPr>
            <w:tcW w:w="6740" w:type="dxa"/>
            <w:gridSpan w:val="8"/>
            <w:vAlign w:val="center"/>
          </w:tcPr>
          <w:p>
            <w:pPr>
              <w:jc w:val="center"/>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Align w:val="center"/>
          </w:tcPr>
          <w:p>
            <w:pPr>
              <w:jc w:val="center"/>
              <w:rPr>
                <w:color w:val="000000"/>
                <w:sz w:val="22"/>
              </w:rPr>
            </w:pPr>
            <w:r>
              <w:rPr>
                <w:color w:val="000000"/>
                <w:sz w:val="22"/>
              </w:rPr>
              <w:t>事件发生地点</w:t>
            </w:r>
          </w:p>
        </w:tc>
        <w:tc>
          <w:tcPr>
            <w:tcW w:w="6740" w:type="dxa"/>
            <w:gridSpan w:val="8"/>
            <w:vAlign w:val="center"/>
          </w:tcPr>
          <w:p>
            <w:pPr>
              <w:jc w:val="center"/>
              <w:rPr>
                <w:color w:val="000000"/>
                <w:sz w:val="22"/>
              </w:rPr>
            </w:pPr>
            <w:r>
              <w:rPr>
                <w:color w:val="000000"/>
                <w:sz w:val="22"/>
              </w:rPr>
              <w:t>省（自治区）       县（市）       乡镇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事件发生单位</w:t>
            </w:r>
          </w:p>
        </w:tc>
        <w:tc>
          <w:tcPr>
            <w:tcW w:w="6740" w:type="dxa"/>
            <w:gridSpan w:val="8"/>
            <w:vAlign w:val="center"/>
          </w:tcPr>
          <w:p>
            <w:pPr>
              <w:jc w:val="center"/>
              <w:rPr>
                <w:color w:val="000000"/>
                <w:sz w:val="22"/>
              </w:rPr>
            </w:pPr>
            <w:r>
              <w:rPr>
                <w:color w:val="000000"/>
                <w:sz w:val="22"/>
              </w:rPr>
              <w:t>（企业）          （二级单位）          （基层）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restart"/>
            <w:vAlign w:val="center"/>
          </w:tcPr>
          <w:p>
            <w:pPr>
              <w:rPr>
                <w:color w:val="000000"/>
                <w:sz w:val="22"/>
              </w:rPr>
            </w:pPr>
            <w:r>
              <w:rPr>
                <w:color w:val="000000"/>
                <w:sz w:val="22"/>
              </w:rPr>
              <w:t>事件类型</w:t>
            </w:r>
          </w:p>
          <w:p>
            <w:pPr>
              <w:rPr>
                <w:color w:val="000000"/>
                <w:sz w:val="22"/>
              </w:rPr>
            </w:pPr>
            <w:r>
              <w:rPr>
                <w:color w:val="000000"/>
                <w:sz w:val="22"/>
              </w:rPr>
              <w:t>□事故灾难</w:t>
            </w:r>
          </w:p>
          <w:p>
            <w:pPr>
              <w:rPr>
                <w:color w:val="000000"/>
                <w:sz w:val="22"/>
              </w:rPr>
            </w:pPr>
            <w:r>
              <w:rPr>
                <w:color w:val="000000"/>
                <w:sz w:val="22"/>
              </w:rPr>
              <w:t>□公共卫生</w:t>
            </w:r>
          </w:p>
          <w:p>
            <w:pPr>
              <w:rPr>
                <w:color w:val="000000"/>
                <w:sz w:val="22"/>
              </w:rPr>
            </w:pPr>
            <w:r>
              <w:rPr>
                <w:color w:val="000000"/>
                <w:sz w:val="22"/>
              </w:rPr>
              <w:t>□自然灾害</w:t>
            </w:r>
          </w:p>
          <w:p>
            <w:pPr>
              <w:rPr>
                <w:color w:val="000000"/>
                <w:sz w:val="22"/>
              </w:rPr>
            </w:pPr>
            <w:r>
              <w:rPr>
                <w:color w:val="000000"/>
                <w:sz w:val="22"/>
              </w:rPr>
              <w:t>□社会安全</w:t>
            </w:r>
          </w:p>
        </w:tc>
        <w:tc>
          <w:tcPr>
            <w:tcW w:w="2848" w:type="dxa"/>
            <w:gridSpan w:val="3"/>
            <w:vAlign w:val="center"/>
          </w:tcPr>
          <w:p>
            <w:pPr>
              <w:rPr>
                <w:color w:val="000000"/>
                <w:sz w:val="22"/>
              </w:rPr>
            </w:pPr>
            <w:r>
              <w:rPr>
                <w:color w:val="000000"/>
                <w:sz w:val="22"/>
              </w:rPr>
              <w:t>井喷失控事故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油气站库及炼化装置爆炸着火</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危险化学品泄漏失控和中毒</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长输管道事故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海洋石油开发事故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剧毒危险品运输事故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群体性事件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公共文化场所和文化活动突发事件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涉外突发事件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涉外防恐</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防恐</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火工品被盗丢失事件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网络与信息安全事故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重大自然灾害突发事件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重大公共卫生事件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突发环境事件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jc w:val="center"/>
        </w:trPr>
        <w:tc>
          <w:tcPr>
            <w:tcW w:w="1532" w:type="dxa"/>
            <w:vAlign w:val="center"/>
          </w:tcPr>
          <w:p>
            <w:pPr>
              <w:jc w:val="center"/>
              <w:rPr>
                <w:color w:val="000000"/>
                <w:sz w:val="22"/>
              </w:rPr>
            </w:pPr>
            <w:r>
              <w:rPr>
                <w:color w:val="000000"/>
                <w:sz w:val="22"/>
              </w:rPr>
              <w:t>事故经过</w:t>
            </w:r>
          </w:p>
          <w:p>
            <w:pPr>
              <w:jc w:val="center"/>
              <w:rPr>
                <w:color w:val="000000"/>
                <w:sz w:val="22"/>
              </w:rPr>
            </w:pPr>
            <w:r>
              <w:rPr>
                <w:color w:val="000000"/>
                <w:sz w:val="22"/>
              </w:rPr>
              <w:t>简要描述</w:t>
            </w:r>
          </w:p>
        </w:tc>
        <w:tc>
          <w:tcPr>
            <w:tcW w:w="6740"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jc w:val="center"/>
        </w:trPr>
        <w:tc>
          <w:tcPr>
            <w:tcW w:w="1532" w:type="dxa"/>
            <w:vAlign w:val="center"/>
          </w:tcPr>
          <w:p>
            <w:pPr>
              <w:jc w:val="center"/>
              <w:rPr>
                <w:color w:val="000000"/>
                <w:sz w:val="22"/>
              </w:rPr>
            </w:pPr>
            <w:r>
              <w:rPr>
                <w:color w:val="000000"/>
                <w:sz w:val="22"/>
              </w:rPr>
              <w:t>目前人员</w:t>
            </w:r>
          </w:p>
          <w:p>
            <w:pPr>
              <w:jc w:val="center"/>
              <w:rPr>
                <w:color w:val="000000"/>
                <w:sz w:val="22"/>
              </w:rPr>
            </w:pPr>
            <w:r>
              <w:rPr>
                <w:color w:val="000000"/>
                <w:sz w:val="22"/>
              </w:rPr>
              <w:t>伤亡情况</w:t>
            </w:r>
          </w:p>
        </w:tc>
        <w:tc>
          <w:tcPr>
            <w:tcW w:w="6740"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0" w:hRule="atLeast"/>
          <w:jc w:val="center"/>
        </w:trPr>
        <w:tc>
          <w:tcPr>
            <w:tcW w:w="1532" w:type="dxa"/>
            <w:vAlign w:val="center"/>
          </w:tcPr>
          <w:p>
            <w:pPr>
              <w:jc w:val="center"/>
              <w:rPr>
                <w:color w:val="000000"/>
                <w:sz w:val="22"/>
              </w:rPr>
            </w:pPr>
            <w:r>
              <w:rPr>
                <w:color w:val="000000"/>
                <w:sz w:val="22"/>
              </w:rPr>
              <w:t>目前环境</w:t>
            </w:r>
          </w:p>
          <w:p>
            <w:pPr>
              <w:jc w:val="center"/>
              <w:rPr>
                <w:color w:val="000000"/>
                <w:sz w:val="22"/>
              </w:rPr>
            </w:pPr>
            <w:r>
              <w:rPr>
                <w:color w:val="000000"/>
                <w:sz w:val="22"/>
              </w:rPr>
              <w:t>污染情况</w:t>
            </w:r>
          </w:p>
        </w:tc>
        <w:tc>
          <w:tcPr>
            <w:tcW w:w="6740" w:type="dxa"/>
            <w:gridSpan w:val="8"/>
            <w:vAlign w:val="center"/>
          </w:tcPr>
          <w:p>
            <w:pPr>
              <w:rPr>
                <w:color w:val="000000"/>
                <w:sz w:val="22"/>
              </w:rPr>
            </w:pPr>
          </w:p>
        </w:tc>
      </w:tr>
    </w:tbl>
    <w:p>
      <w:pPr>
        <w:rPr>
          <w:color w:val="000000"/>
          <w:sz w:val="24"/>
        </w:rPr>
      </w:pPr>
    </w:p>
    <w:tbl>
      <w:tblPr>
        <w:tblStyle w:val="5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448"/>
        <w:gridCol w:w="1575"/>
        <w:gridCol w:w="388"/>
        <w:gridCol w:w="1082"/>
        <w:gridCol w:w="21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8" w:hRule="atLeast"/>
        </w:trPr>
        <w:tc>
          <w:tcPr>
            <w:tcW w:w="1705" w:type="dxa"/>
            <w:vAlign w:val="center"/>
          </w:tcPr>
          <w:p>
            <w:pPr>
              <w:jc w:val="center"/>
              <w:rPr>
                <w:color w:val="000000"/>
                <w:sz w:val="22"/>
              </w:rPr>
            </w:pPr>
            <w:r>
              <w:rPr>
                <w:color w:val="000000"/>
                <w:sz w:val="22"/>
              </w:rPr>
              <w:t>目前造成</w:t>
            </w:r>
          </w:p>
          <w:p>
            <w:pPr>
              <w:jc w:val="center"/>
              <w:rPr>
                <w:color w:val="000000"/>
                <w:sz w:val="22"/>
              </w:rPr>
            </w:pPr>
            <w:r>
              <w:rPr>
                <w:color w:val="000000"/>
                <w:sz w:val="22"/>
              </w:rPr>
              <w:t>周边影响</w:t>
            </w:r>
          </w:p>
        </w:tc>
        <w:tc>
          <w:tcPr>
            <w:tcW w:w="6823" w:type="dxa"/>
            <w:gridSpan w:val="6"/>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Align w:val="center"/>
          </w:tcPr>
          <w:p>
            <w:pPr>
              <w:jc w:val="center"/>
              <w:rPr>
                <w:color w:val="000000"/>
                <w:sz w:val="22"/>
              </w:rPr>
            </w:pPr>
            <w:r>
              <w:rPr>
                <w:color w:val="000000"/>
                <w:sz w:val="22"/>
              </w:rPr>
              <w:t>现场负责人</w:t>
            </w:r>
          </w:p>
          <w:p>
            <w:pPr>
              <w:jc w:val="center"/>
              <w:rPr>
                <w:color w:val="000000"/>
                <w:sz w:val="22"/>
              </w:rPr>
            </w:pPr>
            <w:r>
              <w:rPr>
                <w:color w:val="000000"/>
                <w:sz w:val="22"/>
              </w:rPr>
              <w:t>姓  名</w:t>
            </w:r>
          </w:p>
        </w:tc>
        <w:tc>
          <w:tcPr>
            <w:tcW w:w="3411" w:type="dxa"/>
            <w:gridSpan w:val="3"/>
            <w:vAlign w:val="center"/>
          </w:tcPr>
          <w:p>
            <w:pPr>
              <w:jc w:val="center"/>
              <w:rPr>
                <w:color w:val="000000"/>
                <w:sz w:val="22"/>
              </w:rPr>
            </w:pP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restart"/>
            <w:vAlign w:val="center"/>
          </w:tcPr>
          <w:p>
            <w:pPr>
              <w:jc w:val="center"/>
              <w:rPr>
                <w:color w:val="000000"/>
                <w:sz w:val="22"/>
              </w:rPr>
            </w:pPr>
            <w:r>
              <w:rPr>
                <w:color w:val="000000"/>
                <w:sz w:val="22"/>
              </w:rPr>
              <w:t>企业应急</w:t>
            </w:r>
          </w:p>
          <w:p>
            <w:pPr>
              <w:jc w:val="center"/>
              <w:rPr>
                <w:color w:val="000000"/>
                <w:sz w:val="22"/>
              </w:rPr>
            </w:pPr>
            <w:r>
              <w:rPr>
                <w:color w:val="000000"/>
                <w:sz w:val="22"/>
              </w:rPr>
              <w:t>人员情况</w:t>
            </w:r>
          </w:p>
        </w:tc>
        <w:tc>
          <w:tcPr>
            <w:tcW w:w="1448" w:type="dxa"/>
            <w:vAlign w:val="center"/>
          </w:tcPr>
          <w:p>
            <w:pPr>
              <w:jc w:val="center"/>
              <w:rPr>
                <w:color w:val="000000"/>
                <w:sz w:val="22"/>
              </w:rPr>
            </w:pPr>
            <w:r>
              <w:rPr>
                <w:color w:val="000000"/>
                <w:sz w:val="22"/>
              </w:rPr>
              <w:t>应急职务</w:t>
            </w:r>
          </w:p>
        </w:tc>
        <w:tc>
          <w:tcPr>
            <w:tcW w:w="1963" w:type="dxa"/>
            <w:gridSpan w:val="2"/>
            <w:vAlign w:val="center"/>
          </w:tcPr>
          <w:p>
            <w:pPr>
              <w:jc w:val="center"/>
              <w:rPr>
                <w:color w:val="000000"/>
                <w:sz w:val="22"/>
              </w:rPr>
            </w:pPr>
            <w:r>
              <w:rPr>
                <w:color w:val="000000"/>
                <w:sz w:val="22"/>
              </w:rPr>
              <w:t>姓   名</w:t>
            </w: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r>
              <w:rPr>
                <w:color w:val="000000"/>
                <w:sz w:val="22"/>
              </w:rPr>
              <w:t>移动电话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总指挥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信息联络</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现场指挥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事件初步</w:t>
            </w:r>
          </w:p>
          <w:p>
            <w:pPr>
              <w:jc w:val="center"/>
              <w:rPr>
                <w:color w:val="000000"/>
                <w:sz w:val="22"/>
              </w:rPr>
            </w:pPr>
            <w:r>
              <w:rPr>
                <w:color w:val="000000"/>
                <w:sz w:val="22"/>
              </w:rPr>
              <w:t>原因描述</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已经实施或正在采取的控制措施</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3" w:hRule="atLeast"/>
        </w:trPr>
        <w:tc>
          <w:tcPr>
            <w:tcW w:w="1705" w:type="dxa"/>
            <w:vAlign w:val="center"/>
          </w:tcPr>
          <w:p>
            <w:pPr>
              <w:jc w:val="center"/>
              <w:rPr>
                <w:color w:val="000000"/>
                <w:sz w:val="22"/>
              </w:rPr>
            </w:pPr>
            <w:r>
              <w:rPr>
                <w:color w:val="000000"/>
                <w:sz w:val="22"/>
              </w:rPr>
              <w:t>事件潜在后果以及可能对周边造成的影响</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8" w:hRule="atLeast"/>
        </w:trPr>
        <w:tc>
          <w:tcPr>
            <w:tcW w:w="1705" w:type="dxa"/>
            <w:vAlign w:val="center"/>
          </w:tcPr>
          <w:p>
            <w:pPr>
              <w:jc w:val="center"/>
              <w:rPr>
                <w:color w:val="000000"/>
                <w:sz w:val="22"/>
              </w:rPr>
            </w:pPr>
            <w:r>
              <w:rPr>
                <w:color w:val="000000"/>
                <w:sz w:val="22"/>
              </w:rPr>
              <w:t>现场气象、海况及主要自然天气情况</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0" w:hRule="atLeast"/>
        </w:trPr>
        <w:tc>
          <w:tcPr>
            <w:tcW w:w="1705" w:type="dxa"/>
            <w:vAlign w:val="center"/>
          </w:tcPr>
          <w:p>
            <w:pPr>
              <w:jc w:val="center"/>
              <w:rPr>
                <w:color w:val="000000"/>
                <w:sz w:val="22"/>
              </w:rPr>
            </w:pPr>
            <w:r>
              <w:rPr>
                <w:color w:val="000000"/>
                <w:sz w:val="22"/>
              </w:rPr>
              <w:t>信息报送情况</w:t>
            </w:r>
          </w:p>
        </w:tc>
        <w:tc>
          <w:tcPr>
            <w:tcW w:w="6823" w:type="dxa"/>
            <w:gridSpan w:val="6"/>
          </w:tcPr>
          <w:p>
            <w:pPr>
              <w:rPr>
                <w:color w:val="000000"/>
                <w:sz w:val="22"/>
              </w:rPr>
            </w:pPr>
            <w:r>
              <w:rPr>
                <w:color w:val="000000"/>
                <w:sz w:val="22"/>
              </w:rPr>
              <w:t>□本企业领导：</w:t>
            </w:r>
          </w:p>
          <w:p>
            <w:pPr>
              <w:rPr>
                <w:color w:val="000000"/>
                <w:sz w:val="22"/>
              </w:rPr>
            </w:pPr>
            <w:r>
              <w:rPr>
                <w:color w:val="000000"/>
                <w:sz w:val="22"/>
              </w:rPr>
              <w:t>□本企业有关部门：</w:t>
            </w:r>
          </w:p>
          <w:p>
            <w:pPr>
              <w:rPr>
                <w:color w:val="000000"/>
                <w:sz w:val="22"/>
              </w:rPr>
            </w:pPr>
            <w:r>
              <w:rPr>
                <w:color w:val="000000"/>
                <w:sz w:val="22"/>
              </w:rPr>
              <w:t>□上级部门：</w:t>
            </w:r>
          </w:p>
          <w:p>
            <w:pPr>
              <w:rPr>
                <w:color w:val="000000"/>
                <w:sz w:val="22"/>
              </w:rPr>
            </w:pPr>
            <w:r>
              <w:rPr>
                <w:color w:val="000000"/>
                <w:sz w:val="22"/>
              </w:rPr>
              <w:t>□政府部门：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5" w:hRule="atLeast"/>
        </w:trPr>
        <w:tc>
          <w:tcPr>
            <w:tcW w:w="1705" w:type="dxa"/>
            <w:vAlign w:val="center"/>
          </w:tcPr>
          <w:p>
            <w:pPr>
              <w:jc w:val="center"/>
              <w:rPr>
                <w:color w:val="000000"/>
                <w:sz w:val="22"/>
              </w:rPr>
            </w:pPr>
            <w:r>
              <w:rPr>
                <w:color w:val="000000"/>
                <w:sz w:val="22"/>
              </w:rPr>
              <w:t>此报告信息</w:t>
            </w:r>
          </w:p>
          <w:p>
            <w:pPr>
              <w:jc w:val="center"/>
              <w:rPr>
                <w:color w:val="000000"/>
                <w:sz w:val="22"/>
              </w:rPr>
            </w:pPr>
            <w:r>
              <w:rPr>
                <w:color w:val="000000"/>
                <w:sz w:val="22"/>
              </w:rPr>
              <w:t>接收人</w:t>
            </w:r>
          </w:p>
        </w:tc>
        <w:tc>
          <w:tcPr>
            <w:tcW w:w="3023" w:type="dxa"/>
            <w:gridSpan w:val="2"/>
          </w:tcPr>
          <w:p>
            <w:pPr>
              <w:rPr>
                <w:color w:val="000000"/>
                <w:sz w:val="22"/>
              </w:rPr>
            </w:pPr>
          </w:p>
        </w:tc>
        <w:tc>
          <w:tcPr>
            <w:tcW w:w="1470" w:type="dxa"/>
            <w:gridSpan w:val="2"/>
            <w:vAlign w:val="center"/>
          </w:tcPr>
          <w:p>
            <w:pPr>
              <w:jc w:val="center"/>
              <w:rPr>
                <w:color w:val="000000"/>
                <w:sz w:val="22"/>
              </w:rPr>
            </w:pPr>
            <w:r>
              <w:rPr>
                <w:color w:val="000000"/>
                <w:sz w:val="22"/>
              </w:rPr>
              <w:t>接受时间</w:t>
            </w:r>
          </w:p>
        </w:tc>
        <w:tc>
          <w:tcPr>
            <w:tcW w:w="2330" w:type="dxa"/>
            <w:gridSpan w:val="2"/>
            <w:vAlign w:val="center"/>
          </w:tcPr>
          <w:p>
            <w:pPr>
              <w:ind w:firstLine="893" w:firstLineChars="400"/>
              <w:rPr>
                <w:color w:val="000000"/>
                <w:sz w:val="22"/>
              </w:rPr>
            </w:pPr>
            <w:r>
              <w:rPr>
                <w:color w:val="000000"/>
                <w:sz w:val="22"/>
              </w:rPr>
              <w:t>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1705" w:type="dxa"/>
            <w:vAlign w:val="center"/>
          </w:tcPr>
          <w:p>
            <w:pPr>
              <w:jc w:val="center"/>
              <w:rPr>
                <w:color w:val="000000"/>
                <w:sz w:val="22"/>
              </w:rPr>
            </w:pPr>
            <w:r>
              <w:rPr>
                <w:color w:val="000000"/>
                <w:sz w:val="22"/>
              </w:rPr>
              <w:t>备注</w:t>
            </w:r>
          </w:p>
        </w:tc>
        <w:tc>
          <w:tcPr>
            <w:tcW w:w="6823" w:type="dxa"/>
            <w:gridSpan w:val="6"/>
          </w:tcPr>
          <w:p>
            <w:pPr>
              <w:rPr>
                <w:color w:val="000000"/>
                <w:sz w:val="22"/>
              </w:rPr>
            </w:pPr>
          </w:p>
        </w:tc>
      </w:tr>
    </w:tbl>
    <w:p>
      <w:pPr>
        <w:rPr>
          <w:color w:val="000000"/>
          <w:sz w:val="24"/>
        </w:rPr>
      </w:pPr>
      <w:r>
        <w:rPr>
          <w:color w:val="000000"/>
          <w:sz w:val="24"/>
        </w:rPr>
        <w:t>注：此报告单可以作为快报。</w:t>
      </w:r>
    </w:p>
    <w:p>
      <w:pPr>
        <w:rPr>
          <w:color w:val="000000"/>
          <w:sz w:val="24"/>
        </w:rPr>
      </w:pPr>
    </w:p>
    <w:p>
      <w:pPr>
        <w:spacing w:line="460" w:lineRule="exact"/>
        <w:jc w:val="left"/>
        <w:rPr>
          <w:b/>
          <w:color w:val="000000"/>
          <w:sz w:val="24"/>
        </w:rPr>
      </w:pPr>
      <w:r>
        <w:rPr>
          <w:color w:val="000000"/>
          <w:sz w:val="26"/>
          <w:szCs w:val="26"/>
        </w:rPr>
        <w:t>附件</w:t>
      </w:r>
      <w:r>
        <w:rPr>
          <w:rFonts w:hint="eastAsia"/>
          <w:color w:val="000000"/>
          <w:sz w:val="26"/>
          <w:szCs w:val="26"/>
        </w:rPr>
        <w:t xml:space="preserve"> </w:t>
      </w:r>
      <w:r>
        <w:rPr>
          <w:color w:val="000000"/>
          <w:sz w:val="26"/>
          <w:szCs w:val="26"/>
        </w:rPr>
        <w:t>应急预案启动令（格式）</w:t>
      </w:r>
    </w:p>
    <w:p>
      <w:pPr>
        <w:pStyle w:val="101"/>
        <w:ind w:firstLine="566"/>
        <w:jc w:val="center"/>
      </w:pPr>
      <w:r>
        <w:t>应急预案启动令（格式）</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（包括信息来源、事件现状、宣布事项） </w:t>
            </w:r>
          </w:p>
          <w:p>
            <w:pPr>
              <w:spacing w:before="156" w:after="156"/>
              <w:rPr>
                <w:color w:val="000000"/>
                <w:sz w:val="22"/>
              </w:rPr>
            </w:pPr>
          </w:p>
          <w:p>
            <w:pPr>
              <w:spacing w:before="156" w:after="156"/>
              <w:rPr>
                <w:color w:val="000000"/>
                <w:sz w:val="22"/>
              </w:rPr>
            </w:pPr>
            <w:r>
              <w:rPr>
                <w:color w:val="000000"/>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5"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p>
            <w:pPr>
              <w:spacing w:before="156" w:after="156"/>
              <w:rPr>
                <w:color w:val="000000"/>
                <w:sz w:val="22"/>
              </w:rPr>
            </w:pPr>
          </w:p>
        </w:tc>
      </w:tr>
    </w:tbl>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应急状态终止令（格式）</w:t>
      </w:r>
    </w:p>
    <w:p>
      <w:pPr>
        <w:rPr>
          <w:b/>
          <w:color w:val="000000"/>
          <w:sz w:val="24"/>
        </w:rPr>
      </w:pPr>
    </w:p>
    <w:p>
      <w:pPr>
        <w:pStyle w:val="101"/>
        <w:ind w:firstLine="566"/>
        <w:jc w:val="center"/>
      </w:pPr>
      <w:r>
        <w:t>应急状态终止令（格式）</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3" w:hRule="atLeast"/>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（宣布事件应急救援工作基本结束，现场基本恢复，现场指挥部（小组）撤销，相关部门认真做好善后恢复工作。） </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9"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tc>
      </w:tr>
    </w:tbl>
    <w:p>
      <w:pPr>
        <w:rPr>
          <w:color w:val="000000"/>
          <w:sz w:val="26"/>
          <w:szCs w:val="26"/>
        </w:rPr>
      </w:pPr>
      <w:r>
        <w:rPr>
          <w:color w:val="000000"/>
          <w:sz w:val="26"/>
          <w:szCs w:val="26"/>
        </w:rPr>
        <w:t>附件5  应急预案变更记录表</w:t>
      </w:r>
    </w:p>
    <w:p>
      <w:pPr>
        <w:pStyle w:val="101"/>
        <w:ind w:firstLine="566"/>
        <w:jc w:val="center"/>
      </w:pPr>
      <w:r>
        <w:t>应急预案变更记录表</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2" w:hRule="atLeast"/>
          <w:jc w:val="center"/>
        </w:trPr>
        <w:tc>
          <w:tcPr>
            <w:tcW w:w="8272" w:type="dxa"/>
          </w:tcPr>
          <w:p>
            <w:pPr>
              <w:spacing w:before="156" w:after="156"/>
              <w:rPr>
                <w:color w:val="000000"/>
                <w:sz w:val="22"/>
              </w:rPr>
            </w:pPr>
            <w:r>
              <w:rPr>
                <w:color w:val="000000"/>
                <w:sz w:val="22"/>
              </w:rPr>
              <w:t>变更原因、依据、时间：</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0" w:hRule="atLeast"/>
          <w:jc w:val="center"/>
        </w:trPr>
        <w:tc>
          <w:tcPr>
            <w:tcW w:w="8272" w:type="dxa"/>
          </w:tcPr>
          <w:p>
            <w:pPr>
              <w:spacing w:before="156" w:after="156"/>
              <w:rPr>
                <w:color w:val="000000"/>
                <w:sz w:val="22"/>
              </w:rPr>
            </w:pPr>
            <w:r>
              <w:rPr>
                <w:color w:val="000000"/>
                <w:sz w:val="22"/>
              </w:rPr>
              <w:t>变更内容（可附页）：</w:t>
            </w:r>
          </w:p>
          <w:p>
            <w:pPr>
              <w:spacing w:before="156" w:after="156"/>
              <w:rPr>
                <w:color w:val="000000"/>
                <w:sz w:val="22"/>
              </w:rPr>
            </w:pP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1" w:hRule="atLeast"/>
          <w:jc w:val="center"/>
        </w:trPr>
        <w:tc>
          <w:tcPr>
            <w:tcW w:w="8272" w:type="dxa"/>
          </w:tcPr>
          <w:p>
            <w:pPr>
              <w:spacing w:before="156" w:after="156"/>
              <w:rPr>
                <w:color w:val="000000"/>
                <w:sz w:val="22"/>
              </w:rPr>
            </w:pPr>
            <w:r>
              <w:rPr>
                <w:color w:val="000000"/>
                <w:sz w:val="22"/>
              </w:rPr>
              <w:t>申报单位：</w:t>
            </w: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1" w:hRule="atLeast"/>
          <w:jc w:val="center"/>
        </w:trPr>
        <w:tc>
          <w:tcPr>
            <w:tcW w:w="8272" w:type="dxa"/>
          </w:tcPr>
          <w:p>
            <w:pPr>
              <w:spacing w:before="156" w:after="156"/>
              <w:rPr>
                <w:color w:val="000000"/>
                <w:sz w:val="22"/>
              </w:rPr>
            </w:pPr>
            <w:r>
              <w:rPr>
                <w:color w:val="000000"/>
                <w:sz w:val="22"/>
              </w:rPr>
              <w:t>相关方获知情况：</w:t>
            </w:r>
          </w:p>
          <w:p>
            <w:pPr>
              <w:spacing w:before="156" w:after="156"/>
              <w:rPr>
                <w:color w:val="000000"/>
                <w:sz w:val="22"/>
              </w:rPr>
            </w:pPr>
          </w:p>
        </w:tc>
      </w:t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tbl>
    <w:p>
      <w:pPr>
        <w:tabs>
          <w:tab w:val="left" w:pos="4620"/>
        </w:tabs>
        <w:rPr>
          <w:rFonts w:asciiTheme="minorEastAsia" w:hAnsiTheme="minorEastAsia" w:eastAsiaTheme="minorEastAsia"/>
          <w:szCs w:val="21"/>
        </w:rPr>
      </w:pPr>
    </w:p>
    <w:sectPr>
      <w:footerReference r:id="rId5" w:type="default"/>
      <w:pgSz w:w="11906" w:h="16838"/>
      <w:pgMar w:top="1440" w:right="1797" w:bottom="1440" w:left="1797" w:header="680" w:footer="624" w:gutter="0"/>
      <w:cols w:space="720" w:num="1"/>
      <w:docGrid w:type="linesAndChars" w:linePitch="312"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Palatino Linotype">
    <w:panose1 w:val="02040502050505030304"/>
    <w:charset w:val="00"/>
    <w:family w:val="roman"/>
    <w:pitch w:val="default"/>
    <w:sig w:usb0="E0000387" w:usb1="40000013" w:usb2="00000000" w:usb3="00000000" w:csb0="2000019F" w:csb1="00000000"/>
  </w:font>
  <w:font w:name="Sylfaen">
    <w:altName w:val="Courier New"/>
    <w:panose1 w:val="010A0502050306030303"/>
    <w:charset w:val="00"/>
    <w:family w:val="roman"/>
    <w:pitch w:val="default"/>
    <w:sig w:usb0="00000000" w:usb1="00000000" w:usb2="00000000" w:usb3="00000000" w:csb0="0000000D" w:csb1="00000000"/>
  </w:font>
  <w:font w:name="MingLiU">
    <w:panose1 w:val="02020309000000000000"/>
    <w:charset w:val="88"/>
    <w:family w:val="modern"/>
    <w:pitch w:val="default"/>
    <w:sig w:usb0="00000003" w:usb1="082E0000" w:usb2="00000016" w:usb3="00000000" w:csb0="00100001" w:csb1="00000000"/>
  </w:font>
  <w:font w:name="Tahoma">
    <w:panose1 w:val="020B0604030504040204"/>
    <w:charset w:val="00"/>
    <w:family w:val="swiss"/>
    <w:pitch w:val="default"/>
    <w:sig w:usb0="61007A87" w:usb1="80000000" w:usb2="00000008"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00000287" w:usb1="00000000" w:usb2="00000000" w:usb3="00000000" w:csb0="2000019F" w:csb1="00000000"/>
  </w:font>
  <w:font w:name="Trebuchet MS">
    <w:panose1 w:val="020B0603020202020204"/>
    <w:charset w:val="00"/>
    <w:family w:val="swiss"/>
    <w:pitch w:val="default"/>
    <w:sig w:usb0="00000287" w:usb1="00000000" w:usb2="00000000" w:usb3="00000000" w:csb0="2000009F" w:csb1="00000000"/>
  </w:font>
  <w:font w:name="Vrinda">
    <w:altName w:val="Courier New"/>
    <w:panose1 w:val="00000400000000000000"/>
    <w:charset w:val="01"/>
    <w:family w:val="roman"/>
    <w:pitch w:val="default"/>
    <w:sig w:usb0="00000000" w:usb1="00000000" w:usb2="00000000" w:usb3="00000000" w:csb0="00000000" w:csb1="00000000"/>
  </w:font>
  <w:font w:name="Helv">
    <w:altName w:val="Microsoft Sans Serif"/>
    <w:panose1 w:val="020B0604020202030204"/>
    <w:charset w:val="00"/>
    <w:family w:val="swiss"/>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方正小标宋简体">
    <w:altName w:val="黑体"/>
    <w:panose1 w:val="00000000000000000000"/>
    <w:charset w:val="86"/>
    <w:family w:val="script"/>
    <w:pitch w:val="default"/>
    <w:sig w:usb0="00000000" w:usb1="00000000" w:usb2="00000000" w:usb3="00000000" w:csb0="00040000" w:csb1="00000000"/>
  </w:font>
  <w:font w:name="楷体">
    <w:altName w:val="楷体_GB2312"/>
    <w:panose1 w:val="00000000000000000000"/>
    <w:charset w:val="86"/>
    <w:family w:val="modern"/>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Microsoft Sans Serif">
    <w:panose1 w:val="020B0604020202020204"/>
    <w:charset w:val="00"/>
    <w:family w:val="auto"/>
    <w:pitch w:val="default"/>
    <w:sig w:usb0="61007BDF" w:usb1="80000000" w:usb2="00000008"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Candara">
    <w:panose1 w:val="020E0502030303020204"/>
    <w:charset w:val="00"/>
    <w:family w:val="swiss"/>
    <w:pitch w:val="default"/>
    <w:sig w:usb0="A00002EF" w:usb1="4000204B" w:usb2="00000000" w:usb3="00000000" w:csb0="2000009F" w:csb1="00000000"/>
  </w:font>
  <w:font w:name="Bookman Old Style">
    <w:panose1 w:val="02050604050505020204"/>
    <w:charset w:val="00"/>
    <w:family w:val="roman"/>
    <w:pitch w:val="default"/>
    <w:sig w:usb0="00000287" w:usb1="00000000" w:usb2="00000000" w:usb3="00000000" w:csb0="2000009F" w:csb1="DFD70000"/>
  </w:font>
  <w:font w:name="Georgia">
    <w:panose1 w:val="02040502050405020303"/>
    <w:charset w:val="00"/>
    <w:family w:val="roman"/>
    <w:pitch w:val="default"/>
    <w:sig w:usb0="00000287" w:usb1="00000000" w:usb2="00000000" w:usb3="00000000" w:csb0="2000009F" w:csb1="00000000"/>
  </w:font>
  <w:font w:name="FrankRuehl">
    <w:altName w:val="Courier New"/>
    <w:panose1 w:val="00000000000000000000"/>
    <w:charset w:val="B1"/>
    <w:family w:val="swiss"/>
    <w:pitch w:val="default"/>
    <w:sig w:usb0="00000000" w:usb1="00000000" w:usb2="00000000" w:usb3="00000000" w:csb0="00000020" w:csb1="00000000"/>
  </w:font>
  <w:font w:name="Franklin Gothic Heavy">
    <w:altName w:val="Courier New"/>
    <w:panose1 w:val="00000000000000000000"/>
    <w:charset w:val="00"/>
    <w:family w:val="swiss"/>
    <w:pitch w:val="default"/>
    <w:sig w:usb0="00000000" w:usb1="00000000" w:usb2="00000000" w:usb3="00000000" w:csb0="0000009F" w:csb1="00000000"/>
  </w:font>
  <w:font w:name="Consolas">
    <w:panose1 w:val="020B0609020204030204"/>
    <w:charset w:val="00"/>
    <w:family w:val="modern"/>
    <w:pitch w:val="default"/>
    <w:sig w:usb0="A00002EF" w:usb1="4000204B" w:usb2="00000000" w:usb3="00000000" w:csb0="2000009F" w:csb1="00000000"/>
  </w:font>
  <w:font w:name="Impact">
    <w:panose1 w:val="020B0806030902050204"/>
    <w:charset w:val="00"/>
    <w:family w:val="swiss"/>
    <w:pitch w:val="default"/>
    <w:sig w:usb0="00000287" w:usb1="00000000" w:usb2="00000000" w:usb3="00000000" w:csb0="2000009F" w:csb1="DFD70000"/>
  </w:font>
  <w:font w:name="仿宋体">
    <w:altName w:val="仿宋_GB2312"/>
    <w:panose1 w:val="00000000000000000000"/>
    <w:charset w:val="86"/>
    <w:family w:val="roman"/>
    <w:pitch w:val="default"/>
    <w:sig w:usb0="00000000" w:usb1="00000000" w:usb2="00000010" w:usb3="00000000" w:csb0="00040000" w:csb1="00000000"/>
  </w:font>
  <w:font w:name="MingLiU_HKSCS">
    <w:altName w:val="MingLiU"/>
    <w:panose1 w:val="00000000000000000000"/>
    <w:charset w:val="88"/>
    <w:family w:val="roman"/>
    <w:pitch w:val="default"/>
    <w:sig w:usb0="00000000" w:usb1="00000000" w:usb2="00000016" w:usb3="00000000" w:csb0="00100001" w:csb1="00000000"/>
  </w:font>
  <w:font w:name="Mincho">
    <w:altName w:val="MS UI Gothic"/>
    <w:panose1 w:val="02020609040305080305"/>
    <w:charset w:val="80"/>
    <w:family w:val="roman"/>
    <w:pitch w:val="default"/>
    <w:sig w:usb0="00000000" w:usb1="00000000" w:usb2="00000010" w:usb3="00000000" w:csb0="00020000" w:csb1="00000000"/>
  </w:font>
  <w:font w:name="新宋体">
    <w:panose1 w:val="02010609030101010101"/>
    <w:charset w:val="86"/>
    <w:family w:val="modern"/>
    <w:pitch w:val="default"/>
    <w:sig w:usb0="00000003" w:usb1="080E0000" w:usb2="00000000"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仿宋">
    <w:altName w:val="新宋体"/>
    <w:panose1 w:val="00000000000000000000"/>
    <w:charset w:val="86"/>
    <w:family w:val="modern"/>
    <w:pitch w:val="default"/>
    <w:sig w:usb0="00000000" w:usb1="00000000" w:usb2="00000016" w:usb3="00000000" w:csb0="00040001" w:csb1="00000000"/>
  </w:font>
  <w:font w:name="MS UI Gothic">
    <w:panose1 w:val="020B0600070205080204"/>
    <w:charset w:val="80"/>
    <w:family w:val="auto"/>
    <w:pitch w:val="default"/>
    <w:sig w:usb0="A00002BF" w:usb1="68C7FCFB" w:usb2="00000010" w:usb3="00000000" w:csb0="4002009F" w:csb1="DFD70000"/>
  </w:font>
  <w:font w:name="MingLiUfalt">
    <w:altName w:val="MingLiU"/>
    <w:panose1 w:val="00000000000000000000"/>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3074" o:spid="_x0000_s3074" o:spt="202" type="#_x0000_t202" style="position:absolute;left:0pt;margin-top:0pt;height:10.35pt;width:4.55pt;mso-position-horizontal:center;mso-position-horizontal-relative:margin;mso-wrap-style:none;z-index:251658240;mso-width-relative:page;mso-height-relative:page;" filled="f" stroked="f" coordsize="21600,21600">
          <v:path/>
          <v:fill on="f" focussize="0,0"/>
          <v:stroke on="f" weight="1.2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56</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宋体" w:hAnsi="宋体" w:cs="宋体"/>
      </w:rPr>
    </w:pPr>
    <w:r>
      <w:rPr>
        <w:rFonts w:hint="eastAsia" w:cs="宋体" w:asciiTheme="minorEastAsia" w:hAnsiTheme="minorEastAsia" w:eastAsiaTheme="minorEastAsia"/>
        <w:bCs/>
        <w:spacing w:val="-20"/>
        <w:lang w:val="zh-CN"/>
      </w:rPr>
      <w:t>重庆市涪陵区拓源污水治理有限公司李渡大耍</w:t>
    </w:r>
    <w:r>
      <w:rPr>
        <w:rFonts w:hint="eastAsia" w:asciiTheme="minorEastAsia" w:hAnsiTheme="minorEastAsia" w:eastAsiaTheme="minorEastAsia"/>
      </w:rPr>
      <w:t>坝污水处理厂</w:t>
    </w:r>
    <w:r>
      <w:rPr>
        <w:rFonts w:hint="eastAsia" w:ascii="宋体" w:hAnsi="宋体" w:cs="宋体"/>
      </w:rPr>
      <w:t>突发环境事件应急预案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7"/>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36A"/>
    <w:rsid w:val="00000835"/>
    <w:rsid w:val="0000255F"/>
    <w:rsid w:val="0000276B"/>
    <w:rsid w:val="00007CAE"/>
    <w:rsid w:val="0001003E"/>
    <w:rsid w:val="000114A3"/>
    <w:rsid w:val="00011AE5"/>
    <w:rsid w:val="00011B99"/>
    <w:rsid w:val="00014B9E"/>
    <w:rsid w:val="0002417E"/>
    <w:rsid w:val="00024CBE"/>
    <w:rsid w:val="000254B2"/>
    <w:rsid w:val="000308FB"/>
    <w:rsid w:val="00034DDF"/>
    <w:rsid w:val="00036C12"/>
    <w:rsid w:val="00045C0A"/>
    <w:rsid w:val="00047E99"/>
    <w:rsid w:val="00050DAB"/>
    <w:rsid w:val="00052FFA"/>
    <w:rsid w:val="00056075"/>
    <w:rsid w:val="00056944"/>
    <w:rsid w:val="00061D24"/>
    <w:rsid w:val="000631C1"/>
    <w:rsid w:val="00064120"/>
    <w:rsid w:val="000668BF"/>
    <w:rsid w:val="000677FD"/>
    <w:rsid w:val="0007008A"/>
    <w:rsid w:val="00076299"/>
    <w:rsid w:val="00094FF1"/>
    <w:rsid w:val="000B05F7"/>
    <w:rsid w:val="000B0BA4"/>
    <w:rsid w:val="000B61FC"/>
    <w:rsid w:val="000C6CD0"/>
    <w:rsid w:val="000D14D8"/>
    <w:rsid w:val="000D2388"/>
    <w:rsid w:val="000D4373"/>
    <w:rsid w:val="000D78ED"/>
    <w:rsid w:val="000E4B80"/>
    <w:rsid w:val="000E5587"/>
    <w:rsid w:val="000E559A"/>
    <w:rsid w:val="000F0F3C"/>
    <w:rsid w:val="000F74E7"/>
    <w:rsid w:val="0010209C"/>
    <w:rsid w:val="00103484"/>
    <w:rsid w:val="0010641D"/>
    <w:rsid w:val="0011146D"/>
    <w:rsid w:val="00113BE0"/>
    <w:rsid w:val="0011425A"/>
    <w:rsid w:val="001143A8"/>
    <w:rsid w:val="00117278"/>
    <w:rsid w:val="00122C30"/>
    <w:rsid w:val="00127E60"/>
    <w:rsid w:val="00130CE8"/>
    <w:rsid w:val="00130FFD"/>
    <w:rsid w:val="00136421"/>
    <w:rsid w:val="00151DD1"/>
    <w:rsid w:val="00152A2A"/>
    <w:rsid w:val="00153AE3"/>
    <w:rsid w:val="001575DE"/>
    <w:rsid w:val="00160206"/>
    <w:rsid w:val="001621FA"/>
    <w:rsid w:val="00162EE8"/>
    <w:rsid w:val="001637DB"/>
    <w:rsid w:val="00166975"/>
    <w:rsid w:val="00167881"/>
    <w:rsid w:val="001724C3"/>
    <w:rsid w:val="00172A27"/>
    <w:rsid w:val="001845BC"/>
    <w:rsid w:val="00190466"/>
    <w:rsid w:val="001909F5"/>
    <w:rsid w:val="00193893"/>
    <w:rsid w:val="00193F12"/>
    <w:rsid w:val="001A0DCD"/>
    <w:rsid w:val="001A5364"/>
    <w:rsid w:val="001A5D74"/>
    <w:rsid w:val="001B1755"/>
    <w:rsid w:val="001B44A1"/>
    <w:rsid w:val="001B55EA"/>
    <w:rsid w:val="001C2C3D"/>
    <w:rsid w:val="001C65FD"/>
    <w:rsid w:val="001D61AC"/>
    <w:rsid w:val="001E0ED2"/>
    <w:rsid w:val="001E5B00"/>
    <w:rsid w:val="001E6C0D"/>
    <w:rsid w:val="001E7281"/>
    <w:rsid w:val="001E7491"/>
    <w:rsid w:val="001F4256"/>
    <w:rsid w:val="001F6462"/>
    <w:rsid w:val="00201BE8"/>
    <w:rsid w:val="00202C20"/>
    <w:rsid w:val="0020385E"/>
    <w:rsid w:val="00204979"/>
    <w:rsid w:val="00206690"/>
    <w:rsid w:val="00206835"/>
    <w:rsid w:val="002068C8"/>
    <w:rsid w:val="00211BA7"/>
    <w:rsid w:val="00214DB3"/>
    <w:rsid w:val="00216880"/>
    <w:rsid w:val="00217504"/>
    <w:rsid w:val="002225FA"/>
    <w:rsid w:val="00223411"/>
    <w:rsid w:val="00236E2E"/>
    <w:rsid w:val="00243054"/>
    <w:rsid w:val="00245A2B"/>
    <w:rsid w:val="00245D4A"/>
    <w:rsid w:val="00250860"/>
    <w:rsid w:val="00250BC6"/>
    <w:rsid w:val="00250D2E"/>
    <w:rsid w:val="00251D38"/>
    <w:rsid w:val="002568E8"/>
    <w:rsid w:val="002623B5"/>
    <w:rsid w:val="00263EF0"/>
    <w:rsid w:val="002651D5"/>
    <w:rsid w:val="00265ABA"/>
    <w:rsid w:val="002675E4"/>
    <w:rsid w:val="002710FB"/>
    <w:rsid w:val="00273200"/>
    <w:rsid w:val="0027487D"/>
    <w:rsid w:val="00284364"/>
    <w:rsid w:val="00285452"/>
    <w:rsid w:val="002870C4"/>
    <w:rsid w:val="00287281"/>
    <w:rsid w:val="002910C3"/>
    <w:rsid w:val="00294851"/>
    <w:rsid w:val="00295C54"/>
    <w:rsid w:val="00296B12"/>
    <w:rsid w:val="002B16C7"/>
    <w:rsid w:val="002B5041"/>
    <w:rsid w:val="002B5543"/>
    <w:rsid w:val="002B7280"/>
    <w:rsid w:val="002B7A40"/>
    <w:rsid w:val="002C1A4D"/>
    <w:rsid w:val="002C1A62"/>
    <w:rsid w:val="002C327B"/>
    <w:rsid w:val="002C4C2B"/>
    <w:rsid w:val="002C4F9D"/>
    <w:rsid w:val="002C78F5"/>
    <w:rsid w:val="002D1775"/>
    <w:rsid w:val="002E0F4D"/>
    <w:rsid w:val="002E5E62"/>
    <w:rsid w:val="00301AC2"/>
    <w:rsid w:val="00301DF4"/>
    <w:rsid w:val="003020A2"/>
    <w:rsid w:val="00310C2E"/>
    <w:rsid w:val="00315570"/>
    <w:rsid w:val="00315A20"/>
    <w:rsid w:val="00315D68"/>
    <w:rsid w:val="00316432"/>
    <w:rsid w:val="00322D65"/>
    <w:rsid w:val="00324BF9"/>
    <w:rsid w:val="00325205"/>
    <w:rsid w:val="00326155"/>
    <w:rsid w:val="003265B9"/>
    <w:rsid w:val="00326BEB"/>
    <w:rsid w:val="00327813"/>
    <w:rsid w:val="00333AAC"/>
    <w:rsid w:val="00336900"/>
    <w:rsid w:val="003414FF"/>
    <w:rsid w:val="00341A41"/>
    <w:rsid w:val="00344718"/>
    <w:rsid w:val="0034644C"/>
    <w:rsid w:val="003470C7"/>
    <w:rsid w:val="00347534"/>
    <w:rsid w:val="00354A99"/>
    <w:rsid w:val="00356FFB"/>
    <w:rsid w:val="00366716"/>
    <w:rsid w:val="003674FA"/>
    <w:rsid w:val="00370A90"/>
    <w:rsid w:val="003731C2"/>
    <w:rsid w:val="00373F90"/>
    <w:rsid w:val="00374AD2"/>
    <w:rsid w:val="003762AC"/>
    <w:rsid w:val="003842AE"/>
    <w:rsid w:val="00385516"/>
    <w:rsid w:val="00387F4C"/>
    <w:rsid w:val="00395222"/>
    <w:rsid w:val="003A0BAC"/>
    <w:rsid w:val="003A2EDF"/>
    <w:rsid w:val="003A5E82"/>
    <w:rsid w:val="003A7A96"/>
    <w:rsid w:val="003B0B2F"/>
    <w:rsid w:val="003B4A55"/>
    <w:rsid w:val="003B51F0"/>
    <w:rsid w:val="003C03E6"/>
    <w:rsid w:val="003C08CA"/>
    <w:rsid w:val="003C1919"/>
    <w:rsid w:val="003C2FF0"/>
    <w:rsid w:val="003C4F1C"/>
    <w:rsid w:val="003C74E8"/>
    <w:rsid w:val="003E01CC"/>
    <w:rsid w:val="003E6B7D"/>
    <w:rsid w:val="003E7557"/>
    <w:rsid w:val="003F1408"/>
    <w:rsid w:val="003F27EB"/>
    <w:rsid w:val="003F4336"/>
    <w:rsid w:val="003F7FD4"/>
    <w:rsid w:val="0040786C"/>
    <w:rsid w:val="004104C9"/>
    <w:rsid w:val="00411AEE"/>
    <w:rsid w:val="00414242"/>
    <w:rsid w:val="004150AB"/>
    <w:rsid w:val="00416997"/>
    <w:rsid w:val="00423611"/>
    <w:rsid w:val="00424E6B"/>
    <w:rsid w:val="00425A0D"/>
    <w:rsid w:val="00433E07"/>
    <w:rsid w:val="00433F3B"/>
    <w:rsid w:val="00435A8D"/>
    <w:rsid w:val="004373F8"/>
    <w:rsid w:val="00440D5B"/>
    <w:rsid w:val="004436C6"/>
    <w:rsid w:val="00443EC0"/>
    <w:rsid w:val="004441D5"/>
    <w:rsid w:val="004452B3"/>
    <w:rsid w:val="0046130C"/>
    <w:rsid w:val="004626EC"/>
    <w:rsid w:val="004654BE"/>
    <w:rsid w:val="0046622E"/>
    <w:rsid w:val="00470D5D"/>
    <w:rsid w:val="004719E1"/>
    <w:rsid w:val="00471C6C"/>
    <w:rsid w:val="00471CF5"/>
    <w:rsid w:val="004746DE"/>
    <w:rsid w:val="00474D96"/>
    <w:rsid w:val="00474DEF"/>
    <w:rsid w:val="00475381"/>
    <w:rsid w:val="00475FD0"/>
    <w:rsid w:val="004768C4"/>
    <w:rsid w:val="00476C2C"/>
    <w:rsid w:val="00486E3B"/>
    <w:rsid w:val="004870E7"/>
    <w:rsid w:val="004871E0"/>
    <w:rsid w:val="004A0A89"/>
    <w:rsid w:val="004A191B"/>
    <w:rsid w:val="004A3A21"/>
    <w:rsid w:val="004A52B0"/>
    <w:rsid w:val="004A7B58"/>
    <w:rsid w:val="004C3E5D"/>
    <w:rsid w:val="004C6423"/>
    <w:rsid w:val="004D3169"/>
    <w:rsid w:val="004D7093"/>
    <w:rsid w:val="004E37D0"/>
    <w:rsid w:val="004F0CA4"/>
    <w:rsid w:val="004F1341"/>
    <w:rsid w:val="004F5475"/>
    <w:rsid w:val="004F75E4"/>
    <w:rsid w:val="00504155"/>
    <w:rsid w:val="00505FC6"/>
    <w:rsid w:val="005067B2"/>
    <w:rsid w:val="005137B6"/>
    <w:rsid w:val="00513A8A"/>
    <w:rsid w:val="00520525"/>
    <w:rsid w:val="00522E59"/>
    <w:rsid w:val="00523596"/>
    <w:rsid w:val="00527512"/>
    <w:rsid w:val="005276A1"/>
    <w:rsid w:val="0053461D"/>
    <w:rsid w:val="00535F6D"/>
    <w:rsid w:val="00540FE4"/>
    <w:rsid w:val="005455AC"/>
    <w:rsid w:val="00545C39"/>
    <w:rsid w:val="00550171"/>
    <w:rsid w:val="0055587F"/>
    <w:rsid w:val="0056186E"/>
    <w:rsid w:val="00564CE7"/>
    <w:rsid w:val="00565257"/>
    <w:rsid w:val="00571010"/>
    <w:rsid w:val="005735E2"/>
    <w:rsid w:val="00573975"/>
    <w:rsid w:val="0057792A"/>
    <w:rsid w:val="00580539"/>
    <w:rsid w:val="00580EB9"/>
    <w:rsid w:val="005819AE"/>
    <w:rsid w:val="005957F0"/>
    <w:rsid w:val="00597E9C"/>
    <w:rsid w:val="005A07FC"/>
    <w:rsid w:val="005A4458"/>
    <w:rsid w:val="005A4DA2"/>
    <w:rsid w:val="005B43DC"/>
    <w:rsid w:val="005B6BA9"/>
    <w:rsid w:val="005C1E4C"/>
    <w:rsid w:val="005C4135"/>
    <w:rsid w:val="005C69C6"/>
    <w:rsid w:val="005D3953"/>
    <w:rsid w:val="005D5126"/>
    <w:rsid w:val="005D52EB"/>
    <w:rsid w:val="005E3E32"/>
    <w:rsid w:val="005E416D"/>
    <w:rsid w:val="005E4DBB"/>
    <w:rsid w:val="005F0544"/>
    <w:rsid w:val="005F1B76"/>
    <w:rsid w:val="005F79FC"/>
    <w:rsid w:val="00600988"/>
    <w:rsid w:val="006011DF"/>
    <w:rsid w:val="0060380D"/>
    <w:rsid w:val="00605709"/>
    <w:rsid w:val="00607443"/>
    <w:rsid w:val="00611576"/>
    <w:rsid w:val="00615D93"/>
    <w:rsid w:val="00623157"/>
    <w:rsid w:val="006239CA"/>
    <w:rsid w:val="0063448A"/>
    <w:rsid w:val="006359CF"/>
    <w:rsid w:val="00635A41"/>
    <w:rsid w:val="006360C9"/>
    <w:rsid w:val="00641216"/>
    <w:rsid w:val="00642230"/>
    <w:rsid w:val="00645FDC"/>
    <w:rsid w:val="00646346"/>
    <w:rsid w:val="0065363E"/>
    <w:rsid w:val="0065602F"/>
    <w:rsid w:val="0065605E"/>
    <w:rsid w:val="006603DE"/>
    <w:rsid w:val="00660DAB"/>
    <w:rsid w:val="006630A3"/>
    <w:rsid w:val="006650F8"/>
    <w:rsid w:val="00665355"/>
    <w:rsid w:val="00665435"/>
    <w:rsid w:val="006677EE"/>
    <w:rsid w:val="00672999"/>
    <w:rsid w:val="006742A0"/>
    <w:rsid w:val="00680AFA"/>
    <w:rsid w:val="00682A8C"/>
    <w:rsid w:val="00683522"/>
    <w:rsid w:val="00683A60"/>
    <w:rsid w:val="006922B3"/>
    <w:rsid w:val="006925EC"/>
    <w:rsid w:val="00695C1A"/>
    <w:rsid w:val="00696F35"/>
    <w:rsid w:val="006A0D32"/>
    <w:rsid w:val="006A0E2C"/>
    <w:rsid w:val="006A2139"/>
    <w:rsid w:val="006A665C"/>
    <w:rsid w:val="006A66A8"/>
    <w:rsid w:val="006B5184"/>
    <w:rsid w:val="006B7107"/>
    <w:rsid w:val="006B7735"/>
    <w:rsid w:val="006C3022"/>
    <w:rsid w:val="006C7CFC"/>
    <w:rsid w:val="006D16EB"/>
    <w:rsid w:val="006D349B"/>
    <w:rsid w:val="006D36FF"/>
    <w:rsid w:val="006E201E"/>
    <w:rsid w:val="006E37B7"/>
    <w:rsid w:val="006E456A"/>
    <w:rsid w:val="006E6FED"/>
    <w:rsid w:val="006F1ABD"/>
    <w:rsid w:val="0070768C"/>
    <w:rsid w:val="00707DCB"/>
    <w:rsid w:val="007135ED"/>
    <w:rsid w:val="00717BF8"/>
    <w:rsid w:val="00722708"/>
    <w:rsid w:val="00722E17"/>
    <w:rsid w:val="007238D7"/>
    <w:rsid w:val="00724479"/>
    <w:rsid w:val="00731DF5"/>
    <w:rsid w:val="00732179"/>
    <w:rsid w:val="00732870"/>
    <w:rsid w:val="00733A64"/>
    <w:rsid w:val="00734ACE"/>
    <w:rsid w:val="0073770C"/>
    <w:rsid w:val="00737FDA"/>
    <w:rsid w:val="00745A09"/>
    <w:rsid w:val="007527A2"/>
    <w:rsid w:val="007546C8"/>
    <w:rsid w:val="0075474F"/>
    <w:rsid w:val="007605C0"/>
    <w:rsid w:val="00760A0E"/>
    <w:rsid w:val="00764A29"/>
    <w:rsid w:val="00764B1E"/>
    <w:rsid w:val="00764FB8"/>
    <w:rsid w:val="00766B96"/>
    <w:rsid w:val="007675A8"/>
    <w:rsid w:val="007705DD"/>
    <w:rsid w:val="00770FCC"/>
    <w:rsid w:val="007748CB"/>
    <w:rsid w:val="0077492A"/>
    <w:rsid w:val="00776B08"/>
    <w:rsid w:val="007770A9"/>
    <w:rsid w:val="00780829"/>
    <w:rsid w:val="007864AA"/>
    <w:rsid w:val="00786534"/>
    <w:rsid w:val="007918CB"/>
    <w:rsid w:val="007A0640"/>
    <w:rsid w:val="007A1616"/>
    <w:rsid w:val="007A3F7A"/>
    <w:rsid w:val="007B3498"/>
    <w:rsid w:val="007B51D3"/>
    <w:rsid w:val="007C29D1"/>
    <w:rsid w:val="007C6AB4"/>
    <w:rsid w:val="007D33C4"/>
    <w:rsid w:val="007D49CE"/>
    <w:rsid w:val="007E78B2"/>
    <w:rsid w:val="007F4DE7"/>
    <w:rsid w:val="007F673E"/>
    <w:rsid w:val="00800630"/>
    <w:rsid w:val="00805B43"/>
    <w:rsid w:val="0081041B"/>
    <w:rsid w:val="00813611"/>
    <w:rsid w:val="00813994"/>
    <w:rsid w:val="00827EA7"/>
    <w:rsid w:val="00833389"/>
    <w:rsid w:val="00833790"/>
    <w:rsid w:val="00835876"/>
    <w:rsid w:val="00841014"/>
    <w:rsid w:val="0084253E"/>
    <w:rsid w:val="00843735"/>
    <w:rsid w:val="008467F8"/>
    <w:rsid w:val="008478B6"/>
    <w:rsid w:val="00850594"/>
    <w:rsid w:val="00857C46"/>
    <w:rsid w:val="008601F3"/>
    <w:rsid w:val="0086185B"/>
    <w:rsid w:val="008624D9"/>
    <w:rsid w:val="00870C96"/>
    <w:rsid w:val="00872847"/>
    <w:rsid w:val="00877164"/>
    <w:rsid w:val="008809B1"/>
    <w:rsid w:val="008817EE"/>
    <w:rsid w:val="00897921"/>
    <w:rsid w:val="008A2EE5"/>
    <w:rsid w:val="008B6CD6"/>
    <w:rsid w:val="008B72A1"/>
    <w:rsid w:val="008C0451"/>
    <w:rsid w:val="008D11FC"/>
    <w:rsid w:val="008D1C99"/>
    <w:rsid w:val="008D28E7"/>
    <w:rsid w:val="008D2F66"/>
    <w:rsid w:val="008D3944"/>
    <w:rsid w:val="008D7B66"/>
    <w:rsid w:val="008D7D7A"/>
    <w:rsid w:val="008E09C7"/>
    <w:rsid w:val="008E114F"/>
    <w:rsid w:val="008E3592"/>
    <w:rsid w:val="008E4C2D"/>
    <w:rsid w:val="008F14CF"/>
    <w:rsid w:val="008F4DCA"/>
    <w:rsid w:val="009017C0"/>
    <w:rsid w:val="00903B9E"/>
    <w:rsid w:val="00911015"/>
    <w:rsid w:val="00912C8C"/>
    <w:rsid w:val="009157E5"/>
    <w:rsid w:val="0092009B"/>
    <w:rsid w:val="0092173F"/>
    <w:rsid w:val="00922F95"/>
    <w:rsid w:val="0093254D"/>
    <w:rsid w:val="009355CE"/>
    <w:rsid w:val="009435B1"/>
    <w:rsid w:val="0094491A"/>
    <w:rsid w:val="009479B5"/>
    <w:rsid w:val="009531BB"/>
    <w:rsid w:val="009554DA"/>
    <w:rsid w:val="009578A5"/>
    <w:rsid w:val="009604B7"/>
    <w:rsid w:val="009627AF"/>
    <w:rsid w:val="00964974"/>
    <w:rsid w:val="00965086"/>
    <w:rsid w:val="0096657C"/>
    <w:rsid w:val="00973C37"/>
    <w:rsid w:val="00973F66"/>
    <w:rsid w:val="009756CA"/>
    <w:rsid w:val="009768E9"/>
    <w:rsid w:val="00977EEA"/>
    <w:rsid w:val="00985EB4"/>
    <w:rsid w:val="00986303"/>
    <w:rsid w:val="0099089C"/>
    <w:rsid w:val="009934AA"/>
    <w:rsid w:val="00997B06"/>
    <w:rsid w:val="009A0587"/>
    <w:rsid w:val="009B463D"/>
    <w:rsid w:val="009B606C"/>
    <w:rsid w:val="009B7FFA"/>
    <w:rsid w:val="009C0D85"/>
    <w:rsid w:val="009C4C5D"/>
    <w:rsid w:val="009C6294"/>
    <w:rsid w:val="009E2F18"/>
    <w:rsid w:val="009E59D4"/>
    <w:rsid w:val="009F297E"/>
    <w:rsid w:val="009F2B87"/>
    <w:rsid w:val="009F6446"/>
    <w:rsid w:val="00A0485E"/>
    <w:rsid w:val="00A04EB8"/>
    <w:rsid w:val="00A05C26"/>
    <w:rsid w:val="00A06105"/>
    <w:rsid w:val="00A12C2E"/>
    <w:rsid w:val="00A1301D"/>
    <w:rsid w:val="00A159BF"/>
    <w:rsid w:val="00A15E1D"/>
    <w:rsid w:val="00A163B9"/>
    <w:rsid w:val="00A213B8"/>
    <w:rsid w:val="00A23C26"/>
    <w:rsid w:val="00A23D81"/>
    <w:rsid w:val="00A2792B"/>
    <w:rsid w:val="00A27AB8"/>
    <w:rsid w:val="00A30048"/>
    <w:rsid w:val="00A3113D"/>
    <w:rsid w:val="00A31697"/>
    <w:rsid w:val="00A31EA8"/>
    <w:rsid w:val="00A34366"/>
    <w:rsid w:val="00A37D94"/>
    <w:rsid w:val="00A41837"/>
    <w:rsid w:val="00A44128"/>
    <w:rsid w:val="00A515D5"/>
    <w:rsid w:val="00A52412"/>
    <w:rsid w:val="00A53A37"/>
    <w:rsid w:val="00A549C4"/>
    <w:rsid w:val="00A577DE"/>
    <w:rsid w:val="00A61A51"/>
    <w:rsid w:val="00A65222"/>
    <w:rsid w:val="00A65D28"/>
    <w:rsid w:val="00A70271"/>
    <w:rsid w:val="00A717DB"/>
    <w:rsid w:val="00A7335A"/>
    <w:rsid w:val="00A813E5"/>
    <w:rsid w:val="00A8734A"/>
    <w:rsid w:val="00A876B4"/>
    <w:rsid w:val="00A906F9"/>
    <w:rsid w:val="00A91DCA"/>
    <w:rsid w:val="00A95CCD"/>
    <w:rsid w:val="00A95F4A"/>
    <w:rsid w:val="00AA1B66"/>
    <w:rsid w:val="00AA22B9"/>
    <w:rsid w:val="00AA6080"/>
    <w:rsid w:val="00AB1E6D"/>
    <w:rsid w:val="00AB2005"/>
    <w:rsid w:val="00AB22D3"/>
    <w:rsid w:val="00AB4428"/>
    <w:rsid w:val="00AB7463"/>
    <w:rsid w:val="00AC2BA6"/>
    <w:rsid w:val="00AC39C6"/>
    <w:rsid w:val="00AC40DC"/>
    <w:rsid w:val="00AC47DF"/>
    <w:rsid w:val="00AC5D87"/>
    <w:rsid w:val="00AD3090"/>
    <w:rsid w:val="00AD4435"/>
    <w:rsid w:val="00AE56B9"/>
    <w:rsid w:val="00AE618C"/>
    <w:rsid w:val="00AE6E58"/>
    <w:rsid w:val="00AF2FF3"/>
    <w:rsid w:val="00AF4562"/>
    <w:rsid w:val="00AF499A"/>
    <w:rsid w:val="00AF5B46"/>
    <w:rsid w:val="00AF6078"/>
    <w:rsid w:val="00AF6FDA"/>
    <w:rsid w:val="00B02E25"/>
    <w:rsid w:val="00B0578E"/>
    <w:rsid w:val="00B10826"/>
    <w:rsid w:val="00B1113C"/>
    <w:rsid w:val="00B12979"/>
    <w:rsid w:val="00B12B59"/>
    <w:rsid w:val="00B1465C"/>
    <w:rsid w:val="00B1496E"/>
    <w:rsid w:val="00B221CF"/>
    <w:rsid w:val="00B243EF"/>
    <w:rsid w:val="00B30383"/>
    <w:rsid w:val="00B33101"/>
    <w:rsid w:val="00B4248E"/>
    <w:rsid w:val="00B42499"/>
    <w:rsid w:val="00B4301B"/>
    <w:rsid w:val="00B449E1"/>
    <w:rsid w:val="00B45403"/>
    <w:rsid w:val="00B5484B"/>
    <w:rsid w:val="00B56C35"/>
    <w:rsid w:val="00B6712B"/>
    <w:rsid w:val="00B7158E"/>
    <w:rsid w:val="00B72A90"/>
    <w:rsid w:val="00B74BC6"/>
    <w:rsid w:val="00B76D9C"/>
    <w:rsid w:val="00B823E2"/>
    <w:rsid w:val="00B8278F"/>
    <w:rsid w:val="00B845A4"/>
    <w:rsid w:val="00B861E7"/>
    <w:rsid w:val="00B872BF"/>
    <w:rsid w:val="00B90DF2"/>
    <w:rsid w:val="00B911C3"/>
    <w:rsid w:val="00B95599"/>
    <w:rsid w:val="00BA08F1"/>
    <w:rsid w:val="00BA43CE"/>
    <w:rsid w:val="00BA4411"/>
    <w:rsid w:val="00BA5C59"/>
    <w:rsid w:val="00BB02CC"/>
    <w:rsid w:val="00BB0834"/>
    <w:rsid w:val="00BC1E88"/>
    <w:rsid w:val="00BC3A0F"/>
    <w:rsid w:val="00BC44BF"/>
    <w:rsid w:val="00BC546C"/>
    <w:rsid w:val="00BC78E9"/>
    <w:rsid w:val="00BD306C"/>
    <w:rsid w:val="00BE2BF8"/>
    <w:rsid w:val="00BF71E5"/>
    <w:rsid w:val="00C023A8"/>
    <w:rsid w:val="00C028B6"/>
    <w:rsid w:val="00C0757D"/>
    <w:rsid w:val="00C076E6"/>
    <w:rsid w:val="00C07C97"/>
    <w:rsid w:val="00C16B24"/>
    <w:rsid w:val="00C170AC"/>
    <w:rsid w:val="00C17BDA"/>
    <w:rsid w:val="00C21763"/>
    <w:rsid w:val="00C30CEA"/>
    <w:rsid w:val="00C31FA6"/>
    <w:rsid w:val="00C32CD7"/>
    <w:rsid w:val="00C41992"/>
    <w:rsid w:val="00C42B6D"/>
    <w:rsid w:val="00C521F4"/>
    <w:rsid w:val="00C566D2"/>
    <w:rsid w:val="00C665F4"/>
    <w:rsid w:val="00C676CD"/>
    <w:rsid w:val="00C703FC"/>
    <w:rsid w:val="00C7633D"/>
    <w:rsid w:val="00C77969"/>
    <w:rsid w:val="00C82020"/>
    <w:rsid w:val="00C856B5"/>
    <w:rsid w:val="00C874CB"/>
    <w:rsid w:val="00C90528"/>
    <w:rsid w:val="00C962E5"/>
    <w:rsid w:val="00CA1267"/>
    <w:rsid w:val="00CA24C3"/>
    <w:rsid w:val="00CA33AC"/>
    <w:rsid w:val="00CA45F4"/>
    <w:rsid w:val="00CA476D"/>
    <w:rsid w:val="00CA4A73"/>
    <w:rsid w:val="00CA7B71"/>
    <w:rsid w:val="00CB25FB"/>
    <w:rsid w:val="00CB39F6"/>
    <w:rsid w:val="00CB5D43"/>
    <w:rsid w:val="00CB635D"/>
    <w:rsid w:val="00CB685A"/>
    <w:rsid w:val="00CC1A9C"/>
    <w:rsid w:val="00CC3981"/>
    <w:rsid w:val="00CC5E40"/>
    <w:rsid w:val="00CD2A4F"/>
    <w:rsid w:val="00CD70E9"/>
    <w:rsid w:val="00CE0D9C"/>
    <w:rsid w:val="00CE1118"/>
    <w:rsid w:val="00CE1E50"/>
    <w:rsid w:val="00CE2B7D"/>
    <w:rsid w:val="00CE3B3A"/>
    <w:rsid w:val="00CE69CA"/>
    <w:rsid w:val="00CF0921"/>
    <w:rsid w:val="00CF76AA"/>
    <w:rsid w:val="00D04BC1"/>
    <w:rsid w:val="00D050C3"/>
    <w:rsid w:val="00D06CBA"/>
    <w:rsid w:val="00D10CB7"/>
    <w:rsid w:val="00D11B5E"/>
    <w:rsid w:val="00D1204B"/>
    <w:rsid w:val="00D12EC4"/>
    <w:rsid w:val="00D20306"/>
    <w:rsid w:val="00D25F20"/>
    <w:rsid w:val="00D30082"/>
    <w:rsid w:val="00D303B5"/>
    <w:rsid w:val="00D37C39"/>
    <w:rsid w:val="00D40E2B"/>
    <w:rsid w:val="00D414B4"/>
    <w:rsid w:val="00D422D6"/>
    <w:rsid w:val="00D42424"/>
    <w:rsid w:val="00D43DCC"/>
    <w:rsid w:val="00D477BD"/>
    <w:rsid w:val="00D510E6"/>
    <w:rsid w:val="00D52855"/>
    <w:rsid w:val="00D5697A"/>
    <w:rsid w:val="00D57C1D"/>
    <w:rsid w:val="00D60604"/>
    <w:rsid w:val="00D65EBA"/>
    <w:rsid w:val="00D70DED"/>
    <w:rsid w:val="00D71B28"/>
    <w:rsid w:val="00D76E83"/>
    <w:rsid w:val="00D801A5"/>
    <w:rsid w:val="00D8314F"/>
    <w:rsid w:val="00D845BC"/>
    <w:rsid w:val="00D93500"/>
    <w:rsid w:val="00D96561"/>
    <w:rsid w:val="00DA3AD5"/>
    <w:rsid w:val="00DA5C6D"/>
    <w:rsid w:val="00DB0F08"/>
    <w:rsid w:val="00DB3552"/>
    <w:rsid w:val="00DB3BC0"/>
    <w:rsid w:val="00DB51B3"/>
    <w:rsid w:val="00DC29FD"/>
    <w:rsid w:val="00DC4224"/>
    <w:rsid w:val="00DC5CC2"/>
    <w:rsid w:val="00DD0324"/>
    <w:rsid w:val="00DD2924"/>
    <w:rsid w:val="00DD697C"/>
    <w:rsid w:val="00DD7553"/>
    <w:rsid w:val="00DF0A4E"/>
    <w:rsid w:val="00DF5B20"/>
    <w:rsid w:val="00E01691"/>
    <w:rsid w:val="00E02044"/>
    <w:rsid w:val="00E03D3B"/>
    <w:rsid w:val="00E04BAC"/>
    <w:rsid w:val="00E11A9D"/>
    <w:rsid w:val="00E325E8"/>
    <w:rsid w:val="00E37DC8"/>
    <w:rsid w:val="00E40DB9"/>
    <w:rsid w:val="00E41067"/>
    <w:rsid w:val="00E42420"/>
    <w:rsid w:val="00E45633"/>
    <w:rsid w:val="00E47561"/>
    <w:rsid w:val="00E519F2"/>
    <w:rsid w:val="00E56DF9"/>
    <w:rsid w:val="00E56F25"/>
    <w:rsid w:val="00E6147A"/>
    <w:rsid w:val="00E6642F"/>
    <w:rsid w:val="00E70FA3"/>
    <w:rsid w:val="00E73F80"/>
    <w:rsid w:val="00E77D5B"/>
    <w:rsid w:val="00E8126A"/>
    <w:rsid w:val="00E81E06"/>
    <w:rsid w:val="00E83D22"/>
    <w:rsid w:val="00E870DD"/>
    <w:rsid w:val="00E87288"/>
    <w:rsid w:val="00E90206"/>
    <w:rsid w:val="00E9056E"/>
    <w:rsid w:val="00E9158F"/>
    <w:rsid w:val="00E93882"/>
    <w:rsid w:val="00E97A52"/>
    <w:rsid w:val="00EA0EF1"/>
    <w:rsid w:val="00EA4BB8"/>
    <w:rsid w:val="00EB1A6F"/>
    <w:rsid w:val="00EB2D27"/>
    <w:rsid w:val="00EB33E9"/>
    <w:rsid w:val="00EB46AD"/>
    <w:rsid w:val="00EC440E"/>
    <w:rsid w:val="00ED0E94"/>
    <w:rsid w:val="00ED1BE2"/>
    <w:rsid w:val="00ED5A12"/>
    <w:rsid w:val="00ED7939"/>
    <w:rsid w:val="00EE1969"/>
    <w:rsid w:val="00EE1B1A"/>
    <w:rsid w:val="00EE3CCF"/>
    <w:rsid w:val="00EE4A61"/>
    <w:rsid w:val="00EF1AE3"/>
    <w:rsid w:val="00EF263A"/>
    <w:rsid w:val="00F07654"/>
    <w:rsid w:val="00F11CFF"/>
    <w:rsid w:val="00F15AE6"/>
    <w:rsid w:val="00F170E4"/>
    <w:rsid w:val="00F173A1"/>
    <w:rsid w:val="00F2072C"/>
    <w:rsid w:val="00F21AF5"/>
    <w:rsid w:val="00F25987"/>
    <w:rsid w:val="00F25E16"/>
    <w:rsid w:val="00F273A1"/>
    <w:rsid w:val="00F32076"/>
    <w:rsid w:val="00F379F9"/>
    <w:rsid w:val="00F430DB"/>
    <w:rsid w:val="00F54B57"/>
    <w:rsid w:val="00F564E2"/>
    <w:rsid w:val="00F56BAE"/>
    <w:rsid w:val="00F615FA"/>
    <w:rsid w:val="00F66D4D"/>
    <w:rsid w:val="00F67CBF"/>
    <w:rsid w:val="00F7049A"/>
    <w:rsid w:val="00F70ABA"/>
    <w:rsid w:val="00F7403F"/>
    <w:rsid w:val="00F7743D"/>
    <w:rsid w:val="00F83A0D"/>
    <w:rsid w:val="00F900AA"/>
    <w:rsid w:val="00F90FCF"/>
    <w:rsid w:val="00F94498"/>
    <w:rsid w:val="00F9501A"/>
    <w:rsid w:val="00FA361B"/>
    <w:rsid w:val="00FA6B70"/>
    <w:rsid w:val="00FB07B3"/>
    <w:rsid w:val="00FB73E5"/>
    <w:rsid w:val="00FC2F6F"/>
    <w:rsid w:val="00FC7E25"/>
    <w:rsid w:val="00FD794E"/>
    <w:rsid w:val="00FE0E44"/>
    <w:rsid w:val="00FF099D"/>
    <w:rsid w:val="00FF1EC0"/>
    <w:rsid w:val="00FF54EF"/>
    <w:rsid w:val="027570B1"/>
    <w:rsid w:val="04DA5BB1"/>
    <w:rsid w:val="07A61CC5"/>
    <w:rsid w:val="08465135"/>
    <w:rsid w:val="08F4542C"/>
    <w:rsid w:val="124B4783"/>
    <w:rsid w:val="19B95A32"/>
    <w:rsid w:val="312E27C0"/>
    <w:rsid w:val="31A41A55"/>
    <w:rsid w:val="35752683"/>
    <w:rsid w:val="36660180"/>
    <w:rsid w:val="36D15B29"/>
    <w:rsid w:val="3B7911BC"/>
    <w:rsid w:val="3C533057"/>
    <w:rsid w:val="3C757C49"/>
    <w:rsid w:val="5A930D2C"/>
    <w:rsid w:val="5DBC484C"/>
    <w:rsid w:val="66FF211C"/>
    <w:rsid w:val="67F55427"/>
    <w:rsid w:val="715C7B53"/>
    <w:rsid w:val="72CF71E2"/>
    <w:rsid w:val="7DFA2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4"/>
      <o:rules v:ext="edit">
        <o:r id="V:Rule1" type="connector" idref="#_x0000_s4333"/>
        <o:r id="V:Rule2" type="connector" idref="#自选图形 1943"/>
        <o:r id="V:Rule3" type="connector" idref="#_x0000_s4497"/>
        <o:r id="V:Rule4" type="connector" idref="#_x0000_s4499"/>
        <o:r id="V:Rule5" type="connector" idref="#_x0000_s4501"/>
        <o:r id="V:Rule6" type="connector" idref="#_x0000_s4504"/>
        <o:r id="V:Rule7" type="connector" idref="#_x0000_s4507"/>
        <o:r id="V:Rule8" type="connector" idref="#_x0000_s4509"/>
        <o:r id="V:Rule9" type="connector" idref="#_x0000_s4511"/>
        <o:r id="V:Rule10" type="connector" idref="#_x0000_s4514"/>
        <o:r id="V:Rule11" type="connector" idref="#_x0000_s4517"/>
        <o:r id="V:Rule12" type="connector" idref="#_x0000_s4521"/>
        <o:r id="V:Rule13" type="connector" idref="#_x0000_s4523"/>
        <o:r id="V:Rule14" type="connector" idref="#_x0000_s4525"/>
        <o:r id="V:Rule15" type="connector" idref="#_x0000_s4527"/>
        <o:r id="V:Rule16" type="connector" idref="#_x0000_s4530"/>
        <o:r id="V:Rule17" type="connector" idref="#_x0000_s4532"/>
        <o:r id="V:Rule18" type="connector" idref="#_x0000_s45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9"/>
    <w:qFormat/>
    <w:uiPriority w:val="0"/>
    <w:pPr>
      <w:keepNext/>
      <w:outlineLvl w:val="0"/>
    </w:pPr>
    <w:rPr>
      <w:rFonts w:ascii="黑体"/>
      <w:sz w:val="52"/>
    </w:rPr>
  </w:style>
  <w:style w:type="paragraph" w:styleId="3">
    <w:name w:val="heading 2"/>
    <w:basedOn w:val="1"/>
    <w:next w:val="1"/>
    <w:link w:val="151"/>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21"/>
    <w:qFormat/>
    <w:uiPriority w:val="99"/>
    <w:pPr>
      <w:keepNext/>
      <w:keepLines/>
      <w:spacing w:before="260" w:after="260" w:line="416" w:lineRule="auto"/>
      <w:outlineLvl w:val="2"/>
    </w:pPr>
    <w:rPr>
      <w:b/>
      <w:bCs/>
      <w:sz w:val="32"/>
      <w:szCs w:val="32"/>
    </w:rPr>
  </w:style>
  <w:style w:type="paragraph" w:styleId="5">
    <w:name w:val="heading 4"/>
    <w:basedOn w:val="1"/>
    <w:next w:val="1"/>
    <w:link w:val="149"/>
    <w:qFormat/>
    <w:uiPriority w:val="0"/>
    <w:pPr>
      <w:keepNext/>
      <w:tabs>
        <w:tab w:val="left" w:pos="629"/>
      </w:tabs>
      <w:jc w:val="center"/>
      <w:outlineLvl w:val="3"/>
    </w:pPr>
    <w:rPr>
      <w:rFonts w:ascii="宋体" w:hAnsi="宋体"/>
      <w:sz w:val="28"/>
      <w:szCs w:val="24"/>
    </w:rPr>
  </w:style>
  <w:style w:type="paragraph" w:styleId="6">
    <w:name w:val="heading 5"/>
    <w:basedOn w:val="1"/>
    <w:next w:val="1"/>
    <w:link w:val="56"/>
    <w:qFormat/>
    <w:uiPriority w:val="0"/>
    <w:pPr>
      <w:keepNext/>
      <w:tabs>
        <w:tab w:val="left" w:pos="633"/>
      </w:tabs>
      <w:ind w:left="401" w:leftChars="-5" w:hanging="412" w:hangingChars="147"/>
      <w:jc w:val="center"/>
      <w:outlineLvl w:val="4"/>
    </w:pPr>
    <w:rPr>
      <w:rFonts w:ascii="宋体" w:hAnsi="宋体" w:eastAsia="黑体"/>
      <w:sz w:val="28"/>
      <w:szCs w:val="24"/>
    </w:rPr>
  </w:style>
  <w:style w:type="paragraph" w:styleId="7">
    <w:name w:val="heading 6"/>
    <w:basedOn w:val="1"/>
    <w:next w:val="1"/>
    <w:link w:val="89"/>
    <w:qFormat/>
    <w:uiPriority w:val="0"/>
    <w:pPr>
      <w:keepNext/>
      <w:ind w:left="192" w:leftChars="91" w:firstLine="414" w:firstLineChars="148"/>
      <w:outlineLvl w:val="5"/>
    </w:pPr>
    <w:rPr>
      <w:rFonts w:ascii="宋体" w:hAnsi="宋体" w:eastAsia="黑体"/>
      <w:sz w:val="28"/>
      <w:szCs w:val="24"/>
    </w:rPr>
  </w:style>
  <w:style w:type="paragraph" w:styleId="8">
    <w:name w:val="heading 7"/>
    <w:basedOn w:val="1"/>
    <w:next w:val="9"/>
    <w:link w:val="99"/>
    <w:qFormat/>
    <w:uiPriority w:val="0"/>
    <w:pPr>
      <w:keepNext/>
      <w:keepLines/>
      <w:spacing w:before="240" w:after="64" w:line="320" w:lineRule="auto"/>
      <w:outlineLvl w:val="6"/>
    </w:pPr>
    <w:rPr>
      <w:b/>
      <w:sz w:val="24"/>
    </w:rPr>
  </w:style>
  <w:style w:type="paragraph" w:styleId="10">
    <w:name w:val="heading 8"/>
    <w:basedOn w:val="1"/>
    <w:next w:val="9"/>
    <w:link w:val="97"/>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9"/>
    <w:link w:val="130"/>
    <w:qFormat/>
    <w:uiPriority w:val="0"/>
    <w:pPr>
      <w:keepNext/>
      <w:keepLines/>
      <w:spacing w:before="240" w:after="64" w:line="320" w:lineRule="auto"/>
      <w:outlineLvl w:val="8"/>
    </w:pPr>
    <w:rPr>
      <w:rFonts w:ascii="Arial" w:hAnsi="Arial" w:eastAsia="黑体"/>
      <w:sz w:val="24"/>
    </w:rPr>
  </w:style>
  <w:style w:type="character" w:default="1" w:styleId="47">
    <w:name w:val="Default Paragraph Font"/>
    <w:unhideWhenUsed/>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9">
    <w:name w:val="Normal Indent"/>
    <w:basedOn w:val="1"/>
    <w:qFormat/>
    <w:uiPriority w:val="0"/>
    <w:pPr>
      <w:adjustRightInd w:val="0"/>
      <w:spacing w:line="360" w:lineRule="atLeast"/>
      <w:ind w:firstLine="420"/>
      <w:jc w:val="left"/>
      <w:textAlignment w:val="baseline"/>
    </w:pPr>
    <w:rPr>
      <w:kern w:val="0"/>
      <w:sz w:val="24"/>
    </w:rPr>
  </w:style>
  <w:style w:type="paragraph" w:styleId="12">
    <w:name w:val="toc 7"/>
    <w:basedOn w:val="1"/>
    <w:next w:val="1"/>
    <w:qFormat/>
    <w:uiPriority w:val="39"/>
    <w:pPr>
      <w:ind w:left="1260"/>
      <w:jc w:val="left"/>
    </w:pPr>
    <w:rPr>
      <w:sz w:val="18"/>
      <w:szCs w:val="18"/>
    </w:rPr>
  </w:style>
  <w:style w:type="paragraph" w:styleId="13">
    <w:name w:val="Body Text First Indent"/>
    <w:basedOn w:val="14"/>
    <w:link w:val="152"/>
    <w:qFormat/>
    <w:uiPriority w:val="0"/>
    <w:pPr>
      <w:ind w:firstLine="420" w:firstLineChars="100"/>
    </w:pPr>
    <w:rPr>
      <w:szCs w:val="20"/>
    </w:rPr>
  </w:style>
  <w:style w:type="paragraph" w:styleId="14">
    <w:name w:val="Body Text"/>
    <w:basedOn w:val="1"/>
    <w:link w:val="106"/>
    <w:qFormat/>
    <w:uiPriority w:val="0"/>
    <w:pPr>
      <w:spacing w:after="120"/>
    </w:pPr>
    <w:rPr>
      <w:szCs w:val="24"/>
    </w:rPr>
  </w:style>
  <w:style w:type="paragraph" w:styleId="15">
    <w:name w:val="Note Heading"/>
    <w:basedOn w:val="1"/>
    <w:next w:val="1"/>
    <w:qFormat/>
    <w:uiPriority w:val="0"/>
    <w:pPr>
      <w:jc w:val="center"/>
    </w:pPr>
    <w:rPr>
      <w:rFonts w:ascii="宋体"/>
    </w:rPr>
  </w:style>
  <w:style w:type="paragraph" w:styleId="16">
    <w:name w:val="caption"/>
    <w:basedOn w:val="1"/>
    <w:next w:val="1"/>
    <w:qFormat/>
    <w:uiPriority w:val="0"/>
    <w:pPr>
      <w:jc w:val="center"/>
    </w:pPr>
    <w:rPr>
      <w:rFonts w:cs="Arial"/>
      <w:sz w:val="24"/>
    </w:rPr>
  </w:style>
  <w:style w:type="paragraph" w:styleId="17">
    <w:name w:val="Document Map"/>
    <w:basedOn w:val="1"/>
    <w:semiHidden/>
    <w:qFormat/>
    <w:uiPriority w:val="0"/>
    <w:pPr>
      <w:shd w:val="clear" w:color="auto" w:fill="000080"/>
    </w:pPr>
  </w:style>
  <w:style w:type="paragraph" w:styleId="18">
    <w:name w:val="Body Text 3"/>
    <w:basedOn w:val="1"/>
    <w:qFormat/>
    <w:uiPriority w:val="0"/>
    <w:pPr>
      <w:jc w:val="center"/>
    </w:pPr>
    <w:rPr>
      <w:rFonts w:ascii="楷体_GB2312" w:eastAsia="楷体_GB2312"/>
      <w:b/>
      <w:sz w:val="28"/>
      <w:szCs w:val="24"/>
    </w:rPr>
  </w:style>
  <w:style w:type="paragraph" w:styleId="19">
    <w:name w:val="Body Text Indent"/>
    <w:basedOn w:val="1"/>
    <w:link w:val="162"/>
    <w:qFormat/>
    <w:uiPriority w:val="0"/>
    <w:pPr>
      <w:ind w:left="360"/>
      <w:jc w:val="left"/>
    </w:pPr>
    <w:rPr>
      <w:rFonts w:ascii="宋体"/>
      <w:b/>
    </w:rPr>
  </w:style>
  <w:style w:type="paragraph" w:styleId="20">
    <w:name w:val="List 2"/>
    <w:basedOn w:val="1"/>
    <w:qFormat/>
    <w:uiPriority w:val="0"/>
    <w:pPr>
      <w:ind w:left="840" w:hanging="420"/>
    </w:pPr>
  </w:style>
  <w:style w:type="paragraph" w:styleId="21">
    <w:name w:val="toc 5"/>
    <w:basedOn w:val="1"/>
    <w:next w:val="1"/>
    <w:qFormat/>
    <w:uiPriority w:val="39"/>
    <w:pPr>
      <w:ind w:left="840"/>
      <w:jc w:val="left"/>
    </w:pPr>
    <w:rPr>
      <w:sz w:val="18"/>
      <w:szCs w:val="18"/>
    </w:rPr>
  </w:style>
  <w:style w:type="paragraph" w:styleId="22">
    <w:name w:val="toc 3"/>
    <w:basedOn w:val="1"/>
    <w:next w:val="1"/>
    <w:qFormat/>
    <w:uiPriority w:val="39"/>
    <w:pPr>
      <w:ind w:left="420"/>
      <w:jc w:val="left"/>
    </w:pPr>
    <w:rPr>
      <w:i/>
      <w:iCs/>
      <w:sz w:val="20"/>
    </w:rPr>
  </w:style>
  <w:style w:type="paragraph" w:styleId="23">
    <w:name w:val="Plain Text"/>
    <w:basedOn w:val="1"/>
    <w:link w:val="103"/>
    <w:qFormat/>
    <w:uiPriority w:val="0"/>
    <w:rPr>
      <w:rFonts w:ascii="宋体" w:hAnsi="Courier New"/>
    </w:rPr>
  </w:style>
  <w:style w:type="paragraph" w:styleId="24">
    <w:name w:val="toc 8"/>
    <w:basedOn w:val="1"/>
    <w:next w:val="1"/>
    <w:qFormat/>
    <w:uiPriority w:val="39"/>
    <w:pPr>
      <w:ind w:left="1470"/>
      <w:jc w:val="left"/>
    </w:pPr>
    <w:rPr>
      <w:sz w:val="18"/>
      <w:szCs w:val="18"/>
    </w:rPr>
  </w:style>
  <w:style w:type="paragraph" w:styleId="25">
    <w:name w:val="Date"/>
    <w:basedOn w:val="1"/>
    <w:next w:val="1"/>
    <w:qFormat/>
    <w:uiPriority w:val="0"/>
    <w:pPr>
      <w:adjustRightInd w:val="0"/>
      <w:spacing w:line="312" w:lineRule="atLeast"/>
      <w:textAlignment w:val="baseline"/>
    </w:pPr>
    <w:rPr>
      <w:rFonts w:ascii="宋体"/>
      <w:kern w:val="0"/>
    </w:rPr>
  </w:style>
  <w:style w:type="paragraph" w:styleId="26">
    <w:name w:val="Body Text Indent 2"/>
    <w:basedOn w:val="1"/>
    <w:uiPriority w:val="0"/>
    <w:pPr>
      <w:spacing w:after="120" w:line="480" w:lineRule="auto"/>
      <w:ind w:left="420" w:leftChars="200"/>
    </w:pPr>
    <w:rPr>
      <w:szCs w:val="24"/>
    </w:rPr>
  </w:style>
  <w:style w:type="paragraph" w:styleId="27">
    <w:name w:val="Balloon Text"/>
    <w:basedOn w:val="1"/>
    <w:link w:val="109"/>
    <w:uiPriority w:val="0"/>
    <w:rPr>
      <w:sz w:val="18"/>
      <w:szCs w:val="18"/>
    </w:rPr>
  </w:style>
  <w:style w:type="paragraph" w:styleId="28">
    <w:name w:val="footer"/>
    <w:basedOn w:val="1"/>
    <w:link w:val="75"/>
    <w:qFormat/>
    <w:uiPriority w:val="99"/>
    <w:pPr>
      <w:tabs>
        <w:tab w:val="center" w:pos="4153"/>
        <w:tab w:val="right" w:pos="8306"/>
      </w:tabs>
      <w:snapToGrid w:val="0"/>
      <w:jc w:val="left"/>
    </w:pPr>
    <w:rPr>
      <w:sz w:val="18"/>
      <w:szCs w:val="18"/>
    </w:rPr>
  </w:style>
  <w:style w:type="paragraph" w:styleId="29">
    <w:name w:val="header"/>
    <w:basedOn w:val="1"/>
    <w:link w:val="146"/>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uiPriority w:val="39"/>
    <w:pPr>
      <w:tabs>
        <w:tab w:val="right" w:leader="dot" w:pos="9174"/>
      </w:tabs>
      <w:spacing w:before="120" w:after="120" w:line="540" w:lineRule="exact"/>
      <w:jc w:val="left"/>
    </w:pPr>
    <w:rPr>
      <w:rFonts w:ascii="宋体" w:hAnsi="宋体"/>
      <w:bCs/>
      <w:caps/>
      <w:sz w:val="28"/>
      <w:szCs w:val="28"/>
    </w:rPr>
  </w:style>
  <w:style w:type="paragraph" w:styleId="31">
    <w:name w:val="toc 4"/>
    <w:basedOn w:val="1"/>
    <w:next w:val="1"/>
    <w:qFormat/>
    <w:uiPriority w:val="39"/>
    <w:pPr>
      <w:ind w:left="630"/>
      <w:jc w:val="left"/>
    </w:pPr>
    <w:rPr>
      <w:sz w:val="18"/>
      <w:szCs w:val="18"/>
    </w:rPr>
  </w:style>
  <w:style w:type="paragraph" w:styleId="32">
    <w:name w:val="index heading"/>
    <w:basedOn w:val="1"/>
    <w:next w:val="33"/>
    <w:qFormat/>
    <w:uiPriority w:val="0"/>
    <w:rPr>
      <w:szCs w:val="24"/>
    </w:rPr>
  </w:style>
  <w:style w:type="paragraph" w:styleId="33">
    <w:name w:val="index 1"/>
    <w:basedOn w:val="1"/>
    <w:next w:val="1"/>
    <w:semiHidden/>
    <w:qFormat/>
    <w:uiPriority w:val="0"/>
    <w:pPr>
      <w:spacing w:line="400" w:lineRule="exact"/>
    </w:pPr>
    <w:rPr>
      <w:szCs w:val="24"/>
    </w:rPr>
  </w:style>
  <w:style w:type="paragraph" w:styleId="34">
    <w:name w:val="List"/>
    <w:basedOn w:val="1"/>
    <w:qFormat/>
    <w:uiPriority w:val="0"/>
    <w:pPr>
      <w:ind w:left="200" w:hanging="200" w:hangingChars="200"/>
    </w:pPr>
    <w:rPr>
      <w:szCs w:val="24"/>
    </w:rPr>
  </w:style>
  <w:style w:type="paragraph" w:styleId="35">
    <w:name w:val="footnote text"/>
    <w:basedOn w:val="1"/>
    <w:link w:val="61"/>
    <w:qFormat/>
    <w:uiPriority w:val="0"/>
    <w:pPr>
      <w:snapToGrid w:val="0"/>
      <w:jc w:val="left"/>
    </w:pPr>
    <w:rPr>
      <w:sz w:val="18"/>
      <w:szCs w:val="18"/>
    </w:rPr>
  </w:style>
  <w:style w:type="paragraph" w:styleId="36">
    <w:name w:val="toc 6"/>
    <w:basedOn w:val="1"/>
    <w:next w:val="1"/>
    <w:uiPriority w:val="39"/>
    <w:pPr>
      <w:ind w:left="1050"/>
      <w:jc w:val="left"/>
    </w:pPr>
    <w:rPr>
      <w:sz w:val="18"/>
      <w:szCs w:val="18"/>
    </w:rPr>
  </w:style>
  <w:style w:type="paragraph" w:styleId="37">
    <w:name w:val="List 5"/>
    <w:basedOn w:val="1"/>
    <w:uiPriority w:val="0"/>
    <w:pPr>
      <w:tabs>
        <w:tab w:val="left" w:pos="3780"/>
      </w:tabs>
      <w:ind w:left="3780" w:hanging="420"/>
    </w:pPr>
    <w:rPr>
      <w:sz w:val="32"/>
    </w:rPr>
  </w:style>
  <w:style w:type="paragraph" w:styleId="38">
    <w:name w:val="Body Text Indent 3"/>
    <w:basedOn w:val="1"/>
    <w:link w:val="159"/>
    <w:uiPriority w:val="0"/>
    <w:pPr>
      <w:tabs>
        <w:tab w:val="left" w:pos="1520"/>
      </w:tabs>
      <w:spacing w:line="600" w:lineRule="exact"/>
      <w:ind w:firstLine="480"/>
    </w:pPr>
    <w:rPr>
      <w:rFonts w:ascii="宋体" w:hAnsi="宋体"/>
      <w:sz w:val="28"/>
      <w:szCs w:val="24"/>
    </w:rPr>
  </w:style>
  <w:style w:type="paragraph" w:styleId="39">
    <w:name w:val="toc 2"/>
    <w:basedOn w:val="1"/>
    <w:next w:val="1"/>
    <w:uiPriority w:val="39"/>
    <w:pPr>
      <w:ind w:left="210"/>
      <w:jc w:val="left"/>
    </w:pPr>
    <w:rPr>
      <w:smallCaps/>
      <w:sz w:val="20"/>
    </w:rPr>
  </w:style>
  <w:style w:type="paragraph" w:styleId="40">
    <w:name w:val="toc 9"/>
    <w:basedOn w:val="1"/>
    <w:next w:val="1"/>
    <w:qFormat/>
    <w:uiPriority w:val="39"/>
    <w:pPr>
      <w:ind w:left="1680"/>
      <w:jc w:val="left"/>
    </w:pPr>
    <w:rPr>
      <w:sz w:val="18"/>
      <w:szCs w:val="18"/>
    </w:rPr>
  </w:style>
  <w:style w:type="paragraph" w:styleId="41">
    <w:name w:val="Body Text 2"/>
    <w:basedOn w:val="1"/>
    <w:link w:val="161"/>
    <w:qFormat/>
    <w:uiPriority w:val="0"/>
    <w:pPr>
      <w:spacing w:after="120" w:line="480" w:lineRule="auto"/>
    </w:pPr>
  </w:style>
  <w:style w:type="paragraph" w:styleId="42">
    <w:name w:val="List Continue 2"/>
    <w:basedOn w:val="1"/>
    <w:qFormat/>
    <w:uiPriority w:val="0"/>
    <w:pPr>
      <w:spacing w:after="120"/>
      <w:ind w:left="400" w:leftChars="400"/>
    </w:pPr>
    <w:rPr>
      <w:szCs w:val="24"/>
    </w:rPr>
  </w:style>
  <w:style w:type="paragraph" w:styleId="4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45">
    <w:name w:val="index 2"/>
    <w:basedOn w:val="1"/>
    <w:next w:val="1"/>
    <w:uiPriority w:val="0"/>
    <w:pPr>
      <w:ind w:left="420" w:hanging="210"/>
      <w:jc w:val="left"/>
    </w:pPr>
  </w:style>
  <w:style w:type="paragraph" w:styleId="46">
    <w:name w:val="Title"/>
    <w:basedOn w:val="1"/>
    <w:next w:val="3"/>
    <w:link w:val="98"/>
    <w:qFormat/>
    <w:uiPriority w:val="0"/>
    <w:pPr>
      <w:spacing w:beforeLines="30" w:afterLines="30" w:line="360" w:lineRule="auto"/>
      <w:ind w:firstLine="200" w:firstLineChars="200"/>
      <w:jc w:val="center"/>
      <w:outlineLvl w:val="0"/>
    </w:pPr>
    <w:rPr>
      <w:rFonts w:ascii="Arial" w:hAnsi="Arial" w:cs="Arial"/>
      <w:b/>
      <w:snapToGrid w:val="0"/>
      <w:kern w:val="0"/>
      <w:sz w:val="32"/>
      <w:szCs w:val="32"/>
    </w:rPr>
  </w:style>
  <w:style w:type="character" w:styleId="48">
    <w:name w:val="Strong"/>
    <w:qFormat/>
    <w:uiPriority w:val="0"/>
    <w:rPr>
      <w:b/>
      <w:bCs/>
    </w:rPr>
  </w:style>
  <w:style w:type="character" w:styleId="49">
    <w:name w:val="page number"/>
    <w:basedOn w:val="47"/>
    <w:uiPriority w:val="0"/>
  </w:style>
  <w:style w:type="character" w:styleId="50">
    <w:name w:val="FollowedHyperlink"/>
    <w:qFormat/>
    <w:uiPriority w:val="0"/>
    <w:rPr>
      <w:color w:val="800080"/>
      <w:u w:val="single"/>
    </w:rPr>
  </w:style>
  <w:style w:type="character" w:styleId="51">
    <w:name w:val="Emphasis"/>
    <w:qFormat/>
    <w:uiPriority w:val="0"/>
    <w:rPr>
      <w:rFonts w:cs="Times New Roman"/>
      <w:i/>
      <w:iCs/>
    </w:rPr>
  </w:style>
  <w:style w:type="character" w:styleId="52">
    <w:name w:val="HTML Typewriter"/>
    <w:qFormat/>
    <w:uiPriority w:val="0"/>
    <w:rPr>
      <w:rFonts w:ascii="Courier New" w:hAnsi="Courier New"/>
      <w:sz w:val="20"/>
      <w:szCs w:val="20"/>
    </w:rPr>
  </w:style>
  <w:style w:type="character" w:styleId="53">
    <w:name w:val="Hyperlink"/>
    <w:qFormat/>
    <w:uiPriority w:val="99"/>
    <w:rPr>
      <w:color w:val="0000FF"/>
      <w:u w:val="single"/>
    </w:rPr>
  </w:style>
  <w:style w:type="table" w:styleId="55">
    <w:name w:val="Table Grid"/>
    <w:basedOn w:val="54"/>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56">
    <w:name w:val="标题 5 Char"/>
    <w:link w:val="6"/>
    <w:qFormat/>
    <w:uiPriority w:val="0"/>
    <w:rPr>
      <w:rFonts w:ascii="宋体" w:hAnsi="宋体" w:eastAsia="黑体"/>
      <w:kern w:val="2"/>
      <w:sz w:val="28"/>
      <w:szCs w:val="24"/>
      <w:lang w:val="en-US" w:eastAsia="zh-CN" w:bidi="ar-SA"/>
    </w:rPr>
  </w:style>
  <w:style w:type="character" w:customStyle="1" w:styleId="57">
    <w:name w:val="标题 1 Char Char"/>
    <w:qFormat/>
    <w:uiPriority w:val="0"/>
    <w:rPr>
      <w:rFonts w:ascii="黑体" w:hAnsi="宋体" w:eastAsia="黑体"/>
      <w:b/>
      <w:bCs/>
      <w:kern w:val="2"/>
      <w:sz w:val="32"/>
      <w:szCs w:val="24"/>
      <w:lang w:val="en-US" w:eastAsia="zh-CN" w:bidi="ar-SA"/>
    </w:rPr>
  </w:style>
  <w:style w:type="character" w:customStyle="1" w:styleId="58">
    <w:name w:val="apple-style-span"/>
    <w:basedOn w:val="47"/>
    <w:qFormat/>
    <w:uiPriority w:val="0"/>
  </w:style>
  <w:style w:type="character" w:customStyle="1" w:styleId="59">
    <w:name w:val="Heading 1 Char"/>
    <w:qFormat/>
    <w:locked/>
    <w:uiPriority w:val="0"/>
    <w:rPr>
      <w:rFonts w:cs="Times New Roman"/>
      <w:b/>
      <w:bCs/>
      <w:kern w:val="44"/>
      <w:sz w:val="44"/>
      <w:szCs w:val="44"/>
    </w:rPr>
  </w:style>
  <w:style w:type="character" w:customStyle="1" w:styleId="60">
    <w:name w:val="页眉00 Char Char"/>
    <w:qFormat/>
    <w:locked/>
    <w:uiPriority w:val="0"/>
    <w:rPr>
      <w:rFonts w:ascii="宋体" w:hAnsi="宋体" w:eastAsia="宋体"/>
      <w:kern w:val="2"/>
      <w:sz w:val="18"/>
      <w:szCs w:val="18"/>
      <w:lang w:val="en-US" w:eastAsia="zh-CN" w:bidi="ar-SA"/>
    </w:rPr>
  </w:style>
  <w:style w:type="character" w:customStyle="1" w:styleId="61">
    <w:name w:val="脚注文本 Char"/>
    <w:link w:val="35"/>
    <w:qFormat/>
    <w:uiPriority w:val="0"/>
    <w:rPr>
      <w:kern w:val="2"/>
      <w:sz w:val="18"/>
      <w:szCs w:val="18"/>
      <w:lang w:bidi="ar-SA"/>
    </w:rPr>
  </w:style>
  <w:style w:type="character" w:customStyle="1" w:styleId="62">
    <w:name w:val="标题 8 Char Char"/>
    <w:qFormat/>
    <w:uiPriority w:val="0"/>
    <w:rPr>
      <w:rFonts w:ascii="Arial" w:hAnsi="Arial" w:eastAsia="黑体"/>
      <w:kern w:val="2"/>
      <w:sz w:val="24"/>
      <w:lang w:val="en-US" w:eastAsia="zh-CN" w:bidi="ar-SA"/>
    </w:rPr>
  </w:style>
  <w:style w:type="character" w:customStyle="1" w:styleId="63">
    <w:name w:val="Font Style213"/>
    <w:qFormat/>
    <w:uiPriority w:val="0"/>
    <w:rPr>
      <w:rFonts w:ascii="宋体" w:eastAsia="宋体" w:cs="宋体"/>
      <w:b/>
      <w:bCs/>
      <w:sz w:val="22"/>
      <w:szCs w:val="22"/>
    </w:rPr>
  </w:style>
  <w:style w:type="character" w:customStyle="1" w:styleId="64">
    <w:name w:val="普通(网站) Char"/>
    <w:qFormat/>
    <w:uiPriority w:val="0"/>
    <w:rPr>
      <w:rFonts w:ascii="宋体" w:hAnsi="宋体" w:eastAsia="宋体" w:cs="宋体"/>
      <w:color w:val="000000"/>
      <w:sz w:val="24"/>
      <w:szCs w:val="24"/>
      <w:lang w:val="en-US" w:eastAsia="zh-CN" w:bidi="ar-SA"/>
    </w:rPr>
  </w:style>
  <w:style w:type="character" w:customStyle="1" w:styleId="65">
    <w:name w:val="正文文本 2 Char Char"/>
    <w:qFormat/>
    <w:uiPriority w:val="0"/>
    <w:rPr>
      <w:rFonts w:eastAsia="宋体"/>
      <w:kern w:val="2"/>
      <w:sz w:val="24"/>
      <w:szCs w:val="24"/>
      <w:lang w:val="en-US" w:eastAsia="zh-CN" w:bidi="ar-SA"/>
    </w:rPr>
  </w:style>
  <w:style w:type="character" w:customStyle="1" w:styleId="66">
    <w:name w:val="正文缩进 Char Char"/>
    <w:qFormat/>
    <w:uiPriority w:val="0"/>
    <w:rPr>
      <w:rFonts w:eastAsia="宋体"/>
      <w:spacing w:val="10"/>
      <w:kern w:val="2"/>
      <w:sz w:val="28"/>
      <w:lang w:val="en-US" w:eastAsia="zh-CN" w:bidi="ar-SA"/>
    </w:rPr>
  </w:style>
  <w:style w:type="character" w:customStyle="1" w:styleId="67">
    <w:name w:val="Char Char12"/>
    <w:qFormat/>
    <w:uiPriority w:val="0"/>
    <w:rPr>
      <w:b/>
      <w:kern w:val="2"/>
      <w:sz w:val="24"/>
    </w:rPr>
  </w:style>
  <w:style w:type="character" w:customStyle="1" w:styleId="68">
    <w:name w:val="Char Char7"/>
    <w:qFormat/>
    <w:uiPriority w:val="0"/>
    <w:rPr>
      <w:kern w:val="2"/>
      <w:sz w:val="24"/>
      <w:szCs w:val="24"/>
    </w:rPr>
  </w:style>
  <w:style w:type="character" w:customStyle="1" w:styleId="69">
    <w:name w:val="标题 1 Char"/>
    <w:link w:val="2"/>
    <w:qFormat/>
    <w:uiPriority w:val="0"/>
    <w:rPr>
      <w:rFonts w:ascii="黑体" w:eastAsia="宋体"/>
      <w:kern w:val="2"/>
      <w:sz w:val="52"/>
      <w:lang w:val="en-US" w:eastAsia="zh-CN" w:bidi="ar-SA"/>
    </w:rPr>
  </w:style>
  <w:style w:type="character" w:customStyle="1" w:styleId="70">
    <w:name w:val="样式 宋体 小四"/>
    <w:qFormat/>
    <w:uiPriority w:val="0"/>
    <w:rPr>
      <w:rFonts w:hint="eastAsia" w:ascii="宋体" w:hAnsi="宋体" w:eastAsia="宋体"/>
      <w:b/>
      <w:sz w:val="24"/>
      <w:szCs w:val="24"/>
    </w:rPr>
  </w:style>
  <w:style w:type="character" w:customStyle="1" w:styleId="71">
    <w:name w:val="Font Style120"/>
    <w:qFormat/>
    <w:uiPriority w:val="0"/>
    <w:rPr>
      <w:rFonts w:ascii="宋体" w:eastAsia="宋体" w:cs="宋体"/>
      <w:sz w:val="22"/>
      <w:szCs w:val="22"/>
    </w:rPr>
  </w:style>
  <w:style w:type="character" w:customStyle="1" w:styleId="72">
    <w:name w:val="Font Style205"/>
    <w:qFormat/>
    <w:uiPriority w:val="0"/>
    <w:rPr>
      <w:rFonts w:ascii="宋体" w:eastAsia="宋体" w:cs="宋体"/>
      <w:b/>
      <w:bCs/>
      <w:sz w:val="24"/>
      <w:szCs w:val="24"/>
    </w:rPr>
  </w:style>
  <w:style w:type="character" w:customStyle="1" w:styleId="73">
    <w:name w:val="标题 1 Char Char Char"/>
    <w:uiPriority w:val="0"/>
    <w:rPr>
      <w:rFonts w:ascii="Arial" w:hAnsi="Arial" w:eastAsia="黑体"/>
      <w:snapToGrid w:val="0"/>
      <w:spacing w:val="10"/>
      <w:w w:val="90"/>
      <w:kern w:val="30"/>
      <w:sz w:val="30"/>
      <w:szCs w:val="21"/>
      <w:lang w:bidi="ar-SA"/>
    </w:rPr>
  </w:style>
  <w:style w:type="character" w:customStyle="1" w:styleId="74">
    <w:name w:val="t_tag"/>
    <w:basedOn w:val="47"/>
    <w:qFormat/>
    <w:uiPriority w:val="0"/>
  </w:style>
  <w:style w:type="character" w:customStyle="1" w:styleId="75">
    <w:name w:val="页脚 Char"/>
    <w:link w:val="28"/>
    <w:qFormat/>
    <w:uiPriority w:val="99"/>
    <w:rPr>
      <w:rFonts w:eastAsia="宋体"/>
      <w:kern w:val="2"/>
      <w:sz w:val="18"/>
      <w:szCs w:val="18"/>
      <w:lang w:val="en-US" w:eastAsia="zh-CN" w:bidi="ar-SA"/>
    </w:rPr>
  </w:style>
  <w:style w:type="character" w:customStyle="1" w:styleId="76">
    <w:name w:val="Char Char2"/>
    <w:qFormat/>
    <w:uiPriority w:val="0"/>
    <w:rPr>
      <w:rFonts w:eastAsia="宋体"/>
      <w:sz w:val="18"/>
      <w:lang w:val="en-US" w:eastAsia="zh-CN" w:bidi="ar-SA"/>
    </w:rPr>
  </w:style>
  <w:style w:type="character" w:customStyle="1" w:styleId="77">
    <w:name w:val="正文首行缩进 Char Char"/>
    <w:qFormat/>
    <w:uiPriority w:val="0"/>
    <w:rPr>
      <w:rFonts w:eastAsia="宋体"/>
      <w:spacing w:val="10"/>
      <w:kern w:val="24"/>
      <w:sz w:val="24"/>
      <w:lang w:val="en-US" w:eastAsia="zh-CN"/>
    </w:rPr>
  </w:style>
  <w:style w:type="character" w:customStyle="1" w:styleId="78">
    <w:name w:val="Font Style215"/>
    <w:qFormat/>
    <w:uiPriority w:val="0"/>
    <w:rPr>
      <w:rFonts w:ascii="Palatino Linotype" w:hAnsi="Palatino Linotype" w:cs="Palatino Linotype"/>
      <w:b/>
      <w:bCs/>
      <w:i/>
      <w:iCs/>
      <w:sz w:val="22"/>
      <w:szCs w:val="22"/>
    </w:rPr>
  </w:style>
  <w:style w:type="character" w:customStyle="1" w:styleId="79">
    <w:name w:val="正文文本 2 Char"/>
    <w:qFormat/>
    <w:uiPriority w:val="0"/>
    <w:rPr>
      <w:kern w:val="2"/>
      <w:sz w:val="21"/>
      <w:szCs w:val="24"/>
    </w:rPr>
  </w:style>
  <w:style w:type="character" w:customStyle="1" w:styleId="80">
    <w:name w:val="news_c_da1"/>
    <w:uiPriority w:val="0"/>
    <w:rPr>
      <w:rFonts w:hint="default"/>
      <w:b/>
      <w:bCs/>
      <w:color w:val="000000"/>
      <w:sz w:val="24"/>
      <w:szCs w:val="24"/>
    </w:rPr>
  </w:style>
  <w:style w:type="character" w:customStyle="1" w:styleId="81">
    <w:name w:val="正文1 Char Char Char"/>
    <w:uiPriority w:val="0"/>
    <w:rPr>
      <w:rFonts w:eastAsia="宋体"/>
      <w:snapToGrid w:val="0"/>
      <w:kern w:val="21"/>
      <w:sz w:val="21"/>
      <w:lang w:val="en-US" w:eastAsia="zh-CN" w:bidi="ar-SA"/>
    </w:rPr>
  </w:style>
  <w:style w:type="character" w:customStyle="1" w:styleId="82">
    <w:name w:val="9points1"/>
    <w:qFormat/>
    <w:uiPriority w:val="0"/>
    <w:rPr>
      <w:rFonts w:hint="default"/>
      <w:color w:val="003366"/>
      <w:sz w:val="18"/>
      <w:szCs w:val="18"/>
      <w:u w:val="none"/>
    </w:rPr>
  </w:style>
  <w:style w:type="character" w:customStyle="1" w:styleId="83">
    <w:name w:val="样式 正文首行缩进 + 首行缩进:  1 字符2 Char Char"/>
    <w:uiPriority w:val="0"/>
    <w:rPr>
      <w:rFonts w:ascii="宋体" w:hAnsi="宋体"/>
      <w:kern w:val="2"/>
      <w:sz w:val="24"/>
      <w:szCs w:val="24"/>
      <w:lang w:bidi="ar-SA"/>
    </w:rPr>
  </w:style>
  <w:style w:type="character" w:customStyle="1" w:styleId="84">
    <w:name w:val="Font Style208"/>
    <w:uiPriority w:val="0"/>
    <w:rPr>
      <w:rFonts w:ascii="Sylfaen" w:hAnsi="Sylfaen" w:cs="Sylfaen"/>
      <w:spacing w:val="-20"/>
      <w:sz w:val="18"/>
      <w:szCs w:val="18"/>
    </w:rPr>
  </w:style>
  <w:style w:type="character" w:customStyle="1" w:styleId="85">
    <w:name w:val="style71"/>
    <w:uiPriority w:val="0"/>
    <w:rPr>
      <w:rFonts w:hint="eastAsia" w:ascii="黑体" w:eastAsia="黑体"/>
      <w:b/>
    </w:rPr>
  </w:style>
  <w:style w:type="character" w:customStyle="1" w:styleId="86">
    <w:name w:val="Font Style191"/>
    <w:qFormat/>
    <w:uiPriority w:val="0"/>
    <w:rPr>
      <w:rFonts w:ascii="宋体" w:eastAsia="宋体" w:cs="宋体"/>
      <w:sz w:val="26"/>
      <w:szCs w:val="26"/>
    </w:rPr>
  </w:style>
  <w:style w:type="character" w:customStyle="1" w:styleId="87">
    <w:name w:val="unnamed11"/>
    <w:uiPriority w:val="0"/>
    <w:rPr>
      <w:rFonts w:hint="eastAsia" w:ascii="宋体" w:hAnsi="宋体" w:eastAsia="宋体"/>
      <w:sz w:val="21"/>
      <w:szCs w:val="21"/>
    </w:rPr>
  </w:style>
  <w:style w:type="character" w:customStyle="1" w:styleId="88">
    <w:name w:val="正文1"/>
    <w:qFormat/>
    <w:uiPriority w:val="0"/>
    <w:rPr>
      <w:rFonts w:ascii="宋体" w:hAnsi="宋体" w:eastAsia="宋体"/>
      <w:color w:val="000000"/>
      <w:spacing w:val="400"/>
      <w:sz w:val="22"/>
      <w:szCs w:val="22"/>
    </w:rPr>
  </w:style>
  <w:style w:type="character" w:customStyle="1" w:styleId="89">
    <w:name w:val="标题 6 Char"/>
    <w:link w:val="7"/>
    <w:uiPriority w:val="0"/>
    <w:rPr>
      <w:rFonts w:ascii="宋体" w:hAnsi="宋体" w:eastAsia="黑体"/>
      <w:kern w:val="2"/>
      <w:sz w:val="28"/>
      <w:szCs w:val="24"/>
      <w:lang w:val="en-US" w:eastAsia="zh-CN" w:bidi="ar-SA"/>
    </w:rPr>
  </w:style>
  <w:style w:type="character" w:customStyle="1" w:styleId="90">
    <w:name w:val="正文文本 (2)_"/>
    <w:basedOn w:val="47"/>
    <w:link w:val="91"/>
    <w:qFormat/>
    <w:uiPriority w:val="99"/>
    <w:rPr>
      <w:rFonts w:ascii="MingLiU" w:hAnsi="Calibri" w:eastAsia="MingLiU" w:cs="MingLiU"/>
      <w:kern w:val="0"/>
      <w:sz w:val="26"/>
      <w:szCs w:val="26"/>
    </w:rPr>
  </w:style>
  <w:style w:type="paragraph" w:customStyle="1" w:styleId="91">
    <w:name w:val="正文文本 (2)1"/>
    <w:basedOn w:val="1"/>
    <w:link w:val="90"/>
    <w:qFormat/>
    <w:uiPriority w:val="99"/>
    <w:pPr>
      <w:shd w:val="clear" w:color="auto" w:fill="FFFFFF"/>
      <w:spacing w:line="479" w:lineRule="exact"/>
      <w:jc w:val="left"/>
    </w:pPr>
    <w:rPr>
      <w:rFonts w:ascii="MingLiU" w:hAnsi="Calibri" w:eastAsia="MingLiU" w:cs="MingLiU"/>
      <w:kern w:val="0"/>
      <w:sz w:val="26"/>
      <w:szCs w:val="26"/>
    </w:rPr>
  </w:style>
  <w:style w:type="character" w:customStyle="1" w:styleId="92">
    <w:name w:val="Char Char15"/>
    <w:qFormat/>
    <w:uiPriority w:val="0"/>
    <w:rPr>
      <w:rFonts w:ascii="Arial" w:hAnsi="Arial" w:eastAsia="黑体"/>
      <w:b/>
      <w:kern w:val="2"/>
      <w:sz w:val="28"/>
      <w:lang w:val="en-US" w:eastAsia="zh-CN" w:bidi="ar-SA"/>
    </w:rPr>
  </w:style>
  <w:style w:type="character" w:customStyle="1" w:styleId="93">
    <w:name w:val="normal_0020table__char"/>
    <w:basedOn w:val="47"/>
    <w:qFormat/>
    <w:uiPriority w:val="0"/>
  </w:style>
  <w:style w:type="character" w:customStyle="1" w:styleId="94">
    <w:name w:val="Char Char6"/>
    <w:qFormat/>
    <w:uiPriority w:val="0"/>
    <w:rPr>
      <w:rFonts w:ascii="宋体" w:hAnsi="宋体"/>
      <w:kern w:val="2"/>
      <w:sz w:val="28"/>
      <w:szCs w:val="24"/>
    </w:rPr>
  </w:style>
  <w:style w:type="character" w:customStyle="1" w:styleId="95">
    <w:name w:val="text11"/>
    <w:qFormat/>
    <w:uiPriority w:val="0"/>
    <w:rPr>
      <w:sz w:val="21"/>
      <w:szCs w:val="21"/>
    </w:rPr>
  </w:style>
  <w:style w:type="character" w:customStyle="1" w:styleId="96">
    <w:name w:val="word3noad"/>
    <w:basedOn w:val="47"/>
    <w:qFormat/>
    <w:uiPriority w:val="0"/>
  </w:style>
  <w:style w:type="character" w:customStyle="1" w:styleId="97">
    <w:name w:val="标题 8 Char"/>
    <w:link w:val="10"/>
    <w:qFormat/>
    <w:uiPriority w:val="0"/>
    <w:rPr>
      <w:rFonts w:ascii="Arial" w:hAnsi="Arial" w:eastAsia="黑体"/>
      <w:kern w:val="2"/>
      <w:sz w:val="24"/>
      <w:lang w:val="en-US" w:eastAsia="zh-CN" w:bidi="ar-SA"/>
    </w:rPr>
  </w:style>
  <w:style w:type="character" w:customStyle="1" w:styleId="98">
    <w:name w:val="标题 Char"/>
    <w:link w:val="46"/>
    <w:qFormat/>
    <w:uiPriority w:val="0"/>
    <w:rPr>
      <w:rFonts w:ascii="Arial" w:hAnsi="Arial" w:eastAsia="宋体" w:cs="Arial"/>
      <w:b/>
      <w:snapToGrid w:val="0"/>
      <w:sz w:val="32"/>
      <w:szCs w:val="32"/>
      <w:lang w:val="en-US" w:eastAsia="zh-CN" w:bidi="ar-SA"/>
    </w:rPr>
  </w:style>
  <w:style w:type="character" w:customStyle="1" w:styleId="99">
    <w:name w:val="标题 7 Char"/>
    <w:link w:val="8"/>
    <w:qFormat/>
    <w:uiPriority w:val="0"/>
    <w:rPr>
      <w:rFonts w:eastAsia="宋体"/>
      <w:b/>
      <w:kern w:val="2"/>
      <w:sz w:val="24"/>
      <w:lang w:val="en-US" w:eastAsia="zh-CN" w:bidi="ar-SA"/>
    </w:rPr>
  </w:style>
  <w:style w:type="character" w:customStyle="1" w:styleId="100">
    <w:name w:val="报告正文 Char Char"/>
    <w:link w:val="101"/>
    <w:qFormat/>
    <w:uiPriority w:val="0"/>
    <w:rPr>
      <w:rFonts w:ascii="宋体" w:hAnsi="宋体" w:eastAsia="宋体"/>
      <w:color w:val="000000"/>
      <w:sz w:val="28"/>
      <w:szCs w:val="24"/>
      <w:lang w:val="en-US" w:eastAsia="zh-CN" w:bidi="en-US"/>
    </w:rPr>
  </w:style>
  <w:style w:type="paragraph" w:customStyle="1" w:styleId="101">
    <w:name w:val="报告正文"/>
    <w:basedOn w:val="13"/>
    <w:link w:val="100"/>
    <w:qFormat/>
    <w:uiPriority w:val="0"/>
    <w:pPr>
      <w:spacing w:after="0" w:line="600" w:lineRule="exact"/>
      <w:ind w:firstLine="200" w:firstLineChars="200"/>
      <w:jc w:val="left"/>
    </w:pPr>
    <w:rPr>
      <w:rFonts w:ascii="宋体" w:hAnsi="宋体"/>
      <w:color w:val="000000"/>
      <w:kern w:val="0"/>
      <w:sz w:val="28"/>
      <w:szCs w:val="24"/>
      <w:lang w:bidi="en-US"/>
    </w:rPr>
  </w:style>
  <w:style w:type="character" w:customStyle="1" w:styleId="102">
    <w:name w:val="Font Style216"/>
    <w:qFormat/>
    <w:uiPriority w:val="0"/>
    <w:rPr>
      <w:rFonts w:ascii="宋体" w:eastAsia="宋体" w:cs="宋体"/>
      <w:b/>
      <w:bCs/>
      <w:sz w:val="22"/>
      <w:szCs w:val="22"/>
    </w:rPr>
  </w:style>
  <w:style w:type="character" w:customStyle="1" w:styleId="103">
    <w:name w:val="纯文本 Char"/>
    <w:link w:val="23"/>
    <w:qFormat/>
    <w:uiPriority w:val="0"/>
    <w:rPr>
      <w:rFonts w:ascii="宋体" w:hAnsi="Courier New" w:eastAsia="宋体"/>
      <w:kern w:val="2"/>
      <w:sz w:val="21"/>
      <w:lang w:val="en-US" w:eastAsia="zh-CN" w:bidi="ar-SA"/>
    </w:rPr>
  </w:style>
  <w:style w:type="character" w:customStyle="1" w:styleId="104">
    <w:name w:val="Footer Char"/>
    <w:semiHidden/>
    <w:qFormat/>
    <w:locked/>
    <w:uiPriority w:val="0"/>
    <w:rPr>
      <w:rFonts w:cs="Times New Roman"/>
      <w:kern w:val="2"/>
      <w:sz w:val="18"/>
      <w:szCs w:val="18"/>
    </w:rPr>
  </w:style>
  <w:style w:type="character" w:customStyle="1" w:styleId="105">
    <w:name w:val="页脚 Char Char"/>
    <w:qFormat/>
    <w:uiPriority w:val="0"/>
    <w:rPr>
      <w:rFonts w:eastAsia="宋体"/>
      <w:kern w:val="2"/>
      <w:sz w:val="18"/>
      <w:szCs w:val="18"/>
      <w:lang w:val="en-US" w:eastAsia="zh-CN" w:bidi="ar-SA"/>
    </w:rPr>
  </w:style>
  <w:style w:type="character" w:customStyle="1" w:styleId="106">
    <w:name w:val="正文文本 Char"/>
    <w:link w:val="14"/>
    <w:qFormat/>
    <w:uiPriority w:val="0"/>
    <w:rPr>
      <w:rFonts w:eastAsia="宋体"/>
      <w:kern w:val="2"/>
      <w:sz w:val="21"/>
      <w:szCs w:val="24"/>
      <w:lang w:val="en-US" w:eastAsia="zh-CN" w:bidi="ar-SA"/>
    </w:rPr>
  </w:style>
  <w:style w:type="character" w:customStyle="1" w:styleId="107">
    <w:name w:val="样式 正文缩进正文（首行缩进两字） Char表格标题正文（首行缩进两字） Char Char Char Char Char... Char"/>
    <w:qFormat/>
    <w:uiPriority w:val="0"/>
    <w:rPr>
      <w:rFonts w:ascii="宋体" w:hAnsi="宋体" w:eastAsia="宋体"/>
      <w:color w:val="000000"/>
      <w:spacing w:val="-2"/>
      <w:kern w:val="2"/>
      <w:sz w:val="28"/>
      <w:lang w:val="en-US" w:eastAsia="zh-CN" w:bidi="ar-SA"/>
    </w:rPr>
  </w:style>
  <w:style w:type="character" w:customStyle="1" w:styleId="108">
    <w:name w:val="title"/>
    <w:basedOn w:val="47"/>
    <w:qFormat/>
    <w:uiPriority w:val="0"/>
  </w:style>
  <w:style w:type="character" w:customStyle="1" w:styleId="109">
    <w:name w:val="批注框文本 Char"/>
    <w:link w:val="27"/>
    <w:uiPriority w:val="0"/>
    <w:rPr>
      <w:rFonts w:eastAsia="宋体"/>
      <w:kern w:val="2"/>
      <w:sz w:val="18"/>
      <w:szCs w:val="18"/>
      <w:lang w:val="en-US" w:eastAsia="zh-CN" w:bidi="ar-SA"/>
    </w:rPr>
  </w:style>
  <w:style w:type="character" w:customStyle="1" w:styleId="110">
    <w:name w:val="Heading 2 Char"/>
    <w:locked/>
    <w:uiPriority w:val="0"/>
    <w:rPr>
      <w:rFonts w:ascii="Arial" w:hAnsi="Arial" w:eastAsia="黑体" w:cs="Times New Roman"/>
      <w:b/>
      <w:bCs/>
      <w:kern w:val="2"/>
      <w:sz w:val="32"/>
      <w:szCs w:val="32"/>
    </w:rPr>
  </w:style>
  <w:style w:type="character" w:customStyle="1" w:styleId="111">
    <w:name w:val="Font Style214"/>
    <w:qFormat/>
    <w:uiPriority w:val="0"/>
    <w:rPr>
      <w:rFonts w:ascii="宋体" w:eastAsia="宋体" w:cs="宋体"/>
      <w:spacing w:val="-10"/>
      <w:w w:val="150"/>
      <w:sz w:val="14"/>
      <w:szCs w:val="14"/>
    </w:rPr>
  </w:style>
  <w:style w:type="character" w:customStyle="1" w:styleId="112">
    <w:name w:val="样式 正文首行缩进 + 首行缩进:  1 字符2 Char"/>
    <w:link w:val="113"/>
    <w:qFormat/>
    <w:uiPriority w:val="0"/>
    <w:rPr>
      <w:rFonts w:ascii="宋体" w:hAnsi="宋体"/>
      <w:kern w:val="2"/>
      <w:sz w:val="24"/>
      <w:szCs w:val="24"/>
      <w:lang w:bidi="ar-SA"/>
    </w:rPr>
  </w:style>
  <w:style w:type="paragraph" w:customStyle="1" w:styleId="113">
    <w:name w:val="样式 正文首行缩进 + 首行缩进:  1 字符2"/>
    <w:basedOn w:val="1"/>
    <w:link w:val="112"/>
    <w:qFormat/>
    <w:uiPriority w:val="0"/>
    <w:pPr>
      <w:spacing w:line="360" w:lineRule="auto"/>
      <w:ind w:firstLine="480" w:firstLineChars="200"/>
    </w:pPr>
    <w:rPr>
      <w:rFonts w:ascii="宋体" w:hAnsi="宋体"/>
      <w:sz w:val="24"/>
      <w:szCs w:val="24"/>
    </w:rPr>
  </w:style>
  <w:style w:type="character" w:customStyle="1" w:styleId="114">
    <w:name w:val="apple-converted-space"/>
    <w:basedOn w:val="47"/>
    <w:qFormat/>
    <w:uiPriority w:val="0"/>
  </w:style>
  <w:style w:type="character" w:customStyle="1" w:styleId="115">
    <w:name w:val="h3 Char1"/>
    <w:qFormat/>
    <w:uiPriority w:val="0"/>
    <w:rPr>
      <w:b/>
      <w:bCs/>
      <w:kern w:val="2"/>
      <w:sz w:val="32"/>
      <w:szCs w:val="32"/>
    </w:rPr>
  </w:style>
  <w:style w:type="character" w:customStyle="1" w:styleId="116">
    <w:name w:val="正文首行缩进 Char Char Char"/>
    <w:qFormat/>
    <w:uiPriority w:val="0"/>
    <w:rPr>
      <w:rFonts w:eastAsia="宋体"/>
      <w:spacing w:val="10"/>
      <w:kern w:val="24"/>
      <w:sz w:val="24"/>
      <w:lang w:val="en-US" w:eastAsia="zh-CN"/>
    </w:rPr>
  </w:style>
  <w:style w:type="character" w:customStyle="1" w:styleId="117">
    <w:name w:val="环正文 Char1"/>
    <w:link w:val="118"/>
    <w:qFormat/>
    <w:uiPriority w:val="0"/>
    <w:rPr>
      <w:rFonts w:ascii="Tahoma" w:hAnsi="Tahoma" w:cs="Tahoma"/>
      <w:sz w:val="21"/>
      <w:szCs w:val="21"/>
    </w:rPr>
  </w:style>
  <w:style w:type="paragraph" w:customStyle="1" w:styleId="118">
    <w:name w:val="环正文"/>
    <w:basedOn w:val="1"/>
    <w:link w:val="117"/>
    <w:qFormat/>
    <w:uiPriority w:val="0"/>
    <w:pPr>
      <w:widowControl/>
      <w:suppressAutoHyphens/>
      <w:adjustRightInd w:val="0"/>
      <w:ind w:left="-59" w:leftChars="-28"/>
      <w:jc w:val="center"/>
      <w:textAlignment w:val="baseline"/>
    </w:pPr>
    <w:rPr>
      <w:rFonts w:ascii="Tahoma" w:hAnsi="Tahoma"/>
      <w:kern w:val="0"/>
      <w:szCs w:val="21"/>
    </w:rPr>
  </w:style>
  <w:style w:type="character" w:customStyle="1" w:styleId="119">
    <w:name w:val="正文缩进 Char"/>
    <w:qFormat/>
    <w:uiPriority w:val="0"/>
    <w:rPr>
      <w:rFonts w:eastAsia="宋体"/>
      <w:spacing w:val="10"/>
      <w:kern w:val="2"/>
      <w:sz w:val="28"/>
      <w:lang w:val="en-US" w:eastAsia="zh-CN" w:bidi="ar-SA"/>
    </w:rPr>
  </w:style>
  <w:style w:type="character" w:customStyle="1" w:styleId="120">
    <w:name w:val="Font Style221"/>
    <w:qFormat/>
    <w:uiPriority w:val="0"/>
    <w:rPr>
      <w:rFonts w:ascii="MingLiU" w:eastAsia="MingLiU" w:cs="MingLiU"/>
      <w:spacing w:val="10"/>
      <w:sz w:val="18"/>
      <w:szCs w:val="18"/>
    </w:rPr>
  </w:style>
  <w:style w:type="character" w:customStyle="1" w:styleId="121">
    <w:name w:val="标题 3 Char1"/>
    <w:link w:val="4"/>
    <w:qFormat/>
    <w:locked/>
    <w:uiPriority w:val="99"/>
    <w:rPr>
      <w:rFonts w:eastAsia="宋体"/>
      <w:b/>
      <w:bCs/>
      <w:kern w:val="2"/>
      <w:sz w:val="32"/>
      <w:szCs w:val="32"/>
      <w:lang w:val="en-US" w:eastAsia="zh-CN" w:bidi="ar-SA"/>
    </w:rPr>
  </w:style>
  <w:style w:type="character" w:customStyle="1" w:styleId="122">
    <w:name w:val="标题 3 Char"/>
    <w:qFormat/>
    <w:uiPriority w:val="0"/>
    <w:rPr>
      <w:rFonts w:ascii="黑体" w:eastAsia="黑体"/>
      <w:b/>
      <w:bCs/>
      <w:kern w:val="2"/>
      <w:sz w:val="24"/>
      <w:szCs w:val="24"/>
      <w:lang w:val="en-US" w:eastAsia="zh-CN" w:bidi="ar-SA"/>
    </w:rPr>
  </w:style>
  <w:style w:type="character" w:customStyle="1" w:styleId="123">
    <w:name w:val="Font Style210"/>
    <w:qFormat/>
    <w:uiPriority w:val="0"/>
    <w:rPr>
      <w:rFonts w:ascii="宋体" w:eastAsia="宋体" w:cs="宋体"/>
      <w:b/>
      <w:bCs/>
      <w:sz w:val="24"/>
      <w:szCs w:val="24"/>
    </w:rPr>
  </w:style>
  <w:style w:type="character" w:customStyle="1" w:styleId="124">
    <w:name w:val="Char Char"/>
    <w:qFormat/>
    <w:uiPriority w:val="0"/>
    <w:rPr>
      <w:rFonts w:hint="eastAsia" w:ascii="宋体" w:hAnsi="宋体" w:eastAsia="宋体"/>
      <w:kern w:val="2"/>
      <w:sz w:val="21"/>
      <w:lang w:val="en-US" w:eastAsia="zh-CN" w:bidi="ar-SA"/>
    </w:rPr>
  </w:style>
  <w:style w:type="character" w:customStyle="1" w:styleId="125">
    <w:name w:val="标题 7 Char Char"/>
    <w:uiPriority w:val="0"/>
    <w:rPr>
      <w:rFonts w:eastAsia="宋体"/>
      <w:b/>
      <w:kern w:val="2"/>
      <w:sz w:val="24"/>
      <w:lang w:val="en-US" w:eastAsia="zh-CN" w:bidi="ar-SA"/>
    </w:rPr>
  </w:style>
  <w:style w:type="character" w:customStyle="1" w:styleId="126">
    <w:name w:val="页眉 Char Char"/>
    <w:uiPriority w:val="0"/>
    <w:rPr>
      <w:rFonts w:eastAsia="宋体"/>
      <w:spacing w:val="10"/>
      <w:kern w:val="24"/>
      <w:sz w:val="18"/>
      <w:szCs w:val="18"/>
      <w:lang w:val="en-US" w:eastAsia="zh-CN" w:bidi="ar-SA"/>
    </w:rPr>
  </w:style>
  <w:style w:type="character" w:customStyle="1" w:styleId="127">
    <w:name w:val="标题 3 Char Char"/>
    <w:uiPriority w:val="0"/>
    <w:rPr>
      <w:rFonts w:ascii="黑体" w:eastAsia="黑体"/>
      <w:b/>
      <w:bCs/>
      <w:kern w:val="2"/>
      <w:sz w:val="24"/>
      <w:szCs w:val="24"/>
      <w:lang w:val="en-US" w:eastAsia="zh-CN" w:bidi="ar-SA"/>
    </w:rPr>
  </w:style>
  <w:style w:type="character" w:customStyle="1" w:styleId="128">
    <w:name w:val="Font Style203"/>
    <w:uiPriority w:val="0"/>
    <w:rPr>
      <w:rFonts w:ascii="宋体" w:eastAsia="宋体" w:cs="宋体"/>
      <w:b/>
      <w:bCs/>
      <w:spacing w:val="-10"/>
      <w:sz w:val="28"/>
      <w:szCs w:val="28"/>
    </w:rPr>
  </w:style>
  <w:style w:type="character" w:customStyle="1" w:styleId="129">
    <w:name w:val="zw1"/>
    <w:uiPriority w:val="0"/>
    <w:rPr>
      <w:rFonts w:hint="eastAsia" w:ascii="宋体" w:hAnsi="宋体" w:eastAsia="宋体"/>
      <w:sz w:val="22"/>
      <w:szCs w:val="22"/>
    </w:rPr>
  </w:style>
  <w:style w:type="character" w:customStyle="1" w:styleId="130">
    <w:name w:val="标题 9 Char"/>
    <w:link w:val="11"/>
    <w:uiPriority w:val="0"/>
    <w:rPr>
      <w:rFonts w:ascii="Arial" w:hAnsi="Arial" w:eastAsia="黑体"/>
      <w:kern w:val="2"/>
      <w:sz w:val="24"/>
      <w:lang w:val="en-US" w:eastAsia="zh-CN" w:bidi="ar-SA"/>
    </w:rPr>
  </w:style>
  <w:style w:type="character" w:customStyle="1" w:styleId="131">
    <w:name w:val="detail1"/>
    <w:uiPriority w:val="0"/>
    <w:rPr>
      <w:rFonts w:hint="default" w:ascii="ˎ̥" w:hAnsi="ˎ̥"/>
      <w:sz w:val="21"/>
      <w:szCs w:val="21"/>
      <w:u w:val="none"/>
    </w:rPr>
  </w:style>
  <w:style w:type="character" w:customStyle="1" w:styleId="132">
    <w:name w:val="正文1 Char Char"/>
    <w:uiPriority w:val="0"/>
    <w:rPr>
      <w:snapToGrid w:val="0"/>
      <w:kern w:val="21"/>
      <w:sz w:val="21"/>
    </w:rPr>
  </w:style>
  <w:style w:type="character" w:customStyle="1" w:styleId="133">
    <w:name w:val="标题 2 Char"/>
    <w:uiPriority w:val="0"/>
    <w:rPr>
      <w:rFonts w:ascii="Arial" w:hAnsi="Arial" w:eastAsia="黑体"/>
      <w:snapToGrid w:val="0"/>
      <w:spacing w:val="10"/>
      <w:w w:val="90"/>
      <w:kern w:val="28"/>
      <w:sz w:val="28"/>
      <w:lang w:val="en-US" w:eastAsia="zh-CN" w:bidi="ar-SA"/>
    </w:rPr>
  </w:style>
  <w:style w:type="character" w:customStyle="1" w:styleId="134">
    <w:name w:val="No Spacing Char Char"/>
    <w:link w:val="135"/>
    <w:qFormat/>
    <w:uiPriority w:val="0"/>
    <w:rPr>
      <w:rFonts w:ascii="Calibri" w:hAnsi="Calibri" w:eastAsia="Times New Roman"/>
      <w:sz w:val="22"/>
      <w:szCs w:val="22"/>
      <w:lang w:val="en-US" w:eastAsia="zh-CN" w:bidi="ar-SA"/>
    </w:rPr>
  </w:style>
  <w:style w:type="paragraph" w:customStyle="1" w:styleId="135">
    <w:name w:val="无间隔1"/>
    <w:link w:val="134"/>
    <w:qFormat/>
    <w:uiPriority w:val="0"/>
    <w:rPr>
      <w:rFonts w:ascii="Calibri" w:hAnsi="Calibri" w:eastAsia="Times New Roman" w:cs="Times New Roman"/>
      <w:sz w:val="22"/>
      <w:szCs w:val="22"/>
      <w:lang w:val="en-US" w:eastAsia="zh-CN" w:bidi="ar-SA"/>
    </w:rPr>
  </w:style>
  <w:style w:type="character" w:customStyle="1" w:styleId="136">
    <w:name w:val="large1"/>
    <w:uiPriority w:val="0"/>
    <w:rPr>
      <w:rFonts w:hint="eastAsia" w:ascii="宋体" w:hAnsi="宋体" w:eastAsia="宋体"/>
      <w:sz w:val="22"/>
      <w:szCs w:val="22"/>
    </w:rPr>
  </w:style>
  <w:style w:type="character" w:customStyle="1" w:styleId="137">
    <w:name w:val="Font Style194"/>
    <w:uiPriority w:val="0"/>
    <w:rPr>
      <w:rFonts w:ascii="宋体" w:eastAsia="宋体" w:cs="宋体"/>
      <w:b/>
      <w:bCs/>
      <w:sz w:val="18"/>
      <w:szCs w:val="18"/>
    </w:rPr>
  </w:style>
  <w:style w:type="character" w:customStyle="1" w:styleId="138">
    <w:name w:val="Char Char11"/>
    <w:qFormat/>
    <w:uiPriority w:val="0"/>
    <w:rPr>
      <w:rFonts w:ascii="Arial" w:hAnsi="Arial" w:eastAsia="黑体"/>
      <w:kern w:val="2"/>
      <w:sz w:val="24"/>
    </w:rPr>
  </w:style>
  <w:style w:type="character" w:customStyle="1" w:styleId="139">
    <w:name w:val="Char Char10"/>
    <w:uiPriority w:val="0"/>
    <w:rPr>
      <w:rFonts w:eastAsia="宋体"/>
      <w:b/>
      <w:spacing w:val="10"/>
      <w:kern w:val="2"/>
      <w:sz w:val="32"/>
      <w:lang w:val="en-US" w:eastAsia="zh-CN" w:bidi="ar-SA"/>
    </w:rPr>
  </w:style>
  <w:style w:type="character" w:customStyle="1" w:styleId="140">
    <w:name w:val="节标题 Char1"/>
    <w:uiPriority w:val="0"/>
    <w:rPr>
      <w:rFonts w:ascii="Arial" w:hAnsi="Arial" w:eastAsia="黑体"/>
      <w:b/>
      <w:bCs/>
      <w:kern w:val="2"/>
      <w:sz w:val="32"/>
      <w:szCs w:val="32"/>
      <w:lang w:val="en-US" w:eastAsia="zh-CN" w:bidi="ar-SA"/>
    </w:rPr>
  </w:style>
  <w:style w:type="character" w:customStyle="1" w:styleId="141">
    <w:name w:val="cont2"/>
    <w:basedOn w:val="47"/>
    <w:uiPriority w:val="0"/>
  </w:style>
  <w:style w:type="character" w:customStyle="1" w:styleId="142">
    <w:name w:val="样式 正文首行缩进 + 首行缩进:  1 字符2 + 首行缩进:  2 字符 Char Char"/>
    <w:link w:val="143"/>
    <w:uiPriority w:val="0"/>
    <w:rPr>
      <w:rFonts w:ascii="宋体" w:hAnsi="宋体"/>
      <w:sz w:val="24"/>
      <w:szCs w:val="24"/>
      <w:lang w:val="zh-CN" w:bidi="ar-SA"/>
    </w:rPr>
  </w:style>
  <w:style w:type="paragraph" w:customStyle="1" w:styleId="143">
    <w:name w:val="样式 正文首行缩进 + 首行缩进:  1 字符2 + 首行缩进:  2 字符"/>
    <w:basedOn w:val="1"/>
    <w:link w:val="142"/>
    <w:qFormat/>
    <w:uiPriority w:val="0"/>
    <w:pPr>
      <w:tabs>
        <w:tab w:val="left" w:pos="1575"/>
      </w:tabs>
      <w:spacing w:line="360" w:lineRule="auto"/>
      <w:ind w:firstLine="480" w:firstLineChars="200"/>
    </w:pPr>
    <w:rPr>
      <w:rFonts w:ascii="宋体" w:hAnsi="宋体"/>
      <w:kern w:val="0"/>
      <w:sz w:val="24"/>
      <w:szCs w:val="24"/>
      <w:lang w:val="zh-CN"/>
    </w:rPr>
  </w:style>
  <w:style w:type="character" w:customStyle="1" w:styleId="144">
    <w:name w:val="Char Char13"/>
    <w:qFormat/>
    <w:uiPriority w:val="0"/>
    <w:rPr>
      <w:rFonts w:ascii="宋体" w:hAnsi="宋体" w:eastAsia="黑体"/>
      <w:kern w:val="2"/>
      <w:sz w:val="28"/>
      <w:szCs w:val="24"/>
    </w:rPr>
  </w:style>
  <w:style w:type="character" w:customStyle="1" w:styleId="145">
    <w:name w:val="Char Char8"/>
    <w:qFormat/>
    <w:uiPriority w:val="0"/>
    <w:rPr>
      <w:rFonts w:eastAsia="宋体"/>
      <w:spacing w:val="10"/>
      <w:kern w:val="24"/>
      <w:sz w:val="24"/>
      <w:szCs w:val="24"/>
      <w:lang w:val="en-US" w:eastAsia="zh-CN" w:bidi="ar-SA"/>
    </w:rPr>
  </w:style>
  <w:style w:type="character" w:customStyle="1" w:styleId="146">
    <w:name w:val="页眉 Char"/>
    <w:link w:val="29"/>
    <w:qFormat/>
    <w:uiPriority w:val="99"/>
    <w:rPr>
      <w:rFonts w:eastAsia="宋体"/>
      <w:kern w:val="2"/>
      <w:sz w:val="18"/>
      <w:szCs w:val="18"/>
      <w:lang w:val="en-US" w:eastAsia="zh-CN" w:bidi="ar-SA"/>
    </w:rPr>
  </w:style>
  <w:style w:type="character" w:customStyle="1" w:styleId="147">
    <w:name w:val="不明显强调1"/>
    <w:qFormat/>
    <w:uiPriority w:val="0"/>
    <w:rPr>
      <w:rFonts w:cs="Times New Roman"/>
      <w:i/>
      <w:iCs/>
      <w:color w:val="808080"/>
    </w:rPr>
  </w:style>
  <w:style w:type="character" w:customStyle="1" w:styleId="148">
    <w:name w:val="正文1 Char"/>
    <w:qFormat/>
    <w:uiPriority w:val="0"/>
    <w:rPr>
      <w:rFonts w:eastAsia="宋体"/>
      <w:snapToGrid w:val="0"/>
      <w:kern w:val="21"/>
      <w:sz w:val="21"/>
      <w:lang w:val="en-US" w:eastAsia="zh-CN" w:bidi="ar-SA"/>
    </w:rPr>
  </w:style>
  <w:style w:type="character" w:customStyle="1" w:styleId="149">
    <w:name w:val="标题 4 Char"/>
    <w:link w:val="5"/>
    <w:qFormat/>
    <w:uiPriority w:val="0"/>
    <w:rPr>
      <w:rFonts w:ascii="宋体" w:hAnsi="宋体" w:eastAsia="宋体"/>
      <w:kern w:val="2"/>
      <w:sz w:val="28"/>
      <w:szCs w:val="24"/>
      <w:lang w:val="en-US" w:eastAsia="zh-CN" w:bidi="ar-SA"/>
    </w:rPr>
  </w:style>
  <w:style w:type="character" w:customStyle="1" w:styleId="150">
    <w:name w:val="style11"/>
    <w:qFormat/>
    <w:uiPriority w:val="0"/>
    <w:rPr>
      <w:rFonts w:hint="default" w:ascii="Arial" w:hAnsi="Arial"/>
      <w:sz w:val="21"/>
    </w:rPr>
  </w:style>
  <w:style w:type="character" w:customStyle="1" w:styleId="151">
    <w:name w:val="标题 2 Char1"/>
    <w:link w:val="3"/>
    <w:uiPriority w:val="99"/>
    <w:rPr>
      <w:rFonts w:ascii="Arial" w:hAnsi="Arial" w:eastAsia="黑体"/>
      <w:b/>
      <w:bCs/>
      <w:kern w:val="2"/>
      <w:sz w:val="32"/>
      <w:szCs w:val="32"/>
      <w:lang w:val="en-US" w:eastAsia="zh-CN" w:bidi="ar-SA"/>
    </w:rPr>
  </w:style>
  <w:style w:type="character" w:customStyle="1" w:styleId="152">
    <w:name w:val="正文首行缩进 Char"/>
    <w:link w:val="13"/>
    <w:qFormat/>
    <w:uiPriority w:val="0"/>
    <w:rPr>
      <w:rFonts w:eastAsia="宋体"/>
      <w:kern w:val="2"/>
      <w:sz w:val="21"/>
      <w:lang w:val="en-US" w:eastAsia="zh-CN" w:bidi="ar-SA"/>
    </w:rPr>
  </w:style>
  <w:style w:type="character" w:customStyle="1" w:styleId="153">
    <w:name w:val="标题 3 Char3"/>
    <w:qFormat/>
    <w:uiPriority w:val="0"/>
    <w:rPr>
      <w:rFonts w:eastAsia="宋体"/>
      <w:b/>
      <w:bCs/>
      <w:kern w:val="2"/>
      <w:sz w:val="32"/>
      <w:szCs w:val="32"/>
      <w:lang w:val="en-US" w:eastAsia="zh-CN" w:bidi="ar-SA"/>
    </w:rPr>
  </w:style>
  <w:style w:type="character" w:customStyle="1" w:styleId="154">
    <w:name w:val="无间隔 Char"/>
    <w:link w:val="155"/>
    <w:qFormat/>
    <w:uiPriority w:val="0"/>
    <w:rPr>
      <w:rFonts w:ascii="Calibri" w:hAnsi="Calibri" w:eastAsia="Times New Roman"/>
      <w:sz w:val="22"/>
      <w:szCs w:val="22"/>
      <w:lang w:val="en-US" w:eastAsia="zh-CN" w:bidi="ar-SA"/>
    </w:rPr>
  </w:style>
  <w:style w:type="paragraph" w:customStyle="1" w:styleId="155">
    <w:name w:val="No Spacing"/>
    <w:link w:val="154"/>
    <w:qFormat/>
    <w:uiPriority w:val="0"/>
    <w:rPr>
      <w:rFonts w:ascii="Calibri" w:hAnsi="Calibri" w:eastAsia="Times New Roman" w:cs="Times New Roman"/>
      <w:sz w:val="22"/>
      <w:szCs w:val="22"/>
      <w:lang w:val="en-US" w:eastAsia="zh-CN" w:bidi="ar-SA"/>
    </w:rPr>
  </w:style>
  <w:style w:type="character" w:customStyle="1" w:styleId="156">
    <w:name w:val="h2 Char"/>
    <w:qFormat/>
    <w:uiPriority w:val="0"/>
    <w:rPr>
      <w:rFonts w:ascii="Arial" w:hAnsi="Arial" w:eastAsia="黑体"/>
      <w:b/>
      <w:bCs/>
      <w:kern w:val="2"/>
      <w:sz w:val="32"/>
      <w:szCs w:val="32"/>
      <w:lang w:val="en-US" w:eastAsia="zh-CN" w:bidi="ar-SA"/>
    </w:rPr>
  </w:style>
  <w:style w:type="character" w:customStyle="1" w:styleId="157">
    <w:name w:val="style81"/>
    <w:qFormat/>
    <w:uiPriority w:val="0"/>
    <w:rPr>
      <w:sz w:val="24"/>
    </w:rPr>
  </w:style>
  <w:style w:type="character" w:customStyle="1" w:styleId="158">
    <w:name w:val="ed11"/>
    <w:qFormat/>
    <w:uiPriority w:val="0"/>
    <w:rPr>
      <w:b/>
      <w:bCs/>
      <w:color w:val="05006C"/>
      <w:sz w:val="33"/>
      <w:szCs w:val="33"/>
    </w:rPr>
  </w:style>
  <w:style w:type="character" w:customStyle="1" w:styleId="159">
    <w:name w:val="正文文本缩进 3 Char"/>
    <w:link w:val="38"/>
    <w:qFormat/>
    <w:uiPriority w:val="0"/>
    <w:rPr>
      <w:rFonts w:ascii="宋体" w:hAnsi="宋体" w:eastAsia="宋体"/>
      <w:kern w:val="2"/>
      <w:sz w:val="28"/>
      <w:szCs w:val="24"/>
      <w:lang w:val="en-US" w:eastAsia="zh-CN" w:bidi="ar-SA"/>
    </w:rPr>
  </w:style>
  <w:style w:type="character" w:customStyle="1" w:styleId="160">
    <w:name w:val="s c c"/>
    <w:basedOn w:val="47"/>
    <w:qFormat/>
    <w:uiPriority w:val="0"/>
  </w:style>
  <w:style w:type="character" w:customStyle="1" w:styleId="161">
    <w:name w:val="正文文本 2 Char1"/>
    <w:link w:val="41"/>
    <w:qFormat/>
    <w:uiPriority w:val="0"/>
    <w:rPr>
      <w:rFonts w:eastAsia="宋体"/>
      <w:kern w:val="2"/>
      <w:sz w:val="21"/>
      <w:lang w:val="en-US" w:eastAsia="zh-CN" w:bidi="ar-SA"/>
    </w:rPr>
  </w:style>
  <w:style w:type="character" w:customStyle="1" w:styleId="162">
    <w:name w:val="正文文本缩进 Char"/>
    <w:link w:val="19"/>
    <w:qFormat/>
    <w:uiPriority w:val="0"/>
    <w:rPr>
      <w:rFonts w:ascii="宋体" w:eastAsia="宋体"/>
      <w:b/>
      <w:kern w:val="2"/>
      <w:sz w:val="21"/>
      <w:lang w:val="en-US" w:eastAsia="zh-CN" w:bidi="ar-SA"/>
    </w:rPr>
  </w:style>
  <w:style w:type="character" w:customStyle="1" w:styleId="163">
    <w:name w:val="正文（首行缩进2字） Char"/>
    <w:uiPriority w:val="0"/>
    <w:rPr>
      <w:rFonts w:eastAsia="宋体"/>
      <w:kern w:val="2"/>
      <w:sz w:val="28"/>
      <w:szCs w:val="30"/>
      <w:lang w:val="en-US" w:eastAsia="zh-CN" w:bidi="ar-SA"/>
    </w:rPr>
  </w:style>
  <w:style w:type="character" w:customStyle="1" w:styleId="164">
    <w:name w:val="Header Char"/>
    <w:semiHidden/>
    <w:locked/>
    <w:uiPriority w:val="0"/>
    <w:rPr>
      <w:rFonts w:cs="Times New Roman"/>
      <w:kern w:val="2"/>
      <w:sz w:val="18"/>
      <w:szCs w:val="18"/>
    </w:rPr>
  </w:style>
  <w:style w:type="paragraph" w:customStyle="1" w:styleId="165">
    <w:name w:val="Char Char Char Char Char Char Char"/>
    <w:basedOn w:val="1"/>
    <w:qFormat/>
    <w:uiPriority w:val="0"/>
    <w:pPr>
      <w:spacing w:line="360" w:lineRule="auto"/>
    </w:pPr>
    <w:rPr>
      <w:sz w:val="24"/>
      <w:szCs w:val="24"/>
    </w:rPr>
  </w:style>
  <w:style w:type="paragraph" w:customStyle="1" w:styleId="166">
    <w:name w:val="列出段落1"/>
    <w:basedOn w:val="1"/>
    <w:uiPriority w:val="0"/>
    <w:pPr>
      <w:ind w:firstLine="420" w:firstLineChars="200"/>
    </w:pPr>
    <w:rPr>
      <w:szCs w:val="24"/>
    </w:rPr>
  </w:style>
  <w:style w:type="paragraph" w:customStyle="1" w:styleId="167">
    <w:name w:val="xl125"/>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68">
    <w:name w:val="样式2"/>
    <w:basedOn w:val="1"/>
    <w:qFormat/>
    <w:uiPriority w:val="0"/>
    <w:pPr>
      <w:tabs>
        <w:tab w:val="left" w:pos="360"/>
      </w:tabs>
      <w:adjustRightInd w:val="0"/>
      <w:snapToGrid w:val="0"/>
      <w:spacing w:beforeLines="50" w:line="300" w:lineRule="auto"/>
    </w:pPr>
    <w:rPr>
      <w:snapToGrid w:val="0"/>
      <w:spacing w:val="20"/>
      <w:kern w:val="0"/>
      <w:sz w:val="24"/>
    </w:rPr>
  </w:style>
  <w:style w:type="paragraph" w:customStyle="1" w:styleId="169">
    <w:name w:val="标准表格"/>
    <w:basedOn w:val="1"/>
    <w:qFormat/>
    <w:uiPriority w:val="0"/>
    <w:pPr>
      <w:tabs>
        <w:tab w:val="left" w:pos="0"/>
      </w:tabs>
      <w:adjustRightInd w:val="0"/>
      <w:spacing w:line="360" w:lineRule="exact"/>
      <w:jc w:val="center"/>
      <w:textAlignment w:val="center"/>
    </w:pPr>
    <w:rPr>
      <w:rFonts w:ascii="宋体" w:hAnsi="宋体"/>
      <w:snapToGrid w:val="0"/>
      <w:kern w:val="0"/>
    </w:rPr>
  </w:style>
  <w:style w:type="paragraph" w:customStyle="1" w:styleId="170">
    <w:name w:val="xl8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eastAsia="Arial Unicode MS"/>
      <w:kern w:val="0"/>
      <w:sz w:val="24"/>
      <w:szCs w:val="24"/>
    </w:rPr>
  </w:style>
  <w:style w:type="paragraph" w:customStyle="1" w:styleId="171">
    <w:name w:val="char"/>
    <w:basedOn w:val="1"/>
    <w:qFormat/>
    <w:uiPriority w:val="0"/>
    <w:pPr>
      <w:widowControl/>
      <w:spacing w:after="160" w:line="240" w:lineRule="exact"/>
      <w:jc w:val="left"/>
    </w:pPr>
    <w:rPr>
      <w:szCs w:val="24"/>
    </w:rPr>
  </w:style>
  <w:style w:type="paragraph" w:customStyle="1" w:styleId="172">
    <w:name w:val="xl8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eastAsia="Arial Unicode MS"/>
      <w:kern w:val="0"/>
      <w:sz w:val="24"/>
      <w:szCs w:val="24"/>
    </w:rPr>
  </w:style>
  <w:style w:type="paragraph" w:customStyle="1" w:styleId="173">
    <w:name w:val="Char1"/>
    <w:basedOn w:val="1"/>
    <w:uiPriority w:val="0"/>
  </w:style>
  <w:style w:type="paragraph" w:customStyle="1" w:styleId="174">
    <w:name w:val="font20"/>
    <w:basedOn w:val="1"/>
    <w:qFormat/>
    <w:uiPriority w:val="0"/>
    <w:pPr>
      <w:widowControl/>
      <w:spacing w:before="100" w:beforeAutospacing="1" w:after="100" w:afterAutospacing="1"/>
      <w:jc w:val="left"/>
    </w:pPr>
    <w:rPr>
      <w:rFonts w:eastAsia="Arial Unicode MS"/>
      <w:kern w:val="0"/>
      <w:sz w:val="20"/>
    </w:rPr>
  </w:style>
  <w:style w:type="paragraph" w:customStyle="1" w:styleId="175">
    <w:name w:val="正文(首行缩进)"/>
    <w:basedOn w:val="1"/>
    <w:uiPriority w:val="0"/>
    <w:pPr>
      <w:tabs>
        <w:tab w:val="left" w:pos="4584"/>
      </w:tabs>
      <w:adjustRightInd w:val="0"/>
      <w:spacing w:beforeLines="50" w:line="560" w:lineRule="exact"/>
      <w:ind w:firstLine="600" w:firstLineChars="200"/>
    </w:pPr>
    <w:rPr>
      <w:rFonts w:ascii="宋体" w:hAnsi="宋体"/>
      <w:snapToGrid w:val="0"/>
      <w:spacing w:val="10"/>
      <w:kern w:val="0"/>
      <w:sz w:val="28"/>
    </w:rPr>
  </w:style>
  <w:style w:type="paragraph" w:customStyle="1" w:styleId="176">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77">
    <w:name w:val="Style47"/>
    <w:basedOn w:val="1"/>
    <w:uiPriority w:val="0"/>
    <w:pPr>
      <w:adjustRightInd w:val="0"/>
      <w:jc w:val="left"/>
    </w:pPr>
    <w:rPr>
      <w:rFonts w:ascii="宋体"/>
      <w:kern w:val="0"/>
      <w:sz w:val="24"/>
      <w:szCs w:val="24"/>
    </w:rPr>
  </w:style>
  <w:style w:type="paragraph" w:customStyle="1" w:styleId="17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16"/>
      <w:szCs w:val="16"/>
    </w:rPr>
  </w:style>
  <w:style w:type="paragraph" w:customStyle="1" w:styleId="179">
    <w:name w:val="xl7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180">
    <w:name w:val="font19"/>
    <w:basedOn w:val="1"/>
    <w:qFormat/>
    <w:uiPriority w:val="0"/>
    <w:pPr>
      <w:widowControl/>
      <w:spacing w:before="100" w:beforeAutospacing="1" w:after="100" w:afterAutospacing="1"/>
      <w:jc w:val="left"/>
    </w:pPr>
    <w:rPr>
      <w:rFonts w:ascii="宋体" w:hAnsi="宋体" w:cs="Arial Unicode MS"/>
      <w:kern w:val="0"/>
      <w:sz w:val="20"/>
    </w:rPr>
  </w:style>
  <w:style w:type="paragraph" w:customStyle="1" w:styleId="181">
    <w:name w:val="Char Char Char Char Char Char Char Char Char Char Char1 Char Char Char Char Char Char Char"/>
    <w:basedOn w:val="1"/>
    <w:qFormat/>
    <w:uiPriority w:val="99"/>
    <w:rPr>
      <w:szCs w:val="24"/>
    </w:rPr>
  </w:style>
  <w:style w:type="paragraph" w:customStyle="1" w:styleId="182">
    <w:name w:val="xl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20"/>
    </w:rPr>
  </w:style>
  <w:style w:type="paragraph" w:customStyle="1" w:styleId="183">
    <w:name w:val="xl105"/>
    <w:basedOn w:val="1"/>
    <w:uiPriority w:val="0"/>
    <w:pPr>
      <w:widowControl/>
      <w:pBdr>
        <w:top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FF0000"/>
      <w:kern w:val="0"/>
      <w:sz w:val="24"/>
      <w:szCs w:val="24"/>
    </w:rPr>
  </w:style>
  <w:style w:type="paragraph" w:customStyle="1" w:styleId="184">
    <w:name w:val="p0"/>
    <w:basedOn w:val="1"/>
    <w:uiPriority w:val="0"/>
    <w:pPr>
      <w:widowControl/>
    </w:pPr>
    <w:rPr>
      <w:rFonts w:ascii="Calibri" w:hAnsi="Calibri" w:cs="宋体"/>
      <w:kern w:val="0"/>
      <w:szCs w:val="21"/>
    </w:rPr>
  </w:style>
  <w:style w:type="paragraph" w:customStyle="1" w:styleId="185">
    <w:name w:val="xl9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8000"/>
      <w:kern w:val="0"/>
      <w:sz w:val="24"/>
      <w:szCs w:val="24"/>
    </w:rPr>
  </w:style>
  <w:style w:type="paragraph" w:customStyle="1" w:styleId="186">
    <w:name w:val="xl124"/>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eastAsia="Arial Unicode MS"/>
      <w:kern w:val="0"/>
      <w:sz w:val="24"/>
      <w:szCs w:val="24"/>
    </w:rPr>
  </w:style>
  <w:style w:type="paragraph" w:customStyle="1" w:styleId="187">
    <w:name w:val="表格"/>
    <w:basedOn w:val="1"/>
    <w:link w:val="412"/>
    <w:qFormat/>
    <w:uiPriority w:val="99"/>
    <w:pPr>
      <w:widowControl/>
      <w:snapToGrid w:val="0"/>
      <w:jc w:val="center"/>
    </w:pPr>
    <w:rPr>
      <w:kern w:val="0"/>
      <w:szCs w:val="24"/>
    </w:rPr>
  </w:style>
  <w:style w:type="paragraph" w:customStyle="1" w:styleId="188">
    <w:name w:val="表格03"/>
    <w:basedOn w:val="1"/>
    <w:uiPriority w:val="0"/>
    <w:pPr>
      <w:adjustRightInd w:val="0"/>
      <w:spacing w:line="400" w:lineRule="exact"/>
      <w:jc w:val="center"/>
      <w:textAlignment w:val="baseline"/>
    </w:pPr>
  </w:style>
  <w:style w:type="paragraph" w:customStyle="1" w:styleId="189">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90">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4"/>
      <w:szCs w:val="24"/>
    </w:rPr>
  </w:style>
  <w:style w:type="paragraph" w:customStyle="1" w:styleId="191">
    <w:name w:val="font9"/>
    <w:basedOn w:val="1"/>
    <w:qFormat/>
    <w:uiPriority w:val="0"/>
    <w:pPr>
      <w:widowControl/>
      <w:spacing w:before="100" w:beforeAutospacing="1" w:after="100" w:afterAutospacing="1"/>
      <w:jc w:val="left"/>
    </w:pPr>
    <w:rPr>
      <w:rFonts w:ascii="Arial" w:hAnsi="Arial" w:cs="Arial"/>
      <w:kern w:val="0"/>
      <w:sz w:val="12"/>
      <w:szCs w:val="12"/>
    </w:rPr>
  </w:style>
  <w:style w:type="paragraph" w:customStyle="1" w:styleId="192">
    <w:name w:val="xl6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4"/>
      <w:szCs w:val="24"/>
    </w:rPr>
  </w:style>
  <w:style w:type="paragraph" w:customStyle="1" w:styleId="19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4">
    <w:name w:val="纯文本1"/>
    <w:basedOn w:val="1"/>
    <w:qFormat/>
    <w:uiPriority w:val="0"/>
    <w:pPr>
      <w:adjustRightInd w:val="0"/>
      <w:textAlignment w:val="baseline"/>
    </w:pPr>
    <w:rPr>
      <w:rFonts w:ascii="宋体" w:hAnsi="Courier New"/>
      <w:color w:val="000000"/>
      <w:kern w:val="0"/>
    </w:rPr>
  </w:style>
  <w:style w:type="paragraph" w:customStyle="1" w:styleId="195">
    <w:name w:val="xl70"/>
    <w:basedOn w:val="1"/>
    <w:uiPriority w:val="0"/>
    <w:pPr>
      <w:widowControl/>
      <w:spacing w:before="100" w:after="100"/>
      <w:jc w:val="center"/>
    </w:pPr>
    <w:rPr>
      <w:kern w:val="0"/>
      <w:sz w:val="24"/>
    </w:rPr>
  </w:style>
  <w:style w:type="paragraph" w:customStyle="1" w:styleId="196">
    <w:name w:val="xl63"/>
    <w:basedOn w:val="1"/>
    <w:qFormat/>
    <w:uiPriority w:val="0"/>
    <w:pPr>
      <w:widowControl/>
      <w:pBdr>
        <w:top w:val="single" w:color="auto" w:sz="4" w:space="0"/>
        <w:left w:val="single" w:color="auto" w:sz="4" w:space="0"/>
      </w:pBdr>
      <w:spacing w:before="100" w:beforeAutospacing="1" w:after="100" w:afterAutospacing="1"/>
      <w:jc w:val="center"/>
    </w:pPr>
    <w:rPr>
      <w:rFonts w:eastAsia="Arial Unicode MS"/>
      <w:color w:val="FF0000"/>
      <w:kern w:val="0"/>
      <w:sz w:val="24"/>
      <w:szCs w:val="24"/>
    </w:rPr>
  </w:style>
  <w:style w:type="paragraph" w:customStyle="1" w:styleId="197">
    <w:name w:val="样式1"/>
    <w:basedOn w:val="1"/>
    <w:qFormat/>
    <w:uiPriority w:val="0"/>
    <w:rPr>
      <w:sz w:val="24"/>
    </w:rPr>
  </w:style>
  <w:style w:type="paragraph" w:customStyle="1" w:styleId="198">
    <w:name w:val="Char2"/>
    <w:basedOn w:val="1"/>
    <w:uiPriority w:val="0"/>
    <w:pPr>
      <w:ind w:left="510"/>
    </w:pPr>
    <w:rPr>
      <w:szCs w:val="24"/>
    </w:rPr>
  </w:style>
  <w:style w:type="paragraph" w:customStyle="1" w:styleId="199">
    <w:name w:val="xl93"/>
    <w:basedOn w:val="1"/>
    <w:uiPriority w:val="0"/>
    <w:pPr>
      <w:widowControl/>
      <w:pBdr>
        <w:top w:val="single" w:color="auto" w:sz="4" w:space="0"/>
        <w:left w:val="single" w:color="auto" w:sz="12" w:space="0"/>
        <w:bottom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00">
    <w:name w:val="样式4"/>
    <w:basedOn w:val="197"/>
    <w:qFormat/>
    <w:uiPriority w:val="0"/>
  </w:style>
  <w:style w:type="paragraph" w:customStyle="1" w:styleId="201">
    <w:name w:val="xl128"/>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eastAsia="Arial Unicode MS"/>
      <w:color w:val="008000"/>
      <w:kern w:val="0"/>
      <w:sz w:val="24"/>
      <w:szCs w:val="24"/>
    </w:rPr>
  </w:style>
  <w:style w:type="paragraph" w:customStyle="1" w:styleId="202">
    <w:name w:val="xl6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03">
    <w:name w:val="reader-word-layer reader-word-s3-1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205">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206">
    <w:name w:val="标题5"/>
    <w:basedOn w:val="9"/>
    <w:uiPriority w:val="0"/>
    <w:pPr>
      <w:tabs>
        <w:tab w:val="left" w:pos="1260"/>
      </w:tabs>
      <w:adjustRightInd/>
      <w:spacing w:line="240" w:lineRule="auto"/>
      <w:ind w:left="1260" w:hanging="420"/>
      <w:jc w:val="both"/>
      <w:textAlignment w:val="auto"/>
    </w:pPr>
    <w:rPr>
      <w:b/>
      <w:spacing w:val="10"/>
      <w:kern w:val="2"/>
      <w:sz w:val="28"/>
    </w:rPr>
  </w:style>
  <w:style w:type="paragraph" w:customStyle="1" w:styleId="207">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4"/>
      <w:szCs w:val="24"/>
    </w:rPr>
  </w:style>
  <w:style w:type="paragraph" w:customStyle="1" w:styleId="208">
    <w:name w:val="批注框文本 Char Char"/>
    <w:basedOn w:val="1"/>
    <w:uiPriority w:val="0"/>
    <w:pPr>
      <w:adjustRightInd w:val="0"/>
      <w:spacing w:line="360" w:lineRule="atLeast"/>
      <w:jc w:val="left"/>
      <w:textAlignment w:val="baseline"/>
    </w:pPr>
    <w:rPr>
      <w:kern w:val="0"/>
      <w:sz w:val="18"/>
    </w:rPr>
  </w:style>
  <w:style w:type="paragraph" w:customStyle="1" w:styleId="209">
    <w:name w:val="a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10">
    <w:name w:val="xl101"/>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8000"/>
      <w:kern w:val="0"/>
      <w:sz w:val="24"/>
      <w:szCs w:val="24"/>
    </w:rPr>
  </w:style>
  <w:style w:type="paragraph" w:customStyle="1" w:styleId="211">
    <w:name w:val="xl76"/>
    <w:basedOn w:val="1"/>
    <w:uiPriority w:val="0"/>
    <w:pPr>
      <w:widowControl/>
      <w:pBdr>
        <w:left w:val="single" w:color="auto" w:sz="12" w:space="0"/>
        <w:bottom w:val="single" w:color="auto" w:sz="4" w:space="0"/>
        <w:right w:val="single" w:color="auto" w:sz="4" w:space="0"/>
      </w:pBdr>
      <w:spacing w:before="100" w:beforeAutospacing="1" w:after="100" w:afterAutospacing="1"/>
      <w:jc w:val="center"/>
    </w:pPr>
    <w:rPr>
      <w:rFonts w:eastAsia="Arial Unicode MS"/>
      <w:color w:val="008000"/>
      <w:kern w:val="0"/>
      <w:sz w:val="24"/>
      <w:szCs w:val="24"/>
    </w:rPr>
  </w:style>
  <w:style w:type="paragraph" w:customStyle="1" w:styleId="212">
    <w:name w:val="环评正文"/>
    <w:basedOn w:val="2"/>
    <w:uiPriority w:val="0"/>
    <w:pPr>
      <w:keepNext w:val="0"/>
      <w:spacing w:beforeLines="100" w:afterLines="50" w:line="400" w:lineRule="exact"/>
      <w:ind w:firstLine="480"/>
      <w:outlineLvl w:val="9"/>
    </w:pPr>
    <w:rPr>
      <w:rFonts w:ascii="Times New Roman" w:eastAsia="仿宋_GB2312"/>
      <w:kern w:val="44"/>
      <w:sz w:val="24"/>
    </w:rPr>
  </w:style>
  <w:style w:type="paragraph" w:customStyle="1" w:styleId="213">
    <w:name w:val="xl11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4"/>
      <w:szCs w:val="24"/>
    </w:rPr>
  </w:style>
  <w:style w:type="paragraph" w:customStyle="1" w:styleId="214">
    <w:name w:val="xl108"/>
    <w:basedOn w:val="1"/>
    <w:uiPriority w:val="0"/>
    <w:pPr>
      <w:widowControl/>
      <w:pBdr>
        <w:top w:val="single" w:color="auto" w:sz="4" w:space="0"/>
        <w:bottom w:val="single" w:color="auto" w:sz="4" w:space="0"/>
      </w:pBdr>
      <w:spacing w:before="100" w:beforeAutospacing="1" w:after="100" w:afterAutospacing="1"/>
      <w:jc w:val="left"/>
    </w:pPr>
    <w:rPr>
      <w:rFonts w:eastAsia="Arial Unicode MS"/>
      <w:color w:val="FF0000"/>
      <w:kern w:val="0"/>
      <w:sz w:val="24"/>
      <w:szCs w:val="24"/>
    </w:rPr>
  </w:style>
  <w:style w:type="paragraph" w:customStyle="1" w:styleId="215">
    <w:name w:val="默认段落字体 Para Char Char Char Char"/>
    <w:basedOn w:val="1"/>
    <w:uiPriority w:val="0"/>
    <w:rPr>
      <w:szCs w:val="24"/>
    </w:rPr>
  </w:style>
  <w:style w:type="paragraph" w:customStyle="1" w:styleId="216">
    <w:name w:val="Char Char Char Char"/>
    <w:basedOn w:val="1"/>
    <w:uiPriority w:val="0"/>
  </w:style>
  <w:style w:type="paragraph" w:customStyle="1" w:styleId="217">
    <w:name w:val="font6"/>
    <w:basedOn w:val="1"/>
    <w:uiPriority w:val="0"/>
    <w:pPr>
      <w:widowControl/>
      <w:spacing w:before="100" w:beforeAutospacing="1" w:after="100" w:afterAutospacing="1"/>
      <w:jc w:val="left"/>
    </w:pPr>
    <w:rPr>
      <w:rFonts w:hint="eastAsia" w:ascii="宋体" w:hAnsi="宋体"/>
      <w:kern w:val="0"/>
      <w:sz w:val="16"/>
      <w:szCs w:val="16"/>
    </w:rPr>
  </w:style>
  <w:style w:type="paragraph" w:customStyle="1" w:styleId="218">
    <w:name w:val="xl77"/>
    <w:basedOn w:val="1"/>
    <w:uiPriority w:val="0"/>
    <w:pPr>
      <w:widowControl/>
      <w:pBdr>
        <w:left w:val="single" w:color="auto" w:sz="12"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19">
    <w:name w:val="表"/>
    <w:basedOn w:val="1"/>
    <w:uiPriority w:val="0"/>
    <w:pPr>
      <w:ind w:right="-48" w:rightChars="-48"/>
    </w:pPr>
    <w:rPr>
      <w:kern w:val="0"/>
    </w:rPr>
  </w:style>
  <w:style w:type="paragraph" w:customStyle="1" w:styleId="220">
    <w:name w:val="Char Char Char Char Char Char Char1"/>
    <w:basedOn w:val="1"/>
    <w:uiPriority w:val="0"/>
    <w:rPr>
      <w:szCs w:val="24"/>
    </w:rPr>
  </w:style>
  <w:style w:type="paragraph" w:customStyle="1" w:styleId="221">
    <w:name w:val="xl114"/>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22">
    <w:name w:val="xl119"/>
    <w:basedOn w:val="1"/>
    <w:uiPriority w:val="0"/>
    <w:pPr>
      <w:widowControl/>
      <w:pBdr>
        <w:top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23">
    <w:name w:val="样式1 + 加粗"/>
    <w:basedOn w:val="197"/>
    <w:uiPriority w:val="0"/>
    <w:pPr>
      <w:spacing w:line="336" w:lineRule="auto"/>
    </w:pPr>
    <w:rPr>
      <w:rFonts w:eastAsia="黑体"/>
      <w:bCs/>
      <w:szCs w:val="24"/>
    </w:rPr>
  </w:style>
  <w:style w:type="paragraph" w:customStyle="1" w:styleId="224">
    <w:name w:val="xl69"/>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225">
    <w:name w:val="reader-word-layer reader-word-s3-13"/>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26">
    <w:name w:val="font7"/>
    <w:basedOn w:val="1"/>
    <w:uiPriority w:val="0"/>
    <w:pPr>
      <w:widowControl/>
      <w:spacing w:before="100" w:beforeAutospacing="1" w:after="100" w:afterAutospacing="1"/>
      <w:jc w:val="left"/>
    </w:pPr>
    <w:rPr>
      <w:b/>
      <w:bCs/>
      <w:kern w:val="0"/>
      <w:sz w:val="20"/>
    </w:rPr>
  </w:style>
  <w:style w:type="paragraph" w:customStyle="1" w:styleId="227">
    <w:name w:val="xl126"/>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28">
    <w:name w:val="Char4 Char Char Char"/>
    <w:basedOn w:val="1"/>
    <w:uiPriority w:val="0"/>
    <w:pPr>
      <w:adjustRightInd w:val="0"/>
      <w:snapToGrid w:val="0"/>
      <w:spacing w:line="360" w:lineRule="auto"/>
      <w:ind w:firstLine="200" w:firstLineChars="200"/>
    </w:pPr>
    <w:rPr>
      <w:szCs w:val="24"/>
    </w:rPr>
  </w:style>
  <w:style w:type="paragraph" w:customStyle="1" w:styleId="229">
    <w:name w:val="日期1"/>
    <w:basedOn w:val="1"/>
    <w:next w:val="1"/>
    <w:uiPriority w:val="0"/>
    <w:pPr>
      <w:adjustRightInd w:val="0"/>
      <w:textAlignment w:val="baseline"/>
    </w:pPr>
  </w:style>
  <w:style w:type="paragraph" w:customStyle="1" w:styleId="230">
    <w:name w:val="Style37"/>
    <w:basedOn w:val="1"/>
    <w:uiPriority w:val="0"/>
    <w:pPr>
      <w:adjustRightInd w:val="0"/>
      <w:jc w:val="left"/>
    </w:pPr>
    <w:rPr>
      <w:rFonts w:ascii="宋体"/>
      <w:kern w:val="0"/>
      <w:sz w:val="24"/>
      <w:szCs w:val="24"/>
    </w:rPr>
  </w:style>
  <w:style w:type="paragraph" w:customStyle="1" w:styleId="231">
    <w:name w:val="表内字一"/>
    <w:basedOn w:val="232"/>
    <w:uiPriority w:val="0"/>
    <w:pPr>
      <w:spacing w:line="280" w:lineRule="atLeast"/>
      <w:jc w:val="both"/>
    </w:pPr>
  </w:style>
  <w:style w:type="paragraph" w:customStyle="1" w:styleId="232">
    <w:name w:val="表内字"/>
    <w:basedOn w:val="1"/>
    <w:uiPriority w:val="0"/>
    <w:pPr>
      <w:spacing w:before="80" w:after="80"/>
      <w:jc w:val="center"/>
    </w:pPr>
    <w:rPr>
      <w:color w:val="FF0000"/>
      <w:szCs w:val="24"/>
    </w:rPr>
  </w:style>
  <w:style w:type="paragraph" w:customStyle="1" w:styleId="233">
    <w:name w:val="xl121"/>
    <w:basedOn w:val="1"/>
    <w:uiPriority w:val="0"/>
    <w:pPr>
      <w:widowControl/>
      <w:pBdr>
        <w:top w:val="single" w:color="auto" w:sz="4" w:space="0"/>
        <w:left w:val="single" w:color="auto" w:sz="4" w:space="0"/>
        <w:bottom w:val="single" w:color="auto" w:sz="4" w:space="0"/>
      </w:pBdr>
      <w:spacing w:before="100" w:beforeAutospacing="1" w:after="100" w:afterAutospacing="1"/>
    </w:pPr>
    <w:rPr>
      <w:rFonts w:eastAsia="Arial Unicode MS"/>
      <w:kern w:val="0"/>
      <w:sz w:val="24"/>
      <w:szCs w:val="24"/>
    </w:rPr>
  </w:style>
  <w:style w:type="paragraph" w:customStyle="1" w:styleId="234">
    <w:name w:val="样式1 + 四号 居中"/>
    <w:basedOn w:val="197"/>
    <w:uiPriority w:val="0"/>
    <w:pPr>
      <w:spacing w:line="336" w:lineRule="auto"/>
      <w:jc w:val="center"/>
    </w:pPr>
    <w:rPr>
      <w:sz w:val="28"/>
    </w:rPr>
  </w:style>
  <w:style w:type="paragraph" w:customStyle="1" w:styleId="235">
    <w:name w:val="Normal - Schedule"/>
    <w:uiPriority w:val="0"/>
    <w:pPr>
      <w:tabs>
        <w:tab w:val="left" w:pos="454"/>
        <w:tab w:val="left" w:pos="907"/>
        <w:tab w:val="left" w:pos="1361"/>
        <w:tab w:val="left" w:pos="1814"/>
        <w:tab w:val="left" w:pos="2722"/>
      </w:tabs>
      <w:overflowPunct w:val="0"/>
      <w:autoSpaceDE w:val="0"/>
      <w:autoSpaceDN w:val="0"/>
      <w:adjustRightInd w:val="0"/>
      <w:spacing w:before="120"/>
      <w:textAlignment w:val="baseline"/>
    </w:pPr>
    <w:rPr>
      <w:rFonts w:ascii="Times New Roman" w:hAnsi="Times New Roman" w:eastAsia="宋体" w:cs="Times New Roman"/>
      <w:lang w:val="en-AU" w:eastAsia="en-US" w:bidi="ar-SA"/>
    </w:rPr>
  </w:style>
  <w:style w:type="paragraph" w:customStyle="1" w:styleId="236">
    <w:name w:val="表格文字样式"/>
    <w:basedOn w:val="1"/>
    <w:uiPriority w:val="0"/>
    <w:pPr>
      <w:tabs>
        <w:tab w:val="left" w:pos="567"/>
      </w:tabs>
      <w:jc w:val="center"/>
    </w:pPr>
    <w:rPr>
      <w:rFonts w:eastAsia="华文中宋"/>
      <w:spacing w:val="20"/>
      <w:sz w:val="24"/>
    </w:rPr>
  </w:style>
  <w:style w:type="paragraph" w:customStyle="1" w:styleId="237">
    <w:name w:val="Char21"/>
    <w:basedOn w:val="1"/>
    <w:semiHidden/>
    <w:uiPriority w:val="0"/>
    <w:pPr>
      <w:ind w:left="510"/>
    </w:pPr>
    <w:rPr>
      <w:szCs w:val="21"/>
    </w:rPr>
  </w:style>
  <w:style w:type="paragraph" w:customStyle="1" w:styleId="238">
    <w:name w:val="xl56"/>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eastAsia="Arial Unicode MS"/>
      <w:color w:val="008000"/>
      <w:kern w:val="0"/>
      <w:sz w:val="24"/>
      <w:szCs w:val="24"/>
    </w:rPr>
  </w:style>
  <w:style w:type="paragraph" w:customStyle="1" w:styleId="239">
    <w:name w:val="xl59"/>
    <w:basedOn w:val="1"/>
    <w:uiPriority w:val="0"/>
    <w:pPr>
      <w:widowControl/>
      <w:pBdr>
        <w:top w:val="single" w:color="auto" w:sz="4" w:space="0"/>
        <w:left w:val="single" w:color="auto" w:sz="4" w:space="0"/>
      </w:pBdr>
      <w:spacing w:before="100" w:beforeAutospacing="1" w:after="100" w:afterAutospacing="1"/>
      <w:jc w:val="center"/>
    </w:pPr>
    <w:rPr>
      <w:rFonts w:eastAsia="Arial Unicode MS"/>
      <w:kern w:val="0"/>
      <w:sz w:val="24"/>
      <w:szCs w:val="24"/>
    </w:rPr>
  </w:style>
  <w:style w:type="paragraph" w:customStyle="1" w:styleId="240">
    <w:name w:val="1"/>
    <w:basedOn w:val="1"/>
    <w:next w:val="1"/>
    <w:uiPriority w:val="0"/>
    <w:pPr>
      <w:jc w:val="center"/>
    </w:pPr>
  </w:style>
  <w:style w:type="paragraph" w:customStyle="1" w:styleId="241">
    <w:name w:val="附录章标题"/>
    <w:next w:val="193"/>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42">
    <w:name w:val="Style67"/>
    <w:basedOn w:val="1"/>
    <w:uiPriority w:val="0"/>
    <w:pPr>
      <w:adjustRightInd w:val="0"/>
      <w:jc w:val="left"/>
    </w:pPr>
    <w:rPr>
      <w:rFonts w:ascii="宋体"/>
      <w:kern w:val="0"/>
      <w:sz w:val="24"/>
      <w:szCs w:val="24"/>
    </w:rPr>
  </w:style>
  <w:style w:type="paragraph" w:customStyle="1" w:styleId="243">
    <w:name w:val="Char Char1 Char Char Char Char Char Char Char Char Char Char Char Char Char Char Char Char Char Char Char"/>
    <w:basedOn w:val="1"/>
    <w:qFormat/>
    <w:uiPriority w:val="0"/>
    <w:pPr>
      <w:widowControl/>
      <w:jc w:val="left"/>
    </w:pPr>
    <w:rPr>
      <w:rFonts w:ascii="宋体" w:hAnsi="宋体" w:cs="宋体"/>
      <w:color w:val="000000"/>
      <w:kern w:val="0"/>
      <w:sz w:val="24"/>
      <w:szCs w:val="24"/>
    </w:rPr>
  </w:style>
  <w:style w:type="paragraph" w:customStyle="1" w:styleId="244">
    <w:name w:val="font13"/>
    <w:basedOn w:val="1"/>
    <w:uiPriority w:val="0"/>
    <w:pPr>
      <w:widowControl/>
      <w:spacing w:before="100" w:beforeAutospacing="1" w:after="100" w:afterAutospacing="1"/>
      <w:jc w:val="left"/>
    </w:pPr>
    <w:rPr>
      <w:color w:val="0000FF"/>
      <w:kern w:val="0"/>
      <w:sz w:val="16"/>
      <w:szCs w:val="16"/>
    </w:rPr>
  </w:style>
  <w:style w:type="paragraph" w:customStyle="1" w:styleId="24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kern w:val="0"/>
      <w:sz w:val="16"/>
      <w:szCs w:val="16"/>
    </w:rPr>
  </w:style>
  <w:style w:type="paragraph" w:customStyle="1" w:styleId="246">
    <w:name w:val="xl49"/>
    <w:basedOn w:val="1"/>
    <w:uiPriority w:val="0"/>
    <w:pPr>
      <w:widowControl/>
      <w:pBdr>
        <w:left w:val="single" w:color="auto" w:sz="4" w:space="0"/>
        <w:bottom w:val="single" w:color="auto" w:sz="4" w:space="0"/>
      </w:pBdr>
      <w:spacing w:before="100" w:after="100"/>
      <w:jc w:val="center"/>
      <w:textAlignment w:val="center"/>
    </w:pPr>
    <w:rPr>
      <w:rFonts w:ascii="宋体" w:hAnsi="宋体"/>
      <w:kern w:val="0"/>
      <w:sz w:val="28"/>
      <w:szCs w:val="28"/>
    </w:rPr>
  </w:style>
  <w:style w:type="paragraph" w:customStyle="1" w:styleId="247">
    <w:name w:val="表格文字"/>
    <w:basedOn w:val="1"/>
    <w:uiPriority w:val="0"/>
    <w:pPr>
      <w:adjustRightInd w:val="0"/>
      <w:spacing w:line="360" w:lineRule="atLeast"/>
      <w:jc w:val="center"/>
      <w:textAlignment w:val="baseline"/>
    </w:pPr>
    <w:rPr>
      <w:kern w:val="0"/>
    </w:rPr>
  </w:style>
  <w:style w:type="paragraph" w:customStyle="1" w:styleId="248">
    <w:name w:val="xl9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eastAsia="Arial Unicode MS"/>
      <w:kern w:val="0"/>
      <w:sz w:val="24"/>
      <w:szCs w:val="24"/>
    </w:rPr>
  </w:style>
  <w:style w:type="paragraph" w:customStyle="1" w:styleId="249">
    <w:name w:val="缺省文本_宋体"/>
    <w:basedOn w:val="1"/>
    <w:qFormat/>
    <w:uiPriority w:val="0"/>
    <w:pPr>
      <w:tabs>
        <w:tab w:val="left" w:pos="525"/>
        <w:tab w:val="center" w:pos="5670"/>
        <w:tab w:val="right" w:pos="7655"/>
      </w:tabs>
      <w:spacing w:before="80" w:after="120" w:line="360" w:lineRule="auto"/>
      <w:outlineLvl w:val="7"/>
    </w:pPr>
    <w:rPr>
      <w:spacing w:val="16"/>
      <w:kern w:val="28"/>
      <w:sz w:val="24"/>
    </w:rPr>
  </w:style>
  <w:style w:type="paragraph" w:customStyle="1" w:styleId="250">
    <w:name w:val="wg"/>
    <w:basedOn w:val="1"/>
    <w:uiPriority w:val="0"/>
    <w:rPr>
      <w:sz w:val="28"/>
    </w:rPr>
  </w:style>
  <w:style w:type="paragraph" w:customStyle="1" w:styleId="251">
    <w:name w:val="xl40"/>
    <w:basedOn w:val="1"/>
    <w:uiPriority w:val="0"/>
    <w:pPr>
      <w:widowControl/>
      <w:pBdr>
        <w:left w:val="single" w:color="auto" w:sz="8"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52">
    <w:name w:val="Style68"/>
    <w:basedOn w:val="1"/>
    <w:qFormat/>
    <w:uiPriority w:val="0"/>
    <w:pPr>
      <w:adjustRightInd w:val="0"/>
      <w:spacing w:line="274" w:lineRule="exact"/>
      <w:jc w:val="left"/>
    </w:pPr>
    <w:rPr>
      <w:rFonts w:ascii="宋体"/>
      <w:kern w:val="0"/>
      <w:sz w:val="24"/>
      <w:szCs w:val="24"/>
    </w:rPr>
  </w:style>
  <w:style w:type="paragraph" w:customStyle="1" w:styleId="253">
    <w:name w:val="xl103"/>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eastAsia="Arial Unicode MS"/>
      <w:kern w:val="0"/>
      <w:sz w:val="24"/>
      <w:szCs w:val="24"/>
    </w:rPr>
  </w:style>
  <w:style w:type="paragraph" w:customStyle="1" w:styleId="254">
    <w:name w:val="xl54"/>
    <w:basedOn w:val="1"/>
    <w:uiPriority w:val="0"/>
    <w:pPr>
      <w:widowControl/>
      <w:pBdr>
        <w:left w:val="single" w:color="auto" w:sz="12" w:space="0"/>
        <w:bottom w:val="single" w:color="auto" w:sz="4" w:space="0"/>
        <w:right w:val="single" w:color="auto" w:sz="4" w:space="0"/>
      </w:pBdr>
      <w:spacing w:before="100" w:beforeAutospacing="1" w:after="100" w:afterAutospacing="1"/>
      <w:jc w:val="left"/>
    </w:pPr>
    <w:rPr>
      <w:rFonts w:eastAsia="Arial Unicode MS"/>
      <w:color w:val="FF0000"/>
      <w:kern w:val="0"/>
      <w:sz w:val="24"/>
      <w:szCs w:val="24"/>
    </w:rPr>
  </w:style>
  <w:style w:type="paragraph" w:customStyle="1" w:styleId="255">
    <w:name w:val="font17"/>
    <w:basedOn w:val="1"/>
    <w:uiPriority w:val="0"/>
    <w:pPr>
      <w:widowControl/>
      <w:spacing w:before="100" w:beforeAutospacing="1" w:after="100" w:afterAutospacing="1"/>
      <w:jc w:val="left"/>
    </w:pPr>
    <w:rPr>
      <w:rFonts w:ascii="宋体" w:hAnsi="宋体" w:cs="Arial Unicode MS"/>
      <w:color w:val="008000"/>
      <w:kern w:val="0"/>
      <w:sz w:val="24"/>
      <w:szCs w:val="24"/>
    </w:rPr>
  </w:style>
  <w:style w:type="paragraph" w:customStyle="1" w:styleId="256">
    <w:name w:val="font22"/>
    <w:basedOn w:val="1"/>
    <w:uiPriority w:val="0"/>
    <w:pPr>
      <w:widowControl/>
      <w:spacing w:before="100" w:beforeAutospacing="1" w:after="100" w:afterAutospacing="1"/>
      <w:jc w:val="left"/>
    </w:pPr>
    <w:rPr>
      <w:rFonts w:eastAsia="Arial Unicode MS"/>
      <w:kern w:val="0"/>
      <w:szCs w:val="21"/>
    </w:rPr>
  </w:style>
  <w:style w:type="paragraph" w:customStyle="1" w:styleId="257">
    <w:name w:val="样式 正文（首行缩进两字） + 宋体"/>
    <w:basedOn w:val="9"/>
    <w:uiPriority w:val="0"/>
    <w:pPr>
      <w:spacing w:line="240" w:lineRule="auto"/>
      <w:ind w:firstLine="0"/>
      <w:jc w:val="both"/>
      <w:textAlignment w:val="auto"/>
    </w:pPr>
    <w:rPr>
      <w:rFonts w:ascii="宋体" w:hAnsi="宋体"/>
      <w:kern w:val="2"/>
      <w:sz w:val="28"/>
    </w:rPr>
  </w:style>
  <w:style w:type="paragraph" w:customStyle="1" w:styleId="258">
    <w:name w:val="xl24"/>
    <w:basedOn w:val="1"/>
    <w:qFormat/>
    <w:uiPriority w:val="0"/>
    <w:pPr>
      <w:widowControl/>
      <w:spacing w:before="100" w:beforeAutospacing="1" w:after="100" w:afterAutospacing="1"/>
      <w:jc w:val="left"/>
      <w:textAlignment w:val="center"/>
    </w:pPr>
    <w:rPr>
      <w:kern w:val="0"/>
      <w:sz w:val="16"/>
      <w:szCs w:val="16"/>
    </w:rPr>
  </w:style>
  <w:style w:type="paragraph" w:customStyle="1" w:styleId="259">
    <w:name w:val="Char1 Char Char Char"/>
    <w:basedOn w:val="1"/>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60">
    <w:name w:val="xl57"/>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61">
    <w:name w:val="附录标识"/>
    <w:basedOn w:val="1"/>
    <w:qFormat/>
    <w:uiPriority w:val="0"/>
    <w:pPr>
      <w:widowControl/>
      <w:shd w:val="clear" w:color="FFFFFF" w:fill="FFFFFF"/>
      <w:tabs>
        <w:tab w:val="left" w:pos="6405"/>
      </w:tabs>
      <w:spacing w:before="640" w:after="200"/>
      <w:jc w:val="center"/>
      <w:outlineLvl w:val="0"/>
    </w:pPr>
    <w:rPr>
      <w:rFonts w:ascii="黑体" w:eastAsia="黑体"/>
      <w:kern w:val="0"/>
    </w:rPr>
  </w:style>
  <w:style w:type="paragraph" w:customStyle="1" w:styleId="262">
    <w:name w:val="Char Char Char Char Char Char Char Char Char Char"/>
    <w:basedOn w:val="1"/>
    <w:uiPriority w:val="0"/>
    <w:rPr>
      <w:szCs w:val="24"/>
    </w:rPr>
  </w:style>
  <w:style w:type="paragraph" w:customStyle="1" w:styleId="263">
    <w:name w:val="附录五级条标题"/>
    <w:basedOn w:val="264"/>
    <w:next w:val="193"/>
    <w:qFormat/>
    <w:uiPriority w:val="0"/>
    <w:pPr>
      <w:outlineLvl w:val="6"/>
    </w:pPr>
  </w:style>
  <w:style w:type="paragraph" w:customStyle="1" w:styleId="264">
    <w:name w:val="附录四级条标题"/>
    <w:basedOn w:val="265"/>
    <w:next w:val="193"/>
    <w:qFormat/>
    <w:uiPriority w:val="0"/>
    <w:pPr>
      <w:outlineLvl w:val="5"/>
    </w:pPr>
  </w:style>
  <w:style w:type="paragraph" w:customStyle="1" w:styleId="265">
    <w:name w:val="附录三级条标题"/>
    <w:basedOn w:val="266"/>
    <w:next w:val="193"/>
    <w:qFormat/>
    <w:uiPriority w:val="0"/>
    <w:pPr>
      <w:outlineLvl w:val="4"/>
    </w:pPr>
  </w:style>
  <w:style w:type="paragraph" w:customStyle="1" w:styleId="266">
    <w:name w:val="附录二级条标题"/>
    <w:basedOn w:val="267"/>
    <w:next w:val="193"/>
    <w:qFormat/>
    <w:uiPriority w:val="0"/>
    <w:pPr>
      <w:outlineLvl w:val="3"/>
    </w:pPr>
  </w:style>
  <w:style w:type="paragraph" w:customStyle="1" w:styleId="267">
    <w:name w:val="附录一级条标题"/>
    <w:basedOn w:val="241"/>
    <w:next w:val="193"/>
    <w:uiPriority w:val="0"/>
    <w:pPr>
      <w:autoSpaceDN w:val="0"/>
      <w:spacing w:beforeLines="0" w:afterLines="0"/>
      <w:outlineLvl w:val="2"/>
    </w:pPr>
  </w:style>
  <w:style w:type="paragraph" w:customStyle="1" w:styleId="268">
    <w:name w:val="zw"/>
    <w:basedOn w:val="1"/>
    <w:uiPriority w:val="0"/>
    <w:pPr>
      <w:widowControl/>
      <w:spacing w:before="100" w:beforeAutospacing="1" w:after="100" w:afterAutospacing="1" w:line="440" w:lineRule="atLeast"/>
      <w:jc w:val="left"/>
    </w:pPr>
    <w:rPr>
      <w:rFonts w:ascii="宋体" w:hAnsi="宋体" w:cs="宋体"/>
      <w:kern w:val="0"/>
      <w:sz w:val="22"/>
      <w:szCs w:val="22"/>
    </w:rPr>
  </w:style>
  <w:style w:type="paragraph" w:customStyle="1" w:styleId="269">
    <w:name w:val="样式3"/>
    <w:basedOn w:val="1"/>
    <w:uiPriority w:val="0"/>
    <w:pPr>
      <w:adjustRightInd w:val="0"/>
      <w:snapToGrid w:val="0"/>
      <w:spacing w:line="360" w:lineRule="auto"/>
      <w:jc w:val="center"/>
    </w:pPr>
    <w:rPr>
      <w:rFonts w:ascii="宋体" w:hAnsi="宋体"/>
      <w:b/>
      <w:bCs/>
    </w:rPr>
  </w:style>
  <w:style w:type="paragraph" w:customStyle="1" w:styleId="270">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color w:val="000000"/>
      <w:kern w:val="0"/>
      <w:sz w:val="16"/>
      <w:szCs w:val="16"/>
    </w:rPr>
  </w:style>
  <w:style w:type="paragraph" w:customStyle="1" w:styleId="271">
    <w:name w:val="xl100"/>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8000"/>
      <w:kern w:val="0"/>
      <w:sz w:val="24"/>
      <w:szCs w:val="24"/>
    </w:rPr>
  </w:style>
  <w:style w:type="paragraph" w:customStyle="1" w:styleId="272">
    <w:name w:val="Char11"/>
    <w:basedOn w:val="1"/>
    <w:qFormat/>
    <w:uiPriority w:val="0"/>
  </w:style>
  <w:style w:type="paragraph" w:customStyle="1" w:styleId="273">
    <w:name w:val="基准标题"/>
    <w:basedOn w:val="14"/>
    <w:next w:val="14"/>
    <w:uiPriority w:val="0"/>
    <w:pPr>
      <w:spacing w:before="80" w:after="80"/>
      <w:jc w:val="center"/>
    </w:pPr>
    <w:rPr>
      <w:rFonts w:ascii="宋体" w:hAnsi="宋体"/>
      <w:kern w:val="0"/>
      <w:szCs w:val="21"/>
    </w:rPr>
  </w:style>
  <w:style w:type="paragraph" w:customStyle="1" w:styleId="274">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8000"/>
      <w:kern w:val="0"/>
      <w:sz w:val="24"/>
      <w:szCs w:val="24"/>
    </w:rPr>
  </w:style>
  <w:style w:type="paragraph" w:customStyle="1" w:styleId="275">
    <w:name w:val="xl110"/>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FF0000"/>
      <w:kern w:val="0"/>
      <w:sz w:val="24"/>
      <w:szCs w:val="24"/>
    </w:rPr>
  </w:style>
  <w:style w:type="paragraph" w:customStyle="1" w:styleId="276">
    <w:name w:val="font16"/>
    <w:basedOn w:val="1"/>
    <w:uiPriority w:val="0"/>
    <w:pPr>
      <w:widowControl/>
      <w:spacing w:before="100" w:beforeAutospacing="1" w:after="100" w:afterAutospacing="1"/>
      <w:jc w:val="left"/>
    </w:pPr>
    <w:rPr>
      <w:rFonts w:eastAsia="Arial Unicode MS"/>
      <w:color w:val="FF0000"/>
      <w:kern w:val="0"/>
      <w:sz w:val="24"/>
      <w:szCs w:val="24"/>
    </w:rPr>
  </w:style>
  <w:style w:type="paragraph" w:customStyle="1" w:styleId="277">
    <w:name w:val="a"/>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78">
    <w:name w:val="xl9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79">
    <w:name w:val="样式 题注 + 首行缩进:  2 字符1"/>
    <w:basedOn w:val="16"/>
    <w:qFormat/>
    <w:uiPriority w:val="0"/>
    <w:pPr>
      <w:spacing w:afterLines="50" w:line="400" w:lineRule="exact"/>
    </w:pPr>
    <w:rPr>
      <w:rFonts w:cs="宋体"/>
    </w:rPr>
  </w:style>
  <w:style w:type="paragraph" w:customStyle="1" w:styleId="280">
    <w:name w:val="样式7"/>
    <w:basedOn w:val="1"/>
    <w:qFormat/>
    <w:uiPriority w:val="0"/>
    <w:pPr>
      <w:spacing w:line="340" w:lineRule="exact"/>
      <w:ind w:firstLine="562" w:firstLineChars="200"/>
    </w:pPr>
    <w:rPr>
      <w:b/>
      <w:bCs/>
      <w:spacing w:val="20"/>
      <w:sz w:val="24"/>
    </w:rPr>
  </w:style>
  <w:style w:type="paragraph" w:customStyle="1" w:styleId="281">
    <w:name w:val="样式 题注 + 首行缩进:  2 字符"/>
    <w:basedOn w:val="16"/>
    <w:qFormat/>
    <w:uiPriority w:val="0"/>
    <w:pPr>
      <w:spacing w:line="400" w:lineRule="exact"/>
    </w:pPr>
    <w:rPr>
      <w:rFonts w:cs="宋体"/>
    </w:rPr>
  </w:style>
  <w:style w:type="paragraph" w:customStyle="1" w:styleId="282">
    <w:name w:val="样式 段前: 7.8 磅 段后: 7.8 磅"/>
    <w:basedOn w:val="1"/>
    <w:qFormat/>
    <w:uiPriority w:val="0"/>
    <w:pPr>
      <w:spacing w:before="10" w:after="10" w:line="440" w:lineRule="exact"/>
      <w:ind w:firstLine="200" w:firstLineChars="200"/>
      <w:jc w:val="left"/>
    </w:pPr>
    <w:rPr>
      <w:rFonts w:cs="宋体"/>
      <w:sz w:val="24"/>
    </w:rPr>
  </w:style>
  <w:style w:type="paragraph" w:customStyle="1" w:styleId="283">
    <w:name w:val="xl11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84">
    <w:name w:val="p18"/>
    <w:basedOn w:val="1"/>
    <w:qFormat/>
    <w:uiPriority w:val="0"/>
    <w:pPr>
      <w:widowControl/>
      <w:jc w:val="left"/>
    </w:pPr>
    <w:rPr>
      <w:rFonts w:ascii="宋体" w:hAnsi="宋体" w:cs="宋体"/>
      <w:color w:val="000000"/>
      <w:kern w:val="0"/>
      <w:sz w:val="24"/>
      <w:szCs w:val="24"/>
    </w:rPr>
  </w:style>
  <w:style w:type="paragraph" w:customStyle="1" w:styleId="285">
    <w:name w:val="xl94"/>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86">
    <w:name w:val="xl68"/>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87">
    <w:name w:val="xl85"/>
    <w:basedOn w:val="1"/>
    <w:uiPriority w:val="0"/>
    <w:pPr>
      <w:widowControl/>
      <w:pBdr>
        <w:top w:val="single" w:color="auto" w:sz="4" w:space="0"/>
        <w:bottom w:val="single" w:color="auto" w:sz="4" w:space="0"/>
      </w:pBdr>
      <w:spacing w:before="100" w:beforeAutospacing="1" w:after="100" w:afterAutospacing="1"/>
      <w:jc w:val="left"/>
    </w:pPr>
    <w:rPr>
      <w:rFonts w:eastAsia="Arial Unicode MS"/>
      <w:kern w:val="0"/>
      <w:sz w:val="24"/>
      <w:szCs w:val="24"/>
    </w:rPr>
  </w:style>
  <w:style w:type="paragraph" w:customStyle="1" w:styleId="288">
    <w:name w:val="Style136"/>
    <w:basedOn w:val="1"/>
    <w:uiPriority w:val="0"/>
    <w:pPr>
      <w:adjustRightInd w:val="0"/>
      <w:spacing w:line="288" w:lineRule="exact"/>
      <w:jc w:val="left"/>
    </w:pPr>
    <w:rPr>
      <w:rFonts w:ascii="宋体"/>
      <w:kern w:val="0"/>
      <w:sz w:val="24"/>
      <w:szCs w:val="24"/>
    </w:rPr>
  </w:style>
  <w:style w:type="paragraph" w:customStyle="1" w:styleId="289">
    <w:name w:val="p16"/>
    <w:basedOn w:val="1"/>
    <w:qFormat/>
    <w:uiPriority w:val="0"/>
    <w:pPr>
      <w:widowControl/>
      <w:jc w:val="left"/>
    </w:pPr>
    <w:rPr>
      <w:rFonts w:ascii="宋体" w:hAnsi="宋体" w:cs="宋体"/>
      <w:color w:val="000000"/>
      <w:kern w:val="0"/>
      <w:sz w:val="24"/>
      <w:szCs w:val="24"/>
    </w:rPr>
  </w:style>
  <w:style w:type="paragraph" w:customStyle="1" w:styleId="290">
    <w:name w:val="说明书标题"/>
    <w:basedOn w:val="1"/>
    <w:next w:val="1"/>
    <w:qFormat/>
    <w:uiPriority w:val="0"/>
    <w:pPr>
      <w:tabs>
        <w:tab w:val="left" w:pos="210"/>
        <w:tab w:val="left" w:pos="360"/>
      </w:tabs>
      <w:spacing w:line="520" w:lineRule="exact"/>
      <w:ind w:left="227" w:hanging="227"/>
    </w:pPr>
    <w:rPr>
      <w:rFonts w:ascii="Trebuchet MS" w:hAnsi="Trebuchet MS" w:eastAsia="黑体"/>
      <w:sz w:val="28"/>
    </w:rPr>
  </w:style>
  <w:style w:type="paragraph" w:customStyle="1" w:styleId="291">
    <w:name w:val="reader-word-layer reader-word-s5-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92">
    <w:name w:val="样式 样式 样式4 + 首行缩进:  1.92 字符 + 仿宋_GB2312"/>
    <w:basedOn w:val="293"/>
    <w:qFormat/>
    <w:uiPriority w:val="0"/>
    <w:rPr>
      <w:rFonts w:ascii="仿宋_GB2312" w:eastAsia="仿宋_GB2312"/>
      <w:szCs w:val="28"/>
    </w:rPr>
  </w:style>
  <w:style w:type="paragraph" w:customStyle="1" w:styleId="293">
    <w:name w:val="样式 样式4 + 首行缩进:  1.92 字符"/>
    <w:basedOn w:val="1"/>
    <w:qFormat/>
    <w:uiPriority w:val="0"/>
    <w:pPr>
      <w:snapToGrid w:val="0"/>
      <w:spacing w:line="300" w:lineRule="auto"/>
      <w:ind w:firstLine="538" w:firstLineChars="192"/>
    </w:pPr>
    <w:rPr>
      <w:sz w:val="28"/>
    </w:rPr>
  </w:style>
  <w:style w:type="paragraph" w:customStyle="1" w:styleId="294">
    <w:name w:val="xl44"/>
    <w:basedOn w:val="1"/>
    <w:uiPriority w:val="0"/>
    <w:pPr>
      <w:widowControl/>
      <w:pBdr>
        <w:bottom w:val="single" w:color="auto" w:sz="4" w:space="0"/>
        <w:right w:val="single" w:color="auto" w:sz="4" w:space="0"/>
      </w:pBdr>
      <w:spacing w:before="100" w:beforeAutospacing="1" w:after="100" w:afterAutospacing="1"/>
      <w:jc w:val="center"/>
    </w:pPr>
    <w:rPr>
      <w:rFonts w:eastAsia="Arial Unicode MS"/>
      <w:kern w:val="0"/>
      <w:sz w:val="24"/>
      <w:szCs w:val="24"/>
    </w:rPr>
  </w:style>
  <w:style w:type="paragraph" w:customStyle="1" w:styleId="295">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eastAsia="Arial Unicode MS"/>
      <w:kern w:val="0"/>
      <w:sz w:val="24"/>
      <w:szCs w:val="24"/>
    </w:rPr>
  </w:style>
  <w:style w:type="paragraph" w:customStyle="1" w:styleId="296">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4"/>
      <w:szCs w:val="24"/>
    </w:rPr>
  </w:style>
  <w:style w:type="paragraph" w:customStyle="1" w:styleId="297">
    <w:name w:val="Document 1"/>
    <w:qFormat/>
    <w:uiPriority w:val="0"/>
    <w:pPr>
      <w:keepNext/>
      <w:keepLines/>
      <w:widowControl w:val="0"/>
      <w:tabs>
        <w:tab w:val="left" w:pos="-720"/>
      </w:tabs>
      <w:suppressAutoHyphens/>
    </w:pPr>
    <w:rPr>
      <w:rFonts w:ascii="Courier New" w:hAnsi="Courier New" w:eastAsia="宋体" w:cs="Vrinda"/>
      <w:snapToGrid w:val="0"/>
      <w:lang w:val="en-US" w:eastAsia="en-US" w:bidi="ar-SA"/>
    </w:rPr>
  </w:style>
  <w:style w:type="paragraph" w:customStyle="1" w:styleId="298">
    <w:name w:val="font11"/>
    <w:basedOn w:val="1"/>
    <w:qFormat/>
    <w:uiPriority w:val="0"/>
    <w:pPr>
      <w:widowControl/>
      <w:spacing w:before="100" w:beforeAutospacing="1" w:after="100" w:afterAutospacing="1"/>
      <w:jc w:val="left"/>
    </w:pPr>
    <w:rPr>
      <w:rFonts w:hint="eastAsia" w:ascii="宋体" w:hAnsi="宋体"/>
      <w:color w:val="0000FF"/>
      <w:kern w:val="0"/>
      <w:sz w:val="16"/>
      <w:szCs w:val="16"/>
    </w:rPr>
  </w:style>
  <w:style w:type="paragraph" w:customStyle="1" w:styleId="29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00">
    <w:name w:val="xl109"/>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eastAsia="Arial Unicode MS"/>
      <w:color w:val="FF0000"/>
      <w:kern w:val="0"/>
      <w:sz w:val="24"/>
      <w:szCs w:val="24"/>
    </w:rPr>
  </w:style>
  <w:style w:type="paragraph" w:customStyle="1" w:styleId="301">
    <w:name w:val="正文文本缩进 21"/>
    <w:basedOn w:val="1"/>
    <w:qFormat/>
    <w:uiPriority w:val="0"/>
    <w:pPr>
      <w:adjustRightInd w:val="0"/>
      <w:spacing w:line="480" w:lineRule="exact"/>
      <w:ind w:firstLine="560"/>
      <w:textAlignment w:val="baseline"/>
    </w:pPr>
    <w:rPr>
      <w:color w:val="000000"/>
      <w:kern w:val="0"/>
      <w:sz w:val="24"/>
    </w:rPr>
  </w:style>
  <w:style w:type="paragraph" w:customStyle="1" w:styleId="302">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color w:val="000000"/>
      <w:kern w:val="0"/>
      <w:sz w:val="16"/>
      <w:szCs w:val="16"/>
    </w:rPr>
  </w:style>
  <w:style w:type="paragraph" w:customStyle="1" w:styleId="303">
    <w:name w:val="xl107"/>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eastAsia="Arial Unicode MS"/>
      <w:color w:val="FF0000"/>
      <w:kern w:val="0"/>
      <w:sz w:val="24"/>
      <w:szCs w:val="24"/>
    </w:rPr>
  </w:style>
  <w:style w:type="paragraph" w:customStyle="1" w:styleId="304">
    <w:name w:val="BG1"/>
    <w:basedOn w:val="1"/>
    <w:uiPriority w:val="0"/>
    <w:pPr>
      <w:adjustRightInd w:val="0"/>
      <w:jc w:val="center"/>
    </w:pPr>
    <w:rPr>
      <w:spacing w:val="20"/>
      <w:szCs w:val="24"/>
    </w:rPr>
  </w:style>
  <w:style w:type="paragraph" w:customStyle="1" w:styleId="305">
    <w:name w:val="xl112"/>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FF0000"/>
      <w:kern w:val="0"/>
      <w:sz w:val="24"/>
      <w:szCs w:val="24"/>
    </w:rPr>
  </w:style>
  <w:style w:type="paragraph" w:customStyle="1" w:styleId="306">
    <w:name w:val="Char1 Char Char Char1"/>
    <w:basedOn w:val="1"/>
    <w:uiPriority w:val="0"/>
    <w:rPr>
      <w:rFonts w:ascii="Tahoma" w:hAnsi="Tahoma"/>
      <w:sz w:val="30"/>
      <w:szCs w:val="30"/>
    </w:rPr>
  </w:style>
  <w:style w:type="paragraph" w:customStyle="1" w:styleId="307">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08">
    <w:name w:val="Style60"/>
    <w:basedOn w:val="1"/>
    <w:qFormat/>
    <w:uiPriority w:val="0"/>
    <w:pPr>
      <w:adjustRightInd w:val="0"/>
      <w:spacing w:line="446" w:lineRule="exact"/>
      <w:ind w:firstLine="396"/>
      <w:jc w:val="left"/>
    </w:pPr>
    <w:rPr>
      <w:rFonts w:ascii="宋体"/>
      <w:kern w:val="0"/>
      <w:sz w:val="24"/>
      <w:szCs w:val="24"/>
    </w:rPr>
  </w:style>
  <w:style w:type="paragraph" w:customStyle="1" w:styleId="309">
    <w:name w:val="Char"/>
    <w:basedOn w:val="1"/>
    <w:uiPriority w:val="99"/>
    <w:rPr>
      <w:szCs w:val="24"/>
    </w:rPr>
  </w:style>
  <w:style w:type="paragraph" w:customStyle="1" w:styleId="310">
    <w:name w:val="xl127"/>
    <w:basedOn w:val="1"/>
    <w:uiPriority w:val="0"/>
    <w:pPr>
      <w:widowControl/>
      <w:pBdr>
        <w:top w:val="single" w:color="auto" w:sz="4" w:space="0"/>
        <w:bottom w:val="single" w:color="auto" w:sz="4" w:space="0"/>
      </w:pBdr>
      <w:spacing w:before="100" w:beforeAutospacing="1" w:after="100" w:afterAutospacing="1"/>
      <w:jc w:val="left"/>
    </w:pPr>
    <w:rPr>
      <w:rFonts w:eastAsia="Arial Unicode MS"/>
      <w:color w:val="008000"/>
      <w:kern w:val="0"/>
      <w:sz w:val="24"/>
      <w:szCs w:val="24"/>
    </w:rPr>
  </w:style>
  <w:style w:type="paragraph" w:customStyle="1" w:styleId="311">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2">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14">
    <w:name w:val="默认段落字体 Para Char"/>
    <w:basedOn w:val="1"/>
    <w:next w:val="1"/>
    <w:uiPriority w:val="0"/>
    <w:pPr>
      <w:spacing w:line="360" w:lineRule="auto"/>
      <w:ind w:firstLine="200" w:firstLineChars="200"/>
    </w:pPr>
    <w:rPr>
      <w:rFonts w:ascii="宋体" w:hAnsi="宋体" w:cs="宋体"/>
      <w:sz w:val="24"/>
      <w:szCs w:val="24"/>
    </w:rPr>
  </w:style>
  <w:style w:type="paragraph" w:customStyle="1" w:styleId="315">
    <w:name w:val="正式文"/>
    <w:basedOn w:val="1"/>
    <w:qFormat/>
    <w:uiPriority w:val="0"/>
    <w:pPr>
      <w:spacing w:line="360" w:lineRule="auto"/>
      <w:ind w:firstLine="200" w:firstLineChars="200"/>
    </w:pPr>
    <w:rPr>
      <w:rFonts w:ascii="Calibri" w:hAnsi="Calibri"/>
      <w:sz w:val="24"/>
      <w:szCs w:val="22"/>
    </w:rPr>
  </w:style>
  <w:style w:type="paragraph" w:customStyle="1" w:styleId="316">
    <w:name w:val="xl58"/>
    <w:basedOn w:val="1"/>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317">
    <w:name w:val="font8"/>
    <w:basedOn w:val="1"/>
    <w:qFormat/>
    <w:uiPriority w:val="0"/>
    <w:pPr>
      <w:widowControl/>
      <w:spacing w:before="100" w:beforeAutospacing="1" w:after="100" w:afterAutospacing="1"/>
      <w:jc w:val="left"/>
    </w:pPr>
    <w:rPr>
      <w:b/>
      <w:bCs/>
      <w:kern w:val="0"/>
      <w:sz w:val="20"/>
      <w:u w:val="single"/>
    </w:rPr>
  </w:style>
  <w:style w:type="paragraph" w:customStyle="1" w:styleId="318">
    <w:name w:val="xl9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eastAsia="Arial Unicode MS"/>
      <w:kern w:val="0"/>
      <w:sz w:val="24"/>
      <w:szCs w:val="24"/>
    </w:rPr>
  </w:style>
  <w:style w:type="paragraph" w:customStyle="1" w:styleId="319">
    <w:name w:val="xl52"/>
    <w:basedOn w:val="1"/>
    <w:uiPriority w:val="0"/>
    <w:pPr>
      <w:widowControl/>
      <w:pBdr>
        <w:left w:val="single" w:color="auto" w:sz="12" w:space="0"/>
        <w:bottom w:val="single" w:color="auto" w:sz="4" w:space="0"/>
        <w:right w:val="single" w:color="auto" w:sz="4" w:space="0"/>
      </w:pBdr>
      <w:spacing w:before="100" w:beforeAutospacing="1" w:after="100" w:afterAutospacing="1"/>
      <w:jc w:val="center"/>
    </w:pPr>
    <w:rPr>
      <w:rFonts w:eastAsia="Arial Unicode MS"/>
      <w:kern w:val="0"/>
      <w:sz w:val="24"/>
      <w:szCs w:val="24"/>
    </w:rPr>
  </w:style>
  <w:style w:type="paragraph" w:customStyle="1" w:styleId="320">
    <w:name w:val="xl89"/>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321">
    <w:name w:val="Texte"/>
    <w:basedOn w:val="1"/>
    <w:uiPriority w:val="0"/>
    <w:pPr>
      <w:widowControl/>
      <w:spacing w:before="120" w:after="120"/>
      <w:ind w:left="851" w:firstLine="200" w:firstLineChars="200"/>
    </w:pPr>
    <w:rPr>
      <w:rFonts w:ascii="Arial" w:hAnsi="Arial"/>
      <w:kern w:val="0"/>
      <w:sz w:val="22"/>
      <w:lang w:val="en-GB"/>
    </w:rPr>
  </w:style>
  <w:style w:type="paragraph" w:customStyle="1" w:styleId="322">
    <w:name w:val="xl116"/>
    <w:basedOn w:val="1"/>
    <w:qFormat/>
    <w:uiPriority w:val="0"/>
    <w:pPr>
      <w:widowControl/>
      <w:pBdr>
        <w:top w:val="single" w:color="auto" w:sz="4" w:space="0"/>
        <w:bottom w:val="single" w:color="auto" w:sz="4" w:space="0"/>
      </w:pBdr>
      <w:spacing w:before="100" w:beforeAutospacing="1" w:after="100" w:afterAutospacing="1"/>
    </w:pPr>
    <w:rPr>
      <w:rFonts w:ascii="Arial Unicode MS" w:hAnsi="Arial Unicode MS" w:eastAsia="Arial Unicode MS" w:cs="Arial Unicode MS"/>
      <w:kern w:val="0"/>
      <w:sz w:val="24"/>
      <w:szCs w:val="24"/>
    </w:rPr>
  </w:style>
  <w:style w:type="paragraph" w:customStyle="1" w:styleId="323">
    <w:name w:val="xl91"/>
    <w:basedOn w:val="1"/>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324">
    <w:name w:val="标-7"/>
    <w:basedOn w:val="1"/>
    <w:qFormat/>
    <w:uiPriority w:val="0"/>
    <w:pPr>
      <w:tabs>
        <w:tab w:val="left" w:pos="420"/>
      </w:tabs>
      <w:spacing w:before="120"/>
      <w:ind w:left="1701" w:hanging="425"/>
    </w:pPr>
    <w:rPr>
      <w:sz w:val="24"/>
    </w:rPr>
  </w:style>
  <w:style w:type="paragraph" w:customStyle="1" w:styleId="325">
    <w:name w:val="font14"/>
    <w:basedOn w:val="1"/>
    <w:uiPriority w:val="0"/>
    <w:pPr>
      <w:widowControl/>
      <w:spacing w:before="100" w:beforeAutospacing="1" w:after="100" w:afterAutospacing="1"/>
      <w:jc w:val="left"/>
    </w:pPr>
    <w:rPr>
      <w:rFonts w:ascii="Helv" w:hAnsi="Helv"/>
      <w:kern w:val="0"/>
      <w:sz w:val="20"/>
    </w:rPr>
  </w:style>
  <w:style w:type="paragraph" w:customStyle="1" w:styleId="326">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327">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eastAsia="Arial Unicode MS"/>
      <w:color w:val="FF0000"/>
      <w:kern w:val="0"/>
      <w:sz w:val="24"/>
      <w:szCs w:val="24"/>
    </w:rPr>
  </w:style>
  <w:style w:type="paragraph" w:customStyle="1" w:styleId="328">
    <w:name w:val="xl115"/>
    <w:basedOn w:val="1"/>
    <w:uiPriority w:val="0"/>
    <w:pPr>
      <w:widowControl/>
      <w:pBdr>
        <w:top w:val="single" w:color="auto" w:sz="4" w:space="0"/>
        <w:left w:val="single" w:color="auto" w:sz="4" w:space="0"/>
        <w:bottom w:val="single" w:color="auto" w:sz="4" w:space="0"/>
      </w:pBdr>
      <w:spacing w:before="100" w:beforeAutospacing="1" w:after="100" w:afterAutospacing="1"/>
    </w:pPr>
    <w:rPr>
      <w:rFonts w:ascii="Arial Unicode MS" w:hAnsi="Arial Unicode MS" w:eastAsia="Arial Unicode MS" w:cs="Arial Unicode MS"/>
      <w:kern w:val="0"/>
      <w:sz w:val="24"/>
      <w:szCs w:val="24"/>
    </w:rPr>
  </w:style>
  <w:style w:type="paragraph" w:customStyle="1" w:styleId="329">
    <w:name w:val="font12"/>
    <w:basedOn w:val="1"/>
    <w:uiPriority w:val="0"/>
    <w:pPr>
      <w:widowControl/>
      <w:spacing w:before="100" w:beforeAutospacing="1" w:after="100" w:afterAutospacing="1"/>
      <w:jc w:val="left"/>
    </w:pPr>
    <w:rPr>
      <w:kern w:val="0"/>
      <w:sz w:val="16"/>
      <w:szCs w:val="16"/>
    </w:rPr>
  </w:style>
  <w:style w:type="paragraph" w:customStyle="1" w:styleId="330">
    <w:name w:val="xl53"/>
    <w:basedOn w:val="1"/>
    <w:uiPriority w:val="0"/>
    <w:pPr>
      <w:widowControl/>
      <w:pBdr>
        <w:left w:val="single" w:color="auto" w:sz="12" w:space="0"/>
        <w:bottom w:val="single" w:color="auto" w:sz="4" w:space="0"/>
        <w:right w:val="single" w:color="auto" w:sz="4" w:space="0"/>
      </w:pBdr>
      <w:spacing w:before="100" w:beforeAutospacing="1" w:after="100" w:afterAutospacing="1"/>
      <w:jc w:val="left"/>
    </w:pPr>
    <w:rPr>
      <w:rFonts w:eastAsia="Arial Unicode MS"/>
      <w:kern w:val="0"/>
      <w:sz w:val="24"/>
      <w:szCs w:val="24"/>
    </w:rPr>
  </w:style>
  <w:style w:type="paragraph" w:customStyle="1" w:styleId="331">
    <w:name w:val="Style59"/>
    <w:basedOn w:val="1"/>
    <w:qFormat/>
    <w:uiPriority w:val="0"/>
    <w:pPr>
      <w:adjustRightInd w:val="0"/>
      <w:spacing w:line="514" w:lineRule="exact"/>
      <w:ind w:firstLine="547"/>
    </w:pPr>
    <w:rPr>
      <w:rFonts w:ascii="宋体"/>
      <w:kern w:val="0"/>
      <w:sz w:val="24"/>
      <w:szCs w:val="24"/>
    </w:rPr>
  </w:style>
  <w:style w:type="paragraph" w:customStyle="1" w:styleId="332">
    <w:name w:val="xl74"/>
    <w:basedOn w:val="1"/>
    <w:uiPriority w:val="0"/>
    <w:pPr>
      <w:widowControl/>
      <w:pBdr>
        <w:left w:val="single" w:color="auto" w:sz="12" w:space="0"/>
        <w:bottom w:val="single" w:color="auto" w:sz="4" w:space="0"/>
        <w:right w:val="single" w:color="auto" w:sz="4" w:space="0"/>
      </w:pBdr>
      <w:spacing w:before="100" w:beforeAutospacing="1" w:after="100" w:afterAutospacing="1"/>
      <w:jc w:val="left"/>
    </w:pPr>
    <w:rPr>
      <w:rFonts w:eastAsia="Arial Unicode MS"/>
      <w:color w:val="008000"/>
      <w:kern w:val="0"/>
      <w:sz w:val="24"/>
      <w:szCs w:val="24"/>
    </w:rPr>
  </w:style>
  <w:style w:type="paragraph" w:customStyle="1" w:styleId="333">
    <w:name w:val="xl90"/>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334">
    <w:name w:val="表文"/>
    <w:basedOn w:val="1"/>
    <w:uiPriority w:val="0"/>
    <w:pPr>
      <w:spacing w:beforeLines="20" w:afterLines="20" w:line="280" w:lineRule="exact"/>
      <w:jc w:val="center"/>
    </w:pPr>
    <w:rPr>
      <w:rFonts w:ascii="黑体" w:hAnsi="宋体"/>
    </w:rPr>
  </w:style>
  <w:style w:type="paragraph" w:customStyle="1" w:styleId="335">
    <w:name w:val="font23"/>
    <w:basedOn w:val="1"/>
    <w:qFormat/>
    <w:uiPriority w:val="0"/>
    <w:pPr>
      <w:widowControl/>
      <w:spacing w:before="100" w:beforeAutospacing="1" w:after="100" w:afterAutospacing="1"/>
      <w:jc w:val="left"/>
    </w:pPr>
    <w:rPr>
      <w:rFonts w:eastAsia="Arial Unicode MS"/>
      <w:color w:val="FF6600"/>
      <w:kern w:val="0"/>
      <w:szCs w:val="21"/>
    </w:rPr>
  </w:style>
  <w:style w:type="paragraph" w:customStyle="1" w:styleId="336">
    <w:name w:val="font18"/>
    <w:basedOn w:val="1"/>
    <w:uiPriority w:val="0"/>
    <w:pPr>
      <w:widowControl/>
      <w:spacing w:before="100" w:beforeAutospacing="1" w:after="100" w:afterAutospacing="1"/>
      <w:jc w:val="left"/>
    </w:pPr>
    <w:rPr>
      <w:rFonts w:eastAsia="Arial Unicode MS"/>
      <w:kern w:val="0"/>
      <w:sz w:val="22"/>
      <w:szCs w:val="22"/>
    </w:rPr>
  </w:style>
  <w:style w:type="paragraph" w:customStyle="1" w:styleId="337">
    <w:name w:val="xl48"/>
    <w:basedOn w:val="1"/>
    <w:uiPriority w:val="0"/>
    <w:pPr>
      <w:widowControl/>
      <w:spacing w:before="100" w:beforeAutospacing="1" w:after="100" w:afterAutospacing="1"/>
      <w:jc w:val="left"/>
    </w:pPr>
    <w:rPr>
      <w:rFonts w:eastAsia="Arial Unicode MS"/>
      <w:kern w:val="0"/>
      <w:sz w:val="24"/>
      <w:szCs w:val="24"/>
    </w:rPr>
  </w:style>
  <w:style w:type="paragraph" w:customStyle="1" w:styleId="338">
    <w:name w:val="xl122"/>
    <w:basedOn w:val="1"/>
    <w:uiPriority w:val="0"/>
    <w:pPr>
      <w:widowControl/>
      <w:pBdr>
        <w:top w:val="single" w:color="auto" w:sz="4" w:space="0"/>
        <w:bottom w:val="single" w:color="auto" w:sz="4" w:space="0"/>
      </w:pBdr>
      <w:spacing w:before="100" w:beforeAutospacing="1" w:after="100" w:afterAutospacing="1"/>
    </w:pPr>
    <w:rPr>
      <w:rFonts w:eastAsia="Arial Unicode MS"/>
      <w:kern w:val="0"/>
      <w:sz w:val="24"/>
      <w:szCs w:val="24"/>
    </w:rPr>
  </w:style>
  <w:style w:type="paragraph" w:customStyle="1" w:styleId="339">
    <w:name w:val="xl123"/>
    <w:basedOn w:val="1"/>
    <w:uiPriority w:val="0"/>
    <w:pPr>
      <w:widowControl/>
      <w:pBdr>
        <w:top w:val="single" w:color="auto" w:sz="4" w:space="0"/>
        <w:bottom w:val="single" w:color="auto" w:sz="4" w:space="0"/>
        <w:right w:val="single" w:color="auto" w:sz="4" w:space="0"/>
      </w:pBdr>
      <w:spacing w:before="100" w:beforeAutospacing="1" w:after="100" w:afterAutospacing="1"/>
    </w:pPr>
    <w:rPr>
      <w:rFonts w:eastAsia="Arial Unicode MS"/>
      <w:kern w:val="0"/>
      <w:sz w:val="24"/>
      <w:szCs w:val="24"/>
    </w:rPr>
  </w:style>
  <w:style w:type="paragraph" w:customStyle="1" w:styleId="340">
    <w:name w:val="标题4"/>
    <w:basedOn w:val="1"/>
    <w:link w:val="414"/>
    <w:qFormat/>
    <w:uiPriority w:val="99"/>
    <w:pPr>
      <w:tabs>
        <w:tab w:val="left" w:pos="360"/>
      </w:tabs>
      <w:adjustRightInd w:val="0"/>
      <w:snapToGrid w:val="0"/>
      <w:spacing w:beforeLines="50" w:line="360" w:lineRule="auto"/>
      <w:jc w:val="left"/>
    </w:pPr>
    <w:rPr>
      <w:rFonts w:ascii="Arial Unicode MS" w:hAnsi="Arial Unicode MS" w:eastAsia="黑体"/>
      <w:snapToGrid w:val="0"/>
      <w:spacing w:val="20"/>
      <w:kern w:val="0"/>
      <w:sz w:val="24"/>
    </w:rPr>
  </w:style>
  <w:style w:type="paragraph" w:customStyle="1" w:styleId="341">
    <w:name w:val="简单回函地址"/>
    <w:basedOn w:val="1"/>
    <w:qFormat/>
    <w:uiPriority w:val="0"/>
    <w:rPr>
      <w:szCs w:val="24"/>
    </w:rPr>
  </w:style>
  <w:style w:type="paragraph" w:customStyle="1" w:styleId="342">
    <w:name w:val="font10"/>
    <w:basedOn w:val="1"/>
    <w:qFormat/>
    <w:uiPriority w:val="0"/>
    <w:pPr>
      <w:widowControl/>
      <w:spacing w:before="100" w:beforeAutospacing="1" w:after="100" w:afterAutospacing="1"/>
      <w:jc w:val="left"/>
    </w:pPr>
    <w:rPr>
      <w:kern w:val="0"/>
      <w:sz w:val="14"/>
      <w:szCs w:val="14"/>
    </w:rPr>
  </w:style>
  <w:style w:type="paragraph" w:customStyle="1" w:styleId="343">
    <w:name w:val="puce"/>
    <w:basedOn w:val="1"/>
    <w:qFormat/>
    <w:uiPriority w:val="0"/>
    <w:pPr>
      <w:widowControl/>
      <w:tabs>
        <w:tab w:val="left" w:pos="1040"/>
      </w:tabs>
      <w:adjustRightInd w:val="0"/>
      <w:snapToGrid w:val="0"/>
      <w:spacing w:beforeLines="50" w:after="120" w:line="360" w:lineRule="auto"/>
      <w:ind w:left="1021" w:hanging="341"/>
    </w:pPr>
    <w:rPr>
      <w:rFonts w:ascii="Arial" w:hAnsi="Arial" w:cs="Arial"/>
      <w:kern w:val="0"/>
      <w:sz w:val="24"/>
    </w:rPr>
  </w:style>
  <w:style w:type="paragraph" w:customStyle="1" w:styleId="344">
    <w:name w:val="表格内容"/>
    <w:basedOn w:val="1"/>
    <w:qFormat/>
    <w:uiPriority w:val="0"/>
    <w:pPr>
      <w:overflowPunct w:val="0"/>
      <w:adjustRightInd w:val="0"/>
      <w:snapToGrid w:val="0"/>
      <w:spacing w:line="300" w:lineRule="auto"/>
      <w:textAlignment w:val="baseline"/>
    </w:pPr>
    <w:rPr>
      <w:rFonts w:ascii="Arial" w:hAnsi="Arial" w:eastAsia="仿宋_GB2312"/>
      <w:kern w:val="0"/>
    </w:rPr>
  </w:style>
  <w:style w:type="paragraph" w:customStyle="1" w:styleId="345">
    <w:name w:val="xl67"/>
    <w:basedOn w:val="1"/>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346">
    <w:name w:val="xl102"/>
    <w:basedOn w:val="1"/>
    <w:uiPriority w:val="0"/>
    <w:pPr>
      <w:widowControl/>
      <w:pBdr>
        <w:top w:val="single" w:color="auto" w:sz="4" w:space="0"/>
        <w:bottom w:val="single" w:color="auto" w:sz="4" w:space="0"/>
      </w:pBdr>
      <w:spacing w:before="100" w:beforeAutospacing="1" w:after="100" w:afterAutospacing="1"/>
      <w:jc w:val="left"/>
    </w:pPr>
    <w:rPr>
      <w:rFonts w:eastAsia="Arial Unicode MS"/>
      <w:kern w:val="0"/>
      <w:sz w:val="24"/>
      <w:szCs w:val="24"/>
    </w:rPr>
  </w:style>
  <w:style w:type="paragraph" w:customStyle="1" w:styleId="347">
    <w:name w:val="xl88"/>
    <w:basedOn w:val="1"/>
    <w:qFormat/>
    <w:uiPriority w:val="0"/>
    <w:pPr>
      <w:widowControl/>
      <w:pBdr>
        <w:top w:val="single" w:color="auto" w:sz="4" w:space="0"/>
        <w:bottom w:val="single" w:color="auto" w:sz="4" w:space="0"/>
      </w:pBdr>
      <w:spacing w:before="100" w:beforeAutospacing="1" w:after="100" w:afterAutospacing="1"/>
      <w:jc w:val="center"/>
    </w:pPr>
    <w:rPr>
      <w:rFonts w:eastAsia="Arial Unicode MS"/>
      <w:kern w:val="0"/>
      <w:sz w:val="24"/>
      <w:szCs w:val="24"/>
    </w:rPr>
  </w:style>
  <w:style w:type="paragraph" w:customStyle="1" w:styleId="348">
    <w:name w:val="新正文样式"/>
    <w:basedOn w:val="1"/>
    <w:qFormat/>
    <w:uiPriority w:val="0"/>
    <w:pPr>
      <w:tabs>
        <w:tab w:val="left" w:pos="567"/>
      </w:tabs>
      <w:spacing w:line="360" w:lineRule="auto"/>
      <w:ind w:firstLine="560" w:firstLineChars="200"/>
    </w:pPr>
    <w:rPr>
      <w:rFonts w:eastAsia="华文中宋"/>
      <w:spacing w:val="20"/>
      <w:sz w:val="24"/>
    </w:rPr>
  </w:style>
  <w:style w:type="paragraph" w:customStyle="1" w:styleId="349">
    <w:name w:val="正文文本 21"/>
    <w:basedOn w:val="1"/>
    <w:uiPriority w:val="0"/>
    <w:pPr>
      <w:overflowPunct w:val="0"/>
      <w:autoSpaceDE w:val="0"/>
      <w:autoSpaceDN w:val="0"/>
      <w:adjustRightInd w:val="0"/>
      <w:spacing w:after="120" w:line="360" w:lineRule="auto"/>
      <w:textAlignment w:val="baseline"/>
    </w:pPr>
    <w:rPr>
      <w:sz w:val="24"/>
    </w:rPr>
  </w:style>
  <w:style w:type="paragraph" w:customStyle="1" w:styleId="350">
    <w:name w:val="xl5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4"/>
      <w:szCs w:val="24"/>
    </w:rPr>
  </w:style>
  <w:style w:type="paragraph" w:customStyle="1" w:styleId="351">
    <w:name w:val="xl66"/>
    <w:basedOn w:val="1"/>
    <w:uiPriority w:val="0"/>
    <w:pPr>
      <w:widowControl/>
      <w:spacing w:before="100" w:after="100"/>
      <w:jc w:val="center"/>
      <w:textAlignment w:val="top"/>
    </w:pPr>
    <w:rPr>
      <w:kern w:val="0"/>
      <w:sz w:val="24"/>
      <w:szCs w:val="24"/>
    </w:rPr>
  </w:style>
  <w:style w:type="paragraph" w:customStyle="1" w:styleId="352">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53">
    <w:name w:val="xl98"/>
    <w:basedOn w:val="1"/>
    <w:uiPriority w:val="0"/>
    <w:pPr>
      <w:widowControl/>
      <w:pBdr>
        <w:top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8000"/>
      <w:kern w:val="0"/>
      <w:sz w:val="24"/>
      <w:szCs w:val="24"/>
    </w:rPr>
  </w:style>
  <w:style w:type="paragraph" w:customStyle="1" w:styleId="354">
    <w:name w:val="表头"/>
    <w:basedOn w:val="1"/>
    <w:next w:val="1"/>
    <w:qFormat/>
    <w:uiPriority w:val="0"/>
    <w:pPr>
      <w:keepNext/>
      <w:snapToGrid w:val="0"/>
      <w:spacing w:before="60" w:after="60" w:line="400" w:lineRule="exact"/>
      <w:jc w:val="center"/>
    </w:pPr>
    <w:rPr>
      <w:rFonts w:ascii="黑体" w:eastAsia="黑体"/>
      <w:snapToGrid w:val="0"/>
      <w:spacing w:val="10"/>
      <w:kern w:val="21"/>
    </w:rPr>
  </w:style>
  <w:style w:type="paragraph" w:customStyle="1" w:styleId="355">
    <w:name w:val="Char Char Char Char1"/>
    <w:basedOn w:val="1"/>
    <w:uiPriority w:val="0"/>
  </w:style>
  <w:style w:type="paragraph" w:customStyle="1" w:styleId="356">
    <w:name w:val="基准页眉样式"/>
    <w:basedOn w:val="14"/>
    <w:uiPriority w:val="0"/>
    <w:pPr>
      <w:keepLines/>
      <w:widowControl/>
      <w:tabs>
        <w:tab w:val="center" w:pos="-18551"/>
        <w:tab w:val="right" w:pos="4320"/>
      </w:tabs>
      <w:spacing w:after="0" w:line="240" w:lineRule="atLeast"/>
      <w:jc w:val="center"/>
    </w:pPr>
    <w:rPr>
      <w:rFonts w:ascii="Garamond" w:hAnsi="Garamond"/>
      <w:smallCaps/>
      <w:spacing w:val="15"/>
      <w:kern w:val="0"/>
      <w:szCs w:val="21"/>
    </w:rPr>
  </w:style>
  <w:style w:type="paragraph" w:customStyle="1" w:styleId="357">
    <w:name w:val="表体"/>
    <w:basedOn w:val="1"/>
    <w:uiPriority w:val="0"/>
    <w:pPr>
      <w:spacing w:line="280" w:lineRule="exact"/>
    </w:pPr>
    <w:rPr>
      <w:rFonts w:ascii="宋体" w:hAnsi="宋体"/>
      <w:szCs w:val="24"/>
    </w:rPr>
  </w:style>
  <w:style w:type="paragraph" w:customStyle="1" w:styleId="358">
    <w:name w:val="流程图"/>
    <w:basedOn w:val="1"/>
    <w:uiPriority w:val="0"/>
    <w:pPr>
      <w:tabs>
        <w:tab w:val="left" w:pos="0"/>
      </w:tabs>
      <w:autoSpaceDE w:val="0"/>
      <w:autoSpaceDN w:val="0"/>
      <w:adjustRightInd w:val="0"/>
      <w:spacing w:line="240" w:lineRule="atLeast"/>
      <w:jc w:val="center"/>
      <w:textAlignment w:val="bottom"/>
    </w:pPr>
    <w:rPr>
      <w:rFonts w:ascii="宋体"/>
    </w:rPr>
  </w:style>
  <w:style w:type="paragraph" w:customStyle="1" w:styleId="359">
    <w:name w:val="cell:ctr"/>
    <w:basedOn w:val="1"/>
    <w:uiPriority w:val="0"/>
    <w:pPr>
      <w:keepLines/>
      <w:widowControl/>
      <w:overflowPunct w:val="0"/>
      <w:autoSpaceDE w:val="0"/>
      <w:autoSpaceDN w:val="0"/>
      <w:adjustRightInd w:val="0"/>
      <w:spacing w:before="20" w:after="20"/>
      <w:jc w:val="center"/>
      <w:textAlignment w:val="baseline"/>
    </w:pPr>
    <w:rPr>
      <w:kern w:val="0"/>
      <w:sz w:val="24"/>
      <w:lang w:val="en-GB"/>
    </w:rPr>
  </w:style>
  <w:style w:type="paragraph" w:customStyle="1" w:styleId="360">
    <w:name w:val="xl10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61">
    <w:name w:val="xl60"/>
    <w:basedOn w:val="1"/>
    <w:qFormat/>
    <w:uiPriority w:val="0"/>
    <w:pPr>
      <w:widowControl/>
      <w:pBdr>
        <w:left w:val="single" w:color="auto" w:sz="8" w:space="0"/>
        <w:right w:val="single" w:color="auto" w:sz="4" w:space="0"/>
      </w:pBdr>
      <w:spacing w:before="100" w:after="100"/>
      <w:jc w:val="center"/>
      <w:textAlignment w:val="top"/>
    </w:pPr>
    <w:rPr>
      <w:kern w:val="0"/>
      <w:sz w:val="24"/>
    </w:rPr>
  </w:style>
  <w:style w:type="paragraph" w:customStyle="1" w:styleId="362">
    <w:name w:val="Style38"/>
    <w:basedOn w:val="1"/>
    <w:qFormat/>
    <w:uiPriority w:val="0"/>
    <w:pPr>
      <w:adjustRightInd w:val="0"/>
      <w:spacing w:line="436" w:lineRule="exact"/>
      <w:ind w:hanging="490"/>
      <w:jc w:val="left"/>
    </w:pPr>
    <w:rPr>
      <w:kern w:val="0"/>
      <w:sz w:val="24"/>
      <w:szCs w:val="24"/>
    </w:rPr>
  </w:style>
  <w:style w:type="paragraph" w:customStyle="1" w:styleId="363">
    <w:name w:val="xl4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FF0000"/>
      <w:kern w:val="0"/>
      <w:sz w:val="24"/>
      <w:szCs w:val="24"/>
    </w:rPr>
  </w:style>
  <w:style w:type="paragraph" w:customStyle="1" w:styleId="364">
    <w:name w:val="xl64"/>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eastAsia="Arial Unicode MS"/>
      <w:color w:val="FF0000"/>
      <w:kern w:val="0"/>
      <w:sz w:val="24"/>
      <w:szCs w:val="24"/>
    </w:rPr>
  </w:style>
  <w:style w:type="paragraph" w:customStyle="1" w:styleId="365">
    <w:name w:val="Paratitre"/>
    <w:basedOn w:val="1"/>
    <w:uiPriority w:val="0"/>
    <w:pPr>
      <w:widowControl/>
      <w:overflowPunct w:val="0"/>
      <w:autoSpaceDE w:val="0"/>
      <w:autoSpaceDN w:val="0"/>
      <w:adjustRightInd w:val="0"/>
      <w:spacing w:before="240"/>
      <w:ind w:left="700"/>
      <w:textAlignment w:val="baseline"/>
    </w:pPr>
    <w:rPr>
      <w:rFonts w:ascii="Arial" w:hAnsi="Arial"/>
      <w:kern w:val="0"/>
      <w:sz w:val="20"/>
      <w:lang w:val="fr-FR"/>
    </w:rPr>
  </w:style>
  <w:style w:type="paragraph" w:customStyle="1" w:styleId="366">
    <w:name w:val="xl12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eastAsia="Arial Unicode MS"/>
      <w:kern w:val="0"/>
      <w:sz w:val="22"/>
      <w:szCs w:val="22"/>
    </w:rPr>
  </w:style>
  <w:style w:type="paragraph" w:customStyle="1" w:styleId="367">
    <w:name w:val="xl51"/>
    <w:basedOn w:val="1"/>
    <w:uiPriority w:val="0"/>
    <w:pPr>
      <w:widowControl/>
      <w:pBdr>
        <w:left w:val="single" w:color="auto" w:sz="12" w:space="0"/>
        <w:bottom w:val="single" w:color="auto" w:sz="4" w:space="0"/>
        <w:right w:val="single" w:color="auto" w:sz="4" w:space="0"/>
      </w:pBdr>
      <w:spacing w:before="100" w:beforeAutospacing="1" w:after="100" w:afterAutospacing="1"/>
      <w:jc w:val="center"/>
    </w:pPr>
    <w:rPr>
      <w:rFonts w:eastAsia="Arial Unicode MS"/>
      <w:color w:val="FF0000"/>
      <w:kern w:val="0"/>
      <w:sz w:val="24"/>
      <w:szCs w:val="24"/>
    </w:rPr>
  </w:style>
  <w:style w:type="paragraph" w:customStyle="1" w:styleId="368">
    <w:name w:val="xl39"/>
    <w:basedOn w:val="1"/>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textAlignment w:val="center"/>
    </w:pPr>
    <w:rPr>
      <w:rFonts w:ascii="宋体" w:hAnsi="宋体"/>
      <w:kern w:val="0"/>
      <w:sz w:val="16"/>
      <w:szCs w:val="16"/>
    </w:rPr>
  </w:style>
  <w:style w:type="paragraph" w:customStyle="1" w:styleId="369">
    <w:name w:val="font0"/>
    <w:basedOn w:val="1"/>
    <w:uiPriority w:val="0"/>
    <w:pPr>
      <w:widowControl/>
      <w:spacing w:before="100" w:after="100"/>
      <w:jc w:val="left"/>
    </w:pPr>
    <w:rPr>
      <w:rFonts w:hint="eastAsia" w:ascii="宋体" w:hAnsi="宋体"/>
      <w:kern w:val="0"/>
      <w:sz w:val="24"/>
      <w:szCs w:val="24"/>
    </w:rPr>
  </w:style>
  <w:style w:type="paragraph" w:customStyle="1" w:styleId="370">
    <w:name w:val="List Paragraph"/>
    <w:basedOn w:val="1"/>
    <w:qFormat/>
    <w:uiPriority w:val="0"/>
    <w:pPr>
      <w:ind w:firstLine="420" w:firstLineChars="200"/>
    </w:pPr>
    <w:rPr>
      <w:szCs w:val="24"/>
    </w:rPr>
  </w:style>
  <w:style w:type="paragraph" w:customStyle="1" w:styleId="371">
    <w:name w:val="xl111"/>
    <w:basedOn w:val="1"/>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FF0000"/>
      <w:kern w:val="0"/>
      <w:sz w:val="24"/>
      <w:szCs w:val="24"/>
    </w:rPr>
  </w:style>
  <w:style w:type="paragraph" w:customStyle="1" w:styleId="372">
    <w:name w:val="reader-word-layer reader-word-s3-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73">
    <w:name w:val="Char Char Char Char Char Char Char Char Char Char1"/>
    <w:basedOn w:val="1"/>
    <w:uiPriority w:val="0"/>
    <w:rPr>
      <w:szCs w:val="24"/>
    </w:rPr>
  </w:style>
  <w:style w:type="paragraph" w:customStyle="1" w:styleId="374">
    <w:name w:val="font15"/>
    <w:basedOn w:val="1"/>
    <w:uiPriority w:val="0"/>
    <w:pPr>
      <w:widowControl/>
      <w:spacing w:before="100" w:beforeAutospacing="1" w:after="100" w:afterAutospacing="1"/>
      <w:jc w:val="left"/>
    </w:pPr>
    <w:rPr>
      <w:rFonts w:eastAsia="Arial Unicode MS"/>
      <w:kern w:val="0"/>
      <w:sz w:val="24"/>
      <w:szCs w:val="24"/>
    </w:rPr>
  </w:style>
  <w:style w:type="paragraph" w:customStyle="1" w:styleId="375">
    <w:name w:val="font21"/>
    <w:basedOn w:val="1"/>
    <w:uiPriority w:val="0"/>
    <w:pPr>
      <w:widowControl/>
      <w:spacing w:before="100" w:beforeAutospacing="1" w:after="100" w:afterAutospacing="1"/>
      <w:jc w:val="left"/>
    </w:pPr>
    <w:rPr>
      <w:rFonts w:eastAsia="Arial Unicode MS"/>
      <w:color w:val="FF0000"/>
      <w:kern w:val="0"/>
      <w:sz w:val="24"/>
      <w:szCs w:val="24"/>
    </w:rPr>
  </w:style>
  <w:style w:type="paragraph" w:customStyle="1" w:styleId="376">
    <w:name w:val="正文段落"/>
    <w:basedOn w:val="1"/>
    <w:qFormat/>
    <w:uiPriority w:val="0"/>
    <w:pPr>
      <w:spacing w:line="500" w:lineRule="exact"/>
      <w:ind w:firstLine="480" w:firstLineChars="200"/>
    </w:pPr>
    <w:rPr>
      <w:rFonts w:ascii="宋体" w:hAnsi="宋体"/>
      <w:kern w:val="0"/>
      <w:sz w:val="24"/>
    </w:rPr>
  </w:style>
  <w:style w:type="paragraph" w:customStyle="1" w:styleId="377">
    <w:name w:val="xl34"/>
    <w:basedOn w:val="1"/>
    <w:qFormat/>
    <w:uiPriority w:val="0"/>
    <w:pPr>
      <w:widowControl/>
      <w:spacing w:before="100" w:beforeAutospacing="1" w:after="100" w:afterAutospacing="1"/>
      <w:jc w:val="left"/>
      <w:textAlignment w:val="center"/>
    </w:pPr>
    <w:rPr>
      <w:rFonts w:ascii="宋体" w:hAnsi="宋体"/>
      <w:kern w:val="0"/>
      <w:sz w:val="16"/>
      <w:szCs w:val="16"/>
    </w:rPr>
  </w:style>
  <w:style w:type="paragraph" w:customStyle="1" w:styleId="378">
    <w:name w:val="xl99"/>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8000"/>
      <w:kern w:val="0"/>
      <w:sz w:val="24"/>
      <w:szCs w:val="24"/>
    </w:rPr>
  </w:style>
  <w:style w:type="paragraph" w:customStyle="1" w:styleId="379">
    <w:name w:val="Char3"/>
    <w:basedOn w:val="1"/>
    <w:qFormat/>
    <w:uiPriority w:val="99"/>
    <w:pPr>
      <w:spacing w:line="360" w:lineRule="auto"/>
    </w:pPr>
    <w:rPr>
      <w:rFonts w:ascii="仿宋_GB2312" w:hAnsi="Tahoma" w:eastAsia="仿宋_GB2312"/>
      <w:szCs w:val="21"/>
    </w:rPr>
  </w:style>
  <w:style w:type="paragraph" w:customStyle="1" w:styleId="380">
    <w:name w:val="xl4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eastAsia="Arial Unicode MS"/>
      <w:color w:val="FF0000"/>
      <w:kern w:val="0"/>
      <w:sz w:val="24"/>
      <w:szCs w:val="24"/>
    </w:rPr>
  </w:style>
  <w:style w:type="paragraph" w:customStyle="1" w:styleId="381">
    <w:name w:val="框图"/>
    <w:basedOn w:val="1"/>
    <w:uiPriority w:val="0"/>
    <w:pPr>
      <w:autoSpaceDE w:val="0"/>
      <w:autoSpaceDN w:val="0"/>
      <w:adjustRightInd w:val="0"/>
      <w:jc w:val="center"/>
    </w:pPr>
    <w:rPr>
      <w:rFonts w:ascii="宋体" w:hAnsi="宋体"/>
      <w:spacing w:val="-8"/>
      <w:szCs w:val="24"/>
    </w:rPr>
  </w:style>
  <w:style w:type="paragraph" w:customStyle="1" w:styleId="382">
    <w:name w:val="xl47"/>
    <w:basedOn w:val="1"/>
    <w:qFormat/>
    <w:uiPriority w:val="0"/>
    <w:pPr>
      <w:widowControl/>
      <w:pBdr>
        <w:left w:val="single" w:color="auto" w:sz="4" w:space="0"/>
        <w:bottom w:val="single" w:color="auto" w:sz="4" w:space="0"/>
      </w:pBdr>
      <w:spacing w:before="100" w:beforeAutospacing="1" w:after="100" w:afterAutospacing="1"/>
      <w:jc w:val="center"/>
    </w:pPr>
    <w:rPr>
      <w:rFonts w:eastAsia="Arial Unicode MS"/>
      <w:kern w:val="0"/>
      <w:sz w:val="24"/>
      <w:szCs w:val="24"/>
    </w:rPr>
  </w:style>
  <w:style w:type="paragraph" w:customStyle="1" w:styleId="383">
    <w:name w:val="xl79"/>
    <w:basedOn w:val="1"/>
    <w:qFormat/>
    <w:uiPriority w:val="0"/>
    <w:pPr>
      <w:widowControl/>
      <w:pBdr>
        <w:top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84">
    <w:name w:val="小标题2"/>
    <w:basedOn w:val="1"/>
    <w:uiPriority w:val="0"/>
    <w:pPr>
      <w:tabs>
        <w:tab w:val="left" w:pos="5400"/>
      </w:tabs>
      <w:overflowPunct w:val="0"/>
      <w:adjustRightInd w:val="0"/>
      <w:spacing w:line="336" w:lineRule="auto"/>
      <w:ind w:firstLine="600" w:firstLineChars="200"/>
    </w:pPr>
    <w:rPr>
      <w:rFonts w:ascii="宋体" w:hAnsi="宋体"/>
      <w:sz w:val="30"/>
    </w:rPr>
  </w:style>
  <w:style w:type="paragraph" w:customStyle="1" w:styleId="385">
    <w:name w:val="正文 首行缩进:  2 字符"/>
    <w:basedOn w:val="1"/>
    <w:uiPriority w:val="0"/>
    <w:pPr>
      <w:ind w:firstLine="420" w:firstLineChars="200"/>
    </w:pPr>
    <w:rPr>
      <w:rFonts w:ascii="宋体" w:hAnsi="宋体"/>
      <w:sz w:val="28"/>
    </w:rPr>
  </w:style>
  <w:style w:type="paragraph" w:customStyle="1" w:styleId="3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87">
    <w:name w:val="xl117"/>
    <w:basedOn w:val="1"/>
    <w:uiPriority w:val="0"/>
    <w:pPr>
      <w:widowControl/>
      <w:pBdr>
        <w:top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kern w:val="0"/>
      <w:sz w:val="24"/>
      <w:szCs w:val="24"/>
    </w:rPr>
  </w:style>
  <w:style w:type="paragraph" w:customStyle="1" w:styleId="388">
    <w:name w:val="xl26"/>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kern w:val="0"/>
      <w:szCs w:val="21"/>
    </w:rPr>
  </w:style>
  <w:style w:type="paragraph" w:customStyle="1" w:styleId="389">
    <w:name w:val="xl10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FF0000"/>
      <w:kern w:val="0"/>
      <w:sz w:val="24"/>
      <w:szCs w:val="24"/>
    </w:rPr>
  </w:style>
  <w:style w:type="paragraph" w:customStyle="1" w:styleId="390">
    <w:name w:val="方框"/>
    <w:basedOn w:val="1"/>
    <w:qFormat/>
    <w:uiPriority w:val="0"/>
    <w:pPr>
      <w:widowControl/>
      <w:spacing w:line="0" w:lineRule="atLeast"/>
    </w:pPr>
    <w:rPr>
      <w:rFonts w:ascii="宋体"/>
      <w:kern w:val="0"/>
      <w:sz w:val="24"/>
    </w:rPr>
  </w:style>
  <w:style w:type="paragraph" w:customStyle="1" w:styleId="391">
    <w:name w:val="ENUM"/>
    <w:basedOn w:val="1"/>
    <w:uiPriority w:val="0"/>
    <w:pPr>
      <w:widowControl/>
      <w:tabs>
        <w:tab w:val="left" w:pos="1418"/>
      </w:tabs>
      <w:spacing w:before="60" w:after="60"/>
      <w:ind w:left="1418" w:hanging="284"/>
    </w:pPr>
    <w:rPr>
      <w:rFonts w:ascii="Arial" w:hAnsi="Arial"/>
      <w:kern w:val="0"/>
      <w:sz w:val="22"/>
      <w:lang w:val="en-GB"/>
    </w:rPr>
  </w:style>
  <w:style w:type="paragraph" w:customStyle="1" w:styleId="392">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393">
    <w:name w:val="xl73"/>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94">
    <w:name w:val="Style53"/>
    <w:basedOn w:val="1"/>
    <w:qFormat/>
    <w:uiPriority w:val="0"/>
    <w:pPr>
      <w:adjustRightInd w:val="0"/>
      <w:jc w:val="center"/>
    </w:pPr>
    <w:rPr>
      <w:rFonts w:ascii="宋体"/>
      <w:kern w:val="0"/>
      <w:sz w:val="24"/>
      <w:szCs w:val="24"/>
    </w:rPr>
  </w:style>
  <w:style w:type="paragraph" w:customStyle="1" w:styleId="395">
    <w:name w:val="xl12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96">
    <w:name w:val="xl130"/>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eastAsia="Arial Unicode MS"/>
      <w:kern w:val="0"/>
      <w:sz w:val="20"/>
    </w:rPr>
  </w:style>
  <w:style w:type="paragraph" w:customStyle="1" w:styleId="397">
    <w:name w:val="表格1"/>
    <w:basedOn w:val="1"/>
    <w:qFormat/>
    <w:uiPriority w:val="0"/>
    <w:pPr>
      <w:spacing w:line="320" w:lineRule="exact"/>
      <w:jc w:val="center"/>
    </w:pPr>
    <w:rPr>
      <w:bCs/>
      <w:color w:val="000000"/>
      <w:kern w:val="0"/>
      <w:szCs w:val="19"/>
    </w:rPr>
  </w:style>
  <w:style w:type="paragraph" w:customStyle="1" w:styleId="398">
    <w:name w:val="xl25"/>
    <w:basedOn w:val="1"/>
    <w:qFormat/>
    <w:uiPriority w:val="0"/>
    <w:pPr>
      <w:widowControl/>
      <w:spacing w:before="100" w:beforeAutospacing="1" w:after="100" w:afterAutospacing="1"/>
      <w:jc w:val="left"/>
      <w:textAlignment w:val="center"/>
    </w:pPr>
    <w:rPr>
      <w:color w:val="FF0000"/>
      <w:kern w:val="0"/>
      <w:sz w:val="16"/>
      <w:szCs w:val="16"/>
    </w:rPr>
  </w:style>
  <w:style w:type="paragraph" w:customStyle="1" w:styleId="399">
    <w:name w:val="目次、标准名称标题"/>
    <w:basedOn w:val="1"/>
    <w:next w:val="193"/>
    <w:uiPriority w:val="0"/>
    <w:pPr>
      <w:widowControl/>
      <w:shd w:val="clear" w:color="FFFFFF" w:fill="FFFFFF"/>
      <w:spacing w:before="640" w:after="560" w:line="460" w:lineRule="exact"/>
      <w:jc w:val="center"/>
      <w:outlineLvl w:val="0"/>
    </w:pPr>
    <w:rPr>
      <w:rFonts w:ascii="黑体" w:eastAsia="黑体"/>
      <w:kern w:val="0"/>
      <w:sz w:val="32"/>
    </w:rPr>
  </w:style>
  <w:style w:type="paragraph" w:customStyle="1" w:styleId="400">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401">
    <w:name w:val="xl80"/>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402">
    <w:name w:val="样式 样式 环评正文 + (西文) 仿宋_GB2312 (中文) 宋体 10.5 磅 首行缩进:  2 字符 + 首行缩进:  ..."/>
    <w:basedOn w:val="1"/>
    <w:qFormat/>
    <w:uiPriority w:val="0"/>
    <w:pPr>
      <w:spacing w:line="400" w:lineRule="exact"/>
      <w:ind w:firstLine="200" w:firstLineChars="200"/>
    </w:pPr>
    <w:rPr>
      <w:rFonts w:ascii="仿宋_GB2312" w:hAnsi="仿宋_GB2312"/>
      <w:sz w:val="24"/>
    </w:rPr>
  </w:style>
  <w:style w:type="paragraph" w:customStyle="1" w:styleId="403">
    <w:name w:val="Style134"/>
    <w:basedOn w:val="1"/>
    <w:uiPriority w:val="0"/>
    <w:pPr>
      <w:adjustRightInd w:val="0"/>
      <w:spacing w:line="173" w:lineRule="exact"/>
    </w:pPr>
    <w:rPr>
      <w:rFonts w:ascii="宋体"/>
      <w:kern w:val="0"/>
      <w:sz w:val="24"/>
      <w:szCs w:val="24"/>
    </w:rPr>
  </w:style>
  <w:style w:type="paragraph" w:customStyle="1" w:styleId="404">
    <w:name w:val="xl82"/>
    <w:basedOn w:val="1"/>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405">
    <w:name w:val="reader-word-lay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06">
    <w:name w:val="一级标题"/>
    <w:basedOn w:val="1"/>
    <w:uiPriority w:val="0"/>
    <w:rPr>
      <w:sz w:val="24"/>
      <w:szCs w:val="24"/>
    </w:rPr>
  </w:style>
  <w:style w:type="paragraph" w:customStyle="1" w:styleId="407">
    <w:name w:val="表标题"/>
    <w:basedOn w:val="1"/>
    <w:qFormat/>
    <w:uiPriority w:val="0"/>
    <w:pPr>
      <w:tabs>
        <w:tab w:val="left" w:pos="900"/>
      </w:tabs>
      <w:autoSpaceDE w:val="0"/>
      <w:autoSpaceDN w:val="0"/>
      <w:adjustRightInd w:val="0"/>
      <w:spacing w:line="520" w:lineRule="exact"/>
      <w:ind w:left="2" w:leftChars="1" w:firstLine="840" w:firstLineChars="300"/>
    </w:pPr>
    <w:rPr>
      <w:rFonts w:ascii="宋体" w:hAnsi="宋体"/>
      <w:color w:val="000000"/>
      <w:sz w:val="28"/>
      <w:szCs w:val="28"/>
    </w:rPr>
  </w:style>
  <w:style w:type="paragraph" w:customStyle="1" w:styleId="408">
    <w:name w:val="reader-word-layer reader-word-s5-6"/>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09">
    <w:name w:val="封面标准名称"/>
    <w:uiPriority w:val="99"/>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410">
    <w:name w:val="三级条标题"/>
    <w:basedOn w:val="1"/>
    <w:next w:val="193"/>
    <w:qFormat/>
    <w:uiPriority w:val="99"/>
    <w:pPr>
      <w:widowControl/>
      <w:tabs>
        <w:tab w:val="left" w:pos="1680"/>
      </w:tabs>
      <w:ind w:left="1680" w:hanging="420"/>
      <w:outlineLvl w:val="4"/>
    </w:pPr>
    <w:rPr>
      <w:rFonts w:ascii="黑体" w:eastAsia="黑体" w:cs="黑体"/>
      <w:szCs w:val="21"/>
    </w:rPr>
  </w:style>
  <w:style w:type="paragraph" w:customStyle="1" w:styleId="411">
    <w:name w:val="Char Char Char Char Char2 Char"/>
    <w:basedOn w:val="1"/>
    <w:semiHidden/>
    <w:uiPriority w:val="0"/>
    <w:pPr>
      <w:adjustRightInd w:val="0"/>
      <w:snapToGrid w:val="0"/>
      <w:spacing w:line="360" w:lineRule="auto"/>
      <w:ind w:firstLine="200" w:firstLineChars="200"/>
    </w:pPr>
    <w:rPr>
      <w:rFonts w:ascii="宋体" w:hAnsi="宋体" w:cs="宋体"/>
      <w:sz w:val="24"/>
      <w:szCs w:val="26"/>
    </w:rPr>
  </w:style>
  <w:style w:type="character" w:customStyle="1" w:styleId="412">
    <w:name w:val="表格 Char Char"/>
    <w:link w:val="187"/>
    <w:qFormat/>
    <w:locked/>
    <w:uiPriority w:val="99"/>
    <w:rPr>
      <w:sz w:val="21"/>
      <w:szCs w:val="24"/>
    </w:rPr>
  </w:style>
  <w:style w:type="paragraph" w:customStyle="1" w:styleId="413">
    <w:name w:val="样式8"/>
    <w:basedOn w:val="4"/>
    <w:qFormat/>
    <w:uiPriority w:val="0"/>
    <w:pPr>
      <w:adjustRightInd w:val="0"/>
      <w:snapToGrid w:val="0"/>
      <w:spacing w:before="0" w:after="0" w:line="480" w:lineRule="exact"/>
    </w:pPr>
    <w:rPr>
      <w:sz w:val="26"/>
      <w:szCs w:val="24"/>
    </w:rPr>
  </w:style>
  <w:style w:type="character" w:customStyle="1" w:styleId="414">
    <w:name w:val="标题4 Char"/>
    <w:link w:val="340"/>
    <w:locked/>
    <w:uiPriority w:val="99"/>
    <w:rPr>
      <w:rFonts w:ascii="Arial Unicode MS" w:hAnsi="Arial Unicode MS" w:eastAsia="黑体"/>
      <w:snapToGrid w:val="0"/>
      <w:spacing w:val="20"/>
      <w:sz w:val="24"/>
    </w:rPr>
  </w:style>
  <w:style w:type="paragraph" w:customStyle="1" w:styleId="415">
    <w:name w:val="正文格式"/>
    <w:basedOn w:val="1"/>
    <w:qFormat/>
    <w:uiPriority w:val="0"/>
    <w:pPr>
      <w:spacing w:line="440" w:lineRule="exact"/>
      <w:ind w:firstLine="200" w:firstLineChars="200"/>
    </w:pPr>
    <w:rPr>
      <w:b/>
      <w:sz w:val="24"/>
      <w:szCs w:val="24"/>
    </w:rPr>
  </w:style>
  <w:style w:type="paragraph" w:customStyle="1" w:styleId="416">
    <w:name w:val="样式10"/>
    <w:basedOn w:val="1"/>
    <w:qFormat/>
    <w:uiPriority w:val="99"/>
    <w:pPr>
      <w:spacing w:line="320" w:lineRule="exact"/>
      <w:ind w:firstLine="0" w:firstLineChars="0"/>
      <w:jc w:val="center"/>
    </w:pPr>
    <w:rPr>
      <w:rFonts w:eastAsia="宋体"/>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4"/>
    <customShpInfo spid="_x0000_s2055"/>
    <customShpInfo spid="_x0000_s2056"/>
    <customShpInfo spid="_x0000_s2057"/>
    <customShpInfo spid="_x0000_s2058"/>
    <customShpInfo spid="_x0000_s2059"/>
    <customShpInfo spid="_x0000_s2060"/>
    <customShpInfo spid="_x0000_s2061"/>
    <customShpInfo spid="_x0000_s4319"/>
    <customShpInfo spid="_x0000_s4320"/>
    <customShpInfo spid="_x0000_s4321"/>
    <customShpInfo spid="_x0000_s4322"/>
    <customShpInfo spid="_x0000_s4323"/>
    <customShpInfo spid="_x0000_s4324"/>
    <customShpInfo spid="_x0000_s4325"/>
    <customShpInfo spid="_x0000_s4326"/>
    <customShpInfo spid="_x0000_s4327"/>
    <customShpInfo spid="_x0000_s4328"/>
    <customShpInfo spid="_x0000_s4329"/>
    <customShpInfo spid="_x0000_s4330"/>
    <customShpInfo spid="_x0000_s4331"/>
    <customShpInfo spid="_x0000_s4332"/>
    <customShpInfo spid="_x0000_s4318"/>
    <customShpInfo spid="_x0000_s4333"/>
    <customShpInfo spid="_x0000_s4496"/>
    <customShpInfo spid="_x0000_s4497"/>
    <customShpInfo spid="_x0000_s4505"/>
    <customShpInfo spid="_x0000_s4503"/>
    <customShpInfo spid="_x0000_s4501"/>
    <customShpInfo spid="_x0000_s4498"/>
    <customShpInfo spid="_x0000_s4506"/>
    <customShpInfo spid="_x0000_s4502"/>
    <customShpInfo spid="_x0000_s4500"/>
    <customShpInfo spid="_x0000_s4499"/>
    <customShpInfo spid="_x0000_s4504"/>
    <customShpInfo spid="_x0000_s4507"/>
    <customShpInfo spid="_x0000_s4516"/>
    <customShpInfo spid="_x0000_s4515"/>
    <customShpInfo spid="_x0000_s4518"/>
    <customShpInfo spid="_x0000_s4514"/>
    <customShpInfo spid="_x0000_s4513"/>
    <customShpInfo spid="_x0000_s4517"/>
    <customShpInfo spid="_x0000_s4508"/>
    <customShpInfo spid="_x0000_s4512"/>
    <customShpInfo spid="_x0000_s4510"/>
    <customShpInfo spid="_x0000_s4509"/>
    <customShpInfo spid="_x0000_s4511"/>
    <customShpInfo spid="_x0000_s4521"/>
    <customShpInfo spid="_x0000_s4522"/>
    <customShpInfo spid="_x0000_s4526"/>
    <customShpInfo spid="_x0000_s4520"/>
    <customShpInfo spid="_x0000_s4519"/>
    <customShpInfo spid="_x0000_s4523"/>
    <customShpInfo spid="_x0000_s4525"/>
    <customShpInfo spid="_x0000_s4527"/>
    <customShpInfo spid="_x0000_s4524"/>
    <customShpInfo spid="_x0000_s4528"/>
    <customShpInfo spid="_x0000_s4529"/>
    <customShpInfo spid="_x0000_s4533"/>
    <customShpInfo spid="_x0000_s4530"/>
    <customShpInfo spid="_x0000_s4536"/>
    <customShpInfo spid="_x0000_s4534"/>
    <customShpInfo spid="_x0000_s4535"/>
    <customShpInfo spid="_x0000_s4532"/>
    <customShpInfo spid="_x0000_s4531"/>
    <customShpInfo spid="_x0000_s4418"/>
    <customShpInfo spid="_x0000_s4419"/>
    <customShpInfo spid="_x0000_s4420"/>
    <customShpInfo spid="_x0000_s4421"/>
    <customShpInfo spid="_x0000_s4422"/>
    <customShpInfo spid="_x0000_s4423"/>
    <customShpInfo spid="_x0000_s4424"/>
    <customShpInfo spid="_x0000_s4425"/>
    <customShpInfo spid="_x0000_s4426"/>
    <customShpInfo spid="_x0000_s4427"/>
    <customShpInfo spid="_x0000_s4428"/>
    <customShpInfo spid="_x0000_s4429"/>
    <customShpInfo spid="_x0000_s4430"/>
    <customShpInfo spid="_x0000_s4431"/>
    <customShpInfo spid="_x0000_s4432"/>
    <customShpInfo spid="_x0000_s4433"/>
    <customShpInfo spid="_x0000_s4434"/>
    <customShpInfo spid="_x0000_s4435"/>
    <customShpInfo spid="_x0000_s4436"/>
    <customShpInfo spid="_x0000_s4437"/>
    <customShpInfo spid="_x0000_s4438"/>
    <customShpInfo spid="_x0000_s4439"/>
    <customShpInfo spid="_x0000_s4440"/>
    <customShpInfo spid="_x0000_s4441"/>
    <customShpInfo spid="_x0000_s4442"/>
    <customShpInfo spid="_x0000_s4443"/>
    <customShpInfo spid="_x0000_s4444"/>
    <customShpInfo spid="_x0000_s4445"/>
    <customShpInfo spid="_x0000_s4446"/>
    <customShpInfo spid="_x0000_s4447"/>
    <customShpInfo spid="_x0000_s4448"/>
    <customShpInfo spid="_x0000_s4449"/>
    <customShpInfo spid="_x0000_s4450"/>
    <customShpInfo spid="_x0000_s4451"/>
    <customShpInfo spid="_x0000_s4452"/>
    <customShpInfo spid="_x0000_s4453"/>
    <customShpInfo spid="_x0000_s441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57</Pages>
  <Words>29249</Words>
  <Characters>9010</Characters>
  <Lines>75</Lines>
  <Paragraphs>76</Paragraphs>
  <ScaleCrop>false</ScaleCrop>
  <LinksUpToDate>false</LinksUpToDate>
  <CharactersWithSpaces>38183</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2017-05-18T09:59:00Z</dcterms:created>
  <dc:creator>wn</dc:creator>
  <cp:lastModifiedBy>Administrator</cp:lastModifiedBy>
  <cp:lastPrinted>2015-01-20T06:22:00Z</cp:lastPrinted>
  <dcterms:modified xsi:type="dcterms:W3CDTF">2017-05-28T08:32:36Z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