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DD5EF">
      <w:pPr>
        <w:widowControl/>
        <w:adjustRightInd w:val="0"/>
        <w:snapToGrid w:val="0"/>
        <w:spacing w:after="200" w:line="360" w:lineRule="auto"/>
        <w:jc w:val="center"/>
        <w:rPr>
          <w:rFonts w:hint="eastAsia" w:ascii="Times New Roman" w:hAnsi="Times New Roman" w:eastAsia="宋体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  <w:lang w:val="en-US" w:eastAsia="zh-CN"/>
        </w:rPr>
        <w:t>东营华泰精细化工有限责任公司</w:t>
      </w:r>
    </w:p>
    <w:p w14:paraId="6A0613CB">
      <w:pPr>
        <w:widowControl/>
        <w:adjustRightInd w:val="0"/>
        <w:snapToGrid w:val="0"/>
        <w:spacing w:after="200" w:line="360" w:lineRule="auto"/>
        <w:jc w:val="center"/>
        <w:rPr>
          <w:rFonts w:hint="eastAsia" w:ascii="Times New Roman" w:hAnsi="Times New Roman" w:eastAsia="宋体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  <w:lang w:val="en-US" w:eastAsia="zh-CN"/>
        </w:rPr>
        <w:t>10万吨/年氯乙酸项目（二期）验收</w:t>
      </w:r>
    </w:p>
    <w:p w14:paraId="648DA368">
      <w:pPr>
        <w:widowControl/>
        <w:adjustRightInd w:val="0"/>
        <w:snapToGrid w:val="0"/>
        <w:spacing w:after="200" w:line="360" w:lineRule="auto"/>
        <w:jc w:val="center"/>
        <w:rPr>
          <w:rFonts w:hint="eastAsia" w:ascii="Times New Roman" w:hAnsi="Times New Roman" w:eastAsia="宋体" w:cs="Times New Roman"/>
          <w:b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  <w:lang w:val="en-US" w:eastAsia="zh-CN"/>
        </w:rPr>
        <w:t>第二次公示</w:t>
      </w:r>
    </w:p>
    <w:p w14:paraId="0F827EB5">
      <w:pPr>
        <w:autoSpaceDE w:val="0"/>
        <w:autoSpaceDN w:val="0"/>
        <w:adjustRightInd w:val="0"/>
        <w:spacing w:line="360" w:lineRule="auto"/>
        <w:ind w:firstLine="480"/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zh-CN"/>
        </w:rPr>
        <w:t>根据《建设项目环境保护管理条例》（国令第682号）（2017年10月1日实施）及《关于规范建设单位自主开展建设项目竣工环境保护验收的通知（征求意见稿）》中相关要求，项目建设完工、环保设施调试完成后，开展自主验收前，企业需要通过网站或者其他便于公众知悉的方式，依法向社会公开相关环保信息，为此将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zh-CN" w:eastAsia="zh-CN"/>
        </w:rPr>
        <w:t>东营华泰精细化工有限责任公司10万吨/年氯乙酸项目（二期）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zh-CN"/>
        </w:rPr>
        <w:t>相关信息公示如下：</w:t>
      </w:r>
    </w:p>
    <w:p w14:paraId="55AC69FB">
      <w:pPr>
        <w:autoSpaceDE w:val="0"/>
        <w:autoSpaceDN w:val="0"/>
        <w:adjustRightInd w:val="0"/>
        <w:spacing w:line="360" w:lineRule="auto"/>
        <w:ind w:firstLine="480"/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zh-CN" w:eastAsia="zh-CN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zh-CN" w:eastAsia="zh-CN"/>
        </w:rPr>
        <w:t>东营华泰精细化工有限责任公司10万吨/年氯乙酸项目（二期）项目建设地点位于东营经济技术开发区钱塘江路11号，该项目符合国家产业政策要求。本项目于20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18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zh-CN" w:eastAsia="zh-CN"/>
        </w:rPr>
        <w:t>年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zh-CN" w:eastAsia="zh-CN"/>
        </w:rPr>
        <w:t>月委托青州方元环境影响评价服务有限公司编制《东营华泰精细化工有限责任公司10万吨/年氯乙酸项目环境影响报告书》，20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18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zh-CN" w:eastAsia="zh-CN"/>
        </w:rPr>
        <w:t>年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zh-CN" w:eastAsia="zh-CN"/>
        </w:rPr>
        <w:t>月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22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zh-CN" w:eastAsia="zh-CN"/>
        </w:rPr>
        <w:t>日获得东营市生态环境局（东环审〔2018〕22号）的批复。</w:t>
      </w:r>
    </w:p>
    <w:p w14:paraId="443A78A9">
      <w:pPr>
        <w:autoSpaceDE w:val="0"/>
        <w:autoSpaceDN w:val="0"/>
        <w:adjustRightInd w:val="0"/>
        <w:spacing w:line="360" w:lineRule="auto"/>
        <w:ind w:firstLine="480"/>
        <w:rPr>
          <w:rFonts w:ascii="Times New Roman" w:hAnsi="Times New Roman" w:cs="Times New Roman"/>
          <w:color w:val="auto"/>
          <w:kern w:val="0"/>
          <w:sz w:val="24"/>
          <w:szCs w:val="24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zh-CN" w:eastAsia="zh-CN"/>
        </w:rPr>
        <w:t>项目各环保设施建成时间与项目完工时间一致，本项目环保设施主要包括：氯化及真空尾气经“水洗+碱洗”处理后与一期项目氯化及真空尾气合并，通过1根高27.5m、内径0.15m排气筒DA011有组织排放；加氢尾气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zh-CN" w:eastAsia="zh-CN"/>
        </w:rPr>
        <w:t>经“加氢尾气吸收塔”处理，剩余尾气通过1根高27.5m、内径0.15m排气筒DA017有组织排放；醋酸及醋酸酐储罐、乙醇储罐、氯乙酸乙醇溶液储罐、氯乙酸水溶液储罐呼吸阀、氯乙酸水溶液及氯乙酸乙醇溶液装卸废气与1台尾气吸收塔相连，洗涤后废气经1根高15m、内径0.15m排气筒DA016有组织排放；盐酸储罐呼吸阀及盐酸装卸区废气与1台尾气吸收塔相连，洗涤后废气经1 根高15m、内径0.15m高排气筒DA015有组织排放；装置区无组织废气排放。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zh-CN"/>
        </w:rPr>
        <w:t>建设项目环保设施调试时间为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2024年3月1</w:t>
      </w:r>
      <w:bookmarkStart w:id="0" w:name="_GoBack"/>
      <w:bookmarkEnd w:id="0"/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日~2024年8月15日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NTZhODc3MWZhMGU5YWFkMmMwOTU2N2U4ZDEyNjQifQ=="/>
  </w:docVars>
  <w:rsids>
    <w:rsidRoot w:val="00000000"/>
    <w:rsid w:val="029809D4"/>
    <w:rsid w:val="04E20799"/>
    <w:rsid w:val="06F7755F"/>
    <w:rsid w:val="0A8A3E8C"/>
    <w:rsid w:val="0EAC6563"/>
    <w:rsid w:val="11CF6A57"/>
    <w:rsid w:val="19F65454"/>
    <w:rsid w:val="1A9B5FFB"/>
    <w:rsid w:val="1AED1115"/>
    <w:rsid w:val="1B4A4D7F"/>
    <w:rsid w:val="1B9129D6"/>
    <w:rsid w:val="1C777E80"/>
    <w:rsid w:val="20492771"/>
    <w:rsid w:val="20E21F67"/>
    <w:rsid w:val="22B92901"/>
    <w:rsid w:val="2A9E4E9B"/>
    <w:rsid w:val="3182661F"/>
    <w:rsid w:val="3A06128C"/>
    <w:rsid w:val="3A253BAC"/>
    <w:rsid w:val="3BB330EA"/>
    <w:rsid w:val="3C9D3547"/>
    <w:rsid w:val="412A3627"/>
    <w:rsid w:val="41524DB6"/>
    <w:rsid w:val="41714144"/>
    <w:rsid w:val="531B5216"/>
    <w:rsid w:val="591F671F"/>
    <w:rsid w:val="5D6D15E6"/>
    <w:rsid w:val="643D42B7"/>
    <w:rsid w:val="64EF5E6E"/>
    <w:rsid w:val="657333CA"/>
    <w:rsid w:val="681C497B"/>
    <w:rsid w:val="688F7C80"/>
    <w:rsid w:val="68A51AEC"/>
    <w:rsid w:val="68D221B6"/>
    <w:rsid w:val="6D2D0302"/>
    <w:rsid w:val="70ED4632"/>
    <w:rsid w:val="78B755C4"/>
    <w:rsid w:val="7C463042"/>
    <w:rsid w:val="7D20753B"/>
    <w:rsid w:val="7D2B5707"/>
    <w:rsid w:val="7E4E1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674</Words>
  <Characters>749</Characters>
  <Lines>0</Lines>
  <Paragraphs>0</Paragraphs>
  <TotalTime>24</TotalTime>
  <ScaleCrop>false</ScaleCrop>
  <LinksUpToDate>false</LinksUpToDate>
  <CharactersWithSpaces>750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肖静</cp:lastModifiedBy>
  <dcterms:modified xsi:type="dcterms:W3CDTF">2024-09-12T02:02:28Z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40E65E4F096D40A2A9DB7DC85C9C4812</vt:lpwstr>
  </property>
</Properties>
</file>