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3D5F4">
      <w:pPr>
        <w:spacing w:line="360" w:lineRule="auto"/>
        <w:jc w:val="center"/>
        <w:rPr>
          <w:rFonts w:hint="eastAsia" w:ascii="Times New Roman" w:hAnsi="Times New Roman" w:eastAsia="宋体"/>
          <w:b/>
          <w:sz w:val="28"/>
          <w:szCs w:val="28"/>
          <w:lang w:eastAsia="zh-CN"/>
        </w:rPr>
      </w:pPr>
      <w:r>
        <w:rPr>
          <w:rFonts w:hint="eastAsia" w:ascii="Times New Roman" w:hAnsi="Times New Roman" w:eastAsia="宋体"/>
          <w:b/>
          <w:sz w:val="28"/>
          <w:szCs w:val="28"/>
          <w:lang w:eastAsia="zh-CN"/>
        </w:rPr>
        <w:t>东营华泰精细化工有限责任公司</w:t>
      </w:r>
    </w:p>
    <w:p w14:paraId="3C2D2738">
      <w:pPr>
        <w:spacing w:line="360" w:lineRule="auto"/>
        <w:jc w:val="center"/>
        <w:rPr>
          <w:rFonts w:hint="eastAsia" w:ascii="Times New Roman" w:hAnsi="Times New Roman" w:eastAsia="宋体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b/>
          <w:sz w:val="28"/>
          <w:szCs w:val="28"/>
          <w:lang w:eastAsia="zh-CN"/>
        </w:rPr>
        <w:t>10万吨/年氯乙酸项目（二期）</w:t>
      </w:r>
      <w:r>
        <w:rPr>
          <w:rFonts w:hint="eastAsia" w:ascii="Times New Roman" w:hAnsi="Times New Roman" w:eastAsia="宋体"/>
          <w:b/>
          <w:sz w:val="28"/>
          <w:szCs w:val="28"/>
          <w:lang w:val="en-US" w:eastAsia="zh-CN"/>
        </w:rPr>
        <w:t>验收</w:t>
      </w:r>
    </w:p>
    <w:p w14:paraId="742283CC">
      <w:pPr>
        <w:spacing w:line="360" w:lineRule="auto"/>
        <w:jc w:val="center"/>
        <w:rPr>
          <w:rFonts w:hint="eastAsia" w:ascii="Times New Roman" w:hAnsi="Times New Roman" w:eastAsia="宋体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b/>
          <w:sz w:val="28"/>
          <w:szCs w:val="28"/>
          <w:lang w:val="en-US" w:eastAsia="zh-CN"/>
        </w:rPr>
        <w:t>第一次公示</w:t>
      </w:r>
    </w:p>
    <w:p w14:paraId="4B0F8774">
      <w:pPr>
        <w:spacing w:after="0"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根据《建设项目竣工环境保护验收暂行办法》，现将东营华泰精细化工有限责任公司10万吨/年氯乙酸项目（二期）验收公示如下，本项目竣工日期为2023年12月25日。</w:t>
      </w:r>
    </w:p>
    <w:p w14:paraId="6B83158F">
      <w:pPr>
        <w:spacing w:after="0" w:line="360" w:lineRule="auto"/>
        <w:jc w:val="left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一、建设项目的简介</w:t>
      </w:r>
    </w:p>
    <w:p w14:paraId="1B52F77C">
      <w:pPr>
        <w:spacing w:after="0" w:line="360" w:lineRule="auto"/>
        <w:jc w:val="left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（一）项目名称：10万吨/年氯乙酸项目（二期）</w:t>
      </w:r>
    </w:p>
    <w:p w14:paraId="739B8C4D">
      <w:pPr>
        <w:spacing w:after="0" w:line="360" w:lineRule="auto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（二）工程性质：新建</w:t>
      </w:r>
    </w:p>
    <w:p w14:paraId="0F675F43">
      <w:pPr>
        <w:spacing w:after="0" w:line="360" w:lineRule="auto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（三）所属行业：化学原料和化学制品制造业</w:t>
      </w:r>
    </w:p>
    <w:p w14:paraId="19188FFA">
      <w:pPr>
        <w:spacing w:after="0" w:line="360" w:lineRule="auto"/>
        <w:jc w:val="left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（四）建设地点：东营经济技术开发区钱塘江路11号。</w:t>
      </w:r>
    </w:p>
    <w:p w14:paraId="5CCAB28B">
      <w:pPr>
        <w:spacing w:after="0" w:line="360" w:lineRule="auto"/>
        <w:jc w:val="left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（五）项目规模：规模5万吨/年，由氯化工段、加氢还原工段、精馏工段、尾气吸收工段、碱洗中和工段、MCA 切片包装工段等六个主要部分，包括乙酰氯吸收塔、降膜吸收塔、氯化氢次吸收塔、脱氯塔、1#氯化氢洗涤塔、2#氯化氢洗涤塔、氯化反应器、氢化反应器、乙酰氯汽提塔水反应器、轻组分塔、产品塔、氯化尾气吸收塔、加氢尾气吸收塔等，并配套机械泵、换热器、空冷器等辅助设备。</w:t>
      </w:r>
    </w:p>
    <w:p w14:paraId="145BABDD">
      <w:pPr>
        <w:spacing w:after="0" w:line="360" w:lineRule="auto"/>
        <w:jc w:val="left"/>
        <w:rPr>
          <w:rFonts w:hint="default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（六）前期手续：本项目于2018年4月委托青州方元环境影响评价服务有限公司编制《东营华泰精细化工有限责任公司10万吨/年氯乙酸项目环境影响报告书》，2018年8月22日获得东营市生态环境局（东环审〔2018〕22号）的批复。</w:t>
      </w:r>
      <w:bookmarkStart w:id="0" w:name="_GoBack"/>
      <w:bookmarkEnd w:id="0"/>
    </w:p>
    <w:p w14:paraId="6399F26D">
      <w:pPr>
        <w:spacing w:after="0" w:line="360" w:lineRule="auto"/>
        <w:jc w:val="left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二、建设项目的建设单位的名称和联系方式</w:t>
      </w:r>
    </w:p>
    <w:p w14:paraId="51A1F4F3">
      <w:pPr>
        <w:spacing w:after="0" w:line="360" w:lineRule="auto"/>
        <w:jc w:val="left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建设单位：东营华泰精细化工有限责任公司</w:t>
      </w:r>
    </w:p>
    <w:p w14:paraId="3FE7A397">
      <w:pPr>
        <w:spacing w:after="0" w:line="360" w:lineRule="auto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联系人：李建亭      联系电话： 13678616130</w:t>
      </w:r>
    </w:p>
    <w:p w14:paraId="374F65E7">
      <w:pPr>
        <w:rPr>
          <w:rFonts w:hint="eastAsia" w:eastAsia="微软雅黑"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b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1NTZhODc3MWZhMGU5YWFkMmMwOTU2N2U4ZDEyNjQifQ=="/>
  </w:docVars>
  <w:rsids>
    <w:rsidRoot w:val="00000000"/>
    <w:rsid w:val="0BA11655"/>
    <w:rsid w:val="0DBC1B18"/>
    <w:rsid w:val="0DFC0A5A"/>
    <w:rsid w:val="14FF7A2C"/>
    <w:rsid w:val="18EC0C77"/>
    <w:rsid w:val="1FFF2FDC"/>
    <w:rsid w:val="20715966"/>
    <w:rsid w:val="21DF791D"/>
    <w:rsid w:val="23CC3BF4"/>
    <w:rsid w:val="26720558"/>
    <w:rsid w:val="283D0868"/>
    <w:rsid w:val="2B6C60CE"/>
    <w:rsid w:val="2C02412C"/>
    <w:rsid w:val="2EE67895"/>
    <w:rsid w:val="35F53A19"/>
    <w:rsid w:val="390C74A4"/>
    <w:rsid w:val="39C40C73"/>
    <w:rsid w:val="3BC348C9"/>
    <w:rsid w:val="47041865"/>
    <w:rsid w:val="49E862B8"/>
    <w:rsid w:val="4EB726FD"/>
    <w:rsid w:val="538C1DED"/>
    <w:rsid w:val="5E84084D"/>
    <w:rsid w:val="5F423680"/>
    <w:rsid w:val="610F5FC1"/>
    <w:rsid w:val="62B92A90"/>
    <w:rsid w:val="63FD5D72"/>
    <w:rsid w:val="690067CF"/>
    <w:rsid w:val="692B6989"/>
    <w:rsid w:val="6FAB59BA"/>
    <w:rsid w:val="6FDF39AB"/>
    <w:rsid w:val="70EC0499"/>
    <w:rsid w:val="71EC3488"/>
    <w:rsid w:val="71EC592A"/>
    <w:rsid w:val="77AF0DFD"/>
    <w:rsid w:val="7AC13649"/>
    <w:rsid w:val="7D595A20"/>
    <w:rsid w:val="7F0C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534</Characters>
  <Lines>0</Lines>
  <Paragraphs>0</Paragraphs>
  <TotalTime>14</TotalTime>
  <ScaleCrop>false</ScaleCrop>
  <LinksUpToDate>false</LinksUpToDate>
  <CharactersWithSpaces>543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肖静</cp:lastModifiedBy>
  <dcterms:modified xsi:type="dcterms:W3CDTF">2024-09-12T02:09:06Z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A55237F454B2437EABD56EBC54033C00</vt:lpwstr>
  </property>
</Properties>
</file>