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left"/>
        <w:rPr>
          <w:color w:val="FF0000"/>
          <w:sz w:val="28"/>
          <w:szCs w:val="28"/>
          <w:highlight w:val="yellow"/>
        </w:rPr>
      </w:pPr>
    </w:p>
    <w:p>
      <w:pPr>
        <w:pStyle w:val="2"/>
        <w:rPr>
          <w:color w:val="FF0000"/>
          <w:sz w:val="28"/>
          <w:szCs w:val="28"/>
          <w:highlight w:val="yellow"/>
        </w:rPr>
      </w:pPr>
    </w:p>
    <w:p>
      <w:pPr>
        <w:pStyle w:val="2"/>
        <w:rPr>
          <w:color w:val="FF0000"/>
          <w:sz w:val="28"/>
          <w:szCs w:val="28"/>
          <w:highlight w:val="yellow"/>
        </w:rPr>
      </w:pPr>
    </w:p>
    <w:p>
      <w:pPr>
        <w:widowControl/>
        <w:adjustRightInd w:val="0"/>
        <w:snapToGrid w:val="0"/>
        <w:spacing w:line="360" w:lineRule="auto"/>
        <w:jc w:val="center"/>
        <w:rPr>
          <w:b/>
          <w:sz w:val="44"/>
          <w:szCs w:val="44"/>
        </w:rPr>
      </w:pPr>
    </w:p>
    <w:p>
      <w:pPr>
        <w:spacing w:line="360" w:lineRule="auto"/>
        <w:jc w:val="left"/>
        <w:rPr>
          <w:color w:val="FF0000"/>
          <w:sz w:val="28"/>
          <w:szCs w:val="28"/>
        </w:rPr>
      </w:pPr>
    </w:p>
    <w:p>
      <w:pPr>
        <w:widowControl/>
        <w:adjustRightInd w:val="0"/>
        <w:snapToGrid w:val="0"/>
        <w:spacing w:line="360" w:lineRule="auto"/>
        <w:jc w:val="center"/>
        <w:rPr>
          <w:b/>
          <w:sz w:val="44"/>
          <w:szCs w:val="44"/>
        </w:rPr>
      </w:pPr>
      <w:r>
        <w:rPr>
          <w:b/>
          <w:sz w:val="44"/>
          <w:szCs w:val="44"/>
        </w:rPr>
        <w:t>金属磨料深加工</w:t>
      </w:r>
      <w:r>
        <w:rPr>
          <w:rFonts w:hint="eastAsia"/>
          <w:b/>
          <w:sz w:val="44"/>
          <w:szCs w:val="44"/>
        </w:rPr>
        <w:t>项目</w:t>
      </w:r>
      <w:r>
        <w:rPr>
          <w:b/>
          <w:sz w:val="44"/>
          <w:szCs w:val="44"/>
        </w:rPr>
        <w:t>竣工环境保护</w:t>
      </w:r>
    </w:p>
    <w:p>
      <w:pPr>
        <w:widowControl/>
        <w:adjustRightInd w:val="0"/>
        <w:snapToGrid w:val="0"/>
        <w:spacing w:line="360" w:lineRule="auto"/>
        <w:jc w:val="center"/>
        <w:rPr>
          <w:b/>
          <w:color w:val="FF0000"/>
          <w:sz w:val="44"/>
          <w:szCs w:val="44"/>
        </w:rPr>
      </w:pPr>
      <w:r>
        <w:rPr>
          <w:b/>
          <w:sz w:val="44"/>
          <w:szCs w:val="44"/>
        </w:rPr>
        <w:t>验收</w:t>
      </w:r>
      <w:r>
        <w:rPr>
          <w:rFonts w:hint="eastAsia"/>
          <w:b/>
          <w:sz w:val="44"/>
          <w:szCs w:val="44"/>
        </w:rPr>
        <w:t>监测</w:t>
      </w:r>
      <w:r>
        <w:rPr>
          <w:b/>
          <w:sz w:val="44"/>
          <w:szCs w:val="44"/>
        </w:rPr>
        <w:t>报告</w:t>
      </w:r>
    </w:p>
    <w:p>
      <w:pPr>
        <w:pStyle w:val="2"/>
        <w:ind w:left="0" w:leftChars="0" w:firstLine="0"/>
        <w:jc w:val="center"/>
        <w:rPr>
          <w:b/>
          <w:bCs/>
          <w:color w:val="FF0000"/>
        </w:rPr>
      </w:pPr>
    </w:p>
    <w:p>
      <w:pPr>
        <w:pStyle w:val="2"/>
        <w:ind w:left="0" w:leftChars="0" w:firstLine="0"/>
        <w:jc w:val="center"/>
        <w:rPr>
          <w:b/>
          <w:bCs/>
          <w:color w:val="FF0000"/>
        </w:rPr>
      </w:pPr>
    </w:p>
    <w:p>
      <w:pPr>
        <w:tabs>
          <w:tab w:val="left" w:pos="2942"/>
        </w:tabs>
        <w:spacing w:line="360" w:lineRule="auto"/>
        <w:jc w:val="left"/>
        <w:rPr>
          <w:color w:val="FF0000"/>
          <w:sz w:val="28"/>
          <w:szCs w:val="28"/>
        </w:rPr>
      </w:pPr>
      <w:r>
        <w:rPr>
          <w:rFonts w:hint="eastAsia"/>
          <w:color w:val="FF0000"/>
          <w:sz w:val="28"/>
          <w:szCs w:val="28"/>
        </w:rPr>
        <w:tab/>
      </w:r>
    </w:p>
    <w:p>
      <w:pPr>
        <w:spacing w:line="360" w:lineRule="auto"/>
        <w:jc w:val="left"/>
        <w:rPr>
          <w:color w:val="FF0000"/>
          <w:sz w:val="28"/>
          <w:szCs w:val="28"/>
        </w:rPr>
      </w:pPr>
    </w:p>
    <w:p>
      <w:pPr>
        <w:pStyle w:val="2"/>
        <w:rPr>
          <w:color w:val="FF0000"/>
        </w:rPr>
      </w:pPr>
    </w:p>
    <w:p>
      <w:pPr>
        <w:spacing w:line="360" w:lineRule="auto"/>
        <w:jc w:val="left"/>
        <w:rPr>
          <w:color w:val="FF0000"/>
          <w:sz w:val="28"/>
          <w:szCs w:val="28"/>
        </w:rPr>
      </w:pPr>
    </w:p>
    <w:p>
      <w:pPr>
        <w:spacing w:line="360" w:lineRule="auto"/>
        <w:jc w:val="left"/>
        <w:rPr>
          <w:color w:val="FF0000"/>
          <w:sz w:val="28"/>
          <w:szCs w:val="28"/>
        </w:rPr>
      </w:pPr>
    </w:p>
    <w:p>
      <w:pPr>
        <w:pStyle w:val="2"/>
        <w:rPr>
          <w:color w:val="FF0000"/>
        </w:rPr>
      </w:pPr>
    </w:p>
    <w:p>
      <w:pPr>
        <w:pStyle w:val="2"/>
        <w:rPr>
          <w:color w:val="FF0000"/>
        </w:rPr>
      </w:pPr>
    </w:p>
    <w:p>
      <w:pPr>
        <w:pStyle w:val="2"/>
        <w:rPr>
          <w:color w:val="FF0000"/>
        </w:rPr>
      </w:pPr>
    </w:p>
    <w:p>
      <w:pPr>
        <w:pStyle w:val="2"/>
        <w:rPr>
          <w:color w:val="FF0000"/>
        </w:rPr>
      </w:pPr>
    </w:p>
    <w:p>
      <w:pPr>
        <w:pStyle w:val="2"/>
        <w:rPr>
          <w:color w:val="FF0000"/>
        </w:rPr>
      </w:pPr>
    </w:p>
    <w:p>
      <w:pPr>
        <w:pStyle w:val="2"/>
        <w:rPr>
          <w:color w:val="FF0000"/>
        </w:rPr>
      </w:pPr>
    </w:p>
    <w:p>
      <w:pPr>
        <w:pStyle w:val="2"/>
        <w:rPr>
          <w:color w:val="FF0000"/>
        </w:rPr>
      </w:pPr>
    </w:p>
    <w:p>
      <w:pPr>
        <w:pStyle w:val="2"/>
        <w:ind w:left="0" w:leftChars="0" w:firstLine="0"/>
        <w:rPr>
          <w:color w:val="FF0000"/>
        </w:rPr>
      </w:pPr>
    </w:p>
    <w:p>
      <w:pPr>
        <w:pStyle w:val="2"/>
        <w:rPr>
          <w:color w:val="FF0000"/>
        </w:rPr>
      </w:pPr>
    </w:p>
    <w:p>
      <w:pPr>
        <w:spacing w:line="360" w:lineRule="auto"/>
        <w:ind w:firstLine="960" w:firstLineChars="300"/>
        <w:jc w:val="left"/>
        <w:rPr>
          <w:rFonts w:asciiTheme="majorEastAsia" w:hAnsiTheme="majorEastAsia" w:eastAsiaTheme="majorEastAsia"/>
          <w:color w:val="000000" w:themeColor="text1"/>
          <w:sz w:val="32"/>
          <w:szCs w:val="32"/>
          <w:u w:val="single"/>
          <w14:textFill>
            <w14:solidFill>
              <w14:schemeClr w14:val="tx1"/>
            </w14:solidFill>
          </w14:textFill>
        </w:rPr>
      </w:pPr>
      <w:r>
        <w:rPr>
          <w:rFonts w:asciiTheme="majorEastAsia" w:hAnsiTheme="majorEastAsia" w:eastAsiaTheme="majorEastAsia"/>
          <w:color w:val="000000" w:themeColor="text1"/>
          <w:sz w:val="32"/>
          <w:szCs w:val="32"/>
          <w14:textFill>
            <w14:solidFill>
              <w14:schemeClr w14:val="tx1"/>
            </w14:solidFill>
          </w14:textFill>
        </w:rPr>
        <w:t>项目名称</w:t>
      </w:r>
      <w:r>
        <w:rPr>
          <w:rFonts w:hint="eastAsia" w:asciiTheme="majorEastAsia" w:hAnsiTheme="majorEastAsia" w:eastAsiaTheme="majorEastAsia"/>
          <w:color w:val="000000" w:themeColor="text1"/>
          <w:sz w:val="32"/>
          <w:szCs w:val="32"/>
          <w14:textFill>
            <w14:solidFill>
              <w14:schemeClr w14:val="tx1"/>
            </w14:solidFill>
          </w14:textFill>
        </w:rPr>
        <w:t>：</w:t>
      </w:r>
      <w:r>
        <w:rPr>
          <w:rFonts w:cs="Times New Roman" w:asciiTheme="majorEastAsia" w:hAnsiTheme="majorEastAsia" w:eastAsiaTheme="majorEastAsia"/>
          <w:color w:val="000000" w:themeColor="text1"/>
          <w:kern w:val="2"/>
          <w:sz w:val="32"/>
          <w:szCs w:val="32"/>
          <w:u w:val="single"/>
          <w:lang w:val="en-US" w:eastAsia="zh-CN" w:bidi="ar-SA"/>
          <w14:textFill>
            <w14:solidFill>
              <w14:schemeClr w14:val="tx1"/>
            </w14:solidFill>
          </w14:textFill>
        </w:rPr>
        <w:t>金属磨料深加工项目</w:t>
      </w:r>
      <w:r>
        <w:rPr>
          <w:rFonts w:asciiTheme="majorEastAsia" w:hAnsiTheme="majorEastAsia" w:eastAsiaTheme="majorEastAsia"/>
          <w:color w:val="FFFFFF" w:themeColor="background1"/>
          <w:sz w:val="32"/>
          <w:szCs w:val="32"/>
          <w:u w:val="single"/>
          <w14:textFill>
            <w14:solidFill>
              <w14:schemeClr w14:val="bg1"/>
            </w14:solidFill>
          </w14:textFill>
        </w:rPr>
        <w:t>5</w:t>
      </w:r>
      <w:r>
        <w:rPr>
          <w:rFonts w:asciiTheme="majorEastAsia" w:hAnsiTheme="majorEastAsia" w:eastAsiaTheme="majorEastAsia"/>
          <w:color w:val="000000" w:themeColor="text1"/>
          <w:sz w:val="32"/>
          <w:szCs w:val="32"/>
          <w:u w:val="single"/>
          <w14:textFill>
            <w14:solidFill>
              <w14:schemeClr w14:val="tx1"/>
            </w14:solidFill>
          </w14:textFill>
        </w:rPr>
        <w:t xml:space="preserve">             </w:t>
      </w:r>
    </w:p>
    <w:p>
      <w:pPr>
        <w:pStyle w:val="2"/>
        <w:ind w:left="0" w:leftChars="0" w:firstLine="960" w:firstLineChars="300"/>
        <w:rPr>
          <w:rFonts w:asciiTheme="majorEastAsia" w:hAnsiTheme="majorEastAsia" w:eastAsiaTheme="majorEastAsia"/>
          <w:color w:val="FF0000"/>
          <w:sz w:val="32"/>
          <w:szCs w:val="32"/>
        </w:rPr>
      </w:pPr>
      <w:r>
        <w:rPr>
          <w:rFonts w:asciiTheme="majorEastAsia" w:hAnsiTheme="majorEastAsia" w:eastAsiaTheme="majorEastAsia"/>
          <w:color w:val="000000" w:themeColor="text1"/>
          <w:sz w:val="32"/>
          <w:szCs w:val="32"/>
          <w14:textFill>
            <w14:solidFill>
              <w14:schemeClr w14:val="tx1"/>
            </w14:solidFill>
          </w14:textFill>
        </w:rPr>
        <w:t>建设单位</w:t>
      </w:r>
      <w:r>
        <w:rPr>
          <w:rFonts w:hint="eastAsia" w:asciiTheme="majorEastAsia" w:hAnsiTheme="majorEastAsia" w:eastAsiaTheme="majorEastAsia"/>
          <w:color w:val="000000" w:themeColor="text1"/>
          <w:sz w:val="32"/>
          <w:szCs w:val="32"/>
          <w14:textFill>
            <w14:solidFill>
              <w14:schemeClr w14:val="tx1"/>
            </w14:solidFill>
          </w14:textFill>
        </w:rPr>
        <w:t>：</w:t>
      </w:r>
      <w:r>
        <w:rPr>
          <w:rFonts w:hint="eastAsia" w:cs="Times New Roman" w:asciiTheme="majorEastAsia" w:hAnsiTheme="majorEastAsia" w:eastAsiaTheme="majorEastAsia"/>
          <w:color w:val="000000" w:themeColor="text1"/>
          <w:kern w:val="2"/>
          <w:sz w:val="32"/>
          <w:szCs w:val="32"/>
          <w:u w:val="single"/>
          <w:lang w:val="en-US" w:eastAsia="zh-CN" w:bidi="ar-SA"/>
          <w14:textFill>
            <w14:solidFill>
              <w14:schemeClr w14:val="tx1"/>
            </w14:solidFill>
          </w14:textFill>
        </w:rPr>
        <w:t>滕州市丰尔达金属制品有限责任公司</w:t>
      </w:r>
      <w:r>
        <w:rPr>
          <w:rFonts w:hint="eastAsia" w:asciiTheme="majorEastAsia" w:hAnsiTheme="majorEastAsia" w:eastAsiaTheme="majorEastAsia"/>
          <w:color w:val="000000" w:themeColor="text1"/>
          <w:sz w:val="32"/>
          <w:szCs w:val="32"/>
          <w:u w:val="single"/>
          <w14:textFill>
            <w14:solidFill>
              <w14:schemeClr w14:val="tx1"/>
            </w14:solidFill>
          </w14:textFill>
        </w:rPr>
        <w:t>（盖章</w:t>
      </w:r>
      <w:r>
        <w:rPr>
          <w:rFonts w:hint="eastAsia" w:asciiTheme="majorEastAsia" w:hAnsiTheme="majorEastAsia" w:eastAsiaTheme="majorEastAsia"/>
          <w:color w:val="000000" w:themeColor="text1"/>
          <w:sz w:val="32"/>
          <w:szCs w:val="32"/>
          <w:u w:val="single"/>
          <w:lang w:eastAsia="zh-CN"/>
          <w14:textFill>
            <w14:solidFill>
              <w14:schemeClr w14:val="tx1"/>
            </w14:solidFill>
          </w14:textFill>
        </w:rPr>
        <w:t>）</w:t>
      </w:r>
      <w:r>
        <w:rPr>
          <w:rFonts w:asciiTheme="majorEastAsia" w:hAnsiTheme="majorEastAsia" w:eastAsiaTheme="majorEastAsia"/>
          <w:color w:val="FFFFFF" w:themeColor="background1"/>
          <w:sz w:val="32"/>
          <w:szCs w:val="32"/>
          <w:u w:val="single"/>
          <w14:textFill>
            <w14:solidFill>
              <w14:schemeClr w14:val="bg1"/>
            </w14:solidFill>
          </w14:textFill>
        </w:rPr>
        <w:t>1</w:t>
      </w:r>
    </w:p>
    <w:p>
      <w:pPr>
        <w:widowControl/>
        <w:adjustRightInd w:val="0"/>
        <w:snapToGrid w:val="0"/>
        <w:spacing w:after="200" w:line="360" w:lineRule="auto"/>
        <w:jc w:val="center"/>
        <w:rPr>
          <w:rFonts w:asciiTheme="majorEastAsia" w:hAnsiTheme="majorEastAsia" w:eastAsiaTheme="majorEastAsia"/>
          <w:sz w:val="28"/>
          <w:szCs w:val="28"/>
        </w:rPr>
      </w:pPr>
    </w:p>
    <w:p>
      <w:pPr>
        <w:widowControl/>
        <w:adjustRightInd w:val="0"/>
        <w:snapToGrid w:val="0"/>
        <w:spacing w:after="200" w:line="360" w:lineRule="auto"/>
        <w:jc w:val="center"/>
        <w:rPr>
          <w:rFonts w:asciiTheme="majorEastAsia" w:hAnsiTheme="majorEastAsia" w:eastAsiaTheme="majorEastAsia"/>
          <w:b/>
          <w:sz w:val="28"/>
          <w:szCs w:val="28"/>
        </w:rPr>
        <w:sectPr>
          <w:headerReference r:id="rId4" w:type="first"/>
          <w:footerReference r:id="rId5" w:type="first"/>
          <w:headerReference r:id="rId3" w:type="default"/>
          <w:pgSz w:w="11906" w:h="16838"/>
          <w:pgMar w:top="1440" w:right="1418" w:bottom="1440" w:left="1418" w:header="851" w:footer="992" w:gutter="0"/>
          <w:pgNumType w:start="1"/>
          <w:cols w:space="425" w:num="1"/>
          <w:titlePg/>
          <w:docGrid w:linePitch="312" w:charSpace="0"/>
        </w:sectPr>
      </w:pPr>
      <w:r>
        <w:rPr>
          <w:rFonts w:asciiTheme="majorEastAsia" w:hAnsiTheme="majorEastAsia" w:eastAsiaTheme="majorEastAsia"/>
          <w:sz w:val="28"/>
          <w:szCs w:val="28"/>
        </w:rPr>
        <w:t>编</w:t>
      </w:r>
      <w:r>
        <w:rPr>
          <w:rFonts w:hint="eastAsia" w:asciiTheme="majorEastAsia" w:hAnsiTheme="majorEastAsia" w:eastAsiaTheme="majorEastAsia"/>
          <w:sz w:val="28"/>
          <w:szCs w:val="28"/>
        </w:rPr>
        <w:t xml:space="preserve"> </w:t>
      </w:r>
      <w:r>
        <w:rPr>
          <w:rFonts w:asciiTheme="majorEastAsia" w:hAnsiTheme="majorEastAsia" w:eastAsiaTheme="majorEastAsia"/>
          <w:sz w:val="28"/>
          <w:szCs w:val="28"/>
        </w:rPr>
        <w:t>制</w:t>
      </w:r>
      <w:r>
        <w:rPr>
          <w:rFonts w:hint="eastAsia" w:asciiTheme="majorEastAsia" w:hAnsiTheme="majorEastAsia" w:eastAsiaTheme="majorEastAsia"/>
          <w:sz w:val="28"/>
          <w:szCs w:val="28"/>
        </w:rPr>
        <w:t xml:space="preserve"> </w:t>
      </w:r>
      <w:r>
        <w:rPr>
          <w:rFonts w:asciiTheme="majorEastAsia" w:hAnsiTheme="majorEastAsia" w:eastAsiaTheme="majorEastAsia"/>
          <w:sz w:val="28"/>
          <w:szCs w:val="28"/>
        </w:rPr>
        <w:t>日</w:t>
      </w:r>
      <w:r>
        <w:rPr>
          <w:rFonts w:hint="eastAsia" w:asciiTheme="majorEastAsia" w:hAnsiTheme="majorEastAsia" w:eastAsiaTheme="majorEastAsia"/>
          <w:sz w:val="28"/>
          <w:szCs w:val="28"/>
        </w:rPr>
        <w:t xml:space="preserve"> </w:t>
      </w:r>
      <w:r>
        <w:rPr>
          <w:rFonts w:asciiTheme="majorEastAsia" w:hAnsiTheme="majorEastAsia" w:eastAsiaTheme="majorEastAsia"/>
          <w:sz w:val="28"/>
          <w:szCs w:val="28"/>
        </w:rPr>
        <w:t>期</w:t>
      </w:r>
      <w:r>
        <w:rPr>
          <w:rFonts w:hint="eastAsia" w:asciiTheme="majorEastAsia" w:hAnsiTheme="majorEastAsia" w:eastAsiaTheme="majorEastAsia"/>
          <w:sz w:val="28"/>
          <w:szCs w:val="28"/>
        </w:rPr>
        <w:t>：</w:t>
      </w:r>
      <w:r>
        <w:rPr>
          <w:rFonts w:asciiTheme="majorEastAsia" w:hAnsiTheme="majorEastAsia" w:eastAsiaTheme="majorEastAsia"/>
          <w:sz w:val="28"/>
          <w:szCs w:val="28"/>
        </w:rPr>
        <w:t>201</w:t>
      </w:r>
      <w:r>
        <w:rPr>
          <w:rFonts w:hint="eastAsia" w:asciiTheme="majorEastAsia" w:hAnsiTheme="majorEastAsia" w:eastAsiaTheme="majorEastAsia"/>
          <w:sz w:val="28"/>
          <w:szCs w:val="28"/>
        </w:rPr>
        <w:t>9</w:t>
      </w:r>
      <w:r>
        <w:rPr>
          <w:rFonts w:asciiTheme="majorEastAsia" w:hAnsiTheme="majorEastAsia" w:eastAsiaTheme="majorEastAsia"/>
          <w:sz w:val="28"/>
          <w:szCs w:val="28"/>
        </w:rPr>
        <w:t>年</w:t>
      </w:r>
      <w:r>
        <w:rPr>
          <w:rFonts w:hint="eastAsia" w:asciiTheme="majorEastAsia" w:hAnsiTheme="majorEastAsia" w:eastAsiaTheme="majorEastAsia"/>
          <w:sz w:val="28"/>
          <w:szCs w:val="28"/>
          <w:lang w:val="en-US" w:eastAsia="zh-CN"/>
        </w:rPr>
        <w:t>11</w:t>
      </w:r>
      <w:r>
        <w:rPr>
          <w:rFonts w:asciiTheme="majorEastAsia" w:hAnsiTheme="majorEastAsia" w:eastAsiaTheme="majorEastAsia"/>
          <w:sz w:val="28"/>
          <w:szCs w:val="28"/>
        </w:rPr>
        <w:t>月</w:t>
      </w:r>
    </w:p>
    <w:p>
      <w:pPr>
        <w:spacing w:line="360" w:lineRule="auto"/>
        <w:jc w:val="center"/>
        <w:outlineLvl w:val="0"/>
        <w:rPr>
          <w:rFonts w:ascii="黑体" w:hAnsi="黑体" w:eastAsia="黑体" w:cs="黑体"/>
          <w:color w:val="FF0000"/>
          <w:sz w:val="36"/>
          <w:szCs w:val="36"/>
        </w:rPr>
      </w:pPr>
      <w:r>
        <w:rPr>
          <w:rStyle w:val="45"/>
          <w:rFonts w:hint="eastAsia" w:ascii="黑体" w:hAnsi="黑体" w:eastAsia="黑体" w:cs="黑体"/>
          <w:sz w:val="36"/>
          <w:szCs w:val="36"/>
        </w:rPr>
        <w:t>前言</w:t>
      </w:r>
    </w:p>
    <w:p>
      <w:pPr>
        <w:spacing w:line="360" w:lineRule="auto"/>
        <w:ind w:firstLine="48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滕州市丰尔达金属制品有限责任公司年产 20000 吨机械配件项目已于 2012 年11 </w:t>
      </w:r>
      <w:r>
        <w:rPr>
          <w:rFonts w:hint="eastAsia" w:asciiTheme="minorEastAsia" w:hAnsiTheme="minorEastAsia" w:eastAsiaTheme="minorEastAsia" w:cstheme="minorEastAsia"/>
          <w:sz w:val="28"/>
          <w:szCs w:val="28"/>
          <w:lang w:val="en-US" w:eastAsia="zh-CN"/>
        </w:rPr>
        <w:t>月</w:t>
      </w:r>
      <w:r>
        <w:rPr>
          <w:rFonts w:hint="eastAsia" w:asciiTheme="minorEastAsia" w:hAnsiTheme="minorEastAsia" w:eastAsiaTheme="minorEastAsia" w:cstheme="minorEastAsia"/>
          <w:sz w:val="28"/>
          <w:szCs w:val="28"/>
        </w:rPr>
        <w:t>12 日取得了滕州市环境保护局审批意见(滕环报告表[2012]124 号)，主要进行机械配件的加工生产。由于公司在实际建设过程中项目产品及采用的生产工艺、污染防治措施等内容发生了重大变化，根据相关法律法规的要求需重新报批环评文件。故滕州市丰尔达金属制品有限责任公司投资 1500 万元建设金属磨料深加工项目</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其中</w:t>
      </w:r>
      <w:r>
        <w:rPr>
          <w:rFonts w:hint="eastAsia" w:asciiTheme="minorEastAsia" w:hAnsiTheme="minorEastAsia" w:eastAsiaTheme="minorEastAsia" w:cstheme="minorEastAsia"/>
          <w:sz w:val="28"/>
          <w:szCs w:val="28"/>
        </w:rPr>
        <w:t>环保投资300万元</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占项目总投资的20%</w:t>
      </w:r>
      <w:r>
        <w:rPr>
          <w:rFonts w:hint="eastAsia" w:asciiTheme="minorEastAsia" w:hAnsiTheme="minorEastAsia" w:eastAsiaTheme="minorEastAsia" w:cstheme="minorEastAsia"/>
          <w:sz w:val="28"/>
          <w:szCs w:val="28"/>
        </w:rPr>
        <w:t>。</w:t>
      </w:r>
    </w:p>
    <w:p>
      <w:pPr>
        <w:spacing w:line="360" w:lineRule="auto"/>
        <w:ind w:firstLine="560" w:firstLineChars="200"/>
        <w:rPr>
          <w:rFonts w:asciiTheme="minorEastAsia" w:hAnsiTheme="minorEastAsia" w:eastAsiaTheme="minorEastAsia" w:cstheme="minorEastAsia"/>
          <w:kern w:val="24"/>
          <w:sz w:val="28"/>
          <w:szCs w:val="28"/>
        </w:rPr>
      </w:pPr>
      <w:r>
        <w:rPr>
          <w:rFonts w:hint="eastAsia" w:asciiTheme="minorEastAsia" w:hAnsiTheme="minorEastAsia" w:eastAsiaTheme="minorEastAsia" w:cstheme="minorEastAsia"/>
          <w:sz w:val="28"/>
          <w:szCs w:val="28"/>
          <w:lang w:val="en-US" w:eastAsia="zh-CN"/>
        </w:rPr>
        <w:t>本</w:t>
      </w:r>
      <w:r>
        <w:rPr>
          <w:rFonts w:hint="eastAsia" w:asciiTheme="minorEastAsia" w:hAnsiTheme="minorEastAsia" w:eastAsiaTheme="minorEastAsia" w:cstheme="minorEastAsia"/>
          <w:sz w:val="28"/>
          <w:szCs w:val="28"/>
        </w:rPr>
        <w:t>项目2019年</w:t>
      </w:r>
      <w:r>
        <w:rPr>
          <w:rFonts w:hint="eastAsia" w:asciiTheme="minorEastAsia" w:hAnsiTheme="minorEastAsia" w:eastAsiaTheme="minorEastAsia" w:cstheme="minorEastAsia"/>
          <w:sz w:val="28"/>
          <w:szCs w:val="28"/>
          <w:lang w:val="en-US" w:eastAsia="zh-CN"/>
        </w:rPr>
        <w:t>1</w:t>
      </w:r>
      <w:r>
        <w:rPr>
          <w:rFonts w:hint="eastAsia" w:asciiTheme="minorEastAsia" w:hAnsiTheme="minorEastAsia" w:eastAsiaTheme="minorEastAsia" w:cstheme="minorEastAsia"/>
          <w:sz w:val="28"/>
          <w:szCs w:val="28"/>
        </w:rPr>
        <w:t>月委托青岛洁瑞环保技术有限公司编制《滕州市丰尔达金属制品有限责任公司金属磨料深加工项目环境影响报告表》。该项目环评报告于2019年</w:t>
      </w:r>
      <w:r>
        <w:rPr>
          <w:rFonts w:hint="eastAsia" w:asciiTheme="minorEastAsia" w:hAnsiTheme="minorEastAsia" w:eastAsiaTheme="minorEastAsia" w:cstheme="minorEastAsia"/>
          <w:sz w:val="28"/>
          <w:szCs w:val="28"/>
          <w:lang w:val="en-US" w:eastAsia="zh-CN"/>
        </w:rPr>
        <w:t>5</w:t>
      </w:r>
      <w:r>
        <w:rPr>
          <w:rFonts w:hint="eastAsia" w:asciiTheme="minorEastAsia" w:hAnsiTheme="minorEastAsia" w:eastAsiaTheme="minorEastAsia" w:cstheme="minorEastAsia"/>
          <w:sz w:val="28"/>
          <w:szCs w:val="28"/>
        </w:rPr>
        <w:t>月2</w:t>
      </w:r>
      <w:r>
        <w:rPr>
          <w:rFonts w:hint="eastAsia" w:asciiTheme="minorEastAsia" w:hAnsiTheme="minorEastAsia" w:eastAsiaTheme="minorEastAsia" w:cstheme="minorEastAsia"/>
          <w:sz w:val="28"/>
          <w:szCs w:val="28"/>
          <w:lang w:val="en-US" w:eastAsia="zh-CN"/>
        </w:rPr>
        <w:t>1</w:t>
      </w:r>
      <w:r>
        <w:rPr>
          <w:rFonts w:hint="eastAsia" w:asciiTheme="minorEastAsia" w:hAnsiTheme="minorEastAsia" w:eastAsiaTheme="minorEastAsia" w:cstheme="minorEastAsia"/>
          <w:sz w:val="28"/>
          <w:szCs w:val="28"/>
        </w:rPr>
        <w:t>日通过滕州市环境保护局审批，审批文号为滕环行审字〔2019〕B-123号。</w:t>
      </w:r>
    </w:p>
    <w:p>
      <w:pPr>
        <w:spacing w:line="36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根据国家有关法律法规的要求，该项目需要开展竣工环境保护验收工作，滕州市丰尔达金属制品有限责任公司委托山东环安检测科技有限公司制定了验收检测实施方案，山东环安检测科技有限公司于2019年</w:t>
      </w:r>
      <w:r>
        <w:rPr>
          <w:rFonts w:hint="eastAsia" w:asciiTheme="minorEastAsia" w:hAnsiTheme="minorEastAsia" w:eastAsiaTheme="minorEastAsia" w:cstheme="minorEastAsia"/>
          <w:sz w:val="28"/>
          <w:szCs w:val="28"/>
          <w:lang w:val="en-US" w:eastAsia="zh-CN"/>
        </w:rPr>
        <w:t>11</w:t>
      </w:r>
      <w:r>
        <w:rPr>
          <w:rFonts w:hint="eastAsia" w:asciiTheme="minorEastAsia" w:hAnsiTheme="minorEastAsia" w:eastAsiaTheme="minorEastAsia" w:cstheme="minorEastAsia"/>
          <w:sz w:val="28"/>
          <w:szCs w:val="28"/>
        </w:rPr>
        <w:t>月</w:t>
      </w:r>
      <w:r>
        <w:rPr>
          <w:rFonts w:hint="eastAsia" w:asciiTheme="minorEastAsia" w:hAnsiTheme="minorEastAsia" w:eastAsiaTheme="minorEastAsia" w:cstheme="minorEastAsia"/>
          <w:sz w:val="28"/>
          <w:szCs w:val="28"/>
          <w:lang w:val="en-US" w:eastAsia="zh-CN"/>
        </w:rPr>
        <w:t>14</w:t>
      </w:r>
      <w:r>
        <w:rPr>
          <w:rFonts w:hint="eastAsia" w:asciiTheme="minorEastAsia" w:hAnsiTheme="minorEastAsia" w:eastAsiaTheme="minorEastAsia" w:cstheme="minorEastAsia"/>
          <w:sz w:val="28"/>
          <w:szCs w:val="28"/>
        </w:rPr>
        <w:t>日至</w:t>
      </w:r>
      <w:r>
        <w:rPr>
          <w:rFonts w:hint="eastAsia" w:asciiTheme="minorEastAsia" w:hAnsiTheme="minorEastAsia" w:eastAsiaTheme="minorEastAsia" w:cstheme="minorEastAsia"/>
          <w:sz w:val="28"/>
          <w:szCs w:val="28"/>
          <w:highlight w:val="none"/>
          <w:lang w:val="en-US" w:eastAsia="zh-CN"/>
        </w:rPr>
        <w:t>11</w:t>
      </w:r>
      <w:r>
        <w:rPr>
          <w:rFonts w:hint="eastAsia" w:asciiTheme="minorEastAsia" w:hAnsiTheme="minorEastAsia" w:eastAsiaTheme="minorEastAsia" w:cstheme="minorEastAsia"/>
          <w:sz w:val="28"/>
          <w:szCs w:val="28"/>
          <w:highlight w:val="none"/>
        </w:rPr>
        <w:t>月</w:t>
      </w:r>
      <w:r>
        <w:rPr>
          <w:rFonts w:hint="eastAsia" w:asciiTheme="minorEastAsia" w:hAnsiTheme="minorEastAsia" w:eastAsiaTheme="minorEastAsia" w:cstheme="minorEastAsia"/>
          <w:sz w:val="28"/>
          <w:szCs w:val="28"/>
          <w:highlight w:val="none"/>
          <w:lang w:val="en-US" w:eastAsia="zh-CN"/>
        </w:rPr>
        <w:t>17</w:t>
      </w:r>
      <w:r>
        <w:rPr>
          <w:rFonts w:hint="eastAsia" w:asciiTheme="minorEastAsia" w:hAnsiTheme="minorEastAsia" w:eastAsiaTheme="minorEastAsia" w:cstheme="minorEastAsia"/>
          <w:sz w:val="28"/>
          <w:szCs w:val="28"/>
        </w:rPr>
        <w:t>日对本项目进行了现场采样与监测，</w:t>
      </w:r>
      <w:r>
        <w:rPr>
          <w:rFonts w:hint="eastAsia" w:asciiTheme="minorEastAsia" w:hAnsiTheme="minorEastAsia" w:eastAsiaTheme="minorEastAsia" w:cstheme="minorEastAsia"/>
          <w:sz w:val="28"/>
          <w:szCs w:val="28"/>
          <w:lang w:val="en-US" w:eastAsia="zh-CN"/>
        </w:rPr>
        <w:t>出具</w:t>
      </w:r>
      <w:r>
        <w:rPr>
          <w:rFonts w:hint="eastAsia" w:asciiTheme="minorEastAsia" w:hAnsiTheme="minorEastAsia" w:eastAsiaTheme="minorEastAsia" w:cstheme="minorEastAsia"/>
          <w:sz w:val="28"/>
          <w:szCs w:val="28"/>
        </w:rPr>
        <w:t>了检测报告。根据项目建设实际情况，在综合分析评价监测结果的基础上，滕州市丰尔达金属制品有限责任公司参照《建设项目竣工环境保护验收技术指南 污染影响类》要求，编制了本验收报告。</w:t>
      </w:r>
    </w:p>
    <w:p>
      <w:pPr>
        <w:pStyle w:val="25"/>
        <w:ind w:firstLine="482"/>
      </w:pPr>
    </w:p>
    <w:p>
      <w:pPr>
        <w:pStyle w:val="25"/>
        <w:ind w:firstLine="482"/>
      </w:pPr>
    </w:p>
    <w:p>
      <w:pPr>
        <w:pStyle w:val="25"/>
        <w:ind w:firstLine="482"/>
      </w:pPr>
    </w:p>
    <w:p>
      <w:pPr>
        <w:pStyle w:val="25"/>
        <w:ind w:firstLine="482"/>
      </w:pPr>
    </w:p>
    <w:p>
      <w:pPr>
        <w:pStyle w:val="25"/>
        <w:ind w:firstLine="482"/>
      </w:pPr>
    </w:p>
    <w:p>
      <w:pPr>
        <w:pStyle w:val="25"/>
        <w:ind w:firstLine="482"/>
      </w:pPr>
    </w:p>
    <w:p>
      <w:pPr>
        <w:pStyle w:val="25"/>
        <w:ind w:firstLine="482"/>
      </w:pPr>
    </w:p>
    <w:p>
      <w:pPr>
        <w:pStyle w:val="25"/>
        <w:ind w:firstLine="482"/>
      </w:pPr>
    </w:p>
    <w:p>
      <w:pPr>
        <w:pStyle w:val="25"/>
        <w:ind w:firstLine="482"/>
      </w:pPr>
    </w:p>
    <w:p>
      <w:pPr>
        <w:pStyle w:val="25"/>
        <w:ind w:firstLine="482"/>
      </w:pPr>
    </w:p>
    <w:p>
      <w:pPr>
        <w:pStyle w:val="25"/>
        <w:ind w:firstLine="482"/>
      </w:pPr>
    </w:p>
    <w:p>
      <w:pPr>
        <w:pStyle w:val="7"/>
        <w:numPr>
          <w:ilvl w:val="0"/>
          <w:numId w:val="2"/>
        </w:numPr>
        <w:spacing w:line="240" w:lineRule="auto"/>
        <w:rPr>
          <w:sz w:val="30"/>
          <w:szCs w:val="30"/>
        </w:rPr>
      </w:pPr>
      <w:r>
        <w:rPr>
          <w:rFonts w:hint="eastAsia"/>
          <w:sz w:val="30"/>
          <w:szCs w:val="30"/>
        </w:rPr>
        <w:t>验收监测依据</w:t>
      </w:r>
    </w:p>
    <w:p>
      <w:pPr>
        <w:pStyle w:val="115"/>
        <w:numPr>
          <w:ilvl w:val="0"/>
          <w:numId w:val="3"/>
        </w:numPr>
        <w:adjustRightInd w:val="0"/>
        <w:snapToGrid w:val="0"/>
        <w:spacing w:line="360" w:lineRule="auto"/>
        <w:ind w:firstLine="0" w:firstLineChars="0"/>
        <w:rPr>
          <w:rFonts w:ascii="Times New Roman" w:hAnsi="Times New Roman" w:cs="Times New Roman"/>
          <w:sz w:val="24"/>
          <w:szCs w:val="24"/>
        </w:rPr>
      </w:pPr>
      <w:r>
        <w:rPr>
          <w:rFonts w:hint="eastAsia" w:ascii="Times New Roman" w:hAnsi="Times New Roman" w:cs="Times New Roman"/>
          <w:sz w:val="24"/>
          <w:szCs w:val="24"/>
        </w:rPr>
        <w:t>《中华人民共和国环境保护法》（2015年1月1日起施行）；</w:t>
      </w:r>
    </w:p>
    <w:p>
      <w:pPr>
        <w:pStyle w:val="115"/>
        <w:numPr>
          <w:ilvl w:val="0"/>
          <w:numId w:val="3"/>
        </w:numPr>
        <w:adjustRightInd w:val="0"/>
        <w:snapToGrid w:val="0"/>
        <w:spacing w:line="360" w:lineRule="auto"/>
        <w:ind w:firstLine="0" w:firstLineChars="0"/>
        <w:rPr>
          <w:rFonts w:ascii="Times New Roman" w:hAnsi="Times New Roman" w:cs="Times New Roman"/>
          <w:sz w:val="24"/>
          <w:szCs w:val="24"/>
        </w:rPr>
      </w:pPr>
      <w:r>
        <w:rPr>
          <w:rFonts w:hint="eastAsia" w:ascii="Times New Roman" w:hAnsi="Times New Roman" w:cs="Times New Roman"/>
          <w:sz w:val="24"/>
          <w:szCs w:val="24"/>
        </w:rPr>
        <w:t>《中华人民共和国大气污染防治法》（2018年10月26日起施行）；</w:t>
      </w:r>
    </w:p>
    <w:p>
      <w:pPr>
        <w:pStyle w:val="115"/>
        <w:numPr>
          <w:ilvl w:val="0"/>
          <w:numId w:val="3"/>
        </w:numPr>
        <w:adjustRightInd w:val="0"/>
        <w:snapToGrid w:val="0"/>
        <w:spacing w:line="360" w:lineRule="auto"/>
        <w:ind w:firstLine="0" w:firstLineChars="0"/>
        <w:rPr>
          <w:rFonts w:ascii="Times New Roman" w:hAnsi="Times New Roman" w:cs="Times New Roman"/>
          <w:sz w:val="24"/>
          <w:szCs w:val="24"/>
        </w:rPr>
      </w:pPr>
      <w:r>
        <w:rPr>
          <w:rFonts w:hint="eastAsia" w:ascii="Times New Roman" w:hAnsi="Times New Roman" w:cs="Times New Roman"/>
          <w:sz w:val="24"/>
          <w:szCs w:val="24"/>
        </w:rPr>
        <w:t>《中华人民共和国水污染防治法》（2018年1月1日起施行）；</w:t>
      </w:r>
    </w:p>
    <w:p>
      <w:pPr>
        <w:pStyle w:val="115"/>
        <w:numPr>
          <w:ilvl w:val="0"/>
          <w:numId w:val="3"/>
        </w:numPr>
        <w:adjustRightInd w:val="0"/>
        <w:snapToGrid w:val="0"/>
        <w:spacing w:line="360" w:lineRule="auto"/>
        <w:ind w:firstLine="0" w:firstLineChars="0"/>
        <w:rPr>
          <w:rFonts w:ascii="Times New Roman" w:hAnsi="Times New Roman" w:cs="Times New Roman"/>
          <w:sz w:val="24"/>
          <w:szCs w:val="24"/>
        </w:rPr>
      </w:pPr>
      <w:r>
        <w:rPr>
          <w:rFonts w:hint="eastAsia" w:ascii="Times New Roman" w:hAnsi="Times New Roman" w:cs="Times New Roman"/>
          <w:sz w:val="24"/>
          <w:szCs w:val="24"/>
        </w:rPr>
        <w:t>《中华人民共和国环境噪声污染防治法》（2018年12月29日起施行）；</w:t>
      </w:r>
    </w:p>
    <w:p>
      <w:pPr>
        <w:pStyle w:val="115"/>
        <w:numPr>
          <w:ilvl w:val="0"/>
          <w:numId w:val="3"/>
        </w:numPr>
        <w:adjustRightInd w:val="0"/>
        <w:snapToGrid w:val="0"/>
        <w:spacing w:line="360" w:lineRule="auto"/>
        <w:ind w:firstLine="0" w:firstLineChars="0"/>
        <w:rPr>
          <w:rFonts w:ascii="Times New Roman" w:hAnsi="Times New Roman" w:cs="Times New Roman"/>
          <w:sz w:val="24"/>
          <w:szCs w:val="24"/>
        </w:rPr>
      </w:pPr>
      <w:r>
        <w:rPr>
          <w:rFonts w:hint="eastAsia" w:ascii="Times New Roman" w:hAnsi="Times New Roman" w:cs="Times New Roman"/>
          <w:sz w:val="24"/>
          <w:szCs w:val="24"/>
        </w:rPr>
        <w:t>《中华人民共和国固体废物污染环境防治法》（2016年11月7日起施行）；</w:t>
      </w:r>
    </w:p>
    <w:p>
      <w:pPr>
        <w:pStyle w:val="115"/>
        <w:numPr>
          <w:ilvl w:val="0"/>
          <w:numId w:val="3"/>
        </w:numPr>
        <w:adjustRightInd w:val="0"/>
        <w:snapToGrid w:val="0"/>
        <w:spacing w:line="360" w:lineRule="auto"/>
        <w:ind w:firstLine="0" w:firstLineChars="0"/>
        <w:rPr>
          <w:rFonts w:ascii="Times New Roman" w:hAnsi="Times New Roman" w:cs="Times New Roman"/>
          <w:sz w:val="24"/>
          <w:szCs w:val="24"/>
        </w:rPr>
      </w:pPr>
      <w:r>
        <w:rPr>
          <w:rFonts w:hint="eastAsia" w:ascii="Times New Roman" w:hAnsi="Times New Roman" w:cs="Times New Roman"/>
          <w:sz w:val="24"/>
          <w:szCs w:val="24"/>
        </w:rPr>
        <w:t>《中华人民共和国清洁生产促进法》（2012年7月1日起施行）；</w:t>
      </w:r>
    </w:p>
    <w:p>
      <w:pPr>
        <w:pStyle w:val="115"/>
        <w:numPr>
          <w:ilvl w:val="0"/>
          <w:numId w:val="3"/>
        </w:numPr>
        <w:adjustRightInd w:val="0"/>
        <w:snapToGrid w:val="0"/>
        <w:spacing w:line="360" w:lineRule="auto"/>
        <w:ind w:firstLine="0" w:firstLineChars="0"/>
        <w:rPr>
          <w:rFonts w:ascii="Times New Roman" w:hAnsi="Times New Roman" w:cs="Times New Roman"/>
          <w:color w:val="000000" w:themeColor="text1"/>
          <w:sz w:val="24"/>
          <w:szCs w:val="24"/>
          <w14:textFill>
            <w14:solidFill>
              <w14:schemeClr w14:val="tx1"/>
            </w14:solidFill>
          </w14:textFill>
        </w:rPr>
      </w:pPr>
      <w:r>
        <w:rPr>
          <w:rFonts w:hint="eastAsia" w:ascii="Times New Roman" w:hAnsi="Times New Roman" w:cs="Times New Roman"/>
          <w:color w:val="000000" w:themeColor="text1"/>
          <w:sz w:val="24"/>
          <w:szCs w:val="24"/>
          <w14:textFill>
            <w14:solidFill>
              <w14:schemeClr w14:val="tx1"/>
            </w14:solidFill>
          </w14:textFill>
        </w:rPr>
        <w:t>国务院令（2017）第682号《建设项目环境保护管理条例》（2017年10月1日起施行）；</w:t>
      </w:r>
    </w:p>
    <w:p>
      <w:pPr>
        <w:pStyle w:val="115"/>
        <w:numPr>
          <w:ilvl w:val="0"/>
          <w:numId w:val="3"/>
        </w:numPr>
        <w:adjustRightInd w:val="0"/>
        <w:snapToGrid w:val="0"/>
        <w:spacing w:line="360" w:lineRule="auto"/>
        <w:ind w:firstLine="0" w:firstLineChars="0"/>
        <w:rPr>
          <w:rFonts w:ascii="Times New Roman" w:hAnsi="Times New Roman" w:cs="Times New Roman"/>
          <w:color w:val="000000" w:themeColor="text1"/>
          <w:sz w:val="24"/>
          <w:szCs w:val="24"/>
          <w14:textFill>
            <w14:solidFill>
              <w14:schemeClr w14:val="tx1"/>
            </w14:solidFill>
          </w14:textFill>
        </w:rPr>
      </w:pPr>
      <w:r>
        <w:rPr>
          <w:rFonts w:hint="eastAsia" w:ascii="Times New Roman" w:hAnsi="Times New Roman" w:cs="Times New Roman"/>
          <w:color w:val="000000" w:themeColor="text1"/>
          <w:sz w:val="24"/>
          <w:szCs w:val="24"/>
          <w14:textFill>
            <w14:solidFill>
              <w14:schemeClr w14:val="tx1"/>
            </w14:solidFill>
          </w14:textFill>
        </w:rPr>
        <w:t>国环规环评[2017]4号《建设项目竣工环境保护验收暂行办法》（2017年11月20日起施行）；</w:t>
      </w:r>
    </w:p>
    <w:p>
      <w:pPr>
        <w:pStyle w:val="115"/>
        <w:numPr>
          <w:ilvl w:val="0"/>
          <w:numId w:val="3"/>
        </w:numPr>
        <w:adjustRightInd w:val="0"/>
        <w:snapToGrid w:val="0"/>
        <w:spacing w:line="360" w:lineRule="auto"/>
        <w:ind w:firstLine="0" w:firstLineChars="0"/>
        <w:rPr>
          <w:rFonts w:ascii="Times New Roman" w:hAnsi="Times New Roman" w:cs="Times New Roman"/>
          <w:color w:val="000000" w:themeColor="text1"/>
          <w:sz w:val="24"/>
          <w:szCs w:val="24"/>
          <w14:textFill>
            <w14:solidFill>
              <w14:schemeClr w14:val="tx1"/>
            </w14:solidFill>
          </w14:textFill>
        </w:rPr>
      </w:pPr>
      <w:r>
        <w:rPr>
          <w:rFonts w:hint="eastAsia" w:ascii="Times New Roman" w:hAnsi="Times New Roman" w:cs="Times New Roman"/>
          <w:color w:val="000000" w:themeColor="text1"/>
          <w:sz w:val="24"/>
          <w:szCs w:val="24"/>
          <w14:textFill>
            <w14:solidFill>
              <w14:schemeClr w14:val="tx1"/>
            </w14:solidFill>
          </w14:textFill>
        </w:rPr>
        <w:t>环发[2012]77号《关于进一步加强环境影响评价管理防范环境风险的通知》（2012年7月3日起施行）；</w:t>
      </w:r>
    </w:p>
    <w:p>
      <w:pPr>
        <w:pStyle w:val="115"/>
        <w:numPr>
          <w:ilvl w:val="0"/>
          <w:numId w:val="3"/>
        </w:numPr>
        <w:adjustRightInd w:val="0"/>
        <w:snapToGrid w:val="0"/>
        <w:spacing w:line="360" w:lineRule="auto"/>
        <w:ind w:firstLine="0" w:firstLineChars="0"/>
        <w:rPr>
          <w:rFonts w:ascii="Times New Roman" w:hAnsi="Times New Roman" w:cs="Times New Roman"/>
          <w:color w:val="000000" w:themeColor="text1"/>
          <w:sz w:val="24"/>
          <w:szCs w:val="24"/>
          <w14:textFill>
            <w14:solidFill>
              <w14:schemeClr w14:val="tx1"/>
            </w14:solidFill>
          </w14:textFill>
        </w:rPr>
      </w:pPr>
      <w:r>
        <w:rPr>
          <w:rFonts w:hint="eastAsia" w:ascii="Times New Roman" w:hAnsi="Times New Roman" w:cs="Times New Roman"/>
          <w:color w:val="000000" w:themeColor="text1"/>
          <w:sz w:val="24"/>
          <w:szCs w:val="24"/>
          <w14:textFill>
            <w14:solidFill>
              <w14:schemeClr w14:val="tx1"/>
            </w14:solidFill>
          </w14:textFill>
        </w:rPr>
        <w:t>环办[2015]113号《关于印发建设项目竣工环境保护验收现场检查及审查要点的通知》；（2015年12月30日起施行）</w:t>
      </w:r>
    </w:p>
    <w:p>
      <w:r>
        <w:rPr>
          <w:rFonts w:hint="eastAsia"/>
          <w:sz w:val="24"/>
        </w:rPr>
        <w:t>11.鲁环发[2013]4号《山东省环境保护厅关于进一步加强环境安全应急管理工作的通知》；</w:t>
      </w:r>
    </w:p>
    <w:p/>
    <w:p>
      <w:pPr>
        <w:pStyle w:val="100"/>
        <w:spacing w:line="360" w:lineRule="auto"/>
        <w:ind w:firstLine="0" w:firstLineChars="0"/>
        <w:rPr>
          <w:rFonts w:ascii="Times New Roman" w:hAnsi="Times New Roman" w:cs="Times New Roman"/>
          <w:color w:val="FF0000"/>
          <w:sz w:val="24"/>
          <w:szCs w:val="24"/>
        </w:rPr>
      </w:pPr>
      <w:r>
        <w:rPr>
          <w:rFonts w:hint="eastAsia" w:ascii="Times New Roman" w:hAnsi="Times New Roman" w:cs="Times New Roman"/>
          <w:sz w:val="24"/>
          <w:szCs w:val="24"/>
        </w:rPr>
        <w:t>12.鲁环评函[2013]138号《山东省环境保护厅关于加强建设项目特征污染物监管和绿色生态屏障建设的通知》；</w:t>
      </w:r>
    </w:p>
    <w:p>
      <w:pPr>
        <w:pStyle w:val="100"/>
        <w:spacing w:line="360" w:lineRule="auto"/>
        <w:ind w:firstLine="0" w:firstLineChars="0"/>
        <w:rPr>
          <w:rFonts w:ascii="Times New Roman" w:hAnsi="Times New Roman" w:cs="Times New Roman"/>
          <w:color w:val="000000" w:themeColor="text1"/>
          <w:sz w:val="24"/>
          <w:szCs w:val="24"/>
          <w14:textFill>
            <w14:solidFill>
              <w14:schemeClr w14:val="tx1"/>
            </w14:solidFill>
          </w14:textFill>
        </w:rPr>
      </w:pPr>
      <w:r>
        <w:rPr>
          <w:rFonts w:hint="eastAsia" w:ascii="Times New Roman" w:hAnsi="Times New Roman" w:cs="Times New Roman"/>
          <w:color w:val="000000" w:themeColor="text1"/>
          <w:sz w:val="24"/>
          <w:szCs w:val="24"/>
          <w14:textFill>
            <w14:solidFill>
              <w14:schemeClr w14:val="tx1"/>
            </w14:solidFill>
          </w14:textFill>
        </w:rPr>
        <w:t>13.《建设项目竣工环境保护验收技术指南 污染影响类》；（2018年5月16日起施行）</w:t>
      </w:r>
    </w:p>
    <w:p>
      <w:pPr>
        <w:pStyle w:val="100"/>
        <w:spacing w:line="360" w:lineRule="auto"/>
        <w:ind w:firstLine="0" w:firstLineChars="0"/>
        <w:rPr>
          <w:rFonts w:ascii="Times New Roman" w:hAnsi="Times New Roman" w:cs="Times New Roman"/>
          <w:color w:val="FF0000"/>
          <w:sz w:val="24"/>
          <w:szCs w:val="24"/>
        </w:rPr>
      </w:pPr>
      <w:r>
        <w:rPr>
          <w:rFonts w:hint="eastAsia" w:ascii="Times New Roman" w:hAnsi="Times New Roman" w:cs="Times New Roman"/>
          <w:color w:val="000000" w:themeColor="text1"/>
          <w:sz w:val="24"/>
          <w:szCs w:val="24"/>
          <w14:textFill>
            <w14:solidFill>
              <w14:schemeClr w14:val="tx1"/>
            </w14:solidFill>
          </w14:textFill>
        </w:rPr>
        <w:t>14.环办[2015]52号《关于印发环评管理中部分行业建设项目重大变动清单的通知》（2015年6月4日起施行）；</w:t>
      </w:r>
    </w:p>
    <w:p>
      <w:pPr>
        <w:pStyle w:val="100"/>
        <w:spacing w:line="360" w:lineRule="auto"/>
        <w:ind w:firstLine="0" w:firstLineChars="0"/>
        <w:rPr>
          <w:rFonts w:hint="eastAsia" w:ascii="Times New Roman" w:hAnsi="Times New Roman" w:cs="Times New Roman"/>
          <w:color w:val="000000"/>
          <w:sz w:val="24"/>
          <w:szCs w:val="24"/>
        </w:rPr>
      </w:pPr>
      <w:r>
        <w:rPr>
          <w:rFonts w:hint="eastAsia" w:ascii="Times New Roman" w:hAnsi="Times New Roman" w:cs="Times New Roman"/>
          <w:color w:val="000000"/>
          <w:sz w:val="24"/>
          <w:szCs w:val="24"/>
        </w:rPr>
        <w:t>15.《滕州市丰尔达金属制品有限责任公司金属磨料深加工项目环境影响报告表》；</w:t>
      </w:r>
    </w:p>
    <w:p>
      <w:pPr>
        <w:pStyle w:val="100"/>
        <w:spacing w:line="360" w:lineRule="auto"/>
        <w:ind w:firstLine="0" w:firstLineChars="0"/>
        <w:rPr>
          <w:rFonts w:ascii="Times New Roman" w:hAnsi="Times New Roman" w:cs="Times New Roman"/>
          <w:color w:val="000000"/>
          <w:sz w:val="24"/>
          <w:szCs w:val="24"/>
        </w:rPr>
      </w:pPr>
      <w:r>
        <w:rPr>
          <w:rFonts w:hint="eastAsia" w:ascii="Times New Roman" w:hAnsi="Times New Roman" w:cs="Times New Roman"/>
          <w:color w:val="000000"/>
          <w:sz w:val="24"/>
          <w:szCs w:val="24"/>
        </w:rPr>
        <w:t>16.滕环行审字〔2019〕B-123号《滕州市丰尔达金属制品有限责任公司金属磨料深加工项目环境影响报告表的批复》（2019.</w:t>
      </w:r>
      <w:r>
        <w:rPr>
          <w:rFonts w:hint="eastAsia" w:ascii="Times New Roman" w:hAnsi="Times New Roman" w:cs="Times New Roman"/>
          <w:color w:val="000000"/>
          <w:sz w:val="24"/>
          <w:szCs w:val="24"/>
          <w:lang w:val="en-US" w:eastAsia="zh-CN"/>
        </w:rPr>
        <w:t>5</w:t>
      </w:r>
      <w:r>
        <w:rPr>
          <w:rFonts w:hint="eastAsia" w:ascii="Times New Roman" w:hAnsi="Times New Roman" w:cs="Times New Roman"/>
          <w:color w:val="000000"/>
          <w:sz w:val="24"/>
          <w:szCs w:val="24"/>
        </w:rPr>
        <w:t>.2</w:t>
      </w:r>
      <w:r>
        <w:rPr>
          <w:rFonts w:hint="eastAsia" w:ascii="Times New Roman" w:hAnsi="Times New Roman" w:cs="Times New Roman"/>
          <w:color w:val="000000"/>
          <w:sz w:val="24"/>
          <w:szCs w:val="24"/>
          <w:lang w:val="en-US" w:eastAsia="zh-CN"/>
        </w:rPr>
        <w:t>1</w:t>
      </w:r>
      <w:r>
        <w:rPr>
          <w:rFonts w:hint="eastAsia" w:ascii="Times New Roman" w:hAnsi="Times New Roman" w:cs="Times New Roman"/>
          <w:color w:val="000000"/>
          <w:sz w:val="24"/>
          <w:szCs w:val="24"/>
        </w:rPr>
        <w:t>）；</w:t>
      </w:r>
    </w:p>
    <w:p>
      <w:pPr>
        <w:keepNext w:val="0"/>
        <w:keepLines w:val="0"/>
        <w:pageBreakBefore w:val="0"/>
        <w:widowControl w:val="0"/>
        <w:kinsoku/>
        <w:wordWrap/>
        <w:overflowPunct/>
        <w:topLinePunct w:val="0"/>
        <w:autoSpaceDE/>
        <w:autoSpaceDN/>
        <w:bidi w:val="0"/>
        <w:adjustRightInd/>
        <w:snapToGrid/>
        <w:spacing w:line="360" w:lineRule="auto"/>
        <w:textAlignment w:val="auto"/>
        <w:rPr>
          <w:color w:val="FF0000"/>
          <w:sz w:val="30"/>
          <w:szCs w:val="30"/>
        </w:rPr>
      </w:pPr>
      <w:r>
        <w:rPr>
          <w:rFonts w:hint="eastAsia"/>
          <w:color w:val="000000" w:themeColor="text1"/>
          <w:sz w:val="24"/>
          <w14:textFill>
            <w14:solidFill>
              <w14:schemeClr w14:val="tx1"/>
            </w14:solidFill>
          </w14:textFill>
        </w:rPr>
        <w:t>17.企业提供的其他资料。</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sz w:val="30"/>
          <w:szCs w:val="30"/>
        </w:rPr>
      </w:pPr>
      <w:r>
        <w:rPr>
          <w:rFonts w:hint="eastAsia"/>
          <w:b/>
          <w:bCs/>
          <w:sz w:val="30"/>
          <w:szCs w:val="30"/>
        </w:rPr>
        <w:t>二、验收监测评价标准、标号、级别、限值</w:t>
      </w:r>
    </w:p>
    <w:p>
      <w:pPr>
        <w:pStyle w:val="100"/>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eastAsia="方正宋三简体"/>
          <w:b/>
          <w:bCs/>
          <w:kern w:val="10"/>
          <w:sz w:val="24"/>
        </w:rPr>
      </w:pPr>
      <w:r>
        <w:rPr>
          <w:rFonts w:hint="eastAsia" w:eastAsia="方正宋三简体"/>
          <w:b/>
          <w:bCs/>
          <w:kern w:val="10"/>
          <w:sz w:val="24"/>
          <w:lang w:val="en-US" w:eastAsia="zh-CN"/>
        </w:rPr>
        <w:t>1、</w:t>
      </w:r>
      <w:r>
        <w:rPr>
          <w:rFonts w:hint="eastAsia" w:eastAsia="方正宋三简体"/>
          <w:b/>
          <w:bCs/>
          <w:kern w:val="10"/>
          <w:sz w:val="24"/>
        </w:rPr>
        <w:t>污染物排放标准</w:t>
      </w:r>
    </w:p>
    <w:p>
      <w:pPr>
        <w:keepNext w:val="0"/>
        <w:keepLines w:val="0"/>
        <w:pageBreakBefore w:val="0"/>
        <w:widowControl w:val="0"/>
        <w:kinsoku/>
        <w:wordWrap/>
        <w:overflowPunct/>
        <w:topLinePunct w:val="0"/>
        <w:autoSpaceDE/>
        <w:autoSpaceDN/>
        <w:bidi w:val="0"/>
        <w:spacing w:line="360" w:lineRule="auto"/>
        <w:ind w:firstLine="480" w:firstLineChars="200"/>
        <w:rPr>
          <w:rFonts w:hint="eastAsia"/>
          <w:sz w:val="24"/>
          <w:szCs w:val="24"/>
          <w:lang w:val="en-US" w:eastAsia="zh-CN"/>
        </w:rPr>
      </w:pPr>
      <w:r>
        <w:rPr>
          <w:sz w:val="24"/>
          <w:szCs w:val="24"/>
        </w:rPr>
        <w:t>（</w:t>
      </w:r>
      <w:r>
        <w:rPr>
          <w:rFonts w:hint="eastAsia"/>
          <w:sz w:val="24"/>
          <w:szCs w:val="24"/>
          <w:lang w:val="en-US" w:eastAsia="zh-CN"/>
        </w:rPr>
        <w:t>1）项目有组织废气排放执行《区域性大气污染物综合排放标准》（DB37/2376-2019）中标准要求；排放速率执行《大气污染物综合排放标准》（GB16297-1996）表2中标准要求；厂界无组织废气排放执行《大气污染物综合排放标准》（GB16297-1996）表2中无组织排放监控浓度限值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baseline"/>
        <w:rPr>
          <w:rFonts w:eastAsia="方正宋三简体"/>
          <w:kern w:val="10"/>
          <w:sz w:val="24"/>
        </w:rPr>
      </w:pPr>
      <w:r>
        <w:rPr>
          <w:rFonts w:eastAsia="方正宋三简体"/>
          <w:kern w:val="10"/>
          <w:sz w:val="24"/>
        </w:rPr>
        <w:t>（</w:t>
      </w:r>
      <w:r>
        <w:rPr>
          <w:rFonts w:hint="eastAsia" w:eastAsia="方正宋三简体"/>
          <w:kern w:val="10"/>
          <w:sz w:val="24"/>
          <w:lang w:val="en-US" w:eastAsia="zh-CN"/>
        </w:rPr>
        <w:t>2</w:t>
      </w:r>
      <w:r>
        <w:rPr>
          <w:rFonts w:eastAsia="方正宋三简体"/>
          <w:kern w:val="10"/>
          <w:sz w:val="24"/>
        </w:rPr>
        <w:t>）</w:t>
      </w:r>
      <w:r>
        <w:rPr>
          <w:rFonts w:hint="eastAsia"/>
          <w:sz w:val="24"/>
          <w:szCs w:val="24"/>
        </w:rPr>
        <w:t>污水接管执行《污水排入城镇下水道水质标准》(GB/T31962-2015)A等级标准要求。</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baseline"/>
        <w:rPr>
          <w:rFonts w:hint="eastAsia" w:eastAsia="宋体"/>
          <w:sz w:val="24"/>
          <w:szCs w:val="24"/>
          <w:lang w:eastAsia="zh-CN"/>
        </w:rPr>
      </w:pPr>
      <w:r>
        <w:rPr>
          <w:rFonts w:eastAsia="方正宋三简体"/>
          <w:kern w:val="10"/>
          <w:sz w:val="24"/>
        </w:rPr>
        <w:t>（</w:t>
      </w:r>
      <w:r>
        <w:rPr>
          <w:rFonts w:hint="eastAsia" w:eastAsia="方正宋三简体"/>
          <w:kern w:val="10"/>
          <w:sz w:val="24"/>
          <w:lang w:val="en-US" w:eastAsia="zh-CN"/>
        </w:rPr>
        <w:t>3</w:t>
      </w:r>
      <w:r>
        <w:rPr>
          <w:rFonts w:eastAsia="方正宋三简体"/>
          <w:kern w:val="10"/>
          <w:sz w:val="24"/>
        </w:rPr>
        <w:t>）</w:t>
      </w:r>
      <w:r>
        <w:rPr>
          <w:sz w:val="24"/>
          <w:szCs w:val="24"/>
        </w:rPr>
        <w:t>厂界</w:t>
      </w:r>
      <w:r>
        <w:rPr>
          <w:rFonts w:hint="eastAsia"/>
          <w:sz w:val="24"/>
          <w:szCs w:val="24"/>
        </w:rPr>
        <w:t>噪声执行《工业企业厂界环境噪声排放标准》（GB12348-2008）中的 2 类标准</w:t>
      </w:r>
      <w:r>
        <w:rPr>
          <w:rFonts w:hint="eastAsia"/>
          <w:sz w:val="24"/>
          <w:szCs w:val="24"/>
          <w:lang w:eastAsia="zh-CN"/>
        </w:rPr>
        <w:t>。</w:t>
      </w:r>
    </w:p>
    <w:p>
      <w:pPr>
        <w:pStyle w:val="100"/>
        <w:keepNext w:val="0"/>
        <w:keepLines w:val="0"/>
        <w:pageBreakBefore w:val="0"/>
        <w:widowControl w:val="0"/>
        <w:kinsoku/>
        <w:wordWrap/>
        <w:overflowPunct/>
        <w:topLinePunct w:val="0"/>
        <w:autoSpaceDE/>
        <w:autoSpaceDN/>
        <w:bidi w:val="0"/>
        <w:spacing w:line="360" w:lineRule="auto"/>
        <w:ind w:firstLine="504" w:firstLineChars="200"/>
        <w:rPr>
          <w:rFonts w:eastAsia="方正宋三简体"/>
          <w:kern w:val="10"/>
          <w:sz w:val="24"/>
        </w:rPr>
      </w:pPr>
      <w:r>
        <w:rPr>
          <w:rFonts w:hint="eastAsia"/>
          <w:spacing w:val="6"/>
          <w:sz w:val="24"/>
          <w:szCs w:val="24"/>
          <w:lang w:eastAsia="zh-CN"/>
        </w:rPr>
        <w:t>（</w:t>
      </w:r>
      <w:r>
        <w:rPr>
          <w:rFonts w:hint="eastAsia"/>
          <w:spacing w:val="6"/>
          <w:sz w:val="24"/>
          <w:szCs w:val="24"/>
          <w:lang w:val="en-US" w:eastAsia="zh-CN"/>
        </w:rPr>
        <w:t>4</w:t>
      </w:r>
      <w:r>
        <w:rPr>
          <w:rFonts w:hint="eastAsia"/>
          <w:spacing w:val="6"/>
          <w:sz w:val="24"/>
          <w:szCs w:val="24"/>
          <w:lang w:eastAsia="zh-CN"/>
        </w:rPr>
        <w:t>）</w:t>
      </w:r>
      <w:r>
        <w:rPr>
          <w:rFonts w:hint="eastAsia" w:ascii="Times New Roman" w:hAnsi="Times New Roman" w:eastAsia="宋体" w:cs="Times New Roman"/>
          <w:kern w:val="2"/>
          <w:sz w:val="24"/>
          <w:szCs w:val="24"/>
          <w:lang w:val="en-US" w:eastAsia="zh-CN" w:bidi="ar-SA"/>
        </w:rPr>
        <w:t>一般固废执行《一般工业固体废物贮存、处置场控制标准》（GB18599-2001）及修改单；危险固废执行《危险废物贮存污染控制标准》（GB18597-2001）及修改单</w:t>
      </w:r>
      <w:r>
        <w:rPr>
          <w:sz w:val="24"/>
        </w:rPr>
        <w:t>。</w:t>
      </w:r>
    </w:p>
    <w:p>
      <w:pPr>
        <w:pStyle w:val="105"/>
        <w:spacing w:line="240" w:lineRule="auto"/>
        <w:ind w:firstLine="0" w:firstLineChars="0"/>
        <w:jc w:val="center"/>
        <w:rPr>
          <w:b/>
          <w:sz w:val="21"/>
          <w:szCs w:val="21"/>
        </w:rPr>
      </w:pPr>
      <w:r>
        <w:rPr>
          <w:b/>
          <w:sz w:val="21"/>
          <w:szCs w:val="21"/>
        </w:rPr>
        <w:t>表</w:t>
      </w:r>
      <w:r>
        <w:rPr>
          <w:rFonts w:hint="eastAsia"/>
          <w:b/>
          <w:sz w:val="21"/>
          <w:szCs w:val="21"/>
        </w:rPr>
        <w:t>2-1</w:t>
      </w:r>
      <w:r>
        <w:rPr>
          <w:b/>
          <w:sz w:val="21"/>
          <w:szCs w:val="21"/>
        </w:rPr>
        <w:t xml:space="preserve">  验收执行标准及限值</w:t>
      </w:r>
    </w:p>
    <w:tbl>
      <w:tblPr>
        <w:tblStyle w:val="39"/>
        <w:tblW w:w="9168" w:type="dxa"/>
        <w:jc w:val="center"/>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08"/>
        <w:gridCol w:w="3583"/>
        <w:gridCol w:w="1440"/>
        <w:gridCol w:w="1451"/>
        <w:gridCol w:w="851"/>
        <w:gridCol w:w="1135"/>
      </w:tblGrid>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08" w:type="dxa"/>
            <w:vAlign w:val="center"/>
          </w:tcPr>
          <w:p>
            <w:pPr>
              <w:pStyle w:val="106"/>
              <w:adjustRightInd w:val="0"/>
              <w:ind w:left="-63" w:leftChars="-30" w:right="-63" w:rightChars="-30"/>
              <w:rPr>
                <w:b/>
              </w:rPr>
            </w:pPr>
            <w:r>
              <w:rPr>
                <w:b/>
              </w:rPr>
              <w:t>类别</w:t>
            </w:r>
          </w:p>
        </w:tc>
        <w:tc>
          <w:tcPr>
            <w:tcW w:w="3583" w:type="dxa"/>
            <w:vAlign w:val="center"/>
          </w:tcPr>
          <w:p>
            <w:pPr>
              <w:pStyle w:val="106"/>
              <w:adjustRightInd w:val="0"/>
              <w:ind w:left="-63" w:leftChars="-30" w:right="-63" w:rightChars="-30"/>
              <w:rPr>
                <w:b/>
              </w:rPr>
            </w:pPr>
            <w:r>
              <w:rPr>
                <w:b/>
              </w:rPr>
              <w:t>执行标准</w:t>
            </w:r>
          </w:p>
        </w:tc>
        <w:tc>
          <w:tcPr>
            <w:tcW w:w="1440" w:type="dxa"/>
            <w:vAlign w:val="center"/>
          </w:tcPr>
          <w:p>
            <w:pPr>
              <w:pStyle w:val="106"/>
              <w:adjustRightInd w:val="0"/>
              <w:ind w:left="-63" w:leftChars="-30" w:right="-63" w:rightChars="-30"/>
              <w:rPr>
                <w:b/>
              </w:rPr>
            </w:pPr>
            <w:r>
              <w:rPr>
                <w:rFonts w:hint="eastAsia"/>
                <w:b/>
              </w:rPr>
              <w:t>检</w:t>
            </w:r>
            <w:r>
              <w:rPr>
                <w:b/>
              </w:rPr>
              <w:t>测</w:t>
            </w:r>
          </w:p>
          <w:p>
            <w:pPr>
              <w:pStyle w:val="106"/>
              <w:adjustRightInd w:val="0"/>
              <w:ind w:left="-63" w:leftChars="-30" w:right="-63" w:rightChars="-30"/>
              <w:rPr>
                <w:b/>
              </w:rPr>
            </w:pPr>
            <w:r>
              <w:rPr>
                <w:b/>
              </w:rPr>
              <w:t>项目</w:t>
            </w:r>
          </w:p>
        </w:tc>
        <w:tc>
          <w:tcPr>
            <w:tcW w:w="1451" w:type="dxa"/>
            <w:vAlign w:val="center"/>
          </w:tcPr>
          <w:p>
            <w:pPr>
              <w:pStyle w:val="106"/>
              <w:adjustRightInd w:val="0"/>
              <w:ind w:left="-63" w:leftChars="-30" w:right="-63" w:rightChars="-30"/>
              <w:rPr>
                <w:b/>
              </w:rPr>
            </w:pPr>
            <w:r>
              <w:rPr>
                <w:rFonts w:hint="eastAsia"/>
                <w:b/>
              </w:rPr>
              <w:t>项目明细</w:t>
            </w:r>
          </w:p>
        </w:tc>
        <w:tc>
          <w:tcPr>
            <w:tcW w:w="851" w:type="dxa"/>
            <w:vAlign w:val="center"/>
          </w:tcPr>
          <w:p>
            <w:pPr>
              <w:pStyle w:val="106"/>
              <w:adjustRightInd w:val="0"/>
              <w:ind w:left="-63" w:leftChars="-30" w:right="-63" w:rightChars="-30"/>
              <w:rPr>
                <w:b/>
              </w:rPr>
            </w:pPr>
            <w:r>
              <w:rPr>
                <w:b/>
              </w:rPr>
              <w:t>单位</w:t>
            </w:r>
          </w:p>
        </w:tc>
        <w:tc>
          <w:tcPr>
            <w:tcW w:w="1135" w:type="dxa"/>
            <w:vAlign w:val="center"/>
          </w:tcPr>
          <w:p>
            <w:pPr>
              <w:pStyle w:val="106"/>
              <w:adjustRightInd w:val="0"/>
              <w:ind w:left="-63" w:leftChars="-30" w:right="-63" w:rightChars="-30"/>
              <w:rPr>
                <w:b/>
              </w:rPr>
            </w:pPr>
            <w:r>
              <w:rPr>
                <w:b/>
              </w:rPr>
              <w:t>标准</w:t>
            </w:r>
          </w:p>
          <w:p>
            <w:pPr>
              <w:pStyle w:val="106"/>
              <w:adjustRightInd w:val="0"/>
              <w:ind w:left="-63" w:leftChars="-30" w:right="-63" w:rightChars="-30"/>
              <w:rPr>
                <w:b/>
              </w:rPr>
            </w:pPr>
            <w:r>
              <w:rPr>
                <w:b/>
              </w:rPr>
              <w:t>限值</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08" w:type="dxa"/>
            <w:vMerge w:val="restart"/>
            <w:vAlign w:val="center"/>
          </w:tcPr>
          <w:p>
            <w:pPr>
              <w:pStyle w:val="106"/>
              <w:adjustRightInd w:val="0"/>
              <w:ind w:left="-63" w:leftChars="-30" w:right="-63" w:rightChars="-30"/>
              <w:rPr>
                <w:rFonts w:hint="default"/>
                <w:sz w:val="24"/>
                <w:szCs w:val="24"/>
                <w:lang w:val="en-US" w:eastAsia="zh-CN"/>
              </w:rPr>
            </w:pPr>
            <w:r>
              <w:rPr>
                <w:rFonts w:hint="eastAsia"/>
                <w:bCs/>
                <w:sz w:val="24"/>
                <w:szCs w:val="24"/>
                <w:lang w:val="en-US" w:eastAsia="zh-CN"/>
              </w:rPr>
              <w:t>有组织废气</w:t>
            </w:r>
          </w:p>
        </w:tc>
        <w:tc>
          <w:tcPr>
            <w:tcW w:w="3583" w:type="dxa"/>
            <w:vAlign w:val="center"/>
          </w:tcPr>
          <w:p>
            <w:pPr>
              <w:pStyle w:val="106"/>
              <w:adjustRightInd w:val="0"/>
              <w:ind w:left="-63" w:leftChars="-30" w:right="-63" w:rightChars="-30"/>
              <w:rPr>
                <w:rFonts w:hint="default"/>
                <w:sz w:val="24"/>
                <w:szCs w:val="24"/>
                <w:lang w:val="en-US" w:eastAsia="zh-CN"/>
              </w:rPr>
            </w:pPr>
            <w:r>
              <w:rPr>
                <w:rFonts w:hint="eastAsia"/>
                <w:sz w:val="24"/>
                <w:szCs w:val="24"/>
                <w:lang w:val="en-US" w:eastAsia="zh-CN"/>
              </w:rPr>
              <w:t>《区域性大气污染物综合排放标准》（DB37/2376-2019）表1重点控制区</w:t>
            </w:r>
          </w:p>
        </w:tc>
        <w:tc>
          <w:tcPr>
            <w:tcW w:w="1440" w:type="dxa"/>
            <w:vMerge w:val="restart"/>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颗粒物</w:t>
            </w:r>
          </w:p>
        </w:tc>
        <w:tc>
          <w:tcPr>
            <w:tcW w:w="1451"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排放浓度</w:t>
            </w:r>
          </w:p>
        </w:tc>
        <w:tc>
          <w:tcPr>
            <w:tcW w:w="851"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mg/m3</w:t>
            </w:r>
          </w:p>
        </w:tc>
        <w:tc>
          <w:tcPr>
            <w:tcW w:w="1135" w:type="dxa"/>
            <w:vAlign w:val="center"/>
          </w:tcPr>
          <w:p>
            <w:pPr>
              <w:pStyle w:val="106"/>
              <w:adjustRightInd w:val="0"/>
              <w:ind w:left="-63" w:leftChars="-30" w:right="-63" w:rightChars="-30"/>
              <w:rPr>
                <w:rFonts w:hint="default"/>
                <w:sz w:val="24"/>
                <w:szCs w:val="24"/>
                <w:lang w:val="en-US" w:eastAsia="zh-CN"/>
              </w:rPr>
            </w:pPr>
            <w:r>
              <w:rPr>
                <w:rFonts w:hint="eastAsia"/>
                <w:sz w:val="24"/>
                <w:szCs w:val="24"/>
                <w:lang w:val="en-US" w:eastAsia="zh-CN"/>
              </w:rPr>
              <w:t>10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08" w:type="dxa"/>
            <w:vMerge w:val="continue"/>
            <w:vAlign w:val="center"/>
          </w:tcPr>
          <w:p>
            <w:pPr>
              <w:pStyle w:val="106"/>
              <w:adjustRightInd w:val="0"/>
              <w:ind w:left="-63" w:leftChars="-30" w:right="-63" w:rightChars="-30"/>
              <w:rPr>
                <w:rFonts w:hint="eastAsia"/>
                <w:bCs/>
                <w:sz w:val="24"/>
                <w:szCs w:val="24"/>
                <w:lang w:val="en-US" w:eastAsia="zh-CN"/>
              </w:rPr>
            </w:pPr>
          </w:p>
        </w:tc>
        <w:tc>
          <w:tcPr>
            <w:tcW w:w="3583"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《大气污染物综合排放标准》（GB16297-1996）表2</w:t>
            </w:r>
          </w:p>
        </w:tc>
        <w:tc>
          <w:tcPr>
            <w:tcW w:w="1440" w:type="dxa"/>
            <w:vMerge w:val="continue"/>
            <w:vAlign w:val="center"/>
          </w:tcPr>
          <w:p>
            <w:pPr>
              <w:pStyle w:val="106"/>
              <w:adjustRightInd w:val="0"/>
              <w:ind w:left="-63" w:leftChars="-30" w:right="-63" w:rightChars="-30"/>
              <w:rPr>
                <w:rFonts w:hint="eastAsia"/>
                <w:sz w:val="24"/>
                <w:szCs w:val="24"/>
                <w:lang w:val="en-US" w:eastAsia="zh-CN"/>
              </w:rPr>
            </w:pPr>
          </w:p>
        </w:tc>
        <w:tc>
          <w:tcPr>
            <w:tcW w:w="1451" w:type="dxa"/>
            <w:vAlign w:val="center"/>
          </w:tcPr>
          <w:p>
            <w:pPr>
              <w:pStyle w:val="106"/>
              <w:adjustRightInd w:val="0"/>
              <w:ind w:left="-63" w:leftChars="-30" w:right="-63" w:rightChars="-30"/>
              <w:rPr>
                <w:rFonts w:hint="default"/>
                <w:sz w:val="24"/>
                <w:szCs w:val="24"/>
                <w:lang w:val="en-US" w:eastAsia="zh-CN"/>
              </w:rPr>
            </w:pPr>
            <w:r>
              <w:rPr>
                <w:rFonts w:hint="eastAsia"/>
                <w:sz w:val="24"/>
                <w:szCs w:val="24"/>
                <w:lang w:val="en-US" w:eastAsia="zh-CN"/>
              </w:rPr>
              <w:t>排放速率</w:t>
            </w:r>
          </w:p>
        </w:tc>
        <w:tc>
          <w:tcPr>
            <w:tcW w:w="851" w:type="dxa"/>
            <w:vAlign w:val="center"/>
          </w:tcPr>
          <w:p>
            <w:pPr>
              <w:pStyle w:val="106"/>
              <w:adjustRightInd w:val="0"/>
              <w:ind w:left="-63" w:leftChars="-30" w:right="-63" w:rightChars="-30"/>
              <w:rPr>
                <w:rFonts w:hint="eastAsia"/>
                <w:sz w:val="24"/>
                <w:szCs w:val="24"/>
                <w:lang w:val="en-US" w:eastAsia="zh-CN"/>
              </w:rPr>
            </w:pPr>
            <w:r>
              <w:rPr>
                <w:rFonts w:hint="eastAsia" w:hAnsi="宋体"/>
                <w:szCs w:val="24"/>
              </w:rPr>
              <w:t>kg/h</w:t>
            </w:r>
          </w:p>
        </w:tc>
        <w:tc>
          <w:tcPr>
            <w:tcW w:w="1135" w:type="dxa"/>
            <w:vAlign w:val="center"/>
          </w:tcPr>
          <w:p>
            <w:pPr>
              <w:pStyle w:val="106"/>
              <w:adjustRightInd w:val="0"/>
              <w:ind w:left="-63" w:leftChars="-30" w:right="-63" w:rightChars="-30"/>
              <w:rPr>
                <w:rFonts w:hint="default"/>
                <w:sz w:val="24"/>
                <w:szCs w:val="24"/>
                <w:lang w:val="en-US" w:eastAsia="zh-CN"/>
              </w:rPr>
            </w:pPr>
            <w:r>
              <w:rPr>
                <w:rFonts w:hint="eastAsia"/>
                <w:sz w:val="24"/>
                <w:szCs w:val="24"/>
                <w:lang w:val="en-US" w:eastAsia="zh-CN"/>
              </w:rPr>
              <w:t>3.5</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8" w:type="dxa"/>
            <w:vAlign w:val="center"/>
          </w:tcPr>
          <w:p>
            <w:pPr>
              <w:pStyle w:val="106"/>
              <w:adjustRightInd w:val="0"/>
              <w:ind w:left="-63" w:leftChars="-30" w:right="-63" w:rightChars="-30"/>
              <w:rPr>
                <w:bCs/>
                <w:sz w:val="24"/>
                <w:szCs w:val="24"/>
              </w:rPr>
            </w:pPr>
            <w:r>
              <w:rPr>
                <w:rFonts w:hint="eastAsia"/>
                <w:bCs/>
                <w:sz w:val="24"/>
                <w:szCs w:val="24"/>
                <w:lang w:val="en-US" w:eastAsia="zh-CN"/>
              </w:rPr>
              <w:t>厂界无</w:t>
            </w:r>
            <w:r>
              <w:rPr>
                <w:rFonts w:hint="eastAsia"/>
                <w:bCs/>
                <w:sz w:val="24"/>
                <w:szCs w:val="24"/>
              </w:rPr>
              <w:t>组织废气</w:t>
            </w:r>
          </w:p>
        </w:tc>
        <w:tc>
          <w:tcPr>
            <w:tcW w:w="3583"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《大气污染物综合排放标准》（GB16297-1996）表2</w:t>
            </w:r>
          </w:p>
        </w:tc>
        <w:tc>
          <w:tcPr>
            <w:tcW w:w="1440" w:type="dxa"/>
            <w:vAlign w:val="center"/>
          </w:tcPr>
          <w:p>
            <w:pPr>
              <w:pStyle w:val="106"/>
              <w:adjustRightInd w:val="0"/>
              <w:ind w:left="-63" w:leftChars="-30" w:right="-63" w:rightChars="-30"/>
              <w:rPr>
                <w:rFonts w:hint="default"/>
                <w:sz w:val="24"/>
                <w:szCs w:val="24"/>
                <w:lang w:val="en-US" w:eastAsia="zh-CN"/>
              </w:rPr>
            </w:pPr>
            <w:r>
              <w:rPr>
                <w:rFonts w:hint="eastAsia"/>
                <w:sz w:val="24"/>
                <w:szCs w:val="24"/>
                <w:lang w:val="en-US" w:eastAsia="zh-CN"/>
              </w:rPr>
              <w:t xml:space="preserve">颗粒物 </w:t>
            </w:r>
          </w:p>
        </w:tc>
        <w:tc>
          <w:tcPr>
            <w:tcW w:w="1451"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排放浓度</w:t>
            </w:r>
          </w:p>
        </w:tc>
        <w:tc>
          <w:tcPr>
            <w:tcW w:w="851"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mg/m3</w:t>
            </w:r>
          </w:p>
        </w:tc>
        <w:tc>
          <w:tcPr>
            <w:tcW w:w="1135"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1.0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08" w:type="dxa"/>
            <w:vMerge w:val="restart"/>
            <w:vAlign w:val="center"/>
          </w:tcPr>
          <w:p>
            <w:pPr>
              <w:pStyle w:val="106"/>
              <w:adjustRightInd w:val="0"/>
              <w:ind w:left="-63" w:leftChars="-30" w:right="-63" w:rightChars="-30"/>
              <w:rPr>
                <w:rFonts w:hint="default"/>
                <w:bCs/>
                <w:sz w:val="24"/>
                <w:szCs w:val="24"/>
                <w:lang w:val="en-US" w:eastAsia="zh-CN"/>
              </w:rPr>
            </w:pPr>
            <w:r>
              <w:rPr>
                <w:rFonts w:hint="eastAsia"/>
                <w:bCs/>
                <w:sz w:val="24"/>
                <w:szCs w:val="24"/>
                <w:lang w:val="en-US" w:eastAsia="zh-CN"/>
              </w:rPr>
              <w:t>废水</w:t>
            </w:r>
          </w:p>
        </w:tc>
        <w:tc>
          <w:tcPr>
            <w:tcW w:w="3583" w:type="dxa"/>
            <w:vMerge w:val="restart"/>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《污水排入城镇下水道水质标准》(GB/T31962-2015)A等级标准</w:t>
            </w:r>
          </w:p>
        </w:tc>
        <w:tc>
          <w:tcPr>
            <w:tcW w:w="1440" w:type="dxa"/>
            <w:vAlign w:val="center"/>
          </w:tcPr>
          <w:p>
            <w:pPr>
              <w:pStyle w:val="106"/>
              <w:adjustRightInd w:val="0"/>
              <w:ind w:left="-63" w:leftChars="-30" w:right="-63" w:rightChars="-30"/>
              <w:rPr>
                <w:rFonts w:hint="default"/>
                <w:sz w:val="24"/>
                <w:szCs w:val="24"/>
                <w:lang w:val="en-US" w:eastAsia="zh-CN"/>
              </w:rPr>
            </w:pPr>
            <w:r>
              <w:rPr>
                <w:rFonts w:ascii="Times New Roman"/>
                <w:sz w:val="21"/>
              </w:rPr>
              <w:t>BOD</w:t>
            </w:r>
            <w:r>
              <w:rPr>
                <w:rFonts w:ascii="Times New Roman"/>
                <w:sz w:val="21"/>
                <w:vertAlign w:val="subscript"/>
              </w:rPr>
              <w:t>5</w:t>
            </w:r>
          </w:p>
        </w:tc>
        <w:tc>
          <w:tcPr>
            <w:tcW w:w="1451"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排放浓度</w:t>
            </w:r>
          </w:p>
        </w:tc>
        <w:tc>
          <w:tcPr>
            <w:tcW w:w="851"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mg/L</w:t>
            </w:r>
          </w:p>
        </w:tc>
        <w:tc>
          <w:tcPr>
            <w:tcW w:w="1135" w:type="dxa"/>
            <w:vAlign w:val="center"/>
          </w:tcPr>
          <w:p>
            <w:pPr>
              <w:pStyle w:val="106"/>
              <w:adjustRightInd w:val="0"/>
              <w:ind w:left="-63" w:leftChars="-30" w:right="-63" w:rightChars="-30"/>
              <w:rPr>
                <w:rFonts w:hint="default"/>
                <w:sz w:val="24"/>
                <w:szCs w:val="24"/>
                <w:lang w:val="en-US" w:eastAsia="zh-CN"/>
              </w:rPr>
            </w:pPr>
            <w:r>
              <w:rPr>
                <w:rFonts w:hint="eastAsia"/>
                <w:sz w:val="24"/>
                <w:szCs w:val="24"/>
                <w:lang w:val="en-US" w:eastAsia="zh-CN"/>
              </w:rPr>
              <w:t>350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08" w:type="dxa"/>
            <w:vMerge w:val="continue"/>
            <w:vAlign w:val="center"/>
          </w:tcPr>
          <w:p>
            <w:pPr>
              <w:pStyle w:val="106"/>
              <w:adjustRightInd w:val="0"/>
              <w:ind w:left="-63" w:leftChars="-30" w:right="-63" w:rightChars="-30"/>
              <w:rPr>
                <w:rFonts w:hint="eastAsia"/>
                <w:bCs/>
                <w:sz w:val="24"/>
                <w:szCs w:val="24"/>
                <w:lang w:val="en-US" w:eastAsia="zh-CN"/>
              </w:rPr>
            </w:pPr>
          </w:p>
        </w:tc>
        <w:tc>
          <w:tcPr>
            <w:tcW w:w="3583" w:type="dxa"/>
            <w:vMerge w:val="continue"/>
            <w:vAlign w:val="center"/>
          </w:tcPr>
          <w:p>
            <w:pPr>
              <w:pStyle w:val="106"/>
              <w:adjustRightInd w:val="0"/>
              <w:ind w:left="-63" w:leftChars="-30" w:right="-63" w:rightChars="-30"/>
              <w:rPr>
                <w:rFonts w:hint="eastAsia"/>
                <w:sz w:val="24"/>
                <w:szCs w:val="24"/>
                <w:lang w:val="en-US" w:eastAsia="zh-CN"/>
              </w:rPr>
            </w:pPr>
          </w:p>
        </w:tc>
        <w:tc>
          <w:tcPr>
            <w:tcW w:w="1440" w:type="dxa"/>
            <w:vAlign w:val="center"/>
          </w:tcPr>
          <w:p>
            <w:pPr>
              <w:pStyle w:val="106"/>
              <w:adjustRightInd w:val="0"/>
              <w:ind w:left="-63" w:leftChars="-30" w:right="-63" w:rightChars="-30"/>
              <w:rPr>
                <w:rFonts w:hint="default"/>
                <w:sz w:val="24"/>
                <w:szCs w:val="24"/>
                <w:lang w:val="en-US" w:eastAsia="zh-CN"/>
              </w:rPr>
            </w:pPr>
            <w:r>
              <w:rPr>
                <w:rFonts w:ascii="Times New Roman"/>
                <w:sz w:val="21"/>
              </w:rPr>
              <w:t>CODcr</w:t>
            </w:r>
          </w:p>
        </w:tc>
        <w:tc>
          <w:tcPr>
            <w:tcW w:w="1451"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排放浓度</w:t>
            </w:r>
          </w:p>
        </w:tc>
        <w:tc>
          <w:tcPr>
            <w:tcW w:w="851"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mg/L</w:t>
            </w:r>
          </w:p>
        </w:tc>
        <w:tc>
          <w:tcPr>
            <w:tcW w:w="1135" w:type="dxa"/>
            <w:vAlign w:val="center"/>
          </w:tcPr>
          <w:p>
            <w:pPr>
              <w:pStyle w:val="106"/>
              <w:adjustRightInd w:val="0"/>
              <w:ind w:left="-63" w:leftChars="-30" w:right="-63" w:rightChars="-30"/>
              <w:rPr>
                <w:rFonts w:hint="default"/>
                <w:sz w:val="24"/>
                <w:szCs w:val="24"/>
                <w:lang w:val="en-US" w:eastAsia="zh-CN"/>
              </w:rPr>
            </w:pPr>
            <w:r>
              <w:rPr>
                <w:rFonts w:hint="eastAsia"/>
                <w:sz w:val="24"/>
                <w:szCs w:val="24"/>
                <w:lang w:val="en-US" w:eastAsia="zh-CN"/>
              </w:rPr>
              <w:t>500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08" w:type="dxa"/>
            <w:vMerge w:val="continue"/>
            <w:vAlign w:val="center"/>
          </w:tcPr>
          <w:p>
            <w:pPr>
              <w:pStyle w:val="106"/>
              <w:adjustRightInd w:val="0"/>
              <w:ind w:left="-63" w:leftChars="-30" w:right="-63" w:rightChars="-30"/>
              <w:rPr>
                <w:rFonts w:hint="eastAsia"/>
                <w:bCs/>
                <w:sz w:val="24"/>
                <w:szCs w:val="24"/>
                <w:lang w:val="en-US" w:eastAsia="zh-CN"/>
              </w:rPr>
            </w:pPr>
          </w:p>
        </w:tc>
        <w:tc>
          <w:tcPr>
            <w:tcW w:w="3583" w:type="dxa"/>
            <w:vMerge w:val="continue"/>
            <w:vAlign w:val="center"/>
          </w:tcPr>
          <w:p>
            <w:pPr>
              <w:pStyle w:val="106"/>
              <w:adjustRightInd w:val="0"/>
              <w:ind w:left="-63" w:leftChars="-30" w:right="-63" w:rightChars="-30"/>
              <w:rPr>
                <w:rFonts w:hint="eastAsia"/>
                <w:sz w:val="24"/>
                <w:szCs w:val="24"/>
                <w:lang w:val="en-US" w:eastAsia="zh-CN"/>
              </w:rPr>
            </w:pPr>
          </w:p>
        </w:tc>
        <w:tc>
          <w:tcPr>
            <w:tcW w:w="1440"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氨氮</w:t>
            </w:r>
          </w:p>
        </w:tc>
        <w:tc>
          <w:tcPr>
            <w:tcW w:w="1451"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排放浓度</w:t>
            </w:r>
          </w:p>
        </w:tc>
        <w:tc>
          <w:tcPr>
            <w:tcW w:w="851"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mg/L</w:t>
            </w:r>
          </w:p>
        </w:tc>
        <w:tc>
          <w:tcPr>
            <w:tcW w:w="1135" w:type="dxa"/>
            <w:vAlign w:val="center"/>
          </w:tcPr>
          <w:p>
            <w:pPr>
              <w:pStyle w:val="106"/>
              <w:adjustRightInd w:val="0"/>
              <w:ind w:left="-63" w:leftChars="-30" w:right="-63" w:rightChars="-30"/>
              <w:rPr>
                <w:rFonts w:hint="default"/>
                <w:sz w:val="24"/>
                <w:szCs w:val="24"/>
                <w:lang w:val="en-US" w:eastAsia="zh-CN"/>
              </w:rPr>
            </w:pPr>
            <w:r>
              <w:rPr>
                <w:rFonts w:hint="eastAsia"/>
                <w:sz w:val="24"/>
                <w:szCs w:val="24"/>
                <w:lang w:val="en-US" w:eastAsia="zh-CN"/>
              </w:rPr>
              <w:t>45</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08" w:type="dxa"/>
            <w:vMerge w:val="continue"/>
            <w:vAlign w:val="center"/>
          </w:tcPr>
          <w:p>
            <w:pPr>
              <w:pStyle w:val="106"/>
              <w:adjustRightInd w:val="0"/>
              <w:ind w:left="-63" w:leftChars="-30" w:right="-63" w:rightChars="-30"/>
              <w:rPr>
                <w:rFonts w:hint="eastAsia"/>
                <w:bCs/>
                <w:sz w:val="24"/>
                <w:szCs w:val="24"/>
                <w:lang w:val="en-US" w:eastAsia="zh-CN"/>
              </w:rPr>
            </w:pPr>
          </w:p>
        </w:tc>
        <w:tc>
          <w:tcPr>
            <w:tcW w:w="3583" w:type="dxa"/>
            <w:vMerge w:val="continue"/>
            <w:vAlign w:val="center"/>
          </w:tcPr>
          <w:p>
            <w:pPr>
              <w:pStyle w:val="106"/>
              <w:adjustRightInd w:val="0"/>
              <w:ind w:left="-63" w:leftChars="-30" w:right="-63" w:rightChars="-30"/>
              <w:rPr>
                <w:rFonts w:hint="eastAsia"/>
                <w:sz w:val="24"/>
                <w:szCs w:val="24"/>
                <w:lang w:val="en-US" w:eastAsia="zh-CN"/>
              </w:rPr>
            </w:pPr>
          </w:p>
        </w:tc>
        <w:tc>
          <w:tcPr>
            <w:tcW w:w="1440"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悬浮物</w:t>
            </w:r>
          </w:p>
        </w:tc>
        <w:tc>
          <w:tcPr>
            <w:tcW w:w="1451"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排放浓度</w:t>
            </w:r>
          </w:p>
        </w:tc>
        <w:tc>
          <w:tcPr>
            <w:tcW w:w="851"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mg/L</w:t>
            </w:r>
          </w:p>
        </w:tc>
        <w:tc>
          <w:tcPr>
            <w:tcW w:w="1135" w:type="dxa"/>
            <w:vAlign w:val="center"/>
          </w:tcPr>
          <w:p>
            <w:pPr>
              <w:pStyle w:val="106"/>
              <w:adjustRightInd w:val="0"/>
              <w:ind w:left="-63" w:leftChars="-30" w:right="-63" w:rightChars="-30"/>
              <w:rPr>
                <w:rFonts w:hint="default"/>
                <w:sz w:val="24"/>
                <w:szCs w:val="24"/>
                <w:lang w:val="en-US" w:eastAsia="zh-CN"/>
              </w:rPr>
            </w:pPr>
            <w:r>
              <w:rPr>
                <w:rFonts w:hint="eastAsia"/>
                <w:sz w:val="24"/>
                <w:szCs w:val="24"/>
                <w:lang w:val="en-US" w:eastAsia="zh-CN"/>
              </w:rPr>
              <w:t>400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8" w:type="dxa"/>
            <w:vAlign w:val="center"/>
          </w:tcPr>
          <w:p>
            <w:pPr>
              <w:pStyle w:val="106"/>
              <w:adjustRightInd w:val="0"/>
              <w:ind w:left="-63" w:leftChars="-30" w:right="-63" w:rightChars="-30"/>
              <w:rPr>
                <w:bCs/>
                <w:sz w:val="24"/>
                <w:szCs w:val="24"/>
              </w:rPr>
            </w:pPr>
            <w:r>
              <w:rPr>
                <w:rFonts w:hint="eastAsia"/>
                <w:bCs/>
                <w:sz w:val="24"/>
                <w:szCs w:val="24"/>
              </w:rPr>
              <w:t>厂界</w:t>
            </w:r>
          </w:p>
          <w:p>
            <w:pPr>
              <w:pStyle w:val="106"/>
              <w:adjustRightInd w:val="0"/>
              <w:ind w:left="-63" w:leftChars="-30" w:right="-63" w:rightChars="-30"/>
              <w:rPr>
                <w:bCs/>
                <w:sz w:val="24"/>
                <w:szCs w:val="24"/>
              </w:rPr>
            </w:pPr>
            <w:r>
              <w:rPr>
                <w:bCs/>
                <w:sz w:val="24"/>
                <w:szCs w:val="24"/>
              </w:rPr>
              <w:t>噪声</w:t>
            </w:r>
          </w:p>
        </w:tc>
        <w:tc>
          <w:tcPr>
            <w:tcW w:w="3583"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《工业企业厂界环境噪声排放标准》 （GB 12348-2008）中的2类标准</w:t>
            </w:r>
          </w:p>
        </w:tc>
        <w:tc>
          <w:tcPr>
            <w:tcW w:w="1440"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Leq</w:t>
            </w:r>
          </w:p>
        </w:tc>
        <w:tc>
          <w:tcPr>
            <w:tcW w:w="1451"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Leq</w:t>
            </w:r>
          </w:p>
        </w:tc>
        <w:tc>
          <w:tcPr>
            <w:tcW w:w="851" w:type="dxa"/>
            <w:vAlign w:val="center"/>
          </w:tcPr>
          <w:p>
            <w:pPr>
              <w:pStyle w:val="106"/>
              <w:adjustRightInd w:val="0"/>
              <w:ind w:left="-63" w:leftChars="-30" w:right="-63" w:rightChars="-30"/>
              <w:rPr>
                <w:rFonts w:hint="eastAsia"/>
                <w:sz w:val="24"/>
                <w:szCs w:val="24"/>
                <w:lang w:val="en-US" w:eastAsia="zh-CN"/>
              </w:rPr>
            </w:pPr>
            <w:r>
              <w:rPr>
                <w:rFonts w:hint="eastAsia"/>
                <w:sz w:val="24"/>
                <w:szCs w:val="24"/>
                <w:lang w:val="en-US" w:eastAsia="zh-CN"/>
              </w:rPr>
              <w:t>dB(A)</w:t>
            </w:r>
          </w:p>
        </w:tc>
        <w:tc>
          <w:tcPr>
            <w:tcW w:w="1135" w:type="dxa"/>
            <w:vAlign w:val="center"/>
          </w:tcPr>
          <w:p>
            <w:pPr>
              <w:pStyle w:val="106"/>
              <w:adjustRightInd w:val="0"/>
              <w:ind w:left="-63" w:leftChars="-30" w:right="-63" w:rightChars="-30"/>
              <w:rPr>
                <w:rFonts w:hint="default"/>
                <w:sz w:val="24"/>
                <w:szCs w:val="24"/>
                <w:lang w:val="en-US" w:eastAsia="zh-CN"/>
              </w:rPr>
            </w:pPr>
            <w:r>
              <w:rPr>
                <w:rFonts w:hint="eastAsia"/>
                <w:sz w:val="24"/>
                <w:szCs w:val="24"/>
                <w:lang w:val="en-US" w:eastAsia="zh-CN"/>
              </w:rPr>
              <w:t>昼间60</w:t>
            </w:r>
          </w:p>
          <w:p>
            <w:pPr>
              <w:pStyle w:val="106"/>
              <w:adjustRightInd w:val="0"/>
              <w:ind w:left="-63" w:leftChars="-30" w:right="-63" w:rightChars="-30"/>
              <w:rPr>
                <w:rFonts w:hint="default"/>
                <w:sz w:val="24"/>
                <w:szCs w:val="24"/>
                <w:lang w:val="en-US" w:eastAsia="zh-CN"/>
              </w:rPr>
            </w:pPr>
            <w:r>
              <w:rPr>
                <w:rFonts w:hint="eastAsia"/>
                <w:sz w:val="24"/>
                <w:szCs w:val="24"/>
                <w:lang w:val="en-US" w:eastAsia="zh-CN"/>
              </w:rPr>
              <w:t>夜间50</w:t>
            </w:r>
          </w:p>
        </w:tc>
      </w:tr>
    </w:tbl>
    <w:p>
      <w:pPr>
        <w:pStyle w:val="100"/>
        <w:spacing w:line="360" w:lineRule="auto"/>
        <w:ind w:firstLine="0" w:firstLineChars="0"/>
        <w:rPr>
          <w:sz w:val="24"/>
        </w:rPr>
      </w:pPr>
    </w:p>
    <w:p>
      <w:pPr>
        <w:spacing w:line="360" w:lineRule="auto"/>
        <w:rPr>
          <w:color w:val="FF0000"/>
          <w:sz w:val="30"/>
          <w:szCs w:val="30"/>
        </w:rPr>
      </w:pPr>
      <w:r>
        <w:rPr>
          <w:rFonts w:hint="eastAsia" w:ascii="Times New Roman" w:hAnsi="Times New Roman" w:eastAsia="宋体" w:cs="Times New Roman"/>
          <w:b/>
          <w:bCs/>
          <w:kern w:val="44"/>
          <w:sz w:val="30"/>
          <w:szCs w:val="30"/>
          <w:lang w:val="en-US" w:eastAsia="zh-CN" w:bidi="ar-SA"/>
        </w:rPr>
        <w:t>三、工程建设内容</w:t>
      </w:r>
    </w:p>
    <w:p>
      <w:pPr>
        <w:spacing w:line="360" w:lineRule="auto"/>
        <w:ind w:firstLine="479" w:firstLineChars="199"/>
        <w:rPr>
          <w:b/>
          <w:sz w:val="24"/>
        </w:rPr>
      </w:pPr>
      <w:r>
        <w:rPr>
          <w:b/>
          <w:sz w:val="24"/>
        </w:rPr>
        <w:t>1、项目名称、建设单位、建设性质及建设地点</w:t>
      </w:r>
    </w:p>
    <w:p>
      <w:pPr>
        <w:spacing w:line="360" w:lineRule="auto"/>
        <w:ind w:firstLine="480"/>
        <w:rPr>
          <w:sz w:val="24"/>
        </w:rPr>
      </w:pPr>
      <w:r>
        <w:rPr>
          <w:sz w:val="24"/>
        </w:rPr>
        <w:t>项目名称：</w:t>
      </w:r>
      <w:r>
        <w:rPr>
          <w:rFonts w:hint="eastAsia" w:eastAsia="方正宋三简体"/>
          <w:sz w:val="24"/>
          <w:lang w:val="en-US" w:eastAsia="zh-CN"/>
        </w:rPr>
        <w:t>金属磨料深加工项目</w:t>
      </w:r>
    </w:p>
    <w:p>
      <w:pPr>
        <w:spacing w:line="360" w:lineRule="auto"/>
        <w:ind w:firstLine="480"/>
        <w:rPr>
          <w:rFonts w:eastAsia="方正宋三简体"/>
          <w:sz w:val="24"/>
        </w:rPr>
      </w:pPr>
      <w:r>
        <w:rPr>
          <w:sz w:val="24"/>
        </w:rPr>
        <w:t>建设单位：</w:t>
      </w:r>
      <w:r>
        <w:rPr>
          <w:rFonts w:hint="eastAsia" w:eastAsia="方正宋三简体"/>
          <w:sz w:val="24"/>
          <w:lang w:val="en-US" w:eastAsia="zh-CN"/>
        </w:rPr>
        <w:t>滕州市丰尔达金属制品有限责任公司</w:t>
      </w:r>
    </w:p>
    <w:p>
      <w:pPr>
        <w:spacing w:line="360" w:lineRule="auto"/>
        <w:ind w:firstLine="480"/>
        <w:rPr>
          <w:sz w:val="24"/>
        </w:rPr>
      </w:pPr>
      <w:r>
        <w:rPr>
          <w:sz w:val="24"/>
        </w:rPr>
        <w:t>建设性质：新建</w:t>
      </w:r>
    </w:p>
    <w:p>
      <w:pPr>
        <w:spacing w:line="360" w:lineRule="auto"/>
        <w:ind w:firstLine="480" w:firstLineChars="200"/>
        <w:rPr>
          <w:sz w:val="24"/>
          <w:highlight w:val="none"/>
        </w:rPr>
      </w:pPr>
      <w:r>
        <w:rPr>
          <w:sz w:val="24"/>
          <w:highlight w:val="none"/>
        </w:rPr>
        <w:t>建设地点及周边：</w:t>
      </w:r>
    </w:p>
    <w:p>
      <w:pPr>
        <w:snapToGrid w:val="0"/>
        <w:spacing w:line="360" w:lineRule="auto"/>
        <w:ind w:left="479" w:leftChars="228" w:firstLine="0" w:firstLineChars="0"/>
        <w:rPr>
          <w:sz w:val="24"/>
          <w:szCs w:val="24"/>
        </w:rPr>
      </w:pPr>
      <w:r>
        <w:rPr>
          <w:sz w:val="24"/>
          <w:szCs w:val="24"/>
        </w:rPr>
        <w:t>项目建设地点位于山东省滕州市洪绪镇</w:t>
      </w:r>
      <w:r>
        <w:rPr>
          <w:rFonts w:hint="eastAsia"/>
          <w:sz w:val="24"/>
          <w:szCs w:val="24"/>
          <w:lang w:eastAsia="zh-CN"/>
        </w:rPr>
        <w:t>，</w:t>
      </w:r>
      <w:r>
        <w:rPr>
          <w:sz w:val="24"/>
          <w:szCs w:val="24"/>
        </w:rPr>
        <w:t>项目地理位置见</w:t>
      </w:r>
      <w:r>
        <w:rPr>
          <w:sz w:val="24"/>
          <w:szCs w:val="24"/>
          <w:highlight w:val="none"/>
        </w:rPr>
        <w:t>附图</w:t>
      </w:r>
      <w:r>
        <w:rPr>
          <w:rFonts w:hint="eastAsia"/>
          <w:sz w:val="24"/>
          <w:szCs w:val="24"/>
          <w:highlight w:val="none"/>
          <w:lang w:val="en-US" w:eastAsia="zh-CN"/>
        </w:rPr>
        <w:t>一，</w:t>
      </w:r>
      <w:r>
        <w:rPr>
          <w:rFonts w:hint="eastAsia"/>
          <w:sz w:val="24"/>
          <w:szCs w:val="24"/>
          <w:lang w:val="en-US" w:eastAsia="zh-CN"/>
        </w:rPr>
        <w:t>项目周边环境状况见</w:t>
      </w:r>
      <w:r>
        <w:rPr>
          <w:rFonts w:hint="eastAsia"/>
          <w:sz w:val="24"/>
          <w:szCs w:val="24"/>
          <w:highlight w:val="none"/>
          <w:lang w:val="en-US" w:eastAsia="zh-CN"/>
        </w:rPr>
        <w:t>附图二。</w:t>
      </w:r>
    </w:p>
    <w:p>
      <w:pPr>
        <w:spacing w:line="360" w:lineRule="auto"/>
        <w:ind w:firstLine="480"/>
        <w:rPr>
          <w:sz w:val="24"/>
        </w:rPr>
      </w:pPr>
      <w:r>
        <w:rPr>
          <w:b/>
          <w:sz w:val="24"/>
        </w:rPr>
        <w:t xml:space="preserve">2、项目平面布置 </w:t>
      </w:r>
    </w:p>
    <w:p>
      <w:pPr>
        <w:spacing w:line="360" w:lineRule="auto"/>
        <w:ind w:firstLine="444"/>
        <w:rPr>
          <w:sz w:val="24"/>
        </w:rPr>
      </w:pPr>
      <w:r>
        <w:rPr>
          <w:sz w:val="24"/>
          <w:szCs w:val="24"/>
        </w:rPr>
        <w:t>滕州市丰尔达金属制品有限责任公司金属磨料深加工项目厂区占地面积 40802m</w:t>
      </w:r>
      <w:r>
        <w:rPr>
          <w:sz w:val="24"/>
          <w:szCs w:val="24"/>
          <w:vertAlign w:val="superscript"/>
        </w:rPr>
        <w:t>2</w:t>
      </w:r>
      <w:r>
        <w:rPr>
          <w:rFonts w:hint="eastAsia"/>
          <w:sz w:val="24"/>
          <w:szCs w:val="24"/>
          <w:vertAlign w:val="baseline"/>
          <w:lang w:eastAsia="zh-CN"/>
        </w:rPr>
        <w:t>，</w:t>
      </w:r>
      <w:r>
        <w:rPr>
          <w:sz w:val="24"/>
          <w:szCs w:val="24"/>
        </w:rPr>
        <w:t>建设生产车间、仓库及其它辅助建筑</w:t>
      </w:r>
      <w:r>
        <w:rPr>
          <w:sz w:val="24"/>
        </w:rPr>
        <w:t>，项目平面布置详</w:t>
      </w:r>
      <w:r>
        <w:rPr>
          <w:sz w:val="24"/>
          <w:highlight w:val="none"/>
        </w:rPr>
        <w:t>见附图</w:t>
      </w:r>
      <w:r>
        <w:rPr>
          <w:rFonts w:hint="eastAsia"/>
          <w:sz w:val="24"/>
          <w:highlight w:val="none"/>
          <w:lang w:val="en-US" w:eastAsia="zh-CN"/>
        </w:rPr>
        <w:t>三。</w:t>
      </w:r>
    </w:p>
    <w:p>
      <w:pPr>
        <w:spacing w:line="360" w:lineRule="auto"/>
        <w:ind w:firstLine="444"/>
        <w:rPr>
          <w:sz w:val="24"/>
          <w:highlight w:val="none"/>
        </w:rPr>
      </w:pPr>
      <w:r>
        <w:rPr>
          <w:rFonts w:hint="eastAsia"/>
          <w:b/>
          <w:sz w:val="24"/>
          <w:highlight w:val="none"/>
        </w:rPr>
        <w:t>3、</w:t>
      </w:r>
      <w:r>
        <w:rPr>
          <w:b/>
          <w:sz w:val="24"/>
          <w:highlight w:val="none"/>
        </w:rPr>
        <w:t>项目</w:t>
      </w:r>
      <w:r>
        <w:rPr>
          <w:rFonts w:hint="eastAsia"/>
          <w:b/>
          <w:sz w:val="24"/>
          <w:highlight w:val="none"/>
        </w:rPr>
        <w:t>建设情况一</w:t>
      </w:r>
      <w:r>
        <w:rPr>
          <w:b/>
          <w:sz w:val="24"/>
          <w:highlight w:val="none"/>
        </w:rPr>
        <w:t>览表见表</w:t>
      </w:r>
      <w:r>
        <w:rPr>
          <w:rFonts w:hint="eastAsia"/>
          <w:b/>
          <w:sz w:val="24"/>
          <w:highlight w:val="none"/>
        </w:rPr>
        <w:t>3-</w:t>
      </w:r>
      <w:r>
        <w:rPr>
          <w:b/>
          <w:sz w:val="24"/>
          <w:highlight w:val="none"/>
        </w:rPr>
        <w:t>1。</w:t>
      </w:r>
    </w:p>
    <w:p>
      <w:pPr>
        <w:adjustRightInd w:val="0"/>
        <w:snapToGrid w:val="0"/>
        <w:jc w:val="center"/>
        <w:rPr>
          <w:b/>
          <w:sz w:val="24"/>
        </w:rPr>
      </w:pPr>
      <w:r>
        <w:rPr>
          <w:b/>
          <w:sz w:val="24"/>
        </w:rPr>
        <w:t>表</w:t>
      </w:r>
      <w:r>
        <w:rPr>
          <w:rFonts w:hint="eastAsia"/>
          <w:b/>
          <w:sz w:val="24"/>
        </w:rPr>
        <w:t>3</w:t>
      </w:r>
      <w:r>
        <w:rPr>
          <w:b/>
          <w:sz w:val="24"/>
        </w:rPr>
        <w:t xml:space="preserve">-1    </w:t>
      </w:r>
      <w:r>
        <w:rPr>
          <w:rFonts w:hint="eastAsia"/>
          <w:b/>
          <w:sz w:val="24"/>
        </w:rPr>
        <w:t>项目建设情况</w:t>
      </w:r>
      <w:r>
        <w:rPr>
          <w:b/>
          <w:sz w:val="24"/>
        </w:rPr>
        <w:t>一览表</w:t>
      </w:r>
    </w:p>
    <w:tbl>
      <w:tblPr>
        <w:tblStyle w:val="39"/>
        <w:tblW w:w="4980"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423"/>
        <w:gridCol w:w="682"/>
        <w:gridCol w:w="1153"/>
        <w:gridCol w:w="3106"/>
        <w:gridCol w:w="3222"/>
        <w:gridCol w:w="1161"/>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590" w:hRule="exact"/>
          <w:jc w:val="center"/>
        </w:trPr>
        <w:tc>
          <w:tcPr>
            <w:tcW w:w="217" w:type="pct"/>
            <w:noWrap w:val="0"/>
            <w:vAlign w:val="center"/>
          </w:tcPr>
          <w:p>
            <w:pPr>
              <w:tabs>
                <w:tab w:val="left" w:pos="3225"/>
              </w:tabs>
              <w:adjustRightInd w:val="0"/>
              <w:snapToGrid w:val="0"/>
              <w:jc w:val="center"/>
              <w:rPr>
                <w:b/>
                <w:bCs/>
                <w:snapToGrid w:val="0"/>
                <w:kern w:val="0"/>
                <w:szCs w:val="21"/>
              </w:rPr>
            </w:pPr>
            <w:r>
              <w:rPr>
                <w:b/>
                <w:bCs/>
                <w:snapToGrid w:val="0"/>
                <w:kern w:val="0"/>
                <w:szCs w:val="21"/>
              </w:rPr>
              <w:t>序号</w:t>
            </w:r>
          </w:p>
        </w:tc>
        <w:tc>
          <w:tcPr>
            <w:tcW w:w="349" w:type="pct"/>
            <w:noWrap w:val="0"/>
            <w:vAlign w:val="center"/>
          </w:tcPr>
          <w:p>
            <w:pPr>
              <w:tabs>
                <w:tab w:val="left" w:pos="3225"/>
              </w:tabs>
              <w:adjustRightInd w:val="0"/>
              <w:snapToGrid w:val="0"/>
              <w:jc w:val="center"/>
              <w:rPr>
                <w:b/>
                <w:bCs/>
                <w:snapToGrid w:val="0"/>
                <w:kern w:val="0"/>
                <w:szCs w:val="21"/>
              </w:rPr>
            </w:pPr>
            <w:r>
              <w:rPr>
                <w:b/>
                <w:bCs/>
                <w:snapToGrid w:val="0"/>
                <w:kern w:val="0"/>
                <w:szCs w:val="21"/>
              </w:rPr>
              <w:t>工程</w:t>
            </w:r>
          </w:p>
        </w:tc>
        <w:tc>
          <w:tcPr>
            <w:tcW w:w="591" w:type="pct"/>
            <w:noWrap w:val="0"/>
            <w:vAlign w:val="center"/>
          </w:tcPr>
          <w:p>
            <w:pPr>
              <w:tabs>
                <w:tab w:val="left" w:pos="3225"/>
              </w:tabs>
              <w:adjustRightInd w:val="0"/>
              <w:snapToGrid w:val="0"/>
              <w:jc w:val="center"/>
              <w:rPr>
                <w:b/>
                <w:bCs/>
                <w:snapToGrid w:val="0"/>
                <w:kern w:val="0"/>
                <w:szCs w:val="21"/>
              </w:rPr>
            </w:pPr>
            <w:r>
              <w:rPr>
                <w:b/>
                <w:bCs/>
                <w:snapToGrid w:val="0"/>
                <w:kern w:val="0"/>
                <w:szCs w:val="21"/>
              </w:rPr>
              <w:t>建设内容</w:t>
            </w:r>
          </w:p>
        </w:tc>
        <w:tc>
          <w:tcPr>
            <w:tcW w:w="1593" w:type="pct"/>
            <w:noWrap w:val="0"/>
            <w:vAlign w:val="center"/>
          </w:tcPr>
          <w:p>
            <w:pPr>
              <w:tabs>
                <w:tab w:val="left" w:pos="3225"/>
              </w:tabs>
              <w:adjustRightInd w:val="0"/>
              <w:snapToGrid w:val="0"/>
              <w:jc w:val="center"/>
              <w:rPr>
                <w:rFonts w:hint="default" w:eastAsia="宋体"/>
                <w:b/>
                <w:bCs/>
                <w:snapToGrid w:val="0"/>
                <w:kern w:val="0"/>
                <w:szCs w:val="21"/>
                <w:lang w:val="en-US" w:eastAsia="zh-CN"/>
              </w:rPr>
            </w:pPr>
            <w:r>
              <w:rPr>
                <w:rFonts w:hint="eastAsia"/>
                <w:b/>
                <w:lang w:val="en-US" w:eastAsia="zh-CN"/>
              </w:rPr>
              <w:t>环评批复要求</w:t>
            </w:r>
          </w:p>
        </w:tc>
        <w:tc>
          <w:tcPr>
            <w:tcW w:w="1652" w:type="pct"/>
            <w:tcBorders>
              <w:right w:val="single" w:color="auto" w:sz="4" w:space="0"/>
            </w:tcBorders>
            <w:noWrap w:val="0"/>
            <w:vAlign w:val="center"/>
          </w:tcPr>
          <w:p>
            <w:pPr>
              <w:tabs>
                <w:tab w:val="left" w:pos="3225"/>
              </w:tabs>
              <w:adjustRightInd w:val="0"/>
              <w:snapToGrid w:val="0"/>
              <w:jc w:val="center"/>
              <w:rPr>
                <w:rFonts w:hint="default" w:eastAsia="宋体"/>
                <w:b/>
                <w:lang w:val="en-US" w:eastAsia="zh-CN"/>
              </w:rPr>
            </w:pPr>
            <w:r>
              <w:rPr>
                <w:rFonts w:hint="eastAsia"/>
                <w:b/>
                <w:lang w:val="en-US" w:eastAsia="zh-CN"/>
              </w:rPr>
              <w:t>实际建设情况</w:t>
            </w:r>
          </w:p>
        </w:tc>
        <w:tc>
          <w:tcPr>
            <w:tcW w:w="595" w:type="pct"/>
            <w:tcBorders>
              <w:left w:val="single" w:color="auto" w:sz="4" w:space="0"/>
            </w:tcBorders>
            <w:noWrap w:val="0"/>
            <w:vAlign w:val="center"/>
          </w:tcPr>
          <w:p>
            <w:pPr>
              <w:tabs>
                <w:tab w:val="left" w:pos="3225"/>
              </w:tabs>
              <w:adjustRightInd w:val="0"/>
              <w:snapToGrid w:val="0"/>
              <w:jc w:val="center"/>
              <w:rPr>
                <w:rFonts w:hint="eastAsia" w:eastAsia="宋体"/>
                <w:b/>
                <w:lang w:val="en-US" w:eastAsia="zh-CN"/>
              </w:rPr>
            </w:pPr>
            <w:r>
              <w:rPr>
                <w:rFonts w:hint="eastAsia"/>
                <w:b/>
                <w:lang w:val="en-US" w:eastAsia="zh-CN"/>
              </w:rPr>
              <w:t>备注</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557" w:hRule="exact"/>
          <w:jc w:val="center"/>
        </w:trPr>
        <w:tc>
          <w:tcPr>
            <w:tcW w:w="217" w:type="pct"/>
            <w:vMerge w:val="restart"/>
            <w:noWrap w:val="0"/>
            <w:vAlign w:val="center"/>
          </w:tcPr>
          <w:p>
            <w:pPr>
              <w:tabs>
                <w:tab w:val="left" w:pos="3225"/>
              </w:tabs>
              <w:adjustRightInd w:val="0"/>
              <w:snapToGrid w:val="0"/>
              <w:jc w:val="center"/>
              <w:rPr>
                <w:snapToGrid w:val="0"/>
                <w:kern w:val="0"/>
                <w:szCs w:val="21"/>
              </w:rPr>
            </w:pPr>
            <w:r>
              <w:rPr>
                <w:snapToGrid w:val="0"/>
                <w:kern w:val="0"/>
                <w:szCs w:val="21"/>
              </w:rPr>
              <w:t>1</w:t>
            </w:r>
          </w:p>
        </w:tc>
        <w:tc>
          <w:tcPr>
            <w:tcW w:w="349" w:type="pct"/>
            <w:vMerge w:val="restart"/>
            <w:noWrap w:val="0"/>
            <w:vAlign w:val="center"/>
          </w:tcPr>
          <w:p>
            <w:pPr>
              <w:adjustRightInd w:val="0"/>
              <w:snapToGrid w:val="0"/>
              <w:jc w:val="center"/>
              <w:rPr>
                <w:rFonts w:ascii="Times New Roman" w:hAnsi="Times New Roman" w:eastAsia="宋体" w:cs="Times New Roman"/>
                <w:kern w:val="2"/>
                <w:sz w:val="21"/>
                <w:szCs w:val="21"/>
                <w:lang w:val="en-US" w:eastAsia="zh-CN" w:bidi="ar-SA"/>
              </w:rPr>
            </w:pPr>
            <w:r>
              <w:rPr>
                <w:sz w:val="21"/>
                <w:szCs w:val="21"/>
              </w:rPr>
              <w:t>主体工程</w:t>
            </w:r>
          </w:p>
        </w:tc>
        <w:tc>
          <w:tcPr>
            <w:tcW w:w="591" w:type="pct"/>
            <w:noWrap w:val="0"/>
            <w:vAlign w:val="top"/>
          </w:tcPr>
          <w:p>
            <w:pPr>
              <w:pStyle w:val="123"/>
              <w:ind w:left="16"/>
              <w:jc w:val="center"/>
              <w:rPr>
                <w:rFonts w:ascii="Times New Roman" w:hAnsi="宋体" w:eastAsia="Times New Roman" w:cs="宋体"/>
                <w:sz w:val="21"/>
              </w:rPr>
            </w:pPr>
            <w:r>
              <w:rPr>
                <w:rFonts w:ascii="Times New Roman" w:hAnsi="宋体" w:eastAsia="Times New Roman" w:cs="宋体"/>
                <w:sz w:val="21"/>
              </w:rPr>
              <w:t>拔丝</w:t>
            </w:r>
          </w:p>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车间</w:t>
            </w:r>
          </w:p>
        </w:tc>
        <w:tc>
          <w:tcPr>
            <w:tcW w:w="1593" w:type="pct"/>
            <w:noWrap w:val="0"/>
            <w:vAlign w:val="center"/>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1 座，建筑面积 3360m</w:t>
            </w:r>
            <w:r>
              <w:rPr>
                <w:rFonts w:ascii="Times New Roman" w:hAnsi="宋体" w:eastAsia="Times New Roman" w:cs="宋体"/>
                <w:sz w:val="21"/>
                <w:vertAlign w:val="superscript"/>
              </w:rPr>
              <w:t>2</w:t>
            </w:r>
            <w:r>
              <w:rPr>
                <w:rFonts w:ascii="Times New Roman" w:hAnsi="宋体" w:eastAsia="Times New Roman" w:cs="宋体"/>
                <w:sz w:val="21"/>
              </w:rPr>
              <w:t>；主要设置拔丝生产线等</w:t>
            </w:r>
          </w:p>
        </w:tc>
        <w:tc>
          <w:tcPr>
            <w:tcW w:w="1652" w:type="pct"/>
            <w:tcBorders>
              <w:right w:val="single" w:color="auto" w:sz="4" w:space="0"/>
            </w:tcBorders>
            <w:noWrap w:val="0"/>
            <w:vAlign w:val="top"/>
          </w:tcPr>
          <w:p>
            <w:pPr>
              <w:pStyle w:val="123"/>
              <w:ind w:left="16" w:leftChars="0"/>
              <w:jc w:val="center"/>
              <w:rPr>
                <w:rFonts w:ascii="Times New Roman" w:hAnsi="宋体" w:eastAsia="Times New Roman" w:cs="宋体"/>
                <w:kern w:val="2"/>
                <w:sz w:val="21"/>
                <w:szCs w:val="24"/>
                <w:lang w:val="en-US" w:eastAsia="zh-CN" w:bidi="zh-CN"/>
              </w:rPr>
            </w:pPr>
            <w:r>
              <w:rPr>
                <w:rFonts w:ascii="Times New Roman" w:hAnsi="宋体" w:eastAsia="Times New Roman" w:cs="宋体"/>
                <w:sz w:val="21"/>
              </w:rPr>
              <w:t>1 座，建筑面积 3360m</w:t>
            </w:r>
            <w:r>
              <w:rPr>
                <w:rFonts w:ascii="Times New Roman" w:hAnsi="宋体" w:eastAsia="Times New Roman" w:cs="宋体"/>
                <w:sz w:val="21"/>
                <w:vertAlign w:val="superscript"/>
              </w:rPr>
              <w:t>2</w:t>
            </w:r>
            <w:r>
              <w:rPr>
                <w:rFonts w:ascii="Times New Roman" w:hAnsi="宋体" w:eastAsia="Times New Roman" w:cs="宋体"/>
                <w:sz w:val="21"/>
              </w:rPr>
              <w:t>；主要设置拔丝生产线等</w:t>
            </w:r>
          </w:p>
        </w:tc>
        <w:tc>
          <w:tcPr>
            <w:tcW w:w="595" w:type="pct"/>
            <w:tcBorders>
              <w:left w:val="single" w:color="auto" w:sz="4" w:space="0"/>
            </w:tcBorders>
            <w:noWrap w:val="0"/>
            <w:vAlign w:val="center"/>
          </w:tcPr>
          <w:p>
            <w:pPr>
              <w:tabs>
                <w:tab w:val="left" w:pos="3225"/>
              </w:tabs>
              <w:adjustRightInd w:val="0"/>
              <w:snapToGrid w:val="0"/>
              <w:spacing w:line="280" w:lineRule="exact"/>
              <w:ind w:firstLine="210" w:firstLineChars="100"/>
              <w:jc w:val="left"/>
              <w:rPr>
                <w:rFonts w:hint="eastAsia" w:eastAsia="宋体"/>
                <w:snapToGrid w:val="0"/>
                <w:kern w:val="0"/>
                <w:szCs w:val="21"/>
                <w:lang w:val="en-US" w:eastAsia="zh-CN"/>
              </w:rPr>
            </w:pPr>
            <w:r>
              <w:rPr>
                <w:rFonts w:hint="eastAsia"/>
                <w:snapToGrid w:val="0"/>
                <w:kern w:val="0"/>
                <w:szCs w:val="21"/>
                <w:lang w:val="en-US" w:eastAsia="zh-CN"/>
              </w:rPr>
              <w:t>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551" w:hRule="exact"/>
          <w:jc w:val="center"/>
        </w:trPr>
        <w:tc>
          <w:tcPr>
            <w:tcW w:w="217" w:type="pct"/>
            <w:vMerge w:val="continue"/>
            <w:noWrap w:val="0"/>
            <w:vAlign w:val="center"/>
          </w:tcPr>
          <w:p>
            <w:pPr>
              <w:tabs>
                <w:tab w:val="left" w:pos="3225"/>
              </w:tabs>
              <w:adjustRightInd w:val="0"/>
              <w:snapToGrid w:val="0"/>
              <w:jc w:val="center"/>
              <w:rPr>
                <w:snapToGrid w:val="0"/>
                <w:kern w:val="0"/>
                <w:szCs w:val="21"/>
              </w:rPr>
            </w:pPr>
          </w:p>
        </w:tc>
        <w:tc>
          <w:tcPr>
            <w:tcW w:w="349" w:type="pct"/>
            <w:vMerge w:val="continue"/>
            <w:noWrap w:val="0"/>
            <w:vAlign w:val="center"/>
          </w:tcPr>
          <w:p>
            <w:pPr>
              <w:adjustRightInd w:val="0"/>
              <w:snapToGrid w:val="0"/>
              <w:jc w:val="center"/>
              <w:rPr>
                <w:sz w:val="21"/>
                <w:szCs w:val="21"/>
              </w:rPr>
            </w:pPr>
          </w:p>
        </w:tc>
        <w:tc>
          <w:tcPr>
            <w:tcW w:w="591" w:type="pct"/>
            <w:noWrap w:val="0"/>
            <w:vAlign w:val="top"/>
          </w:tcPr>
          <w:p>
            <w:pPr>
              <w:pStyle w:val="123"/>
              <w:ind w:left="16"/>
              <w:jc w:val="center"/>
              <w:rPr>
                <w:rFonts w:ascii="Times New Roman" w:hAnsi="宋体" w:eastAsia="Times New Roman" w:cs="宋体"/>
                <w:sz w:val="21"/>
              </w:rPr>
            </w:pPr>
            <w:r>
              <w:rPr>
                <w:rFonts w:ascii="Times New Roman" w:hAnsi="宋体" w:eastAsia="Times New Roman" w:cs="宋体"/>
                <w:sz w:val="21"/>
              </w:rPr>
              <w:t>切丝</w:t>
            </w:r>
          </w:p>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车间</w:t>
            </w:r>
          </w:p>
        </w:tc>
        <w:tc>
          <w:tcPr>
            <w:tcW w:w="1593" w:type="pct"/>
            <w:noWrap w:val="0"/>
            <w:vAlign w:val="center"/>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1 座，建筑面积 720m</w:t>
            </w:r>
            <w:r>
              <w:rPr>
                <w:rFonts w:ascii="Times New Roman" w:hAnsi="宋体" w:eastAsia="Times New Roman" w:cs="宋体"/>
                <w:sz w:val="21"/>
                <w:vertAlign w:val="superscript"/>
              </w:rPr>
              <w:t>2</w:t>
            </w:r>
            <w:r>
              <w:rPr>
                <w:rFonts w:ascii="Times New Roman" w:hAnsi="宋体" w:eastAsia="Times New Roman" w:cs="宋体"/>
                <w:sz w:val="21"/>
              </w:rPr>
              <w:t>；主要设置切丝生产线等</w:t>
            </w:r>
          </w:p>
        </w:tc>
        <w:tc>
          <w:tcPr>
            <w:tcW w:w="1652" w:type="pct"/>
            <w:tcBorders>
              <w:right w:val="single" w:color="auto" w:sz="4" w:space="0"/>
            </w:tcBorders>
            <w:noWrap w:val="0"/>
            <w:vAlign w:val="center"/>
          </w:tcPr>
          <w:p>
            <w:pPr>
              <w:pStyle w:val="123"/>
              <w:ind w:left="16" w:leftChars="0"/>
              <w:jc w:val="center"/>
              <w:rPr>
                <w:rFonts w:ascii="Times New Roman" w:hAnsi="宋体" w:eastAsia="Times New Roman" w:cs="宋体"/>
                <w:kern w:val="2"/>
                <w:sz w:val="21"/>
                <w:szCs w:val="24"/>
                <w:lang w:val="en-US" w:eastAsia="zh-CN" w:bidi="zh-CN"/>
              </w:rPr>
            </w:pPr>
            <w:r>
              <w:rPr>
                <w:rFonts w:ascii="Times New Roman" w:hAnsi="宋体" w:eastAsia="Times New Roman" w:cs="宋体"/>
                <w:sz w:val="21"/>
              </w:rPr>
              <w:t>1 座，建筑面积 720m</w:t>
            </w:r>
            <w:r>
              <w:rPr>
                <w:rFonts w:ascii="Times New Roman" w:hAnsi="宋体" w:eastAsia="Times New Roman" w:cs="宋体"/>
                <w:sz w:val="21"/>
                <w:vertAlign w:val="superscript"/>
              </w:rPr>
              <w:t>2</w:t>
            </w:r>
            <w:r>
              <w:rPr>
                <w:rFonts w:ascii="Times New Roman" w:hAnsi="宋体" w:eastAsia="Times New Roman" w:cs="宋体"/>
                <w:sz w:val="21"/>
              </w:rPr>
              <w:t>；主要设置切丝生产线等</w:t>
            </w:r>
          </w:p>
        </w:tc>
        <w:tc>
          <w:tcPr>
            <w:tcW w:w="595" w:type="pct"/>
            <w:tcBorders>
              <w:left w:val="single" w:color="auto" w:sz="4" w:space="0"/>
            </w:tcBorders>
            <w:noWrap w:val="0"/>
            <w:vAlign w:val="center"/>
          </w:tcPr>
          <w:p>
            <w:pPr>
              <w:tabs>
                <w:tab w:val="left" w:pos="3225"/>
              </w:tabs>
              <w:adjustRightInd w:val="0"/>
              <w:snapToGrid w:val="0"/>
              <w:spacing w:line="280" w:lineRule="exact"/>
              <w:ind w:firstLine="210" w:firstLineChars="100"/>
              <w:jc w:val="left"/>
              <w:rPr>
                <w:rFonts w:hint="default"/>
                <w:snapToGrid w:val="0"/>
                <w:kern w:val="0"/>
                <w:szCs w:val="21"/>
                <w:lang w:val="en-US" w:eastAsia="zh-CN"/>
              </w:rPr>
            </w:pPr>
            <w:r>
              <w:rPr>
                <w:rFonts w:hint="eastAsia"/>
                <w:snapToGrid w:val="0"/>
                <w:kern w:val="0"/>
                <w:szCs w:val="21"/>
                <w:lang w:val="en-US" w:eastAsia="zh-CN"/>
              </w:rPr>
              <w:t>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587" w:hRule="exact"/>
          <w:jc w:val="center"/>
        </w:trPr>
        <w:tc>
          <w:tcPr>
            <w:tcW w:w="217" w:type="pct"/>
            <w:vMerge w:val="continue"/>
            <w:noWrap w:val="0"/>
            <w:vAlign w:val="center"/>
          </w:tcPr>
          <w:p>
            <w:pPr>
              <w:tabs>
                <w:tab w:val="left" w:pos="3225"/>
              </w:tabs>
              <w:adjustRightInd w:val="0"/>
              <w:snapToGrid w:val="0"/>
              <w:jc w:val="center"/>
              <w:rPr>
                <w:snapToGrid w:val="0"/>
                <w:kern w:val="0"/>
                <w:szCs w:val="21"/>
              </w:rPr>
            </w:pPr>
          </w:p>
        </w:tc>
        <w:tc>
          <w:tcPr>
            <w:tcW w:w="349" w:type="pct"/>
            <w:vMerge w:val="continue"/>
            <w:noWrap w:val="0"/>
            <w:vAlign w:val="center"/>
          </w:tcPr>
          <w:p>
            <w:pPr>
              <w:adjustRightInd w:val="0"/>
              <w:snapToGrid w:val="0"/>
              <w:jc w:val="center"/>
              <w:rPr>
                <w:sz w:val="21"/>
                <w:szCs w:val="21"/>
              </w:rPr>
            </w:pPr>
          </w:p>
        </w:tc>
        <w:tc>
          <w:tcPr>
            <w:tcW w:w="591" w:type="pct"/>
            <w:noWrap w:val="0"/>
            <w:vAlign w:val="top"/>
          </w:tcPr>
          <w:p>
            <w:pPr>
              <w:pStyle w:val="123"/>
              <w:ind w:left="16"/>
              <w:jc w:val="center"/>
              <w:rPr>
                <w:rFonts w:ascii="Times New Roman" w:hAnsi="宋体" w:eastAsia="Times New Roman" w:cs="宋体"/>
                <w:sz w:val="21"/>
              </w:rPr>
            </w:pPr>
            <w:r>
              <w:rPr>
                <w:rFonts w:ascii="Times New Roman" w:hAnsi="宋体" w:eastAsia="Times New Roman" w:cs="宋体"/>
                <w:sz w:val="21"/>
              </w:rPr>
              <w:t>研磨</w:t>
            </w:r>
          </w:p>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车间</w:t>
            </w:r>
          </w:p>
        </w:tc>
        <w:tc>
          <w:tcPr>
            <w:tcW w:w="1593" w:type="pct"/>
            <w:noWrap w:val="0"/>
            <w:vAlign w:val="center"/>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1 座，建筑面积 3360m</w:t>
            </w:r>
            <w:r>
              <w:rPr>
                <w:rFonts w:ascii="Times New Roman" w:hAnsi="宋体" w:eastAsia="Times New Roman" w:cs="宋体"/>
                <w:sz w:val="21"/>
                <w:vertAlign w:val="superscript"/>
              </w:rPr>
              <w:t>2</w:t>
            </w:r>
            <w:r>
              <w:rPr>
                <w:rFonts w:ascii="Times New Roman" w:hAnsi="宋体" w:eastAsia="Times New Roman" w:cs="宋体"/>
                <w:sz w:val="21"/>
              </w:rPr>
              <w:t>；主要设置研磨生产线等</w:t>
            </w:r>
          </w:p>
        </w:tc>
        <w:tc>
          <w:tcPr>
            <w:tcW w:w="1652" w:type="pct"/>
            <w:tcBorders>
              <w:right w:val="single" w:color="auto" w:sz="4" w:space="0"/>
            </w:tcBorders>
            <w:noWrap w:val="0"/>
            <w:vAlign w:val="top"/>
          </w:tcPr>
          <w:p>
            <w:pPr>
              <w:pStyle w:val="123"/>
              <w:ind w:left="16" w:leftChars="0"/>
              <w:jc w:val="center"/>
              <w:rPr>
                <w:rFonts w:ascii="Times New Roman" w:hAnsi="宋体" w:eastAsia="Times New Roman" w:cs="宋体"/>
                <w:kern w:val="2"/>
                <w:sz w:val="21"/>
                <w:szCs w:val="24"/>
                <w:lang w:val="en-US" w:eastAsia="zh-CN" w:bidi="zh-CN"/>
              </w:rPr>
            </w:pPr>
            <w:r>
              <w:rPr>
                <w:rFonts w:ascii="Times New Roman" w:hAnsi="宋体" w:eastAsia="Times New Roman" w:cs="宋体"/>
                <w:sz w:val="21"/>
              </w:rPr>
              <w:t>1 座，建筑面积 3360m</w:t>
            </w:r>
            <w:r>
              <w:rPr>
                <w:rFonts w:ascii="Times New Roman" w:hAnsi="宋体" w:eastAsia="Times New Roman" w:cs="宋体"/>
                <w:sz w:val="21"/>
                <w:vertAlign w:val="superscript"/>
              </w:rPr>
              <w:t>2</w:t>
            </w:r>
            <w:r>
              <w:rPr>
                <w:rFonts w:ascii="Times New Roman" w:hAnsi="宋体" w:eastAsia="Times New Roman" w:cs="宋体"/>
                <w:sz w:val="21"/>
              </w:rPr>
              <w:t>；主要设置研磨生产线等</w:t>
            </w:r>
          </w:p>
        </w:tc>
        <w:tc>
          <w:tcPr>
            <w:tcW w:w="595" w:type="pct"/>
            <w:tcBorders>
              <w:left w:val="single" w:color="auto" w:sz="4" w:space="0"/>
            </w:tcBorders>
            <w:noWrap w:val="0"/>
            <w:vAlign w:val="center"/>
          </w:tcPr>
          <w:p>
            <w:pPr>
              <w:tabs>
                <w:tab w:val="left" w:pos="3225"/>
              </w:tabs>
              <w:adjustRightInd w:val="0"/>
              <w:snapToGrid w:val="0"/>
              <w:spacing w:line="280" w:lineRule="exact"/>
              <w:ind w:firstLine="210" w:firstLineChars="100"/>
              <w:jc w:val="left"/>
              <w:rPr>
                <w:rFonts w:hint="default"/>
                <w:snapToGrid w:val="0"/>
                <w:kern w:val="0"/>
                <w:szCs w:val="21"/>
                <w:lang w:val="en-US" w:eastAsia="zh-CN"/>
              </w:rPr>
            </w:pPr>
            <w:r>
              <w:rPr>
                <w:rFonts w:hint="eastAsia"/>
                <w:snapToGrid w:val="0"/>
                <w:kern w:val="0"/>
                <w:szCs w:val="21"/>
                <w:lang w:val="en-US" w:eastAsia="zh-CN"/>
              </w:rPr>
              <w:t>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552" w:hRule="exact"/>
          <w:jc w:val="center"/>
        </w:trPr>
        <w:tc>
          <w:tcPr>
            <w:tcW w:w="217" w:type="pct"/>
            <w:vMerge w:val="continue"/>
            <w:noWrap w:val="0"/>
            <w:vAlign w:val="center"/>
          </w:tcPr>
          <w:p>
            <w:pPr>
              <w:tabs>
                <w:tab w:val="left" w:pos="3225"/>
              </w:tabs>
              <w:adjustRightInd w:val="0"/>
              <w:snapToGrid w:val="0"/>
              <w:jc w:val="center"/>
              <w:rPr>
                <w:snapToGrid w:val="0"/>
                <w:kern w:val="0"/>
                <w:szCs w:val="21"/>
              </w:rPr>
            </w:pPr>
          </w:p>
        </w:tc>
        <w:tc>
          <w:tcPr>
            <w:tcW w:w="349" w:type="pct"/>
            <w:vMerge w:val="continue"/>
            <w:noWrap w:val="0"/>
            <w:vAlign w:val="center"/>
          </w:tcPr>
          <w:p>
            <w:pPr>
              <w:adjustRightInd w:val="0"/>
              <w:snapToGrid w:val="0"/>
              <w:jc w:val="center"/>
              <w:rPr>
                <w:sz w:val="21"/>
                <w:szCs w:val="21"/>
              </w:rPr>
            </w:pPr>
          </w:p>
        </w:tc>
        <w:tc>
          <w:tcPr>
            <w:tcW w:w="591" w:type="pct"/>
            <w:noWrap w:val="0"/>
            <w:vAlign w:val="center"/>
          </w:tcPr>
          <w:p>
            <w:pPr>
              <w:pStyle w:val="123"/>
              <w:jc w:val="both"/>
              <w:rPr>
                <w:rFonts w:ascii="Times New Roman" w:hAnsi="宋体" w:eastAsia="Times New Roman" w:cs="宋体"/>
                <w:sz w:val="21"/>
                <w:lang w:val="en-US" w:eastAsia="zh-CN"/>
              </w:rPr>
            </w:pPr>
            <w:r>
              <w:rPr>
                <w:rFonts w:ascii="Times New Roman" w:hAnsi="宋体" w:eastAsia="Times New Roman" w:cs="宋体"/>
                <w:sz w:val="21"/>
              </w:rPr>
              <w:t>破碎(热</w:t>
            </w:r>
            <w:r>
              <w:rPr>
                <w:rFonts w:hint="eastAsia" w:ascii="Times New Roman" w:hAnsi="宋体" w:eastAsia="Times New Roman" w:cs="宋体"/>
                <w:sz w:val="21"/>
                <w:lang w:val="en-US" w:eastAsia="zh-CN"/>
              </w:rPr>
              <w:t>处</w:t>
            </w:r>
            <w:r>
              <w:rPr>
                <w:rFonts w:ascii="Times New Roman" w:hAnsi="宋体" w:eastAsia="Times New Roman" w:cs="宋体"/>
                <w:sz w:val="21"/>
              </w:rPr>
              <w:t>理)车间</w:t>
            </w:r>
          </w:p>
        </w:tc>
        <w:tc>
          <w:tcPr>
            <w:tcW w:w="1593" w:type="pct"/>
            <w:noWrap w:val="0"/>
            <w:vAlign w:val="center"/>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1 座，建筑面积 2592m</w:t>
            </w:r>
            <w:r>
              <w:rPr>
                <w:rFonts w:ascii="Times New Roman" w:hAnsi="宋体" w:eastAsia="Times New Roman" w:cs="宋体"/>
                <w:sz w:val="21"/>
                <w:vertAlign w:val="superscript"/>
              </w:rPr>
              <w:t>2</w:t>
            </w:r>
            <w:r>
              <w:rPr>
                <w:rFonts w:ascii="Times New Roman" w:hAnsi="宋体" w:eastAsia="Times New Roman" w:cs="宋体"/>
                <w:sz w:val="21"/>
              </w:rPr>
              <w:t>；主要设置破碎生产线、热处理线等</w:t>
            </w:r>
          </w:p>
        </w:tc>
        <w:tc>
          <w:tcPr>
            <w:tcW w:w="1652" w:type="pct"/>
            <w:tcBorders>
              <w:right w:val="single" w:color="auto" w:sz="4" w:space="0"/>
            </w:tcBorders>
            <w:noWrap w:val="0"/>
            <w:vAlign w:val="top"/>
          </w:tcPr>
          <w:p>
            <w:pPr>
              <w:pStyle w:val="123"/>
              <w:ind w:left="16" w:leftChars="0"/>
              <w:jc w:val="center"/>
              <w:rPr>
                <w:rFonts w:ascii="Times New Roman" w:hAnsi="宋体" w:eastAsia="Times New Roman" w:cs="宋体"/>
                <w:kern w:val="2"/>
                <w:sz w:val="21"/>
                <w:szCs w:val="24"/>
                <w:lang w:val="en-US" w:eastAsia="zh-CN" w:bidi="zh-CN"/>
              </w:rPr>
            </w:pPr>
            <w:r>
              <w:rPr>
                <w:rFonts w:ascii="Times New Roman" w:hAnsi="宋体" w:eastAsia="Times New Roman" w:cs="宋体"/>
                <w:sz w:val="21"/>
              </w:rPr>
              <w:t>1 座，建筑面积 2592m</w:t>
            </w:r>
            <w:r>
              <w:rPr>
                <w:rFonts w:ascii="Times New Roman" w:hAnsi="宋体" w:eastAsia="Times New Roman" w:cs="宋体"/>
                <w:sz w:val="21"/>
                <w:vertAlign w:val="superscript"/>
              </w:rPr>
              <w:t>2</w:t>
            </w:r>
            <w:r>
              <w:rPr>
                <w:rFonts w:ascii="Times New Roman" w:hAnsi="宋体" w:eastAsia="Times New Roman" w:cs="宋体"/>
                <w:sz w:val="21"/>
              </w:rPr>
              <w:t>；主要设置破碎生产线、热处理线等</w:t>
            </w:r>
          </w:p>
        </w:tc>
        <w:tc>
          <w:tcPr>
            <w:tcW w:w="595" w:type="pct"/>
            <w:tcBorders>
              <w:left w:val="single" w:color="auto" w:sz="4" w:space="0"/>
            </w:tcBorders>
            <w:noWrap w:val="0"/>
            <w:vAlign w:val="center"/>
          </w:tcPr>
          <w:p>
            <w:pPr>
              <w:tabs>
                <w:tab w:val="left" w:pos="3225"/>
              </w:tabs>
              <w:adjustRightInd w:val="0"/>
              <w:snapToGrid w:val="0"/>
              <w:spacing w:line="280" w:lineRule="exact"/>
              <w:ind w:firstLine="210" w:firstLineChars="100"/>
              <w:jc w:val="left"/>
              <w:rPr>
                <w:rFonts w:hint="default"/>
                <w:snapToGrid w:val="0"/>
                <w:kern w:val="0"/>
                <w:szCs w:val="21"/>
                <w:lang w:val="en-US" w:eastAsia="zh-CN"/>
              </w:rPr>
            </w:pPr>
            <w:r>
              <w:rPr>
                <w:rFonts w:hint="eastAsia"/>
                <w:snapToGrid w:val="0"/>
                <w:kern w:val="0"/>
                <w:szCs w:val="21"/>
                <w:lang w:val="en-US" w:eastAsia="zh-CN"/>
              </w:rPr>
              <w:t>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545" w:hRule="exact"/>
          <w:jc w:val="center"/>
        </w:trPr>
        <w:tc>
          <w:tcPr>
            <w:tcW w:w="217" w:type="pct"/>
            <w:vMerge w:val="continue"/>
            <w:noWrap w:val="0"/>
            <w:vAlign w:val="center"/>
          </w:tcPr>
          <w:p>
            <w:pPr>
              <w:tabs>
                <w:tab w:val="left" w:pos="3225"/>
              </w:tabs>
              <w:adjustRightInd w:val="0"/>
              <w:snapToGrid w:val="0"/>
              <w:jc w:val="center"/>
              <w:rPr>
                <w:snapToGrid w:val="0"/>
                <w:kern w:val="0"/>
                <w:szCs w:val="21"/>
              </w:rPr>
            </w:pPr>
          </w:p>
        </w:tc>
        <w:tc>
          <w:tcPr>
            <w:tcW w:w="349" w:type="pct"/>
            <w:vMerge w:val="continue"/>
            <w:noWrap w:val="0"/>
            <w:vAlign w:val="center"/>
          </w:tcPr>
          <w:p>
            <w:pPr>
              <w:adjustRightInd w:val="0"/>
              <w:snapToGrid w:val="0"/>
              <w:jc w:val="center"/>
              <w:rPr>
                <w:sz w:val="21"/>
                <w:szCs w:val="21"/>
              </w:rPr>
            </w:pPr>
          </w:p>
        </w:tc>
        <w:tc>
          <w:tcPr>
            <w:tcW w:w="591" w:type="pct"/>
            <w:noWrap w:val="0"/>
            <w:vAlign w:val="top"/>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分筛包装车间</w:t>
            </w:r>
          </w:p>
        </w:tc>
        <w:tc>
          <w:tcPr>
            <w:tcW w:w="1593" w:type="pct"/>
            <w:noWrap w:val="0"/>
            <w:vAlign w:val="center"/>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1 座，建筑面积 3096m</w:t>
            </w:r>
            <w:r>
              <w:rPr>
                <w:rFonts w:ascii="Times New Roman" w:hAnsi="宋体" w:eastAsia="Times New Roman" w:cs="宋体"/>
                <w:sz w:val="21"/>
                <w:vertAlign w:val="superscript"/>
              </w:rPr>
              <w:t>2</w:t>
            </w:r>
            <w:r>
              <w:rPr>
                <w:rFonts w:ascii="Times New Roman" w:hAnsi="宋体" w:eastAsia="Times New Roman" w:cs="宋体"/>
                <w:sz w:val="21"/>
              </w:rPr>
              <w:t>；主要设置分筛生产线、包装生产线等</w:t>
            </w:r>
          </w:p>
        </w:tc>
        <w:tc>
          <w:tcPr>
            <w:tcW w:w="1652" w:type="pct"/>
            <w:tcBorders>
              <w:right w:val="single" w:color="auto" w:sz="4" w:space="0"/>
            </w:tcBorders>
            <w:noWrap w:val="0"/>
            <w:vAlign w:val="top"/>
          </w:tcPr>
          <w:p>
            <w:pPr>
              <w:pStyle w:val="123"/>
              <w:ind w:left="16" w:leftChars="0"/>
              <w:jc w:val="center"/>
              <w:rPr>
                <w:rFonts w:ascii="Times New Roman" w:hAnsi="宋体" w:eastAsia="Times New Roman" w:cs="宋体"/>
                <w:kern w:val="2"/>
                <w:sz w:val="21"/>
                <w:szCs w:val="24"/>
                <w:lang w:val="en-US" w:eastAsia="zh-CN" w:bidi="zh-CN"/>
              </w:rPr>
            </w:pPr>
            <w:r>
              <w:rPr>
                <w:rFonts w:ascii="Times New Roman" w:hAnsi="宋体" w:eastAsia="Times New Roman" w:cs="宋体"/>
                <w:sz w:val="21"/>
              </w:rPr>
              <w:t>1 座，建筑面积 3096m</w:t>
            </w:r>
            <w:r>
              <w:rPr>
                <w:rFonts w:ascii="Times New Roman" w:hAnsi="宋体" w:eastAsia="Times New Roman" w:cs="宋体"/>
                <w:sz w:val="21"/>
                <w:vertAlign w:val="superscript"/>
              </w:rPr>
              <w:t>2</w:t>
            </w:r>
            <w:r>
              <w:rPr>
                <w:rFonts w:ascii="Times New Roman" w:hAnsi="宋体" w:eastAsia="Times New Roman" w:cs="宋体"/>
                <w:sz w:val="21"/>
              </w:rPr>
              <w:t>；主要设置分筛生产线、包装生产线等</w:t>
            </w:r>
          </w:p>
        </w:tc>
        <w:tc>
          <w:tcPr>
            <w:tcW w:w="595" w:type="pct"/>
            <w:tcBorders>
              <w:left w:val="single" w:color="auto" w:sz="4" w:space="0"/>
            </w:tcBorders>
            <w:noWrap w:val="0"/>
            <w:vAlign w:val="center"/>
          </w:tcPr>
          <w:p>
            <w:pPr>
              <w:tabs>
                <w:tab w:val="left" w:pos="3225"/>
              </w:tabs>
              <w:adjustRightInd w:val="0"/>
              <w:snapToGrid w:val="0"/>
              <w:spacing w:line="280" w:lineRule="exact"/>
              <w:ind w:firstLine="210" w:firstLineChars="100"/>
              <w:jc w:val="left"/>
              <w:rPr>
                <w:rFonts w:hint="default"/>
                <w:snapToGrid w:val="0"/>
                <w:kern w:val="0"/>
                <w:szCs w:val="21"/>
                <w:lang w:val="en-US" w:eastAsia="zh-CN"/>
              </w:rPr>
            </w:pPr>
            <w:r>
              <w:rPr>
                <w:rFonts w:hint="eastAsia"/>
                <w:snapToGrid w:val="0"/>
                <w:kern w:val="0"/>
                <w:szCs w:val="21"/>
                <w:lang w:val="en-US" w:eastAsia="zh-CN"/>
              </w:rPr>
              <w:t>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90" w:hRule="exact"/>
          <w:jc w:val="center"/>
        </w:trPr>
        <w:tc>
          <w:tcPr>
            <w:tcW w:w="217" w:type="pct"/>
            <w:vMerge w:val="restart"/>
            <w:noWrap w:val="0"/>
            <w:vAlign w:val="center"/>
          </w:tcPr>
          <w:p>
            <w:pPr>
              <w:tabs>
                <w:tab w:val="left" w:pos="3225"/>
              </w:tabs>
              <w:adjustRightInd w:val="0"/>
              <w:snapToGrid w:val="0"/>
              <w:jc w:val="center"/>
              <w:rPr>
                <w:snapToGrid w:val="0"/>
                <w:kern w:val="0"/>
                <w:szCs w:val="21"/>
              </w:rPr>
            </w:pPr>
            <w:r>
              <w:rPr>
                <w:snapToGrid w:val="0"/>
                <w:kern w:val="0"/>
                <w:szCs w:val="21"/>
              </w:rPr>
              <w:t>2</w:t>
            </w:r>
          </w:p>
        </w:tc>
        <w:tc>
          <w:tcPr>
            <w:tcW w:w="349" w:type="pct"/>
            <w:vMerge w:val="restart"/>
            <w:noWrap w:val="0"/>
            <w:vAlign w:val="center"/>
          </w:tcPr>
          <w:p>
            <w:pPr>
              <w:adjustRightInd w:val="0"/>
              <w:snapToGrid w:val="0"/>
              <w:jc w:val="center"/>
              <w:rPr>
                <w:rFonts w:ascii="Times New Roman" w:hAnsi="Times New Roman" w:eastAsia="宋体" w:cs="Times New Roman"/>
                <w:kern w:val="2"/>
                <w:sz w:val="21"/>
                <w:szCs w:val="21"/>
                <w:lang w:val="en-US" w:eastAsia="zh-CN" w:bidi="ar-SA"/>
              </w:rPr>
            </w:pPr>
            <w:r>
              <w:rPr>
                <w:sz w:val="21"/>
                <w:szCs w:val="21"/>
              </w:rPr>
              <w:t>储运工程</w:t>
            </w:r>
          </w:p>
        </w:tc>
        <w:tc>
          <w:tcPr>
            <w:tcW w:w="591" w:type="pct"/>
            <w:noWrap w:val="0"/>
            <w:vAlign w:val="top"/>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原料库</w:t>
            </w:r>
          </w:p>
        </w:tc>
        <w:tc>
          <w:tcPr>
            <w:tcW w:w="1593" w:type="pct"/>
            <w:noWrap w:val="0"/>
            <w:vAlign w:val="center"/>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1 座，建筑面积 960m</w:t>
            </w:r>
            <w:r>
              <w:rPr>
                <w:rFonts w:ascii="Times New Roman" w:hAnsi="宋体" w:eastAsia="Times New Roman" w:cs="宋体"/>
                <w:sz w:val="21"/>
                <w:vertAlign w:val="superscript"/>
              </w:rPr>
              <w:t>2</w:t>
            </w:r>
          </w:p>
        </w:tc>
        <w:tc>
          <w:tcPr>
            <w:tcW w:w="1652" w:type="pct"/>
            <w:tcBorders>
              <w:right w:val="single" w:color="auto" w:sz="4" w:space="0"/>
            </w:tcBorders>
            <w:noWrap w:val="0"/>
            <w:vAlign w:val="top"/>
          </w:tcPr>
          <w:p>
            <w:pPr>
              <w:pStyle w:val="123"/>
              <w:ind w:left="16" w:leftChars="0"/>
              <w:jc w:val="center"/>
              <w:rPr>
                <w:rFonts w:ascii="Times New Roman" w:hAnsi="宋体" w:eastAsia="Times New Roman" w:cs="宋体"/>
                <w:kern w:val="2"/>
                <w:sz w:val="21"/>
                <w:szCs w:val="24"/>
                <w:lang w:val="en-US" w:eastAsia="zh-CN" w:bidi="zh-CN"/>
              </w:rPr>
            </w:pPr>
            <w:r>
              <w:rPr>
                <w:rFonts w:ascii="Times New Roman" w:hAnsi="宋体" w:eastAsia="Times New Roman" w:cs="宋体"/>
                <w:sz w:val="21"/>
              </w:rPr>
              <w:t>1 座，建筑面积 960m</w:t>
            </w:r>
            <w:r>
              <w:rPr>
                <w:rFonts w:ascii="Times New Roman" w:hAnsi="宋体" w:eastAsia="Times New Roman" w:cs="宋体"/>
                <w:sz w:val="21"/>
                <w:vertAlign w:val="superscript"/>
              </w:rPr>
              <w:t>2</w:t>
            </w:r>
          </w:p>
        </w:tc>
        <w:tc>
          <w:tcPr>
            <w:tcW w:w="595" w:type="pct"/>
            <w:tcBorders>
              <w:left w:val="single" w:color="auto" w:sz="4" w:space="0"/>
            </w:tcBorders>
            <w:noWrap w:val="0"/>
            <w:vAlign w:val="center"/>
          </w:tcPr>
          <w:p>
            <w:pPr>
              <w:tabs>
                <w:tab w:val="left" w:pos="3225"/>
              </w:tabs>
              <w:adjustRightInd w:val="0"/>
              <w:snapToGrid w:val="0"/>
              <w:spacing w:line="280" w:lineRule="exact"/>
              <w:ind w:firstLine="210" w:firstLineChars="100"/>
              <w:jc w:val="left"/>
              <w:rPr>
                <w:rFonts w:hint="eastAsia"/>
                <w:snapToGrid w:val="0"/>
                <w:kern w:val="0"/>
                <w:szCs w:val="21"/>
                <w:lang w:val="en-US" w:eastAsia="zh-CN"/>
              </w:rPr>
            </w:pPr>
            <w:r>
              <w:rPr>
                <w:rFonts w:hint="eastAsia"/>
                <w:snapToGrid w:val="0"/>
                <w:kern w:val="0"/>
                <w:szCs w:val="21"/>
                <w:lang w:val="en-US" w:eastAsia="zh-CN"/>
              </w:rPr>
              <w:t>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08" w:hRule="exact"/>
          <w:jc w:val="center"/>
        </w:trPr>
        <w:tc>
          <w:tcPr>
            <w:tcW w:w="217" w:type="pct"/>
            <w:vMerge w:val="continue"/>
            <w:noWrap w:val="0"/>
            <w:vAlign w:val="center"/>
          </w:tcPr>
          <w:p>
            <w:pPr>
              <w:tabs>
                <w:tab w:val="left" w:pos="3225"/>
              </w:tabs>
              <w:adjustRightInd w:val="0"/>
              <w:snapToGrid w:val="0"/>
              <w:jc w:val="center"/>
              <w:rPr>
                <w:snapToGrid w:val="0"/>
                <w:kern w:val="0"/>
                <w:szCs w:val="21"/>
              </w:rPr>
            </w:pPr>
          </w:p>
        </w:tc>
        <w:tc>
          <w:tcPr>
            <w:tcW w:w="349" w:type="pct"/>
            <w:vMerge w:val="continue"/>
            <w:noWrap w:val="0"/>
            <w:vAlign w:val="center"/>
          </w:tcPr>
          <w:p>
            <w:pPr>
              <w:adjustRightInd w:val="0"/>
              <w:snapToGrid w:val="0"/>
              <w:jc w:val="center"/>
              <w:rPr>
                <w:sz w:val="21"/>
                <w:szCs w:val="21"/>
              </w:rPr>
            </w:pPr>
          </w:p>
        </w:tc>
        <w:tc>
          <w:tcPr>
            <w:tcW w:w="591" w:type="pct"/>
            <w:noWrap w:val="0"/>
            <w:vAlign w:val="top"/>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半成品库</w:t>
            </w:r>
          </w:p>
        </w:tc>
        <w:tc>
          <w:tcPr>
            <w:tcW w:w="1593" w:type="pct"/>
            <w:noWrap w:val="0"/>
            <w:vAlign w:val="center"/>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1 座，建筑面积 3600m</w:t>
            </w:r>
            <w:r>
              <w:rPr>
                <w:rFonts w:ascii="Times New Roman" w:hAnsi="宋体" w:eastAsia="Times New Roman" w:cs="宋体"/>
                <w:sz w:val="21"/>
                <w:vertAlign w:val="superscript"/>
              </w:rPr>
              <w:t>2</w:t>
            </w:r>
          </w:p>
        </w:tc>
        <w:tc>
          <w:tcPr>
            <w:tcW w:w="1652" w:type="pct"/>
            <w:tcBorders>
              <w:right w:val="single" w:color="auto" w:sz="4" w:space="0"/>
            </w:tcBorders>
            <w:noWrap w:val="0"/>
            <w:vAlign w:val="top"/>
          </w:tcPr>
          <w:p>
            <w:pPr>
              <w:pStyle w:val="123"/>
              <w:ind w:left="16" w:leftChars="0"/>
              <w:jc w:val="center"/>
              <w:rPr>
                <w:rFonts w:ascii="Times New Roman" w:hAnsi="宋体" w:eastAsia="Times New Roman" w:cs="宋体"/>
                <w:kern w:val="2"/>
                <w:sz w:val="21"/>
                <w:szCs w:val="24"/>
                <w:lang w:val="en-US" w:eastAsia="zh-CN" w:bidi="zh-CN"/>
              </w:rPr>
            </w:pPr>
            <w:r>
              <w:rPr>
                <w:rFonts w:ascii="Times New Roman" w:hAnsi="宋体" w:eastAsia="Times New Roman" w:cs="宋体"/>
                <w:sz w:val="21"/>
              </w:rPr>
              <w:t>1 座，建筑面积 3600m</w:t>
            </w:r>
            <w:r>
              <w:rPr>
                <w:rFonts w:ascii="Times New Roman" w:hAnsi="宋体" w:eastAsia="Times New Roman" w:cs="宋体"/>
                <w:sz w:val="21"/>
                <w:vertAlign w:val="superscript"/>
              </w:rPr>
              <w:t>2</w:t>
            </w:r>
          </w:p>
        </w:tc>
        <w:tc>
          <w:tcPr>
            <w:tcW w:w="595" w:type="pct"/>
            <w:tcBorders>
              <w:left w:val="single" w:color="auto" w:sz="4" w:space="0"/>
            </w:tcBorders>
            <w:noWrap w:val="0"/>
            <w:vAlign w:val="center"/>
          </w:tcPr>
          <w:p>
            <w:pPr>
              <w:tabs>
                <w:tab w:val="left" w:pos="3225"/>
              </w:tabs>
              <w:adjustRightInd w:val="0"/>
              <w:snapToGrid w:val="0"/>
              <w:spacing w:line="280" w:lineRule="exact"/>
              <w:ind w:firstLine="210" w:firstLineChars="100"/>
              <w:jc w:val="left"/>
              <w:rPr>
                <w:rFonts w:hint="default"/>
                <w:snapToGrid w:val="0"/>
                <w:kern w:val="0"/>
                <w:szCs w:val="21"/>
                <w:lang w:val="en-US" w:eastAsia="zh-CN"/>
              </w:rPr>
            </w:pPr>
            <w:r>
              <w:rPr>
                <w:rFonts w:hint="eastAsia"/>
                <w:snapToGrid w:val="0"/>
                <w:kern w:val="0"/>
                <w:szCs w:val="21"/>
                <w:lang w:val="en-US" w:eastAsia="zh-CN"/>
              </w:rPr>
              <w:t>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548" w:hRule="exact"/>
          <w:jc w:val="center"/>
        </w:trPr>
        <w:tc>
          <w:tcPr>
            <w:tcW w:w="217" w:type="pct"/>
            <w:vMerge w:val="continue"/>
            <w:noWrap w:val="0"/>
            <w:vAlign w:val="center"/>
          </w:tcPr>
          <w:p>
            <w:pPr>
              <w:tabs>
                <w:tab w:val="left" w:pos="3225"/>
              </w:tabs>
              <w:adjustRightInd w:val="0"/>
              <w:snapToGrid w:val="0"/>
              <w:jc w:val="center"/>
              <w:rPr>
                <w:snapToGrid w:val="0"/>
                <w:kern w:val="0"/>
                <w:szCs w:val="21"/>
              </w:rPr>
            </w:pPr>
          </w:p>
        </w:tc>
        <w:tc>
          <w:tcPr>
            <w:tcW w:w="349" w:type="pct"/>
            <w:vMerge w:val="continue"/>
            <w:noWrap w:val="0"/>
            <w:vAlign w:val="center"/>
          </w:tcPr>
          <w:p>
            <w:pPr>
              <w:adjustRightInd w:val="0"/>
              <w:snapToGrid w:val="0"/>
              <w:jc w:val="center"/>
              <w:rPr>
                <w:sz w:val="21"/>
                <w:szCs w:val="21"/>
              </w:rPr>
            </w:pPr>
          </w:p>
        </w:tc>
        <w:tc>
          <w:tcPr>
            <w:tcW w:w="591" w:type="pct"/>
            <w:noWrap w:val="0"/>
            <w:vAlign w:val="center"/>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成品库</w:t>
            </w:r>
          </w:p>
        </w:tc>
        <w:tc>
          <w:tcPr>
            <w:tcW w:w="1593" w:type="pct"/>
            <w:noWrap w:val="0"/>
            <w:vAlign w:val="center"/>
          </w:tcPr>
          <w:p>
            <w:pPr>
              <w:pStyle w:val="123"/>
              <w:ind w:left="16"/>
              <w:jc w:val="center"/>
              <w:rPr>
                <w:rFonts w:ascii="Times New Roman" w:hAnsi="宋体" w:eastAsia="Times New Roman" w:cs="宋体"/>
                <w:sz w:val="21"/>
                <w:lang w:val="en-US" w:eastAsia="zh-CN"/>
              </w:rPr>
            </w:pPr>
            <w:r>
              <w:rPr>
                <w:rFonts w:hint="eastAsia" w:ascii="Times New Roman" w:hAnsi="宋体" w:eastAsia="Times New Roman" w:cs="宋体"/>
                <w:sz w:val="21"/>
                <w:lang w:val="en-US" w:eastAsia="zh-CN"/>
              </w:rPr>
              <w:t>3</w:t>
            </w:r>
            <w:r>
              <w:rPr>
                <w:rFonts w:ascii="Times New Roman" w:hAnsi="宋体" w:eastAsia="Times New Roman" w:cs="宋体"/>
                <w:sz w:val="21"/>
              </w:rPr>
              <w:t>座，建筑面积 1152m</w:t>
            </w:r>
            <w:r>
              <w:rPr>
                <w:rFonts w:ascii="Times New Roman" w:hAnsi="宋体" w:eastAsia="Times New Roman" w:cs="宋体"/>
                <w:sz w:val="21"/>
                <w:vertAlign w:val="superscript"/>
              </w:rPr>
              <w:t>2</w:t>
            </w:r>
            <w:r>
              <w:rPr>
                <w:rFonts w:ascii="Times New Roman" w:hAnsi="宋体" w:eastAsia="Times New Roman" w:cs="宋体"/>
                <w:sz w:val="21"/>
              </w:rPr>
              <w:t>/1152m</w:t>
            </w:r>
            <w:r>
              <w:rPr>
                <w:rFonts w:ascii="Times New Roman" w:hAnsi="宋体" w:eastAsia="Times New Roman" w:cs="宋体"/>
                <w:sz w:val="21"/>
                <w:vertAlign w:val="superscript"/>
              </w:rPr>
              <w:t>2</w:t>
            </w:r>
            <w:r>
              <w:rPr>
                <w:rFonts w:ascii="Times New Roman" w:hAnsi="宋体" w:eastAsia="Times New Roman" w:cs="宋体"/>
                <w:sz w:val="21"/>
              </w:rPr>
              <w:t>/1152m</w:t>
            </w:r>
            <w:r>
              <w:rPr>
                <w:rFonts w:ascii="Times New Roman" w:hAnsi="宋体" w:eastAsia="Times New Roman" w:cs="宋体"/>
                <w:sz w:val="21"/>
                <w:vertAlign w:val="superscript"/>
              </w:rPr>
              <w:t>2</w:t>
            </w:r>
          </w:p>
        </w:tc>
        <w:tc>
          <w:tcPr>
            <w:tcW w:w="1652" w:type="pct"/>
            <w:tcBorders>
              <w:right w:val="single" w:color="auto" w:sz="4" w:space="0"/>
            </w:tcBorders>
            <w:noWrap w:val="0"/>
            <w:vAlign w:val="top"/>
          </w:tcPr>
          <w:p>
            <w:pPr>
              <w:pStyle w:val="123"/>
              <w:ind w:left="16" w:leftChars="0"/>
              <w:jc w:val="center"/>
              <w:rPr>
                <w:rFonts w:ascii="Times New Roman" w:hAnsi="宋体" w:eastAsia="Times New Roman" w:cs="宋体"/>
                <w:kern w:val="2"/>
                <w:sz w:val="21"/>
                <w:szCs w:val="24"/>
                <w:lang w:val="en-US" w:eastAsia="zh-CN" w:bidi="zh-CN"/>
              </w:rPr>
            </w:pPr>
            <w:r>
              <w:rPr>
                <w:rFonts w:hint="eastAsia" w:ascii="Times New Roman" w:hAnsi="宋体" w:eastAsia="Times New Roman" w:cs="宋体"/>
                <w:sz w:val="21"/>
                <w:lang w:val="en-US" w:eastAsia="zh-CN"/>
              </w:rPr>
              <w:t>3</w:t>
            </w:r>
            <w:r>
              <w:rPr>
                <w:rFonts w:ascii="Times New Roman" w:hAnsi="宋体" w:eastAsia="Times New Roman" w:cs="宋体"/>
                <w:sz w:val="21"/>
              </w:rPr>
              <w:t>座，建筑面积 1152m</w:t>
            </w:r>
            <w:r>
              <w:rPr>
                <w:rFonts w:ascii="Times New Roman" w:hAnsi="宋体" w:eastAsia="Times New Roman" w:cs="宋体"/>
                <w:sz w:val="21"/>
                <w:vertAlign w:val="superscript"/>
              </w:rPr>
              <w:t>2</w:t>
            </w:r>
            <w:r>
              <w:rPr>
                <w:rFonts w:ascii="Times New Roman" w:hAnsi="宋体" w:eastAsia="Times New Roman" w:cs="宋体"/>
                <w:sz w:val="21"/>
              </w:rPr>
              <w:t>/1152m</w:t>
            </w:r>
            <w:r>
              <w:rPr>
                <w:rFonts w:ascii="Times New Roman" w:hAnsi="宋体" w:eastAsia="Times New Roman" w:cs="宋体"/>
                <w:sz w:val="21"/>
                <w:vertAlign w:val="superscript"/>
              </w:rPr>
              <w:t>2</w:t>
            </w:r>
            <w:r>
              <w:rPr>
                <w:rFonts w:ascii="Times New Roman" w:hAnsi="宋体" w:eastAsia="Times New Roman" w:cs="宋体"/>
                <w:sz w:val="21"/>
              </w:rPr>
              <w:t>/1152m</w:t>
            </w:r>
            <w:r>
              <w:rPr>
                <w:rFonts w:ascii="Times New Roman" w:hAnsi="宋体" w:eastAsia="Times New Roman" w:cs="宋体"/>
                <w:sz w:val="21"/>
                <w:vertAlign w:val="superscript"/>
              </w:rPr>
              <w:t>2</w:t>
            </w:r>
          </w:p>
        </w:tc>
        <w:tc>
          <w:tcPr>
            <w:tcW w:w="595" w:type="pct"/>
            <w:tcBorders>
              <w:left w:val="single" w:color="auto" w:sz="4" w:space="0"/>
            </w:tcBorders>
            <w:noWrap w:val="0"/>
            <w:vAlign w:val="center"/>
          </w:tcPr>
          <w:p>
            <w:pPr>
              <w:tabs>
                <w:tab w:val="left" w:pos="3225"/>
              </w:tabs>
              <w:adjustRightInd w:val="0"/>
              <w:snapToGrid w:val="0"/>
              <w:spacing w:line="280" w:lineRule="exact"/>
              <w:ind w:firstLine="210" w:firstLineChars="100"/>
              <w:jc w:val="left"/>
              <w:rPr>
                <w:rFonts w:hint="default"/>
                <w:snapToGrid w:val="0"/>
                <w:kern w:val="0"/>
                <w:szCs w:val="21"/>
                <w:lang w:val="en-US" w:eastAsia="zh-CN"/>
              </w:rPr>
            </w:pPr>
            <w:r>
              <w:rPr>
                <w:rFonts w:hint="eastAsia"/>
                <w:snapToGrid w:val="0"/>
                <w:kern w:val="0"/>
                <w:szCs w:val="21"/>
                <w:lang w:val="en-US" w:eastAsia="zh-CN"/>
              </w:rPr>
              <w:t>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11" w:hRule="exact"/>
          <w:jc w:val="center"/>
        </w:trPr>
        <w:tc>
          <w:tcPr>
            <w:tcW w:w="217" w:type="pct"/>
            <w:vMerge w:val="restart"/>
            <w:noWrap w:val="0"/>
            <w:vAlign w:val="center"/>
          </w:tcPr>
          <w:p>
            <w:pPr>
              <w:tabs>
                <w:tab w:val="left" w:pos="3225"/>
              </w:tabs>
              <w:adjustRightInd w:val="0"/>
              <w:snapToGrid w:val="0"/>
              <w:jc w:val="center"/>
              <w:rPr>
                <w:snapToGrid w:val="0"/>
                <w:kern w:val="0"/>
                <w:szCs w:val="21"/>
              </w:rPr>
            </w:pPr>
            <w:r>
              <w:rPr>
                <w:snapToGrid w:val="0"/>
                <w:kern w:val="0"/>
                <w:szCs w:val="21"/>
              </w:rPr>
              <w:t>3</w:t>
            </w:r>
          </w:p>
        </w:tc>
        <w:tc>
          <w:tcPr>
            <w:tcW w:w="349" w:type="pct"/>
            <w:vMerge w:val="restart"/>
            <w:noWrap w:val="0"/>
            <w:vAlign w:val="center"/>
          </w:tcPr>
          <w:p>
            <w:pPr>
              <w:adjustRightInd w:val="0"/>
              <w:snapToGrid w:val="0"/>
              <w:jc w:val="center"/>
              <w:rPr>
                <w:rFonts w:ascii="Times New Roman" w:hAnsi="Times New Roman" w:eastAsia="宋体" w:cs="Times New Roman"/>
                <w:kern w:val="2"/>
                <w:sz w:val="21"/>
                <w:szCs w:val="21"/>
                <w:lang w:val="en-US" w:eastAsia="zh-CN" w:bidi="ar-SA"/>
              </w:rPr>
            </w:pPr>
            <w:r>
              <w:rPr>
                <w:rFonts w:hint="eastAsia"/>
                <w:lang w:val="en-US" w:eastAsia="zh-CN"/>
              </w:rPr>
              <w:t xml:space="preserve">   </w:t>
            </w:r>
            <w:r>
              <w:t>辅助工程</w:t>
            </w:r>
          </w:p>
          <w:p>
            <w:pPr>
              <w:widowControl/>
              <w:adjustRightInd w:val="0"/>
              <w:snapToGrid w:val="0"/>
              <w:jc w:val="center"/>
              <w:rPr>
                <w:snapToGrid w:val="0"/>
                <w:kern w:val="0"/>
                <w:szCs w:val="21"/>
              </w:rPr>
            </w:pPr>
          </w:p>
        </w:tc>
        <w:tc>
          <w:tcPr>
            <w:tcW w:w="591" w:type="pct"/>
            <w:noWrap w:val="0"/>
            <w:vAlign w:val="top"/>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空压机房</w:t>
            </w:r>
          </w:p>
        </w:tc>
        <w:tc>
          <w:tcPr>
            <w:tcW w:w="1593" w:type="pct"/>
            <w:noWrap w:val="0"/>
            <w:vAlign w:val="center"/>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1 座，建筑面积 42m</w:t>
            </w:r>
            <w:r>
              <w:rPr>
                <w:rFonts w:ascii="Times New Roman" w:hAnsi="宋体" w:eastAsia="Times New Roman" w:cs="宋体"/>
                <w:sz w:val="21"/>
                <w:vertAlign w:val="superscript"/>
              </w:rPr>
              <w:t>2</w:t>
            </w:r>
          </w:p>
        </w:tc>
        <w:tc>
          <w:tcPr>
            <w:tcW w:w="1652" w:type="pct"/>
            <w:tcBorders>
              <w:right w:val="single" w:color="auto" w:sz="4" w:space="0"/>
            </w:tcBorders>
            <w:noWrap w:val="0"/>
            <w:vAlign w:val="top"/>
          </w:tcPr>
          <w:p>
            <w:pPr>
              <w:pStyle w:val="123"/>
              <w:ind w:left="16" w:leftChars="0"/>
              <w:jc w:val="center"/>
              <w:rPr>
                <w:rFonts w:ascii="Times New Roman" w:hAnsi="宋体" w:eastAsia="Times New Roman" w:cs="宋体"/>
                <w:kern w:val="2"/>
                <w:sz w:val="21"/>
                <w:szCs w:val="24"/>
                <w:lang w:val="en-US" w:eastAsia="zh-CN" w:bidi="zh-CN"/>
              </w:rPr>
            </w:pPr>
            <w:r>
              <w:rPr>
                <w:rFonts w:ascii="Times New Roman" w:hAnsi="宋体" w:eastAsia="Times New Roman" w:cs="宋体"/>
                <w:sz w:val="21"/>
              </w:rPr>
              <w:t>1 座，建筑面积 42m</w:t>
            </w:r>
            <w:r>
              <w:rPr>
                <w:rFonts w:ascii="Times New Roman" w:hAnsi="宋体" w:eastAsia="Times New Roman" w:cs="宋体"/>
                <w:sz w:val="21"/>
                <w:vertAlign w:val="superscript"/>
              </w:rPr>
              <w:t>2</w:t>
            </w:r>
          </w:p>
        </w:tc>
        <w:tc>
          <w:tcPr>
            <w:tcW w:w="595" w:type="pct"/>
            <w:tcBorders>
              <w:left w:val="single" w:color="auto" w:sz="4" w:space="0"/>
            </w:tcBorders>
            <w:noWrap w:val="0"/>
            <w:vAlign w:val="center"/>
          </w:tcPr>
          <w:p>
            <w:pPr>
              <w:tabs>
                <w:tab w:val="left" w:pos="3225"/>
              </w:tabs>
              <w:adjustRightInd w:val="0"/>
              <w:snapToGrid w:val="0"/>
              <w:spacing w:line="280" w:lineRule="exact"/>
              <w:ind w:firstLine="210" w:firstLineChars="100"/>
              <w:jc w:val="left"/>
              <w:rPr>
                <w:rFonts w:hint="eastAsia"/>
                <w:snapToGrid w:val="0"/>
                <w:kern w:val="0"/>
                <w:szCs w:val="21"/>
                <w:lang w:val="en-US" w:eastAsia="zh-CN"/>
              </w:rPr>
            </w:pPr>
            <w:r>
              <w:rPr>
                <w:rFonts w:hint="eastAsia"/>
                <w:snapToGrid w:val="0"/>
                <w:kern w:val="0"/>
                <w:szCs w:val="21"/>
                <w:lang w:val="en-US" w:eastAsia="zh-CN"/>
              </w:rPr>
              <w:t>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563" w:hRule="exact"/>
          <w:jc w:val="center"/>
        </w:trPr>
        <w:tc>
          <w:tcPr>
            <w:tcW w:w="217" w:type="pct"/>
            <w:vMerge w:val="continue"/>
            <w:noWrap w:val="0"/>
            <w:vAlign w:val="center"/>
          </w:tcPr>
          <w:p>
            <w:pPr>
              <w:tabs>
                <w:tab w:val="left" w:pos="3225"/>
              </w:tabs>
              <w:adjustRightInd w:val="0"/>
              <w:snapToGrid w:val="0"/>
              <w:jc w:val="center"/>
              <w:rPr>
                <w:snapToGrid w:val="0"/>
                <w:kern w:val="0"/>
                <w:szCs w:val="21"/>
              </w:rPr>
            </w:pPr>
          </w:p>
        </w:tc>
        <w:tc>
          <w:tcPr>
            <w:tcW w:w="349" w:type="pct"/>
            <w:vMerge w:val="continue"/>
            <w:noWrap w:val="0"/>
            <w:vAlign w:val="center"/>
          </w:tcPr>
          <w:p>
            <w:pPr>
              <w:tabs>
                <w:tab w:val="left" w:pos="3225"/>
              </w:tabs>
              <w:adjustRightInd w:val="0"/>
              <w:snapToGrid w:val="0"/>
              <w:jc w:val="center"/>
              <w:rPr>
                <w:snapToGrid w:val="0"/>
                <w:kern w:val="0"/>
                <w:szCs w:val="21"/>
              </w:rPr>
            </w:pPr>
          </w:p>
        </w:tc>
        <w:tc>
          <w:tcPr>
            <w:tcW w:w="591" w:type="pct"/>
            <w:noWrap w:val="0"/>
            <w:vAlign w:val="top"/>
          </w:tcPr>
          <w:p>
            <w:pPr>
              <w:pStyle w:val="123"/>
              <w:ind w:left="16"/>
              <w:jc w:val="center"/>
              <w:rPr>
                <w:rFonts w:ascii="Times New Roman" w:hAnsi="宋体" w:eastAsia="Times New Roman" w:cs="宋体"/>
                <w:sz w:val="21"/>
              </w:rPr>
            </w:pPr>
            <w:r>
              <w:rPr>
                <w:rFonts w:ascii="Times New Roman" w:hAnsi="宋体" w:eastAsia="Times New Roman" w:cs="宋体"/>
                <w:sz w:val="21"/>
              </w:rPr>
              <w:t>废料</w:t>
            </w:r>
          </w:p>
          <w:p>
            <w:pPr>
              <w:pStyle w:val="123"/>
              <w:ind w:left="16"/>
              <w:jc w:val="center"/>
              <w:rPr>
                <w:rFonts w:hint="eastAsia" w:ascii="Times New Roman" w:hAnsi="宋体" w:eastAsia="Times New Roman" w:cs="宋体"/>
                <w:sz w:val="21"/>
                <w:lang w:val="en-US" w:eastAsia="zh-CN"/>
              </w:rPr>
            </w:pPr>
            <w:r>
              <w:rPr>
                <w:rFonts w:ascii="Times New Roman" w:hAnsi="宋体" w:eastAsia="Times New Roman" w:cs="宋体"/>
                <w:sz w:val="21"/>
              </w:rPr>
              <w:t>库</w:t>
            </w:r>
          </w:p>
        </w:tc>
        <w:tc>
          <w:tcPr>
            <w:tcW w:w="1593" w:type="pct"/>
            <w:noWrap w:val="0"/>
            <w:vAlign w:val="center"/>
          </w:tcPr>
          <w:p>
            <w:pPr>
              <w:pStyle w:val="123"/>
              <w:ind w:left="16"/>
              <w:jc w:val="center"/>
              <w:rPr>
                <w:sz w:val="21"/>
              </w:rPr>
            </w:pPr>
            <w:r>
              <w:rPr>
                <w:rFonts w:ascii="Times New Roman" w:eastAsia="Times New Roman"/>
                <w:sz w:val="21"/>
              </w:rPr>
              <w:t xml:space="preserve">1 </w:t>
            </w:r>
            <w:r>
              <w:rPr>
                <w:sz w:val="21"/>
              </w:rPr>
              <w:t xml:space="preserve">座，建筑面积 </w:t>
            </w:r>
            <w:r>
              <w:rPr>
                <w:rFonts w:ascii="Times New Roman" w:eastAsia="Times New Roman"/>
                <w:sz w:val="21"/>
              </w:rPr>
              <w:t>460m</w:t>
            </w:r>
            <w:r>
              <w:rPr>
                <w:rFonts w:ascii="Times New Roman" w:eastAsia="Times New Roman"/>
                <w:sz w:val="21"/>
                <w:vertAlign w:val="superscript"/>
              </w:rPr>
              <w:t>2</w:t>
            </w:r>
            <w:r>
              <w:rPr>
                <w:sz w:val="21"/>
                <w:vertAlign w:val="baseline"/>
              </w:rPr>
              <w:t>；主要设置一般固废暂存区、</w:t>
            </w:r>
          </w:p>
          <w:p>
            <w:pPr>
              <w:pStyle w:val="123"/>
              <w:spacing w:before="12" w:line="247" w:lineRule="exact"/>
              <w:ind w:left="16" w:leftChars="0"/>
              <w:jc w:val="center"/>
              <w:rPr>
                <w:rFonts w:hint="eastAsia" w:ascii="宋体" w:hAnsi="宋体" w:eastAsia="宋体" w:cs="宋体"/>
                <w:kern w:val="2"/>
                <w:sz w:val="21"/>
                <w:szCs w:val="24"/>
                <w:lang w:val="en-US" w:eastAsia="zh-CN" w:bidi="zh-CN"/>
              </w:rPr>
            </w:pPr>
            <w:r>
              <w:rPr>
                <w:sz w:val="21"/>
              </w:rPr>
              <w:t>危险废物暂存间</w:t>
            </w:r>
          </w:p>
        </w:tc>
        <w:tc>
          <w:tcPr>
            <w:tcW w:w="1652" w:type="pct"/>
            <w:tcBorders>
              <w:right w:val="single" w:color="auto" w:sz="4" w:space="0"/>
            </w:tcBorders>
            <w:noWrap w:val="0"/>
            <w:vAlign w:val="top"/>
          </w:tcPr>
          <w:p>
            <w:pPr>
              <w:pStyle w:val="123"/>
              <w:ind w:left="16"/>
              <w:jc w:val="center"/>
              <w:rPr>
                <w:sz w:val="21"/>
              </w:rPr>
            </w:pPr>
            <w:r>
              <w:rPr>
                <w:rFonts w:ascii="Times New Roman" w:eastAsia="Times New Roman"/>
                <w:sz w:val="21"/>
              </w:rPr>
              <w:t xml:space="preserve">1 </w:t>
            </w:r>
            <w:r>
              <w:rPr>
                <w:sz w:val="21"/>
              </w:rPr>
              <w:t xml:space="preserve">座，建筑面积 </w:t>
            </w:r>
            <w:r>
              <w:rPr>
                <w:rFonts w:ascii="Times New Roman" w:eastAsia="Times New Roman"/>
                <w:sz w:val="21"/>
              </w:rPr>
              <w:t>460m</w:t>
            </w:r>
            <w:r>
              <w:rPr>
                <w:rFonts w:ascii="Times New Roman" w:eastAsia="Times New Roman"/>
                <w:sz w:val="21"/>
                <w:vertAlign w:val="superscript"/>
              </w:rPr>
              <w:t>2</w:t>
            </w:r>
            <w:r>
              <w:rPr>
                <w:sz w:val="21"/>
                <w:vertAlign w:val="baseline"/>
              </w:rPr>
              <w:t>；主要设置一般固废暂存区、</w:t>
            </w:r>
          </w:p>
          <w:p>
            <w:pPr>
              <w:pStyle w:val="123"/>
              <w:spacing w:before="12" w:line="247" w:lineRule="exact"/>
              <w:ind w:left="16" w:leftChars="0"/>
              <w:jc w:val="center"/>
              <w:rPr>
                <w:rFonts w:hint="eastAsia" w:ascii="宋体" w:hAnsi="宋体" w:eastAsia="宋体" w:cs="宋体"/>
                <w:kern w:val="2"/>
                <w:sz w:val="21"/>
                <w:szCs w:val="24"/>
                <w:lang w:val="en-US" w:eastAsia="zh-CN" w:bidi="zh-CN"/>
              </w:rPr>
            </w:pPr>
            <w:r>
              <w:rPr>
                <w:sz w:val="21"/>
              </w:rPr>
              <w:t>危险废物暂存间</w:t>
            </w:r>
          </w:p>
        </w:tc>
        <w:tc>
          <w:tcPr>
            <w:tcW w:w="595" w:type="pct"/>
            <w:tcBorders>
              <w:left w:val="single" w:color="auto" w:sz="4" w:space="0"/>
            </w:tcBorders>
            <w:noWrap w:val="0"/>
            <w:vAlign w:val="center"/>
          </w:tcPr>
          <w:p>
            <w:pPr>
              <w:tabs>
                <w:tab w:val="left" w:pos="3225"/>
              </w:tabs>
              <w:adjustRightInd w:val="0"/>
              <w:snapToGrid w:val="0"/>
              <w:spacing w:line="280" w:lineRule="exact"/>
              <w:ind w:firstLine="210" w:firstLineChars="100"/>
              <w:jc w:val="left"/>
              <w:rPr>
                <w:rFonts w:hint="eastAsia"/>
                <w:snapToGrid w:val="0"/>
                <w:kern w:val="0"/>
                <w:szCs w:val="21"/>
                <w:lang w:val="en-US" w:eastAsia="zh-CN"/>
              </w:rPr>
            </w:pPr>
            <w:r>
              <w:rPr>
                <w:rFonts w:hint="eastAsia"/>
                <w:snapToGrid w:val="0"/>
                <w:kern w:val="0"/>
                <w:szCs w:val="21"/>
                <w:lang w:val="en-US" w:eastAsia="zh-CN"/>
              </w:rPr>
              <w:t>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57" w:hRule="exact"/>
          <w:jc w:val="center"/>
        </w:trPr>
        <w:tc>
          <w:tcPr>
            <w:tcW w:w="217" w:type="pct"/>
            <w:vMerge w:val="restart"/>
            <w:noWrap w:val="0"/>
            <w:vAlign w:val="center"/>
          </w:tcPr>
          <w:p>
            <w:pPr>
              <w:tabs>
                <w:tab w:val="left" w:pos="3225"/>
              </w:tabs>
              <w:adjustRightInd w:val="0"/>
              <w:snapToGrid w:val="0"/>
              <w:jc w:val="center"/>
              <w:rPr>
                <w:snapToGrid w:val="0"/>
                <w:kern w:val="0"/>
                <w:szCs w:val="21"/>
              </w:rPr>
            </w:pPr>
            <w:r>
              <w:rPr>
                <w:snapToGrid w:val="0"/>
                <w:kern w:val="0"/>
                <w:szCs w:val="21"/>
              </w:rPr>
              <w:t>4</w:t>
            </w:r>
          </w:p>
        </w:tc>
        <w:tc>
          <w:tcPr>
            <w:tcW w:w="349" w:type="pct"/>
            <w:vMerge w:val="restart"/>
            <w:noWrap w:val="0"/>
            <w:vAlign w:val="center"/>
          </w:tcPr>
          <w:p>
            <w:pPr>
              <w:adjustRightInd w:val="0"/>
              <w:snapToGrid w:val="0"/>
              <w:jc w:val="center"/>
              <w:rPr>
                <w:rFonts w:ascii="Times New Roman" w:hAnsi="Times New Roman" w:eastAsia="宋体" w:cs="Times New Roman"/>
                <w:kern w:val="2"/>
                <w:sz w:val="21"/>
                <w:szCs w:val="21"/>
                <w:lang w:val="en-US" w:eastAsia="zh-CN" w:bidi="ar-SA"/>
              </w:rPr>
            </w:pPr>
            <w:r>
              <w:rPr>
                <w:sz w:val="21"/>
                <w:szCs w:val="21"/>
              </w:rPr>
              <w:t>公用工程</w:t>
            </w:r>
          </w:p>
          <w:p>
            <w:pPr>
              <w:widowControl/>
              <w:adjustRightInd w:val="0"/>
              <w:snapToGrid w:val="0"/>
              <w:jc w:val="center"/>
              <w:rPr>
                <w:snapToGrid w:val="0"/>
                <w:kern w:val="0"/>
                <w:szCs w:val="21"/>
              </w:rPr>
            </w:pPr>
          </w:p>
        </w:tc>
        <w:tc>
          <w:tcPr>
            <w:tcW w:w="591" w:type="pct"/>
            <w:noWrap w:val="0"/>
            <w:vAlign w:val="top"/>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供水</w:t>
            </w:r>
          </w:p>
        </w:tc>
        <w:tc>
          <w:tcPr>
            <w:tcW w:w="1593" w:type="pct"/>
            <w:noWrap w:val="0"/>
            <w:vAlign w:val="center"/>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由市政自来水管网供给</w:t>
            </w:r>
          </w:p>
        </w:tc>
        <w:tc>
          <w:tcPr>
            <w:tcW w:w="1652" w:type="pct"/>
            <w:tcBorders>
              <w:right w:val="single" w:color="auto" w:sz="4" w:space="0"/>
            </w:tcBorders>
            <w:noWrap w:val="0"/>
            <w:vAlign w:val="top"/>
          </w:tcPr>
          <w:p>
            <w:pPr>
              <w:pStyle w:val="123"/>
              <w:ind w:left="16" w:leftChars="0"/>
              <w:jc w:val="center"/>
              <w:rPr>
                <w:rFonts w:ascii="Times New Roman" w:hAnsi="宋体" w:eastAsia="Times New Roman" w:cs="宋体"/>
                <w:kern w:val="2"/>
                <w:sz w:val="21"/>
                <w:szCs w:val="24"/>
                <w:lang w:val="en-US" w:eastAsia="zh-CN" w:bidi="zh-CN"/>
              </w:rPr>
            </w:pPr>
            <w:r>
              <w:rPr>
                <w:rFonts w:ascii="Times New Roman" w:hAnsi="宋体" w:eastAsia="Times New Roman" w:cs="宋体"/>
                <w:sz w:val="21"/>
              </w:rPr>
              <w:t>由市政自来水管网供给</w:t>
            </w:r>
          </w:p>
        </w:tc>
        <w:tc>
          <w:tcPr>
            <w:tcW w:w="595" w:type="pct"/>
            <w:tcBorders>
              <w:left w:val="single" w:color="auto" w:sz="4" w:space="0"/>
            </w:tcBorders>
            <w:noWrap w:val="0"/>
            <w:vAlign w:val="center"/>
          </w:tcPr>
          <w:p>
            <w:pPr>
              <w:tabs>
                <w:tab w:val="left" w:pos="3225"/>
              </w:tabs>
              <w:adjustRightInd w:val="0"/>
              <w:snapToGrid w:val="0"/>
              <w:spacing w:line="280" w:lineRule="exact"/>
              <w:ind w:firstLine="210" w:firstLineChars="100"/>
              <w:jc w:val="left"/>
              <w:rPr>
                <w:rFonts w:hint="eastAsia"/>
                <w:snapToGrid w:val="0"/>
                <w:kern w:val="0"/>
                <w:szCs w:val="21"/>
                <w:lang w:val="en-US" w:eastAsia="zh-CN"/>
              </w:rPr>
            </w:pPr>
            <w:r>
              <w:rPr>
                <w:rFonts w:hint="eastAsia"/>
                <w:snapToGrid w:val="0"/>
                <w:kern w:val="0"/>
                <w:szCs w:val="21"/>
                <w:lang w:val="en-US" w:eastAsia="zh-CN"/>
              </w:rPr>
              <w:t>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75" w:hRule="exact"/>
          <w:jc w:val="center"/>
        </w:trPr>
        <w:tc>
          <w:tcPr>
            <w:tcW w:w="217" w:type="pct"/>
            <w:vMerge w:val="continue"/>
            <w:noWrap w:val="0"/>
            <w:vAlign w:val="center"/>
          </w:tcPr>
          <w:p>
            <w:pPr>
              <w:tabs>
                <w:tab w:val="left" w:pos="3225"/>
              </w:tabs>
              <w:adjustRightInd w:val="0"/>
              <w:snapToGrid w:val="0"/>
              <w:jc w:val="center"/>
              <w:rPr>
                <w:snapToGrid w:val="0"/>
                <w:kern w:val="0"/>
                <w:szCs w:val="21"/>
              </w:rPr>
            </w:pPr>
          </w:p>
        </w:tc>
        <w:tc>
          <w:tcPr>
            <w:tcW w:w="349" w:type="pct"/>
            <w:vMerge w:val="continue"/>
            <w:noWrap w:val="0"/>
            <w:vAlign w:val="center"/>
          </w:tcPr>
          <w:p>
            <w:pPr>
              <w:tabs>
                <w:tab w:val="left" w:pos="3225"/>
              </w:tabs>
              <w:adjustRightInd w:val="0"/>
              <w:snapToGrid w:val="0"/>
              <w:jc w:val="center"/>
              <w:rPr>
                <w:snapToGrid w:val="0"/>
                <w:kern w:val="0"/>
                <w:szCs w:val="21"/>
              </w:rPr>
            </w:pPr>
          </w:p>
        </w:tc>
        <w:tc>
          <w:tcPr>
            <w:tcW w:w="591" w:type="pct"/>
            <w:noWrap w:val="0"/>
            <w:vAlign w:val="top"/>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供电</w:t>
            </w:r>
          </w:p>
        </w:tc>
        <w:tc>
          <w:tcPr>
            <w:tcW w:w="1593" w:type="pct"/>
            <w:noWrap w:val="0"/>
            <w:vAlign w:val="center"/>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由市政供电电网提供</w:t>
            </w:r>
          </w:p>
        </w:tc>
        <w:tc>
          <w:tcPr>
            <w:tcW w:w="1652" w:type="pct"/>
            <w:tcBorders>
              <w:right w:val="single" w:color="auto" w:sz="4" w:space="0"/>
            </w:tcBorders>
            <w:noWrap w:val="0"/>
            <w:vAlign w:val="top"/>
          </w:tcPr>
          <w:p>
            <w:pPr>
              <w:pStyle w:val="123"/>
              <w:ind w:left="16" w:leftChars="0"/>
              <w:jc w:val="center"/>
              <w:rPr>
                <w:rFonts w:ascii="Times New Roman" w:hAnsi="宋体" w:eastAsia="Times New Roman" w:cs="宋体"/>
                <w:kern w:val="2"/>
                <w:sz w:val="21"/>
                <w:szCs w:val="24"/>
                <w:lang w:val="en-US" w:eastAsia="zh-CN" w:bidi="zh-CN"/>
              </w:rPr>
            </w:pPr>
            <w:r>
              <w:rPr>
                <w:rFonts w:ascii="Times New Roman" w:hAnsi="宋体" w:eastAsia="Times New Roman" w:cs="宋体"/>
                <w:sz w:val="21"/>
              </w:rPr>
              <w:t>由市政供电电网提供</w:t>
            </w:r>
          </w:p>
        </w:tc>
        <w:tc>
          <w:tcPr>
            <w:tcW w:w="595" w:type="pct"/>
            <w:tcBorders>
              <w:left w:val="single" w:color="auto" w:sz="4" w:space="0"/>
            </w:tcBorders>
            <w:noWrap w:val="0"/>
            <w:vAlign w:val="center"/>
          </w:tcPr>
          <w:p>
            <w:pPr>
              <w:tabs>
                <w:tab w:val="left" w:pos="3225"/>
              </w:tabs>
              <w:adjustRightInd w:val="0"/>
              <w:snapToGrid w:val="0"/>
              <w:spacing w:line="280" w:lineRule="exact"/>
              <w:ind w:firstLine="210" w:firstLineChars="100"/>
              <w:jc w:val="left"/>
              <w:rPr>
                <w:rFonts w:hint="eastAsia"/>
                <w:snapToGrid w:val="0"/>
                <w:kern w:val="0"/>
                <w:szCs w:val="21"/>
                <w:lang w:val="en-US" w:eastAsia="zh-CN"/>
              </w:rPr>
            </w:pPr>
            <w:r>
              <w:rPr>
                <w:rFonts w:hint="eastAsia"/>
                <w:snapToGrid w:val="0"/>
                <w:kern w:val="0"/>
                <w:szCs w:val="21"/>
                <w:lang w:val="en-US" w:eastAsia="zh-CN"/>
              </w:rPr>
              <w:t>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568" w:hRule="exact"/>
          <w:jc w:val="center"/>
        </w:trPr>
        <w:tc>
          <w:tcPr>
            <w:tcW w:w="217" w:type="pct"/>
            <w:vMerge w:val="continue"/>
            <w:noWrap w:val="0"/>
            <w:vAlign w:val="center"/>
          </w:tcPr>
          <w:p>
            <w:pPr>
              <w:tabs>
                <w:tab w:val="left" w:pos="3225"/>
              </w:tabs>
              <w:adjustRightInd w:val="0"/>
              <w:snapToGrid w:val="0"/>
              <w:jc w:val="center"/>
              <w:rPr>
                <w:snapToGrid w:val="0"/>
                <w:kern w:val="0"/>
                <w:szCs w:val="21"/>
              </w:rPr>
            </w:pPr>
          </w:p>
        </w:tc>
        <w:tc>
          <w:tcPr>
            <w:tcW w:w="349" w:type="pct"/>
            <w:vMerge w:val="continue"/>
            <w:noWrap w:val="0"/>
            <w:vAlign w:val="center"/>
          </w:tcPr>
          <w:p>
            <w:pPr>
              <w:widowControl/>
              <w:adjustRightInd w:val="0"/>
              <w:snapToGrid w:val="0"/>
              <w:jc w:val="center"/>
              <w:rPr>
                <w:snapToGrid w:val="0"/>
                <w:kern w:val="0"/>
                <w:szCs w:val="21"/>
              </w:rPr>
            </w:pPr>
          </w:p>
        </w:tc>
        <w:tc>
          <w:tcPr>
            <w:tcW w:w="591" w:type="pct"/>
            <w:noWrap w:val="0"/>
            <w:vAlign w:val="center"/>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供热</w:t>
            </w:r>
          </w:p>
        </w:tc>
        <w:tc>
          <w:tcPr>
            <w:tcW w:w="1593" w:type="pct"/>
            <w:noWrap w:val="0"/>
            <w:vAlign w:val="center"/>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项目生产用热采用电；办公区采暖采用单体空调</w:t>
            </w:r>
          </w:p>
        </w:tc>
        <w:tc>
          <w:tcPr>
            <w:tcW w:w="1652" w:type="pct"/>
            <w:tcBorders>
              <w:right w:val="single" w:color="auto" w:sz="4" w:space="0"/>
            </w:tcBorders>
            <w:noWrap w:val="0"/>
            <w:vAlign w:val="top"/>
          </w:tcPr>
          <w:p>
            <w:pPr>
              <w:pStyle w:val="123"/>
              <w:ind w:left="16" w:leftChars="0"/>
              <w:jc w:val="center"/>
              <w:rPr>
                <w:rFonts w:ascii="Times New Roman" w:hAnsi="宋体" w:eastAsia="Times New Roman" w:cs="宋体"/>
                <w:kern w:val="2"/>
                <w:sz w:val="21"/>
                <w:szCs w:val="24"/>
                <w:lang w:val="en-US" w:eastAsia="zh-CN" w:bidi="zh-CN"/>
              </w:rPr>
            </w:pPr>
            <w:r>
              <w:rPr>
                <w:rFonts w:ascii="Times New Roman" w:hAnsi="宋体" w:eastAsia="Times New Roman" w:cs="宋体"/>
                <w:sz w:val="21"/>
              </w:rPr>
              <w:t>项目生产用热采用电；办公区采暖采用单体空调</w:t>
            </w:r>
          </w:p>
        </w:tc>
        <w:tc>
          <w:tcPr>
            <w:tcW w:w="595" w:type="pct"/>
            <w:tcBorders>
              <w:left w:val="single" w:color="auto" w:sz="4" w:space="0"/>
            </w:tcBorders>
            <w:noWrap w:val="0"/>
            <w:vAlign w:val="center"/>
          </w:tcPr>
          <w:p>
            <w:pPr>
              <w:tabs>
                <w:tab w:val="left" w:pos="3225"/>
              </w:tabs>
              <w:adjustRightInd w:val="0"/>
              <w:snapToGrid w:val="0"/>
              <w:spacing w:line="280" w:lineRule="exact"/>
              <w:ind w:firstLine="210" w:firstLineChars="100"/>
              <w:jc w:val="left"/>
              <w:rPr>
                <w:rFonts w:hint="eastAsia"/>
                <w:snapToGrid w:val="0"/>
                <w:kern w:val="0"/>
                <w:szCs w:val="21"/>
                <w:lang w:val="en-US" w:eastAsia="zh-CN"/>
              </w:rPr>
            </w:pPr>
            <w:r>
              <w:rPr>
                <w:rFonts w:hint="eastAsia"/>
                <w:snapToGrid w:val="0"/>
                <w:kern w:val="0"/>
                <w:szCs w:val="21"/>
                <w:lang w:val="en-US" w:eastAsia="zh-CN"/>
              </w:rPr>
              <w:t>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529" w:hRule="exact"/>
          <w:jc w:val="center"/>
        </w:trPr>
        <w:tc>
          <w:tcPr>
            <w:tcW w:w="217" w:type="pct"/>
            <w:vMerge w:val="restart"/>
            <w:noWrap w:val="0"/>
            <w:vAlign w:val="center"/>
          </w:tcPr>
          <w:p>
            <w:pPr>
              <w:tabs>
                <w:tab w:val="left" w:pos="3225"/>
              </w:tabs>
              <w:adjustRightInd w:val="0"/>
              <w:snapToGrid w:val="0"/>
              <w:jc w:val="center"/>
              <w:rPr>
                <w:rFonts w:hint="eastAsia" w:eastAsia="宋体"/>
                <w:snapToGrid w:val="0"/>
                <w:kern w:val="0"/>
                <w:szCs w:val="21"/>
                <w:lang w:val="en-US" w:eastAsia="zh-CN"/>
              </w:rPr>
            </w:pPr>
            <w:r>
              <w:rPr>
                <w:rFonts w:hint="eastAsia"/>
                <w:snapToGrid w:val="0"/>
                <w:kern w:val="0"/>
                <w:szCs w:val="21"/>
                <w:lang w:val="en-US" w:eastAsia="zh-CN"/>
              </w:rPr>
              <w:t>5</w:t>
            </w:r>
          </w:p>
        </w:tc>
        <w:tc>
          <w:tcPr>
            <w:tcW w:w="349" w:type="pct"/>
            <w:vMerge w:val="restart"/>
            <w:noWrap w:val="0"/>
            <w:vAlign w:val="center"/>
          </w:tcPr>
          <w:p>
            <w:pPr>
              <w:adjustRightInd w:val="0"/>
              <w:snapToGrid w:val="0"/>
              <w:jc w:val="center"/>
              <w:rPr>
                <w:rFonts w:ascii="Times New Roman" w:hAnsi="Times New Roman" w:eastAsia="宋体" w:cs="Times New Roman"/>
                <w:kern w:val="2"/>
                <w:sz w:val="21"/>
                <w:szCs w:val="21"/>
                <w:lang w:val="en-US" w:eastAsia="zh-CN" w:bidi="ar-SA"/>
              </w:rPr>
            </w:pPr>
            <w:r>
              <w:rPr>
                <w:sz w:val="21"/>
                <w:szCs w:val="21"/>
              </w:rPr>
              <w:t>环保工程</w:t>
            </w:r>
          </w:p>
          <w:p>
            <w:pPr>
              <w:widowControl/>
              <w:adjustRightInd w:val="0"/>
              <w:snapToGrid w:val="0"/>
              <w:jc w:val="center"/>
              <w:rPr>
                <w:snapToGrid w:val="0"/>
                <w:kern w:val="0"/>
                <w:szCs w:val="21"/>
              </w:rPr>
            </w:pPr>
          </w:p>
        </w:tc>
        <w:tc>
          <w:tcPr>
            <w:tcW w:w="591" w:type="pct"/>
            <w:noWrap w:val="0"/>
            <w:vAlign w:val="top"/>
          </w:tcPr>
          <w:p>
            <w:pPr>
              <w:pStyle w:val="123"/>
              <w:ind w:left="16"/>
              <w:jc w:val="center"/>
              <w:rPr>
                <w:rFonts w:ascii="Times New Roman" w:hAnsi="宋体" w:eastAsia="Times New Roman" w:cs="宋体"/>
                <w:sz w:val="21"/>
              </w:rPr>
            </w:pPr>
            <w:r>
              <w:rPr>
                <w:rFonts w:ascii="Times New Roman" w:hAnsi="宋体" w:eastAsia="Times New Roman" w:cs="宋体"/>
                <w:sz w:val="21"/>
              </w:rPr>
              <w:t>废气</w:t>
            </w:r>
          </w:p>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处理</w:t>
            </w:r>
          </w:p>
        </w:tc>
        <w:tc>
          <w:tcPr>
            <w:tcW w:w="1593" w:type="pct"/>
            <w:noWrap w:val="0"/>
            <w:vAlign w:val="center"/>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研磨工序、破碎工序、分筛工序、振动筛上料工序产生的粉尘分别经脉冲袋式除尘器处理后通过不低于 15m 高排气筒排放</w:t>
            </w:r>
          </w:p>
        </w:tc>
        <w:tc>
          <w:tcPr>
            <w:tcW w:w="1652" w:type="pct"/>
            <w:tcBorders>
              <w:right w:val="single" w:color="auto" w:sz="4" w:space="0"/>
            </w:tcBorders>
            <w:noWrap w:val="0"/>
            <w:vAlign w:val="top"/>
          </w:tcPr>
          <w:p>
            <w:pPr>
              <w:pStyle w:val="123"/>
              <w:ind w:left="16" w:leftChars="0"/>
              <w:jc w:val="center"/>
              <w:rPr>
                <w:rFonts w:ascii="Times New Roman" w:hAnsi="宋体" w:eastAsia="Times New Roman" w:cs="宋体"/>
                <w:kern w:val="2"/>
                <w:sz w:val="21"/>
                <w:szCs w:val="24"/>
                <w:lang w:val="en-US" w:eastAsia="zh-CN" w:bidi="zh-CN"/>
              </w:rPr>
            </w:pPr>
            <w:r>
              <w:rPr>
                <w:rFonts w:ascii="Times New Roman" w:hAnsi="宋体" w:eastAsia="Times New Roman" w:cs="宋体"/>
                <w:sz w:val="21"/>
              </w:rPr>
              <w:t>研磨工序、破碎工序、分筛工序、振动筛上料工序产生的粉尘分别经脉冲袋式除尘器处理后通过不低于 15m 高排气筒排放</w:t>
            </w:r>
          </w:p>
        </w:tc>
        <w:tc>
          <w:tcPr>
            <w:tcW w:w="595" w:type="pct"/>
            <w:tcBorders>
              <w:left w:val="single" w:color="auto" w:sz="4" w:space="0"/>
            </w:tcBorders>
            <w:noWrap w:val="0"/>
            <w:vAlign w:val="center"/>
          </w:tcPr>
          <w:p>
            <w:pPr>
              <w:tabs>
                <w:tab w:val="left" w:pos="3225"/>
              </w:tabs>
              <w:adjustRightInd w:val="0"/>
              <w:snapToGrid w:val="0"/>
              <w:spacing w:line="280" w:lineRule="exact"/>
              <w:ind w:firstLine="210" w:firstLineChars="100"/>
              <w:jc w:val="left"/>
              <w:rPr>
                <w:rFonts w:hint="eastAsia"/>
                <w:snapToGrid w:val="0"/>
                <w:kern w:val="0"/>
                <w:szCs w:val="21"/>
                <w:lang w:val="en-US" w:eastAsia="zh-CN"/>
              </w:rPr>
            </w:pPr>
            <w:r>
              <w:rPr>
                <w:rFonts w:hint="eastAsia"/>
                <w:snapToGrid w:val="0"/>
                <w:kern w:val="0"/>
                <w:szCs w:val="21"/>
                <w:lang w:val="en-US" w:eastAsia="zh-CN"/>
              </w:rPr>
              <w:t>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1361" w:hRule="exact"/>
          <w:jc w:val="center"/>
        </w:trPr>
        <w:tc>
          <w:tcPr>
            <w:tcW w:w="217" w:type="pct"/>
            <w:vMerge w:val="continue"/>
            <w:noWrap w:val="0"/>
            <w:vAlign w:val="center"/>
          </w:tcPr>
          <w:p>
            <w:pPr>
              <w:tabs>
                <w:tab w:val="left" w:pos="3225"/>
              </w:tabs>
              <w:adjustRightInd w:val="0"/>
              <w:snapToGrid w:val="0"/>
              <w:jc w:val="center"/>
              <w:rPr>
                <w:snapToGrid w:val="0"/>
                <w:kern w:val="0"/>
                <w:szCs w:val="21"/>
              </w:rPr>
            </w:pPr>
          </w:p>
        </w:tc>
        <w:tc>
          <w:tcPr>
            <w:tcW w:w="349" w:type="pct"/>
            <w:vMerge w:val="continue"/>
            <w:noWrap w:val="0"/>
            <w:vAlign w:val="center"/>
          </w:tcPr>
          <w:p>
            <w:pPr>
              <w:widowControl/>
              <w:adjustRightInd w:val="0"/>
              <w:snapToGrid w:val="0"/>
              <w:jc w:val="center"/>
              <w:rPr>
                <w:snapToGrid w:val="0"/>
                <w:kern w:val="0"/>
                <w:szCs w:val="21"/>
              </w:rPr>
            </w:pPr>
          </w:p>
        </w:tc>
        <w:tc>
          <w:tcPr>
            <w:tcW w:w="591" w:type="pct"/>
            <w:noWrap w:val="0"/>
            <w:vAlign w:val="top"/>
          </w:tcPr>
          <w:p>
            <w:pPr>
              <w:pStyle w:val="123"/>
              <w:ind w:left="16"/>
              <w:jc w:val="center"/>
              <w:rPr>
                <w:rFonts w:ascii="Times New Roman" w:hAnsi="宋体" w:eastAsia="Times New Roman" w:cs="宋体"/>
                <w:sz w:val="21"/>
              </w:rPr>
            </w:pPr>
          </w:p>
          <w:p>
            <w:pPr>
              <w:pStyle w:val="123"/>
              <w:ind w:left="16"/>
              <w:jc w:val="center"/>
              <w:rPr>
                <w:rFonts w:ascii="Times New Roman" w:hAnsi="宋体" w:eastAsia="Times New Roman" w:cs="宋体"/>
                <w:sz w:val="21"/>
              </w:rPr>
            </w:pPr>
            <w:r>
              <w:rPr>
                <w:rFonts w:ascii="Times New Roman" w:hAnsi="宋体" w:eastAsia="Times New Roman" w:cs="宋体"/>
                <w:sz w:val="21"/>
              </w:rPr>
              <w:t>废水</w:t>
            </w:r>
          </w:p>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处理</w:t>
            </w:r>
          </w:p>
        </w:tc>
        <w:tc>
          <w:tcPr>
            <w:tcW w:w="1593" w:type="pct"/>
            <w:noWrap w:val="0"/>
            <w:vAlign w:val="center"/>
          </w:tcPr>
          <w:p>
            <w:pPr>
              <w:jc w:val="center"/>
              <w:rPr>
                <w:rFonts w:ascii="Times New Roman" w:hAnsi="宋体" w:eastAsia="Times New Roman" w:cs="宋体"/>
                <w:sz w:val="21"/>
                <w:lang w:val="en-US" w:eastAsia="zh-CN"/>
              </w:rPr>
            </w:pPr>
            <w:r>
              <w:rPr>
                <w:rFonts w:ascii="Times New Roman" w:hAnsi="宋体" w:eastAsia="Times New Roman" w:cs="宋体"/>
                <w:kern w:val="2"/>
                <w:sz w:val="21"/>
                <w:szCs w:val="24"/>
                <w:lang w:val="zh-CN" w:eastAsia="zh-CN" w:bidi="zh-CN"/>
              </w:rPr>
              <w:t>生产用水经冷却循环水池处理后循环使用不外排；生活污水</w:t>
            </w:r>
            <w:r>
              <w:rPr>
                <w:rFonts w:hint="eastAsia" w:ascii="Times New Roman" w:hAnsi="宋体" w:eastAsia="Times New Roman" w:cs="宋体"/>
                <w:kern w:val="2"/>
                <w:sz w:val="21"/>
                <w:szCs w:val="24"/>
                <w:lang w:val="en-US" w:eastAsia="zh-CN" w:bidi="zh-CN"/>
              </w:rPr>
              <w:t>经</w:t>
            </w:r>
            <w:r>
              <w:rPr>
                <w:rFonts w:ascii="Times New Roman" w:hAnsi="宋体" w:eastAsia="Times New Roman" w:cs="宋体"/>
                <w:kern w:val="2"/>
                <w:sz w:val="21"/>
                <w:szCs w:val="24"/>
                <w:lang w:val="zh-CN" w:eastAsia="zh-CN" w:bidi="zh-CN"/>
              </w:rPr>
              <w:t>化粪池处理后排入市政污水管网进入国电银河水务(滕州)有限公司进行再生处理</w:t>
            </w:r>
          </w:p>
        </w:tc>
        <w:tc>
          <w:tcPr>
            <w:tcW w:w="1652" w:type="pct"/>
            <w:tcBorders>
              <w:right w:val="single" w:color="auto" w:sz="4" w:space="0"/>
            </w:tcBorders>
            <w:noWrap w:val="0"/>
            <w:vAlign w:val="top"/>
          </w:tcPr>
          <w:p>
            <w:pPr>
              <w:pStyle w:val="123"/>
              <w:ind w:left="16"/>
              <w:jc w:val="center"/>
              <w:rPr>
                <w:rFonts w:ascii="Times New Roman" w:hAnsi="宋体" w:eastAsia="Times New Roman" w:cs="宋体"/>
                <w:sz w:val="21"/>
              </w:rPr>
            </w:pPr>
            <w:r>
              <w:rPr>
                <w:rFonts w:ascii="Times New Roman" w:hAnsi="宋体" w:eastAsia="Times New Roman" w:cs="宋体"/>
                <w:sz w:val="21"/>
              </w:rPr>
              <w:t>生产用水经冷却循环水池处理后循环使用不外排；生活污水经化</w:t>
            </w:r>
          </w:p>
          <w:p>
            <w:pPr>
              <w:pStyle w:val="123"/>
              <w:ind w:left="16" w:leftChars="0"/>
              <w:jc w:val="center"/>
              <w:rPr>
                <w:rFonts w:ascii="Times New Roman" w:hAnsi="宋体" w:eastAsia="Times New Roman" w:cs="宋体"/>
                <w:kern w:val="2"/>
                <w:sz w:val="21"/>
                <w:szCs w:val="24"/>
                <w:lang w:val="en-US" w:eastAsia="zh-CN" w:bidi="zh-CN"/>
              </w:rPr>
            </w:pPr>
            <w:r>
              <w:rPr>
                <w:rFonts w:ascii="Times New Roman" w:hAnsi="宋体" w:eastAsia="Times New Roman" w:cs="宋体"/>
                <w:sz w:val="21"/>
              </w:rPr>
              <w:t>粪池处理后排入市政污水管网进入国电银河水务(滕州)有限公司进行再生处理</w:t>
            </w:r>
          </w:p>
        </w:tc>
        <w:tc>
          <w:tcPr>
            <w:tcW w:w="595" w:type="pct"/>
            <w:tcBorders>
              <w:left w:val="single" w:color="auto" w:sz="4" w:space="0"/>
            </w:tcBorders>
            <w:noWrap w:val="0"/>
            <w:vAlign w:val="center"/>
          </w:tcPr>
          <w:p>
            <w:pPr>
              <w:tabs>
                <w:tab w:val="left" w:pos="3225"/>
              </w:tabs>
              <w:adjustRightInd w:val="0"/>
              <w:snapToGrid w:val="0"/>
              <w:spacing w:line="280" w:lineRule="exact"/>
              <w:ind w:firstLine="210" w:firstLineChars="100"/>
              <w:jc w:val="left"/>
              <w:rPr>
                <w:rFonts w:hint="eastAsia"/>
                <w:snapToGrid w:val="0"/>
                <w:kern w:val="0"/>
                <w:szCs w:val="21"/>
                <w:lang w:val="en-US" w:eastAsia="zh-CN"/>
              </w:rPr>
            </w:pPr>
            <w:r>
              <w:rPr>
                <w:rFonts w:hint="eastAsia"/>
                <w:snapToGrid w:val="0"/>
                <w:kern w:val="0"/>
                <w:szCs w:val="21"/>
                <w:lang w:val="en-US" w:eastAsia="zh-CN"/>
              </w:rPr>
              <w:t>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87" w:hRule="exact"/>
          <w:jc w:val="center"/>
        </w:trPr>
        <w:tc>
          <w:tcPr>
            <w:tcW w:w="217" w:type="pct"/>
            <w:vMerge w:val="continue"/>
            <w:noWrap w:val="0"/>
            <w:vAlign w:val="center"/>
          </w:tcPr>
          <w:p>
            <w:pPr>
              <w:tabs>
                <w:tab w:val="left" w:pos="3225"/>
              </w:tabs>
              <w:adjustRightInd w:val="0"/>
              <w:snapToGrid w:val="0"/>
              <w:jc w:val="center"/>
              <w:rPr>
                <w:snapToGrid w:val="0"/>
                <w:kern w:val="0"/>
                <w:szCs w:val="21"/>
              </w:rPr>
            </w:pPr>
          </w:p>
        </w:tc>
        <w:tc>
          <w:tcPr>
            <w:tcW w:w="349" w:type="pct"/>
            <w:vMerge w:val="continue"/>
            <w:noWrap w:val="0"/>
            <w:vAlign w:val="center"/>
          </w:tcPr>
          <w:p>
            <w:pPr>
              <w:widowControl/>
              <w:adjustRightInd w:val="0"/>
              <w:snapToGrid w:val="0"/>
              <w:jc w:val="center"/>
              <w:rPr>
                <w:snapToGrid w:val="0"/>
                <w:kern w:val="0"/>
                <w:szCs w:val="21"/>
              </w:rPr>
            </w:pPr>
          </w:p>
        </w:tc>
        <w:tc>
          <w:tcPr>
            <w:tcW w:w="591" w:type="pct"/>
            <w:noWrap w:val="0"/>
            <w:vAlign w:val="top"/>
          </w:tcPr>
          <w:p>
            <w:pPr>
              <w:pStyle w:val="123"/>
              <w:ind w:left="16"/>
              <w:jc w:val="both"/>
              <w:rPr>
                <w:rFonts w:ascii="Times New Roman" w:hAnsi="宋体" w:eastAsia="Times New Roman" w:cs="宋体"/>
                <w:sz w:val="21"/>
                <w:lang w:val="en-US" w:eastAsia="zh-CN"/>
              </w:rPr>
            </w:pPr>
            <w:r>
              <w:rPr>
                <w:rFonts w:ascii="Times New Roman" w:hAnsi="宋体" w:eastAsia="Times New Roman" w:cs="宋体"/>
                <w:sz w:val="21"/>
              </w:rPr>
              <w:t>噪声处理</w:t>
            </w:r>
          </w:p>
        </w:tc>
        <w:tc>
          <w:tcPr>
            <w:tcW w:w="1593" w:type="pct"/>
            <w:noWrap w:val="0"/>
            <w:vAlign w:val="center"/>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建筑隔声、防振消声、设备减震</w:t>
            </w:r>
          </w:p>
        </w:tc>
        <w:tc>
          <w:tcPr>
            <w:tcW w:w="1652" w:type="pct"/>
            <w:tcBorders>
              <w:right w:val="single" w:color="auto" w:sz="4" w:space="0"/>
            </w:tcBorders>
            <w:noWrap w:val="0"/>
            <w:vAlign w:val="top"/>
          </w:tcPr>
          <w:p>
            <w:pPr>
              <w:pStyle w:val="123"/>
              <w:ind w:left="16" w:leftChars="0"/>
              <w:jc w:val="center"/>
              <w:rPr>
                <w:rFonts w:ascii="Times New Roman" w:hAnsi="宋体" w:eastAsia="Times New Roman" w:cs="宋体"/>
                <w:kern w:val="2"/>
                <w:sz w:val="21"/>
                <w:szCs w:val="24"/>
                <w:lang w:val="en-US" w:eastAsia="zh-CN" w:bidi="zh-CN"/>
              </w:rPr>
            </w:pPr>
            <w:r>
              <w:rPr>
                <w:rFonts w:ascii="Times New Roman" w:hAnsi="宋体" w:eastAsia="Times New Roman" w:cs="宋体"/>
                <w:sz w:val="21"/>
              </w:rPr>
              <w:t>建筑隔声、防振消声、设备减震</w:t>
            </w:r>
          </w:p>
        </w:tc>
        <w:tc>
          <w:tcPr>
            <w:tcW w:w="595" w:type="pct"/>
            <w:tcBorders>
              <w:left w:val="single" w:color="auto" w:sz="4" w:space="0"/>
            </w:tcBorders>
            <w:noWrap w:val="0"/>
            <w:vAlign w:val="center"/>
          </w:tcPr>
          <w:p>
            <w:pPr>
              <w:tabs>
                <w:tab w:val="left" w:pos="3225"/>
              </w:tabs>
              <w:adjustRightInd w:val="0"/>
              <w:snapToGrid w:val="0"/>
              <w:spacing w:line="280" w:lineRule="exact"/>
              <w:ind w:firstLine="210" w:firstLineChars="100"/>
              <w:jc w:val="left"/>
              <w:rPr>
                <w:rFonts w:hint="default"/>
                <w:snapToGrid w:val="0"/>
                <w:kern w:val="0"/>
                <w:szCs w:val="21"/>
                <w:lang w:val="en-US" w:eastAsia="zh-CN"/>
              </w:rPr>
            </w:pPr>
            <w:r>
              <w:rPr>
                <w:rFonts w:hint="eastAsia"/>
                <w:snapToGrid w:val="0"/>
                <w:kern w:val="0"/>
                <w:szCs w:val="21"/>
                <w:lang w:val="en-US" w:eastAsia="zh-CN"/>
              </w:rPr>
              <w:t>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462" w:hRule="exact"/>
          <w:jc w:val="center"/>
        </w:trPr>
        <w:tc>
          <w:tcPr>
            <w:tcW w:w="217" w:type="pct"/>
            <w:vMerge w:val="continue"/>
            <w:noWrap w:val="0"/>
            <w:vAlign w:val="center"/>
          </w:tcPr>
          <w:p>
            <w:pPr>
              <w:tabs>
                <w:tab w:val="left" w:pos="3225"/>
              </w:tabs>
              <w:adjustRightInd w:val="0"/>
              <w:snapToGrid w:val="0"/>
              <w:jc w:val="center"/>
              <w:rPr>
                <w:snapToGrid w:val="0"/>
                <w:kern w:val="0"/>
                <w:szCs w:val="21"/>
              </w:rPr>
            </w:pPr>
          </w:p>
        </w:tc>
        <w:tc>
          <w:tcPr>
            <w:tcW w:w="349" w:type="pct"/>
            <w:vMerge w:val="continue"/>
            <w:noWrap w:val="0"/>
            <w:vAlign w:val="center"/>
          </w:tcPr>
          <w:p>
            <w:pPr>
              <w:widowControl/>
              <w:adjustRightInd w:val="0"/>
              <w:snapToGrid w:val="0"/>
              <w:jc w:val="center"/>
              <w:rPr>
                <w:snapToGrid w:val="0"/>
                <w:kern w:val="0"/>
                <w:szCs w:val="21"/>
              </w:rPr>
            </w:pPr>
          </w:p>
        </w:tc>
        <w:tc>
          <w:tcPr>
            <w:tcW w:w="591" w:type="pct"/>
            <w:noWrap w:val="0"/>
            <w:vAlign w:val="center"/>
          </w:tcPr>
          <w:p>
            <w:pPr>
              <w:pStyle w:val="123"/>
              <w:ind w:left="16"/>
              <w:jc w:val="center"/>
              <w:rPr>
                <w:rFonts w:ascii="Times New Roman" w:hAnsi="宋体" w:eastAsia="Times New Roman" w:cs="宋体"/>
                <w:sz w:val="21"/>
              </w:rPr>
            </w:pPr>
            <w:r>
              <w:rPr>
                <w:rFonts w:ascii="Times New Roman" w:hAnsi="宋体" w:eastAsia="Times New Roman" w:cs="宋体"/>
                <w:sz w:val="21"/>
              </w:rPr>
              <w:t>固废</w:t>
            </w:r>
          </w:p>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处理</w:t>
            </w:r>
          </w:p>
        </w:tc>
        <w:tc>
          <w:tcPr>
            <w:tcW w:w="1593" w:type="pct"/>
            <w:noWrap w:val="0"/>
            <w:vAlign w:val="center"/>
          </w:tcPr>
          <w:p>
            <w:pPr>
              <w:pStyle w:val="123"/>
              <w:ind w:left="16"/>
              <w:jc w:val="center"/>
              <w:rPr>
                <w:rFonts w:hint="eastAsia" w:ascii="Times New Roman" w:hAnsi="宋体" w:eastAsia="宋体" w:cs="宋体"/>
                <w:sz w:val="21"/>
                <w:lang w:val="en-US" w:eastAsia="zh-CN"/>
              </w:rPr>
            </w:pPr>
            <w:r>
              <w:rPr>
                <w:rFonts w:hint="eastAsia"/>
                <w:szCs w:val="21"/>
                <w:lang w:val="en-US" w:eastAsia="zh-CN"/>
              </w:rPr>
              <w:t>除尘器收集的金属颗粒物外卖给物资回收公司；职工生活垃圾，非金属杂质，维护设备产生的废手套、废抹布由环卫部门清运处理；维护设备产生的废机油、废润滑油、废机油桶、废润滑油桶暂存于危险废物暂存</w:t>
            </w:r>
            <w:r>
              <w:rPr>
                <w:rFonts w:hint="eastAsia"/>
                <w:szCs w:val="21"/>
              </w:rPr>
              <w:t>间后委托有危险废物处置资质的单位处理</w:t>
            </w:r>
          </w:p>
        </w:tc>
        <w:tc>
          <w:tcPr>
            <w:tcW w:w="1652" w:type="pct"/>
            <w:tcBorders>
              <w:right w:val="single" w:color="auto" w:sz="4" w:space="0"/>
            </w:tcBorders>
            <w:noWrap w:val="0"/>
            <w:vAlign w:val="center"/>
          </w:tcPr>
          <w:p>
            <w:pPr>
              <w:pStyle w:val="123"/>
              <w:ind w:left="16" w:leftChars="0"/>
              <w:jc w:val="center"/>
              <w:rPr>
                <w:rFonts w:ascii="Times New Roman" w:hAnsi="宋体" w:eastAsia="Times New Roman" w:cs="宋体"/>
                <w:kern w:val="2"/>
                <w:sz w:val="21"/>
                <w:szCs w:val="24"/>
                <w:lang w:val="en-US" w:eastAsia="zh-CN" w:bidi="zh-CN"/>
              </w:rPr>
            </w:pPr>
            <w:r>
              <w:rPr>
                <w:rFonts w:hint="eastAsia"/>
                <w:szCs w:val="21"/>
                <w:lang w:val="en-US" w:eastAsia="zh-CN"/>
              </w:rPr>
              <w:t>除尘器收集的金属颗粒物回收利用做原材料；职工生活垃圾，非金属杂质，维护设备产生的废手套、废抹布由环卫部门清运处理；维护设备产生的废机油、废润滑油、废机油桶、废润滑油桶暂存于危险废物暂存</w:t>
            </w:r>
            <w:r>
              <w:rPr>
                <w:rFonts w:hint="eastAsia"/>
                <w:szCs w:val="21"/>
              </w:rPr>
              <w:t>间后委托有危险废物处置资质的单位处理</w:t>
            </w:r>
          </w:p>
        </w:tc>
        <w:tc>
          <w:tcPr>
            <w:tcW w:w="595" w:type="pct"/>
            <w:tcBorders>
              <w:left w:val="single" w:color="auto" w:sz="4" w:space="0"/>
            </w:tcBorders>
            <w:noWrap w:val="0"/>
            <w:vAlign w:val="center"/>
          </w:tcPr>
          <w:p>
            <w:pPr>
              <w:tabs>
                <w:tab w:val="left" w:pos="3225"/>
              </w:tabs>
              <w:adjustRightInd w:val="0"/>
              <w:snapToGrid w:val="0"/>
              <w:spacing w:line="280" w:lineRule="exact"/>
              <w:ind w:firstLine="210" w:firstLineChars="100"/>
              <w:jc w:val="left"/>
              <w:rPr>
                <w:rFonts w:hint="default"/>
                <w:snapToGrid w:val="0"/>
                <w:kern w:val="0"/>
                <w:szCs w:val="21"/>
                <w:lang w:val="en-US" w:eastAsia="zh-CN"/>
              </w:rPr>
            </w:pPr>
            <w:r>
              <w:rPr>
                <w:rFonts w:hint="eastAsia"/>
                <w:snapToGrid w:val="0"/>
                <w:kern w:val="0"/>
                <w:szCs w:val="21"/>
                <w:lang w:val="en-US" w:eastAsia="zh-CN"/>
              </w:rPr>
              <w:t>不一致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35" w:hRule="exact"/>
          <w:jc w:val="center"/>
        </w:trPr>
        <w:tc>
          <w:tcPr>
            <w:tcW w:w="217" w:type="pct"/>
            <w:vMerge w:val="continue"/>
            <w:noWrap w:val="0"/>
            <w:vAlign w:val="center"/>
          </w:tcPr>
          <w:p>
            <w:pPr>
              <w:tabs>
                <w:tab w:val="left" w:pos="3225"/>
              </w:tabs>
              <w:adjustRightInd w:val="0"/>
              <w:snapToGrid w:val="0"/>
              <w:jc w:val="center"/>
              <w:rPr>
                <w:snapToGrid w:val="0"/>
                <w:kern w:val="0"/>
                <w:szCs w:val="21"/>
              </w:rPr>
            </w:pPr>
          </w:p>
        </w:tc>
        <w:tc>
          <w:tcPr>
            <w:tcW w:w="349" w:type="pct"/>
            <w:vMerge w:val="continue"/>
            <w:noWrap w:val="0"/>
            <w:vAlign w:val="center"/>
          </w:tcPr>
          <w:p>
            <w:pPr>
              <w:widowControl/>
              <w:adjustRightInd w:val="0"/>
              <w:snapToGrid w:val="0"/>
              <w:jc w:val="center"/>
              <w:rPr>
                <w:snapToGrid w:val="0"/>
                <w:kern w:val="0"/>
                <w:szCs w:val="21"/>
              </w:rPr>
            </w:pPr>
          </w:p>
        </w:tc>
        <w:tc>
          <w:tcPr>
            <w:tcW w:w="591" w:type="pct"/>
            <w:noWrap w:val="0"/>
            <w:vAlign w:val="top"/>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其它</w:t>
            </w:r>
          </w:p>
        </w:tc>
        <w:tc>
          <w:tcPr>
            <w:tcW w:w="1593" w:type="pct"/>
            <w:noWrap w:val="0"/>
            <w:vAlign w:val="center"/>
          </w:tcPr>
          <w:p>
            <w:pPr>
              <w:pStyle w:val="123"/>
              <w:ind w:left="16"/>
              <w:jc w:val="center"/>
              <w:rPr>
                <w:rFonts w:ascii="Times New Roman" w:hAnsi="宋体" w:eastAsia="Times New Roman" w:cs="宋体"/>
                <w:sz w:val="21"/>
                <w:lang w:val="en-US" w:eastAsia="zh-CN"/>
              </w:rPr>
            </w:pPr>
            <w:r>
              <w:rPr>
                <w:rFonts w:ascii="Times New Roman" w:hAnsi="宋体" w:eastAsia="Times New Roman" w:cs="宋体"/>
                <w:sz w:val="21"/>
              </w:rPr>
              <w:t>厂区绿化措施等</w:t>
            </w:r>
          </w:p>
        </w:tc>
        <w:tc>
          <w:tcPr>
            <w:tcW w:w="1652" w:type="pct"/>
            <w:tcBorders>
              <w:right w:val="single" w:color="auto" w:sz="4" w:space="0"/>
            </w:tcBorders>
            <w:noWrap w:val="0"/>
            <w:vAlign w:val="top"/>
          </w:tcPr>
          <w:p>
            <w:pPr>
              <w:pStyle w:val="123"/>
              <w:ind w:left="16" w:leftChars="0"/>
              <w:jc w:val="center"/>
              <w:rPr>
                <w:rFonts w:ascii="Times New Roman" w:hAnsi="宋体" w:eastAsia="Times New Roman" w:cs="宋体"/>
                <w:kern w:val="2"/>
                <w:sz w:val="21"/>
                <w:szCs w:val="24"/>
                <w:lang w:val="en-US" w:eastAsia="zh-CN" w:bidi="zh-CN"/>
              </w:rPr>
            </w:pPr>
            <w:r>
              <w:rPr>
                <w:rFonts w:ascii="Times New Roman" w:hAnsi="宋体" w:eastAsia="Times New Roman" w:cs="宋体"/>
                <w:sz w:val="21"/>
              </w:rPr>
              <w:t>种树、花、草等</w:t>
            </w:r>
          </w:p>
        </w:tc>
        <w:tc>
          <w:tcPr>
            <w:tcW w:w="595" w:type="pct"/>
            <w:tcBorders>
              <w:left w:val="single" w:color="auto" w:sz="4" w:space="0"/>
            </w:tcBorders>
            <w:noWrap w:val="0"/>
            <w:vAlign w:val="center"/>
          </w:tcPr>
          <w:p>
            <w:pPr>
              <w:tabs>
                <w:tab w:val="left" w:pos="3225"/>
              </w:tabs>
              <w:adjustRightInd w:val="0"/>
              <w:snapToGrid w:val="0"/>
              <w:spacing w:line="280" w:lineRule="exact"/>
              <w:ind w:firstLine="210" w:firstLineChars="100"/>
              <w:jc w:val="left"/>
              <w:rPr>
                <w:rFonts w:hint="default"/>
                <w:snapToGrid w:val="0"/>
                <w:kern w:val="0"/>
                <w:szCs w:val="21"/>
                <w:lang w:val="en-US" w:eastAsia="zh-CN"/>
              </w:rPr>
            </w:pPr>
            <w:r>
              <w:rPr>
                <w:rFonts w:hint="eastAsia"/>
                <w:snapToGrid w:val="0"/>
                <w:kern w:val="0"/>
                <w:szCs w:val="21"/>
                <w:lang w:val="en-US" w:eastAsia="zh-CN"/>
              </w:rPr>
              <w:t>一致</w:t>
            </w:r>
          </w:p>
        </w:tc>
      </w:tr>
    </w:tbl>
    <w:p>
      <w:pPr>
        <w:spacing w:line="360" w:lineRule="auto"/>
        <w:rPr>
          <w:rFonts w:hint="eastAsia"/>
          <w:b/>
          <w:sz w:val="24"/>
        </w:rPr>
      </w:pPr>
    </w:p>
    <w:p>
      <w:pPr>
        <w:spacing w:line="360" w:lineRule="auto"/>
        <w:rPr>
          <w:b/>
          <w:sz w:val="24"/>
        </w:rPr>
      </w:pPr>
      <w:r>
        <w:rPr>
          <w:rFonts w:hint="eastAsia"/>
          <w:b/>
          <w:sz w:val="24"/>
        </w:rPr>
        <w:t>4、主要原辅材料消耗见表3-2</w:t>
      </w:r>
    </w:p>
    <w:p>
      <w:pPr>
        <w:adjustRightInd w:val="0"/>
        <w:snapToGrid w:val="0"/>
        <w:jc w:val="center"/>
        <w:rPr>
          <w:b/>
          <w:sz w:val="24"/>
        </w:rPr>
      </w:pPr>
      <w:r>
        <w:rPr>
          <w:b/>
          <w:sz w:val="24"/>
        </w:rPr>
        <w:t>表</w:t>
      </w:r>
      <w:r>
        <w:rPr>
          <w:rFonts w:hint="eastAsia"/>
          <w:b/>
          <w:sz w:val="24"/>
        </w:rPr>
        <w:t>3</w:t>
      </w:r>
      <w:r>
        <w:rPr>
          <w:b/>
          <w:sz w:val="24"/>
        </w:rPr>
        <w:t>-2   项目主要原辅材料一览表</w:t>
      </w:r>
    </w:p>
    <w:tbl>
      <w:tblPr>
        <w:tblStyle w:val="39"/>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57"/>
        <w:gridCol w:w="4223"/>
        <w:gridCol w:w="1368"/>
        <w:gridCol w:w="156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1157" w:type="dxa"/>
          </w:tcPr>
          <w:p>
            <w:pPr>
              <w:pStyle w:val="123"/>
              <w:spacing w:before="66"/>
              <w:ind w:left="348" w:right="339"/>
              <w:jc w:val="center"/>
              <w:rPr>
                <w:sz w:val="21"/>
              </w:rPr>
            </w:pPr>
            <w:r>
              <w:rPr>
                <w:sz w:val="21"/>
              </w:rPr>
              <w:t>序号</w:t>
            </w:r>
          </w:p>
        </w:tc>
        <w:tc>
          <w:tcPr>
            <w:tcW w:w="4223" w:type="dxa"/>
          </w:tcPr>
          <w:p>
            <w:pPr>
              <w:pStyle w:val="123"/>
              <w:spacing w:before="66"/>
              <w:ind w:left="96" w:right="85"/>
              <w:jc w:val="center"/>
              <w:rPr>
                <w:sz w:val="21"/>
              </w:rPr>
            </w:pPr>
            <w:r>
              <w:rPr>
                <w:sz w:val="21"/>
              </w:rPr>
              <w:t>名 称</w:t>
            </w:r>
          </w:p>
        </w:tc>
        <w:tc>
          <w:tcPr>
            <w:tcW w:w="1368" w:type="dxa"/>
          </w:tcPr>
          <w:p>
            <w:pPr>
              <w:pStyle w:val="123"/>
              <w:spacing w:before="66"/>
              <w:ind w:left="453" w:right="445"/>
              <w:jc w:val="center"/>
              <w:rPr>
                <w:sz w:val="21"/>
              </w:rPr>
            </w:pPr>
            <w:r>
              <w:rPr>
                <w:sz w:val="21"/>
              </w:rPr>
              <w:t>单位</w:t>
            </w:r>
          </w:p>
        </w:tc>
        <w:tc>
          <w:tcPr>
            <w:tcW w:w="1563" w:type="dxa"/>
          </w:tcPr>
          <w:p>
            <w:pPr>
              <w:pStyle w:val="123"/>
              <w:spacing w:before="66"/>
              <w:ind w:left="419" w:right="408"/>
              <w:jc w:val="center"/>
              <w:rPr>
                <w:sz w:val="21"/>
              </w:rPr>
            </w:pPr>
            <w:r>
              <w:rPr>
                <w:sz w:val="21"/>
              </w:rPr>
              <w:t>年用量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jc w:val="center"/>
        </w:trPr>
        <w:tc>
          <w:tcPr>
            <w:tcW w:w="1157" w:type="dxa"/>
          </w:tcPr>
          <w:p>
            <w:pPr>
              <w:pStyle w:val="123"/>
              <w:spacing w:before="151"/>
              <w:ind w:left="9"/>
              <w:jc w:val="center"/>
              <w:rPr>
                <w:rFonts w:ascii="Times New Roman"/>
                <w:sz w:val="21"/>
              </w:rPr>
            </w:pPr>
            <w:r>
              <w:rPr>
                <w:rFonts w:ascii="Times New Roman"/>
                <w:w w:val="100"/>
                <w:sz w:val="21"/>
              </w:rPr>
              <w:t>1</w:t>
            </w:r>
          </w:p>
        </w:tc>
        <w:tc>
          <w:tcPr>
            <w:tcW w:w="4223" w:type="dxa"/>
          </w:tcPr>
          <w:p>
            <w:pPr>
              <w:pStyle w:val="123"/>
              <w:spacing w:before="1"/>
              <w:ind w:left="96" w:right="86"/>
              <w:jc w:val="center"/>
              <w:rPr>
                <w:sz w:val="21"/>
              </w:rPr>
            </w:pPr>
            <w:r>
              <w:rPr>
                <w:sz w:val="21"/>
              </w:rPr>
              <w:t>钢丝类、半成品钢丸、轴承钢边角料及其它</w:t>
            </w:r>
          </w:p>
          <w:p>
            <w:pPr>
              <w:pStyle w:val="123"/>
              <w:spacing w:before="4" w:line="250" w:lineRule="exact"/>
              <w:ind w:left="94" w:right="86"/>
              <w:jc w:val="center"/>
              <w:rPr>
                <w:sz w:val="21"/>
              </w:rPr>
            </w:pPr>
            <w:r>
              <w:rPr>
                <w:sz w:val="21"/>
              </w:rPr>
              <w:t>合金钢材料</w:t>
            </w:r>
          </w:p>
        </w:tc>
        <w:tc>
          <w:tcPr>
            <w:tcW w:w="1368" w:type="dxa"/>
          </w:tcPr>
          <w:p>
            <w:pPr>
              <w:pStyle w:val="123"/>
              <w:spacing w:before="138"/>
              <w:ind w:left="8"/>
              <w:jc w:val="center"/>
              <w:rPr>
                <w:sz w:val="21"/>
              </w:rPr>
            </w:pPr>
            <w:r>
              <w:rPr>
                <w:w w:val="100"/>
                <w:sz w:val="21"/>
              </w:rPr>
              <w:t>吨</w:t>
            </w:r>
          </w:p>
        </w:tc>
        <w:tc>
          <w:tcPr>
            <w:tcW w:w="1563" w:type="dxa"/>
          </w:tcPr>
          <w:p>
            <w:pPr>
              <w:pStyle w:val="123"/>
              <w:spacing w:before="151"/>
              <w:ind w:left="419" w:right="411"/>
              <w:jc w:val="center"/>
              <w:rPr>
                <w:rFonts w:ascii="Times New Roman"/>
                <w:sz w:val="21"/>
              </w:rPr>
            </w:pPr>
            <w:r>
              <w:rPr>
                <w:rFonts w:ascii="Times New Roman"/>
                <w:sz w:val="21"/>
              </w:rPr>
              <w:t>20012.9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1157" w:type="dxa"/>
          </w:tcPr>
          <w:p>
            <w:pPr>
              <w:pStyle w:val="123"/>
              <w:spacing w:before="77"/>
              <w:ind w:left="9"/>
              <w:jc w:val="center"/>
              <w:rPr>
                <w:rFonts w:ascii="Times New Roman"/>
                <w:sz w:val="21"/>
              </w:rPr>
            </w:pPr>
            <w:r>
              <w:rPr>
                <w:rFonts w:ascii="Times New Roman"/>
                <w:w w:val="100"/>
                <w:sz w:val="21"/>
              </w:rPr>
              <w:t>2</w:t>
            </w:r>
          </w:p>
        </w:tc>
        <w:tc>
          <w:tcPr>
            <w:tcW w:w="4223" w:type="dxa"/>
          </w:tcPr>
          <w:p>
            <w:pPr>
              <w:pStyle w:val="123"/>
              <w:spacing w:before="61"/>
              <w:ind w:left="96" w:right="85"/>
              <w:jc w:val="center"/>
              <w:rPr>
                <w:sz w:val="21"/>
              </w:rPr>
            </w:pPr>
            <w:r>
              <w:rPr>
                <w:sz w:val="21"/>
              </w:rPr>
              <w:t>润滑油、机油</w:t>
            </w:r>
          </w:p>
        </w:tc>
        <w:tc>
          <w:tcPr>
            <w:tcW w:w="1368" w:type="dxa"/>
          </w:tcPr>
          <w:p>
            <w:pPr>
              <w:pStyle w:val="123"/>
              <w:spacing w:before="66"/>
              <w:ind w:left="8"/>
              <w:jc w:val="center"/>
              <w:rPr>
                <w:sz w:val="21"/>
              </w:rPr>
            </w:pPr>
            <w:r>
              <w:rPr>
                <w:w w:val="100"/>
                <w:sz w:val="21"/>
              </w:rPr>
              <w:t>吨</w:t>
            </w:r>
          </w:p>
        </w:tc>
        <w:tc>
          <w:tcPr>
            <w:tcW w:w="1563" w:type="dxa"/>
          </w:tcPr>
          <w:p>
            <w:pPr>
              <w:pStyle w:val="123"/>
              <w:spacing w:before="77"/>
              <w:ind w:left="419" w:right="408"/>
              <w:jc w:val="center"/>
              <w:rPr>
                <w:rFonts w:ascii="Times New Roman"/>
                <w:sz w:val="21"/>
              </w:rPr>
            </w:pPr>
            <w:r>
              <w:rPr>
                <w:rFonts w:ascii="Times New Roman"/>
                <w:sz w:val="21"/>
              </w:rPr>
              <w:t>0.05</w:t>
            </w:r>
          </w:p>
        </w:tc>
      </w:tr>
    </w:tbl>
    <w:p>
      <w:pPr>
        <w:adjustRightInd w:val="0"/>
        <w:snapToGrid w:val="0"/>
        <w:spacing w:line="360" w:lineRule="auto"/>
        <w:rPr>
          <w:rFonts w:hint="eastAsia"/>
          <w:sz w:val="24"/>
        </w:rPr>
      </w:pPr>
    </w:p>
    <w:p>
      <w:pPr>
        <w:adjustRightInd w:val="0"/>
        <w:snapToGrid w:val="0"/>
        <w:spacing w:line="360" w:lineRule="auto"/>
        <w:rPr>
          <w:sz w:val="24"/>
        </w:rPr>
      </w:pPr>
      <w:r>
        <w:rPr>
          <w:rFonts w:hint="eastAsia"/>
          <w:sz w:val="24"/>
        </w:rPr>
        <w:t>5</w:t>
      </w:r>
      <w:r>
        <w:rPr>
          <w:rFonts w:hint="eastAsia"/>
          <w:b/>
          <w:sz w:val="24"/>
        </w:rPr>
        <w:t>、主要生产设备和辅助设备见表3-3。</w:t>
      </w:r>
    </w:p>
    <w:p>
      <w:pPr>
        <w:adjustRightInd w:val="0"/>
        <w:snapToGrid w:val="0"/>
        <w:jc w:val="center"/>
        <w:rPr>
          <w:b/>
          <w:sz w:val="24"/>
        </w:rPr>
      </w:pPr>
      <w:r>
        <w:rPr>
          <w:b/>
          <w:sz w:val="24"/>
        </w:rPr>
        <w:t>表</w:t>
      </w:r>
      <w:r>
        <w:rPr>
          <w:rFonts w:hint="eastAsia"/>
          <w:b/>
          <w:sz w:val="24"/>
        </w:rPr>
        <w:t>3</w:t>
      </w:r>
      <w:r>
        <w:rPr>
          <w:b/>
          <w:sz w:val="24"/>
        </w:rPr>
        <w:t>-3   项目主要设备一览表</w:t>
      </w:r>
    </w:p>
    <w:tbl>
      <w:tblPr>
        <w:tblStyle w:val="39"/>
        <w:tblW w:w="9176" w:type="dxa"/>
        <w:jc w:val="center"/>
        <w:tblBorders>
          <w:top w:val="none" w:color="auto" w:sz="0"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81"/>
        <w:gridCol w:w="1764"/>
        <w:gridCol w:w="1187"/>
        <w:gridCol w:w="2220"/>
        <w:gridCol w:w="2172"/>
        <w:gridCol w:w="1152"/>
      </w:tblGrid>
      <w:tr>
        <w:tblPrEx>
          <w:tblBorders>
            <w:top w:val="none" w:color="auto" w:sz="0"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513" w:hRule="exact"/>
          <w:jc w:val="center"/>
        </w:trPr>
        <w:tc>
          <w:tcPr>
            <w:tcW w:w="681" w:type="dxa"/>
            <w:tcBorders>
              <w:tl2br w:val="nil"/>
              <w:tr2bl w:val="nil"/>
            </w:tcBorders>
            <w:noWrap w:val="0"/>
            <w:vAlign w:val="center"/>
          </w:tcPr>
          <w:p>
            <w:pPr>
              <w:adjustRightInd w:val="0"/>
              <w:snapToGrid w:val="0"/>
              <w:spacing w:line="300" w:lineRule="exact"/>
              <w:jc w:val="center"/>
              <w:rPr>
                <w:rFonts w:eastAsia="方正宋三简体"/>
                <w:b/>
                <w:szCs w:val="21"/>
              </w:rPr>
            </w:pPr>
            <w:r>
              <w:rPr>
                <w:rFonts w:eastAsia="方正宋三简体"/>
                <w:b/>
                <w:szCs w:val="21"/>
              </w:rPr>
              <w:t>序号</w:t>
            </w:r>
          </w:p>
        </w:tc>
        <w:tc>
          <w:tcPr>
            <w:tcW w:w="1764" w:type="dxa"/>
            <w:tcBorders>
              <w:tl2br w:val="nil"/>
              <w:tr2bl w:val="nil"/>
            </w:tcBorders>
            <w:noWrap w:val="0"/>
            <w:vAlign w:val="center"/>
          </w:tcPr>
          <w:p>
            <w:pPr>
              <w:adjustRightInd w:val="0"/>
              <w:snapToGrid w:val="0"/>
              <w:spacing w:line="300" w:lineRule="exact"/>
              <w:jc w:val="center"/>
              <w:rPr>
                <w:rFonts w:eastAsia="方正宋三简体"/>
                <w:b/>
                <w:szCs w:val="21"/>
              </w:rPr>
            </w:pPr>
            <w:r>
              <w:rPr>
                <w:rFonts w:eastAsia="方正宋三简体"/>
                <w:b/>
                <w:szCs w:val="21"/>
              </w:rPr>
              <w:t>设备名称</w:t>
            </w:r>
          </w:p>
        </w:tc>
        <w:tc>
          <w:tcPr>
            <w:tcW w:w="1187" w:type="dxa"/>
            <w:tcBorders>
              <w:tl2br w:val="nil"/>
              <w:tr2bl w:val="nil"/>
            </w:tcBorders>
            <w:noWrap w:val="0"/>
            <w:vAlign w:val="center"/>
          </w:tcPr>
          <w:p>
            <w:pPr>
              <w:adjustRightInd w:val="0"/>
              <w:snapToGrid w:val="0"/>
              <w:spacing w:line="300" w:lineRule="exact"/>
              <w:jc w:val="center"/>
              <w:rPr>
                <w:rFonts w:eastAsia="方正宋三简体"/>
                <w:b/>
                <w:szCs w:val="21"/>
              </w:rPr>
            </w:pPr>
            <w:r>
              <w:rPr>
                <w:rFonts w:eastAsia="方正宋三简体"/>
                <w:b/>
                <w:szCs w:val="21"/>
              </w:rPr>
              <w:t>型号</w:t>
            </w:r>
          </w:p>
        </w:tc>
        <w:tc>
          <w:tcPr>
            <w:tcW w:w="2220" w:type="dxa"/>
            <w:tcBorders>
              <w:tl2br w:val="nil"/>
              <w:tr2bl w:val="nil"/>
            </w:tcBorders>
            <w:noWrap w:val="0"/>
            <w:vAlign w:val="center"/>
          </w:tcPr>
          <w:p>
            <w:pPr>
              <w:adjustRightInd w:val="0"/>
              <w:snapToGrid w:val="0"/>
              <w:spacing w:line="300" w:lineRule="exact"/>
              <w:jc w:val="center"/>
              <w:rPr>
                <w:rFonts w:eastAsia="方正宋三简体"/>
                <w:b/>
                <w:szCs w:val="21"/>
              </w:rPr>
            </w:pPr>
            <w:r>
              <w:rPr>
                <w:rFonts w:hint="eastAsia" w:eastAsia="方正宋三简体"/>
                <w:b/>
                <w:szCs w:val="21"/>
                <w:lang w:val="en-US" w:eastAsia="zh-CN"/>
              </w:rPr>
              <w:t>环评设备</w:t>
            </w:r>
            <w:r>
              <w:rPr>
                <w:rFonts w:eastAsia="方正宋三简体"/>
                <w:b/>
                <w:szCs w:val="21"/>
              </w:rPr>
              <w:t>数量（台</w:t>
            </w:r>
            <w:r>
              <w:rPr>
                <w:rFonts w:hint="eastAsia" w:eastAsia="方正宋三简体"/>
                <w:b/>
                <w:szCs w:val="21"/>
                <w:lang w:val="en-US" w:eastAsia="zh-CN"/>
              </w:rPr>
              <w:t>/套</w:t>
            </w:r>
            <w:r>
              <w:rPr>
                <w:rFonts w:eastAsia="方正宋三简体"/>
                <w:b/>
                <w:szCs w:val="21"/>
              </w:rPr>
              <w:t>）</w:t>
            </w:r>
          </w:p>
        </w:tc>
        <w:tc>
          <w:tcPr>
            <w:tcW w:w="2172" w:type="dxa"/>
            <w:tcBorders>
              <w:tl2br w:val="nil"/>
              <w:tr2bl w:val="nil"/>
            </w:tcBorders>
            <w:noWrap w:val="0"/>
            <w:vAlign w:val="center"/>
          </w:tcPr>
          <w:p>
            <w:pPr>
              <w:adjustRightInd w:val="0"/>
              <w:snapToGrid w:val="0"/>
              <w:spacing w:line="300" w:lineRule="exact"/>
              <w:jc w:val="center"/>
              <w:rPr>
                <w:rFonts w:hint="default" w:eastAsia="方正宋三简体"/>
                <w:b/>
                <w:szCs w:val="21"/>
                <w:lang w:val="en-US" w:eastAsia="zh-CN"/>
              </w:rPr>
            </w:pPr>
            <w:r>
              <w:rPr>
                <w:rFonts w:hint="eastAsia" w:eastAsia="方正宋三简体"/>
                <w:b/>
                <w:szCs w:val="21"/>
                <w:lang w:val="en-US" w:eastAsia="zh-CN"/>
              </w:rPr>
              <w:t>实际建设数量（台/套）</w:t>
            </w:r>
          </w:p>
        </w:tc>
        <w:tc>
          <w:tcPr>
            <w:tcW w:w="1152" w:type="dxa"/>
            <w:tcBorders>
              <w:tl2br w:val="nil"/>
              <w:tr2bl w:val="nil"/>
            </w:tcBorders>
            <w:noWrap w:val="0"/>
            <w:vAlign w:val="center"/>
          </w:tcPr>
          <w:p>
            <w:pPr>
              <w:adjustRightInd w:val="0"/>
              <w:snapToGrid w:val="0"/>
              <w:spacing w:line="300" w:lineRule="exact"/>
              <w:jc w:val="center"/>
              <w:rPr>
                <w:rFonts w:eastAsia="方正宋三简体"/>
                <w:b/>
                <w:szCs w:val="21"/>
              </w:rPr>
            </w:pPr>
            <w:r>
              <w:rPr>
                <w:rFonts w:eastAsia="方正宋三简体"/>
                <w:b/>
                <w:szCs w:val="21"/>
              </w:rPr>
              <w:t>备注</w:t>
            </w:r>
          </w:p>
        </w:tc>
      </w:tr>
      <w:tr>
        <w:tblPrEx>
          <w:tblBorders>
            <w:top w:val="none" w:color="auto" w:sz="0"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425" w:hRule="exact"/>
          <w:jc w:val="center"/>
        </w:trPr>
        <w:tc>
          <w:tcPr>
            <w:tcW w:w="681" w:type="dxa"/>
            <w:tcBorders>
              <w:tl2br w:val="nil"/>
              <w:tr2bl w:val="nil"/>
            </w:tcBorders>
            <w:noWrap w:val="0"/>
            <w:vAlign w:val="center"/>
          </w:tcPr>
          <w:p>
            <w:pPr>
              <w:pStyle w:val="22"/>
              <w:adjustRightInd w:val="0"/>
              <w:snapToGrid w:val="0"/>
              <w:spacing w:line="300" w:lineRule="exact"/>
              <w:jc w:val="center"/>
              <w:rPr>
                <w:rFonts w:ascii="Times New Roman" w:hAnsi="Times New Roman" w:eastAsia="方正宋三简体" w:cs="Times New Roman"/>
                <w:szCs w:val="21"/>
              </w:rPr>
            </w:pPr>
            <w:r>
              <w:rPr>
                <w:rFonts w:ascii="Times New Roman" w:hAnsi="Times New Roman" w:eastAsia="方正宋三简体" w:cs="Times New Roman"/>
                <w:szCs w:val="21"/>
              </w:rPr>
              <w:t>1</w:t>
            </w:r>
          </w:p>
        </w:tc>
        <w:tc>
          <w:tcPr>
            <w:tcW w:w="1764"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拔丝机</w:t>
            </w:r>
          </w:p>
        </w:tc>
        <w:tc>
          <w:tcPr>
            <w:tcW w:w="1187" w:type="dxa"/>
            <w:tcBorders>
              <w:tl2br w:val="nil"/>
              <w:tr2bl w:val="nil"/>
            </w:tcBorders>
            <w:noWrap w:val="0"/>
            <w:vAlign w:val="center"/>
          </w:tcPr>
          <w:p>
            <w:pPr>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w:t>
            </w:r>
          </w:p>
        </w:tc>
        <w:tc>
          <w:tcPr>
            <w:tcW w:w="2220"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24</w:t>
            </w:r>
          </w:p>
        </w:tc>
        <w:tc>
          <w:tcPr>
            <w:tcW w:w="2172"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24</w:t>
            </w:r>
          </w:p>
        </w:tc>
        <w:tc>
          <w:tcPr>
            <w:tcW w:w="1152" w:type="dxa"/>
            <w:tcBorders>
              <w:tl2br w:val="nil"/>
              <w:tr2bl w:val="nil"/>
            </w:tcBorders>
            <w:noWrap w:val="0"/>
            <w:vAlign w:val="center"/>
          </w:tcPr>
          <w:p>
            <w:pPr>
              <w:pStyle w:val="2"/>
              <w:snapToGrid w:val="0"/>
              <w:spacing w:after="0"/>
              <w:ind w:left="0" w:leftChars="0" w:firstLine="0" w:firstLineChars="0"/>
              <w:jc w:val="center"/>
              <w:rPr>
                <w:rFonts w:hint="eastAsia"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一致</w:t>
            </w:r>
          </w:p>
        </w:tc>
      </w:tr>
      <w:tr>
        <w:tblPrEx>
          <w:tblBorders>
            <w:top w:val="none" w:color="auto" w:sz="0"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425" w:hRule="exact"/>
          <w:jc w:val="center"/>
        </w:trPr>
        <w:tc>
          <w:tcPr>
            <w:tcW w:w="681" w:type="dxa"/>
            <w:tcBorders>
              <w:tl2br w:val="nil"/>
              <w:tr2bl w:val="nil"/>
            </w:tcBorders>
            <w:noWrap w:val="0"/>
            <w:vAlign w:val="center"/>
          </w:tcPr>
          <w:p>
            <w:pPr>
              <w:pStyle w:val="22"/>
              <w:adjustRightInd w:val="0"/>
              <w:snapToGrid w:val="0"/>
              <w:spacing w:line="300" w:lineRule="exact"/>
              <w:jc w:val="center"/>
              <w:rPr>
                <w:rFonts w:ascii="Times New Roman" w:hAnsi="Times New Roman" w:eastAsia="方正宋三简体" w:cs="Times New Roman"/>
                <w:kern w:val="2"/>
                <w:sz w:val="21"/>
                <w:szCs w:val="21"/>
                <w:lang w:val="en-US" w:eastAsia="zh-CN" w:bidi="ar-SA"/>
              </w:rPr>
            </w:pPr>
            <w:r>
              <w:rPr>
                <w:rFonts w:ascii="Times New Roman" w:hAnsi="Times New Roman" w:eastAsia="方正宋三简体" w:cs="Times New Roman"/>
                <w:szCs w:val="21"/>
              </w:rPr>
              <w:t>2</w:t>
            </w:r>
          </w:p>
        </w:tc>
        <w:tc>
          <w:tcPr>
            <w:tcW w:w="1764"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电加热设备</w:t>
            </w:r>
          </w:p>
        </w:tc>
        <w:tc>
          <w:tcPr>
            <w:tcW w:w="1187" w:type="dxa"/>
            <w:tcBorders>
              <w:tl2br w:val="nil"/>
              <w:tr2bl w:val="nil"/>
            </w:tcBorders>
            <w:noWrap w:val="0"/>
            <w:vAlign w:val="center"/>
          </w:tcPr>
          <w:p>
            <w:pPr>
              <w:jc w:val="center"/>
              <w:rPr>
                <w:rFonts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w:t>
            </w:r>
          </w:p>
        </w:tc>
        <w:tc>
          <w:tcPr>
            <w:tcW w:w="2220"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4</w:t>
            </w:r>
          </w:p>
        </w:tc>
        <w:tc>
          <w:tcPr>
            <w:tcW w:w="2172"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4</w:t>
            </w:r>
          </w:p>
        </w:tc>
        <w:tc>
          <w:tcPr>
            <w:tcW w:w="1152" w:type="dxa"/>
            <w:tcBorders>
              <w:tl2br w:val="nil"/>
              <w:tr2bl w:val="nil"/>
            </w:tcBorders>
            <w:noWrap w:val="0"/>
            <w:vAlign w:val="center"/>
          </w:tcPr>
          <w:p>
            <w:pPr>
              <w:pStyle w:val="2"/>
              <w:snapToGrid w:val="0"/>
              <w:spacing w:after="0"/>
              <w:ind w:left="0" w:leftChars="0" w:firstLine="0" w:firstLineChars="0"/>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一致</w:t>
            </w:r>
          </w:p>
        </w:tc>
      </w:tr>
      <w:tr>
        <w:tblPrEx>
          <w:tblBorders>
            <w:top w:val="none" w:color="auto" w:sz="0"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425" w:hRule="exact"/>
          <w:jc w:val="center"/>
        </w:trPr>
        <w:tc>
          <w:tcPr>
            <w:tcW w:w="681" w:type="dxa"/>
            <w:tcBorders>
              <w:tl2br w:val="nil"/>
              <w:tr2bl w:val="nil"/>
            </w:tcBorders>
            <w:noWrap w:val="0"/>
            <w:vAlign w:val="center"/>
          </w:tcPr>
          <w:p>
            <w:pPr>
              <w:pStyle w:val="22"/>
              <w:adjustRightInd w:val="0"/>
              <w:snapToGrid w:val="0"/>
              <w:spacing w:line="300" w:lineRule="exact"/>
              <w:jc w:val="center"/>
              <w:rPr>
                <w:rFonts w:ascii="Times New Roman" w:hAnsi="Times New Roman" w:eastAsia="方正宋三简体" w:cs="Times New Roman"/>
                <w:kern w:val="2"/>
                <w:sz w:val="21"/>
                <w:szCs w:val="21"/>
                <w:lang w:val="en-US" w:eastAsia="zh-CN" w:bidi="ar-SA"/>
              </w:rPr>
            </w:pPr>
            <w:r>
              <w:rPr>
                <w:rFonts w:ascii="Times New Roman" w:hAnsi="Times New Roman" w:eastAsia="方正宋三简体" w:cs="Times New Roman"/>
                <w:szCs w:val="21"/>
              </w:rPr>
              <w:t>3</w:t>
            </w:r>
          </w:p>
        </w:tc>
        <w:tc>
          <w:tcPr>
            <w:tcW w:w="1764"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切丝机</w:t>
            </w:r>
          </w:p>
        </w:tc>
        <w:tc>
          <w:tcPr>
            <w:tcW w:w="1187" w:type="dxa"/>
            <w:tcBorders>
              <w:tl2br w:val="nil"/>
              <w:tr2bl w:val="nil"/>
            </w:tcBorders>
            <w:noWrap w:val="0"/>
            <w:vAlign w:val="center"/>
          </w:tcPr>
          <w:p>
            <w:pPr>
              <w:jc w:val="center"/>
              <w:rPr>
                <w:rFonts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w:t>
            </w:r>
          </w:p>
        </w:tc>
        <w:tc>
          <w:tcPr>
            <w:tcW w:w="2220"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40</w:t>
            </w:r>
          </w:p>
        </w:tc>
        <w:tc>
          <w:tcPr>
            <w:tcW w:w="2172"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40</w:t>
            </w:r>
          </w:p>
        </w:tc>
        <w:tc>
          <w:tcPr>
            <w:tcW w:w="1152" w:type="dxa"/>
            <w:tcBorders>
              <w:tl2br w:val="nil"/>
              <w:tr2bl w:val="nil"/>
            </w:tcBorders>
            <w:noWrap w:val="0"/>
            <w:vAlign w:val="center"/>
          </w:tcPr>
          <w:p>
            <w:pPr>
              <w:pStyle w:val="2"/>
              <w:snapToGrid w:val="0"/>
              <w:spacing w:after="0"/>
              <w:ind w:left="0" w:leftChars="0" w:firstLine="0" w:firstLineChars="0"/>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一致</w:t>
            </w:r>
          </w:p>
        </w:tc>
      </w:tr>
      <w:tr>
        <w:tblPrEx>
          <w:tblBorders>
            <w:top w:val="none" w:color="auto" w:sz="0"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425" w:hRule="exact"/>
          <w:jc w:val="center"/>
        </w:trPr>
        <w:tc>
          <w:tcPr>
            <w:tcW w:w="681" w:type="dxa"/>
            <w:tcBorders>
              <w:tl2br w:val="nil"/>
              <w:tr2bl w:val="nil"/>
            </w:tcBorders>
            <w:noWrap w:val="0"/>
            <w:vAlign w:val="center"/>
          </w:tcPr>
          <w:p>
            <w:pPr>
              <w:pStyle w:val="22"/>
              <w:adjustRightInd w:val="0"/>
              <w:snapToGrid w:val="0"/>
              <w:spacing w:line="300" w:lineRule="exact"/>
              <w:jc w:val="center"/>
              <w:rPr>
                <w:rFonts w:ascii="Times New Roman" w:hAnsi="Times New Roman" w:eastAsia="方正宋三简体" w:cs="Times New Roman"/>
                <w:kern w:val="2"/>
                <w:sz w:val="21"/>
                <w:szCs w:val="21"/>
                <w:lang w:val="en-US" w:eastAsia="zh-CN" w:bidi="ar-SA"/>
              </w:rPr>
            </w:pPr>
            <w:r>
              <w:rPr>
                <w:rFonts w:ascii="Times New Roman" w:hAnsi="Times New Roman" w:eastAsia="方正宋三简体" w:cs="Times New Roman"/>
                <w:szCs w:val="21"/>
              </w:rPr>
              <w:t>4</w:t>
            </w:r>
          </w:p>
        </w:tc>
        <w:tc>
          <w:tcPr>
            <w:tcW w:w="1764"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研磨机</w:t>
            </w:r>
          </w:p>
        </w:tc>
        <w:tc>
          <w:tcPr>
            <w:tcW w:w="1187" w:type="dxa"/>
            <w:tcBorders>
              <w:tl2br w:val="nil"/>
              <w:tr2bl w:val="nil"/>
            </w:tcBorders>
            <w:noWrap w:val="0"/>
            <w:vAlign w:val="center"/>
          </w:tcPr>
          <w:p>
            <w:pPr>
              <w:jc w:val="center"/>
              <w:rPr>
                <w:rFonts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w:t>
            </w:r>
          </w:p>
        </w:tc>
        <w:tc>
          <w:tcPr>
            <w:tcW w:w="2220"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20</w:t>
            </w:r>
          </w:p>
        </w:tc>
        <w:tc>
          <w:tcPr>
            <w:tcW w:w="2172"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20</w:t>
            </w:r>
          </w:p>
        </w:tc>
        <w:tc>
          <w:tcPr>
            <w:tcW w:w="1152" w:type="dxa"/>
            <w:tcBorders>
              <w:tl2br w:val="nil"/>
              <w:tr2bl w:val="nil"/>
            </w:tcBorders>
            <w:noWrap w:val="0"/>
            <w:vAlign w:val="center"/>
          </w:tcPr>
          <w:p>
            <w:pPr>
              <w:pStyle w:val="2"/>
              <w:snapToGrid w:val="0"/>
              <w:spacing w:after="0"/>
              <w:ind w:left="0" w:leftChars="0" w:firstLine="0" w:firstLineChars="0"/>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一致</w:t>
            </w:r>
          </w:p>
        </w:tc>
      </w:tr>
      <w:tr>
        <w:tblPrEx>
          <w:tblBorders>
            <w:top w:val="none" w:color="auto" w:sz="0"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425" w:hRule="exact"/>
          <w:jc w:val="center"/>
        </w:trPr>
        <w:tc>
          <w:tcPr>
            <w:tcW w:w="681" w:type="dxa"/>
            <w:tcBorders>
              <w:tl2br w:val="nil"/>
              <w:tr2bl w:val="nil"/>
            </w:tcBorders>
            <w:noWrap w:val="0"/>
            <w:vAlign w:val="center"/>
          </w:tcPr>
          <w:p>
            <w:pPr>
              <w:pStyle w:val="22"/>
              <w:adjustRightInd w:val="0"/>
              <w:snapToGrid w:val="0"/>
              <w:spacing w:line="300" w:lineRule="exact"/>
              <w:jc w:val="center"/>
              <w:rPr>
                <w:rFonts w:ascii="Times New Roman" w:hAnsi="Times New Roman" w:eastAsia="方正宋三简体" w:cs="Times New Roman"/>
                <w:kern w:val="2"/>
                <w:sz w:val="21"/>
                <w:szCs w:val="21"/>
                <w:lang w:val="en-US" w:eastAsia="zh-CN" w:bidi="ar-SA"/>
              </w:rPr>
            </w:pPr>
            <w:r>
              <w:rPr>
                <w:rFonts w:ascii="Times New Roman" w:hAnsi="Times New Roman" w:eastAsia="方正宋三简体" w:cs="Times New Roman"/>
                <w:szCs w:val="21"/>
              </w:rPr>
              <w:t>5</w:t>
            </w:r>
          </w:p>
        </w:tc>
        <w:tc>
          <w:tcPr>
            <w:tcW w:w="1764"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破碎机</w:t>
            </w:r>
          </w:p>
        </w:tc>
        <w:tc>
          <w:tcPr>
            <w:tcW w:w="1187" w:type="dxa"/>
            <w:tcBorders>
              <w:tl2br w:val="nil"/>
              <w:tr2bl w:val="nil"/>
            </w:tcBorders>
            <w:noWrap w:val="0"/>
            <w:vAlign w:val="center"/>
          </w:tcPr>
          <w:p>
            <w:pPr>
              <w:jc w:val="center"/>
              <w:rPr>
                <w:rFonts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w:t>
            </w:r>
          </w:p>
        </w:tc>
        <w:tc>
          <w:tcPr>
            <w:tcW w:w="2220"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8</w:t>
            </w:r>
          </w:p>
        </w:tc>
        <w:tc>
          <w:tcPr>
            <w:tcW w:w="2172"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8</w:t>
            </w:r>
          </w:p>
        </w:tc>
        <w:tc>
          <w:tcPr>
            <w:tcW w:w="1152" w:type="dxa"/>
            <w:tcBorders>
              <w:tl2br w:val="nil"/>
              <w:tr2bl w:val="nil"/>
            </w:tcBorders>
            <w:noWrap w:val="0"/>
            <w:vAlign w:val="center"/>
          </w:tcPr>
          <w:p>
            <w:pPr>
              <w:pStyle w:val="2"/>
              <w:snapToGrid w:val="0"/>
              <w:spacing w:after="0"/>
              <w:ind w:left="0" w:leftChars="0" w:firstLine="0" w:firstLineChars="0"/>
              <w:jc w:val="center"/>
              <w:rPr>
                <w:rFonts w:hint="eastAsia"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一致</w:t>
            </w:r>
          </w:p>
        </w:tc>
      </w:tr>
      <w:tr>
        <w:tblPrEx>
          <w:tblBorders>
            <w:top w:val="none" w:color="auto" w:sz="0"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425" w:hRule="exact"/>
          <w:jc w:val="center"/>
        </w:trPr>
        <w:tc>
          <w:tcPr>
            <w:tcW w:w="681" w:type="dxa"/>
            <w:tcBorders>
              <w:tl2br w:val="nil"/>
              <w:tr2bl w:val="nil"/>
            </w:tcBorders>
            <w:noWrap w:val="0"/>
            <w:vAlign w:val="center"/>
          </w:tcPr>
          <w:p>
            <w:pPr>
              <w:pStyle w:val="22"/>
              <w:adjustRightInd w:val="0"/>
              <w:snapToGrid w:val="0"/>
              <w:spacing w:line="300" w:lineRule="exact"/>
              <w:jc w:val="center"/>
              <w:rPr>
                <w:rFonts w:hint="default" w:ascii="Times New Roman" w:hAnsi="Times New Roman" w:eastAsia="方正宋三简体" w:cs="Times New Roman"/>
                <w:szCs w:val="21"/>
                <w:lang w:val="en-US" w:eastAsia="zh-CN"/>
              </w:rPr>
            </w:pPr>
            <w:r>
              <w:rPr>
                <w:rFonts w:hint="eastAsia" w:ascii="Times New Roman" w:hAnsi="Times New Roman" w:eastAsia="方正宋三简体" w:cs="Times New Roman"/>
                <w:szCs w:val="21"/>
                <w:lang w:val="en-US" w:eastAsia="zh-CN"/>
              </w:rPr>
              <w:t>6</w:t>
            </w:r>
          </w:p>
        </w:tc>
        <w:tc>
          <w:tcPr>
            <w:tcW w:w="1764"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电热处理设备</w:t>
            </w:r>
          </w:p>
        </w:tc>
        <w:tc>
          <w:tcPr>
            <w:tcW w:w="1187" w:type="dxa"/>
            <w:tcBorders>
              <w:tl2br w:val="nil"/>
              <w:tr2bl w:val="nil"/>
            </w:tcBorders>
            <w:noWrap w:val="0"/>
            <w:vAlign w:val="center"/>
          </w:tcPr>
          <w:p>
            <w:pPr>
              <w:jc w:val="center"/>
              <w:rPr>
                <w:rFonts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w:t>
            </w:r>
          </w:p>
        </w:tc>
        <w:tc>
          <w:tcPr>
            <w:tcW w:w="2220"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2</w:t>
            </w:r>
          </w:p>
        </w:tc>
        <w:tc>
          <w:tcPr>
            <w:tcW w:w="2172"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2</w:t>
            </w:r>
          </w:p>
        </w:tc>
        <w:tc>
          <w:tcPr>
            <w:tcW w:w="1152" w:type="dxa"/>
            <w:tcBorders>
              <w:tl2br w:val="nil"/>
              <w:tr2bl w:val="nil"/>
            </w:tcBorders>
            <w:noWrap w:val="0"/>
            <w:vAlign w:val="center"/>
          </w:tcPr>
          <w:p>
            <w:pPr>
              <w:pStyle w:val="2"/>
              <w:snapToGrid w:val="0"/>
              <w:spacing w:after="0"/>
              <w:ind w:left="0" w:leftChars="0" w:firstLine="0" w:firstLineChars="0"/>
              <w:jc w:val="center"/>
              <w:rPr>
                <w:rFonts w:hint="eastAsia"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一致</w:t>
            </w:r>
          </w:p>
        </w:tc>
      </w:tr>
      <w:tr>
        <w:tblPrEx>
          <w:tblBorders>
            <w:top w:val="none" w:color="auto" w:sz="0"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425" w:hRule="exact"/>
          <w:jc w:val="center"/>
        </w:trPr>
        <w:tc>
          <w:tcPr>
            <w:tcW w:w="681" w:type="dxa"/>
            <w:tcBorders>
              <w:tl2br w:val="nil"/>
              <w:tr2bl w:val="nil"/>
            </w:tcBorders>
            <w:noWrap w:val="0"/>
            <w:vAlign w:val="center"/>
          </w:tcPr>
          <w:p>
            <w:pPr>
              <w:pStyle w:val="22"/>
              <w:adjustRightInd w:val="0"/>
              <w:snapToGrid w:val="0"/>
              <w:spacing w:line="300" w:lineRule="exact"/>
              <w:jc w:val="center"/>
              <w:rPr>
                <w:rFonts w:hint="eastAsia" w:ascii="Times New Roman" w:hAnsi="Times New Roman" w:eastAsia="方正宋三简体" w:cs="Times New Roman"/>
                <w:szCs w:val="21"/>
                <w:lang w:val="en-US" w:eastAsia="zh-CN"/>
              </w:rPr>
            </w:pPr>
            <w:r>
              <w:rPr>
                <w:rFonts w:hint="eastAsia" w:ascii="Times New Roman" w:hAnsi="Times New Roman" w:eastAsia="方正宋三简体" w:cs="Times New Roman"/>
                <w:szCs w:val="21"/>
                <w:lang w:val="en-US" w:eastAsia="zh-CN"/>
              </w:rPr>
              <w:t>7</w:t>
            </w:r>
          </w:p>
        </w:tc>
        <w:tc>
          <w:tcPr>
            <w:tcW w:w="1764"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振动式上料筛</w:t>
            </w:r>
          </w:p>
        </w:tc>
        <w:tc>
          <w:tcPr>
            <w:tcW w:w="1187" w:type="dxa"/>
            <w:tcBorders>
              <w:tl2br w:val="nil"/>
              <w:tr2bl w:val="nil"/>
            </w:tcBorders>
            <w:noWrap w:val="0"/>
            <w:vAlign w:val="center"/>
          </w:tcPr>
          <w:p>
            <w:pPr>
              <w:widowControl/>
              <w:jc w:val="center"/>
              <w:textAlignment w:val="bottom"/>
              <w:rPr>
                <w:rFonts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w:t>
            </w:r>
          </w:p>
        </w:tc>
        <w:tc>
          <w:tcPr>
            <w:tcW w:w="2220"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2</w:t>
            </w:r>
          </w:p>
        </w:tc>
        <w:tc>
          <w:tcPr>
            <w:tcW w:w="2172"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2</w:t>
            </w:r>
          </w:p>
        </w:tc>
        <w:tc>
          <w:tcPr>
            <w:tcW w:w="1152" w:type="dxa"/>
            <w:tcBorders>
              <w:tl2br w:val="nil"/>
              <w:tr2bl w:val="nil"/>
            </w:tcBorders>
            <w:noWrap w:val="0"/>
            <w:vAlign w:val="center"/>
          </w:tcPr>
          <w:p>
            <w:pPr>
              <w:pStyle w:val="2"/>
              <w:snapToGrid w:val="0"/>
              <w:spacing w:after="0"/>
              <w:ind w:left="0" w:leftChars="0" w:firstLine="0" w:firstLineChars="0"/>
              <w:jc w:val="center"/>
              <w:rPr>
                <w:rFonts w:hint="eastAsia"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一致</w:t>
            </w:r>
          </w:p>
        </w:tc>
      </w:tr>
      <w:tr>
        <w:tblPrEx>
          <w:tblBorders>
            <w:top w:val="none" w:color="auto" w:sz="0"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425" w:hRule="exact"/>
          <w:jc w:val="center"/>
        </w:trPr>
        <w:tc>
          <w:tcPr>
            <w:tcW w:w="681" w:type="dxa"/>
            <w:tcBorders>
              <w:tl2br w:val="nil"/>
              <w:tr2bl w:val="nil"/>
            </w:tcBorders>
            <w:noWrap w:val="0"/>
            <w:vAlign w:val="center"/>
          </w:tcPr>
          <w:p>
            <w:pPr>
              <w:pStyle w:val="22"/>
              <w:adjustRightInd w:val="0"/>
              <w:snapToGrid w:val="0"/>
              <w:spacing w:line="300" w:lineRule="exact"/>
              <w:jc w:val="center"/>
              <w:rPr>
                <w:rFonts w:hint="eastAsia" w:ascii="Times New Roman" w:hAnsi="Times New Roman" w:eastAsia="方正宋三简体" w:cs="Times New Roman"/>
                <w:szCs w:val="21"/>
                <w:lang w:val="en-US" w:eastAsia="zh-CN"/>
              </w:rPr>
            </w:pPr>
            <w:r>
              <w:rPr>
                <w:rFonts w:hint="eastAsia" w:ascii="Times New Roman" w:hAnsi="Times New Roman" w:eastAsia="方正宋三简体" w:cs="Times New Roman"/>
                <w:szCs w:val="21"/>
                <w:lang w:val="en-US" w:eastAsia="zh-CN"/>
              </w:rPr>
              <w:t>8</w:t>
            </w:r>
          </w:p>
        </w:tc>
        <w:tc>
          <w:tcPr>
            <w:tcW w:w="1764"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料仓</w:t>
            </w:r>
          </w:p>
        </w:tc>
        <w:tc>
          <w:tcPr>
            <w:tcW w:w="1187" w:type="dxa"/>
            <w:tcBorders>
              <w:tl2br w:val="nil"/>
              <w:tr2bl w:val="nil"/>
            </w:tcBorders>
            <w:noWrap w:val="0"/>
            <w:vAlign w:val="center"/>
          </w:tcPr>
          <w:p>
            <w:pPr>
              <w:jc w:val="center"/>
              <w:rPr>
                <w:rFonts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w:t>
            </w:r>
          </w:p>
        </w:tc>
        <w:tc>
          <w:tcPr>
            <w:tcW w:w="2220"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8</w:t>
            </w:r>
          </w:p>
        </w:tc>
        <w:tc>
          <w:tcPr>
            <w:tcW w:w="2172"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8</w:t>
            </w:r>
          </w:p>
        </w:tc>
        <w:tc>
          <w:tcPr>
            <w:tcW w:w="1152" w:type="dxa"/>
            <w:tcBorders>
              <w:tl2br w:val="nil"/>
              <w:tr2bl w:val="nil"/>
            </w:tcBorders>
            <w:noWrap w:val="0"/>
            <w:vAlign w:val="center"/>
          </w:tcPr>
          <w:p>
            <w:pPr>
              <w:pStyle w:val="2"/>
              <w:snapToGrid w:val="0"/>
              <w:spacing w:after="0"/>
              <w:ind w:left="0" w:leftChars="0" w:firstLine="0" w:firstLineChars="0"/>
              <w:jc w:val="center"/>
              <w:rPr>
                <w:rFonts w:hint="eastAsia"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一致</w:t>
            </w:r>
          </w:p>
        </w:tc>
      </w:tr>
      <w:tr>
        <w:tblPrEx>
          <w:tblBorders>
            <w:top w:val="none" w:color="auto" w:sz="0"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425" w:hRule="exact"/>
          <w:jc w:val="center"/>
        </w:trPr>
        <w:tc>
          <w:tcPr>
            <w:tcW w:w="681" w:type="dxa"/>
            <w:tcBorders>
              <w:tl2br w:val="nil"/>
              <w:tr2bl w:val="nil"/>
            </w:tcBorders>
            <w:noWrap w:val="0"/>
            <w:vAlign w:val="center"/>
          </w:tcPr>
          <w:p>
            <w:pPr>
              <w:pStyle w:val="22"/>
              <w:adjustRightInd w:val="0"/>
              <w:snapToGrid w:val="0"/>
              <w:spacing w:line="300" w:lineRule="exact"/>
              <w:jc w:val="center"/>
              <w:rPr>
                <w:rFonts w:hint="default" w:ascii="Times New Roman" w:hAnsi="Times New Roman" w:eastAsia="方正宋三简体" w:cs="Times New Roman"/>
                <w:szCs w:val="21"/>
                <w:lang w:val="en-US" w:eastAsia="zh-CN"/>
              </w:rPr>
            </w:pPr>
            <w:r>
              <w:rPr>
                <w:rFonts w:hint="eastAsia" w:ascii="Times New Roman" w:hAnsi="Times New Roman" w:eastAsia="方正宋三简体" w:cs="Times New Roman"/>
                <w:szCs w:val="21"/>
                <w:lang w:val="en-US" w:eastAsia="zh-CN"/>
              </w:rPr>
              <w:t>9</w:t>
            </w:r>
          </w:p>
        </w:tc>
        <w:tc>
          <w:tcPr>
            <w:tcW w:w="1764"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振动筛</w:t>
            </w:r>
          </w:p>
        </w:tc>
        <w:tc>
          <w:tcPr>
            <w:tcW w:w="1187" w:type="dxa"/>
            <w:tcBorders>
              <w:tl2br w:val="nil"/>
              <w:tr2bl w:val="nil"/>
            </w:tcBorders>
            <w:noWrap w:val="0"/>
            <w:vAlign w:val="center"/>
          </w:tcPr>
          <w:p>
            <w:pPr>
              <w:jc w:val="center"/>
              <w:rPr>
                <w:rFonts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w:t>
            </w:r>
          </w:p>
        </w:tc>
        <w:tc>
          <w:tcPr>
            <w:tcW w:w="2220"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8</w:t>
            </w:r>
          </w:p>
        </w:tc>
        <w:tc>
          <w:tcPr>
            <w:tcW w:w="2172"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8</w:t>
            </w:r>
          </w:p>
        </w:tc>
        <w:tc>
          <w:tcPr>
            <w:tcW w:w="1152" w:type="dxa"/>
            <w:tcBorders>
              <w:tl2br w:val="nil"/>
              <w:tr2bl w:val="nil"/>
            </w:tcBorders>
            <w:noWrap w:val="0"/>
            <w:vAlign w:val="center"/>
          </w:tcPr>
          <w:p>
            <w:pPr>
              <w:pStyle w:val="2"/>
              <w:snapToGrid w:val="0"/>
              <w:spacing w:after="0"/>
              <w:ind w:left="0" w:leftChars="0" w:firstLine="0" w:firstLineChars="0"/>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一致</w:t>
            </w:r>
          </w:p>
        </w:tc>
      </w:tr>
      <w:tr>
        <w:tblPrEx>
          <w:tblBorders>
            <w:top w:val="none" w:color="auto" w:sz="0"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425" w:hRule="exact"/>
          <w:jc w:val="center"/>
        </w:trPr>
        <w:tc>
          <w:tcPr>
            <w:tcW w:w="681" w:type="dxa"/>
            <w:tcBorders>
              <w:tl2br w:val="nil"/>
              <w:tr2bl w:val="nil"/>
            </w:tcBorders>
            <w:noWrap w:val="0"/>
            <w:vAlign w:val="center"/>
          </w:tcPr>
          <w:p>
            <w:pPr>
              <w:pStyle w:val="22"/>
              <w:adjustRightInd w:val="0"/>
              <w:snapToGrid w:val="0"/>
              <w:spacing w:line="300" w:lineRule="exact"/>
              <w:jc w:val="center"/>
              <w:rPr>
                <w:rFonts w:hint="default" w:ascii="Times New Roman" w:hAnsi="Times New Roman" w:eastAsia="方正宋三简体" w:cs="Times New Roman"/>
                <w:szCs w:val="21"/>
                <w:lang w:val="en-US" w:eastAsia="zh-CN"/>
              </w:rPr>
            </w:pPr>
            <w:r>
              <w:rPr>
                <w:rFonts w:hint="eastAsia" w:ascii="Times New Roman" w:hAnsi="Times New Roman" w:eastAsia="方正宋三简体" w:cs="Times New Roman"/>
                <w:szCs w:val="21"/>
                <w:lang w:val="en-US" w:eastAsia="zh-CN"/>
              </w:rPr>
              <w:t>10</w:t>
            </w:r>
          </w:p>
        </w:tc>
        <w:tc>
          <w:tcPr>
            <w:tcW w:w="1764"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自动包装系统</w:t>
            </w:r>
          </w:p>
        </w:tc>
        <w:tc>
          <w:tcPr>
            <w:tcW w:w="1187" w:type="dxa"/>
            <w:tcBorders>
              <w:tl2br w:val="nil"/>
              <w:tr2bl w:val="nil"/>
            </w:tcBorders>
            <w:noWrap w:val="0"/>
            <w:vAlign w:val="center"/>
          </w:tcPr>
          <w:p>
            <w:pPr>
              <w:jc w:val="center"/>
              <w:rPr>
                <w:rFonts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w:t>
            </w:r>
          </w:p>
        </w:tc>
        <w:tc>
          <w:tcPr>
            <w:tcW w:w="2220"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4</w:t>
            </w:r>
          </w:p>
        </w:tc>
        <w:tc>
          <w:tcPr>
            <w:tcW w:w="2172"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4</w:t>
            </w:r>
          </w:p>
        </w:tc>
        <w:tc>
          <w:tcPr>
            <w:tcW w:w="1152" w:type="dxa"/>
            <w:tcBorders>
              <w:tl2br w:val="nil"/>
              <w:tr2bl w:val="nil"/>
            </w:tcBorders>
            <w:noWrap w:val="0"/>
            <w:vAlign w:val="center"/>
          </w:tcPr>
          <w:p>
            <w:pPr>
              <w:pStyle w:val="2"/>
              <w:snapToGrid w:val="0"/>
              <w:spacing w:after="0"/>
              <w:ind w:left="0" w:leftChars="0" w:firstLine="0" w:firstLineChars="0"/>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一致</w:t>
            </w:r>
          </w:p>
        </w:tc>
      </w:tr>
      <w:tr>
        <w:tblPrEx>
          <w:tblBorders>
            <w:top w:val="none" w:color="auto" w:sz="0"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425" w:hRule="exact"/>
          <w:jc w:val="center"/>
        </w:trPr>
        <w:tc>
          <w:tcPr>
            <w:tcW w:w="681" w:type="dxa"/>
            <w:tcBorders>
              <w:tl2br w:val="nil"/>
              <w:tr2bl w:val="nil"/>
            </w:tcBorders>
            <w:noWrap w:val="0"/>
            <w:vAlign w:val="center"/>
          </w:tcPr>
          <w:p>
            <w:pPr>
              <w:pStyle w:val="22"/>
              <w:adjustRightInd w:val="0"/>
              <w:snapToGrid w:val="0"/>
              <w:spacing w:line="300" w:lineRule="exact"/>
              <w:jc w:val="center"/>
              <w:rPr>
                <w:rFonts w:hint="default" w:ascii="Times New Roman" w:hAnsi="Times New Roman" w:eastAsia="方正宋三简体" w:cs="Times New Roman"/>
                <w:szCs w:val="21"/>
                <w:lang w:val="en-US" w:eastAsia="zh-CN"/>
              </w:rPr>
            </w:pPr>
            <w:r>
              <w:rPr>
                <w:rFonts w:hint="eastAsia" w:ascii="Times New Roman" w:hAnsi="Times New Roman" w:eastAsia="方正宋三简体" w:cs="Times New Roman"/>
                <w:szCs w:val="21"/>
                <w:lang w:val="en-US" w:eastAsia="zh-CN"/>
              </w:rPr>
              <w:t>11</w:t>
            </w:r>
          </w:p>
        </w:tc>
        <w:tc>
          <w:tcPr>
            <w:tcW w:w="1764"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料仓</w:t>
            </w:r>
          </w:p>
        </w:tc>
        <w:tc>
          <w:tcPr>
            <w:tcW w:w="1187" w:type="dxa"/>
            <w:tcBorders>
              <w:tl2br w:val="nil"/>
              <w:tr2bl w:val="nil"/>
            </w:tcBorders>
            <w:noWrap w:val="0"/>
            <w:vAlign w:val="center"/>
          </w:tcPr>
          <w:p>
            <w:pPr>
              <w:jc w:val="center"/>
              <w:rPr>
                <w:rFonts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w:t>
            </w:r>
          </w:p>
        </w:tc>
        <w:tc>
          <w:tcPr>
            <w:tcW w:w="2220"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4</w:t>
            </w:r>
          </w:p>
        </w:tc>
        <w:tc>
          <w:tcPr>
            <w:tcW w:w="2172"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4</w:t>
            </w:r>
          </w:p>
        </w:tc>
        <w:tc>
          <w:tcPr>
            <w:tcW w:w="1152" w:type="dxa"/>
            <w:tcBorders>
              <w:tl2br w:val="nil"/>
              <w:tr2bl w:val="nil"/>
            </w:tcBorders>
            <w:noWrap w:val="0"/>
            <w:vAlign w:val="center"/>
          </w:tcPr>
          <w:p>
            <w:pPr>
              <w:pStyle w:val="2"/>
              <w:snapToGrid w:val="0"/>
              <w:spacing w:after="0"/>
              <w:ind w:left="0" w:leftChars="0" w:firstLine="0" w:firstLineChars="0"/>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一致</w:t>
            </w:r>
          </w:p>
        </w:tc>
      </w:tr>
      <w:tr>
        <w:tblPrEx>
          <w:tblBorders>
            <w:top w:val="none" w:color="auto" w:sz="0"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425" w:hRule="exact"/>
          <w:jc w:val="center"/>
        </w:trPr>
        <w:tc>
          <w:tcPr>
            <w:tcW w:w="681" w:type="dxa"/>
            <w:tcBorders>
              <w:tl2br w:val="nil"/>
              <w:tr2bl w:val="nil"/>
            </w:tcBorders>
            <w:noWrap w:val="0"/>
            <w:vAlign w:val="center"/>
          </w:tcPr>
          <w:p>
            <w:pPr>
              <w:pStyle w:val="22"/>
              <w:adjustRightInd w:val="0"/>
              <w:snapToGrid w:val="0"/>
              <w:spacing w:line="300" w:lineRule="exact"/>
              <w:jc w:val="center"/>
              <w:rPr>
                <w:rFonts w:hint="default" w:ascii="Times New Roman" w:hAnsi="Times New Roman" w:eastAsia="方正宋三简体" w:cs="Times New Roman"/>
                <w:szCs w:val="21"/>
                <w:lang w:val="en-US" w:eastAsia="zh-CN"/>
              </w:rPr>
            </w:pPr>
            <w:r>
              <w:rPr>
                <w:rFonts w:hint="eastAsia" w:ascii="Times New Roman" w:hAnsi="Times New Roman" w:eastAsia="方正宋三简体" w:cs="Times New Roman"/>
                <w:szCs w:val="21"/>
                <w:lang w:val="en-US" w:eastAsia="zh-CN"/>
              </w:rPr>
              <w:t>12</w:t>
            </w:r>
          </w:p>
        </w:tc>
        <w:tc>
          <w:tcPr>
            <w:tcW w:w="1764"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给料机</w:t>
            </w:r>
          </w:p>
        </w:tc>
        <w:tc>
          <w:tcPr>
            <w:tcW w:w="1187" w:type="dxa"/>
            <w:tcBorders>
              <w:tl2br w:val="nil"/>
              <w:tr2bl w:val="nil"/>
            </w:tcBorders>
            <w:noWrap w:val="0"/>
            <w:vAlign w:val="center"/>
          </w:tcPr>
          <w:p>
            <w:pPr>
              <w:jc w:val="center"/>
              <w:rPr>
                <w:rFonts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w:t>
            </w:r>
          </w:p>
        </w:tc>
        <w:tc>
          <w:tcPr>
            <w:tcW w:w="2220"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4</w:t>
            </w:r>
          </w:p>
        </w:tc>
        <w:tc>
          <w:tcPr>
            <w:tcW w:w="2172"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4</w:t>
            </w:r>
          </w:p>
        </w:tc>
        <w:tc>
          <w:tcPr>
            <w:tcW w:w="1152" w:type="dxa"/>
            <w:tcBorders>
              <w:tl2br w:val="nil"/>
              <w:tr2bl w:val="nil"/>
            </w:tcBorders>
            <w:noWrap w:val="0"/>
            <w:vAlign w:val="center"/>
          </w:tcPr>
          <w:p>
            <w:pPr>
              <w:pStyle w:val="2"/>
              <w:snapToGrid w:val="0"/>
              <w:spacing w:after="0"/>
              <w:ind w:left="0" w:leftChars="0" w:firstLine="0" w:firstLineChars="0"/>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一致</w:t>
            </w:r>
          </w:p>
        </w:tc>
      </w:tr>
      <w:tr>
        <w:tblPrEx>
          <w:tblBorders>
            <w:top w:val="none" w:color="auto" w:sz="0"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425" w:hRule="exact"/>
          <w:jc w:val="center"/>
        </w:trPr>
        <w:tc>
          <w:tcPr>
            <w:tcW w:w="681" w:type="dxa"/>
            <w:tcBorders>
              <w:tl2br w:val="nil"/>
              <w:tr2bl w:val="nil"/>
            </w:tcBorders>
            <w:noWrap w:val="0"/>
            <w:vAlign w:val="center"/>
          </w:tcPr>
          <w:p>
            <w:pPr>
              <w:pStyle w:val="22"/>
              <w:adjustRightInd w:val="0"/>
              <w:snapToGrid w:val="0"/>
              <w:spacing w:line="300" w:lineRule="exact"/>
              <w:jc w:val="center"/>
              <w:rPr>
                <w:rFonts w:hint="default" w:ascii="Times New Roman" w:hAnsi="Times New Roman" w:eastAsia="方正宋三简体" w:cs="Times New Roman"/>
                <w:szCs w:val="21"/>
                <w:lang w:val="en-US" w:eastAsia="zh-CN"/>
              </w:rPr>
            </w:pPr>
            <w:r>
              <w:rPr>
                <w:rFonts w:hint="eastAsia" w:ascii="Times New Roman" w:hAnsi="Times New Roman" w:eastAsia="方正宋三简体" w:cs="Times New Roman"/>
                <w:szCs w:val="21"/>
                <w:lang w:val="en-US" w:eastAsia="zh-CN"/>
              </w:rPr>
              <w:t>13</w:t>
            </w:r>
          </w:p>
        </w:tc>
        <w:tc>
          <w:tcPr>
            <w:tcW w:w="1764"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空压机</w:t>
            </w:r>
          </w:p>
        </w:tc>
        <w:tc>
          <w:tcPr>
            <w:tcW w:w="1187" w:type="dxa"/>
            <w:tcBorders>
              <w:tl2br w:val="nil"/>
              <w:tr2bl w:val="nil"/>
            </w:tcBorders>
            <w:noWrap w:val="0"/>
            <w:vAlign w:val="center"/>
          </w:tcPr>
          <w:p>
            <w:pPr>
              <w:jc w:val="center"/>
              <w:rPr>
                <w:rFonts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w:t>
            </w:r>
          </w:p>
        </w:tc>
        <w:tc>
          <w:tcPr>
            <w:tcW w:w="2220"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2</w:t>
            </w:r>
          </w:p>
        </w:tc>
        <w:tc>
          <w:tcPr>
            <w:tcW w:w="2172"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2</w:t>
            </w:r>
          </w:p>
        </w:tc>
        <w:tc>
          <w:tcPr>
            <w:tcW w:w="1152" w:type="dxa"/>
            <w:tcBorders>
              <w:tl2br w:val="nil"/>
              <w:tr2bl w:val="nil"/>
            </w:tcBorders>
            <w:noWrap w:val="0"/>
            <w:vAlign w:val="center"/>
          </w:tcPr>
          <w:p>
            <w:pPr>
              <w:pStyle w:val="2"/>
              <w:snapToGrid w:val="0"/>
              <w:spacing w:after="0"/>
              <w:ind w:left="0" w:leftChars="0" w:firstLine="0" w:firstLineChars="0"/>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一致</w:t>
            </w:r>
          </w:p>
        </w:tc>
      </w:tr>
      <w:tr>
        <w:tblPrEx>
          <w:tblBorders>
            <w:top w:val="none" w:color="auto" w:sz="0"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425" w:hRule="exact"/>
          <w:jc w:val="center"/>
        </w:trPr>
        <w:tc>
          <w:tcPr>
            <w:tcW w:w="681" w:type="dxa"/>
            <w:tcBorders>
              <w:tl2br w:val="nil"/>
              <w:tr2bl w:val="nil"/>
            </w:tcBorders>
            <w:noWrap w:val="0"/>
            <w:vAlign w:val="center"/>
          </w:tcPr>
          <w:p>
            <w:pPr>
              <w:pStyle w:val="22"/>
              <w:adjustRightInd w:val="0"/>
              <w:snapToGrid w:val="0"/>
              <w:spacing w:line="300" w:lineRule="exact"/>
              <w:jc w:val="center"/>
              <w:rPr>
                <w:rFonts w:hint="default" w:ascii="Times New Roman" w:hAnsi="Times New Roman" w:eastAsia="方正宋三简体" w:cs="Times New Roman"/>
                <w:szCs w:val="21"/>
                <w:lang w:val="en-US" w:eastAsia="zh-CN"/>
              </w:rPr>
            </w:pPr>
            <w:r>
              <w:rPr>
                <w:rFonts w:hint="eastAsia" w:ascii="Times New Roman" w:hAnsi="Times New Roman" w:eastAsia="方正宋三简体" w:cs="Times New Roman"/>
                <w:szCs w:val="21"/>
                <w:lang w:val="en-US" w:eastAsia="zh-CN"/>
              </w:rPr>
              <w:t>14</w:t>
            </w:r>
          </w:p>
        </w:tc>
        <w:tc>
          <w:tcPr>
            <w:tcW w:w="1764"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行车</w:t>
            </w:r>
          </w:p>
        </w:tc>
        <w:tc>
          <w:tcPr>
            <w:tcW w:w="1187" w:type="dxa"/>
            <w:tcBorders>
              <w:tl2br w:val="nil"/>
              <w:tr2bl w:val="nil"/>
            </w:tcBorders>
            <w:noWrap w:val="0"/>
            <w:vAlign w:val="center"/>
          </w:tcPr>
          <w:p>
            <w:pPr>
              <w:jc w:val="center"/>
              <w:rPr>
                <w:rFonts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w:t>
            </w:r>
          </w:p>
        </w:tc>
        <w:tc>
          <w:tcPr>
            <w:tcW w:w="2220"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15</w:t>
            </w:r>
          </w:p>
        </w:tc>
        <w:tc>
          <w:tcPr>
            <w:tcW w:w="2172" w:type="dxa"/>
            <w:tcBorders>
              <w:tl2br w:val="nil"/>
              <w:tr2bl w:val="nil"/>
            </w:tcBorders>
            <w:noWrap w:val="0"/>
            <w:vAlign w:val="center"/>
          </w:tcPr>
          <w:p>
            <w:pPr>
              <w:pStyle w:val="123"/>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15</w:t>
            </w:r>
          </w:p>
        </w:tc>
        <w:tc>
          <w:tcPr>
            <w:tcW w:w="1152" w:type="dxa"/>
            <w:tcBorders>
              <w:tl2br w:val="nil"/>
              <w:tr2bl w:val="nil"/>
            </w:tcBorders>
            <w:noWrap w:val="0"/>
            <w:vAlign w:val="center"/>
          </w:tcPr>
          <w:p>
            <w:pPr>
              <w:pStyle w:val="2"/>
              <w:snapToGrid w:val="0"/>
              <w:spacing w:after="0"/>
              <w:ind w:left="0" w:leftChars="0" w:firstLine="0" w:firstLineChars="0"/>
              <w:jc w:val="center"/>
              <w:rPr>
                <w:rFonts w:hint="default" w:ascii="Times New Roman" w:hAnsi="Times New Roman" w:eastAsia="方正宋三简体" w:cs="Times New Roman"/>
                <w:kern w:val="2"/>
                <w:sz w:val="21"/>
                <w:szCs w:val="21"/>
                <w:lang w:val="en-US" w:eastAsia="zh-CN" w:bidi="ar-SA"/>
              </w:rPr>
            </w:pPr>
            <w:r>
              <w:rPr>
                <w:rFonts w:hint="eastAsia" w:ascii="Times New Roman" w:hAnsi="Times New Roman" w:eastAsia="方正宋三简体" w:cs="Times New Roman"/>
                <w:kern w:val="2"/>
                <w:sz w:val="21"/>
                <w:szCs w:val="21"/>
                <w:lang w:val="en-US" w:eastAsia="zh-CN" w:bidi="ar-SA"/>
              </w:rPr>
              <w:t>一致</w:t>
            </w:r>
          </w:p>
        </w:tc>
      </w:tr>
    </w:tbl>
    <w:p>
      <w:pPr>
        <w:spacing w:line="360" w:lineRule="auto"/>
        <w:ind w:firstLine="482" w:firstLineChars="200"/>
        <w:rPr>
          <w:rFonts w:hint="eastAsia"/>
          <w:b/>
          <w:sz w:val="24"/>
        </w:rPr>
      </w:pPr>
    </w:p>
    <w:p>
      <w:pPr>
        <w:spacing w:line="360" w:lineRule="auto"/>
        <w:ind w:firstLine="482" w:firstLineChars="200"/>
        <w:rPr>
          <w:b/>
          <w:sz w:val="24"/>
        </w:rPr>
      </w:pPr>
      <w:r>
        <w:rPr>
          <w:rFonts w:hint="eastAsia"/>
          <w:b/>
          <w:sz w:val="24"/>
        </w:rPr>
        <w:t>6</w:t>
      </w:r>
      <w:r>
        <w:rPr>
          <w:b/>
          <w:sz w:val="24"/>
        </w:rPr>
        <w:t>、给、排水：</w:t>
      </w:r>
    </w:p>
    <w:p>
      <w:pPr>
        <w:tabs>
          <w:tab w:val="left" w:pos="431"/>
        </w:tabs>
        <w:spacing w:line="360" w:lineRule="auto"/>
        <w:ind w:firstLine="480" w:firstLineChars="200"/>
        <w:rPr>
          <w:sz w:val="24"/>
        </w:rPr>
      </w:pPr>
      <w:r>
        <w:rPr>
          <w:rFonts w:hint="eastAsia" w:ascii="宋体" w:hAnsi="宋体" w:cs="宋体"/>
          <w:sz w:val="24"/>
        </w:rPr>
        <w:t>⑴</w:t>
      </w:r>
      <w:r>
        <w:rPr>
          <w:sz w:val="24"/>
        </w:rPr>
        <w:t>给水：</w:t>
      </w:r>
    </w:p>
    <w:p>
      <w:pPr>
        <w:adjustRightInd w:val="0"/>
        <w:snapToGrid w:val="0"/>
        <w:spacing w:line="360" w:lineRule="auto"/>
        <w:ind w:firstLine="480" w:firstLineChars="200"/>
        <w:rPr>
          <w:sz w:val="24"/>
        </w:rPr>
      </w:pPr>
      <w:r>
        <w:rPr>
          <w:sz w:val="24"/>
          <w:szCs w:val="24"/>
        </w:rPr>
        <w:t>项目生产、生活用水</w:t>
      </w:r>
      <w:r>
        <w:rPr>
          <w:rFonts w:hint="eastAsia"/>
          <w:sz w:val="24"/>
          <w:szCs w:val="24"/>
          <w:lang w:val="en-US" w:eastAsia="zh-CN"/>
        </w:rPr>
        <w:t>和绿化用水</w:t>
      </w:r>
      <w:r>
        <w:rPr>
          <w:sz w:val="24"/>
          <w:szCs w:val="24"/>
        </w:rPr>
        <w:t>采用自来水</w:t>
      </w:r>
      <w:r>
        <w:rPr>
          <w:rFonts w:hint="eastAsia"/>
          <w:sz w:val="24"/>
          <w:szCs w:val="24"/>
          <w:lang w:eastAsia="zh-CN"/>
        </w:rPr>
        <w:t>，</w:t>
      </w:r>
      <w:r>
        <w:rPr>
          <w:sz w:val="24"/>
          <w:szCs w:val="24"/>
        </w:rPr>
        <w:t>来源于自来水管网</w:t>
      </w:r>
      <w:r>
        <w:rPr>
          <w:rFonts w:hint="eastAsia"/>
          <w:sz w:val="24"/>
          <w:szCs w:val="24"/>
          <w:lang w:eastAsia="zh-CN"/>
        </w:rPr>
        <w:t>。</w:t>
      </w:r>
    </w:p>
    <w:p>
      <w:pPr>
        <w:tabs>
          <w:tab w:val="left" w:pos="431"/>
        </w:tabs>
        <w:spacing w:line="360" w:lineRule="auto"/>
        <w:ind w:firstLine="480" w:firstLineChars="200"/>
        <w:rPr>
          <w:sz w:val="24"/>
        </w:rPr>
      </w:pPr>
      <w:r>
        <w:rPr>
          <w:rFonts w:hint="eastAsia" w:ascii="宋体" w:hAnsi="宋体" w:cs="宋体"/>
          <w:sz w:val="24"/>
        </w:rPr>
        <w:t>⑵</w:t>
      </w:r>
      <w:r>
        <w:rPr>
          <w:sz w:val="24"/>
        </w:rPr>
        <w:t>排水：</w:t>
      </w:r>
    </w:p>
    <w:p>
      <w:pPr>
        <w:pStyle w:val="19"/>
        <w:spacing w:before="1" w:line="364" w:lineRule="auto"/>
        <w:ind w:left="218" w:right="805" w:firstLine="479"/>
        <w:sectPr>
          <w:pgSz w:w="11910" w:h="16840"/>
          <w:pgMar w:top="1420" w:right="760" w:bottom="1100" w:left="1580" w:header="0" w:footer="913" w:gutter="0"/>
        </w:sectPr>
      </w:pPr>
      <w:r>
        <w:rPr>
          <w:sz w:val="24"/>
          <w:szCs w:val="24"/>
        </w:rPr>
        <w:t>项目生产过程中热处理淬火用水经冷却循环水池处理后循环使用不外排，项目无生产废水排放。项目废水主要为职工办公生活</w:t>
      </w:r>
      <w:r>
        <w:rPr>
          <w:rFonts w:hint="eastAsia"/>
          <w:sz w:val="24"/>
          <w:szCs w:val="24"/>
          <w:lang w:val="en-US" w:eastAsia="zh-CN"/>
        </w:rPr>
        <w:t>污水</w:t>
      </w:r>
      <w:r>
        <w:rPr>
          <w:sz w:val="24"/>
          <w:szCs w:val="24"/>
        </w:rPr>
        <w:t>，排入厂区化粪池，经化粪池处理后排入市政污水管网后进入国电银河水务(滕州)有限公司进行再生处理。项目水平衡图见图</w:t>
      </w:r>
      <w:r>
        <w:rPr>
          <w:rFonts w:hint="eastAsia"/>
          <w:sz w:val="24"/>
          <w:szCs w:val="24"/>
        </w:rPr>
        <w:t>3</w:t>
      </w:r>
      <w:r>
        <w:rPr>
          <w:sz w:val="24"/>
          <w:szCs w:val="24"/>
        </w:rPr>
        <w:t>-1</w:t>
      </w:r>
      <w:r>
        <w:rPr>
          <w:sz w:val="24"/>
        </w:rPr>
        <w:t>。</w:t>
      </w:r>
    </w:p>
    <w:p>
      <w:pPr>
        <w:adjustRightInd w:val="0"/>
        <w:snapToGrid w:val="0"/>
        <w:spacing w:line="360" w:lineRule="auto"/>
        <w:rPr>
          <w:sz w:val="24"/>
        </w:rPr>
      </w:pPr>
    </w:p>
    <w:p>
      <w:pPr>
        <w:pStyle w:val="25"/>
        <w:jc w:val="center"/>
      </w:pPr>
      <w:r>
        <w:drawing>
          <wp:inline distT="0" distB="0" distL="114300" distR="114300">
            <wp:extent cx="5105400" cy="3116580"/>
            <wp:effectExtent l="0" t="0" r="0" b="7620"/>
            <wp:docPr id="4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1"/>
                    <pic:cNvPicPr>
                      <a:picLocks noChangeAspect="1"/>
                    </pic:cNvPicPr>
                  </pic:nvPicPr>
                  <pic:blipFill>
                    <a:blip r:embed="rId10"/>
                    <a:stretch>
                      <a:fillRect/>
                    </a:stretch>
                  </pic:blipFill>
                  <pic:spPr>
                    <a:xfrm>
                      <a:off x="0" y="0"/>
                      <a:ext cx="5105400" cy="3116580"/>
                    </a:xfrm>
                    <a:prstGeom prst="rect">
                      <a:avLst/>
                    </a:prstGeom>
                    <a:noFill/>
                    <a:ln>
                      <a:noFill/>
                    </a:ln>
                  </pic:spPr>
                </pic:pic>
              </a:graphicData>
            </a:graphic>
          </wp:inline>
        </w:drawing>
      </w:r>
    </w:p>
    <w:p>
      <w:pPr>
        <w:tabs>
          <w:tab w:val="left" w:pos="431"/>
        </w:tabs>
        <w:spacing w:line="360" w:lineRule="auto"/>
        <w:ind w:firstLine="480" w:firstLineChars="200"/>
        <w:rPr>
          <w:sz w:val="24"/>
        </w:rPr>
      </w:pPr>
    </w:p>
    <w:p>
      <w:pPr>
        <w:tabs>
          <w:tab w:val="left" w:pos="431"/>
        </w:tabs>
        <w:spacing w:line="360" w:lineRule="auto"/>
        <w:ind w:firstLine="480" w:firstLineChars="200"/>
        <w:rPr>
          <w:rFonts w:hint="eastAsia" w:eastAsia="宋体"/>
          <w:b/>
          <w:sz w:val="24"/>
          <w:lang w:val="en-US" w:eastAsia="zh-CN"/>
        </w:rPr>
      </w:pPr>
      <w:r>
        <w:rPr>
          <w:sz w:val="24"/>
        </w:rPr>
        <w:t xml:space="preserve">                 </w:t>
      </w:r>
      <w:r>
        <w:rPr>
          <w:b/>
          <w:sz w:val="24"/>
        </w:rPr>
        <w:t>图</w:t>
      </w:r>
      <w:r>
        <w:rPr>
          <w:rFonts w:hint="eastAsia"/>
          <w:b/>
          <w:sz w:val="24"/>
        </w:rPr>
        <w:t>3</w:t>
      </w:r>
      <w:r>
        <w:rPr>
          <w:b/>
          <w:sz w:val="24"/>
        </w:rPr>
        <w:t>-1  项目水平衡图（单位</w:t>
      </w:r>
      <w:r>
        <w:rPr>
          <w:b/>
          <w:sz w:val="24"/>
          <w:szCs w:val="24"/>
        </w:rPr>
        <w:t>m</w:t>
      </w:r>
      <w:r>
        <w:rPr>
          <w:b/>
          <w:sz w:val="24"/>
          <w:szCs w:val="24"/>
          <w:vertAlign w:val="superscript"/>
        </w:rPr>
        <w:t>3</w:t>
      </w:r>
      <w:r>
        <w:rPr>
          <w:b/>
          <w:sz w:val="24"/>
        </w:rPr>
        <w:t>/a）</w:t>
      </w:r>
      <w:r>
        <w:rPr>
          <w:rFonts w:hint="eastAsia"/>
          <w:b/>
          <w:sz w:val="24"/>
          <w:lang w:val="en-US" w:eastAsia="zh-CN"/>
        </w:rPr>
        <w:t xml:space="preserve"> </w:t>
      </w:r>
    </w:p>
    <w:p>
      <w:pPr>
        <w:adjustRightInd w:val="0"/>
        <w:snapToGrid w:val="0"/>
        <w:spacing w:line="360" w:lineRule="auto"/>
        <w:rPr>
          <w:b/>
          <w:sz w:val="24"/>
        </w:rPr>
      </w:pPr>
      <w:r>
        <w:rPr>
          <w:rFonts w:hint="eastAsia"/>
          <w:b/>
          <w:sz w:val="24"/>
        </w:rPr>
        <w:t>7</w:t>
      </w:r>
      <w:r>
        <w:rPr>
          <w:b/>
          <w:sz w:val="24"/>
        </w:rPr>
        <w:t>、生产工艺流程及产污环节</w:t>
      </w:r>
    </w:p>
    <w:p>
      <w:pPr>
        <w:adjustRightInd w:val="0"/>
        <w:snapToGrid w:val="0"/>
        <w:spacing w:line="360" w:lineRule="auto"/>
        <w:ind w:firstLine="480" w:firstLineChars="200"/>
        <w:rPr>
          <w:b/>
          <w:bCs/>
          <w:kern w:val="0"/>
          <w:sz w:val="24"/>
          <w:szCs w:val="24"/>
        </w:rPr>
      </w:pPr>
      <w:r>
        <w:rPr>
          <w:sz w:val="24"/>
          <w:szCs w:val="24"/>
        </w:rPr>
        <w:t>（1）</w:t>
      </w:r>
      <w:r>
        <w:rPr>
          <w:rFonts w:hint="eastAsia" w:ascii="Times New Roman" w:hAnsi="Times New Roman" w:eastAsia="宋体" w:cs="Times New Roman"/>
          <w:b w:val="0"/>
          <w:bCs w:val="0"/>
          <w:kern w:val="2"/>
          <w:sz w:val="24"/>
          <w:szCs w:val="24"/>
          <w:lang w:val="en-US" w:eastAsia="zh-CN" w:bidi="ar-SA"/>
        </w:rPr>
        <w:t>研磨丸(研磨钢丸、不锈钢研磨丸)生产工艺流程图</w:t>
      </w:r>
      <w:r>
        <w:rPr>
          <w:rFonts w:hint="eastAsia" w:cs="Times New Roman"/>
          <w:b w:val="0"/>
          <w:bCs w:val="0"/>
          <w:kern w:val="2"/>
          <w:sz w:val="24"/>
          <w:szCs w:val="24"/>
          <w:lang w:val="en-US" w:eastAsia="zh-CN" w:bidi="ar-SA"/>
        </w:rPr>
        <w:t>见图</w:t>
      </w:r>
      <w:r>
        <w:rPr>
          <w:rFonts w:hint="eastAsia" w:ascii="Times New Roman" w:hAnsi="Times New Roman" w:eastAsia="宋体" w:cs="Times New Roman"/>
          <w:b w:val="0"/>
          <w:bCs w:val="0"/>
          <w:kern w:val="2"/>
          <w:sz w:val="24"/>
          <w:szCs w:val="24"/>
          <w:lang w:val="en-US" w:eastAsia="zh-CN" w:bidi="ar-SA"/>
        </w:rPr>
        <w:t>3-2。</w:t>
      </w:r>
    </w:p>
    <w:p>
      <w:pPr>
        <w:ind w:left="-85"/>
        <w:jc w:val="center"/>
        <w:rPr>
          <w:rFonts w:eastAsia="方正宋三简体"/>
          <w:b/>
          <w:bCs/>
          <w:szCs w:val="21"/>
        </w:rPr>
      </w:pPr>
      <w:r>
        <w:drawing>
          <wp:inline distT="0" distB="0" distL="114300" distR="114300">
            <wp:extent cx="5273040" cy="2125980"/>
            <wp:effectExtent l="0" t="0" r="0" b="7620"/>
            <wp:docPr id="4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2"/>
                    <pic:cNvPicPr>
                      <a:picLocks noChangeAspect="1"/>
                    </pic:cNvPicPr>
                  </pic:nvPicPr>
                  <pic:blipFill>
                    <a:blip r:embed="rId11"/>
                    <a:stretch>
                      <a:fillRect/>
                    </a:stretch>
                  </pic:blipFill>
                  <pic:spPr>
                    <a:xfrm>
                      <a:off x="0" y="0"/>
                      <a:ext cx="5273040" cy="2125980"/>
                    </a:xfrm>
                    <a:prstGeom prst="rect">
                      <a:avLst/>
                    </a:prstGeom>
                    <a:noFill/>
                    <a:ln>
                      <a:noFill/>
                    </a:ln>
                  </pic:spPr>
                </pic:pic>
              </a:graphicData>
            </a:graphic>
          </wp:inline>
        </w:drawing>
      </w:r>
    </w:p>
    <w:p>
      <w:pPr>
        <w:ind w:left="-85"/>
        <w:jc w:val="center"/>
        <w:rPr>
          <w:b/>
          <w:bCs/>
          <w:sz w:val="24"/>
        </w:rPr>
      </w:pPr>
      <w:r>
        <w:rPr>
          <w:rFonts w:hint="eastAsia" w:ascii="Times New Roman" w:hAnsi="Times New Roman" w:eastAsia="宋体" w:cs="Times New Roman"/>
          <w:b/>
          <w:bCs/>
          <w:kern w:val="2"/>
          <w:sz w:val="24"/>
          <w:szCs w:val="20"/>
          <w:lang w:val="en-US" w:eastAsia="zh-CN" w:bidi="ar-SA"/>
        </w:rPr>
        <w:t xml:space="preserve">图3-2 </w:t>
      </w:r>
      <w:r>
        <w:rPr>
          <w:rFonts w:hint="eastAsia" w:eastAsia="方正宋三简体"/>
          <w:b/>
          <w:bCs/>
          <w:szCs w:val="21"/>
          <w:lang w:val="en-US" w:eastAsia="zh-CN"/>
        </w:rPr>
        <w:t xml:space="preserve"> </w:t>
      </w:r>
      <w:r>
        <w:rPr>
          <w:rFonts w:hint="eastAsia" w:ascii="Times New Roman" w:hAnsi="Times New Roman" w:eastAsia="宋体" w:cs="Times New Roman"/>
          <w:b/>
          <w:bCs/>
          <w:kern w:val="2"/>
          <w:sz w:val="24"/>
          <w:szCs w:val="20"/>
          <w:lang w:val="en-US" w:eastAsia="zh-CN" w:bidi="ar-SA"/>
        </w:rPr>
        <w:t>研磨丸生产工艺流程及产污环节图</w:t>
      </w:r>
    </w:p>
    <w:p>
      <w:pPr>
        <w:pStyle w:val="25"/>
      </w:pPr>
    </w:p>
    <w:p>
      <w:pPr>
        <w:pStyle w:val="25"/>
        <w:numPr>
          <w:ilvl w:val="0"/>
          <w:numId w:val="4"/>
        </w:numPr>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切丸(钢丝切丸、不锈钢切丸)生产工艺流程图见图3-3。</w:t>
      </w:r>
    </w:p>
    <w:p>
      <w:pPr>
        <w:pStyle w:val="25"/>
        <w:numPr>
          <w:ilvl w:val="0"/>
          <w:numId w:val="0"/>
        </w:numPr>
        <w:jc w:val="center"/>
        <w:rPr>
          <w:rFonts w:hint="eastAsia" w:cs="Times New Roman"/>
          <w:b w:val="0"/>
          <w:bCs w:val="0"/>
          <w:kern w:val="2"/>
          <w:sz w:val="24"/>
          <w:szCs w:val="24"/>
          <w:lang w:val="en-US" w:eastAsia="zh-CN" w:bidi="ar-SA"/>
        </w:rPr>
      </w:pPr>
      <w:r>
        <w:drawing>
          <wp:inline distT="0" distB="0" distL="114300" distR="114300">
            <wp:extent cx="5257800" cy="2164080"/>
            <wp:effectExtent l="0" t="0" r="0" b="0"/>
            <wp:docPr id="4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3"/>
                    <pic:cNvPicPr>
                      <a:picLocks noChangeAspect="1"/>
                    </pic:cNvPicPr>
                  </pic:nvPicPr>
                  <pic:blipFill>
                    <a:blip r:embed="rId12"/>
                    <a:stretch>
                      <a:fillRect/>
                    </a:stretch>
                  </pic:blipFill>
                  <pic:spPr>
                    <a:xfrm>
                      <a:off x="0" y="0"/>
                      <a:ext cx="5257800" cy="2164080"/>
                    </a:xfrm>
                    <a:prstGeom prst="rect">
                      <a:avLst/>
                    </a:prstGeom>
                    <a:noFill/>
                    <a:ln>
                      <a:noFill/>
                    </a:ln>
                  </pic:spPr>
                </pic:pic>
              </a:graphicData>
            </a:graphic>
          </wp:inline>
        </w:drawing>
      </w:r>
    </w:p>
    <w:p>
      <w:pPr>
        <w:pStyle w:val="25"/>
        <w:numPr>
          <w:ilvl w:val="0"/>
          <w:numId w:val="0"/>
        </w:numPr>
        <w:jc w:val="center"/>
        <w:rPr>
          <w:b/>
          <w:bCs/>
          <w:sz w:val="24"/>
        </w:rPr>
      </w:pPr>
      <w:r>
        <w:rPr>
          <w:rFonts w:hint="eastAsia" w:ascii="Times New Roman" w:hAnsi="Times New Roman" w:eastAsia="宋体" w:cs="Times New Roman"/>
          <w:b/>
          <w:bCs/>
          <w:kern w:val="2"/>
          <w:sz w:val="24"/>
          <w:szCs w:val="20"/>
          <w:lang w:val="en-US" w:eastAsia="zh-CN" w:bidi="ar-SA"/>
        </w:rPr>
        <w:t>图3-3</w:t>
      </w:r>
      <w:r>
        <w:rPr>
          <w:rFonts w:hint="eastAsia"/>
          <w:b/>
          <w:bCs/>
          <w:sz w:val="24"/>
          <w:lang w:val="en-US" w:eastAsia="zh-CN"/>
        </w:rPr>
        <w:t xml:space="preserve"> </w:t>
      </w:r>
      <w:r>
        <w:rPr>
          <w:b/>
          <w:bCs/>
          <w:sz w:val="24"/>
        </w:rPr>
        <w:t xml:space="preserve"> </w:t>
      </w:r>
      <w:r>
        <w:rPr>
          <w:rFonts w:hint="eastAsia" w:ascii="Times New Roman" w:hAnsi="Times New Roman" w:eastAsia="宋体" w:cs="Times New Roman"/>
          <w:b/>
          <w:bCs/>
          <w:kern w:val="2"/>
          <w:sz w:val="24"/>
          <w:szCs w:val="20"/>
          <w:lang w:val="en-US" w:eastAsia="zh-CN" w:bidi="ar-SA"/>
        </w:rPr>
        <w:t>切丸生产工艺流程及产污环节图</w:t>
      </w:r>
    </w:p>
    <w:p>
      <w:pPr>
        <w:pStyle w:val="25"/>
        <w:numPr>
          <w:ilvl w:val="0"/>
          <w:numId w:val="4"/>
        </w:numPr>
        <w:ind w:left="0" w:leftChars="0" w:firstLine="480" w:firstLineChars="200"/>
        <w:jc w:val="both"/>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钢丝(钢丝、不锈钢丝)生产工艺流程图见图</w:t>
      </w:r>
      <w:r>
        <w:rPr>
          <w:rFonts w:hint="eastAsia" w:cs="Times New Roman"/>
          <w:b w:val="0"/>
          <w:bCs w:val="0"/>
          <w:kern w:val="2"/>
          <w:sz w:val="24"/>
          <w:szCs w:val="24"/>
          <w:lang w:val="en-US" w:eastAsia="zh-CN" w:bidi="ar-SA"/>
        </w:rPr>
        <w:t>3</w:t>
      </w:r>
      <w:r>
        <w:rPr>
          <w:rFonts w:hint="eastAsia" w:ascii="Times New Roman" w:hAnsi="Times New Roman" w:eastAsia="宋体" w:cs="Times New Roman"/>
          <w:b w:val="0"/>
          <w:bCs w:val="0"/>
          <w:kern w:val="2"/>
          <w:sz w:val="24"/>
          <w:szCs w:val="24"/>
          <w:lang w:val="en-US" w:eastAsia="zh-CN" w:bidi="ar-SA"/>
        </w:rPr>
        <w:t>-</w:t>
      </w:r>
      <w:r>
        <w:rPr>
          <w:rFonts w:hint="eastAsia" w:cs="Times New Roman"/>
          <w:b w:val="0"/>
          <w:bCs w:val="0"/>
          <w:kern w:val="2"/>
          <w:sz w:val="24"/>
          <w:szCs w:val="24"/>
          <w:lang w:val="en-US" w:eastAsia="zh-CN" w:bidi="ar-SA"/>
        </w:rPr>
        <w:t>4</w:t>
      </w:r>
      <w:r>
        <w:rPr>
          <w:rFonts w:hint="eastAsia" w:ascii="Times New Roman" w:hAnsi="Times New Roman" w:eastAsia="宋体" w:cs="Times New Roman"/>
          <w:b w:val="0"/>
          <w:bCs w:val="0"/>
          <w:kern w:val="2"/>
          <w:sz w:val="24"/>
          <w:szCs w:val="24"/>
          <w:lang w:val="en-US" w:eastAsia="zh-CN" w:bidi="ar-SA"/>
        </w:rPr>
        <w:t>。</w:t>
      </w:r>
    </w:p>
    <w:p>
      <w:pPr>
        <w:pStyle w:val="25"/>
        <w:numPr>
          <w:ilvl w:val="0"/>
          <w:numId w:val="0"/>
        </w:numPr>
        <w:ind w:leftChars="200"/>
        <w:jc w:val="center"/>
        <w:rPr>
          <w:rFonts w:hint="default" w:ascii="Times New Roman" w:hAnsi="Times New Roman" w:eastAsia="宋体" w:cs="Times New Roman"/>
          <w:b w:val="0"/>
          <w:bCs w:val="0"/>
          <w:kern w:val="2"/>
          <w:sz w:val="24"/>
          <w:szCs w:val="24"/>
          <w:lang w:val="en-US" w:eastAsia="zh-CN" w:bidi="ar-SA"/>
        </w:rPr>
      </w:pPr>
      <w:r>
        <w:drawing>
          <wp:inline distT="0" distB="0" distL="114300" distR="114300">
            <wp:extent cx="5128260" cy="1082040"/>
            <wp:effectExtent l="0" t="0" r="7620" b="0"/>
            <wp:docPr id="4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
                    <pic:cNvPicPr>
                      <a:picLocks noChangeAspect="1"/>
                    </pic:cNvPicPr>
                  </pic:nvPicPr>
                  <pic:blipFill>
                    <a:blip r:embed="rId13"/>
                    <a:stretch>
                      <a:fillRect/>
                    </a:stretch>
                  </pic:blipFill>
                  <pic:spPr>
                    <a:xfrm>
                      <a:off x="0" y="0"/>
                      <a:ext cx="5128260" cy="1082040"/>
                    </a:xfrm>
                    <a:prstGeom prst="rect">
                      <a:avLst/>
                    </a:prstGeom>
                    <a:noFill/>
                    <a:ln>
                      <a:noFill/>
                    </a:ln>
                  </pic:spPr>
                </pic:pic>
              </a:graphicData>
            </a:graphic>
          </wp:inline>
        </w:drawing>
      </w:r>
    </w:p>
    <w:p>
      <w:pPr>
        <w:pStyle w:val="25"/>
        <w:numPr>
          <w:ilvl w:val="0"/>
          <w:numId w:val="0"/>
        </w:numPr>
        <w:ind w:leftChars="200"/>
        <w:jc w:val="center"/>
        <w:rPr>
          <w:rFonts w:hint="eastAsia" w:ascii="Times New Roman" w:hAnsi="Times New Roman" w:eastAsia="宋体" w:cs="Times New Roman"/>
          <w:b/>
          <w:bCs/>
          <w:kern w:val="2"/>
          <w:sz w:val="24"/>
          <w:szCs w:val="20"/>
          <w:lang w:val="en-US" w:eastAsia="zh-CN" w:bidi="ar-SA"/>
        </w:rPr>
      </w:pPr>
      <w:r>
        <w:rPr>
          <w:rFonts w:hint="eastAsia" w:ascii="Times New Roman" w:hAnsi="Times New Roman" w:eastAsia="宋体" w:cs="Times New Roman"/>
          <w:b/>
          <w:bCs/>
          <w:kern w:val="2"/>
          <w:sz w:val="24"/>
          <w:szCs w:val="20"/>
          <w:lang w:val="en-US" w:eastAsia="zh-CN" w:bidi="ar-SA"/>
        </w:rPr>
        <w:t>图3-4  钢丝生产工艺流程及产污环节图</w:t>
      </w:r>
    </w:p>
    <w:p>
      <w:pPr>
        <w:pStyle w:val="25"/>
        <w:numPr>
          <w:ilvl w:val="0"/>
          <w:numId w:val="4"/>
        </w:numPr>
        <w:ind w:left="0" w:leftChars="0" w:firstLine="480" w:firstLineChars="200"/>
        <w:jc w:val="both"/>
        <w:rPr>
          <w:rFonts w:hint="default"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钢砂(钢砂、合金环保砂、轴承钢砂)生产工艺流程图见图3-5</w:t>
      </w:r>
      <w:r>
        <w:rPr>
          <w:rFonts w:hint="eastAsia" w:cs="Times New Roman"/>
          <w:b w:val="0"/>
          <w:bCs w:val="0"/>
          <w:kern w:val="2"/>
          <w:sz w:val="24"/>
          <w:szCs w:val="24"/>
          <w:lang w:val="en-US" w:eastAsia="zh-CN" w:bidi="ar-SA"/>
        </w:rPr>
        <w:t>、3-6</w:t>
      </w:r>
      <w:r>
        <w:rPr>
          <w:rFonts w:hint="eastAsia" w:ascii="Times New Roman" w:hAnsi="Times New Roman" w:eastAsia="宋体" w:cs="Times New Roman"/>
          <w:b w:val="0"/>
          <w:bCs w:val="0"/>
          <w:kern w:val="2"/>
          <w:sz w:val="24"/>
          <w:szCs w:val="24"/>
          <w:lang w:val="en-US" w:eastAsia="zh-CN" w:bidi="ar-SA"/>
        </w:rPr>
        <w:t>。</w:t>
      </w:r>
    </w:p>
    <w:p>
      <w:pPr>
        <w:pStyle w:val="25"/>
        <w:numPr>
          <w:ilvl w:val="0"/>
          <w:numId w:val="0"/>
        </w:numPr>
        <w:ind w:leftChars="200"/>
        <w:jc w:val="center"/>
      </w:pPr>
      <w:r>
        <w:drawing>
          <wp:inline distT="0" distB="0" distL="114300" distR="114300">
            <wp:extent cx="5532120" cy="1051560"/>
            <wp:effectExtent l="0" t="0" r="0" b="0"/>
            <wp:docPr id="47"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5"/>
                    <pic:cNvPicPr>
                      <a:picLocks noChangeAspect="1"/>
                    </pic:cNvPicPr>
                  </pic:nvPicPr>
                  <pic:blipFill>
                    <a:blip r:embed="rId14"/>
                    <a:stretch>
                      <a:fillRect/>
                    </a:stretch>
                  </pic:blipFill>
                  <pic:spPr>
                    <a:xfrm>
                      <a:off x="0" y="0"/>
                      <a:ext cx="5532120" cy="1051560"/>
                    </a:xfrm>
                    <a:prstGeom prst="rect">
                      <a:avLst/>
                    </a:prstGeom>
                    <a:noFill/>
                    <a:ln>
                      <a:noFill/>
                    </a:ln>
                  </pic:spPr>
                </pic:pic>
              </a:graphicData>
            </a:graphic>
          </wp:inline>
        </w:drawing>
      </w:r>
    </w:p>
    <w:p>
      <w:pPr>
        <w:pStyle w:val="25"/>
        <w:numPr>
          <w:ilvl w:val="0"/>
          <w:numId w:val="0"/>
        </w:numPr>
        <w:ind w:leftChars="200"/>
        <w:jc w:val="center"/>
        <w:rPr>
          <w:rFonts w:hint="eastAsia" w:ascii="Times New Roman" w:hAnsi="Times New Roman" w:eastAsia="宋体" w:cs="Times New Roman"/>
          <w:b/>
          <w:bCs/>
          <w:kern w:val="2"/>
          <w:sz w:val="24"/>
          <w:szCs w:val="20"/>
          <w:lang w:val="en-US" w:eastAsia="zh-CN" w:bidi="ar-SA"/>
        </w:rPr>
      </w:pPr>
      <w:r>
        <w:rPr>
          <w:rFonts w:hint="eastAsia" w:ascii="Times New Roman" w:hAnsi="Times New Roman" w:eastAsia="宋体" w:cs="Times New Roman"/>
          <w:b/>
          <w:bCs/>
          <w:kern w:val="2"/>
          <w:sz w:val="24"/>
          <w:szCs w:val="20"/>
          <w:lang w:val="en-US" w:eastAsia="zh-CN" w:bidi="ar-SA"/>
        </w:rPr>
        <w:t>图3-5  钢砂、合金环保砂生产工艺流程及产污环节图</w:t>
      </w:r>
    </w:p>
    <w:p>
      <w:pPr>
        <w:pStyle w:val="25"/>
        <w:numPr>
          <w:ilvl w:val="0"/>
          <w:numId w:val="0"/>
        </w:numPr>
        <w:ind w:leftChars="200"/>
        <w:jc w:val="both"/>
      </w:pPr>
      <w:r>
        <w:drawing>
          <wp:inline distT="0" distB="0" distL="114300" distR="114300">
            <wp:extent cx="5448300" cy="2087880"/>
            <wp:effectExtent l="0" t="0" r="7620" b="0"/>
            <wp:docPr id="48"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6"/>
                    <pic:cNvPicPr>
                      <a:picLocks noChangeAspect="1"/>
                    </pic:cNvPicPr>
                  </pic:nvPicPr>
                  <pic:blipFill>
                    <a:blip r:embed="rId15"/>
                    <a:stretch>
                      <a:fillRect/>
                    </a:stretch>
                  </pic:blipFill>
                  <pic:spPr>
                    <a:xfrm>
                      <a:off x="0" y="0"/>
                      <a:ext cx="5448300" cy="2087880"/>
                    </a:xfrm>
                    <a:prstGeom prst="rect">
                      <a:avLst/>
                    </a:prstGeom>
                    <a:noFill/>
                    <a:ln>
                      <a:noFill/>
                    </a:ln>
                  </pic:spPr>
                </pic:pic>
              </a:graphicData>
            </a:graphic>
          </wp:inline>
        </w:drawing>
      </w:r>
    </w:p>
    <w:p>
      <w:pPr>
        <w:pStyle w:val="25"/>
        <w:numPr>
          <w:ilvl w:val="0"/>
          <w:numId w:val="0"/>
        </w:numPr>
        <w:ind w:leftChars="200"/>
        <w:jc w:val="center"/>
        <w:rPr>
          <w:rFonts w:hint="default" w:ascii="Times New Roman" w:hAnsi="Times New Roman" w:eastAsia="宋体" w:cs="Times New Roman"/>
          <w:b/>
          <w:bCs/>
          <w:kern w:val="2"/>
          <w:sz w:val="24"/>
          <w:szCs w:val="20"/>
          <w:lang w:val="en-US" w:eastAsia="zh-CN" w:bidi="ar-SA"/>
        </w:rPr>
      </w:pPr>
      <w:r>
        <w:rPr>
          <w:rFonts w:hint="eastAsia" w:ascii="Times New Roman" w:hAnsi="Times New Roman" w:eastAsia="宋体" w:cs="Times New Roman"/>
          <w:b/>
          <w:bCs/>
          <w:kern w:val="2"/>
          <w:sz w:val="24"/>
          <w:szCs w:val="20"/>
          <w:lang w:val="en-US" w:eastAsia="zh-CN" w:bidi="ar-SA"/>
        </w:rPr>
        <w:t>图3-6  轴承钢砂生产工艺流程及产污环节图</w:t>
      </w:r>
    </w:p>
    <w:p>
      <w:pPr>
        <w:rPr>
          <w:color w:val="FF0000"/>
          <w:sz w:val="30"/>
          <w:szCs w:val="30"/>
        </w:rPr>
      </w:pPr>
    </w:p>
    <w:p>
      <w:pPr>
        <w:keepNext w:val="0"/>
        <w:keepLines w:val="0"/>
        <w:pageBreakBefore w:val="0"/>
        <w:widowControl w:val="0"/>
        <w:numPr>
          <w:ilvl w:val="0"/>
          <w:numId w:val="5"/>
        </w:numPr>
        <w:kinsoku/>
        <w:wordWrap/>
        <w:overflowPunct/>
        <w:topLinePunct w:val="0"/>
        <w:autoSpaceDE/>
        <w:autoSpaceDN/>
        <w:bidi w:val="0"/>
        <w:spacing w:line="360" w:lineRule="auto"/>
        <w:ind w:firstLine="470" w:firstLineChars="195"/>
        <w:textAlignment w:val="auto"/>
        <w:rPr>
          <w:rFonts w:hint="eastAsia"/>
          <w:b/>
          <w:bCs/>
          <w:sz w:val="24"/>
        </w:rPr>
      </w:pPr>
      <w:bookmarkStart w:id="0" w:name="_Toc503169647"/>
      <w:bookmarkStart w:id="1" w:name="_Toc505271628"/>
      <w:r>
        <w:rPr>
          <w:rFonts w:hint="eastAsia"/>
          <w:b/>
          <w:bCs/>
          <w:sz w:val="24"/>
          <w:lang w:val="en-US" w:eastAsia="zh-CN"/>
        </w:rPr>
        <w:t>合规性</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default"/>
          <w:lang w:val="en-US"/>
        </w:rPr>
      </w:pPr>
      <w:r>
        <w:rPr>
          <w:rFonts w:hint="eastAsia"/>
          <w:bCs/>
          <w:sz w:val="24"/>
          <w:szCs w:val="24"/>
          <w:lang w:val="en-US" w:eastAsia="zh-CN"/>
        </w:rPr>
        <w:t>本项目自建设以来没有接收到周围群众投诉，未发生其他违法违规行为。</w:t>
      </w:r>
    </w:p>
    <w:p>
      <w:pPr>
        <w:keepNext w:val="0"/>
        <w:keepLines w:val="0"/>
        <w:pageBreakBefore w:val="0"/>
        <w:widowControl w:val="0"/>
        <w:numPr>
          <w:ilvl w:val="0"/>
          <w:numId w:val="5"/>
        </w:numPr>
        <w:kinsoku/>
        <w:wordWrap/>
        <w:overflowPunct/>
        <w:topLinePunct w:val="0"/>
        <w:autoSpaceDE/>
        <w:autoSpaceDN/>
        <w:bidi w:val="0"/>
        <w:spacing w:line="360" w:lineRule="auto"/>
        <w:ind w:firstLine="470" w:firstLineChars="195"/>
        <w:textAlignment w:val="auto"/>
        <w:rPr>
          <w:rFonts w:hint="eastAsia"/>
          <w:b/>
          <w:bCs/>
          <w:sz w:val="24"/>
          <w:lang w:val="en-US" w:eastAsia="zh-CN"/>
        </w:rPr>
      </w:pPr>
      <w:r>
        <w:rPr>
          <w:rFonts w:hint="eastAsia"/>
          <w:b/>
          <w:bCs/>
          <w:sz w:val="24"/>
          <w:lang w:val="en-US" w:eastAsia="zh-CN"/>
        </w:rPr>
        <w:t>项目建设变更情况</w:t>
      </w:r>
    </w:p>
    <w:p>
      <w:pPr>
        <w:pStyle w:val="105"/>
        <w:ind w:firstLine="472"/>
      </w:pPr>
      <w:bookmarkStart w:id="2" w:name="_Ref496618210"/>
      <w:r>
        <w:rPr>
          <w:rFonts w:hint="eastAsia"/>
        </w:rPr>
        <w:t>对照环评及批复要求相比，项目实际建设的主要变动情况见表3-4。</w:t>
      </w:r>
    </w:p>
    <w:p>
      <w:pPr>
        <w:pStyle w:val="17"/>
        <w:spacing w:line="240" w:lineRule="auto"/>
        <w:rPr>
          <w:sz w:val="21"/>
          <w:szCs w:val="21"/>
        </w:rPr>
      </w:pPr>
      <w:r>
        <w:rPr>
          <w:rFonts w:hint="eastAsia"/>
          <w:sz w:val="21"/>
          <w:szCs w:val="21"/>
        </w:rPr>
        <w:t xml:space="preserve">表3-4 </w:t>
      </w:r>
      <w:r>
        <w:rPr>
          <w:sz w:val="21"/>
          <w:szCs w:val="21"/>
        </w:rPr>
        <w:t xml:space="preserve"> </w:t>
      </w:r>
      <w:r>
        <w:rPr>
          <w:rFonts w:hint="eastAsia"/>
          <w:sz w:val="21"/>
          <w:szCs w:val="21"/>
        </w:rPr>
        <w:t>变动情况</w:t>
      </w:r>
    </w:p>
    <w:tbl>
      <w:tblPr>
        <w:tblStyle w:val="39"/>
        <w:tblW w:w="8306" w:type="dxa"/>
        <w:jc w:val="center"/>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546"/>
        <w:gridCol w:w="2639"/>
        <w:gridCol w:w="2928"/>
        <w:gridCol w:w="2193"/>
      </w:tblGrid>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09" w:hRule="atLeast"/>
          <w:tblHeader/>
          <w:jc w:val="center"/>
        </w:trPr>
        <w:tc>
          <w:tcPr>
            <w:tcW w:w="546" w:type="dxa"/>
            <w:tcBorders>
              <w:tl2br w:val="nil"/>
              <w:tr2bl w:val="nil"/>
            </w:tcBorders>
            <w:vAlign w:val="center"/>
          </w:tcPr>
          <w:p>
            <w:pPr>
              <w:adjustRightInd w:val="0"/>
              <w:snapToGrid w:val="0"/>
              <w:ind w:left="-63" w:leftChars="-30" w:right="-63" w:rightChars="-30"/>
              <w:jc w:val="center"/>
              <w:rPr>
                <w:b/>
                <w:color w:val="000000"/>
                <w:szCs w:val="21"/>
              </w:rPr>
            </w:pPr>
          </w:p>
        </w:tc>
        <w:tc>
          <w:tcPr>
            <w:tcW w:w="2639" w:type="dxa"/>
            <w:tcBorders>
              <w:tl2br w:val="nil"/>
              <w:tr2bl w:val="nil"/>
            </w:tcBorders>
            <w:vAlign w:val="center"/>
          </w:tcPr>
          <w:p>
            <w:pPr>
              <w:adjustRightInd w:val="0"/>
              <w:snapToGrid w:val="0"/>
              <w:ind w:left="-63" w:leftChars="-30" w:right="-63" w:rightChars="-30"/>
              <w:jc w:val="center"/>
              <w:rPr>
                <w:b/>
                <w:color w:val="000000"/>
                <w:szCs w:val="21"/>
              </w:rPr>
            </w:pPr>
            <w:r>
              <w:rPr>
                <w:b/>
                <w:color w:val="000000"/>
                <w:szCs w:val="21"/>
              </w:rPr>
              <w:t>环评批复要求</w:t>
            </w:r>
          </w:p>
        </w:tc>
        <w:tc>
          <w:tcPr>
            <w:tcW w:w="2928" w:type="dxa"/>
            <w:tcBorders>
              <w:tl2br w:val="nil"/>
              <w:tr2bl w:val="nil"/>
            </w:tcBorders>
            <w:vAlign w:val="center"/>
          </w:tcPr>
          <w:p>
            <w:pPr>
              <w:adjustRightInd w:val="0"/>
              <w:snapToGrid w:val="0"/>
              <w:ind w:left="-63" w:leftChars="-30" w:right="-63" w:rightChars="-30"/>
              <w:jc w:val="center"/>
              <w:rPr>
                <w:b/>
                <w:color w:val="000000"/>
                <w:szCs w:val="21"/>
              </w:rPr>
            </w:pPr>
            <w:r>
              <w:rPr>
                <w:b/>
                <w:color w:val="000000"/>
                <w:szCs w:val="21"/>
              </w:rPr>
              <w:t>实际建设情况</w:t>
            </w:r>
          </w:p>
        </w:tc>
        <w:tc>
          <w:tcPr>
            <w:tcW w:w="2193" w:type="dxa"/>
            <w:tcBorders>
              <w:tl2br w:val="nil"/>
              <w:tr2bl w:val="nil"/>
            </w:tcBorders>
            <w:vAlign w:val="center"/>
          </w:tcPr>
          <w:p>
            <w:pPr>
              <w:adjustRightInd w:val="0"/>
              <w:snapToGrid w:val="0"/>
              <w:ind w:left="-63" w:leftChars="-30" w:right="-63" w:rightChars="-30"/>
              <w:jc w:val="center"/>
              <w:rPr>
                <w:b/>
                <w:color w:val="000000"/>
                <w:szCs w:val="21"/>
              </w:rPr>
            </w:pPr>
            <w:r>
              <w:rPr>
                <w:b/>
                <w:color w:val="000000"/>
                <w:szCs w:val="21"/>
              </w:rPr>
              <w:t>备注</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143" w:hRule="atLeast"/>
          <w:jc w:val="center"/>
        </w:trPr>
        <w:tc>
          <w:tcPr>
            <w:tcW w:w="546" w:type="dxa"/>
            <w:tcBorders>
              <w:tl2br w:val="nil"/>
              <w:tr2bl w:val="nil"/>
            </w:tcBorders>
            <w:vAlign w:val="center"/>
          </w:tcPr>
          <w:p>
            <w:pPr>
              <w:pStyle w:val="123"/>
              <w:ind w:left="16"/>
              <w:jc w:val="center"/>
              <w:rPr>
                <w:rFonts w:ascii="Times New Roman" w:hAnsi="宋体" w:eastAsia="Times New Roman" w:cs="宋体"/>
                <w:sz w:val="21"/>
              </w:rPr>
            </w:pPr>
            <w:r>
              <w:rPr>
                <w:rFonts w:ascii="Times New Roman" w:hAnsi="宋体" w:eastAsia="Times New Roman" w:cs="宋体"/>
                <w:sz w:val="21"/>
              </w:rPr>
              <w:t>固废</w:t>
            </w:r>
          </w:p>
          <w:p>
            <w:pPr>
              <w:pStyle w:val="123"/>
              <w:ind w:left="16" w:leftChars="0"/>
              <w:jc w:val="center"/>
              <w:rPr>
                <w:rFonts w:ascii="Times New Roman" w:hAnsi="宋体" w:eastAsia="Times New Roman" w:cs="宋体"/>
                <w:kern w:val="2"/>
                <w:sz w:val="21"/>
                <w:szCs w:val="24"/>
                <w:lang w:val="en-US" w:eastAsia="zh-CN" w:bidi="zh-CN"/>
              </w:rPr>
            </w:pPr>
            <w:r>
              <w:rPr>
                <w:rFonts w:ascii="Times New Roman" w:hAnsi="宋体" w:eastAsia="Times New Roman" w:cs="宋体"/>
                <w:sz w:val="21"/>
              </w:rPr>
              <w:t>处理</w:t>
            </w:r>
          </w:p>
        </w:tc>
        <w:tc>
          <w:tcPr>
            <w:tcW w:w="2639" w:type="dxa"/>
            <w:tcBorders>
              <w:tl2br w:val="nil"/>
              <w:tr2bl w:val="nil"/>
            </w:tcBorders>
            <w:vAlign w:val="center"/>
          </w:tcPr>
          <w:p>
            <w:pPr>
              <w:pStyle w:val="123"/>
              <w:ind w:left="16" w:leftChars="0"/>
              <w:jc w:val="center"/>
              <w:rPr>
                <w:rFonts w:hint="default" w:ascii="Times New Roman" w:hAnsi="宋体" w:eastAsia="宋体" w:cs="宋体"/>
                <w:kern w:val="2"/>
                <w:sz w:val="21"/>
                <w:szCs w:val="24"/>
                <w:lang w:val="en-US" w:eastAsia="zh-CN" w:bidi="zh-CN"/>
              </w:rPr>
            </w:pPr>
            <w:r>
              <w:rPr>
                <w:rFonts w:hint="eastAsia"/>
                <w:szCs w:val="21"/>
                <w:lang w:val="en-US" w:eastAsia="zh-CN"/>
              </w:rPr>
              <w:t>除尘器收集的金属颗粒物外卖给物资回收公司；职工生活垃圾，非金属杂质，维护设备产生的废手套、废抹布由环卫部门清运处理；维护设备产生的废机油、废润滑油、废机油桶、废润滑油桶暂存于危险废物暂存</w:t>
            </w:r>
            <w:r>
              <w:rPr>
                <w:rFonts w:hint="eastAsia"/>
                <w:szCs w:val="21"/>
              </w:rPr>
              <w:t>间后委托有危险废物处置资质的单位处理</w:t>
            </w:r>
          </w:p>
        </w:tc>
        <w:tc>
          <w:tcPr>
            <w:tcW w:w="2928" w:type="dxa"/>
            <w:tcBorders>
              <w:tl2br w:val="nil"/>
              <w:tr2bl w:val="nil"/>
            </w:tcBorders>
            <w:vAlign w:val="center"/>
          </w:tcPr>
          <w:p>
            <w:pPr>
              <w:pStyle w:val="123"/>
              <w:ind w:left="16" w:leftChars="0"/>
              <w:jc w:val="center"/>
              <w:rPr>
                <w:rFonts w:hint="default" w:ascii="Times New Roman" w:hAnsi="宋体" w:eastAsia="Times New Roman" w:cs="宋体"/>
                <w:kern w:val="2"/>
                <w:sz w:val="21"/>
                <w:szCs w:val="24"/>
                <w:lang w:val="en-US" w:eastAsia="zh-CN" w:bidi="zh-CN"/>
              </w:rPr>
            </w:pPr>
            <w:r>
              <w:rPr>
                <w:rFonts w:hint="eastAsia"/>
                <w:szCs w:val="21"/>
                <w:lang w:val="en-US" w:eastAsia="zh-CN"/>
              </w:rPr>
              <w:t>除尘器收集的金属颗粒物回收利用做原材料；职工生活垃圾，非金属杂质，维护设备产生的废手套、废抹布由环卫部门清运处理；维护设备产生的废机油、废润滑油、废机油桶、废润滑油桶暂存于危险废物暂存</w:t>
            </w:r>
            <w:r>
              <w:rPr>
                <w:rFonts w:hint="eastAsia"/>
                <w:szCs w:val="21"/>
              </w:rPr>
              <w:t>间后委托有危险废物处置资质的单位处理</w:t>
            </w:r>
          </w:p>
        </w:tc>
        <w:tc>
          <w:tcPr>
            <w:tcW w:w="2193" w:type="dxa"/>
            <w:tcBorders>
              <w:tl2br w:val="nil"/>
              <w:tr2bl w:val="nil"/>
            </w:tcBorders>
            <w:vAlign w:val="center"/>
          </w:tcPr>
          <w:p>
            <w:pPr>
              <w:adjustRightInd w:val="0"/>
              <w:snapToGrid w:val="0"/>
              <w:ind w:right="-63" w:rightChars="-30"/>
              <w:jc w:val="center"/>
              <w:rPr>
                <w:rFonts w:hint="default" w:eastAsiaTheme="minorEastAsia"/>
                <w:bCs/>
                <w:color w:val="000000"/>
                <w:szCs w:val="21"/>
                <w:lang w:val="en-US" w:eastAsia="zh-CN"/>
              </w:rPr>
            </w:pPr>
            <w:r>
              <w:rPr>
                <w:rFonts w:hint="eastAsia" w:eastAsiaTheme="minorEastAsia"/>
                <w:bCs/>
                <w:color w:val="000000"/>
                <w:szCs w:val="21"/>
                <w:lang w:val="en-US" w:eastAsia="zh-CN"/>
              </w:rPr>
              <w:t>除尘器收集的金属颗粒物回收重新利用</w:t>
            </w:r>
          </w:p>
        </w:tc>
      </w:tr>
      <w:bookmarkEnd w:id="2"/>
    </w:tbl>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cs="Times New Roman"/>
          <w:bCs/>
          <w:sz w:val="24"/>
          <w:szCs w:val="24"/>
        </w:rPr>
      </w:pPr>
      <w:r>
        <w:rPr>
          <w:rFonts w:hint="eastAsia" w:ascii="Times New Roman" w:hAnsi="Times New Roman" w:cs="Times New Roman"/>
          <w:bCs/>
          <w:sz w:val="24"/>
          <w:szCs w:val="24"/>
        </w:rPr>
        <w:t>本项目</w:t>
      </w:r>
      <w:r>
        <w:rPr>
          <w:rFonts w:hint="eastAsia" w:ascii="Times New Roman" w:hAnsi="Times New Roman" w:cs="Times New Roman"/>
          <w:bCs/>
          <w:sz w:val="24"/>
          <w:szCs w:val="24"/>
          <w:lang w:val="en-US" w:eastAsia="zh-CN"/>
        </w:rPr>
        <w:t>一般固废金属颗粒物处理方式由外卖给物资回收公司变更为回收重新利用做原材料，</w:t>
      </w:r>
      <w:r>
        <w:rPr>
          <w:rFonts w:hint="eastAsia" w:ascii="Times New Roman" w:hAnsi="Times New Roman" w:cs="Times New Roman"/>
          <w:bCs/>
          <w:sz w:val="24"/>
          <w:szCs w:val="24"/>
        </w:rPr>
        <w:t>总体生产规模不变，无新增污染物。经对照环境保护部《关于印发环评管理中部分行业建设项目重大变动清单的通知》（环办〔2015〕52号），本工程变更不属于重大变动</w:t>
      </w:r>
      <w:r>
        <w:rPr>
          <w:rFonts w:hint="eastAsia" w:ascii="Times New Roman" w:hAnsi="Times New Roman" w:cs="Times New Roman"/>
          <w:bCs/>
          <w:sz w:val="24"/>
          <w:szCs w:val="24"/>
          <w:lang w:eastAsia="zh-CN"/>
        </w:rPr>
        <w:t>，</w:t>
      </w:r>
      <w:r>
        <w:rPr>
          <w:rFonts w:hint="eastAsia" w:ascii="Times New Roman" w:hAnsi="Times New Roman" w:cs="Times New Roman"/>
          <w:bCs/>
          <w:sz w:val="24"/>
          <w:szCs w:val="24"/>
        </w:rPr>
        <w:t>符合验收</w:t>
      </w:r>
      <w:r>
        <w:rPr>
          <w:rFonts w:hint="eastAsia" w:ascii="Times New Roman" w:hAnsi="Times New Roman" w:cs="Times New Roman"/>
          <w:bCs/>
          <w:sz w:val="24"/>
          <w:szCs w:val="24"/>
          <w:lang w:val="en-US" w:eastAsia="zh-CN"/>
        </w:rPr>
        <w:t>监</w:t>
      </w:r>
      <w:r>
        <w:rPr>
          <w:rFonts w:hint="eastAsia" w:ascii="Times New Roman" w:hAnsi="Times New Roman" w:cs="Times New Roman"/>
          <w:bCs/>
          <w:sz w:val="24"/>
          <w:szCs w:val="24"/>
        </w:rPr>
        <w:t>测条件。</w:t>
      </w:r>
    </w:p>
    <w:p>
      <w:pPr>
        <w:spacing w:line="360" w:lineRule="auto"/>
        <w:rPr>
          <w:sz w:val="30"/>
          <w:szCs w:val="30"/>
          <w:highlight w:val="none"/>
        </w:rPr>
      </w:pPr>
      <w:r>
        <w:rPr>
          <w:rFonts w:hint="eastAsia" w:ascii="Times New Roman" w:hAnsi="Times New Roman" w:eastAsia="宋体" w:cs="Times New Roman"/>
          <w:b/>
          <w:bCs/>
          <w:kern w:val="44"/>
          <w:sz w:val="30"/>
          <w:szCs w:val="30"/>
          <w:lang w:val="en-US" w:eastAsia="zh-CN" w:bidi="ar-SA"/>
        </w:rPr>
        <w:t>四、</w:t>
      </w:r>
      <w:bookmarkEnd w:id="0"/>
      <w:bookmarkEnd w:id="1"/>
      <w:r>
        <w:rPr>
          <w:rFonts w:hint="eastAsia" w:ascii="Times New Roman" w:hAnsi="Times New Roman" w:eastAsia="宋体" w:cs="Times New Roman"/>
          <w:b/>
          <w:bCs/>
          <w:kern w:val="44"/>
          <w:sz w:val="30"/>
          <w:szCs w:val="30"/>
          <w:lang w:val="en-US" w:eastAsia="zh-CN" w:bidi="ar-SA"/>
        </w:rPr>
        <w:t>主要污染源、污染物处理和排放</w:t>
      </w:r>
    </w:p>
    <w:p>
      <w:pPr>
        <w:adjustRightInd w:val="0"/>
        <w:snapToGrid w:val="0"/>
        <w:spacing w:line="360" w:lineRule="auto"/>
        <w:ind w:left="480"/>
        <w:rPr>
          <w:sz w:val="24"/>
        </w:rPr>
      </w:pPr>
      <w:r>
        <w:rPr>
          <w:sz w:val="24"/>
        </w:rPr>
        <w:t xml:space="preserve">1、废气 </w:t>
      </w:r>
    </w:p>
    <w:p>
      <w:pPr>
        <w:adjustRightInd w:val="0"/>
        <w:snapToGrid w:val="0"/>
        <w:spacing w:line="360" w:lineRule="auto"/>
        <w:ind w:firstLine="480" w:firstLineChars="200"/>
      </w:pPr>
      <w:r>
        <w:rPr>
          <w:bCs/>
          <w:sz w:val="24"/>
          <w:szCs w:val="24"/>
        </w:rPr>
        <w:t>项目运行产生的废气主要为研磨工序、破碎工序、分筛工序、振动筛上料工序产生的粉尘。</w:t>
      </w:r>
    </w:p>
    <w:p>
      <w:pPr>
        <w:adjustRightInd w:val="0"/>
        <w:snapToGrid w:val="0"/>
        <w:spacing w:line="360" w:lineRule="auto"/>
        <w:ind w:firstLine="480" w:firstLineChars="200"/>
        <w:rPr>
          <w:bCs/>
          <w:sz w:val="24"/>
          <w:szCs w:val="24"/>
        </w:rPr>
      </w:pPr>
      <w:r>
        <w:rPr>
          <w:bCs/>
          <w:sz w:val="24"/>
          <w:szCs w:val="24"/>
        </w:rPr>
        <w:t>研磨工序产生的粉尘废气经研磨机各自配套除尘器处理后再汇入3台除尘器进行处理，经处理后通过3根15m高排气筒排放</w:t>
      </w:r>
      <w:r>
        <w:rPr>
          <w:rFonts w:hint="eastAsia"/>
          <w:bCs/>
          <w:sz w:val="24"/>
          <w:szCs w:val="24"/>
          <w:lang w:eastAsia="zh-CN"/>
        </w:rPr>
        <w:t>；</w:t>
      </w:r>
      <w:r>
        <w:rPr>
          <w:bCs/>
          <w:sz w:val="24"/>
          <w:szCs w:val="24"/>
        </w:rPr>
        <w:t>破碎、振动筛上料工序产生的粉尘废气经各自配套除尘器处理后后进入2台除尘器进行处理，经处理后通过2根15m 高排气筒排放</w:t>
      </w:r>
      <w:r>
        <w:rPr>
          <w:rFonts w:hint="eastAsia"/>
          <w:bCs/>
          <w:sz w:val="24"/>
          <w:szCs w:val="24"/>
          <w:lang w:eastAsia="zh-CN"/>
        </w:rPr>
        <w:t>；</w:t>
      </w:r>
      <w:r>
        <w:rPr>
          <w:bCs/>
          <w:sz w:val="24"/>
          <w:szCs w:val="24"/>
        </w:rPr>
        <w:t>分筛工序产生的粉尘废气经各自配套除尘器处理后进入2台除尘器进行处理，经处理后通过2根15m 高排气筒排放。</w:t>
      </w:r>
    </w:p>
    <w:p>
      <w:pPr>
        <w:rPr>
          <w:rFonts w:hint="eastAsia"/>
          <w:lang w:eastAsia="zh-CN"/>
        </w:rPr>
      </w:pPr>
      <w:r>
        <w:rPr>
          <w:rFonts w:hint="eastAsia"/>
          <w:lang w:val="en-US" w:eastAsia="zh-CN"/>
        </w:rPr>
        <w:t xml:space="preserve">        </w:t>
      </w:r>
      <w:r>
        <w:rPr>
          <w:rFonts w:hint="eastAsia"/>
          <w:lang w:eastAsia="zh-CN"/>
        </w:rPr>
        <w:drawing>
          <wp:inline distT="0" distB="0" distL="114300" distR="114300">
            <wp:extent cx="2790190" cy="1995170"/>
            <wp:effectExtent l="0" t="0" r="13970" b="1270"/>
            <wp:docPr id="57" name="图片 13" descr="4ea4232fe84abd5853dfdf3a5d732b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13" descr="4ea4232fe84abd5853dfdf3a5d732b9"/>
                    <pic:cNvPicPr>
                      <a:picLocks noChangeAspect="1"/>
                    </pic:cNvPicPr>
                  </pic:nvPicPr>
                  <pic:blipFill>
                    <a:blip r:embed="rId16"/>
                    <a:stretch>
                      <a:fillRect/>
                    </a:stretch>
                  </pic:blipFill>
                  <pic:spPr>
                    <a:xfrm>
                      <a:off x="0" y="0"/>
                      <a:ext cx="2790190" cy="1995170"/>
                    </a:xfrm>
                    <a:prstGeom prst="rect">
                      <a:avLst/>
                    </a:prstGeom>
                    <a:noFill/>
                    <a:ln>
                      <a:noFill/>
                    </a:ln>
                  </pic:spPr>
                </pic:pic>
              </a:graphicData>
            </a:graphic>
          </wp:inline>
        </w:drawing>
      </w:r>
      <w:r>
        <w:rPr>
          <w:rFonts w:hint="eastAsia"/>
          <w:lang w:eastAsia="zh-CN"/>
        </w:rPr>
        <w:drawing>
          <wp:inline distT="0" distB="0" distL="114300" distR="114300">
            <wp:extent cx="2033270" cy="1979930"/>
            <wp:effectExtent l="0" t="0" r="8890" b="1270"/>
            <wp:docPr id="58" name="图片 14" descr="941aa0d3bf7f5717a4d89779cdf484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14" descr="941aa0d3bf7f5717a4d89779cdf484c"/>
                    <pic:cNvPicPr>
                      <a:picLocks noChangeAspect="1"/>
                    </pic:cNvPicPr>
                  </pic:nvPicPr>
                  <pic:blipFill>
                    <a:blip r:embed="rId17"/>
                    <a:stretch>
                      <a:fillRect/>
                    </a:stretch>
                  </pic:blipFill>
                  <pic:spPr>
                    <a:xfrm>
                      <a:off x="0" y="0"/>
                      <a:ext cx="2033270" cy="1979930"/>
                    </a:xfrm>
                    <a:prstGeom prst="rect">
                      <a:avLst/>
                    </a:prstGeom>
                    <a:noFill/>
                    <a:ln>
                      <a:noFill/>
                    </a:ln>
                  </pic:spPr>
                </pic:pic>
              </a:graphicData>
            </a:graphic>
          </wp:inline>
        </w:drawing>
      </w:r>
    </w:p>
    <w:p>
      <w:pPr>
        <w:rPr>
          <w:rFonts w:hint="eastAsia"/>
          <w:lang w:eastAsia="zh-CN"/>
        </w:rPr>
      </w:pPr>
      <w:r>
        <w:rPr>
          <w:rFonts w:hint="eastAsia"/>
          <w:lang w:val="en-US" w:eastAsia="zh-CN"/>
        </w:rPr>
        <w:t xml:space="preserve">        </w:t>
      </w:r>
      <w:r>
        <w:rPr>
          <w:rFonts w:hint="eastAsia"/>
          <w:lang w:eastAsia="zh-CN"/>
        </w:rPr>
        <w:drawing>
          <wp:inline distT="0" distB="0" distL="114300" distR="114300">
            <wp:extent cx="2369185" cy="2258695"/>
            <wp:effectExtent l="0" t="0" r="8255" b="12065"/>
            <wp:docPr id="59" name="图片 15" descr="8048bf12e0b81df580c89ff02079ea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15" descr="8048bf12e0b81df580c89ff02079eac"/>
                    <pic:cNvPicPr>
                      <a:picLocks noChangeAspect="1"/>
                    </pic:cNvPicPr>
                  </pic:nvPicPr>
                  <pic:blipFill>
                    <a:blip r:embed="rId18"/>
                    <a:stretch>
                      <a:fillRect/>
                    </a:stretch>
                  </pic:blipFill>
                  <pic:spPr>
                    <a:xfrm>
                      <a:off x="0" y="0"/>
                      <a:ext cx="2369185" cy="2258695"/>
                    </a:xfrm>
                    <a:prstGeom prst="rect">
                      <a:avLst/>
                    </a:prstGeom>
                    <a:noFill/>
                    <a:ln>
                      <a:noFill/>
                    </a:ln>
                  </pic:spPr>
                </pic:pic>
              </a:graphicData>
            </a:graphic>
          </wp:inline>
        </w:drawing>
      </w:r>
      <w:r>
        <w:rPr>
          <w:rFonts w:hint="eastAsia"/>
          <w:lang w:eastAsia="zh-CN"/>
        </w:rPr>
        <w:drawing>
          <wp:inline distT="0" distB="0" distL="114300" distR="114300">
            <wp:extent cx="2447925" cy="2286000"/>
            <wp:effectExtent l="0" t="0" r="5715" b="0"/>
            <wp:docPr id="60" name="图片 16" descr="b2d064459317b2d197185cf153d5f7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16" descr="b2d064459317b2d197185cf153d5f7a"/>
                    <pic:cNvPicPr>
                      <a:picLocks noChangeAspect="1"/>
                    </pic:cNvPicPr>
                  </pic:nvPicPr>
                  <pic:blipFill>
                    <a:blip r:embed="rId19"/>
                    <a:stretch>
                      <a:fillRect/>
                    </a:stretch>
                  </pic:blipFill>
                  <pic:spPr>
                    <a:xfrm>
                      <a:off x="0" y="0"/>
                      <a:ext cx="2447925" cy="2286000"/>
                    </a:xfrm>
                    <a:prstGeom prst="rect">
                      <a:avLst/>
                    </a:prstGeom>
                    <a:noFill/>
                    <a:ln>
                      <a:noFill/>
                    </a:ln>
                  </pic:spPr>
                </pic:pic>
              </a:graphicData>
            </a:graphic>
          </wp:inline>
        </w:drawing>
      </w:r>
    </w:p>
    <w:p>
      <w:pPr>
        <w:adjustRightInd w:val="0"/>
        <w:snapToGrid w:val="0"/>
        <w:spacing w:line="360" w:lineRule="auto"/>
        <w:ind w:firstLine="480"/>
        <w:jc w:val="center"/>
        <w:rPr>
          <w:rFonts w:hint="eastAsia"/>
          <w:sz w:val="28"/>
          <w:szCs w:val="28"/>
          <w:lang w:eastAsia="zh-CN"/>
        </w:rPr>
      </w:pPr>
      <w:r>
        <w:rPr>
          <w:rFonts w:hint="eastAsia"/>
          <w:sz w:val="28"/>
          <w:szCs w:val="28"/>
          <w:lang w:eastAsia="zh-CN"/>
        </w:rPr>
        <w:t>研磨工序</w:t>
      </w:r>
      <w:r>
        <w:rPr>
          <w:rFonts w:hint="eastAsia"/>
          <w:sz w:val="28"/>
          <w:szCs w:val="28"/>
          <w:lang w:val="en-US" w:eastAsia="zh-CN"/>
        </w:rPr>
        <w:t>除尘设备+</w:t>
      </w:r>
      <w:r>
        <w:rPr>
          <w:rFonts w:hint="eastAsia"/>
          <w:sz w:val="28"/>
          <w:szCs w:val="28"/>
          <w:lang w:eastAsia="zh-CN"/>
        </w:rPr>
        <w:t>排气筒</w:t>
      </w:r>
    </w:p>
    <w:p>
      <w:pPr>
        <w:rPr>
          <w:rFonts w:hint="eastAsia"/>
          <w:lang w:val="en-US" w:eastAsia="zh-CN"/>
        </w:rPr>
      </w:pPr>
      <w:r>
        <w:rPr>
          <w:rFonts w:hint="eastAsia"/>
          <w:lang w:val="en-US" w:eastAsia="zh-CN"/>
        </w:rPr>
        <w:drawing>
          <wp:inline distT="0" distB="0" distL="114300" distR="114300">
            <wp:extent cx="2051050" cy="2237105"/>
            <wp:effectExtent l="0" t="0" r="6350" b="3175"/>
            <wp:docPr id="61" name="图片 17" descr="cb27e51f53e875af3a062e14f52f29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17" descr="cb27e51f53e875af3a062e14f52f29e"/>
                    <pic:cNvPicPr>
                      <a:picLocks noChangeAspect="1"/>
                    </pic:cNvPicPr>
                  </pic:nvPicPr>
                  <pic:blipFill>
                    <a:blip r:embed="rId20"/>
                    <a:stretch>
                      <a:fillRect/>
                    </a:stretch>
                  </pic:blipFill>
                  <pic:spPr>
                    <a:xfrm>
                      <a:off x="0" y="0"/>
                      <a:ext cx="2051050" cy="2237105"/>
                    </a:xfrm>
                    <a:prstGeom prst="rect">
                      <a:avLst/>
                    </a:prstGeom>
                    <a:noFill/>
                    <a:ln>
                      <a:noFill/>
                    </a:ln>
                  </pic:spPr>
                </pic:pic>
              </a:graphicData>
            </a:graphic>
          </wp:inline>
        </w:drawing>
      </w:r>
      <w:r>
        <w:rPr>
          <w:rFonts w:hint="eastAsia"/>
          <w:lang w:val="en-US" w:eastAsia="zh-CN"/>
        </w:rPr>
        <w:drawing>
          <wp:inline distT="0" distB="0" distL="114300" distR="114300">
            <wp:extent cx="2066925" cy="2222500"/>
            <wp:effectExtent l="0" t="0" r="5715" b="2540"/>
            <wp:docPr id="62" name="图片 18" descr="e3dad3107baa4b7615df13e9529f5e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18" descr="e3dad3107baa4b7615df13e9529f5e9"/>
                    <pic:cNvPicPr>
                      <a:picLocks noChangeAspect="1"/>
                    </pic:cNvPicPr>
                  </pic:nvPicPr>
                  <pic:blipFill>
                    <a:blip r:embed="rId21"/>
                    <a:stretch>
                      <a:fillRect/>
                    </a:stretch>
                  </pic:blipFill>
                  <pic:spPr>
                    <a:xfrm>
                      <a:off x="0" y="0"/>
                      <a:ext cx="2066925" cy="2222500"/>
                    </a:xfrm>
                    <a:prstGeom prst="rect">
                      <a:avLst/>
                    </a:prstGeom>
                    <a:noFill/>
                    <a:ln>
                      <a:noFill/>
                    </a:ln>
                  </pic:spPr>
                </pic:pic>
              </a:graphicData>
            </a:graphic>
          </wp:inline>
        </w:drawing>
      </w:r>
      <w:r>
        <w:rPr>
          <w:rFonts w:hint="eastAsia"/>
          <w:lang w:val="en-US" w:eastAsia="zh-CN"/>
        </w:rPr>
        <w:drawing>
          <wp:inline distT="0" distB="0" distL="114300" distR="114300">
            <wp:extent cx="1935480" cy="2222500"/>
            <wp:effectExtent l="0" t="0" r="0" b="2540"/>
            <wp:docPr id="64" name="图片 20" descr="1ebd1b9b22a28c7fb2f6b72e85286b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20" descr="1ebd1b9b22a28c7fb2f6b72e85286b6"/>
                    <pic:cNvPicPr>
                      <a:picLocks noChangeAspect="1"/>
                    </pic:cNvPicPr>
                  </pic:nvPicPr>
                  <pic:blipFill>
                    <a:blip r:embed="rId22"/>
                    <a:stretch>
                      <a:fillRect/>
                    </a:stretch>
                  </pic:blipFill>
                  <pic:spPr>
                    <a:xfrm>
                      <a:off x="0" y="0"/>
                      <a:ext cx="1935480" cy="2222500"/>
                    </a:xfrm>
                    <a:prstGeom prst="rect">
                      <a:avLst/>
                    </a:prstGeom>
                    <a:noFill/>
                    <a:ln>
                      <a:noFill/>
                    </a:ln>
                  </pic:spPr>
                </pic:pic>
              </a:graphicData>
            </a:graphic>
          </wp:inline>
        </w:drawing>
      </w:r>
    </w:p>
    <w:p>
      <w:pPr>
        <w:jc w:val="center"/>
        <w:rPr>
          <w:rFonts w:hint="eastAsia"/>
          <w:sz w:val="28"/>
          <w:szCs w:val="28"/>
          <w:lang w:eastAsia="zh-CN"/>
        </w:rPr>
      </w:pPr>
      <w:r>
        <w:rPr>
          <w:rFonts w:hint="eastAsia"/>
          <w:sz w:val="28"/>
          <w:szCs w:val="28"/>
          <w:lang w:val="en-US" w:eastAsia="zh-CN"/>
        </w:rPr>
        <w:t>振动筛上料工序除尘设备+</w:t>
      </w:r>
      <w:r>
        <w:rPr>
          <w:rFonts w:hint="eastAsia"/>
          <w:sz w:val="28"/>
          <w:szCs w:val="28"/>
          <w:lang w:eastAsia="zh-CN"/>
        </w:rPr>
        <w:t>排气筒</w:t>
      </w:r>
    </w:p>
    <w:p>
      <w:pPr>
        <w:rPr>
          <w:rFonts w:hint="eastAsia"/>
          <w:lang w:eastAsia="zh-CN"/>
        </w:rPr>
      </w:pPr>
    </w:p>
    <w:p>
      <w:pPr>
        <w:rPr>
          <w:rFonts w:hint="eastAsia"/>
          <w:lang w:val="en-US" w:eastAsia="zh-CN"/>
        </w:rPr>
      </w:pPr>
      <w:r>
        <w:rPr>
          <w:rFonts w:hint="eastAsia"/>
          <w:lang w:val="en-US" w:eastAsia="zh-CN"/>
        </w:rPr>
        <w:drawing>
          <wp:inline distT="0" distB="0" distL="114300" distR="114300">
            <wp:extent cx="1925955" cy="2527300"/>
            <wp:effectExtent l="0" t="0" r="9525" b="2540"/>
            <wp:docPr id="39" name="图片 1" descr="04ec1b8c223d491e7e13ed1aef297b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1" descr="04ec1b8c223d491e7e13ed1aef297b3"/>
                    <pic:cNvPicPr>
                      <a:picLocks noChangeAspect="1"/>
                    </pic:cNvPicPr>
                  </pic:nvPicPr>
                  <pic:blipFill>
                    <a:blip r:embed="rId23"/>
                    <a:stretch>
                      <a:fillRect/>
                    </a:stretch>
                  </pic:blipFill>
                  <pic:spPr>
                    <a:xfrm>
                      <a:off x="0" y="0"/>
                      <a:ext cx="1925955" cy="2527300"/>
                    </a:xfrm>
                    <a:prstGeom prst="rect">
                      <a:avLst/>
                    </a:prstGeom>
                    <a:noFill/>
                    <a:ln>
                      <a:noFill/>
                    </a:ln>
                  </pic:spPr>
                </pic:pic>
              </a:graphicData>
            </a:graphic>
          </wp:inline>
        </w:drawing>
      </w:r>
      <w:r>
        <w:rPr>
          <w:rFonts w:hint="eastAsia"/>
          <w:lang w:val="en-US" w:eastAsia="zh-CN"/>
        </w:rPr>
        <w:drawing>
          <wp:inline distT="0" distB="0" distL="114300" distR="114300">
            <wp:extent cx="1808480" cy="2515235"/>
            <wp:effectExtent l="0" t="0" r="5080" b="14605"/>
            <wp:docPr id="40" name="图片 2" descr="ad21c55d96e9147206f30fdef237d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2" descr="ad21c55d96e9147206f30fdef237dad"/>
                    <pic:cNvPicPr>
                      <a:picLocks noChangeAspect="1"/>
                    </pic:cNvPicPr>
                  </pic:nvPicPr>
                  <pic:blipFill>
                    <a:blip r:embed="rId24"/>
                    <a:stretch>
                      <a:fillRect/>
                    </a:stretch>
                  </pic:blipFill>
                  <pic:spPr>
                    <a:xfrm>
                      <a:off x="0" y="0"/>
                      <a:ext cx="1808480" cy="2515235"/>
                    </a:xfrm>
                    <a:prstGeom prst="rect">
                      <a:avLst/>
                    </a:prstGeom>
                    <a:noFill/>
                    <a:ln>
                      <a:noFill/>
                    </a:ln>
                  </pic:spPr>
                </pic:pic>
              </a:graphicData>
            </a:graphic>
          </wp:inline>
        </w:drawing>
      </w:r>
      <w:r>
        <w:rPr>
          <w:rFonts w:hint="eastAsia"/>
          <w:lang w:val="en-US" w:eastAsia="zh-CN"/>
        </w:rPr>
        <w:drawing>
          <wp:inline distT="0" distB="0" distL="114300" distR="114300">
            <wp:extent cx="2272665" cy="2573020"/>
            <wp:effectExtent l="0" t="0" r="13335" b="2540"/>
            <wp:docPr id="41" name="图片 3" descr="f6b162dd46bd5bca9706894491cd9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3" descr="f6b162dd46bd5bca9706894491cd983"/>
                    <pic:cNvPicPr>
                      <a:picLocks noChangeAspect="1"/>
                    </pic:cNvPicPr>
                  </pic:nvPicPr>
                  <pic:blipFill>
                    <a:blip r:embed="rId25"/>
                    <a:stretch>
                      <a:fillRect/>
                    </a:stretch>
                  </pic:blipFill>
                  <pic:spPr>
                    <a:xfrm>
                      <a:off x="0" y="0"/>
                      <a:ext cx="2272665" cy="2573020"/>
                    </a:xfrm>
                    <a:prstGeom prst="rect">
                      <a:avLst/>
                    </a:prstGeom>
                    <a:noFill/>
                    <a:ln>
                      <a:noFill/>
                    </a:ln>
                  </pic:spPr>
                </pic:pic>
              </a:graphicData>
            </a:graphic>
          </wp:inline>
        </w:drawing>
      </w:r>
    </w:p>
    <w:p>
      <w:pPr>
        <w:jc w:val="center"/>
      </w:pPr>
      <w:r>
        <w:rPr>
          <w:rFonts w:hint="eastAsia"/>
          <w:sz w:val="28"/>
          <w:szCs w:val="28"/>
          <w:lang w:val="en-US" w:eastAsia="zh-CN"/>
        </w:rPr>
        <w:t>破碎工序除尘设备+</w:t>
      </w:r>
      <w:r>
        <w:rPr>
          <w:rFonts w:hint="eastAsia"/>
          <w:sz w:val="28"/>
          <w:szCs w:val="28"/>
          <w:lang w:eastAsia="zh-CN"/>
        </w:rPr>
        <w:t>排气筒</w:t>
      </w:r>
    </w:p>
    <w:p>
      <w:pPr>
        <w:adjustRightInd w:val="0"/>
        <w:snapToGrid w:val="0"/>
        <w:spacing w:line="360" w:lineRule="auto"/>
        <w:ind w:left="480"/>
        <w:rPr>
          <w:sz w:val="24"/>
        </w:rPr>
      </w:pPr>
    </w:p>
    <w:p>
      <w:pPr>
        <w:adjustRightInd w:val="0"/>
        <w:snapToGrid w:val="0"/>
        <w:spacing w:line="360" w:lineRule="auto"/>
        <w:ind w:left="480"/>
        <w:rPr>
          <w:sz w:val="24"/>
        </w:rPr>
      </w:pPr>
      <w:r>
        <w:rPr>
          <w:sz w:val="24"/>
        </w:rPr>
        <w:t>2、废水</w:t>
      </w:r>
    </w:p>
    <w:p>
      <w:pPr>
        <w:adjustRightInd w:val="0"/>
        <w:snapToGrid w:val="0"/>
        <w:spacing w:line="360" w:lineRule="auto"/>
        <w:ind w:firstLine="480"/>
        <w:rPr>
          <w:rFonts w:hint="eastAsia" w:eastAsia="方正宋三简体"/>
          <w:bCs/>
          <w:snapToGrid w:val="0"/>
          <w:kern w:val="0"/>
          <w:sz w:val="24"/>
          <w:lang w:eastAsia="zh-CN"/>
        </w:rPr>
      </w:pPr>
      <w:r>
        <w:rPr>
          <w:sz w:val="24"/>
          <w:szCs w:val="24"/>
        </w:rPr>
        <w:t>项目厂区排水实行雨污分流制，雨水经厂区内雨水管直接外排。项目生产过程中热处理淬火用水经冷却循环水池处理后循环使用不外排，项目无生产废水。项目废水主要为职工办公生活</w:t>
      </w:r>
      <w:r>
        <w:rPr>
          <w:rFonts w:hint="eastAsia"/>
          <w:sz w:val="24"/>
          <w:szCs w:val="24"/>
          <w:lang w:val="en-US" w:eastAsia="zh-CN"/>
        </w:rPr>
        <w:t>污水</w:t>
      </w:r>
      <w:r>
        <w:rPr>
          <w:sz w:val="24"/>
          <w:szCs w:val="24"/>
        </w:rPr>
        <w:t>，排入厂区化粪池，经化粪池处理后排入市政污水管网后进入国电银河水务(滕州)有限公司进行再生处理。</w:t>
      </w:r>
    </w:p>
    <w:p>
      <w:pPr>
        <w:adjustRightInd w:val="0"/>
        <w:snapToGrid w:val="0"/>
        <w:spacing w:line="360" w:lineRule="auto"/>
        <w:ind w:left="480"/>
        <w:rPr>
          <w:sz w:val="24"/>
        </w:rPr>
      </w:pPr>
      <w:r>
        <w:rPr>
          <w:sz w:val="24"/>
        </w:rPr>
        <w:t>3、噪声</w:t>
      </w:r>
    </w:p>
    <w:p>
      <w:pPr>
        <w:adjustRightInd w:val="0"/>
        <w:snapToGrid w:val="0"/>
        <w:spacing w:line="360" w:lineRule="auto"/>
        <w:ind w:firstLine="480" w:firstLineChars="200"/>
        <w:rPr>
          <w:rFonts w:hint="eastAsia" w:eastAsia="宋体"/>
          <w:sz w:val="24"/>
          <w:lang w:eastAsia="zh-CN"/>
        </w:rPr>
      </w:pPr>
      <w:r>
        <w:rPr>
          <w:sz w:val="24"/>
          <w:szCs w:val="24"/>
        </w:rPr>
        <w:t>生产车间的噪声，主要声源是拔丝机、切丝机、研磨机、破碎机、振动筛、包装系统、风机等设备产生的噪声，噪声源强为 75～85dB（A）；其余设备噪声较低。各种噪声生产设备布置在生产车间内，并采取减振、隔声、合理布局等降噪措施后</w:t>
      </w:r>
      <w:r>
        <w:rPr>
          <w:rFonts w:hint="eastAsia"/>
          <w:sz w:val="24"/>
          <w:szCs w:val="24"/>
          <w:lang w:eastAsia="zh-CN"/>
        </w:rPr>
        <w:t>，</w:t>
      </w:r>
      <w:r>
        <w:rPr>
          <w:rFonts w:hint="eastAsia"/>
          <w:sz w:val="24"/>
          <w:szCs w:val="24"/>
          <w:lang w:val="en-US" w:eastAsia="zh-CN"/>
        </w:rPr>
        <w:t>减少</w:t>
      </w:r>
      <w:r>
        <w:rPr>
          <w:sz w:val="24"/>
          <w:szCs w:val="24"/>
        </w:rPr>
        <w:t>噪声对环境的影响</w:t>
      </w:r>
      <w:r>
        <w:rPr>
          <w:rFonts w:hint="eastAsia"/>
          <w:sz w:val="24"/>
          <w:szCs w:val="24"/>
          <w:lang w:eastAsia="zh-CN"/>
        </w:rPr>
        <w:t>。</w:t>
      </w:r>
    </w:p>
    <w:p>
      <w:pPr>
        <w:adjustRightInd w:val="0"/>
        <w:snapToGrid w:val="0"/>
        <w:spacing w:line="360" w:lineRule="auto"/>
        <w:ind w:firstLine="480" w:firstLineChars="200"/>
        <w:rPr>
          <w:sz w:val="24"/>
        </w:rPr>
      </w:pPr>
      <w:r>
        <w:rPr>
          <w:sz w:val="24"/>
        </w:rPr>
        <w:t xml:space="preserve">4、固体废物   </w:t>
      </w:r>
    </w:p>
    <w:p>
      <w:pPr>
        <w:adjustRightInd w:val="0"/>
        <w:snapToGrid w:val="0"/>
        <w:spacing w:line="360" w:lineRule="auto"/>
        <w:ind w:firstLine="480" w:firstLineChars="200"/>
        <w:rPr>
          <w:rFonts w:hint="eastAsia" w:eastAsia="宋体"/>
          <w:sz w:val="24"/>
          <w:lang w:val="en-US" w:eastAsia="zh-CN"/>
        </w:rPr>
      </w:pPr>
      <w:r>
        <w:rPr>
          <w:sz w:val="24"/>
        </w:rPr>
        <w:t>项目产生的固废主要</w:t>
      </w:r>
      <w:r>
        <w:rPr>
          <w:rFonts w:hint="eastAsia"/>
          <w:sz w:val="24"/>
          <w:lang w:val="en-US" w:eastAsia="zh-CN"/>
        </w:rPr>
        <w:t>包括</w:t>
      </w:r>
      <w:r>
        <w:rPr>
          <w:sz w:val="24"/>
        </w:rPr>
        <w:t>职工产生的生活垃圾</w:t>
      </w:r>
      <w:r>
        <w:rPr>
          <w:rFonts w:hint="eastAsia"/>
          <w:sz w:val="24"/>
          <w:lang w:eastAsia="zh-CN"/>
        </w:rPr>
        <w:t>，</w:t>
      </w:r>
      <w:r>
        <w:rPr>
          <w:sz w:val="24"/>
        </w:rPr>
        <w:t>生产过程中产生的非金属夹杂物</w:t>
      </w:r>
      <w:r>
        <w:rPr>
          <w:rFonts w:hint="eastAsia"/>
          <w:sz w:val="24"/>
          <w:lang w:eastAsia="zh-CN"/>
        </w:rPr>
        <w:t>、</w:t>
      </w:r>
      <w:r>
        <w:rPr>
          <w:sz w:val="24"/>
        </w:rPr>
        <w:t>除尘器收集的金属颗粒物</w:t>
      </w:r>
      <w:r>
        <w:rPr>
          <w:rFonts w:hint="eastAsia"/>
          <w:sz w:val="24"/>
          <w:lang w:val="en-US" w:eastAsia="zh-CN"/>
        </w:rPr>
        <w:t>等一般固废，</w:t>
      </w:r>
      <w:r>
        <w:rPr>
          <w:sz w:val="24"/>
        </w:rPr>
        <w:t>维护设备产生的废手套、废抹布、废机油、废润滑油、废机油桶、废润滑油桶</w:t>
      </w:r>
      <w:r>
        <w:rPr>
          <w:rFonts w:hint="eastAsia"/>
          <w:sz w:val="24"/>
          <w:lang w:val="en-US" w:eastAsia="zh-CN"/>
        </w:rPr>
        <w:t>等危险废物</w:t>
      </w:r>
      <w:r>
        <w:rPr>
          <w:sz w:val="24"/>
        </w:rPr>
        <w:t>。</w:t>
      </w:r>
      <w:r>
        <w:rPr>
          <w:rFonts w:hint="eastAsia"/>
          <w:sz w:val="24"/>
          <w:lang w:val="en-US" w:eastAsia="zh-CN"/>
        </w:rPr>
        <w:t xml:space="preserve"> </w:t>
      </w:r>
    </w:p>
    <w:p>
      <w:pPr>
        <w:adjustRightInd w:val="0"/>
        <w:snapToGrid w:val="0"/>
        <w:spacing w:line="360" w:lineRule="auto"/>
        <w:ind w:firstLine="480" w:firstLineChars="200"/>
        <w:rPr>
          <w:sz w:val="24"/>
          <w:szCs w:val="24"/>
          <w:lang w:val="en-US" w:eastAsia="zh-CN"/>
        </w:rPr>
      </w:pPr>
      <w:r>
        <w:rPr>
          <w:sz w:val="24"/>
          <w:lang w:val="en-US" w:eastAsia="zh-CN"/>
        </w:rPr>
        <w:t>职工产生的垃圾</w:t>
      </w:r>
      <w:r>
        <w:rPr>
          <w:rFonts w:hint="eastAsia"/>
          <w:sz w:val="24"/>
          <w:lang w:val="en-US" w:eastAsia="zh-CN"/>
        </w:rPr>
        <w:t>，</w:t>
      </w:r>
      <w:r>
        <w:rPr>
          <w:sz w:val="24"/>
          <w:lang w:val="en-US" w:eastAsia="zh-CN"/>
        </w:rPr>
        <w:t>实行袋装化，日产日清，派专人送到滕州市洪绪镇垃圾中转站然后由环卫部门统一集中清运并作无害化处理</w:t>
      </w:r>
      <w:r>
        <w:rPr>
          <w:rFonts w:hint="eastAsia"/>
          <w:sz w:val="24"/>
          <w:lang w:val="en-US" w:eastAsia="zh-CN"/>
        </w:rPr>
        <w:t>；</w:t>
      </w:r>
      <w:r>
        <w:rPr>
          <w:sz w:val="24"/>
          <w:lang w:val="en-US" w:eastAsia="zh-CN"/>
        </w:rPr>
        <w:t>非金属杂质</w:t>
      </w:r>
      <w:r>
        <w:rPr>
          <w:rFonts w:hint="eastAsia"/>
          <w:sz w:val="24"/>
          <w:lang w:val="en-US" w:eastAsia="zh-CN"/>
        </w:rPr>
        <w:t>，</w:t>
      </w:r>
      <w:r>
        <w:rPr>
          <w:sz w:val="24"/>
          <w:lang w:val="en-US" w:eastAsia="zh-CN"/>
        </w:rPr>
        <w:t>收集后由当地环卫部门清运处理</w:t>
      </w:r>
      <w:r>
        <w:rPr>
          <w:rFonts w:hint="eastAsia"/>
          <w:sz w:val="24"/>
          <w:lang w:val="en-US" w:eastAsia="zh-CN"/>
        </w:rPr>
        <w:t>；</w:t>
      </w:r>
      <w:r>
        <w:rPr>
          <w:sz w:val="24"/>
          <w:lang w:val="en-US" w:eastAsia="zh-CN"/>
        </w:rPr>
        <w:t>除尘器收集的金属颗粒物</w:t>
      </w:r>
      <w:r>
        <w:rPr>
          <w:rFonts w:hint="eastAsia"/>
          <w:sz w:val="24"/>
          <w:lang w:val="en-US" w:eastAsia="zh-CN"/>
        </w:rPr>
        <w:t>，回收利用做原材料</w:t>
      </w:r>
      <w:r>
        <w:rPr>
          <w:sz w:val="24"/>
          <w:lang w:val="en-US" w:eastAsia="zh-CN"/>
        </w:rPr>
        <w:t>。废手套、废抹布</w:t>
      </w:r>
      <w:r>
        <w:rPr>
          <w:rFonts w:hint="eastAsia"/>
          <w:sz w:val="24"/>
          <w:lang w:val="en-US" w:eastAsia="zh-CN"/>
        </w:rPr>
        <w:t>，</w:t>
      </w:r>
      <w:r>
        <w:rPr>
          <w:sz w:val="24"/>
          <w:lang w:val="en-US" w:eastAsia="zh-CN"/>
        </w:rPr>
        <w:t>属于《国家危险废物名录（2016）》“危险废物豁免管理清单”中的“废弃的含油抹布、劳保用品(900-041-49)”，全过程不按危险废物管理，混入生活垃圾，收集后由当地环卫部门清运处理。废机油、废润滑油、废机油桶、废润滑油桶</w:t>
      </w:r>
      <w:r>
        <w:rPr>
          <w:rFonts w:hint="eastAsia"/>
          <w:sz w:val="24"/>
          <w:lang w:val="en-US" w:eastAsia="zh-CN"/>
        </w:rPr>
        <w:t>等</w:t>
      </w:r>
      <w:r>
        <w:rPr>
          <w:sz w:val="24"/>
          <w:lang w:val="en-US" w:eastAsia="zh-CN"/>
        </w:rPr>
        <w:t>危险废物暂存于危险废物暂存间后委托</w:t>
      </w:r>
      <w:r>
        <w:rPr>
          <w:rFonts w:hint="eastAsia"/>
          <w:sz w:val="24"/>
          <w:highlight w:val="none"/>
          <w:lang w:val="en-US" w:eastAsia="zh-CN"/>
        </w:rPr>
        <w:t>滕州市厚承废旧物质回收有限公司</w:t>
      </w:r>
      <w:r>
        <w:rPr>
          <w:sz w:val="24"/>
          <w:szCs w:val="24"/>
          <w:lang w:val="en-US" w:eastAsia="zh-CN"/>
        </w:rPr>
        <w:t>处理。</w:t>
      </w:r>
    </w:p>
    <w:p>
      <w:pPr>
        <w:pStyle w:val="2"/>
      </w:pPr>
      <w:r>
        <w:drawing>
          <wp:inline distT="0" distB="0" distL="114300" distR="114300">
            <wp:extent cx="2924810" cy="1940560"/>
            <wp:effectExtent l="0" t="0" r="1270" b="10160"/>
            <wp:docPr id="54"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7"/>
                    <pic:cNvPicPr>
                      <a:picLocks noChangeAspect="1"/>
                    </pic:cNvPicPr>
                  </pic:nvPicPr>
                  <pic:blipFill>
                    <a:blip r:embed="rId26"/>
                    <a:stretch>
                      <a:fillRect/>
                    </a:stretch>
                  </pic:blipFill>
                  <pic:spPr>
                    <a:xfrm>
                      <a:off x="0" y="0"/>
                      <a:ext cx="2924810" cy="1940560"/>
                    </a:xfrm>
                    <a:prstGeom prst="rect">
                      <a:avLst/>
                    </a:prstGeom>
                    <a:noFill/>
                    <a:ln>
                      <a:noFill/>
                    </a:ln>
                  </pic:spPr>
                </pic:pic>
              </a:graphicData>
            </a:graphic>
          </wp:inline>
        </w:drawing>
      </w:r>
      <w:r>
        <w:drawing>
          <wp:inline distT="0" distB="0" distL="114300" distR="114300">
            <wp:extent cx="1767840" cy="1945640"/>
            <wp:effectExtent l="0" t="0" r="0" b="5080"/>
            <wp:docPr id="55"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8"/>
                    <pic:cNvPicPr>
                      <a:picLocks noChangeAspect="1"/>
                    </pic:cNvPicPr>
                  </pic:nvPicPr>
                  <pic:blipFill>
                    <a:blip r:embed="rId27"/>
                    <a:stretch>
                      <a:fillRect/>
                    </a:stretch>
                  </pic:blipFill>
                  <pic:spPr>
                    <a:xfrm>
                      <a:off x="0" y="0"/>
                      <a:ext cx="1767840" cy="1945640"/>
                    </a:xfrm>
                    <a:prstGeom prst="rect">
                      <a:avLst/>
                    </a:prstGeom>
                    <a:noFill/>
                    <a:ln>
                      <a:noFill/>
                    </a:ln>
                  </pic:spPr>
                </pic:pic>
              </a:graphicData>
            </a:graphic>
          </wp:inline>
        </w:drawing>
      </w:r>
    </w:p>
    <w:p>
      <w:pPr>
        <w:jc w:val="center"/>
        <w:rPr>
          <w:rFonts w:hint="default" w:eastAsia="宋体"/>
          <w:lang w:val="en-US" w:eastAsia="zh-CN"/>
        </w:rPr>
      </w:pPr>
      <w:r>
        <w:rPr>
          <w:rFonts w:hint="eastAsia"/>
          <w:sz w:val="28"/>
          <w:szCs w:val="28"/>
          <w:lang w:val="en-US" w:eastAsia="zh-CN"/>
        </w:rPr>
        <w:t>危险废物暂存间</w:t>
      </w:r>
    </w:p>
    <w:p>
      <w:pPr>
        <w:adjustRightInd w:val="0"/>
        <w:snapToGrid w:val="0"/>
        <w:spacing w:line="360" w:lineRule="auto"/>
        <w:ind w:firstLine="480" w:firstLineChars="200"/>
        <w:rPr>
          <w:rFonts w:hint="eastAsia"/>
          <w:sz w:val="24"/>
          <w:szCs w:val="24"/>
          <w:lang w:val="en-US" w:eastAsia="zh-CN"/>
        </w:rPr>
      </w:pPr>
      <w:r>
        <w:rPr>
          <w:rFonts w:hint="eastAsia"/>
          <w:sz w:val="24"/>
          <w:szCs w:val="24"/>
          <w:lang w:val="en-US" w:eastAsia="zh-CN"/>
        </w:rPr>
        <w:t>5、卫生防护距离</w:t>
      </w:r>
    </w:p>
    <w:p>
      <w:pPr>
        <w:adjustRightInd w:val="0"/>
        <w:snapToGrid w:val="0"/>
        <w:spacing w:line="360" w:lineRule="auto"/>
        <w:ind w:firstLine="480" w:firstLineChars="200"/>
        <w:rPr>
          <w:rFonts w:hint="default"/>
          <w:sz w:val="24"/>
          <w:szCs w:val="24"/>
          <w:lang w:val="en-US" w:eastAsia="zh-CN"/>
        </w:rPr>
      </w:pPr>
      <w:r>
        <w:rPr>
          <w:sz w:val="24"/>
          <w:szCs w:val="24"/>
          <w:lang w:val="en-US" w:eastAsia="zh-CN"/>
        </w:rPr>
        <w:t>项目无组织排放卫生防护距离是生产车间边界外延 50m 范围，在该范围内不得设置居民区、学校、医院、养老院等环境敏感点。项目生产车间距离最近的敏感点唐庄村 50.76m，符合卫生防护距离要求。</w:t>
      </w:r>
    </w:p>
    <w:p>
      <w:pPr>
        <w:adjustRightInd w:val="0"/>
        <w:snapToGrid w:val="0"/>
        <w:spacing w:line="360" w:lineRule="auto"/>
        <w:rPr>
          <w:b w:val="0"/>
          <w:bCs w:val="0"/>
          <w:kern w:val="2"/>
          <w:sz w:val="30"/>
          <w:szCs w:val="30"/>
        </w:rPr>
      </w:pPr>
      <w:r>
        <w:rPr>
          <w:rFonts w:hint="eastAsia" w:ascii="Times New Roman" w:hAnsi="Times New Roman" w:eastAsia="宋体" w:cs="Times New Roman"/>
          <w:b/>
          <w:bCs/>
          <w:kern w:val="44"/>
          <w:sz w:val="30"/>
          <w:szCs w:val="30"/>
          <w:lang w:val="en-US" w:eastAsia="zh-CN" w:bidi="ar-SA"/>
        </w:rPr>
        <w:t>五、建设项目环境影响报告表主要结论及审批部门审批决定</w:t>
      </w:r>
      <w:r>
        <w:rPr>
          <w:rFonts w:hint="eastAsia"/>
          <w:b w:val="0"/>
          <w:bCs w:val="0"/>
          <w:kern w:val="2"/>
          <w:sz w:val="30"/>
          <w:szCs w:val="30"/>
        </w:rPr>
        <w:t>：</w:t>
      </w:r>
    </w:p>
    <w:p>
      <w:pPr>
        <w:numPr>
          <w:ilvl w:val="0"/>
          <w:numId w:val="6"/>
        </w:numPr>
        <w:spacing w:line="360" w:lineRule="auto"/>
        <w:ind w:firstLine="482" w:firstLineChars="200"/>
        <w:rPr>
          <w:rFonts w:eastAsiaTheme="minorEastAsia"/>
          <w:b/>
          <w:color w:val="000000"/>
          <w:sz w:val="24"/>
        </w:rPr>
      </w:pPr>
      <w:r>
        <w:rPr>
          <w:rFonts w:hint="eastAsia" w:eastAsiaTheme="minorEastAsia"/>
          <w:b/>
          <w:color w:val="000000"/>
          <w:sz w:val="24"/>
        </w:rPr>
        <w:t>环境影响报告表主要结论</w:t>
      </w:r>
    </w:p>
    <w:p>
      <w:pPr>
        <w:adjustRightInd w:val="0"/>
        <w:snapToGrid w:val="0"/>
        <w:spacing w:line="360" w:lineRule="auto"/>
        <w:ind w:firstLine="480" w:firstLineChars="200"/>
        <w:rPr>
          <w:rFonts w:hint="eastAsia" w:eastAsia="宋体"/>
          <w:b/>
          <w:color w:val="FF0000"/>
          <w:sz w:val="24"/>
          <w:lang w:eastAsia="zh-CN"/>
        </w:rPr>
      </w:pPr>
      <w:r>
        <w:rPr>
          <w:rFonts w:hint="eastAsia"/>
          <w:color w:val="000000"/>
          <w:sz w:val="24"/>
        </w:rPr>
        <w:t>项目环境影响报告表主要结论及建议见</w:t>
      </w:r>
      <w:r>
        <w:rPr>
          <w:rFonts w:hint="eastAsia"/>
          <w:color w:val="000000"/>
          <w:sz w:val="24"/>
          <w:highlight w:val="none"/>
        </w:rPr>
        <w:t>附件一</w:t>
      </w:r>
      <w:r>
        <w:rPr>
          <w:rFonts w:hint="eastAsia"/>
          <w:color w:val="000000"/>
          <w:sz w:val="24"/>
          <w:highlight w:val="none"/>
          <w:lang w:eastAsia="zh-CN"/>
        </w:rPr>
        <w:t>。</w:t>
      </w:r>
    </w:p>
    <w:p>
      <w:pPr>
        <w:spacing w:line="360" w:lineRule="auto"/>
        <w:ind w:firstLine="482" w:firstLineChars="200"/>
        <w:rPr>
          <w:rFonts w:eastAsiaTheme="minorEastAsia"/>
          <w:b/>
          <w:color w:val="000000"/>
          <w:sz w:val="24"/>
        </w:rPr>
      </w:pPr>
      <w:r>
        <w:rPr>
          <w:rFonts w:hint="eastAsia" w:eastAsiaTheme="minorEastAsia"/>
          <w:b/>
          <w:color w:val="000000"/>
          <w:sz w:val="24"/>
        </w:rPr>
        <w:t>2</w:t>
      </w:r>
      <w:r>
        <w:rPr>
          <w:rFonts w:eastAsiaTheme="minorEastAsia"/>
          <w:b/>
          <w:color w:val="000000"/>
          <w:sz w:val="24"/>
        </w:rPr>
        <w:t>、</w:t>
      </w:r>
      <w:r>
        <w:rPr>
          <w:rFonts w:hint="eastAsia" w:eastAsiaTheme="minorEastAsia"/>
          <w:b/>
          <w:color w:val="000000"/>
          <w:sz w:val="24"/>
        </w:rPr>
        <w:t>环境影响报告表审批部门审批决定</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pPr>
      <w:r>
        <w:rPr>
          <w:rFonts w:hint="eastAsia"/>
          <w:color w:val="000000"/>
          <w:sz w:val="24"/>
        </w:rPr>
        <w:t>审批部门对项目环境影响报告表的审批决定见</w:t>
      </w:r>
      <w:r>
        <w:rPr>
          <w:rFonts w:hint="eastAsia"/>
          <w:color w:val="000000"/>
          <w:sz w:val="24"/>
          <w:highlight w:val="none"/>
        </w:rPr>
        <w:t>附件二。</w:t>
      </w:r>
    </w:p>
    <w:p>
      <w:pPr>
        <w:keepNext w:val="0"/>
        <w:keepLines w:val="0"/>
        <w:pageBreakBefore w:val="0"/>
        <w:widowControl w:val="0"/>
        <w:kinsoku/>
        <w:wordWrap/>
        <w:overflowPunct/>
        <w:topLinePunct w:val="0"/>
        <w:autoSpaceDE/>
        <w:autoSpaceDN/>
        <w:bidi w:val="0"/>
        <w:spacing w:line="360" w:lineRule="auto"/>
        <w:textAlignment w:val="auto"/>
      </w:pPr>
      <w:r>
        <w:rPr>
          <w:rFonts w:hint="eastAsia"/>
          <w:b/>
          <w:bCs/>
          <w:sz w:val="30"/>
          <w:szCs w:val="30"/>
          <w:lang w:val="en-US" w:eastAsia="zh-CN"/>
        </w:rPr>
        <w:t>六、验收监测质量保证及质量控制</w:t>
      </w:r>
    </w:p>
    <w:p>
      <w:pPr>
        <w:pStyle w:val="116"/>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rPr>
          <w:rFonts w:ascii="Times New Roman" w:hAnsi="Times New Roman" w:cs="Times New Roman"/>
          <w:b/>
          <w:color w:val="000000"/>
          <w:sz w:val="24"/>
          <w:szCs w:val="24"/>
        </w:rPr>
      </w:pPr>
      <w:r>
        <w:rPr>
          <w:rFonts w:hint="eastAsia" w:ascii="Times New Roman" w:hAnsi="Times New Roman" w:cs="Times New Roman"/>
          <w:b/>
          <w:color w:val="000000"/>
          <w:sz w:val="24"/>
          <w:szCs w:val="24"/>
        </w:rPr>
        <w:t>1、检测</w:t>
      </w:r>
      <w:r>
        <w:rPr>
          <w:rFonts w:ascii="Times New Roman" w:hAnsi="Times New Roman" w:cs="Times New Roman"/>
          <w:b/>
          <w:color w:val="000000"/>
          <w:sz w:val="24"/>
          <w:szCs w:val="24"/>
        </w:rPr>
        <w:t>分析方法</w:t>
      </w:r>
    </w:p>
    <w:p>
      <w:pPr>
        <w:pStyle w:val="116"/>
        <w:adjustRightInd w:val="0"/>
        <w:snapToGrid w:val="0"/>
        <w:spacing w:line="360" w:lineRule="auto"/>
        <w:ind w:firstLine="480"/>
        <w:rPr>
          <w:rFonts w:ascii="Times New Roman" w:hAnsi="Times New Roman" w:cs="Times New Roman"/>
          <w:color w:val="000000"/>
          <w:sz w:val="24"/>
          <w:szCs w:val="24"/>
        </w:rPr>
      </w:pPr>
      <w:r>
        <w:rPr>
          <w:rFonts w:hint="eastAsia" w:ascii="Times New Roman" w:hAnsi="Times New Roman" w:cs="Times New Roman"/>
          <w:color w:val="000000"/>
          <w:sz w:val="24"/>
          <w:szCs w:val="24"/>
        </w:rPr>
        <w:t>检测分析方法优先采用国标分析方法；检测仪器经计量部门检定、校准合格并在有效期内。</w:t>
      </w:r>
    </w:p>
    <w:p>
      <w:pPr>
        <w:pStyle w:val="116"/>
        <w:adjustRightInd w:val="0"/>
        <w:snapToGrid w:val="0"/>
        <w:spacing w:line="360" w:lineRule="auto"/>
        <w:ind w:firstLine="480"/>
        <w:rPr>
          <w:rFonts w:ascii="Times New Roman" w:hAnsi="Times New Roman" w:cs="Times New Roman"/>
          <w:color w:val="000000"/>
          <w:sz w:val="24"/>
          <w:szCs w:val="24"/>
        </w:rPr>
      </w:pPr>
      <w:r>
        <w:rPr>
          <w:rFonts w:hint="eastAsia" w:ascii="Times New Roman" w:hAnsi="Times New Roman" w:cs="Times New Roman"/>
          <w:color w:val="000000"/>
          <w:sz w:val="24"/>
          <w:szCs w:val="24"/>
        </w:rPr>
        <w:t>项目检测分析方法见表6-1。</w:t>
      </w:r>
    </w:p>
    <w:p>
      <w:pPr>
        <w:pStyle w:val="17"/>
        <w:spacing w:line="240" w:lineRule="auto"/>
        <w:rPr>
          <w:sz w:val="21"/>
          <w:szCs w:val="21"/>
        </w:rPr>
      </w:pPr>
      <w:r>
        <w:rPr>
          <w:rFonts w:hint="eastAsia"/>
          <w:sz w:val="21"/>
          <w:szCs w:val="21"/>
        </w:rPr>
        <w:t>表6-1  检测分析方法</w:t>
      </w:r>
    </w:p>
    <w:tbl>
      <w:tblPr>
        <w:tblStyle w:val="39"/>
        <w:tblW w:w="8306" w:type="dxa"/>
        <w:jc w:val="center"/>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306"/>
        <w:gridCol w:w="1850"/>
        <w:gridCol w:w="1940"/>
        <w:gridCol w:w="1914"/>
        <w:gridCol w:w="1296"/>
      </w:tblGrid>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1306" w:type="dxa"/>
            <w:tcBorders>
              <w:tl2br w:val="nil"/>
              <w:tr2bl w:val="nil"/>
            </w:tcBorders>
            <w:vAlign w:val="center"/>
          </w:tcPr>
          <w:p>
            <w:pPr>
              <w:pStyle w:val="106"/>
              <w:adjustRightInd w:val="0"/>
              <w:rPr>
                <w:rFonts w:eastAsiaTheme="minorEastAsia"/>
                <w:b/>
              </w:rPr>
            </w:pPr>
            <w:r>
              <w:rPr>
                <w:rFonts w:hint="eastAsia" w:eastAsiaTheme="minorEastAsia"/>
                <w:b/>
              </w:rPr>
              <w:t>类别</w:t>
            </w:r>
          </w:p>
        </w:tc>
        <w:tc>
          <w:tcPr>
            <w:tcW w:w="1850" w:type="dxa"/>
            <w:tcBorders>
              <w:tl2br w:val="nil"/>
              <w:tr2bl w:val="nil"/>
            </w:tcBorders>
            <w:vAlign w:val="center"/>
          </w:tcPr>
          <w:p>
            <w:pPr>
              <w:pStyle w:val="106"/>
              <w:adjustRightInd w:val="0"/>
              <w:rPr>
                <w:rFonts w:eastAsiaTheme="minorEastAsia"/>
                <w:b/>
              </w:rPr>
            </w:pPr>
            <w:r>
              <w:rPr>
                <w:rFonts w:hint="eastAsia" w:eastAsiaTheme="minorEastAsia"/>
                <w:b/>
              </w:rPr>
              <w:t>检测</w:t>
            </w:r>
            <w:r>
              <w:rPr>
                <w:rFonts w:eastAsiaTheme="minorEastAsia"/>
                <w:b/>
              </w:rPr>
              <w:t>项目</w:t>
            </w:r>
          </w:p>
        </w:tc>
        <w:tc>
          <w:tcPr>
            <w:tcW w:w="1940" w:type="dxa"/>
            <w:tcBorders>
              <w:tl2br w:val="nil"/>
              <w:tr2bl w:val="nil"/>
            </w:tcBorders>
            <w:vAlign w:val="center"/>
          </w:tcPr>
          <w:p>
            <w:pPr>
              <w:pStyle w:val="106"/>
              <w:adjustRightInd w:val="0"/>
              <w:rPr>
                <w:rFonts w:eastAsiaTheme="minorEastAsia"/>
                <w:b/>
              </w:rPr>
            </w:pPr>
            <w:r>
              <w:rPr>
                <w:rFonts w:eastAsiaTheme="minorEastAsia"/>
                <w:b/>
              </w:rPr>
              <w:t>分析方法</w:t>
            </w:r>
          </w:p>
        </w:tc>
        <w:tc>
          <w:tcPr>
            <w:tcW w:w="1914" w:type="dxa"/>
            <w:tcBorders>
              <w:tl2br w:val="nil"/>
              <w:tr2bl w:val="nil"/>
            </w:tcBorders>
            <w:vAlign w:val="center"/>
          </w:tcPr>
          <w:p>
            <w:pPr>
              <w:pStyle w:val="106"/>
              <w:adjustRightInd w:val="0"/>
              <w:rPr>
                <w:rFonts w:eastAsiaTheme="minorEastAsia"/>
                <w:b/>
              </w:rPr>
            </w:pPr>
            <w:r>
              <w:rPr>
                <w:rFonts w:eastAsiaTheme="minorEastAsia"/>
                <w:b/>
              </w:rPr>
              <w:t>方法</w:t>
            </w:r>
            <w:r>
              <w:rPr>
                <w:rFonts w:hint="eastAsia" w:eastAsiaTheme="minorEastAsia"/>
                <w:b/>
              </w:rPr>
              <w:t>依据</w:t>
            </w:r>
          </w:p>
        </w:tc>
        <w:tc>
          <w:tcPr>
            <w:tcW w:w="1296" w:type="dxa"/>
            <w:tcBorders>
              <w:tl2br w:val="nil"/>
              <w:tr2bl w:val="nil"/>
            </w:tcBorders>
            <w:vAlign w:val="center"/>
          </w:tcPr>
          <w:p>
            <w:pPr>
              <w:pStyle w:val="106"/>
              <w:adjustRightInd w:val="0"/>
              <w:jc w:val="center"/>
              <w:rPr>
                <w:rFonts w:eastAsiaTheme="minorEastAsia"/>
                <w:b/>
              </w:rPr>
            </w:pPr>
            <w:r>
              <w:rPr>
                <w:rFonts w:eastAsiaTheme="minorEastAsia"/>
                <w:b/>
              </w:rPr>
              <w:t>检出限</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06" w:type="dxa"/>
            <w:tcBorders>
              <w:tl2br w:val="nil"/>
              <w:tr2bl w:val="nil"/>
            </w:tcBorders>
            <w:vAlign w:val="center"/>
          </w:tcPr>
          <w:p>
            <w:pPr>
              <w:pStyle w:val="106"/>
              <w:adjustRightInd w:val="0"/>
              <w:rPr>
                <w:rFonts w:hint="default" w:eastAsiaTheme="minorEastAsia"/>
                <w:bCs/>
                <w:lang w:val="en-US" w:eastAsia="zh-CN"/>
              </w:rPr>
            </w:pPr>
            <w:r>
              <w:rPr>
                <w:rFonts w:hint="eastAsia" w:eastAsiaTheme="minorEastAsia"/>
                <w:bCs/>
                <w:lang w:val="en-US" w:eastAsia="zh-CN"/>
              </w:rPr>
              <w:t>有组织废气</w:t>
            </w:r>
          </w:p>
        </w:tc>
        <w:tc>
          <w:tcPr>
            <w:tcW w:w="1850" w:type="dxa"/>
            <w:tcBorders>
              <w:tl2br w:val="nil"/>
              <w:tr2bl w:val="nil"/>
            </w:tcBorders>
            <w:vAlign w:val="center"/>
          </w:tcPr>
          <w:p>
            <w:pPr>
              <w:pStyle w:val="106"/>
              <w:adjustRightInd w:val="0"/>
              <w:ind w:left="-63" w:leftChars="-30" w:right="-63" w:rightChars="-30"/>
              <w:rPr>
                <w:rFonts w:ascii="Times New Roman" w:hAnsi="Times New Roman" w:cs="Times New Roman" w:eastAsiaTheme="minorEastAsia"/>
                <w:bCs/>
                <w:kern w:val="2"/>
                <w:sz w:val="21"/>
                <w:szCs w:val="21"/>
                <w:lang w:val="en-US" w:eastAsia="zh-CN" w:bidi="ar-SA"/>
              </w:rPr>
            </w:pPr>
            <w:r>
              <w:rPr>
                <w:rFonts w:hint="eastAsia" w:eastAsiaTheme="minorEastAsia"/>
                <w:bCs/>
                <w:lang w:val="en-US" w:eastAsia="zh-CN"/>
              </w:rPr>
              <w:t>总悬浮</w:t>
            </w:r>
            <w:r>
              <w:rPr>
                <w:rFonts w:hint="eastAsia" w:eastAsiaTheme="minorEastAsia"/>
                <w:bCs/>
              </w:rPr>
              <w:t>颗粒物</w:t>
            </w:r>
          </w:p>
        </w:tc>
        <w:tc>
          <w:tcPr>
            <w:tcW w:w="1940" w:type="dxa"/>
            <w:tcBorders>
              <w:tl2br w:val="nil"/>
              <w:tr2bl w:val="nil"/>
            </w:tcBorders>
            <w:vAlign w:val="center"/>
          </w:tcPr>
          <w:p>
            <w:pPr>
              <w:widowControl/>
              <w:ind w:firstLine="105" w:firstLineChars="50"/>
              <w:jc w:val="center"/>
              <w:rPr>
                <w:rFonts w:hint="default" w:ascii="Times New Roman" w:hAnsi="Times New Roman" w:cs="Times New Roman" w:eastAsiaTheme="minorEastAsia"/>
                <w:kern w:val="2"/>
                <w:sz w:val="21"/>
                <w:szCs w:val="21"/>
                <w:lang w:val="en-US" w:eastAsia="zh-CN" w:bidi="ar-SA"/>
              </w:rPr>
            </w:pPr>
            <w:r>
              <w:rPr>
                <w:rFonts w:hint="eastAsia" w:cs="Times New Roman" w:eastAsiaTheme="minorEastAsia"/>
                <w:kern w:val="2"/>
                <w:sz w:val="21"/>
                <w:szCs w:val="21"/>
                <w:lang w:val="en-US" w:eastAsia="zh-CN" w:bidi="ar-SA"/>
              </w:rPr>
              <w:t>重量法</w:t>
            </w:r>
          </w:p>
        </w:tc>
        <w:tc>
          <w:tcPr>
            <w:tcW w:w="1914" w:type="dxa"/>
            <w:tcBorders>
              <w:tl2br w:val="nil"/>
              <w:tr2bl w:val="nil"/>
            </w:tcBorders>
            <w:vAlign w:val="center"/>
          </w:tcPr>
          <w:p>
            <w:pPr>
              <w:pStyle w:val="22"/>
              <w:adjustRightInd w:val="0"/>
              <w:snapToGrid w:val="0"/>
              <w:jc w:val="center"/>
              <w:rPr>
                <w:rFonts w:hint="eastAsia" w:ascii="Times New Roman" w:hAnsi="Times New Roman" w:cs="Times New Roman" w:eastAsiaTheme="minorEastAsia"/>
                <w:kern w:val="2"/>
                <w:sz w:val="21"/>
                <w:szCs w:val="21"/>
                <w:lang w:val="en-US" w:eastAsia="zh-CN" w:bidi="ar-SA"/>
              </w:rPr>
            </w:pPr>
            <w:r>
              <w:rPr>
                <w:rFonts w:hint="eastAsia" w:ascii="Times New Roman" w:hAnsi="Times New Roman"/>
                <w:szCs w:val="24"/>
              </w:rPr>
              <w:t>HJ 836-2017</w:t>
            </w:r>
          </w:p>
        </w:tc>
        <w:tc>
          <w:tcPr>
            <w:tcW w:w="1296" w:type="dxa"/>
            <w:tcBorders>
              <w:tl2br w:val="nil"/>
              <w:tr2bl w:val="nil"/>
            </w:tcBorders>
            <w:vAlign w:val="center"/>
          </w:tcPr>
          <w:p>
            <w:pPr>
              <w:adjustRightInd w:val="0"/>
              <w:snapToGrid w:val="0"/>
              <w:ind w:left="-63" w:leftChars="-30" w:right="-63" w:rightChars="-30"/>
              <w:jc w:val="center"/>
              <w:rPr>
                <w:rFonts w:ascii="Times New Roman" w:hAnsi="Times New Roman" w:cs="Times New Roman" w:eastAsiaTheme="minorEastAsia"/>
                <w:kern w:val="2"/>
                <w:sz w:val="21"/>
                <w:szCs w:val="21"/>
                <w:lang w:val="en-US" w:eastAsia="zh-CN" w:bidi="ar-SA"/>
              </w:rPr>
            </w:pPr>
            <w:r>
              <w:rPr>
                <w:rFonts w:hint="eastAsia" w:hAnsi="宋体"/>
                <w:szCs w:val="24"/>
              </w:rPr>
              <w:t>1.0 mg/m</w:t>
            </w:r>
            <w:r>
              <w:rPr>
                <w:rFonts w:hint="eastAsia" w:hAnsi="宋体"/>
                <w:szCs w:val="24"/>
                <w:vertAlign w:val="superscript"/>
              </w:rPr>
              <w:t>3</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06" w:type="dxa"/>
            <w:tcBorders>
              <w:tl2br w:val="nil"/>
              <w:tr2bl w:val="nil"/>
            </w:tcBorders>
            <w:vAlign w:val="center"/>
          </w:tcPr>
          <w:p>
            <w:pPr>
              <w:pStyle w:val="106"/>
              <w:adjustRightInd w:val="0"/>
              <w:rPr>
                <w:rFonts w:hint="eastAsia" w:ascii="Times New Roman" w:hAnsi="Times New Roman" w:cs="Times New Roman" w:eastAsiaTheme="minorEastAsia"/>
                <w:bCs/>
                <w:kern w:val="2"/>
                <w:sz w:val="21"/>
                <w:szCs w:val="21"/>
                <w:lang w:val="en-US" w:eastAsia="zh-CN" w:bidi="ar-SA"/>
              </w:rPr>
            </w:pPr>
            <w:r>
              <w:rPr>
                <w:rFonts w:hint="eastAsia" w:eastAsiaTheme="minorEastAsia"/>
                <w:bCs/>
              </w:rPr>
              <w:t>无组织废气</w:t>
            </w:r>
          </w:p>
        </w:tc>
        <w:tc>
          <w:tcPr>
            <w:tcW w:w="1850" w:type="dxa"/>
            <w:tcBorders>
              <w:tl2br w:val="nil"/>
              <w:tr2bl w:val="nil"/>
            </w:tcBorders>
            <w:vAlign w:val="center"/>
          </w:tcPr>
          <w:p>
            <w:pPr>
              <w:pStyle w:val="106"/>
              <w:adjustRightInd w:val="0"/>
              <w:ind w:left="-63" w:leftChars="-30" w:right="-63" w:rightChars="-30"/>
              <w:rPr>
                <w:rFonts w:hint="eastAsia" w:ascii="Times New Roman" w:hAnsi="Times New Roman" w:cs="Times New Roman" w:eastAsiaTheme="minorEastAsia"/>
                <w:bCs/>
                <w:kern w:val="2"/>
                <w:sz w:val="21"/>
                <w:szCs w:val="21"/>
                <w:lang w:val="en-US" w:eastAsia="zh-CN" w:bidi="ar-SA"/>
              </w:rPr>
            </w:pPr>
            <w:r>
              <w:rPr>
                <w:rFonts w:hint="eastAsia" w:eastAsiaTheme="minorEastAsia"/>
                <w:bCs/>
                <w:lang w:val="en-US" w:eastAsia="zh-CN"/>
              </w:rPr>
              <w:t>总悬浮</w:t>
            </w:r>
            <w:r>
              <w:rPr>
                <w:rFonts w:hint="eastAsia" w:eastAsiaTheme="minorEastAsia"/>
                <w:bCs/>
              </w:rPr>
              <w:t>颗粒物</w:t>
            </w:r>
          </w:p>
        </w:tc>
        <w:tc>
          <w:tcPr>
            <w:tcW w:w="1940" w:type="dxa"/>
            <w:tcBorders>
              <w:tl2br w:val="nil"/>
              <w:tr2bl w:val="nil"/>
            </w:tcBorders>
            <w:vAlign w:val="center"/>
          </w:tcPr>
          <w:p>
            <w:pPr>
              <w:widowControl/>
              <w:ind w:firstLine="105" w:firstLineChars="50"/>
              <w:jc w:val="center"/>
              <w:rPr>
                <w:rFonts w:hint="eastAsia" w:ascii="Times New Roman" w:hAnsi="Times New Roman" w:cs="Times New Roman" w:eastAsiaTheme="minorEastAsia"/>
                <w:kern w:val="2"/>
                <w:sz w:val="21"/>
                <w:szCs w:val="21"/>
                <w:lang w:val="en-US" w:eastAsia="zh-CN" w:bidi="ar-SA"/>
              </w:rPr>
            </w:pPr>
            <w:r>
              <w:rPr>
                <w:rFonts w:hint="eastAsia" w:eastAsiaTheme="minorEastAsia"/>
                <w:szCs w:val="21"/>
              </w:rPr>
              <w:t>重量法</w:t>
            </w:r>
          </w:p>
        </w:tc>
        <w:tc>
          <w:tcPr>
            <w:tcW w:w="1914" w:type="dxa"/>
            <w:tcBorders>
              <w:tl2br w:val="nil"/>
              <w:tr2bl w:val="nil"/>
            </w:tcBorders>
            <w:vAlign w:val="center"/>
          </w:tcPr>
          <w:p>
            <w:pPr>
              <w:pStyle w:val="22"/>
              <w:adjustRightInd w:val="0"/>
              <w:snapToGrid w:val="0"/>
              <w:jc w:val="center"/>
              <w:rPr>
                <w:rFonts w:hint="eastAsia" w:ascii="Times New Roman" w:hAnsi="Times New Roman" w:cs="Times New Roman" w:eastAsiaTheme="minorEastAsia"/>
                <w:kern w:val="2"/>
                <w:sz w:val="21"/>
                <w:szCs w:val="21"/>
                <w:lang w:val="en-US" w:eastAsia="zh-CN" w:bidi="ar-SA"/>
              </w:rPr>
            </w:pPr>
            <w:r>
              <w:rPr>
                <w:rFonts w:ascii="Times New Roman" w:hAnsi="Times New Roman"/>
                <w:szCs w:val="24"/>
              </w:rPr>
              <w:t>GB/T 15432-1995</w:t>
            </w:r>
          </w:p>
        </w:tc>
        <w:tc>
          <w:tcPr>
            <w:tcW w:w="1296" w:type="dxa"/>
            <w:tcBorders>
              <w:tl2br w:val="nil"/>
              <w:tr2bl w:val="nil"/>
            </w:tcBorders>
            <w:vAlign w:val="center"/>
          </w:tcPr>
          <w:p>
            <w:pPr>
              <w:adjustRightInd w:val="0"/>
              <w:snapToGrid w:val="0"/>
              <w:ind w:left="-63" w:leftChars="-30" w:right="-63" w:rightChars="-30"/>
              <w:jc w:val="center"/>
              <w:rPr>
                <w:rFonts w:hint="eastAsia" w:ascii="Times New Roman" w:hAnsi="Times New Roman" w:cs="Times New Roman" w:eastAsiaTheme="minorEastAsia"/>
                <w:kern w:val="2"/>
                <w:sz w:val="21"/>
                <w:szCs w:val="21"/>
                <w:lang w:val="en-US" w:eastAsia="zh-CN" w:bidi="ar-SA"/>
              </w:rPr>
            </w:pPr>
            <w:r>
              <w:rPr>
                <w:rFonts w:hint="eastAsia" w:eastAsiaTheme="minorEastAsia"/>
                <w:szCs w:val="21"/>
              </w:rPr>
              <w:t>0.001</w:t>
            </w:r>
            <w:r>
              <w:rPr>
                <w:rFonts w:eastAsiaTheme="minorEastAsia"/>
                <w:b w:val="0"/>
                <w:bCs/>
              </w:rPr>
              <w:t>mg/m</w:t>
            </w:r>
            <w:r>
              <w:rPr>
                <w:rFonts w:eastAsiaTheme="minorEastAsia"/>
                <w:b w:val="0"/>
                <w:bCs/>
                <w:vertAlign w:val="superscript"/>
              </w:rPr>
              <w:t>3</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06" w:type="dxa"/>
            <w:vMerge w:val="restart"/>
            <w:tcBorders>
              <w:tl2br w:val="nil"/>
              <w:tr2bl w:val="nil"/>
            </w:tcBorders>
            <w:vAlign w:val="center"/>
          </w:tcPr>
          <w:p>
            <w:pPr>
              <w:pStyle w:val="106"/>
              <w:adjustRightInd w:val="0"/>
              <w:rPr>
                <w:rFonts w:hint="eastAsia" w:eastAsiaTheme="minorEastAsia"/>
                <w:bCs/>
                <w:lang w:val="en-US" w:eastAsia="zh-CN"/>
              </w:rPr>
            </w:pPr>
            <w:r>
              <w:rPr>
                <w:rFonts w:hint="eastAsia" w:eastAsiaTheme="minorEastAsia"/>
                <w:bCs/>
                <w:lang w:val="en-US" w:eastAsia="zh-CN"/>
              </w:rPr>
              <w:t>废水</w:t>
            </w:r>
          </w:p>
        </w:tc>
        <w:tc>
          <w:tcPr>
            <w:tcW w:w="1850" w:type="dxa"/>
            <w:tcBorders>
              <w:tl2br w:val="nil"/>
              <w:tr2bl w:val="nil"/>
            </w:tcBorders>
            <w:vAlign w:val="center"/>
          </w:tcPr>
          <w:p>
            <w:pPr>
              <w:pStyle w:val="106"/>
              <w:adjustRightInd w:val="0"/>
              <w:rPr>
                <w:rFonts w:hint="eastAsia" w:eastAsiaTheme="minorEastAsia"/>
                <w:bCs/>
                <w:lang w:val="zh-TW" w:eastAsia="zh-TW"/>
              </w:rPr>
            </w:pPr>
            <w:r>
              <w:rPr>
                <w:rFonts w:hint="eastAsia" w:eastAsiaTheme="minorEastAsia"/>
                <w:bCs/>
                <w:lang w:val="en-US" w:eastAsia="zh-CN"/>
              </w:rPr>
              <w:t>化学需氧量</w:t>
            </w:r>
          </w:p>
        </w:tc>
        <w:tc>
          <w:tcPr>
            <w:tcW w:w="1940" w:type="dxa"/>
            <w:tcBorders>
              <w:tl2br w:val="nil"/>
              <w:tr2bl w:val="nil"/>
            </w:tcBorders>
            <w:vAlign w:val="center"/>
          </w:tcPr>
          <w:p>
            <w:pPr>
              <w:widowControl/>
              <w:ind w:firstLine="105" w:firstLineChars="50"/>
              <w:jc w:val="center"/>
              <w:rPr>
                <w:rFonts w:hint="eastAsia" w:eastAsiaTheme="minorEastAsia"/>
                <w:szCs w:val="21"/>
                <w:lang w:val="zh-TW" w:eastAsia="zh-TW"/>
              </w:rPr>
            </w:pPr>
            <w:r>
              <w:rPr>
                <w:rFonts w:hint="eastAsia" w:eastAsiaTheme="minorEastAsia"/>
                <w:szCs w:val="21"/>
              </w:rPr>
              <w:t>重铭酸盐法</w:t>
            </w:r>
          </w:p>
        </w:tc>
        <w:tc>
          <w:tcPr>
            <w:tcW w:w="1914" w:type="dxa"/>
            <w:tcBorders>
              <w:tl2br w:val="nil"/>
              <w:tr2bl w:val="nil"/>
            </w:tcBorders>
            <w:vAlign w:val="center"/>
          </w:tcPr>
          <w:p>
            <w:pPr>
              <w:pStyle w:val="106"/>
              <w:adjustRightInd w:val="0"/>
              <w:rPr>
                <w:rFonts w:eastAsiaTheme="minorEastAsia"/>
              </w:rPr>
            </w:pPr>
            <w:r>
              <w:rPr>
                <w:rFonts w:hint="eastAsia" w:eastAsiaTheme="minorEastAsia"/>
                <w:lang w:val="en-US" w:eastAsia="zh-CN"/>
              </w:rPr>
              <w:t>HJ</w:t>
            </w:r>
            <w:r>
              <w:rPr>
                <w:rFonts w:eastAsiaTheme="minorEastAsia"/>
                <w:lang w:val="en-US" w:eastAsia="en-US"/>
              </w:rPr>
              <w:t xml:space="preserve"> </w:t>
            </w:r>
            <w:r>
              <w:rPr>
                <w:rFonts w:eastAsiaTheme="minorEastAsia"/>
              </w:rPr>
              <w:t>828</w:t>
            </w:r>
            <w:r>
              <w:rPr>
                <w:rFonts w:hint="eastAsia" w:eastAsiaTheme="minorEastAsia"/>
                <w:lang w:val="en-US" w:eastAsia="zh-CN"/>
              </w:rPr>
              <w:t>-</w:t>
            </w:r>
            <w:r>
              <w:rPr>
                <w:rFonts w:eastAsiaTheme="minorEastAsia"/>
              </w:rPr>
              <w:t>2017</w:t>
            </w:r>
          </w:p>
        </w:tc>
        <w:tc>
          <w:tcPr>
            <w:tcW w:w="1296" w:type="dxa"/>
            <w:tcBorders>
              <w:tl2br w:val="nil"/>
              <w:tr2bl w:val="nil"/>
            </w:tcBorders>
            <w:vAlign w:val="center"/>
          </w:tcPr>
          <w:p>
            <w:pPr>
              <w:adjustRightInd w:val="0"/>
              <w:snapToGrid w:val="0"/>
              <w:ind w:left="-63" w:leftChars="-30" w:right="-63" w:rightChars="-30"/>
              <w:jc w:val="center"/>
              <w:rPr>
                <w:rFonts w:hint="eastAsia" w:eastAsiaTheme="minorEastAsia"/>
                <w:szCs w:val="21"/>
              </w:rPr>
            </w:pPr>
            <w:r>
              <w:rPr>
                <w:color w:val="000000"/>
                <w:spacing w:val="0"/>
                <w:w w:val="100"/>
                <w:position w:val="0"/>
              </w:rPr>
              <w:t xml:space="preserve">4 </w:t>
            </w:r>
            <w:r>
              <w:rPr>
                <w:color w:val="000000"/>
                <w:spacing w:val="0"/>
                <w:w w:val="100"/>
                <w:position w:val="0"/>
                <w:lang w:val="en-US" w:eastAsia="en-US" w:bidi="en-US"/>
              </w:rPr>
              <w:t>mg/L</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06" w:type="dxa"/>
            <w:vMerge w:val="continue"/>
            <w:tcBorders>
              <w:tl2br w:val="nil"/>
              <w:tr2bl w:val="nil"/>
            </w:tcBorders>
            <w:vAlign w:val="center"/>
          </w:tcPr>
          <w:p>
            <w:pPr>
              <w:pStyle w:val="106"/>
              <w:adjustRightInd w:val="0"/>
              <w:rPr>
                <w:rFonts w:hint="eastAsia" w:eastAsiaTheme="minorEastAsia"/>
                <w:bCs/>
              </w:rPr>
            </w:pPr>
          </w:p>
        </w:tc>
        <w:tc>
          <w:tcPr>
            <w:tcW w:w="1850" w:type="dxa"/>
            <w:tcBorders>
              <w:tl2br w:val="nil"/>
              <w:tr2bl w:val="nil"/>
            </w:tcBorders>
            <w:vAlign w:val="center"/>
          </w:tcPr>
          <w:p>
            <w:pPr>
              <w:pStyle w:val="106"/>
              <w:adjustRightInd w:val="0"/>
              <w:rPr>
                <w:rFonts w:hint="eastAsia" w:eastAsiaTheme="minorEastAsia"/>
                <w:bCs/>
                <w:lang w:val="zh-TW" w:eastAsia="zh-CN"/>
              </w:rPr>
            </w:pPr>
            <w:r>
              <w:rPr>
                <w:rFonts w:hint="eastAsia" w:eastAsiaTheme="minorEastAsia"/>
                <w:bCs/>
                <w:lang w:val="en-US" w:eastAsia="zh-CN"/>
              </w:rPr>
              <w:t>氨氮</w:t>
            </w:r>
          </w:p>
        </w:tc>
        <w:tc>
          <w:tcPr>
            <w:tcW w:w="1940" w:type="dxa"/>
            <w:tcBorders>
              <w:tl2br w:val="nil"/>
              <w:tr2bl w:val="nil"/>
            </w:tcBorders>
            <w:vAlign w:val="center"/>
          </w:tcPr>
          <w:p>
            <w:pPr>
              <w:widowControl/>
              <w:ind w:firstLine="105" w:firstLineChars="50"/>
              <w:jc w:val="center"/>
              <w:rPr>
                <w:rFonts w:hint="eastAsia" w:eastAsiaTheme="minorEastAsia"/>
                <w:szCs w:val="21"/>
                <w:lang w:val="zh-TW" w:eastAsia="zh-TW"/>
              </w:rPr>
            </w:pPr>
            <w:r>
              <w:rPr>
                <w:rFonts w:hint="eastAsia" w:eastAsiaTheme="minorEastAsia"/>
                <w:szCs w:val="21"/>
              </w:rPr>
              <w:t>分光光度法</w:t>
            </w:r>
          </w:p>
        </w:tc>
        <w:tc>
          <w:tcPr>
            <w:tcW w:w="1914" w:type="dxa"/>
            <w:tcBorders>
              <w:tl2br w:val="nil"/>
              <w:tr2bl w:val="nil"/>
            </w:tcBorders>
            <w:vAlign w:val="center"/>
          </w:tcPr>
          <w:p>
            <w:pPr>
              <w:pStyle w:val="106"/>
              <w:adjustRightInd w:val="0"/>
              <w:rPr>
                <w:rFonts w:eastAsiaTheme="minorEastAsia"/>
                <w:lang w:val="zh-TW" w:eastAsia="zh-TW"/>
              </w:rPr>
            </w:pPr>
            <w:r>
              <w:rPr>
                <w:rFonts w:eastAsiaTheme="minorEastAsia"/>
                <w:lang w:val="en-US" w:eastAsia="en-US"/>
              </w:rPr>
              <w:t xml:space="preserve">HJ </w:t>
            </w:r>
            <w:r>
              <w:rPr>
                <w:rFonts w:eastAsiaTheme="minorEastAsia"/>
              </w:rPr>
              <w:t>535</w:t>
            </w:r>
            <w:r>
              <w:rPr>
                <w:rFonts w:hint="eastAsia" w:eastAsiaTheme="minorEastAsia"/>
                <w:lang w:val="en-US" w:eastAsia="zh-CN"/>
              </w:rPr>
              <w:t>-</w:t>
            </w:r>
            <w:r>
              <w:rPr>
                <w:rFonts w:eastAsiaTheme="minorEastAsia"/>
              </w:rPr>
              <w:t>2009</w:t>
            </w:r>
          </w:p>
        </w:tc>
        <w:tc>
          <w:tcPr>
            <w:tcW w:w="1296" w:type="dxa"/>
            <w:tcBorders>
              <w:tl2br w:val="nil"/>
              <w:tr2bl w:val="nil"/>
            </w:tcBorders>
            <w:vAlign w:val="center"/>
          </w:tcPr>
          <w:p>
            <w:pPr>
              <w:adjustRightInd w:val="0"/>
              <w:snapToGrid w:val="0"/>
              <w:ind w:left="-63" w:leftChars="-30" w:right="-63" w:rightChars="-30"/>
              <w:jc w:val="center"/>
              <w:rPr>
                <w:rFonts w:hint="eastAsia" w:eastAsiaTheme="minorEastAsia"/>
                <w:szCs w:val="21"/>
              </w:rPr>
            </w:pPr>
            <w:r>
              <w:rPr>
                <w:color w:val="000000"/>
                <w:spacing w:val="0"/>
                <w:w w:val="100"/>
                <w:position w:val="0"/>
                <w:lang w:val="en-US" w:eastAsia="en-US" w:bidi="en-US"/>
              </w:rPr>
              <w:t>0.025mg/L</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06" w:type="dxa"/>
            <w:vMerge w:val="continue"/>
            <w:tcBorders>
              <w:tl2br w:val="nil"/>
              <w:tr2bl w:val="nil"/>
            </w:tcBorders>
            <w:vAlign w:val="center"/>
          </w:tcPr>
          <w:p>
            <w:pPr>
              <w:pStyle w:val="106"/>
              <w:adjustRightInd w:val="0"/>
              <w:rPr>
                <w:rFonts w:hint="eastAsia" w:eastAsiaTheme="minorEastAsia"/>
                <w:bCs/>
              </w:rPr>
            </w:pPr>
          </w:p>
        </w:tc>
        <w:tc>
          <w:tcPr>
            <w:tcW w:w="1850" w:type="dxa"/>
            <w:tcBorders>
              <w:tl2br w:val="nil"/>
              <w:tr2bl w:val="nil"/>
            </w:tcBorders>
            <w:vAlign w:val="center"/>
          </w:tcPr>
          <w:p>
            <w:pPr>
              <w:pStyle w:val="106"/>
              <w:adjustRightInd w:val="0"/>
              <w:rPr>
                <w:rFonts w:hint="default" w:eastAsiaTheme="minorEastAsia"/>
                <w:bCs/>
                <w:lang w:val="en-US" w:eastAsia="zh-CN"/>
              </w:rPr>
            </w:pPr>
            <w:r>
              <w:rPr>
                <w:rFonts w:hint="eastAsia" w:eastAsiaTheme="minorEastAsia"/>
                <w:bCs/>
                <w:lang w:val="en-US" w:eastAsia="zh-CN"/>
              </w:rPr>
              <w:t>五日生化需氧量</w:t>
            </w:r>
          </w:p>
        </w:tc>
        <w:tc>
          <w:tcPr>
            <w:tcW w:w="1940" w:type="dxa"/>
            <w:tcBorders>
              <w:tl2br w:val="nil"/>
              <w:tr2bl w:val="nil"/>
            </w:tcBorders>
            <w:vAlign w:val="center"/>
          </w:tcPr>
          <w:p>
            <w:pPr>
              <w:widowControl/>
              <w:ind w:firstLine="105" w:firstLineChars="50"/>
              <w:jc w:val="center"/>
              <w:rPr>
                <w:rFonts w:hint="eastAsia" w:eastAsiaTheme="minorEastAsia"/>
                <w:szCs w:val="21"/>
              </w:rPr>
            </w:pPr>
            <w:r>
              <w:rPr>
                <w:rFonts w:hint="eastAsia"/>
              </w:rPr>
              <w:t>稀释与接种法</w:t>
            </w:r>
          </w:p>
        </w:tc>
        <w:tc>
          <w:tcPr>
            <w:tcW w:w="1914" w:type="dxa"/>
            <w:tcBorders>
              <w:tl2br w:val="nil"/>
              <w:tr2bl w:val="nil"/>
            </w:tcBorders>
            <w:vAlign w:val="center"/>
          </w:tcPr>
          <w:p>
            <w:pPr>
              <w:pStyle w:val="106"/>
              <w:adjustRightInd w:val="0"/>
              <w:rPr>
                <w:rFonts w:eastAsiaTheme="minorEastAsia"/>
                <w:lang w:val="en-US" w:eastAsia="en-US"/>
              </w:rPr>
            </w:pPr>
            <w:r>
              <w:rPr>
                <w:rFonts w:hint="eastAsia" w:hAnsi="宋体" w:cs="宋体"/>
                <w:bCs/>
              </w:rPr>
              <w:t>HJ 505-2009</w:t>
            </w:r>
          </w:p>
        </w:tc>
        <w:tc>
          <w:tcPr>
            <w:tcW w:w="1296" w:type="dxa"/>
            <w:tcBorders>
              <w:tl2br w:val="nil"/>
              <w:tr2bl w:val="nil"/>
            </w:tcBorders>
            <w:vAlign w:val="center"/>
          </w:tcPr>
          <w:p>
            <w:pPr>
              <w:adjustRightInd w:val="0"/>
              <w:snapToGrid w:val="0"/>
              <w:ind w:left="-63" w:leftChars="-30" w:right="-63" w:rightChars="-30"/>
              <w:jc w:val="center"/>
              <w:rPr>
                <w:color w:val="000000"/>
                <w:spacing w:val="0"/>
                <w:w w:val="100"/>
                <w:position w:val="0"/>
                <w:lang w:val="en-US" w:eastAsia="en-US" w:bidi="en-US"/>
              </w:rPr>
            </w:pPr>
            <w:r>
              <w:rPr>
                <w:rFonts w:hint="eastAsia"/>
                <w:color w:val="000000"/>
                <w:spacing w:val="0"/>
                <w:w w:val="100"/>
                <w:position w:val="0"/>
                <w:lang w:val="en-US" w:eastAsia="en-US" w:bidi="en-US"/>
              </w:rPr>
              <w:t>0.5mg/L</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06" w:type="dxa"/>
            <w:vMerge w:val="continue"/>
            <w:tcBorders>
              <w:tl2br w:val="nil"/>
              <w:tr2bl w:val="nil"/>
            </w:tcBorders>
            <w:vAlign w:val="center"/>
          </w:tcPr>
          <w:p>
            <w:pPr>
              <w:pStyle w:val="106"/>
              <w:adjustRightInd w:val="0"/>
              <w:rPr>
                <w:rFonts w:hint="eastAsia" w:eastAsiaTheme="minorEastAsia"/>
                <w:bCs/>
              </w:rPr>
            </w:pPr>
          </w:p>
        </w:tc>
        <w:tc>
          <w:tcPr>
            <w:tcW w:w="1850" w:type="dxa"/>
            <w:tcBorders>
              <w:tl2br w:val="nil"/>
              <w:tr2bl w:val="nil"/>
            </w:tcBorders>
            <w:vAlign w:val="center"/>
          </w:tcPr>
          <w:p>
            <w:pPr>
              <w:pStyle w:val="106"/>
              <w:adjustRightInd w:val="0"/>
              <w:rPr>
                <w:rFonts w:hint="eastAsia" w:eastAsiaTheme="minorEastAsia"/>
                <w:bCs/>
                <w:lang w:val="zh-TW" w:eastAsia="zh-TW"/>
              </w:rPr>
            </w:pPr>
            <w:r>
              <w:rPr>
                <w:rFonts w:hint="eastAsia" w:eastAsiaTheme="minorEastAsia"/>
                <w:bCs/>
                <w:lang w:val="en-US" w:eastAsia="en-US"/>
              </w:rPr>
              <w:t>pH</w:t>
            </w:r>
          </w:p>
        </w:tc>
        <w:tc>
          <w:tcPr>
            <w:tcW w:w="1940" w:type="dxa"/>
            <w:tcBorders>
              <w:tl2br w:val="nil"/>
              <w:tr2bl w:val="nil"/>
            </w:tcBorders>
            <w:vAlign w:val="center"/>
          </w:tcPr>
          <w:p>
            <w:pPr>
              <w:widowControl/>
              <w:ind w:firstLine="105" w:firstLineChars="50"/>
              <w:jc w:val="center"/>
              <w:rPr>
                <w:rFonts w:hint="eastAsia" w:eastAsiaTheme="minorEastAsia"/>
                <w:szCs w:val="21"/>
                <w:lang w:val="zh-TW" w:eastAsia="zh-TW"/>
              </w:rPr>
            </w:pPr>
            <w:r>
              <w:rPr>
                <w:rFonts w:hint="eastAsia" w:eastAsiaTheme="minorEastAsia"/>
                <w:szCs w:val="21"/>
              </w:rPr>
              <w:t>玻璃电极法</w:t>
            </w:r>
          </w:p>
        </w:tc>
        <w:tc>
          <w:tcPr>
            <w:tcW w:w="1914" w:type="dxa"/>
            <w:tcBorders>
              <w:tl2br w:val="nil"/>
              <w:tr2bl w:val="nil"/>
            </w:tcBorders>
            <w:vAlign w:val="center"/>
          </w:tcPr>
          <w:p>
            <w:pPr>
              <w:pStyle w:val="106"/>
              <w:adjustRightInd w:val="0"/>
              <w:rPr>
                <w:rFonts w:eastAsiaTheme="minorEastAsia"/>
                <w:lang w:val="zh-TW" w:eastAsia="zh-TW"/>
              </w:rPr>
            </w:pPr>
            <w:r>
              <w:rPr>
                <w:rFonts w:eastAsiaTheme="minorEastAsia"/>
                <w:lang w:val="en-US" w:eastAsia="en-US"/>
              </w:rPr>
              <w:t>GB/T 6920-1986</w:t>
            </w:r>
          </w:p>
        </w:tc>
        <w:tc>
          <w:tcPr>
            <w:tcW w:w="1296" w:type="dxa"/>
            <w:tcBorders>
              <w:tl2br w:val="nil"/>
              <w:tr2bl w:val="nil"/>
            </w:tcBorders>
            <w:vAlign w:val="center"/>
          </w:tcPr>
          <w:p>
            <w:pPr>
              <w:adjustRightInd w:val="0"/>
              <w:snapToGrid w:val="0"/>
              <w:ind w:left="-63" w:leftChars="-30" w:right="-63" w:rightChars="-30"/>
              <w:jc w:val="center"/>
              <w:rPr>
                <w:rFonts w:hint="eastAsia" w:eastAsiaTheme="minorEastAsia"/>
                <w:szCs w:val="21"/>
                <w:lang w:val="en-US" w:eastAsia="zh-CN"/>
              </w:rPr>
            </w:pPr>
            <w:r>
              <w:rPr>
                <w:rFonts w:hint="eastAsia" w:eastAsiaTheme="minorEastAsia"/>
                <w:bCs/>
                <w:szCs w:val="21"/>
              </w:rPr>
              <w:t>—</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06" w:type="dxa"/>
            <w:vMerge w:val="continue"/>
            <w:tcBorders>
              <w:tl2br w:val="nil"/>
              <w:tr2bl w:val="nil"/>
            </w:tcBorders>
            <w:vAlign w:val="center"/>
          </w:tcPr>
          <w:p>
            <w:pPr>
              <w:pStyle w:val="106"/>
              <w:adjustRightInd w:val="0"/>
              <w:rPr>
                <w:rFonts w:hint="eastAsia" w:eastAsiaTheme="minorEastAsia"/>
                <w:bCs/>
              </w:rPr>
            </w:pPr>
          </w:p>
        </w:tc>
        <w:tc>
          <w:tcPr>
            <w:tcW w:w="1850" w:type="dxa"/>
            <w:tcBorders>
              <w:tl2br w:val="nil"/>
              <w:tr2bl w:val="nil"/>
            </w:tcBorders>
            <w:vAlign w:val="center"/>
          </w:tcPr>
          <w:p>
            <w:pPr>
              <w:pStyle w:val="106"/>
              <w:adjustRightInd w:val="0"/>
              <w:rPr>
                <w:rFonts w:hint="eastAsia" w:eastAsiaTheme="minorEastAsia"/>
                <w:bCs/>
                <w:lang w:val="zh-TW" w:eastAsia="zh-TW"/>
              </w:rPr>
            </w:pPr>
            <w:r>
              <w:rPr>
                <w:rFonts w:hint="eastAsia" w:eastAsiaTheme="minorEastAsia"/>
                <w:bCs/>
                <w:lang w:val="en-US" w:eastAsia="zh-CN"/>
              </w:rPr>
              <w:t>悬浮物</w:t>
            </w:r>
          </w:p>
        </w:tc>
        <w:tc>
          <w:tcPr>
            <w:tcW w:w="1940" w:type="dxa"/>
            <w:tcBorders>
              <w:tl2br w:val="nil"/>
              <w:tr2bl w:val="nil"/>
            </w:tcBorders>
            <w:vAlign w:val="center"/>
          </w:tcPr>
          <w:p>
            <w:pPr>
              <w:widowControl/>
              <w:ind w:firstLine="105" w:firstLineChars="50"/>
              <w:jc w:val="center"/>
              <w:rPr>
                <w:rFonts w:hint="eastAsia" w:eastAsiaTheme="minorEastAsia"/>
                <w:szCs w:val="21"/>
                <w:lang w:val="zh-TW" w:eastAsia="zh-TW"/>
              </w:rPr>
            </w:pPr>
            <w:r>
              <w:rPr>
                <w:rFonts w:hint="eastAsia" w:eastAsiaTheme="minorEastAsia"/>
                <w:szCs w:val="21"/>
              </w:rPr>
              <w:t>重量法</w:t>
            </w:r>
          </w:p>
        </w:tc>
        <w:tc>
          <w:tcPr>
            <w:tcW w:w="1914" w:type="dxa"/>
            <w:tcBorders>
              <w:tl2br w:val="nil"/>
              <w:tr2bl w:val="nil"/>
            </w:tcBorders>
            <w:vAlign w:val="center"/>
          </w:tcPr>
          <w:p>
            <w:pPr>
              <w:pStyle w:val="106"/>
              <w:adjustRightInd w:val="0"/>
              <w:rPr>
                <w:rFonts w:eastAsiaTheme="minorEastAsia"/>
                <w:lang w:val="zh-TW" w:eastAsia="zh-TW"/>
              </w:rPr>
            </w:pPr>
            <w:r>
              <w:rPr>
                <w:rFonts w:eastAsiaTheme="minorEastAsia"/>
                <w:lang w:val="en-US" w:eastAsia="en-US"/>
              </w:rPr>
              <w:t>GB/T 11901</w:t>
            </w:r>
            <w:r>
              <w:rPr>
                <w:rFonts w:hint="eastAsia" w:eastAsiaTheme="minorEastAsia"/>
                <w:lang w:val="en-US" w:eastAsia="zh-CN"/>
              </w:rPr>
              <w:t>-</w:t>
            </w:r>
            <w:r>
              <w:rPr>
                <w:rFonts w:eastAsiaTheme="minorEastAsia"/>
                <w:lang w:val="en-US" w:eastAsia="en-US"/>
              </w:rPr>
              <w:t>1989</w:t>
            </w:r>
          </w:p>
        </w:tc>
        <w:tc>
          <w:tcPr>
            <w:tcW w:w="1296" w:type="dxa"/>
            <w:tcBorders>
              <w:tl2br w:val="nil"/>
              <w:tr2bl w:val="nil"/>
            </w:tcBorders>
            <w:vAlign w:val="center"/>
          </w:tcPr>
          <w:p>
            <w:pPr>
              <w:adjustRightInd w:val="0"/>
              <w:snapToGrid w:val="0"/>
              <w:ind w:left="-63" w:leftChars="-30" w:right="-63" w:rightChars="-30"/>
              <w:jc w:val="center"/>
              <w:rPr>
                <w:rFonts w:hint="eastAsia" w:eastAsiaTheme="minorEastAsia"/>
                <w:szCs w:val="21"/>
              </w:rPr>
            </w:pPr>
            <w:r>
              <w:rPr>
                <w:rFonts w:hint="eastAsia" w:eastAsiaTheme="minorEastAsia"/>
                <w:bCs/>
                <w:szCs w:val="21"/>
              </w:rPr>
              <w:t>—</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06" w:type="dxa"/>
            <w:tcBorders>
              <w:tl2br w:val="nil"/>
              <w:tr2bl w:val="nil"/>
            </w:tcBorders>
            <w:vAlign w:val="center"/>
          </w:tcPr>
          <w:p>
            <w:pPr>
              <w:pStyle w:val="106"/>
              <w:adjustRightInd w:val="0"/>
              <w:rPr>
                <w:rFonts w:eastAsiaTheme="minorEastAsia"/>
                <w:bCs/>
              </w:rPr>
            </w:pPr>
            <w:r>
              <w:rPr>
                <w:rFonts w:hint="eastAsia" w:eastAsiaTheme="minorEastAsia"/>
                <w:bCs/>
              </w:rPr>
              <w:t>厂界噪声</w:t>
            </w:r>
          </w:p>
        </w:tc>
        <w:tc>
          <w:tcPr>
            <w:tcW w:w="1850" w:type="dxa"/>
            <w:tcBorders>
              <w:tl2br w:val="nil"/>
              <w:tr2bl w:val="nil"/>
            </w:tcBorders>
            <w:vAlign w:val="center"/>
          </w:tcPr>
          <w:p>
            <w:pPr>
              <w:pStyle w:val="106"/>
              <w:adjustRightInd w:val="0"/>
              <w:rPr>
                <w:rFonts w:eastAsiaTheme="minorEastAsia"/>
                <w:lang w:val="zh-CN"/>
              </w:rPr>
            </w:pPr>
            <w:r>
              <w:rPr>
                <w:rFonts w:eastAsiaTheme="minorEastAsia"/>
              </w:rPr>
              <w:t>L</w:t>
            </w:r>
            <w:r>
              <w:rPr>
                <w:rFonts w:eastAsiaTheme="minorEastAsia"/>
                <w:vertAlign w:val="subscript"/>
              </w:rPr>
              <w:t>eq</w:t>
            </w:r>
          </w:p>
        </w:tc>
        <w:tc>
          <w:tcPr>
            <w:tcW w:w="1940" w:type="dxa"/>
            <w:tcBorders>
              <w:tl2br w:val="nil"/>
              <w:tr2bl w:val="nil"/>
            </w:tcBorders>
            <w:vAlign w:val="center"/>
          </w:tcPr>
          <w:p>
            <w:pPr>
              <w:pStyle w:val="106"/>
              <w:adjustRightInd w:val="0"/>
              <w:jc w:val="center"/>
              <w:rPr>
                <w:rFonts w:hint="eastAsia" w:ascii="Times New Roman" w:hAnsi="Times New Roman" w:cs="Times New Roman" w:eastAsiaTheme="minorEastAsia"/>
                <w:kern w:val="2"/>
                <w:sz w:val="21"/>
                <w:szCs w:val="21"/>
                <w:lang w:val="en-US" w:eastAsia="zh-CN" w:bidi="ar-SA"/>
              </w:rPr>
            </w:pPr>
            <w:r>
              <w:rPr>
                <w:rFonts w:hint="eastAsia" w:ascii="Times New Roman" w:hAnsi="Times New Roman" w:cs="Times New Roman" w:eastAsiaTheme="minorEastAsia"/>
                <w:kern w:val="2"/>
                <w:sz w:val="21"/>
                <w:szCs w:val="21"/>
                <w:lang w:val="en-US" w:eastAsia="zh-CN" w:bidi="ar-SA"/>
              </w:rPr>
              <w:t>声级计法</w:t>
            </w:r>
          </w:p>
        </w:tc>
        <w:tc>
          <w:tcPr>
            <w:tcW w:w="1914" w:type="dxa"/>
            <w:tcBorders>
              <w:tl2br w:val="nil"/>
              <w:tr2bl w:val="nil"/>
            </w:tcBorders>
            <w:vAlign w:val="center"/>
          </w:tcPr>
          <w:p>
            <w:pPr>
              <w:pStyle w:val="106"/>
              <w:adjustRightInd w:val="0"/>
              <w:rPr>
                <w:rFonts w:eastAsiaTheme="minorEastAsia"/>
              </w:rPr>
            </w:pPr>
            <w:r>
              <w:rPr>
                <w:rFonts w:eastAsiaTheme="minorEastAsia"/>
              </w:rPr>
              <w:t>GB 12348-2008</w:t>
            </w:r>
          </w:p>
        </w:tc>
        <w:tc>
          <w:tcPr>
            <w:tcW w:w="1296" w:type="dxa"/>
            <w:tcBorders>
              <w:tl2br w:val="nil"/>
              <w:tr2bl w:val="nil"/>
            </w:tcBorders>
            <w:vAlign w:val="center"/>
          </w:tcPr>
          <w:p>
            <w:pPr>
              <w:adjustRightInd w:val="0"/>
              <w:snapToGrid w:val="0"/>
              <w:jc w:val="center"/>
              <w:rPr>
                <w:rFonts w:eastAsiaTheme="minorEastAsia"/>
                <w:bCs/>
                <w:szCs w:val="21"/>
              </w:rPr>
            </w:pPr>
            <w:r>
              <w:rPr>
                <w:rFonts w:hint="eastAsia" w:eastAsiaTheme="minorEastAsia"/>
                <w:bCs/>
                <w:szCs w:val="21"/>
              </w:rPr>
              <w:t>—</w:t>
            </w:r>
          </w:p>
        </w:tc>
      </w:tr>
    </w:tbl>
    <w:p/>
    <w:p>
      <w:pPr>
        <w:pStyle w:val="116"/>
        <w:spacing w:before="120" w:beforeLines="50" w:line="360" w:lineRule="auto"/>
        <w:ind w:firstLine="482"/>
        <w:rPr>
          <w:rFonts w:ascii="Times New Roman" w:hAnsi="Times New Roman" w:cs="Times New Roman"/>
          <w:b/>
          <w:color w:val="000000"/>
          <w:sz w:val="24"/>
          <w:szCs w:val="24"/>
        </w:rPr>
      </w:pPr>
      <w:r>
        <w:rPr>
          <w:rFonts w:hint="eastAsia" w:ascii="Times New Roman" w:hAnsi="Times New Roman" w:cs="Times New Roman"/>
          <w:b/>
          <w:color w:val="000000"/>
          <w:sz w:val="24"/>
          <w:szCs w:val="24"/>
        </w:rPr>
        <w:t>2、检测仪器</w:t>
      </w:r>
    </w:p>
    <w:p>
      <w:pPr>
        <w:pStyle w:val="116"/>
        <w:spacing w:line="360" w:lineRule="auto"/>
        <w:ind w:firstLine="480"/>
        <w:rPr>
          <w:rFonts w:ascii="Times New Roman" w:hAnsi="Times New Roman" w:cs="Times New Roman"/>
          <w:color w:val="000000"/>
          <w:sz w:val="24"/>
          <w:szCs w:val="24"/>
        </w:rPr>
      </w:pPr>
      <w:r>
        <w:rPr>
          <w:rFonts w:hint="eastAsia" w:ascii="Times New Roman" w:hAnsi="Times New Roman" w:cs="Times New Roman"/>
          <w:color w:val="000000"/>
          <w:sz w:val="24"/>
          <w:szCs w:val="24"/>
        </w:rPr>
        <w:t>项目检测</w:t>
      </w:r>
      <w:r>
        <w:rPr>
          <w:rFonts w:ascii="Times New Roman" w:hAnsi="Times New Roman" w:cs="Times New Roman"/>
          <w:color w:val="000000"/>
          <w:sz w:val="24"/>
          <w:szCs w:val="24"/>
        </w:rPr>
        <w:t>仪器见表</w:t>
      </w:r>
      <w:r>
        <w:rPr>
          <w:rFonts w:hint="eastAsia" w:ascii="Times New Roman" w:hAnsi="Times New Roman" w:cs="Times New Roman"/>
          <w:color w:val="000000"/>
          <w:sz w:val="24"/>
          <w:szCs w:val="24"/>
        </w:rPr>
        <w:t>6-2</w:t>
      </w:r>
      <w:r>
        <w:rPr>
          <w:rFonts w:ascii="Times New Roman" w:hAnsi="Times New Roman" w:cs="Times New Roman"/>
          <w:color w:val="000000"/>
          <w:sz w:val="24"/>
          <w:szCs w:val="24"/>
        </w:rPr>
        <w:t>。</w:t>
      </w:r>
    </w:p>
    <w:p>
      <w:pPr>
        <w:pStyle w:val="17"/>
        <w:spacing w:line="240" w:lineRule="auto"/>
        <w:rPr>
          <w:sz w:val="21"/>
          <w:szCs w:val="21"/>
        </w:rPr>
      </w:pPr>
      <w:r>
        <w:rPr>
          <w:sz w:val="21"/>
          <w:szCs w:val="21"/>
        </w:rPr>
        <w:t>表</w:t>
      </w:r>
      <w:r>
        <w:rPr>
          <w:rFonts w:hint="eastAsia"/>
          <w:sz w:val="21"/>
          <w:szCs w:val="21"/>
        </w:rPr>
        <w:t xml:space="preserve">6-2 </w:t>
      </w:r>
      <w:r>
        <w:rPr>
          <w:sz w:val="21"/>
          <w:szCs w:val="21"/>
        </w:rPr>
        <w:t xml:space="preserve"> </w:t>
      </w:r>
      <w:r>
        <w:rPr>
          <w:rFonts w:hint="eastAsia"/>
          <w:sz w:val="21"/>
          <w:szCs w:val="21"/>
        </w:rPr>
        <w:t>检测仪器</w:t>
      </w:r>
    </w:p>
    <w:tbl>
      <w:tblPr>
        <w:tblStyle w:val="39"/>
        <w:tblW w:w="8416" w:type="dxa"/>
        <w:jc w:val="center"/>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186"/>
        <w:gridCol w:w="2872"/>
        <w:gridCol w:w="4358"/>
      </w:tblGrid>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86" w:type="dxa"/>
            <w:vAlign w:val="center"/>
          </w:tcPr>
          <w:p>
            <w:pPr>
              <w:pStyle w:val="106"/>
              <w:adjustRightInd w:val="0"/>
              <w:rPr>
                <w:rFonts w:eastAsiaTheme="minorEastAsia"/>
                <w:b/>
              </w:rPr>
            </w:pPr>
            <w:r>
              <w:rPr>
                <w:rFonts w:hint="eastAsia" w:eastAsiaTheme="minorEastAsia"/>
                <w:b/>
              </w:rPr>
              <w:t>序号</w:t>
            </w:r>
          </w:p>
        </w:tc>
        <w:tc>
          <w:tcPr>
            <w:tcW w:w="2872" w:type="dxa"/>
            <w:vAlign w:val="center"/>
          </w:tcPr>
          <w:p>
            <w:pPr>
              <w:pStyle w:val="106"/>
              <w:adjustRightInd w:val="0"/>
            </w:pPr>
            <w:r>
              <w:rPr>
                <w:rFonts w:hint="eastAsia" w:eastAsiaTheme="minorEastAsia"/>
                <w:b/>
              </w:rPr>
              <w:t>检测</w:t>
            </w:r>
            <w:r>
              <w:rPr>
                <w:rFonts w:eastAsiaTheme="minorEastAsia"/>
                <w:b/>
              </w:rPr>
              <w:t>项目</w:t>
            </w:r>
          </w:p>
        </w:tc>
        <w:tc>
          <w:tcPr>
            <w:tcW w:w="4358" w:type="dxa"/>
            <w:vAlign w:val="center"/>
          </w:tcPr>
          <w:p>
            <w:pPr>
              <w:pStyle w:val="106"/>
              <w:adjustRightInd w:val="0"/>
              <w:rPr>
                <w:rFonts w:eastAsiaTheme="minorEastAsia"/>
                <w:b/>
              </w:rPr>
            </w:pPr>
            <w:r>
              <w:rPr>
                <w:rFonts w:hint="eastAsia" w:eastAsiaTheme="minorEastAsia"/>
                <w:b/>
              </w:rPr>
              <w:t>检测</w:t>
            </w:r>
            <w:r>
              <w:rPr>
                <w:rFonts w:eastAsiaTheme="minorEastAsia"/>
                <w:b/>
              </w:rPr>
              <w:t>设备、编号</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86" w:type="dxa"/>
            <w:shd w:val="clear" w:color="auto" w:fill="auto"/>
            <w:vAlign w:val="center"/>
          </w:tcPr>
          <w:p>
            <w:pPr>
              <w:pStyle w:val="106"/>
              <w:adjustRightInd w:val="0"/>
              <w:rPr>
                <w:rFonts w:eastAsiaTheme="minorEastAsia"/>
                <w:bCs/>
              </w:rPr>
            </w:pPr>
            <w:r>
              <w:rPr>
                <w:rFonts w:hint="eastAsia" w:eastAsiaTheme="minorEastAsia"/>
                <w:bCs/>
              </w:rPr>
              <w:t>1</w:t>
            </w:r>
          </w:p>
        </w:tc>
        <w:tc>
          <w:tcPr>
            <w:tcW w:w="2872" w:type="dxa"/>
            <w:shd w:val="clear" w:color="auto" w:fill="auto"/>
            <w:vAlign w:val="center"/>
          </w:tcPr>
          <w:p>
            <w:pPr>
              <w:pStyle w:val="106"/>
              <w:adjustRightInd w:val="0"/>
              <w:rPr>
                <w:rFonts w:hint="eastAsia" w:eastAsiaTheme="minorEastAsia"/>
                <w:bCs/>
                <w:lang w:val="en-US" w:eastAsia="zh-CN"/>
              </w:rPr>
            </w:pPr>
            <w:r>
              <w:rPr>
                <w:rFonts w:hint="eastAsia" w:eastAsiaTheme="minorEastAsia"/>
                <w:bCs/>
                <w:lang w:val="en-US" w:eastAsia="zh-CN"/>
              </w:rPr>
              <w:t>总悬浮颗粒物</w:t>
            </w:r>
          </w:p>
        </w:tc>
        <w:tc>
          <w:tcPr>
            <w:tcW w:w="4358" w:type="dxa"/>
            <w:tcBorders>
              <w:bottom w:val="single" w:color="auto" w:sz="4" w:space="0"/>
            </w:tcBorders>
            <w:shd w:val="clear" w:color="FFFF99" w:fill="auto"/>
            <w:vAlign w:val="center"/>
          </w:tcPr>
          <w:p>
            <w:pPr>
              <w:pStyle w:val="106"/>
              <w:adjustRightInd w:val="0"/>
              <w:rPr>
                <w:rFonts w:hint="eastAsia" w:eastAsiaTheme="minorEastAsia"/>
                <w:bCs/>
                <w:lang w:val="en-US" w:eastAsia="zh-CN"/>
              </w:rPr>
            </w:pPr>
            <w:r>
              <w:rPr>
                <w:rFonts w:hint="eastAsia" w:eastAsiaTheme="minorEastAsia"/>
                <w:bCs/>
                <w:lang w:val="en-US" w:eastAsia="zh-CN"/>
              </w:rPr>
              <w:t>电子分析天平(</w:t>
            </w:r>
            <w:r>
              <w:rPr>
                <w:rFonts w:hint="eastAsia" w:eastAsiaTheme="minorEastAsia"/>
                <w:bCs/>
                <w:lang w:val="en-US" w:eastAsia="en-US"/>
              </w:rPr>
              <w:t>SDHA-YQ-013</w:t>
            </w:r>
            <w:r>
              <w:rPr>
                <w:rFonts w:hint="eastAsia" w:eastAsiaTheme="minorEastAsia"/>
                <w:bCs/>
                <w:lang w:val="en-US" w:eastAsia="zh-CN"/>
              </w:rPr>
              <w:t>)</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86" w:type="dxa"/>
            <w:shd w:val="clear" w:color="auto" w:fill="auto"/>
            <w:vAlign w:val="center"/>
          </w:tcPr>
          <w:p>
            <w:pPr>
              <w:pStyle w:val="106"/>
              <w:adjustRightInd w:val="0"/>
              <w:rPr>
                <w:rFonts w:eastAsiaTheme="minorEastAsia"/>
                <w:bCs/>
              </w:rPr>
            </w:pPr>
            <w:r>
              <w:rPr>
                <w:rFonts w:hint="eastAsia" w:eastAsiaTheme="minorEastAsia"/>
                <w:bCs/>
              </w:rPr>
              <w:t>2</w:t>
            </w:r>
          </w:p>
        </w:tc>
        <w:tc>
          <w:tcPr>
            <w:tcW w:w="2872" w:type="dxa"/>
            <w:shd w:val="clear" w:color="auto" w:fill="auto"/>
            <w:vAlign w:val="center"/>
          </w:tcPr>
          <w:p>
            <w:pPr>
              <w:pStyle w:val="106"/>
              <w:adjustRightInd w:val="0"/>
              <w:rPr>
                <w:rFonts w:hint="eastAsia" w:eastAsiaTheme="minorEastAsia"/>
                <w:bCs/>
                <w:lang w:val="zh-TW" w:eastAsia="zh-TW"/>
              </w:rPr>
            </w:pPr>
            <w:r>
              <w:rPr>
                <w:rFonts w:hint="eastAsia" w:eastAsiaTheme="minorEastAsia"/>
                <w:bCs/>
                <w:lang w:val="en-US" w:eastAsia="zh-CN"/>
              </w:rPr>
              <w:t>化学需氧量</w:t>
            </w:r>
          </w:p>
        </w:tc>
        <w:tc>
          <w:tcPr>
            <w:tcW w:w="4358" w:type="dxa"/>
            <w:tcBorders>
              <w:bottom w:val="single" w:color="000000" w:sz="4" w:space="0"/>
            </w:tcBorders>
            <w:shd w:val="clear" w:color="FFFF99" w:fill="auto"/>
            <w:vAlign w:val="center"/>
          </w:tcPr>
          <w:p>
            <w:pPr>
              <w:pStyle w:val="106"/>
              <w:adjustRightInd w:val="0"/>
              <w:rPr>
                <w:rFonts w:hint="eastAsia" w:eastAsiaTheme="minorEastAsia"/>
                <w:bCs/>
                <w:lang w:val="en-US" w:eastAsia="zh-CN"/>
              </w:rPr>
            </w:pPr>
            <w:r>
              <w:rPr>
                <w:rFonts w:hint="eastAsia" w:eastAsiaTheme="minorEastAsia"/>
                <w:bCs/>
                <w:lang w:val="en-US" w:eastAsia="zh-CN"/>
              </w:rPr>
              <w:t>滴定管（</w:t>
            </w:r>
            <w:r>
              <w:rPr>
                <w:rFonts w:hint="eastAsia" w:eastAsiaTheme="minorEastAsia"/>
                <w:bCs/>
                <w:lang w:val="en-US" w:eastAsia="en-US"/>
              </w:rPr>
              <w:t>SDHA</w:t>
            </w:r>
            <w:r>
              <w:rPr>
                <w:rFonts w:hint="eastAsia" w:eastAsiaTheme="minorEastAsia"/>
                <w:bCs/>
                <w:lang w:val="en-US" w:eastAsia="zh-CN"/>
              </w:rPr>
              <w:t>-</w:t>
            </w:r>
            <w:r>
              <w:rPr>
                <w:rFonts w:hint="eastAsia" w:eastAsiaTheme="minorEastAsia"/>
                <w:bCs/>
                <w:lang w:val="en-US" w:eastAsia="en-US"/>
              </w:rPr>
              <w:t>QM-007</w:t>
            </w:r>
            <w:r>
              <w:rPr>
                <w:rFonts w:hint="eastAsia" w:eastAsiaTheme="minorEastAsia"/>
                <w:bCs/>
                <w:lang w:val="en-US" w:eastAsia="zh-CN"/>
              </w:rPr>
              <w:t>）</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86" w:type="dxa"/>
            <w:shd w:val="clear" w:color="auto" w:fill="auto"/>
            <w:vAlign w:val="center"/>
          </w:tcPr>
          <w:p>
            <w:pPr>
              <w:pStyle w:val="106"/>
              <w:adjustRightInd w:val="0"/>
              <w:rPr>
                <w:rFonts w:hint="eastAsia" w:eastAsiaTheme="minorEastAsia"/>
                <w:bCs/>
                <w:lang w:val="en-US" w:eastAsia="zh-CN"/>
              </w:rPr>
            </w:pPr>
            <w:r>
              <w:rPr>
                <w:rFonts w:hint="eastAsia" w:eastAsiaTheme="minorEastAsia"/>
                <w:bCs/>
                <w:lang w:val="en-US" w:eastAsia="zh-CN"/>
              </w:rPr>
              <w:t>3</w:t>
            </w:r>
          </w:p>
        </w:tc>
        <w:tc>
          <w:tcPr>
            <w:tcW w:w="2872" w:type="dxa"/>
            <w:shd w:val="clear" w:color="auto" w:fill="auto"/>
            <w:vAlign w:val="center"/>
          </w:tcPr>
          <w:p>
            <w:pPr>
              <w:pStyle w:val="106"/>
              <w:adjustRightInd w:val="0"/>
              <w:rPr>
                <w:rFonts w:hint="eastAsia" w:eastAsiaTheme="minorEastAsia"/>
                <w:bCs/>
                <w:lang w:val="zh-TW" w:eastAsia="zh-CN"/>
              </w:rPr>
            </w:pPr>
            <w:r>
              <w:rPr>
                <w:rFonts w:hint="eastAsia" w:eastAsiaTheme="minorEastAsia"/>
                <w:bCs/>
                <w:lang w:val="en-US" w:eastAsia="zh-CN"/>
              </w:rPr>
              <w:t>氨氮</w:t>
            </w:r>
          </w:p>
        </w:tc>
        <w:tc>
          <w:tcPr>
            <w:tcW w:w="4358" w:type="dxa"/>
            <w:tcBorders>
              <w:bottom w:val="single" w:color="000000" w:sz="4" w:space="0"/>
            </w:tcBorders>
            <w:shd w:val="clear" w:color="FFFF99" w:fill="auto"/>
            <w:vAlign w:val="center"/>
          </w:tcPr>
          <w:p>
            <w:pPr>
              <w:pStyle w:val="106"/>
              <w:adjustRightInd w:val="0"/>
              <w:rPr>
                <w:rFonts w:hint="eastAsia" w:eastAsiaTheme="minorEastAsia"/>
                <w:bCs/>
                <w:lang w:val="en-US" w:eastAsia="zh-CN"/>
              </w:rPr>
            </w:pPr>
            <w:r>
              <w:rPr>
                <w:rFonts w:hint="eastAsia" w:eastAsiaTheme="minorEastAsia"/>
                <w:bCs/>
                <w:lang w:val="en-US" w:eastAsia="zh-CN"/>
              </w:rPr>
              <w:t>可见分光光度计（</w:t>
            </w:r>
            <w:r>
              <w:rPr>
                <w:rFonts w:hint="eastAsia" w:eastAsiaTheme="minorEastAsia"/>
                <w:bCs/>
                <w:lang w:val="en-US" w:eastAsia="en-US"/>
              </w:rPr>
              <w:t>SDHA- YQ-020</w:t>
            </w:r>
            <w:r>
              <w:rPr>
                <w:rFonts w:hint="eastAsia" w:eastAsiaTheme="minorEastAsia"/>
                <w:bCs/>
                <w:lang w:val="en-US" w:eastAsia="zh-CN"/>
              </w:rPr>
              <w:t>）</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86" w:type="dxa"/>
            <w:shd w:val="clear" w:color="auto" w:fill="auto"/>
            <w:vAlign w:val="center"/>
          </w:tcPr>
          <w:p>
            <w:pPr>
              <w:pStyle w:val="106"/>
              <w:adjustRightInd w:val="0"/>
              <w:rPr>
                <w:rFonts w:hint="eastAsia" w:eastAsiaTheme="minorEastAsia"/>
                <w:bCs/>
                <w:lang w:val="en-US" w:eastAsia="zh-CN"/>
              </w:rPr>
            </w:pPr>
            <w:r>
              <w:rPr>
                <w:rFonts w:hint="eastAsia" w:eastAsiaTheme="minorEastAsia"/>
                <w:bCs/>
                <w:lang w:val="en-US" w:eastAsia="zh-CN"/>
              </w:rPr>
              <w:t>4</w:t>
            </w:r>
          </w:p>
        </w:tc>
        <w:tc>
          <w:tcPr>
            <w:tcW w:w="2872" w:type="dxa"/>
            <w:shd w:val="clear" w:color="auto" w:fill="auto"/>
            <w:vAlign w:val="center"/>
          </w:tcPr>
          <w:p>
            <w:pPr>
              <w:pStyle w:val="106"/>
              <w:adjustRightInd w:val="0"/>
              <w:rPr>
                <w:rFonts w:hint="eastAsia" w:eastAsiaTheme="minorEastAsia"/>
                <w:bCs/>
                <w:lang w:val="zh-TW" w:eastAsia="zh-TW"/>
              </w:rPr>
            </w:pPr>
            <w:r>
              <w:rPr>
                <w:rFonts w:hint="eastAsia" w:eastAsiaTheme="minorEastAsia"/>
                <w:bCs/>
                <w:lang w:val="en-US" w:eastAsia="en-US"/>
              </w:rPr>
              <w:t>pH</w:t>
            </w:r>
          </w:p>
        </w:tc>
        <w:tc>
          <w:tcPr>
            <w:tcW w:w="4358" w:type="dxa"/>
            <w:tcBorders>
              <w:bottom w:val="single" w:color="000000" w:sz="4" w:space="0"/>
            </w:tcBorders>
            <w:shd w:val="clear" w:color="FFFF99" w:fill="auto"/>
            <w:vAlign w:val="center"/>
          </w:tcPr>
          <w:p>
            <w:pPr>
              <w:pStyle w:val="106"/>
              <w:adjustRightInd w:val="0"/>
              <w:rPr>
                <w:rFonts w:hint="eastAsia" w:eastAsiaTheme="minorEastAsia"/>
                <w:bCs/>
                <w:lang w:val="en-US" w:eastAsia="zh-CN"/>
              </w:rPr>
            </w:pPr>
            <w:r>
              <w:rPr>
                <w:rFonts w:hint="eastAsia" w:eastAsiaTheme="minorEastAsia"/>
                <w:bCs/>
                <w:lang w:val="en-US" w:eastAsia="en-US"/>
              </w:rPr>
              <w:t>p</w:t>
            </w:r>
            <w:r>
              <w:rPr>
                <w:rFonts w:hint="eastAsia" w:eastAsiaTheme="minorEastAsia"/>
                <w:bCs/>
                <w:lang w:val="en-US" w:eastAsia="zh-CN"/>
              </w:rPr>
              <w:t>H计（</w:t>
            </w:r>
            <w:r>
              <w:rPr>
                <w:rFonts w:hint="eastAsia" w:eastAsiaTheme="minorEastAsia"/>
                <w:bCs/>
                <w:lang w:val="en-US" w:eastAsia="en-US"/>
              </w:rPr>
              <w:t>SDHA</w:t>
            </w:r>
            <w:r>
              <w:rPr>
                <w:rFonts w:hint="eastAsia" w:eastAsiaTheme="minorEastAsia"/>
                <w:bCs/>
                <w:lang w:val="en-US" w:eastAsia="zh-CN"/>
              </w:rPr>
              <w:t>-</w:t>
            </w:r>
            <w:r>
              <w:rPr>
                <w:rFonts w:hint="eastAsia" w:eastAsiaTheme="minorEastAsia"/>
                <w:bCs/>
                <w:lang w:val="en-US" w:eastAsia="en-US"/>
              </w:rPr>
              <w:t>YQ</w:t>
            </w:r>
            <w:r>
              <w:rPr>
                <w:rFonts w:hint="eastAsia" w:eastAsiaTheme="minorEastAsia"/>
                <w:bCs/>
                <w:lang w:val="en-US" w:eastAsia="zh-CN"/>
              </w:rPr>
              <w:t>-004）</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86" w:type="dxa"/>
            <w:shd w:val="clear" w:color="auto" w:fill="auto"/>
            <w:vAlign w:val="center"/>
          </w:tcPr>
          <w:p>
            <w:pPr>
              <w:pStyle w:val="106"/>
              <w:adjustRightInd w:val="0"/>
              <w:rPr>
                <w:rFonts w:hint="eastAsia" w:eastAsiaTheme="minorEastAsia"/>
                <w:bCs/>
                <w:lang w:val="en-US" w:eastAsia="zh-CN"/>
              </w:rPr>
            </w:pPr>
            <w:r>
              <w:rPr>
                <w:rFonts w:hint="eastAsia" w:eastAsiaTheme="minorEastAsia"/>
                <w:bCs/>
                <w:lang w:val="en-US" w:eastAsia="zh-CN"/>
              </w:rPr>
              <w:t>5</w:t>
            </w:r>
          </w:p>
        </w:tc>
        <w:tc>
          <w:tcPr>
            <w:tcW w:w="2872" w:type="dxa"/>
            <w:shd w:val="clear" w:color="auto" w:fill="auto"/>
            <w:vAlign w:val="center"/>
          </w:tcPr>
          <w:p>
            <w:pPr>
              <w:pStyle w:val="106"/>
              <w:adjustRightInd w:val="0"/>
              <w:rPr>
                <w:rFonts w:hint="eastAsia" w:eastAsiaTheme="minorEastAsia"/>
                <w:bCs/>
                <w:lang w:val="zh-TW" w:eastAsia="zh-TW"/>
              </w:rPr>
            </w:pPr>
            <w:r>
              <w:rPr>
                <w:rFonts w:hint="eastAsia" w:eastAsiaTheme="minorEastAsia"/>
                <w:bCs/>
                <w:lang w:val="en-US" w:eastAsia="zh-CN"/>
              </w:rPr>
              <w:t>悬浮物</w:t>
            </w:r>
          </w:p>
        </w:tc>
        <w:tc>
          <w:tcPr>
            <w:tcW w:w="4358" w:type="dxa"/>
            <w:tcBorders>
              <w:bottom w:val="single" w:color="000000" w:sz="4" w:space="0"/>
            </w:tcBorders>
            <w:shd w:val="clear" w:color="FFFF99" w:fill="auto"/>
            <w:vAlign w:val="center"/>
          </w:tcPr>
          <w:p>
            <w:pPr>
              <w:pStyle w:val="106"/>
              <w:adjustRightInd w:val="0"/>
              <w:rPr>
                <w:rFonts w:hint="eastAsia" w:eastAsiaTheme="minorEastAsia"/>
                <w:bCs/>
                <w:lang w:val="en-US" w:eastAsia="zh-CN"/>
              </w:rPr>
            </w:pPr>
            <w:r>
              <w:rPr>
                <w:rFonts w:hint="eastAsia" w:eastAsiaTheme="minorEastAsia"/>
                <w:bCs/>
                <w:lang w:val="en-US" w:eastAsia="zh-CN"/>
              </w:rPr>
              <w:t>电子天平（</w:t>
            </w:r>
            <w:r>
              <w:rPr>
                <w:rFonts w:hint="eastAsia" w:eastAsiaTheme="minorEastAsia"/>
                <w:bCs/>
                <w:lang w:val="en-US" w:eastAsia="en-US"/>
              </w:rPr>
              <w:t>SD</w:t>
            </w:r>
            <w:r>
              <w:rPr>
                <w:rFonts w:hint="eastAsia" w:eastAsiaTheme="minorEastAsia"/>
                <w:bCs/>
                <w:lang w:val="en-US" w:eastAsia="zh-CN"/>
              </w:rPr>
              <w:t>H</w:t>
            </w:r>
            <w:r>
              <w:rPr>
                <w:rFonts w:hint="eastAsia" w:eastAsiaTheme="minorEastAsia"/>
                <w:bCs/>
                <w:lang w:val="en-US" w:eastAsia="en-US"/>
              </w:rPr>
              <w:t>A-YQ</w:t>
            </w:r>
            <w:r>
              <w:rPr>
                <w:rFonts w:hint="eastAsia" w:eastAsiaTheme="minorEastAsia"/>
                <w:bCs/>
                <w:lang w:val="en-US" w:eastAsia="zh-CN"/>
              </w:rPr>
              <w:t>-</w:t>
            </w:r>
            <w:r>
              <w:rPr>
                <w:rFonts w:hint="eastAsia" w:eastAsiaTheme="minorEastAsia"/>
                <w:bCs/>
                <w:lang w:val="en-US" w:eastAsia="en-US"/>
              </w:rPr>
              <w:t>014</w:t>
            </w:r>
            <w:r>
              <w:rPr>
                <w:rFonts w:hint="eastAsia" w:eastAsiaTheme="minorEastAsia"/>
                <w:bCs/>
                <w:lang w:val="en-US" w:eastAsia="zh-CN"/>
              </w:rPr>
              <w:t>）</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86" w:type="dxa"/>
            <w:shd w:val="clear" w:color="auto" w:fill="auto"/>
            <w:vAlign w:val="center"/>
          </w:tcPr>
          <w:p>
            <w:pPr>
              <w:pStyle w:val="106"/>
              <w:adjustRightInd w:val="0"/>
              <w:rPr>
                <w:rFonts w:hint="eastAsia" w:eastAsiaTheme="minorEastAsia"/>
                <w:bCs/>
                <w:lang w:val="en-US" w:eastAsia="zh-CN"/>
              </w:rPr>
            </w:pPr>
            <w:r>
              <w:rPr>
                <w:rFonts w:hint="eastAsia" w:eastAsiaTheme="minorEastAsia"/>
                <w:lang w:val="en-US" w:eastAsia="zh-CN"/>
              </w:rPr>
              <w:t>6</w:t>
            </w:r>
          </w:p>
        </w:tc>
        <w:tc>
          <w:tcPr>
            <w:tcW w:w="2872" w:type="dxa"/>
            <w:shd w:val="clear" w:color="auto" w:fill="auto"/>
            <w:vAlign w:val="center"/>
          </w:tcPr>
          <w:p>
            <w:pPr>
              <w:pStyle w:val="106"/>
              <w:adjustRightInd w:val="0"/>
              <w:rPr>
                <w:rFonts w:hint="default" w:eastAsiaTheme="minorEastAsia"/>
                <w:bCs/>
                <w:lang w:val="en-US" w:eastAsia="zh-CN"/>
              </w:rPr>
            </w:pPr>
            <w:r>
              <w:rPr>
                <w:rFonts w:hint="eastAsia" w:eastAsiaTheme="minorEastAsia"/>
                <w:bCs/>
                <w:lang w:val="en-US" w:eastAsia="zh-CN"/>
              </w:rPr>
              <w:t>五日生化需氧量</w:t>
            </w:r>
          </w:p>
        </w:tc>
        <w:tc>
          <w:tcPr>
            <w:tcW w:w="4358" w:type="dxa"/>
            <w:tcBorders>
              <w:bottom w:val="single" w:color="000000" w:sz="4" w:space="0"/>
            </w:tcBorders>
            <w:shd w:val="clear" w:color="FFFF99" w:fill="auto"/>
            <w:vAlign w:val="center"/>
          </w:tcPr>
          <w:p>
            <w:pPr>
              <w:pStyle w:val="106"/>
              <w:adjustRightInd w:val="0"/>
              <w:rPr>
                <w:rFonts w:hint="eastAsia" w:eastAsia="宋体"/>
                <w:bCs/>
                <w:lang w:val="en-US" w:eastAsia="zh-CN"/>
              </w:rPr>
            </w:pPr>
            <w:r>
              <w:rPr>
                <w:rFonts w:hint="eastAsia" w:hAnsi="宋体"/>
                <w:szCs w:val="24"/>
              </w:rPr>
              <w:t>生化培养箱</w:t>
            </w:r>
            <w:r>
              <w:rPr>
                <w:rFonts w:hint="eastAsia" w:hAnsi="宋体"/>
                <w:szCs w:val="24"/>
                <w:lang w:eastAsia="zh-CN"/>
              </w:rPr>
              <w:t>（</w:t>
            </w:r>
            <w:r>
              <w:rPr>
                <w:rFonts w:hint="eastAsia" w:hAnsi="宋体"/>
                <w:szCs w:val="24"/>
              </w:rPr>
              <w:t>SDHA-YQ-048</w:t>
            </w:r>
            <w:r>
              <w:rPr>
                <w:rFonts w:hint="eastAsia" w:hAnsi="宋体"/>
                <w:szCs w:val="24"/>
                <w:lang w:eastAsia="zh-CN"/>
              </w:rPr>
              <w:t>）</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86" w:type="dxa"/>
            <w:shd w:val="clear" w:color="auto" w:fill="auto"/>
            <w:vAlign w:val="center"/>
          </w:tcPr>
          <w:p>
            <w:pPr>
              <w:pStyle w:val="106"/>
              <w:adjustRightInd w:val="0"/>
              <w:rPr>
                <w:rFonts w:hint="default" w:eastAsiaTheme="minorEastAsia"/>
                <w:lang w:val="en-US" w:eastAsia="zh-CN"/>
              </w:rPr>
            </w:pPr>
            <w:r>
              <w:rPr>
                <w:rFonts w:hint="eastAsia" w:eastAsiaTheme="minorEastAsia"/>
                <w:lang w:val="en-US" w:eastAsia="zh-CN"/>
              </w:rPr>
              <w:t>7</w:t>
            </w:r>
          </w:p>
        </w:tc>
        <w:tc>
          <w:tcPr>
            <w:tcW w:w="2872" w:type="dxa"/>
            <w:shd w:val="clear" w:color="auto" w:fill="auto"/>
            <w:vAlign w:val="center"/>
          </w:tcPr>
          <w:p>
            <w:pPr>
              <w:pStyle w:val="106"/>
              <w:adjustRightInd w:val="0"/>
              <w:rPr>
                <w:rFonts w:hint="eastAsia" w:eastAsiaTheme="minorEastAsia"/>
                <w:bCs/>
                <w:lang w:val="en-US" w:eastAsia="zh-CN"/>
              </w:rPr>
            </w:pPr>
            <w:r>
              <w:rPr>
                <w:rFonts w:hint="eastAsia" w:eastAsiaTheme="minorEastAsia"/>
                <w:bCs/>
                <w:lang w:val="en-US" w:eastAsia="zh-CN"/>
              </w:rPr>
              <w:t>厂界噪声</w:t>
            </w:r>
          </w:p>
        </w:tc>
        <w:tc>
          <w:tcPr>
            <w:tcW w:w="4358" w:type="dxa"/>
            <w:shd w:val="clear" w:color="FFFF99" w:fill="auto"/>
            <w:vAlign w:val="center"/>
          </w:tcPr>
          <w:p>
            <w:pPr>
              <w:pStyle w:val="106"/>
              <w:adjustRightInd w:val="0"/>
              <w:rPr>
                <w:rFonts w:hint="eastAsia" w:eastAsiaTheme="minorEastAsia"/>
                <w:bCs/>
                <w:lang w:val="en-US" w:eastAsia="zh-CN"/>
              </w:rPr>
            </w:pPr>
            <w:r>
              <w:rPr>
                <w:rFonts w:hint="eastAsia" w:eastAsiaTheme="minorEastAsia"/>
                <w:bCs/>
                <w:lang w:val="en-US" w:eastAsia="zh-CN"/>
              </w:rPr>
              <w:t>多功能声级计(</w:t>
            </w:r>
            <w:r>
              <w:rPr>
                <w:rFonts w:hint="eastAsia" w:eastAsiaTheme="minorEastAsia"/>
                <w:bCs/>
                <w:lang w:val="en-US" w:eastAsia="en-US"/>
              </w:rPr>
              <w:t>SD</w:t>
            </w:r>
            <w:r>
              <w:rPr>
                <w:rFonts w:hint="eastAsia" w:eastAsiaTheme="minorEastAsia"/>
                <w:bCs/>
                <w:lang w:val="en-US" w:eastAsia="zh-CN"/>
              </w:rPr>
              <w:t>H</w:t>
            </w:r>
            <w:r>
              <w:rPr>
                <w:rFonts w:hint="eastAsia" w:eastAsiaTheme="minorEastAsia"/>
                <w:bCs/>
                <w:lang w:val="en-US" w:eastAsia="en-US"/>
              </w:rPr>
              <w:t>A-YQ-O27</w:t>
            </w:r>
            <w:r>
              <w:rPr>
                <w:rFonts w:hint="eastAsia" w:eastAsiaTheme="minorEastAsia"/>
                <w:bCs/>
                <w:lang w:val="en-US" w:eastAsia="zh-CN"/>
              </w:rPr>
              <w:t>)</w:t>
            </w:r>
          </w:p>
        </w:tc>
      </w:tr>
    </w:tbl>
    <w:p>
      <w:pPr>
        <w:pStyle w:val="116"/>
        <w:spacing w:before="120" w:beforeLines="50" w:line="360" w:lineRule="auto"/>
        <w:ind w:firstLine="482"/>
        <w:rPr>
          <w:rFonts w:ascii="Times New Roman" w:hAnsi="Times New Roman" w:cs="Times New Roman"/>
          <w:b/>
          <w:color w:val="000000"/>
          <w:sz w:val="24"/>
          <w:szCs w:val="24"/>
        </w:rPr>
      </w:pPr>
      <w:r>
        <w:rPr>
          <w:rFonts w:hint="eastAsia" w:ascii="Times New Roman" w:hAnsi="Times New Roman" w:cs="Times New Roman"/>
          <w:b/>
          <w:color w:val="000000"/>
          <w:sz w:val="24"/>
          <w:szCs w:val="24"/>
        </w:rPr>
        <w:t>3、质量控制</w:t>
      </w:r>
    </w:p>
    <w:p>
      <w:pPr>
        <w:pStyle w:val="116"/>
        <w:adjustRightInd w:val="0"/>
        <w:snapToGrid w:val="0"/>
        <w:spacing w:line="360" w:lineRule="auto"/>
        <w:ind w:firstLine="480"/>
        <w:rPr>
          <w:rFonts w:ascii="Times New Roman" w:hAnsi="Times New Roman" w:cs="Times New Roman"/>
          <w:b/>
          <w:color w:val="000000"/>
          <w:sz w:val="24"/>
          <w:szCs w:val="24"/>
        </w:rPr>
      </w:pPr>
      <w:r>
        <w:rPr>
          <w:rFonts w:hint="eastAsia" w:ascii="Times New Roman" w:hAnsi="Times New Roman" w:cs="Times New Roman"/>
          <w:color w:val="000000"/>
          <w:sz w:val="24"/>
          <w:szCs w:val="24"/>
        </w:rPr>
        <w:t>检测过程中的质量保证措施按原国家环境保护总局颁发的《环境监测质量保证管理规定》（暂行）的要求进行，实施全过程质量保证。保证检测过程中生产工况负荷满足验收监测技术规范要求和各检测点位布置的科学性和合理性；检测分析方法采用国家有关部门颁布的标准（或推荐）分析方法。</w:t>
      </w:r>
    </w:p>
    <w:p>
      <w:pPr>
        <w:pStyle w:val="116"/>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ascii="Times New Roman" w:hAnsi="Times New Roman" w:cs="Times New Roman"/>
          <w:color w:val="000000"/>
          <w:sz w:val="24"/>
          <w:szCs w:val="24"/>
        </w:rPr>
      </w:pPr>
      <w:r>
        <w:rPr>
          <w:rFonts w:hint="eastAsia" w:ascii="Times New Roman" w:hAnsi="Times New Roman" w:cs="Times New Roman"/>
          <w:color w:val="000000"/>
          <w:sz w:val="24"/>
          <w:szCs w:val="24"/>
        </w:rPr>
        <w:t>（1）环境空气检测分析过程中的质量保证和质量控制</w:t>
      </w:r>
    </w:p>
    <w:p>
      <w:pPr>
        <w:pStyle w:val="116"/>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ascii="Times New Roman" w:hAnsi="Times New Roman" w:cs="Times New Roman"/>
          <w:color w:val="000000"/>
          <w:sz w:val="24"/>
          <w:szCs w:val="24"/>
        </w:rPr>
      </w:pPr>
      <w:r>
        <w:rPr>
          <w:rFonts w:hint="eastAsia" w:ascii="Times New Roman" w:hAnsi="Times New Roman" w:cs="Times New Roman"/>
          <w:color w:val="000000"/>
          <w:sz w:val="24"/>
          <w:szCs w:val="24"/>
        </w:rPr>
        <w:t>废气的采集、运输、保存、实验室分析和数据计算的全过程均按《环境空气监测质量保证手册》的要求进行。采样过程中应采集一定比例的平行样；实验室分析过程使用标准物质、采用空白试验、平行样测定等。</w:t>
      </w:r>
    </w:p>
    <w:p>
      <w:pPr>
        <w:pStyle w:val="116"/>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ascii="Times New Roman" w:hAnsi="Times New Roman" w:cs="Times New Roman"/>
          <w:color w:val="000000"/>
          <w:sz w:val="24"/>
          <w:szCs w:val="24"/>
        </w:rPr>
      </w:pPr>
      <w:r>
        <w:rPr>
          <w:rFonts w:hint="eastAsia" w:ascii="Times New Roman" w:hAnsi="Times New Roman" w:cs="Times New Roman"/>
          <w:color w:val="000000"/>
          <w:sz w:val="24"/>
          <w:szCs w:val="24"/>
          <w:lang w:val="en-US" w:eastAsia="zh-CN"/>
        </w:rPr>
        <w:t>（2）废水</w:t>
      </w:r>
      <w:r>
        <w:rPr>
          <w:rFonts w:hint="eastAsia" w:ascii="Times New Roman" w:hAnsi="Times New Roman" w:cs="Times New Roman"/>
          <w:color w:val="000000"/>
          <w:sz w:val="24"/>
          <w:szCs w:val="24"/>
        </w:rPr>
        <w:t>检测分析过程中的质量保证和质量控制</w:t>
      </w:r>
    </w:p>
    <w:p>
      <w:pPr>
        <w:pStyle w:val="116"/>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ascii="Times New Roman" w:hAnsi="Times New Roman" w:cs="Times New Roman"/>
          <w:color w:val="000000"/>
          <w:sz w:val="24"/>
          <w:szCs w:val="24"/>
        </w:rPr>
      </w:pPr>
      <w:r>
        <w:rPr>
          <w:rFonts w:hint="eastAsia" w:ascii="Times New Roman" w:hAnsi="Times New Roman" w:cs="Times New Roman"/>
          <w:color w:val="000000"/>
          <w:sz w:val="24"/>
          <w:szCs w:val="24"/>
          <w:lang w:val="en-US" w:eastAsia="zh-CN"/>
        </w:rPr>
        <w:t>水样</w:t>
      </w:r>
      <w:r>
        <w:rPr>
          <w:rFonts w:hint="eastAsia" w:ascii="Times New Roman" w:hAnsi="Times New Roman" w:cs="Times New Roman"/>
          <w:color w:val="000000"/>
          <w:sz w:val="24"/>
          <w:szCs w:val="24"/>
        </w:rPr>
        <w:t>的采集、运输、保存、实验室分析和数据计算的全过程均按《</w:t>
      </w:r>
      <w:r>
        <w:rPr>
          <w:rFonts w:hint="eastAsia" w:ascii="Times New Roman" w:hAnsi="Times New Roman" w:cs="Times New Roman"/>
          <w:color w:val="000000"/>
          <w:sz w:val="24"/>
          <w:szCs w:val="24"/>
          <w:lang w:val="en-US" w:eastAsia="zh-CN"/>
        </w:rPr>
        <w:t>环境水质监测质量保证手册</w:t>
      </w:r>
      <w:r>
        <w:rPr>
          <w:rFonts w:hint="eastAsia" w:ascii="Times New Roman" w:hAnsi="Times New Roman" w:cs="Times New Roman"/>
          <w:color w:val="000000"/>
          <w:sz w:val="24"/>
          <w:szCs w:val="24"/>
        </w:rPr>
        <w:t>》</w:t>
      </w:r>
      <w:r>
        <w:rPr>
          <w:rFonts w:hint="eastAsia" w:ascii="Times New Roman" w:hAnsi="Times New Roman" w:cs="Times New Roman"/>
          <w:color w:val="000000"/>
          <w:sz w:val="24"/>
          <w:szCs w:val="24"/>
          <w:lang w:eastAsia="zh-CN"/>
        </w:rPr>
        <w:t>（</w:t>
      </w:r>
      <w:r>
        <w:rPr>
          <w:rFonts w:hint="eastAsia" w:ascii="Times New Roman" w:hAnsi="Times New Roman" w:cs="Times New Roman"/>
          <w:color w:val="000000"/>
          <w:sz w:val="24"/>
          <w:szCs w:val="24"/>
          <w:lang w:val="en-US" w:eastAsia="zh-CN"/>
        </w:rPr>
        <w:t>第四版</w:t>
      </w:r>
      <w:r>
        <w:rPr>
          <w:rFonts w:hint="eastAsia" w:ascii="Times New Roman" w:hAnsi="Times New Roman" w:cs="Times New Roman"/>
          <w:color w:val="000000"/>
          <w:sz w:val="24"/>
          <w:szCs w:val="24"/>
          <w:lang w:eastAsia="zh-CN"/>
        </w:rPr>
        <w:t>）</w:t>
      </w:r>
      <w:r>
        <w:rPr>
          <w:rFonts w:hint="eastAsia" w:ascii="Times New Roman" w:hAnsi="Times New Roman" w:cs="Times New Roman"/>
          <w:color w:val="000000"/>
          <w:sz w:val="24"/>
          <w:szCs w:val="24"/>
          <w:lang w:val="en-US" w:eastAsia="zh-CN"/>
        </w:rPr>
        <w:t>等</w:t>
      </w:r>
      <w:r>
        <w:rPr>
          <w:rFonts w:hint="eastAsia" w:ascii="Times New Roman" w:hAnsi="Times New Roman" w:cs="Times New Roman"/>
          <w:color w:val="000000"/>
          <w:sz w:val="24"/>
          <w:szCs w:val="24"/>
        </w:rPr>
        <w:t>的要求进行。采样过程中采集一定比例的平行样；实验室分析过程使用标准物质、采用空白试验、平行样测定等。</w:t>
      </w:r>
    </w:p>
    <w:p>
      <w:pPr>
        <w:pStyle w:val="116"/>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ascii="Times New Roman" w:hAnsi="Times New Roman" w:cs="Times New Roman"/>
          <w:color w:val="000000"/>
          <w:sz w:val="24"/>
          <w:szCs w:val="24"/>
        </w:rPr>
      </w:pPr>
      <w:r>
        <w:rPr>
          <w:rFonts w:hint="eastAsia" w:ascii="Times New Roman" w:hAnsi="Times New Roman" w:cs="Times New Roman"/>
          <w:color w:val="000000"/>
          <w:sz w:val="24"/>
          <w:szCs w:val="24"/>
        </w:rPr>
        <w:t>（</w:t>
      </w:r>
      <w:r>
        <w:rPr>
          <w:rFonts w:hint="eastAsia" w:ascii="Times New Roman" w:hAnsi="Times New Roman" w:cs="Times New Roman"/>
          <w:color w:val="000000"/>
          <w:sz w:val="24"/>
          <w:szCs w:val="24"/>
          <w:lang w:val="en-US" w:eastAsia="zh-CN"/>
        </w:rPr>
        <w:t>3</w:t>
      </w:r>
      <w:r>
        <w:rPr>
          <w:rFonts w:hint="eastAsia" w:ascii="Times New Roman" w:hAnsi="Times New Roman" w:cs="Times New Roman"/>
          <w:color w:val="000000"/>
          <w:sz w:val="24"/>
          <w:szCs w:val="24"/>
        </w:rPr>
        <w:t>）噪声检测分析过程中的质量保证和质量控制</w:t>
      </w:r>
    </w:p>
    <w:p>
      <w:pPr>
        <w:pStyle w:val="116"/>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ascii="Times New Roman" w:hAnsi="Times New Roman" w:cs="Times New Roman"/>
          <w:color w:val="000000"/>
          <w:sz w:val="24"/>
          <w:szCs w:val="24"/>
        </w:rPr>
      </w:pPr>
      <w:r>
        <w:rPr>
          <w:rFonts w:ascii="Times New Roman" w:hAnsi="Times New Roman" w:cs="Times New Roman"/>
          <w:color w:val="000000"/>
          <w:sz w:val="24"/>
          <w:szCs w:val="24"/>
        </w:rPr>
        <w:t>厂界噪声</w:t>
      </w:r>
      <w:r>
        <w:rPr>
          <w:rFonts w:hint="eastAsia" w:ascii="Times New Roman" w:hAnsi="Times New Roman" w:cs="Times New Roman"/>
          <w:color w:val="000000"/>
          <w:sz w:val="24"/>
          <w:szCs w:val="24"/>
        </w:rPr>
        <w:t>检测</w:t>
      </w:r>
      <w:r>
        <w:rPr>
          <w:rFonts w:ascii="Times New Roman" w:hAnsi="Times New Roman" w:cs="Times New Roman"/>
          <w:color w:val="000000"/>
          <w:sz w:val="24"/>
          <w:szCs w:val="24"/>
        </w:rPr>
        <w:t>按《工业企业厂界环境噪声排放标准》（GB 12348-2008）进行。质量保证和质控按照国家环保局《环境监测技术规范》（噪声部分）进行。噪声仪器在</w:t>
      </w:r>
      <w:r>
        <w:rPr>
          <w:rFonts w:hint="eastAsia" w:ascii="Times New Roman" w:hAnsi="Times New Roman" w:cs="Times New Roman"/>
          <w:color w:val="000000"/>
          <w:sz w:val="24"/>
          <w:szCs w:val="24"/>
        </w:rPr>
        <w:t>检测</w:t>
      </w:r>
      <w:r>
        <w:rPr>
          <w:rFonts w:ascii="Times New Roman" w:hAnsi="Times New Roman" w:cs="Times New Roman"/>
          <w:color w:val="000000"/>
          <w:sz w:val="24"/>
          <w:szCs w:val="24"/>
        </w:rPr>
        <w:t>前后进行校准，声级计测量前后仪器的示值偏差相差不大于0.5 dB(A)。</w:t>
      </w:r>
    </w:p>
    <w:p>
      <w:pPr>
        <w:keepNext w:val="0"/>
        <w:keepLines w:val="0"/>
        <w:pageBreakBefore w:val="0"/>
        <w:widowControl w:val="0"/>
        <w:kinsoku/>
        <w:wordWrap/>
        <w:overflowPunct/>
        <w:topLinePunct w:val="0"/>
        <w:autoSpaceDE/>
        <w:autoSpaceDN/>
        <w:bidi w:val="0"/>
        <w:spacing w:line="360" w:lineRule="auto"/>
        <w:textAlignment w:val="auto"/>
        <w:rPr>
          <w:rFonts w:hint="eastAsia"/>
          <w:b/>
          <w:bCs/>
          <w:sz w:val="30"/>
          <w:szCs w:val="30"/>
          <w:lang w:val="en-US" w:eastAsia="zh-CN"/>
        </w:rPr>
      </w:pPr>
      <w:r>
        <w:rPr>
          <w:rFonts w:hint="eastAsia"/>
          <w:b/>
          <w:bCs/>
          <w:sz w:val="30"/>
          <w:szCs w:val="30"/>
          <w:lang w:val="en-US" w:eastAsia="zh-CN"/>
        </w:rPr>
        <w:t>七、验收监测内容</w:t>
      </w:r>
    </w:p>
    <w:p>
      <w:pPr>
        <w:pStyle w:val="105"/>
        <w:ind w:firstLine="480"/>
        <w:rPr>
          <w:rFonts w:eastAsia="方正书宋简体"/>
          <w:spacing w:val="0"/>
        </w:rPr>
      </w:pPr>
      <w:r>
        <w:rPr>
          <w:rFonts w:hint="eastAsia" w:eastAsia="方正书宋简体"/>
          <w:spacing w:val="0"/>
        </w:rPr>
        <w:t>1、</w:t>
      </w:r>
      <w:r>
        <w:rPr>
          <w:rFonts w:eastAsia="方正书宋简体"/>
          <w:spacing w:val="0"/>
        </w:rPr>
        <w:t>项目验收监测内容见表</w:t>
      </w:r>
      <w:r>
        <w:rPr>
          <w:rFonts w:hint="eastAsia" w:eastAsia="方正书宋简体"/>
          <w:spacing w:val="0"/>
        </w:rPr>
        <w:t>7</w:t>
      </w:r>
      <w:r>
        <w:rPr>
          <w:rFonts w:eastAsia="方正书宋简体"/>
          <w:spacing w:val="0"/>
        </w:rPr>
        <w:t>-1</w:t>
      </w:r>
      <w:r>
        <w:rPr>
          <w:rFonts w:hint="eastAsia" w:eastAsia="方正书宋简体"/>
          <w:spacing w:val="0"/>
        </w:rPr>
        <w:t>，</w:t>
      </w:r>
      <w:r>
        <w:rPr>
          <w:rFonts w:hint="eastAsia"/>
          <w:spacing w:val="0"/>
        </w:rPr>
        <w:t>点位示意见</w:t>
      </w:r>
      <w:r>
        <w:rPr>
          <w:rFonts w:hint="eastAsia"/>
          <w:spacing w:val="0"/>
          <w:highlight w:val="none"/>
          <w:lang w:val="zh-CN"/>
        </w:rPr>
        <w:t>附图</w:t>
      </w:r>
      <w:r>
        <w:rPr>
          <w:rFonts w:hint="eastAsia"/>
          <w:spacing w:val="0"/>
          <w:highlight w:val="none"/>
          <w:lang w:val="en-US" w:eastAsia="zh-CN"/>
        </w:rPr>
        <w:t>四</w:t>
      </w:r>
      <w:r>
        <w:rPr>
          <w:rFonts w:hint="eastAsia"/>
          <w:spacing w:val="0"/>
          <w:lang w:val="zh-CN"/>
        </w:rPr>
        <w:t>。</w:t>
      </w:r>
    </w:p>
    <w:p>
      <w:pPr>
        <w:widowControl/>
        <w:adjustRightInd w:val="0"/>
        <w:snapToGrid w:val="0"/>
        <w:jc w:val="center"/>
        <w:rPr>
          <w:b/>
          <w:szCs w:val="21"/>
        </w:rPr>
      </w:pPr>
      <w:r>
        <w:rPr>
          <w:b/>
          <w:szCs w:val="21"/>
          <w:highlight w:val="none"/>
        </w:rPr>
        <w:t>表</w:t>
      </w:r>
      <w:r>
        <w:rPr>
          <w:rFonts w:hint="eastAsia"/>
          <w:b/>
          <w:szCs w:val="21"/>
          <w:highlight w:val="none"/>
        </w:rPr>
        <w:t>7</w:t>
      </w:r>
      <w:r>
        <w:rPr>
          <w:b/>
          <w:szCs w:val="21"/>
          <w:highlight w:val="none"/>
        </w:rPr>
        <w:t>-1</w:t>
      </w:r>
      <w:r>
        <w:rPr>
          <w:rFonts w:hint="eastAsia"/>
          <w:b/>
          <w:szCs w:val="21"/>
          <w:highlight w:val="none"/>
        </w:rPr>
        <w:t xml:space="preserve">  </w:t>
      </w:r>
      <w:r>
        <w:rPr>
          <w:b/>
          <w:szCs w:val="21"/>
          <w:highlight w:val="none"/>
        </w:rPr>
        <w:t>验收监测内容</w:t>
      </w:r>
    </w:p>
    <w:tbl>
      <w:tblPr>
        <w:tblStyle w:val="39"/>
        <w:tblW w:w="8306" w:type="dxa"/>
        <w:jc w:val="center"/>
        <w:tblBorders>
          <w:top w:val="thinThickSmallGap" w:color="auto" w:sz="12" w:space="0"/>
          <w:left w:val="none" w:color="auto" w:sz="0" w:space="0"/>
          <w:bottom w:val="thickThinSmallGap" w:color="auto" w:sz="12" w:space="0"/>
          <w:right w:val="none" w:color="auto" w:sz="0" w:space="0"/>
          <w:insideH w:val="single" w:color="auto" w:sz="4" w:space="0"/>
          <w:insideV w:val="single" w:color="auto" w:sz="6" w:space="0"/>
        </w:tblBorders>
        <w:tblLayout w:type="fixed"/>
        <w:tblCellMar>
          <w:top w:w="0" w:type="dxa"/>
          <w:left w:w="30" w:type="dxa"/>
          <w:bottom w:w="0" w:type="dxa"/>
          <w:right w:w="30" w:type="dxa"/>
        </w:tblCellMar>
      </w:tblPr>
      <w:tblGrid>
        <w:gridCol w:w="1010"/>
        <w:gridCol w:w="2282"/>
        <w:gridCol w:w="1598"/>
        <w:gridCol w:w="1053"/>
        <w:gridCol w:w="2363"/>
      </w:tblGrid>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6" w:space="0"/>
          </w:tblBorders>
          <w:tblCellMar>
            <w:top w:w="0" w:type="dxa"/>
            <w:left w:w="30" w:type="dxa"/>
            <w:bottom w:w="0" w:type="dxa"/>
            <w:right w:w="30" w:type="dxa"/>
          </w:tblCellMar>
        </w:tblPrEx>
        <w:trPr>
          <w:trHeight w:val="397" w:hRule="atLeast"/>
          <w:jc w:val="center"/>
        </w:trPr>
        <w:tc>
          <w:tcPr>
            <w:tcW w:w="1010" w:type="dxa"/>
            <w:tcBorders>
              <w:tl2br w:val="nil"/>
              <w:tr2bl w:val="nil"/>
            </w:tcBorders>
            <w:vAlign w:val="center"/>
          </w:tcPr>
          <w:p>
            <w:pPr>
              <w:widowControl/>
              <w:adjustRightInd w:val="0"/>
              <w:snapToGrid w:val="0"/>
              <w:jc w:val="center"/>
              <w:rPr>
                <w:b/>
                <w:bCs/>
                <w:szCs w:val="21"/>
              </w:rPr>
            </w:pPr>
            <w:r>
              <w:rPr>
                <w:rFonts w:hint="eastAsia"/>
                <w:b/>
                <w:bCs/>
                <w:szCs w:val="21"/>
              </w:rPr>
              <w:t>分类</w:t>
            </w:r>
          </w:p>
        </w:tc>
        <w:tc>
          <w:tcPr>
            <w:tcW w:w="2282" w:type="dxa"/>
            <w:tcBorders>
              <w:tl2br w:val="nil"/>
              <w:tr2bl w:val="nil"/>
            </w:tcBorders>
            <w:vAlign w:val="center"/>
          </w:tcPr>
          <w:p>
            <w:pPr>
              <w:widowControl/>
              <w:adjustRightInd w:val="0"/>
              <w:snapToGrid w:val="0"/>
              <w:jc w:val="center"/>
              <w:rPr>
                <w:b/>
                <w:bCs/>
                <w:szCs w:val="21"/>
              </w:rPr>
            </w:pPr>
            <w:r>
              <w:rPr>
                <w:b/>
                <w:bCs/>
                <w:szCs w:val="21"/>
              </w:rPr>
              <w:t>测点位置</w:t>
            </w:r>
          </w:p>
        </w:tc>
        <w:tc>
          <w:tcPr>
            <w:tcW w:w="1598" w:type="dxa"/>
            <w:tcBorders>
              <w:tl2br w:val="nil"/>
              <w:tr2bl w:val="nil"/>
            </w:tcBorders>
            <w:vAlign w:val="center"/>
          </w:tcPr>
          <w:p>
            <w:pPr>
              <w:widowControl/>
              <w:adjustRightInd w:val="0"/>
              <w:snapToGrid w:val="0"/>
              <w:jc w:val="center"/>
              <w:rPr>
                <w:b/>
                <w:bCs/>
                <w:szCs w:val="21"/>
              </w:rPr>
            </w:pPr>
            <w:r>
              <w:rPr>
                <w:rFonts w:hint="eastAsia"/>
                <w:b/>
                <w:bCs/>
                <w:szCs w:val="21"/>
              </w:rPr>
              <w:t>检测</w:t>
            </w:r>
            <w:r>
              <w:rPr>
                <w:b/>
                <w:bCs/>
                <w:szCs w:val="21"/>
              </w:rPr>
              <w:t>项目</w:t>
            </w:r>
          </w:p>
        </w:tc>
        <w:tc>
          <w:tcPr>
            <w:tcW w:w="1053" w:type="dxa"/>
            <w:tcBorders>
              <w:tl2br w:val="nil"/>
              <w:tr2bl w:val="nil"/>
            </w:tcBorders>
            <w:vAlign w:val="center"/>
          </w:tcPr>
          <w:p>
            <w:pPr>
              <w:widowControl/>
              <w:adjustRightInd w:val="0"/>
              <w:snapToGrid w:val="0"/>
              <w:jc w:val="center"/>
              <w:rPr>
                <w:b/>
                <w:bCs/>
                <w:szCs w:val="21"/>
              </w:rPr>
            </w:pPr>
            <w:r>
              <w:rPr>
                <w:b/>
                <w:bCs/>
                <w:szCs w:val="21"/>
              </w:rPr>
              <w:t>布点个数</w:t>
            </w:r>
          </w:p>
        </w:tc>
        <w:tc>
          <w:tcPr>
            <w:tcW w:w="2363" w:type="dxa"/>
            <w:tcBorders>
              <w:tl2br w:val="nil"/>
              <w:tr2bl w:val="nil"/>
            </w:tcBorders>
            <w:vAlign w:val="center"/>
          </w:tcPr>
          <w:p>
            <w:pPr>
              <w:widowControl/>
              <w:adjustRightInd w:val="0"/>
              <w:snapToGrid w:val="0"/>
              <w:jc w:val="center"/>
              <w:rPr>
                <w:b/>
                <w:bCs/>
                <w:szCs w:val="21"/>
              </w:rPr>
            </w:pPr>
            <w:r>
              <w:rPr>
                <w:rFonts w:hint="eastAsia"/>
                <w:b/>
                <w:bCs/>
                <w:szCs w:val="21"/>
              </w:rPr>
              <w:t>检测</w:t>
            </w:r>
            <w:r>
              <w:rPr>
                <w:b/>
                <w:bCs/>
                <w:szCs w:val="21"/>
              </w:rPr>
              <w:t>频次</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6" w:space="0"/>
          </w:tblBorders>
          <w:tblCellMar>
            <w:top w:w="0" w:type="dxa"/>
            <w:left w:w="30" w:type="dxa"/>
            <w:bottom w:w="0" w:type="dxa"/>
            <w:right w:w="30" w:type="dxa"/>
          </w:tblCellMar>
        </w:tblPrEx>
        <w:trPr>
          <w:trHeight w:val="159" w:hRule="atLeast"/>
          <w:jc w:val="center"/>
        </w:trPr>
        <w:tc>
          <w:tcPr>
            <w:tcW w:w="1010" w:type="dxa"/>
            <w:vMerge w:val="restart"/>
            <w:tcBorders>
              <w:tl2br w:val="nil"/>
              <w:tr2bl w:val="nil"/>
            </w:tcBorders>
            <w:vAlign w:val="center"/>
          </w:tcPr>
          <w:p>
            <w:pPr>
              <w:widowControl/>
              <w:adjustRightInd w:val="0"/>
              <w:snapToGrid w:val="0"/>
              <w:jc w:val="center"/>
              <w:rPr>
                <w:rFonts w:hint="eastAsia"/>
                <w:szCs w:val="21"/>
                <w:lang w:val="en-US" w:eastAsia="zh-CN"/>
              </w:rPr>
            </w:pPr>
            <w:r>
              <w:rPr>
                <w:rFonts w:hint="eastAsia"/>
                <w:szCs w:val="21"/>
                <w:lang w:val="en-US" w:eastAsia="zh-CN"/>
              </w:rPr>
              <w:t>有组织</w:t>
            </w:r>
          </w:p>
          <w:p>
            <w:pPr>
              <w:widowControl/>
              <w:adjustRightInd w:val="0"/>
              <w:snapToGrid w:val="0"/>
              <w:jc w:val="center"/>
              <w:rPr>
                <w:rFonts w:hint="default" w:eastAsia="宋体"/>
                <w:szCs w:val="21"/>
                <w:lang w:val="en-US" w:eastAsia="zh-CN"/>
              </w:rPr>
            </w:pPr>
            <w:r>
              <w:rPr>
                <w:rFonts w:hint="eastAsia"/>
                <w:szCs w:val="21"/>
                <w:lang w:val="en-US" w:eastAsia="zh-CN"/>
              </w:rPr>
              <w:t>废气</w:t>
            </w:r>
          </w:p>
        </w:tc>
        <w:tc>
          <w:tcPr>
            <w:tcW w:w="2282" w:type="dxa"/>
            <w:tcBorders>
              <w:tl2br w:val="nil"/>
              <w:tr2bl w:val="nil"/>
            </w:tcBorders>
            <w:vAlign w:val="center"/>
          </w:tcPr>
          <w:p>
            <w:pPr>
              <w:pStyle w:val="106"/>
              <w:adjustRightInd w:val="0"/>
              <w:rPr>
                <w:rFonts w:hint="eastAsia" w:eastAsiaTheme="minorEastAsia"/>
                <w:bCs/>
                <w:lang w:val="en-US" w:eastAsia="zh-CN"/>
              </w:rPr>
            </w:pPr>
            <w:r>
              <w:rPr>
                <w:rFonts w:hint="eastAsia" w:eastAsiaTheme="minorEastAsia"/>
                <w:bCs/>
                <w:lang w:val="en-US" w:eastAsia="zh-CN"/>
              </w:rPr>
              <w:t>研磨工序P1排气筒</w:t>
            </w:r>
          </w:p>
        </w:tc>
        <w:tc>
          <w:tcPr>
            <w:tcW w:w="1598" w:type="dxa"/>
            <w:tcBorders>
              <w:tl2br w:val="nil"/>
              <w:tr2bl w:val="nil"/>
            </w:tcBorders>
            <w:vAlign w:val="center"/>
          </w:tcPr>
          <w:p>
            <w:pPr>
              <w:widowControl/>
              <w:adjustRightInd w:val="0"/>
              <w:snapToGrid w:val="0"/>
              <w:jc w:val="center"/>
              <w:rPr>
                <w:rFonts w:hint="default" w:ascii="Times New Roman" w:hAnsi="Times New Roman" w:eastAsia="宋体" w:cs="Times New Roman"/>
                <w:kern w:val="0"/>
                <w:sz w:val="21"/>
                <w:szCs w:val="21"/>
                <w:lang w:val="en-US" w:eastAsia="zh-CN" w:bidi="ar-SA"/>
              </w:rPr>
            </w:pPr>
            <w:r>
              <w:rPr>
                <w:rFonts w:hint="eastAsia" w:cs="Times New Roman"/>
                <w:kern w:val="0"/>
                <w:sz w:val="21"/>
                <w:szCs w:val="21"/>
                <w:lang w:val="en-US" w:eastAsia="zh-CN" w:bidi="ar-SA"/>
              </w:rPr>
              <w:t>颗粒物</w:t>
            </w:r>
          </w:p>
        </w:tc>
        <w:tc>
          <w:tcPr>
            <w:tcW w:w="1053" w:type="dxa"/>
            <w:tcBorders>
              <w:tl2br w:val="nil"/>
              <w:tr2bl w:val="nil"/>
            </w:tcBorders>
            <w:vAlign w:val="center"/>
          </w:tcPr>
          <w:p>
            <w:pPr>
              <w:widowControl/>
              <w:adjustRightInd w:val="0"/>
              <w:snapToGrid w:val="0"/>
              <w:jc w:val="center"/>
              <w:rPr>
                <w:rFonts w:hint="default" w:ascii="Times New Roman" w:hAnsi="Times New Roman" w:eastAsia="宋体" w:cs="Times New Roman"/>
                <w:kern w:val="2"/>
                <w:sz w:val="21"/>
                <w:szCs w:val="21"/>
                <w:lang w:val="en-US" w:eastAsia="zh-CN" w:bidi="ar-SA"/>
              </w:rPr>
            </w:pPr>
            <w:r>
              <w:rPr>
                <w:rFonts w:hint="eastAsia" w:cs="Times New Roman"/>
                <w:kern w:val="2"/>
                <w:sz w:val="21"/>
                <w:szCs w:val="21"/>
                <w:lang w:val="en-US" w:eastAsia="zh-CN" w:bidi="ar-SA"/>
              </w:rPr>
              <w:t>1</w:t>
            </w:r>
          </w:p>
        </w:tc>
        <w:tc>
          <w:tcPr>
            <w:tcW w:w="2363" w:type="dxa"/>
            <w:vMerge w:val="restart"/>
            <w:tcBorders>
              <w:tl2br w:val="nil"/>
              <w:tr2bl w:val="nil"/>
            </w:tcBorders>
            <w:vAlign w:val="center"/>
          </w:tcPr>
          <w:p>
            <w:pPr>
              <w:widowControl/>
              <w:adjustRightInd w:val="0"/>
              <w:snapToGrid w:val="0"/>
              <w:jc w:val="center"/>
              <w:rPr>
                <w:szCs w:val="21"/>
              </w:rPr>
            </w:pPr>
            <w:r>
              <w:rPr>
                <w:rFonts w:hint="eastAsia"/>
                <w:szCs w:val="21"/>
                <w:lang w:val="en-US" w:eastAsia="zh-CN"/>
              </w:rPr>
              <w:t>3</w:t>
            </w:r>
            <w:r>
              <w:rPr>
                <w:szCs w:val="21"/>
              </w:rPr>
              <w:t>次/天，</w:t>
            </w:r>
            <w:r>
              <w:rPr>
                <w:rFonts w:hint="eastAsia"/>
                <w:szCs w:val="21"/>
              </w:rPr>
              <w:t>检测</w:t>
            </w:r>
            <w:r>
              <w:rPr>
                <w:rFonts w:hint="eastAsia"/>
                <w:szCs w:val="21"/>
                <w:highlight w:val="none"/>
                <w:lang w:val="en-US" w:eastAsia="zh-CN"/>
              </w:rPr>
              <w:t>2</w:t>
            </w:r>
            <w:r>
              <w:rPr>
                <w:szCs w:val="21"/>
              </w:rPr>
              <w:t>天</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6" w:space="0"/>
          </w:tblBorders>
          <w:tblCellMar>
            <w:top w:w="0" w:type="dxa"/>
            <w:left w:w="30" w:type="dxa"/>
            <w:bottom w:w="0" w:type="dxa"/>
            <w:right w:w="30" w:type="dxa"/>
          </w:tblCellMar>
        </w:tblPrEx>
        <w:trPr>
          <w:trHeight w:val="159" w:hRule="atLeast"/>
          <w:jc w:val="center"/>
        </w:trPr>
        <w:tc>
          <w:tcPr>
            <w:tcW w:w="1010" w:type="dxa"/>
            <w:vMerge w:val="continue"/>
            <w:tcBorders>
              <w:tl2br w:val="nil"/>
              <w:tr2bl w:val="nil"/>
            </w:tcBorders>
            <w:vAlign w:val="center"/>
          </w:tcPr>
          <w:p>
            <w:pPr>
              <w:widowControl/>
              <w:adjustRightInd w:val="0"/>
              <w:snapToGrid w:val="0"/>
              <w:jc w:val="center"/>
            </w:pPr>
          </w:p>
        </w:tc>
        <w:tc>
          <w:tcPr>
            <w:tcW w:w="2282" w:type="dxa"/>
            <w:tcBorders>
              <w:tl2br w:val="nil"/>
              <w:tr2bl w:val="nil"/>
            </w:tcBorders>
            <w:vAlign w:val="center"/>
          </w:tcPr>
          <w:p>
            <w:pPr>
              <w:pStyle w:val="106"/>
              <w:adjustRightInd w:val="0"/>
              <w:rPr>
                <w:rFonts w:hint="eastAsia" w:eastAsiaTheme="minorEastAsia"/>
                <w:bCs/>
                <w:lang w:val="en-US" w:eastAsia="zh-CN"/>
              </w:rPr>
            </w:pPr>
            <w:r>
              <w:rPr>
                <w:rFonts w:hint="eastAsia" w:eastAsiaTheme="minorEastAsia"/>
                <w:bCs/>
                <w:lang w:val="en-US" w:eastAsia="zh-CN"/>
              </w:rPr>
              <w:t>研磨工序P2排气筒</w:t>
            </w:r>
          </w:p>
        </w:tc>
        <w:tc>
          <w:tcPr>
            <w:tcW w:w="1598" w:type="dxa"/>
            <w:tcBorders>
              <w:tl2br w:val="nil"/>
              <w:tr2bl w:val="nil"/>
            </w:tcBorders>
            <w:vAlign w:val="center"/>
          </w:tcPr>
          <w:p>
            <w:pPr>
              <w:widowControl/>
              <w:adjustRightInd w:val="0"/>
              <w:snapToGrid w:val="0"/>
              <w:jc w:val="center"/>
              <w:rPr>
                <w:rFonts w:hint="eastAsia" w:eastAsia="宋体"/>
                <w:szCs w:val="21"/>
                <w:lang w:val="en-US" w:eastAsia="zh-CN"/>
              </w:rPr>
            </w:pPr>
            <w:r>
              <w:rPr>
                <w:rFonts w:hint="eastAsia"/>
                <w:szCs w:val="21"/>
                <w:lang w:val="en-US" w:eastAsia="zh-CN"/>
              </w:rPr>
              <w:t>颗粒物</w:t>
            </w:r>
          </w:p>
        </w:tc>
        <w:tc>
          <w:tcPr>
            <w:tcW w:w="1053" w:type="dxa"/>
            <w:tcBorders>
              <w:tl2br w:val="nil"/>
              <w:tr2bl w:val="nil"/>
            </w:tcBorders>
            <w:vAlign w:val="center"/>
          </w:tcPr>
          <w:p>
            <w:pPr>
              <w:widowControl/>
              <w:adjustRightInd w:val="0"/>
              <w:snapToGrid w:val="0"/>
              <w:jc w:val="center"/>
              <w:rPr>
                <w:rFonts w:hint="eastAsia" w:eastAsia="宋体"/>
                <w:szCs w:val="21"/>
                <w:lang w:val="en-US" w:eastAsia="zh-CN"/>
              </w:rPr>
            </w:pPr>
            <w:r>
              <w:rPr>
                <w:rFonts w:hint="eastAsia"/>
                <w:szCs w:val="21"/>
                <w:lang w:val="en-US" w:eastAsia="zh-CN"/>
              </w:rPr>
              <w:t>1</w:t>
            </w:r>
          </w:p>
        </w:tc>
        <w:tc>
          <w:tcPr>
            <w:tcW w:w="2363" w:type="dxa"/>
            <w:vMerge w:val="continue"/>
            <w:tcBorders>
              <w:tl2br w:val="nil"/>
              <w:tr2bl w:val="nil"/>
            </w:tcBorders>
            <w:vAlign w:val="center"/>
          </w:tcPr>
          <w:p>
            <w:pPr>
              <w:widowControl/>
              <w:adjustRightInd w:val="0"/>
              <w:snapToGrid w:val="0"/>
              <w:jc w:val="center"/>
              <w:rPr>
                <w:szCs w:val="21"/>
              </w:rPr>
            </w:pP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6" w:space="0"/>
          </w:tblBorders>
          <w:tblCellMar>
            <w:top w:w="0" w:type="dxa"/>
            <w:left w:w="30" w:type="dxa"/>
            <w:bottom w:w="0" w:type="dxa"/>
            <w:right w:w="30" w:type="dxa"/>
          </w:tblCellMar>
        </w:tblPrEx>
        <w:trPr>
          <w:trHeight w:val="159" w:hRule="atLeast"/>
          <w:jc w:val="center"/>
        </w:trPr>
        <w:tc>
          <w:tcPr>
            <w:tcW w:w="1010" w:type="dxa"/>
            <w:vMerge w:val="continue"/>
            <w:tcBorders>
              <w:tl2br w:val="nil"/>
              <w:tr2bl w:val="nil"/>
            </w:tcBorders>
            <w:vAlign w:val="center"/>
          </w:tcPr>
          <w:p>
            <w:pPr>
              <w:widowControl/>
              <w:adjustRightInd w:val="0"/>
              <w:snapToGrid w:val="0"/>
              <w:jc w:val="center"/>
              <w:rPr>
                <w:szCs w:val="21"/>
              </w:rPr>
            </w:pPr>
          </w:p>
        </w:tc>
        <w:tc>
          <w:tcPr>
            <w:tcW w:w="2282" w:type="dxa"/>
            <w:tcBorders>
              <w:tl2br w:val="nil"/>
              <w:tr2bl w:val="nil"/>
            </w:tcBorders>
            <w:vAlign w:val="center"/>
          </w:tcPr>
          <w:p>
            <w:pPr>
              <w:pStyle w:val="106"/>
              <w:adjustRightInd w:val="0"/>
              <w:rPr>
                <w:rFonts w:hint="eastAsia" w:eastAsiaTheme="minorEastAsia"/>
                <w:bCs/>
                <w:lang w:val="en-US" w:eastAsia="zh-CN"/>
              </w:rPr>
            </w:pPr>
            <w:r>
              <w:rPr>
                <w:rFonts w:hint="eastAsia" w:eastAsiaTheme="minorEastAsia"/>
                <w:bCs/>
                <w:lang w:val="en-US" w:eastAsia="zh-CN"/>
              </w:rPr>
              <w:t>研磨工序P3排气筒</w:t>
            </w:r>
          </w:p>
        </w:tc>
        <w:tc>
          <w:tcPr>
            <w:tcW w:w="1598" w:type="dxa"/>
            <w:tcBorders>
              <w:tl2br w:val="nil"/>
              <w:tr2bl w:val="nil"/>
            </w:tcBorders>
            <w:vAlign w:val="center"/>
          </w:tcPr>
          <w:p>
            <w:pPr>
              <w:widowControl/>
              <w:adjustRightInd w:val="0"/>
              <w:snapToGrid w:val="0"/>
              <w:jc w:val="center"/>
              <w:rPr>
                <w:szCs w:val="21"/>
              </w:rPr>
            </w:pPr>
            <w:r>
              <w:rPr>
                <w:rFonts w:hint="eastAsia" w:cs="Times New Roman"/>
                <w:kern w:val="0"/>
                <w:sz w:val="21"/>
                <w:szCs w:val="21"/>
                <w:lang w:val="en-US" w:eastAsia="zh-CN" w:bidi="ar-SA"/>
              </w:rPr>
              <w:t>颗粒物</w:t>
            </w:r>
          </w:p>
        </w:tc>
        <w:tc>
          <w:tcPr>
            <w:tcW w:w="1053" w:type="dxa"/>
            <w:tcBorders>
              <w:tl2br w:val="nil"/>
              <w:tr2bl w:val="nil"/>
            </w:tcBorders>
            <w:vAlign w:val="center"/>
          </w:tcPr>
          <w:p>
            <w:pPr>
              <w:widowControl/>
              <w:adjustRightInd w:val="0"/>
              <w:snapToGrid w:val="0"/>
              <w:jc w:val="center"/>
              <w:rPr>
                <w:rFonts w:hint="eastAsia" w:eastAsia="宋体"/>
                <w:szCs w:val="21"/>
                <w:lang w:val="en-US" w:eastAsia="zh-CN"/>
              </w:rPr>
            </w:pPr>
            <w:r>
              <w:rPr>
                <w:rFonts w:hint="eastAsia"/>
                <w:szCs w:val="21"/>
                <w:lang w:val="en-US" w:eastAsia="zh-CN"/>
              </w:rPr>
              <w:t>1</w:t>
            </w:r>
          </w:p>
        </w:tc>
        <w:tc>
          <w:tcPr>
            <w:tcW w:w="2363" w:type="dxa"/>
            <w:vMerge w:val="continue"/>
            <w:tcBorders>
              <w:tl2br w:val="nil"/>
              <w:tr2bl w:val="nil"/>
            </w:tcBorders>
            <w:vAlign w:val="center"/>
          </w:tcPr>
          <w:p>
            <w:pPr>
              <w:widowControl/>
              <w:adjustRightInd w:val="0"/>
              <w:snapToGrid w:val="0"/>
              <w:jc w:val="center"/>
              <w:rPr>
                <w:szCs w:val="21"/>
              </w:rPr>
            </w:pP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6" w:space="0"/>
          </w:tblBorders>
          <w:tblCellMar>
            <w:top w:w="0" w:type="dxa"/>
            <w:left w:w="30" w:type="dxa"/>
            <w:bottom w:w="0" w:type="dxa"/>
            <w:right w:w="30" w:type="dxa"/>
          </w:tblCellMar>
        </w:tblPrEx>
        <w:trPr>
          <w:trHeight w:val="159" w:hRule="atLeast"/>
          <w:jc w:val="center"/>
        </w:trPr>
        <w:tc>
          <w:tcPr>
            <w:tcW w:w="1010" w:type="dxa"/>
            <w:vMerge w:val="continue"/>
            <w:tcBorders>
              <w:tl2br w:val="nil"/>
              <w:tr2bl w:val="nil"/>
            </w:tcBorders>
            <w:vAlign w:val="center"/>
          </w:tcPr>
          <w:p>
            <w:pPr>
              <w:widowControl/>
              <w:adjustRightInd w:val="0"/>
              <w:snapToGrid w:val="0"/>
              <w:jc w:val="center"/>
              <w:rPr>
                <w:szCs w:val="21"/>
              </w:rPr>
            </w:pPr>
          </w:p>
        </w:tc>
        <w:tc>
          <w:tcPr>
            <w:tcW w:w="2282" w:type="dxa"/>
            <w:tcBorders>
              <w:tl2br w:val="nil"/>
              <w:tr2bl w:val="nil"/>
            </w:tcBorders>
            <w:vAlign w:val="center"/>
          </w:tcPr>
          <w:p>
            <w:pPr>
              <w:pStyle w:val="106"/>
              <w:adjustRightInd w:val="0"/>
              <w:rPr>
                <w:rFonts w:hint="eastAsia" w:eastAsiaTheme="minorEastAsia"/>
                <w:bCs/>
                <w:lang w:val="en-US" w:eastAsia="zh-CN"/>
              </w:rPr>
            </w:pPr>
            <w:r>
              <w:rPr>
                <w:rFonts w:hint="eastAsia" w:eastAsiaTheme="minorEastAsia"/>
                <w:bCs/>
                <w:lang w:val="en-US" w:eastAsia="zh-CN"/>
              </w:rPr>
              <w:t>研磨工序P4排气筒</w:t>
            </w:r>
          </w:p>
        </w:tc>
        <w:tc>
          <w:tcPr>
            <w:tcW w:w="1598" w:type="dxa"/>
            <w:tcBorders>
              <w:tl2br w:val="nil"/>
              <w:tr2bl w:val="nil"/>
            </w:tcBorders>
            <w:vAlign w:val="center"/>
          </w:tcPr>
          <w:p>
            <w:pPr>
              <w:widowControl/>
              <w:adjustRightInd w:val="0"/>
              <w:snapToGrid w:val="0"/>
              <w:jc w:val="center"/>
              <w:rPr>
                <w:szCs w:val="21"/>
              </w:rPr>
            </w:pPr>
            <w:r>
              <w:rPr>
                <w:rFonts w:hint="eastAsia" w:cs="Times New Roman"/>
                <w:kern w:val="0"/>
                <w:sz w:val="21"/>
                <w:szCs w:val="21"/>
                <w:lang w:val="en-US" w:eastAsia="zh-CN" w:bidi="ar-SA"/>
              </w:rPr>
              <w:t>颗粒物</w:t>
            </w:r>
          </w:p>
        </w:tc>
        <w:tc>
          <w:tcPr>
            <w:tcW w:w="1053" w:type="dxa"/>
            <w:tcBorders>
              <w:tl2br w:val="nil"/>
              <w:tr2bl w:val="nil"/>
            </w:tcBorders>
            <w:vAlign w:val="center"/>
          </w:tcPr>
          <w:p>
            <w:pPr>
              <w:widowControl/>
              <w:adjustRightInd w:val="0"/>
              <w:snapToGrid w:val="0"/>
              <w:jc w:val="center"/>
              <w:rPr>
                <w:rFonts w:hint="eastAsia" w:eastAsia="宋体"/>
                <w:szCs w:val="21"/>
                <w:lang w:val="en-US" w:eastAsia="zh-CN"/>
              </w:rPr>
            </w:pPr>
            <w:r>
              <w:rPr>
                <w:rFonts w:hint="eastAsia"/>
                <w:szCs w:val="21"/>
                <w:lang w:val="en-US" w:eastAsia="zh-CN"/>
              </w:rPr>
              <w:t>1</w:t>
            </w:r>
          </w:p>
        </w:tc>
        <w:tc>
          <w:tcPr>
            <w:tcW w:w="2363" w:type="dxa"/>
            <w:vMerge w:val="continue"/>
            <w:tcBorders>
              <w:tl2br w:val="nil"/>
              <w:tr2bl w:val="nil"/>
            </w:tcBorders>
            <w:vAlign w:val="center"/>
          </w:tcPr>
          <w:p>
            <w:pPr>
              <w:widowControl/>
              <w:adjustRightInd w:val="0"/>
              <w:snapToGrid w:val="0"/>
              <w:jc w:val="center"/>
              <w:rPr>
                <w:szCs w:val="21"/>
              </w:rPr>
            </w:pP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6" w:space="0"/>
          </w:tblBorders>
          <w:tblCellMar>
            <w:top w:w="0" w:type="dxa"/>
            <w:left w:w="30" w:type="dxa"/>
            <w:bottom w:w="0" w:type="dxa"/>
            <w:right w:w="30" w:type="dxa"/>
          </w:tblCellMar>
        </w:tblPrEx>
        <w:trPr>
          <w:trHeight w:val="159" w:hRule="atLeast"/>
          <w:jc w:val="center"/>
        </w:trPr>
        <w:tc>
          <w:tcPr>
            <w:tcW w:w="1010" w:type="dxa"/>
            <w:vMerge w:val="continue"/>
            <w:tcBorders>
              <w:tl2br w:val="nil"/>
              <w:tr2bl w:val="nil"/>
            </w:tcBorders>
            <w:vAlign w:val="center"/>
          </w:tcPr>
          <w:p>
            <w:pPr>
              <w:widowControl/>
              <w:adjustRightInd w:val="0"/>
              <w:snapToGrid w:val="0"/>
              <w:jc w:val="center"/>
              <w:rPr>
                <w:szCs w:val="21"/>
              </w:rPr>
            </w:pPr>
          </w:p>
        </w:tc>
        <w:tc>
          <w:tcPr>
            <w:tcW w:w="2282" w:type="dxa"/>
            <w:tcBorders>
              <w:tl2br w:val="nil"/>
              <w:tr2bl w:val="nil"/>
            </w:tcBorders>
            <w:vAlign w:val="center"/>
          </w:tcPr>
          <w:p>
            <w:pPr>
              <w:pStyle w:val="106"/>
              <w:adjustRightInd w:val="0"/>
              <w:rPr>
                <w:rFonts w:hint="eastAsia" w:eastAsiaTheme="minorEastAsia"/>
                <w:bCs/>
                <w:lang w:val="en-US" w:eastAsia="zh-CN"/>
              </w:rPr>
            </w:pPr>
            <w:r>
              <w:rPr>
                <w:rFonts w:hint="eastAsia" w:eastAsiaTheme="minorEastAsia"/>
                <w:bCs/>
                <w:lang w:val="en-US" w:eastAsia="zh-CN"/>
              </w:rPr>
              <w:t>振动筛P5排气筒</w:t>
            </w:r>
          </w:p>
        </w:tc>
        <w:tc>
          <w:tcPr>
            <w:tcW w:w="1598" w:type="dxa"/>
            <w:tcBorders>
              <w:tl2br w:val="nil"/>
              <w:tr2bl w:val="nil"/>
            </w:tcBorders>
            <w:vAlign w:val="center"/>
          </w:tcPr>
          <w:p>
            <w:pPr>
              <w:widowControl/>
              <w:adjustRightInd w:val="0"/>
              <w:snapToGrid w:val="0"/>
              <w:jc w:val="center"/>
              <w:rPr>
                <w:szCs w:val="21"/>
              </w:rPr>
            </w:pPr>
            <w:r>
              <w:rPr>
                <w:rFonts w:hint="eastAsia" w:cs="Times New Roman"/>
                <w:kern w:val="0"/>
                <w:sz w:val="21"/>
                <w:szCs w:val="21"/>
                <w:lang w:val="en-US" w:eastAsia="zh-CN" w:bidi="ar-SA"/>
              </w:rPr>
              <w:t>颗粒物</w:t>
            </w:r>
          </w:p>
        </w:tc>
        <w:tc>
          <w:tcPr>
            <w:tcW w:w="1053" w:type="dxa"/>
            <w:tcBorders>
              <w:tl2br w:val="nil"/>
              <w:tr2bl w:val="nil"/>
            </w:tcBorders>
            <w:vAlign w:val="center"/>
          </w:tcPr>
          <w:p>
            <w:pPr>
              <w:widowControl/>
              <w:adjustRightInd w:val="0"/>
              <w:snapToGrid w:val="0"/>
              <w:jc w:val="center"/>
              <w:rPr>
                <w:rFonts w:hint="eastAsia" w:eastAsia="宋体"/>
                <w:szCs w:val="21"/>
                <w:lang w:val="en-US" w:eastAsia="zh-CN"/>
              </w:rPr>
            </w:pPr>
            <w:r>
              <w:rPr>
                <w:rFonts w:hint="eastAsia"/>
                <w:szCs w:val="21"/>
                <w:lang w:val="en-US" w:eastAsia="zh-CN"/>
              </w:rPr>
              <w:t>1</w:t>
            </w:r>
          </w:p>
        </w:tc>
        <w:tc>
          <w:tcPr>
            <w:tcW w:w="2363" w:type="dxa"/>
            <w:vMerge w:val="continue"/>
            <w:tcBorders>
              <w:tl2br w:val="nil"/>
              <w:tr2bl w:val="nil"/>
            </w:tcBorders>
            <w:vAlign w:val="center"/>
          </w:tcPr>
          <w:p>
            <w:pPr>
              <w:widowControl/>
              <w:adjustRightInd w:val="0"/>
              <w:snapToGrid w:val="0"/>
              <w:jc w:val="center"/>
              <w:rPr>
                <w:szCs w:val="21"/>
              </w:rPr>
            </w:pP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6" w:space="0"/>
          </w:tblBorders>
          <w:tblCellMar>
            <w:top w:w="0" w:type="dxa"/>
            <w:left w:w="30" w:type="dxa"/>
            <w:bottom w:w="0" w:type="dxa"/>
            <w:right w:w="30" w:type="dxa"/>
          </w:tblCellMar>
        </w:tblPrEx>
        <w:trPr>
          <w:trHeight w:val="159" w:hRule="atLeast"/>
          <w:jc w:val="center"/>
        </w:trPr>
        <w:tc>
          <w:tcPr>
            <w:tcW w:w="1010" w:type="dxa"/>
            <w:vMerge w:val="continue"/>
            <w:tcBorders>
              <w:tl2br w:val="nil"/>
              <w:tr2bl w:val="nil"/>
            </w:tcBorders>
            <w:vAlign w:val="center"/>
          </w:tcPr>
          <w:p>
            <w:pPr>
              <w:widowControl/>
              <w:adjustRightInd w:val="0"/>
              <w:snapToGrid w:val="0"/>
              <w:jc w:val="center"/>
              <w:rPr>
                <w:szCs w:val="21"/>
              </w:rPr>
            </w:pPr>
          </w:p>
        </w:tc>
        <w:tc>
          <w:tcPr>
            <w:tcW w:w="2282" w:type="dxa"/>
            <w:tcBorders>
              <w:tl2br w:val="nil"/>
              <w:tr2bl w:val="nil"/>
            </w:tcBorders>
            <w:vAlign w:val="center"/>
          </w:tcPr>
          <w:p>
            <w:pPr>
              <w:pStyle w:val="106"/>
              <w:adjustRightInd w:val="0"/>
              <w:rPr>
                <w:rFonts w:hint="eastAsia" w:eastAsiaTheme="minorEastAsia"/>
                <w:bCs/>
                <w:lang w:val="en-US" w:eastAsia="zh-CN"/>
              </w:rPr>
            </w:pPr>
            <w:r>
              <w:rPr>
                <w:rFonts w:hint="eastAsia" w:eastAsiaTheme="minorEastAsia"/>
                <w:bCs/>
                <w:lang w:val="en-US" w:eastAsia="zh-CN"/>
              </w:rPr>
              <w:t>破碎工序P6排气筒</w:t>
            </w:r>
          </w:p>
        </w:tc>
        <w:tc>
          <w:tcPr>
            <w:tcW w:w="1598" w:type="dxa"/>
            <w:tcBorders>
              <w:tl2br w:val="nil"/>
              <w:tr2bl w:val="nil"/>
            </w:tcBorders>
            <w:vAlign w:val="center"/>
          </w:tcPr>
          <w:p>
            <w:pPr>
              <w:widowControl/>
              <w:adjustRightInd w:val="0"/>
              <w:snapToGrid w:val="0"/>
              <w:jc w:val="center"/>
              <w:rPr>
                <w:szCs w:val="21"/>
              </w:rPr>
            </w:pPr>
            <w:r>
              <w:rPr>
                <w:rFonts w:hint="eastAsia" w:cs="Times New Roman"/>
                <w:kern w:val="0"/>
                <w:sz w:val="21"/>
                <w:szCs w:val="21"/>
                <w:lang w:val="en-US" w:eastAsia="zh-CN" w:bidi="ar-SA"/>
              </w:rPr>
              <w:t>颗粒物</w:t>
            </w:r>
          </w:p>
        </w:tc>
        <w:tc>
          <w:tcPr>
            <w:tcW w:w="1053" w:type="dxa"/>
            <w:tcBorders>
              <w:tl2br w:val="nil"/>
              <w:tr2bl w:val="nil"/>
            </w:tcBorders>
            <w:vAlign w:val="center"/>
          </w:tcPr>
          <w:p>
            <w:pPr>
              <w:widowControl/>
              <w:adjustRightInd w:val="0"/>
              <w:snapToGrid w:val="0"/>
              <w:jc w:val="center"/>
              <w:rPr>
                <w:rFonts w:hint="eastAsia" w:eastAsia="宋体"/>
                <w:szCs w:val="21"/>
                <w:lang w:val="en-US" w:eastAsia="zh-CN"/>
              </w:rPr>
            </w:pPr>
            <w:r>
              <w:rPr>
                <w:rFonts w:hint="eastAsia"/>
                <w:szCs w:val="21"/>
                <w:lang w:val="en-US" w:eastAsia="zh-CN"/>
              </w:rPr>
              <w:t>1</w:t>
            </w:r>
          </w:p>
        </w:tc>
        <w:tc>
          <w:tcPr>
            <w:tcW w:w="2363" w:type="dxa"/>
            <w:vMerge w:val="continue"/>
            <w:tcBorders>
              <w:tl2br w:val="nil"/>
              <w:tr2bl w:val="nil"/>
            </w:tcBorders>
            <w:vAlign w:val="center"/>
          </w:tcPr>
          <w:p>
            <w:pPr>
              <w:widowControl/>
              <w:adjustRightInd w:val="0"/>
              <w:snapToGrid w:val="0"/>
              <w:jc w:val="center"/>
              <w:rPr>
                <w:szCs w:val="21"/>
              </w:rPr>
            </w:pP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6" w:space="0"/>
          </w:tblBorders>
          <w:tblCellMar>
            <w:top w:w="0" w:type="dxa"/>
            <w:left w:w="30" w:type="dxa"/>
            <w:bottom w:w="0" w:type="dxa"/>
            <w:right w:w="30" w:type="dxa"/>
          </w:tblCellMar>
        </w:tblPrEx>
        <w:trPr>
          <w:trHeight w:val="967" w:hRule="atLeast"/>
          <w:jc w:val="center"/>
        </w:trPr>
        <w:tc>
          <w:tcPr>
            <w:tcW w:w="1010" w:type="dxa"/>
            <w:tcBorders>
              <w:tl2br w:val="nil"/>
              <w:tr2bl w:val="nil"/>
            </w:tcBorders>
            <w:vAlign w:val="center"/>
          </w:tcPr>
          <w:p>
            <w:pPr>
              <w:widowControl/>
              <w:adjustRightInd w:val="0"/>
              <w:snapToGrid w:val="0"/>
              <w:jc w:val="center"/>
              <w:rPr>
                <w:szCs w:val="21"/>
              </w:rPr>
            </w:pPr>
            <w:r>
              <w:rPr>
                <w:szCs w:val="21"/>
              </w:rPr>
              <w:t>无组织</w:t>
            </w:r>
          </w:p>
          <w:p>
            <w:pPr>
              <w:widowControl/>
              <w:adjustRightInd w:val="0"/>
              <w:snapToGrid w:val="0"/>
              <w:jc w:val="center"/>
              <w:rPr>
                <w:rFonts w:ascii="Times New Roman" w:hAnsi="Times New Roman" w:eastAsia="宋体" w:cs="Times New Roman"/>
                <w:kern w:val="2"/>
                <w:sz w:val="21"/>
                <w:szCs w:val="21"/>
                <w:lang w:val="en-US" w:eastAsia="zh-CN" w:bidi="ar-SA"/>
              </w:rPr>
            </w:pPr>
            <w:r>
              <w:rPr>
                <w:szCs w:val="21"/>
              </w:rPr>
              <w:t>废气</w:t>
            </w:r>
          </w:p>
        </w:tc>
        <w:tc>
          <w:tcPr>
            <w:tcW w:w="2282" w:type="dxa"/>
            <w:tcBorders>
              <w:tl2br w:val="nil"/>
              <w:tr2bl w:val="nil"/>
            </w:tcBorders>
            <w:vAlign w:val="center"/>
          </w:tcPr>
          <w:p>
            <w:pPr>
              <w:widowControl/>
              <w:adjustRightInd w:val="0"/>
              <w:snapToGrid w:val="0"/>
              <w:jc w:val="center"/>
              <w:rPr>
                <w:szCs w:val="21"/>
              </w:rPr>
            </w:pPr>
            <w:r>
              <w:rPr>
                <w:szCs w:val="21"/>
              </w:rPr>
              <w:t>厂界上风向1个参照点，</w:t>
            </w:r>
          </w:p>
          <w:p>
            <w:pPr>
              <w:widowControl/>
              <w:adjustRightInd w:val="0"/>
              <w:snapToGrid w:val="0"/>
              <w:jc w:val="center"/>
              <w:rPr>
                <w:rFonts w:ascii="Times New Roman" w:hAnsi="Times New Roman" w:eastAsia="宋体" w:cs="Times New Roman"/>
                <w:kern w:val="2"/>
                <w:sz w:val="21"/>
                <w:szCs w:val="21"/>
                <w:lang w:val="en-US" w:eastAsia="zh-CN" w:bidi="ar-SA"/>
              </w:rPr>
            </w:pPr>
            <w:r>
              <w:rPr>
                <w:szCs w:val="21"/>
              </w:rPr>
              <w:t>下风向3个监控点</w:t>
            </w:r>
          </w:p>
        </w:tc>
        <w:tc>
          <w:tcPr>
            <w:tcW w:w="1598" w:type="dxa"/>
            <w:tcBorders>
              <w:tl2br w:val="nil"/>
              <w:tr2bl w:val="nil"/>
            </w:tcBorders>
            <w:vAlign w:val="center"/>
          </w:tcPr>
          <w:p>
            <w:pPr>
              <w:widowControl/>
              <w:adjustRightInd w:val="0"/>
              <w:snapToGrid w:val="0"/>
              <w:jc w:val="center"/>
              <w:rPr>
                <w:rFonts w:hint="eastAsia" w:ascii="Times New Roman" w:hAnsi="Times New Roman" w:eastAsia="宋体" w:cs="Times New Roman"/>
                <w:kern w:val="0"/>
                <w:sz w:val="21"/>
                <w:szCs w:val="21"/>
                <w:lang w:val="en-US" w:eastAsia="zh-CN" w:bidi="ar-SA"/>
              </w:rPr>
            </w:pPr>
            <w:r>
              <w:rPr>
                <w:rFonts w:hint="eastAsia"/>
                <w:kern w:val="0"/>
                <w:szCs w:val="21"/>
                <w:lang w:val="en-US" w:eastAsia="zh-CN"/>
              </w:rPr>
              <w:t>总悬浮</w:t>
            </w:r>
            <w:r>
              <w:rPr>
                <w:rFonts w:hint="eastAsia"/>
                <w:kern w:val="0"/>
                <w:szCs w:val="21"/>
              </w:rPr>
              <w:t>颗粒物</w:t>
            </w:r>
          </w:p>
        </w:tc>
        <w:tc>
          <w:tcPr>
            <w:tcW w:w="1053" w:type="dxa"/>
            <w:tcBorders>
              <w:tl2br w:val="nil"/>
              <w:tr2bl w:val="nil"/>
            </w:tcBorders>
            <w:vAlign w:val="center"/>
          </w:tcPr>
          <w:p>
            <w:pPr>
              <w:widowControl/>
              <w:adjustRightInd w:val="0"/>
              <w:snapToGrid w:val="0"/>
              <w:jc w:val="center"/>
              <w:rPr>
                <w:rFonts w:hint="eastAsia" w:ascii="Times New Roman" w:hAnsi="Times New Roman" w:eastAsia="宋体" w:cs="Times New Roman"/>
                <w:kern w:val="2"/>
                <w:sz w:val="21"/>
                <w:szCs w:val="21"/>
                <w:lang w:val="en-US" w:eastAsia="zh-CN" w:bidi="ar-SA"/>
              </w:rPr>
            </w:pPr>
            <w:r>
              <w:rPr>
                <w:rFonts w:hint="eastAsia"/>
                <w:szCs w:val="21"/>
              </w:rPr>
              <w:t>4</w:t>
            </w:r>
          </w:p>
        </w:tc>
        <w:tc>
          <w:tcPr>
            <w:tcW w:w="2363" w:type="dxa"/>
            <w:tcBorders>
              <w:tl2br w:val="nil"/>
              <w:tr2bl w:val="nil"/>
            </w:tcBorders>
            <w:vAlign w:val="center"/>
          </w:tcPr>
          <w:p>
            <w:pPr>
              <w:widowControl/>
              <w:adjustRightInd w:val="0"/>
              <w:snapToGrid w:val="0"/>
              <w:jc w:val="center"/>
              <w:rPr>
                <w:rFonts w:hint="eastAsia" w:ascii="Times New Roman" w:hAnsi="Times New Roman" w:eastAsia="宋体" w:cs="Times New Roman"/>
                <w:kern w:val="2"/>
                <w:sz w:val="21"/>
                <w:szCs w:val="21"/>
                <w:lang w:val="en-US" w:eastAsia="zh-CN" w:bidi="ar-SA"/>
              </w:rPr>
            </w:pPr>
            <w:r>
              <w:rPr>
                <w:rFonts w:hint="eastAsia"/>
                <w:szCs w:val="21"/>
                <w:lang w:val="en-US" w:eastAsia="zh-CN"/>
              </w:rPr>
              <w:t>3</w:t>
            </w:r>
            <w:r>
              <w:rPr>
                <w:szCs w:val="21"/>
              </w:rPr>
              <w:t>次/天，</w:t>
            </w:r>
            <w:r>
              <w:rPr>
                <w:rFonts w:hint="eastAsia"/>
                <w:szCs w:val="21"/>
              </w:rPr>
              <w:t>检测</w:t>
            </w:r>
            <w:r>
              <w:rPr>
                <w:szCs w:val="21"/>
              </w:rPr>
              <w:t>2天</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6" w:space="0"/>
          </w:tblBorders>
          <w:tblCellMar>
            <w:top w:w="0" w:type="dxa"/>
            <w:left w:w="30" w:type="dxa"/>
            <w:bottom w:w="0" w:type="dxa"/>
            <w:right w:w="30" w:type="dxa"/>
          </w:tblCellMar>
        </w:tblPrEx>
        <w:trPr>
          <w:trHeight w:val="239" w:hRule="atLeast"/>
          <w:jc w:val="center"/>
        </w:trPr>
        <w:tc>
          <w:tcPr>
            <w:tcW w:w="1010" w:type="dxa"/>
            <w:vMerge w:val="restart"/>
            <w:tcBorders>
              <w:tl2br w:val="nil"/>
              <w:tr2bl w:val="nil"/>
            </w:tcBorders>
            <w:vAlign w:val="center"/>
          </w:tcPr>
          <w:p>
            <w:pPr>
              <w:widowControl/>
              <w:adjustRightInd w:val="0"/>
              <w:snapToGrid w:val="0"/>
              <w:jc w:val="center"/>
              <w:rPr>
                <w:rFonts w:hint="eastAsia" w:eastAsia="宋体"/>
                <w:szCs w:val="21"/>
                <w:lang w:val="en-US" w:eastAsia="zh-CN"/>
              </w:rPr>
            </w:pPr>
            <w:r>
              <w:rPr>
                <w:rFonts w:hint="eastAsia"/>
                <w:szCs w:val="21"/>
                <w:lang w:val="en-US" w:eastAsia="zh-CN"/>
              </w:rPr>
              <w:t>废水</w:t>
            </w:r>
          </w:p>
        </w:tc>
        <w:tc>
          <w:tcPr>
            <w:tcW w:w="2282" w:type="dxa"/>
            <w:vMerge w:val="restart"/>
            <w:tcBorders>
              <w:tl2br w:val="nil"/>
              <w:tr2bl w:val="nil"/>
            </w:tcBorders>
            <w:vAlign w:val="center"/>
          </w:tcPr>
          <w:p>
            <w:pPr>
              <w:widowControl/>
              <w:adjustRightInd w:val="0"/>
              <w:snapToGrid w:val="0"/>
              <w:jc w:val="center"/>
              <w:rPr>
                <w:szCs w:val="21"/>
              </w:rPr>
            </w:pPr>
            <w:r>
              <w:rPr>
                <w:szCs w:val="21"/>
              </w:rPr>
              <w:t>厂区污水排放口</w:t>
            </w:r>
          </w:p>
        </w:tc>
        <w:tc>
          <w:tcPr>
            <w:tcW w:w="1598" w:type="dxa"/>
            <w:tcBorders>
              <w:tl2br w:val="nil"/>
              <w:tr2bl w:val="nil"/>
            </w:tcBorders>
            <w:vAlign w:val="center"/>
          </w:tcPr>
          <w:p>
            <w:pPr>
              <w:pStyle w:val="106"/>
              <w:adjustRightInd w:val="0"/>
              <w:rPr>
                <w:rFonts w:hint="eastAsia" w:ascii="Times New Roman" w:hAnsi="Times New Roman" w:cs="Times New Roman" w:eastAsiaTheme="minorEastAsia"/>
                <w:bCs/>
                <w:kern w:val="2"/>
                <w:sz w:val="21"/>
                <w:szCs w:val="21"/>
                <w:lang w:val="en-US" w:eastAsia="zh-CN" w:bidi="ar-SA"/>
              </w:rPr>
            </w:pPr>
            <w:r>
              <w:rPr>
                <w:rFonts w:hint="eastAsia" w:eastAsiaTheme="minorEastAsia"/>
                <w:bCs/>
                <w:lang w:val="en-US" w:eastAsia="zh-CN"/>
              </w:rPr>
              <w:t>化学需氧量</w:t>
            </w:r>
          </w:p>
        </w:tc>
        <w:tc>
          <w:tcPr>
            <w:tcW w:w="1053" w:type="dxa"/>
            <w:vMerge w:val="restart"/>
            <w:tcBorders>
              <w:tl2br w:val="nil"/>
              <w:tr2bl w:val="nil"/>
            </w:tcBorders>
            <w:vAlign w:val="center"/>
          </w:tcPr>
          <w:p>
            <w:pPr>
              <w:widowControl/>
              <w:adjustRightInd w:val="0"/>
              <w:snapToGrid w:val="0"/>
              <w:jc w:val="center"/>
              <w:rPr>
                <w:rFonts w:hint="eastAsia" w:eastAsia="宋体"/>
                <w:szCs w:val="21"/>
                <w:lang w:val="en-US" w:eastAsia="zh-CN"/>
              </w:rPr>
            </w:pPr>
            <w:r>
              <w:rPr>
                <w:rFonts w:hint="eastAsia"/>
                <w:szCs w:val="21"/>
                <w:lang w:val="en-US" w:eastAsia="zh-CN"/>
              </w:rPr>
              <w:t>1</w:t>
            </w:r>
          </w:p>
        </w:tc>
        <w:tc>
          <w:tcPr>
            <w:tcW w:w="2363" w:type="dxa"/>
            <w:vMerge w:val="restart"/>
            <w:tcBorders>
              <w:tl2br w:val="nil"/>
              <w:tr2bl w:val="nil"/>
            </w:tcBorders>
            <w:vAlign w:val="center"/>
          </w:tcPr>
          <w:p>
            <w:pPr>
              <w:widowControl/>
              <w:adjustRightInd w:val="0"/>
              <w:snapToGrid w:val="0"/>
              <w:jc w:val="center"/>
              <w:rPr>
                <w:rFonts w:hint="eastAsia"/>
                <w:szCs w:val="21"/>
                <w:lang w:val="en-US" w:eastAsia="zh-CN"/>
              </w:rPr>
            </w:pPr>
            <w:r>
              <w:rPr>
                <w:rFonts w:hint="eastAsia"/>
                <w:szCs w:val="21"/>
                <w:lang w:val="en-US" w:eastAsia="zh-CN"/>
              </w:rPr>
              <w:t>3</w:t>
            </w:r>
            <w:r>
              <w:rPr>
                <w:szCs w:val="21"/>
              </w:rPr>
              <w:t>次/天，</w:t>
            </w:r>
            <w:r>
              <w:rPr>
                <w:rFonts w:hint="eastAsia"/>
                <w:szCs w:val="21"/>
              </w:rPr>
              <w:t>检测</w:t>
            </w:r>
            <w:r>
              <w:rPr>
                <w:szCs w:val="21"/>
              </w:rPr>
              <w:t>2天</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6" w:space="0"/>
          </w:tblBorders>
          <w:tblCellMar>
            <w:top w:w="0" w:type="dxa"/>
            <w:left w:w="30" w:type="dxa"/>
            <w:bottom w:w="0" w:type="dxa"/>
            <w:right w:w="30" w:type="dxa"/>
          </w:tblCellMar>
        </w:tblPrEx>
        <w:trPr>
          <w:trHeight w:val="239" w:hRule="atLeast"/>
          <w:jc w:val="center"/>
        </w:trPr>
        <w:tc>
          <w:tcPr>
            <w:tcW w:w="1010" w:type="dxa"/>
            <w:vMerge w:val="continue"/>
            <w:tcBorders>
              <w:tl2br w:val="nil"/>
              <w:tr2bl w:val="nil"/>
            </w:tcBorders>
            <w:vAlign w:val="center"/>
          </w:tcPr>
          <w:p>
            <w:pPr>
              <w:widowControl/>
              <w:adjustRightInd w:val="0"/>
              <w:snapToGrid w:val="0"/>
              <w:jc w:val="center"/>
            </w:pPr>
          </w:p>
        </w:tc>
        <w:tc>
          <w:tcPr>
            <w:tcW w:w="2282" w:type="dxa"/>
            <w:vMerge w:val="continue"/>
            <w:tcBorders>
              <w:tl2br w:val="nil"/>
              <w:tr2bl w:val="nil"/>
            </w:tcBorders>
            <w:vAlign w:val="center"/>
          </w:tcPr>
          <w:p>
            <w:pPr>
              <w:widowControl/>
              <w:adjustRightInd w:val="0"/>
              <w:snapToGrid w:val="0"/>
              <w:jc w:val="center"/>
            </w:pPr>
          </w:p>
        </w:tc>
        <w:tc>
          <w:tcPr>
            <w:tcW w:w="1598" w:type="dxa"/>
            <w:tcBorders>
              <w:tl2br w:val="nil"/>
              <w:tr2bl w:val="nil"/>
            </w:tcBorders>
            <w:vAlign w:val="center"/>
          </w:tcPr>
          <w:p>
            <w:pPr>
              <w:pStyle w:val="106"/>
              <w:adjustRightInd w:val="0"/>
              <w:rPr>
                <w:rFonts w:hint="eastAsia" w:ascii="Times New Roman" w:hAnsi="Times New Roman" w:cs="Times New Roman" w:eastAsiaTheme="minorEastAsia"/>
                <w:bCs/>
                <w:kern w:val="2"/>
                <w:sz w:val="21"/>
                <w:szCs w:val="21"/>
                <w:lang w:val="en-US" w:eastAsia="zh-CN" w:bidi="ar-SA"/>
              </w:rPr>
            </w:pPr>
            <w:r>
              <w:rPr>
                <w:rFonts w:hint="eastAsia" w:eastAsiaTheme="minorEastAsia"/>
                <w:bCs/>
                <w:lang w:val="en-US" w:eastAsia="zh-CN"/>
              </w:rPr>
              <w:t>氨氮</w:t>
            </w:r>
          </w:p>
        </w:tc>
        <w:tc>
          <w:tcPr>
            <w:tcW w:w="1053" w:type="dxa"/>
            <w:vMerge w:val="continue"/>
            <w:tcBorders>
              <w:tl2br w:val="nil"/>
              <w:tr2bl w:val="nil"/>
            </w:tcBorders>
            <w:vAlign w:val="center"/>
          </w:tcPr>
          <w:p>
            <w:pPr>
              <w:widowControl/>
              <w:adjustRightInd w:val="0"/>
              <w:snapToGrid w:val="0"/>
              <w:jc w:val="center"/>
              <w:rPr>
                <w:rFonts w:hint="eastAsia"/>
                <w:kern w:val="0"/>
                <w:szCs w:val="21"/>
                <w:lang w:val="en-US" w:eastAsia="zh-CN"/>
              </w:rPr>
            </w:pPr>
          </w:p>
        </w:tc>
        <w:tc>
          <w:tcPr>
            <w:tcW w:w="2363" w:type="dxa"/>
            <w:vMerge w:val="continue"/>
            <w:tcBorders>
              <w:tl2br w:val="nil"/>
              <w:tr2bl w:val="nil"/>
            </w:tcBorders>
            <w:vAlign w:val="center"/>
          </w:tcPr>
          <w:p>
            <w:pPr>
              <w:widowControl/>
              <w:adjustRightInd w:val="0"/>
              <w:snapToGrid w:val="0"/>
              <w:jc w:val="center"/>
              <w:rPr>
                <w:rFonts w:hint="eastAsia"/>
                <w:kern w:val="0"/>
                <w:szCs w:val="21"/>
                <w:lang w:val="en-US" w:eastAsia="zh-CN"/>
              </w:rPr>
            </w:pP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6" w:space="0"/>
          </w:tblBorders>
          <w:tblCellMar>
            <w:top w:w="0" w:type="dxa"/>
            <w:left w:w="30" w:type="dxa"/>
            <w:bottom w:w="0" w:type="dxa"/>
            <w:right w:w="30" w:type="dxa"/>
          </w:tblCellMar>
        </w:tblPrEx>
        <w:trPr>
          <w:trHeight w:val="239" w:hRule="atLeast"/>
          <w:jc w:val="center"/>
        </w:trPr>
        <w:tc>
          <w:tcPr>
            <w:tcW w:w="1010" w:type="dxa"/>
            <w:vMerge w:val="continue"/>
            <w:tcBorders>
              <w:tl2br w:val="nil"/>
              <w:tr2bl w:val="nil"/>
            </w:tcBorders>
            <w:vAlign w:val="center"/>
          </w:tcPr>
          <w:p>
            <w:pPr>
              <w:widowControl/>
              <w:adjustRightInd w:val="0"/>
              <w:snapToGrid w:val="0"/>
              <w:jc w:val="center"/>
              <w:rPr>
                <w:rFonts w:hint="eastAsia"/>
                <w:kern w:val="0"/>
                <w:szCs w:val="21"/>
                <w:lang w:val="en-US" w:eastAsia="zh-CN"/>
              </w:rPr>
            </w:pPr>
          </w:p>
        </w:tc>
        <w:tc>
          <w:tcPr>
            <w:tcW w:w="2282" w:type="dxa"/>
            <w:vMerge w:val="continue"/>
            <w:tcBorders>
              <w:tl2br w:val="nil"/>
              <w:tr2bl w:val="nil"/>
            </w:tcBorders>
            <w:vAlign w:val="center"/>
          </w:tcPr>
          <w:p>
            <w:pPr>
              <w:widowControl/>
              <w:adjustRightInd w:val="0"/>
              <w:snapToGrid w:val="0"/>
              <w:jc w:val="center"/>
              <w:rPr>
                <w:rFonts w:hint="eastAsia"/>
                <w:kern w:val="0"/>
                <w:szCs w:val="21"/>
                <w:lang w:val="en-US" w:eastAsia="zh-CN"/>
              </w:rPr>
            </w:pPr>
          </w:p>
        </w:tc>
        <w:tc>
          <w:tcPr>
            <w:tcW w:w="1598" w:type="dxa"/>
            <w:tcBorders>
              <w:tl2br w:val="nil"/>
              <w:tr2bl w:val="nil"/>
            </w:tcBorders>
            <w:vAlign w:val="center"/>
          </w:tcPr>
          <w:p>
            <w:pPr>
              <w:pStyle w:val="106"/>
              <w:adjustRightInd w:val="0"/>
              <w:rPr>
                <w:rFonts w:hint="eastAsia" w:ascii="Times New Roman" w:hAnsi="Times New Roman" w:cs="Times New Roman" w:eastAsiaTheme="minorEastAsia"/>
                <w:bCs/>
                <w:kern w:val="2"/>
                <w:sz w:val="21"/>
                <w:szCs w:val="21"/>
                <w:lang w:val="en-US" w:eastAsia="zh-CN" w:bidi="ar-SA"/>
              </w:rPr>
            </w:pPr>
            <w:r>
              <w:rPr>
                <w:rFonts w:hint="eastAsia" w:eastAsiaTheme="minorEastAsia"/>
                <w:bCs/>
                <w:lang w:val="en-US" w:eastAsia="en-US"/>
              </w:rPr>
              <w:t>pH</w:t>
            </w:r>
          </w:p>
        </w:tc>
        <w:tc>
          <w:tcPr>
            <w:tcW w:w="1053" w:type="dxa"/>
            <w:vMerge w:val="continue"/>
            <w:tcBorders>
              <w:tl2br w:val="nil"/>
              <w:tr2bl w:val="nil"/>
            </w:tcBorders>
            <w:vAlign w:val="center"/>
          </w:tcPr>
          <w:p>
            <w:pPr>
              <w:widowControl/>
              <w:adjustRightInd w:val="0"/>
              <w:snapToGrid w:val="0"/>
              <w:jc w:val="center"/>
              <w:rPr>
                <w:rFonts w:hint="eastAsia"/>
                <w:kern w:val="0"/>
                <w:szCs w:val="21"/>
                <w:lang w:val="en-US" w:eastAsia="zh-CN"/>
              </w:rPr>
            </w:pPr>
          </w:p>
        </w:tc>
        <w:tc>
          <w:tcPr>
            <w:tcW w:w="2363" w:type="dxa"/>
            <w:vMerge w:val="continue"/>
            <w:tcBorders>
              <w:tl2br w:val="nil"/>
              <w:tr2bl w:val="nil"/>
            </w:tcBorders>
            <w:vAlign w:val="center"/>
          </w:tcPr>
          <w:p>
            <w:pPr>
              <w:widowControl/>
              <w:adjustRightInd w:val="0"/>
              <w:snapToGrid w:val="0"/>
              <w:jc w:val="center"/>
              <w:rPr>
                <w:rFonts w:hint="eastAsia"/>
                <w:kern w:val="0"/>
                <w:szCs w:val="21"/>
                <w:lang w:val="en-US" w:eastAsia="zh-CN"/>
              </w:rPr>
            </w:pP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6" w:space="0"/>
          </w:tblBorders>
          <w:tblCellMar>
            <w:top w:w="0" w:type="dxa"/>
            <w:left w:w="30" w:type="dxa"/>
            <w:bottom w:w="0" w:type="dxa"/>
            <w:right w:w="30" w:type="dxa"/>
          </w:tblCellMar>
        </w:tblPrEx>
        <w:trPr>
          <w:trHeight w:val="239" w:hRule="atLeast"/>
          <w:jc w:val="center"/>
        </w:trPr>
        <w:tc>
          <w:tcPr>
            <w:tcW w:w="1010" w:type="dxa"/>
            <w:vMerge w:val="continue"/>
            <w:tcBorders>
              <w:tl2br w:val="nil"/>
              <w:tr2bl w:val="nil"/>
            </w:tcBorders>
            <w:vAlign w:val="center"/>
          </w:tcPr>
          <w:p>
            <w:pPr>
              <w:widowControl/>
              <w:adjustRightInd w:val="0"/>
              <w:snapToGrid w:val="0"/>
              <w:jc w:val="center"/>
              <w:rPr>
                <w:rFonts w:hint="eastAsia"/>
                <w:kern w:val="0"/>
                <w:szCs w:val="21"/>
                <w:lang w:val="en-US" w:eastAsia="zh-CN"/>
              </w:rPr>
            </w:pPr>
          </w:p>
        </w:tc>
        <w:tc>
          <w:tcPr>
            <w:tcW w:w="2282" w:type="dxa"/>
            <w:vMerge w:val="continue"/>
            <w:tcBorders>
              <w:tl2br w:val="nil"/>
              <w:tr2bl w:val="nil"/>
            </w:tcBorders>
            <w:vAlign w:val="center"/>
          </w:tcPr>
          <w:p>
            <w:pPr>
              <w:widowControl/>
              <w:adjustRightInd w:val="0"/>
              <w:snapToGrid w:val="0"/>
              <w:jc w:val="center"/>
              <w:rPr>
                <w:rFonts w:hint="eastAsia"/>
                <w:kern w:val="0"/>
                <w:szCs w:val="21"/>
                <w:lang w:val="en-US" w:eastAsia="zh-CN"/>
              </w:rPr>
            </w:pPr>
          </w:p>
        </w:tc>
        <w:tc>
          <w:tcPr>
            <w:tcW w:w="1598" w:type="dxa"/>
            <w:tcBorders>
              <w:tl2br w:val="nil"/>
              <w:tr2bl w:val="nil"/>
            </w:tcBorders>
            <w:vAlign w:val="center"/>
          </w:tcPr>
          <w:p>
            <w:pPr>
              <w:pStyle w:val="106"/>
              <w:adjustRightInd w:val="0"/>
              <w:rPr>
                <w:rFonts w:hint="eastAsia" w:ascii="Times New Roman" w:hAnsi="Times New Roman" w:cs="Times New Roman" w:eastAsiaTheme="minorEastAsia"/>
                <w:bCs/>
                <w:kern w:val="2"/>
                <w:sz w:val="21"/>
                <w:szCs w:val="21"/>
                <w:lang w:val="en-US" w:eastAsia="zh-CN" w:bidi="ar-SA"/>
              </w:rPr>
            </w:pPr>
            <w:r>
              <w:rPr>
                <w:rFonts w:hint="eastAsia" w:eastAsiaTheme="minorEastAsia"/>
                <w:bCs/>
                <w:lang w:val="en-US" w:eastAsia="zh-CN"/>
              </w:rPr>
              <w:t>悬浮物</w:t>
            </w:r>
          </w:p>
        </w:tc>
        <w:tc>
          <w:tcPr>
            <w:tcW w:w="1053" w:type="dxa"/>
            <w:vMerge w:val="continue"/>
            <w:tcBorders>
              <w:tl2br w:val="nil"/>
              <w:tr2bl w:val="nil"/>
            </w:tcBorders>
            <w:vAlign w:val="center"/>
          </w:tcPr>
          <w:p>
            <w:pPr>
              <w:widowControl/>
              <w:adjustRightInd w:val="0"/>
              <w:snapToGrid w:val="0"/>
              <w:jc w:val="center"/>
              <w:rPr>
                <w:rFonts w:hint="eastAsia"/>
                <w:kern w:val="0"/>
                <w:szCs w:val="21"/>
                <w:lang w:val="en-US" w:eastAsia="zh-CN"/>
              </w:rPr>
            </w:pPr>
          </w:p>
        </w:tc>
        <w:tc>
          <w:tcPr>
            <w:tcW w:w="2363" w:type="dxa"/>
            <w:vMerge w:val="continue"/>
            <w:tcBorders>
              <w:tl2br w:val="nil"/>
              <w:tr2bl w:val="nil"/>
            </w:tcBorders>
            <w:vAlign w:val="center"/>
          </w:tcPr>
          <w:p>
            <w:pPr>
              <w:widowControl/>
              <w:adjustRightInd w:val="0"/>
              <w:snapToGrid w:val="0"/>
              <w:jc w:val="center"/>
              <w:rPr>
                <w:rFonts w:hint="eastAsia"/>
                <w:kern w:val="0"/>
                <w:szCs w:val="21"/>
                <w:lang w:val="en-US" w:eastAsia="zh-CN"/>
              </w:rPr>
            </w:pP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6" w:space="0"/>
          </w:tblBorders>
          <w:tblCellMar>
            <w:top w:w="0" w:type="dxa"/>
            <w:left w:w="30" w:type="dxa"/>
            <w:bottom w:w="0" w:type="dxa"/>
            <w:right w:w="30" w:type="dxa"/>
          </w:tblCellMar>
        </w:tblPrEx>
        <w:trPr>
          <w:trHeight w:val="239" w:hRule="atLeast"/>
          <w:jc w:val="center"/>
        </w:trPr>
        <w:tc>
          <w:tcPr>
            <w:tcW w:w="1010" w:type="dxa"/>
            <w:vMerge w:val="continue"/>
            <w:tcBorders>
              <w:tl2br w:val="nil"/>
              <w:tr2bl w:val="nil"/>
            </w:tcBorders>
            <w:vAlign w:val="center"/>
          </w:tcPr>
          <w:p>
            <w:pPr>
              <w:widowControl/>
              <w:adjustRightInd w:val="0"/>
              <w:snapToGrid w:val="0"/>
              <w:jc w:val="center"/>
              <w:rPr>
                <w:rFonts w:hint="eastAsia"/>
                <w:kern w:val="0"/>
                <w:szCs w:val="21"/>
                <w:lang w:val="en-US" w:eastAsia="zh-CN"/>
              </w:rPr>
            </w:pPr>
          </w:p>
        </w:tc>
        <w:tc>
          <w:tcPr>
            <w:tcW w:w="2282" w:type="dxa"/>
            <w:vMerge w:val="continue"/>
            <w:tcBorders>
              <w:tl2br w:val="nil"/>
              <w:tr2bl w:val="nil"/>
            </w:tcBorders>
            <w:vAlign w:val="center"/>
          </w:tcPr>
          <w:p>
            <w:pPr>
              <w:widowControl/>
              <w:adjustRightInd w:val="0"/>
              <w:snapToGrid w:val="0"/>
              <w:jc w:val="center"/>
              <w:rPr>
                <w:rFonts w:hint="eastAsia"/>
                <w:kern w:val="0"/>
                <w:szCs w:val="21"/>
                <w:lang w:val="en-US" w:eastAsia="zh-CN"/>
              </w:rPr>
            </w:pPr>
          </w:p>
        </w:tc>
        <w:tc>
          <w:tcPr>
            <w:tcW w:w="1598" w:type="dxa"/>
            <w:tcBorders>
              <w:tl2br w:val="nil"/>
              <w:tr2bl w:val="nil"/>
            </w:tcBorders>
            <w:vAlign w:val="center"/>
          </w:tcPr>
          <w:p>
            <w:pPr>
              <w:pStyle w:val="106"/>
              <w:adjustRightInd w:val="0"/>
              <w:rPr>
                <w:rFonts w:hint="default" w:eastAsiaTheme="minorEastAsia"/>
                <w:bCs/>
                <w:lang w:val="en-US" w:eastAsia="zh-CN"/>
              </w:rPr>
            </w:pPr>
            <w:r>
              <w:rPr>
                <w:rFonts w:hint="eastAsia" w:eastAsiaTheme="minorEastAsia"/>
                <w:bCs/>
                <w:lang w:val="en-US" w:eastAsia="zh-CN"/>
              </w:rPr>
              <w:t>五日生化需氧量</w:t>
            </w:r>
          </w:p>
        </w:tc>
        <w:tc>
          <w:tcPr>
            <w:tcW w:w="1053" w:type="dxa"/>
            <w:vMerge w:val="continue"/>
            <w:tcBorders>
              <w:tl2br w:val="nil"/>
              <w:tr2bl w:val="nil"/>
            </w:tcBorders>
            <w:vAlign w:val="center"/>
          </w:tcPr>
          <w:p>
            <w:pPr>
              <w:widowControl/>
              <w:adjustRightInd w:val="0"/>
              <w:snapToGrid w:val="0"/>
              <w:jc w:val="center"/>
              <w:rPr>
                <w:rFonts w:hint="eastAsia"/>
                <w:kern w:val="0"/>
                <w:szCs w:val="21"/>
                <w:lang w:val="en-US" w:eastAsia="zh-CN"/>
              </w:rPr>
            </w:pPr>
          </w:p>
        </w:tc>
        <w:tc>
          <w:tcPr>
            <w:tcW w:w="2363" w:type="dxa"/>
            <w:vMerge w:val="continue"/>
            <w:tcBorders>
              <w:tl2br w:val="nil"/>
              <w:tr2bl w:val="nil"/>
            </w:tcBorders>
            <w:vAlign w:val="center"/>
          </w:tcPr>
          <w:p>
            <w:pPr>
              <w:widowControl/>
              <w:adjustRightInd w:val="0"/>
              <w:snapToGrid w:val="0"/>
              <w:jc w:val="center"/>
              <w:rPr>
                <w:rFonts w:hint="eastAsia"/>
                <w:kern w:val="0"/>
                <w:szCs w:val="21"/>
                <w:lang w:val="en-US" w:eastAsia="zh-CN"/>
              </w:rPr>
            </w:pP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6" w:space="0"/>
          </w:tblBorders>
          <w:tblCellMar>
            <w:top w:w="0" w:type="dxa"/>
            <w:left w:w="30" w:type="dxa"/>
            <w:bottom w:w="0" w:type="dxa"/>
            <w:right w:w="30" w:type="dxa"/>
          </w:tblCellMar>
        </w:tblPrEx>
        <w:trPr>
          <w:trHeight w:val="680" w:hRule="atLeast"/>
          <w:jc w:val="center"/>
        </w:trPr>
        <w:tc>
          <w:tcPr>
            <w:tcW w:w="1010" w:type="dxa"/>
            <w:tcBorders>
              <w:tl2br w:val="nil"/>
              <w:tr2bl w:val="nil"/>
            </w:tcBorders>
            <w:vAlign w:val="center"/>
          </w:tcPr>
          <w:p>
            <w:pPr>
              <w:widowControl/>
              <w:adjustRightInd w:val="0"/>
              <w:snapToGrid w:val="0"/>
              <w:jc w:val="center"/>
              <w:rPr>
                <w:szCs w:val="21"/>
              </w:rPr>
            </w:pPr>
            <w:r>
              <w:rPr>
                <w:szCs w:val="21"/>
              </w:rPr>
              <w:t>噪声</w:t>
            </w:r>
          </w:p>
        </w:tc>
        <w:tc>
          <w:tcPr>
            <w:tcW w:w="2282" w:type="dxa"/>
            <w:tcBorders>
              <w:tl2br w:val="nil"/>
              <w:tr2bl w:val="nil"/>
            </w:tcBorders>
            <w:vAlign w:val="center"/>
          </w:tcPr>
          <w:p>
            <w:pPr>
              <w:widowControl/>
              <w:adjustRightInd w:val="0"/>
              <w:snapToGrid w:val="0"/>
              <w:jc w:val="center"/>
              <w:rPr>
                <w:szCs w:val="21"/>
              </w:rPr>
            </w:pPr>
            <w:r>
              <w:rPr>
                <w:szCs w:val="21"/>
              </w:rPr>
              <w:t>厂界四周</w:t>
            </w:r>
          </w:p>
        </w:tc>
        <w:tc>
          <w:tcPr>
            <w:tcW w:w="1598" w:type="dxa"/>
            <w:tcBorders>
              <w:tl2br w:val="nil"/>
              <w:tr2bl w:val="nil"/>
            </w:tcBorders>
            <w:vAlign w:val="center"/>
          </w:tcPr>
          <w:p>
            <w:pPr>
              <w:widowControl/>
              <w:adjustRightInd w:val="0"/>
              <w:snapToGrid w:val="0"/>
              <w:jc w:val="center"/>
              <w:rPr>
                <w:szCs w:val="21"/>
              </w:rPr>
            </w:pPr>
            <w:r>
              <w:rPr>
                <w:szCs w:val="21"/>
              </w:rPr>
              <w:t>L</w:t>
            </w:r>
            <w:r>
              <w:rPr>
                <w:szCs w:val="21"/>
                <w:vertAlign w:val="subscript"/>
              </w:rPr>
              <w:t>eq</w:t>
            </w:r>
          </w:p>
        </w:tc>
        <w:tc>
          <w:tcPr>
            <w:tcW w:w="1053" w:type="dxa"/>
            <w:tcBorders>
              <w:tl2br w:val="nil"/>
              <w:tr2bl w:val="nil"/>
            </w:tcBorders>
            <w:vAlign w:val="center"/>
          </w:tcPr>
          <w:p>
            <w:pPr>
              <w:widowControl/>
              <w:adjustRightInd w:val="0"/>
              <w:snapToGrid w:val="0"/>
              <w:jc w:val="center"/>
              <w:rPr>
                <w:szCs w:val="21"/>
              </w:rPr>
            </w:pPr>
            <w:r>
              <w:rPr>
                <w:szCs w:val="21"/>
              </w:rPr>
              <w:t>4</w:t>
            </w:r>
          </w:p>
        </w:tc>
        <w:tc>
          <w:tcPr>
            <w:tcW w:w="2363" w:type="dxa"/>
            <w:tcBorders>
              <w:tl2br w:val="nil"/>
              <w:tr2bl w:val="nil"/>
            </w:tcBorders>
            <w:vAlign w:val="center"/>
          </w:tcPr>
          <w:p>
            <w:pPr>
              <w:widowControl/>
              <w:adjustRightInd w:val="0"/>
              <w:snapToGrid w:val="0"/>
              <w:jc w:val="center"/>
              <w:rPr>
                <w:szCs w:val="21"/>
              </w:rPr>
            </w:pPr>
            <w:r>
              <w:rPr>
                <w:szCs w:val="21"/>
              </w:rPr>
              <w:t>昼</w:t>
            </w:r>
            <w:r>
              <w:rPr>
                <w:rFonts w:hint="eastAsia"/>
                <w:szCs w:val="21"/>
              </w:rPr>
              <w:t>、夜间各检测</w:t>
            </w:r>
            <w:r>
              <w:rPr>
                <w:rFonts w:hint="eastAsia"/>
                <w:szCs w:val="21"/>
                <w:lang w:val="en-US" w:eastAsia="zh-CN"/>
              </w:rPr>
              <w:t>1</w:t>
            </w:r>
            <w:r>
              <w:rPr>
                <w:szCs w:val="21"/>
              </w:rPr>
              <w:t>次</w:t>
            </w:r>
            <w:r>
              <w:rPr>
                <w:rFonts w:hint="eastAsia"/>
                <w:szCs w:val="21"/>
                <w:lang w:val="en-US" w:eastAsia="zh-CN"/>
              </w:rPr>
              <w:t>/天</w:t>
            </w:r>
            <w:r>
              <w:rPr>
                <w:szCs w:val="21"/>
              </w:rPr>
              <w:t>，</w:t>
            </w:r>
          </w:p>
          <w:p>
            <w:pPr>
              <w:widowControl/>
              <w:adjustRightInd w:val="0"/>
              <w:snapToGrid w:val="0"/>
              <w:jc w:val="center"/>
              <w:rPr>
                <w:szCs w:val="21"/>
              </w:rPr>
            </w:pPr>
            <w:r>
              <w:rPr>
                <w:rFonts w:hint="eastAsia"/>
                <w:szCs w:val="21"/>
              </w:rPr>
              <w:t>检测</w:t>
            </w:r>
            <w:r>
              <w:rPr>
                <w:szCs w:val="21"/>
              </w:rPr>
              <w:t>2天</w:t>
            </w:r>
          </w:p>
        </w:tc>
      </w:tr>
    </w:tbl>
    <w:p>
      <w:pPr>
        <w:pStyle w:val="105"/>
        <w:ind w:firstLine="480"/>
        <w:rPr>
          <w:rFonts w:hint="eastAsia" w:eastAsia="方正书宋简体"/>
          <w:spacing w:val="0"/>
        </w:rPr>
      </w:pPr>
    </w:p>
    <w:p>
      <w:pPr>
        <w:pStyle w:val="105"/>
        <w:ind w:firstLine="480"/>
        <w:rPr>
          <w:rFonts w:hint="eastAsia" w:ascii="Times New Roman" w:hAnsi="Times New Roman" w:eastAsia="方正书宋简体" w:cs="Times New Roman"/>
          <w:spacing w:val="0"/>
          <w:lang w:val="en-US" w:eastAsia="zh-CN"/>
        </w:rPr>
      </w:pPr>
      <w:r>
        <w:rPr>
          <w:rFonts w:hint="eastAsia" w:ascii="Times New Roman" w:hAnsi="Times New Roman" w:eastAsia="方正书宋简体" w:cs="Times New Roman"/>
          <w:spacing w:val="0"/>
          <w:lang w:val="en-US" w:eastAsia="zh-CN"/>
        </w:rPr>
        <w:t>2、验收监测期间工况情况</w:t>
      </w:r>
    </w:p>
    <w:p>
      <w:pPr>
        <w:pStyle w:val="105"/>
        <w:ind w:firstLine="480"/>
        <w:rPr>
          <w:rFonts w:hint="eastAsia" w:ascii="Times New Roman" w:hAnsi="Times New Roman" w:cs="Times New Roman" w:eastAsiaTheme="minorEastAsia"/>
          <w:color w:val="000000" w:themeColor="text1"/>
          <w:kern w:val="2"/>
          <w:sz w:val="24"/>
          <w:szCs w:val="24"/>
          <w:lang w:val="en-US" w:eastAsia="zh-CN" w:bidi="ar-SA"/>
          <w14:textFill>
            <w14:solidFill>
              <w14:schemeClr w14:val="tx1"/>
            </w14:solidFill>
          </w14:textFill>
        </w:rPr>
      </w:pPr>
      <w:bookmarkStart w:id="3" w:name="_Toc347757140"/>
      <w:bookmarkStart w:id="4" w:name="_Toc347745231"/>
      <w:bookmarkStart w:id="5" w:name="_Toc345269048"/>
      <w:bookmarkStart w:id="6" w:name="_Toc343082304"/>
      <w:bookmarkStart w:id="7" w:name="_Toc345185295"/>
      <w:bookmarkStart w:id="8" w:name="_Toc12628"/>
      <w:bookmarkStart w:id="9" w:name="_Toc343082001"/>
      <w:bookmarkStart w:id="10" w:name="_Toc343083908"/>
      <w:bookmarkStart w:id="11" w:name="_Toc345235597"/>
      <w:bookmarkStart w:id="12" w:name="_Toc342981205"/>
      <w:bookmarkStart w:id="13" w:name="_Toc348098371"/>
      <w:bookmarkStart w:id="14" w:name="_Toc340828336"/>
      <w:bookmarkStart w:id="15" w:name="_Toc343636588"/>
      <w:bookmarkStart w:id="16" w:name="_Toc347585944"/>
      <w:bookmarkStart w:id="17" w:name="_Toc343611099"/>
      <w:bookmarkStart w:id="18" w:name="_Toc345615292"/>
      <w:bookmarkStart w:id="19" w:name="_Toc345006064"/>
      <w:bookmarkStart w:id="20" w:name="_Toc343083525"/>
      <w:r>
        <w:rPr>
          <w:rFonts w:hint="eastAsia" w:ascii="Times New Roman" w:hAnsi="Times New Roman" w:eastAsia="方正书宋简体" w:cs="Times New Roman"/>
          <w:spacing w:val="0"/>
          <w:lang w:val="en-US" w:eastAsia="zh-CN"/>
        </w:rPr>
        <w:t>项目劳动定员 50 人，生产实行二班 8小时工作制，企业每年正常生产 300 天。项目规模为：年产研磨丸10000吨，切丸4000吨，钢丝1000吨，钢砂5000吨，折合每天产研磨丸33.3吨，切丸13.3吨，钢丝3.3吨</w:t>
      </w:r>
      <w:r>
        <w:rPr>
          <w:rFonts w:hint="eastAsia" w:ascii="Times New Roman" w:hAnsi="Times New Roman" w:cs="Times New Roman" w:eastAsiaTheme="minorEastAsia"/>
          <w:color w:val="000000" w:themeColor="text1"/>
          <w:kern w:val="2"/>
          <w:sz w:val="24"/>
          <w:szCs w:val="24"/>
          <w:lang w:val="en-US" w:eastAsia="zh-CN" w:bidi="ar-SA"/>
          <w14:textFill>
            <w14:solidFill>
              <w14:schemeClr w14:val="tx1"/>
            </w14:solidFill>
          </w14:textFill>
        </w:rPr>
        <w:t>，钢砂16.7吨。验收监测期间，所有生产设备均处于正常运转状态，环保设备运行正常，企业生产负荷均大于75%。因此，本次验收监测工况为有效工况，监测结果能作为该项目竣工环境保护验收依据。具体情况见下表7-2。</w:t>
      </w:r>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p>
    <w:p>
      <w:pPr>
        <w:widowControl/>
        <w:adjustRightInd w:val="0"/>
        <w:snapToGrid w:val="0"/>
        <w:spacing w:before="120" w:beforeLines="50"/>
        <w:jc w:val="center"/>
        <w:rPr>
          <w:rFonts w:hint="eastAsia"/>
          <w:b/>
          <w:szCs w:val="21"/>
        </w:rPr>
      </w:pPr>
      <w:r>
        <w:rPr>
          <w:rFonts w:hint="eastAsia"/>
          <w:b/>
          <w:szCs w:val="21"/>
        </w:rPr>
        <w:t>表7-</w:t>
      </w:r>
      <w:r>
        <w:rPr>
          <w:rFonts w:hint="eastAsia"/>
          <w:b/>
          <w:szCs w:val="21"/>
          <w:lang w:val="en-US" w:eastAsia="zh-CN"/>
        </w:rPr>
        <w:t>2</w:t>
      </w:r>
      <w:r>
        <w:rPr>
          <w:rFonts w:hint="eastAsia"/>
          <w:b/>
          <w:szCs w:val="21"/>
        </w:rPr>
        <w:t xml:space="preserve">  验收监测期间企业生产工况一览表</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5"/>
        <w:gridCol w:w="1653"/>
        <w:gridCol w:w="2032"/>
        <w:gridCol w:w="2239"/>
        <w:gridCol w:w="16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65" w:type="dxa"/>
            <w:noWrap w:val="0"/>
            <w:vAlign w:val="center"/>
          </w:tcPr>
          <w:p>
            <w:pPr>
              <w:widowControl/>
              <w:adjustRightInd w:val="0"/>
              <w:snapToGrid w:val="0"/>
              <w:spacing w:before="120" w:beforeLines="50"/>
              <w:jc w:val="center"/>
              <w:rPr>
                <w:rFonts w:hint="eastAsia"/>
                <w:b/>
                <w:szCs w:val="21"/>
              </w:rPr>
            </w:pPr>
            <w:r>
              <w:rPr>
                <w:rFonts w:hint="eastAsia"/>
                <w:b/>
                <w:szCs w:val="21"/>
              </w:rPr>
              <w:t>产品名称</w:t>
            </w:r>
          </w:p>
        </w:tc>
        <w:tc>
          <w:tcPr>
            <w:tcW w:w="1653" w:type="dxa"/>
            <w:noWrap w:val="0"/>
            <w:vAlign w:val="center"/>
          </w:tcPr>
          <w:p>
            <w:pPr>
              <w:widowControl/>
              <w:adjustRightInd w:val="0"/>
              <w:snapToGrid w:val="0"/>
              <w:spacing w:before="120" w:beforeLines="50"/>
              <w:jc w:val="center"/>
              <w:rPr>
                <w:rFonts w:hint="eastAsia"/>
                <w:b/>
                <w:szCs w:val="21"/>
              </w:rPr>
            </w:pPr>
            <w:r>
              <w:rPr>
                <w:rFonts w:hint="eastAsia"/>
                <w:b/>
                <w:szCs w:val="21"/>
              </w:rPr>
              <w:t>监测日期</w:t>
            </w:r>
          </w:p>
        </w:tc>
        <w:tc>
          <w:tcPr>
            <w:tcW w:w="2032" w:type="dxa"/>
            <w:noWrap w:val="0"/>
            <w:vAlign w:val="center"/>
          </w:tcPr>
          <w:p>
            <w:pPr>
              <w:widowControl/>
              <w:adjustRightInd w:val="0"/>
              <w:snapToGrid w:val="0"/>
              <w:spacing w:before="120" w:beforeLines="50"/>
              <w:jc w:val="center"/>
              <w:rPr>
                <w:rFonts w:hint="eastAsia"/>
                <w:b/>
                <w:szCs w:val="21"/>
              </w:rPr>
            </w:pPr>
            <w:r>
              <w:rPr>
                <w:rFonts w:hint="eastAsia"/>
                <w:b/>
                <w:szCs w:val="21"/>
              </w:rPr>
              <w:t>设计生产能力</w:t>
            </w:r>
          </w:p>
        </w:tc>
        <w:tc>
          <w:tcPr>
            <w:tcW w:w="2239" w:type="dxa"/>
            <w:noWrap w:val="0"/>
            <w:vAlign w:val="center"/>
          </w:tcPr>
          <w:p>
            <w:pPr>
              <w:widowControl/>
              <w:adjustRightInd w:val="0"/>
              <w:snapToGrid w:val="0"/>
              <w:spacing w:before="120" w:beforeLines="50"/>
              <w:jc w:val="center"/>
              <w:rPr>
                <w:rFonts w:hint="eastAsia"/>
                <w:b/>
                <w:szCs w:val="21"/>
              </w:rPr>
            </w:pPr>
            <w:r>
              <w:rPr>
                <w:rFonts w:hint="eastAsia"/>
                <w:b/>
                <w:szCs w:val="21"/>
              </w:rPr>
              <w:t>当日实际生产能力</w:t>
            </w:r>
          </w:p>
        </w:tc>
        <w:tc>
          <w:tcPr>
            <w:tcW w:w="1649" w:type="dxa"/>
            <w:noWrap w:val="0"/>
            <w:vAlign w:val="center"/>
          </w:tcPr>
          <w:p>
            <w:pPr>
              <w:widowControl/>
              <w:adjustRightInd w:val="0"/>
              <w:snapToGrid w:val="0"/>
              <w:spacing w:before="120" w:beforeLines="50"/>
              <w:jc w:val="center"/>
              <w:rPr>
                <w:rFonts w:hint="eastAsia"/>
                <w:b/>
                <w:szCs w:val="21"/>
              </w:rPr>
            </w:pPr>
            <w:r>
              <w:rPr>
                <w:rFonts w:hint="eastAsia"/>
                <w:b/>
                <w:szCs w:val="21"/>
              </w:rPr>
              <w:t>生产负荷（%）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65" w:type="dxa"/>
            <w:noWrap w:val="0"/>
            <w:vAlign w:val="top"/>
          </w:tcPr>
          <w:p>
            <w:pPr>
              <w:pStyle w:val="123"/>
              <w:spacing w:before="75"/>
              <w:ind w:left="96" w:leftChars="0" w:right="83" w:rightChars="0"/>
              <w:jc w:val="center"/>
              <w:rPr>
                <w:rFonts w:hint="eastAsia" w:ascii="Times New Roman" w:hAnsi="宋体" w:eastAsia="Times New Roman" w:cs="宋体"/>
                <w:kern w:val="2"/>
                <w:sz w:val="21"/>
                <w:szCs w:val="24"/>
                <w:lang w:val="en-US" w:eastAsia="zh-CN" w:bidi="zh-CN"/>
              </w:rPr>
            </w:pPr>
            <w:r>
              <w:rPr>
                <w:sz w:val="21"/>
              </w:rPr>
              <w:t>研磨丸</w:t>
            </w:r>
          </w:p>
        </w:tc>
        <w:tc>
          <w:tcPr>
            <w:tcW w:w="1653" w:type="dxa"/>
            <w:vMerge w:val="restart"/>
            <w:noWrap w:val="0"/>
            <w:vAlign w:val="center"/>
          </w:tcPr>
          <w:p>
            <w:pPr>
              <w:widowControl/>
              <w:adjustRightInd w:val="0"/>
              <w:snapToGrid w:val="0"/>
              <w:spacing w:before="120" w:beforeLines="50"/>
              <w:jc w:val="center"/>
              <w:rPr>
                <w:rFonts w:hint="default"/>
                <w:b/>
                <w:szCs w:val="21"/>
                <w:lang w:val="en-US" w:eastAsia="zh-CN"/>
              </w:rPr>
            </w:pPr>
            <w:r>
              <w:rPr>
                <w:rFonts w:hint="eastAsia" w:ascii="Times New Roman" w:hAnsi="宋体" w:eastAsia="宋体" w:cs="Times New Roman"/>
                <w:b w:val="0"/>
                <w:bCs w:val="0"/>
                <w:kern w:val="2"/>
                <w:sz w:val="21"/>
                <w:szCs w:val="24"/>
                <w:lang w:val="en-US" w:eastAsia="zh-CN" w:bidi="ar-SA"/>
              </w:rPr>
              <w:t>2019.11.14</w:t>
            </w:r>
          </w:p>
        </w:tc>
        <w:tc>
          <w:tcPr>
            <w:tcW w:w="2032"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33.3吨</w:t>
            </w:r>
          </w:p>
        </w:tc>
        <w:tc>
          <w:tcPr>
            <w:tcW w:w="2239"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28吨</w:t>
            </w:r>
          </w:p>
        </w:tc>
        <w:tc>
          <w:tcPr>
            <w:tcW w:w="1649"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84.1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65" w:type="dxa"/>
            <w:noWrap w:val="0"/>
            <w:vAlign w:val="top"/>
          </w:tcPr>
          <w:p>
            <w:pPr>
              <w:pStyle w:val="123"/>
              <w:spacing w:before="75"/>
              <w:ind w:left="96" w:leftChars="0" w:right="83" w:rightChars="0"/>
              <w:jc w:val="center"/>
              <w:rPr>
                <w:rFonts w:hint="eastAsia"/>
                <w:sz w:val="21"/>
                <w:lang w:val="zh-CN" w:eastAsia="zh-CN"/>
              </w:rPr>
            </w:pPr>
            <w:r>
              <w:rPr>
                <w:sz w:val="21"/>
              </w:rPr>
              <w:t>切丸</w:t>
            </w:r>
          </w:p>
        </w:tc>
        <w:tc>
          <w:tcPr>
            <w:tcW w:w="1653" w:type="dxa"/>
            <w:vMerge w:val="continue"/>
            <w:noWrap w:val="0"/>
            <w:vAlign w:val="center"/>
          </w:tcPr>
          <w:p>
            <w:pPr>
              <w:widowControl/>
              <w:adjustRightInd w:val="0"/>
              <w:snapToGrid w:val="0"/>
              <w:spacing w:before="120" w:beforeLines="50"/>
              <w:jc w:val="center"/>
              <w:rPr>
                <w:rFonts w:hint="eastAsia"/>
                <w:b/>
                <w:szCs w:val="21"/>
              </w:rPr>
            </w:pPr>
          </w:p>
        </w:tc>
        <w:tc>
          <w:tcPr>
            <w:tcW w:w="2032"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13.3吨</w:t>
            </w:r>
          </w:p>
        </w:tc>
        <w:tc>
          <w:tcPr>
            <w:tcW w:w="2239"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10.5吨</w:t>
            </w:r>
          </w:p>
        </w:tc>
        <w:tc>
          <w:tcPr>
            <w:tcW w:w="1649"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78.9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65" w:type="dxa"/>
            <w:noWrap w:val="0"/>
            <w:vAlign w:val="center"/>
          </w:tcPr>
          <w:p>
            <w:pPr>
              <w:widowControl/>
              <w:adjustRightInd w:val="0"/>
              <w:snapToGrid w:val="0"/>
              <w:spacing w:before="120" w:beforeLines="50"/>
              <w:jc w:val="center"/>
              <w:rPr>
                <w:rFonts w:hint="eastAsia" w:ascii="宋体" w:hAnsi="宋体" w:eastAsia="宋体" w:cs="宋体"/>
                <w:kern w:val="2"/>
                <w:sz w:val="21"/>
                <w:szCs w:val="24"/>
                <w:lang w:val="en-US" w:eastAsia="zh-CN" w:bidi="zh-CN"/>
              </w:rPr>
            </w:pPr>
            <w:r>
              <w:rPr>
                <w:rFonts w:ascii="宋体" w:hAnsi="宋体" w:eastAsia="宋体" w:cs="宋体"/>
                <w:kern w:val="2"/>
                <w:sz w:val="21"/>
                <w:szCs w:val="24"/>
                <w:lang w:val="zh-CN" w:eastAsia="zh-CN" w:bidi="zh-CN"/>
              </w:rPr>
              <w:t>钢丝</w:t>
            </w:r>
          </w:p>
        </w:tc>
        <w:tc>
          <w:tcPr>
            <w:tcW w:w="1653" w:type="dxa"/>
            <w:vMerge w:val="continue"/>
            <w:noWrap w:val="0"/>
            <w:vAlign w:val="center"/>
          </w:tcPr>
          <w:p>
            <w:pPr>
              <w:widowControl/>
              <w:adjustRightInd w:val="0"/>
              <w:snapToGrid w:val="0"/>
              <w:spacing w:before="120" w:beforeLines="50"/>
              <w:jc w:val="center"/>
              <w:rPr>
                <w:rFonts w:hint="eastAsia"/>
                <w:b/>
                <w:szCs w:val="21"/>
              </w:rPr>
            </w:pPr>
          </w:p>
        </w:tc>
        <w:tc>
          <w:tcPr>
            <w:tcW w:w="2032"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3.3吨</w:t>
            </w:r>
          </w:p>
        </w:tc>
        <w:tc>
          <w:tcPr>
            <w:tcW w:w="2239"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3吨</w:t>
            </w:r>
          </w:p>
        </w:tc>
        <w:tc>
          <w:tcPr>
            <w:tcW w:w="1649"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90.9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65" w:type="dxa"/>
            <w:noWrap w:val="0"/>
            <w:vAlign w:val="top"/>
          </w:tcPr>
          <w:p>
            <w:pPr>
              <w:pStyle w:val="123"/>
              <w:spacing w:before="75"/>
              <w:ind w:left="96" w:leftChars="0" w:right="83" w:rightChars="0"/>
              <w:jc w:val="center"/>
              <w:rPr>
                <w:rFonts w:hint="eastAsia"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钢砂</w:t>
            </w:r>
          </w:p>
        </w:tc>
        <w:tc>
          <w:tcPr>
            <w:tcW w:w="1653" w:type="dxa"/>
            <w:vMerge w:val="continue"/>
            <w:noWrap w:val="0"/>
            <w:vAlign w:val="center"/>
          </w:tcPr>
          <w:p>
            <w:pPr>
              <w:widowControl/>
              <w:adjustRightInd w:val="0"/>
              <w:snapToGrid w:val="0"/>
              <w:spacing w:before="120" w:beforeLines="50"/>
              <w:jc w:val="center"/>
              <w:rPr>
                <w:rFonts w:hint="eastAsia"/>
                <w:b/>
                <w:szCs w:val="21"/>
              </w:rPr>
            </w:pPr>
          </w:p>
        </w:tc>
        <w:tc>
          <w:tcPr>
            <w:tcW w:w="2032"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16.7吨</w:t>
            </w:r>
          </w:p>
        </w:tc>
        <w:tc>
          <w:tcPr>
            <w:tcW w:w="2239"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14.3吨</w:t>
            </w:r>
          </w:p>
        </w:tc>
        <w:tc>
          <w:tcPr>
            <w:tcW w:w="1649"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85.6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65" w:type="dxa"/>
            <w:noWrap w:val="0"/>
            <w:vAlign w:val="top"/>
          </w:tcPr>
          <w:p>
            <w:pPr>
              <w:pStyle w:val="123"/>
              <w:spacing w:before="75"/>
              <w:ind w:left="96" w:leftChars="0" w:right="83" w:rightChars="0"/>
              <w:jc w:val="center"/>
              <w:rPr>
                <w:rFonts w:hint="eastAsia"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研磨丸</w:t>
            </w:r>
          </w:p>
        </w:tc>
        <w:tc>
          <w:tcPr>
            <w:tcW w:w="1653" w:type="dxa"/>
            <w:vMerge w:val="restart"/>
            <w:noWrap w:val="0"/>
            <w:vAlign w:val="center"/>
          </w:tcPr>
          <w:p>
            <w:pPr>
              <w:widowControl/>
              <w:adjustRightInd w:val="0"/>
              <w:snapToGrid w:val="0"/>
              <w:spacing w:before="120" w:beforeLines="50"/>
              <w:jc w:val="center"/>
              <w:rPr>
                <w:rFonts w:hint="eastAsia"/>
                <w:b/>
                <w:szCs w:val="21"/>
              </w:rPr>
            </w:pPr>
            <w:r>
              <w:rPr>
                <w:rFonts w:hint="eastAsia" w:hAnsi="宋体"/>
                <w:szCs w:val="24"/>
              </w:rPr>
              <w:t>2019.11.1</w:t>
            </w:r>
            <w:r>
              <w:rPr>
                <w:rFonts w:hint="eastAsia" w:hAnsi="宋体"/>
                <w:szCs w:val="24"/>
                <w:lang w:val="en-US" w:eastAsia="zh-CN"/>
              </w:rPr>
              <w:t>5</w:t>
            </w:r>
          </w:p>
        </w:tc>
        <w:tc>
          <w:tcPr>
            <w:tcW w:w="2032" w:type="dxa"/>
            <w:noWrap w:val="0"/>
            <w:vAlign w:val="center"/>
          </w:tcPr>
          <w:p>
            <w:pPr>
              <w:widowControl/>
              <w:adjustRightInd w:val="0"/>
              <w:snapToGrid w:val="0"/>
              <w:jc w:val="center"/>
              <w:rPr>
                <w:rFonts w:hint="eastAsia"/>
                <w:szCs w:val="21"/>
                <w:lang w:val="en-US" w:eastAsia="zh-CN"/>
              </w:rPr>
            </w:pPr>
            <w:r>
              <w:rPr>
                <w:rFonts w:hint="eastAsia"/>
                <w:szCs w:val="21"/>
                <w:lang w:val="en-US" w:eastAsia="zh-CN"/>
              </w:rPr>
              <w:t>33.3吨</w:t>
            </w:r>
          </w:p>
        </w:tc>
        <w:tc>
          <w:tcPr>
            <w:tcW w:w="2239"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27.6吨</w:t>
            </w:r>
          </w:p>
        </w:tc>
        <w:tc>
          <w:tcPr>
            <w:tcW w:w="1649"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82.9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65" w:type="dxa"/>
            <w:noWrap w:val="0"/>
            <w:vAlign w:val="top"/>
          </w:tcPr>
          <w:p>
            <w:pPr>
              <w:pStyle w:val="123"/>
              <w:spacing w:before="75"/>
              <w:ind w:left="96" w:leftChars="0" w:right="83" w:rightChars="0"/>
              <w:jc w:val="center"/>
              <w:rPr>
                <w:rFonts w:hint="eastAsia"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切丸</w:t>
            </w:r>
          </w:p>
        </w:tc>
        <w:tc>
          <w:tcPr>
            <w:tcW w:w="1653" w:type="dxa"/>
            <w:vMerge w:val="continue"/>
            <w:noWrap w:val="0"/>
            <w:vAlign w:val="center"/>
          </w:tcPr>
          <w:p>
            <w:pPr>
              <w:widowControl/>
              <w:adjustRightInd w:val="0"/>
              <w:snapToGrid w:val="0"/>
              <w:spacing w:before="120" w:beforeLines="50"/>
              <w:jc w:val="center"/>
              <w:rPr>
                <w:rFonts w:hint="eastAsia"/>
                <w:b/>
                <w:szCs w:val="21"/>
              </w:rPr>
            </w:pPr>
          </w:p>
        </w:tc>
        <w:tc>
          <w:tcPr>
            <w:tcW w:w="2032" w:type="dxa"/>
            <w:noWrap w:val="0"/>
            <w:vAlign w:val="center"/>
          </w:tcPr>
          <w:p>
            <w:pPr>
              <w:widowControl/>
              <w:adjustRightInd w:val="0"/>
              <w:snapToGrid w:val="0"/>
              <w:jc w:val="center"/>
              <w:rPr>
                <w:rFonts w:hint="eastAsia"/>
                <w:szCs w:val="21"/>
                <w:lang w:val="en-US" w:eastAsia="zh-CN"/>
              </w:rPr>
            </w:pPr>
            <w:r>
              <w:rPr>
                <w:rFonts w:hint="eastAsia"/>
                <w:szCs w:val="21"/>
                <w:lang w:val="en-US" w:eastAsia="zh-CN"/>
              </w:rPr>
              <w:t>13.3吨</w:t>
            </w:r>
          </w:p>
        </w:tc>
        <w:tc>
          <w:tcPr>
            <w:tcW w:w="2239"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10.2吨</w:t>
            </w:r>
          </w:p>
        </w:tc>
        <w:tc>
          <w:tcPr>
            <w:tcW w:w="1649"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76.7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65" w:type="dxa"/>
            <w:noWrap w:val="0"/>
            <w:vAlign w:val="top"/>
          </w:tcPr>
          <w:p>
            <w:pPr>
              <w:pStyle w:val="123"/>
              <w:spacing w:before="75"/>
              <w:ind w:left="96" w:leftChars="0" w:right="83" w:rightChars="0"/>
              <w:jc w:val="center"/>
              <w:rPr>
                <w:rFonts w:hint="eastAsia"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钢丝</w:t>
            </w:r>
          </w:p>
        </w:tc>
        <w:tc>
          <w:tcPr>
            <w:tcW w:w="1653" w:type="dxa"/>
            <w:vMerge w:val="continue"/>
            <w:noWrap w:val="0"/>
            <w:vAlign w:val="center"/>
          </w:tcPr>
          <w:p>
            <w:pPr>
              <w:widowControl/>
              <w:adjustRightInd w:val="0"/>
              <w:snapToGrid w:val="0"/>
              <w:spacing w:before="120" w:beforeLines="50"/>
              <w:jc w:val="center"/>
              <w:rPr>
                <w:rFonts w:hint="eastAsia"/>
                <w:b/>
                <w:szCs w:val="21"/>
              </w:rPr>
            </w:pPr>
          </w:p>
        </w:tc>
        <w:tc>
          <w:tcPr>
            <w:tcW w:w="2032" w:type="dxa"/>
            <w:noWrap w:val="0"/>
            <w:vAlign w:val="center"/>
          </w:tcPr>
          <w:p>
            <w:pPr>
              <w:widowControl/>
              <w:adjustRightInd w:val="0"/>
              <w:snapToGrid w:val="0"/>
              <w:jc w:val="center"/>
              <w:rPr>
                <w:rFonts w:hint="eastAsia"/>
                <w:szCs w:val="21"/>
                <w:lang w:val="en-US" w:eastAsia="zh-CN"/>
              </w:rPr>
            </w:pPr>
            <w:r>
              <w:rPr>
                <w:rFonts w:hint="eastAsia"/>
                <w:szCs w:val="21"/>
                <w:lang w:val="en-US" w:eastAsia="zh-CN"/>
              </w:rPr>
              <w:t>3.3吨</w:t>
            </w:r>
          </w:p>
        </w:tc>
        <w:tc>
          <w:tcPr>
            <w:tcW w:w="2239"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2.9吨</w:t>
            </w:r>
          </w:p>
        </w:tc>
        <w:tc>
          <w:tcPr>
            <w:tcW w:w="1649"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87.9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665" w:type="dxa"/>
            <w:noWrap w:val="0"/>
            <w:vAlign w:val="top"/>
          </w:tcPr>
          <w:p>
            <w:pPr>
              <w:pStyle w:val="123"/>
              <w:spacing w:before="75"/>
              <w:ind w:left="96" w:leftChars="0" w:right="83" w:rightChars="0"/>
              <w:jc w:val="center"/>
              <w:rPr>
                <w:rFonts w:hint="eastAsia" w:ascii="宋体" w:hAnsi="宋体" w:eastAsia="宋体" w:cs="宋体"/>
                <w:kern w:val="2"/>
                <w:sz w:val="21"/>
                <w:szCs w:val="24"/>
                <w:lang w:val="zh-CN" w:eastAsia="zh-CN" w:bidi="zh-CN"/>
              </w:rPr>
            </w:pPr>
            <w:r>
              <w:rPr>
                <w:rFonts w:ascii="宋体" w:hAnsi="宋体" w:eastAsia="宋体" w:cs="宋体"/>
                <w:kern w:val="2"/>
                <w:sz w:val="21"/>
                <w:szCs w:val="24"/>
                <w:lang w:val="zh-CN" w:eastAsia="zh-CN" w:bidi="zh-CN"/>
              </w:rPr>
              <w:t>钢砂</w:t>
            </w:r>
          </w:p>
        </w:tc>
        <w:tc>
          <w:tcPr>
            <w:tcW w:w="1653" w:type="dxa"/>
            <w:vMerge w:val="continue"/>
            <w:noWrap w:val="0"/>
            <w:vAlign w:val="center"/>
          </w:tcPr>
          <w:p>
            <w:pPr>
              <w:widowControl/>
              <w:adjustRightInd w:val="0"/>
              <w:snapToGrid w:val="0"/>
              <w:spacing w:before="120" w:beforeLines="50"/>
              <w:jc w:val="center"/>
              <w:rPr>
                <w:rFonts w:hint="eastAsia"/>
                <w:b/>
                <w:szCs w:val="21"/>
              </w:rPr>
            </w:pPr>
          </w:p>
        </w:tc>
        <w:tc>
          <w:tcPr>
            <w:tcW w:w="2032" w:type="dxa"/>
            <w:noWrap w:val="0"/>
            <w:vAlign w:val="center"/>
          </w:tcPr>
          <w:p>
            <w:pPr>
              <w:widowControl/>
              <w:adjustRightInd w:val="0"/>
              <w:snapToGrid w:val="0"/>
              <w:jc w:val="center"/>
              <w:rPr>
                <w:rFonts w:hint="eastAsia"/>
                <w:szCs w:val="21"/>
                <w:lang w:val="en-US" w:eastAsia="zh-CN"/>
              </w:rPr>
            </w:pPr>
            <w:r>
              <w:rPr>
                <w:rFonts w:hint="eastAsia"/>
                <w:szCs w:val="21"/>
                <w:lang w:val="en-US" w:eastAsia="zh-CN"/>
              </w:rPr>
              <w:t>16.7吨</w:t>
            </w:r>
          </w:p>
        </w:tc>
        <w:tc>
          <w:tcPr>
            <w:tcW w:w="2239"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14.5吨</w:t>
            </w:r>
          </w:p>
        </w:tc>
        <w:tc>
          <w:tcPr>
            <w:tcW w:w="1649" w:type="dxa"/>
            <w:noWrap w:val="0"/>
            <w:vAlign w:val="center"/>
          </w:tcPr>
          <w:p>
            <w:pPr>
              <w:widowControl/>
              <w:adjustRightInd w:val="0"/>
              <w:snapToGrid w:val="0"/>
              <w:jc w:val="center"/>
              <w:rPr>
                <w:rFonts w:hint="default"/>
                <w:szCs w:val="21"/>
                <w:lang w:val="en-US" w:eastAsia="zh-CN"/>
              </w:rPr>
            </w:pPr>
            <w:r>
              <w:rPr>
                <w:rFonts w:hint="eastAsia"/>
                <w:szCs w:val="21"/>
                <w:lang w:val="en-US" w:eastAsia="zh-CN"/>
              </w:rPr>
              <w:t>86.8</w:t>
            </w:r>
          </w:p>
        </w:tc>
      </w:tr>
    </w:tbl>
    <w:p>
      <w:pPr>
        <w:pStyle w:val="105"/>
        <w:ind w:firstLine="480"/>
        <w:rPr>
          <w:rFonts w:hint="eastAsia" w:ascii="Times New Roman" w:hAnsi="Times New Roman" w:cs="Times New Roman" w:eastAsiaTheme="minorEastAsia"/>
          <w:color w:val="000000" w:themeColor="text1"/>
          <w:kern w:val="2"/>
          <w:sz w:val="24"/>
          <w:szCs w:val="24"/>
          <w:lang w:val="en-US" w:eastAsia="zh-CN" w:bidi="ar-SA"/>
          <w14:textFill>
            <w14:solidFill>
              <w14:schemeClr w14:val="tx1"/>
            </w14:solidFill>
          </w14:textFill>
        </w:rPr>
      </w:pPr>
    </w:p>
    <w:p>
      <w:pPr>
        <w:pStyle w:val="105"/>
        <w:ind w:firstLine="480"/>
        <w:rPr>
          <w:rFonts w:hint="eastAsia" w:eastAsia="方正书宋简体"/>
          <w:spacing w:val="0"/>
          <w:lang w:val="en-US" w:eastAsia="zh-CN"/>
        </w:rPr>
      </w:pPr>
      <w:r>
        <w:rPr>
          <w:rFonts w:hint="eastAsia" w:eastAsia="方正书宋简体"/>
          <w:spacing w:val="0"/>
          <w:lang w:val="en-US" w:eastAsia="zh-CN"/>
        </w:rPr>
        <w:t>3、环境管理检查</w:t>
      </w:r>
    </w:p>
    <w:p>
      <w:pPr>
        <w:pStyle w:val="38"/>
        <w:numPr>
          <w:ilvl w:val="0"/>
          <w:numId w:val="0"/>
        </w:numPr>
        <w:rPr>
          <w:rFonts w:hint="eastAsia" w:ascii="宋体" w:hAnsi="宋体" w:eastAsia="宋体" w:cs="Times New Roman"/>
          <w:b w:val="0"/>
          <w:bCs/>
          <w:color w:val="000000" w:themeColor="text1"/>
          <w:kern w:val="2"/>
          <w:sz w:val="24"/>
          <w:szCs w:val="24"/>
          <w:lang w:val="en-US" w:eastAsia="zh-CN" w:bidi="ar-SA"/>
          <w14:textFill>
            <w14:solidFill>
              <w14:schemeClr w14:val="tx1"/>
            </w14:solidFill>
          </w14:textFill>
        </w:rPr>
      </w:pPr>
      <w:r>
        <w:rPr>
          <w:rFonts w:hint="eastAsia" w:ascii="宋体" w:hAnsi="宋体" w:eastAsia="宋体" w:cs="Times New Roman"/>
          <w:b w:val="0"/>
          <w:bCs/>
          <w:color w:val="000000" w:themeColor="text1"/>
          <w:kern w:val="2"/>
          <w:sz w:val="24"/>
          <w:szCs w:val="24"/>
          <w:lang w:val="en-US" w:eastAsia="zh-CN" w:bidi="ar-SA"/>
          <w14:textFill>
            <w14:solidFill>
              <w14:schemeClr w14:val="tx1"/>
            </w14:solidFill>
          </w14:textFill>
        </w:rPr>
        <w:t>（1）环境保护管理规章制度的建立、执行情况</w:t>
      </w:r>
    </w:p>
    <w:p>
      <w:pPr>
        <w:spacing w:line="360" w:lineRule="auto"/>
        <w:ind w:firstLine="480" w:firstLineChars="200"/>
        <w:jc w:val="both"/>
        <w:rPr>
          <w:rFonts w:hint="eastAsia" w:ascii="Times New Roman" w:hAnsi="Times New Roman" w:cs="Times New Roman" w:eastAsiaTheme="minorEastAsia"/>
          <w:color w:val="000000" w:themeColor="text1"/>
          <w:kern w:val="2"/>
          <w:sz w:val="24"/>
          <w:szCs w:val="24"/>
          <w:lang w:val="en-US" w:eastAsia="zh-CN" w:bidi="ar-SA"/>
          <w14:textFill>
            <w14:solidFill>
              <w14:schemeClr w14:val="tx1"/>
            </w14:solidFill>
          </w14:textFill>
        </w:rPr>
      </w:pPr>
      <w:r>
        <w:rPr>
          <w:rFonts w:hint="eastAsia" w:ascii="Times New Roman" w:hAnsi="Times New Roman" w:cs="Times New Roman" w:eastAsiaTheme="minorEastAsia"/>
          <w:color w:val="000000" w:themeColor="text1"/>
          <w:kern w:val="2"/>
          <w:sz w:val="24"/>
          <w:szCs w:val="24"/>
          <w:lang w:val="en-US" w:eastAsia="zh-CN" w:bidi="ar-SA"/>
          <w14:textFill>
            <w14:solidFill>
              <w14:schemeClr w14:val="tx1"/>
            </w14:solidFill>
          </w14:textFill>
        </w:rPr>
        <w:t>滕州市丰尔达金属制品有限责任公司根据公司实际情况制订了环境保护管理制度，明确各级职责，严格要求车间人员按照操作规范进行操作，将相应的责任落实到个人。</w:t>
      </w:r>
    </w:p>
    <w:p>
      <w:pPr>
        <w:pStyle w:val="38"/>
        <w:numPr>
          <w:ilvl w:val="0"/>
          <w:numId w:val="7"/>
        </w:numPr>
        <w:rPr>
          <w:rFonts w:hint="eastAsia" w:ascii="宋体" w:hAnsi="宋体" w:eastAsia="宋体" w:cs="Times New Roman"/>
          <w:b w:val="0"/>
          <w:bCs/>
          <w:color w:val="000000" w:themeColor="text1"/>
          <w:kern w:val="2"/>
          <w:sz w:val="24"/>
          <w:szCs w:val="24"/>
          <w:lang w:val="en-US" w:eastAsia="zh-CN" w:bidi="ar-SA"/>
          <w14:textFill>
            <w14:solidFill>
              <w14:schemeClr w14:val="tx1"/>
            </w14:solidFill>
          </w14:textFill>
        </w:rPr>
      </w:pPr>
      <w:r>
        <w:rPr>
          <w:rFonts w:hint="eastAsia" w:ascii="宋体" w:hAnsi="宋体" w:eastAsia="宋体" w:cs="Times New Roman"/>
          <w:b w:val="0"/>
          <w:bCs/>
          <w:color w:val="000000" w:themeColor="text1"/>
          <w:kern w:val="2"/>
          <w:sz w:val="24"/>
          <w:szCs w:val="24"/>
          <w:lang w:val="en-US" w:eastAsia="zh-CN" w:bidi="ar-SA"/>
          <w14:textFill>
            <w14:solidFill>
              <w14:schemeClr w14:val="tx1"/>
            </w14:solidFill>
          </w14:textFill>
        </w:rPr>
        <w:t>环保设施运行、维护情况</w:t>
      </w:r>
    </w:p>
    <w:p>
      <w:pPr>
        <w:spacing w:line="360" w:lineRule="auto"/>
        <w:ind w:firstLine="480" w:firstLineChars="200"/>
        <w:rPr>
          <w:rFonts w:cs="Times New Roman"/>
          <w:color w:val="000000" w:themeColor="text1"/>
          <w:szCs w:val="28"/>
          <w14:textFill>
            <w14:solidFill>
              <w14:schemeClr w14:val="tx1"/>
            </w14:solidFill>
          </w14:textFill>
        </w:rPr>
      </w:pPr>
      <w:r>
        <w:rPr>
          <w:rFonts w:hint="eastAsia" w:ascii="Times New Roman" w:hAnsi="Times New Roman" w:cs="Times New Roman" w:eastAsiaTheme="minorEastAsia"/>
          <w:color w:val="000000" w:themeColor="text1"/>
          <w:kern w:val="2"/>
          <w:sz w:val="24"/>
          <w:szCs w:val="24"/>
          <w:lang w:val="en-US" w:eastAsia="zh-CN" w:bidi="ar-SA"/>
          <w14:textFill>
            <w14:solidFill>
              <w14:schemeClr w14:val="tx1"/>
            </w14:solidFill>
          </w14:textFill>
        </w:rPr>
        <w:t>项目设有环保设施检查、维护人员，可做到对环保设施定期检查、维护，以保证其正常运行。</w:t>
      </w:r>
    </w:p>
    <w:p>
      <w:pPr>
        <w:pStyle w:val="22"/>
        <w:spacing w:line="360" w:lineRule="auto"/>
        <w:rPr>
          <w:rFonts w:ascii="Times New Roman" w:hAnsi="Times New Roman"/>
          <w:color w:val="000000" w:themeColor="text1"/>
          <w:sz w:val="30"/>
          <w:szCs w:val="30"/>
          <w14:textFill>
            <w14:solidFill>
              <w14:schemeClr w14:val="tx1"/>
            </w14:solidFill>
          </w14:textFill>
        </w:rPr>
      </w:pPr>
      <w:r>
        <w:rPr>
          <w:rFonts w:hint="eastAsia" w:ascii="Times New Roman" w:hAnsi="Times New Roman" w:eastAsia="宋体" w:cs="Times New Roman"/>
          <w:b/>
          <w:bCs/>
          <w:kern w:val="44"/>
          <w:sz w:val="30"/>
          <w:szCs w:val="30"/>
          <w:lang w:val="en-US" w:eastAsia="zh-CN" w:bidi="ar-SA"/>
        </w:rPr>
        <w:t>八、验收监测结果</w:t>
      </w:r>
    </w:p>
    <w:p>
      <w:pPr>
        <w:pStyle w:val="121"/>
        <w:keepNext/>
        <w:keepLines/>
        <w:pageBreakBefore w:val="0"/>
        <w:widowControl w:val="0"/>
        <w:shd w:val="clear" w:color="auto" w:fill="auto"/>
        <w:kinsoku/>
        <w:wordWrap/>
        <w:overflowPunct/>
        <w:topLinePunct w:val="0"/>
        <w:autoSpaceDE/>
        <w:autoSpaceDN/>
        <w:bidi w:val="0"/>
        <w:spacing w:before="0" w:line="360" w:lineRule="auto"/>
        <w:ind w:left="0" w:right="0" w:firstLine="480" w:firstLineChars="200"/>
        <w:jc w:val="both"/>
        <w:textAlignment w:val="auto"/>
        <w:rPr>
          <w:rFonts w:ascii="Times New Roman" w:hAnsi="Times New Roman" w:cs="Times New Roman"/>
          <w:color w:val="000000"/>
          <w:sz w:val="24"/>
          <w:szCs w:val="24"/>
        </w:rPr>
      </w:pPr>
      <w:r>
        <w:rPr>
          <w:rFonts w:hint="eastAsia" w:ascii="Times New Roman" w:hAnsi="Times New Roman" w:cs="Times New Roman"/>
          <w:color w:val="000000"/>
          <w:sz w:val="24"/>
          <w:szCs w:val="24"/>
        </w:rPr>
        <w:t>企业委托</w:t>
      </w:r>
      <w:bookmarkStart w:id="21" w:name="bookmark12"/>
      <w:bookmarkStart w:id="22" w:name="bookmark13"/>
      <w:bookmarkStart w:id="23" w:name="bookmark11"/>
      <w:r>
        <w:rPr>
          <w:rFonts w:hint="eastAsia" w:ascii="Times New Roman" w:hAnsi="Times New Roman" w:eastAsia="宋体" w:cs="Times New Roman"/>
          <w:color w:val="000000"/>
          <w:sz w:val="24"/>
          <w:szCs w:val="24"/>
        </w:rPr>
        <w:t>山东环安检测科技有限公司</w:t>
      </w:r>
      <w:bookmarkEnd w:id="21"/>
      <w:bookmarkEnd w:id="22"/>
      <w:bookmarkEnd w:id="23"/>
      <w:r>
        <w:rPr>
          <w:rFonts w:ascii="Times New Roman" w:hAnsi="Times New Roman" w:cs="Times New Roman"/>
          <w:sz w:val="24"/>
          <w:szCs w:val="24"/>
          <w:highlight w:val="none"/>
        </w:rPr>
        <w:t>于201</w:t>
      </w:r>
      <w:r>
        <w:rPr>
          <w:rFonts w:hint="eastAsia" w:ascii="Times New Roman" w:hAnsi="Times New Roman" w:cs="Times New Roman"/>
          <w:sz w:val="24"/>
          <w:szCs w:val="24"/>
          <w:highlight w:val="none"/>
        </w:rPr>
        <w:t>9</w:t>
      </w:r>
      <w:r>
        <w:rPr>
          <w:rFonts w:ascii="Times New Roman" w:hAnsi="Times New Roman" w:cs="Times New Roman"/>
          <w:sz w:val="24"/>
          <w:szCs w:val="24"/>
          <w:highlight w:val="none"/>
        </w:rPr>
        <w:t>年</w:t>
      </w:r>
      <w:r>
        <w:rPr>
          <w:rFonts w:hint="eastAsia" w:ascii="Times New Roman" w:hAnsi="Times New Roman" w:cs="Times New Roman"/>
          <w:sz w:val="24"/>
          <w:szCs w:val="24"/>
          <w:highlight w:val="none"/>
          <w:lang w:val="en-US" w:eastAsia="zh-CN"/>
        </w:rPr>
        <w:t>11</w:t>
      </w:r>
      <w:r>
        <w:rPr>
          <w:rFonts w:ascii="Times New Roman" w:hAnsi="Times New Roman" w:cs="Times New Roman"/>
          <w:sz w:val="24"/>
          <w:szCs w:val="24"/>
          <w:highlight w:val="none"/>
        </w:rPr>
        <w:t>月</w:t>
      </w:r>
      <w:r>
        <w:rPr>
          <w:rFonts w:hint="eastAsia" w:ascii="Times New Roman" w:hAnsi="Times New Roman" w:cs="Times New Roman"/>
          <w:sz w:val="24"/>
          <w:szCs w:val="24"/>
          <w:highlight w:val="none"/>
          <w:lang w:val="en-US" w:eastAsia="zh-CN"/>
        </w:rPr>
        <w:t>14</w:t>
      </w:r>
      <w:r>
        <w:rPr>
          <w:rFonts w:ascii="Times New Roman" w:hAnsi="Times New Roman" w:cs="Times New Roman"/>
          <w:sz w:val="24"/>
          <w:szCs w:val="24"/>
          <w:highlight w:val="none"/>
        </w:rPr>
        <w:t>日</w:t>
      </w:r>
      <w:r>
        <w:rPr>
          <w:rFonts w:hint="eastAsia" w:ascii="Times New Roman" w:hAnsi="Times New Roman" w:cs="Times New Roman"/>
          <w:sz w:val="24"/>
          <w:szCs w:val="24"/>
          <w:highlight w:val="none"/>
        </w:rPr>
        <w:t>至</w:t>
      </w:r>
      <w:r>
        <w:rPr>
          <w:rFonts w:hint="eastAsia" w:ascii="Times New Roman" w:hAnsi="Times New Roman" w:cs="Times New Roman"/>
          <w:sz w:val="24"/>
          <w:szCs w:val="24"/>
          <w:highlight w:val="none"/>
          <w:lang w:val="en-US" w:eastAsia="zh-CN"/>
        </w:rPr>
        <w:t>11</w:t>
      </w:r>
      <w:r>
        <w:rPr>
          <w:rFonts w:hint="eastAsia" w:ascii="Times New Roman" w:hAnsi="Times New Roman" w:cs="Times New Roman"/>
          <w:sz w:val="24"/>
          <w:szCs w:val="24"/>
          <w:highlight w:val="none"/>
        </w:rPr>
        <w:t>月</w:t>
      </w:r>
      <w:r>
        <w:rPr>
          <w:rFonts w:hint="eastAsia" w:ascii="Times New Roman" w:hAnsi="Times New Roman" w:cs="Times New Roman"/>
          <w:sz w:val="24"/>
          <w:szCs w:val="24"/>
          <w:highlight w:val="none"/>
          <w:lang w:val="en-US" w:eastAsia="zh-CN"/>
        </w:rPr>
        <w:t>17</w:t>
      </w:r>
      <w:r>
        <w:rPr>
          <w:rFonts w:hint="eastAsia" w:ascii="Times New Roman" w:hAnsi="Times New Roman" w:cs="Times New Roman"/>
          <w:sz w:val="24"/>
          <w:szCs w:val="24"/>
          <w:highlight w:val="none"/>
        </w:rPr>
        <w:t>日</w:t>
      </w:r>
      <w:r>
        <w:rPr>
          <w:rFonts w:ascii="Times New Roman" w:hAnsi="Times New Roman" w:cs="Times New Roman"/>
          <w:sz w:val="24"/>
          <w:szCs w:val="24"/>
          <w:highlight w:val="none"/>
        </w:rPr>
        <w:t>进行了</w:t>
      </w:r>
      <w:r>
        <w:rPr>
          <w:rFonts w:hint="eastAsia" w:ascii="Times New Roman" w:hAnsi="Times New Roman" w:cs="Times New Roman"/>
          <w:sz w:val="24"/>
          <w:szCs w:val="24"/>
          <w:highlight w:val="none"/>
        </w:rPr>
        <w:t>现场</w:t>
      </w:r>
      <w:r>
        <w:rPr>
          <w:rFonts w:hint="eastAsia" w:ascii="Times New Roman" w:hAnsi="Times New Roman" w:cs="Times New Roman"/>
          <w:color w:val="000000"/>
          <w:sz w:val="24"/>
          <w:szCs w:val="24"/>
          <w:highlight w:val="none"/>
        </w:rPr>
        <w:t>检测</w:t>
      </w:r>
      <w:r>
        <w:rPr>
          <w:rFonts w:hint="eastAsia" w:ascii="Times New Roman" w:hAnsi="Times New Roman" w:cs="Times New Roman"/>
          <w:color w:val="000000"/>
          <w:sz w:val="24"/>
          <w:szCs w:val="24"/>
        </w:rPr>
        <w:t>，并出具了检测报告。</w:t>
      </w:r>
    </w:p>
    <w:p>
      <w:pPr>
        <w:pStyle w:val="105"/>
        <w:pageBreakBefore w:val="0"/>
        <w:widowControl w:val="0"/>
        <w:kinsoku/>
        <w:wordWrap/>
        <w:overflowPunct/>
        <w:topLinePunct w:val="0"/>
        <w:autoSpaceDE/>
        <w:autoSpaceDN/>
        <w:bidi w:val="0"/>
        <w:spacing w:line="360" w:lineRule="auto"/>
        <w:ind w:firstLine="482"/>
        <w:textAlignment w:val="auto"/>
      </w:pPr>
      <w:r>
        <w:rPr>
          <w:rFonts w:hint="eastAsia"/>
          <w:b/>
          <w:spacing w:val="0"/>
        </w:rPr>
        <w:t>1、废气</w:t>
      </w:r>
    </w:p>
    <w:p>
      <w:pPr>
        <w:pStyle w:val="105"/>
        <w:keepNext w:val="0"/>
        <w:keepLines w:val="0"/>
        <w:pageBreakBefore w:val="0"/>
        <w:widowControl w:val="0"/>
        <w:numPr>
          <w:ilvl w:val="0"/>
          <w:numId w:val="8"/>
        </w:numPr>
        <w:kinsoku/>
        <w:wordWrap/>
        <w:overflowPunct/>
        <w:topLinePunct w:val="0"/>
        <w:autoSpaceDE/>
        <w:autoSpaceDN/>
        <w:bidi w:val="0"/>
        <w:adjustRightInd w:val="0"/>
        <w:snapToGrid w:val="0"/>
        <w:spacing w:before="120" w:beforeLines="50" w:line="360" w:lineRule="auto"/>
        <w:ind w:left="0" w:leftChars="0" w:firstLine="0" w:firstLineChars="0"/>
        <w:textAlignment w:val="auto"/>
        <w:rPr>
          <w:rFonts w:hint="default"/>
          <w:lang w:val="en-US" w:eastAsia="zh-CN"/>
        </w:rPr>
      </w:pPr>
      <w:r>
        <w:rPr>
          <w:rFonts w:hint="eastAsia"/>
          <w:lang w:val="en-US" w:eastAsia="zh-CN"/>
        </w:rPr>
        <w:t>有组织排放</w:t>
      </w:r>
    </w:p>
    <w:p>
      <w:pPr>
        <w:pStyle w:val="105"/>
        <w:keepNext w:val="0"/>
        <w:keepLines w:val="0"/>
        <w:pageBreakBefore w:val="0"/>
        <w:widowControl w:val="0"/>
        <w:numPr>
          <w:ilvl w:val="0"/>
          <w:numId w:val="0"/>
        </w:numPr>
        <w:kinsoku/>
        <w:wordWrap/>
        <w:overflowPunct/>
        <w:topLinePunct w:val="0"/>
        <w:autoSpaceDE/>
        <w:autoSpaceDN/>
        <w:bidi w:val="0"/>
        <w:adjustRightInd w:val="0"/>
        <w:snapToGrid w:val="0"/>
        <w:spacing w:before="120" w:beforeLines="50" w:line="360" w:lineRule="auto"/>
        <w:jc w:val="both"/>
        <w:textAlignment w:val="auto"/>
        <w:rPr>
          <w:rFonts w:hint="eastAsia"/>
          <w:spacing w:val="0"/>
        </w:rPr>
      </w:pPr>
      <w:r>
        <w:rPr>
          <w:rFonts w:hint="eastAsia"/>
          <w:spacing w:val="0"/>
        </w:rPr>
        <w:t>生产废气排放检测结果见表8-1。</w:t>
      </w:r>
    </w:p>
    <w:p>
      <w:pPr>
        <w:pStyle w:val="17"/>
        <w:spacing w:line="240" w:lineRule="auto"/>
        <w:rPr>
          <w:sz w:val="21"/>
          <w:szCs w:val="21"/>
        </w:rPr>
      </w:pPr>
      <w:r>
        <w:rPr>
          <w:sz w:val="21"/>
          <w:szCs w:val="21"/>
        </w:rPr>
        <w:t>表</w:t>
      </w:r>
      <w:r>
        <w:rPr>
          <w:rFonts w:hint="eastAsia"/>
          <w:sz w:val="21"/>
          <w:szCs w:val="21"/>
        </w:rPr>
        <w:t>8-1  生产废气排放检测</w:t>
      </w:r>
      <w:r>
        <w:rPr>
          <w:sz w:val="21"/>
          <w:szCs w:val="21"/>
        </w:rPr>
        <w:t>结果</w:t>
      </w:r>
    </w:p>
    <w:tbl>
      <w:tblPr>
        <w:tblStyle w:val="39"/>
        <w:tblW w:w="9242" w:type="dxa"/>
        <w:tblInd w:w="0" w:type="dxa"/>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169"/>
        <w:gridCol w:w="942"/>
        <w:gridCol w:w="942"/>
        <w:gridCol w:w="1245"/>
        <w:gridCol w:w="963"/>
        <w:gridCol w:w="963"/>
        <w:gridCol w:w="963"/>
        <w:gridCol w:w="963"/>
        <w:gridCol w:w="1092"/>
      </w:tblGrid>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tcBorders>
              <w:tl2br w:val="nil"/>
              <w:tr2bl w:val="nil"/>
            </w:tcBorders>
            <w:shd w:val="clear" w:color="auto" w:fill="auto"/>
            <w:vAlign w:val="center"/>
          </w:tcPr>
          <w:p>
            <w:pPr>
              <w:pStyle w:val="17"/>
              <w:spacing w:line="240" w:lineRule="auto"/>
              <w:ind w:left="-63" w:leftChars="-30" w:right="-63" w:rightChars="-30"/>
              <w:rPr>
                <w:sz w:val="21"/>
                <w:szCs w:val="21"/>
              </w:rPr>
            </w:pPr>
            <w:r>
              <w:rPr>
                <w:rFonts w:hint="eastAsia"/>
                <w:sz w:val="21"/>
                <w:szCs w:val="21"/>
              </w:rPr>
              <w:t>检测</w:t>
            </w:r>
            <w:r>
              <w:rPr>
                <w:sz w:val="21"/>
                <w:szCs w:val="21"/>
              </w:rPr>
              <w:t>日期</w:t>
            </w:r>
          </w:p>
        </w:tc>
        <w:tc>
          <w:tcPr>
            <w:tcW w:w="942" w:type="dxa"/>
            <w:tcBorders>
              <w:tl2br w:val="nil"/>
              <w:tr2bl w:val="nil"/>
            </w:tcBorders>
            <w:shd w:val="clear" w:color="auto" w:fill="auto"/>
            <w:vAlign w:val="center"/>
          </w:tcPr>
          <w:p>
            <w:pPr>
              <w:pStyle w:val="17"/>
              <w:spacing w:line="240" w:lineRule="auto"/>
              <w:ind w:left="-63" w:leftChars="-30" w:right="-63" w:rightChars="-30"/>
              <w:rPr>
                <w:sz w:val="21"/>
                <w:szCs w:val="21"/>
              </w:rPr>
            </w:pPr>
            <w:r>
              <w:rPr>
                <w:rFonts w:hint="eastAsia"/>
                <w:sz w:val="21"/>
                <w:szCs w:val="21"/>
              </w:rPr>
              <w:t>点位</w:t>
            </w:r>
          </w:p>
        </w:tc>
        <w:tc>
          <w:tcPr>
            <w:tcW w:w="2187" w:type="dxa"/>
            <w:gridSpan w:val="2"/>
            <w:tcBorders>
              <w:tl2br w:val="nil"/>
              <w:tr2bl w:val="nil"/>
            </w:tcBorders>
            <w:shd w:val="clear" w:color="auto" w:fill="auto"/>
            <w:vAlign w:val="center"/>
          </w:tcPr>
          <w:p>
            <w:pPr>
              <w:pStyle w:val="17"/>
              <w:spacing w:line="240" w:lineRule="auto"/>
              <w:ind w:left="-63" w:leftChars="-30" w:right="-63" w:rightChars="-30"/>
              <w:rPr>
                <w:sz w:val="21"/>
                <w:szCs w:val="21"/>
              </w:rPr>
            </w:pPr>
            <w:r>
              <w:rPr>
                <w:rFonts w:hint="eastAsia"/>
                <w:sz w:val="21"/>
                <w:szCs w:val="21"/>
              </w:rPr>
              <w:t>检测</w:t>
            </w:r>
            <w:r>
              <w:rPr>
                <w:sz w:val="21"/>
                <w:szCs w:val="21"/>
              </w:rPr>
              <w:t>项目</w:t>
            </w:r>
          </w:p>
        </w:tc>
        <w:tc>
          <w:tcPr>
            <w:tcW w:w="963" w:type="dxa"/>
            <w:tcBorders>
              <w:tl2br w:val="nil"/>
              <w:tr2bl w:val="nil"/>
            </w:tcBorders>
            <w:shd w:val="clear" w:color="auto" w:fill="auto"/>
            <w:vAlign w:val="center"/>
          </w:tcPr>
          <w:p>
            <w:pPr>
              <w:adjustRightInd w:val="0"/>
              <w:snapToGrid w:val="0"/>
              <w:ind w:left="-63" w:leftChars="-30" w:right="-63" w:rightChars="-30"/>
              <w:jc w:val="center"/>
              <w:rPr>
                <w:b/>
                <w:bCs/>
                <w:szCs w:val="21"/>
              </w:rPr>
            </w:pPr>
            <w:r>
              <w:rPr>
                <w:b/>
                <w:bCs/>
                <w:szCs w:val="21"/>
              </w:rPr>
              <w:t>第一次</w:t>
            </w:r>
          </w:p>
        </w:tc>
        <w:tc>
          <w:tcPr>
            <w:tcW w:w="963" w:type="dxa"/>
            <w:tcBorders>
              <w:tl2br w:val="nil"/>
              <w:tr2bl w:val="nil"/>
            </w:tcBorders>
            <w:shd w:val="clear" w:color="auto" w:fill="auto"/>
            <w:vAlign w:val="center"/>
          </w:tcPr>
          <w:p>
            <w:pPr>
              <w:adjustRightInd w:val="0"/>
              <w:snapToGrid w:val="0"/>
              <w:ind w:left="-63" w:leftChars="-30" w:right="-63" w:rightChars="-30"/>
              <w:jc w:val="center"/>
              <w:rPr>
                <w:b/>
                <w:bCs/>
                <w:szCs w:val="21"/>
              </w:rPr>
            </w:pPr>
            <w:r>
              <w:rPr>
                <w:b/>
                <w:bCs/>
                <w:szCs w:val="21"/>
              </w:rPr>
              <w:t>第二次</w:t>
            </w:r>
          </w:p>
        </w:tc>
        <w:tc>
          <w:tcPr>
            <w:tcW w:w="963" w:type="dxa"/>
            <w:tcBorders>
              <w:tl2br w:val="nil"/>
              <w:tr2bl w:val="nil"/>
            </w:tcBorders>
            <w:shd w:val="clear" w:color="auto" w:fill="auto"/>
            <w:vAlign w:val="center"/>
          </w:tcPr>
          <w:p>
            <w:pPr>
              <w:adjustRightInd w:val="0"/>
              <w:snapToGrid w:val="0"/>
              <w:ind w:left="-63" w:leftChars="-30" w:right="-63" w:rightChars="-30"/>
              <w:jc w:val="center"/>
              <w:rPr>
                <w:b/>
                <w:bCs/>
                <w:szCs w:val="21"/>
              </w:rPr>
            </w:pPr>
            <w:r>
              <w:rPr>
                <w:b/>
                <w:bCs/>
                <w:szCs w:val="21"/>
              </w:rPr>
              <w:t>第三次</w:t>
            </w:r>
          </w:p>
        </w:tc>
        <w:tc>
          <w:tcPr>
            <w:tcW w:w="963" w:type="dxa"/>
            <w:tcBorders>
              <w:tl2br w:val="nil"/>
              <w:tr2bl w:val="nil"/>
            </w:tcBorders>
            <w:shd w:val="clear" w:color="auto" w:fill="auto"/>
            <w:vAlign w:val="center"/>
          </w:tcPr>
          <w:p>
            <w:pPr>
              <w:adjustRightInd w:val="0"/>
              <w:snapToGrid w:val="0"/>
              <w:ind w:left="-63" w:leftChars="-30" w:right="-63" w:rightChars="-30"/>
              <w:jc w:val="center"/>
              <w:rPr>
                <w:b/>
                <w:bCs/>
                <w:szCs w:val="21"/>
              </w:rPr>
            </w:pPr>
            <w:r>
              <w:rPr>
                <w:b/>
                <w:bCs/>
                <w:szCs w:val="21"/>
              </w:rPr>
              <w:t>最大值</w:t>
            </w:r>
          </w:p>
        </w:tc>
        <w:tc>
          <w:tcPr>
            <w:tcW w:w="1092" w:type="dxa"/>
            <w:tcBorders>
              <w:tl2br w:val="nil"/>
              <w:tr2bl w:val="nil"/>
            </w:tcBorders>
            <w:shd w:val="clear" w:color="auto" w:fill="auto"/>
            <w:vAlign w:val="center"/>
          </w:tcPr>
          <w:p>
            <w:pPr>
              <w:pStyle w:val="17"/>
              <w:spacing w:line="240" w:lineRule="auto"/>
              <w:ind w:left="-63" w:leftChars="-30" w:right="-63" w:rightChars="-30"/>
              <w:rPr>
                <w:sz w:val="21"/>
                <w:szCs w:val="21"/>
              </w:rPr>
            </w:pPr>
            <w:r>
              <w:rPr>
                <w:sz w:val="21"/>
                <w:szCs w:val="21"/>
              </w:rPr>
              <w:t>标准限值</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restart"/>
            <w:tcBorders>
              <w:tl2br w:val="nil"/>
              <w:tr2bl w:val="nil"/>
            </w:tcBorders>
            <w:shd w:val="clear" w:color="auto" w:fill="auto"/>
            <w:vAlign w:val="center"/>
          </w:tcPr>
          <w:p>
            <w:pPr>
              <w:pStyle w:val="17"/>
              <w:spacing w:line="240" w:lineRule="auto"/>
              <w:ind w:left="-63" w:leftChars="-30" w:right="-63" w:rightChars="-30"/>
              <w:rPr>
                <w:b w:val="0"/>
                <w:bCs w:val="0"/>
                <w:sz w:val="21"/>
                <w:szCs w:val="21"/>
              </w:rPr>
            </w:pPr>
            <w:r>
              <w:rPr>
                <w:rFonts w:hint="eastAsia" w:ascii="Times New Roman" w:hAnsi="宋体" w:eastAsia="宋体" w:cs="Times New Roman"/>
                <w:b w:val="0"/>
                <w:bCs w:val="0"/>
                <w:kern w:val="2"/>
                <w:sz w:val="21"/>
                <w:szCs w:val="24"/>
                <w:lang w:val="en-US" w:eastAsia="zh-CN" w:bidi="ar-SA"/>
              </w:rPr>
              <w:t>2019.11.14</w:t>
            </w:r>
          </w:p>
        </w:tc>
        <w:tc>
          <w:tcPr>
            <w:tcW w:w="942" w:type="dxa"/>
            <w:vMerge w:val="restart"/>
            <w:tcBorders>
              <w:tl2br w:val="nil"/>
              <w:tr2bl w:val="nil"/>
            </w:tcBorders>
            <w:shd w:val="clear" w:color="auto" w:fill="auto"/>
            <w:vAlign w:val="center"/>
          </w:tcPr>
          <w:p>
            <w:pPr>
              <w:pStyle w:val="17"/>
              <w:spacing w:line="240" w:lineRule="auto"/>
              <w:ind w:left="-63" w:leftChars="-30" w:right="-63" w:rightChars="-30"/>
              <w:rPr>
                <w:b w:val="0"/>
                <w:bCs w:val="0"/>
                <w:sz w:val="21"/>
                <w:szCs w:val="21"/>
              </w:rPr>
            </w:pPr>
            <w:r>
              <w:rPr>
                <w:rFonts w:hint="eastAsia"/>
                <w:b w:val="0"/>
                <w:bCs w:val="0"/>
                <w:sz w:val="21"/>
                <w:szCs w:val="21"/>
                <w:lang w:val="en-US" w:eastAsia="zh-CN"/>
              </w:rPr>
              <w:t>研磨工序P1排气筒</w:t>
            </w:r>
          </w:p>
        </w:tc>
        <w:tc>
          <w:tcPr>
            <w:tcW w:w="2187" w:type="dxa"/>
            <w:gridSpan w:val="2"/>
            <w:tcBorders>
              <w:tl2br w:val="nil"/>
              <w:tr2bl w:val="nil"/>
            </w:tcBorders>
            <w:shd w:val="clear" w:color="auto" w:fill="auto"/>
            <w:vAlign w:val="center"/>
          </w:tcPr>
          <w:p>
            <w:pPr>
              <w:pStyle w:val="17"/>
              <w:spacing w:line="240" w:lineRule="auto"/>
              <w:ind w:left="-63" w:leftChars="-30" w:right="-63" w:rightChars="-30"/>
              <w:rPr>
                <w:b w:val="0"/>
                <w:bCs w:val="0"/>
                <w:sz w:val="21"/>
                <w:szCs w:val="21"/>
              </w:rPr>
            </w:pPr>
            <w:r>
              <w:rPr>
                <w:b w:val="0"/>
                <w:bCs w:val="0"/>
                <w:sz w:val="21"/>
                <w:szCs w:val="21"/>
              </w:rPr>
              <w:t>标干</w:t>
            </w:r>
            <w:r>
              <w:rPr>
                <w:rFonts w:hint="eastAsia"/>
                <w:b w:val="0"/>
                <w:bCs w:val="0"/>
                <w:sz w:val="21"/>
                <w:szCs w:val="21"/>
              </w:rPr>
              <w:t>废气量（Ndm</w:t>
            </w:r>
            <w:r>
              <w:rPr>
                <w:rFonts w:hint="eastAsia"/>
                <w:b w:val="0"/>
                <w:bCs w:val="0"/>
                <w:sz w:val="21"/>
                <w:szCs w:val="21"/>
                <w:vertAlign w:val="superscript"/>
              </w:rPr>
              <w:t>3</w:t>
            </w:r>
            <w:r>
              <w:rPr>
                <w:rFonts w:hint="eastAsia"/>
                <w:b w:val="0"/>
                <w:bCs w:val="0"/>
                <w:sz w:val="21"/>
                <w:szCs w:val="21"/>
              </w:rPr>
              <w:t>/h）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9876</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9938</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9396</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szCs w:val="21"/>
              </w:rPr>
              <w:t>—</w:t>
            </w:r>
          </w:p>
        </w:tc>
        <w:tc>
          <w:tcPr>
            <w:tcW w:w="1092" w:type="dxa"/>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szCs w:val="21"/>
              </w:rPr>
              <w:t>—</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pStyle w:val="17"/>
              <w:spacing w:line="240" w:lineRule="auto"/>
              <w:ind w:left="-63" w:leftChars="-30" w:right="-63" w:rightChars="-30"/>
              <w:rPr>
                <w:b w:val="0"/>
                <w:bCs w:val="0"/>
                <w:sz w:val="21"/>
                <w:szCs w:val="21"/>
              </w:rPr>
            </w:pPr>
          </w:p>
        </w:tc>
        <w:tc>
          <w:tcPr>
            <w:tcW w:w="942" w:type="dxa"/>
            <w:vMerge w:val="continue"/>
            <w:tcBorders>
              <w:tl2br w:val="nil"/>
              <w:tr2bl w:val="nil"/>
            </w:tcBorders>
            <w:shd w:val="clear" w:color="auto" w:fill="auto"/>
            <w:vAlign w:val="center"/>
          </w:tcPr>
          <w:p>
            <w:pPr>
              <w:pStyle w:val="17"/>
              <w:spacing w:line="240" w:lineRule="auto"/>
              <w:ind w:left="-63" w:leftChars="-30" w:right="-63" w:rightChars="-30"/>
              <w:rPr>
                <w:b w:val="0"/>
                <w:bCs w:val="0"/>
                <w:sz w:val="21"/>
                <w:szCs w:val="21"/>
              </w:rPr>
            </w:pPr>
          </w:p>
        </w:tc>
        <w:tc>
          <w:tcPr>
            <w:tcW w:w="942" w:type="dxa"/>
            <w:vMerge w:val="restart"/>
            <w:tcBorders>
              <w:tl2br w:val="nil"/>
              <w:tr2bl w:val="nil"/>
            </w:tcBorders>
            <w:shd w:val="clear" w:color="auto" w:fill="auto"/>
            <w:vAlign w:val="center"/>
          </w:tcPr>
          <w:p>
            <w:pPr>
              <w:pStyle w:val="17"/>
              <w:spacing w:line="240" w:lineRule="auto"/>
              <w:ind w:left="-63" w:leftChars="-30" w:right="-63" w:rightChars="-30"/>
              <w:rPr>
                <w:b w:val="0"/>
                <w:bCs w:val="0"/>
                <w:sz w:val="21"/>
                <w:szCs w:val="21"/>
              </w:rPr>
            </w:pPr>
            <w:r>
              <w:rPr>
                <w:rFonts w:hint="eastAsia"/>
                <w:b w:val="0"/>
                <w:bCs w:val="0"/>
                <w:sz w:val="21"/>
                <w:szCs w:val="21"/>
                <w:lang w:val="en-US" w:eastAsia="zh-CN"/>
              </w:rPr>
              <w:t>颗粒物</w:t>
            </w:r>
          </w:p>
        </w:tc>
        <w:tc>
          <w:tcPr>
            <w:tcW w:w="1245" w:type="dxa"/>
            <w:tcBorders>
              <w:tl2br w:val="nil"/>
              <w:tr2bl w:val="nil"/>
            </w:tcBorders>
            <w:shd w:val="clear" w:color="auto" w:fill="auto"/>
            <w:vAlign w:val="center"/>
          </w:tcPr>
          <w:p>
            <w:pPr>
              <w:pStyle w:val="17"/>
              <w:spacing w:line="240" w:lineRule="auto"/>
              <w:ind w:left="-63" w:leftChars="-30" w:right="-63" w:rightChars="-30"/>
              <w:rPr>
                <w:b w:val="0"/>
                <w:bCs w:val="0"/>
                <w:sz w:val="21"/>
                <w:szCs w:val="21"/>
              </w:rPr>
            </w:pPr>
            <w:r>
              <w:rPr>
                <w:b w:val="0"/>
                <w:bCs w:val="0"/>
                <w:sz w:val="21"/>
                <w:szCs w:val="21"/>
              </w:rPr>
              <w:t>排放浓度（mg/m</w:t>
            </w:r>
            <w:r>
              <w:rPr>
                <w:b w:val="0"/>
                <w:bCs w:val="0"/>
                <w:sz w:val="21"/>
                <w:szCs w:val="21"/>
                <w:vertAlign w:val="superscript"/>
              </w:rPr>
              <w:t>3</w:t>
            </w:r>
            <w:r>
              <w:rPr>
                <w:b w:val="0"/>
                <w:bCs w:val="0"/>
                <w:sz w:val="21"/>
                <w:szCs w:val="21"/>
              </w:rPr>
              <w:t>）</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9.4</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8.5</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9.8</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hAnsi="宋体"/>
                <w:szCs w:val="24"/>
              </w:rPr>
              <w:t>9.8</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eastAsia="宋体"/>
                <w:szCs w:val="21"/>
                <w:lang w:val="en-US" w:eastAsia="zh-CN"/>
              </w:rPr>
            </w:pPr>
            <w:r>
              <w:rPr>
                <w:rFonts w:hint="eastAsia"/>
                <w:szCs w:val="21"/>
                <w:lang w:val="en-US" w:eastAsia="zh-CN"/>
              </w:rPr>
              <w:t>10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1245" w:type="dxa"/>
            <w:tcBorders>
              <w:tl2br w:val="nil"/>
              <w:tr2bl w:val="nil"/>
            </w:tcBorders>
            <w:shd w:val="clear" w:color="auto" w:fill="auto"/>
            <w:vAlign w:val="center"/>
          </w:tcPr>
          <w:p>
            <w:pPr>
              <w:adjustRightInd w:val="0"/>
              <w:snapToGrid w:val="0"/>
              <w:ind w:left="-63" w:leftChars="-30" w:right="-63" w:rightChars="-30"/>
              <w:jc w:val="center"/>
              <w:rPr>
                <w:szCs w:val="21"/>
              </w:rPr>
            </w:pPr>
            <w:r>
              <w:rPr>
                <w:szCs w:val="21"/>
              </w:rPr>
              <w:t>排放速率（kg/h）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0.093</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0.084</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0.092</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hAnsi="宋体"/>
                <w:szCs w:val="24"/>
              </w:rPr>
              <w:t>0.093</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eastAsia="宋体"/>
                <w:szCs w:val="21"/>
                <w:lang w:val="en-US" w:eastAsia="zh-CN"/>
              </w:rPr>
            </w:pPr>
            <w:r>
              <w:rPr>
                <w:rFonts w:hint="eastAsia"/>
                <w:szCs w:val="21"/>
                <w:lang w:val="en-US" w:eastAsia="zh-CN"/>
              </w:rPr>
              <w:t>3.5</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restart"/>
            <w:tcBorders>
              <w:tl2br w:val="nil"/>
              <w:tr2bl w:val="nil"/>
            </w:tcBorders>
            <w:shd w:val="clear" w:color="auto" w:fill="auto"/>
            <w:vAlign w:val="center"/>
          </w:tcPr>
          <w:p>
            <w:pPr>
              <w:adjustRightInd w:val="0"/>
              <w:snapToGrid w:val="0"/>
              <w:ind w:left="-63" w:leftChars="-30" w:right="-63" w:rightChars="-30"/>
              <w:jc w:val="center"/>
              <w:rPr>
                <w:rFonts w:hint="eastAsia" w:eastAsia="宋体"/>
                <w:szCs w:val="21"/>
                <w:lang w:eastAsia="zh-CN"/>
              </w:rPr>
            </w:pPr>
            <w:r>
              <w:rPr>
                <w:rFonts w:hint="eastAsia" w:hAnsi="宋体"/>
                <w:szCs w:val="24"/>
              </w:rPr>
              <w:t>2019.11.1</w:t>
            </w:r>
            <w:r>
              <w:rPr>
                <w:rFonts w:hint="eastAsia" w:hAnsi="宋体"/>
                <w:szCs w:val="24"/>
                <w:lang w:val="en-US" w:eastAsia="zh-CN"/>
              </w:rPr>
              <w:t>5</w:t>
            </w: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2187" w:type="dxa"/>
            <w:gridSpan w:val="2"/>
            <w:tcBorders>
              <w:tl2br w:val="nil"/>
              <w:tr2bl w:val="nil"/>
            </w:tcBorders>
            <w:shd w:val="clear" w:color="auto" w:fill="auto"/>
            <w:vAlign w:val="center"/>
          </w:tcPr>
          <w:p>
            <w:pPr>
              <w:pStyle w:val="17"/>
              <w:spacing w:line="240" w:lineRule="auto"/>
              <w:ind w:left="-63" w:leftChars="-30" w:right="-63" w:rightChars="-30"/>
              <w:rPr>
                <w:b w:val="0"/>
                <w:bCs w:val="0"/>
                <w:sz w:val="21"/>
                <w:szCs w:val="21"/>
              </w:rPr>
            </w:pPr>
            <w:r>
              <w:rPr>
                <w:b w:val="0"/>
                <w:bCs w:val="0"/>
                <w:sz w:val="21"/>
                <w:szCs w:val="21"/>
              </w:rPr>
              <w:t>标干</w:t>
            </w:r>
            <w:r>
              <w:rPr>
                <w:rFonts w:hint="eastAsia"/>
                <w:b w:val="0"/>
                <w:bCs w:val="0"/>
                <w:sz w:val="21"/>
                <w:szCs w:val="21"/>
              </w:rPr>
              <w:t>废气量（Ndm</w:t>
            </w:r>
            <w:r>
              <w:rPr>
                <w:rFonts w:hint="eastAsia"/>
                <w:b w:val="0"/>
                <w:bCs w:val="0"/>
                <w:sz w:val="21"/>
                <w:szCs w:val="21"/>
                <w:vertAlign w:val="superscript"/>
              </w:rPr>
              <w:t>3</w:t>
            </w:r>
            <w:r>
              <w:rPr>
                <w:rFonts w:hint="eastAsia"/>
                <w:b w:val="0"/>
                <w:bCs w:val="0"/>
                <w:sz w:val="21"/>
                <w:szCs w:val="21"/>
              </w:rPr>
              <w:t>/h）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11944</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11691</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11634</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szCs w:val="21"/>
              </w:rPr>
              <w:t>—</w:t>
            </w:r>
          </w:p>
        </w:tc>
        <w:tc>
          <w:tcPr>
            <w:tcW w:w="1092" w:type="dxa"/>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szCs w:val="21"/>
              </w:rPr>
              <w:t>—</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restart"/>
            <w:tcBorders>
              <w:tl2br w:val="nil"/>
              <w:tr2bl w:val="nil"/>
            </w:tcBorders>
            <w:shd w:val="clear" w:color="auto" w:fill="auto"/>
            <w:vAlign w:val="center"/>
          </w:tcPr>
          <w:p>
            <w:pPr>
              <w:pStyle w:val="17"/>
              <w:spacing w:line="240" w:lineRule="auto"/>
              <w:ind w:left="-63" w:leftChars="-30" w:right="-63" w:rightChars="-30"/>
              <w:rPr>
                <w:rFonts w:hint="eastAsia" w:eastAsia="宋体"/>
                <w:szCs w:val="21"/>
                <w:lang w:eastAsia="zh-CN"/>
              </w:rPr>
            </w:pPr>
            <w:r>
              <w:rPr>
                <w:rFonts w:hint="eastAsia"/>
                <w:b w:val="0"/>
                <w:bCs w:val="0"/>
                <w:sz w:val="21"/>
                <w:szCs w:val="21"/>
                <w:lang w:val="en-US" w:eastAsia="zh-CN"/>
              </w:rPr>
              <w:t>颗粒物</w:t>
            </w:r>
          </w:p>
        </w:tc>
        <w:tc>
          <w:tcPr>
            <w:tcW w:w="1245" w:type="dxa"/>
            <w:tcBorders>
              <w:tl2br w:val="nil"/>
              <w:tr2bl w:val="nil"/>
            </w:tcBorders>
            <w:shd w:val="clear" w:color="auto" w:fill="auto"/>
            <w:vAlign w:val="center"/>
          </w:tcPr>
          <w:p>
            <w:pPr>
              <w:pStyle w:val="17"/>
              <w:spacing w:line="240" w:lineRule="auto"/>
              <w:ind w:left="-63" w:leftChars="-30" w:right="-63" w:rightChars="-30"/>
              <w:rPr>
                <w:szCs w:val="21"/>
              </w:rPr>
            </w:pPr>
            <w:r>
              <w:rPr>
                <w:b w:val="0"/>
                <w:bCs w:val="0"/>
                <w:sz w:val="21"/>
                <w:szCs w:val="21"/>
              </w:rPr>
              <w:t>排放浓度（mg/m</w:t>
            </w:r>
            <w:r>
              <w:rPr>
                <w:b w:val="0"/>
                <w:bCs w:val="0"/>
                <w:sz w:val="21"/>
                <w:szCs w:val="21"/>
                <w:vertAlign w:val="superscript"/>
              </w:rPr>
              <w:t>3</w:t>
            </w:r>
            <w:r>
              <w:rPr>
                <w:b w:val="0"/>
                <w:bCs w:val="0"/>
                <w:sz w:val="21"/>
                <w:szCs w:val="21"/>
              </w:rPr>
              <w:t>）</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7.0</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8.1</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6.1</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hAnsi="宋体"/>
                <w:szCs w:val="24"/>
              </w:rPr>
              <w:t>8.1</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10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1245" w:type="dxa"/>
            <w:tcBorders>
              <w:tl2br w:val="nil"/>
              <w:tr2bl w:val="nil"/>
            </w:tcBorders>
            <w:shd w:val="clear" w:color="auto" w:fill="auto"/>
            <w:vAlign w:val="center"/>
          </w:tcPr>
          <w:p>
            <w:pPr>
              <w:adjustRightInd w:val="0"/>
              <w:snapToGrid w:val="0"/>
              <w:ind w:left="-63" w:leftChars="-30" w:right="-63" w:rightChars="-30"/>
              <w:jc w:val="center"/>
              <w:rPr>
                <w:szCs w:val="21"/>
              </w:rPr>
            </w:pPr>
            <w:r>
              <w:rPr>
                <w:szCs w:val="21"/>
              </w:rPr>
              <w:t>排放速率（kg/h）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0.084</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0.095</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0.071</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b/>
                <w:bCs/>
                <w:szCs w:val="21"/>
              </w:rPr>
            </w:pPr>
            <w:r>
              <w:rPr>
                <w:rFonts w:hint="eastAsia" w:hAnsi="宋体"/>
                <w:szCs w:val="24"/>
              </w:rPr>
              <w:t>0.095</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3.5</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restart"/>
            <w:tcBorders>
              <w:tl2br w:val="nil"/>
              <w:tr2bl w:val="nil"/>
            </w:tcBorders>
            <w:shd w:val="clear" w:color="auto" w:fill="auto"/>
            <w:vAlign w:val="center"/>
          </w:tcPr>
          <w:p>
            <w:pPr>
              <w:adjustRightInd w:val="0"/>
              <w:snapToGrid w:val="0"/>
              <w:ind w:left="-63" w:leftChars="-30" w:right="-63" w:rightChars="-30"/>
              <w:jc w:val="center"/>
              <w:rPr>
                <w:rFonts w:hint="eastAsia" w:eastAsia="宋体"/>
                <w:szCs w:val="21"/>
                <w:lang w:val="en-US" w:eastAsia="zh-CN"/>
              </w:rPr>
            </w:pPr>
            <w:r>
              <w:rPr>
                <w:rFonts w:hint="eastAsia" w:hAnsi="宋体"/>
                <w:szCs w:val="24"/>
              </w:rPr>
              <w:t>2019.11.1</w:t>
            </w:r>
            <w:r>
              <w:rPr>
                <w:rFonts w:hint="eastAsia" w:hAnsi="宋体"/>
                <w:szCs w:val="24"/>
                <w:lang w:val="en-US" w:eastAsia="zh-CN"/>
              </w:rPr>
              <w:t>4</w:t>
            </w:r>
          </w:p>
        </w:tc>
        <w:tc>
          <w:tcPr>
            <w:tcW w:w="942" w:type="dxa"/>
            <w:vMerge w:val="restart"/>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hAnsi="宋体"/>
                <w:szCs w:val="24"/>
              </w:rPr>
              <w:t>研磨工序P2排气筒</w:t>
            </w:r>
          </w:p>
        </w:tc>
        <w:tc>
          <w:tcPr>
            <w:tcW w:w="2187" w:type="dxa"/>
            <w:gridSpan w:val="2"/>
            <w:tcBorders>
              <w:tl2br w:val="nil"/>
              <w:tr2bl w:val="nil"/>
            </w:tcBorders>
            <w:shd w:val="clear" w:color="auto" w:fill="auto"/>
            <w:vAlign w:val="center"/>
          </w:tcPr>
          <w:p>
            <w:pPr>
              <w:adjustRightInd w:val="0"/>
              <w:snapToGrid w:val="0"/>
              <w:ind w:left="-63" w:leftChars="-30" w:right="-63" w:rightChars="-30"/>
              <w:jc w:val="center"/>
              <w:rPr>
                <w:szCs w:val="21"/>
              </w:rPr>
            </w:pPr>
            <w:r>
              <w:rPr>
                <w:szCs w:val="21"/>
              </w:rPr>
              <w:t>标干</w:t>
            </w:r>
            <w:r>
              <w:rPr>
                <w:rFonts w:hint="eastAsia"/>
                <w:szCs w:val="21"/>
              </w:rPr>
              <w:t>废气量（</w:t>
            </w:r>
            <w:r>
              <w:rPr>
                <w:rFonts w:hint="eastAsia"/>
                <w:b w:val="0"/>
                <w:bCs w:val="0"/>
                <w:sz w:val="21"/>
                <w:szCs w:val="21"/>
              </w:rPr>
              <w:t>Ndm</w:t>
            </w:r>
            <w:r>
              <w:rPr>
                <w:rFonts w:hint="eastAsia"/>
                <w:b w:val="0"/>
                <w:bCs w:val="0"/>
                <w:sz w:val="21"/>
                <w:szCs w:val="21"/>
                <w:vertAlign w:val="superscript"/>
              </w:rPr>
              <w:t>3</w:t>
            </w:r>
            <w:r>
              <w:rPr>
                <w:rFonts w:hint="eastAsia"/>
                <w:b w:val="0"/>
                <w:bCs w:val="0"/>
                <w:sz w:val="21"/>
                <w:szCs w:val="21"/>
              </w:rPr>
              <w:t>/h</w:t>
            </w:r>
            <w:r>
              <w:rPr>
                <w:rFonts w:hint="eastAsia"/>
                <w:szCs w:val="21"/>
              </w:rPr>
              <w:t>）</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8263</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10308</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12289</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b/>
                <w:bCs/>
                <w:szCs w:val="21"/>
              </w:rPr>
            </w:pPr>
            <w:r>
              <w:rPr>
                <w:rFonts w:hint="eastAsia"/>
                <w:szCs w:val="21"/>
              </w:rPr>
              <w:t>—</w:t>
            </w:r>
          </w:p>
        </w:tc>
        <w:tc>
          <w:tcPr>
            <w:tcW w:w="1092" w:type="dxa"/>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szCs w:val="21"/>
              </w:rPr>
              <w:t>—</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restart"/>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szCs w:val="21"/>
              </w:rPr>
              <w:t>颗粒物</w:t>
            </w:r>
          </w:p>
        </w:tc>
        <w:tc>
          <w:tcPr>
            <w:tcW w:w="1245" w:type="dxa"/>
            <w:tcBorders>
              <w:tl2br w:val="nil"/>
              <w:tr2bl w:val="nil"/>
            </w:tcBorders>
            <w:shd w:val="clear" w:color="auto" w:fill="auto"/>
            <w:vAlign w:val="center"/>
          </w:tcPr>
          <w:p>
            <w:pPr>
              <w:adjustRightInd w:val="0"/>
              <w:snapToGrid w:val="0"/>
              <w:ind w:left="-63" w:leftChars="-30" w:right="-63" w:rightChars="-30"/>
              <w:jc w:val="center"/>
              <w:rPr>
                <w:szCs w:val="21"/>
              </w:rPr>
            </w:pPr>
            <w:r>
              <w:rPr>
                <w:szCs w:val="21"/>
              </w:rPr>
              <w:t>排放浓度（mg/m</w:t>
            </w:r>
            <w:r>
              <w:rPr>
                <w:szCs w:val="21"/>
                <w:vertAlign w:val="superscript"/>
              </w:rPr>
              <w:t>3</w:t>
            </w:r>
            <w:r>
              <w:rPr>
                <w:szCs w:val="21"/>
              </w:rPr>
              <w:t>）</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1.5</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1.7</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1.8</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b/>
                <w:bCs/>
                <w:szCs w:val="21"/>
              </w:rPr>
            </w:pPr>
            <w:r>
              <w:rPr>
                <w:rFonts w:hint="eastAsia" w:hAnsi="宋体"/>
                <w:szCs w:val="24"/>
              </w:rPr>
              <w:t>1.8</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10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1245" w:type="dxa"/>
            <w:tcBorders>
              <w:tl2br w:val="nil"/>
              <w:tr2bl w:val="nil"/>
            </w:tcBorders>
            <w:shd w:val="clear" w:color="auto" w:fill="auto"/>
            <w:vAlign w:val="center"/>
          </w:tcPr>
          <w:p>
            <w:pPr>
              <w:adjustRightInd w:val="0"/>
              <w:snapToGrid w:val="0"/>
              <w:ind w:left="-63" w:leftChars="-30" w:right="-63" w:rightChars="-30"/>
              <w:jc w:val="center"/>
              <w:rPr>
                <w:szCs w:val="21"/>
              </w:rPr>
            </w:pPr>
            <w:r>
              <w:rPr>
                <w:szCs w:val="21"/>
              </w:rPr>
              <w:t>排放速率（kg/h）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0.012</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0.018</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0.022</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b/>
                <w:bCs/>
                <w:szCs w:val="21"/>
              </w:rPr>
            </w:pPr>
            <w:r>
              <w:rPr>
                <w:rFonts w:hint="eastAsia" w:hAnsi="宋体"/>
                <w:szCs w:val="24"/>
              </w:rPr>
              <w:t>0.022</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3.5</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restart"/>
            <w:tcBorders>
              <w:tl2br w:val="nil"/>
              <w:tr2bl w:val="nil"/>
            </w:tcBorders>
            <w:shd w:val="clear" w:color="auto" w:fill="auto"/>
            <w:vAlign w:val="center"/>
          </w:tcPr>
          <w:p>
            <w:pPr>
              <w:adjustRightInd w:val="0"/>
              <w:snapToGrid w:val="0"/>
              <w:ind w:left="-63" w:leftChars="-30" w:right="-63" w:rightChars="-30"/>
              <w:jc w:val="center"/>
              <w:rPr>
                <w:rFonts w:hint="eastAsia" w:ascii="Times New Roman" w:hAnsi="Times New Roman" w:eastAsia="宋体" w:cs="Times New Roman"/>
                <w:kern w:val="2"/>
                <w:sz w:val="21"/>
                <w:szCs w:val="21"/>
                <w:lang w:val="en-US" w:eastAsia="zh-CN" w:bidi="ar-SA"/>
              </w:rPr>
            </w:pPr>
            <w:r>
              <w:rPr>
                <w:rFonts w:hint="eastAsia" w:hAnsi="宋体"/>
                <w:szCs w:val="24"/>
              </w:rPr>
              <w:t>2019.11.1</w:t>
            </w:r>
            <w:r>
              <w:rPr>
                <w:rFonts w:hint="eastAsia" w:hAnsi="宋体"/>
                <w:szCs w:val="24"/>
                <w:lang w:val="en-US" w:eastAsia="zh-CN"/>
              </w:rPr>
              <w:t>5</w:t>
            </w:r>
          </w:p>
        </w:tc>
        <w:tc>
          <w:tcPr>
            <w:tcW w:w="942" w:type="dxa"/>
            <w:vMerge w:val="continue"/>
            <w:tcBorders>
              <w:tl2br w:val="nil"/>
              <w:tr2bl w:val="nil"/>
            </w:tcBorders>
            <w:shd w:val="clear" w:color="auto" w:fill="auto"/>
            <w:vAlign w:val="center"/>
          </w:tcPr>
          <w:p>
            <w:pPr>
              <w:pStyle w:val="17"/>
              <w:spacing w:line="240" w:lineRule="auto"/>
              <w:ind w:left="-63" w:leftChars="-30" w:right="-63" w:rightChars="-30"/>
              <w:rPr>
                <w:szCs w:val="21"/>
              </w:rPr>
            </w:pPr>
          </w:p>
        </w:tc>
        <w:tc>
          <w:tcPr>
            <w:tcW w:w="2187" w:type="dxa"/>
            <w:gridSpan w:val="2"/>
            <w:tcBorders>
              <w:tl2br w:val="nil"/>
              <w:tr2bl w:val="nil"/>
            </w:tcBorders>
            <w:shd w:val="clear" w:color="auto" w:fill="auto"/>
            <w:vAlign w:val="center"/>
          </w:tcPr>
          <w:p>
            <w:pPr>
              <w:pStyle w:val="17"/>
              <w:spacing w:line="240" w:lineRule="auto"/>
              <w:ind w:left="-63" w:leftChars="-30" w:right="-63" w:rightChars="-30"/>
              <w:rPr>
                <w:b w:val="0"/>
                <w:bCs w:val="0"/>
                <w:sz w:val="21"/>
                <w:szCs w:val="21"/>
              </w:rPr>
            </w:pPr>
            <w:r>
              <w:rPr>
                <w:b w:val="0"/>
                <w:bCs w:val="0"/>
                <w:sz w:val="21"/>
                <w:szCs w:val="21"/>
              </w:rPr>
              <w:t>标干</w:t>
            </w:r>
            <w:r>
              <w:rPr>
                <w:rFonts w:hint="eastAsia"/>
                <w:b w:val="0"/>
                <w:bCs w:val="0"/>
                <w:sz w:val="21"/>
                <w:szCs w:val="21"/>
              </w:rPr>
              <w:t>废气量（Ndm</w:t>
            </w:r>
            <w:r>
              <w:rPr>
                <w:rFonts w:hint="eastAsia"/>
                <w:b w:val="0"/>
                <w:bCs w:val="0"/>
                <w:sz w:val="21"/>
                <w:szCs w:val="21"/>
                <w:vertAlign w:val="superscript"/>
              </w:rPr>
              <w:t>3</w:t>
            </w:r>
            <w:r>
              <w:rPr>
                <w:rFonts w:hint="eastAsia"/>
                <w:b w:val="0"/>
                <w:bCs w:val="0"/>
                <w:sz w:val="21"/>
                <w:szCs w:val="21"/>
              </w:rPr>
              <w:t>/h）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11847</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12001</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12177</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szCs w:val="21"/>
              </w:rPr>
              <w:t>—</w:t>
            </w:r>
          </w:p>
        </w:tc>
        <w:tc>
          <w:tcPr>
            <w:tcW w:w="1092" w:type="dxa"/>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szCs w:val="21"/>
              </w:rPr>
              <w:t>—</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pStyle w:val="17"/>
              <w:spacing w:line="240" w:lineRule="auto"/>
              <w:ind w:left="-63" w:leftChars="-30" w:right="-63" w:rightChars="-30"/>
              <w:rPr>
                <w:szCs w:val="21"/>
              </w:rPr>
            </w:pPr>
          </w:p>
        </w:tc>
        <w:tc>
          <w:tcPr>
            <w:tcW w:w="942" w:type="dxa"/>
            <w:vMerge w:val="restart"/>
            <w:tcBorders>
              <w:tl2br w:val="nil"/>
              <w:tr2bl w:val="nil"/>
            </w:tcBorders>
            <w:shd w:val="clear" w:color="auto" w:fill="auto"/>
            <w:vAlign w:val="center"/>
          </w:tcPr>
          <w:p>
            <w:pPr>
              <w:adjustRightInd w:val="0"/>
              <w:snapToGrid w:val="0"/>
              <w:ind w:left="-63" w:leftChars="-30" w:right="-63" w:rightChars="-30"/>
              <w:jc w:val="center"/>
              <w:rPr>
                <w:rFonts w:hint="eastAsia" w:eastAsia="宋体"/>
                <w:szCs w:val="21"/>
                <w:lang w:eastAsia="zh-CN"/>
              </w:rPr>
            </w:pPr>
            <w:r>
              <w:rPr>
                <w:rFonts w:hint="eastAsia"/>
                <w:szCs w:val="21"/>
                <w:lang w:val="en-US" w:eastAsia="zh-CN"/>
              </w:rPr>
              <w:t>颗粒物</w:t>
            </w:r>
          </w:p>
        </w:tc>
        <w:tc>
          <w:tcPr>
            <w:tcW w:w="1245" w:type="dxa"/>
            <w:tcBorders>
              <w:tl2br w:val="nil"/>
              <w:tr2bl w:val="nil"/>
            </w:tcBorders>
            <w:shd w:val="clear" w:color="auto" w:fill="auto"/>
            <w:vAlign w:val="center"/>
          </w:tcPr>
          <w:p>
            <w:pPr>
              <w:pStyle w:val="17"/>
              <w:spacing w:line="240" w:lineRule="auto"/>
              <w:ind w:left="-63" w:leftChars="-30" w:right="-63" w:rightChars="-30"/>
              <w:rPr>
                <w:b w:val="0"/>
                <w:bCs w:val="0"/>
                <w:sz w:val="21"/>
                <w:szCs w:val="21"/>
              </w:rPr>
            </w:pPr>
            <w:r>
              <w:rPr>
                <w:b w:val="0"/>
                <w:bCs w:val="0"/>
                <w:sz w:val="21"/>
                <w:szCs w:val="21"/>
              </w:rPr>
              <w:t>排放浓度（mg/m</w:t>
            </w:r>
            <w:r>
              <w:rPr>
                <w:b w:val="0"/>
                <w:bCs w:val="0"/>
                <w:sz w:val="21"/>
                <w:szCs w:val="21"/>
                <w:vertAlign w:val="superscript"/>
              </w:rPr>
              <w:t>3</w:t>
            </w:r>
            <w:r>
              <w:rPr>
                <w:b w:val="0"/>
                <w:bCs w:val="0"/>
                <w:sz w:val="21"/>
                <w:szCs w:val="21"/>
              </w:rPr>
              <w:t>）</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1.4</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1.3</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1.6</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hAnsi="宋体"/>
                <w:szCs w:val="24"/>
              </w:rPr>
              <w:t>1.6</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10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1245" w:type="dxa"/>
            <w:tcBorders>
              <w:tl2br w:val="nil"/>
              <w:tr2bl w:val="nil"/>
            </w:tcBorders>
            <w:shd w:val="clear" w:color="auto" w:fill="auto"/>
            <w:vAlign w:val="center"/>
          </w:tcPr>
          <w:p>
            <w:pPr>
              <w:adjustRightInd w:val="0"/>
              <w:snapToGrid w:val="0"/>
              <w:ind w:left="-63" w:leftChars="-30" w:right="-63" w:rightChars="-30"/>
              <w:jc w:val="center"/>
              <w:rPr>
                <w:szCs w:val="21"/>
              </w:rPr>
            </w:pPr>
            <w:r>
              <w:rPr>
                <w:szCs w:val="21"/>
              </w:rPr>
              <w:t>排放速率（kg/h）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0.017</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0.016</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0.019</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hAnsi="宋体"/>
                <w:szCs w:val="24"/>
              </w:rPr>
              <w:t>0.019</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3.5</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restart"/>
            <w:tcBorders>
              <w:tl2br w:val="nil"/>
              <w:tr2bl w:val="nil"/>
            </w:tcBorders>
            <w:shd w:val="clear" w:color="auto" w:fill="auto"/>
            <w:vAlign w:val="center"/>
          </w:tcPr>
          <w:p>
            <w:pPr>
              <w:adjustRightInd w:val="0"/>
              <w:snapToGrid w:val="0"/>
              <w:ind w:left="-63" w:leftChars="-30" w:right="-63" w:rightChars="-30"/>
              <w:jc w:val="center"/>
              <w:rPr>
                <w:rFonts w:hint="eastAsia" w:hAnsi="宋体"/>
                <w:szCs w:val="24"/>
                <w:lang w:val="en-US" w:eastAsia="zh-CN"/>
              </w:rPr>
            </w:pPr>
          </w:p>
          <w:p>
            <w:pPr>
              <w:adjustRightInd w:val="0"/>
              <w:snapToGrid w:val="0"/>
              <w:ind w:left="-63" w:leftChars="-30" w:right="-63" w:rightChars="-30"/>
              <w:jc w:val="center"/>
              <w:rPr>
                <w:rFonts w:hint="eastAsia" w:hAnsi="宋体"/>
                <w:szCs w:val="24"/>
                <w:lang w:val="en-US" w:eastAsia="zh-CN"/>
              </w:rPr>
            </w:pPr>
          </w:p>
          <w:p>
            <w:pPr>
              <w:adjustRightInd w:val="0"/>
              <w:snapToGrid w:val="0"/>
              <w:ind w:left="-63" w:leftChars="-30" w:right="-63" w:rightChars="-30"/>
              <w:jc w:val="center"/>
              <w:rPr>
                <w:rFonts w:hint="eastAsia" w:hAnsi="宋体"/>
                <w:szCs w:val="24"/>
                <w:lang w:val="en-US" w:eastAsia="zh-CN"/>
              </w:rPr>
            </w:pPr>
            <w:r>
              <w:rPr>
                <w:rFonts w:hint="eastAsia" w:hAnsi="宋体"/>
                <w:szCs w:val="24"/>
                <w:lang w:val="en-US" w:eastAsia="zh-CN"/>
              </w:rPr>
              <w:t>2019.11.14</w:t>
            </w:r>
          </w:p>
          <w:p>
            <w:pPr>
              <w:adjustRightInd w:val="0"/>
              <w:snapToGrid w:val="0"/>
              <w:ind w:left="-63" w:leftChars="-30" w:right="-63" w:rightChars="-30"/>
              <w:jc w:val="both"/>
              <w:rPr>
                <w:rFonts w:hint="eastAsia" w:hAnsi="宋体"/>
                <w:szCs w:val="24"/>
                <w:lang w:val="en-US" w:eastAsia="zh-CN"/>
              </w:rPr>
            </w:pPr>
          </w:p>
          <w:p>
            <w:pPr>
              <w:adjustRightInd w:val="0"/>
              <w:snapToGrid w:val="0"/>
              <w:ind w:left="-63" w:leftChars="-30" w:right="-63" w:rightChars="-30"/>
              <w:jc w:val="center"/>
              <w:rPr>
                <w:szCs w:val="21"/>
              </w:rPr>
            </w:pPr>
          </w:p>
        </w:tc>
        <w:tc>
          <w:tcPr>
            <w:tcW w:w="942" w:type="dxa"/>
            <w:vMerge w:val="restart"/>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hAnsi="宋体"/>
                <w:szCs w:val="24"/>
              </w:rPr>
              <w:t>研磨工序P3排气筒</w:t>
            </w:r>
          </w:p>
        </w:tc>
        <w:tc>
          <w:tcPr>
            <w:tcW w:w="2187" w:type="dxa"/>
            <w:gridSpan w:val="2"/>
            <w:tcBorders>
              <w:tl2br w:val="nil"/>
              <w:tr2bl w:val="nil"/>
            </w:tcBorders>
            <w:shd w:val="clear" w:color="auto" w:fill="auto"/>
            <w:vAlign w:val="center"/>
          </w:tcPr>
          <w:p>
            <w:pPr>
              <w:pStyle w:val="17"/>
              <w:spacing w:line="240" w:lineRule="auto"/>
              <w:ind w:left="-63" w:leftChars="-30" w:right="-63" w:rightChars="-30"/>
              <w:rPr>
                <w:b w:val="0"/>
                <w:bCs w:val="0"/>
                <w:sz w:val="21"/>
                <w:szCs w:val="21"/>
              </w:rPr>
            </w:pPr>
            <w:r>
              <w:rPr>
                <w:b w:val="0"/>
                <w:bCs w:val="0"/>
                <w:sz w:val="21"/>
                <w:szCs w:val="21"/>
              </w:rPr>
              <w:t>标干</w:t>
            </w:r>
            <w:r>
              <w:rPr>
                <w:rFonts w:hint="eastAsia"/>
                <w:b w:val="0"/>
                <w:bCs w:val="0"/>
                <w:sz w:val="21"/>
                <w:szCs w:val="21"/>
              </w:rPr>
              <w:t>废气量（Ndm</w:t>
            </w:r>
            <w:r>
              <w:rPr>
                <w:rFonts w:hint="eastAsia"/>
                <w:b w:val="0"/>
                <w:bCs w:val="0"/>
                <w:sz w:val="21"/>
                <w:szCs w:val="21"/>
                <w:vertAlign w:val="superscript"/>
              </w:rPr>
              <w:t>3</w:t>
            </w:r>
            <w:r>
              <w:rPr>
                <w:rFonts w:hint="eastAsia"/>
                <w:b w:val="0"/>
                <w:bCs w:val="0"/>
                <w:sz w:val="21"/>
                <w:szCs w:val="21"/>
              </w:rPr>
              <w:t>/h）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5168</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5069</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4599</w:t>
            </w:r>
          </w:p>
        </w:tc>
        <w:tc>
          <w:tcPr>
            <w:tcW w:w="963" w:type="dxa"/>
            <w:tcBorders>
              <w:tl2br w:val="nil"/>
              <w:tr2bl w:val="nil"/>
            </w:tcBorders>
            <w:shd w:val="clear" w:color="auto" w:fill="auto"/>
            <w:vAlign w:val="center"/>
          </w:tcPr>
          <w:p>
            <w:pPr>
              <w:pStyle w:val="22"/>
              <w:adjustRightInd w:val="0"/>
              <w:snapToGrid w:val="0"/>
              <w:jc w:val="center"/>
              <w:rPr>
                <w:rFonts w:hAnsi="宋体"/>
              </w:rPr>
            </w:pPr>
            <w:r>
              <w:rPr>
                <w:rFonts w:hint="eastAsia"/>
                <w:szCs w:val="21"/>
              </w:rPr>
              <w:t>—</w:t>
            </w:r>
          </w:p>
        </w:tc>
        <w:tc>
          <w:tcPr>
            <w:tcW w:w="1092" w:type="dxa"/>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szCs w:val="21"/>
              </w:rPr>
              <w:t>—</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restart"/>
            <w:tcBorders>
              <w:tl2br w:val="nil"/>
              <w:tr2bl w:val="nil"/>
            </w:tcBorders>
            <w:shd w:val="clear" w:color="auto" w:fill="auto"/>
            <w:vAlign w:val="center"/>
          </w:tcPr>
          <w:p>
            <w:pPr>
              <w:pStyle w:val="17"/>
              <w:spacing w:line="240" w:lineRule="auto"/>
              <w:ind w:left="-63" w:leftChars="-30" w:right="-63" w:rightChars="-30"/>
              <w:rPr>
                <w:szCs w:val="21"/>
              </w:rPr>
            </w:pPr>
            <w:r>
              <w:rPr>
                <w:rFonts w:hint="eastAsia"/>
                <w:b w:val="0"/>
                <w:bCs w:val="0"/>
                <w:sz w:val="21"/>
                <w:szCs w:val="21"/>
              </w:rPr>
              <w:t>VOCs</w:t>
            </w:r>
            <w:r>
              <w:rPr>
                <w:rFonts w:hint="eastAsia"/>
                <w:b w:val="0"/>
                <w:bCs w:val="0"/>
                <w:color w:val="000000"/>
                <w:sz w:val="21"/>
                <w:szCs w:val="21"/>
              </w:rPr>
              <w:t>（以非甲烷总烃计）</w:t>
            </w:r>
          </w:p>
        </w:tc>
        <w:tc>
          <w:tcPr>
            <w:tcW w:w="1245" w:type="dxa"/>
            <w:tcBorders>
              <w:tl2br w:val="nil"/>
              <w:tr2bl w:val="nil"/>
            </w:tcBorders>
            <w:shd w:val="clear" w:color="auto" w:fill="auto"/>
            <w:vAlign w:val="center"/>
          </w:tcPr>
          <w:p>
            <w:pPr>
              <w:pStyle w:val="17"/>
              <w:spacing w:line="240" w:lineRule="auto"/>
              <w:ind w:left="-63" w:leftChars="-30" w:right="-63" w:rightChars="-30"/>
              <w:rPr>
                <w:szCs w:val="21"/>
              </w:rPr>
            </w:pPr>
            <w:r>
              <w:rPr>
                <w:b w:val="0"/>
                <w:bCs w:val="0"/>
                <w:sz w:val="21"/>
                <w:szCs w:val="21"/>
              </w:rPr>
              <w:t>排放浓度（mg/m</w:t>
            </w:r>
            <w:r>
              <w:rPr>
                <w:b w:val="0"/>
                <w:bCs w:val="0"/>
                <w:sz w:val="21"/>
                <w:szCs w:val="21"/>
                <w:vertAlign w:val="superscript"/>
              </w:rPr>
              <w:t>3</w:t>
            </w:r>
            <w:r>
              <w:rPr>
                <w:b w:val="0"/>
                <w:bCs w:val="0"/>
                <w:sz w:val="21"/>
                <w:szCs w:val="21"/>
              </w:rPr>
              <w:t>）</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7.2</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5.7</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6.4</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hAnsi="宋体"/>
                <w:szCs w:val="24"/>
              </w:rPr>
              <w:t>7.2</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10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1245" w:type="dxa"/>
            <w:tcBorders>
              <w:tl2br w:val="nil"/>
              <w:tr2bl w:val="nil"/>
            </w:tcBorders>
            <w:shd w:val="clear" w:color="auto" w:fill="auto"/>
            <w:vAlign w:val="center"/>
          </w:tcPr>
          <w:p>
            <w:pPr>
              <w:adjustRightInd w:val="0"/>
              <w:snapToGrid w:val="0"/>
              <w:ind w:left="-63" w:leftChars="-30" w:right="-63" w:rightChars="-30"/>
              <w:jc w:val="center"/>
              <w:rPr>
                <w:szCs w:val="21"/>
              </w:rPr>
            </w:pPr>
            <w:r>
              <w:rPr>
                <w:szCs w:val="21"/>
              </w:rPr>
              <w:t>排放速率（kg/h）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0.037</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0.029</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0.029</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hAnsi="宋体"/>
                <w:szCs w:val="24"/>
              </w:rPr>
              <w:t>0.037</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3.5</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restart"/>
            <w:tcBorders>
              <w:tl2br w:val="nil"/>
              <w:tr2bl w:val="nil"/>
            </w:tcBorders>
            <w:shd w:val="clear" w:color="auto" w:fill="auto"/>
            <w:vAlign w:val="center"/>
          </w:tcPr>
          <w:p>
            <w:pPr>
              <w:adjustRightInd w:val="0"/>
              <w:snapToGrid w:val="0"/>
              <w:ind w:left="-63" w:leftChars="-30" w:right="-63" w:rightChars="-30"/>
              <w:jc w:val="center"/>
              <w:rPr>
                <w:rFonts w:hint="eastAsia" w:ascii="Times New Roman" w:hAnsi="Times New Roman" w:eastAsia="宋体" w:cs="Times New Roman"/>
                <w:kern w:val="2"/>
                <w:sz w:val="21"/>
                <w:szCs w:val="21"/>
                <w:lang w:val="en-US" w:eastAsia="zh-CN" w:bidi="ar-SA"/>
              </w:rPr>
            </w:pPr>
            <w:r>
              <w:rPr>
                <w:rFonts w:hint="eastAsia" w:hAnsi="宋体"/>
                <w:szCs w:val="24"/>
              </w:rPr>
              <w:t>2019.11.1</w:t>
            </w:r>
            <w:r>
              <w:rPr>
                <w:rFonts w:hint="eastAsia" w:hAnsi="宋体"/>
                <w:szCs w:val="24"/>
                <w:lang w:val="en-US" w:eastAsia="zh-CN"/>
              </w:rPr>
              <w:t>5</w:t>
            </w: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2187" w:type="dxa"/>
            <w:gridSpan w:val="2"/>
            <w:tcBorders>
              <w:tl2br w:val="nil"/>
              <w:tr2bl w:val="nil"/>
            </w:tcBorders>
            <w:shd w:val="clear" w:color="auto" w:fill="auto"/>
            <w:vAlign w:val="center"/>
          </w:tcPr>
          <w:p>
            <w:pPr>
              <w:pStyle w:val="17"/>
              <w:spacing w:line="240" w:lineRule="auto"/>
              <w:ind w:left="-63" w:leftChars="-30" w:right="-63" w:rightChars="-30"/>
              <w:rPr>
                <w:szCs w:val="21"/>
              </w:rPr>
            </w:pPr>
            <w:r>
              <w:rPr>
                <w:b w:val="0"/>
                <w:bCs w:val="0"/>
                <w:sz w:val="21"/>
                <w:szCs w:val="21"/>
              </w:rPr>
              <w:t>标干</w:t>
            </w:r>
            <w:r>
              <w:rPr>
                <w:rFonts w:hint="eastAsia"/>
                <w:b w:val="0"/>
                <w:bCs w:val="0"/>
                <w:sz w:val="21"/>
                <w:szCs w:val="21"/>
              </w:rPr>
              <w:t>废气量（Ndm</w:t>
            </w:r>
            <w:r>
              <w:rPr>
                <w:rFonts w:hint="eastAsia"/>
                <w:b w:val="0"/>
                <w:bCs w:val="0"/>
                <w:sz w:val="21"/>
                <w:szCs w:val="21"/>
                <w:vertAlign w:val="superscript"/>
              </w:rPr>
              <w:t>3</w:t>
            </w:r>
            <w:r>
              <w:rPr>
                <w:rFonts w:hint="eastAsia"/>
                <w:b w:val="0"/>
                <w:bCs w:val="0"/>
                <w:sz w:val="21"/>
                <w:szCs w:val="21"/>
              </w:rPr>
              <w:t>/h）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6044</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6163</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6235</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szCs w:val="21"/>
              </w:rPr>
              <w:t>—</w:t>
            </w:r>
          </w:p>
        </w:tc>
        <w:tc>
          <w:tcPr>
            <w:tcW w:w="1092" w:type="dxa"/>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szCs w:val="21"/>
              </w:rPr>
              <w:t>—</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restart"/>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szCs w:val="21"/>
              </w:rPr>
              <w:t>颗粒物</w:t>
            </w:r>
          </w:p>
        </w:tc>
        <w:tc>
          <w:tcPr>
            <w:tcW w:w="1245" w:type="dxa"/>
            <w:tcBorders>
              <w:tl2br w:val="nil"/>
              <w:tr2bl w:val="nil"/>
            </w:tcBorders>
            <w:shd w:val="clear" w:color="auto" w:fill="auto"/>
            <w:vAlign w:val="center"/>
          </w:tcPr>
          <w:p>
            <w:pPr>
              <w:adjustRightInd w:val="0"/>
              <w:snapToGrid w:val="0"/>
              <w:ind w:left="-63" w:leftChars="-30" w:right="-63" w:rightChars="-30"/>
              <w:jc w:val="center"/>
              <w:rPr>
                <w:szCs w:val="21"/>
              </w:rPr>
            </w:pPr>
            <w:r>
              <w:rPr>
                <w:szCs w:val="21"/>
              </w:rPr>
              <w:t>排放浓度（mg/m</w:t>
            </w:r>
            <w:r>
              <w:rPr>
                <w:szCs w:val="21"/>
                <w:vertAlign w:val="superscript"/>
              </w:rPr>
              <w:t>3</w:t>
            </w:r>
            <w:r>
              <w:rPr>
                <w:szCs w:val="21"/>
              </w:rPr>
              <w:t>）</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8.2</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9.3</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8.9</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hAnsi="宋体"/>
                <w:szCs w:val="24"/>
              </w:rPr>
              <w:t>9.3</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10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1245" w:type="dxa"/>
            <w:tcBorders>
              <w:tl2br w:val="nil"/>
              <w:tr2bl w:val="nil"/>
            </w:tcBorders>
            <w:shd w:val="clear" w:color="auto" w:fill="auto"/>
            <w:vAlign w:val="center"/>
          </w:tcPr>
          <w:p>
            <w:pPr>
              <w:adjustRightInd w:val="0"/>
              <w:snapToGrid w:val="0"/>
              <w:ind w:left="-63" w:leftChars="-30" w:right="-63" w:rightChars="-30"/>
              <w:jc w:val="center"/>
              <w:rPr>
                <w:szCs w:val="21"/>
              </w:rPr>
            </w:pPr>
            <w:r>
              <w:rPr>
                <w:szCs w:val="21"/>
              </w:rPr>
              <w:t>排放速率（kg/h）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0.050</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0.057</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0.055</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hAnsi="宋体"/>
                <w:szCs w:val="24"/>
              </w:rPr>
              <w:t>0.057</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3.5</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restart"/>
            <w:tcBorders>
              <w:tl2br w:val="nil"/>
              <w:tr2bl w:val="nil"/>
            </w:tcBorders>
            <w:shd w:val="clear" w:color="auto" w:fill="auto"/>
            <w:vAlign w:val="center"/>
          </w:tcPr>
          <w:p>
            <w:pPr>
              <w:pStyle w:val="17"/>
              <w:spacing w:line="240" w:lineRule="auto"/>
              <w:ind w:left="-63" w:leftChars="-30" w:right="-63" w:rightChars="-30"/>
              <w:rPr>
                <w:rFonts w:hint="eastAsia" w:ascii="Times New Roman" w:hAnsi="宋体" w:eastAsia="宋体" w:cs="Times New Roman"/>
                <w:b w:val="0"/>
                <w:bCs w:val="0"/>
                <w:kern w:val="2"/>
                <w:sz w:val="21"/>
                <w:szCs w:val="24"/>
                <w:lang w:val="en-US" w:eastAsia="zh-CN" w:bidi="ar-SA"/>
              </w:rPr>
            </w:pPr>
          </w:p>
          <w:p>
            <w:pPr>
              <w:pStyle w:val="17"/>
              <w:spacing w:line="240" w:lineRule="auto"/>
              <w:ind w:left="-63" w:leftChars="-30" w:right="-63" w:rightChars="-30"/>
              <w:rPr>
                <w:rFonts w:hint="eastAsia" w:ascii="Times New Roman" w:hAnsi="宋体" w:eastAsia="宋体" w:cs="Times New Roman"/>
                <w:b w:val="0"/>
                <w:bCs w:val="0"/>
                <w:kern w:val="2"/>
                <w:sz w:val="21"/>
                <w:szCs w:val="24"/>
                <w:lang w:val="en-US" w:eastAsia="zh-CN" w:bidi="ar-SA"/>
              </w:rPr>
            </w:pPr>
          </w:p>
          <w:p>
            <w:pPr>
              <w:pStyle w:val="17"/>
              <w:spacing w:line="240" w:lineRule="auto"/>
              <w:ind w:left="-63" w:leftChars="-30" w:right="-63" w:rightChars="-30"/>
              <w:rPr>
                <w:rFonts w:ascii="Times New Roman" w:hAnsi="Times New Roman" w:eastAsia="宋体" w:cs="Times New Roman"/>
                <w:b w:val="0"/>
                <w:bCs w:val="0"/>
                <w:kern w:val="0"/>
                <w:sz w:val="21"/>
                <w:szCs w:val="21"/>
                <w:lang w:val="en-US" w:eastAsia="zh-CN" w:bidi="ar-SA"/>
              </w:rPr>
            </w:pPr>
            <w:r>
              <w:rPr>
                <w:rFonts w:hint="eastAsia" w:ascii="Times New Roman" w:hAnsi="宋体" w:eastAsia="宋体" w:cs="Times New Roman"/>
                <w:b w:val="0"/>
                <w:bCs w:val="0"/>
                <w:kern w:val="2"/>
                <w:sz w:val="21"/>
                <w:szCs w:val="24"/>
                <w:lang w:val="en-US" w:eastAsia="zh-CN" w:bidi="ar-SA"/>
              </w:rPr>
              <w:t>2019.11.14</w:t>
            </w:r>
          </w:p>
          <w:p>
            <w:pPr>
              <w:adjustRightInd w:val="0"/>
              <w:snapToGrid w:val="0"/>
              <w:ind w:left="-63" w:leftChars="-30" w:right="-63" w:rightChars="-30"/>
              <w:jc w:val="center"/>
              <w:rPr>
                <w:rFonts w:ascii="Times New Roman" w:hAnsi="Times New Roman" w:eastAsia="宋体" w:cs="Times New Roman"/>
                <w:kern w:val="2"/>
                <w:sz w:val="21"/>
                <w:szCs w:val="21"/>
                <w:lang w:val="en-US" w:eastAsia="zh-CN" w:bidi="ar-SA"/>
              </w:rPr>
            </w:pPr>
          </w:p>
          <w:p>
            <w:pPr>
              <w:pStyle w:val="17"/>
              <w:spacing w:line="240" w:lineRule="auto"/>
              <w:ind w:left="-63" w:leftChars="-30" w:right="-63" w:rightChars="-30"/>
              <w:rPr>
                <w:b w:val="0"/>
                <w:bCs w:val="0"/>
                <w:sz w:val="21"/>
                <w:szCs w:val="21"/>
              </w:rPr>
            </w:pPr>
          </w:p>
        </w:tc>
        <w:tc>
          <w:tcPr>
            <w:tcW w:w="942" w:type="dxa"/>
            <w:vMerge w:val="restart"/>
            <w:tcBorders>
              <w:tl2br w:val="nil"/>
              <w:tr2bl w:val="nil"/>
            </w:tcBorders>
            <w:shd w:val="clear" w:color="auto" w:fill="auto"/>
            <w:vAlign w:val="center"/>
          </w:tcPr>
          <w:p>
            <w:pPr>
              <w:pStyle w:val="17"/>
              <w:spacing w:line="240" w:lineRule="auto"/>
              <w:ind w:left="-63" w:leftChars="-30" w:right="-63" w:rightChars="-30"/>
              <w:rPr>
                <w:b w:val="0"/>
                <w:bCs w:val="0"/>
                <w:sz w:val="21"/>
                <w:szCs w:val="21"/>
              </w:rPr>
            </w:pPr>
            <w:r>
              <w:rPr>
                <w:rFonts w:hint="eastAsia"/>
                <w:b w:val="0"/>
                <w:bCs w:val="0"/>
                <w:sz w:val="21"/>
                <w:szCs w:val="21"/>
                <w:lang w:val="en-US" w:eastAsia="zh-CN"/>
              </w:rPr>
              <w:t>研磨工序P4排气筒</w:t>
            </w:r>
          </w:p>
        </w:tc>
        <w:tc>
          <w:tcPr>
            <w:tcW w:w="2187" w:type="dxa"/>
            <w:gridSpan w:val="2"/>
            <w:tcBorders>
              <w:tl2br w:val="nil"/>
              <w:tr2bl w:val="nil"/>
            </w:tcBorders>
            <w:shd w:val="clear" w:color="auto" w:fill="auto"/>
            <w:vAlign w:val="center"/>
          </w:tcPr>
          <w:p>
            <w:pPr>
              <w:pStyle w:val="17"/>
              <w:spacing w:line="240" w:lineRule="auto"/>
              <w:ind w:left="-63" w:leftChars="-30" w:right="-63" w:rightChars="-30"/>
              <w:rPr>
                <w:b w:val="0"/>
                <w:bCs w:val="0"/>
                <w:sz w:val="21"/>
                <w:szCs w:val="21"/>
              </w:rPr>
            </w:pPr>
            <w:r>
              <w:rPr>
                <w:b w:val="0"/>
                <w:bCs w:val="0"/>
                <w:sz w:val="21"/>
                <w:szCs w:val="21"/>
              </w:rPr>
              <w:t>标干</w:t>
            </w:r>
            <w:r>
              <w:rPr>
                <w:rFonts w:hint="eastAsia"/>
                <w:b w:val="0"/>
                <w:bCs w:val="0"/>
                <w:sz w:val="21"/>
                <w:szCs w:val="21"/>
              </w:rPr>
              <w:t>废气量（Ndm</w:t>
            </w:r>
            <w:r>
              <w:rPr>
                <w:rFonts w:hint="eastAsia"/>
                <w:b w:val="0"/>
                <w:bCs w:val="0"/>
                <w:sz w:val="21"/>
                <w:szCs w:val="21"/>
                <w:vertAlign w:val="superscript"/>
              </w:rPr>
              <w:t>3</w:t>
            </w:r>
            <w:r>
              <w:rPr>
                <w:rFonts w:hint="eastAsia"/>
                <w:b w:val="0"/>
                <w:bCs w:val="0"/>
                <w:sz w:val="21"/>
                <w:szCs w:val="21"/>
              </w:rPr>
              <w:t>/h）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4985</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4872</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4802</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szCs w:val="21"/>
              </w:rPr>
              <w:t>—</w:t>
            </w:r>
          </w:p>
        </w:tc>
        <w:tc>
          <w:tcPr>
            <w:tcW w:w="1092" w:type="dxa"/>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szCs w:val="21"/>
              </w:rPr>
              <w:t>—</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pStyle w:val="17"/>
              <w:spacing w:line="240" w:lineRule="auto"/>
              <w:ind w:left="-63" w:leftChars="-30" w:right="-63" w:rightChars="-30"/>
              <w:rPr>
                <w:b w:val="0"/>
                <w:bCs w:val="0"/>
                <w:sz w:val="21"/>
                <w:szCs w:val="21"/>
              </w:rPr>
            </w:pPr>
          </w:p>
        </w:tc>
        <w:tc>
          <w:tcPr>
            <w:tcW w:w="942" w:type="dxa"/>
            <w:vMerge w:val="continue"/>
            <w:tcBorders>
              <w:tl2br w:val="nil"/>
              <w:tr2bl w:val="nil"/>
            </w:tcBorders>
            <w:shd w:val="clear" w:color="auto" w:fill="auto"/>
            <w:vAlign w:val="center"/>
          </w:tcPr>
          <w:p>
            <w:pPr>
              <w:pStyle w:val="17"/>
              <w:spacing w:line="240" w:lineRule="auto"/>
              <w:ind w:left="-63" w:leftChars="-30" w:right="-63" w:rightChars="-30"/>
              <w:rPr>
                <w:b w:val="0"/>
                <w:bCs w:val="0"/>
                <w:sz w:val="21"/>
                <w:szCs w:val="21"/>
              </w:rPr>
            </w:pPr>
          </w:p>
        </w:tc>
        <w:tc>
          <w:tcPr>
            <w:tcW w:w="942" w:type="dxa"/>
            <w:vMerge w:val="restart"/>
            <w:tcBorders>
              <w:tl2br w:val="nil"/>
              <w:tr2bl w:val="nil"/>
            </w:tcBorders>
            <w:shd w:val="clear" w:color="auto" w:fill="auto"/>
            <w:vAlign w:val="center"/>
          </w:tcPr>
          <w:p>
            <w:pPr>
              <w:pStyle w:val="17"/>
              <w:spacing w:line="240" w:lineRule="auto"/>
              <w:ind w:left="-63" w:leftChars="-30" w:right="-63" w:rightChars="-30"/>
              <w:rPr>
                <w:b w:val="0"/>
                <w:bCs w:val="0"/>
                <w:sz w:val="21"/>
                <w:szCs w:val="21"/>
              </w:rPr>
            </w:pPr>
            <w:r>
              <w:rPr>
                <w:rFonts w:hint="eastAsia"/>
                <w:b w:val="0"/>
                <w:bCs w:val="0"/>
                <w:sz w:val="21"/>
                <w:szCs w:val="21"/>
                <w:lang w:val="en-US" w:eastAsia="zh-CN"/>
              </w:rPr>
              <w:t>颗粒物</w:t>
            </w:r>
          </w:p>
        </w:tc>
        <w:tc>
          <w:tcPr>
            <w:tcW w:w="1245" w:type="dxa"/>
            <w:tcBorders>
              <w:tl2br w:val="nil"/>
              <w:tr2bl w:val="nil"/>
            </w:tcBorders>
            <w:shd w:val="clear" w:color="auto" w:fill="auto"/>
            <w:vAlign w:val="center"/>
          </w:tcPr>
          <w:p>
            <w:pPr>
              <w:pStyle w:val="17"/>
              <w:spacing w:line="240" w:lineRule="auto"/>
              <w:ind w:left="-63" w:leftChars="-30" w:right="-63" w:rightChars="-30"/>
              <w:rPr>
                <w:b w:val="0"/>
                <w:bCs w:val="0"/>
                <w:sz w:val="21"/>
                <w:szCs w:val="21"/>
              </w:rPr>
            </w:pPr>
            <w:r>
              <w:rPr>
                <w:b w:val="0"/>
                <w:bCs w:val="0"/>
                <w:sz w:val="21"/>
                <w:szCs w:val="21"/>
              </w:rPr>
              <w:t>排放浓度（mg/m</w:t>
            </w:r>
            <w:r>
              <w:rPr>
                <w:b w:val="0"/>
                <w:bCs w:val="0"/>
                <w:sz w:val="21"/>
                <w:szCs w:val="21"/>
                <w:vertAlign w:val="superscript"/>
              </w:rPr>
              <w:t>3</w:t>
            </w:r>
            <w:r>
              <w:rPr>
                <w:b w:val="0"/>
                <w:bCs w:val="0"/>
                <w:sz w:val="21"/>
                <w:szCs w:val="21"/>
              </w:rPr>
              <w:t>）</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8.4</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9.6</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8.4</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hAnsi="宋体"/>
                <w:szCs w:val="24"/>
              </w:rPr>
              <w:t>9.6</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10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1245" w:type="dxa"/>
            <w:tcBorders>
              <w:tl2br w:val="nil"/>
              <w:tr2bl w:val="nil"/>
            </w:tcBorders>
            <w:shd w:val="clear" w:color="auto" w:fill="auto"/>
            <w:vAlign w:val="center"/>
          </w:tcPr>
          <w:p>
            <w:pPr>
              <w:adjustRightInd w:val="0"/>
              <w:snapToGrid w:val="0"/>
              <w:ind w:left="-63" w:leftChars="-30" w:right="-63" w:rightChars="-30"/>
              <w:jc w:val="center"/>
              <w:rPr>
                <w:szCs w:val="21"/>
              </w:rPr>
            </w:pPr>
            <w:r>
              <w:rPr>
                <w:szCs w:val="21"/>
              </w:rPr>
              <w:t>排放速率（kg/h）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0.042</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0.047</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0.040</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hAnsi="宋体"/>
                <w:szCs w:val="24"/>
              </w:rPr>
              <w:t>0.047</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3.5</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restart"/>
            <w:tcBorders>
              <w:tl2br w:val="nil"/>
              <w:tr2bl w:val="nil"/>
            </w:tcBorders>
            <w:shd w:val="clear" w:color="auto" w:fill="auto"/>
            <w:vAlign w:val="center"/>
          </w:tcPr>
          <w:p>
            <w:pPr>
              <w:adjustRightInd w:val="0"/>
              <w:snapToGrid w:val="0"/>
              <w:ind w:left="-63" w:leftChars="-30" w:right="-63" w:rightChars="-30"/>
              <w:jc w:val="center"/>
              <w:rPr>
                <w:rFonts w:hint="eastAsia" w:ascii="Times New Roman" w:hAnsi="Times New Roman" w:eastAsia="宋体" w:cs="Times New Roman"/>
                <w:kern w:val="2"/>
                <w:sz w:val="21"/>
                <w:szCs w:val="21"/>
                <w:lang w:val="en-US" w:eastAsia="zh-CN" w:bidi="ar-SA"/>
              </w:rPr>
            </w:pPr>
            <w:r>
              <w:rPr>
                <w:rFonts w:hint="eastAsia" w:hAnsi="宋体"/>
                <w:szCs w:val="24"/>
              </w:rPr>
              <w:t>2019.11.1</w:t>
            </w:r>
            <w:r>
              <w:rPr>
                <w:rFonts w:hint="eastAsia" w:hAnsi="宋体"/>
                <w:szCs w:val="24"/>
                <w:lang w:val="en-US" w:eastAsia="zh-CN"/>
              </w:rPr>
              <w:t>5</w:t>
            </w: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2187" w:type="dxa"/>
            <w:gridSpan w:val="2"/>
            <w:tcBorders>
              <w:tl2br w:val="nil"/>
              <w:tr2bl w:val="nil"/>
            </w:tcBorders>
            <w:shd w:val="clear" w:color="auto" w:fill="auto"/>
            <w:vAlign w:val="center"/>
          </w:tcPr>
          <w:p>
            <w:pPr>
              <w:pStyle w:val="17"/>
              <w:spacing w:line="240" w:lineRule="auto"/>
              <w:ind w:left="-63" w:leftChars="-30" w:right="-63" w:rightChars="-30"/>
              <w:rPr>
                <w:b w:val="0"/>
                <w:bCs w:val="0"/>
                <w:sz w:val="21"/>
                <w:szCs w:val="21"/>
              </w:rPr>
            </w:pPr>
            <w:r>
              <w:rPr>
                <w:b w:val="0"/>
                <w:bCs w:val="0"/>
                <w:sz w:val="21"/>
                <w:szCs w:val="21"/>
              </w:rPr>
              <w:t>标干</w:t>
            </w:r>
            <w:r>
              <w:rPr>
                <w:rFonts w:hint="eastAsia"/>
                <w:b w:val="0"/>
                <w:bCs w:val="0"/>
                <w:sz w:val="21"/>
                <w:szCs w:val="21"/>
              </w:rPr>
              <w:t>废气量（Ndm</w:t>
            </w:r>
            <w:r>
              <w:rPr>
                <w:rFonts w:hint="eastAsia"/>
                <w:b w:val="0"/>
                <w:bCs w:val="0"/>
                <w:sz w:val="21"/>
                <w:szCs w:val="21"/>
                <w:vertAlign w:val="superscript"/>
              </w:rPr>
              <w:t>3</w:t>
            </w:r>
            <w:r>
              <w:rPr>
                <w:rFonts w:hint="eastAsia"/>
                <w:b w:val="0"/>
                <w:bCs w:val="0"/>
                <w:sz w:val="21"/>
                <w:szCs w:val="21"/>
              </w:rPr>
              <w:t>/h）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5540</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5312</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5075</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szCs w:val="21"/>
              </w:rPr>
              <w:t>—</w:t>
            </w:r>
          </w:p>
        </w:tc>
        <w:tc>
          <w:tcPr>
            <w:tcW w:w="1092" w:type="dxa"/>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szCs w:val="21"/>
              </w:rPr>
              <w:t>—</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restart"/>
            <w:tcBorders>
              <w:tl2br w:val="nil"/>
              <w:tr2bl w:val="nil"/>
            </w:tcBorders>
            <w:shd w:val="clear" w:color="auto" w:fill="auto"/>
            <w:vAlign w:val="center"/>
          </w:tcPr>
          <w:p>
            <w:pPr>
              <w:pStyle w:val="17"/>
              <w:spacing w:line="240" w:lineRule="auto"/>
              <w:ind w:left="-63" w:leftChars="-30" w:right="-63" w:rightChars="-30"/>
              <w:rPr>
                <w:rFonts w:hint="eastAsia" w:eastAsia="宋体"/>
                <w:szCs w:val="21"/>
                <w:lang w:eastAsia="zh-CN"/>
              </w:rPr>
            </w:pPr>
            <w:r>
              <w:rPr>
                <w:rFonts w:hint="eastAsia"/>
                <w:b w:val="0"/>
                <w:bCs w:val="0"/>
                <w:sz w:val="21"/>
                <w:szCs w:val="21"/>
                <w:lang w:val="en-US" w:eastAsia="zh-CN"/>
              </w:rPr>
              <w:t>颗粒物</w:t>
            </w:r>
          </w:p>
        </w:tc>
        <w:tc>
          <w:tcPr>
            <w:tcW w:w="1245" w:type="dxa"/>
            <w:tcBorders>
              <w:tl2br w:val="nil"/>
              <w:tr2bl w:val="nil"/>
            </w:tcBorders>
            <w:shd w:val="clear" w:color="auto" w:fill="auto"/>
            <w:vAlign w:val="center"/>
          </w:tcPr>
          <w:p>
            <w:pPr>
              <w:pStyle w:val="17"/>
              <w:spacing w:line="240" w:lineRule="auto"/>
              <w:ind w:left="-63" w:leftChars="-30" w:right="-63" w:rightChars="-30"/>
              <w:rPr>
                <w:szCs w:val="21"/>
              </w:rPr>
            </w:pPr>
            <w:r>
              <w:rPr>
                <w:b w:val="0"/>
                <w:bCs w:val="0"/>
                <w:sz w:val="21"/>
                <w:szCs w:val="21"/>
              </w:rPr>
              <w:t>排放浓度（mg/m</w:t>
            </w:r>
            <w:r>
              <w:rPr>
                <w:b w:val="0"/>
                <w:bCs w:val="0"/>
                <w:sz w:val="21"/>
                <w:szCs w:val="21"/>
                <w:vertAlign w:val="superscript"/>
              </w:rPr>
              <w:t>3</w:t>
            </w:r>
            <w:r>
              <w:rPr>
                <w:b w:val="0"/>
                <w:bCs w:val="0"/>
                <w:sz w:val="21"/>
                <w:szCs w:val="21"/>
              </w:rPr>
              <w:t>）</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9.3</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9.0</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9.5</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hAnsi="宋体"/>
                <w:szCs w:val="24"/>
              </w:rPr>
              <w:t>9.5</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10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1245" w:type="dxa"/>
            <w:tcBorders>
              <w:tl2br w:val="nil"/>
              <w:tr2bl w:val="nil"/>
            </w:tcBorders>
            <w:shd w:val="clear" w:color="auto" w:fill="auto"/>
            <w:vAlign w:val="center"/>
          </w:tcPr>
          <w:p>
            <w:pPr>
              <w:adjustRightInd w:val="0"/>
              <w:snapToGrid w:val="0"/>
              <w:ind w:left="-63" w:leftChars="-30" w:right="-63" w:rightChars="-30"/>
              <w:jc w:val="center"/>
              <w:rPr>
                <w:szCs w:val="21"/>
              </w:rPr>
            </w:pPr>
            <w:r>
              <w:rPr>
                <w:szCs w:val="21"/>
              </w:rPr>
              <w:t>排放速率（kg/h）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0.052</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0.048</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0.048</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b/>
                <w:bCs/>
                <w:szCs w:val="21"/>
              </w:rPr>
            </w:pPr>
            <w:r>
              <w:rPr>
                <w:rFonts w:hint="eastAsia" w:hAnsi="宋体"/>
                <w:szCs w:val="24"/>
              </w:rPr>
              <w:t>0.052</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3.5</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restart"/>
            <w:tcBorders>
              <w:tl2br w:val="nil"/>
              <w:tr2bl w:val="nil"/>
            </w:tcBorders>
            <w:shd w:val="clear" w:color="auto" w:fill="auto"/>
            <w:vAlign w:val="center"/>
          </w:tcPr>
          <w:p>
            <w:pPr>
              <w:pStyle w:val="17"/>
              <w:spacing w:line="240" w:lineRule="auto"/>
              <w:ind w:left="-63" w:leftChars="-30" w:right="-63" w:rightChars="-30"/>
              <w:rPr>
                <w:rFonts w:hint="eastAsia" w:ascii="Times New Roman" w:hAnsi="宋体" w:eastAsia="宋体" w:cs="Times New Roman"/>
                <w:b w:val="0"/>
                <w:bCs w:val="0"/>
                <w:kern w:val="2"/>
                <w:sz w:val="21"/>
                <w:szCs w:val="24"/>
                <w:lang w:val="en-US" w:eastAsia="zh-CN" w:bidi="ar-SA"/>
              </w:rPr>
            </w:pPr>
          </w:p>
          <w:p>
            <w:pPr>
              <w:pStyle w:val="17"/>
              <w:spacing w:line="240" w:lineRule="auto"/>
              <w:ind w:left="-63" w:leftChars="-30" w:right="-63" w:rightChars="-30"/>
              <w:rPr>
                <w:rFonts w:hint="eastAsia" w:ascii="Times New Roman" w:hAnsi="宋体" w:eastAsia="宋体" w:cs="Times New Roman"/>
                <w:b w:val="0"/>
                <w:bCs w:val="0"/>
                <w:kern w:val="2"/>
                <w:sz w:val="21"/>
                <w:szCs w:val="24"/>
                <w:lang w:val="en-US" w:eastAsia="zh-CN" w:bidi="ar-SA"/>
              </w:rPr>
            </w:pPr>
          </w:p>
          <w:p>
            <w:pPr>
              <w:adjustRightInd w:val="0"/>
              <w:snapToGrid w:val="0"/>
              <w:ind w:left="-63" w:leftChars="-30" w:right="-63" w:rightChars="-30"/>
              <w:jc w:val="center"/>
              <w:rPr>
                <w:rFonts w:hint="eastAsia" w:ascii="Times New Roman" w:hAnsi="Times New Roman" w:eastAsia="宋体" w:cs="Times New Roman"/>
                <w:kern w:val="2"/>
                <w:sz w:val="21"/>
                <w:szCs w:val="21"/>
                <w:lang w:val="en-US" w:eastAsia="zh-CN" w:bidi="ar-SA"/>
              </w:rPr>
            </w:pPr>
            <w:r>
              <w:rPr>
                <w:rFonts w:hint="eastAsia" w:hAnsi="宋体"/>
                <w:szCs w:val="24"/>
              </w:rPr>
              <w:t>2019.11.1</w:t>
            </w:r>
            <w:r>
              <w:rPr>
                <w:rFonts w:hint="eastAsia" w:hAnsi="宋体"/>
                <w:szCs w:val="24"/>
                <w:lang w:val="en-US" w:eastAsia="zh-CN"/>
              </w:rPr>
              <w:t>4</w:t>
            </w:r>
          </w:p>
          <w:p>
            <w:pPr>
              <w:pStyle w:val="17"/>
              <w:spacing w:line="240" w:lineRule="auto"/>
              <w:ind w:left="-63" w:leftChars="-30" w:right="-63" w:rightChars="-30"/>
              <w:rPr>
                <w:rFonts w:ascii="Times New Roman" w:hAnsi="Times New Roman" w:eastAsia="宋体" w:cs="Times New Roman"/>
                <w:b w:val="0"/>
                <w:bCs w:val="0"/>
                <w:kern w:val="0"/>
                <w:sz w:val="21"/>
                <w:szCs w:val="21"/>
                <w:lang w:val="en-US" w:eastAsia="zh-CN" w:bidi="ar-SA"/>
              </w:rPr>
            </w:pPr>
          </w:p>
          <w:p>
            <w:pPr>
              <w:adjustRightInd w:val="0"/>
              <w:snapToGrid w:val="0"/>
              <w:ind w:left="-63" w:leftChars="-30" w:right="-63" w:rightChars="-30"/>
              <w:jc w:val="center"/>
              <w:rPr>
                <w:szCs w:val="21"/>
              </w:rPr>
            </w:pPr>
          </w:p>
        </w:tc>
        <w:tc>
          <w:tcPr>
            <w:tcW w:w="942" w:type="dxa"/>
            <w:vMerge w:val="restart"/>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hAnsi="宋体"/>
                <w:szCs w:val="24"/>
              </w:rPr>
              <w:t>振动筛P5排气筒</w:t>
            </w:r>
          </w:p>
        </w:tc>
        <w:tc>
          <w:tcPr>
            <w:tcW w:w="2187" w:type="dxa"/>
            <w:gridSpan w:val="2"/>
            <w:tcBorders>
              <w:tl2br w:val="nil"/>
              <w:tr2bl w:val="nil"/>
            </w:tcBorders>
            <w:shd w:val="clear" w:color="auto" w:fill="auto"/>
            <w:vAlign w:val="center"/>
          </w:tcPr>
          <w:p>
            <w:pPr>
              <w:adjustRightInd w:val="0"/>
              <w:snapToGrid w:val="0"/>
              <w:ind w:left="-63" w:leftChars="-30" w:right="-63" w:rightChars="-30"/>
              <w:jc w:val="center"/>
              <w:rPr>
                <w:szCs w:val="21"/>
              </w:rPr>
            </w:pPr>
            <w:r>
              <w:rPr>
                <w:szCs w:val="21"/>
              </w:rPr>
              <w:t>标干</w:t>
            </w:r>
            <w:r>
              <w:rPr>
                <w:rFonts w:hint="eastAsia"/>
                <w:szCs w:val="21"/>
              </w:rPr>
              <w:t>废气量（</w:t>
            </w:r>
            <w:r>
              <w:rPr>
                <w:rFonts w:hint="eastAsia"/>
                <w:b w:val="0"/>
                <w:bCs w:val="0"/>
                <w:sz w:val="21"/>
                <w:szCs w:val="21"/>
              </w:rPr>
              <w:t>Ndm</w:t>
            </w:r>
            <w:r>
              <w:rPr>
                <w:rFonts w:hint="eastAsia"/>
                <w:b w:val="0"/>
                <w:bCs w:val="0"/>
                <w:sz w:val="21"/>
                <w:szCs w:val="21"/>
                <w:vertAlign w:val="superscript"/>
              </w:rPr>
              <w:t>3</w:t>
            </w:r>
            <w:r>
              <w:rPr>
                <w:rFonts w:hint="eastAsia"/>
                <w:b w:val="0"/>
                <w:bCs w:val="0"/>
                <w:sz w:val="21"/>
                <w:szCs w:val="21"/>
              </w:rPr>
              <w:t>/h</w:t>
            </w:r>
            <w:r>
              <w:rPr>
                <w:rFonts w:hint="eastAsia"/>
                <w:szCs w:val="21"/>
              </w:rPr>
              <w:t>）</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5748</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5609</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5605</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b/>
                <w:bCs/>
                <w:szCs w:val="21"/>
              </w:rPr>
            </w:pPr>
            <w:r>
              <w:rPr>
                <w:rFonts w:hint="eastAsia"/>
                <w:szCs w:val="21"/>
              </w:rPr>
              <w:t>—</w:t>
            </w:r>
          </w:p>
        </w:tc>
        <w:tc>
          <w:tcPr>
            <w:tcW w:w="1092" w:type="dxa"/>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szCs w:val="21"/>
              </w:rPr>
              <w:t>—</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restart"/>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szCs w:val="21"/>
              </w:rPr>
              <w:t>颗粒物</w:t>
            </w:r>
          </w:p>
        </w:tc>
        <w:tc>
          <w:tcPr>
            <w:tcW w:w="1245" w:type="dxa"/>
            <w:tcBorders>
              <w:tl2br w:val="nil"/>
              <w:tr2bl w:val="nil"/>
            </w:tcBorders>
            <w:shd w:val="clear" w:color="auto" w:fill="auto"/>
            <w:vAlign w:val="center"/>
          </w:tcPr>
          <w:p>
            <w:pPr>
              <w:adjustRightInd w:val="0"/>
              <w:snapToGrid w:val="0"/>
              <w:ind w:left="-63" w:leftChars="-30" w:right="-63" w:rightChars="-30"/>
              <w:jc w:val="center"/>
              <w:rPr>
                <w:szCs w:val="21"/>
              </w:rPr>
            </w:pPr>
            <w:r>
              <w:rPr>
                <w:szCs w:val="21"/>
              </w:rPr>
              <w:t>排放浓度（mg/m</w:t>
            </w:r>
            <w:r>
              <w:rPr>
                <w:szCs w:val="21"/>
                <w:vertAlign w:val="superscript"/>
              </w:rPr>
              <w:t>3</w:t>
            </w:r>
            <w:r>
              <w:rPr>
                <w:szCs w:val="21"/>
              </w:rPr>
              <w:t>）</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9.2</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8.8</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7.2</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b/>
                <w:bCs/>
                <w:szCs w:val="21"/>
              </w:rPr>
            </w:pPr>
            <w:r>
              <w:rPr>
                <w:rFonts w:hint="eastAsia" w:hAnsi="宋体"/>
                <w:szCs w:val="24"/>
              </w:rPr>
              <w:t>9.2</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10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1245" w:type="dxa"/>
            <w:tcBorders>
              <w:tl2br w:val="nil"/>
              <w:tr2bl w:val="nil"/>
            </w:tcBorders>
            <w:shd w:val="clear" w:color="auto" w:fill="auto"/>
            <w:vAlign w:val="center"/>
          </w:tcPr>
          <w:p>
            <w:pPr>
              <w:adjustRightInd w:val="0"/>
              <w:snapToGrid w:val="0"/>
              <w:ind w:left="-63" w:leftChars="-30" w:right="-63" w:rightChars="-30"/>
              <w:jc w:val="center"/>
              <w:rPr>
                <w:szCs w:val="21"/>
              </w:rPr>
            </w:pPr>
            <w:r>
              <w:rPr>
                <w:szCs w:val="21"/>
              </w:rPr>
              <w:t>排放速率（kg/h）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0.053</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0.049</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0.040</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b/>
                <w:bCs/>
                <w:szCs w:val="21"/>
              </w:rPr>
            </w:pPr>
            <w:r>
              <w:rPr>
                <w:rFonts w:hint="eastAsia" w:hAnsi="宋体"/>
                <w:szCs w:val="24"/>
              </w:rPr>
              <w:t>0.053</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3.5</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restart"/>
            <w:tcBorders>
              <w:tl2br w:val="nil"/>
              <w:tr2bl w:val="nil"/>
            </w:tcBorders>
            <w:shd w:val="clear" w:color="auto" w:fill="auto"/>
            <w:vAlign w:val="center"/>
          </w:tcPr>
          <w:p>
            <w:pPr>
              <w:adjustRightInd w:val="0"/>
              <w:snapToGrid w:val="0"/>
              <w:ind w:left="-63" w:leftChars="-30" w:right="-63" w:rightChars="-30"/>
              <w:jc w:val="center"/>
              <w:rPr>
                <w:rFonts w:hint="eastAsia" w:ascii="Times New Roman" w:hAnsi="Times New Roman" w:eastAsia="宋体" w:cs="Times New Roman"/>
                <w:kern w:val="2"/>
                <w:sz w:val="21"/>
                <w:szCs w:val="21"/>
                <w:lang w:val="en-US" w:eastAsia="zh-CN" w:bidi="ar-SA"/>
              </w:rPr>
            </w:pPr>
            <w:r>
              <w:rPr>
                <w:rFonts w:hint="eastAsia" w:hAnsi="宋体"/>
                <w:szCs w:val="24"/>
              </w:rPr>
              <w:t>2019.11.1</w:t>
            </w:r>
            <w:r>
              <w:rPr>
                <w:rFonts w:hint="eastAsia" w:hAnsi="宋体"/>
                <w:szCs w:val="24"/>
                <w:lang w:val="en-US" w:eastAsia="zh-CN"/>
              </w:rPr>
              <w:t>5</w:t>
            </w:r>
          </w:p>
        </w:tc>
        <w:tc>
          <w:tcPr>
            <w:tcW w:w="942" w:type="dxa"/>
            <w:vMerge w:val="continue"/>
            <w:tcBorders>
              <w:tl2br w:val="nil"/>
              <w:tr2bl w:val="nil"/>
            </w:tcBorders>
            <w:shd w:val="clear" w:color="auto" w:fill="auto"/>
            <w:vAlign w:val="center"/>
          </w:tcPr>
          <w:p>
            <w:pPr>
              <w:pStyle w:val="17"/>
              <w:spacing w:line="240" w:lineRule="auto"/>
              <w:ind w:left="-63" w:leftChars="-30" w:right="-63" w:rightChars="-30"/>
              <w:rPr>
                <w:szCs w:val="21"/>
              </w:rPr>
            </w:pPr>
          </w:p>
        </w:tc>
        <w:tc>
          <w:tcPr>
            <w:tcW w:w="2187" w:type="dxa"/>
            <w:gridSpan w:val="2"/>
            <w:tcBorders>
              <w:tl2br w:val="nil"/>
              <w:tr2bl w:val="nil"/>
            </w:tcBorders>
            <w:shd w:val="clear" w:color="auto" w:fill="auto"/>
            <w:vAlign w:val="center"/>
          </w:tcPr>
          <w:p>
            <w:pPr>
              <w:pStyle w:val="17"/>
              <w:spacing w:line="240" w:lineRule="auto"/>
              <w:ind w:left="-63" w:leftChars="-30" w:right="-63" w:rightChars="-30"/>
              <w:rPr>
                <w:b w:val="0"/>
                <w:bCs w:val="0"/>
                <w:sz w:val="21"/>
                <w:szCs w:val="21"/>
              </w:rPr>
            </w:pPr>
            <w:r>
              <w:rPr>
                <w:b w:val="0"/>
                <w:bCs w:val="0"/>
                <w:sz w:val="21"/>
                <w:szCs w:val="21"/>
              </w:rPr>
              <w:t>标干</w:t>
            </w:r>
            <w:r>
              <w:rPr>
                <w:rFonts w:hint="eastAsia"/>
                <w:b w:val="0"/>
                <w:bCs w:val="0"/>
                <w:sz w:val="21"/>
                <w:szCs w:val="21"/>
              </w:rPr>
              <w:t>废气量（Ndm</w:t>
            </w:r>
            <w:r>
              <w:rPr>
                <w:rFonts w:hint="eastAsia"/>
                <w:b w:val="0"/>
                <w:bCs w:val="0"/>
                <w:sz w:val="21"/>
                <w:szCs w:val="21"/>
                <w:vertAlign w:val="superscript"/>
              </w:rPr>
              <w:t>3</w:t>
            </w:r>
            <w:r>
              <w:rPr>
                <w:rFonts w:hint="eastAsia"/>
                <w:b w:val="0"/>
                <w:bCs w:val="0"/>
                <w:sz w:val="21"/>
                <w:szCs w:val="21"/>
              </w:rPr>
              <w:t>/h）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5813</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5822</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5769</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szCs w:val="21"/>
              </w:rPr>
              <w:t>—</w:t>
            </w:r>
          </w:p>
        </w:tc>
        <w:tc>
          <w:tcPr>
            <w:tcW w:w="1092" w:type="dxa"/>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szCs w:val="21"/>
              </w:rPr>
              <w:t>—</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pStyle w:val="17"/>
              <w:spacing w:line="240" w:lineRule="auto"/>
              <w:ind w:left="-63" w:leftChars="-30" w:right="-63" w:rightChars="-30"/>
              <w:rPr>
                <w:szCs w:val="21"/>
              </w:rPr>
            </w:pPr>
          </w:p>
        </w:tc>
        <w:tc>
          <w:tcPr>
            <w:tcW w:w="942" w:type="dxa"/>
            <w:vMerge w:val="restart"/>
            <w:tcBorders>
              <w:tl2br w:val="nil"/>
              <w:tr2bl w:val="nil"/>
            </w:tcBorders>
            <w:shd w:val="clear" w:color="auto" w:fill="auto"/>
            <w:vAlign w:val="center"/>
          </w:tcPr>
          <w:p>
            <w:pPr>
              <w:adjustRightInd w:val="0"/>
              <w:snapToGrid w:val="0"/>
              <w:ind w:left="-63" w:leftChars="-30" w:right="-63" w:rightChars="-30"/>
              <w:jc w:val="center"/>
              <w:rPr>
                <w:rFonts w:hint="eastAsia" w:eastAsia="宋体"/>
                <w:szCs w:val="21"/>
                <w:lang w:eastAsia="zh-CN"/>
              </w:rPr>
            </w:pPr>
            <w:r>
              <w:rPr>
                <w:rFonts w:hint="eastAsia"/>
                <w:szCs w:val="21"/>
                <w:lang w:val="en-US" w:eastAsia="zh-CN"/>
              </w:rPr>
              <w:t>颗粒物</w:t>
            </w:r>
          </w:p>
        </w:tc>
        <w:tc>
          <w:tcPr>
            <w:tcW w:w="1245" w:type="dxa"/>
            <w:tcBorders>
              <w:tl2br w:val="nil"/>
              <w:tr2bl w:val="nil"/>
            </w:tcBorders>
            <w:shd w:val="clear" w:color="auto" w:fill="auto"/>
            <w:vAlign w:val="center"/>
          </w:tcPr>
          <w:p>
            <w:pPr>
              <w:pStyle w:val="17"/>
              <w:spacing w:line="240" w:lineRule="auto"/>
              <w:ind w:left="-63" w:leftChars="-30" w:right="-63" w:rightChars="-30"/>
              <w:rPr>
                <w:b w:val="0"/>
                <w:bCs w:val="0"/>
                <w:sz w:val="21"/>
                <w:szCs w:val="21"/>
              </w:rPr>
            </w:pPr>
            <w:r>
              <w:rPr>
                <w:b w:val="0"/>
                <w:bCs w:val="0"/>
                <w:sz w:val="21"/>
                <w:szCs w:val="21"/>
              </w:rPr>
              <w:t>排放浓度（mg/m</w:t>
            </w:r>
            <w:r>
              <w:rPr>
                <w:b w:val="0"/>
                <w:bCs w:val="0"/>
                <w:sz w:val="21"/>
                <w:szCs w:val="21"/>
                <w:vertAlign w:val="superscript"/>
              </w:rPr>
              <w:t>3</w:t>
            </w:r>
            <w:r>
              <w:rPr>
                <w:b w:val="0"/>
                <w:bCs w:val="0"/>
                <w:sz w:val="21"/>
                <w:szCs w:val="21"/>
              </w:rPr>
              <w:t>）</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7.5</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7.1</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8.5</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hAnsi="宋体"/>
                <w:szCs w:val="24"/>
              </w:rPr>
              <w:t>8.5</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10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1245" w:type="dxa"/>
            <w:tcBorders>
              <w:tl2br w:val="nil"/>
              <w:tr2bl w:val="nil"/>
            </w:tcBorders>
            <w:shd w:val="clear" w:color="auto" w:fill="auto"/>
            <w:vAlign w:val="center"/>
          </w:tcPr>
          <w:p>
            <w:pPr>
              <w:adjustRightInd w:val="0"/>
              <w:snapToGrid w:val="0"/>
              <w:ind w:left="-63" w:leftChars="-30" w:right="-63" w:rightChars="-30"/>
              <w:jc w:val="center"/>
              <w:rPr>
                <w:szCs w:val="21"/>
              </w:rPr>
            </w:pPr>
            <w:r>
              <w:rPr>
                <w:szCs w:val="21"/>
              </w:rPr>
              <w:t>排放速率（kg/h）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0.044</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0.041</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0.049</w:t>
            </w:r>
            <w:r>
              <w:rPr>
                <w:rFonts w:hint="eastAsia" w:hAnsi="宋体"/>
                <w:szCs w:val="24"/>
                <w:lang w:val="en-US" w:eastAsia="zh-CN"/>
              </w:rPr>
              <w:t xml:space="preserve"> </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hAnsi="宋体"/>
                <w:szCs w:val="24"/>
              </w:rPr>
              <w:t>0.049</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3.5</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restart"/>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hAnsi="宋体"/>
                <w:szCs w:val="24"/>
              </w:rPr>
              <w:t>2019.11.1</w:t>
            </w:r>
            <w:r>
              <w:rPr>
                <w:rFonts w:hint="eastAsia" w:hAnsi="宋体"/>
                <w:szCs w:val="24"/>
                <w:lang w:val="en-US" w:eastAsia="zh-CN"/>
              </w:rPr>
              <w:t>6</w:t>
            </w:r>
          </w:p>
        </w:tc>
        <w:tc>
          <w:tcPr>
            <w:tcW w:w="942" w:type="dxa"/>
            <w:vMerge w:val="restart"/>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hAnsi="宋体"/>
                <w:szCs w:val="24"/>
              </w:rPr>
              <w:t>破碎工序P6排气筒</w:t>
            </w:r>
          </w:p>
        </w:tc>
        <w:tc>
          <w:tcPr>
            <w:tcW w:w="2187" w:type="dxa"/>
            <w:gridSpan w:val="2"/>
            <w:tcBorders>
              <w:tl2br w:val="nil"/>
              <w:tr2bl w:val="nil"/>
            </w:tcBorders>
            <w:shd w:val="clear" w:color="auto" w:fill="auto"/>
            <w:vAlign w:val="center"/>
          </w:tcPr>
          <w:p>
            <w:pPr>
              <w:pStyle w:val="17"/>
              <w:spacing w:line="240" w:lineRule="auto"/>
              <w:ind w:left="-63" w:leftChars="-30" w:right="-63" w:rightChars="-30"/>
              <w:rPr>
                <w:b w:val="0"/>
                <w:bCs w:val="0"/>
                <w:sz w:val="21"/>
                <w:szCs w:val="21"/>
              </w:rPr>
            </w:pPr>
            <w:r>
              <w:rPr>
                <w:b w:val="0"/>
                <w:bCs w:val="0"/>
                <w:sz w:val="21"/>
                <w:szCs w:val="21"/>
              </w:rPr>
              <w:t>标干</w:t>
            </w:r>
            <w:r>
              <w:rPr>
                <w:rFonts w:hint="eastAsia"/>
                <w:b w:val="0"/>
                <w:bCs w:val="0"/>
                <w:sz w:val="21"/>
                <w:szCs w:val="21"/>
              </w:rPr>
              <w:t>废气量（Ndm</w:t>
            </w:r>
            <w:r>
              <w:rPr>
                <w:rFonts w:hint="eastAsia"/>
                <w:b w:val="0"/>
                <w:bCs w:val="0"/>
                <w:sz w:val="21"/>
                <w:szCs w:val="21"/>
                <w:vertAlign w:val="superscript"/>
              </w:rPr>
              <w:t>3</w:t>
            </w:r>
            <w:r>
              <w:rPr>
                <w:rFonts w:hint="eastAsia"/>
                <w:b w:val="0"/>
                <w:bCs w:val="0"/>
                <w:sz w:val="21"/>
                <w:szCs w:val="21"/>
              </w:rPr>
              <w:t>/h）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6049</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5950</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5929</w:t>
            </w:r>
          </w:p>
        </w:tc>
        <w:tc>
          <w:tcPr>
            <w:tcW w:w="963" w:type="dxa"/>
            <w:tcBorders>
              <w:tl2br w:val="nil"/>
              <w:tr2bl w:val="nil"/>
            </w:tcBorders>
            <w:shd w:val="clear" w:color="auto" w:fill="auto"/>
            <w:vAlign w:val="center"/>
          </w:tcPr>
          <w:p>
            <w:pPr>
              <w:pStyle w:val="22"/>
              <w:adjustRightInd w:val="0"/>
              <w:snapToGrid w:val="0"/>
              <w:jc w:val="center"/>
              <w:rPr>
                <w:rFonts w:hAnsi="宋体"/>
              </w:rPr>
            </w:pPr>
            <w:r>
              <w:rPr>
                <w:rFonts w:hint="eastAsia"/>
                <w:szCs w:val="21"/>
              </w:rPr>
              <w:t>—</w:t>
            </w:r>
          </w:p>
        </w:tc>
        <w:tc>
          <w:tcPr>
            <w:tcW w:w="1092" w:type="dxa"/>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szCs w:val="21"/>
              </w:rPr>
              <w:t>—</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restart"/>
            <w:tcBorders>
              <w:tl2br w:val="nil"/>
              <w:tr2bl w:val="nil"/>
            </w:tcBorders>
            <w:shd w:val="clear" w:color="auto" w:fill="auto"/>
            <w:vAlign w:val="center"/>
          </w:tcPr>
          <w:p>
            <w:pPr>
              <w:pStyle w:val="17"/>
              <w:spacing w:line="240" w:lineRule="auto"/>
              <w:ind w:left="-63" w:leftChars="-30" w:right="-63" w:rightChars="-30"/>
              <w:rPr>
                <w:szCs w:val="21"/>
              </w:rPr>
            </w:pPr>
            <w:r>
              <w:rPr>
                <w:rFonts w:hint="eastAsia"/>
                <w:b w:val="0"/>
                <w:bCs w:val="0"/>
                <w:sz w:val="21"/>
                <w:szCs w:val="21"/>
              </w:rPr>
              <w:t>VOCs</w:t>
            </w:r>
            <w:r>
              <w:rPr>
                <w:rFonts w:hint="eastAsia"/>
                <w:b w:val="0"/>
                <w:bCs w:val="0"/>
                <w:color w:val="000000"/>
                <w:sz w:val="21"/>
                <w:szCs w:val="21"/>
              </w:rPr>
              <w:t>（以非甲烷总烃计）</w:t>
            </w:r>
          </w:p>
        </w:tc>
        <w:tc>
          <w:tcPr>
            <w:tcW w:w="1245" w:type="dxa"/>
            <w:tcBorders>
              <w:tl2br w:val="nil"/>
              <w:tr2bl w:val="nil"/>
            </w:tcBorders>
            <w:shd w:val="clear" w:color="auto" w:fill="auto"/>
            <w:vAlign w:val="center"/>
          </w:tcPr>
          <w:p>
            <w:pPr>
              <w:pStyle w:val="17"/>
              <w:spacing w:line="240" w:lineRule="auto"/>
              <w:ind w:left="-63" w:leftChars="-30" w:right="-63" w:rightChars="-30"/>
              <w:rPr>
                <w:szCs w:val="21"/>
              </w:rPr>
            </w:pPr>
            <w:r>
              <w:rPr>
                <w:b w:val="0"/>
                <w:bCs w:val="0"/>
                <w:sz w:val="21"/>
                <w:szCs w:val="21"/>
              </w:rPr>
              <w:t>排放浓度（mg/m</w:t>
            </w:r>
            <w:r>
              <w:rPr>
                <w:b w:val="0"/>
                <w:bCs w:val="0"/>
                <w:sz w:val="21"/>
                <w:szCs w:val="21"/>
                <w:vertAlign w:val="superscript"/>
              </w:rPr>
              <w:t>3</w:t>
            </w:r>
            <w:r>
              <w:rPr>
                <w:b w:val="0"/>
                <w:bCs w:val="0"/>
                <w:sz w:val="21"/>
                <w:szCs w:val="21"/>
              </w:rPr>
              <w:t>）</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1.5</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2.1</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1.8</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hAnsi="宋体"/>
                <w:szCs w:val="24"/>
              </w:rPr>
              <w:t>2.1</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10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1245" w:type="dxa"/>
            <w:tcBorders>
              <w:tl2br w:val="nil"/>
              <w:tr2bl w:val="nil"/>
            </w:tcBorders>
            <w:shd w:val="clear" w:color="auto" w:fill="auto"/>
            <w:vAlign w:val="center"/>
          </w:tcPr>
          <w:p>
            <w:pPr>
              <w:adjustRightInd w:val="0"/>
              <w:snapToGrid w:val="0"/>
              <w:ind w:left="-63" w:leftChars="-30" w:right="-63" w:rightChars="-30"/>
              <w:jc w:val="center"/>
              <w:rPr>
                <w:szCs w:val="21"/>
              </w:rPr>
            </w:pPr>
            <w:r>
              <w:rPr>
                <w:szCs w:val="21"/>
              </w:rPr>
              <w:t>排放速率（kg/h）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0.0091</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0.012</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0.011</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hAnsi="宋体"/>
                <w:szCs w:val="24"/>
              </w:rPr>
              <w:t>0.012</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3.5</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restart"/>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hAnsi="宋体"/>
                <w:szCs w:val="24"/>
              </w:rPr>
              <w:t>2019.11.1</w:t>
            </w:r>
            <w:r>
              <w:rPr>
                <w:rFonts w:hint="eastAsia" w:hAnsi="宋体"/>
                <w:szCs w:val="24"/>
                <w:lang w:val="en-US" w:eastAsia="zh-CN"/>
              </w:rPr>
              <w:t>7</w:t>
            </w: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2187" w:type="dxa"/>
            <w:gridSpan w:val="2"/>
            <w:tcBorders>
              <w:tl2br w:val="nil"/>
              <w:tr2bl w:val="nil"/>
            </w:tcBorders>
            <w:shd w:val="clear" w:color="auto" w:fill="auto"/>
            <w:vAlign w:val="center"/>
          </w:tcPr>
          <w:p>
            <w:pPr>
              <w:pStyle w:val="17"/>
              <w:spacing w:line="240" w:lineRule="auto"/>
              <w:ind w:left="-63" w:leftChars="-30" w:right="-63" w:rightChars="-30"/>
              <w:rPr>
                <w:szCs w:val="21"/>
              </w:rPr>
            </w:pPr>
            <w:r>
              <w:rPr>
                <w:b w:val="0"/>
                <w:bCs w:val="0"/>
                <w:sz w:val="21"/>
                <w:szCs w:val="21"/>
              </w:rPr>
              <w:t>标干</w:t>
            </w:r>
            <w:r>
              <w:rPr>
                <w:rFonts w:hint="eastAsia"/>
                <w:b w:val="0"/>
                <w:bCs w:val="0"/>
                <w:sz w:val="21"/>
                <w:szCs w:val="21"/>
              </w:rPr>
              <w:t>废气量（Ndm</w:t>
            </w:r>
            <w:r>
              <w:rPr>
                <w:rFonts w:hint="eastAsia"/>
                <w:b w:val="0"/>
                <w:bCs w:val="0"/>
                <w:sz w:val="21"/>
                <w:szCs w:val="21"/>
                <w:vertAlign w:val="superscript"/>
              </w:rPr>
              <w:t>3</w:t>
            </w:r>
            <w:r>
              <w:rPr>
                <w:rFonts w:hint="eastAsia"/>
                <w:b w:val="0"/>
                <w:bCs w:val="0"/>
                <w:sz w:val="21"/>
                <w:szCs w:val="21"/>
              </w:rPr>
              <w:t>/h）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5715</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5679</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5666</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szCs w:val="21"/>
              </w:rPr>
              <w:t>—</w:t>
            </w:r>
          </w:p>
        </w:tc>
        <w:tc>
          <w:tcPr>
            <w:tcW w:w="1092" w:type="dxa"/>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szCs w:val="21"/>
              </w:rPr>
              <w:t>—</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restart"/>
            <w:tcBorders>
              <w:tl2br w:val="nil"/>
              <w:tr2bl w:val="nil"/>
            </w:tcBorders>
            <w:shd w:val="clear" w:color="auto" w:fill="auto"/>
            <w:vAlign w:val="center"/>
          </w:tcPr>
          <w:p>
            <w:pPr>
              <w:adjustRightInd w:val="0"/>
              <w:snapToGrid w:val="0"/>
              <w:ind w:left="-63" w:leftChars="-30" w:right="-63" w:rightChars="-30"/>
              <w:jc w:val="center"/>
              <w:rPr>
                <w:szCs w:val="21"/>
              </w:rPr>
            </w:pPr>
            <w:r>
              <w:rPr>
                <w:rFonts w:hint="eastAsia"/>
                <w:szCs w:val="21"/>
              </w:rPr>
              <w:t>颗粒物</w:t>
            </w:r>
          </w:p>
        </w:tc>
        <w:tc>
          <w:tcPr>
            <w:tcW w:w="1245" w:type="dxa"/>
            <w:tcBorders>
              <w:tl2br w:val="nil"/>
              <w:tr2bl w:val="nil"/>
            </w:tcBorders>
            <w:shd w:val="clear" w:color="auto" w:fill="auto"/>
            <w:vAlign w:val="center"/>
          </w:tcPr>
          <w:p>
            <w:pPr>
              <w:adjustRightInd w:val="0"/>
              <w:snapToGrid w:val="0"/>
              <w:ind w:left="-63" w:leftChars="-30" w:right="-63" w:rightChars="-30"/>
              <w:jc w:val="center"/>
              <w:rPr>
                <w:szCs w:val="21"/>
              </w:rPr>
            </w:pPr>
            <w:r>
              <w:rPr>
                <w:szCs w:val="21"/>
              </w:rPr>
              <w:t>排放浓度（mg/m</w:t>
            </w:r>
            <w:r>
              <w:rPr>
                <w:szCs w:val="21"/>
                <w:vertAlign w:val="superscript"/>
              </w:rPr>
              <w:t>3</w:t>
            </w:r>
            <w:r>
              <w:rPr>
                <w:szCs w:val="21"/>
              </w:rPr>
              <w:t>）</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2.0</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1.7</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2.6</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hAnsi="宋体"/>
                <w:szCs w:val="24"/>
              </w:rPr>
              <w:t>2.6</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10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69"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942" w:type="dxa"/>
            <w:vMerge w:val="continue"/>
            <w:tcBorders>
              <w:tl2br w:val="nil"/>
              <w:tr2bl w:val="nil"/>
            </w:tcBorders>
            <w:shd w:val="clear" w:color="auto" w:fill="auto"/>
            <w:vAlign w:val="center"/>
          </w:tcPr>
          <w:p>
            <w:pPr>
              <w:adjustRightInd w:val="0"/>
              <w:snapToGrid w:val="0"/>
              <w:ind w:left="-63" w:leftChars="-30" w:right="-63" w:rightChars="-30"/>
              <w:jc w:val="center"/>
              <w:rPr>
                <w:szCs w:val="21"/>
              </w:rPr>
            </w:pPr>
          </w:p>
        </w:tc>
        <w:tc>
          <w:tcPr>
            <w:tcW w:w="1245" w:type="dxa"/>
            <w:tcBorders>
              <w:tl2br w:val="nil"/>
              <w:tr2bl w:val="nil"/>
            </w:tcBorders>
            <w:shd w:val="clear" w:color="auto" w:fill="auto"/>
            <w:vAlign w:val="center"/>
          </w:tcPr>
          <w:p>
            <w:pPr>
              <w:adjustRightInd w:val="0"/>
              <w:snapToGrid w:val="0"/>
              <w:ind w:left="-63" w:leftChars="-30" w:right="-63" w:rightChars="-30"/>
              <w:jc w:val="center"/>
              <w:rPr>
                <w:szCs w:val="21"/>
              </w:rPr>
            </w:pPr>
            <w:r>
              <w:rPr>
                <w:szCs w:val="21"/>
              </w:rPr>
              <w:t>排放速率（kg/h）</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0.011</w:t>
            </w:r>
          </w:p>
        </w:tc>
        <w:tc>
          <w:tcPr>
            <w:tcW w:w="963"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en-US" w:eastAsia="zh-CN" w:bidi="ar-SA"/>
              </w:rPr>
            </w:pPr>
            <w:r>
              <w:rPr>
                <w:rFonts w:hint="eastAsia" w:hAnsi="宋体"/>
                <w:szCs w:val="24"/>
              </w:rPr>
              <w:t>0.0097</w:t>
            </w:r>
          </w:p>
        </w:tc>
        <w:tc>
          <w:tcPr>
            <w:tcW w:w="963" w:type="dxa"/>
            <w:tcBorders>
              <w:tl2br w:val="nil"/>
              <w:tr2bl w:val="nil"/>
            </w:tcBorders>
            <w:shd w:val="clear" w:color="auto" w:fill="auto"/>
            <w:vAlign w:val="center"/>
          </w:tcPr>
          <w:p>
            <w:pPr>
              <w:jc w:val="center"/>
              <w:rPr>
                <w:rFonts w:hint="eastAsia" w:ascii="Times New Roman" w:hAnsi="宋体" w:eastAsia="宋体" w:cs="Times New Roman"/>
                <w:kern w:val="2"/>
                <w:sz w:val="21"/>
                <w:szCs w:val="24"/>
                <w:lang w:val="en-US" w:eastAsia="zh-CN" w:bidi="ar-SA"/>
              </w:rPr>
            </w:pPr>
            <w:r>
              <w:rPr>
                <w:rFonts w:hint="eastAsia" w:hAnsi="宋体"/>
                <w:szCs w:val="24"/>
              </w:rPr>
              <w:t>0.015</w:t>
            </w:r>
          </w:p>
        </w:tc>
        <w:tc>
          <w:tcPr>
            <w:tcW w:w="963" w:type="dxa"/>
            <w:tcBorders>
              <w:tl2br w:val="nil"/>
              <w:tr2bl w:val="nil"/>
            </w:tcBorders>
            <w:shd w:val="clear" w:color="auto" w:fill="auto"/>
            <w:vAlign w:val="center"/>
          </w:tcPr>
          <w:p>
            <w:pPr>
              <w:pStyle w:val="22"/>
              <w:adjustRightInd w:val="0"/>
              <w:snapToGrid w:val="0"/>
              <w:jc w:val="center"/>
              <w:rPr>
                <w:rFonts w:ascii="Times New Roman" w:hAnsi="Times New Roman"/>
                <w:szCs w:val="21"/>
              </w:rPr>
            </w:pPr>
            <w:r>
              <w:rPr>
                <w:rFonts w:hint="eastAsia" w:hAnsi="宋体"/>
                <w:szCs w:val="24"/>
              </w:rPr>
              <w:t>0.015</w:t>
            </w:r>
          </w:p>
        </w:tc>
        <w:tc>
          <w:tcPr>
            <w:tcW w:w="1092" w:type="dxa"/>
            <w:tcBorders>
              <w:tl2br w:val="nil"/>
              <w:tr2bl w:val="nil"/>
            </w:tcBorders>
            <w:shd w:val="clear" w:color="auto" w:fill="auto"/>
            <w:vAlign w:val="center"/>
          </w:tcPr>
          <w:p>
            <w:pPr>
              <w:adjustRightInd w:val="0"/>
              <w:snapToGrid w:val="0"/>
              <w:ind w:left="-63" w:leftChars="-30" w:right="-63" w:rightChars="-30"/>
              <w:jc w:val="center"/>
              <w:rPr>
                <w:rFonts w:hint="default" w:ascii="Times New Roman" w:hAnsi="Times New Roman" w:eastAsia="宋体" w:cs="Times New Roman"/>
                <w:kern w:val="2"/>
                <w:sz w:val="21"/>
                <w:szCs w:val="21"/>
                <w:lang w:val="en-US" w:eastAsia="zh-CN" w:bidi="ar-SA"/>
              </w:rPr>
            </w:pPr>
            <w:r>
              <w:rPr>
                <w:rFonts w:hint="eastAsia"/>
                <w:szCs w:val="21"/>
                <w:lang w:val="en-US" w:eastAsia="zh-CN"/>
              </w:rPr>
              <w:t>3.5</w:t>
            </w:r>
          </w:p>
        </w:tc>
      </w:tr>
    </w:tbl>
    <w:p>
      <w:pPr>
        <w:pStyle w:val="22"/>
        <w:spacing w:line="360" w:lineRule="auto"/>
        <w:ind w:firstLine="480" w:firstLineChars="200"/>
        <w:rPr>
          <w:rFonts w:hint="eastAsia" w:eastAsiaTheme="minorEastAsia"/>
          <w:spacing w:val="0"/>
          <w:lang w:val="en-US" w:eastAsia="zh-CN"/>
        </w:rPr>
        <w:sectPr>
          <w:headerReference r:id="rId6" w:type="default"/>
          <w:footerReference r:id="rId7" w:type="default"/>
          <w:pgSz w:w="11906" w:h="16838"/>
          <w:pgMar w:top="1440" w:right="1134" w:bottom="1440" w:left="1134" w:header="851" w:footer="992" w:gutter="0"/>
          <w:pgBorders>
            <w:top w:val="none" w:sz="0" w:space="0"/>
            <w:left w:val="none" w:sz="0" w:space="0"/>
            <w:bottom w:val="none" w:sz="0" w:space="0"/>
            <w:right w:val="none" w:sz="0" w:space="0"/>
          </w:pgBorders>
          <w:cols w:space="0" w:num="1"/>
          <w:docGrid w:linePitch="312" w:charSpace="0"/>
        </w:sectPr>
      </w:pPr>
      <w:r>
        <w:rPr>
          <w:rFonts w:hint="eastAsia" w:ascii="Times New Roman" w:hAnsi="Times New Roman" w:eastAsiaTheme="minorEastAsia"/>
          <w:color w:val="000000"/>
          <w:sz w:val="24"/>
          <w:szCs w:val="24"/>
        </w:rPr>
        <w:t>以上数据表明：验收监测期间，生产废气排气筒中颗粒物有组织排放浓度最大值为</w:t>
      </w:r>
      <w:r>
        <w:rPr>
          <w:rFonts w:hint="eastAsia" w:ascii="Times New Roman" w:hAnsi="Times New Roman" w:eastAsiaTheme="minorEastAsia"/>
          <w:color w:val="000000"/>
          <w:sz w:val="24"/>
          <w:szCs w:val="24"/>
          <w:lang w:val="en-US" w:eastAsia="zh-CN"/>
        </w:rPr>
        <w:t>9.8</w:t>
      </w:r>
      <w:r>
        <w:rPr>
          <w:rFonts w:hint="eastAsia" w:ascii="Times New Roman" w:hAnsi="Times New Roman" w:eastAsiaTheme="minorEastAsia"/>
          <w:color w:val="000000"/>
          <w:sz w:val="24"/>
          <w:szCs w:val="24"/>
        </w:rPr>
        <w:t>mg/m</w:t>
      </w:r>
      <w:r>
        <w:rPr>
          <w:rFonts w:hint="eastAsia" w:ascii="Times New Roman" w:hAnsi="Times New Roman" w:eastAsiaTheme="minorEastAsia"/>
          <w:color w:val="000000"/>
          <w:sz w:val="24"/>
          <w:szCs w:val="24"/>
          <w:vertAlign w:val="superscript"/>
        </w:rPr>
        <w:t>3</w:t>
      </w:r>
      <w:r>
        <w:rPr>
          <w:rFonts w:hint="eastAsia" w:ascii="Times New Roman" w:hAnsi="Times New Roman" w:eastAsiaTheme="minorEastAsia"/>
          <w:color w:val="000000"/>
          <w:sz w:val="24"/>
          <w:szCs w:val="24"/>
        </w:rPr>
        <w:t>，排放速率最大值为</w:t>
      </w:r>
      <w:r>
        <w:rPr>
          <w:rFonts w:hint="eastAsia" w:ascii="Times New Roman" w:hAnsi="Times New Roman" w:eastAsiaTheme="minorEastAsia"/>
          <w:color w:val="000000"/>
          <w:sz w:val="24"/>
          <w:szCs w:val="24"/>
          <w:lang w:val="en-US" w:eastAsia="zh-CN"/>
        </w:rPr>
        <w:t>0.095</w:t>
      </w:r>
      <w:r>
        <w:rPr>
          <w:rFonts w:hint="eastAsia" w:ascii="Times New Roman" w:hAnsi="Times New Roman" w:eastAsiaTheme="minorEastAsia"/>
          <w:color w:val="000000"/>
          <w:sz w:val="24"/>
          <w:szCs w:val="24"/>
        </w:rPr>
        <w:t>kg/h；颗粒物排放浓度满足《区域性大气污染物综合排放标准》（DB37/2376-2019）表1中重点控制区标准要求(</w:t>
      </w:r>
      <w:r>
        <w:rPr>
          <w:rFonts w:hint="eastAsia" w:ascii="Times New Roman" w:hAnsi="Times New Roman" w:eastAsiaTheme="minorEastAsia"/>
          <w:color w:val="000000"/>
          <w:sz w:val="24"/>
          <w:szCs w:val="24"/>
          <w:lang w:val="en-US" w:eastAsia="zh-CN"/>
        </w:rPr>
        <w:t>10</w:t>
      </w:r>
      <w:r>
        <w:rPr>
          <w:rFonts w:hint="eastAsia" w:ascii="Times New Roman" w:hAnsi="Times New Roman" w:eastAsiaTheme="minorEastAsia"/>
          <w:color w:val="000000"/>
          <w:sz w:val="24"/>
          <w:szCs w:val="24"/>
        </w:rPr>
        <w:t>mg/m</w:t>
      </w:r>
      <w:r>
        <w:rPr>
          <w:rFonts w:hint="eastAsia" w:ascii="Times New Roman" w:hAnsi="Times New Roman" w:eastAsiaTheme="minorEastAsia"/>
          <w:color w:val="000000"/>
          <w:sz w:val="24"/>
          <w:szCs w:val="24"/>
          <w:vertAlign w:val="superscript"/>
        </w:rPr>
        <w:t>3</w:t>
      </w:r>
      <w:r>
        <w:rPr>
          <w:rFonts w:hint="eastAsia" w:ascii="Times New Roman" w:hAnsi="Times New Roman" w:eastAsiaTheme="minorEastAsia"/>
          <w:color w:val="000000"/>
          <w:sz w:val="24"/>
          <w:szCs w:val="24"/>
        </w:rPr>
        <w:t>)，排放速率满足《大气污染物综合排放标准》（GBl6297-1996）表2中二级标准要求(3.5kg/h</w:t>
      </w:r>
      <w:r>
        <w:rPr>
          <w:rFonts w:hint="eastAsia" w:ascii="Times New Roman" w:hAnsi="Times New Roman" w:eastAsiaTheme="minorEastAsia"/>
          <w:color w:val="000000"/>
          <w:sz w:val="24"/>
          <w:szCs w:val="24"/>
          <w:lang w:eastAsia="zh-CN"/>
        </w:rPr>
        <w:t>）。</w:t>
      </w:r>
    </w:p>
    <w:p>
      <w:pPr>
        <w:pStyle w:val="105"/>
        <w:spacing w:before="120" w:beforeLines="50"/>
        <w:ind w:left="0" w:leftChars="0" w:firstLine="0" w:firstLineChars="0"/>
      </w:pPr>
      <w:r>
        <w:rPr>
          <w:rFonts w:hint="eastAsia"/>
        </w:rPr>
        <w:t>（</w:t>
      </w:r>
      <w:r>
        <w:rPr>
          <w:rFonts w:hint="eastAsia"/>
          <w:lang w:val="en-US" w:eastAsia="zh-CN"/>
        </w:rPr>
        <w:t>2</w:t>
      </w:r>
      <w:r>
        <w:rPr>
          <w:rFonts w:hint="eastAsia"/>
        </w:rPr>
        <w:t>）无组织排放</w:t>
      </w:r>
    </w:p>
    <w:p>
      <w:pPr>
        <w:pStyle w:val="105"/>
        <w:ind w:firstLine="472"/>
      </w:pPr>
      <w:r>
        <w:rPr>
          <w:rFonts w:hint="eastAsia"/>
        </w:rPr>
        <w:t>无组织废气检测结果见表8-</w:t>
      </w:r>
      <w:r>
        <w:rPr>
          <w:rFonts w:hint="eastAsia"/>
          <w:lang w:val="en-US" w:eastAsia="zh-CN"/>
        </w:rPr>
        <w:t>2</w:t>
      </w:r>
      <w:r>
        <w:rPr>
          <w:rFonts w:hint="eastAsia"/>
        </w:rPr>
        <w:t>，检测期间气象参数见表8-</w:t>
      </w:r>
      <w:r>
        <w:rPr>
          <w:rFonts w:hint="eastAsia"/>
          <w:lang w:val="en-US" w:eastAsia="zh-CN"/>
        </w:rPr>
        <w:t>3</w:t>
      </w:r>
      <w:r>
        <w:rPr>
          <w:rFonts w:hint="eastAsia"/>
        </w:rPr>
        <w:t>。</w:t>
      </w:r>
    </w:p>
    <w:p>
      <w:pPr>
        <w:autoSpaceDE w:val="0"/>
        <w:autoSpaceDN w:val="0"/>
        <w:adjustRightInd w:val="0"/>
        <w:snapToGrid w:val="0"/>
        <w:jc w:val="center"/>
        <w:rPr>
          <w:b/>
          <w:bCs/>
        </w:rPr>
      </w:pPr>
      <w:r>
        <w:rPr>
          <w:b/>
          <w:bCs/>
        </w:rPr>
        <w:t>表</w:t>
      </w:r>
      <w:r>
        <w:rPr>
          <w:rFonts w:hint="eastAsia"/>
          <w:b/>
          <w:bCs/>
        </w:rPr>
        <w:t>8-</w:t>
      </w:r>
      <w:r>
        <w:rPr>
          <w:rFonts w:hint="eastAsia"/>
          <w:b/>
          <w:bCs/>
          <w:lang w:val="en-US" w:eastAsia="zh-CN"/>
        </w:rPr>
        <w:t>2</w:t>
      </w:r>
      <w:r>
        <w:rPr>
          <w:rFonts w:hint="eastAsia"/>
          <w:b/>
          <w:bCs/>
        </w:rPr>
        <w:t xml:space="preserve"> </w:t>
      </w:r>
      <w:r>
        <w:rPr>
          <w:b/>
          <w:bCs/>
          <w:highlight w:val="none"/>
        </w:rPr>
        <w:t xml:space="preserve"> 无组织</w:t>
      </w:r>
      <w:r>
        <w:rPr>
          <w:rFonts w:hint="eastAsia"/>
          <w:b/>
          <w:bCs/>
          <w:highlight w:val="none"/>
        </w:rPr>
        <w:t>排放检测</w:t>
      </w:r>
      <w:r>
        <w:rPr>
          <w:b/>
          <w:bCs/>
          <w:highlight w:val="none"/>
        </w:rPr>
        <w:t>结果</w:t>
      </w:r>
    </w:p>
    <w:tbl>
      <w:tblPr>
        <w:tblStyle w:val="39"/>
        <w:tblW w:w="13958" w:type="dxa"/>
        <w:jc w:val="center"/>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223"/>
        <w:gridCol w:w="1627"/>
        <w:gridCol w:w="1529"/>
        <w:gridCol w:w="1529"/>
        <w:gridCol w:w="1528"/>
        <w:gridCol w:w="1"/>
        <w:gridCol w:w="1529"/>
        <w:gridCol w:w="1529"/>
        <w:gridCol w:w="1530"/>
        <w:gridCol w:w="966"/>
        <w:gridCol w:w="967"/>
      </w:tblGrid>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23" w:type="dxa"/>
            <w:vMerge w:val="restart"/>
            <w:tcBorders>
              <w:tl2br w:val="nil"/>
              <w:tr2bl w:val="nil"/>
            </w:tcBorders>
            <w:vAlign w:val="center"/>
          </w:tcPr>
          <w:p>
            <w:pPr>
              <w:adjustRightInd w:val="0"/>
              <w:snapToGrid w:val="0"/>
              <w:jc w:val="center"/>
              <w:rPr>
                <w:b/>
                <w:bCs/>
                <w:szCs w:val="21"/>
              </w:rPr>
            </w:pPr>
            <w:r>
              <w:rPr>
                <w:rFonts w:hint="eastAsia"/>
                <w:b/>
                <w:bCs/>
                <w:szCs w:val="21"/>
              </w:rPr>
              <w:t>检测</w:t>
            </w:r>
            <w:r>
              <w:rPr>
                <w:b/>
                <w:bCs/>
                <w:szCs w:val="21"/>
              </w:rPr>
              <w:t>项目</w:t>
            </w:r>
          </w:p>
        </w:tc>
        <w:tc>
          <w:tcPr>
            <w:tcW w:w="1627" w:type="dxa"/>
            <w:vMerge w:val="restart"/>
            <w:tcBorders>
              <w:tl2br w:val="nil"/>
              <w:tr2bl w:val="nil"/>
            </w:tcBorders>
            <w:vAlign w:val="center"/>
          </w:tcPr>
          <w:p>
            <w:pPr>
              <w:adjustRightInd w:val="0"/>
              <w:snapToGrid w:val="0"/>
              <w:jc w:val="center"/>
              <w:rPr>
                <w:b/>
                <w:bCs/>
                <w:szCs w:val="21"/>
              </w:rPr>
            </w:pPr>
            <w:r>
              <w:rPr>
                <w:rFonts w:hint="eastAsia"/>
                <w:b/>
                <w:bCs/>
                <w:szCs w:val="21"/>
              </w:rPr>
              <w:t>检测</w:t>
            </w:r>
            <w:r>
              <w:rPr>
                <w:b/>
                <w:bCs/>
                <w:szCs w:val="21"/>
              </w:rPr>
              <w:t>点位</w:t>
            </w:r>
          </w:p>
        </w:tc>
        <w:tc>
          <w:tcPr>
            <w:tcW w:w="4586" w:type="dxa"/>
            <w:gridSpan w:val="3"/>
            <w:tcBorders>
              <w:tl2br w:val="nil"/>
              <w:tr2bl w:val="nil"/>
            </w:tcBorders>
            <w:vAlign w:val="center"/>
          </w:tcPr>
          <w:p>
            <w:pPr>
              <w:adjustRightInd w:val="0"/>
              <w:snapToGrid w:val="0"/>
              <w:jc w:val="center"/>
              <w:rPr>
                <w:rFonts w:hint="default" w:eastAsia="宋体"/>
                <w:b/>
                <w:bCs/>
                <w:szCs w:val="21"/>
                <w:lang w:val="en-US" w:eastAsia="zh-CN"/>
              </w:rPr>
            </w:pPr>
            <w:r>
              <w:rPr>
                <w:b/>
                <w:bCs/>
                <w:szCs w:val="21"/>
                <w:highlight w:val="none"/>
              </w:rPr>
              <w:t>2019.</w:t>
            </w:r>
            <w:r>
              <w:rPr>
                <w:rFonts w:hint="eastAsia"/>
                <w:b/>
                <w:bCs/>
                <w:szCs w:val="21"/>
                <w:highlight w:val="none"/>
                <w:lang w:val="en-US" w:eastAsia="zh-CN"/>
              </w:rPr>
              <w:t>11.15</w:t>
            </w:r>
          </w:p>
        </w:tc>
        <w:tc>
          <w:tcPr>
            <w:tcW w:w="4589" w:type="dxa"/>
            <w:gridSpan w:val="4"/>
            <w:tcBorders>
              <w:tl2br w:val="nil"/>
              <w:tr2bl w:val="nil"/>
            </w:tcBorders>
            <w:vAlign w:val="center"/>
          </w:tcPr>
          <w:p>
            <w:pPr>
              <w:adjustRightInd w:val="0"/>
              <w:snapToGrid w:val="0"/>
              <w:jc w:val="center"/>
              <w:rPr>
                <w:rFonts w:hint="default" w:eastAsia="宋体"/>
                <w:b/>
                <w:bCs/>
                <w:szCs w:val="21"/>
                <w:lang w:val="en-US" w:eastAsia="zh-CN"/>
              </w:rPr>
            </w:pPr>
            <w:r>
              <w:rPr>
                <w:b/>
                <w:bCs/>
                <w:szCs w:val="21"/>
                <w:highlight w:val="none"/>
              </w:rPr>
              <w:t>2019.</w:t>
            </w:r>
            <w:r>
              <w:rPr>
                <w:rFonts w:hint="eastAsia"/>
                <w:b/>
                <w:bCs/>
                <w:szCs w:val="21"/>
                <w:highlight w:val="none"/>
                <w:lang w:val="en-US" w:eastAsia="zh-CN"/>
              </w:rPr>
              <w:t>11.16</w:t>
            </w:r>
          </w:p>
        </w:tc>
        <w:tc>
          <w:tcPr>
            <w:tcW w:w="966" w:type="dxa"/>
            <w:vMerge w:val="restart"/>
            <w:tcBorders>
              <w:tl2br w:val="nil"/>
              <w:tr2bl w:val="nil"/>
            </w:tcBorders>
            <w:vAlign w:val="center"/>
          </w:tcPr>
          <w:p>
            <w:pPr>
              <w:adjustRightInd w:val="0"/>
              <w:snapToGrid w:val="0"/>
              <w:jc w:val="center"/>
              <w:rPr>
                <w:b/>
                <w:bCs/>
                <w:szCs w:val="21"/>
              </w:rPr>
            </w:pPr>
            <w:r>
              <w:rPr>
                <w:b/>
                <w:bCs/>
                <w:szCs w:val="21"/>
              </w:rPr>
              <w:t>最大值</w:t>
            </w:r>
          </w:p>
        </w:tc>
        <w:tc>
          <w:tcPr>
            <w:tcW w:w="967" w:type="dxa"/>
            <w:vMerge w:val="restart"/>
            <w:tcBorders>
              <w:tl2br w:val="nil"/>
              <w:tr2bl w:val="nil"/>
            </w:tcBorders>
            <w:vAlign w:val="center"/>
          </w:tcPr>
          <w:p>
            <w:pPr>
              <w:adjustRightInd w:val="0"/>
              <w:snapToGrid w:val="0"/>
              <w:jc w:val="center"/>
              <w:rPr>
                <w:b/>
                <w:bCs/>
                <w:szCs w:val="21"/>
              </w:rPr>
            </w:pPr>
            <w:r>
              <w:rPr>
                <w:b/>
                <w:bCs/>
                <w:szCs w:val="21"/>
              </w:rPr>
              <w:t>标准</w:t>
            </w:r>
          </w:p>
          <w:p>
            <w:pPr>
              <w:adjustRightInd w:val="0"/>
              <w:snapToGrid w:val="0"/>
              <w:jc w:val="center"/>
              <w:rPr>
                <w:b/>
                <w:bCs/>
                <w:szCs w:val="21"/>
              </w:rPr>
            </w:pPr>
            <w:r>
              <w:rPr>
                <w:b/>
                <w:bCs/>
                <w:szCs w:val="21"/>
              </w:rPr>
              <w:t>限值</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23" w:type="dxa"/>
            <w:vMerge w:val="continue"/>
            <w:tcBorders>
              <w:tl2br w:val="nil"/>
              <w:tr2bl w:val="nil"/>
            </w:tcBorders>
            <w:shd w:val="clear" w:color="auto" w:fill="auto"/>
            <w:vAlign w:val="center"/>
          </w:tcPr>
          <w:p>
            <w:pPr>
              <w:widowControl/>
              <w:adjustRightInd w:val="0"/>
              <w:snapToGrid w:val="0"/>
              <w:jc w:val="center"/>
              <w:rPr>
                <w:szCs w:val="21"/>
              </w:rPr>
            </w:pPr>
          </w:p>
        </w:tc>
        <w:tc>
          <w:tcPr>
            <w:tcW w:w="1627" w:type="dxa"/>
            <w:vMerge w:val="continue"/>
            <w:tcBorders>
              <w:tl2br w:val="nil"/>
              <w:tr2bl w:val="nil"/>
            </w:tcBorders>
            <w:shd w:val="clear" w:color="auto" w:fill="auto"/>
            <w:vAlign w:val="center"/>
          </w:tcPr>
          <w:p>
            <w:pPr>
              <w:widowControl/>
              <w:adjustRightInd w:val="0"/>
              <w:snapToGrid w:val="0"/>
              <w:jc w:val="center"/>
              <w:rPr>
                <w:szCs w:val="21"/>
              </w:rPr>
            </w:pPr>
          </w:p>
        </w:tc>
        <w:tc>
          <w:tcPr>
            <w:tcW w:w="1529" w:type="dxa"/>
            <w:tcBorders>
              <w:tl2br w:val="nil"/>
              <w:tr2bl w:val="nil"/>
            </w:tcBorders>
            <w:vAlign w:val="center"/>
          </w:tcPr>
          <w:p>
            <w:pPr>
              <w:adjustRightInd w:val="0"/>
              <w:snapToGrid w:val="0"/>
              <w:jc w:val="center"/>
              <w:rPr>
                <w:b/>
                <w:bCs/>
                <w:szCs w:val="21"/>
              </w:rPr>
            </w:pPr>
            <w:r>
              <w:rPr>
                <w:b/>
                <w:bCs/>
                <w:szCs w:val="21"/>
              </w:rPr>
              <w:t>第1次</w:t>
            </w:r>
          </w:p>
        </w:tc>
        <w:tc>
          <w:tcPr>
            <w:tcW w:w="1529" w:type="dxa"/>
            <w:tcBorders>
              <w:tl2br w:val="nil"/>
              <w:tr2bl w:val="nil"/>
            </w:tcBorders>
            <w:vAlign w:val="center"/>
          </w:tcPr>
          <w:p>
            <w:pPr>
              <w:adjustRightInd w:val="0"/>
              <w:snapToGrid w:val="0"/>
              <w:jc w:val="center"/>
              <w:rPr>
                <w:b/>
                <w:bCs/>
                <w:szCs w:val="21"/>
              </w:rPr>
            </w:pPr>
            <w:r>
              <w:rPr>
                <w:b/>
                <w:bCs/>
                <w:szCs w:val="21"/>
              </w:rPr>
              <w:t>第2次</w:t>
            </w:r>
          </w:p>
        </w:tc>
        <w:tc>
          <w:tcPr>
            <w:tcW w:w="1529" w:type="dxa"/>
            <w:gridSpan w:val="2"/>
            <w:tcBorders>
              <w:tl2br w:val="nil"/>
              <w:tr2bl w:val="nil"/>
            </w:tcBorders>
            <w:vAlign w:val="center"/>
          </w:tcPr>
          <w:p>
            <w:pPr>
              <w:adjustRightInd w:val="0"/>
              <w:snapToGrid w:val="0"/>
              <w:jc w:val="center"/>
              <w:rPr>
                <w:b/>
                <w:bCs/>
                <w:szCs w:val="21"/>
              </w:rPr>
            </w:pPr>
            <w:r>
              <w:rPr>
                <w:b/>
                <w:bCs/>
                <w:szCs w:val="21"/>
              </w:rPr>
              <w:t>第3次</w:t>
            </w:r>
          </w:p>
        </w:tc>
        <w:tc>
          <w:tcPr>
            <w:tcW w:w="1529" w:type="dxa"/>
            <w:tcBorders>
              <w:tl2br w:val="nil"/>
              <w:tr2bl w:val="nil"/>
            </w:tcBorders>
            <w:vAlign w:val="center"/>
          </w:tcPr>
          <w:p>
            <w:pPr>
              <w:adjustRightInd w:val="0"/>
              <w:snapToGrid w:val="0"/>
              <w:jc w:val="center"/>
              <w:rPr>
                <w:b/>
                <w:bCs/>
                <w:szCs w:val="21"/>
              </w:rPr>
            </w:pPr>
            <w:r>
              <w:rPr>
                <w:b/>
                <w:bCs/>
                <w:szCs w:val="21"/>
              </w:rPr>
              <w:t>第1次</w:t>
            </w:r>
          </w:p>
        </w:tc>
        <w:tc>
          <w:tcPr>
            <w:tcW w:w="1529" w:type="dxa"/>
            <w:tcBorders>
              <w:tl2br w:val="nil"/>
              <w:tr2bl w:val="nil"/>
            </w:tcBorders>
            <w:vAlign w:val="center"/>
          </w:tcPr>
          <w:p>
            <w:pPr>
              <w:adjustRightInd w:val="0"/>
              <w:snapToGrid w:val="0"/>
              <w:jc w:val="center"/>
              <w:rPr>
                <w:b/>
                <w:bCs/>
                <w:szCs w:val="21"/>
              </w:rPr>
            </w:pPr>
            <w:r>
              <w:rPr>
                <w:b/>
                <w:bCs/>
                <w:szCs w:val="21"/>
              </w:rPr>
              <w:t>第2次</w:t>
            </w:r>
          </w:p>
        </w:tc>
        <w:tc>
          <w:tcPr>
            <w:tcW w:w="1530" w:type="dxa"/>
            <w:tcBorders>
              <w:tl2br w:val="nil"/>
              <w:tr2bl w:val="nil"/>
            </w:tcBorders>
            <w:vAlign w:val="center"/>
          </w:tcPr>
          <w:p>
            <w:pPr>
              <w:adjustRightInd w:val="0"/>
              <w:snapToGrid w:val="0"/>
              <w:jc w:val="center"/>
              <w:rPr>
                <w:b/>
                <w:bCs/>
                <w:szCs w:val="21"/>
              </w:rPr>
            </w:pPr>
            <w:r>
              <w:rPr>
                <w:b/>
                <w:bCs/>
                <w:szCs w:val="21"/>
              </w:rPr>
              <w:t>第3次</w:t>
            </w:r>
          </w:p>
        </w:tc>
        <w:tc>
          <w:tcPr>
            <w:tcW w:w="966" w:type="dxa"/>
            <w:vMerge w:val="continue"/>
            <w:tcBorders>
              <w:tl2br w:val="nil"/>
              <w:tr2bl w:val="nil"/>
            </w:tcBorders>
            <w:vAlign w:val="center"/>
          </w:tcPr>
          <w:p>
            <w:pPr>
              <w:widowControl/>
              <w:adjustRightInd w:val="0"/>
              <w:snapToGrid w:val="0"/>
              <w:jc w:val="center"/>
              <w:textAlignment w:val="center"/>
              <w:rPr>
                <w:szCs w:val="21"/>
              </w:rPr>
            </w:pPr>
          </w:p>
        </w:tc>
        <w:tc>
          <w:tcPr>
            <w:tcW w:w="967" w:type="dxa"/>
            <w:vMerge w:val="continue"/>
            <w:tcBorders>
              <w:tl2br w:val="nil"/>
              <w:tr2bl w:val="nil"/>
            </w:tcBorders>
            <w:vAlign w:val="center"/>
          </w:tcPr>
          <w:p>
            <w:pPr>
              <w:adjustRightInd w:val="0"/>
              <w:snapToGrid w:val="0"/>
              <w:jc w:val="center"/>
              <w:rPr>
                <w:szCs w:val="21"/>
              </w:rPr>
            </w:pP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23" w:type="dxa"/>
            <w:vMerge w:val="restart"/>
            <w:tcBorders>
              <w:tl2br w:val="nil"/>
              <w:tr2bl w:val="nil"/>
            </w:tcBorders>
            <w:vAlign w:val="center"/>
          </w:tcPr>
          <w:p>
            <w:pPr>
              <w:adjustRightInd w:val="0"/>
              <w:snapToGrid w:val="0"/>
              <w:jc w:val="center"/>
              <w:rPr>
                <w:szCs w:val="21"/>
              </w:rPr>
            </w:pPr>
            <w:r>
              <w:rPr>
                <w:rFonts w:hint="eastAsia"/>
                <w:szCs w:val="21"/>
                <w:lang w:val="en-US" w:eastAsia="zh-CN"/>
              </w:rPr>
              <w:t>总悬浮</w:t>
            </w:r>
            <w:r>
              <w:rPr>
                <w:rFonts w:hint="eastAsia"/>
                <w:szCs w:val="21"/>
              </w:rPr>
              <w:t>颗粒物</w:t>
            </w:r>
          </w:p>
          <w:p>
            <w:pPr>
              <w:adjustRightInd w:val="0"/>
              <w:snapToGrid w:val="0"/>
              <w:jc w:val="center"/>
              <w:rPr>
                <w:szCs w:val="21"/>
              </w:rPr>
            </w:pPr>
            <w:r>
              <w:rPr>
                <w:szCs w:val="21"/>
              </w:rPr>
              <w:t>（mg/m</w:t>
            </w:r>
            <w:r>
              <w:rPr>
                <w:szCs w:val="21"/>
                <w:vertAlign w:val="superscript"/>
              </w:rPr>
              <w:t>3</w:t>
            </w:r>
            <w:r>
              <w:rPr>
                <w:szCs w:val="21"/>
              </w:rPr>
              <w:t>）</w:t>
            </w:r>
          </w:p>
        </w:tc>
        <w:tc>
          <w:tcPr>
            <w:tcW w:w="1627" w:type="dxa"/>
            <w:tcBorders>
              <w:tl2br w:val="nil"/>
              <w:tr2bl w:val="nil"/>
            </w:tcBorders>
            <w:vAlign w:val="center"/>
          </w:tcPr>
          <w:p>
            <w:pPr>
              <w:adjustRightInd w:val="0"/>
              <w:snapToGrid w:val="0"/>
              <w:jc w:val="center"/>
              <w:rPr>
                <w:szCs w:val="21"/>
              </w:rPr>
            </w:pPr>
            <w:r>
              <w:rPr>
                <w:szCs w:val="21"/>
              </w:rPr>
              <w:t>上风向（</w:t>
            </w:r>
            <w:r>
              <w:rPr>
                <w:rFonts w:hint="eastAsia"/>
                <w:szCs w:val="21"/>
              </w:rPr>
              <w:t>○</w:t>
            </w:r>
            <w:r>
              <w:rPr>
                <w:szCs w:val="21"/>
              </w:rPr>
              <w:t>1）</w:t>
            </w:r>
          </w:p>
        </w:tc>
        <w:tc>
          <w:tcPr>
            <w:tcW w:w="1529" w:type="dxa"/>
            <w:tcBorders>
              <w:tl2br w:val="nil"/>
              <w:tr2bl w:val="nil"/>
            </w:tcBorders>
            <w:vAlign w:val="center"/>
          </w:tcPr>
          <w:p>
            <w:pPr>
              <w:jc w:val="center"/>
              <w:textAlignment w:val="center"/>
              <w:rPr>
                <w:rFonts w:hint="eastAsia" w:ascii="Times New Roman" w:hAnsi="宋体" w:eastAsia="宋体" w:cs="Times New Roman"/>
                <w:kern w:val="2"/>
                <w:sz w:val="21"/>
                <w:szCs w:val="24"/>
                <w:lang w:val="zh-TW" w:eastAsia="zh-TW" w:bidi="ar-SA"/>
              </w:rPr>
            </w:pPr>
            <w:r>
              <w:rPr>
                <w:rFonts w:hint="eastAsia" w:hAnsi="宋体"/>
                <w:szCs w:val="24"/>
              </w:rPr>
              <w:t>0.300</w:t>
            </w:r>
          </w:p>
        </w:tc>
        <w:tc>
          <w:tcPr>
            <w:tcW w:w="1529" w:type="dxa"/>
            <w:tcBorders>
              <w:tl2br w:val="nil"/>
              <w:tr2bl w:val="nil"/>
            </w:tcBorders>
            <w:vAlign w:val="center"/>
          </w:tcPr>
          <w:p>
            <w:pPr>
              <w:adjustRightInd w:val="0"/>
              <w:snapToGrid w:val="0"/>
              <w:jc w:val="center"/>
              <w:rPr>
                <w:rFonts w:hint="eastAsia"/>
                <w:szCs w:val="21"/>
                <w:lang w:val="en-US" w:eastAsia="zh-CN"/>
              </w:rPr>
            </w:pPr>
            <w:r>
              <w:rPr>
                <w:rFonts w:hint="eastAsia" w:hAnsi="宋体"/>
                <w:szCs w:val="24"/>
              </w:rPr>
              <w:t>0.250</w:t>
            </w:r>
          </w:p>
        </w:tc>
        <w:tc>
          <w:tcPr>
            <w:tcW w:w="1529" w:type="dxa"/>
            <w:gridSpan w:val="2"/>
            <w:tcBorders>
              <w:tl2br w:val="nil"/>
              <w:tr2bl w:val="nil"/>
            </w:tcBorders>
            <w:vAlign w:val="center"/>
          </w:tcPr>
          <w:p>
            <w:pPr>
              <w:adjustRightInd w:val="0"/>
              <w:snapToGrid w:val="0"/>
              <w:jc w:val="center"/>
              <w:rPr>
                <w:rFonts w:hint="eastAsia"/>
                <w:szCs w:val="21"/>
                <w:lang w:val="en-US" w:eastAsia="zh-CN"/>
              </w:rPr>
            </w:pPr>
            <w:r>
              <w:rPr>
                <w:rFonts w:hint="eastAsia" w:hAnsi="宋体"/>
                <w:szCs w:val="24"/>
              </w:rPr>
              <w:t>0.283</w:t>
            </w:r>
          </w:p>
        </w:tc>
        <w:tc>
          <w:tcPr>
            <w:tcW w:w="1529" w:type="dxa"/>
            <w:tcBorders>
              <w:tl2br w:val="nil"/>
              <w:tr2bl w:val="nil"/>
            </w:tcBorders>
            <w:vAlign w:val="center"/>
          </w:tcPr>
          <w:p>
            <w:pPr>
              <w:jc w:val="center"/>
              <w:textAlignment w:val="center"/>
              <w:rPr>
                <w:rFonts w:hint="eastAsia" w:ascii="Times New Roman" w:hAnsi="宋体" w:eastAsia="宋体" w:cs="Times New Roman"/>
                <w:kern w:val="2"/>
                <w:sz w:val="21"/>
                <w:szCs w:val="24"/>
                <w:lang w:val="zh-TW" w:eastAsia="zh-TW" w:bidi="ar-SA"/>
              </w:rPr>
            </w:pPr>
            <w:r>
              <w:rPr>
                <w:rFonts w:hint="eastAsia" w:hAnsi="宋体"/>
                <w:szCs w:val="24"/>
              </w:rPr>
              <w:t>0.267</w:t>
            </w:r>
          </w:p>
        </w:tc>
        <w:tc>
          <w:tcPr>
            <w:tcW w:w="1529" w:type="dxa"/>
            <w:tcBorders>
              <w:tl2br w:val="nil"/>
              <w:tr2bl w:val="nil"/>
            </w:tcBorders>
            <w:vAlign w:val="center"/>
          </w:tcPr>
          <w:p>
            <w:pPr>
              <w:adjustRightInd w:val="0"/>
              <w:snapToGrid w:val="0"/>
              <w:jc w:val="center"/>
              <w:rPr>
                <w:rFonts w:hint="eastAsia"/>
                <w:szCs w:val="21"/>
                <w:lang w:val="en-US" w:eastAsia="zh-CN"/>
              </w:rPr>
            </w:pPr>
            <w:r>
              <w:rPr>
                <w:rFonts w:hint="eastAsia" w:hAnsi="宋体"/>
                <w:szCs w:val="24"/>
              </w:rPr>
              <w:t>0.317</w:t>
            </w:r>
          </w:p>
        </w:tc>
        <w:tc>
          <w:tcPr>
            <w:tcW w:w="1530" w:type="dxa"/>
            <w:tcBorders>
              <w:tl2br w:val="nil"/>
              <w:tr2bl w:val="nil"/>
            </w:tcBorders>
            <w:vAlign w:val="center"/>
          </w:tcPr>
          <w:p>
            <w:pPr>
              <w:adjustRightInd w:val="0"/>
              <w:snapToGrid w:val="0"/>
              <w:jc w:val="center"/>
              <w:rPr>
                <w:rFonts w:hint="eastAsia"/>
                <w:szCs w:val="21"/>
                <w:lang w:val="en-US" w:eastAsia="zh-CN"/>
              </w:rPr>
            </w:pPr>
            <w:r>
              <w:rPr>
                <w:rFonts w:hint="eastAsia" w:hAnsi="宋体"/>
                <w:szCs w:val="24"/>
              </w:rPr>
              <w:t>0.283</w:t>
            </w:r>
          </w:p>
        </w:tc>
        <w:tc>
          <w:tcPr>
            <w:tcW w:w="966" w:type="dxa"/>
            <w:vMerge w:val="restart"/>
            <w:tcBorders>
              <w:tl2br w:val="nil"/>
              <w:tr2bl w:val="nil"/>
            </w:tcBorders>
            <w:vAlign w:val="center"/>
          </w:tcPr>
          <w:p>
            <w:pPr>
              <w:widowControl/>
              <w:adjustRightInd w:val="0"/>
              <w:snapToGrid w:val="0"/>
              <w:jc w:val="center"/>
              <w:textAlignment w:val="center"/>
              <w:rPr>
                <w:szCs w:val="21"/>
              </w:rPr>
            </w:pPr>
            <w:r>
              <w:rPr>
                <w:rFonts w:hint="eastAsia" w:hAnsi="宋体"/>
                <w:szCs w:val="24"/>
              </w:rPr>
              <w:t>0.533</w:t>
            </w:r>
          </w:p>
        </w:tc>
        <w:tc>
          <w:tcPr>
            <w:tcW w:w="967" w:type="dxa"/>
            <w:vMerge w:val="restart"/>
            <w:tcBorders>
              <w:tl2br w:val="nil"/>
              <w:tr2bl w:val="nil"/>
            </w:tcBorders>
            <w:vAlign w:val="center"/>
          </w:tcPr>
          <w:p>
            <w:pPr>
              <w:adjustRightInd w:val="0"/>
              <w:snapToGrid w:val="0"/>
              <w:jc w:val="center"/>
              <w:rPr>
                <w:rFonts w:hint="default" w:eastAsia="宋体"/>
                <w:szCs w:val="21"/>
                <w:lang w:val="en-US" w:eastAsia="zh-CN"/>
              </w:rPr>
            </w:pPr>
            <w:r>
              <w:rPr>
                <w:rFonts w:hint="eastAsia"/>
                <w:szCs w:val="21"/>
                <w:lang w:val="en-US" w:eastAsia="zh-CN"/>
              </w:rPr>
              <w:t>1.0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23" w:type="dxa"/>
            <w:vMerge w:val="continue"/>
            <w:tcBorders>
              <w:tl2br w:val="nil"/>
              <w:tr2bl w:val="nil"/>
            </w:tcBorders>
            <w:vAlign w:val="center"/>
          </w:tcPr>
          <w:p>
            <w:pPr>
              <w:pStyle w:val="2"/>
              <w:ind w:left="0" w:leftChars="0" w:firstLine="0"/>
              <w:rPr>
                <w:sz w:val="21"/>
                <w:szCs w:val="21"/>
              </w:rPr>
            </w:pPr>
          </w:p>
        </w:tc>
        <w:tc>
          <w:tcPr>
            <w:tcW w:w="1627" w:type="dxa"/>
            <w:tcBorders>
              <w:tl2br w:val="nil"/>
              <w:tr2bl w:val="nil"/>
            </w:tcBorders>
            <w:shd w:val="clear" w:color="auto" w:fill="auto"/>
            <w:vAlign w:val="center"/>
          </w:tcPr>
          <w:p>
            <w:pPr>
              <w:widowControl/>
              <w:adjustRightInd w:val="0"/>
              <w:snapToGrid w:val="0"/>
              <w:jc w:val="center"/>
              <w:rPr>
                <w:szCs w:val="21"/>
              </w:rPr>
            </w:pPr>
            <w:r>
              <w:rPr>
                <w:szCs w:val="21"/>
              </w:rPr>
              <w:t>下风向（</w:t>
            </w:r>
            <w:r>
              <w:rPr>
                <w:rFonts w:hint="eastAsia"/>
                <w:szCs w:val="21"/>
              </w:rPr>
              <w:t>○</w:t>
            </w:r>
            <w:r>
              <w:rPr>
                <w:szCs w:val="21"/>
              </w:rPr>
              <w:t>2）</w:t>
            </w:r>
          </w:p>
        </w:tc>
        <w:tc>
          <w:tcPr>
            <w:tcW w:w="1529" w:type="dxa"/>
            <w:tcBorders>
              <w:tl2br w:val="nil"/>
              <w:tr2bl w:val="nil"/>
            </w:tcBorders>
            <w:vAlign w:val="center"/>
          </w:tcPr>
          <w:p>
            <w:pPr>
              <w:jc w:val="center"/>
              <w:textAlignment w:val="center"/>
              <w:rPr>
                <w:rFonts w:hint="eastAsia" w:ascii="Times New Roman" w:hAnsi="宋体" w:eastAsia="宋体" w:cs="Times New Roman"/>
                <w:kern w:val="2"/>
                <w:sz w:val="21"/>
                <w:szCs w:val="24"/>
                <w:lang w:val="zh-TW" w:eastAsia="zh-TW" w:bidi="ar-SA"/>
              </w:rPr>
            </w:pPr>
            <w:r>
              <w:rPr>
                <w:rFonts w:hint="eastAsia" w:hAnsi="宋体"/>
                <w:szCs w:val="24"/>
              </w:rPr>
              <w:t>0.390</w:t>
            </w:r>
          </w:p>
        </w:tc>
        <w:tc>
          <w:tcPr>
            <w:tcW w:w="1529" w:type="dxa"/>
            <w:tcBorders>
              <w:tl2br w:val="nil"/>
              <w:tr2bl w:val="nil"/>
            </w:tcBorders>
            <w:vAlign w:val="center"/>
          </w:tcPr>
          <w:p>
            <w:pPr>
              <w:adjustRightInd w:val="0"/>
              <w:snapToGrid w:val="0"/>
              <w:jc w:val="center"/>
              <w:rPr>
                <w:rFonts w:hint="eastAsia"/>
                <w:szCs w:val="21"/>
                <w:lang w:val="en-US" w:eastAsia="zh-CN"/>
              </w:rPr>
            </w:pPr>
            <w:r>
              <w:rPr>
                <w:rFonts w:hint="eastAsia" w:hAnsi="宋体"/>
                <w:szCs w:val="24"/>
              </w:rPr>
              <w:t>0.500</w:t>
            </w:r>
          </w:p>
        </w:tc>
        <w:tc>
          <w:tcPr>
            <w:tcW w:w="1529" w:type="dxa"/>
            <w:gridSpan w:val="2"/>
            <w:tcBorders>
              <w:tl2br w:val="nil"/>
              <w:tr2bl w:val="nil"/>
            </w:tcBorders>
            <w:vAlign w:val="center"/>
          </w:tcPr>
          <w:p>
            <w:pPr>
              <w:adjustRightInd w:val="0"/>
              <w:snapToGrid w:val="0"/>
              <w:jc w:val="center"/>
              <w:rPr>
                <w:rFonts w:hint="eastAsia"/>
                <w:szCs w:val="21"/>
                <w:lang w:val="en-US" w:eastAsia="zh-CN"/>
              </w:rPr>
            </w:pPr>
            <w:r>
              <w:rPr>
                <w:rFonts w:hint="eastAsia" w:hAnsi="宋体"/>
                <w:szCs w:val="24"/>
              </w:rPr>
              <w:t>0.450</w:t>
            </w:r>
          </w:p>
        </w:tc>
        <w:tc>
          <w:tcPr>
            <w:tcW w:w="1529" w:type="dxa"/>
            <w:tcBorders>
              <w:tl2br w:val="nil"/>
              <w:tr2bl w:val="nil"/>
            </w:tcBorders>
            <w:vAlign w:val="center"/>
          </w:tcPr>
          <w:p>
            <w:pPr>
              <w:jc w:val="center"/>
              <w:textAlignment w:val="center"/>
              <w:rPr>
                <w:rFonts w:hint="eastAsia" w:ascii="Times New Roman" w:hAnsi="宋体" w:eastAsia="宋体" w:cs="Times New Roman"/>
                <w:kern w:val="2"/>
                <w:sz w:val="21"/>
                <w:szCs w:val="24"/>
                <w:lang w:val="zh-TW" w:eastAsia="zh-TW" w:bidi="ar-SA"/>
              </w:rPr>
            </w:pPr>
            <w:r>
              <w:rPr>
                <w:rFonts w:hint="eastAsia" w:hAnsi="宋体"/>
                <w:szCs w:val="24"/>
              </w:rPr>
              <w:t>0.383</w:t>
            </w:r>
          </w:p>
        </w:tc>
        <w:tc>
          <w:tcPr>
            <w:tcW w:w="1529" w:type="dxa"/>
            <w:tcBorders>
              <w:tl2br w:val="nil"/>
              <w:tr2bl w:val="nil"/>
            </w:tcBorders>
            <w:vAlign w:val="center"/>
          </w:tcPr>
          <w:p>
            <w:pPr>
              <w:adjustRightInd w:val="0"/>
              <w:snapToGrid w:val="0"/>
              <w:jc w:val="center"/>
              <w:rPr>
                <w:rFonts w:hint="eastAsia"/>
                <w:szCs w:val="21"/>
                <w:lang w:val="en-US" w:eastAsia="zh-CN"/>
              </w:rPr>
            </w:pPr>
            <w:r>
              <w:rPr>
                <w:rFonts w:hint="eastAsia" w:hAnsi="宋体"/>
                <w:szCs w:val="24"/>
              </w:rPr>
              <w:t>0.500</w:t>
            </w:r>
          </w:p>
        </w:tc>
        <w:tc>
          <w:tcPr>
            <w:tcW w:w="1530" w:type="dxa"/>
            <w:tcBorders>
              <w:tl2br w:val="nil"/>
              <w:tr2bl w:val="nil"/>
            </w:tcBorders>
            <w:vAlign w:val="center"/>
          </w:tcPr>
          <w:p>
            <w:pPr>
              <w:adjustRightInd w:val="0"/>
              <w:snapToGrid w:val="0"/>
              <w:jc w:val="center"/>
              <w:rPr>
                <w:rFonts w:hint="eastAsia"/>
                <w:szCs w:val="21"/>
                <w:lang w:val="en-US" w:eastAsia="zh-CN"/>
              </w:rPr>
            </w:pPr>
            <w:r>
              <w:rPr>
                <w:rFonts w:hint="eastAsia" w:hAnsi="宋体"/>
                <w:szCs w:val="24"/>
              </w:rPr>
              <w:t>0.433</w:t>
            </w:r>
          </w:p>
        </w:tc>
        <w:tc>
          <w:tcPr>
            <w:tcW w:w="966" w:type="dxa"/>
            <w:vMerge w:val="continue"/>
            <w:tcBorders>
              <w:tl2br w:val="nil"/>
              <w:tr2bl w:val="nil"/>
            </w:tcBorders>
            <w:vAlign w:val="center"/>
          </w:tcPr>
          <w:p>
            <w:pPr>
              <w:widowControl/>
              <w:adjustRightInd w:val="0"/>
              <w:snapToGrid w:val="0"/>
              <w:jc w:val="center"/>
              <w:textAlignment w:val="center"/>
              <w:rPr>
                <w:szCs w:val="21"/>
              </w:rPr>
            </w:pPr>
          </w:p>
        </w:tc>
        <w:tc>
          <w:tcPr>
            <w:tcW w:w="967" w:type="dxa"/>
            <w:vMerge w:val="continue"/>
            <w:tcBorders>
              <w:tl2br w:val="nil"/>
              <w:tr2bl w:val="nil"/>
            </w:tcBorders>
            <w:vAlign w:val="center"/>
          </w:tcPr>
          <w:p>
            <w:pPr>
              <w:adjustRightInd w:val="0"/>
              <w:snapToGrid w:val="0"/>
              <w:jc w:val="center"/>
              <w:rPr>
                <w:szCs w:val="21"/>
              </w:rPr>
            </w:pP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23" w:type="dxa"/>
            <w:vMerge w:val="continue"/>
            <w:tcBorders>
              <w:tl2br w:val="nil"/>
              <w:tr2bl w:val="nil"/>
            </w:tcBorders>
            <w:vAlign w:val="center"/>
          </w:tcPr>
          <w:p>
            <w:pPr>
              <w:pStyle w:val="2"/>
              <w:ind w:left="0" w:leftChars="0" w:firstLine="0"/>
              <w:rPr>
                <w:sz w:val="21"/>
                <w:szCs w:val="21"/>
              </w:rPr>
            </w:pPr>
          </w:p>
        </w:tc>
        <w:tc>
          <w:tcPr>
            <w:tcW w:w="1627" w:type="dxa"/>
            <w:tcBorders>
              <w:tl2br w:val="nil"/>
              <w:tr2bl w:val="nil"/>
            </w:tcBorders>
            <w:shd w:val="clear" w:color="auto" w:fill="auto"/>
            <w:vAlign w:val="center"/>
          </w:tcPr>
          <w:p>
            <w:pPr>
              <w:adjustRightInd w:val="0"/>
              <w:snapToGrid w:val="0"/>
              <w:jc w:val="center"/>
              <w:rPr>
                <w:szCs w:val="21"/>
              </w:rPr>
            </w:pPr>
            <w:r>
              <w:rPr>
                <w:szCs w:val="21"/>
              </w:rPr>
              <w:t>下风向（</w:t>
            </w:r>
            <w:r>
              <w:rPr>
                <w:rFonts w:hint="eastAsia"/>
                <w:szCs w:val="21"/>
              </w:rPr>
              <w:t>○</w:t>
            </w:r>
            <w:r>
              <w:rPr>
                <w:szCs w:val="21"/>
              </w:rPr>
              <w:t>3）</w:t>
            </w:r>
          </w:p>
        </w:tc>
        <w:tc>
          <w:tcPr>
            <w:tcW w:w="1529" w:type="dxa"/>
            <w:tcBorders>
              <w:tl2br w:val="nil"/>
              <w:tr2bl w:val="nil"/>
            </w:tcBorders>
            <w:vAlign w:val="center"/>
          </w:tcPr>
          <w:p>
            <w:pPr>
              <w:jc w:val="center"/>
              <w:rPr>
                <w:rFonts w:hint="eastAsia" w:ascii="Times New Roman" w:hAnsi="宋体" w:eastAsia="宋体" w:cs="Times New Roman"/>
                <w:kern w:val="2"/>
                <w:sz w:val="21"/>
                <w:szCs w:val="24"/>
                <w:lang w:val="zh-TW" w:eastAsia="zh-TW" w:bidi="ar-SA"/>
              </w:rPr>
            </w:pPr>
            <w:r>
              <w:rPr>
                <w:rFonts w:hint="eastAsia" w:hAnsi="宋体"/>
                <w:szCs w:val="24"/>
              </w:rPr>
              <w:t>0.480</w:t>
            </w:r>
          </w:p>
        </w:tc>
        <w:tc>
          <w:tcPr>
            <w:tcW w:w="1529" w:type="dxa"/>
            <w:tcBorders>
              <w:tl2br w:val="nil"/>
              <w:tr2bl w:val="nil"/>
            </w:tcBorders>
            <w:vAlign w:val="center"/>
          </w:tcPr>
          <w:p>
            <w:pPr>
              <w:adjustRightInd w:val="0"/>
              <w:snapToGrid w:val="0"/>
              <w:jc w:val="center"/>
              <w:rPr>
                <w:rFonts w:hint="eastAsia"/>
                <w:szCs w:val="21"/>
                <w:lang w:val="en-US" w:eastAsia="zh-CN"/>
              </w:rPr>
            </w:pPr>
            <w:r>
              <w:rPr>
                <w:rFonts w:hint="eastAsia" w:hAnsi="宋体"/>
                <w:szCs w:val="24"/>
              </w:rPr>
              <w:t>0.400</w:t>
            </w:r>
          </w:p>
        </w:tc>
        <w:tc>
          <w:tcPr>
            <w:tcW w:w="1529" w:type="dxa"/>
            <w:gridSpan w:val="2"/>
            <w:tcBorders>
              <w:tl2br w:val="nil"/>
              <w:tr2bl w:val="nil"/>
            </w:tcBorders>
            <w:vAlign w:val="center"/>
          </w:tcPr>
          <w:p>
            <w:pPr>
              <w:adjustRightInd w:val="0"/>
              <w:snapToGrid w:val="0"/>
              <w:jc w:val="center"/>
              <w:rPr>
                <w:rFonts w:hint="eastAsia"/>
                <w:szCs w:val="21"/>
                <w:lang w:val="en-US" w:eastAsia="zh-CN"/>
              </w:rPr>
            </w:pPr>
            <w:r>
              <w:rPr>
                <w:rFonts w:hint="eastAsia" w:hAnsi="宋体"/>
                <w:szCs w:val="24"/>
              </w:rPr>
              <w:t>0.517</w:t>
            </w:r>
          </w:p>
        </w:tc>
        <w:tc>
          <w:tcPr>
            <w:tcW w:w="1529" w:type="dxa"/>
            <w:tcBorders>
              <w:tl2br w:val="nil"/>
              <w:tr2bl w:val="nil"/>
            </w:tcBorders>
            <w:vAlign w:val="center"/>
          </w:tcPr>
          <w:p>
            <w:pPr>
              <w:jc w:val="center"/>
              <w:rPr>
                <w:rFonts w:hint="eastAsia" w:ascii="Times New Roman" w:hAnsi="宋体" w:eastAsia="宋体" w:cs="Times New Roman"/>
                <w:kern w:val="2"/>
                <w:sz w:val="21"/>
                <w:szCs w:val="24"/>
                <w:lang w:val="zh-TW" w:eastAsia="zh-TW" w:bidi="ar-SA"/>
              </w:rPr>
            </w:pPr>
            <w:r>
              <w:rPr>
                <w:rFonts w:hint="eastAsia" w:hAnsi="宋体"/>
                <w:szCs w:val="24"/>
              </w:rPr>
              <w:t>0.483</w:t>
            </w:r>
          </w:p>
        </w:tc>
        <w:tc>
          <w:tcPr>
            <w:tcW w:w="1529" w:type="dxa"/>
            <w:tcBorders>
              <w:tl2br w:val="nil"/>
              <w:tr2bl w:val="nil"/>
            </w:tcBorders>
            <w:vAlign w:val="center"/>
          </w:tcPr>
          <w:p>
            <w:pPr>
              <w:adjustRightInd w:val="0"/>
              <w:snapToGrid w:val="0"/>
              <w:jc w:val="center"/>
              <w:rPr>
                <w:rFonts w:hint="eastAsia"/>
                <w:szCs w:val="21"/>
                <w:lang w:val="zh-TW" w:eastAsia="zh-TW"/>
              </w:rPr>
            </w:pPr>
            <w:r>
              <w:rPr>
                <w:rFonts w:hint="eastAsia" w:hAnsi="宋体"/>
                <w:szCs w:val="24"/>
              </w:rPr>
              <w:t>0.467</w:t>
            </w:r>
          </w:p>
        </w:tc>
        <w:tc>
          <w:tcPr>
            <w:tcW w:w="1530" w:type="dxa"/>
            <w:tcBorders>
              <w:tl2br w:val="nil"/>
              <w:tr2bl w:val="nil"/>
            </w:tcBorders>
            <w:vAlign w:val="center"/>
          </w:tcPr>
          <w:p>
            <w:pPr>
              <w:adjustRightInd w:val="0"/>
              <w:snapToGrid w:val="0"/>
              <w:jc w:val="center"/>
              <w:rPr>
                <w:rFonts w:hint="eastAsia"/>
                <w:szCs w:val="21"/>
                <w:lang w:val="en-US" w:eastAsia="zh-CN"/>
              </w:rPr>
            </w:pPr>
            <w:r>
              <w:rPr>
                <w:rFonts w:hint="eastAsia" w:hAnsi="宋体"/>
                <w:szCs w:val="24"/>
              </w:rPr>
              <w:t>0.367</w:t>
            </w:r>
          </w:p>
        </w:tc>
        <w:tc>
          <w:tcPr>
            <w:tcW w:w="966" w:type="dxa"/>
            <w:vMerge w:val="continue"/>
            <w:tcBorders>
              <w:tl2br w:val="nil"/>
              <w:tr2bl w:val="nil"/>
            </w:tcBorders>
            <w:vAlign w:val="center"/>
          </w:tcPr>
          <w:p>
            <w:pPr>
              <w:widowControl/>
              <w:adjustRightInd w:val="0"/>
              <w:snapToGrid w:val="0"/>
              <w:jc w:val="center"/>
              <w:textAlignment w:val="center"/>
              <w:rPr>
                <w:szCs w:val="21"/>
              </w:rPr>
            </w:pPr>
          </w:p>
        </w:tc>
        <w:tc>
          <w:tcPr>
            <w:tcW w:w="967" w:type="dxa"/>
            <w:vMerge w:val="continue"/>
            <w:tcBorders>
              <w:tl2br w:val="nil"/>
              <w:tr2bl w:val="nil"/>
            </w:tcBorders>
            <w:vAlign w:val="center"/>
          </w:tcPr>
          <w:p>
            <w:pPr>
              <w:adjustRightInd w:val="0"/>
              <w:snapToGrid w:val="0"/>
              <w:jc w:val="center"/>
              <w:rPr>
                <w:szCs w:val="21"/>
              </w:rPr>
            </w:pP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23" w:type="dxa"/>
            <w:vMerge w:val="continue"/>
            <w:tcBorders>
              <w:tl2br w:val="nil"/>
              <w:tr2bl w:val="nil"/>
            </w:tcBorders>
            <w:vAlign w:val="center"/>
          </w:tcPr>
          <w:p>
            <w:pPr>
              <w:pStyle w:val="2"/>
              <w:ind w:left="0" w:leftChars="0" w:firstLine="0"/>
              <w:rPr>
                <w:sz w:val="21"/>
                <w:szCs w:val="21"/>
              </w:rPr>
            </w:pPr>
          </w:p>
        </w:tc>
        <w:tc>
          <w:tcPr>
            <w:tcW w:w="1627" w:type="dxa"/>
            <w:tcBorders>
              <w:tl2br w:val="nil"/>
              <w:tr2bl w:val="nil"/>
            </w:tcBorders>
            <w:vAlign w:val="center"/>
          </w:tcPr>
          <w:p>
            <w:pPr>
              <w:adjustRightInd w:val="0"/>
              <w:snapToGrid w:val="0"/>
              <w:jc w:val="center"/>
              <w:rPr>
                <w:szCs w:val="21"/>
              </w:rPr>
            </w:pPr>
            <w:r>
              <w:rPr>
                <w:szCs w:val="21"/>
              </w:rPr>
              <w:t>下风向（</w:t>
            </w:r>
            <w:r>
              <w:rPr>
                <w:rFonts w:hint="eastAsia"/>
                <w:szCs w:val="21"/>
              </w:rPr>
              <w:t>○</w:t>
            </w:r>
            <w:r>
              <w:rPr>
                <w:szCs w:val="21"/>
              </w:rPr>
              <w:t>4）</w:t>
            </w:r>
          </w:p>
        </w:tc>
        <w:tc>
          <w:tcPr>
            <w:tcW w:w="1529" w:type="dxa"/>
            <w:tcBorders>
              <w:tl2br w:val="nil"/>
              <w:tr2bl w:val="nil"/>
            </w:tcBorders>
            <w:vAlign w:val="center"/>
          </w:tcPr>
          <w:p>
            <w:pPr>
              <w:jc w:val="center"/>
              <w:rPr>
                <w:rFonts w:hint="eastAsia" w:ascii="Times New Roman" w:hAnsi="宋体" w:eastAsia="宋体" w:cs="Times New Roman"/>
                <w:kern w:val="2"/>
                <w:sz w:val="21"/>
                <w:szCs w:val="24"/>
                <w:lang w:val="zh-TW" w:eastAsia="zh-TW" w:bidi="ar-SA"/>
              </w:rPr>
            </w:pPr>
            <w:r>
              <w:rPr>
                <w:rFonts w:hint="eastAsia" w:hAnsi="宋体"/>
                <w:szCs w:val="24"/>
              </w:rPr>
              <w:t>0.433</w:t>
            </w:r>
          </w:p>
        </w:tc>
        <w:tc>
          <w:tcPr>
            <w:tcW w:w="1529" w:type="dxa"/>
            <w:tcBorders>
              <w:tl2br w:val="nil"/>
              <w:tr2bl w:val="nil"/>
            </w:tcBorders>
            <w:vAlign w:val="center"/>
          </w:tcPr>
          <w:p>
            <w:pPr>
              <w:adjustRightInd w:val="0"/>
              <w:snapToGrid w:val="0"/>
              <w:jc w:val="center"/>
              <w:rPr>
                <w:rFonts w:hint="eastAsia"/>
                <w:szCs w:val="21"/>
                <w:lang w:val="en-US" w:eastAsia="zh-CN"/>
              </w:rPr>
            </w:pPr>
            <w:r>
              <w:rPr>
                <w:rFonts w:hint="eastAsia" w:hAnsi="宋体"/>
                <w:szCs w:val="24"/>
              </w:rPr>
              <w:t>0.467</w:t>
            </w:r>
          </w:p>
        </w:tc>
        <w:tc>
          <w:tcPr>
            <w:tcW w:w="1529" w:type="dxa"/>
            <w:gridSpan w:val="2"/>
            <w:tcBorders>
              <w:tl2br w:val="nil"/>
              <w:tr2bl w:val="nil"/>
            </w:tcBorders>
            <w:vAlign w:val="center"/>
          </w:tcPr>
          <w:p>
            <w:pPr>
              <w:adjustRightInd w:val="0"/>
              <w:snapToGrid w:val="0"/>
              <w:jc w:val="center"/>
              <w:rPr>
                <w:rFonts w:hint="eastAsia"/>
                <w:szCs w:val="21"/>
                <w:lang w:val="en-US" w:eastAsia="zh-CN"/>
              </w:rPr>
            </w:pPr>
            <w:r>
              <w:rPr>
                <w:rFonts w:hint="eastAsia" w:hAnsi="宋体"/>
                <w:szCs w:val="24"/>
              </w:rPr>
              <w:t>0.417</w:t>
            </w:r>
          </w:p>
        </w:tc>
        <w:tc>
          <w:tcPr>
            <w:tcW w:w="1529" w:type="dxa"/>
            <w:tcBorders>
              <w:tl2br w:val="nil"/>
              <w:tr2bl w:val="nil"/>
            </w:tcBorders>
            <w:vAlign w:val="center"/>
          </w:tcPr>
          <w:p>
            <w:pPr>
              <w:jc w:val="center"/>
              <w:rPr>
                <w:rFonts w:hint="eastAsia" w:ascii="Times New Roman" w:hAnsi="宋体" w:eastAsia="宋体" w:cs="Times New Roman"/>
                <w:kern w:val="2"/>
                <w:sz w:val="21"/>
                <w:szCs w:val="24"/>
                <w:lang w:val="zh-TW" w:eastAsia="zh-TW" w:bidi="ar-SA"/>
              </w:rPr>
            </w:pPr>
            <w:r>
              <w:rPr>
                <w:rFonts w:hint="eastAsia" w:hAnsi="宋体"/>
                <w:szCs w:val="24"/>
              </w:rPr>
              <w:t>0.417</w:t>
            </w:r>
          </w:p>
        </w:tc>
        <w:tc>
          <w:tcPr>
            <w:tcW w:w="1529" w:type="dxa"/>
            <w:tcBorders>
              <w:tl2br w:val="nil"/>
              <w:tr2bl w:val="nil"/>
            </w:tcBorders>
            <w:vAlign w:val="center"/>
          </w:tcPr>
          <w:p>
            <w:pPr>
              <w:adjustRightInd w:val="0"/>
              <w:snapToGrid w:val="0"/>
              <w:jc w:val="center"/>
              <w:rPr>
                <w:rFonts w:hint="eastAsia"/>
                <w:szCs w:val="21"/>
                <w:lang w:val="zh-TW" w:eastAsia="zh-TW"/>
              </w:rPr>
            </w:pPr>
            <w:r>
              <w:rPr>
                <w:rFonts w:hint="eastAsia" w:hAnsi="宋体"/>
                <w:szCs w:val="24"/>
              </w:rPr>
              <w:t>0.400</w:t>
            </w:r>
          </w:p>
        </w:tc>
        <w:tc>
          <w:tcPr>
            <w:tcW w:w="1530" w:type="dxa"/>
            <w:tcBorders>
              <w:tl2br w:val="nil"/>
              <w:tr2bl w:val="nil"/>
            </w:tcBorders>
            <w:vAlign w:val="center"/>
          </w:tcPr>
          <w:p>
            <w:pPr>
              <w:adjustRightInd w:val="0"/>
              <w:snapToGrid w:val="0"/>
              <w:jc w:val="center"/>
              <w:rPr>
                <w:rFonts w:hint="eastAsia"/>
                <w:szCs w:val="21"/>
                <w:lang w:val="en-US" w:eastAsia="zh-CN"/>
              </w:rPr>
            </w:pPr>
            <w:r>
              <w:rPr>
                <w:rFonts w:hint="eastAsia" w:hAnsi="宋体"/>
                <w:szCs w:val="24"/>
              </w:rPr>
              <w:t>0.533</w:t>
            </w:r>
          </w:p>
        </w:tc>
        <w:tc>
          <w:tcPr>
            <w:tcW w:w="966" w:type="dxa"/>
            <w:vMerge w:val="continue"/>
            <w:tcBorders>
              <w:tl2br w:val="nil"/>
              <w:tr2bl w:val="nil"/>
            </w:tcBorders>
            <w:vAlign w:val="center"/>
          </w:tcPr>
          <w:p>
            <w:pPr>
              <w:widowControl/>
              <w:adjustRightInd w:val="0"/>
              <w:snapToGrid w:val="0"/>
              <w:jc w:val="center"/>
              <w:textAlignment w:val="center"/>
              <w:rPr>
                <w:szCs w:val="21"/>
              </w:rPr>
            </w:pPr>
          </w:p>
        </w:tc>
        <w:tc>
          <w:tcPr>
            <w:tcW w:w="967" w:type="dxa"/>
            <w:vMerge w:val="continue"/>
            <w:tcBorders>
              <w:tl2br w:val="nil"/>
              <w:tr2bl w:val="nil"/>
            </w:tcBorders>
            <w:vAlign w:val="center"/>
          </w:tcPr>
          <w:p>
            <w:pPr>
              <w:adjustRightInd w:val="0"/>
              <w:snapToGrid w:val="0"/>
              <w:jc w:val="center"/>
              <w:rPr>
                <w:szCs w:val="21"/>
              </w:rPr>
            </w:pPr>
          </w:p>
        </w:tc>
      </w:tr>
    </w:tbl>
    <w:p>
      <w:pPr>
        <w:keepNext w:val="0"/>
        <w:keepLines w:val="0"/>
        <w:pageBreakBefore w:val="0"/>
        <w:widowControl w:val="0"/>
        <w:kinsoku/>
        <w:wordWrap/>
        <w:overflowPunct/>
        <w:topLinePunct w:val="0"/>
        <w:autoSpaceDE/>
        <w:autoSpaceDN/>
        <w:bidi w:val="0"/>
        <w:adjustRightInd/>
        <w:snapToGrid/>
        <w:spacing w:line="360" w:lineRule="auto"/>
        <w:ind w:left="119" w:firstLine="480" w:firstLineChars="200"/>
        <w:textAlignment w:val="auto"/>
        <w:rPr>
          <w:sz w:val="24"/>
        </w:rPr>
      </w:pPr>
      <w:r>
        <w:rPr>
          <w:rFonts w:hint="eastAsia"/>
          <w:sz w:val="24"/>
        </w:rPr>
        <w:t>以上数据表明：验收监测期间，</w:t>
      </w:r>
      <w:r>
        <w:rPr>
          <w:rFonts w:hint="eastAsia"/>
          <w:color w:val="000000"/>
          <w:sz w:val="24"/>
        </w:rPr>
        <w:t>厂界颗粒物浓度最大值为</w:t>
      </w:r>
      <w:r>
        <w:rPr>
          <w:rFonts w:hint="eastAsia" w:eastAsia="方正宋三简体"/>
          <w:kern w:val="10"/>
          <w:sz w:val="24"/>
        </w:rPr>
        <w:t>0.533</w:t>
      </w:r>
      <w:r>
        <w:rPr>
          <w:rFonts w:hint="eastAsia"/>
          <w:color w:val="000000"/>
          <w:sz w:val="24"/>
        </w:rPr>
        <w:t>mg/m</w:t>
      </w:r>
      <w:r>
        <w:rPr>
          <w:rFonts w:hint="eastAsia"/>
          <w:sz w:val="24"/>
          <w:vertAlign w:val="superscript"/>
        </w:rPr>
        <w:t>3</w:t>
      </w:r>
      <w:r>
        <w:rPr>
          <w:rFonts w:hint="eastAsia"/>
          <w:color w:val="000000"/>
          <w:sz w:val="24"/>
        </w:rPr>
        <w:t>，满足</w:t>
      </w:r>
      <w:r>
        <w:rPr>
          <w:rFonts w:eastAsia="方正宋三简体"/>
          <w:kern w:val="10"/>
          <w:sz w:val="24"/>
        </w:rPr>
        <w:t>《大气污染物综合排放标准》（GB16297-1996）表2中无组织排放监控浓度限值（颗粒物≤1.0mg/m</w:t>
      </w:r>
      <w:r>
        <w:rPr>
          <w:rFonts w:eastAsia="方正宋三简体"/>
          <w:kern w:val="10"/>
          <w:sz w:val="24"/>
          <w:vertAlign w:val="superscript"/>
        </w:rPr>
        <w:t>3</w:t>
      </w:r>
      <w:r>
        <w:rPr>
          <w:rFonts w:eastAsia="方正宋三简体"/>
          <w:kern w:val="10"/>
          <w:sz w:val="24"/>
        </w:rPr>
        <w:t>）</w:t>
      </w:r>
      <w:r>
        <w:rPr>
          <w:rFonts w:hint="eastAsia"/>
          <w:color w:val="000000"/>
          <w:sz w:val="24"/>
        </w:rPr>
        <w:t>。</w:t>
      </w:r>
    </w:p>
    <w:p>
      <w:pPr>
        <w:ind w:left="120"/>
        <w:rPr>
          <w:sz w:val="24"/>
        </w:rPr>
        <w:sectPr>
          <w:pgSz w:w="16838" w:h="11906" w:orient="landscape"/>
          <w:pgMar w:top="1418" w:right="1440" w:bottom="1418" w:left="1440" w:header="851" w:footer="992" w:gutter="0"/>
          <w:pgBorders>
            <w:top w:val="none" w:sz="0" w:space="0"/>
            <w:left w:val="none" w:sz="0" w:space="0"/>
            <w:bottom w:val="none" w:sz="0" w:space="0"/>
            <w:right w:val="none" w:sz="0" w:space="0"/>
          </w:pgBorders>
          <w:cols w:space="0" w:num="1"/>
          <w:docGrid w:linePitch="312" w:charSpace="0"/>
        </w:sectPr>
      </w:pPr>
    </w:p>
    <w:p>
      <w:pPr>
        <w:widowControl/>
        <w:adjustRightInd w:val="0"/>
        <w:snapToGrid w:val="0"/>
        <w:spacing w:before="120" w:beforeLines="50"/>
        <w:jc w:val="center"/>
        <w:rPr>
          <w:b/>
          <w:szCs w:val="21"/>
          <w:highlight w:val="yellow"/>
        </w:rPr>
      </w:pPr>
      <w:r>
        <w:rPr>
          <w:rFonts w:hint="eastAsia"/>
          <w:b/>
          <w:szCs w:val="21"/>
          <w:highlight w:val="none"/>
        </w:rPr>
        <w:t>表8-</w:t>
      </w:r>
      <w:r>
        <w:rPr>
          <w:rFonts w:hint="eastAsia"/>
          <w:b/>
          <w:szCs w:val="21"/>
          <w:highlight w:val="none"/>
          <w:lang w:val="en-US" w:eastAsia="zh-CN"/>
        </w:rPr>
        <w:t>3</w:t>
      </w:r>
      <w:r>
        <w:rPr>
          <w:rFonts w:hint="eastAsia"/>
          <w:b/>
          <w:szCs w:val="21"/>
          <w:highlight w:val="none"/>
        </w:rPr>
        <w:t xml:space="preserve">  检测期间气象参数</w:t>
      </w:r>
    </w:p>
    <w:tbl>
      <w:tblPr>
        <w:tblStyle w:val="39"/>
        <w:tblW w:w="8300" w:type="dxa"/>
        <w:jc w:val="center"/>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183"/>
        <w:gridCol w:w="867"/>
        <w:gridCol w:w="672"/>
        <w:gridCol w:w="1284"/>
        <w:gridCol w:w="1152"/>
        <w:gridCol w:w="1512"/>
        <w:gridCol w:w="1630"/>
      </w:tblGrid>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050" w:type="dxa"/>
            <w:gridSpan w:val="2"/>
            <w:tcBorders>
              <w:tl2br w:val="nil"/>
              <w:tr2bl w:val="nil"/>
            </w:tcBorders>
            <w:shd w:val="clear" w:color="auto" w:fill="auto"/>
            <w:vAlign w:val="center"/>
          </w:tcPr>
          <w:p>
            <w:pPr>
              <w:widowControl/>
              <w:adjustRightInd w:val="0"/>
              <w:snapToGrid w:val="0"/>
              <w:jc w:val="center"/>
              <w:rPr>
                <w:b/>
                <w:szCs w:val="21"/>
              </w:rPr>
            </w:pPr>
            <w:r>
              <w:rPr>
                <w:rFonts w:hint="eastAsia"/>
                <w:b/>
                <w:bCs/>
                <w:szCs w:val="21"/>
              </w:rPr>
              <w:t>检测</w:t>
            </w:r>
            <w:r>
              <w:rPr>
                <w:b/>
                <w:szCs w:val="21"/>
              </w:rPr>
              <w:t>日期</w:t>
            </w:r>
          </w:p>
        </w:tc>
        <w:tc>
          <w:tcPr>
            <w:tcW w:w="672" w:type="dxa"/>
            <w:tcBorders>
              <w:tl2br w:val="nil"/>
              <w:tr2bl w:val="nil"/>
            </w:tcBorders>
            <w:shd w:val="clear" w:color="auto" w:fill="auto"/>
            <w:vAlign w:val="center"/>
          </w:tcPr>
          <w:p>
            <w:pPr>
              <w:widowControl/>
              <w:adjustRightInd w:val="0"/>
              <w:snapToGrid w:val="0"/>
              <w:jc w:val="center"/>
              <w:rPr>
                <w:b/>
                <w:szCs w:val="21"/>
              </w:rPr>
            </w:pPr>
            <w:r>
              <w:rPr>
                <w:b/>
                <w:szCs w:val="21"/>
              </w:rPr>
              <w:t>风向</w:t>
            </w:r>
          </w:p>
        </w:tc>
        <w:tc>
          <w:tcPr>
            <w:tcW w:w="1284" w:type="dxa"/>
            <w:tcBorders>
              <w:tl2br w:val="nil"/>
              <w:tr2bl w:val="nil"/>
            </w:tcBorders>
            <w:shd w:val="clear" w:color="auto" w:fill="auto"/>
            <w:vAlign w:val="center"/>
          </w:tcPr>
          <w:p>
            <w:pPr>
              <w:widowControl/>
              <w:adjustRightInd w:val="0"/>
              <w:snapToGrid w:val="0"/>
              <w:jc w:val="center"/>
              <w:rPr>
                <w:b/>
                <w:szCs w:val="21"/>
              </w:rPr>
            </w:pPr>
            <w:r>
              <w:rPr>
                <w:b/>
                <w:szCs w:val="21"/>
              </w:rPr>
              <w:t>风速（m/s）</w:t>
            </w:r>
          </w:p>
        </w:tc>
        <w:tc>
          <w:tcPr>
            <w:tcW w:w="1152" w:type="dxa"/>
            <w:tcBorders>
              <w:tl2br w:val="nil"/>
              <w:tr2bl w:val="nil"/>
            </w:tcBorders>
            <w:shd w:val="clear" w:color="auto" w:fill="auto"/>
            <w:vAlign w:val="center"/>
          </w:tcPr>
          <w:p>
            <w:pPr>
              <w:widowControl/>
              <w:adjustRightInd w:val="0"/>
              <w:snapToGrid w:val="0"/>
              <w:jc w:val="center"/>
              <w:rPr>
                <w:b/>
                <w:szCs w:val="21"/>
              </w:rPr>
            </w:pPr>
            <w:r>
              <w:rPr>
                <w:b/>
                <w:szCs w:val="21"/>
              </w:rPr>
              <w:t>气温（℃）</w:t>
            </w:r>
          </w:p>
        </w:tc>
        <w:tc>
          <w:tcPr>
            <w:tcW w:w="1512" w:type="dxa"/>
            <w:tcBorders>
              <w:tl2br w:val="nil"/>
              <w:tr2bl w:val="nil"/>
            </w:tcBorders>
            <w:shd w:val="clear" w:color="auto" w:fill="auto"/>
            <w:vAlign w:val="center"/>
          </w:tcPr>
          <w:p>
            <w:pPr>
              <w:widowControl/>
              <w:adjustRightInd w:val="0"/>
              <w:snapToGrid w:val="0"/>
              <w:jc w:val="center"/>
              <w:rPr>
                <w:b/>
                <w:szCs w:val="21"/>
              </w:rPr>
            </w:pPr>
            <w:r>
              <w:rPr>
                <w:rFonts w:hint="eastAsia"/>
                <w:b/>
                <w:szCs w:val="21"/>
              </w:rPr>
              <w:t>大</w:t>
            </w:r>
            <w:r>
              <w:rPr>
                <w:b/>
                <w:szCs w:val="21"/>
              </w:rPr>
              <w:t>气压（kPa）</w:t>
            </w:r>
          </w:p>
        </w:tc>
        <w:tc>
          <w:tcPr>
            <w:tcW w:w="1630" w:type="dxa"/>
            <w:tcBorders>
              <w:tl2br w:val="nil"/>
              <w:tr2bl w:val="nil"/>
            </w:tcBorders>
            <w:shd w:val="clear" w:color="auto" w:fill="auto"/>
            <w:vAlign w:val="center"/>
          </w:tcPr>
          <w:p>
            <w:pPr>
              <w:widowControl/>
              <w:adjustRightInd w:val="0"/>
              <w:snapToGrid w:val="0"/>
              <w:jc w:val="center"/>
              <w:rPr>
                <w:b/>
                <w:szCs w:val="21"/>
              </w:rPr>
            </w:pPr>
            <w:r>
              <w:rPr>
                <w:rFonts w:hint="eastAsia"/>
                <w:b/>
                <w:szCs w:val="21"/>
              </w:rPr>
              <w:t>天气情况</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83" w:type="dxa"/>
            <w:vMerge w:val="restart"/>
            <w:tcBorders>
              <w:tl2br w:val="nil"/>
              <w:tr2bl w:val="nil"/>
            </w:tcBorders>
            <w:shd w:val="clear" w:color="auto" w:fill="auto"/>
            <w:vAlign w:val="center"/>
          </w:tcPr>
          <w:p>
            <w:pPr>
              <w:widowControl/>
              <w:adjustRightInd w:val="0"/>
              <w:snapToGrid w:val="0"/>
              <w:jc w:val="center"/>
              <w:rPr>
                <w:rFonts w:hint="default"/>
                <w:szCs w:val="21"/>
                <w:lang w:val="en-US" w:eastAsia="zh-CN"/>
              </w:rPr>
            </w:pPr>
            <w:r>
              <w:rPr>
                <w:rFonts w:hint="eastAsia"/>
                <w:szCs w:val="21"/>
              </w:rPr>
              <w:t>2019.</w:t>
            </w:r>
            <w:r>
              <w:rPr>
                <w:rFonts w:hint="eastAsia"/>
                <w:szCs w:val="21"/>
                <w:lang w:val="en-US" w:eastAsia="zh-CN"/>
              </w:rPr>
              <w:t>11.15</w:t>
            </w:r>
          </w:p>
        </w:tc>
        <w:tc>
          <w:tcPr>
            <w:tcW w:w="867"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rPr>
              <w:t>第1次</w:t>
            </w:r>
          </w:p>
        </w:tc>
        <w:tc>
          <w:tcPr>
            <w:tcW w:w="672" w:type="dxa"/>
            <w:tcBorders>
              <w:tl2br w:val="nil"/>
              <w:tr2bl w:val="nil"/>
            </w:tcBorders>
            <w:shd w:val="clear" w:color="auto" w:fill="auto"/>
            <w:vAlign w:val="center"/>
          </w:tcPr>
          <w:p>
            <w:pPr>
              <w:widowControl/>
              <w:adjustRightInd w:val="0"/>
              <w:snapToGrid w:val="0"/>
              <w:jc w:val="center"/>
              <w:rPr>
                <w:rFonts w:hint="default"/>
                <w:szCs w:val="21"/>
                <w:lang w:val="en-US" w:eastAsia="zh-CN"/>
              </w:rPr>
            </w:pPr>
            <w:r>
              <w:rPr>
                <w:rFonts w:hint="eastAsia"/>
                <w:szCs w:val="21"/>
                <w:lang w:val="en-US" w:eastAsia="zh-CN"/>
              </w:rPr>
              <w:t>北</w:t>
            </w:r>
          </w:p>
        </w:tc>
        <w:tc>
          <w:tcPr>
            <w:tcW w:w="1284"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zh-TW" w:eastAsia="zh-TW" w:bidi="ar-SA"/>
              </w:rPr>
            </w:pPr>
            <w:r>
              <w:rPr>
                <w:rFonts w:hint="eastAsia" w:hAnsi="宋体"/>
                <w:szCs w:val="24"/>
              </w:rPr>
              <w:t>1.8</w:t>
            </w:r>
          </w:p>
        </w:tc>
        <w:tc>
          <w:tcPr>
            <w:tcW w:w="1152"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zh-TW" w:eastAsia="zh-TW" w:bidi="ar-SA"/>
              </w:rPr>
            </w:pPr>
            <w:r>
              <w:rPr>
                <w:rFonts w:hint="eastAsia" w:hAnsi="宋体"/>
                <w:szCs w:val="24"/>
              </w:rPr>
              <w:t>14</w:t>
            </w:r>
          </w:p>
        </w:tc>
        <w:tc>
          <w:tcPr>
            <w:tcW w:w="1512"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zh-TW" w:eastAsia="zh-TW" w:bidi="ar-SA"/>
              </w:rPr>
            </w:pPr>
            <w:r>
              <w:rPr>
                <w:rFonts w:hint="eastAsia" w:hAnsi="宋体"/>
                <w:szCs w:val="24"/>
              </w:rPr>
              <w:t>102.31</w:t>
            </w:r>
          </w:p>
        </w:tc>
        <w:tc>
          <w:tcPr>
            <w:tcW w:w="1630"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rPr>
              <w:t>无雨雪，无雷电</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83" w:type="dxa"/>
            <w:vMerge w:val="continue"/>
            <w:tcBorders>
              <w:tl2br w:val="nil"/>
              <w:tr2bl w:val="nil"/>
            </w:tcBorders>
            <w:shd w:val="clear" w:color="auto" w:fill="auto"/>
            <w:vAlign w:val="center"/>
          </w:tcPr>
          <w:p>
            <w:pPr>
              <w:widowControl/>
              <w:adjustRightInd w:val="0"/>
              <w:snapToGrid w:val="0"/>
              <w:jc w:val="center"/>
              <w:rPr>
                <w:rFonts w:hint="eastAsia"/>
                <w:szCs w:val="21"/>
              </w:rPr>
            </w:pPr>
          </w:p>
        </w:tc>
        <w:tc>
          <w:tcPr>
            <w:tcW w:w="867"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rPr>
              <w:t>第2次</w:t>
            </w:r>
          </w:p>
        </w:tc>
        <w:tc>
          <w:tcPr>
            <w:tcW w:w="672" w:type="dxa"/>
            <w:tcBorders>
              <w:tl2br w:val="nil"/>
              <w:tr2bl w:val="nil"/>
            </w:tcBorders>
            <w:shd w:val="clear" w:color="auto" w:fill="auto"/>
            <w:vAlign w:val="center"/>
          </w:tcPr>
          <w:p>
            <w:pPr>
              <w:widowControl/>
              <w:adjustRightInd w:val="0"/>
              <w:snapToGrid w:val="0"/>
              <w:jc w:val="center"/>
              <w:rPr>
                <w:rFonts w:hint="default"/>
                <w:szCs w:val="21"/>
                <w:lang w:val="en-US" w:eastAsia="zh-CN"/>
              </w:rPr>
            </w:pPr>
            <w:r>
              <w:rPr>
                <w:rFonts w:hint="eastAsia"/>
                <w:szCs w:val="21"/>
                <w:lang w:val="en-US" w:eastAsia="zh-CN"/>
              </w:rPr>
              <w:t>北</w:t>
            </w:r>
          </w:p>
        </w:tc>
        <w:tc>
          <w:tcPr>
            <w:tcW w:w="1284"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zh-TW" w:eastAsia="zh-TW" w:bidi="ar-SA"/>
              </w:rPr>
            </w:pPr>
            <w:r>
              <w:rPr>
                <w:rFonts w:hint="eastAsia" w:hAnsi="宋体"/>
                <w:szCs w:val="24"/>
              </w:rPr>
              <w:t>1.9</w:t>
            </w:r>
          </w:p>
        </w:tc>
        <w:tc>
          <w:tcPr>
            <w:tcW w:w="1152"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zh-TW" w:eastAsia="zh-TW" w:bidi="ar-SA"/>
              </w:rPr>
            </w:pPr>
            <w:r>
              <w:rPr>
                <w:rFonts w:hint="eastAsia" w:hAnsi="宋体"/>
                <w:szCs w:val="24"/>
              </w:rPr>
              <w:t>16</w:t>
            </w:r>
          </w:p>
        </w:tc>
        <w:tc>
          <w:tcPr>
            <w:tcW w:w="1512"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zh-TW" w:eastAsia="zh-TW" w:bidi="ar-SA"/>
              </w:rPr>
            </w:pPr>
            <w:r>
              <w:rPr>
                <w:rFonts w:hint="eastAsia" w:hAnsi="宋体"/>
                <w:szCs w:val="24"/>
              </w:rPr>
              <w:t>102.05</w:t>
            </w:r>
          </w:p>
        </w:tc>
        <w:tc>
          <w:tcPr>
            <w:tcW w:w="1630"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rPr>
              <w:t>无雨雪，无雷电</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83" w:type="dxa"/>
            <w:vMerge w:val="continue"/>
            <w:tcBorders>
              <w:tl2br w:val="nil"/>
              <w:tr2bl w:val="nil"/>
            </w:tcBorders>
            <w:shd w:val="clear" w:color="auto" w:fill="auto"/>
            <w:vAlign w:val="center"/>
          </w:tcPr>
          <w:p>
            <w:pPr>
              <w:widowControl/>
              <w:adjustRightInd w:val="0"/>
              <w:snapToGrid w:val="0"/>
              <w:jc w:val="center"/>
              <w:rPr>
                <w:rFonts w:hint="eastAsia"/>
                <w:szCs w:val="21"/>
              </w:rPr>
            </w:pPr>
          </w:p>
        </w:tc>
        <w:tc>
          <w:tcPr>
            <w:tcW w:w="867"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rPr>
              <w:t>第3次</w:t>
            </w:r>
          </w:p>
        </w:tc>
        <w:tc>
          <w:tcPr>
            <w:tcW w:w="672" w:type="dxa"/>
            <w:tcBorders>
              <w:tl2br w:val="nil"/>
              <w:tr2bl w:val="nil"/>
            </w:tcBorders>
            <w:shd w:val="clear" w:color="auto" w:fill="auto"/>
            <w:vAlign w:val="center"/>
          </w:tcPr>
          <w:p>
            <w:pPr>
              <w:widowControl/>
              <w:adjustRightInd w:val="0"/>
              <w:snapToGrid w:val="0"/>
              <w:jc w:val="center"/>
              <w:rPr>
                <w:rFonts w:hint="default"/>
                <w:szCs w:val="21"/>
                <w:lang w:val="en-US" w:eastAsia="zh-CN"/>
              </w:rPr>
            </w:pPr>
            <w:r>
              <w:rPr>
                <w:rFonts w:hint="eastAsia"/>
                <w:szCs w:val="21"/>
                <w:lang w:val="en-US" w:eastAsia="zh-CN"/>
              </w:rPr>
              <w:t>北</w:t>
            </w:r>
          </w:p>
        </w:tc>
        <w:tc>
          <w:tcPr>
            <w:tcW w:w="1284"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zh-TW" w:eastAsia="zh-TW" w:bidi="ar-SA"/>
              </w:rPr>
            </w:pPr>
            <w:r>
              <w:rPr>
                <w:rFonts w:hint="eastAsia" w:hAnsi="宋体"/>
                <w:szCs w:val="24"/>
              </w:rPr>
              <w:t>1.6</w:t>
            </w:r>
          </w:p>
        </w:tc>
        <w:tc>
          <w:tcPr>
            <w:tcW w:w="1152"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zh-TW" w:eastAsia="zh-TW" w:bidi="ar-SA"/>
              </w:rPr>
            </w:pPr>
            <w:r>
              <w:rPr>
                <w:rFonts w:hint="eastAsia" w:hAnsi="宋体"/>
                <w:szCs w:val="24"/>
              </w:rPr>
              <w:t>18</w:t>
            </w:r>
          </w:p>
        </w:tc>
        <w:tc>
          <w:tcPr>
            <w:tcW w:w="1512"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zh-TW" w:eastAsia="zh-TW" w:bidi="ar-SA"/>
              </w:rPr>
            </w:pPr>
            <w:r>
              <w:rPr>
                <w:rFonts w:hint="eastAsia" w:hAnsi="宋体"/>
                <w:szCs w:val="24"/>
              </w:rPr>
              <w:t>101.89</w:t>
            </w:r>
          </w:p>
        </w:tc>
        <w:tc>
          <w:tcPr>
            <w:tcW w:w="1630"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rPr>
              <w:t>无雨雪，无雷电</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83" w:type="dxa"/>
            <w:vMerge w:val="restart"/>
            <w:tcBorders>
              <w:tl2br w:val="nil"/>
              <w:tr2bl w:val="nil"/>
            </w:tcBorders>
            <w:shd w:val="clear" w:color="auto" w:fill="auto"/>
            <w:vAlign w:val="center"/>
          </w:tcPr>
          <w:p>
            <w:pPr>
              <w:widowControl/>
              <w:adjustRightInd w:val="0"/>
              <w:snapToGrid w:val="0"/>
              <w:jc w:val="center"/>
              <w:rPr>
                <w:rFonts w:hint="default"/>
                <w:szCs w:val="21"/>
                <w:lang w:val="en-US" w:eastAsia="zh-CN"/>
              </w:rPr>
            </w:pPr>
            <w:r>
              <w:rPr>
                <w:rFonts w:hint="eastAsia"/>
                <w:szCs w:val="21"/>
              </w:rPr>
              <w:t>2019.</w:t>
            </w:r>
            <w:r>
              <w:rPr>
                <w:rFonts w:hint="eastAsia"/>
                <w:szCs w:val="21"/>
                <w:lang w:val="en-US" w:eastAsia="zh-CN"/>
              </w:rPr>
              <w:t xml:space="preserve">11.16 </w:t>
            </w:r>
          </w:p>
        </w:tc>
        <w:tc>
          <w:tcPr>
            <w:tcW w:w="867"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rPr>
              <w:t>第1次</w:t>
            </w:r>
          </w:p>
        </w:tc>
        <w:tc>
          <w:tcPr>
            <w:tcW w:w="672" w:type="dxa"/>
            <w:tcBorders>
              <w:tl2br w:val="nil"/>
              <w:tr2bl w:val="nil"/>
            </w:tcBorders>
            <w:shd w:val="clear" w:color="auto" w:fill="auto"/>
            <w:vAlign w:val="center"/>
          </w:tcPr>
          <w:p>
            <w:pPr>
              <w:widowControl/>
              <w:adjustRightInd w:val="0"/>
              <w:snapToGrid w:val="0"/>
              <w:jc w:val="center"/>
              <w:rPr>
                <w:rFonts w:hint="eastAsia"/>
                <w:szCs w:val="21"/>
                <w:lang w:val="en-US" w:eastAsia="zh-CN"/>
              </w:rPr>
            </w:pPr>
            <w:r>
              <w:rPr>
                <w:rFonts w:hint="eastAsia"/>
                <w:szCs w:val="21"/>
                <w:lang w:val="en-US" w:eastAsia="zh-CN"/>
              </w:rPr>
              <w:t>东南</w:t>
            </w:r>
          </w:p>
        </w:tc>
        <w:tc>
          <w:tcPr>
            <w:tcW w:w="1284"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zh-TW" w:eastAsia="zh-TW" w:bidi="ar-SA"/>
              </w:rPr>
            </w:pPr>
            <w:r>
              <w:rPr>
                <w:rFonts w:hint="eastAsia" w:hAnsi="宋体"/>
                <w:szCs w:val="24"/>
              </w:rPr>
              <w:t>2.0</w:t>
            </w:r>
          </w:p>
        </w:tc>
        <w:tc>
          <w:tcPr>
            <w:tcW w:w="1152"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zh-TW" w:eastAsia="zh-TW" w:bidi="ar-SA"/>
              </w:rPr>
            </w:pPr>
            <w:r>
              <w:rPr>
                <w:rFonts w:hint="eastAsia" w:hAnsi="宋体"/>
                <w:szCs w:val="24"/>
              </w:rPr>
              <w:t>16</w:t>
            </w:r>
          </w:p>
        </w:tc>
        <w:tc>
          <w:tcPr>
            <w:tcW w:w="1512"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zh-TW" w:eastAsia="zh-TW" w:bidi="ar-SA"/>
              </w:rPr>
            </w:pPr>
            <w:r>
              <w:rPr>
                <w:rFonts w:hint="eastAsia" w:hAnsi="宋体"/>
                <w:szCs w:val="24"/>
              </w:rPr>
              <w:t>102.26</w:t>
            </w:r>
          </w:p>
        </w:tc>
        <w:tc>
          <w:tcPr>
            <w:tcW w:w="1630"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rPr>
              <w:t>无雨雪，无雷电</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83" w:type="dxa"/>
            <w:vMerge w:val="continue"/>
            <w:tcBorders>
              <w:tl2br w:val="nil"/>
              <w:tr2bl w:val="nil"/>
            </w:tcBorders>
            <w:shd w:val="clear" w:color="auto" w:fill="auto"/>
            <w:vAlign w:val="center"/>
          </w:tcPr>
          <w:p>
            <w:pPr>
              <w:widowControl/>
              <w:adjustRightInd w:val="0"/>
              <w:snapToGrid w:val="0"/>
              <w:jc w:val="center"/>
              <w:rPr>
                <w:rFonts w:hint="eastAsia"/>
                <w:szCs w:val="21"/>
              </w:rPr>
            </w:pPr>
          </w:p>
        </w:tc>
        <w:tc>
          <w:tcPr>
            <w:tcW w:w="867"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rPr>
              <w:t>第2次</w:t>
            </w:r>
          </w:p>
        </w:tc>
        <w:tc>
          <w:tcPr>
            <w:tcW w:w="672" w:type="dxa"/>
            <w:tcBorders>
              <w:tl2br w:val="nil"/>
              <w:tr2bl w:val="nil"/>
            </w:tcBorders>
            <w:shd w:val="clear" w:color="auto" w:fill="auto"/>
            <w:vAlign w:val="center"/>
          </w:tcPr>
          <w:p>
            <w:pPr>
              <w:widowControl/>
              <w:adjustRightInd w:val="0"/>
              <w:snapToGrid w:val="0"/>
              <w:jc w:val="center"/>
              <w:rPr>
                <w:rFonts w:hint="eastAsia"/>
                <w:szCs w:val="21"/>
                <w:lang w:val="en-US" w:eastAsia="zh-CN"/>
              </w:rPr>
            </w:pPr>
            <w:r>
              <w:rPr>
                <w:rFonts w:hint="eastAsia"/>
                <w:szCs w:val="21"/>
                <w:lang w:val="en-US" w:eastAsia="zh-CN"/>
              </w:rPr>
              <w:t>东南</w:t>
            </w:r>
          </w:p>
        </w:tc>
        <w:tc>
          <w:tcPr>
            <w:tcW w:w="1284"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zh-TW" w:eastAsia="zh-TW" w:bidi="ar-SA"/>
              </w:rPr>
            </w:pPr>
            <w:r>
              <w:rPr>
                <w:rFonts w:hint="eastAsia" w:hAnsi="宋体"/>
                <w:szCs w:val="24"/>
              </w:rPr>
              <w:t>1.8</w:t>
            </w:r>
          </w:p>
        </w:tc>
        <w:tc>
          <w:tcPr>
            <w:tcW w:w="1152"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zh-TW" w:eastAsia="zh-TW" w:bidi="ar-SA"/>
              </w:rPr>
            </w:pPr>
            <w:r>
              <w:rPr>
                <w:rFonts w:hint="eastAsia" w:hAnsi="宋体"/>
                <w:szCs w:val="24"/>
              </w:rPr>
              <w:t>19</w:t>
            </w:r>
          </w:p>
        </w:tc>
        <w:tc>
          <w:tcPr>
            <w:tcW w:w="1512"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zh-TW" w:eastAsia="zh-TW" w:bidi="ar-SA"/>
              </w:rPr>
            </w:pPr>
            <w:r>
              <w:rPr>
                <w:rFonts w:hint="eastAsia" w:hAnsi="宋体"/>
                <w:szCs w:val="24"/>
              </w:rPr>
              <w:t>101.99</w:t>
            </w:r>
          </w:p>
        </w:tc>
        <w:tc>
          <w:tcPr>
            <w:tcW w:w="1630"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rPr>
              <w:t>无雨雪，无雷电</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83" w:type="dxa"/>
            <w:vMerge w:val="continue"/>
            <w:tcBorders>
              <w:tl2br w:val="nil"/>
              <w:tr2bl w:val="nil"/>
            </w:tcBorders>
            <w:shd w:val="clear" w:color="auto" w:fill="auto"/>
            <w:vAlign w:val="center"/>
          </w:tcPr>
          <w:p>
            <w:pPr>
              <w:widowControl/>
              <w:adjustRightInd w:val="0"/>
              <w:snapToGrid w:val="0"/>
              <w:jc w:val="center"/>
              <w:rPr>
                <w:rFonts w:hint="eastAsia"/>
                <w:szCs w:val="21"/>
              </w:rPr>
            </w:pPr>
          </w:p>
        </w:tc>
        <w:tc>
          <w:tcPr>
            <w:tcW w:w="867"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rPr>
              <w:t>第3次</w:t>
            </w:r>
          </w:p>
        </w:tc>
        <w:tc>
          <w:tcPr>
            <w:tcW w:w="672" w:type="dxa"/>
            <w:tcBorders>
              <w:tl2br w:val="nil"/>
              <w:tr2bl w:val="nil"/>
            </w:tcBorders>
            <w:shd w:val="clear" w:color="auto" w:fill="auto"/>
            <w:vAlign w:val="center"/>
          </w:tcPr>
          <w:p>
            <w:pPr>
              <w:widowControl/>
              <w:adjustRightInd w:val="0"/>
              <w:snapToGrid w:val="0"/>
              <w:jc w:val="center"/>
              <w:rPr>
                <w:rFonts w:hint="default"/>
                <w:szCs w:val="21"/>
                <w:lang w:val="en-US" w:eastAsia="zh-CN"/>
              </w:rPr>
            </w:pPr>
            <w:r>
              <w:rPr>
                <w:rFonts w:hint="eastAsia"/>
                <w:szCs w:val="21"/>
                <w:lang w:val="en-US" w:eastAsia="zh-CN"/>
              </w:rPr>
              <w:t>东南</w:t>
            </w:r>
          </w:p>
        </w:tc>
        <w:tc>
          <w:tcPr>
            <w:tcW w:w="1284"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zh-TW" w:eastAsia="zh-TW" w:bidi="ar-SA"/>
              </w:rPr>
            </w:pPr>
            <w:r>
              <w:rPr>
                <w:rFonts w:hint="eastAsia" w:hAnsi="宋体"/>
                <w:szCs w:val="24"/>
              </w:rPr>
              <w:t>1.7</w:t>
            </w:r>
          </w:p>
        </w:tc>
        <w:tc>
          <w:tcPr>
            <w:tcW w:w="1152"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zh-TW" w:eastAsia="zh-TW" w:bidi="ar-SA"/>
              </w:rPr>
            </w:pPr>
            <w:r>
              <w:rPr>
                <w:rFonts w:hint="eastAsia" w:hAnsi="宋体"/>
                <w:szCs w:val="24"/>
              </w:rPr>
              <w:t>23</w:t>
            </w:r>
          </w:p>
        </w:tc>
        <w:tc>
          <w:tcPr>
            <w:tcW w:w="1512" w:type="dxa"/>
            <w:tcBorders>
              <w:tl2br w:val="nil"/>
              <w:tr2bl w:val="nil"/>
            </w:tcBorders>
            <w:shd w:val="clear" w:color="auto" w:fill="auto"/>
            <w:vAlign w:val="center"/>
          </w:tcPr>
          <w:p>
            <w:pPr>
              <w:tabs>
                <w:tab w:val="left" w:pos="9795"/>
              </w:tabs>
              <w:jc w:val="center"/>
              <w:rPr>
                <w:rFonts w:hint="eastAsia" w:ascii="Times New Roman" w:hAnsi="宋体" w:eastAsia="宋体" w:cs="Times New Roman"/>
                <w:kern w:val="2"/>
                <w:sz w:val="21"/>
                <w:szCs w:val="24"/>
                <w:lang w:val="zh-TW" w:eastAsia="zh-TW" w:bidi="ar-SA"/>
              </w:rPr>
            </w:pPr>
            <w:r>
              <w:rPr>
                <w:rFonts w:hint="eastAsia" w:hAnsi="宋体"/>
                <w:szCs w:val="24"/>
              </w:rPr>
              <w:t>101.81</w:t>
            </w:r>
          </w:p>
        </w:tc>
        <w:tc>
          <w:tcPr>
            <w:tcW w:w="1630"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rPr>
              <w:t>无雨雪，无雷电</w:t>
            </w:r>
          </w:p>
        </w:tc>
      </w:tr>
    </w:tbl>
    <w:p>
      <w:pPr>
        <w:pStyle w:val="25"/>
        <w:ind w:firstLine="482"/>
      </w:pPr>
    </w:p>
    <w:p>
      <w:pPr>
        <w:pStyle w:val="9"/>
        <w:numPr>
          <w:ilvl w:val="0"/>
          <w:numId w:val="6"/>
        </w:numPr>
        <w:spacing w:before="120" w:beforeLines="50" w:after="0" w:line="360" w:lineRule="auto"/>
        <w:ind w:left="0" w:leftChars="0" w:firstLine="482" w:firstLineChars="200"/>
        <w:rPr>
          <w:rFonts w:hint="eastAsia"/>
          <w:bCs w:val="0"/>
          <w:sz w:val="24"/>
          <w:szCs w:val="24"/>
          <w:lang w:val="en-US" w:eastAsia="zh-CN"/>
        </w:rPr>
      </w:pPr>
      <w:r>
        <w:rPr>
          <w:rFonts w:hint="eastAsia"/>
          <w:bCs w:val="0"/>
          <w:sz w:val="24"/>
          <w:szCs w:val="24"/>
          <w:lang w:val="en-US" w:eastAsia="zh-CN"/>
        </w:rPr>
        <w:t>废水</w:t>
      </w:r>
    </w:p>
    <w:p>
      <w:pPr>
        <w:pStyle w:val="2"/>
        <w:adjustRightInd w:val="0"/>
        <w:snapToGrid w:val="0"/>
        <w:spacing w:after="0" w:line="360" w:lineRule="auto"/>
        <w:ind w:left="0" w:leftChars="0" w:firstLine="480" w:firstLineChars="200"/>
        <w:rPr>
          <w:rFonts w:hint="eastAsia"/>
          <w:lang w:val="en-US" w:eastAsia="zh-CN"/>
        </w:rPr>
      </w:pPr>
      <w:r>
        <w:rPr>
          <w:rFonts w:hint="eastAsia"/>
          <w:lang w:val="en-US" w:eastAsia="zh-CN"/>
        </w:rPr>
        <w:t>水质检测结果见表8-4。</w:t>
      </w:r>
    </w:p>
    <w:p>
      <w:pPr>
        <w:keepNext w:val="0"/>
        <w:keepLines w:val="0"/>
        <w:pageBreakBefore w:val="0"/>
        <w:widowControl/>
        <w:kinsoku/>
        <w:wordWrap/>
        <w:overflowPunct/>
        <w:topLinePunct w:val="0"/>
        <w:autoSpaceDE/>
        <w:autoSpaceDN/>
        <w:bidi w:val="0"/>
        <w:adjustRightInd w:val="0"/>
        <w:snapToGrid w:val="0"/>
        <w:spacing w:before="120" w:beforeLines="50" w:line="240" w:lineRule="atLeast"/>
        <w:jc w:val="center"/>
        <w:textAlignment w:val="auto"/>
        <w:rPr>
          <w:rFonts w:hint="default" w:eastAsia="宋体"/>
          <w:b/>
          <w:szCs w:val="21"/>
          <w:highlight w:val="none"/>
          <w:lang w:val="en-US" w:eastAsia="zh-CN"/>
        </w:rPr>
      </w:pPr>
      <w:r>
        <w:rPr>
          <w:rFonts w:hint="eastAsia"/>
          <w:b/>
          <w:szCs w:val="21"/>
          <w:highlight w:val="none"/>
        </w:rPr>
        <w:t>表8-</w:t>
      </w:r>
      <w:r>
        <w:rPr>
          <w:rFonts w:hint="eastAsia"/>
          <w:b/>
          <w:szCs w:val="21"/>
          <w:highlight w:val="none"/>
          <w:lang w:val="en-US" w:eastAsia="zh-CN"/>
        </w:rPr>
        <w:t>4</w:t>
      </w:r>
      <w:r>
        <w:rPr>
          <w:rFonts w:hint="eastAsia"/>
          <w:b/>
          <w:szCs w:val="21"/>
          <w:highlight w:val="none"/>
        </w:rPr>
        <w:t xml:space="preserve">  </w:t>
      </w:r>
      <w:r>
        <w:rPr>
          <w:rFonts w:hint="eastAsia"/>
          <w:b/>
          <w:szCs w:val="21"/>
          <w:highlight w:val="none"/>
          <w:lang w:val="en-US" w:eastAsia="zh-CN"/>
        </w:rPr>
        <w:t>水质检测结果</w:t>
      </w:r>
    </w:p>
    <w:tbl>
      <w:tblPr>
        <w:tblStyle w:val="39"/>
        <w:tblpPr w:leftFromText="180" w:rightFromText="180" w:vertAnchor="text" w:horzAnchor="page" w:tblpX="1958" w:tblpY="39"/>
        <w:tblOverlap w:val="never"/>
        <w:tblW w:w="8300" w:type="dxa"/>
        <w:tblInd w:w="0" w:type="dxa"/>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2436"/>
        <w:gridCol w:w="935"/>
        <w:gridCol w:w="935"/>
        <w:gridCol w:w="935"/>
        <w:gridCol w:w="936"/>
        <w:gridCol w:w="989"/>
      </w:tblGrid>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6" w:hRule="atLeast"/>
        </w:trPr>
        <w:tc>
          <w:tcPr>
            <w:tcW w:w="1134" w:type="dxa"/>
            <w:vMerge w:val="restar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tLeast"/>
              <w:jc w:val="center"/>
              <w:textAlignment w:val="auto"/>
              <w:rPr>
                <w:b/>
                <w:szCs w:val="21"/>
              </w:rPr>
            </w:pPr>
            <w:r>
              <w:rPr>
                <w:rFonts w:hint="eastAsia"/>
                <w:b/>
                <w:bCs/>
                <w:szCs w:val="21"/>
              </w:rPr>
              <w:t>检测</w:t>
            </w:r>
            <w:r>
              <w:rPr>
                <w:b/>
                <w:szCs w:val="21"/>
              </w:rPr>
              <w:t>日期</w:t>
            </w:r>
          </w:p>
        </w:tc>
        <w:tc>
          <w:tcPr>
            <w:tcW w:w="2436" w:type="dxa"/>
            <w:vMerge w:val="restar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tLeast"/>
              <w:jc w:val="center"/>
              <w:textAlignment w:val="auto"/>
              <w:rPr>
                <w:rFonts w:hint="default" w:eastAsia="宋体"/>
                <w:b/>
                <w:szCs w:val="21"/>
                <w:lang w:val="en-US" w:eastAsia="zh-CN"/>
              </w:rPr>
            </w:pPr>
            <w:r>
              <w:rPr>
                <w:rFonts w:hint="eastAsia"/>
                <w:b/>
                <w:szCs w:val="21"/>
                <w:lang w:val="en-US" w:eastAsia="zh-CN"/>
              </w:rPr>
              <w:t>检测项目</w:t>
            </w:r>
          </w:p>
        </w:tc>
        <w:tc>
          <w:tcPr>
            <w:tcW w:w="2805" w:type="dxa"/>
            <w:gridSpan w:val="3"/>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tLeast"/>
              <w:jc w:val="center"/>
              <w:textAlignment w:val="auto"/>
              <w:rPr>
                <w:rFonts w:hint="default" w:eastAsia="宋体"/>
                <w:b/>
                <w:szCs w:val="21"/>
                <w:lang w:val="en-US" w:eastAsia="zh-CN"/>
              </w:rPr>
            </w:pPr>
            <w:r>
              <w:rPr>
                <w:rFonts w:hint="eastAsia"/>
                <w:b/>
                <w:szCs w:val="21"/>
                <w:lang w:val="en-US" w:eastAsia="zh-CN"/>
              </w:rPr>
              <w:t>检测结果</w:t>
            </w:r>
          </w:p>
        </w:tc>
        <w:tc>
          <w:tcPr>
            <w:tcW w:w="936" w:type="dxa"/>
            <w:vMerge w:val="restar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tLeast"/>
              <w:jc w:val="center"/>
              <w:textAlignment w:val="auto"/>
              <w:rPr>
                <w:rFonts w:hint="default" w:eastAsia="宋体"/>
                <w:b/>
                <w:szCs w:val="21"/>
                <w:lang w:val="en-US" w:eastAsia="zh-CN"/>
              </w:rPr>
            </w:pPr>
            <w:r>
              <w:rPr>
                <w:rFonts w:hint="eastAsia"/>
                <w:b/>
                <w:szCs w:val="21"/>
                <w:lang w:val="en-US" w:eastAsia="zh-CN"/>
              </w:rPr>
              <w:t>最大值</w:t>
            </w:r>
          </w:p>
        </w:tc>
        <w:tc>
          <w:tcPr>
            <w:tcW w:w="989" w:type="dxa"/>
            <w:vMerge w:val="restart"/>
            <w:tcBorders>
              <w:tl2br w:val="nil"/>
              <w:tr2bl w:val="nil"/>
            </w:tcBorders>
            <w:shd w:val="clear" w:color="auto" w:fill="auto"/>
            <w:vAlign w:val="center"/>
          </w:tcPr>
          <w:p>
            <w:pPr>
              <w:keepNext w:val="0"/>
              <w:keepLines w:val="0"/>
              <w:pageBreakBefore w:val="0"/>
              <w:widowControl/>
              <w:kinsoku/>
              <w:wordWrap/>
              <w:overflowPunct/>
              <w:topLinePunct w:val="0"/>
              <w:autoSpaceDE/>
              <w:autoSpaceDN/>
              <w:bidi w:val="0"/>
              <w:adjustRightInd w:val="0"/>
              <w:snapToGrid w:val="0"/>
              <w:spacing w:line="240" w:lineRule="atLeast"/>
              <w:jc w:val="center"/>
              <w:textAlignment w:val="auto"/>
              <w:rPr>
                <w:rFonts w:hint="default" w:eastAsia="宋体"/>
                <w:b/>
                <w:szCs w:val="21"/>
                <w:lang w:val="en-US" w:eastAsia="zh-CN"/>
              </w:rPr>
            </w:pPr>
            <w:r>
              <w:rPr>
                <w:rFonts w:hint="eastAsia"/>
                <w:b/>
                <w:szCs w:val="21"/>
                <w:lang w:val="en-US" w:eastAsia="zh-CN"/>
              </w:rPr>
              <w:t>标准限值</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6" w:hRule="atLeast"/>
        </w:trPr>
        <w:tc>
          <w:tcPr>
            <w:tcW w:w="1134" w:type="dxa"/>
            <w:vMerge w:val="continue"/>
            <w:tcBorders>
              <w:tl2br w:val="nil"/>
              <w:tr2bl w:val="nil"/>
            </w:tcBorders>
            <w:shd w:val="clear" w:color="auto" w:fill="auto"/>
            <w:vAlign w:val="center"/>
          </w:tcPr>
          <w:p>
            <w:pPr>
              <w:widowControl/>
              <w:adjustRightInd w:val="0"/>
              <w:snapToGrid w:val="0"/>
              <w:jc w:val="center"/>
            </w:pPr>
          </w:p>
        </w:tc>
        <w:tc>
          <w:tcPr>
            <w:tcW w:w="2436" w:type="dxa"/>
            <w:vMerge w:val="continue"/>
            <w:tcBorders>
              <w:tl2br w:val="nil"/>
              <w:tr2bl w:val="nil"/>
            </w:tcBorders>
            <w:shd w:val="clear" w:color="auto" w:fill="auto"/>
            <w:vAlign w:val="center"/>
          </w:tcPr>
          <w:p>
            <w:pPr>
              <w:widowControl/>
              <w:adjustRightInd w:val="0"/>
              <w:snapToGrid w:val="0"/>
              <w:jc w:val="center"/>
            </w:pPr>
          </w:p>
        </w:tc>
        <w:tc>
          <w:tcPr>
            <w:tcW w:w="935" w:type="dxa"/>
            <w:tcBorders>
              <w:tl2br w:val="nil"/>
              <w:tr2bl w:val="nil"/>
            </w:tcBorders>
            <w:shd w:val="clear" w:color="auto" w:fill="auto"/>
            <w:vAlign w:val="center"/>
          </w:tcPr>
          <w:p>
            <w:pPr>
              <w:widowControl/>
              <w:adjustRightInd w:val="0"/>
              <w:snapToGrid w:val="0"/>
              <w:jc w:val="center"/>
              <w:rPr>
                <w:rFonts w:hint="eastAsia" w:eastAsia="宋体"/>
                <w:b/>
                <w:szCs w:val="21"/>
                <w:lang w:val="en-US" w:eastAsia="zh-CN"/>
              </w:rPr>
            </w:pPr>
            <w:r>
              <w:rPr>
                <w:rFonts w:hint="eastAsia"/>
                <w:b/>
                <w:szCs w:val="21"/>
                <w:lang w:val="en-US" w:eastAsia="zh-CN"/>
              </w:rPr>
              <w:t>第一次</w:t>
            </w:r>
          </w:p>
        </w:tc>
        <w:tc>
          <w:tcPr>
            <w:tcW w:w="935" w:type="dxa"/>
            <w:tcBorders>
              <w:tl2br w:val="nil"/>
              <w:tr2bl w:val="nil"/>
            </w:tcBorders>
            <w:shd w:val="clear" w:color="auto" w:fill="auto"/>
            <w:vAlign w:val="center"/>
          </w:tcPr>
          <w:p>
            <w:pPr>
              <w:widowControl/>
              <w:adjustRightInd w:val="0"/>
              <w:snapToGrid w:val="0"/>
              <w:jc w:val="center"/>
              <w:rPr>
                <w:rFonts w:hint="eastAsia" w:eastAsia="宋体"/>
                <w:b/>
                <w:szCs w:val="21"/>
                <w:lang w:val="en-US" w:eastAsia="zh-CN"/>
              </w:rPr>
            </w:pPr>
            <w:r>
              <w:rPr>
                <w:rFonts w:hint="eastAsia"/>
                <w:b/>
                <w:szCs w:val="21"/>
                <w:lang w:val="en-US" w:eastAsia="zh-CN"/>
              </w:rPr>
              <w:t>第二次</w:t>
            </w:r>
          </w:p>
        </w:tc>
        <w:tc>
          <w:tcPr>
            <w:tcW w:w="935" w:type="dxa"/>
            <w:tcBorders>
              <w:tl2br w:val="nil"/>
              <w:tr2bl w:val="nil"/>
            </w:tcBorders>
            <w:shd w:val="clear" w:color="auto" w:fill="auto"/>
            <w:vAlign w:val="center"/>
          </w:tcPr>
          <w:p>
            <w:pPr>
              <w:widowControl/>
              <w:adjustRightInd w:val="0"/>
              <w:snapToGrid w:val="0"/>
              <w:jc w:val="center"/>
              <w:rPr>
                <w:rFonts w:hint="eastAsia" w:eastAsia="宋体"/>
                <w:b/>
                <w:szCs w:val="21"/>
                <w:lang w:val="en-US" w:eastAsia="zh-CN"/>
              </w:rPr>
            </w:pPr>
            <w:r>
              <w:rPr>
                <w:rFonts w:hint="eastAsia"/>
                <w:b/>
                <w:szCs w:val="21"/>
                <w:lang w:val="en-US" w:eastAsia="zh-CN"/>
              </w:rPr>
              <w:t>第三次</w:t>
            </w:r>
          </w:p>
        </w:tc>
        <w:tc>
          <w:tcPr>
            <w:tcW w:w="936" w:type="dxa"/>
            <w:vMerge w:val="continue"/>
            <w:tcBorders>
              <w:tl2br w:val="nil"/>
              <w:tr2bl w:val="nil"/>
            </w:tcBorders>
            <w:shd w:val="clear" w:color="auto" w:fill="auto"/>
            <w:vAlign w:val="center"/>
          </w:tcPr>
          <w:p>
            <w:pPr>
              <w:widowControl/>
              <w:adjustRightInd w:val="0"/>
              <w:snapToGrid w:val="0"/>
              <w:jc w:val="center"/>
              <w:rPr>
                <w:b/>
                <w:szCs w:val="21"/>
              </w:rPr>
            </w:pPr>
          </w:p>
        </w:tc>
        <w:tc>
          <w:tcPr>
            <w:tcW w:w="989" w:type="dxa"/>
            <w:vMerge w:val="continue"/>
            <w:tcBorders>
              <w:tl2br w:val="nil"/>
              <w:tr2bl w:val="nil"/>
            </w:tcBorders>
            <w:shd w:val="clear" w:color="auto" w:fill="auto"/>
            <w:vAlign w:val="center"/>
          </w:tcPr>
          <w:p>
            <w:pPr>
              <w:widowControl/>
              <w:adjustRightInd w:val="0"/>
              <w:snapToGrid w:val="0"/>
              <w:jc w:val="center"/>
              <w:rPr>
                <w:b/>
                <w:szCs w:val="21"/>
              </w:rPr>
            </w:pP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34" w:type="dxa"/>
            <w:vMerge w:val="restart"/>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rPr>
              <w:t>2019.</w:t>
            </w:r>
            <w:r>
              <w:rPr>
                <w:rFonts w:hint="eastAsia"/>
                <w:szCs w:val="21"/>
                <w:lang w:val="en-US" w:eastAsia="zh-CN"/>
              </w:rPr>
              <w:t>11.5</w:t>
            </w:r>
          </w:p>
        </w:tc>
        <w:tc>
          <w:tcPr>
            <w:tcW w:w="2436" w:type="dxa"/>
            <w:tcBorders>
              <w:tl2br w:val="nil"/>
              <w:tr2bl w:val="nil"/>
            </w:tcBorders>
            <w:shd w:val="clear" w:color="auto" w:fill="auto"/>
            <w:vAlign w:val="center"/>
          </w:tcPr>
          <w:p>
            <w:pPr>
              <w:widowControl/>
              <w:adjustRightInd w:val="0"/>
              <w:snapToGrid w:val="0"/>
              <w:jc w:val="center"/>
              <w:rPr>
                <w:rFonts w:hint="eastAsia"/>
                <w:szCs w:val="21"/>
                <w:lang w:val="zh-TW" w:eastAsia="zh-CN"/>
              </w:rPr>
            </w:pPr>
            <w:r>
              <w:rPr>
                <w:rFonts w:hint="eastAsia"/>
                <w:szCs w:val="21"/>
                <w:lang w:val="en-US" w:eastAsia="en-US"/>
              </w:rPr>
              <w:t xml:space="preserve">pH </w:t>
            </w:r>
            <w:r>
              <w:rPr>
                <w:rFonts w:hint="eastAsia"/>
                <w:szCs w:val="21"/>
                <w:lang w:val="en-US" w:eastAsia="zh-CN"/>
              </w:rPr>
              <w:t>(无量纲)</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7.41</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7.39</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7.43</w:t>
            </w:r>
          </w:p>
        </w:tc>
        <w:tc>
          <w:tcPr>
            <w:tcW w:w="936"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lang w:val="en-US" w:eastAsia="zh-CN"/>
              </w:rPr>
              <w:t>7.43</w:t>
            </w:r>
          </w:p>
        </w:tc>
        <w:tc>
          <w:tcPr>
            <w:tcW w:w="989" w:type="dxa"/>
            <w:tcBorders>
              <w:tl2br w:val="nil"/>
              <w:tr2bl w:val="nil"/>
            </w:tcBorders>
            <w:shd w:val="clear" w:color="auto" w:fill="auto"/>
            <w:vAlign w:val="center"/>
          </w:tcPr>
          <w:p>
            <w:pPr>
              <w:widowControl/>
              <w:adjustRightInd w:val="0"/>
              <w:snapToGrid w:val="0"/>
              <w:jc w:val="center"/>
              <w:rPr>
                <w:rFonts w:hint="default" w:eastAsia="宋体"/>
                <w:szCs w:val="21"/>
                <w:lang w:val="en-US" w:eastAsia="zh-CN"/>
              </w:rPr>
            </w:pPr>
            <w:r>
              <w:rPr>
                <w:rFonts w:hint="eastAsia"/>
                <w:szCs w:val="21"/>
                <w:lang w:val="en-US" w:eastAsia="zh-CN"/>
              </w:rPr>
              <w:t>6.5-9.5</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34" w:type="dxa"/>
            <w:vMerge w:val="continue"/>
            <w:tcBorders>
              <w:tl2br w:val="nil"/>
              <w:tr2bl w:val="nil"/>
            </w:tcBorders>
            <w:shd w:val="clear" w:color="auto" w:fill="auto"/>
            <w:vAlign w:val="center"/>
          </w:tcPr>
          <w:p>
            <w:pPr>
              <w:widowControl/>
              <w:adjustRightInd w:val="0"/>
              <w:snapToGrid w:val="0"/>
              <w:jc w:val="center"/>
              <w:rPr>
                <w:rFonts w:hint="eastAsia"/>
                <w:szCs w:val="21"/>
              </w:rPr>
            </w:pPr>
          </w:p>
        </w:tc>
        <w:tc>
          <w:tcPr>
            <w:tcW w:w="2436" w:type="dxa"/>
            <w:tcBorders>
              <w:tl2br w:val="nil"/>
              <w:tr2bl w:val="nil"/>
            </w:tcBorders>
            <w:shd w:val="clear" w:color="auto" w:fill="auto"/>
            <w:vAlign w:val="center"/>
          </w:tcPr>
          <w:p>
            <w:pPr>
              <w:widowControl/>
              <w:adjustRightInd w:val="0"/>
              <w:snapToGrid w:val="0"/>
              <w:jc w:val="center"/>
              <w:rPr>
                <w:rFonts w:hint="eastAsia"/>
                <w:szCs w:val="21"/>
                <w:lang w:val="en-US" w:eastAsia="zh-CN"/>
              </w:rPr>
            </w:pPr>
            <w:r>
              <w:rPr>
                <w:rFonts w:hint="eastAsia"/>
                <w:szCs w:val="21"/>
                <w:lang w:val="en-US" w:eastAsia="en-US"/>
              </w:rPr>
              <w:t>氨氮(mg/L)</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1.90</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1.94</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2.04</w:t>
            </w:r>
          </w:p>
        </w:tc>
        <w:tc>
          <w:tcPr>
            <w:tcW w:w="936"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lang w:val="en-US" w:eastAsia="zh-CN"/>
              </w:rPr>
              <w:t>2.04</w:t>
            </w:r>
          </w:p>
        </w:tc>
        <w:tc>
          <w:tcPr>
            <w:tcW w:w="989" w:type="dxa"/>
            <w:tcBorders>
              <w:tl2br w:val="nil"/>
              <w:tr2bl w:val="nil"/>
            </w:tcBorders>
            <w:shd w:val="clear" w:color="auto" w:fill="auto"/>
            <w:vAlign w:val="center"/>
          </w:tcPr>
          <w:p>
            <w:pPr>
              <w:widowControl/>
              <w:adjustRightInd w:val="0"/>
              <w:snapToGrid w:val="0"/>
              <w:jc w:val="center"/>
              <w:rPr>
                <w:rFonts w:hint="default" w:eastAsia="宋体"/>
                <w:szCs w:val="21"/>
                <w:lang w:val="en-US" w:eastAsia="zh-CN"/>
              </w:rPr>
            </w:pPr>
            <w:r>
              <w:rPr>
                <w:rFonts w:hint="eastAsia"/>
                <w:szCs w:val="21"/>
                <w:lang w:val="en-US" w:eastAsia="zh-CN"/>
              </w:rPr>
              <w:t>45</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34" w:type="dxa"/>
            <w:vMerge w:val="continue"/>
            <w:tcBorders>
              <w:tl2br w:val="nil"/>
              <w:tr2bl w:val="nil"/>
            </w:tcBorders>
            <w:shd w:val="clear" w:color="auto" w:fill="auto"/>
            <w:vAlign w:val="center"/>
          </w:tcPr>
          <w:p>
            <w:pPr>
              <w:widowControl/>
              <w:adjustRightInd w:val="0"/>
              <w:snapToGrid w:val="0"/>
              <w:jc w:val="center"/>
              <w:rPr>
                <w:rFonts w:hint="eastAsia"/>
                <w:szCs w:val="21"/>
              </w:rPr>
            </w:pPr>
          </w:p>
        </w:tc>
        <w:tc>
          <w:tcPr>
            <w:tcW w:w="2436" w:type="dxa"/>
            <w:tcBorders>
              <w:tl2br w:val="nil"/>
              <w:tr2bl w:val="nil"/>
            </w:tcBorders>
            <w:shd w:val="clear" w:color="auto" w:fill="auto"/>
            <w:vAlign w:val="center"/>
          </w:tcPr>
          <w:p>
            <w:pPr>
              <w:widowControl/>
              <w:adjustRightInd w:val="0"/>
              <w:snapToGrid w:val="0"/>
              <w:jc w:val="center"/>
              <w:rPr>
                <w:rFonts w:hint="eastAsia"/>
                <w:szCs w:val="21"/>
                <w:lang w:val="en-US" w:eastAsia="zh-CN"/>
              </w:rPr>
            </w:pPr>
            <w:r>
              <w:rPr>
                <w:rFonts w:hint="eastAsia"/>
                <w:szCs w:val="21"/>
                <w:lang w:val="en-US" w:eastAsia="en-US"/>
              </w:rPr>
              <w:t>化学需氧量(mg/L)</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en-US" w:eastAsia="en-US"/>
              </w:rPr>
            </w:pPr>
            <w:r>
              <w:rPr>
                <w:rFonts w:hint="eastAsia"/>
                <w:szCs w:val="21"/>
                <w:lang w:val="en-US" w:eastAsia="zh-CN"/>
              </w:rPr>
              <w:t>15</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21</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en-US" w:eastAsia="en-US"/>
              </w:rPr>
            </w:pPr>
            <w:r>
              <w:rPr>
                <w:rFonts w:hint="eastAsia"/>
                <w:szCs w:val="21"/>
                <w:lang w:val="en-US" w:eastAsia="zh-CN"/>
              </w:rPr>
              <w:t>19</w:t>
            </w:r>
          </w:p>
        </w:tc>
        <w:tc>
          <w:tcPr>
            <w:tcW w:w="936"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lang w:val="en-US" w:eastAsia="zh-CN"/>
              </w:rPr>
              <w:t>21</w:t>
            </w:r>
          </w:p>
        </w:tc>
        <w:tc>
          <w:tcPr>
            <w:tcW w:w="989" w:type="dxa"/>
            <w:tcBorders>
              <w:tl2br w:val="nil"/>
              <w:tr2bl w:val="nil"/>
            </w:tcBorders>
            <w:shd w:val="clear" w:color="auto" w:fill="auto"/>
            <w:vAlign w:val="center"/>
          </w:tcPr>
          <w:p>
            <w:pPr>
              <w:widowControl/>
              <w:adjustRightInd w:val="0"/>
              <w:snapToGrid w:val="0"/>
              <w:jc w:val="center"/>
              <w:rPr>
                <w:rFonts w:hint="default" w:eastAsia="宋体"/>
                <w:szCs w:val="21"/>
                <w:lang w:val="en-US" w:eastAsia="zh-CN"/>
              </w:rPr>
            </w:pPr>
            <w:r>
              <w:rPr>
                <w:rFonts w:hint="eastAsia"/>
                <w:szCs w:val="21"/>
                <w:lang w:val="en-US" w:eastAsia="zh-CN"/>
              </w:rPr>
              <w:t>500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34" w:type="dxa"/>
            <w:vMerge w:val="continue"/>
            <w:tcBorders>
              <w:tl2br w:val="nil"/>
              <w:tr2bl w:val="nil"/>
            </w:tcBorders>
            <w:shd w:val="clear" w:color="auto" w:fill="auto"/>
            <w:vAlign w:val="center"/>
          </w:tcPr>
          <w:p>
            <w:pPr>
              <w:widowControl/>
              <w:adjustRightInd w:val="0"/>
              <w:snapToGrid w:val="0"/>
              <w:jc w:val="center"/>
              <w:rPr>
                <w:rFonts w:hint="eastAsia"/>
                <w:szCs w:val="21"/>
              </w:rPr>
            </w:pPr>
          </w:p>
        </w:tc>
        <w:tc>
          <w:tcPr>
            <w:tcW w:w="2436" w:type="dxa"/>
            <w:tcBorders>
              <w:tl2br w:val="nil"/>
              <w:tr2bl w:val="nil"/>
            </w:tcBorders>
            <w:shd w:val="clear" w:color="auto" w:fill="auto"/>
            <w:vAlign w:val="center"/>
          </w:tcPr>
          <w:p>
            <w:pPr>
              <w:widowControl/>
              <w:adjustRightInd w:val="0"/>
              <w:snapToGrid w:val="0"/>
              <w:jc w:val="center"/>
              <w:rPr>
                <w:rFonts w:hint="eastAsia"/>
                <w:szCs w:val="21"/>
                <w:lang w:val="en-US" w:eastAsia="zh-CN"/>
              </w:rPr>
            </w:pPr>
            <w:r>
              <w:rPr>
                <w:rFonts w:hint="eastAsia"/>
                <w:szCs w:val="21"/>
                <w:lang w:val="en-US" w:eastAsia="en-US"/>
              </w:rPr>
              <w:t>悬浮物(mg/L)</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7</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12</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10</w:t>
            </w:r>
          </w:p>
        </w:tc>
        <w:tc>
          <w:tcPr>
            <w:tcW w:w="936"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lang w:val="en-US" w:eastAsia="zh-CN"/>
              </w:rPr>
              <w:t>12</w:t>
            </w:r>
          </w:p>
        </w:tc>
        <w:tc>
          <w:tcPr>
            <w:tcW w:w="989" w:type="dxa"/>
            <w:tcBorders>
              <w:tl2br w:val="nil"/>
              <w:tr2bl w:val="nil"/>
            </w:tcBorders>
            <w:shd w:val="clear" w:color="auto" w:fill="auto"/>
            <w:vAlign w:val="center"/>
          </w:tcPr>
          <w:p>
            <w:pPr>
              <w:widowControl/>
              <w:adjustRightInd w:val="0"/>
              <w:snapToGrid w:val="0"/>
              <w:jc w:val="center"/>
              <w:rPr>
                <w:rFonts w:hint="default" w:eastAsia="宋体"/>
                <w:szCs w:val="21"/>
                <w:lang w:val="en-US" w:eastAsia="zh-CN"/>
              </w:rPr>
            </w:pPr>
            <w:r>
              <w:rPr>
                <w:rFonts w:hint="eastAsia"/>
                <w:szCs w:val="21"/>
                <w:lang w:val="en-US" w:eastAsia="zh-CN"/>
              </w:rPr>
              <w:t>400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34" w:type="dxa"/>
            <w:vMerge w:val="continue"/>
            <w:tcBorders>
              <w:tl2br w:val="nil"/>
              <w:tr2bl w:val="nil"/>
            </w:tcBorders>
            <w:shd w:val="clear" w:color="auto" w:fill="auto"/>
            <w:vAlign w:val="center"/>
          </w:tcPr>
          <w:p>
            <w:pPr>
              <w:widowControl/>
              <w:adjustRightInd w:val="0"/>
              <w:snapToGrid w:val="0"/>
              <w:jc w:val="center"/>
              <w:rPr>
                <w:rFonts w:hint="eastAsia"/>
                <w:szCs w:val="21"/>
              </w:rPr>
            </w:pPr>
          </w:p>
        </w:tc>
        <w:tc>
          <w:tcPr>
            <w:tcW w:w="2436" w:type="dxa"/>
            <w:tcBorders>
              <w:tl2br w:val="nil"/>
              <w:tr2bl w:val="nil"/>
            </w:tcBorders>
            <w:shd w:val="clear" w:color="auto" w:fill="auto"/>
            <w:vAlign w:val="center"/>
          </w:tcPr>
          <w:p>
            <w:pPr>
              <w:widowControl/>
              <w:adjustRightInd w:val="0"/>
              <w:snapToGrid w:val="0"/>
              <w:jc w:val="both"/>
              <w:rPr>
                <w:rFonts w:hint="default" w:eastAsia="宋体"/>
                <w:szCs w:val="21"/>
                <w:lang w:val="en-US" w:eastAsia="zh-CN"/>
              </w:rPr>
            </w:pPr>
            <w:r>
              <w:rPr>
                <w:rFonts w:hint="eastAsia"/>
                <w:szCs w:val="21"/>
                <w:lang w:val="en-US" w:eastAsia="zh-CN"/>
              </w:rPr>
              <w:t>五日生化需氧量（</w:t>
            </w:r>
            <w:r>
              <w:rPr>
                <w:rFonts w:hint="eastAsia"/>
                <w:szCs w:val="21"/>
                <w:lang w:val="en-US" w:eastAsia="en-US"/>
              </w:rPr>
              <w:t>mg/L</w:t>
            </w:r>
            <w:r>
              <w:rPr>
                <w:rFonts w:hint="eastAsia"/>
                <w:szCs w:val="21"/>
                <w:lang w:val="en-US" w:eastAsia="zh-CN"/>
              </w:rPr>
              <w:t>）</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9.2</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7.6</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10.9</w:t>
            </w:r>
          </w:p>
        </w:tc>
        <w:tc>
          <w:tcPr>
            <w:tcW w:w="936"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lang w:val="en-US" w:eastAsia="zh-CN"/>
              </w:rPr>
              <w:t>10.9</w:t>
            </w:r>
          </w:p>
        </w:tc>
        <w:tc>
          <w:tcPr>
            <w:tcW w:w="989" w:type="dxa"/>
            <w:tcBorders>
              <w:tl2br w:val="nil"/>
              <w:tr2bl w:val="nil"/>
            </w:tcBorders>
            <w:shd w:val="clear" w:color="auto" w:fill="auto"/>
            <w:vAlign w:val="center"/>
          </w:tcPr>
          <w:p>
            <w:pPr>
              <w:widowControl/>
              <w:adjustRightInd w:val="0"/>
              <w:snapToGrid w:val="0"/>
              <w:jc w:val="center"/>
              <w:rPr>
                <w:rFonts w:hint="default"/>
                <w:szCs w:val="21"/>
                <w:lang w:val="en-US" w:eastAsia="zh-CN"/>
              </w:rPr>
            </w:pPr>
            <w:r>
              <w:rPr>
                <w:rFonts w:hint="eastAsia"/>
                <w:szCs w:val="21"/>
                <w:lang w:val="en-US" w:eastAsia="zh-CN"/>
              </w:rPr>
              <w:t>350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34" w:type="dxa"/>
            <w:vMerge w:val="restart"/>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rPr>
              <w:t>2019.</w:t>
            </w:r>
            <w:r>
              <w:rPr>
                <w:rFonts w:hint="eastAsia"/>
                <w:szCs w:val="21"/>
                <w:lang w:val="en-US" w:eastAsia="zh-CN"/>
              </w:rPr>
              <w:t xml:space="preserve">11.6 </w:t>
            </w:r>
          </w:p>
        </w:tc>
        <w:tc>
          <w:tcPr>
            <w:tcW w:w="2436" w:type="dxa"/>
            <w:tcBorders>
              <w:tl2br w:val="nil"/>
              <w:tr2bl w:val="nil"/>
            </w:tcBorders>
            <w:shd w:val="clear" w:color="auto" w:fill="auto"/>
            <w:vAlign w:val="center"/>
          </w:tcPr>
          <w:p>
            <w:pPr>
              <w:widowControl/>
              <w:adjustRightInd w:val="0"/>
              <w:snapToGrid w:val="0"/>
              <w:jc w:val="center"/>
              <w:rPr>
                <w:rFonts w:hint="eastAsia"/>
                <w:szCs w:val="21"/>
                <w:lang w:val="en-US" w:eastAsia="zh-CN"/>
              </w:rPr>
            </w:pPr>
            <w:r>
              <w:rPr>
                <w:rFonts w:hint="eastAsia"/>
                <w:szCs w:val="21"/>
                <w:lang w:val="en-US" w:eastAsia="en-US"/>
              </w:rPr>
              <w:t>pH (无</w:t>
            </w:r>
            <w:r>
              <w:rPr>
                <w:rFonts w:hint="eastAsia"/>
                <w:szCs w:val="21"/>
                <w:lang w:val="en-US" w:eastAsia="zh-CN"/>
              </w:rPr>
              <w:t>量</w:t>
            </w:r>
            <w:r>
              <w:rPr>
                <w:rFonts w:hint="eastAsia"/>
                <w:szCs w:val="21"/>
                <w:lang w:val="en-US" w:eastAsia="en-US"/>
              </w:rPr>
              <w:t>纲)</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7.46</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7.39</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7.42</w:t>
            </w:r>
          </w:p>
        </w:tc>
        <w:tc>
          <w:tcPr>
            <w:tcW w:w="936"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lang w:val="en-US" w:eastAsia="zh-CN"/>
              </w:rPr>
              <w:t>7.46</w:t>
            </w:r>
          </w:p>
        </w:tc>
        <w:tc>
          <w:tcPr>
            <w:tcW w:w="989" w:type="dxa"/>
            <w:tcBorders>
              <w:tl2br w:val="nil"/>
              <w:tr2bl w:val="nil"/>
            </w:tcBorders>
            <w:shd w:val="clear" w:color="auto" w:fill="auto"/>
            <w:vAlign w:val="center"/>
          </w:tcPr>
          <w:p>
            <w:pPr>
              <w:widowControl/>
              <w:adjustRightInd w:val="0"/>
              <w:snapToGrid w:val="0"/>
              <w:jc w:val="center"/>
              <w:rPr>
                <w:rFonts w:hint="eastAsia" w:ascii="Times New Roman" w:hAnsi="Times New Roman" w:eastAsia="宋体" w:cs="Times New Roman"/>
                <w:kern w:val="2"/>
                <w:sz w:val="21"/>
                <w:szCs w:val="21"/>
                <w:lang w:val="en-US" w:eastAsia="zh-CN" w:bidi="ar-SA"/>
              </w:rPr>
            </w:pPr>
            <w:r>
              <w:rPr>
                <w:rFonts w:hint="eastAsia"/>
                <w:szCs w:val="21"/>
                <w:lang w:val="en-US" w:eastAsia="zh-CN"/>
              </w:rPr>
              <w:t>6.5-9.5</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34" w:type="dxa"/>
            <w:vMerge w:val="continue"/>
            <w:tcBorders>
              <w:tl2br w:val="nil"/>
              <w:tr2bl w:val="nil"/>
            </w:tcBorders>
            <w:shd w:val="clear" w:color="auto" w:fill="auto"/>
            <w:vAlign w:val="center"/>
          </w:tcPr>
          <w:p>
            <w:pPr>
              <w:widowControl/>
              <w:adjustRightInd w:val="0"/>
              <w:snapToGrid w:val="0"/>
              <w:jc w:val="center"/>
              <w:rPr>
                <w:rFonts w:hint="eastAsia"/>
                <w:szCs w:val="21"/>
              </w:rPr>
            </w:pPr>
          </w:p>
        </w:tc>
        <w:tc>
          <w:tcPr>
            <w:tcW w:w="2436" w:type="dxa"/>
            <w:tcBorders>
              <w:tl2br w:val="nil"/>
              <w:tr2bl w:val="nil"/>
            </w:tcBorders>
            <w:shd w:val="clear" w:color="auto" w:fill="auto"/>
            <w:vAlign w:val="center"/>
          </w:tcPr>
          <w:p>
            <w:pPr>
              <w:widowControl/>
              <w:adjustRightInd w:val="0"/>
              <w:snapToGrid w:val="0"/>
              <w:jc w:val="center"/>
              <w:rPr>
                <w:rFonts w:hint="eastAsia"/>
                <w:szCs w:val="21"/>
                <w:lang w:val="en-US" w:eastAsia="zh-CN"/>
              </w:rPr>
            </w:pPr>
            <w:r>
              <w:rPr>
                <w:rFonts w:hint="eastAsia"/>
                <w:szCs w:val="21"/>
                <w:lang w:val="en-US" w:eastAsia="en-US"/>
              </w:rPr>
              <w:t>氨氮(mg/L)</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en-US" w:eastAsia="en-US"/>
              </w:rPr>
            </w:pPr>
            <w:r>
              <w:rPr>
                <w:rFonts w:hint="eastAsia"/>
                <w:szCs w:val="21"/>
                <w:lang w:val="en-US" w:eastAsia="zh-CN"/>
              </w:rPr>
              <w:t>2.00</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1.95</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en-US" w:eastAsia="en-US"/>
              </w:rPr>
            </w:pPr>
            <w:r>
              <w:rPr>
                <w:rFonts w:hint="eastAsia"/>
                <w:szCs w:val="21"/>
                <w:lang w:val="en-US" w:eastAsia="zh-CN"/>
              </w:rPr>
              <w:t>2.16</w:t>
            </w:r>
          </w:p>
        </w:tc>
        <w:tc>
          <w:tcPr>
            <w:tcW w:w="936"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lang w:val="en-US" w:eastAsia="zh-CN"/>
              </w:rPr>
              <w:t>2.16</w:t>
            </w:r>
          </w:p>
        </w:tc>
        <w:tc>
          <w:tcPr>
            <w:tcW w:w="989" w:type="dxa"/>
            <w:tcBorders>
              <w:tl2br w:val="nil"/>
              <w:tr2bl w:val="nil"/>
            </w:tcBorders>
            <w:shd w:val="clear" w:color="auto" w:fill="auto"/>
            <w:vAlign w:val="center"/>
          </w:tcPr>
          <w:p>
            <w:pPr>
              <w:widowControl/>
              <w:adjustRightInd w:val="0"/>
              <w:snapToGrid w:val="0"/>
              <w:jc w:val="center"/>
              <w:rPr>
                <w:rFonts w:hint="eastAsia" w:ascii="Times New Roman" w:hAnsi="Times New Roman" w:eastAsia="宋体" w:cs="Times New Roman"/>
                <w:kern w:val="2"/>
                <w:sz w:val="21"/>
                <w:szCs w:val="21"/>
                <w:lang w:val="en-US" w:eastAsia="zh-CN" w:bidi="ar-SA"/>
              </w:rPr>
            </w:pPr>
            <w:r>
              <w:rPr>
                <w:rFonts w:hint="eastAsia"/>
                <w:szCs w:val="21"/>
                <w:lang w:val="en-US" w:eastAsia="zh-CN"/>
              </w:rPr>
              <w:t>45</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34" w:type="dxa"/>
            <w:vMerge w:val="continue"/>
            <w:tcBorders>
              <w:tl2br w:val="nil"/>
              <w:tr2bl w:val="nil"/>
            </w:tcBorders>
            <w:shd w:val="clear" w:color="auto" w:fill="auto"/>
            <w:vAlign w:val="center"/>
          </w:tcPr>
          <w:p>
            <w:pPr>
              <w:widowControl/>
              <w:adjustRightInd w:val="0"/>
              <w:snapToGrid w:val="0"/>
              <w:jc w:val="center"/>
              <w:rPr>
                <w:rFonts w:hint="eastAsia"/>
                <w:szCs w:val="21"/>
              </w:rPr>
            </w:pPr>
          </w:p>
        </w:tc>
        <w:tc>
          <w:tcPr>
            <w:tcW w:w="2436" w:type="dxa"/>
            <w:tcBorders>
              <w:tl2br w:val="nil"/>
              <w:tr2bl w:val="nil"/>
            </w:tcBorders>
            <w:shd w:val="clear" w:color="auto" w:fill="auto"/>
            <w:vAlign w:val="center"/>
          </w:tcPr>
          <w:p>
            <w:pPr>
              <w:widowControl/>
              <w:adjustRightInd w:val="0"/>
              <w:snapToGrid w:val="0"/>
              <w:jc w:val="center"/>
              <w:rPr>
                <w:rFonts w:hint="eastAsia"/>
                <w:szCs w:val="21"/>
                <w:lang w:val="en-US" w:eastAsia="zh-CN"/>
              </w:rPr>
            </w:pPr>
            <w:r>
              <w:rPr>
                <w:rFonts w:hint="eastAsia"/>
                <w:szCs w:val="21"/>
                <w:lang w:val="en-US" w:eastAsia="en-US"/>
              </w:rPr>
              <w:t>化学需氧量(mg/L)</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19</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14</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16</w:t>
            </w:r>
          </w:p>
        </w:tc>
        <w:tc>
          <w:tcPr>
            <w:tcW w:w="936"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lang w:val="en-US" w:eastAsia="zh-CN"/>
              </w:rPr>
              <w:t>19</w:t>
            </w:r>
          </w:p>
        </w:tc>
        <w:tc>
          <w:tcPr>
            <w:tcW w:w="989" w:type="dxa"/>
            <w:tcBorders>
              <w:tl2br w:val="nil"/>
              <w:tr2bl w:val="nil"/>
            </w:tcBorders>
            <w:shd w:val="clear" w:color="auto" w:fill="auto"/>
            <w:vAlign w:val="center"/>
          </w:tcPr>
          <w:p>
            <w:pPr>
              <w:widowControl/>
              <w:adjustRightInd w:val="0"/>
              <w:snapToGrid w:val="0"/>
              <w:jc w:val="center"/>
              <w:rPr>
                <w:rFonts w:hint="eastAsia" w:ascii="Times New Roman" w:hAnsi="Times New Roman" w:eastAsia="宋体" w:cs="Times New Roman"/>
                <w:kern w:val="2"/>
                <w:sz w:val="21"/>
                <w:szCs w:val="21"/>
                <w:lang w:val="en-US" w:eastAsia="zh-CN" w:bidi="ar-SA"/>
              </w:rPr>
            </w:pPr>
            <w:r>
              <w:rPr>
                <w:rFonts w:hint="eastAsia"/>
                <w:szCs w:val="21"/>
                <w:lang w:val="en-US" w:eastAsia="zh-CN"/>
              </w:rPr>
              <w:t>500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34" w:type="dxa"/>
            <w:vMerge w:val="continue"/>
            <w:tcBorders>
              <w:tl2br w:val="nil"/>
              <w:tr2bl w:val="nil"/>
            </w:tcBorders>
            <w:shd w:val="clear" w:color="auto" w:fill="auto"/>
            <w:vAlign w:val="center"/>
          </w:tcPr>
          <w:p>
            <w:pPr>
              <w:widowControl/>
              <w:adjustRightInd w:val="0"/>
              <w:snapToGrid w:val="0"/>
              <w:jc w:val="center"/>
              <w:rPr>
                <w:rFonts w:hint="eastAsia"/>
                <w:szCs w:val="21"/>
              </w:rPr>
            </w:pPr>
          </w:p>
        </w:tc>
        <w:tc>
          <w:tcPr>
            <w:tcW w:w="2436" w:type="dxa"/>
            <w:tcBorders>
              <w:tl2br w:val="nil"/>
              <w:tr2bl w:val="nil"/>
            </w:tcBorders>
            <w:shd w:val="clear" w:color="auto" w:fill="auto"/>
            <w:vAlign w:val="center"/>
          </w:tcPr>
          <w:p>
            <w:pPr>
              <w:widowControl/>
              <w:adjustRightInd w:val="0"/>
              <w:snapToGrid w:val="0"/>
              <w:jc w:val="center"/>
              <w:rPr>
                <w:rFonts w:hint="default"/>
                <w:szCs w:val="21"/>
                <w:lang w:val="en-US" w:eastAsia="zh-CN"/>
              </w:rPr>
            </w:pPr>
            <w:r>
              <w:rPr>
                <w:rFonts w:hint="eastAsia"/>
                <w:szCs w:val="21"/>
                <w:lang w:val="en-US" w:eastAsia="en-US"/>
              </w:rPr>
              <w:t>悬浮物(mg/L)</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13</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6</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8</w:t>
            </w:r>
          </w:p>
        </w:tc>
        <w:tc>
          <w:tcPr>
            <w:tcW w:w="936"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lang w:val="en-US" w:eastAsia="zh-CN"/>
              </w:rPr>
              <w:t>13</w:t>
            </w:r>
          </w:p>
        </w:tc>
        <w:tc>
          <w:tcPr>
            <w:tcW w:w="989" w:type="dxa"/>
            <w:tcBorders>
              <w:tl2br w:val="nil"/>
              <w:tr2bl w:val="nil"/>
            </w:tcBorders>
            <w:shd w:val="clear" w:color="auto" w:fill="auto"/>
            <w:vAlign w:val="center"/>
          </w:tcPr>
          <w:p>
            <w:pPr>
              <w:widowControl/>
              <w:adjustRightInd w:val="0"/>
              <w:snapToGrid w:val="0"/>
              <w:jc w:val="center"/>
              <w:rPr>
                <w:rFonts w:hint="eastAsia" w:ascii="Times New Roman" w:hAnsi="Times New Roman" w:eastAsia="宋体" w:cs="Times New Roman"/>
                <w:kern w:val="2"/>
                <w:sz w:val="21"/>
                <w:szCs w:val="21"/>
                <w:lang w:val="en-US" w:eastAsia="zh-CN" w:bidi="ar-SA"/>
              </w:rPr>
            </w:pPr>
            <w:r>
              <w:rPr>
                <w:rFonts w:hint="eastAsia"/>
                <w:szCs w:val="21"/>
                <w:lang w:val="en-US" w:eastAsia="zh-CN"/>
              </w:rPr>
              <w:t>400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34" w:type="dxa"/>
            <w:vMerge w:val="continue"/>
            <w:tcBorders>
              <w:tl2br w:val="nil"/>
              <w:tr2bl w:val="nil"/>
            </w:tcBorders>
            <w:shd w:val="clear" w:color="auto" w:fill="auto"/>
            <w:vAlign w:val="center"/>
          </w:tcPr>
          <w:p>
            <w:pPr>
              <w:widowControl/>
              <w:adjustRightInd w:val="0"/>
              <w:snapToGrid w:val="0"/>
              <w:jc w:val="center"/>
              <w:rPr>
                <w:rFonts w:hint="eastAsia"/>
                <w:szCs w:val="21"/>
              </w:rPr>
            </w:pPr>
          </w:p>
        </w:tc>
        <w:tc>
          <w:tcPr>
            <w:tcW w:w="2436" w:type="dxa"/>
            <w:tcBorders>
              <w:tl2br w:val="nil"/>
              <w:tr2bl w:val="nil"/>
            </w:tcBorders>
            <w:shd w:val="clear" w:color="auto" w:fill="auto"/>
            <w:vAlign w:val="center"/>
          </w:tcPr>
          <w:p>
            <w:pPr>
              <w:widowControl/>
              <w:adjustRightInd w:val="0"/>
              <w:snapToGrid w:val="0"/>
              <w:jc w:val="center"/>
              <w:rPr>
                <w:rFonts w:hint="eastAsia"/>
                <w:szCs w:val="21"/>
                <w:lang w:val="en-US" w:eastAsia="en-US"/>
              </w:rPr>
            </w:pPr>
            <w:r>
              <w:rPr>
                <w:rFonts w:hint="eastAsia"/>
                <w:szCs w:val="21"/>
                <w:lang w:val="en-US" w:eastAsia="zh-CN"/>
              </w:rPr>
              <w:t>五日生化需氧量（</w:t>
            </w:r>
            <w:r>
              <w:rPr>
                <w:rFonts w:hint="eastAsia"/>
                <w:szCs w:val="21"/>
                <w:lang w:val="en-US" w:eastAsia="en-US"/>
              </w:rPr>
              <w:t>mg/L</w:t>
            </w:r>
            <w:r>
              <w:rPr>
                <w:rFonts w:hint="eastAsia"/>
                <w:szCs w:val="21"/>
                <w:lang w:val="en-US" w:eastAsia="zh-CN"/>
              </w:rPr>
              <w:t>）</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6.4</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9.6</w:t>
            </w:r>
          </w:p>
        </w:tc>
        <w:tc>
          <w:tcPr>
            <w:tcW w:w="935" w:type="dxa"/>
            <w:tcBorders>
              <w:tl2br w:val="nil"/>
              <w:tr2bl w:val="nil"/>
            </w:tcBorders>
            <w:shd w:val="clear" w:color="auto" w:fill="auto"/>
            <w:vAlign w:val="center"/>
          </w:tcPr>
          <w:p>
            <w:pPr>
              <w:widowControl/>
              <w:adjustRightInd w:val="0"/>
              <w:snapToGrid w:val="0"/>
              <w:jc w:val="center"/>
              <w:rPr>
                <w:rFonts w:hint="eastAsia"/>
                <w:szCs w:val="21"/>
                <w:lang w:val="zh-TW" w:eastAsia="zh-TW"/>
              </w:rPr>
            </w:pPr>
            <w:r>
              <w:rPr>
                <w:rFonts w:hint="eastAsia"/>
                <w:szCs w:val="21"/>
                <w:lang w:val="en-US" w:eastAsia="zh-CN"/>
              </w:rPr>
              <w:t>8.1</w:t>
            </w:r>
          </w:p>
        </w:tc>
        <w:tc>
          <w:tcPr>
            <w:tcW w:w="936" w:type="dxa"/>
            <w:tcBorders>
              <w:tl2br w:val="nil"/>
              <w:tr2bl w:val="nil"/>
            </w:tcBorders>
            <w:shd w:val="clear" w:color="auto" w:fill="auto"/>
            <w:vAlign w:val="center"/>
          </w:tcPr>
          <w:p>
            <w:pPr>
              <w:widowControl/>
              <w:adjustRightInd w:val="0"/>
              <w:snapToGrid w:val="0"/>
              <w:jc w:val="center"/>
              <w:rPr>
                <w:rFonts w:hint="eastAsia"/>
                <w:szCs w:val="21"/>
              </w:rPr>
            </w:pPr>
            <w:r>
              <w:rPr>
                <w:rFonts w:hint="eastAsia"/>
                <w:szCs w:val="21"/>
                <w:lang w:val="en-US" w:eastAsia="zh-CN"/>
              </w:rPr>
              <w:t>9.6</w:t>
            </w:r>
          </w:p>
        </w:tc>
        <w:tc>
          <w:tcPr>
            <w:tcW w:w="989" w:type="dxa"/>
            <w:tcBorders>
              <w:tl2br w:val="nil"/>
              <w:tr2bl w:val="nil"/>
            </w:tcBorders>
            <w:shd w:val="clear" w:color="auto" w:fill="auto"/>
            <w:vAlign w:val="center"/>
          </w:tcPr>
          <w:p>
            <w:pPr>
              <w:widowControl/>
              <w:adjustRightInd w:val="0"/>
              <w:snapToGrid w:val="0"/>
              <w:jc w:val="center"/>
              <w:rPr>
                <w:rFonts w:hint="default"/>
                <w:szCs w:val="21"/>
                <w:lang w:val="en-US" w:eastAsia="zh-CN"/>
              </w:rPr>
            </w:pPr>
            <w:r>
              <w:rPr>
                <w:rFonts w:hint="eastAsia"/>
                <w:szCs w:val="21"/>
                <w:lang w:val="en-US" w:eastAsia="zh-CN"/>
              </w:rPr>
              <w:t>350</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eastAsia="宋体"/>
          <w:sz w:val="24"/>
          <w:lang w:val="en-US" w:eastAsia="zh-CN"/>
        </w:rPr>
      </w:pPr>
      <w:r>
        <w:rPr>
          <w:rFonts w:hint="eastAsia"/>
          <w:sz w:val="24"/>
        </w:rPr>
        <w:t>以上数据表明：验收监测期间，</w:t>
      </w:r>
      <w:r>
        <w:rPr>
          <w:rFonts w:hint="eastAsia"/>
          <w:sz w:val="24"/>
          <w:lang w:val="en-US" w:eastAsia="zh-CN"/>
        </w:rPr>
        <w:t>排污口pH值检测结果在7.39</w:t>
      </w:r>
      <w:r>
        <w:rPr>
          <w:rFonts w:hint="eastAsia"/>
          <w:sz w:val="24"/>
          <w:highlight w:val="none"/>
        </w:rPr>
        <w:t>~</w:t>
      </w:r>
      <w:r>
        <w:rPr>
          <w:rFonts w:hint="eastAsia"/>
          <w:sz w:val="24"/>
          <w:highlight w:val="none"/>
          <w:lang w:val="en-US" w:eastAsia="zh-CN"/>
        </w:rPr>
        <w:t>7.46，氨氮的检测结</w:t>
      </w:r>
      <w:r>
        <w:rPr>
          <w:rFonts w:hint="eastAsia"/>
          <w:sz w:val="24"/>
          <w:lang w:val="en-US" w:eastAsia="zh-CN"/>
        </w:rPr>
        <w:t>果在1.90</w:t>
      </w:r>
      <w:r>
        <w:rPr>
          <w:rFonts w:hint="eastAsia"/>
          <w:sz w:val="24"/>
        </w:rPr>
        <w:t>~</w:t>
      </w:r>
      <w:r>
        <w:rPr>
          <w:rFonts w:hint="eastAsia"/>
          <w:sz w:val="24"/>
          <w:lang w:val="en-US" w:eastAsia="zh-CN"/>
        </w:rPr>
        <w:t>2.16</w:t>
      </w:r>
      <w:r>
        <w:rPr>
          <w:rFonts w:hint="eastAsia"/>
          <w:sz w:val="24"/>
          <w:lang w:val="en-US" w:eastAsia="en-US"/>
        </w:rPr>
        <w:t>mg/L</w:t>
      </w:r>
      <w:r>
        <w:rPr>
          <w:rFonts w:hint="eastAsia"/>
          <w:sz w:val="24"/>
          <w:lang w:val="en-US" w:eastAsia="zh-CN"/>
        </w:rPr>
        <w:t>，化学需氧量的检测结果在14</w:t>
      </w:r>
      <w:r>
        <w:rPr>
          <w:rFonts w:hint="eastAsia"/>
          <w:sz w:val="24"/>
        </w:rPr>
        <w:t>~</w:t>
      </w:r>
      <w:r>
        <w:rPr>
          <w:rFonts w:hint="eastAsia"/>
          <w:sz w:val="24"/>
          <w:lang w:val="en-US" w:eastAsia="zh-CN"/>
        </w:rPr>
        <w:t>21</w:t>
      </w:r>
      <w:r>
        <w:rPr>
          <w:rFonts w:hint="eastAsia"/>
          <w:sz w:val="24"/>
          <w:lang w:val="en-US" w:eastAsia="en-US"/>
        </w:rPr>
        <w:t>mg/L</w:t>
      </w:r>
      <w:r>
        <w:rPr>
          <w:rFonts w:hint="eastAsia"/>
          <w:sz w:val="24"/>
          <w:lang w:val="en-US" w:eastAsia="zh-CN"/>
        </w:rPr>
        <w:t>，悬浮物的检测结果在6</w:t>
      </w:r>
      <w:r>
        <w:rPr>
          <w:rFonts w:hint="eastAsia"/>
          <w:sz w:val="24"/>
        </w:rPr>
        <w:t>~</w:t>
      </w:r>
      <w:r>
        <w:rPr>
          <w:rFonts w:hint="eastAsia"/>
          <w:sz w:val="24"/>
          <w:lang w:val="en-US" w:eastAsia="zh-CN"/>
        </w:rPr>
        <w:t>13</w:t>
      </w:r>
      <w:r>
        <w:rPr>
          <w:rFonts w:hint="eastAsia"/>
          <w:sz w:val="24"/>
          <w:lang w:val="en-US" w:eastAsia="en-US"/>
        </w:rPr>
        <w:t>mg/L</w:t>
      </w:r>
      <w:r>
        <w:rPr>
          <w:rFonts w:hint="eastAsia"/>
          <w:sz w:val="24"/>
          <w:lang w:val="en-US" w:eastAsia="zh-CN"/>
        </w:rPr>
        <w:t>，五日生化需氧量检测结果在6.4</w:t>
      </w:r>
      <w:r>
        <w:rPr>
          <w:rFonts w:hint="eastAsia"/>
          <w:sz w:val="24"/>
        </w:rPr>
        <w:t>~</w:t>
      </w:r>
      <w:r>
        <w:rPr>
          <w:rFonts w:hint="eastAsia"/>
          <w:sz w:val="24"/>
          <w:lang w:val="en-US" w:eastAsia="zh-CN"/>
        </w:rPr>
        <w:t>10.9</w:t>
      </w:r>
      <w:r>
        <w:rPr>
          <w:rFonts w:hint="eastAsia"/>
          <w:sz w:val="24"/>
          <w:lang w:val="en-US" w:eastAsia="en-US"/>
        </w:rPr>
        <w:t>mg/L</w:t>
      </w:r>
      <w:r>
        <w:rPr>
          <w:rFonts w:hint="eastAsia"/>
          <w:sz w:val="24"/>
          <w:lang w:val="en-US" w:eastAsia="zh-CN"/>
        </w:rPr>
        <w:t>，</w:t>
      </w:r>
      <w:r>
        <w:rPr>
          <w:rFonts w:hint="eastAsia"/>
          <w:sz w:val="24"/>
        </w:rPr>
        <w:t>满足《污水排入城镇下水道水质标准》（GB/T31962－2015）A等级水质标准</w:t>
      </w:r>
      <w:r>
        <w:rPr>
          <w:rFonts w:hint="eastAsia"/>
          <w:sz w:val="24"/>
          <w:lang w:eastAsia="zh-CN"/>
        </w:rPr>
        <w:t>（</w:t>
      </w:r>
      <w:r>
        <w:rPr>
          <w:rFonts w:hint="eastAsia"/>
          <w:sz w:val="24"/>
          <w:lang w:val="en-US" w:eastAsia="en-US"/>
        </w:rPr>
        <w:t>pH</w:t>
      </w:r>
      <w:r>
        <w:rPr>
          <w:rFonts w:hint="eastAsia"/>
          <w:sz w:val="24"/>
          <w:lang w:val="en-US" w:eastAsia="zh-CN"/>
        </w:rPr>
        <w:t>：6.5-9.5、氨氮：45</w:t>
      </w:r>
      <w:r>
        <w:rPr>
          <w:rFonts w:hint="eastAsia"/>
          <w:sz w:val="24"/>
          <w:lang w:val="en-US" w:eastAsia="en-US"/>
        </w:rPr>
        <w:t>mg/L</w:t>
      </w:r>
      <w:r>
        <w:rPr>
          <w:rFonts w:hint="eastAsia"/>
          <w:sz w:val="24"/>
          <w:lang w:val="en-US" w:eastAsia="zh-CN"/>
        </w:rPr>
        <w:t>、化学需氧量：500</w:t>
      </w:r>
      <w:r>
        <w:rPr>
          <w:rFonts w:hint="eastAsia"/>
          <w:sz w:val="24"/>
          <w:lang w:val="en-US" w:eastAsia="en-US"/>
        </w:rPr>
        <w:t>mg/L</w:t>
      </w:r>
      <w:r>
        <w:rPr>
          <w:rFonts w:hint="eastAsia"/>
          <w:sz w:val="24"/>
          <w:lang w:val="en-US" w:eastAsia="zh-CN"/>
        </w:rPr>
        <w:t>、悬浮物：400</w:t>
      </w:r>
      <w:r>
        <w:rPr>
          <w:rFonts w:hint="eastAsia"/>
          <w:sz w:val="24"/>
          <w:lang w:val="en-US" w:eastAsia="en-US"/>
        </w:rPr>
        <w:t>mg/L</w:t>
      </w:r>
      <w:r>
        <w:rPr>
          <w:rFonts w:hint="eastAsia"/>
          <w:sz w:val="24"/>
          <w:lang w:val="en-US" w:eastAsia="zh-CN"/>
        </w:rPr>
        <w:t>、五日生化需氧量：350</w:t>
      </w:r>
      <w:r>
        <w:rPr>
          <w:rFonts w:hint="eastAsia"/>
          <w:sz w:val="24"/>
          <w:lang w:val="en-US" w:eastAsia="en-US"/>
        </w:rPr>
        <w:t>mg/L</w:t>
      </w:r>
      <w:r>
        <w:rPr>
          <w:rFonts w:hint="eastAsia"/>
          <w:sz w:val="24"/>
          <w:lang w:eastAsia="zh-CN"/>
        </w:rPr>
        <w:t>）。</w:t>
      </w:r>
    </w:p>
    <w:p>
      <w:pPr>
        <w:pStyle w:val="9"/>
        <w:spacing w:before="120" w:beforeLines="50" w:after="0" w:line="360" w:lineRule="auto"/>
        <w:ind w:firstLine="482" w:firstLineChars="200"/>
        <w:rPr>
          <w:bCs w:val="0"/>
          <w:sz w:val="24"/>
          <w:szCs w:val="24"/>
        </w:rPr>
      </w:pPr>
      <w:r>
        <w:rPr>
          <w:rFonts w:hint="eastAsia"/>
          <w:bCs w:val="0"/>
          <w:sz w:val="24"/>
          <w:szCs w:val="24"/>
          <w:lang w:val="en-US" w:eastAsia="zh-CN"/>
        </w:rPr>
        <w:t>3、</w:t>
      </w:r>
      <w:r>
        <w:rPr>
          <w:rFonts w:hint="eastAsia"/>
          <w:bCs w:val="0"/>
          <w:sz w:val="24"/>
          <w:szCs w:val="24"/>
        </w:rPr>
        <w:t>厂界</w:t>
      </w:r>
      <w:r>
        <w:rPr>
          <w:bCs w:val="0"/>
          <w:sz w:val="24"/>
          <w:szCs w:val="24"/>
        </w:rPr>
        <w:t>噪声</w:t>
      </w:r>
    </w:p>
    <w:p>
      <w:pPr>
        <w:pStyle w:val="2"/>
        <w:adjustRightInd w:val="0"/>
        <w:snapToGrid w:val="0"/>
        <w:spacing w:after="0" w:line="360" w:lineRule="auto"/>
        <w:ind w:left="0" w:leftChars="0" w:firstLine="480" w:firstLineChars="200"/>
      </w:pPr>
      <w:r>
        <w:rPr>
          <w:rFonts w:hint="eastAsia"/>
        </w:rPr>
        <w:t>厂界噪声检测</w:t>
      </w:r>
      <w:r>
        <w:t>结果见</w:t>
      </w:r>
      <w:r>
        <w:rPr>
          <w:rFonts w:hint="eastAsia"/>
        </w:rPr>
        <w:t>表8-</w:t>
      </w:r>
      <w:r>
        <w:rPr>
          <w:rFonts w:hint="eastAsia"/>
          <w:lang w:val="en-US" w:eastAsia="zh-CN"/>
        </w:rPr>
        <w:t>5</w:t>
      </w:r>
      <w:r>
        <w:t>。</w:t>
      </w:r>
    </w:p>
    <w:p>
      <w:pPr>
        <w:pStyle w:val="17"/>
        <w:spacing w:line="240" w:lineRule="auto"/>
        <w:jc w:val="right"/>
        <w:rPr>
          <w:sz w:val="21"/>
          <w:szCs w:val="21"/>
        </w:rPr>
      </w:pPr>
      <w:r>
        <w:rPr>
          <w:sz w:val="21"/>
          <w:szCs w:val="21"/>
        </w:rPr>
        <w:t>表</w:t>
      </w:r>
      <w:r>
        <w:rPr>
          <w:rFonts w:hint="eastAsia"/>
          <w:sz w:val="21"/>
          <w:szCs w:val="21"/>
        </w:rPr>
        <w:t>8-</w:t>
      </w:r>
      <w:r>
        <w:rPr>
          <w:rFonts w:hint="eastAsia"/>
          <w:sz w:val="21"/>
          <w:szCs w:val="21"/>
          <w:lang w:val="en-US" w:eastAsia="zh-CN"/>
        </w:rPr>
        <w:t>5</w:t>
      </w:r>
      <w:r>
        <w:rPr>
          <w:rFonts w:hint="eastAsia"/>
          <w:sz w:val="21"/>
          <w:szCs w:val="21"/>
        </w:rPr>
        <w:t xml:space="preserve"> </w:t>
      </w:r>
      <w:r>
        <w:rPr>
          <w:rFonts w:hint="eastAsia"/>
          <w:sz w:val="21"/>
          <w:szCs w:val="21"/>
          <w:highlight w:val="none"/>
        </w:rPr>
        <w:t xml:space="preserve"> 厂界</w:t>
      </w:r>
      <w:r>
        <w:rPr>
          <w:sz w:val="21"/>
          <w:szCs w:val="21"/>
          <w:highlight w:val="none"/>
        </w:rPr>
        <w:t>噪声</w:t>
      </w:r>
      <w:r>
        <w:rPr>
          <w:rFonts w:hint="eastAsia"/>
          <w:sz w:val="21"/>
          <w:szCs w:val="21"/>
          <w:highlight w:val="none"/>
        </w:rPr>
        <w:t>检测</w:t>
      </w:r>
      <w:r>
        <w:rPr>
          <w:sz w:val="21"/>
          <w:szCs w:val="21"/>
          <w:highlight w:val="none"/>
        </w:rPr>
        <w:t>结果</w:t>
      </w:r>
      <w:r>
        <w:rPr>
          <w:sz w:val="21"/>
          <w:szCs w:val="21"/>
        </w:rPr>
        <w:t xml:space="preserve"> </w:t>
      </w:r>
      <w:r>
        <w:rPr>
          <w:rFonts w:hint="eastAsia"/>
          <w:sz w:val="21"/>
          <w:szCs w:val="21"/>
        </w:rPr>
        <w:t xml:space="preserve">            </w:t>
      </w:r>
      <w:r>
        <w:rPr>
          <w:sz w:val="21"/>
          <w:szCs w:val="21"/>
        </w:rPr>
        <w:t xml:space="preserve"> </w:t>
      </w:r>
      <w:r>
        <w:rPr>
          <w:rFonts w:hint="eastAsia"/>
          <w:sz w:val="21"/>
          <w:szCs w:val="21"/>
        </w:rPr>
        <w:t xml:space="preserve"> </w:t>
      </w:r>
      <w:r>
        <w:rPr>
          <w:sz w:val="21"/>
          <w:szCs w:val="21"/>
        </w:rPr>
        <w:t xml:space="preserve">  </w:t>
      </w:r>
      <w:r>
        <w:rPr>
          <w:rFonts w:hint="eastAsia"/>
          <w:sz w:val="21"/>
          <w:szCs w:val="21"/>
        </w:rPr>
        <w:t>单位：</w:t>
      </w:r>
      <w:r>
        <w:rPr>
          <w:sz w:val="21"/>
          <w:szCs w:val="21"/>
        </w:rPr>
        <w:t>dB(A)</w:t>
      </w:r>
      <w:r>
        <w:rPr>
          <w:rFonts w:hint="eastAsia"/>
          <w:sz w:val="21"/>
          <w:szCs w:val="21"/>
        </w:rPr>
        <w:t xml:space="preserve"> </w:t>
      </w:r>
    </w:p>
    <w:tbl>
      <w:tblPr>
        <w:tblStyle w:val="39"/>
        <w:tblW w:w="8300" w:type="dxa"/>
        <w:jc w:val="center"/>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224"/>
        <w:gridCol w:w="951"/>
        <w:gridCol w:w="1055"/>
        <w:gridCol w:w="1055"/>
        <w:gridCol w:w="1055"/>
        <w:gridCol w:w="1055"/>
        <w:gridCol w:w="1059"/>
        <w:gridCol w:w="846"/>
      </w:tblGrid>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175" w:type="dxa"/>
            <w:gridSpan w:val="2"/>
            <w:vMerge w:val="restart"/>
            <w:tcBorders>
              <w:tl2br w:val="nil"/>
              <w:tr2bl w:val="nil"/>
            </w:tcBorders>
            <w:vAlign w:val="center"/>
          </w:tcPr>
          <w:p>
            <w:pPr>
              <w:pStyle w:val="106"/>
              <w:adjustRightInd w:val="0"/>
              <w:ind w:left="-105" w:leftChars="-50" w:right="-105" w:rightChars="-50"/>
              <w:rPr>
                <w:b/>
                <w:bCs/>
              </w:rPr>
            </w:pPr>
            <w:r>
              <w:rPr>
                <w:rFonts w:hint="eastAsia"/>
                <w:b/>
                <w:bCs/>
              </w:rPr>
              <w:t>检测</w:t>
            </w:r>
            <w:r>
              <w:rPr>
                <w:b/>
                <w:bCs/>
              </w:rPr>
              <w:t>时间</w:t>
            </w:r>
          </w:p>
        </w:tc>
        <w:tc>
          <w:tcPr>
            <w:tcW w:w="5279" w:type="dxa"/>
            <w:gridSpan w:val="5"/>
            <w:tcBorders>
              <w:tl2br w:val="nil"/>
              <w:tr2bl w:val="nil"/>
            </w:tcBorders>
            <w:vAlign w:val="center"/>
          </w:tcPr>
          <w:p>
            <w:pPr>
              <w:pStyle w:val="106"/>
              <w:adjustRightInd w:val="0"/>
              <w:ind w:left="-105" w:leftChars="-50" w:right="-105" w:rightChars="-50"/>
              <w:rPr>
                <w:b/>
                <w:bCs/>
              </w:rPr>
            </w:pPr>
            <w:r>
              <w:rPr>
                <w:rFonts w:hint="eastAsia"/>
                <w:b/>
                <w:bCs/>
              </w:rPr>
              <w:t>检测</w:t>
            </w:r>
            <w:r>
              <w:rPr>
                <w:b/>
                <w:bCs/>
              </w:rPr>
              <w:t>结果</w:t>
            </w:r>
          </w:p>
        </w:tc>
        <w:tc>
          <w:tcPr>
            <w:tcW w:w="846" w:type="dxa"/>
            <w:vMerge w:val="restart"/>
            <w:tcBorders>
              <w:tl2br w:val="nil"/>
              <w:tr2bl w:val="nil"/>
            </w:tcBorders>
            <w:vAlign w:val="center"/>
          </w:tcPr>
          <w:p>
            <w:pPr>
              <w:pStyle w:val="106"/>
              <w:adjustRightInd w:val="0"/>
              <w:ind w:left="-105" w:leftChars="-50" w:right="-105" w:rightChars="-50"/>
              <w:rPr>
                <w:b/>
                <w:bCs/>
              </w:rPr>
            </w:pPr>
            <w:r>
              <w:rPr>
                <w:b/>
                <w:bCs/>
              </w:rPr>
              <w:t>标准</w:t>
            </w:r>
          </w:p>
          <w:p>
            <w:pPr>
              <w:pStyle w:val="106"/>
              <w:adjustRightInd w:val="0"/>
              <w:ind w:left="-105" w:leftChars="-50" w:right="-105" w:rightChars="-50"/>
            </w:pPr>
            <w:r>
              <w:rPr>
                <w:b/>
                <w:bCs/>
              </w:rPr>
              <w:t>限值</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175" w:type="dxa"/>
            <w:gridSpan w:val="2"/>
            <w:vMerge w:val="continue"/>
            <w:tcBorders>
              <w:tl2br w:val="nil"/>
              <w:tr2bl w:val="nil"/>
            </w:tcBorders>
            <w:vAlign w:val="center"/>
          </w:tcPr>
          <w:p>
            <w:pPr>
              <w:pStyle w:val="106"/>
              <w:adjustRightInd w:val="0"/>
              <w:ind w:left="-105" w:leftChars="-50" w:right="-105" w:rightChars="-50"/>
              <w:rPr>
                <w:b/>
                <w:bCs/>
              </w:rPr>
            </w:pPr>
          </w:p>
        </w:tc>
        <w:tc>
          <w:tcPr>
            <w:tcW w:w="1055" w:type="dxa"/>
            <w:tcBorders>
              <w:tl2br w:val="nil"/>
              <w:tr2bl w:val="nil"/>
            </w:tcBorders>
            <w:vAlign w:val="center"/>
          </w:tcPr>
          <w:p>
            <w:pPr>
              <w:pStyle w:val="106"/>
              <w:adjustRightInd w:val="0"/>
              <w:ind w:left="-105" w:leftChars="-50" w:right="-105" w:rightChars="-50"/>
              <w:rPr>
                <w:b/>
                <w:bCs/>
              </w:rPr>
            </w:pPr>
            <w:r>
              <w:rPr>
                <w:rFonts w:hint="eastAsia"/>
                <w:b/>
                <w:bCs/>
                <w:lang w:val="en-US" w:eastAsia="zh-CN"/>
              </w:rPr>
              <w:t>东</w:t>
            </w:r>
            <w:r>
              <w:rPr>
                <w:b/>
                <w:bCs/>
              </w:rPr>
              <w:t>厂界</w:t>
            </w:r>
          </w:p>
        </w:tc>
        <w:tc>
          <w:tcPr>
            <w:tcW w:w="1055" w:type="dxa"/>
            <w:tcBorders>
              <w:tl2br w:val="nil"/>
              <w:tr2bl w:val="nil"/>
            </w:tcBorders>
            <w:vAlign w:val="center"/>
          </w:tcPr>
          <w:p>
            <w:pPr>
              <w:pStyle w:val="106"/>
              <w:adjustRightInd w:val="0"/>
              <w:ind w:left="-105" w:leftChars="-50" w:right="-105" w:rightChars="-50"/>
              <w:rPr>
                <w:b/>
                <w:bCs/>
              </w:rPr>
            </w:pPr>
            <w:r>
              <w:rPr>
                <w:rFonts w:hint="eastAsia"/>
                <w:b/>
                <w:bCs/>
                <w:lang w:val="en-US" w:eastAsia="zh-CN"/>
              </w:rPr>
              <w:t>南</w:t>
            </w:r>
            <w:r>
              <w:rPr>
                <w:b/>
                <w:bCs/>
              </w:rPr>
              <w:t>厂界</w:t>
            </w:r>
          </w:p>
        </w:tc>
        <w:tc>
          <w:tcPr>
            <w:tcW w:w="1055" w:type="dxa"/>
            <w:tcBorders>
              <w:tl2br w:val="nil"/>
              <w:tr2bl w:val="nil"/>
            </w:tcBorders>
            <w:vAlign w:val="center"/>
          </w:tcPr>
          <w:p>
            <w:pPr>
              <w:pStyle w:val="106"/>
              <w:adjustRightInd w:val="0"/>
              <w:ind w:left="-105" w:leftChars="-50" w:right="-105" w:rightChars="-50"/>
              <w:rPr>
                <w:b/>
                <w:bCs/>
              </w:rPr>
            </w:pPr>
            <w:r>
              <w:rPr>
                <w:rFonts w:hint="eastAsia"/>
                <w:b/>
                <w:bCs/>
                <w:lang w:val="en-US" w:eastAsia="zh-CN"/>
              </w:rPr>
              <w:t>西</w:t>
            </w:r>
            <w:r>
              <w:rPr>
                <w:b/>
                <w:bCs/>
              </w:rPr>
              <w:t>厂界</w:t>
            </w:r>
          </w:p>
        </w:tc>
        <w:tc>
          <w:tcPr>
            <w:tcW w:w="1055" w:type="dxa"/>
            <w:tcBorders>
              <w:tl2br w:val="nil"/>
              <w:tr2bl w:val="nil"/>
            </w:tcBorders>
            <w:vAlign w:val="center"/>
          </w:tcPr>
          <w:p>
            <w:pPr>
              <w:pStyle w:val="106"/>
              <w:adjustRightInd w:val="0"/>
              <w:ind w:left="-105" w:leftChars="-50" w:right="-105" w:rightChars="-50"/>
              <w:rPr>
                <w:b/>
                <w:bCs/>
              </w:rPr>
            </w:pPr>
            <w:r>
              <w:rPr>
                <w:rFonts w:hint="eastAsia"/>
                <w:b/>
                <w:bCs/>
                <w:lang w:val="en-US" w:eastAsia="zh-CN"/>
              </w:rPr>
              <w:t>北</w:t>
            </w:r>
            <w:r>
              <w:rPr>
                <w:b/>
                <w:bCs/>
              </w:rPr>
              <w:t>厂界</w:t>
            </w:r>
          </w:p>
        </w:tc>
        <w:tc>
          <w:tcPr>
            <w:tcW w:w="1059" w:type="dxa"/>
            <w:tcBorders>
              <w:tl2br w:val="nil"/>
              <w:tr2bl w:val="nil"/>
            </w:tcBorders>
            <w:vAlign w:val="center"/>
          </w:tcPr>
          <w:p>
            <w:pPr>
              <w:pStyle w:val="106"/>
              <w:adjustRightInd w:val="0"/>
              <w:ind w:left="-105" w:leftChars="-50" w:right="-105" w:rightChars="-50"/>
            </w:pPr>
            <w:r>
              <w:rPr>
                <w:b/>
                <w:bCs/>
              </w:rPr>
              <w:t>最大值</w:t>
            </w:r>
          </w:p>
        </w:tc>
        <w:tc>
          <w:tcPr>
            <w:tcW w:w="846" w:type="dxa"/>
            <w:vMerge w:val="continue"/>
            <w:tcBorders>
              <w:tl2br w:val="nil"/>
              <w:tr2bl w:val="nil"/>
            </w:tcBorders>
            <w:vAlign w:val="center"/>
          </w:tcPr>
          <w:p>
            <w:pPr>
              <w:pStyle w:val="106"/>
              <w:adjustRightInd w:val="0"/>
              <w:ind w:left="-105" w:leftChars="-50" w:right="-105" w:rightChars="-50"/>
            </w:pP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24" w:type="dxa"/>
            <w:vMerge w:val="restart"/>
            <w:tcBorders>
              <w:tl2br w:val="nil"/>
              <w:tr2bl w:val="nil"/>
            </w:tcBorders>
            <w:vAlign w:val="center"/>
          </w:tcPr>
          <w:p>
            <w:pPr>
              <w:widowControl/>
              <w:adjustRightInd w:val="0"/>
              <w:snapToGrid w:val="0"/>
              <w:jc w:val="center"/>
              <w:rPr>
                <w:rFonts w:hint="default"/>
                <w:szCs w:val="21"/>
                <w:lang w:val="en-US"/>
              </w:rPr>
            </w:pPr>
            <w:r>
              <w:rPr>
                <w:szCs w:val="21"/>
              </w:rPr>
              <w:t>2019.</w:t>
            </w:r>
            <w:r>
              <w:rPr>
                <w:rFonts w:hint="eastAsia"/>
                <w:szCs w:val="21"/>
                <w:lang w:val="en-US" w:eastAsia="zh-CN"/>
              </w:rPr>
              <w:t>11.16</w:t>
            </w:r>
          </w:p>
        </w:tc>
        <w:tc>
          <w:tcPr>
            <w:tcW w:w="951" w:type="dxa"/>
            <w:tcBorders>
              <w:tl2br w:val="nil"/>
              <w:tr2bl w:val="nil"/>
            </w:tcBorders>
            <w:vAlign w:val="center"/>
          </w:tcPr>
          <w:p>
            <w:pPr>
              <w:widowControl/>
              <w:adjustRightInd w:val="0"/>
              <w:snapToGrid w:val="0"/>
              <w:jc w:val="center"/>
              <w:rPr>
                <w:rFonts w:hint="eastAsia" w:eastAsia="宋体"/>
                <w:szCs w:val="21"/>
                <w:lang w:eastAsia="zh-CN"/>
              </w:rPr>
            </w:pPr>
            <w:r>
              <w:rPr>
                <w:rFonts w:hint="eastAsia"/>
                <w:szCs w:val="21"/>
                <w:lang w:val="en-US" w:eastAsia="zh-CN"/>
              </w:rPr>
              <w:t>昼间</w:t>
            </w:r>
          </w:p>
        </w:tc>
        <w:tc>
          <w:tcPr>
            <w:tcW w:w="1055" w:type="dxa"/>
            <w:tcBorders>
              <w:tl2br w:val="nil"/>
              <w:tr2bl w:val="nil"/>
            </w:tcBorders>
            <w:vAlign w:val="center"/>
          </w:tcPr>
          <w:p>
            <w:pPr>
              <w:jc w:val="center"/>
              <w:rPr>
                <w:rFonts w:hint="eastAsia"/>
                <w:szCs w:val="21"/>
                <w:lang w:val="en-US" w:eastAsia="zh-CN"/>
              </w:rPr>
            </w:pPr>
            <w:r>
              <w:rPr>
                <w:rFonts w:hint="eastAsia"/>
                <w:szCs w:val="21"/>
                <w:lang w:val="en-US" w:eastAsia="zh-CN"/>
              </w:rPr>
              <w:t>55.7</w:t>
            </w:r>
          </w:p>
        </w:tc>
        <w:tc>
          <w:tcPr>
            <w:tcW w:w="1055" w:type="dxa"/>
            <w:tcBorders>
              <w:tl2br w:val="nil"/>
              <w:tr2bl w:val="nil"/>
            </w:tcBorders>
            <w:vAlign w:val="center"/>
          </w:tcPr>
          <w:p>
            <w:pPr>
              <w:jc w:val="center"/>
              <w:rPr>
                <w:rFonts w:hint="eastAsia"/>
                <w:szCs w:val="21"/>
                <w:lang w:val="en-US" w:eastAsia="zh-CN"/>
              </w:rPr>
            </w:pPr>
            <w:r>
              <w:rPr>
                <w:rFonts w:hint="eastAsia"/>
                <w:szCs w:val="21"/>
                <w:lang w:val="en-US" w:eastAsia="zh-CN"/>
              </w:rPr>
              <w:t>55.7</w:t>
            </w:r>
          </w:p>
        </w:tc>
        <w:tc>
          <w:tcPr>
            <w:tcW w:w="1055" w:type="dxa"/>
            <w:tcBorders>
              <w:tl2br w:val="nil"/>
              <w:tr2bl w:val="nil"/>
            </w:tcBorders>
            <w:vAlign w:val="center"/>
          </w:tcPr>
          <w:p>
            <w:pPr>
              <w:jc w:val="center"/>
              <w:rPr>
                <w:rFonts w:hint="eastAsia"/>
                <w:szCs w:val="21"/>
                <w:lang w:val="en-US" w:eastAsia="zh-CN"/>
              </w:rPr>
            </w:pPr>
            <w:r>
              <w:rPr>
                <w:rFonts w:hint="eastAsia"/>
                <w:szCs w:val="21"/>
                <w:lang w:val="en-US" w:eastAsia="zh-CN"/>
              </w:rPr>
              <w:t>58.1</w:t>
            </w:r>
          </w:p>
        </w:tc>
        <w:tc>
          <w:tcPr>
            <w:tcW w:w="1055" w:type="dxa"/>
            <w:tcBorders>
              <w:tl2br w:val="nil"/>
              <w:tr2bl w:val="nil"/>
            </w:tcBorders>
            <w:vAlign w:val="center"/>
          </w:tcPr>
          <w:p>
            <w:pPr>
              <w:jc w:val="center"/>
              <w:rPr>
                <w:rFonts w:hint="eastAsia"/>
                <w:szCs w:val="21"/>
                <w:lang w:val="en-US" w:eastAsia="zh-CN"/>
              </w:rPr>
            </w:pPr>
            <w:r>
              <w:rPr>
                <w:rFonts w:hint="eastAsia"/>
                <w:szCs w:val="21"/>
                <w:lang w:val="en-US" w:eastAsia="zh-CN"/>
              </w:rPr>
              <w:t>54.4</w:t>
            </w:r>
          </w:p>
        </w:tc>
        <w:tc>
          <w:tcPr>
            <w:tcW w:w="1059" w:type="dxa"/>
            <w:tcBorders>
              <w:tl2br w:val="nil"/>
              <w:tr2bl w:val="nil"/>
            </w:tcBorders>
            <w:vAlign w:val="center"/>
          </w:tcPr>
          <w:p>
            <w:pPr>
              <w:widowControl/>
              <w:ind w:right="120" w:rightChars="0"/>
              <w:jc w:val="center"/>
              <w:rPr>
                <w:rFonts w:ascii="Times New Roman" w:hAnsi="宋体" w:eastAsia="宋体" w:cs="Times New Roman"/>
                <w:kern w:val="2"/>
                <w:sz w:val="21"/>
                <w:szCs w:val="24"/>
                <w:lang w:val="en-US" w:eastAsia="zh-CN" w:bidi="ar-SA"/>
              </w:rPr>
            </w:pPr>
            <w:r>
              <w:rPr>
                <w:rFonts w:hint="eastAsia"/>
                <w:szCs w:val="21"/>
                <w:lang w:val="en-US" w:eastAsia="zh-CN"/>
              </w:rPr>
              <w:t xml:space="preserve"> 58.1</w:t>
            </w:r>
          </w:p>
        </w:tc>
        <w:tc>
          <w:tcPr>
            <w:tcW w:w="846" w:type="dxa"/>
            <w:tcBorders>
              <w:tl2br w:val="nil"/>
              <w:tr2bl w:val="nil"/>
            </w:tcBorders>
            <w:vAlign w:val="center"/>
          </w:tcPr>
          <w:p>
            <w:pPr>
              <w:jc w:val="center"/>
              <w:rPr>
                <w:rFonts w:hint="default" w:eastAsia="宋体"/>
                <w:szCs w:val="21"/>
                <w:lang w:val="en-US" w:eastAsia="zh-CN"/>
              </w:rPr>
            </w:pPr>
            <w:r>
              <w:rPr>
                <w:rFonts w:hint="eastAsia"/>
                <w:szCs w:val="21"/>
                <w:lang w:val="en-US" w:eastAsia="zh-CN"/>
              </w:rPr>
              <w:t>60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24" w:type="dxa"/>
            <w:vMerge w:val="continue"/>
            <w:tcBorders>
              <w:tl2br w:val="nil"/>
              <w:tr2bl w:val="nil"/>
            </w:tcBorders>
            <w:vAlign w:val="center"/>
          </w:tcPr>
          <w:p>
            <w:pPr>
              <w:widowControl/>
              <w:adjustRightInd w:val="0"/>
              <w:snapToGrid w:val="0"/>
              <w:jc w:val="center"/>
              <w:rPr>
                <w:szCs w:val="21"/>
              </w:rPr>
            </w:pPr>
          </w:p>
        </w:tc>
        <w:tc>
          <w:tcPr>
            <w:tcW w:w="951" w:type="dxa"/>
            <w:tcBorders>
              <w:tl2br w:val="nil"/>
              <w:tr2bl w:val="nil"/>
            </w:tcBorders>
            <w:vAlign w:val="center"/>
          </w:tcPr>
          <w:p>
            <w:pPr>
              <w:widowControl/>
              <w:adjustRightInd w:val="0"/>
              <w:snapToGrid w:val="0"/>
              <w:jc w:val="center"/>
              <w:rPr>
                <w:rFonts w:hint="eastAsia" w:eastAsia="宋体"/>
                <w:szCs w:val="21"/>
                <w:lang w:eastAsia="zh-CN"/>
              </w:rPr>
            </w:pPr>
            <w:r>
              <w:rPr>
                <w:rFonts w:hint="eastAsia"/>
                <w:szCs w:val="21"/>
                <w:lang w:val="en-US" w:eastAsia="zh-CN"/>
              </w:rPr>
              <w:t>夜间</w:t>
            </w:r>
          </w:p>
        </w:tc>
        <w:tc>
          <w:tcPr>
            <w:tcW w:w="1055" w:type="dxa"/>
            <w:tcBorders>
              <w:tl2br w:val="nil"/>
              <w:tr2bl w:val="nil"/>
            </w:tcBorders>
            <w:vAlign w:val="center"/>
          </w:tcPr>
          <w:p>
            <w:pPr>
              <w:jc w:val="center"/>
              <w:rPr>
                <w:rFonts w:hint="eastAsia"/>
                <w:szCs w:val="21"/>
                <w:lang w:val="en-US" w:eastAsia="zh-CN"/>
              </w:rPr>
            </w:pPr>
            <w:r>
              <w:rPr>
                <w:rFonts w:hint="eastAsia"/>
                <w:szCs w:val="21"/>
                <w:lang w:val="en-US" w:eastAsia="zh-CN"/>
              </w:rPr>
              <w:t>43.8</w:t>
            </w:r>
          </w:p>
        </w:tc>
        <w:tc>
          <w:tcPr>
            <w:tcW w:w="1055" w:type="dxa"/>
            <w:tcBorders>
              <w:tl2br w:val="nil"/>
              <w:tr2bl w:val="nil"/>
            </w:tcBorders>
            <w:vAlign w:val="center"/>
          </w:tcPr>
          <w:p>
            <w:pPr>
              <w:jc w:val="center"/>
              <w:rPr>
                <w:rFonts w:hint="eastAsia"/>
                <w:szCs w:val="21"/>
                <w:lang w:val="en-US" w:eastAsia="zh-CN"/>
              </w:rPr>
            </w:pPr>
            <w:r>
              <w:rPr>
                <w:rFonts w:hint="eastAsia"/>
                <w:szCs w:val="21"/>
                <w:lang w:val="en-US" w:eastAsia="zh-CN"/>
              </w:rPr>
              <w:t>45.6</w:t>
            </w:r>
          </w:p>
        </w:tc>
        <w:tc>
          <w:tcPr>
            <w:tcW w:w="1055" w:type="dxa"/>
            <w:tcBorders>
              <w:tl2br w:val="nil"/>
              <w:tr2bl w:val="nil"/>
            </w:tcBorders>
            <w:vAlign w:val="center"/>
          </w:tcPr>
          <w:p>
            <w:pPr>
              <w:jc w:val="center"/>
              <w:rPr>
                <w:rFonts w:hint="eastAsia"/>
                <w:szCs w:val="21"/>
                <w:lang w:val="en-US" w:eastAsia="zh-CN"/>
              </w:rPr>
            </w:pPr>
            <w:r>
              <w:rPr>
                <w:rFonts w:hint="eastAsia"/>
                <w:szCs w:val="21"/>
                <w:lang w:val="en-US" w:eastAsia="zh-CN"/>
              </w:rPr>
              <w:t>43.8</w:t>
            </w:r>
          </w:p>
        </w:tc>
        <w:tc>
          <w:tcPr>
            <w:tcW w:w="1055" w:type="dxa"/>
            <w:tcBorders>
              <w:tl2br w:val="nil"/>
              <w:tr2bl w:val="nil"/>
            </w:tcBorders>
            <w:vAlign w:val="center"/>
          </w:tcPr>
          <w:p>
            <w:pPr>
              <w:jc w:val="center"/>
              <w:rPr>
                <w:rFonts w:hint="eastAsia"/>
                <w:szCs w:val="21"/>
                <w:lang w:val="en-US" w:eastAsia="zh-CN"/>
              </w:rPr>
            </w:pPr>
            <w:r>
              <w:rPr>
                <w:rFonts w:hint="eastAsia"/>
                <w:szCs w:val="21"/>
                <w:lang w:val="en-US" w:eastAsia="zh-CN"/>
              </w:rPr>
              <w:t>46.9</w:t>
            </w:r>
          </w:p>
        </w:tc>
        <w:tc>
          <w:tcPr>
            <w:tcW w:w="1059" w:type="dxa"/>
            <w:tcBorders>
              <w:tl2br w:val="nil"/>
              <w:tr2bl w:val="nil"/>
            </w:tcBorders>
            <w:vAlign w:val="center"/>
          </w:tcPr>
          <w:p>
            <w:pPr>
              <w:jc w:val="center"/>
              <w:rPr>
                <w:szCs w:val="21"/>
              </w:rPr>
            </w:pPr>
            <w:r>
              <w:rPr>
                <w:rFonts w:hint="eastAsia"/>
                <w:szCs w:val="21"/>
                <w:lang w:val="en-US" w:eastAsia="zh-CN"/>
              </w:rPr>
              <w:t>46.9</w:t>
            </w:r>
          </w:p>
        </w:tc>
        <w:tc>
          <w:tcPr>
            <w:tcW w:w="846" w:type="dxa"/>
            <w:tcBorders>
              <w:tl2br w:val="nil"/>
              <w:tr2bl w:val="nil"/>
            </w:tcBorders>
            <w:vAlign w:val="center"/>
          </w:tcPr>
          <w:p>
            <w:pPr>
              <w:jc w:val="center"/>
              <w:rPr>
                <w:rFonts w:hint="default" w:eastAsia="宋体"/>
                <w:szCs w:val="21"/>
                <w:lang w:val="en-US" w:eastAsia="zh-CN"/>
              </w:rPr>
            </w:pPr>
            <w:r>
              <w:rPr>
                <w:rFonts w:hint="eastAsia"/>
                <w:szCs w:val="21"/>
                <w:lang w:val="en-US" w:eastAsia="zh-CN"/>
              </w:rPr>
              <w:t>50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24" w:type="dxa"/>
            <w:vMerge w:val="restart"/>
            <w:tcBorders>
              <w:tl2br w:val="nil"/>
              <w:tr2bl w:val="nil"/>
            </w:tcBorders>
            <w:vAlign w:val="center"/>
          </w:tcPr>
          <w:p>
            <w:pPr>
              <w:widowControl/>
              <w:adjustRightInd w:val="0"/>
              <w:snapToGrid w:val="0"/>
              <w:jc w:val="center"/>
              <w:rPr>
                <w:rFonts w:hint="default" w:eastAsia="宋体"/>
                <w:szCs w:val="21"/>
                <w:lang w:val="en-US" w:eastAsia="zh-CN"/>
              </w:rPr>
            </w:pPr>
            <w:r>
              <w:rPr>
                <w:szCs w:val="21"/>
              </w:rPr>
              <w:t>2019.</w:t>
            </w:r>
            <w:r>
              <w:rPr>
                <w:rFonts w:hint="eastAsia"/>
                <w:szCs w:val="21"/>
                <w:lang w:val="en-US" w:eastAsia="zh-CN"/>
              </w:rPr>
              <w:t>11.17</w:t>
            </w:r>
          </w:p>
        </w:tc>
        <w:tc>
          <w:tcPr>
            <w:tcW w:w="951" w:type="dxa"/>
            <w:tcBorders>
              <w:tl2br w:val="nil"/>
              <w:tr2bl w:val="nil"/>
            </w:tcBorders>
            <w:vAlign w:val="center"/>
          </w:tcPr>
          <w:p>
            <w:pPr>
              <w:widowControl/>
              <w:adjustRightInd w:val="0"/>
              <w:snapToGrid w:val="0"/>
              <w:jc w:val="center"/>
              <w:rPr>
                <w:rFonts w:hint="eastAsia" w:eastAsia="宋体"/>
                <w:szCs w:val="21"/>
                <w:lang w:eastAsia="zh-CN"/>
              </w:rPr>
            </w:pPr>
            <w:r>
              <w:rPr>
                <w:rFonts w:hint="eastAsia"/>
                <w:szCs w:val="21"/>
                <w:lang w:val="en-US" w:eastAsia="zh-CN"/>
              </w:rPr>
              <w:t>昼间</w:t>
            </w:r>
          </w:p>
        </w:tc>
        <w:tc>
          <w:tcPr>
            <w:tcW w:w="1055" w:type="dxa"/>
            <w:tcBorders>
              <w:tl2br w:val="nil"/>
              <w:tr2bl w:val="nil"/>
            </w:tcBorders>
            <w:vAlign w:val="center"/>
          </w:tcPr>
          <w:p>
            <w:pPr>
              <w:jc w:val="center"/>
              <w:rPr>
                <w:rFonts w:hint="eastAsia"/>
                <w:szCs w:val="21"/>
                <w:lang w:val="en-US" w:eastAsia="zh-CN"/>
              </w:rPr>
            </w:pPr>
            <w:r>
              <w:rPr>
                <w:rFonts w:hint="eastAsia"/>
                <w:szCs w:val="21"/>
                <w:lang w:val="en-US" w:eastAsia="zh-CN"/>
              </w:rPr>
              <w:t>53.2</w:t>
            </w:r>
          </w:p>
        </w:tc>
        <w:tc>
          <w:tcPr>
            <w:tcW w:w="1055" w:type="dxa"/>
            <w:tcBorders>
              <w:tl2br w:val="nil"/>
              <w:tr2bl w:val="nil"/>
            </w:tcBorders>
            <w:vAlign w:val="center"/>
          </w:tcPr>
          <w:p>
            <w:pPr>
              <w:jc w:val="center"/>
              <w:rPr>
                <w:rFonts w:hint="eastAsia"/>
                <w:szCs w:val="21"/>
                <w:lang w:val="en-US" w:eastAsia="zh-CN"/>
              </w:rPr>
            </w:pPr>
            <w:r>
              <w:rPr>
                <w:rFonts w:hint="eastAsia"/>
                <w:szCs w:val="21"/>
                <w:lang w:val="en-US" w:eastAsia="zh-CN"/>
              </w:rPr>
              <w:t>57.6</w:t>
            </w:r>
          </w:p>
        </w:tc>
        <w:tc>
          <w:tcPr>
            <w:tcW w:w="1055" w:type="dxa"/>
            <w:tcBorders>
              <w:tl2br w:val="nil"/>
              <w:tr2bl w:val="nil"/>
            </w:tcBorders>
            <w:vAlign w:val="center"/>
          </w:tcPr>
          <w:p>
            <w:pPr>
              <w:jc w:val="center"/>
              <w:rPr>
                <w:rFonts w:hint="eastAsia"/>
                <w:szCs w:val="21"/>
                <w:lang w:val="en-US" w:eastAsia="zh-CN"/>
              </w:rPr>
            </w:pPr>
            <w:r>
              <w:rPr>
                <w:rFonts w:hint="eastAsia"/>
                <w:szCs w:val="21"/>
                <w:lang w:val="en-US" w:eastAsia="zh-CN"/>
              </w:rPr>
              <w:t>54.6</w:t>
            </w:r>
          </w:p>
        </w:tc>
        <w:tc>
          <w:tcPr>
            <w:tcW w:w="1055" w:type="dxa"/>
            <w:tcBorders>
              <w:tl2br w:val="nil"/>
              <w:tr2bl w:val="nil"/>
            </w:tcBorders>
            <w:vAlign w:val="center"/>
          </w:tcPr>
          <w:p>
            <w:pPr>
              <w:jc w:val="center"/>
              <w:rPr>
                <w:rFonts w:hint="eastAsia"/>
                <w:szCs w:val="21"/>
                <w:lang w:val="en-US" w:eastAsia="zh-CN"/>
              </w:rPr>
            </w:pPr>
            <w:r>
              <w:rPr>
                <w:rFonts w:hint="eastAsia"/>
                <w:szCs w:val="21"/>
                <w:lang w:val="en-US" w:eastAsia="zh-CN"/>
              </w:rPr>
              <w:t>54.2</w:t>
            </w:r>
          </w:p>
        </w:tc>
        <w:tc>
          <w:tcPr>
            <w:tcW w:w="1059" w:type="dxa"/>
            <w:tcBorders>
              <w:tl2br w:val="nil"/>
              <w:tr2bl w:val="nil"/>
            </w:tcBorders>
            <w:vAlign w:val="center"/>
          </w:tcPr>
          <w:p>
            <w:pPr>
              <w:widowControl/>
              <w:ind w:right="120" w:rightChars="0"/>
              <w:jc w:val="center"/>
              <w:rPr>
                <w:rFonts w:ascii="Times New Roman" w:hAnsi="宋体" w:eastAsia="宋体" w:cs="Times New Roman"/>
                <w:kern w:val="2"/>
                <w:sz w:val="21"/>
                <w:szCs w:val="24"/>
                <w:lang w:val="en-US" w:eastAsia="zh-CN" w:bidi="ar-SA"/>
              </w:rPr>
            </w:pPr>
            <w:r>
              <w:rPr>
                <w:rFonts w:hint="eastAsia"/>
                <w:szCs w:val="21"/>
                <w:lang w:val="en-US" w:eastAsia="zh-CN"/>
              </w:rPr>
              <w:t xml:space="preserve"> 57.6</w:t>
            </w:r>
          </w:p>
        </w:tc>
        <w:tc>
          <w:tcPr>
            <w:tcW w:w="846" w:type="dxa"/>
            <w:tcBorders>
              <w:tl2br w:val="nil"/>
              <w:tr2bl w:val="nil"/>
            </w:tcBorders>
            <w:vAlign w:val="center"/>
          </w:tcPr>
          <w:p>
            <w:pPr>
              <w:jc w:val="center"/>
              <w:rPr>
                <w:rFonts w:hint="default" w:eastAsia="宋体"/>
                <w:szCs w:val="21"/>
                <w:lang w:val="en-US" w:eastAsia="zh-CN"/>
              </w:rPr>
            </w:pPr>
            <w:r>
              <w:rPr>
                <w:rFonts w:hint="eastAsia"/>
                <w:szCs w:val="21"/>
                <w:lang w:val="en-US" w:eastAsia="zh-CN"/>
              </w:rPr>
              <w:t>60</w:t>
            </w:r>
          </w:p>
        </w:tc>
      </w:tr>
      <w:tr>
        <w:tblPrEx>
          <w:tblBorders>
            <w:top w:val="thinThickSmallGap" w:color="auto" w:sz="12" w:space="0"/>
            <w:left w:val="none" w:color="auto" w:sz="0" w:space="0"/>
            <w:bottom w:val="thickThinSmallGap"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24" w:type="dxa"/>
            <w:vMerge w:val="continue"/>
            <w:tcBorders>
              <w:tl2br w:val="nil"/>
              <w:tr2bl w:val="nil"/>
            </w:tcBorders>
            <w:vAlign w:val="center"/>
          </w:tcPr>
          <w:p>
            <w:pPr>
              <w:widowControl/>
              <w:adjustRightInd w:val="0"/>
              <w:snapToGrid w:val="0"/>
              <w:jc w:val="center"/>
              <w:rPr>
                <w:szCs w:val="21"/>
              </w:rPr>
            </w:pPr>
          </w:p>
        </w:tc>
        <w:tc>
          <w:tcPr>
            <w:tcW w:w="951" w:type="dxa"/>
            <w:tcBorders>
              <w:tl2br w:val="nil"/>
              <w:tr2bl w:val="nil"/>
            </w:tcBorders>
            <w:vAlign w:val="center"/>
          </w:tcPr>
          <w:p>
            <w:pPr>
              <w:widowControl/>
              <w:adjustRightInd w:val="0"/>
              <w:snapToGrid w:val="0"/>
              <w:jc w:val="center"/>
              <w:rPr>
                <w:rFonts w:hint="eastAsia" w:eastAsia="宋体"/>
                <w:szCs w:val="21"/>
                <w:lang w:eastAsia="zh-CN"/>
              </w:rPr>
            </w:pPr>
            <w:r>
              <w:rPr>
                <w:rFonts w:hint="eastAsia"/>
                <w:szCs w:val="21"/>
                <w:lang w:val="en-US" w:eastAsia="zh-CN"/>
              </w:rPr>
              <w:t>夜间</w:t>
            </w:r>
          </w:p>
        </w:tc>
        <w:tc>
          <w:tcPr>
            <w:tcW w:w="1055" w:type="dxa"/>
            <w:tcBorders>
              <w:tl2br w:val="nil"/>
              <w:tr2bl w:val="nil"/>
            </w:tcBorders>
            <w:vAlign w:val="center"/>
          </w:tcPr>
          <w:p>
            <w:pPr>
              <w:jc w:val="center"/>
              <w:rPr>
                <w:rFonts w:hint="eastAsia"/>
                <w:szCs w:val="21"/>
                <w:lang w:val="en-US" w:eastAsia="zh-CN"/>
              </w:rPr>
            </w:pPr>
            <w:r>
              <w:rPr>
                <w:rFonts w:hint="eastAsia"/>
                <w:szCs w:val="21"/>
                <w:lang w:val="en-US" w:eastAsia="zh-CN"/>
              </w:rPr>
              <w:t>46.3</w:t>
            </w:r>
          </w:p>
        </w:tc>
        <w:tc>
          <w:tcPr>
            <w:tcW w:w="1055" w:type="dxa"/>
            <w:tcBorders>
              <w:tl2br w:val="nil"/>
              <w:tr2bl w:val="nil"/>
            </w:tcBorders>
            <w:vAlign w:val="center"/>
          </w:tcPr>
          <w:p>
            <w:pPr>
              <w:jc w:val="center"/>
              <w:rPr>
                <w:rFonts w:hint="eastAsia"/>
                <w:szCs w:val="21"/>
                <w:lang w:val="en-US" w:eastAsia="zh-CN"/>
              </w:rPr>
            </w:pPr>
            <w:r>
              <w:rPr>
                <w:rFonts w:hint="eastAsia"/>
                <w:szCs w:val="21"/>
                <w:lang w:val="en-US" w:eastAsia="zh-CN"/>
              </w:rPr>
              <w:t>45.6</w:t>
            </w:r>
          </w:p>
        </w:tc>
        <w:tc>
          <w:tcPr>
            <w:tcW w:w="1055" w:type="dxa"/>
            <w:tcBorders>
              <w:tl2br w:val="nil"/>
              <w:tr2bl w:val="nil"/>
            </w:tcBorders>
            <w:vAlign w:val="center"/>
          </w:tcPr>
          <w:p>
            <w:pPr>
              <w:jc w:val="center"/>
              <w:rPr>
                <w:rFonts w:hint="eastAsia"/>
                <w:szCs w:val="21"/>
                <w:lang w:val="en-US" w:eastAsia="zh-CN"/>
              </w:rPr>
            </w:pPr>
            <w:r>
              <w:rPr>
                <w:rFonts w:hint="eastAsia"/>
                <w:szCs w:val="21"/>
                <w:lang w:val="en-US" w:eastAsia="zh-CN"/>
              </w:rPr>
              <w:t>44.5</w:t>
            </w:r>
          </w:p>
        </w:tc>
        <w:tc>
          <w:tcPr>
            <w:tcW w:w="1055" w:type="dxa"/>
            <w:tcBorders>
              <w:tl2br w:val="nil"/>
              <w:tr2bl w:val="nil"/>
            </w:tcBorders>
            <w:vAlign w:val="center"/>
          </w:tcPr>
          <w:p>
            <w:pPr>
              <w:jc w:val="center"/>
              <w:rPr>
                <w:rFonts w:hint="eastAsia"/>
                <w:szCs w:val="21"/>
                <w:lang w:val="en-US" w:eastAsia="zh-CN"/>
              </w:rPr>
            </w:pPr>
            <w:r>
              <w:rPr>
                <w:rFonts w:hint="eastAsia"/>
                <w:szCs w:val="21"/>
                <w:lang w:val="en-US" w:eastAsia="zh-CN"/>
              </w:rPr>
              <w:t>45.2</w:t>
            </w:r>
          </w:p>
        </w:tc>
        <w:tc>
          <w:tcPr>
            <w:tcW w:w="1059" w:type="dxa"/>
            <w:tcBorders>
              <w:tl2br w:val="nil"/>
              <w:tr2bl w:val="nil"/>
            </w:tcBorders>
            <w:vAlign w:val="center"/>
          </w:tcPr>
          <w:p>
            <w:pPr>
              <w:jc w:val="center"/>
              <w:rPr>
                <w:szCs w:val="21"/>
              </w:rPr>
            </w:pPr>
            <w:r>
              <w:rPr>
                <w:rFonts w:hint="eastAsia"/>
                <w:szCs w:val="21"/>
                <w:lang w:val="en-US" w:eastAsia="zh-CN"/>
              </w:rPr>
              <w:t>46.3</w:t>
            </w:r>
          </w:p>
        </w:tc>
        <w:tc>
          <w:tcPr>
            <w:tcW w:w="846" w:type="dxa"/>
            <w:tcBorders>
              <w:tl2br w:val="nil"/>
              <w:tr2bl w:val="nil"/>
            </w:tcBorders>
            <w:vAlign w:val="center"/>
          </w:tcPr>
          <w:p>
            <w:pPr>
              <w:jc w:val="center"/>
              <w:rPr>
                <w:rFonts w:hint="default" w:eastAsia="宋体"/>
                <w:szCs w:val="21"/>
                <w:lang w:val="en-US" w:eastAsia="zh-CN"/>
              </w:rPr>
            </w:pPr>
            <w:r>
              <w:rPr>
                <w:rFonts w:hint="eastAsia"/>
                <w:szCs w:val="21"/>
                <w:lang w:val="en-US" w:eastAsia="zh-CN"/>
              </w:rPr>
              <w:t>50</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b/>
          <w:spacing w:val="0"/>
        </w:rPr>
      </w:pPr>
      <w:r>
        <w:rPr>
          <w:rFonts w:hint="eastAsia"/>
          <w:sz w:val="24"/>
          <w:lang w:val="en-US" w:eastAsia="zh-CN"/>
        </w:rPr>
        <w:t>以上数据表明：验收监测期间，厂界昼间噪声检测结果在53.2~58.1dB(A)，夜间噪声检测结果在43.8~46.9dB(A)，符合《工业企业厂界环境噪声排放标准》（GB 12348-2008）表1“2类”标准要求（昼间：60 dB(A)、夜间：50dB(A)）。</w:t>
      </w:r>
    </w:p>
    <w:p>
      <w:pPr>
        <w:pStyle w:val="105"/>
        <w:keepNext w:val="0"/>
        <w:keepLines w:val="0"/>
        <w:pageBreakBefore w:val="0"/>
        <w:widowControl w:val="0"/>
        <w:kinsoku/>
        <w:wordWrap/>
        <w:overflowPunct/>
        <w:topLinePunct w:val="0"/>
        <w:autoSpaceDE/>
        <w:autoSpaceDN/>
        <w:bidi w:val="0"/>
        <w:spacing w:line="360" w:lineRule="auto"/>
        <w:ind w:firstLine="482"/>
        <w:textAlignment w:val="auto"/>
        <w:rPr>
          <w:b/>
          <w:spacing w:val="0"/>
        </w:rPr>
      </w:pPr>
      <w:r>
        <w:rPr>
          <w:rFonts w:hint="eastAsia"/>
          <w:b/>
          <w:spacing w:val="0"/>
          <w:lang w:val="en-US" w:eastAsia="zh-CN"/>
        </w:rPr>
        <w:t>4</w:t>
      </w:r>
      <w:r>
        <w:rPr>
          <w:rFonts w:hint="eastAsia"/>
          <w:b/>
          <w:spacing w:val="0"/>
        </w:rPr>
        <w:t>、污染物排放总量核算</w:t>
      </w:r>
    </w:p>
    <w:p>
      <w:pPr>
        <w:pStyle w:val="2"/>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480" w:firstLineChars="200"/>
        <w:textAlignment w:val="auto"/>
        <w:rPr>
          <w:sz w:val="30"/>
          <w:szCs w:val="30"/>
        </w:rPr>
      </w:pPr>
      <w:r>
        <w:rPr>
          <w:rFonts w:hint="eastAsia"/>
          <w:highlight w:val="none"/>
        </w:rPr>
        <w:t>项目无总量控制指标。</w:t>
      </w:r>
    </w:p>
    <w:p>
      <w:pPr>
        <w:adjustRightInd w:val="0"/>
        <w:snapToGrid w:val="0"/>
        <w:spacing w:line="360" w:lineRule="auto"/>
        <w:rPr>
          <w:color w:val="FF0000"/>
          <w:sz w:val="24"/>
        </w:rPr>
      </w:pPr>
      <w:r>
        <w:rPr>
          <w:rFonts w:hint="eastAsia" w:ascii="Times New Roman" w:hAnsi="Times New Roman" w:eastAsia="宋体" w:cs="Times New Roman"/>
          <w:b/>
          <w:bCs/>
          <w:kern w:val="44"/>
          <w:sz w:val="30"/>
          <w:szCs w:val="30"/>
          <w:lang w:val="en-US" w:eastAsia="zh-CN" w:bidi="ar-SA"/>
        </w:rPr>
        <w:t>九、验收监测结论及建议</w:t>
      </w:r>
      <w:r>
        <w:rPr>
          <w:rFonts w:hint="eastAsia"/>
          <w:color w:val="FF0000"/>
          <w:sz w:val="30"/>
          <w:szCs w:val="30"/>
          <w:highlight w:val="none"/>
        </w:rPr>
        <w:t xml:space="preserve">  </w:t>
      </w:r>
      <w:r>
        <w:rPr>
          <w:color w:val="FF0000"/>
          <w:sz w:val="24"/>
          <w:highlight w:val="none"/>
        </w:rPr>
        <w:t xml:space="preserve"> </w:t>
      </w:r>
      <w:r>
        <w:rPr>
          <w:color w:val="FF0000"/>
          <w:sz w:val="24"/>
        </w:rPr>
        <w:t xml:space="preserve"> </w:t>
      </w:r>
    </w:p>
    <w:p>
      <w:pPr>
        <w:adjustRightInd w:val="0"/>
        <w:snapToGrid w:val="0"/>
        <w:spacing w:line="360" w:lineRule="auto"/>
        <w:ind w:firstLine="241" w:firstLineChars="100"/>
        <w:rPr>
          <w:b/>
          <w:bCs/>
          <w:sz w:val="24"/>
        </w:rPr>
      </w:pPr>
      <w:r>
        <w:rPr>
          <w:rFonts w:hint="eastAsia"/>
          <w:b/>
          <w:bCs/>
          <w:sz w:val="24"/>
        </w:rPr>
        <w:t>1、</w:t>
      </w:r>
      <w:r>
        <w:rPr>
          <w:b/>
          <w:bCs/>
          <w:sz w:val="24"/>
        </w:rPr>
        <w:t>环境保护设施调试效果</w:t>
      </w:r>
    </w:p>
    <w:p>
      <w:pPr>
        <w:adjustRightInd w:val="0"/>
        <w:snapToGrid w:val="0"/>
        <w:spacing w:line="360" w:lineRule="auto"/>
        <w:ind w:firstLine="480" w:firstLineChars="200"/>
        <w:rPr>
          <w:sz w:val="24"/>
        </w:rPr>
      </w:pPr>
      <w:r>
        <w:rPr>
          <w:rFonts w:hint="eastAsia"/>
          <w:sz w:val="24"/>
        </w:rPr>
        <w:t>（1.）</w:t>
      </w:r>
      <w:r>
        <w:rPr>
          <w:sz w:val="24"/>
        </w:rPr>
        <w:t>废气</w:t>
      </w:r>
    </w:p>
    <w:p>
      <w:pPr>
        <w:adjustRightInd w:val="0"/>
        <w:snapToGrid w:val="0"/>
        <w:spacing w:line="360" w:lineRule="auto"/>
        <w:ind w:firstLine="480" w:firstLineChars="200"/>
      </w:pPr>
      <w:r>
        <w:rPr>
          <w:bCs/>
          <w:sz w:val="24"/>
          <w:szCs w:val="24"/>
        </w:rPr>
        <w:t>项目运行产生的废气主要为研磨工序、破碎工序、分筛工序、振动筛上料工序产生的粉尘。</w:t>
      </w:r>
    </w:p>
    <w:p>
      <w:pPr>
        <w:adjustRightInd w:val="0"/>
        <w:snapToGrid w:val="0"/>
        <w:spacing w:line="360" w:lineRule="auto"/>
        <w:ind w:firstLine="480" w:firstLineChars="200"/>
        <w:rPr>
          <w:rFonts w:hint="eastAsia" w:eastAsia="宋体"/>
          <w:sz w:val="24"/>
          <w:lang w:val="en-US" w:eastAsia="zh-CN"/>
        </w:rPr>
      </w:pPr>
      <w:r>
        <w:rPr>
          <w:bCs/>
          <w:sz w:val="24"/>
          <w:szCs w:val="24"/>
        </w:rPr>
        <w:t>研磨工序产生的粉尘废气经研磨机各自配套除尘器处理后再汇入3台除尘器进行处理，经处理后通过3根15m高排气筒排放</w:t>
      </w:r>
      <w:r>
        <w:rPr>
          <w:rFonts w:hint="eastAsia"/>
          <w:bCs/>
          <w:sz w:val="24"/>
          <w:szCs w:val="24"/>
          <w:lang w:eastAsia="zh-CN"/>
        </w:rPr>
        <w:t>；</w:t>
      </w:r>
      <w:r>
        <w:rPr>
          <w:bCs/>
          <w:sz w:val="24"/>
          <w:szCs w:val="24"/>
        </w:rPr>
        <w:t>破碎、振动筛上料工序产生的粉尘废气经集气罩收集后进入2台除尘器进行处理，经处理后通过2根15m 高排气筒排放</w:t>
      </w:r>
      <w:r>
        <w:rPr>
          <w:rFonts w:hint="eastAsia"/>
          <w:bCs/>
          <w:sz w:val="24"/>
          <w:szCs w:val="24"/>
          <w:lang w:eastAsia="zh-CN"/>
        </w:rPr>
        <w:t>；</w:t>
      </w:r>
      <w:r>
        <w:rPr>
          <w:bCs/>
          <w:sz w:val="24"/>
          <w:szCs w:val="24"/>
        </w:rPr>
        <w:t>分筛工序产生的粉尘废气经集气罩收集后进入2台除尘器进行处理，经处理后通过 2根15m 高排气筒排放。</w:t>
      </w:r>
    </w:p>
    <w:p>
      <w:pPr>
        <w:tabs>
          <w:tab w:val="left" w:pos="5865"/>
        </w:tabs>
        <w:autoSpaceDE w:val="0"/>
        <w:autoSpaceDN w:val="0"/>
        <w:adjustRightInd w:val="0"/>
        <w:snapToGrid w:val="0"/>
        <w:spacing w:line="360" w:lineRule="auto"/>
        <w:ind w:firstLine="480" w:firstLineChars="200"/>
        <w:rPr>
          <w:rFonts w:hint="eastAsia"/>
          <w:strike w:val="0"/>
          <w:dstrike w:val="0"/>
          <w:sz w:val="24"/>
          <w:highlight w:val="none"/>
        </w:rPr>
      </w:pPr>
      <w:r>
        <w:rPr>
          <w:rFonts w:hint="eastAsia" w:eastAsiaTheme="minorEastAsia"/>
          <w:color w:val="000000"/>
          <w:sz w:val="24"/>
          <w:szCs w:val="24"/>
          <w:lang w:val="en-US" w:eastAsia="zh-CN"/>
        </w:rPr>
        <w:t>有组织排放</w:t>
      </w:r>
      <w:r>
        <w:rPr>
          <w:rFonts w:hint="eastAsia" w:eastAsiaTheme="minorEastAsia"/>
          <w:color w:val="000000"/>
          <w:sz w:val="24"/>
          <w:szCs w:val="24"/>
          <w:lang w:eastAsia="zh-CN"/>
        </w:rPr>
        <w:t>：</w:t>
      </w:r>
      <w:r>
        <w:rPr>
          <w:rFonts w:hint="eastAsia" w:ascii="Times New Roman" w:hAnsi="Times New Roman" w:eastAsia="方正宋三简体" w:cs="Times New Roman"/>
          <w:kern w:val="2"/>
          <w:sz w:val="24"/>
          <w:szCs w:val="24"/>
          <w:lang w:val="en-US" w:eastAsia="zh-CN" w:bidi="ar-SA"/>
        </w:rPr>
        <w:t>验收监测期间，</w:t>
      </w:r>
      <w:r>
        <w:rPr>
          <w:rFonts w:hint="eastAsia" w:ascii="Times New Roman" w:hAnsi="Times New Roman" w:eastAsiaTheme="minorEastAsia"/>
          <w:color w:val="000000"/>
          <w:sz w:val="24"/>
          <w:szCs w:val="24"/>
        </w:rPr>
        <w:t>生产废气排气筒中颗粒物有组织排放浓度最大值为</w:t>
      </w:r>
      <w:r>
        <w:rPr>
          <w:rFonts w:hint="eastAsia" w:ascii="Times New Roman" w:hAnsi="Times New Roman" w:eastAsiaTheme="minorEastAsia"/>
          <w:color w:val="000000"/>
          <w:sz w:val="24"/>
          <w:szCs w:val="24"/>
          <w:lang w:val="en-US" w:eastAsia="zh-CN"/>
        </w:rPr>
        <w:t>9.8</w:t>
      </w:r>
      <w:r>
        <w:rPr>
          <w:rFonts w:hint="eastAsia" w:ascii="Times New Roman" w:hAnsi="Times New Roman" w:eastAsiaTheme="minorEastAsia"/>
          <w:color w:val="000000"/>
          <w:sz w:val="24"/>
          <w:szCs w:val="24"/>
        </w:rPr>
        <w:t>mg/m</w:t>
      </w:r>
      <w:r>
        <w:rPr>
          <w:rFonts w:hint="eastAsia" w:ascii="Times New Roman" w:hAnsi="Times New Roman" w:eastAsiaTheme="minorEastAsia"/>
          <w:color w:val="000000"/>
          <w:sz w:val="24"/>
          <w:szCs w:val="24"/>
          <w:vertAlign w:val="superscript"/>
        </w:rPr>
        <w:t>3</w:t>
      </w:r>
      <w:r>
        <w:rPr>
          <w:rFonts w:hint="eastAsia" w:ascii="Times New Roman" w:hAnsi="Times New Roman" w:eastAsiaTheme="minorEastAsia"/>
          <w:color w:val="000000"/>
          <w:sz w:val="24"/>
          <w:szCs w:val="24"/>
        </w:rPr>
        <w:t>，排放速率最大值为</w:t>
      </w:r>
      <w:r>
        <w:rPr>
          <w:rFonts w:hint="eastAsia" w:ascii="Times New Roman" w:hAnsi="Times New Roman" w:eastAsiaTheme="minorEastAsia"/>
          <w:color w:val="000000"/>
          <w:sz w:val="24"/>
          <w:szCs w:val="24"/>
          <w:lang w:val="en-US" w:eastAsia="zh-CN"/>
        </w:rPr>
        <w:t>0.095</w:t>
      </w:r>
      <w:r>
        <w:rPr>
          <w:rFonts w:hint="eastAsia" w:ascii="Times New Roman" w:hAnsi="Times New Roman" w:eastAsiaTheme="minorEastAsia"/>
          <w:color w:val="000000"/>
          <w:sz w:val="24"/>
          <w:szCs w:val="24"/>
        </w:rPr>
        <w:t>kg/h；颗粒物排放浓度满足《区域性大气污染物综合排放标准》（DB37/2376-2019）表1中重点控制区标准要求(</w:t>
      </w:r>
      <w:r>
        <w:rPr>
          <w:rFonts w:hint="eastAsia" w:ascii="Times New Roman" w:hAnsi="Times New Roman" w:eastAsiaTheme="minorEastAsia"/>
          <w:color w:val="000000"/>
          <w:sz w:val="24"/>
          <w:szCs w:val="24"/>
          <w:lang w:val="en-US" w:eastAsia="zh-CN"/>
        </w:rPr>
        <w:t>10</w:t>
      </w:r>
      <w:r>
        <w:rPr>
          <w:rFonts w:hint="eastAsia" w:ascii="Times New Roman" w:hAnsi="Times New Roman" w:eastAsiaTheme="minorEastAsia"/>
          <w:color w:val="000000"/>
          <w:sz w:val="24"/>
          <w:szCs w:val="24"/>
        </w:rPr>
        <w:t>mg/m</w:t>
      </w:r>
      <w:r>
        <w:rPr>
          <w:rFonts w:hint="eastAsia" w:ascii="Times New Roman" w:hAnsi="Times New Roman" w:eastAsiaTheme="minorEastAsia"/>
          <w:color w:val="000000"/>
          <w:sz w:val="24"/>
          <w:szCs w:val="24"/>
          <w:vertAlign w:val="superscript"/>
        </w:rPr>
        <w:t>3</w:t>
      </w:r>
      <w:r>
        <w:rPr>
          <w:rFonts w:hint="eastAsia" w:ascii="Times New Roman" w:hAnsi="Times New Roman" w:eastAsiaTheme="minorEastAsia"/>
          <w:color w:val="000000"/>
          <w:sz w:val="24"/>
          <w:szCs w:val="24"/>
        </w:rPr>
        <w:t>)，排放速率满足《大气污染物综合排放标准》（GBl6297-1996）表2中二级标准要求(3.5kg/h</w:t>
      </w:r>
      <w:r>
        <w:rPr>
          <w:rFonts w:hint="eastAsia" w:ascii="Times New Roman" w:hAnsi="Times New Roman" w:eastAsiaTheme="minorEastAsia"/>
          <w:color w:val="000000"/>
          <w:sz w:val="24"/>
          <w:szCs w:val="24"/>
          <w:lang w:eastAsia="zh-CN"/>
        </w:rPr>
        <w:t>）。</w:t>
      </w:r>
    </w:p>
    <w:p>
      <w:pPr>
        <w:tabs>
          <w:tab w:val="left" w:pos="5865"/>
        </w:tabs>
        <w:autoSpaceDE w:val="0"/>
        <w:autoSpaceDN w:val="0"/>
        <w:adjustRightInd w:val="0"/>
        <w:snapToGrid w:val="0"/>
        <w:spacing w:line="360" w:lineRule="auto"/>
        <w:ind w:firstLine="480" w:firstLineChars="200"/>
        <w:rPr>
          <w:strike w:val="0"/>
          <w:dstrike w:val="0"/>
          <w:sz w:val="24"/>
          <w:highlight w:val="yellow"/>
        </w:rPr>
      </w:pPr>
      <w:r>
        <w:rPr>
          <w:rFonts w:hint="eastAsia"/>
          <w:strike w:val="0"/>
          <w:dstrike w:val="0"/>
          <w:sz w:val="24"/>
          <w:highlight w:val="none"/>
        </w:rPr>
        <w:t>无组织排放：</w:t>
      </w:r>
      <w:r>
        <w:rPr>
          <w:rFonts w:hint="eastAsia" w:ascii="Times New Roman" w:hAnsi="Times New Roman" w:eastAsia="方正宋三简体" w:cs="Times New Roman"/>
          <w:kern w:val="2"/>
          <w:sz w:val="24"/>
          <w:szCs w:val="24"/>
          <w:lang w:val="en-US" w:eastAsia="zh-CN" w:bidi="ar-SA"/>
        </w:rPr>
        <w:t>验收监测期间，</w:t>
      </w:r>
      <w:r>
        <w:rPr>
          <w:rFonts w:hint="eastAsia"/>
          <w:color w:val="000000"/>
          <w:sz w:val="24"/>
        </w:rPr>
        <w:t>厂界颗粒物浓度最大值为</w:t>
      </w:r>
      <w:r>
        <w:rPr>
          <w:rFonts w:hint="eastAsia" w:eastAsia="方正宋三简体"/>
          <w:kern w:val="10"/>
          <w:sz w:val="24"/>
        </w:rPr>
        <w:t>0.533</w:t>
      </w:r>
      <w:r>
        <w:rPr>
          <w:rFonts w:hint="eastAsia"/>
          <w:color w:val="000000"/>
          <w:sz w:val="24"/>
        </w:rPr>
        <w:t>mg/m</w:t>
      </w:r>
      <w:r>
        <w:rPr>
          <w:rFonts w:hint="eastAsia"/>
          <w:sz w:val="24"/>
          <w:vertAlign w:val="superscript"/>
        </w:rPr>
        <w:t>3</w:t>
      </w:r>
      <w:r>
        <w:rPr>
          <w:rFonts w:hint="eastAsia"/>
          <w:color w:val="000000"/>
          <w:sz w:val="24"/>
        </w:rPr>
        <w:t>，满足</w:t>
      </w:r>
      <w:r>
        <w:rPr>
          <w:rFonts w:eastAsia="方正宋三简体"/>
          <w:kern w:val="10"/>
          <w:sz w:val="24"/>
        </w:rPr>
        <w:t>《大气污染物综合排放标准》（GB16297-1996）表2中无组织排放监控浓度限值（颗粒物≤1.0mg/m</w:t>
      </w:r>
      <w:r>
        <w:rPr>
          <w:rFonts w:eastAsia="方正宋三简体"/>
          <w:kern w:val="10"/>
          <w:sz w:val="24"/>
          <w:vertAlign w:val="superscript"/>
        </w:rPr>
        <w:t>3</w:t>
      </w:r>
      <w:r>
        <w:rPr>
          <w:rFonts w:eastAsia="方正宋三简体"/>
          <w:kern w:val="10"/>
          <w:sz w:val="24"/>
        </w:rPr>
        <w:t>）</w:t>
      </w:r>
      <w:r>
        <w:rPr>
          <w:rFonts w:hint="eastAsia"/>
          <w:color w:val="000000"/>
          <w:sz w:val="24"/>
        </w:rPr>
        <w:t>。</w:t>
      </w:r>
    </w:p>
    <w:p>
      <w:pPr>
        <w:adjustRightInd w:val="0"/>
        <w:snapToGrid w:val="0"/>
        <w:spacing w:line="360" w:lineRule="auto"/>
        <w:ind w:firstLine="480" w:firstLineChars="200"/>
        <w:rPr>
          <w:sz w:val="24"/>
        </w:rPr>
      </w:pPr>
      <w:r>
        <w:rPr>
          <w:rFonts w:hint="eastAsia"/>
          <w:sz w:val="24"/>
        </w:rPr>
        <w:t>（2.）</w:t>
      </w:r>
      <w:r>
        <w:rPr>
          <w:sz w:val="24"/>
        </w:rPr>
        <w:t>废水</w:t>
      </w:r>
    </w:p>
    <w:p>
      <w:pPr>
        <w:adjustRightInd w:val="0"/>
        <w:snapToGrid w:val="0"/>
        <w:spacing w:line="360" w:lineRule="auto"/>
        <w:ind w:firstLine="480"/>
        <w:rPr>
          <w:sz w:val="24"/>
          <w:szCs w:val="24"/>
        </w:rPr>
      </w:pPr>
      <w:r>
        <w:rPr>
          <w:sz w:val="24"/>
          <w:szCs w:val="24"/>
        </w:rPr>
        <w:t>项目厂区排水实行雨污分流制，雨水经厂区内雨水管直接外排。项目生产过程中热处理淬火用水经冷却循环水池处理后循环使用不外排，项目无生产废水。项目废水主要为职工办公生活</w:t>
      </w:r>
      <w:r>
        <w:rPr>
          <w:rFonts w:hint="eastAsia"/>
          <w:sz w:val="24"/>
          <w:szCs w:val="24"/>
          <w:lang w:val="en-US" w:eastAsia="zh-CN"/>
        </w:rPr>
        <w:t>污水</w:t>
      </w:r>
      <w:r>
        <w:rPr>
          <w:sz w:val="24"/>
          <w:szCs w:val="24"/>
        </w:rPr>
        <w:t>，排入厂区化粪池，经化粪池处理后排入市政污水管网后进入国电银河水务(滕州)有限公司进行再生处理。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lang w:eastAsia="zh-CN"/>
        </w:rPr>
      </w:pPr>
      <w:r>
        <w:rPr>
          <w:rFonts w:hint="eastAsia" w:ascii="Times New Roman" w:hAnsi="Times New Roman" w:eastAsia="方正宋三简体" w:cs="Times New Roman"/>
          <w:kern w:val="2"/>
          <w:sz w:val="24"/>
          <w:szCs w:val="24"/>
          <w:lang w:val="en-US" w:eastAsia="zh-CN" w:bidi="ar-SA"/>
        </w:rPr>
        <w:t>验收监测期间，排污口pH值检测结果在7.39~7.46，氨氮的检测结果在1.90~2.16</w:t>
      </w:r>
      <w:r>
        <w:rPr>
          <w:rFonts w:hint="eastAsia" w:ascii="Times New Roman" w:hAnsi="Times New Roman" w:eastAsia="方正宋三简体" w:cs="Times New Roman"/>
          <w:kern w:val="2"/>
          <w:sz w:val="24"/>
          <w:szCs w:val="24"/>
          <w:lang w:val="en-US" w:eastAsia="en-US" w:bidi="ar-SA"/>
        </w:rPr>
        <w:t>mg/L</w:t>
      </w:r>
      <w:r>
        <w:rPr>
          <w:rFonts w:hint="eastAsia" w:ascii="Times New Roman" w:hAnsi="Times New Roman" w:eastAsia="方正宋三简体" w:cs="Times New Roman"/>
          <w:kern w:val="2"/>
          <w:sz w:val="24"/>
          <w:szCs w:val="24"/>
          <w:lang w:val="en-US" w:eastAsia="zh-CN" w:bidi="ar-SA"/>
        </w:rPr>
        <w:t>，化学需氧量的检测结果在14~21</w:t>
      </w:r>
      <w:r>
        <w:rPr>
          <w:rFonts w:hint="eastAsia" w:ascii="Times New Roman" w:hAnsi="Times New Roman" w:eastAsia="方正宋三简体" w:cs="Times New Roman"/>
          <w:kern w:val="2"/>
          <w:sz w:val="24"/>
          <w:szCs w:val="24"/>
          <w:lang w:val="en-US" w:eastAsia="en-US" w:bidi="ar-SA"/>
        </w:rPr>
        <w:t>mg/L</w:t>
      </w:r>
      <w:r>
        <w:rPr>
          <w:rFonts w:hint="eastAsia" w:ascii="Times New Roman" w:hAnsi="Times New Roman" w:eastAsia="方正宋三简体" w:cs="Times New Roman"/>
          <w:kern w:val="2"/>
          <w:sz w:val="24"/>
          <w:szCs w:val="24"/>
          <w:lang w:val="en-US" w:eastAsia="zh-CN" w:bidi="ar-SA"/>
        </w:rPr>
        <w:t>，悬浮物的检测结果在6~13</w:t>
      </w:r>
      <w:r>
        <w:rPr>
          <w:rFonts w:hint="eastAsia" w:ascii="Times New Roman" w:hAnsi="Times New Roman" w:eastAsia="方正宋三简体" w:cs="Times New Roman"/>
          <w:kern w:val="2"/>
          <w:sz w:val="24"/>
          <w:szCs w:val="24"/>
          <w:lang w:val="en-US" w:eastAsia="en-US" w:bidi="ar-SA"/>
        </w:rPr>
        <w:t>mg/L</w:t>
      </w:r>
      <w:r>
        <w:rPr>
          <w:rFonts w:hint="eastAsia" w:ascii="Times New Roman" w:hAnsi="Times New Roman" w:eastAsia="方正宋三简体" w:cs="Times New Roman"/>
          <w:kern w:val="2"/>
          <w:sz w:val="24"/>
          <w:szCs w:val="24"/>
          <w:lang w:val="en-US" w:eastAsia="zh-CN" w:bidi="ar-SA"/>
        </w:rPr>
        <w:t>，五日生化需氧量检测结果在6.4~10.9</w:t>
      </w:r>
      <w:r>
        <w:rPr>
          <w:rFonts w:hint="eastAsia" w:ascii="Times New Roman" w:hAnsi="Times New Roman" w:eastAsia="方正宋三简体" w:cs="Times New Roman"/>
          <w:kern w:val="2"/>
          <w:sz w:val="24"/>
          <w:szCs w:val="24"/>
          <w:lang w:val="en-US" w:eastAsia="en-US" w:bidi="ar-SA"/>
        </w:rPr>
        <w:t>mg/L</w:t>
      </w:r>
      <w:r>
        <w:rPr>
          <w:rFonts w:hint="eastAsia" w:ascii="Times New Roman" w:hAnsi="Times New Roman" w:eastAsia="方正宋三简体" w:cs="Times New Roman"/>
          <w:kern w:val="2"/>
          <w:sz w:val="24"/>
          <w:szCs w:val="24"/>
          <w:lang w:val="en-US" w:eastAsia="zh-CN" w:bidi="ar-SA"/>
        </w:rPr>
        <w:t>，满足《污水排入城镇下水道水质标准》（GB/T31962－2015）A等级水质标准（</w:t>
      </w:r>
      <w:r>
        <w:rPr>
          <w:rFonts w:hint="eastAsia" w:ascii="Times New Roman" w:hAnsi="Times New Roman" w:eastAsia="方正宋三简体" w:cs="Times New Roman"/>
          <w:kern w:val="2"/>
          <w:sz w:val="24"/>
          <w:szCs w:val="24"/>
          <w:lang w:val="en-US" w:eastAsia="en-US" w:bidi="ar-SA"/>
        </w:rPr>
        <w:t>pH</w:t>
      </w:r>
      <w:r>
        <w:rPr>
          <w:rFonts w:hint="eastAsia" w:ascii="Times New Roman" w:hAnsi="Times New Roman" w:eastAsia="方正宋三简体" w:cs="Times New Roman"/>
          <w:kern w:val="2"/>
          <w:sz w:val="24"/>
          <w:szCs w:val="24"/>
          <w:lang w:val="en-US" w:eastAsia="zh-CN" w:bidi="ar-SA"/>
        </w:rPr>
        <w:t>：6.5-9.5、氨氮：45</w:t>
      </w:r>
      <w:r>
        <w:rPr>
          <w:rFonts w:hint="eastAsia" w:ascii="Times New Roman" w:hAnsi="Times New Roman" w:eastAsia="方正宋三简体" w:cs="Times New Roman"/>
          <w:kern w:val="2"/>
          <w:sz w:val="24"/>
          <w:szCs w:val="24"/>
          <w:lang w:val="en-US" w:eastAsia="en-US" w:bidi="ar-SA"/>
        </w:rPr>
        <w:t>mg/L</w:t>
      </w:r>
      <w:r>
        <w:rPr>
          <w:rFonts w:hint="eastAsia" w:ascii="Times New Roman" w:hAnsi="Times New Roman" w:eastAsia="方正宋三简体" w:cs="Times New Roman"/>
          <w:kern w:val="2"/>
          <w:sz w:val="24"/>
          <w:szCs w:val="24"/>
          <w:lang w:val="en-US" w:eastAsia="zh-CN" w:bidi="ar-SA"/>
        </w:rPr>
        <w:t>、化学需氧量：500</w:t>
      </w:r>
      <w:r>
        <w:rPr>
          <w:rFonts w:hint="eastAsia" w:ascii="Times New Roman" w:hAnsi="Times New Roman" w:eastAsia="方正宋三简体" w:cs="Times New Roman"/>
          <w:kern w:val="2"/>
          <w:sz w:val="24"/>
          <w:szCs w:val="24"/>
          <w:lang w:val="en-US" w:eastAsia="en-US" w:bidi="ar-SA"/>
        </w:rPr>
        <w:t>mg/L</w:t>
      </w:r>
      <w:r>
        <w:rPr>
          <w:rFonts w:hint="eastAsia" w:ascii="Times New Roman" w:hAnsi="Times New Roman" w:eastAsia="方正宋三简体" w:cs="Times New Roman"/>
          <w:kern w:val="2"/>
          <w:sz w:val="24"/>
          <w:szCs w:val="24"/>
          <w:lang w:val="en-US" w:eastAsia="zh-CN" w:bidi="ar-SA"/>
        </w:rPr>
        <w:t>、悬浮物：400</w:t>
      </w:r>
      <w:r>
        <w:rPr>
          <w:rFonts w:hint="eastAsia" w:ascii="Times New Roman" w:hAnsi="Times New Roman" w:eastAsia="方正宋三简体" w:cs="Times New Roman"/>
          <w:kern w:val="2"/>
          <w:sz w:val="24"/>
          <w:szCs w:val="24"/>
          <w:lang w:val="en-US" w:eastAsia="en-US" w:bidi="ar-SA"/>
        </w:rPr>
        <w:t>mg/L</w:t>
      </w:r>
      <w:r>
        <w:rPr>
          <w:rFonts w:hint="eastAsia" w:ascii="Times New Roman" w:hAnsi="Times New Roman" w:eastAsia="方正宋三简体" w:cs="Times New Roman"/>
          <w:kern w:val="2"/>
          <w:sz w:val="24"/>
          <w:szCs w:val="24"/>
          <w:lang w:val="en-US" w:eastAsia="zh-CN" w:bidi="ar-SA"/>
        </w:rPr>
        <w:t>、五日生化需氧量：350</w:t>
      </w:r>
      <w:r>
        <w:rPr>
          <w:rFonts w:hint="eastAsia" w:ascii="Times New Roman" w:hAnsi="Times New Roman" w:eastAsia="方正宋三简体" w:cs="Times New Roman"/>
          <w:kern w:val="2"/>
          <w:sz w:val="24"/>
          <w:szCs w:val="24"/>
          <w:lang w:val="en-US" w:eastAsia="en-US" w:bidi="ar-SA"/>
        </w:rPr>
        <w:t>mg/L</w:t>
      </w:r>
      <w:r>
        <w:rPr>
          <w:rFonts w:hint="eastAsia" w:ascii="Times New Roman" w:hAnsi="Times New Roman" w:eastAsia="方正宋三简体" w:cs="Times New Roman"/>
          <w:kern w:val="2"/>
          <w:sz w:val="24"/>
          <w:szCs w:val="24"/>
          <w:lang w:val="en-US" w:eastAsia="zh-CN" w:bidi="ar-SA"/>
        </w:rPr>
        <w:t>）。</w:t>
      </w:r>
    </w:p>
    <w:p>
      <w:pPr>
        <w:adjustRightInd w:val="0"/>
        <w:snapToGrid w:val="0"/>
        <w:spacing w:line="360" w:lineRule="auto"/>
        <w:ind w:left="480"/>
        <w:rPr>
          <w:sz w:val="24"/>
        </w:rPr>
      </w:pPr>
      <w:r>
        <w:rPr>
          <w:rFonts w:hint="eastAsia"/>
          <w:sz w:val="24"/>
          <w:lang w:eastAsia="zh-CN"/>
        </w:rPr>
        <w:t>（</w:t>
      </w:r>
      <w:r>
        <w:rPr>
          <w:rFonts w:hint="eastAsia"/>
          <w:sz w:val="24"/>
          <w:lang w:val="en-US" w:eastAsia="zh-CN"/>
        </w:rPr>
        <w:t>3.</w:t>
      </w:r>
      <w:r>
        <w:rPr>
          <w:rFonts w:hint="eastAsia"/>
          <w:sz w:val="24"/>
          <w:lang w:eastAsia="zh-CN"/>
        </w:rPr>
        <w:t>）</w:t>
      </w:r>
      <w:r>
        <w:rPr>
          <w:sz w:val="24"/>
        </w:rPr>
        <w:t>噪声</w:t>
      </w:r>
    </w:p>
    <w:p>
      <w:pPr>
        <w:adjustRightInd w:val="0"/>
        <w:snapToGrid w:val="0"/>
        <w:spacing w:line="360" w:lineRule="auto"/>
        <w:ind w:firstLine="480" w:firstLineChars="200"/>
        <w:rPr>
          <w:rFonts w:hint="eastAsia" w:eastAsia="方正宋三简体"/>
          <w:sz w:val="24"/>
          <w:lang w:val="en-US" w:eastAsia="zh-CN"/>
        </w:rPr>
      </w:pPr>
      <w:r>
        <w:rPr>
          <w:rFonts w:hint="eastAsia" w:eastAsia="方正宋三简体"/>
          <w:sz w:val="24"/>
          <w:lang w:val="en-US" w:eastAsia="zh-CN"/>
        </w:rPr>
        <w:t>生产车间的噪声，主要声源是拔丝机、切丝机、研磨机、破碎机、振动筛、包装系统、风机等设备产生的噪声，噪声源强为 75～85dB（A）；其余设备噪声较低。各种噪声生产设备布置在生产车间内，并采取减振、隔声、合理布局等降噪措施后，减少噪声对环境的影响。</w:t>
      </w:r>
    </w:p>
    <w:p>
      <w:pPr>
        <w:adjustRightInd w:val="0"/>
        <w:snapToGrid w:val="0"/>
        <w:spacing w:line="360" w:lineRule="auto"/>
        <w:ind w:firstLine="480" w:firstLineChars="200"/>
      </w:pPr>
      <w:r>
        <w:rPr>
          <w:rFonts w:hint="eastAsia" w:ascii="Times New Roman" w:hAnsi="Times New Roman" w:eastAsia="方正宋三简体" w:cs="Times New Roman"/>
          <w:kern w:val="2"/>
          <w:sz w:val="24"/>
          <w:szCs w:val="24"/>
          <w:lang w:val="en-US" w:eastAsia="zh-CN" w:bidi="ar-SA"/>
        </w:rPr>
        <w:t>验收监测期间，</w:t>
      </w:r>
      <w:r>
        <w:rPr>
          <w:rFonts w:hint="eastAsia"/>
          <w:sz w:val="24"/>
          <w:lang w:val="en-US" w:eastAsia="zh-CN"/>
        </w:rPr>
        <w:t>厂界昼间噪声检测结果在53.2~58.1dB(A)，夜间噪声检测结果在43.8~46.9dB(A)，符合《工业企业厂界环境噪声排放标准》（GB 12348-2008）表1“2类”标准要求（昼间：60 dB(A)、夜间：50dB(A)）。</w:t>
      </w:r>
    </w:p>
    <w:p>
      <w:pPr>
        <w:adjustRightInd w:val="0"/>
        <w:snapToGrid w:val="0"/>
        <w:spacing w:line="360" w:lineRule="auto"/>
        <w:ind w:firstLine="480" w:firstLineChars="200"/>
        <w:rPr>
          <w:sz w:val="24"/>
        </w:rPr>
      </w:pPr>
      <w:r>
        <w:rPr>
          <w:rFonts w:hint="eastAsia" w:eastAsia="宋体"/>
          <w:sz w:val="24"/>
          <w:lang w:eastAsia="zh-CN"/>
        </w:rPr>
        <w:t>（4</w:t>
      </w:r>
      <w:r>
        <w:rPr>
          <w:rFonts w:hint="eastAsia" w:eastAsia="宋体"/>
          <w:sz w:val="24"/>
          <w:lang w:val="en-US" w:eastAsia="zh-CN"/>
        </w:rPr>
        <w:t>.</w:t>
      </w:r>
      <w:r>
        <w:rPr>
          <w:rFonts w:hint="eastAsia" w:eastAsia="宋体"/>
          <w:sz w:val="24"/>
          <w:lang w:eastAsia="zh-CN"/>
        </w:rPr>
        <w:t xml:space="preserve">）固体废物 </w:t>
      </w:r>
      <w:r>
        <w:rPr>
          <w:sz w:val="24"/>
        </w:rPr>
        <w:t xml:space="preserve">  </w:t>
      </w:r>
    </w:p>
    <w:p>
      <w:pPr>
        <w:adjustRightInd w:val="0"/>
        <w:snapToGrid w:val="0"/>
        <w:spacing w:line="360" w:lineRule="auto"/>
        <w:ind w:firstLine="480" w:firstLineChars="200"/>
        <w:rPr>
          <w:rFonts w:hint="eastAsia" w:eastAsia="宋体"/>
          <w:sz w:val="24"/>
          <w:lang w:val="en-US" w:eastAsia="zh-CN"/>
        </w:rPr>
      </w:pPr>
      <w:r>
        <w:rPr>
          <w:sz w:val="24"/>
        </w:rPr>
        <w:t>项目产生的固废主要</w:t>
      </w:r>
      <w:r>
        <w:rPr>
          <w:rFonts w:hint="eastAsia"/>
          <w:sz w:val="24"/>
          <w:lang w:val="en-US" w:eastAsia="zh-CN"/>
        </w:rPr>
        <w:t>包括</w:t>
      </w:r>
      <w:r>
        <w:rPr>
          <w:sz w:val="24"/>
        </w:rPr>
        <w:t>职工产生的生活垃圾</w:t>
      </w:r>
      <w:r>
        <w:rPr>
          <w:rFonts w:hint="eastAsia"/>
          <w:sz w:val="24"/>
          <w:lang w:eastAsia="zh-CN"/>
        </w:rPr>
        <w:t>，</w:t>
      </w:r>
      <w:r>
        <w:rPr>
          <w:sz w:val="24"/>
        </w:rPr>
        <w:t>生产过程中产生的非金属夹杂物</w:t>
      </w:r>
      <w:r>
        <w:rPr>
          <w:rFonts w:hint="eastAsia"/>
          <w:sz w:val="24"/>
          <w:lang w:eastAsia="zh-CN"/>
        </w:rPr>
        <w:t>、</w:t>
      </w:r>
      <w:r>
        <w:rPr>
          <w:sz w:val="24"/>
        </w:rPr>
        <w:t>除尘器收集的金属颗粒物</w:t>
      </w:r>
      <w:r>
        <w:rPr>
          <w:rFonts w:hint="eastAsia"/>
          <w:sz w:val="24"/>
          <w:lang w:val="en-US" w:eastAsia="zh-CN"/>
        </w:rPr>
        <w:t>等一般固废，</w:t>
      </w:r>
      <w:r>
        <w:rPr>
          <w:sz w:val="24"/>
        </w:rPr>
        <w:t>维护设备产生的废手套、废抹布、废机油、废润滑油、废机油桶、废润滑油桶</w:t>
      </w:r>
      <w:r>
        <w:rPr>
          <w:rFonts w:hint="eastAsia"/>
          <w:sz w:val="24"/>
          <w:lang w:val="en-US" w:eastAsia="zh-CN"/>
        </w:rPr>
        <w:t>等危险废物</w:t>
      </w:r>
      <w:r>
        <w:rPr>
          <w:sz w:val="24"/>
        </w:rPr>
        <w:t>。</w:t>
      </w:r>
      <w:r>
        <w:rPr>
          <w:rFonts w:hint="eastAsia"/>
          <w:sz w:val="24"/>
          <w:lang w:val="en-US" w:eastAsia="zh-CN"/>
        </w:rPr>
        <w:t xml:space="preserve"> </w:t>
      </w:r>
    </w:p>
    <w:p>
      <w:pPr>
        <w:adjustRightInd w:val="0"/>
        <w:snapToGrid w:val="0"/>
        <w:spacing w:line="360" w:lineRule="auto"/>
        <w:ind w:firstLine="480" w:firstLineChars="200"/>
        <w:rPr>
          <w:sz w:val="24"/>
        </w:rPr>
      </w:pPr>
      <w:r>
        <w:rPr>
          <w:sz w:val="24"/>
          <w:lang w:val="en-US" w:eastAsia="zh-CN"/>
        </w:rPr>
        <w:t>职工产生的垃圾</w:t>
      </w:r>
      <w:r>
        <w:rPr>
          <w:rFonts w:hint="eastAsia"/>
          <w:sz w:val="24"/>
          <w:lang w:val="en-US" w:eastAsia="zh-CN"/>
        </w:rPr>
        <w:t>，</w:t>
      </w:r>
      <w:r>
        <w:rPr>
          <w:sz w:val="24"/>
          <w:lang w:val="en-US" w:eastAsia="zh-CN"/>
        </w:rPr>
        <w:t>实行袋装化，日产日清，派专人送到滕州市洪绪镇垃圾中转站然后由环卫部门统一集中清运并作无害化处理</w:t>
      </w:r>
      <w:r>
        <w:rPr>
          <w:rFonts w:hint="eastAsia"/>
          <w:sz w:val="24"/>
          <w:lang w:val="en-US" w:eastAsia="zh-CN"/>
        </w:rPr>
        <w:t>；</w:t>
      </w:r>
      <w:r>
        <w:rPr>
          <w:sz w:val="24"/>
          <w:lang w:val="en-US" w:eastAsia="zh-CN"/>
        </w:rPr>
        <w:t>非金属杂质</w:t>
      </w:r>
      <w:r>
        <w:rPr>
          <w:rFonts w:hint="eastAsia"/>
          <w:sz w:val="24"/>
          <w:lang w:val="en-US" w:eastAsia="zh-CN"/>
        </w:rPr>
        <w:t>，</w:t>
      </w:r>
      <w:r>
        <w:rPr>
          <w:sz w:val="24"/>
          <w:lang w:val="en-US" w:eastAsia="zh-CN"/>
        </w:rPr>
        <w:t>收集后由当地环卫部门清运处理</w:t>
      </w:r>
      <w:r>
        <w:rPr>
          <w:rFonts w:hint="eastAsia"/>
          <w:sz w:val="24"/>
          <w:lang w:val="en-US" w:eastAsia="zh-CN"/>
        </w:rPr>
        <w:t>；</w:t>
      </w:r>
      <w:r>
        <w:rPr>
          <w:sz w:val="24"/>
          <w:lang w:val="en-US" w:eastAsia="zh-CN"/>
        </w:rPr>
        <w:t>除尘器收集的金属颗粒物</w:t>
      </w:r>
      <w:r>
        <w:rPr>
          <w:rFonts w:hint="eastAsia"/>
          <w:sz w:val="24"/>
          <w:lang w:val="en-US" w:eastAsia="zh-CN"/>
        </w:rPr>
        <w:t>，回收利用做原材料</w:t>
      </w:r>
      <w:r>
        <w:rPr>
          <w:sz w:val="24"/>
          <w:lang w:val="en-US" w:eastAsia="zh-CN"/>
        </w:rPr>
        <w:t>。废手套、废抹布</w:t>
      </w:r>
      <w:r>
        <w:rPr>
          <w:rFonts w:hint="eastAsia"/>
          <w:sz w:val="24"/>
          <w:lang w:val="en-US" w:eastAsia="zh-CN"/>
        </w:rPr>
        <w:t>，</w:t>
      </w:r>
      <w:r>
        <w:rPr>
          <w:sz w:val="24"/>
          <w:lang w:val="en-US" w:eastAsia="zh-CN"/>
        </w:rPr>
        <w:t>属于《国家危险废物名录（2016）》“危险废物豁免管理清单”中的“废弃的含油抹布、劳保用品(900-041-49)”，全过程不按危险废物管理，混入生活垃圾，收集后由当地环卫部门清运处理。废机油、废润滑油、废机油桶、废润滑油桶</w:t>
      </w:r>
      <w:r>
        <w:rPr>
          <w:rFonts w:hint="eastAsia"/>
          <w:sz w:val="24"/>
          <w:lang w:val="en-US" w:eastAsia="zh-CN"/>
        </w:rPr>
        <w:t>等</w:t>
      </w:r>
      <w:r>
        <w:rPr>
          <w:sz w:val="24"/>
          <w:lang w:val="en-US" w:eastAsia="zh-CN"/>
        </w:rPr>
        <w:t>危险废物暂存于危险废物暂存间后委托</w:t>
      </w:r>
      <w:r>
        <w:rPr>
          <w:rFonts w:hint="eastAsia"/>
          <w:sz w:val="24"/>
          <w:lang w:val="en-US" w:eastAsia="zh-CN"/>
        </w:rPr>
        <w:t>滕州市厚承废旧物质回收有限公司</w:t>
      </w:r>
      <w:r>
        <w:rPr>
          <w:sz w:val="24"/>
          <w:lang w:val="en-US" w:eastAsia="zh-CN"/>
        </w:rPr>
        <w:t>处理。</w:t>
      </w:r>
    </w:p>
    <w:p>
      <w:pPr>
        <w:adjustRightInd w:val="0"/>
        <w:snapToGrid w:val="0"/>
        <w:spacing w:line="360" w:lineRule="auto"/>
        <w:ind w:firstLine="480" w:firstLineChars="200"/>
        <w:rPr>
          <w:sz w:val="24"/>
        </w:rPr>
      </w:pPr>
      <w:r>
        <w:rPr>
          <w:rFonts w:hint="eastAsia"/>
          <w:sz w:val="24"/>
        </w:rPr>
        <w:t>（5.）污染物排放总量核算</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rPr>
      </w:pPr>
      <w:r>
        <w:rPr>
          <w:rFonts w:hint="eastAsia"/>
          <w:sz w:val="24"/>
          <w:lang w:val="en-US" w:eastAsia="zh-CN"/>
        </w:rPr>
        <w:t>项目无总量控制指标</w:t>
      </w:r>
      <w:r>
        <w:rPr>
          <w:rFonts w:hint="eastAsia"/>
        </w:rPr>
        <w:t>。</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eastAsiaTheme="minorEastAsia"/>
          <w:b/>
          <w:color w:val="000000"/>
          <w:sz w:val="24"/>
        </w:rPr>
      </w:pPr>
      <w:r>
        <w:rPr>
          <w:rFonts w:hint="eastAsia" w:eastAsiaTheme="minorEastAsia"/>
          <w:b/>
          <w:color w:val="000000"/>
          <w:sz w:val="24"/>
        </w:rPr>
        <w:t>2、</w:t>
      </w:r>
      <w:r>
        <w:rPr>
          <w:rFonts w:eastAsiaTheme="minorEastAsia"/>
          <w:b/>
          <w:color w:val="000000"/>
          <w:sz w:val="24"/>
        </w:rPr>
        <w:t>验收结论</w:t>
      </w:r>
    </w:p>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eastAsiaTheme="minorEastAsia"/>
          <w:color w:val="000000"/>
          <w:sz w:val="24"/>
        </w:rPr>
      </w:pPr>
      <w:r>
        <w:rPr>
          <w:rFonts w:hint="eastAsia" w:eastAsiaTheme="minorEastAsia"/>
          <w:color w:val="000000"/>
          <w:sz w:val="24"/>
        </w:rPr>
        <w:t>本工程环境保护手续齐全，基本落实了环评文件及批复中的各项环保要求，在实施过程中基本按照要求配套建设了相应的环境保护设施，</w:t>
      </w:r>
      <w:r>
        <w:rPr>
          <w:rFonts w:hint="eastAsia"/>
          <w:sz w:val="24"/>
        </w:rPr>
        <w:t>检测</w:t>
      </w:r>
      <w:r>
        <w:rPr>
          <w:rFonts w:hint="eastAsia" w:eastAsiaTheme="minorEastAsia"/>
          <w:color w:val="000000"/>
          <w:sz w:val="24"/>
        </w:rPr>
        <w:t>的污染物达标排放，总体符合建设项目竣工环保验收条件，建议通过该项目竣工环境保护验收。</w:t>
      </w:r>
    </w:p>
    <w:p>
      <w:pPr>
        <w:spacing w:line="360" w:lineRule="auto"/>
        <w:ind w:firstLine="482" w:firstLineChars="200"/>
        <w:rPr>
          <w:rFonts w:eastAsiaTheme="minorEastAsia"/>
          <w:b/>
          <w:color w:val="000000"/>
          <w:sz w:val="24"/>
        </w:rPr>
      </w:pPr>
      <w:r>
        <w:rPr>
          <w:rFonts w:hint="eastAsia" w:eastAsiaTheme="minorEastAsia"/>
          <w:b/>
          <w:color w:val="000000"/>
          <w:sz w:val="24"/>
        </w:rPr>
        <w:t>3、</w:t>
      </w:r>
      <w:r>
        <w:rPr>
          <w:rFonts w:eastAsiaTheme="minorEastAsia"/>
          <w:b/>
          <w:color w:val="000000"/>
          <w:sz w:val="24"/>
        </w:rPr>
        <w:t>建议</w:t>
      </w:r>
    </w:p>
    <w:p>
      <w:pPr>
        <w:pStyle w:val="59"/>
        <w:spacing w:beforeLines="0" w:afterLines="0"/>
        <w:ind w:firstLine="470" w:firstLineChars="196"/>
        <w:rPr>
          <w:sz w:val="24"/>
          <w:szCs w:val="24"/>
        </w:rPr>
      </w:pPr>
      <w:r>
        <w:rPr>
          <w:rFonts w:hint="eastAsia"/>
          <w:sz w:val="24"/>
          <w:szCs w:val="24"/>
        </w:rPr>
        <w:t>（</w:t>
      </w:r>
      <w:r>
        <w:rPr>
          <w:sz w:val="24"/>
          <w:szCs w:val="24"/>
        </w:rPr>
        <w:t>1</w:t>
      </w:r>
      <w:r>
        <w:rPr>
          <w:rFonts w:hint="eastAsia"/>
          <w:sz w:val="24"/>
          <w:szCs w:val="24"/>
        </w:rPr>
        <w:t>）</w:t>
      </w:r>
      <w:r>
        <w:rPr>
          <w:sz w:val="24"/>
          <w:szCs w:val="24"/>
        </w:rPr>
        <w:t>加强环保设备、设施维护保养，确保环保设备、设施有效稳定运行；确保污染物</w:t>
      </w:r>
      <w:r>
        <w:rPr>
          <w:rFonts w:hint="eastAsia"/>
          <w:sz w:val="24"/>
          <w:szCs w:val="24"/>
        </w:rPr>
        <w:t>长期稳定</w:t>
      </w:r>
      <w:r>
        <w:rPr>
          <w:sz w:val="24"/>
          <w:szCs w:val="24"/>
        </w:rPr>
        <w:t>达标排放</w:t>
      </w:r>
      <w:r>
        <w:rPr>
          <w:rFonts w:hint="eastAsia"/>
          <w:sz w:val="24"/>
          <w:szCs w:val="24"/>
        </w:rPr>
        <w:t>。</w:t>
      </w:r>
    </w:p>
    <w:p>
      <w:pPr>
        <w:pStyle w:val="59"/>
        <w:spacing w:beforeLines="0" w:afterLines="0"/>
        <w:ind w:firstLine="470" w:firstLineChars="196"/>
        <w:rPr>
          <w:rFonts w:ascii="宋体" w:hAnsi="宋体"/>
          <w:szCs w:val="28"/>
        </w:rPr>
      </w:pPr>
      <w:r>
        <w:rPr>
          <w:rFonts w:hint="eastAsia"/>
          <w:sz w:val="24"/>
          <w:szCs w:val="24"/>
        </w:rPr>
        <w:t>（</w:t>
      </w:r>
      <w:r>
        <w:rPr>
          <w:sz w:val="24"/>
          <w:szCs w:val="24"/>
        </w:rPr>
        <w:t>2</w:t>
      </w:r>
      <w:r>
        <w:rPr>
          <w:rFonts w:hint="eastAsia"/>
          <w:sz w:val="24"/>
          <w:szCs w:val="24"/>
        </w:rPr>
        <w:t>）</w:t>
      </w:r>
      <w:r>
        <w:rPr>
          <w:sz w:val="24"/>
          <w:szCs w:val="24"/>
        </w:rPr>
        <w:t>增强员工环保意识，建立健全相应环保管理制度</w:t>
      </w:r>
      <w:r>
        <w:rPr>
          <w:rFonts w:hint="eastAsia"/>
          <w:sz w:val="24"/>
          <w:szCs w:val="24"/>
        </w:rPr>
        <w:t>，按要求规范固体废物暂存库设置及收集、暂存、转移管理，并做好台账记录</w:t>
      </w:r>
      <w:r>
        <w:rPr>
          <w:sz w:val="24"/>
          <w:szCs w:val="24"/>
        </w:rPr>
        <w:t>。</w:t>
      </w:r>
    </w:p>
    <w:p>
      <w:pPr>
        <w:pStyle w:val="2"/>
        <w:spacing w:before="120" w:beforeLines="50" w:after="0" w:line="360" w:lineRule="auto"/>
        <w:ind w:firstLine="240" w:firstLineChars="100"/>
        <w:rPr>
          <w:rFonts w:hint="eastAsia"/>
        </w:rPr>
      </w:pPr>
      <w:r>
        <w:rPr>
          <w:rFonts w:hint="eastAsia" w:ascii="宋体" w:hAnsi="宋体"/>
          <w:szCs w:val="28"/>
          <w:lang w:eastAsia="zh-CN"/>
        </w:rPr>
        <w:t>（</w:t>
      </w:r>
      <w:r>
        <w:rPr>
          <w:rFonts w:hint="eastAsia" w:ascii="宋体" w:hAnsi="宋体"/>
          <w:szCs w:val="28"/>
          <w:lang w:val="en-US" w:eastAsia="zh-CN"/>
        </w:rPr>
        <w:t>3</w:t>
      </w:r>
      <w:r>
        <w:rPr>
          <w:rFonts w:hint="eastAsia" w:ascii="宋体" w:hAnsi="宋体"/>
          <w:szCs w:val="28"/>
          <w:lang w:eastAsia="zh-CN"/>
        </w:rPr>
        <w:t>）</w:t>
      </w:r>
      <w:r>
        <w:rPr>
          <w:rFonts w:hint="eastAsia" w:ascii="宋体" w:hAnsi="宋体"/>
          <w:szCs w:val="28"/>
        </w:rPr>
        <w:t>按《排污单位自行检测技术指南-总则》（HJ819-2017）要求，自主进行污染源检测，并做好记录。</w:t>
      </w:r>
      <w:bookmarkStart w:id="24" w:name="_GoBack"/>
      <w:bookmarkEnd w:id="24"/>
      <w:r>
        <w:rPr>
          <w:sz w:val="21"/>
        </w:rPr>
        <w:drawing>
          <wp:anchor distT="0" distB="0" distL="114300" distR="114300" simplePos="0" relativeHeight="251841536" behindDoc="0" locked="0" layoutInCell="1" allowOverlap="1">
            <wp:simplePos x="0" y="0"/>
            <wp:positionH relativeFrom="column">
              <wp:posOffset>-5454650</wp:posOffset>
            </wp:positionH>
            <wp:positionV relativeFrom="paragraph">
              <wp:posOffset>74930</wp:posOffset>
            </wp:positionV>
            <wp:extent cx="635" cy="0"/>
            <wp:effectExtent l="0" t="0" r="0" b="0"/>
            <wp:wrapNone/>
            <wp:docPr id="81" name="图片 702" descr="胶南风玫瑰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702" descr="胶南风玫瑰图"/>
                    <pic:cNvPicPr>
                      <a:picLocks noChangeAspect="1"/>
                    </pic:cNvPicPr>
                  </pic:nvPicPr>
                  <pic:blipFill>
                    <a:blip r:embed="rId28"/>
                    <a:srcRect l="3589" t="807" r="4369" b="2467"/>
                    <a:stretch>
                      <a:fillRect/>
                    </a:stretch>
                  </pic:blipFill>
                  <pic:spPr>
                    <a:xfrm>
                      <a:off x="0" y="0"/>
                      <a:ext cx="635" cy="0"/>
                    </a:xfrm>
                    <a:prstGeom prst="rect">
                      <a:avLst/>
                    </a:prstGeom>
                    <a:noFill/>
                    <a:ln w="9525" cap="flat" cmpd="sng">
                      <a:solidFill>
                        <a:srgbClr val="000000"/>
                      </a:solidFill>
                      <a:prstDash val="solid"/>
                      <a:miter/>
                      <a:headEnd type="none" w="med" len="med"/>
                      <a:tailEnd type="none" w="med" len="med"/>
                    </a:ln>
                  </pic:spPr>
                </pic:pic>
              </a:graphicData>
            </a:graphic>
          </wp:anchor>
        </w:drawing>
      </w:r>
      <w:r>
        <w:rPr>
          <w:sz w:val="21"/>
        </w:rPr>
        <w:drawing>
          <wp:anchor distT="0" distB="0" distL="114300" distR="114300" simplePos="0" relativeHeight="251909120" behindDoc="0" locked="0" layoutInCell="1" allowOverlap="1">
            <wp:simplePos x="0" y="0"/>
            <wp:positionH relativeFrom="column">
              <wp:posOffset>-5454650</wp:posOffset>
            </wp:positionH>
            <wp:positionV relativeFrom="paragraph">
              <wp:posOffset>74930</wp:posOffset>
            </wp:positionV>
            <wp:extent cx="635" cy="0"/>
            <wp:effectExtent l="0" t="0" r="0" b="0"/>
            <wp:wrapNone/>
            <wp:docPr id="128" name="图片 702" descr="胶南风玫瑰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702" descr="胶南风玫瑰图"/>
                    <pic:cNvPicPr>
                      <a:picLocks noChangeAspect="1"/>
                    </pic:cNvPicPr>
                  </pic:nvPicPr>
                  <pic:blipFill>
                    <a:blip r:embed="rId28"/>
                    <a:srcRect l="3589" t="807" r="4369" b="2467"/>
                    <a:stretch>
                      <a:fillRect/>
                    </a:stretch>
                  </pic:blipFill>
                  <pic:spPr>
                    <a:xfrm>
                      <a:off x="0" y="0"/>
                      <a:ext cx="635" cy="0"/>
                    </a:xfrm>
                    <a:prstGeom prst="rect">
                      <a:avLst/>
                    </a:prstGeom>
                    <a:noFill/>
                    <a:ln w="9525" cap="flat" cmpd="sng">
                      <a:solidFill>
                        <a:srgbClr val="000000"/>
                      </a:solidFill>
                      <a:prstDash val="solid"/>
                      <a:miter/>
                      <a:headEnd type="none" w="med" len="med"/>
                      <a:tailEnd type="none" w="med" len="med"/>
                    </a:ln>
                  </pic:spPr>
                </pic:pic>
              </a:graphicData>
            </a:graphic>
          </wp:anchor>
        </w:drawing>
      </w:r>
    </w:p>
    <w:sectPr>
      <w:footerReference r:id="rId8" w:type="default"/>
      <w:pgSz w:w="11906" w:h="16838"/>
      <w:pgMar w:top="1440" w:right="1418" w:bottom="1440" w:left="737" w:header="851" w:footer="992" w:gutter="0"/>
      <w:pgBorders>
        <w:top w:val="none" w:sz="0" w:space="0"/>
        <w:left w:val="none" w:sz="0" w:space="0"/>
        <w:bottom w:val="none" w:sz="0" w:space="0"/>
        <w:right w:val="none" w:sz="0" w:space="0"/>
      </w:pgBorders>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SSJ-PK74820002705-Identity-H">
    <w:altName w:val="Times New Roman"/>
    <w:panose1 w:val="00000000000000000000"/>
    <w:charset w:val="00"/>
    <w:family w:val="roman"/>
    <w:pitch w:val="default"/>
    <w:sig w:usb0="00000000" w:usb1="00000000" w:usb2="00000000" w:usb3="00000000" w:csb0="00040001" w:csb1="00000000"/>
  </w:font>
  <w:font w:name="方正宋三简体">
    <w:altName w:val="宋体"/>
    <w:panose1 w:val="00000000000000000000"/>
    <w:charset w:val="86"/>
    <w:family w:val="script"/>
    <w:pitch w:val="default"/>
    <w:sig w:usb0="00000000" w:usb1="00000000" w:usb2="00000010" w:usb3="00000000" w:csb0="00040000" w:csb1="00000000"/>
  </w:font>
  <w:font w:name="方正书宋简体">
    <w:altName w:val="宋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rPr>
        <w:rStyle w:val="43"/>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align>center</wp:align>
              </wp:positionV>
              <wp:extent cx="121285" cy="137795"/>
              <wp:effectExtent l="0" t="0" r="0" b="0"/>
              <wp:wrapNone/>
              <wp:docPr id="1" name="文本框 1"/>
              <wp:cNvGraphicFramePr/>
              <a:graphic xmlns:a="http://schemas.openxmlformats.org/drawingml/2006/main">
                <a:graphicData uri="http://schemas.microsoft.com/office/word/2010/wordprocessingShape">
                  <wps:wsp>
                    <wps:cNvSpPr txBox="1"/>
                    <wps:spPr>
                      <a:xfrm>
                        <a:off x="0" y="0"/>
                        <a:ext cx="121285" cy="1377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7"/>
                            <w:rPr>
                              <w:rStyle w:val="43"/>
                            </w:rPr>
                          </w:pPr>
                          <w:r>
                            <w:rPr>
                              <w:rStyle w:val="43"/>
                              <w:rFonts w:hint="eastAsia"/>
                            </w:rPr>
                            <w:fldChar w:fldCharType="begin"/>
                          </w:r>
                          <w:r>
                            <w:rPr>
                              <w:rStyle w:val="43"/>
                              <w:rFonts w:hint="eastAsia"/>
                            </w:rPr>
                            <w:instrText xml:space="preserve"> PAGE  \* MERGEFORMAT </w:instrText>
                          </w:r>
                          <w:r>
                            <w:rPr>
                              <w:rStyle w:val="43"/>
                              <w:rFonts w:hint="eastAsia"/>
                            </w:rPr>
                            <w:fldChar w:fldCharType="separate"/>
                          </w:r>
                          <w:r>
                            <w:t>17</w:t>
                          </w:r>
                          <w:r>
                            <w:rPr>
                              <w:rStyle w:val="43"/>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height:10.85pt;width:9.55pt;mso-position-horizontal:center;mso-position-horizontal-relative:margin;mso-position-vertical:center;mso-wrap-style:none;z-index:251658240;mso-width-relative:page;mso-height-relative:page;" filled="f" stroked="f" coordsize="21600,21600" o:gfxdata="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D+GrMR0gAAAAMBAAAPAAAAAAAAAAEA&#10;IAAAACIAAABkcnMvZG93bnJldi54bWxQSwECFAAUAAAACACHTuJAadH7TRUCAAAFBAAADgAAAAAA&#10;AAABACAAAAAhAQAAZHJzL2Uyb0RvYy54bWxQSwUGAAAAAAYABgBZAQAAqAUAAAAA&#10;">
              <v:fill on="f" focussize="0,0"/>
              <v:stroke on="f" weight="0.5pt"/>
              <v:imagedata o:title=""/>
              <o:lock v:ext="edit" aspectratio="f"/>
              <v:textbox inset="0mm,0mm,0mm,0mm" style="mso-fit-shape-to-text:t;">
                <w:txbxContent>
                  <w:p>
                    <w:pPr>
                      <w:pStyle w:val="27"/>
                      <w:rPr>
                        <w:rStyle w:val="43"/>
                      </w:rPr>
                    </w:pPr>
                    <w:r>
                      <w:rPr>
                        <w:rStyle w:val="43"/>
                        <w:rFonts w:hint="eastAsia"/>
                      </w:rPr>
                      <w:fldChar w:fldCharType="begin"/>
                    </w:r>
                    <w:r>
                      <w:rPr>
                        <w:rStyle w:val="43"/>
                        <w:rFonts w:hint="eastAsia"/>
                      </w:rPr>
                      <w:instrText xml:space="preserve"> PAGE  \* MERGEFORMAT </w:instrText>
                    </w:r>
                    <w:r>
                      <w:rPr>
                        <w:rStyle w:val="43"/>
                        <w:rFonts w:hint="eastAsia"/>
                      </w:rPr>
                      <w:fldChar w:fldCharType="separate"/>
                    </w:r>
                    <w:r>
                      <w:t>17</w:t>
                    </w:r>
                    <w:r>
                      <w:rPr>
                        <w:rStyle w:val="43"/>
                        <w:rFonts w:hint="eastAsia"/>
                      </w:rPr>
                      <w:fldChar w:fldCharType="end"/>
                    </w:r>
                  </w:p>
                </w:txbxContent>
              </v:textbox>
            </v:shape>
          </w:pict>
        </mc:Fallback>
      </mc:AlternateContent>
    </w:r>
    <w:r>
      <w:rPr>
        <w:rFonts w:hint="eastAsia"/>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pPr>
    <w:r>
      <mc:AlternateContent>
        <mc:Choice Requires="wps">
          <w:drawing>
            <wp:anchor distT="0" distB="0" distL="114300" distR="114300" simplePos="0" relativeHeight="251796480" behindDoc="0" locked="0" layoutInCell="1" allowOverlap="1">
              <wp:simplePos x="0" y="0"/>
              <wp:positionH relativeFrom="margin">
                <wp:align>center</wp:align>
              </wp:positionH>
              <wp:positionV relativeFrom="paragraph">
                <wp:posOffset>0</wp:posOffset>
              </wp:positionV>
              <wp:extent cx="121285" cy="137795"/>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21285" cy="1377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48</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0.85pt;width:9.55pt;mso-position-horizontal:center;mso-position-horizontal-relative:margin;mso-wrap-style:none;z-index:251796480;mso-width-relative:page;mso-height-relative:page;" filled="f" stroked="f" coordsize="21600,21600" o:gfxdata="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P4asxHSAAAAAwEAAA8AAAAAAAAAAQAg&#10;AAAAIgAAAGRycy9kb3ducmV2LnhtbFBLAQIUABQAAAAIAIdO4kB5/I48FAIAAAcEAAAOAAAAAAAA&#10;AAEAIAAAACEBAABkcnMvZTJvRG9jLnhtbFBLBQYAAAAABgAGAFkBAACnBQAAAAA=&#10;">
              <v:fill on="f" focussize="0,0"/>
              <v:stroke on="f" weight="0.5pt"/>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48</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F82A623"/>
    <w:multiLevelType w:val="singleLevel"/>
    <w:tmpl w:val="9F82A623"/>
    <w:lvl w:ilvl="0" w:tentative="0">
      <w:start w:val="1"/>
      <w:numFmt w:val="decimal"/>
      <w:suff w:val="nothing"/>
      <w:lvlText w:val="%1、"/>
      <w:lvlJc w:val="left"/>
    </w:lvl>
  </w:abstractNum>
  <w:abstractNum w:abstractNumId="1">
    <w:nsid w:val="A60067F1"/>
    <w:multiLevelType w:val="singleLevel"/>
    <w:tmpl w:val="A60067F1"/>
    <w:lvl w:ilvl="0" w:tentative="0">
      <w:start w:val="1"/>
      <w:numFmt w:val="decimal"/>
      <w:suff w:val="nothing"/>
      <w:lvlText w:val="（%1）"/>
      <w:lvlJc w:val="left"/>
    </w:lvl>
  </w:abstractNum>
  <w:abstractNum w:abstractNumId="2">
    <w:nsid w:val="AE19F0DC"/>
    <w:multiLevelType w:val="singleLevel"/>
    <w:tmpl w:val="AE19F0DC"/>
    <w:lvl w:ilvl="0" w:tentative="0">
      <w:start w:val="2"/>
      <w:numFmt w:val="decimal"/>
      <w:suff w:val="nothing"/>
      <w:lvlText w:val="（%1）"/>
      <w:lvlJc w:val="left"/>
    </w:lvl>
  </w:abstractNum>
  <w:abstractNum w:abstractNumId="3">
    <w:nsid w:val="E6800613"/>
    <w:multiLevelType w:val="singleLevel"/>
    <w:tmpl w:val="E6800613"/>
    <w:lvl w:ilvl="0" w:tentative="0">
      <w:start w:val="2"/>
      <w:numFmt w:val="decimal"/>
      <w:suff w:val="nothing"/>
      <w:lvlText w:val="（%1）"/>
      <w:lvlJc w:val="left"/>
    </w:lvl>
  </w:abstractNum>
  <w:abstractNum w:abstractNumId="4">
    <w:nsid w:val="09E7362E"/>
    <w:multiLevelType w:val="singleLevel"/>
    <w:tmpl w:val="09E7362E"/>
    <w:lvl w:ilvl="0" w:tentative="0">
      <w:start w:val="8"/>
      <w:numFmt w:val="decimal"/>
      <w:suff w:val="nothing"/>
      <w:lvlText w:val="%1、"/>
      <w:lvlJc w:val="left"/>
    </w:lvl>
  </w:abstractNum>
  <w:abstractNum w:abstractNumId="5">
    <w:nsid w:val="1FAD62BD"/>
    <w:multiLevelType w:val="singleLevel"/>
    <w:tmpl w:val="1FAD62BD"/>
    <w:lvl w:ilvl="0" w:tentative="0">
      <w:start w:val="1"/>
      <w:numFmt w:val="chineseCounting"/>
      <w:suff w:val="nothing"/>
      <w:lvlText w:val="%1、"/>
      <w:lvlJc w:val="left"/>
      <w:rPr>
        <w:rFonts w:hint="eastAsia"/>
      </w:rPr>
    </w:lvl>
  </w:abstractNum>
  <w:abstractNum w:abstractNumId="6">
    <w:nsid w:val="2EC5E8A2"/>
    <w:multiLevelType w:val="singleLevel"/>
    <w:tmpl w:val="2EC5E8A2"/>
    <w:lvl w:ilvl="0" w:tentative="0">
      <w:start w:val="1"/>
      <w:numFmt w:val="bullet"/>
      <w:pStyle w:val="20"/>
      <w:lvlText w:val=""/>
      <w:lvlJc w:val="left"/>
      <w:pPr>
        <w:tabs>
          <w:tab w:val="left" w:pos="2040"/>
        </w:tabs>
        <w:ind w:left="2040" w:hanging="360"/>
      </w:pPr>
      <w:rPr>
        <w:rFonts w:hint="default" w:ascii="Wingdings" w:hAnsi="Wingdings"/>
      </w:rPr>
    </w:lvl>
  </w:abstractNum>
  <w:abstractNum w:abstractNumId="7">
    <w:nsid w:val="5C319A70"/>
    <w:multiLevelType w:val="singleLevel"/>
    <w:tmpl w:val="5C319A70"/>
    <w:lvl w:ilvl="0" w:tentative="0">
      <w:start w:val="1"/>
      <w:numFmt w:val="decimal"/>
      <w:suff w:val="nothing"/>
      <w:lvlText w:val="%1."/>
      <w:lvlJc w:val="left"/>
    </w:lvl>
  </w:abstractNum>
  <w:num w:numId="1">
    <w:abstractNumId w:val="6"/>
  </w:num>
  <w:num w:numId="2">
    <w:abstractNumId w:val="5"/>
  </w:num>
  <w:num w:numId="3">
    <w:abstractNumId w:val="7"/>
  </w:num>
  <w:num w:numId="4">
    <w:abstractNumId w:val="2"/>
  </w:num>
  <w:num w:numId="5">
    <w:abstractNumId w:val="4"/>
  </w:num>
  <w:num w:numId="6">
    <w:abstractNumId w:val="0"/>
  </w:num>
  <w:num w:numId="7">
    <w:abstractNumId w:val="3"/>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082C"/>
    <w:rsid w:val="00000961"/>
    <w:rsid w:val="000014A9"/>
    <w:rsid w:val="00001A56"/>
    <w:rsid w:val="000023F9"/>
    <w:rsid w:val="000028E3"/>
    <w:rsid w:val="00002974"/>
    <w:rsid w:val="00002ABE"/>
    <w:rsid w:val="00004141"/>
    <w:rsid w:val="000041D4"/>
    <w:rsid w:val="0000529E"/>
    <w:rsid w:val="00005996"/>
    <w:rsid w:val="00006C14"/>
    <w:rsid w:val="00007B55"/>
    <w:rsid w:val="00007C33"/>
    <w:rsid w:val="00007E7D"/>
    <w:rsid w:val="000104AA"/>
    <w:rsid w:val="0001060F"/>
    <w:rsid w:val="00010F81"/>
    <w:rsid w:val="000114E5"/>
    <w:rsid w:val="0001152A"/>
    <w:rsid w:val="00012210"/>
    <w:rsid w:val="00012330"/>
    <w:rsid w:val="00012452"/>
    <w:rsid w:val="0001321F"/>
    <w:rsid w:val="00013507"/>
    <w:rsid w:val="00013DB5"/>
    <w:rsid w:val="000141EE"/>
    <w:rsid w:val="0001453F"/>
    <w:rsid w:val="000148A5"/>
    <w:rsid w:val="00014AAC"/>
    <w:rsid w:val="00014C71"/>
    <w:rsid w:val="00014CCA"/>
    <w:rsid w:val="000152DB"/>
    <w:rsid w:val="00015A67"/>
    <w:rsid w:val="00015A72"/>
    <w:rsid w:val="00015FA9"/>
    <w:rsid w:val="00016367"/>
    <w:rsid w:val="000164EE"/>
    <w:rsid w:val="00016616"/>
    <w:rsid w:val="000176FB"/>
    <w:rsid w:val="00017CD2"/>
    <w:rsid w:val="00020049"/>
    <w:rsid w:val="000205AA"/>
    <w:rsid w:val="0002124B"/>
    <w:rsid w:val="0002152D"/>
    <w:rsid w:val="000215AB"/>
    <w:rsid w:val="0002164E"/>
    <w:rsid w:val="00021A00"/>
    <w:rsid w:val="00021BE2"/>
    <w:rsid w:val="0002269C"/>
    <w:rsid w:val="000229FB"/>
    <w:rsid w:val="000231E0"/>
    <w:rsid w:val="00023547"/>
    <w:rsid w:val="0002355E"/>
    <w:rsid w:val="00024171"/>
    <w:rsid w:val="000245FA"/>
    <w:rsid w:val="0002486E"/>
    <w:rsid w:val="00025AE4"/>
    <w:rsid w:val="00026477"/>
    <w:rsid w:val="0002687E"/>
    <w:rsid w:val="00026EED"/>
    <w:rsid w:val="00027310"/>
    <w:rsid w:val="00030363"/>
    <w:rsid w:val="000308A3"/>
    <w:rsid w:val="00030E1E"/>
    <w:rsid w:val="00031158"/>
    <w:rsid w:val="00031B8B"/>
    <w:rsid w:val="00031E04"/>
    <w:rsid w:val="00031E69"/>
    <w:rsid w:val="00032122"/>
    <w:rsid w:val="000327A0"/>
    <w:rsid w:val="00032DB9"/>
    <w:rsid w:val="0003375A"/>
    <w:rsid w:val="00034D50"/>
    <w:rsid w:val="00035251"/>
    <w:rsid w:val="00035305"/>
    <w:rsid w:val="00035487"/>
    <w:rsid w:val="00035909"/>
    <w:rsid w:val="00035EB8"/>
    <w:rsid w:val="000362A2"/>
    <w:rsid w:val="0003633C"/>
    <w:rsid w:val="0003755E"/>
    <w:rsid w:val="000377F4"/>
    <w:rsid w:val="00037E84"/>
    <w:rsid w:val="0004015A"/>
    <w:rsid w:val="00040DDB"/>
    <w:rsid w:val="00041831"/>
    <w:rsid w:val="00042783"/>
    <w:rsid w:val="00042DCA"/>
    <w:rsid w:val="00043106"/>
    <w:rsid w:val="00043619"/>
    <w:rsid w:val="000446FE"/>
    <w:rsid w:val="000468C5"/>
    <w:rsid w:val="00046FB8"/>
    <w:rsid w:val="000476EB"/>
    <w:rsid w:val="00047D81"/>
    <w:rsid w:val="00047E24"/>
    <w:rsid w:val="00047E3E"/>
    <w:rsid w:val="00051A7A"/>
    <w:rsid w:val="00051E6C"/>
    <w:rsid w:val="0005269F"/>
    <w:rsid w:val="000535FE"/>
    <w:rsid w:val="00053804"/>
    <w:rsid w:val="00053AF0"/>
    <w:rsid w:val="000540B0"/>
    <w:rsid w:val="00054A07"/>
    <w:rsid w:val="00054A2F"/>
    <w:rsid w:val="00054C07"/>
    <w:rsid w:val="0005532E"/>
    <w:rsid w:val="00056297"/>
    <w:rsid w:val="00056606"/>
    <w:rsid w:val="000568E0"/>
    <w:rsid w:val="00057E15"/>
    <w:rsid w:val="00060505"/>
    <w:rsid w:val="00060D8D"/>
    <w:rsid w:val="0006161E"/>
    <w:rsid w:val="00061A78"/>
    <w:rsid w:val="00061EEB"/>
    <w:rsid w:val="000633E0"/>
    <w:rsid w:val="000633F7"/>
    <w:rsid w:val="00063D3E"/>
    <w:rsid w:val="00063D74"/>
    <w:rsid w:val="0006453C"/>
    <w:rsid w:val="00065687"/>
    <w:rsid w:val="00066113"/>
    <w:rsid w:val="00066933"/>
    <w:rsid w:val="00066D18"/>
    <w:rsid w:val="00067144"/>
    <w:rsid w:val="00067284"/>
    <w:rsid w:val="000674AB"/>
    <w:rsid w:val="00067D17"/>
    <w:rsid w:val="00070814"/>
    <w:rsid w:val="000709E6"/>
    <w:rsid w:val="00071364"/>
    <w:rsid w:val="00071A76"/>
    <w:rsid w:val="00072049"/>
    <w:rsid w:val="0007268D"/>
    <w:rsid w:val="00072930"/>
    <w:rsid w:val="00074ABB"/>
    <w:rsid w:val="00074D30"/>
    <w:rsid w:val="000758B2"/>
    <w:rsid w:val="000762C0"/>
    <w:rsid w:val="00077248"/>
    <w:rsid w:val="000776D4"/>
    <w:rsid w:val="00081631"/>
    <w:rsid w:val="00081828"/>
    <w:rsid w:val="00081878"/>
    <w:rsid w:val="00081A6B"/>
    <w:rsid w:val="00081ADD"/>
    <w:rsid w:val="00082383"/>
    <w:rsid w:val="00082936"/>
    <w:rsid w:val="00082A6C"/>
    <w:rsid w:val="00083164"/>
    <w:rsid w:val="00083848"/>
    <w:rsid w:val="0008398F"/>
    <w:rsid w:val="000841BF"/>
    <w:rsid w:val="000851AB"/>
    <w:rsid w:val="000853FB"/>
    <w:rsid w:val="00086A4E"/>
    <w:rsid w:val="000873EC"/>
    <w:rsid w:val="000876BC"/>
    <w:rsid w:val="00087990"/>
    <w:rsid w:val="0009116D"/>
    <w:rsid w:val="00091646"/>
    <w:rsid w:val="000917DF"/>
    <w:rsid w:val="0009184F"/>
    <w:rsid w:val="00091A6D"/>
    <w:rsid w:val="000925AA"/>
    <w:rsid w:val="00092B28"/>
    <w:rsid w:val="00092C2B"/>
    <w:rsid w:val="00093C77"/>
    <w:rsid w:val="00093E9D"/>
    <w:rsid w:val="00094612"/>
    <w:rsid w:val="00094713"/>
    <w:rsid w:val="0009505E"/>
    <w:rsid w:val="0009535F"/>
    <w:rsid w:val="00095481"/>
    <w:rsid w:val="00096032"/>
    <w:rsid w:val="000970FC"/>
    <w:rsid w:val="000A02AC"/>
    <w:rsid w:val="000A0C9B"/>
    <w:rsid w:val="000A18CB"/>
    <w:rsid w:val="000A194A"/>
    <w:rsid w:val="000A23CB"/>
    <w:rsid w:val="000A2B00"/>
    <w:rsid w:val="000A2B08"/>
    <w:rsid w:val="000A4A10"/>
    <w:rsid w:val="000A4AF3"/>
    <w:rsid w:val="000A5358"/>
    <w:rsid w:val="000A5613"/>
    <w:rsid w:val="000A5C6F"/>
    <w:rsid w:val="000A5E5A"/>
    <w:rsid w:val="000A6C47"/>
    <w:rsid w:val="000A7962"/>
    <w:rsid w:val="000A7B89"/>
    <w:rsid w:val="000B013E"/>
    <w:rsid w:val="000B0724"/>
    <w:rsid w:val="000B105F"/>
    <w:rsid w:val="000B10C5"/>
    <w:rsid w:val="000B10E1"/>
    <w:rsid w:val="000B1EF1"/>
    <w:rsid w:val="000B27E6"/>
    <w:rsid w:val="000B2AD6"/>
    <w:rsid w:val="000B3A10"/>
    <w:rsid w:val="000B4638"/>
    <w:rsid w:val="000B5481"/>
    <w:rsid w:val="000B5876"/>
    <w:rsid w:val="000B5957"/>
    <w:rsid w:val="000B649D"/>
    <w:rsid w:val="000B7286"/>
    <w:rsid w:val="000C0327"/>
    <w:rsid w:val="000C1330"/>
    <w:rsid w:val="000C19D3"/>
    <w:rsid w:val="000C1AE7"/>
    <w:rsid w:val="000C1BDF"/>
    <w:rsid w:val="000C1C14"/>
    <w:rsid w:val="000C1D32"/>
    <w:rsid w:val="000C37E8"/>
    <w:rsid w:val="000C4693"/>
    <w:rsid w:val="000C4BEC"/>
    <w:rsid w:val="000C577B"/>
    <w:rsid w:val="000C5A74"/>
    <w:rsid w:val="000C5F7F"/>
    <w:rsid w:val="000C6936"/>
    <w:rsid w:val="000C7089"/>
    <w:rsid w:val="000C786A"/>
    <w:rsid w:val="000C7D88"/>
    <w:rsid w:val="000D0B41"/>
    <w:rsid w:val="000D0C99"/>
    <w:rsid w:val="000D0EC3"/>
    <w:rsid w:val="000D171B"/>
    <w:rsid w:val="000D1E47"/>
    <w:rsid w:val="000D2C78"/>
    <w:rsid w:val="000D3061"/>
    <w:rsid w:val="000D322D"/>
    <w:rsid w:val="000D4280"/>
    <w:rsid w:val="000D47A8"/>
    <w:rsid w:val="000D5D12"/>
    <w:rsid w:val="000D5FA1"/>
    <w:rsid w:val="000D6287"/>
    <w:rsid w:val="000D6C9D"/>
    <w:rsid w:val="000D6CD1"/>
    <w:rsid w:val="000D73FA"/>
    <w:rsid w:val="000D7AF5"/>
    <w:rsid w:val="000D7CAA"/>
    <w:rsid w:val="000E0E1E"/>
    <w:rsid w:val="000E13B6"/>
    <w:rsid w:val="000E2531"/>
    <w:rsid w:val="000E417E"/>
    <w:rsid w:val="000E5511"/>
    <w:rsid w:val="000E552A"/>
    <w:rsid w:val="000E777F"/>
    <w:rsid w:val="000F0546"/>
    <w:rsid w:val="000F0A12"/>
    <w:rsid w:val="000F0D5D"/>
    <w:rsid w:val="000F15A6"/>
    <w:rsid w:val="000F1950"/>
    <w:rsid w:val="000F1E5D"/>
    <w:rsid w:val="000F24D8"/>
    <w:rsid w:val="000F26A2"/>
    <w:rsid w:val="000F30F4"/>
    <w:rsid w:val="000F395E"/>
    <w:rsid w:val="000F42C5"/>
    <w:rsid w:val="000F497D"/>
    <w:rsid w:val="000F78BF"/>
    <w:rsid w:val="000F7F30"/>
    <w:rsid w:val="00100314"/>
    <w:rsid w:val="00100604"/>
    <w:rsid w:val="00100994"/>
    <w:rsid w:val="00100DFF"/>
    <w:rsid w:val="0010117F"/>
    <w:rsid w:val="00102C5D"/>
    <w:rsid w:val="00103644"/>
    <w:rsid w:val="0010389E"/>
    <w:rsid w:val="00103D43"/>
    <w:rsid w:val="0010450A"/>
    <w:rsid w:val="00104920"/>
    <w:rsid w:val="00104D17"/>
    <w:rsid w:val="0010588F"/>
    <w:rsid w:val="00106914"/>
    <w:rsid w:val="00106C43"/>
    <w:rsid w:val="00106D8A"/>
    <w:rsid w:val="00107164"/>
    <w:rsid w:val="001105F0"/>
    <w:rsid w:val="0011159C"/>
    <w:rsid w:val="0011166D"/>
    <w:rsid w:val="00111945"/>
    <w:rsid w:val="00112996"/>
    <w:rsid w:val="00112D12"/>
    <w:rsid w:val="00112F3F"/>
    <w:rsid w:val="00113A77"/>
    <w:rsid w:val="00113AF3"/>
    <w:rsid w:val="00113C7E"/>
    <w:rsid w:val="00114FD4"/>
    <w:rsid w:val="00115DB5"/>
    <w:rsid w:val="001169AA"/>
    <w:rsid w:val="001172EC"/>
    <w:rsid w:val="001174AF"/>
    <w:rsid w:val="00117711"/>
    <w:rsid w:val="00121B8F"/>
    <w:rsid w:val="00121D0C"/>
    <w:rsid w:val="00121D10"/>
    <w:rsid w:val="00122A98"/>
    <w:rsid w:val="001235D3"/>
    <w:rsid w:val="0012382A"/>
    <w:rsid w:val="001242C4"/>
    <w:rsid w:val="0012456C"/>
    <w:rsid w:val="0012529E"/>
    <w:rsid w:val="00126065"/>
    <w:rsid w:val="00126A2B"/>
    <w:rsid w:val="0012704C"/>
    <w:rsid w:val="0012731F"/>
    <w:rsid w:val="0013036A"/>
    <w:rsid w:val="00131142"/>
    <w:rsid w:val="00131EB5"/>
    <w:rsid w:val="0013216C"/>
    <w:rsid w:val="00132AFE"/>
    <w:rsid w:val="00133084"/>
    <w:rsid w:val="0013383F"/>
    <w:rsid w:val="00133D7B"/>
    <w:rsid w:val="00134454"/>
    <w:rsid w:val="00134B23"/>
    <w:rsid w:val="00135118"/>
    <w:rsid w:val="00135365"/>
    <w:rsid w:val="00135391"/>
    <w:rsid w:val="001353FD"/>
    <w:rsid w:val="0013640E"/>
    <w:rsid w:val="0013664B"/>
    <w:rsid w:val="001369E9"/>
    <w:rsid w:val="00136BF9"/>
    <w:rsid w:val="00137333"/>
    <w:rsid w:val="00137429"/>
    <w:rsid w:val="00137555"/>
    <w:rsid w:val="00137F33"/>
    <w:rsid w:val="0014016F"/>
    <w:rsid w:val="0014019D"/>
    <w:rsid w:val="0014119A"/>
    <w:rsid w:val="00141F32"/>
    <w:rsid w:val="00141FE8"/>
    <w:rsid w:val="00142587"/>
    <w:rsid w:val="00142EFD"/>
    <w:rsid w:val="00143629"/>
    <w:rsid w:val="00143748"/>
    <w:rsid w:val="00143862"/>
    <w:rsid w:val="00144378"/>
    <w:rsid w:val="0014438C"/>
    <w:rsid w:val="00144FA1"/>
    <w:rsid w:val="00145554"/>
    <w:rsid w:val="00145B08"/>
    <w:rsid w:val="00145EC6"/>
    <w:rsid w:val="00146624"/>
    <w:rsid w:val="00146A0B"/>
    <w:rsid w:val="00146DB4"/>
    <w:rsid w:val="0014705B"/>
    <w:rsid w:val="001477C0"/>
    <w:rsid w:val="00147B45"/>
    <w:rsid w:val="00150C2E"/>
    <w:rsid w:val="001514F0"/>
    <w:rsid w:val="00151917"/>
    <w:rsid w:val="00151C88"/>
    <w:rsid w:val="00151D2E"/>
    <w:rsid w:val="001522D8"/>
    <w:rsid w:val="001522E3"/>
    <w:rsid w:val="001532E3"/>
    <w:rsid w:val="001544CB"/>
    <w:rsid w:val="00154699"/>
    <w:rsid w:val="001551C2"/>
    <w:rsid w:val="00155976"/>
    <w:rsid w:val="00156468"/>
    <w:rsid w:val="00156518"/>
    <w:rsid w:val="00156B2F"/>
    <w:rsid w:val="001603CB"/>
    <w:rsid w:val="00160B9B"/>
    <w:rsid w:val="00161000"/>
    <w:rsid w:val="00161474"/>
    <w:rsid w:val="00161589"/>
    <w:rsid w:val="0016250D"/>
    <w:rsid w:val="00162E80"/>
    <w:rsid w:val="00163683"/>
    <w:rsid w:val="001638C1"/>
    <w:rsid w:val="00163946"/>
    <w:rsid w:val="0016451C"/>
    <w:rsid w:val="001645F3"/>
    <w:rsid w:val="00165547"/>
    <w:rsid w:val="0016591E"/>
    <w:rsid w:val="00166742"/>
    <w:rsid w:val="001667D5"/>
    <w:rsid w:val="001672EB"/>
    <w:rsid w:val="001674CF"/>
    <w:rsid w:val="0016771D"/>
    <w:rsid w:val="001702BB"/>
    <w:rsid w:val="001708ED"/>
    <w:rsid w:val="00170926"/>
    <w:rsid w:val="00170E54"/>
    <w:rsid w:val="00171087"/>
    <w:rsid w:val="0017141F"/>
    <w:rsid w:val="001714E4"/>
    <w:rsid w:val="001720BC"/>
    <w:rsid w:val="001721C6"/>
    <w:rsid w:val="0017267B"/>
    <w:rsid w:val="001727B7"/>
    <w:rsid w:val="00172A27"/>
    <w:rsid w:val="0017300D"/>
    <w:rsid w:val="00173373"/>
    <w:rsid w:val="001733C8"/>
    <w:rsid w:val="00173E7D"/>
    <w:rsid w:val="00173E83"/>
    <w:rsid w:val="00174826"/>
    <w:rsid w:val="0017482F"/>
    <w:rsid w:val="001749D9"/>
    <w:rsid w:val="00174ABA"/>
    <w:rsid w:val="00175557"/>
    <w:rsid w:val="00176695"/>
    <w:rsid w:val="00176A59"/>
    <w:rsid w:val="00176ACD"/>
    <w:rsid w:val="00176F0E"/>
    <w:rsid w:val="001771BF"/>
    <w:rsid w:val="001771F8"/>
    <w:rsid w:val="001807CB"/>
    <w:rsid w:val="00180993"/>
    <w:rsid w:val="001812DD"/>
    <w:rsid w:val="00181873"/>
    <w:rsid w:val="001818A1"/>
    <w:rsid w:val="0018194F"/>
    <w:rsid w:val="001825BF"/>
    <w:rsid w:val="0018262C"/>
    <w:rsid w:val="001826B6"/>
    <w:rsid w:val="00182987"/>
    <w:rsid w:val="00182D32"/>
    <w:rsid w:val="00182D47"/>
    <w:rsid w:val="00182D75"/>
    <w:rsid w:val="001841F2"/>
    <w:rsid w:val="0018473F"/>
    <w:rsid w:val="00184A07"/>
    <w:rsid w:val="001858FD"/>
    <w:rsid w:val="00186289"/>
    <w:rsid w:val="00186294"/>
    <w:rsid w:val="00186DEC"/>
    <w:rsid w:val="001870F2"/>
    <w:rsid w:val="001871A8"/>
    <w:rsid w:val="0018768E"/>
    <w:rsid w:val="0018774B"/>
    <w:rsid w:val="00190670"/>
    <w:rsid w:val="00191287"/>
    <w:rsid w:val="001913E2"/>
    <w:rsid w:val="00191710"/>
    <w:rsid w:val="00191EAB"/>
    <w:rsid w:val="00191F29"/>
    <w:rsid w:val="00192D59"/>
    <w:rsid w:val="0019320A"/>
    <w:rsid w:val="00193802"/>
    <w:rsid w:val="00193808"/>
    <w:rsid w:val="00194300"/>
    <w:rsid w:val="00194AA3"/>
    <w:rsid w:val="00194E35"/>
    <w:rsid w:val="00195DF6"/>
    <w:rsid w:val="00195E53"/>
    <w:rsid w:val="0019603D"/>
    <w:rsid w:val="00197062"/>
    <w:rsid w:val="00197322"/>
    <w:rsid w:val="00197B16"/>
    <w:rsid w:val="001A0439"/>
    <w:rsid w:val="001A0991"/>
    <w:rsid w:val="001A0D1C"/>
    <w:rsid w:val="001A13E6"/>
    <w:rsid w:val="001A14CA"/>
    <w:rsid w:val="001A2C88"/>
    <w:rsid w:val="001A34F8"/>
    <w:rsid w:val="001A6099"/>
    <w:rsid w:val="001A6350"/>
    <w:rsid w:val="001A684C"/>
    <w:rsid w:val="001A6CC4"/>
    <w:rsid w:val="001A6D17"/>
    <w:rsid w:val="001A6E46"/>
    <w:rsid w:val="001A6F8E"/>
    <w:rsid w:val="001A7A56"/>
    <w:rsid w:val="001A7D19"/>
    <w:rsid w:val="001B0158"/>
    <w:rsid w:val="001B098A"/>
    <w:rsid w:val="001B1613"/>
    <w:rsid w:val="001B183B"/>
    <w:rsid w:val="001B1C4A"/>
    <w:rsid w:val="001B27B3"/>
    <w:rsid w:val="001B2FAB"/>
    <w:rsid w:val="001B34D5"/>
    <w:rsid w:val="001B3505"/>
    <w:rsid w:val="001B4087"/>
    <w:rsid w:val="001B4191"/>
    <w:rsid w:val="001B45CB"/>
    <w:rsid w:val="001B543F"/>
    <w:rsid w:val="001B5FBC"/>
    <w:rsid w:val="001B61F6"/>
    <w:rsid w:val="001B6D39"/>
    <w:rsid w:val="001B75C6"/>
    <w:rsid w:val="001B76BC"/>
    <w:rsid w:val="001C0656"/>
    <w:rsid w:val="001C0B7E"/>
    <w:rsid w:val="001C1735"/>
    <w:rsid w:val="001C195E"/>
    <w:rsid w:val="001C2926"/>
    <w:rsid w:val="001C2E2A"/>
    <w:rsid w:val="001C468F"/>
    <w:rsid w:val="001C4906"/>
    <w:rsid w:val="001C5A50"/>
    <w:rsid w:val="001C6906"/>
    <w:rsid w:val="001C75AB"/>
    <w:rsid w:val="001C79D4"/>
    <w:rsid w:val="001C7B68"/>
    <w:rsid w:val="001C7BF4"/>
    <w:rsid w:val="001D109E"/>
    <w:rsid w:val="001D1E2D"/>
    <w:rsid w:val="001D1F73"/>
    <w:rsid w:val="001D28CF"/>
    <w:rsid w:val="001D28D4"/>
    <w:rsid w:val="001D2BD0"/>
    <w:rsid w:val="001D35D1"/>
    <w:rsid w:val="001D44B5"/>
    <w:rsid w:val="001D4A38"/>
    <w:rsid w:val="001D4B76"/>
    <w:rsid w:val="001D4D30"/>
    <w:rsid w:val="001D59F1"/>
    <w:rsid w:val="001D6851"/>
    <w:rsid w:val="001D69E5"/>
    <w:rsid w:val="001D7191"/>
    <w:rsid w:val="001D79CF"/>
    <w:rsid w:val="001E0176"/>
    <w:rsid w:val="001E151A"/>
    <w:rsid w:val="001E1667"/>
    <w:rsid w:val="001E188B"/>
    <w:rsid w:val="001E272F"/>
    <w:rsid w:val="001E2805"/>
    <w:rsid w:val="001E2CE5"/>
    <w:rsid w:val="001E33A9"/>
    <w:rsid w:val="001E3E14"/>
    <w:rsid w:val="001E3F4A"/>
    <w:rsid w:val="001E4002"/>
    <w:rsid w:val="001E4519"/>
    <w:rsid w:val="001E5199"/>
    <w:rsid w:val="001E5582"/>
    <w:rsid w:val="001E558D"/>
    <w:rsid w:val="001E5B6B"/>
    <w:rsid w:val="001E5DD1"/>
    <w:rsid w:val="001E68BF"/>
    <w:rsid w:val="001E6D79"/>
    <w:rsid w:val="001E6DF2"/>
    <w:rsid w:val="001E6E22"/>
    <w:rsid w:val="001E71BE"/>
    <w:rsid w:val="001E7584"/>
    <w:rsid w:val="001F00B7"/>
    <w:rsid w:val="001F0321"/>
    <w:rsid w:val="001F04F0"/>
    <w:rsid w:val="001F1395"/>
    <w:rsid w:val="001F1E95"/>
    <w:rsid w:val="001F2078"/>
    <w:rsid w:val="001F2152"/>
    <w:rsid w:val="001F2791"/>
    <w:rsid w:val="001F2932"/>
    <w:rsid w:val="001F2B39"/>
    <w:rsid w:val="001F2FF0"/>
    <w:rsid w:val="001F30A0"/>
    <w:rsid w:val="001F3129"/>
    <w:rsid w:val="001F35E4"/>
    <w:rsid w:val="001F38AC"/>
    <w:rsid w:val="001F3928"/>
    <w:rsid w:val="001F4799"/>
    <w:rsid w:val="001F49AD"/>
    <w:rsid w:val="001F4F36"/>
    <w:rsid w:val="001F59B2"/>
    <w:rsid w:val="001F5AE3"/>
    <w:rsid w:val="001F60E0"/>
    <w:rsid w:val="001F6C61"/>
    <w:rsid w:val="001F7EB7"/>
    <w:rsid w:val="002005AA"/>
    <w:rsid w:val="002009A4"/>
    <w:rsid w:val="00200A58"/>
    <w:rsid w:val="002018FD"/>
    <w:rsid w:val="00201C9E"/>
    <w:rsid w:val="00201CBA"/>
    <w:rsid w:val="002022EC"/>
    <w:rsid w:val="002027D4"/>
    <w:rsid w:val="00203479"/>
    <w:rsid w:val="00203507"/>
    <w:rsid w:val="002039CF"/>
    <w:rsid w:val="00203F11"/>
    <w:rsid w:val="00204A27"/>
    <w:rsid w:val="00204DCB"/>
    <w:rsid w:val="002056CF"/>
    <w:rsid w:val="00206D30"/>
    <w:rsid w:val="0020704D"/>
    <w:rsid w:val="002072B9"/>
    <w:rsid w:val="00207E1F"/>
    <w:rsid w:val="00210CCA"/>
    <w:rsid w:val="00210E16"/>
    <w:rsid w:val="00210F70"/>
    <w:rsid w:val="002110E7"/>
    <w:rsid w:val="00212930"/>
    <w:rsid w:val="00212DC7"/>
    <w:rsid w:val="00213CC5"/>
    <w:rsid w:val="00214157"/>
    <w:rsid w:val="002143B0"/>
    <w:rsid w:val="0021598E"/>
    <w:rsid w:val="00216199"/>
    <w:rsid w:val="002163C7"/>
    <w:rsid w:val="00216718"/>
    <w:rsid w:val="00217688"/>
    <w:rsid w:val="002176D6"/>
    <w:rsid w:val="00220980"/>
    <w:rsid w:val="00220D16"/>
    <w:rsid w:val="00221706"/>
    <w:rsid w:val="00222725"/>
    <w:rsid w:val="00222823"/>
    <w:rsid w:val="002228E6"/>
    <w:rsid w:val="002234D3"/>
    <w:rsid w:val="00223930"/>
    <w:rsid w:val="00223ABA"/>
    <w:rsid w:val="00224677"/>
    <w:rsid w:val="00224EBA"/>
    <w:rsid w:val="0022531D"/>
    <w:rsid w:val="002259F2"/>
    <w:rsid w:val="00225C13"/>
    <w:rsid w:val="002261E7"/>
    <w:rsid w:val="00226D4D"/>
    <w:rsid w:val="0022727D"/>
    <w:rsid w:val="00227C86"/>
    <w:rsid w:val="002301B5"/>
    <w:rsid w:val="002309AC"/>
    <w:rsid w:val="00230B74"/>
    <w:rsid w:val="00231B22"/>
    <w:rsid w:val="00231BB6"/>
    <w:rsid w:val="00231BD3"/>
    <w:rsid w:val="002324E6"/>
    <w:rsid w:val="0023504C"/>
    <w:rsid w:val="00235F07"/>
    <w:rsid w:val="002370F4"/>
    <w:rsid w:val="0023739E"/>
    <w:rsid w:val="00237D73"/>
    <w:rsid w:val="002418C0"/>
    <w:rsid w:val="00241907"/>
    <w:rsid w:val="00241C85"/>
    <w:rsid w:val="00242021"/>
    <w:rsid w:val="002429C0"/>
    <w:rsid w:val="00242B56"/>
    <w:rsid w:val="00243AF1"/>
    <w:rsid w:val="00243C12"/>
    <w:rsid w:val="00243D08"/>
    <w:rsid w:val="00243D24"/>
    <w:rsid w:val="002452BD"/>
    <w:rsid w:val="00247C8E"/>
    <w:rsid w:val="00247DB6"/>
    <w:rsid w:val="00247F9D"/>
    <w:rsid w:val="0025025A"/>
    <w:rsid w:val="00250371"/>
    <w:rsid w:val="00250C27"/>
    <w:rsid w:val="00250F1E"/>
    <w:rsid w:val="00250FA5"/>
    <w:rsid w:val="00251B4F"/>
    <w:rsid w:val="00251EFC"/>
    <w:rsid w:val="00253459"/>
    <w:rsid w:val="002537CA"/>
    <w:rsid w:val="00253C19"/>
    <w:rsid w:val="00253D54"/>
    <w:rsid w:val="00256B8F"/>
    <w:rsid w:val="00256D3B"/>
    <w:rsid w:val="00257290"/>
    <w:rsid w:val="00257E02"/>
    <w:rsid w:val="00260441"/>
    <w:rsid w:val="00260A60"/>
    <w:rsid w:val="00260A82"/>
    <w:rsid w:val="00261D73"/>
    <w:rsid w:val="00261FFD"/>
    <w:rsid w:val="00262693"/>
    <w:rsid w:val="00262AF2"/>
    <w:rsid w:val="0026333C"/>
    <w:rsid w:val="00263D14"/>
    <w:rsid w:val="00264223"/>
    <w:rsid w:val="00264585"/>
    <w:rsid w:val="0026486E"/>
    <w:rsid w:val="0026486F"/>
    <w:rsid w:val="00264A0A"/>
    <w:rsid w:val="00265205"/>
    <w:rsid w:val="002656DE"/>
    <w:rsid w:val="00265888"/>
    <w:rsid w:val="002659DD"/>
    <w:rsid w:val="0026630E"/>
    <w:rsid w:val="00266C25"/>
    <w:rsid w:val="00266EC6"/>
    <w:rsid w:val="002700BB"/>
    <w:rsid w:val="0027035A"/>
    <w:rsid w:val="002703E0"/>
    <w:rsid w:val="002704A9"/>
    <w:rsid w:val="00270639"/>
    <w:rsid w:val="00270693"/>
    <w:rsid w:val="00270786"/>
    <w:rsid w:val="00270AF7"/>
    <w:rsid w:val="00270DC2"/>
    <w:rsid w:val="00270E48"/>
    <w:rsid w:val="002720EB"/>
    <w:rsid w:val="00272992"/>
    <w:rsid w:val="00272AA3"/>
    <w:rsid w:val="00273967"/>
    <w:rsid w:val="0027398E"/>
    <w:rsid w:val="00273AAC"/>
    <w:rsid w:val="00273E2C"/>
    <w:rsid w:val="00273ED6"/>
    <w:rsid w:val="00274EC1"/>
    <w:rsid w:val="002759A5"/>
    <w:rsid w:val="00275DA5"/>
    <w:rsid w:val="002763F1"/>
    <w:rsid w:val="00276E1A"/>
    <w:rsid w:val="00277D44"/>
    <w:rsid w:val="002805FA"/>
    <w:rsid w:val="002813FC"/>
    <w:rsid w:val="00281564"/>
    <w:rsid w:val="00281834"/>
    <w:rsid w:val="00281E07"/>
    <w:rsid w:val="00283162"/>
    <w:rsid w:val="00283BC0"/>
    <w:rsid w:val="00283DAC"/>
    <w:rsid w:val="00284143"/>
    <w:rsid w:val="002842DD"/>
    <w:rsid w:val="002853B5"/>
    <w:rsid w:val="0028696C"/>
    <w:rsid w:val="002879C2"/>
    <w:rsid w:val="00287D89"/>
    <w:rsid w:val="0029052A"/>
    <w:rsid w:val="0029138E"/>
    <w:rsid w:val="002914D1"/>
    <w:rsid w:val="00291807"/>
    <w:rsid w:val="00291DBE"/>
    <w:rsid w:val="00292035"/>
    <w:rsid w:val="0029245C"/>
    <w:rsid w:val="002936BF"/>
    <w:rsid w:val="00293FFB"/>
    <w:rsid w:val="00294367"/>
    <w:rsid w:val="002947DE"/>
    <w:rsid w:val="00294FC2"/>
    <w:rsid w:val="0029521E"/>
    <w:rsid w:val="002955FA"/>
    <w:rsid w:val="002961B4"/>
    <w:rsid w:val="00296E21"/>
    <w:rsid w:val="0029766B"/>
    <w:rsid w:val="002A02E7"/>
    <w:rsid w:val="002A04D0"/>
    <w:rsid w:val="002A070F"/>
    <w:rsid w:val="002A1475"/>
    <w:rsid w:val="002A189C"/>
    <w:rsid w:val="002A292D"/>
    <w:rsid w:val="002A2942"/>
    <w:rsid w:val="002A3B37"/>
    <w:rsid w:val="002A4A20"/>
    <w:rsid w:val="002A5A73"/>
    <w:rsid w:val="002A6061"/>
    <w:rsid w:val="002A65AC"/>
    <w:rsid w:val="002A6D45"/>
    <w:rsid w:val="002A7957"/>
    <w:rsid w:val="002A7E95"/>
    <w:rsid w:val="002B0411"/>
    <w:rsid w:val="002B0FDD"/>
    <w:rsid w:val="002B105B"/>
    <w:rsid w:val="002B1CE4"/>
    <w:rsid w:val="002B21D2"/>
    <w:rsid w:val="002B28FB"/>
    <w:rsid w:val="002B2ABC"/>
    <w:rsid w:val="002B2C1B"/>
    <w:rsid w:val="002B36B7"/>
    <w:rsid w:val="002B3C1D"/>
    <w:rsid w:val="002B3F3F"/>
    <w:rsid w:val="002B40AB"/>
    <w:rsid w:val="002B4EEA"/>
    <w:rsid w:val="002B50A1"/>
    <w:rsid w:val="002B5126"/>
    <w:rsid w:val="002B5C97"/>
    <w:rsid w:val="002B5E3A"/>
    <w:rsid w:val="002B6409"/>
    <w:rsid w:val="002B6D20"/>
    <w:rsid w:val="002B7896"/>
    <w:rsid w:val="002B7E6A"/>
    <w:rsid w:val="002C078A"/>
    <w:rsid w:val="002C07BB"/>
    <w:rsid w:val="002C0CFF"/>
    <w:rsid w:val="002C1C6A"/>
    <w:rsid w:val="002C26C0"/>
    <w:rsid w:val="002C28D1"/>
    <w:rsid w:val="002C2C0B"/>
    <w:rsid w:val="002C3783"/>
    <w:rsid w:val="002C3D92"/>
    <w:rsid w:val="002C4009"/>
    <w:rsid w:val="002C488E"/>
    <w:rsid w:val="002C4FF2"/>
    <w:rsid w:val="002C58CA"/>
    <w:rsid w:val="002C5F13"/>
    <w:rsid w:val="002C67D6"/>
    <w:rsid w:val="002C6C86"/>
    <w:rsid w:val="002C70AD"/>
    <w:rsid w:val="002C70C9"/>
    <w:rsid w:val="002C7AD0"/>
    <w:rsid w:val="002D06C2"/>
    <w:rsid w:val="002D0723"/>
    <w:rsid w:val="002D09D8"/>
    <w:rsid w:val="002D1429"/>
    <w:rsid w:val="002D1FC9"/>
    <w:rsid w:val="002D2BAF"/>
    <w:rsid w:val="002D3083"/>
    <w:rsid w:val="002D34F1"/>
    <w:rsid w:val="002D3AAA"/>
    <w:rsid w:val="002D3FB6"/>
    <w:rsid w:val="002D46B5"/>
    <w:rsid w:val="002D4C06"/>
    <w:rsid w:val="002D508B"/>
    <w:rsid w:val="002D5182"/>
    <w:rsid w:val="002D594F"/>
    <w:rsid w:val="002D5B15"/>
    <w:rsid w:val="002D5B2A"/>
    <w:rsid w:val="002D616C"/>
    <w:rsid w:val="002D65DF"/>
    <w:rsid w:val="002D7CAB"/>
    <w:rsid w:val="002D7CEE"/>
    <w:rsid w:val="002E01EB"/>
    <w:rsid w:val="002E0A84"/>
    <w:rsid w:val="002E0F35"/>
    <w:rsid w:val="002E1357"/>
    <w:rsid w:val="002E2204"/>
    <w:rsid w:val="002E2426"/>
    <w:rsid w:val="002E254F"/>
    <w:rsid w:val="002E277C"/>
    <w:rsid w:val="002E3C25"/>
    <w:rsid w:val="002E3E2A"/>
    <w:rsid w:val="002E3F4B"/>
    <w:rsid w:val="002E4376"/>
    <w:rsid w:val="002E4664"/>
    <w:rsid w:val="002E4A48"/>
    <w:rsid w:val="002E4C0B"/>
    <w:rsid w:val="002E5071"/>
    <w:rsid w:val="002E5241"/>
    <w:rsid w:val="002E5A43"/>
    <w:rsid w:val="002E6707"/>
    <w:rsid w:val="002E683A"/>
    <w:rsid w:val="002E685A"/>
    <w:rsid w:val="002E7506"/>
    <w:rsid w:val="002E7667"/>
    <w:rsid w:val="002E7811"/>
    <w:rsid w:val="002F014E"/>
    <w:rsid w:val="002F03A5"/>
    <w:rsid w:val="002F0F64"/>
    <w:rsid w:val="002F20C0"/>
    <w:rsid w:val="002F334A"/>
    <w:rsid w:val="002F37C6"/>
    <w:rsid w:val="002F38BF"/>
    <w:rsid w:val="002F3C70"/>
    <w:rsid w:val="002F3EBD"/>
    <w:rsid w:val="002F3F8C"/>
    <w:rsid w:val="002F4E86"/>
    <w:rsid w:val="002F549C"/>
    <w:rsid w:val="002F5A72"/>
    <w:rsid w:val="002F6404"/>
    <w:rsid w:val="002F6BCA"/>
    <w:rsid w:val="002F6E55"/>
    <w:rsid w:val="002F76D4"/>
    <w:rsid w:val="002F7993"/>
    <w:rsid w:val="0030069A"/>
    <w:rsid w:val="00300959"/>
    <w:rsid w:val="00300979"/>
    <w:rsid w:val="00300F0F"/>
    <w:rsid w:val="00301043"/>
    <w:rsid w:val="00301CBE"/>
    <w:rsid w:val="00302061"/>
    <w:rsid w:val="00302106"/>
    <w:rsid w:val="003025B1"/>
    <w:rsid w:val="00302E30"/>
    <w:rsid w:val="00303705"/>
    <w:rsid w:val="00304D49"/>
    <w:rsid w:val="00304D8B"/>
    <w:rsid w:val="00305862"/>
    <w:rsid w:val="0030661F"/>
    <w:rsid w:val="00307D54"/>
    <w:rsid w:val="003100C9"/>
    <w:rsid w:val="00310F2E"/>
    <w:rsid w:val="00310F52"/>
    <w:rsid w:val="00311C19"/>
    <w:rsid w:val="00313701"/>
    <w:rsid w:val="00313FBC"/>
    <w:rsid w:val="003142D6"/>
    <w:rsid w:val="003148EB"/>
    <w:rsid w:val="00314B56"/>
    <w:rsid w:val="00314B8C"/>
    <w:rsid w:val="00314D4C"/>
    <w:rsid w:val="00315E17"/>
    <w:rsid w:val="003165B2"/>
    <w:rsid w:val="00316A13"/>
    <w:rsid w:val="00317DDB"/>
    <w:rsid w:val="00320079"/>
    <w:rsid w:val="0032106D"/>
    <w:rsid w:val="003210E8"/>
    <w:rsid w:val="003210E9"/>
    <w:rsid w:val="00321608"/>
    <w:rsid w:val="00322394"/>
    <w:rsid w:val="00322432"/>
    <w:rsid w:val="003226B7"/>
    <w:rsid w:val="003229B6"/>
    <w:rsid w:val="00322C94"/>
    <w:rsid w:val="00323509"/>
    <w:rsid w:val="003236FE"/>
    <w:rsid w:val="003239BF"/>
    <w:rsid w:val="00324C2B"/>
    <w:rsid w:val="00324FF8"/>
    <w:rsid w:val="00325014"/>
    <w:rsid w:val="003250F7"/>
    <w:rsid w:val="0032581D"/>
    <w:rsid w:val="00326436"/>
    <w:rsid w:val="00327396"/>
    <w:rsid w:val="00327BA7"/>
    <w:rsid w:val="00327CE8"/>
    <w:rsid w:val="00330056"/>
    <w:rsid w:val="003301A7"/>
    <w:rsid w:val="00330A8B"/>
    <w:rsid w:val="00330D83"/>
    <w:rsid w:val="003310D5"/>
    <w:rsid w:val="003311D0"/>
    <w:rsid w:val="00331A26"/>
    <w:rsid w:val="00331B6B"/>
    <w:rsid w:val="00331CC3"/>
    <w:rsid w:val="00333366"/>
    <w:rsid w:val="00333B5A"/>
    <w:rsid w:val="00335384"/>
    <w:rsid w:val="00335532"/>
    <w:rsid w:val="00336045"/>
    <w:rsid w:val="00336BEA"/>
    <w:rsid w:val="00337A3B"/>
    <w:rsid w:val="00337DC4"/>
    <w:rsid w:val="00337ED3"/>
    <w:rsid w:val="003400BF"/>
    <w:rsid w:val="00340CD2"/>
    <w:rsid w:val="00340FB6"/>
    <w:rsid w:val="00341574"/>
    <w:rsid w:val="00342425"/>
    <w:rsid w:val="00342655"/>
    <w:rsid w:val="00342B02"/>
    <w:rsid w:val="00343D01"/>
    <w:rsid w:val="00344397"/>
    <w:rsid w:val="00344B77"/>
    <w:rsid w:val="003451AF"/>
    <w:rsid w:val="00345B8B"/>
    <w:rsid w:val="00345FDD"/>
    <w:rsid w:val="00346C48"/>
    <w:rsid w:val="00347461"/>
    <w:rsid w:val="003474B0"/>
    <w:rsid w:val="0034766F"/>
    <w:rsid w:val="0034771D"/>
    <w:rsid w:val="00347921"/>
    <w:rsid w:val="00347B7C"/>
    <w:rsid w:val="00347D7F"/>
    <w:rsid w:val="003503EC"/>
    <w:rsid w:val="003506A0"/>
    <w:rsid w:val="0035248E"/>
    <w:rsid w:val="00353139"/>
    <w:rsid w:val="003534E1"/>
    <w:rsid w:val="00353858"/>
    <w:rsid w:val="00353EA1"/>
    <w:rsid w:val="00353F7F"/>
    <w:rsid w:val="00354031"/>
    <w:rsid w:val="0035410D"/>
    <w:rsid w:val="00354E8B"/>
    <w:rsid w:val="00354EAF"/>
    <w:rsid w:val="00355196"/>
    <w:rsid w:val="00355B2B"/>
    <w:rsid w:val="00356539"/>
    <w:rsid w:val="0035698E"/>
    <w:rsid w:val="00360428"/>
    <w:rsid w:val="00360DE4"/>
    <w:rsid w:val="00360F54"/>
    <w:rsid w:val="00360F8E"/>
    <w:rsid w:val="00361946"/>
    <w:rsid w:val="00361AF7"/>
    <w:rsid w:val="00361DA8"/>
    <w:rsid w:val="003621ED"/>
    <w:rsid w:val="003622D9"/>
    <w:rsid w:val="003624E2"/>
    <w:rsid w:val="003626CB"/>
    <w:rsid w:val="00362CA4"/>
    <w:rsid w:val="003633B6"/>
    <w:rsid w:val="0036340C"/>
    <w:rsid w:val="00363587"/>
    <w:rsid w:val="00363BA6"/>
    <w:rsid w:val="003659EF"/>
    <w:rsid w:val="003659F4"/>
    <w:rsid w:val="00365B01"/>
    <w:rsid w:val="0036601F"/>
    <w:rsid w:val="003704DE"/>
    <w:rsid w:val="00371279"/>
    <w:rsid w:val="00371D1A"/>
    <w:rsid w:val="00371FAB"/>
    <w:rsid w:val="00372394"/>
    <w:rsid w:val="00372CB7"/>
    <w:rsid w:val="003736CC"/>
    <w:rsid w:val="00373894"/>
    <w:rsid w:val="00373F89"/>
    <w:rsid w:val="0037413A"/>
    <w:rsid w:val="00374205"/>
    <w:rsid w:val="003743BE"/>
    <w:rsid w:val="00374E52"/>
    <w:rsid w:val="00375444"/>
    <w:rsid w:val="0037610E"/>
    <w:rsid w:val="003762F5"/>
    <w:rsid w:val="00376E94"/>
    <w:rsid w:val="00376FFD"/>
    <w:rsid w:val="00377606"/>
    <w:rsid w:val="003777CF"/>
    <w:rsid w:val="003779EC"/>
    <w:rsid w:val="00377D14"/>
    <w:rsid w:val="0038006C"/>
    <w:rsid w:val="00380792"/>
    <w:rsid w:val="00380AE3"/>
    <w:rsid w:val="00380DF1"/>
    <w:rsid w:val="00381DBA"/>
    <w:rsid w:val="003822F9"/>
    <w:rsid w:val="003823D6"/>
    <w:rsid w:val="0038265F"/>
    <w:rsid w:val="00383387"/>
    <w:rsid w:val="00384592"/>
    <w:rsid w:val="00385536"/>
    <w:rsid w:val="003857BA"/>
    <w:rsid w:val="00386F89"/>
    <w:rsid w:val="00387826"/>
    <w:rsid w:val="00387C60"/>
    <w:rsid w:val="00387F55"/>
    <w:rsid w:val="0039003A"/>
    <w:rsid w:val="00390FCE"/>
    <w:rsid w:val="00391A11"/>
    <w:rsid w:val="00391C4F"/>
    <w:rsid w:val="00391D80"/>
    <w:rsid w:val="00391D87"/>
    <w:rsid w:val="00392049"/>
    <w:rsid w:val="0039226F"/>
    <w:rsid w:val="00392548"/>
    <w:rsid w:val="00392844"/>
    <w:rsid w:val="003930E4"/>
    <w:rsid w:val="00394C47"/>
    <w:rsid w:val="0039742C"/>
    <w:rsid w:val="00397452"/>
    <w:rsid w:val="003A0A5C"/>
    <w:rsid w:val="003A0B95"/>
    <w:rsid w:val="003A1A04"/>
    <w:rsid w:val="003A28C8"/>
    <w:rsid w:val="003A2E75"/>
    <w:rsid w:val="003A3100"/>
    <w:rsid w:val="003A3AB7"/>
    <w:rsid w:val="003A3C95"/>
    <w:rsid w:val="003A410A"/>
    <w:rsid w:val="003A42AB"/>
    <w:rsid w:val="003A45A9"/>
    <w:rsid w:val="003A5AE8"/>
    <w:rsid w:val="003A62AA"/>
    <w:rsid w:val="003A7015"/>
    <w:rsid w:val="003B0C50"/>
    <w:rsid w:val="003B10EB"/>
    <w:rsid w:val="003B12D8"/>
    <w:rsid w:val="003B1F8E"/>
    <w:rsid w:val="003B1FEB"/>
    <w:rsid w:val="003B24BD"/>
    <w:rsid w:val="003B262E"/>
    <w:rsid w:val="003B2B54"/>
    <w:rsid w:val="003B3290"/>
    <w:rsid w:val="003B47C9"/>
    <w:rsid w:val="003B5165"/>
    <w:rsid w:val="003B5397"/>
    <w:rsid w:val="003B6FF1"/>
    <w:rsid w:val="003B74B9"/>
    <w:rsid w:val="003B7931"/>
    <w:rsid w:val="003B7CF8"/>
    <w:rsid w:val="003B7FD5"/>
    <w:rsid w:val="003C0357"/>
    <w:rsid w:val="003C0791"/>
    <w:rsid w:val="003C0912"/>
    <w:rsid w:val="003C0FC2"/>
    <w:rsid w:val="003C17E9"/>
    <w:rsid w:val="003C2D15"/>
    <w:rsid w:val="003C2DBD"/>
    <w:rsid w:val="003C3273"/>
    <w:rsid w:val="003C3361"/>
    <w:rsid w:val="003C4E59"/>
    <w:rsid w:val="003C4E8E"/>
    <w:rsid w:val="003C6161"/>
    <w:rsid w:val="003C71B8"/>
    <w:rsid w:val="003C7720"/>
    <w:rsid w:val="003C7D22"/>
    <w:rsid w:val="003C7E64"/>
    <w:rsid w:val="003D026B"/>
    <w:rsid w:val="003D0BE6"/>
    <w:rsid w:val="003D0F1C"/>
    <w:rsid w:val="003D19B5"/>
    <w:rsid w:val="003D2E13"/>
    <w:rsid w:val="003D3064"/>
    <w:rsid w:val="003D329D"/>
    <w:rsid w:val="003D3724"/>
    <w:rsid w:val="003D3A51"/>
    <w:rsid w:val="003D3DB5"/>
    <w:rsid w:val="003D428C"/>
    <w:rsid w:val="003D47BD"/>
    <w:rsid w:val="003D5976"/>
    <w:rsid w:val="003D5D1C"/>
    <w:rsid w:val="003D5F74"/>
    <w:rsid w:val="003D666B"/>
    <w:rsid w:val="003D6A52"/>
    <w:rsid w:val="003D6EBA"/>
    <w:rsid w:val="003D711C"/>
    <w:rsid w:val="003D75F5"/>
    <w:rsid w:val="003E0CBE"/>
    <w:rsid w:val="003E146A"/>
    <w:rsid w:val="003E2F44"/>
    <w:rsid w:val="003E41C1"/>
    <w:rsid w:val="003E493F"/>
    <w:rsid w:val="003E4D75"/>
    <w:rsid w:val="003E5CE1"/>
    <w:rsid w:val="003E6CBE"/>
    <w:rsid w:val="003E73AB"/>
    <w:rsid w:val="003E7420"/>
    <w:rsid w:val="003E74BD"/>
    <w:rsid w:val="003E7539"/>
    <w:rsid w:val="003E78D3"/>
    <w:rsid w:val="003E7992"/>
    <w:rsid w:val="003E79DE"/>
    <w:rsid w:val="003E7BDD"/>
    <w:rsid w:val="003F0D54"/>
    <w:rsid w:val="003F0F9C"/>
    <w:rsid w:val="003F179E"/>
    <w:rsid w:val="003F188B"/>
    <w:rsid w:val="003F1AA8"/>
    <w:rsid w:val="003F27B9"/>
    <w:rsid w:val="003F2AC5"/>
    <w:rsid w:val="003F310F"/>
    <w:rsid w:val="003F3758"/>
    <w:rsid w:val="003F3775"/>
    <w:rsid w:val="003F37DE"/>
    <w:rsid w:val="003F3EF5"/>
    <w:rsid w:val="003F402F"/>
    <w:rsid w:val="003F4CEC"/>
    <w:rsid w:val="003F524D"/>
    <w:rsid w:val="003F52F8"/>
    <w:rsid w:val="003F55B2"/>
    <w:rsid w:val="003F619A"/>
    <w:rsid w:val="003F64AA"/>
    <w:rsid w:val="003F68C1"/>
    <w:rsid w:val="003F6C67"/>
    <w:rsid w:val="003F755D"/>
    <w:rsid w:val="003F79AA"/>
    <w:rsid w:val="0040068C"/>
    <w:rsid w:val="00400A37"/>
    <w:rsid w:val="00400A4A"/>
    <w:rsid w:val="004021D7"/>
    <w:rsid w:val="004030DC"/>
    <w:rsid w:val="0040378D"/>
    <w:rsid w:val="00404C22"/>
    <w:rsid w:val="00404F7D"/>
    <w:rsid w:val="00405A96"/>
    <w:rsid w:val="00405B20"/>
    <w:rsid w:val="00405E45"/>
    <w:rsid w:val="0040626F"/>
    <w:rsid w:val="004067AA"/>
    <w:rsid w:val="00406866"/>
    <w:rsid w:val="00406B11"/>
    <w:rsid w:val="00407249"/>
    <w:rsid w:val="0040761A"/>
    <w:rsid w:val="00410190"/>
    <w:rsid w:val="004105DA"/>
    <w:rsid w:val="0041109E"/>
    <w:rsid w:val="00411B6C"/>
    <w:rsid w:val="00411BE6"/>
    <w:rsid w:val="0041251C"/>
    <w:rsid w:val="004125A6"/>
    <w:rsid w:val="004125E5"/>
    <w:rsid w:val="00414513"/>
    <w:rsid w:val="00414788"/>
    <w:rsid w:val="00414E79"/>
    <w:rsid w:val="0041515A"/>
    <w:rsid w:val="0041541F"/>
    <w:rsid w:val="0041552A"/>
    <w:rsid w:val="00415C02"/>
    <w:rsid w:val="0041651D"/>
    <w:rsid w:val="0041670C"/>
    <w:rsid w:val="004167D5"/>
    <w:rsid w:val="00417634"/>
    <w:rsid w:val="004179FD"/>
    <w:rsid w:val="00417D24"/>
    <w:rsid w:val="0042042A"/>
    <w:rsid w:val="004205AB"/>
    <w:rsid w:val="00420A9B"/>
    <w:rsid w:val="0042130C"/>
    <w:rsid w:val="00421898"/>
    <w:rsid w:val="004218C2"/>
    <w:rsid w:val="00422354"/>
    <w:rsid w:val="00422859"/>
    <w:rsid w:val="00422F53"/>
    <w:rsid w:val="00423AB6"/>
    <w:rsid w:val="00424162"/>
    <w:rsid w:val="00424432"/>
    <w:rsid w:val="004247FE"/>
    <w:rsid w:val="00424C53"/>
    <w:rsid w:val="00424F47"/>
    <w:rsid w:val="0042514D"/>
    <w:rsid w:val="004251C5"/>
    <w:rsid w:val="0042520F"/>
    <w:rsid w:val="004254F1"/>
    <w:rsid w:val="0042598C"/>
    <w:rsid w:val="00425EF0"/>
    <w:rsid w:val="00426059"/>
    <w:rsid w:val="0042637A"/>
    <w:rsid w:val="00427285"/>
    <w:rsid w:val="0042761E"/>
    <w:rsid w:val="00431123"/>
    <w:rsid w:val="004311A4"/>
    <w:rsid w:val="00431564"/>
    <w:rsid w:val="00431747"/>
    <w:rsid w:val="004318EE"/>
    <w:rsid w:val="00431EF8"/>
    <w:rsid w:val="00431F97"/>
    <w:rsid w:val="004326F6"/>
    <w:rsid w:val="00433207"/>
    <w:rsid w:val="00433681"/>
    <w:rsid w:val="00433B33"/>
    <w:rsid w:val="0043449F"/>
    <w:rsid w:val="00434C1C"/>
    <w:rsid w:val="0043542E"/>
    <w:rsid w:val="004356FD"/>
    <w:rsid w:val="00435DA7"/>
    <w:rsid w:val="004364EA"/>
    <w:rsid w:val="00436647"/>
    <w:rsid w:val="00436FD0"/>
    <w:rsid w:val="004370D2"/>
    <w:rsid w:val="00437883"/>
    <w:rsid w:val="00437E86"/>
    <w:rsid w:val="00440395"/>
    <w:rsid w:val="00440565"/>
    <w:rsid w:val="004408ED"/>
    <w:rsid w:val="004419E4"/>
    <w:rsid w:val="00441F32"/>
    <w:rsid w:val="00442235"/>
    <w:rsid w:val="004422A8"/>
    <w:rsid w:val="004427DC"/>
    <w:rsid w:val="00442EAC"/>
    <w:rsid w:val="004430F4"/>
    <w:rsid w:val="0044358F"/>
    <w:rsid w:val="004443A7"/>
    <w:rsid w:val="00444727"/>
    <w:rsid w:val="00444BA9"/>
    <w:rsid w:val="00444E5A"/>
    <w:rsid w:val="00445137"/>
    <w:rsid w:val="00445619"/>
    <w:rsid w:val="00445BEA"/>
    <w:rsid w:val="00445C97"/>
    <w:rsid w:val="00446329"/>
    <w:rsid w:val="00446928"/>
    <w:rsid w:val="004470FE"/>
    <w:rsid w:val="00447488"/>
    <w:rsid w:val="00447901"/>
    <w:rsid w:val="00450D4A"/>
    <w:rsid w:val="00450EEF"/>
    <w:rsid w:val="004511C1"/>
    <w:rsid w:val="004511FA"/>
    <w:rsid w:val="00451292"/>
    <w:rsid w:val="00451C64"/>
    <w:rsid w:val="00452712"/>
    <w:rsid w:val="00452BCF"/>
    <w:rsid w:val="00453E86"/>
    <w:rsid w:val="00454639"/>
    <w:rsid w:val="004548A3"/>
    <w:rsid w:val="00454A69"/>
    <w:rsid w:val="00454C0F"/>
    <w:rsid w:val="00455102"/>
    <w:rsid w:val="00455DC2"/>
    <w:rsid w:val="0045622D"/>
    <w:rsid w:val="00456F59"/>
    <w:rsid w:val="0045782E"/>
    <w:rsid w:val="00457DFC"/>
    <w:rsid w:val="00460A30"/>
    <w:rsid w:val="00460FBF"/>
    <w:rsid w:val="00461547"/>
    <w:rsid w:val="00461882"/>
    <w:rsid w:val="004619B5"/>
    <w:rsid w:val="00461B14"/>
    <w:rsid w:val="004623F4"/>
    <w:rsid w:val="004628D4"/>
    <w:rsid w:val="0046290C"/>
    <w:rsid w:val="00462D04"/>
    <w:rsid w:val="00463E84"/>
    <w:rsid w:val="00464571"/>
    <w:rsid w:val="00464624"/>
    <w:rsid w:val="004648F8"/>
    <w:rsid w:val="00465BE5"/>
    <w:rsid w:val="0046646E"/>
    <w:rsid w:val="0046664F"/>
    <w:rsid w:val="00466EE7"/>
    <w:rsid w:val="00466F30"/>
    <w:rsid w:val="00467816"/>
    <w:rsid w:val="004679DB"/>
    <w:rsid w:val="0047064B"/>
    <w:rsid w:val="00470F6E"/>
    <w:rsid w:val="00471313"/>
    <w:rsid w:val="00471343"/>
    <w:rsid w:val="00471820"/>
    <w:rsid w:val="0047231D"/>
    <w:rsid w:val="00472EF5"/>
    <w:rsid w:val="00473059"/>
    <w:rsid w:val="00473A54"/>
    <w:rsid w:val="00474BE7"/>
    <w:rsid w:val="00474BF5"/>
    <w:rsid w:val="00474E5A"/>
    <w:rsid w:val="0047572E"/>
    <w:rsid w:val="00475D93"/>
    <w:rsid w:val="0047631A"/>
    <w:rsid w:val="00476B86"/>
    <w:rsid w:val="00476F47"/>
    <w:rsid w:val="004776ED"/>
    <w:rsid w:val="004776F0"/>
    <w:rsid w:val="00477897"/>
    <w:rsid w:val="00482923"/>
    <w:rsid w:val="00482DB5"/>
    <w:rsid w:val="00483E06"/>
    <w:rsid w:val="00484132"/>
    <w:rsid w:val="00484542"/>
    <w:rsid w:val="00484A2F"/>
    <w:rsid w:val="00484B20"/>
    <w:rsid w:val="00484E7A"/>
    <w:rsid w:val="0048513A"/>
    <w:rsid w:val="004851E7"/>
    <w:rsid w:val="004857DF"/>
    <w:rsid w:val="00485809"/>
    <w:rsid w:val="00486A37"/>
    <w:rsid w:val="00487084"/>
    <w:rsid w:val="00487536"/>
    <w:rsid w:val="00487E1C"/>
    <w:rsid w:val="00490151"/>
    <w:rsid w:val="004902DF"/>
    <w:rsid w:val="00490D3C"/>
    <w:rsid w:val="00490EF1"/>
    <w:rsid w:val="00491551"/>
    <w:rsid w:val="00491973"/>
    <w:rsid w:val="004922E8"/>
    <w:rsid w:val="00494700"/>
    <w:rsid w:val="00494AEE"/>
    <w:rsid w:val="00494DCD"/>
    <w:rsid w:val="0049502A"/>
    <w:rsid w:val="004954A0"/>
    <w:rsid w:val="00495586"/>
    <w:rsid w:val="0049571B"/>
    <w:rsid w:val="004958FE"/>
    <w:rsid w:val="00495D27"/>
    <w:rsid w:val="004978F6"/>
    <w:rsid w:val="004A043E"/>
    <w:rsid w:val="004A06DF"/>
    <w:rsid w:val="004A0E25"/>
    <w:rsid w:val="004A0FE5"/>
    <w:rsid w:val="004A1BB8"/>
    <w:rsid w:val="004A1F69"/>
    <w:rsid w:val="004A32C0"/>
    <w:rsid w:val="004A34E4"/>
    <w:rsid w:val="004A3E84"/>
    <w:rsid w:val="004A4FBF"/>
    <w:rsid w:val="004A545D"/>
    <w:rsid w:val="004A55AC"/>
    <w:rsid w:val="004A5DB6"/>
    <w:rsid w:val="004A7173"/>
    <w:rsid w:val="004A7945"/>
    <w:rsid w:val="004B00FB"/>
    <w:rsid w:val="004B03E9"/>
    <w:rsid w:val="004B07F9"/>
    <w:rsid w:val="004B1228"/>
    <w:rsid w:val="004B144A"/>
    <w:rsid w:val="004B181C"/>
    <w:rsid w:val="004B1B92"/>
    <w:rsid w:val="004B2103"/>
    <w:rsid w:val="004B24F8"/>
    <w:rsid w:val="004B2B6C"/>
    <w:rsid w:val="004B2FDF"/>
    <w:rsid w:val="004B3BAC"/>
    <w:rsid w:val="004B49BA"/>
    <w:rsid w:val="004B5780"/>
    <w:rsid w:val="004B5F2C"/>
    <w:rsid w:val="004B60E9"/>
    <w:rsid w:val="004B6431"/>
    <w:rsid w:val="004B646B"/>
    <w:rsid w:val="004B6A0C"/>
    <w:rsid w:val="004B6C57"/>
    <w:rsid w:val="004B769C"/>
    <w:rsid w:val="004B76A5"/>
    <w:rsid w:val="004B794B"/>
    <w:rsid w:val="004C0433"/>
    <w:rsid w:val="004C0A42"/>
    <w:rsid w:val="004C16DA"/>
    <w:rsid w:val="004C16E6"/>
    <w:rsid w:val="004C1E5A"/>
    <w:rsid w:val="004C2912"/>
    <w:rsid w:val="004C2D37"/>
    <w:rsid w:val="004C348C"/>
    <w:rsid w:val="004C3498"/>
    <w:rsid w:val="004C386E"/>
    <w:rsid w:val="004C3CE3"/>
    <w:rsid w:val="004C4052"/>
    <w:rsid w:val="004C422C"/>
    <w:rsid w:val="004C44C2"/>
    <w:rsid w:val="004C46DE"/>
    <w:rsid w:val="004C4B47"/>
    <w:rsid w:val="004C4E1C"/>
    <w:rsid w:val="004C5310"/>
    <w:rsid w:val="004C54C0"/>
    <w:rsid w:val="004C5A91"/>
    <w:rsid w:val="004C5C6A"/>
    <w:rsid w:val="004C5E9B"/>
    <w:rsid w:val="004C6095"/>
    <w:rsid w:val="004C60B0"/>
    <w:rsid w:val="004C6512"/>
    <w:rsid w:val="004C6FF6"/>
    <w:rsid w:val="004C7427"/>
    <w:rsid w:val="004C7F47"/>
    <w:rsid w:val="004D00CD"/>
    <w:rsid w:val="004D1110"/>
    <w:rsid w:val="004D178C"/>
    <w:rsid w:val="004D18F8"/>
    <w:rsid w:val="004D2153"/>
    <w:rsid w:val="004D2770"/>
    <w:rsid w:val="004D2772"/>
    <w:rsid w:val="004D2D83"/>
    <w:rsid w:val="004D3464"/>
    <w:rsid w:val="004D4763"/>
    <w:rsid w:val="004D4C4D"/>
    <w:rsid w:val="004D4ED5"/>
    <w:rsid w:val="004D53EC"/>
    <w:rsid w:val="004D5BF3"/>
    <w:rsid w:val="004D6288"/>
    <w:rsid w:val="004D6489"/>
    <w:rsid w:val="004D694D"/>
    <w:rsid w:val="004D69C3"/>
    <w:rsid w:val="004D6A8F"/>
    <w:rsid w:val="004D6F19"/>
    <w:rsid w:val="004D6FA2"/>
    <w:rsid w:val="004E0865"/>
    <w:rsid w:val="004E0C36"/>
    <w:rsid w:val="004E1DC8"/>
    <w:rsid w:val="004E248F"/>
    <w:rsid w:val="004E2F1A"/>
    <w:rsid w:val="004E2F82"/>
    <w:rsid w:val="004E327F"/>
    <w:rsid w:val="004E3824"/>
    <w:rsid w:val="004E383C"/>
    <w:rsid w:val="004E385D"/>
    <w:rsid w:val="004E4F5A"/>
    <w:rsid w:val="004E52D6"/>
    <w:rsid w:val="004E54C9"/>
    <w:rsid w:val="004E5712"/>
    <w:rsid w:val="004E5A28"/>
    <w:rsid w:val="004E6029"/>
    <w:rsid w:val="004E65F2"/>
    <w:rsid w:val="004E7BC5"/>
    <w:rsid w:val="004E7F0F"/>
    <w:rsid w:val="004F0047"/>
    <w:rsid w:val="004F0481"/>
    <w:rsid w:val="004F0856"/>
    <w:rsid w:val="004F116D"/>
    <w:rsid w:val="004F1B23"/>
    <w:rsid w:val="004F22CE"/>
    <w:rsid w:val="004F2507"/>
    <w:rsid w:val="004F25C6"/>
    <w:rsid w:val="004F2A40"/>
    <w:rsid w:val="004F2C17"/>
    <w:rsid w:val="004F55BF"/>
    <w:rsid w:val="004F5680"/>
    <w:rsid w:val="004F6489"/>
    <w:rsid w:val="004F69F2"/>
    <w:rsid w:val="00500910"/>
    <w:rsid w:val="00500ACC"/>
    <w:rsid w:val="00500DBF"/>
    <w:rsid w:val="0050249E"/>
    <w:rsid w:val="00502959"/>
    <w:rsid w:val="005030E2"/>
    <w:rsid w:val="00504C37"/>
    <w:rsid w:val="00504D73"/>
    <w:rsid w:val="00504E67"/>
    <w:rsid w:val="005051E0"/>
    <w:rsid w:val="00505281"/>
    <w:rsid w:val="005059EB"/>
    <w:rsid w:val="00505CD9"/>
    <w:rsid w:val="00506322"/>
    <w:rsid w:val="0050636F"/>
    <w:rsid w:val="005067B3"/>
    <w:rsid w:val="00506812"/>
    <w:rsid w:val="00507125"/>
    <w:rsid w:val="00507765"/>
    <w:rsid w:val="00507B40"/>
    <w:rsid w:val="00507B68"/>
    <w:rsid w:val="00507FFA"/>
    <w:rsid w:val="00510286"/>
    <w:rsid w:val="0051046A"/>
    <w:rsid w:val="00511C01"/>
    <w:rsid w:val="00511F6B"/>
    <w:rsid w:val="00512327"/>
    <w:rsid w:val="0051261E"/>
    <w:rsid w:val="0051265D"/>
    <w:rsid w:val="005128E3"/>
    <w:rsid w:val="00512B73"/>
    <w:rsid w:val="00514374"/>
    <w:rsid w:val="005145E0"/>
    <w:rsid w:val="0051483F"/>
    <w:rsid w:val="00514A89"/>
    <w:rsid w:val="0051507B"/>
    <w:rsid w:val="005150F6"/>
    <w:rsid w:val="00515D71"/>
    <w:rsid w:val="00515DC6"/>
    <w:rsid w:val="00516B6B"/>
    <w:rsid w:val="00516D11"/>
    <w:rsid w:val="00516DC1"/>
    <w:rsid w:val="00517004"/>
    <w:rsid w:val="005170A9"/>
    <w:rsid w:val="005175EB"/>
    <w:rsid w:val="005175F8"/>
    <w:rsid w:val="005178B0"/>
    <w:rsid w:val="00517940"/>
    <w:rsid w:val="00520A0F"/>
    <w:rsid w:val="00520AC0"/>
    <w:rsid w:val="005210C9"/>
    <w:rsid w:val="0052114F"/>
    <w:rsid w:val="00521A57"/>
    <w:rsid w:val="0052287B"/>
    <w:rsid w:val="00522F7B"/>
    <w:rsid w:val="0052349D"/>
    <w:rsid w:val="00523BAA"/>
    <w:rsid w:val="00523DC5"/>
    <w:rsid w:val="00524618"/>
    <w:rsid w:val="00524EBB"/>
    <w:rsid w:val="0052532B"/>
    <w:rsid w:val="0052536D"/>
    <w:rsid w:val="00525497"/>
    <w:rsid w:val="00525542"/>
    <w:rsid w:val="00525561"/>
    <w:rsid w:val="00526D8B"/>
    <w:rsid w:val="00526E0F"/>
    <w:rsid w:val="00526E9E"/>
    <w:rsid w:val="0052750C"/>
    <w:rsid w:val="005279E3"/>
    <w:rsid w:val="00527DCD"/>
    <w:rsid w:val="00530322"/>
    <w:rsid w:val="0053037D"/>
    <w:rsid w:val="0053123F"/>
    <w:rsid w:val="00531458"/>
    <w:rsid w:val="00531997"/>
    <w:rsid w:val="005328E3"/>
    <w:rsid w:val="00532922"/>
    <w:rsid w:val="00532A27"/>
    <w:rsid w:val="00532C5F"/>
    <w:rsid w:val="0053386C"/>
    <w:rsid w:val="00534EC8"/>
    <w:rsid w:val="005354BE"/>
    <w:rsid w:val="0053597A"/>
    <w:rsid w:val="00535D15"/>
    <w:rsid w:val="00536026"/>
    <w:rsid w:val="005366D4"/>
    <w:rsid w:val="005376A7"/>
    <w:rsid w:val="00537B0E"/>
    <w:rsid w:val="00540A00"/>
    <w:rsid w:val="00542DA3"/>
    <w:rsid w:val="00542F39"/>
    <w:rsid w:val="00543524"/>
    <w:rsid w:val="0054352E"/>
    <w:rsid w:val="00544474"/>
    <w:rsid w:val="0054490C"/>
    <w:rsid w:val="00544F01"/>
    <w:rsid w:val="0054556A"/>
    <w:rsid w:val="00546BC8"/>
    <w:rsid w:val="005501D4"/>
    <w:rsid w:val="005504C8"/>
    <w:rsid w:val="00551387"/>
    <w:rsid w:val="00551671"/>
    <w:rsid w:val="00551D14"/>
    <w:rsid w:val="00552F34"/>
    <w:rsid w:val="005536CB"/>
    <w:rsid w:val="0055392B"/>
    <w:rsid w:val="0055420D"/>
    <w:rsid w:val="0055426C"/>
    <w:rsid w:val="00554445"/>
    <w:rsid w:val="00554AFF"/>
    <w:rsid w:val="00555E52"/>
    <w:rsid w:val="005561E1"/>
    <w:rsid w:val="00556C27"/>
    <w:rsid w:val="00556FE6"/>
    <w:rsid w:val="00556FFF"/>
    <w:rsid w:val="005572B4"/>
    <w:rsid w:val="005573DC"/>
    <w:rsid w:val="00560196"/>
    <w:rsid w:val="00560472"/>
    <w:rsid w:val="00560C7C"/>
    <w:rsid w:val="00561E4A"/>
    <w:rsid w:val="00564022"/>
    <w:rsid w:val="0056544F"/>
    <w:rsid w:val="005654F1"/>
    <w:rsid w:val="005657D3"/>
    <w:rsid w:val="00565801"/>
    <w:rsid w:val="00567446"/>
    <w:rsid w:val="0056773B"/>
    <w:rsid w:val="00567C3A"/>
    <w:rsid w:val="00567E0C"/>
    <w:rsid w:val="00571673"/>
    <w:rsid w:val="00571B2E"/>
    <w:rsid w:val="00571BC5"/>
    <w:rsid w:val="005729BC"/>
    <w:rsid w:val="00572FED"/>
    <w:rsid w:val="0057358C"/>
    <w:rsid w:val="00573CB6"/>
    <w:rsid w:val="0057402C"/>
    <w:rsid w:val="00574B1B"/>
    <w:rsid w:val="00574FBC"/>
    <w:rsid w:val="00575318"/>
    <w:rsid w:val="005766B7"/>
    <w:rsid w:val="00576A19"/>
    <w:rsid w:val="00577828"/>
    <w:rsid w:val="005806F1"/>
    <w:rsid w:val="0058085C"/>
    <w:rsid w:val="00580DF7"/>
    <w:rsid w:val="00581424"/>
    <w:rsid w:val="00582186"/>
    <w:rsid w:val="00582410"/>
    <w:rsid w:val="00582425"/>
    <w:rsid w:val="0058251D"/>
    <w:rsid w:val="005827D5"/>
    <w:rsid w:val="00582FB6"/>
    <w:rsid w:val="005842EA"/>
    <w:rsid w:val="00584A3F"/>
    <w:rsid w:val="00584DF7"/>
    <w:rsid w:val="005852E3"/>
    <w:rsid w:val="00585353"/>
    <w:rsid w:val="005859B1"/>
    <w:rsid w:val="0058658C"/>
    <w:rsid w:val="0058665D"/>
    <w:rsid w:val="00586B1F"/>
    <w:rsid w:val="005870AC"/>
    <w:rsid w:val="00587636"/>
    <w:rsid w:val="00587A55"/>
    <w:rsid w:val="00587DAD"/>
    <w:rsid w:val="005901BC"/>
    <w:rsid w:val="00591013"/>
    <w:rsid w:val="00591DB4"/>
    <w:rsid w:val="00592EA2"/>
    <w:rsid w:val="00593B5C"/>
    <w:rsid w:val="00593C0B"/>
    <w:rsid w:val="00593DEF"/>
    <w:rsid w:val="00594168"/>
    <w:rsid w:val="005947CE"/>
    <w:rsid w:val="00594F6C"/>
    <w:rsid w:val="00595996"/>
    <w:rsid w:val="00595AC4"/>
    <w:rsid w:val="00596166"/>
    <w:rsid w:val="00596802"/>
    <w:rsid w:val="005968CC"/>
    <w:rsid w:val="0059718D"/>
    <w:rsid w:val="005974DF"/>
    <w:rsid w:val="00597875"/>
    <w:rsid w:val="005A04B6"/>
    <w:rsid w:val="005A0935"/>
    <w:rsid w:val="005A0E14"/>
    <w:rsid w:val="005A191B"/>
    <w:rsid w:val="005A1D78"/>
    <w:rsid w:val="005A1E36"/>
    <w:rsid w:val="005A2515"/>
    <w:rsid w:val="005A2F06"/>
    <w:rsid w:val="005A32AD"/>
    <w:rsid w:val="005A3531"/>
    <w:rsid w:val="005A3964"/>
    <w:rsid w:val="005A3D8A"/>
    <w:rsid w:val="005A3D93"/>
    <w:rsid w:val="005A3FF8"/>
    <w:rsid w:val="005A45CD"/>
    <w:rsid w:val="005A510B"/>
    <w:rsid w:val="005A5700"/>
    <w:rsid w:val="005A5CA1"/>
    <w:rsid w:val="005A6269"/>
    <w:rsid w:val="005A6B13"/>
    <w:rsid w:val="005A7CF3"/>
    <w:rsid w:val="005B0103"/>
    <w:rsid w:val="005B02A3"/>
    <w:rsid w:val="005B0786"/>
    <w:rsid w:val="005B0F0B"/>
    <w:rsid w:val="005B1525"/>
    <w:rsid w:val="005B23EC"/>
    <w:rsid w:val="005B2FE5"/>
    <w:rsid w:val="005B360D"/>
    <w:rsid w:val="005B39DC"/>
    <w:rsid w:val="005B42A7"/>
    <w:rsid w:val="005B51CB"/>
    <w:rsid w:val="005B5A81"/>
    <w:rsid w:val="005B66D2"/>
    <w:rsid w:val="005B6A82"/>
    <w:rsid w:val="005B6C64"/>
    <w:rsid w:val="005B74A7"/>
    <w:rsid w:val="005C00B6"/>
    <w:rsid w:val="005C07E3"/>
    <w:rsid w:val="005C0F65"/>
    <w:rsid w:val="005C143F"/>
    <w:rsid w:val="005C2761"/>
    <w:rsid w:val="005C391F"/>
    <w:rsid w:val="005C44A4"/>
    <w:rsid w:val="005C5745"/>
    <w:rsid w:val="005C5C0D"/>
    <w:rsid w:val="005C5D6E"/>
    <w:rsid w:val="005C61FE"/>
    <w:rsid w:val="005C66D9"/>
    <w:rsid w:val="005C67B0"/>
    <w:rsid w:val="005C6942"/>
    <w:rsid w:val="005C6C7F"/>
    <w:rsid w:val="005C762D"/>
    <w:rsid w:val="005D0227"/>
    <w:rsid w:val="005D02DA"/>
    <w:rsid w:val="005D1399"/>
    <w:rsid w:val="005D1826"/>
    <w:rsid w:val="005D1D17"/>
    <w:rsid w:val="005D2521"/>
    <w:rsid w:val="005D2E0B"/>
    <w:rsid w:val="005D3289"/>
    <w:rsid w:val="005D54A5"/>
    <w:rsid w:val="005D58BB"/>
    <w:rsid w:val="005D59A4"/>
    <w:rsid w:val="005D6064"/>
    <w:rsid w:val="005D699B"/>
    <w:rsid w:val="005D6F28"/>
    <w:rsid w:val="005D6FB4"/>
    <w:rsid w:val="005D74EF"/>
    <w:rsid w:val="005D77A2"/>
    <w:rsid w:val="005D7BF0"/>
    <w:rsid w:val="005E0610"/>
    <w:rsid w:val="005E273E"/>
    <w:rsid w:val="005E2981"/>
    <w:rsid w:val="005E3368"/>
    <w:rsid w:val="005E35FA"/>
    <w:rsid w:val="005E3798"/>
    <w:rsid w:val="005E397C"/>
    <w:rsid w:val="005E39FE"/>
    <w:rsid w:val="005E3DCC"/>
    <w:rsid w:val="005E4024"/>
    <w:rsid w:val="005E43BA"/>
    <w:rsid w:val="005E4532"/>
    <w:rsid w:val="005E4C32"/>
    <w:rsid w:val="005E54FB"/>
    <w:rsid w:val="005E5FAC"/>
    <w:rsid w:val="005E7636"/>
    <w:rsid w:val="005E764C"/>
    <w:rsid w:val="005F0849"/>
    <w:rsid w:val="005F1D57"/>
    <w:rsid w:val="005F2117"/>
    <w:rsid w:val="005F3727"/>
    <w:rsid w:val="005F3BC9"/>
    <w:rsid w:val="005F40F1"/>
    <w:rsid w:val="005F4C68"/>
    <w:rsid w:val="005F5B3A"/>
    <w:rsid w:val="005F5F02"/>
    <w:rsid w:val="005F61D7"/>
    <w:rsid w:val="005F625A"/>
    <w:rsid w:val="005F632D"/>
    <w:rsid w:val="005F66D3"/>
    <w:rsid w:val="005F6E87"/>
    <w:rsid w:val="005F726E"/>
    <w:rsid w:val="005F74EF"/>
    <w:rsid w:val="005F7AAD"/>
    <w:rsid w:val="005F7CA0"/>
    <w:rsid w:val="00600AEA"/>
    <w:rsid w:val="006010F6"/>
    <w:rsid w:val="00601B0B"/>
    <w:rsid w:val="00601BFC"/>
    <w:rsid w:val="006025CF"/>
    <w:rsid w:val="00603540"/>
    <w:rsid w:val="006051EC"/>
    <w:rsid w:val="006054AA"/>
    <w:rsid w:val="00605F69"/>
    <w:rsid w:val="00606388"/>
    <w:rsid w:val="00606965"/>
    <w:rsid w:val="00606A10"/>
    <w:rsid w:val="00607134"/>
    <w:rsid w:val="006071E6"/>
    <w:rsid w:val="00607B62"/>
    <w:rsid w:val="00607FEA"/>
    <w:rsid w:val="006102FD"/>
    <w:rsid w:val="00610675"/>
    <w:rsid w:val="00610A9D"/>
    <w:rsid w:val="006111DE"/>
    <w:rsid w:val="00611F3F"/>
    <w:rsid w:val="006122A0"/>
    <w:rsid w:val="006122AF"/>
    <w:rsid w:val="00613644"/>
    <w:rsid w:val="006151FE"/>
    <w:rsid w:val="00616526"/>
    <w:rsid w:val="00616846"/>
    <w:rsid w:val="00616F36"/>
    <w:rsid w:val="00616F8D"/>
    <w:rsid w:val="0061707E"/>
    <w:rsid w:val="0061723C"/>
    <w:rsid w:val="006200F9"/>
    <w:rsid w:val="0062046C"/>
    <w:rsid w:val="0062085D"/>
    <w:rsid w:val="006212FB"/>
    <w:rsid w:val="006216FA"/>
    <w:rsid w:val="0062280E"/>
    <w:rsid w:val="00623543"/>
    <w:rsid w:val="00624EA2"/>
    <w:rsid w:val="00624F26"/>
    <w:rsid w:val="00625AC8"/>
    <w:rsid w:val="00625BFE"/>
    <w:rsid w:val="00625C5B"/>
    <w:rsid w:val="00625FDA"/>
    <w:rsid w:val="00626C9F"/>
    <w:rsid w:val="00626EF1"/>
    <w:rsid w:val="00626FDA"/>
    <w:rsid w:val="006271F7"/>
    <w:rsid w:val="0062784B"/>
    <w:rsid w:val="00631322"/>
    <w:rsid w:val="006319F8"/>
    <w:rsid w:val="0063253D"/>
    <w:rsid w:val="006326FF"/>
    <w:rsid w:val="00632A07"/>
    <w:rsid w:val="00632A4D"/>
    <w:rsid w:val="006332AE"/>
    <w:rsid w:val="00633BAA"/>
    <w:rsid w:val="0063482C"/>
    <w:rsid w:val="00634B37"/>
    <w:rsid w:val="00635B8B"/>
    <w:rsid w:val="00636CF5"/>
    <w:rsid w:val="00636FC8"/>
    <w:rsid w:val="00637A76"/>
    <w:rsid w:val="00637D1B"/>
    <w:rsid w:val="00640D06"/>
    <w:rsid w:val="00640D4E"/>
    <w:rsid w:val="00641515"/>
    <w:rsid w:val="00642B5F"/>
    <w:rsid w:val="00642C2C"/>
    <w:rsid w:val="0064389C"/>
    <w:rsid w:val="00645979"/>
    <w:rsid w:val="0064747E"/>
    <w:rsid w:val="00650306"/>
    <w:rsid w:val="00650BF9"/>
    <w:rsid w:val="00650FED"/>
    <w:rsid w:val="006513F1"/>
    <w:rsid w:val="006514F7"/>
    <w:rsid w:val="006516D0"/>
    <w:rsid w:val="00651BE8"/>
    <w:rsid w:val="00651C07"/>
    <w:rsid w:val="00652018"/>
    <w:rsid w:val="006521F3"/>
    <w:rsid w:val="00652897"/>
    <w:rsid w:val="00652BC8"/>
    <w:rsid w:val="00652D37"/>
    <w:rsid w:val="006530C7"/>
    <w:rsid w:val="006530EF"/>
    <w:rsid w:val="00653208"/>
    <w:rsid w:val="00653FA8"/>
    <w:rsid w:val="00653FE9"/>
    <w:rsid w:val="00654270"/>
    <w:rsid w:val="00655101"/>
    <w:rsid w:val="00656863"/>
    <w:rsid w:val="006573F5"/>
    <w:rsid w:val="006579F7"/>
    <w:rsid w:val="00657D5D"/>
    <w:rsid w:val="006610E9"/>
    <w:rsid w:val="00661D05"/>
    <w:rsid w:val="006625BD"/>
    <w:rsid w:val="006634A4"/>
    <w:rsid w:val="006639D8"/>
    <w:rsid w:val="00663B5D"/>
    <w:rsid w:val="00664418"/>
    <w:rsid w:val="006644B6"/>
    <w:rsid w:val="00664806"/>
    <w:rsid w:val="00664C4C"/>
    <w:rsid w:val="00664F3E"/>
    <w:rsid w:val="006651D6"/>
    <w:rsid w:val="00665D09"/>
    <w:rsid w:val="00665DAA"/>
    <w:rsid w:val="006665EF"/>
    <w:rsid w:val="00666899"/>
    <w:rsid w:val="00667074"/>
    <w:rsid w:val="006670C3"/>
    <w:rsid w:val="00667711"/>
    <w:rsid w:val="00671280"/>
    <w:rsid w:val="00671530"/>
    <w:rsid w:val="0067181A"/>
    <w:rsid w:val="00671E09"/>
    <w:rsid w:val="0067211F"/>
    <w:rsid w:val="00672540"/>
    <w:rsid w:val="00672600"/>
    <w:rsid w:val="00672819"/>
    <w:rsid w:val="00672EA6"/>
    <w:rsid w:val="00672ED0"/>
    <w:rsid w:val="006737FB"/>
    <w:rsid w:val="006739D4"/>
    <w:rsid w:val="00674011"/>
    <w:rsid w:val="006742C9"/>
    <w:rsid w:val="006743BF"/>
    <w:rsid w:val="006746B8"/>
    <w:rsid w:val="00675339"/>
    <w:rsid w:val="006759A6"/>
    <w:rsid w:val="00675BEA"/>
    <w:rsid w:val="00675D35"/>
    <w:rsid w:val="006761F3"/>
    <w:rsid w:val="00676582"/>
    <w:rsid w:val="00676C04"/>
    <w:rsid w:val="0067741A"/>
    <w:rsid w:val="0067754E"/>
    <w:rsid w:val="00677C86"/>
    <w:rsid w:val="00677D20"/>
    <w:rsid w:val="00677D91"/>
    <w:rsid w:val="00677E95"/>
    <w:rsid w:val="00680008"/>
    <w:rsid w:val="0068063D"/>
    <w:rsid w:val="00680659"/>
    <w:rsid w:val="006807EB"/>
    <w:rsid w:val="006808A3"/>
    <w:rsid w:val="00680E10"/>
    <w:rsid w:val="00680E41"/>
    <w:rsid w:val="00681091"/>
    <w:rsid w:val="00684D2B"/>
    <w:rsid w:val="0068537E"/>
    <w:rsid w:val="00685B80"/>
    <w:rsid w:val="0068611F"/>
    <w:rsid w:val="006865CD"/>
    <w:rsid w:val="00686B0A"/>
    <w:rsid w:val="00686B32"/>
    <w:rsid w:val="00687506"/>
    <w:rsid w:val="00687533"/>
    <w:rsid w:val="0068769D"/>
    <w:rsid w:val="00687912"/>
    <w:rsid w:val="00687AE8"/>
    <w:rsid w:val="00687ECF"/>
    <w:rsid w:val="0069139B"/>
    <w:rsid w:val="006913EF"/>
    <w:rsid w:val="00691414"/>
    <w:rsid w:val="00692107"/>
    <w:rsid w:val="00692E1C"/>
    <w:rsid w:val="00693224"/>
    <w:rsid w:val="00693AF5"/>
    <w:rsid w:val="0069508C"/>
    <w:rsid w:val="006950B8"/>
    <w:rsid w:val="0069588D"/>
    <w:rsid w:val="00696E2D"/>
    <w:rsid w:val="00696E8F"/>
    <w:rsid w:val="006970F5"/>
    <w:rsid w:val="006973A4"/>
    <w:rsid w:val="006977DA"/>
    <w:rsid w:val="00697995"/>
    <w:rsid w:val="006A0025"/>
    <w:rsid w:val="006A1336"/>
    <w:rsid w:val="006A15CA"/>
    <w:rsid w:val="006A161B"/>
    <w:rsid w:val="006A1E5A"/>
    <w:rsid w:val="006A255F"/>
    <w:rsid w:val="006A2804"/>
    <w:rsid w:val="006A3364"/>
    <w:rsid w:val="006A40BC"/>
    <w:rsid w:val="006A50AA"/>
    <w:rsid w:val="006A5260"/>
    <w:rsid w:val="006A6103"/>
    <w:rsid w:val="006A61F1"/>
    <w:rsid w:val="006A6F32"/>
    <w:rsid w:val="006A7103"/>
    <w:rsid w:val="006A7AF0"/>
    <w:rsid w:val="006B037F"/>
    <w:rsid w:val="006B043F"/>
    <w:rsid w:val="006B0A59"/>
    <w:rsid w:val="006B0F65"/>
    <w:rsid w:val="006B1732"/>
    <w:rsid w:val="006B18C1"/>
    <w:rsid w:val="006B22F3"/>
    <w:rsid w:val="006B35FF"/>
    <w:rsid w:val="006B3676"/>
    <w:rsid w:val="006B36F9"/>
    <w:rsid w:val="006B3B3F"/>
    <w:rsid w:val="006B3D87"/>
    <w:rsid w:val="006B3D8C"/>
    <w:rsid w:val="006B3F79"/>
    <w:rsid w:val="006B4046"/>
    <w:rsid w:val="006B4723"/>
    <w:rsid w:val="006B4857"/>
    <w:rsid w:val="006B48A3"/>
    <w:rsid w:val="006B4D60"/>
    <w:rsid w:val="006B5253"/>
    <w:rsid w:val="006B5C57"/>
    <w:rsid w:val="006B6067"/>
    <w:rsid w:val="006B67DA"/>
    <w:rsid w:val="006B67EC"/>
    <w:rsid w:val="006B71E0"/>
    <w:rsid w:val="006B7311"/>
    <w:rsid w:val="006B739D"/>
    <w:rsid w:val="006C0251"/>
    <w:rsid w:val="006C0571"/>
    <w:rsid w:val="006C0CEE"/>
    <w:rsid w:val="006C239E"/>
    <w:rsid w:val="006C2753"/>
    <w:rsid w:val="006C2A69"/>
    <w:rsid w:val="006C3589"/>
    <w:rsid w:val="006C528C"/>
    <w:rsid w:val="006C6012"/>
    <w:rsid w:val="006C6074"/>
    <w:rsid w:val="006C7232"/>
    <w:rsid w:val="006C7244"/>
    <w:rsid w:val="006C7687"/>
    <w:rsid w:val="006D0011"/>
    <w:rsid w:val="006D09FF"/>
    <w:rsid w:val="006D0D35"/>
    <w:rsid w:val="006D0DFB"/>
    <w:rsid w:val="006D0F95"/>
    <w:rsid w:val="006D1423"/>
    <w:rsid w:val="006D1804"/>
    <w:rsid w:val="006D1C75"/>
    <w:rsid w:val="006D2169"/>
    <w:rsid w:val="006D3333"/>
    <w:rsid w:val="006D363C"/>
    <w:rsid w:val="006D41BB"/>
    <w:rsid w:val="006D4520"/>
    <w:rsid w:val="006D47C2"/>
    <w:rsid w:val="006D4E59"/>
    <w:rsid w:val="006D4ECF"/>
    <w:rsid w:val="006D5530"/>
    <w:rsid w:val="006D59A4"/>
    <w:rsid w:val="006D5C12"/>
    <w:rsid w:val="006D5C32"/>
    <w:rsid w:val="006D606F"/>
    <w:rsid w:val="006D6D3F"/>
    <w:rsid w:val="006D7282"/>
    <w:rsid w:val="006D7906"/>
    <w:rsid w:val="006D7DE1"/>
    <w:rsid w:val="006E0610"/>
    <w:rsid w:val="006E1C40"/>
    <w:rsid w:val="006E207B"/>
    <w:rsid w:val="006E2349"/>
    <w:rsid w:val="006E2385"/>
    <w:rsid w:val="006E23F5"/>
    <w:rsid w:val="006E2644"/>
    <w:rsid w:val="006E2859"/>
    <w:rsid w:val="006E2ABF"/>
    <w:rsid w:val="006E3189"/>
    <w:rsid w:val="006E3B42"/>
    <w:rsid w:val="006E3B8E"/>
    <w:rsid w:val="006E3BAB"/>
    <w:rsid w:val="006E4281"/>
    <w:rsid w:val="006E4479"/>
    <w:rsid w:val="006E45A1"/>
    <w:rsid w:val="006E467C"/>
    <w:rsid w:val="006E5A6C"/>
    <w:rsid w:val="006E633F"/>
    <w:rsid w:val="006E6A67"/>
    <w:rsid w:val="006E6C21"/>
    <w:rsid w:val="006E6C6D"/>
    <w:rsid w:val="006E6D5F"/>
    <w:rsid w:val="006E6D76"/>
    <w:rsid w:val="006E6E85"/>
    <w:rsid w:val="006E7386"/>
    <w:rsid w:val="006E7A81"/>
    <w:rsid w:val="006E7E91"/>
    <w:rsid w:val="006F00E7"/>
    <w:rsid w:val="006F09BB"/>
    <w:rsid w:val="006F0C5A"/>
    <w:rsid w:val="006F155E"/>
    <w:rsid w:val="006F1597"/>
    <w:rsid w:val="006F2ABE"/>
    <w:rsid w:val="006F33E2"/>
    <w:rsid w:val="006F3B36"/>
    <w:rsid w:val="006F5080"/>
    <w:rsid w:val="006F6256"/>
    <w:rsid w:val="006F64AE"/>
    <w:rsid w:val="006F6A44"/>
    <w:rsid w:val="006F6B75"/>
    <w:rsid w:val="006F73B1"/>
    <w:rsid w:val="006F7922"/>
    <w:rsid w:val="00700301"/>
    <w:rsid w:val="007003C0"/>
    <w:rsid w:val="00700F06"/>
    <w:rsid w:val="00700FC8"/>
    <w:rsid w:val="00701487"/>
    <w:rsid w:val="0070165F"/>
    <w:rsid w:val="00701FA8"/>
    <w:rsid w:val="00701FDC"/>
    <w:rsid w:val="00702A27"/>
    <w:rsid w:val="00702A86"/>
    <w:rsid w:val="0070353B"/>
    <w:rsid w:val="007036E7"/>
    <w:rsid w:val="00704012"/>
    <w:rsid w:val="0070407D"/>
    <w:rsid w:val="007041AB"/>
    <w:rsid w:val="007044ED"/>
    <w:rsid w:val="00704694"/>
    <w:rsid w:val="00704E7A"/>
    <w:rsid w:val="00706116"/>
    <w:rsid w:val="00706527"/>
    <w:rsid w:val="007067AC"/>
    <w:rsid w:val="00706B8D"/>
    <w:rsid w:val="00706B97"/>
    <w:rsid w:val="00706FAC"/>
    <w:rsid w:val="00710826"/>
    <w:rsid w:val="00710CF7"/>
    <w:rsid w:val="00711595"/>
    <w:rsid w:val="007119DE"/>
    <w:rsid w:val="00711F2D"/>
    <w:rsid w:val="00711F7D"/>
    <w:rsid w:val="0071220A"/>
    <w:rsid w:val="00712BE0"/>
    <w:rsid w:val="00714F78"/>
    <w:rsid w:val="0071503A"/>
    <w:rsid w:val="00715F83"/>
    <w:rsid w:val="00717112"/>
    <w:rsid w:val="007173EE"/>
    <w:rsid w:val="00717E2C"/>
    <w:rsid w:val="00717F3A"/>
    <w:rsid w:val="00721523"/>
    <w:rsid w:val="00721FD7"/>
    <w:rsid w:val="007221C6"/>
    <w:rsid w:val="007235F9"/>
    <w:rsid w:val="00723B47"/>
    <w:rsid w:val="00723B6B"/>
    <w:rsid w:val="00724806"/>
    <w:rsid w:val="00724C03"/>
    <w:rsid w:val="00725328"/>
    <w:rsid w:val="007254F3"/>
    <w:rsid w:val="00725716"/>
    <w:rsid w:val="00725F57"/>
    <w:rsid w:val="0072688A"/>
    <w:rsid w:val="0072736B"/>
    <w:rsid w:val="00727479"/>
    <w:rsid w:val="00727F58"/>
    <w:rsid w:val="00727F86"/>
    <w:rsid w:val="007303E8"/>
    <w:rsid w:val="00730413"/>
    <w:rsid w:val="00730BD4"/>
    <w:rsid w:val="00730C5B"/>
    <w:rsid w:val="007317DF"/>
    <w:rsid w:val="00731E26"/>
    <w:rsid w:val="007325A6"/>
    <w:rsid w:val="00732F62"/>
    <w:rsid w:val="00733689"/>
    <w:rsid w:val="00733F1A"/>
    <w:rsid w:val="007340EB"/>
    <w:rsid w:val="007344C0"/>
    <w:rsid w:val="0073512D"/>
    <w:rsid w:val="00735C1A"/>
    <w:rsid w:val="00737661"/>
    <w:rsid w:val="00737C37"/>
    <w:rsid w:val="00737C9C"/>
    <w:rsid w:val="00737E43"/>
    <w:rsid w:val="00737F15"/>
    <w:rsid w:val="0074014A"/>
    <w:rsid w:val="007402F2"/>
    <w:rsid w:val="00740D13"/>
    <w:rsid w:val="0074151D"/>
    <w:rsid w:val="00742205"/>
    <w:rsid w:val="0074253C"/>
    <w:rsid w:val="00742D9E"/>
    <w:rsid w:val="007433D8"/>
    <w:rsid w:val="00743E04"/>
    <w:rsid w:val="00744139"/>
    <w:rsid w:val="0074528B"/>
    <w:rsid w:val="007452C2"/>
    <w:rsid w:val="00745641"/>
    <w:rsid w:val="007457D3"/>
    <w:rsid w:val="0074590F"/>
    <w:rsid w:val="00745A71"/>
    <w:rsid w:val="00746CF7"/>
    <w:rsid w:val="00747CFF"/>
    <w:rsid w:val="00750C2C"/>
    <w:rsid w:val="0075124F"/>
    <w:rsid w:val="00752904"/>
    <w:rsid w:val="00752915"/>
    <w:rsid w:val="00753994"/>
    <w:rsid w:val="00753D40"/>
    <w:rsid w:val="007542E6"/>
    <w:rsid w:val="007544EB"/>
    <w:rsid w:val="0075463D"/>
    <w:rsid w:val="00754BF1"/>
    <w:rsid w:val="00754E0A"/>
    <w:rsid w:val="007554E3"/>
    <w:rsid w:val="007559CA"/>
    <w:rsid w:val="00755A40"/>
    <w:rsid w:val="00755CB5"/>
    <w:rsid w:val="00755CF5"/>
    <w:rsid w:val="0075645F"/>
    <w:rsid w:val="00756879"/>
    <w:rsid w:val="00756CBC"/>
    <w:rsid w:val="00757239"/>
    <w:rsid w:val="00757450"/>
    <w:rsid w:val="0075762C"/>
    <w:rsid w:val="0075793A"/>
    <w:rsid w:val="00757F3F"/>
    <w:rsid w:val="00760481"/>
    <w:rsid w:val="00761101"/>
    <w:rsid w:val="00761512"/>
    <w:rsid w:val="007615D3"/>
    <w:rsid w:val="00761674"/>
    <w:rsid w:val="00761D54"/>
    <w:rsid w:val="007624BC"/>
    <w:rsid w:val="00762727"/>
    <w:rsid w:val="00763086"/>
    <w:rsid w:val="0076322F"/>
    <w:rsid w:val="0076325B"/>
    <w:rsid w:val="0076521B"/>
    <w:rsid w:val="00765645"/>
    <w:rsid w:val="00765A4E"/>
    <w:rsid w:val="00766100"/>
    <w:rsid w:val="0076757A"/>
    <w:rsid w:val="007677A5"/>
    <w:rsid w:val="00767B23"/>
    <w:rsid w:val="00770015"/>
    <w:rsid w:val="007703C8"/>
    <w:rsid w:val="00770881"/>
    <w:rsid w:val="0077089E"/>
    <w:rsid w:val="007708DE"/>
    <w:rsid w:val="00770AF7"/>
    <w:rsid w:val="00771A8E"/>
    <w:rsid w:val="007723F3"/>
    <w:rsid w:val="0077275D"/>
    <w:rsid w:val="0077283C"/>
    <w:rsid w:val="007728FD"/>
    <w:rsid w:val="00772905"/>
    <w:rsid w:val="00772BD2"/>
    <w:rsid w:val="00772C3B"/>
    <w:rsid w:val="00772F69"/>
    <w:rsid w:val="00773AC3"/>
    <w:rsid w:val="00773D2C"/>
    <w:rsid w:val="00773F20"/>
    <w:rsid w:val="00774378"/>
    <w:rsid w:val="007746EB"/>
    <w:rsid w:val="0077481E"/>
    <w:rsid w:val="00775AB1"/>
    <w:rsid w:val="007766D1"/>
    <w:rsid w:val="00776A55"/>
    <w:rsid w:val="00776A9B"/>
    <w:rsid w:val="00776C55"/>
    <w:rsid w:val="00776F9C"/>
    <w:rsid w:val="007800D7"/>
    <w:rsid w:val="007818E1"/>
    <w:rsid w:val="0078301E"/>
    <w:rsid w:val="0078355A"/>
    <w:rsid w:val="00783A8E"/>
    <w:rsid w:val="00784DEA"/>
    <w:rsid w:val="0078529F"/>
    <w:rsid w:val="00785880"/>
    <w:rsid w:val="00786B4C"/>
    <w:rsid w:val="00786D07"/>
    <w:rsid w:val="00786FE6"/>
    <w:rsid w:val="00787A93"/>
    <w:rsid w:val="007902E4"/>
    <w:rsid w:val="00791D5E"/>
    <w:rsid w:val="00791EA8"/>
    <w:rsid w:val="00791F55"/>
    <w:rsid w:val="007926CA"/>
    <w:rsid w:val="00792EBD"/>
    <w:rsid w:val="00793477"/>
    <w:rsid w:val="00793661"/>
    <w:rsid w:val="00793723"/>
    <w:rsid w:val="007939F0"/>
    <w:rsid w:val="00793C84"/>
    <w:rsid w:val="00794B85"/>
    <w:rsid w:val="00795C49"/>
    <w:rsid w:val="00796EF3"/>
    <w:rsid w:val="00796FD9"/>
    <w:rsid w:val="00797959"/>
    <w:rsid w:val="007979D7"/>
    <w:rsid w:val="00797C7F"/>
    <w:rsid w:val="00797D24"/>
    <w:rsid w:val="007A01DB"/>
    <w:rsid w:val="007A1AC8"/>
    <w:rsid w:val="007A1E16"/>
    <w:rsid w:val="007A2685"/>
    <w:rsid w:val="007A374B"/>
    <w:rsid w:val="007A3BE7"/>
    <w:rsid w:val="007A4247"/>
    <w:rsid w:val="007A4D79"/>
    <w:rsid w:val="007A5CD4"/>
    <w:rsid w:val="007A652C"/>
    <w:rsid w:val="007A6636"/>
    <w:rsid w:val="007A66B5"/>
    <w:rsid w:val="007A78BB"/>
    <w:rsid w:val="007A7ACC"/>
    <w:rsid w:val="007B0538"/>
    <w:rsid w:val="007B0E6A"/>
    <w:rsid w:val="007B0EEA"/>
    <w:rsid w:val="007B1C1C"/>
    <w:rsid w:val="007B1C9A"/>
    <w:rsid w:val="007B1E85"/>
    <w:rsid w:val="007B236E"/>
    <w:rsid w:val="007B2756"/>
    <w:rsid w:val="007B35FA"/>
    <w:rsid w:val="007B39A6"/>
    <w:rsid w:val="007B3D1F"/>
    <w:rsid w:val="007B512B"/>
    <w:rsid w:val="007B5208"/>
    <w:rsid w:val="007B5B8C"/>
    <w:rsid w:val="007B6E7D"/>
    <w:rsid w:val="007B71DD"/>
    <w:rsid w:val="007B7315"/>
    <w:rsid w:val="007B7F36"/>
    <w:rsid w:val="007C06B7"/>
    <w:rsid w:val="007C109C"/>
    <w:rsid w:val="007C126A"/>
    <w:rsid w:val="007C1B4D"/>
    <w:rsid w:val="007C20BE"/>
    <w:rsid w:val="007C2A46"/>
    <w:rsid w:val="007C3D86"/>
    <w:rsid w:val="007C415D"/>
    <w:rsid w:val="007C46AF"/>
    <w:rsid w:val="007C4E17"/>
    <w:rsid w:val="007C4E5C"/>
    <w:rsid w:val="007C4EC1"/>
    <w:rsid w:val="007C5B26"/>
    <w:rsid w:val="007C5FF3"/>
    <w:rsid w:val="007C66EC"/>
    <w:rsid w:val="007C6AF4"/>
    <w:rsid w:val="007C6FC3"/>
    <w:rsid w:val="007C7C0A"/>
    <w:rsid w:val="007C7CCE"/>
    <w:rsid w:val="007C7F4A"/>
    <w:rsid w:val="007D0A48"/>
    <w:rsid w:val="007D0AD4"/>
    <w:rsid w:val="007D0C93"/>
    <w:rsid w:val="007D1EAA"/>
    <w:rsid w:val="007D2527"/>
    <w:rsid w:val="007D267D"/>
    <w:rsid w:val="007D4327"/>
    <w:rsid w:val="007D4511"/>
    <w:rsid w:val="007D4812"/>
    <w:rsid w:val="007D48D7"/>
    <w:rsid w:val="007D48FD"/>
    <w:rsid w:val="007D49AE"/>
    <w:rsid w:val="007D49BF"/>
    <w:rsid w:val="007D544D"/>
    <w:rsid w:val="007D637E"/>
    <w:rsid w:val="007D6B63"/>
    <w:rsid w:val="007D7007"/>
    <w:rsid w:val="007E01FD"/>
    <w:rsid w:val="007E0553"/>
    <w:rsid w:val="007E195B"/>
    <w:rsid w:val="007E2E1E"/>
    <w:rsid w:val="007E3173"/>
    <w:rsid w:val="007E3983"/>
    <w:rsid w:val="007E39A3"/>
    <w:rsid w:val="007E3FBB"/>
    <w:rsid w:val="007E503F"/>
    <w:rsid w:val="007E50EC"/>
    <w:rsid w:val="007E5ACC"/>
    <w:rsid w:val="007E5AE6"/>
    <w:rsid w:val="007E657D"/>
    <w:rsid w:val="007E71C7"/>
    <w:rsid w:val="007E7221"/>
    <w:rsid w:val="007E7234"/>
    <w:rsid w:val="007F044A"/>
    <w:rsid w:val="007F10E3"/>
    <w:rsid w:val="007F1136"/>
    <w:rsid w:val="007F1BB0"/>
    <w:rsid w:val="007F209E"/>
    <w:rsid w:val="007F272D"/>
    <w:rsid w:val="007F2E80"/>
    <w:rsid w:val="007F3C10"/>
    <w:rsid w:val="007F3CD2"/>
    <w:rsid w:val="007F3EB4"/>
    <w:rsid w:val="007F4FAF"/>
    <w:rsid w:val="007F522F"/>
    <w:rsid w:val="007F5598"/>
    <w:rsid w:val="007F59EB"/>
    <w:rsid w:val="007F6CB2"/>
    <w:rsid w:val="007F75DF"/>
    <w:rsid w:val="007F7DD3"/>
    <w:rsid w:val="00800932"/>
    <w:rsid w:val="008010B2"/>
    <w:rsid w:val="00801408"/>
    <w:rsid w:val="0080243C"/>
    <w:rsid w:val="008029FA"/>
    <w:rsid w:val="00803CD7"/>
    <w:rsid w:val="00803D89"/>
    <w:rsid w:val="0080406D"/>
    <w:rsid w:val="00804F5C"/>
    <w:rsid w:val="008053C6"/>
    <w:rsid w:val="0080658F"/>
    <w:rsid w:val="00806E6C"/>
    <w:rsid w:val="008102B2"/>
    <w:rsid w:val="00811ABA"/>
    <w:rsid w:val="00812B0C"/>
    <w:rsid w:val="00813873"/>
    <w:rsid w:val="00813900"/>
    <w:rsid w:val="00813ABF"/>
    <w:rsid w:val="00813DA9"/>
    <w:rsid w:val="00813EAB"/>
    <w:rsid w:val="00814F48"/>
    <w:rsid w:val="008155DA"/>
    <w:rsid w:val="00815B51"/>
    <w:rsid w:val="00815F7D"/>
    <w:rsid w:val="00816E97"/>
    <w:rsid w:val="008177BC"/>
    <w:rsid w:val="00817B63"/>
    <w:rsid w:val="0082073D"/>
    <w:rsid w:val="00820853"/>
    <w:rsid w:val="00820A2B"/>
    <w:rsid w:val="00820C37"/>
    <w:rsid w:val="00820D18"/>
    <w:rsid w:val="00821E4D"/>
    <w:rsid w:val="00823552"/>
    <w:rsid w:val="008235D1"/>
    <w:rsid w:val="00824FD7"/>
    <w:rsid w:val="0082577B"/>
    <w:rsid w:val="008267CB"/>
    <w:rsid w:val="00826CD4"/>
    <w:rsid w:val="008272D6"/>
    <w:rsid w:val="008306BA"/>
    <w:rsid w:val="008317E1"/>
    <w:rsid w:val="00831DA1"/>
    <w:rsid w:val="0083279A"/>
    <w:rsid w:val="00832BBE"/>
    <w:rsid w:val="00833D23"/>
    <w:rsid w:val="00833FF1"/>
    <w:rsid w:val="00834358"/>
    <w:rsid w:val="008349A2"/>
    <w:rsid w:val="00834C99"/>
    <w:rsid w:val="00834E51"/>
    <w:rsid w:val="00835EA1"/>
    <w:rsid w:val="0083603A"/>
    <w:rsid w:val="00836C85"/>
    <w:rsid w:val="0083796A"/>
    <w:rsid w:val="00837A45"/>
    <w:rsid w:val="00837E1E"/>
    <w:rsid w:val="008402F9"/>
    <w:rsid w:val="008406BD"/>
    <w:rsid w:val="0084075A"/>
    <w:rsid w:val="00840C44"/>
    <w:rsid w:val="00840C5A"/>
    <w:rsid w:val="008411CA"/>
    <w:rsid w:val="00841932"/>
    <w:rsid w:val="00842CD7"/>
    <w:rsid w:val="00843F09"/>
    <w:rsid w:val="008447D4"/>
    <w:rsid w:val="008448D1"/>
    <w:rsid w:val="00844E29"/>
    <w:rsid w:val="008456CC"/>
    <w:rsid w:val="008457B1"/>
    <w:rsid w:val="00845E41"/>
    <w:rsid w:val="008460BC"/>
    <w:rsid w:val="00847116"/>
    <w:rsid w:val="008474A9"/>
    <w:rsid w:val="008479C6"/>
    <w:rsid w:val="00847AB9"/>
    <w:rsid w:val="0085056E"/>
    <w:rsid w:val="0085112F"/>
    <w:rsid w:val="00851E98"/>
    <w:rsid w:val="0085237F"/>
    <w:rsid w:val="008527CC"/>
    <w:rsid w:val="00852964"/>
    <w:rsid w:val="008539D4"/>
    <w:rsid w:val="008539D7"/>
    <w:rsid w:val="00853AB9"/>
    <w:rsid w:val="00856210"/>
    <w:rsid w:val="0085674E"/>
    <w:rsid w:val="008568AF"/>
    <w:rsid w:val="008576BD"/>
    <w:rsid w:val="0085797E"/>
    <w:rsid w:val="00857A24"/>
    <w:rsid w:val="00857C47"/>
    <w:rsid w:val="00857C9A"/>
    <w:rsid w:val="00857F25"/>
    <w:rsid w:val="0086043A"/>
    <w:rsid w:val="008606D8"/>
    <w:rsid w:val="00861331"/>
    <w:rsid w:val="0086140F"/>
    <w:rsid w:val="00861F87"/>
    <w:rsid w:val="008622FE"/>
    <w:rsid w:val="00863117"/>
    <w:rsid w:val="008632EC"/>
    <w:rsid w:val="008636F6"/>
    <w:rsid w:val="00864D16"/>
    <w:rsid w:val="008657B5"/>
    <w:rsid w:val="00865EF0"/>
    <w:rsid w:val="008667D9"/>
    <w:rsid w:val="00866F4F"/>
    <w:rsid w:val="008674E4"/>
    <w:rsid w:val="00867D95"/>
    <w:rsid w:val="00870581"/>
    <w:rsid w:val="008708BC"/>
    <w:rsid w:val="0087105F"/>
    <w:rsid w:val="00871365"/>
    <w:rsid w:val="00871B45"/>
    <w:rsid w:val="00871E9D"/>
    <w:rsid w:val="008720EA"/>
    <w:rsid w:val="00872669"/>
    <w:rsid w:val="00874602"/>
    <w:rsid w:val="0087468B"/>
    <w:rsid w:val="0087571C"/>
    <w:rsid w:val="0087591E"/>
    <w:rsid w:val="00875A45"/>
    <w:rsid w:val="00875B65"/>
    <w:rsid w:val="00875FB9"/>
    <w:rsid w:val="008761D1"/>
    <w:rsid w:val="00876B84"/>
    <w:rsid w:val="008801AD"/>
    <w:rsid w:val="00880A02"/>
    <w:rsid w:val="00880AC2"/>
    <w:rsid w:val="008815AB"/>
    <w:rsid w:val="008822F8"/>
    <w:rsid w:val="00882E70"/>
    <w:rsid w:val="00883523"/>
    <w:rsid w:val="008843CB"/>
    <w:rsid w:val="008851CC"/>
    <w:rsid w:val="0088608B"/>
    <w:rsid w:val="0088665D"/>
    <w:rsid w:val="0088670F"/>
    <w:rsid w:val="008869F3"/>
    <w:rsid w:val="008874A4"/>
    <w:rsid w:val="00887697"/>
    <w:rsid w:val="008900A0"/>
    <w:rsid w:val="00890325"/>
    <w:rsid w:val="008903AB"/>
    <w:rsid w:val="008906F8"/>
    <w:rsid w:val="00890986"/>
    <w:rsid w:val="00890F12"/>
    <w:rsid w:val="008910EF"/>
    <w:rsid w:val="008919D8"/>
    <w:rsid w:val="00891C18"/>
    <w:rsid w:val="00891CB1"/>
    <w:rsid w:val="00891E5D"/>
    <w:rsid w:val="00892356"/>
    <w:rsid w:val="00892DD7"/>
    <w:rsid w:val="008935E0"/>
    <w:rsid w:val="00894200"/>
    <w:rsid w:val="00894C2D"/>
    <w:rsid w:val="00895B8C"/>
    <w:rsid w:val="00895E60"/>
    <w:rsid w:val="00896FE4"/>
    <w:rsid w:val="0089730E"/>
    <w:rsid w:val="00897C63"/>
    <w:rsid w:val="00897C8E"/>
    <w:rsid w:val="008A01CB"/>
    <w:rsid w:val="008A03F3"/>
    <w:rsid w:val="008A114D"/>
    <w:rsid w:val="008A14C8"/>
    <w:rsid w:val="008A19F3"/>
    <w:rsid w:val="008A1CA3"/>
    <w:rsid w:val="008A1F26"/>
    <w:rsid w:val="008A249D"/>
    <w:rsid w:val="008A269A"/>
    <w:rsid w:val="008A375B"/>
    <w:rsid w:val="008A3E02"/>
    <w:rsid w:val="008A3E41"/>
    <w:rsid w:val="008A40C5"/>
    <w:rsid w:val="008A57D3"/>
    <w:rsid w:val="008A599B"/>
    <w:rsid w:val="008A689B"/>
    <w:rsid w:val="008A72F2"/>
    <w:rsid w:val="008A76E7"/>
    <w:rsid w:val="008A7E91"/>
    <w:rsid w:val="008B0D3F"/>
    <w:rsid w:val="008B1ECF"/>
    <w:rsid w:val="008B1FD2"/>
    <w:rsid w:val="008B2114"/>
    <w:rsid w:val="008B2585"/>
    <w:rsid w:val="008B2C76"/>
    <w:rsid w:val="008B33E6"/>
    <w:rsid w:val="008B3671"/>
    <w:rsid w:val="008B39C6"/>
    <w:rsid w:val="008B3D94"/>
    <w:rsid w:val="008B4646"/>
    <w:rsid w:val="008B4A4B"/>
    <w:rsid w:val="008B55E1"/>
    <w:rsid w:val="008B5F89"/>
    <w:rsid w:val="008B6898"/>
    <w:rsid w:val="008B7253"/>
    <w:rsid w:val="008B73B1"/>
    <w:rsid w:val="008B7C8B"/>
    <w:rsid w:val="008B7D02"/>
    <w:rsid w:val="008B7E46"/>
    <w:rsid w:val="008C06FB"/>
    <w:rsid w:val="008C0A8A"/>
    <w:rsid w:val="008C2AA7"/>
    <w:rsid w:val="008C3447"/>
    <w:rsid w:val="008C37B0"/>
    <w:rsid w:val="008C4135"/>
    <w:rsid w:val="008C47FC"/>
    <w:rsid w:val="008C4E64"/>
    <w:rsid w:val="008C5538"/>
    <w:rsid w:val="008C5FAF"/>
    <w:rsid w:val="008C6348"/>
    <w:rsid w:val="008D05E1"/>
    <w:rsid w:val="008D0696"/>
    <w:rsid w:val="008D1672"/>
    <w:rsid w:val="008D1C6B"/>
    <w:rsid w:val="008D1EC6"/>
    <w:rsid w:val="008D207B"/>
    <w:rsid w:val="008D2F70"/>
    <w:rsid w:val="008D309F"/>
    <w:rsid w:val="008D3463"/>
    <w:rsid w:val="008D3A6F"/>
    <w:rsid w:val="008D3DA1"/>
    <w:rsid w:val="008D44DD"/>
    <w:rsid w:val="008D4944"/>
    <w:rsid w:val="008D5139"/>
    <w:rsid w:val="008D53BB"/>
    <w:rsid w:val="008D582B"/>
    <w:rsid w:val="008D624A"/>
    <w:rsid w:val="008D70CA"/>
    <w:rsid w:val="008D7F8E"/>
    <w:rsid w:val="008E00CA"/>
    <w:rsid w:val="008E06F8"/>
    <w:rsid w:val="008E09ED"/>
    <w:rsid w:val="008E0A57"/>
    <w:rsid w:val="008E1324"/>
    <w:rsid w:val="008E14A1"/>
    <w:rsid w:val="008E1A21"/>
    <w:rsid w:val="008E1BE2"/>
    <w:rsid w:val="008E2354"/>
    <w:rsid w:val="008E275F"/>
    <w:rsid w:val="008E2D43"/>
    <w:rsid w:val="008E2DE0"/>
    <w:rsid w:val="008E4085"/>
    <w:rsid w:val="008E47B5"/>
    <w:rsid w:val="008E47DE"/>
    <w:rsid w:val="008E4937"/>
    <w:rsid w:val="008E6210"/>
    <w:rsid w:val="008E6543"/>
    <w:rsid w:val="008E668F"/>
    <w:rsid w:val="008E6985"/>
    <w:rsid w:val="008E69BE"/>
    <w:rsid w:val="008E6F43"/>
    <w:rsid w:val="008E73AE"/>
    <w:rsid w:val="008E77AC"/>
    <w:rsid w:val="008F20C1"/>
    <w:rsid w:val="008F2AC6"/>
    <w:rsid w:val="008F3028"/>
    <w:rsid w:val="008F3055"/>
    <w:rsid w:val="008F3AF9"/>
    <w:rsid w:val="008F42A7"/>
    <w:rsid w:val="008F55DF"/>
    <w:rsid w:val="008F5602"/>
    <w:rsid w:val="008F5822"/>
    <w:rsid w:val="008F5F27"/>
    <w:rsid w:val="008F6470"/>
    <w:rsid w:val="008F689A"/>
    <w:rsid w:val="008F725B"/>
    <w:rsid w:val="008F790D"/>
    <w:rsid w:val="008F7976"/>
    <w:rsid w:val="00900196"/>
    <w:rsid w:val="00900414"/>
    <w:rsid w:val="00900B06"/>
    <w:rsid w:val="00901488"/>
    <w:rsid w:val="00901C6F"/>
    <w:rsid w:val="009023F8"/>
    <w:rsid w:val="00902ACC"/>
    <w:rsid w:val="009034ED"/>
    <w:rsid w:val="009047BA"/>
    <w:rsid w:val="009058DB"/>
    <w:rsid w:val="00905912"/>
    <w:rsid w:val="0090794F"/>
    <w:rsid w:val="00907B75"/>
    <w:rsid w:val="009105AF"/>
    <w:rsid w:val="00910DA9"/>
    <w:rsid w:val="00911427"/>
    <w:rsid w:val="009124CC"/>
    <w:rsid w:val="00912687"/>
    <w:rsid w:val="00912A5D"/>
    <w:rsid w:val="00912AA3"/>
    <w:rsid w:val="00912C5D"/>
    <w:rsid w:val="009157C3"/>
    <w:rsid w:val="00915C52"/>
    <w:rsid w:val="00915F50"/>
    <w:rsid w:val="0091654C"/>
    <w:rsid w:val="0091747F"/>
    <w:rsid w:val="00917AD5"/>
    <w:rsid w:val="00917BA5"/>
    <w:rsid w:val="009219D6"/>
    <w:rsid w:val="00921B90"/>
    <w:rsid w:val="00922948"/>
    <w:rsid w:val="00922949"/>
    <w:rsid w:val="0092294A"/>
    <w:rsid w:val="00923F5A"/>
    <w:rsid w:val="00923F70"/>
    <w:rsid w:val="00924F6C"/>
    <w:rsid w:val="009253DF"/>
    <w:rsid w:val="00925CB2"/>
    <w:rsid w:val="00926671"/>
    <w:rsid w:val="00926746"/>
    <w:rsid w:val="009273E8"/>
    <w:rsid w:val="00927538"/>
    <w:rsid w:val="009277D2"/>
    <w:rsid w:val="00927CC9"/>
    <w:rsid w:val="00927E76"/>
    <w:rsid w:val="0093051E"/>
    <w:rsid w:val="009315E3"/>
    <w:rsid w:val="0093275D"/>
    <w:rsid w:val="0093299B"/>
    <w:rsid w:val="00932E52"/>
    <w:rsid w:val="00932F8F"/>
    <w:rsid w:val="00932FDE"/>
    <w:rsid w:val="00933566"/>
    <w:rsid w:val="00933A23"/>
    <w:rsid w:val="00934097"/>
    <w:rsid w:val="00934165"/>
    <w:rsid w:val="009342BF"/>
    <w:rsid w:val="009348EA"/>
    <w:rsid w:val="00934E83"/>
    <w:rsid w:val="00934FF5"/>
    <w:rsid w:val="00935377"/>
    <w:rsid w:val="00935E1A"/>
    <w:rsid w:val="00935E90"/>
    <w:rsid w:val="009368A3"/>
    <w:rsid w:val="00936B90"/>
    <w:rsid w:val="00937341"/>
    <w:rsid w:val="00937B6D"/>
    <w:rsid w:val="00937E8D"/>
    <w:rsid w:val="009405CF"/>
    <w:rsid w:val="00940637"/>
    <w:rsid w:val="00941309"/>
    <w:rsid w:val="009413E1"/>
    <w:rsid w:val="00941473"/>
    <w:rsid w:val="009414DB"/>
    <w:rsid w:val="00941FE4"/>
    <w:rsid w:val="009422A2"/>
    <w:rsid w:val="00942946"/>
    <w:rsid w:val="009443FA"/>
    <w:rsid w:val="00944D8C"/>
    <w:rsid w:val="009462FB"/>
    <w:rsid w:val="00946B41"/>
    <w:rsid w:val="0094735C"/>
    <w:rsid w:val="009476FD"/>
    <w:rsid w:val="00950043"/>
    <w:rsid w:val="0095053D"/>
    <w:rsid w:val="009512E3"/>
    <w:rsid w:val="00951AE2"/>
    <w:rsid w:val="00951BE4"/>
    <w:rsid w:val="00951D4C"/>
    <w:rsid w:val="00952622"/>
    <w:rsid w:val="009528AE"/>
    <w:rsid w:val="00953400"/>
    <w:rsid w:val="009534EC"/>
    <w:rsid w:val="009537C9"/>
    <w:rsid w:val="00954878"/>
    <w:rsid w:val="00955365"/>
    <w:rsid w:val="0095542F"/>
    <w:rsid w:val="009558DE"/>
    <w:rsid w:val="00955C5A"/>
    <w:rsid w:val="00956280"/>
    <w:rsid w:val="00956C8D"/>
    <w:rsid w:val="00957077"/>
    <w:rsid w:val="00957886"/>
    <w:rsid w:val="00957BDA"/>
    <w:rsid w:val="00957C95"/>
    <w:rsid w:val="009606B0"/>
    <w:rsid w:val="00961CD8"/>
    <w:rsid w:val="00961D56"/>
    <w:rsid w:val="00961FBC"/>
    <w:rsid w:val="0096270C"/>
    <w:rsid w:val="009631F8"/>
    <w:rsid w:val="00964A74"/>
    <w:rsid w:val="00965D4D"/>
    <w:rsid w:val="009673A7"/>
    <w:rsid w:val="00967453"/>
    <w:rsid w:val="0096790A"/>
    <w:rsid w:val="00967A7F"/>
    <w:rsid w:val="00967D22"/>
    <w:rsid w:val="00967E56"/>
    <w:rsid w:val="00970AB6"/>
    <w:rsid w:val="00971356"/>
    <w:rsid w:val="0097143B"/>
    <w:rsid w:val="009718A2"/>
    <w:rsid w:val="00971F8B"/>
    <w:rsid w:val="00972128"/>
    <w:rsid w:val="00972713"/>
    <w:rsid w:val="009737BF"/>
    <w:rsid w:val="00973AFF"/>
    <w:rsid w:val="009740CF"/>
    <w:rsid w:val="0097561D"/>
    <w:rsid w:val="00975B73"/>
    <w:rsid w:val="00975F4E"/>
    <w:rsid w:val="00977543"/>
    <w:rsid w:val="0097783D"/>
    <w:rsid w:val="00977FCA"/>
    <w:rsid w:val="00981209"/>
    <w:rsid w:val="009816BF"/>
    <w:rsid w:val="00981974"/>
    <w:rsid w:val="009826BC"/>
    <w:rsid w:val="00982873"/>
    <w:rsid w:val="009843FF"/>
    <w:rsid w:val="0098443C"/>
    <w:rsid w:val="0098457E"/>
    <w:rsid w:val="00984907"/>
    <w:rsid w:val="00986A9B"/>
    <w:rsid w:val="00986EB2"/>
    <w:rsid w:val="00987F16"/>
    <w:rsid w:val="00987F3D"/>
    <w:rsid w:val="009905C0"/>
    <w:rsid w:val="009922FF"/>
    <w:rsid w:val="009924C1"/>
    <w:rsid w:val="0099398B"/>
    <w:rsid w:val="00993A60"/>
    <w:rsid w:val="009942EB"/>
    <w:rsid w:val="00994900"/>
    <w:rsid w:val="0099656E"/>
    <w:rsid w:val="009A00BD"/>
    <w:rsid w:val="009A0290"/>
    <w:rsid w:val="009A09F8"/>
    <w:rsid w:val="009A0B81"/>
    <w:rsid w:val="009A0F02"/>
    <w:rsid w:val="009A1383"/>
    <w:rsid w:val="009A1422"/>
    <w:rsid w:val="009A14DB"/>
    <w:rsid w:val="009A1A0C"/>
    <w:rsid w:val="009A2427"/>
    <w:rsid w:val="009A2A2A"/>
    <w:rsid w:val="009A320B"/>
    <w:rsid w:val="009A37EC"/>
    <w:rsid w:val="009A3BBE"/>
    <w:rsid w:val="009A4E84"/>
    <w:rsid w:val="009A52C7"/>
    <w:rsid w:val="009A555E"/>
    <w:rsid w:val="009A5E1D"/>
    <w:rsid w:val="009A6148"/>
    <w:rsid w:val="009A6402"/>
    <w:rsid w:val="009A6680"/>
    <w:rsid w:val="009A6F97"/>
    <w:rsid w:val="009B0D79"/>
    <w:rsid w:val="009B0DB8"/>
    <w:rsid w:val="009B0FF1"/>
    <w:rsid w:val="009B1048"/>
    <w:rsid w:val="009B10CF"/>
    <w:rsid w:val="009B209C"/>
    <w:rsid w:val="009B22FA"/>
    <w:rsid w:val="009B272B"/>
    <w:rsid w:val="009B2913"/>
    <w:rsid w:val="009B2CF0"/>
    <w:rsid w:val="009B4149"/>
    <w:rsid w:val="009B4385"/>
    <w:rsid w:val="009B462A"/>
    <w:rsid w:val="009B49B5"/>
    <w:rsid w:val="009B4D40"/>
    <w:rsid w:val="009B5C1E"/>
    <w:rsid w:val="009B6243"/>
    <w:rsid w:val="009B66B9"/>
    <w:rsid w:val="009B6899"/>
    <w:rsid w:val="009B6CF5"/>
    <w:rsid w:val="009B6FF7"/>
    <w:rsid w:val="009B70AA"/>
    <w:rsid w:val="009B726D"/>
    <w:rsid w:val="009B7534"/>
    <w:rsid w:val="009C0F19"/>
    <w:rsid w:val="009C19A6"/>
    <w:rsid w:val="009C2D45"/>
    <w:rsid w:val="009C3DC3"/>
    <w:rsid w:val="009C4967"/>
    <w:rsid w:val="009C4F49"/>
    <w:rsid w:val="009C610C"/>
    <w:rsid w:val="009C62B9"/>
    <w:rsid w:val="009C7245"/>
    <w:rsid w:val="009D020F"/>
    <w:rsid w:val="009D08E9"/>
    <w:rsid w:val="009D1330"/>
    <w:rsid w:val="009D27A8"/>
    <w:rsid w:val="009D371B"/>
    <w:rsid w:val="009D3D3C"/>
    <w:rsid w:val="009D4215"/>
    <w:rsid w:val="009D436A"/>
    <w:rsid w:val="009D4A5D"/>
    <w:rsid w:val="009D4EEC"/>
    <w:rsid w:val="009D55EC"/>
    <w:rsid w:val="009D56D9"/>
    <w:rsid w:val="009D57AC"/>
    <w:rsid w:val="009D5EAB"/>
    <w:rsid w:val="009D7034"/>
    <w:rsid w:val="009D7257"/>
    <w:rsid w:val="009D7E41"/>
    <w:rsid w:val="009E0279"/>
    <w:rsid w:val="009E142E"/>
    <w:rsid w:val="009E238A"/>
    <w:rsid w:val="009E23BF"/>
    <w:rsid w:val="009E25AE"/>
    <w:rsid w:val="009E28E3"/>
    <w:rsid w:val="009E3BBE"/>
    <w:rsid w:val="009E3D84"/>
    <w:rsid w:val="009E3ECD"/>
    <w:rsid w:val="009E407F"/>
    <w:rsid w:val="009E441A"/>
    <w:rsid w:val="009E489D"/>
    <w:rsid w:val="009E4DC7"/>
    <w:rsid w:val="009E5452"/>
    <w:rsid w:val="009E5594"/>
    <w:rsid w:val="009E5A3B"/>
    <w:rsid w:val="009E5E7C"/>
    <w:rsid w:val="009E603D"/>
    <w:rsid w:val="009E631F"/>
    <w:rsid w:val="009E6B25"/>
    <w:rsid w:val="009E6FF2"/>
    <w:rsid w:val="009E7507"/>
    <w:rsid w:val="009E7967"/>
    <w:rsid w:val="009F14C7"/>
    <w:rsid w:val="009F15EB"/>
    <w:rsid w:val="009F2021"/>
    <w:rsid w:val="009F22AC"/>
    <w:rsid w:val="009F2789"/>
    <w:rsid w:val="009F2EDF"/>
    <w:rsid w:val="009F325B"/>
    <w:rsid w:val="009F3C6A"/>
    <w:rsid w:val="009F44DD"/>
    <w:rsid w:val="009F4942"/>
    <w:rsid w:val="009F4E4C"/>
    <w:rsid w:val="009F606E"/>
    <w:rsid w:val="009F63BD"/>
    <w:rsid w:val="00A00DA2"/>
    <w:rsid w:val="00A01499"/>
    <w:rsid w:val="00A021F4"/>
    <w:rsid w:val="00A024AB"/>
    <w:rsid w:val="00A025BB"/>
    <w:rsid w:val="00A03220"/>
    <w:rsid w:val="00A0373B"/>
    <w:rsid w:val="00A03A92"/>
    <w:rsid w:val="00A03AA3"/>
    <w:rsid w:val="00A03BCE"/>
    <w:rsid w:val="00A03C35"/>
    <w:rsid w:val="00A03E8E"/>
    <w:rsid w:val="00A04B1A"/>
    <w:rsid w:val="00A05380"/>
    <w:rsid w:val="00A063AC"/>
    <w:rsid w:val="00A07136"/>
    <w:rsid w:val="00A075A5"/>
    <w:rsid w:val="00A07805"/>
    <w:rsid w:val="00A07B28"/>
    <w:rsid w:val="00A07B6E"/>
    <w:rsid w:val="00A102F7"/>
    <w:rsid w:val="00A1088D"/>
    <w:rsid w:val="00A11338"/>
    <w:rsid w:val="00A11C3A"/>
    <w:rsid w:val="00A11E27"/>
    <w:rsid w:val="00A11E63"/>
    <w:rsid w:val="00A124CB"/>
    <w:rsid w:val="00A1318D"/>
    <w:rsid w:val="00A13702"/>
    <w:rsid w:val="00A13778"/>
    <w:rsid w:val="00A1388B"/>
    <w:rsid w:val="00A13A67"/>
    <w:rsid w:val="00A14160"/>
    <w:rsid w:val="00A145B5"/>
    <w:rsid w:val="00A14A95"/>
    <w:rsid w:val="00A1591A"/>
    <w:rsid w:val="00A166F8"/>
    <w:rsid w:val="00A16C2E"/>
    <w:rsid w:val="00A16CA1"/>
    <w:rsid w:val="00A17654"/>
    <w:rsid w:val="00A17D2F"/>
    <w:rsid w:val="00A20327"/>
    <w:rsid w:val="00A20E3A"/>
    <w:rsid w:val="00A22636"/>
    <w:rsid w:val="00A22915"/>
    <w:rsid w:val="00A22A34"/>
    <w:rsid w:val="00A22F70"/>
    <w:rsid w:val="00A24050"/>
    <w:rsid w:val="00A2470C"/>
    <w:rsid w:val="00A2504B"/>
    <w:rsid w:val="00A25115"/>
    <w:rsid w:val="00A25696"/>
    <w:rsid w:val="00A25A55"/>
    <w:rsid w:val="00A261C7"/>
    <w:rsid w:val="00A2623C"/>
    <w:rsid w:val="00A26411"/>
    <w:rsid w:val="00A26C63"/>
    <w:rsid w:val="00A26C6E"/>
    <w:rsid w:val="00A26F5B"/>
    <w:rsid w:val="00A275C5"/>
    <w:rsid w:val="00A27734"/>
    <w:rsid w:val="00A27B34"/>
    <w:rsid w:val="00A300CD"/>
    <w:rsid w:val="00A304B3"/>
    <w:rsid w:val="00A306E4"/>
    <w:rsid w:val="00A30826"/>
    <w:rsid w:val="00A30952"/>
    <w:rsid w:val="00A30A53"/>
    <w:rsid w:val="00A313CD"/>
    <w:rsid w:val="00A31B04"/>
    <w:rsid w:val="00A31E1B"/>
    <w:rsid w:val="00A32237"/>
    <w:rsid w:val="00A32A25"/>
    <w:rsid w:val="00A32DE6"/>
    <w:rsid w:val="00A336A0"/>
    <w:rsid w:val="00A33735"/>
    <w:rsid w:val="00A33741"/>
    <w:rsid w:val="00A3384C"/>
    <w:rsid w:val="00A340C3"/>
    <w:rsid w:val="00A34822"/>
    <w:rsid w:val="00A35059"/>
    <w:rsid w:val="00A35C99"/>
    <w:rsid w:val="00A36670"/>
    <w:rsid w:val="00A36B0E"/>
    <w:rsid w:val="00A375E3"/>
    <w:rsid w:val="00A37811"/>
    <w:rsid w:val="00A37D78"/>
    <w:rsid w:val="00A37F39"/>
    <w:rsid w:val="00A37F72"/>
    <w:rsid w:val="00A4092C"/>
    <w:rsid w:val="00A435B8"/>
    <w:rsid w:val="00A43C96"/>
    <w:rsid w:val="00A4424A"/>
    <w:rsid w:val="00A44E48"/>
    <w:rsid w:val="00A44E97"/>
    <w:rsid w:val="00A44F9C"/>
    <w:rsid w:val="00A45215"/>
    <w:rsid w:val="00A4587F"/>
    <w:rsid w:val="00A46BDB"/>
    <w:rsid w:val="00A4791B"/>
    <w:rsid w:val="00A479D8"/>
    <w:rsid w:val="00A50C73"/>
    <w:rsid w:val="00A5137A"/>
    <w:rsid w:val="00A51EDD"/>
    <w:rsid w:val="00A52226"/>
    <w:rsid w:val="00A522C2"/>
    <w:rsid w:val="00A528D2"/>
    <w:rsid w:val="00A52F54"/>
    <w:rsid w:val="00A53129"/>
    <w:rsid w:val="00A53131"/>
    <w:rsid w:val="00A552CA"/>
    <w:rsid w:val="00A55772"/>
    <w:rsid w:val="00A557DF"/>
    <w:rsid w:val="00A55AA6"/>
    <w:rsid w:val="00A56190"/>
    <w:rsid w:val="00A567D6"/>
    <w:rsid w:val="00A571BF"/>
    <w:rsid w:val="00A608C0"/>
    <w:rsid w:val="00A61F71"/>
    <w:rsid w:val="00A621EB"/>
    <w:rsid w:val="00A63815"/>
    <w:rsid w:val="00A64886"/>
    <w:rsid w:val="00A65418"/>
    <w:rsid w:val="00A656F0"/>
    <w:rsid w:val="00A66B51"/>
    <w:rsid w:val="00A66C80"/>
    <w:rsid w:val="00A672BA"/>
    <w:rsid w:val="00A67C60"/>
    <w:rsid w:val="00A67D48"/>
    <w:rsid w:val="00A67FB3"/>
    <w:rsid w:val="00A70313"/>
    <w:rsid w:val="00A70733"/>
    <w:rsid w:val="00A7175E"/>
    <w:rsid w:val="00A71CD6"/>
    <w:rsid w:val="00A721ED"/>
    <w:rsid w:val="00A724AC"/>
    <w:rsid w:val="00A72A7F"/>
    <w:rsid w:val="00A73301"/>
    <w:rsid w:val="00A7360A"/>
    <w:rsid w:val="00A747AC"/>
    <w:rsid w:val="00A74802"/>
    <w:rsid w:val="00A74C99"/>
    <w:rsid w:val="00A74D43"/>
    <w:rsid w:val="00A75947"/>
    <w:rsid w:val="00A75C43"/>
    <w:rsid w:val="00A763E0"/>
    <w:rsid w:val="00A81B34"/>
    <w:rsid w:val="00A82F41"/>
    <w:rsid w:val="00A82F62"/>
    <w:rsid w:val="00A8307D"/>
    <w:rsid w:val="00A8341B"/>
    <w:rsid w:val="00A834D1"/>
    <w:rsid w:val="00A83D3D"/>
    <w:rsid w:val="00A8415C"/>
    <w:rsid w:val="00A84439"/>
    <w:rsid w:val="00A84EAB"/>
    <w:rsid w:val="00A8535C"/>
    <w:rsid w:val="00A85679"/>
    <w:rsid w:val="00A85C63"/>
    <w:rsid w:val="00A86405"/>
    <w:rsid w:val="00A86421"/>
    <w:rsid w:val="00A86D39"/>
    <w:rsid w:val="00A879AF"/>
    <w:rsid w:val="00A87AB8"/>
    <w:rsid w:val="00A87C06"/>
    <w:rsid w:val="00A87D80"/>
    <w:rsid w:val="00A904AE"/>
    <w:rsid w:val="00A906D3"/>
    <w:rsid w:val="00A921CE"/>
    <w:rsid w:val="00A933B6"/>
    <w:rsid w:val="00A95840"/>
    <w:rsid w:val="00A95A96"/>
    <w:rsid w:val="00A97367"/>
    <w:rsid w:val="00A97975"/>
    <w:rsid w:val="00AA040A"/>
    <w:rsid w:val="00AA05B2"/>
    <w:rsid w:val="00AA1E57"/>
    <w:rsid w:val="00AA2321"/>
    <w:rsid w:val="00AA3359"/>
    <w:rsid w:val="00AA38EB"/>
    <w:rsid w:val="00AA409D"/>
    <w:rsid w:val="00AA54BA"/>
    <w:rsid w:val="00AA5AF9"/>
    <w:rsid w:val="00AA5BCA"/>
    <w:rsid w:val="00AA5C64"/>
    <w:rsid w:val="00AA615B"/>
    <w:rsid w:val="00AA70CF"/>
    <w:rsid w:val="00AA7B65"/>
    <w:rsid w:val="00AB0139"/>
    <w:rsid w:val="00AB06B2"/>
    <w:rsid w:val="00AB0F2F"/>
    <w:rsid w:val="00AB117B"/>
    <w:rsid w:val="00AB19A1"/>
    <w:rsid w:val="00AB1D93"/>
    <w:rsid w:val="00AB3077"/>
    <w:rsid w:val="00AB371E"/>
    <w:rsid w:val="00AB4716"/>
    <w:rsid w:val="00AB4D29"/>
    <w:rsid w:val="00AB67D6"/>
    <w:rsid w:val="00AB6846"/>
    <w:rsid w:val="00AB6E16"/>
    <w:rsid w:val="00AB7165"/>
    <w:rsid w:val="00AB74F5"/>
    <w:rsid w:val="00AB7F21"/>
    <w:rsid w:val="00AC09A9"/>
    <w:rsid w:val="00AC0CE2"/>
    <w:rsid w:val="00AC22D2"/>
    <w:rsid w:val="00AC22E7"/>
    <w:rsid w:val="00AC2453"/>
    <w:rsid w:val="00AC2AB9"/>
    <w:rsid w:val="00AC3AA1"/>
    <w:rsid w:val="00AC4D51"/>
    <w:rsid w:val="00AC5A43"/>
    <w:rsid w:val="00AC5A63"/>
    <w:rsid w:val="00AC61D7"/>
    <w:rsid w:val="00AC6659"/>
    <w:rsid w:val="00AC72D9"/>
    <w:rsid w:val="00AC781A"/>
    <w:rsid w:val="00AC7E8B"/>
    <w:rsid w:val="00AD0151"/>
    <w:rsid w:val="00AD0399"/>
    <w:rsid w:val="00AD0695"/>
    <w:rsid w:val="00AD1495"/>
    <w:rsid w:val="00AD1CD1"/>
    <w:rsid w:val="00AD1E9C"/>
    <w:rsid w:val="00AD28E8"/>
    <w:rsid w:val="00AD2C76"/>
    <w:rsid w:val="00AD2CB7"/>
    <w:rsid w:val="00AD39DB"/>
    <w:rsid w:val="00AD4061"/>
    <w:rsid w:val="00AD4293"/>
    <w:rsid w:val="00AD45EA"/>
    <w:rsid w:val="00AD4E16"/>
    <w:rsid w:val="00AD56F6"/>
    <w:rsid w:val="00AD588B"/>
    <w:rsid w:val="00AD5E67"/>
    <w:rsid w:val="00AD6053"/>
    <w:rsid w:val="00AD6FB3"/>
    <w:rsid w:val="00AD7323"/>
    <w:rsid w:val="00AD7C84"/>
    <w:rsid w:val="00AE05CE"/>
    <w:rsid w:val="00AE08E8"/>
    <w:rsid w:val="00AE1326"/>
    <w:rsid w:val="00AE1C22"/>
    <w:rsid w:val="00AE281F"/>
    <w:rsid w:val="00AE316D"/>
    <w:rsid w:val="00AE33E4"/>
    <w:rsid w:val="00AE358B"/>
    <w:rsid w:val="00AE38A4"/>
    <w:rsid w:val="00AE3B7B"/>
    <w:rsid w:val="00AE4633"/>
    <w:rsid w:val="00AE4AB9"/>
    <w:rsid w:val="00AE55A7"/>
    <w:rsid w:val="00AE5611"/>
    <w:rsid w:val="00AE5C19"/>
    <w:rsid w:val="00AE6908"/>
    <w:rsid w:val="00AE69C6"/>
    <w:rsid w:val="00AE6A96"/>
    <w:rsid w:val="00AE718E"/>
    <w:rsid w:val="00AE740D"/>
    <w:rsid w:val="00AF060E"/>
    <w:rsid w:val="00AF19FE"/>
    <w:rsid w:val="00AF1E67"/>
    <w:rsid w:val="00AF263C"/>
    <w:rsid w:val="00AF3192"/>
    <w:rsid w:val="00AF3632"/>
    <w:rsid w:val="00AF366F"/>
    <w:rsid w:val="00AF3756"/>
    <w:rsid w:val="00AF43DF"/>
    <w:rsid w:val="00AF47F8"/>
    <w:rsid w:val="00AF4C15"/>
    <w:rsid w:val="00AF6434"/>
    <w:rsid w:val="00AF6494"/>
    <w:rsid w:val="00AF6E15"/>
    <w:rsid w:val="00AF7962"/>
    <w:rsid w:val="00AF7D71"/>
    <w:rsid w:val="00B00016"/>
    <w:rsid w:val="00B000F1"/>
    <w:rsid w:val="00B00129"/>
    <w:rsid w:val="00B002B9"/>
    <w:rsid w:val="00B00636"/>
    <w:rsid w:val="00B0077A"/>
    <w:rsid w:val="00B01015"/>
    <w:rsid w:val="00B01226"/>
    <w:rsid w:val="00B01C7B"/>
    <w:rsid w:val="00B01F65"/>
    <w:rsid w:val="00B025BB"/>
    <w:rsid w:val="00B02B7A"/>
    <w:rsid w:val="00B042E0"/>
    <w:rsid w:val="00B04FCC"/>
    <w:rsid w:val="00B051A9"/>
    <w:rsid w:val="00B05336"/>
    <w:rsid w:val="00B071B6"/>
    <w:rsid w:val="00B07621"/>
    <w:rsid w:val="00B100A6"/>
    <w:rsid w:val="00B10A61"/>
    <w:rsid w:val="00B10DD2"/>
    <w:rsid w:val="00B10E3D"/>
    <w:rsid w:val="00B113CD"/>
    <w:rsid w:val="00B1146F"/>
    <w:rsid w:val="00B1178F"/>
    <w:rsid w:val="00B11890"/>
    <w:rsid w:val="00B11DA6"/>
    <w:rsid w:val="00B122C5"/>
    <w:rsid w:val="00B12829"/>
    <w:rsid w:val="00B12C77"/>
    <w:rsid w:val="00B1387E"/>
    <w:rsid w:val="00B13E52"/>
    <w:rsid w:val="00B14823"/>
    <w:rsid w:val="00B15677"/>
    <w:rsid w:val="00B16DA9"/>
    <w:rsid w:val="00B172AE"/>
    <w:rsid w:val="00B17338"/>
    <w:rsid w:val="00B17F3B"/>
    <w:rsid w:val="00B2030E"/>
    <w:rsid w:val="00B20344"/>
    <w:rsid w:val="00B20716"/>
    <w:rsid w:val="00B20727"/>
    <w:rsid w:val="00B20822"/>
    <w:rsid w:val="00B21128"/>
    <w:rsid w:val="00B21A82"/>
    <w:rsid w:val="00B21FCA"/>
    <w:rsid w:val="00B23513"/>
    <w:rsid w:val="00B2375D"/>
    <w:rsid w:val="00B2393A"/>
    <w:rsid w:val="00B25B17"/>
    <w:rsid w:val="00B25C4D"/>
    <w:rsid w:val="00B26183"/>
    <w:rsid w:val="00B26D1F"/>
    <w:rsid w:val="00B27803"/>
    <w:rsid w:val="00B27B56"/>
    <w:rsid w:val="00B27D8A"/>
    <w:rsid w:val="00B3016B"/>
    <w:rsid w:val="00B30438"/>
    <w:rsid w:val="00B3048B"/>
    <w:rsid w:val="00B311CC"/>
    <w:rsid w:val="00B31558"/>
    <w:rsid w:val="00B315D3"/>
    <w:rsid w:val="00B32367"/>
    <w:rsid w:val="00B32E1E"/>
    <w:rsid w:val="00B33D8E"/>
    <w:rsid w:val="00B356C8"/>
    <w:rsid w:val="00B36323"/>
    <w:rsid w:val="00B36DAF"/>
    <w:rsid w:val="00B3748D"/>
    <w:rsid w:val="00B40071"/>
    <w:rsid w:val="00B41A31"/>
    <w:rsid w:val="00B4246B"/>
    <w:rsid w:val="00B42EDA"/>
    <w:rsid w:val="00B430B5"/>
    <w:rsid w:val="00B43279"/>
    <w:rsid w:val="00B4430A"/>
    <w:rsid w:val="00B44B63"/>
    <w:rsid w:val="00B44F88"/>
    <w:rsid w:val="00B45DD4"/>
    <w:rsid w:val="00B460F5"/>
    <w:rsid w:val="00B46945"/>
    <w:rsid w:val="00B46B25"/>
    <w:rsid w:val="00B46FA9"/>
    <w:rsid w:val="00B4790D"/>
    <w:rsid w:val="00B47DCE"/>
    <w:rsid w:val="00B51033"/>
    <w:rsid w:val="00B516D6"/>
    <w:rsid w:val="00B51983"/>
    <w:rsid w:val="00B51BD7"/>
    <w:rsid w:val="00B51C07"/>
    <w:rsid w:val="00B52606"/>
    <w:rsid w:val="00B52DDB"/>
    <w:rsid w:val="00B52F24"/>
    <w:rsid w:val="00B52F5D"/>
    <w:rsid w:val="00B53459"/>
    <w:rsid w:val="00B53C81"/>
    <w:rsid w:val="00B543BA"/>
    <w:rsid w:val="00B54470"/>
    <w:rsid w:val="00B54CA2"/>
    <w:rsid w:val="00B550BA"/>
    <w:rsid w:val="00B5583E"/>
    <w:rsid w:val="00B56697"/>
    <w:rsid w:val="00B56AF3"/>
    <w:rsid w:val="00B56B26"/>
    <w:rsid w:val="00B56DD5"/>
    <w:rsid w:val="00B57161"/>
    <w:rsid w:val="00B574FF"/>
    <w:rsid w:val="00B5775F"/>
    <w:rsid w:val="00B579ED"/>
    <w:rsid w:val="00B603A3"/>
    <w:rsid w:val="00B60870"/>
    <w:rsid w:val="00B6158D"/>
    <w:rsid w:val="00B61806"/>
    <w:rsid w:val="00B61A75"/>
    <w:rsid w:val="00B61B86"/>
    <w:rsid w:val="00B61DEC"/>
    <w:rsid w:val="00B62E8A"/>
    <w:rsid w:val="00B63A0B"/>
    <w:rsid w:val="00B63D65"/>
    <w:rsid w:val="00B6421D"/>
    <w:rsid w:val="00B64514"/>
    <w:rsid w:val="00B654D9"/>
    <w:rsid w:val="00B66295"/>
    <w:rsid w:val="00B66AC1"/>
    <w:rsid w:val="00B67155"/>
    <w:rsid w:val="00B67A48"/>
    <w:rsid w:val="00B708D6"/>
    <w:rsid w:val="00B70904"/>
    <w:rsid w:val="00B70A11"/>
    <w:rsid w:val="00B70C74"/>
    <w:rsid w:val="00B70F14"/>
    <w:rsid w:val="00B71E11"/>
    <w:rsid w:val="00B7227C"/>
    <w:rsid w:val="00B726D6"/>
    <w:rsid w:val="00B728C2"/>
    <w:rsid w:val="00B7394C"/>
    <w:rsid w:val="00B73DDA"/>
    <w:rsid w:val="00B7449B"/>
    <w:rsid w:val="00B75350"/>
    <w:rsid w:val="00B762E1"/>
    <w:rsid w:val="00B766BD"/>
    <w:rsid w:val="00B76804"/>
    <w:rsid w:val="00B7680F"/>
    <w:rsid w:val="00B76B20"/>
    <w:rsid w:val="00B76E0F"/>
    <w:rsid w:val="00B77210"/>
    <w:rsid w:val="00B7788C"/>
    <w:rsid w:val="00B8040D"/>
    <w:rsid w:val="00B80A64"/>
    <w:rsid w:val="00B80E8C"/>
    <w:rsid w:val="00B811AC"/>
    <w:rsid w:val="00B81544"/>
    <w:rsid w:val="00B818A2"/>
    <w:rsid w:val="00B82CB1"/>
    <w:rsid w:val="00B82EB8"/>
    <w:rsid w:val="00B837B6"/>
    <w:rsid w:val="00B83C61"/>
    <w:rsid w:val="00B84520"/>
    <w:rsid w:val="00B84691"/>
    <w:rsid w:val="00B84CEB"/>
    <w:rsid w:val="00B8516B"/>
    <w:rsid w:val="00B858A0"/>
    <w:rsid w:val="00B85E20"/>
    <w:rsid w:val="00B85F6C"/>
    <w:rsid w:val="00B8619E"/>
    <w:rsid w:val="00B86C21"/>
    <w:rsid w:val="00B870CA"/>
    <w:rsid w:val="00B87142"/>
    <w:rsid w:val="00B875DC"/>
    <w:rsid w:val="00B87C0F"/>
    <w:rsid w:val="00B87C4B"/>
    <w:rsid w:val="00B87D1E"/>
    <w:rsid w:val="00B92750"/>
    <w:rsid w:val="00B93964"/>
    <w:rsid w:val="00B93ADA"/>
    <w:rsid w:val="00B941EB"/>
    <w:rsid w:val="00B94F71"/>
    <w:rsid w:val="00B954BD"/>
    <w:rsid w:val="00B9557E"/>
    <w:rsid w:val="00B9590C"/>
    <w:rsid w:val="00B96196"/>
    <w:rsid w:val="00B97807"/>
    <w:rsid w:val="00B979F1"/>
    <w:rsid w:val="00BA04F7"/>
    <w:rsid w:val="00BA0D55"/>
    <w:rsid w:val="00BA108C"/>
    <w:rsid w:val="00BA178F"/>
    <w:rsid w:val="00BA2976"/>
    <w:rsid w:val="00BA2E40"/>
    <w:rsid w:val="00BA3777"/>
    <w:rsid w:val="00BA4585"/>
    <w:rsid w:val="00BA5783"/>
    <w:rsid w:val="00BA5830"/>
    <w:rsid w:val="00BA6007"/>
    <w:rsid w:val="00BA70CB"/>
    <w:rsid w:val="00BA780B"/>
    <w:rsid w:val="00BA79A8"/>
    <w:rsid w:val="00BB01EE"/>
    <w:rsid w:val="00BB0716"/>
    <w:rsid w:val="00BB0742"/>
    <w:rsid w:val="00BB0844"/>
    <w:rsid w:val="00BB1137"/>
    <w:rsid w:val="00BB11DA"/>
    <w:rsid w:val="00BB1667"/>
    <w:rsid w:val="00BB1AB4"/>
    <w:rsid w:val="00BB1C20"/>
    <w:rsid w:val="00BB25FB"/>
    <w:rsid w:val="00BB2ACC"/>
    <w:rsid w:val="00BB4A25"/>
    <w:rsid w:val="00BB51F9"/>
    <w:rsid w:val="00BB5316"/>
    <w:rsid w:val="00BB55B8"/>
    <w:rsid w:val="00BB560D"/>
    <w:rsid w:val="00BB606C"/>
    <w:rsid w:val="00BB6B88"/>
    <w:rsid w:val="00BB7F49"/>
    <w:rsid w:val="00BB7FAF"/>
    <w:rsid w:val="00BC041C"/>
    <w:rsid w:val="00BC0BD5"/>
    <w:rsid w:val="00BC1164"/>
    <w:rsid w:val="00BC1485"/>
    <w:rsid w:val="00BC1BB7"/>
    <w:rsid w:val="00BC2688"/>
    <w:rsid w:val="00BC2A61"/>
    <w:rsid w:val="00BC50C3"/>
    <w:rsid w:val="00BC5204"/>
    <w:rsid w:val="00BC5DED"/>
    <w:rsid w:val="00BC5F0A"/>
    <w:rsid w:val="00BC6E07"/>
    <w:rsid w:val="00BC75AB"/>
    <w:rsid w:val="00BD0386"/>
    <w:rsid w:val="00BD08EE"/>
    <w:rsid w:val="00BD098B"/>
    <w:rsid w:val="00BD1052"/>
    <w:rsid w:val="00BD1170"/>
    <w:rsid w:val="00BD120B"/>
    <w:rsid w:val="00BD1224"/>
    <w:rsid w:val="00BD1B94"/>
    <w:rsid w:val="00BD1F60"/>
    <w:rsid w:val="00BD299D"/>
    <w:rsid w:val="00BD332B"/>
    <w:rsid w:val="00BD39C8"/>
    <w:rsid w:val="00BD4494"/>
    <w:rsid w:val="00BD4D31"/>
    <w:rsid w:val="00BD5530"/>
    <w:rsid w:val="00BD5C14"/>
    <w:rsid w:val="00BD675A"/>
    <w:rsid w:val="00BD76ED"/>
    <w:rsid w:val="00BD790B"/>
    <w:rsid w:val="00BD7DFF"/>
    <w:rsid w:val="00BE0053"/>
    <w:rsid w:val="00BE01D6"/>
    <w:rsid w:val="00BE0EAD"/>
    <w:rsid w:val="00BE0FFF"/>
    <w:rsid w:val="00BE1298"/>
    <w:rsid w:val="00BE1955"/>
    <w:rsid w:val="00BE2197"/>
    <w:rsid w:val="00BE2C41"/>
    <w:rsid w:val="00BE2F4C"/>
    <w:rsid w:val="00BE31A8"/>
    <w:rsid w:val="00BE33FB"/>
    <w:rsid w:val="00BE364A"/>
    <w:rsid w:val="00BE3698"/>
    <w:rsid w:val="00BE41C1"/>
    <w:rsid w:val="00BE4276"/>
    <w:rsid w:val="00BE44BE"/>
    <w:rsid w:val="00BE4962"/>
    <w:rsid w:val="00BE4DD2"/>
    <w:rsid w:val="00BE50A3"/>
    <w:rsid w:val="00BE52EB"/>
    <w:rsid w:val="00BE6A5B"/>
    <w:rsid w:val="00BE6C19"/>
    <w:rsid w:val="00BE7ACC"/>
    <w:rsid w:val="00BE7AF2"/>
    <w:rsid w:val="00BE7E30"/>
    <w:rsid w:val="00BF14F6"/>
    <w:rsid w:val="00BF15DD"/>
    <w:rsid w:val="00BF249E"/>
    <w:rsid w:val="00BF2AA9"/>
    <w:rsid w:val="00BF2E5F"/>
    <w:rsid w:val="00BF3871"/>
    <w:rsid w:val="00BF445E"/>
    <w:rsid w:val="00BF5065"/>
    <w:rsid w:val="00BF6511"/>
    <w:rsid w:val="00BF69BA"/>
    <w:rsid w:val="00BF7512"/>
    <w:rsid w:val="00BF761E"/>
    <w:rsid w:val="00C002F8"/>
    <w:rsid w:val="00C003EE"/>
    <w:rsid w:val="00C00477"/>
    <w:rsid w:val="00C0096B"/>
    <w:rsid w:val="00C00FB1"/>
    <w:rsid w:val="00C01DE1"/>
    <w:rsid w:val="00C01FA6"/>
    <w:rsid w:val="00C02876"/>
    <w:rsid w:val="00C02EFA"/>
    <w:rsid w:val="00C03A62"/>
    <w:rsid w:val="00C052B6"/>
    <w:rsid w:val="00C0594D"/>
    <w:rsid w:val="00C05C54"/>
    <w:rsid w:val="00C05D54"/>
    <w:rsid w:val="00C05FB3"/>
    <w:rsid w:val="00C0628A"/>
    <w:rsid w:val="00C06446"/>
    <w:rsid w:val="00C066E3"/>
    <w:rsid w:val="00C0673A"/>
    <w:rsid w:val="00C06F68"/>
    <w:rsid w:val="00C070B4"/>
    <w:rsid w:val="00C0739F"/>
    <w:rsid w:val="00C07BA3"/>
    <w:rsid w:val="00C100BD"/>
    <w:rsid w:val="00C101E7"/>
    <w:rsid w:val="00C10369"/>
    <w:rsid w:val="00C10D4A"/>
    <w:rsid w:val="00C112C5"/>
    <w:rsid w:val="00C11393"/>
    <w:rsid w:val="00C114EC"/>
    <w:rsid w:val="00C12211"/>
    <w:rsid w:val="00C125A0"/>
    <w:rsid w:val="00C12F6E"/>
    <w:rsid w:val="00C13654"/>
    <w:rsid w:val="00C14058"/>
    <w:rsid w:val="00C14885"/>
    <w:rsid w:val="00C1497D"/>
    <w:rsid w:val="00C151C2"/>
    <w:rsid w:val="00C16E13"/>
    <w:rsid w:val="00C17881"/>
    <w:rsid w:val="00C2057E"/>
    <w:rsid w:val="00C21DD5"/>
    <w:rsid w:val="00C22880"/>
    <w:rsid w:val="00C2327B"/>
    <w:rsid w:val="00C23896"/>
    <w:rsid w:val="00C238D0"/>
    <w:rsid w:val="00C23A38"/>
    <w:rsid w:val="00C2418A"/>
    <w:rsid w:val="00C24BCF"/>
    <w:rsid w:val="00C24DCA"/>
    <w:rsid w:val="00C24DFD"/>
    <w:rsid w:val="00C25D8D"/>
    <w:rsid w:val="00C2642B"/>
    <w:rsid w:val="00C26B4C"/>
    <w:rsid w:val="00C271B6"/>
    <w:rsid w:val="00C275C4"/>
    <w:rsid w:val="00C276B6"/>
    <w:rsid w:val="00C276E1"/>
    <w:rsid w:val="00C27B3E"/>
    <w:rsid w:val="00C27C3A"/>
    <w:rsid w:val="00C27E21"/>
    <w:rsid w:val="00C30107"/>
    <w:rsid w:val="00C301C8"/>
    <w:rsid w:val="00C30B4B"/>
    <w:rsid w:val="00C30D21"/>
    <w:rsid w:val="00C31696"/>
    <w:rsid w:val="00C316C2"/>
    <w:rsid w:val="00C31BBF"/>
    <w:rsid w:val="00C31DA0"/>
    <w:rsid w:val="00C32EB3"/>
    <w:rsid w:val="00C33FCA"/>
    <w:rsid w:val="00C34410"/>
    <w:rsid w:val="00C348EC"/>
    <w:rsid w:val="00C35B60"/>
    <w:rsid w:val="00C35BBE"/>
    <w:rsid w:val="00C35F4D"/>
    <w:rsid w:val="00C3661F"/>
    <w:rsid w:val="00C371CC"/>
    <w:rsid w:val="00C3764C"/>
    <w:rsid w:val="00C40D47"/>
    <w:rsid w:val="00C4158A"/>
    <w:rsid w:val="00C429F8"/>
    <w:rsid w:val="00C43075"/>
    <w:rsid w:val="00C432AF"/>
    <w:rsid w:val="00C438DD"/>
    <w:rsid w:val="00C4401D"/>
    <w:rsid w:val="00C44C83"/>
    <w:rsid w:val="00C461E2"/>
    <w:rsid w:val="00C46276"/>
    <w:rsid w:val="00C462A1"/>
    <w:rsid w:val="00C4682E"/>
    <w:rsid w:val="00C46B21"/>
    <w:rsid w:val="00C4777B"/>
    <w:rsid w:val="00C479EE"/>
    <w:rsid w:val="00C47F4E"/>
    <w:rsid w:val="00C5044C"/>
    <w:rsid w:val="00C504A6"/>
    <w:rsid w:val="00C5093D"/>
    <w:rsid w:val="00C5112B"/>
    <w:rsid w:val="00C5155D"/>
    <w:rsid w:val="00C51709"/>
    <w:rsid w:val="00C517F7"/>
    <w:rsid w:val="00C5197C"/>
    <w:rsid w:val="00C53925"/>
    <w:rsid w:val="00C54E3D"/>
    <w:rsid w:val="00C566A4"/>
    <w:rsid w:val="00C57E57"/>
    <w:rsid w:val="00C605F0"/>
    <w:rsid w:val="00C617F4"/>
    <w:rsid w:val="00C61D6F"/>
    <w:rsid w:val="00C627A5"/>
    <w:rsid w:val="00C6293E"/>
    <w:rsid w:val="00C635D2"/>
    <w:rsid w:val="00C642D7"/>
    <w:rsid w:val="00C648C5"/>
    <w:rsid w:val="00C6546E"/>
    <w:rsid w:val="00C6595C"/>
    <w:rsid w:val="00C65CA6"/>
    <w:rsid w:val="00C65E4E"/>
    <w:rsid w:val="00C668E9"/>
    <w:rsid w:val="00C66AD7"/>
    <w:rsid w:val="00C66ED6"/>
    <w:rsid w:val="00C676E3"/>
    <w:rsid w:val="00C67B12"/>
    <w:rsid w:val="00C67FDE"/>
    <w:rsid w:val="00C70BD7"/>
    <w:rsid w:val="00C721BB"/>
    <w:rsid w:val="00C7240B"/>
    <w:rsid w:val="00C72B24"/>
    <w:rsid w:val="00C735EE"/>
    <w:rsid w:val="00C746D0"/>
    <w:rsid w:val="00C75CE4"/>
    <w:rsid w:val="00C765A8"/>
    <w:rsid w:val="00C7676D"/>
    <w:rsid w:val="00C768DC"/>
    <w:rsid w:val="00C773E5"/>
    <w:rsid w:val="00C77542"/>
    <w:rsid w:val="00C779CA"/>
    <w:rsid w:val="00C80050"/>
    <w:rsid w:val="00C8061D"/>
    <w:rsid w:val="00C809A9"/>
    <w:rsid w:val="00C80E0A"/>
    <w:rsid w:val="00C8134B"/>
    <w:rsid w:val="00C81631"/>
    <w:rsid w:val="00C81CFE"/>
    <w:rsid w:val="00C82244"/>
    <w:rsid w:val="00C8251D"/>
    <w:rsid w:val="00C83036"/>
    <w:rsid w:val="00C83163"/>
    <w:rsid w:val="00C83C33"/>
    <w:rsid w:val="00C83E99"/>
    <w:rsid w:val="00C84073"/>
    <w:rsid w:val="00C84448"/>
    <w:rsid w:val="00C84FAF"/>
    <w:rsid w:val="00C8543A"/>
    <w:rsid w:val="00C85C9C"/>
    <w:rsid w:val="00C86038"/>
    <w:rsid w:val="00C865CC"/>
    <w:rsid w:val="00C866D6"/>
    <w:rsid w:val="00C87BD1"/>
    <w:rsid w:val="00C903E7"/>
    <w:rsid w:val="00C90829"/>
    <w:rsid w:val="00C90D48"/>
    <w:rsid w:val="00C9103B"/>
    <w:rsid w:val="00C91494"/>
    <w:rsid w:val="00C9190D"/>
    <w:rsid w:val="00C91A0A"/>
    <w:rsid w:val="00C91A53"/>
    <w:rsid w:val="00C929B4"/>
    <w:rsid w:val="00C9315B"/>
    <w:rsid w:val="00C93639"/>
    <w:rsid w:val="00C93714"/>
    <w:rsid w:val="00C93B00"/>
    <w:rsid w:val="00C9471A"/>
    <w:rsid w:val="00C94794"/>
    <w:rsid w:val="00C9528D"/>
    <w:rsid w:val="00C96223"/>
    <w:rsid w:val="00C96E37"/>
    <w:rsid w:val="00C96EBC"/>
    <w:rsid w:val="00C971EC"/>
    <w:rsid w:val="00CA027A"/>
    <w:rsid w:val="00CA0C33"/>
    <w:rsid w:val="00CA0C5E"/>
    <w:rsid w:val="00CA1515"/>
    <w:rsid w:val="00CA16C5"/>
    <w:rsid w:val="00CA1954"/>
    <w:rsid w:val="00CA2127"/>
    <w:rsid w:val="00CA2399"/>
    <w:rsid w:val="00CA23D5"/>
    <w:rsid w:val="00CA2B00"/>
    <w:rsid w:val="00CA2CF9"/>
    <w:rsid w:val="00CA35F8"/>
    <w:rsid w:val="00CA3CE8"/>
    <w:rsid w:val="00CA40EB"/>
    <w:rsid w:val="00CA5284"/>
    <w:rsid w:val="00CA5FED"/>
    <w:rsid w:val="00CA680D"/>
    <w:rsid w:val="00CA691A"/>
    <w:rsid w:val="00CA6C66"/>
    <w:rsid w:val="00CA722C"/>
    <w:rsid w:val="00CB0162"/>
    <w:rsid w:val="00CB0372"/>
    <w:rsid w:val="00CB15A4"/>
    <w:rsid w:val="00CB330F"/>
    <w:rsid w:val="00CB4776"/>
    <w:rsid w:val="00CB47AB"/>
    <w:rsid w:val="00CB4E3A"/>
    <w:rsid w:val="00CB5CE2"/>
    <w:rsid w:val="00CB5D37"/>
    <w:rsid w:val="00CB6947"/>
    <w:rsid w:val="00CB6B8C"/>
    <w:rsid w:val="00CB6B9D"/>
    <w:rsid w:val="00CB76AA"/>
    <w:rsid w:val="00CC0F2E"/>
    <w:rsid w:val="00CC1049"/>
    <w:rsid w:val="00CC108C"/>
    <w:rsid w:val="00CC1D1C"/>
    <w:rsid w:val="00CC1F3E"/>
    <w:rsid w:val="00CC2A4A"/>
    <w:rsid w:val="00CC30DB"/>
    <w:rsid w:val="00CC322E"/>
    <w:rsid w:val="00CC33CB"/>
    <w:rsid w:val="00CC3C65"/>
    <w:rsid w:val="00CC4871"/>
    <w:rsid w:val="00CC4B6B"/>
    <w:rsid w:val="00CC51B5"/>
    <w:rsid w:val="00CC5932"/>
    <w:rsid w:val="00CC5E3F"/>
    <w:rsid w:val="00CC5FB2"/>
    <w:rsid w:val="00CC616B"/>
    <w:rsid w:val="00CC671B"/>
    <w:rsid w:val="00CC6D3E"/>
    <w:rsid w:val="00CC70EE"/>
    <w:rsid w:val="00CC75B3"/>
    <w:rsid w:val="00CC770D"/>
    <w:rsid w:val="00CC7E11"/>
    <w:rsid w:val="00CD08FF"/>
    <w:rsid w:val="00CD1092"/>
    <w:rsid w:val="00CD10CF"/>
    <w:rsid w:val="00CD1146"/>
    <w:rsid w:val="00CD139C"/>
    <w:rsid w:val="00CD180A"/>
    <w:rsid w:val="00CD2860"/>
    <w:rsid w:val="00CD2BE9"/>
    <w:rsid w:val="00CD31AB"/>
    <w:rsid w:val="00CD4C8D"/>
    <w:rsid w:val="00CD562E"/>
    <w:rsid w:val="00CD58CF"/>
    <w:rsid w:val="00CD5ACE"/>
    <w:rsid w:val="00CD6315"/>
    <w:rsid w:val="00CD6520"/>
    <w:rsid w:val="00CD7646"/>
    <w:rsid w:val="00CD784D"/>
    <w:rsid w:val="00CD7EE9"/>
    <w:rsid w:val="00CE0036"/>
    <w:rsid w:val="00CE0C0A"/>
    <w:rsid w:val="00CE1128"/>
    <w:rsid w:val="00CE131C"/>
    <w:rsid w:val="00CE141E"/>
    <w:rsid w:val="00CE181F"/>
    <w:rsid w:val="00CE1D5D"/>
    <w:rsid w:val="00CE1FA3"/>
    <w:rsid w:val="00CE3B7F"/>
    <w:rsid w:val="00CE4184"/>
    <w:rsid w:val="00CE43DF"/>
    <w:rsid w:val="00CE46A4"/>
    <w:rsid w:val="00CE4F54"/>
    <w:rsid w:val="00CE544D"/>
    <w:rsid w:val="00CE5B77"/>
    <w:rsid w:val="00CE5FF3"/>
    <w:rsid w:val="00CE6B06"/>
    <w:rsid w:val="00CE6D77"/>
    <w:rsid w:val="00CE73E6"/>
    <w:rsid w:val="00CF1375"/>
    <w:rsid w:val="00CF1DE9"/>
    <w:rsid w:val="00CF1F1A"/>
    <w:rsid w:val="00CF2A7C"/>
    <w:rsid w:val="00CF2F2E"/>
    <w:rsid w:val="00CF386C"/>
    <w:rsid w:val="00CF3A50"/>
    <w:rsid w:val="00CF3B96"/>
    <w:rsid w:val="00CF415C"/>
    <w:rsid w:val="00CF46F2"/>
    <w:rsid w:val="00CF4C97"/>
    <w:rsid w:val="00CF5BA8"/>
    <w:rsid w:val="00CF61E7"/>
    <w:rsid w:val="00CF7ECE"/>
    <w:rsid w:val="00D003D2"/>
    <w:rsid w:val="00D008F0"/>
    <w:rsid w:val="00D00935"/>
    <w:rsid w:val="00D00D0A"/>
    <w:rsid w:val="00D00DF0"/>
    <w:rsid w:val="00D01427"/>
    <w:rsid w:val="00D0164B"/>
    <w:rsid w:val="00D01B98"/>
    <w:rsid w:val="00D01C8C"/>
    <w:rsid w:val="00D03D50"/>
    <w:rsid w:val="00D0430A"/>
    <w:rsid w:val="00D045E6"/>
    <w:rsid w:val="00D04E40"/>
    <w:rsid w:val="00D05470"/>
    <w:rsid w:val="00D0627F"/>
    <w:rsid w:val="00D06DA0"/>
    <w:rsid w:val="00D071C7"/>
    <w:rsid w:val="00D07AE9"/>
    <w:rsid w:val="00D07BA8"/>
    <w:rsid w:val="00D1089A"/>
    <w:rsid w:val="00D10A04"/>
    <w:rsid w:val="00D11386"/>
    <w:rsid w:val="00D119B8"/>
    <w:rsid w:val="00D12789"/>
    <w:rsid w:val="00D12C95"/>
    <w:rsid w:val="00D130EA"/>
    <w:rsid w:val="00D1359E"/>
    <w:rsid w:val="00D13AC7"/>
    <w:rsid w:val="00D156B5"/>
    <w:rsid w:val="00D1592A"/>
    <w:rsid w:val="00D15AD4"/>
    <w:rsid w:val="00D15BC6"/>
    <w:rsid w:val="00D15E24"/>
    <w:rsid w:val="00D15F28"/>
    <w:rsid w:val="00D16E04"/>
    <w:rsid w:val="00D16F4E"/>
    <w:rsid w:val="00D17E49"/>
    <w:rsid w:val="00D202C0"/>
    <w:rsid w:val="00D20695"/>
    <w:rsid w:val="00D20A83"/>
    <w:rsid w:val="00D22895"/>
    <w:rsid w:val="00D23C11"/>
    <w:rsid w:val="00D2487F"/>
    <w:rsid w:val="00D24B1D"/>
    <w:rsid w:val="00D24ECA"/>
    <w:rsid w:val="00D257B7"/>
    <w:rsid w:val="00D259A2"/>
    <w:rsid w:val="00D25B90"/>
    <w:rsid w:val="00D25F35"/>
    <w:rsid w:val="00D265C7"/>
    <w:rsid w:val="00D26AF2"/>
    <w:rsid w:val="00D279D2"/>
    <w:rsid w:val="00D27B75"/>
    <w:rsid w:val="00D30377"/>
    <w:rsid w:val="00D31841"/>
    <w:rsid w:val="00D31E27"/>
    <w:rsid w:val="00D32200"/>
    <w:rsid w:val="00D3232B"/>
    <w:rsid w:val="00D325F0"/>
    <w:rsid w:val="00D326B7"/>
    <w:rsid w:val="00D32785"/>
    <w:rsid w:val="00D32B4D"/>
    <w:rsid w:val="00D32E77"/>
    <w:rsid w:val="00D33001"/>
    <w:rsid w:val="00D33979"/>
    <w:rsid w:val="00D33AC3"/>
    <w:rsid w:val="00D344B0"/>
    <w:rsid w:val="00D34B83"/>
    <w:rsid w:val="00D34F9A"/>
    <w:rsid w:val="00D35358"/>
    <w:rsid w:val="00D35DE2"/>
    <w:rsid w:val="00D3695C"/>
    <w:rsid w:val="00D40A00"/>
    <w:rsid w:val="00D41E76"/>
    <w:rsid w:val="00D41F07"/>
    <w:rsid w:val="00D42784"/>
    <w:rsid w:val="00D428D1"/>
    <w:rsid w:val="00D42A97"/>
    <w:rsid w:val="00D42F97"/>
    <w:rsid w:val="00D43973"/>
    <w:rsid w:val="00D44032"/>
    <w:rsid w:val="00D443A0"/>
    <w:rsid w:val="00D443B6"/>
    <w:rsid w:val="00D44FEE"/>
    <w:rsid w:val="00D45AC1"/>
    <w:rsid w:val="00D46C90"/>
    <w:rsid w:val="00D47379"/>
    <w:rsid w:val="00D4755A"/>
    <w:rsid w:val="00D479F7"/>
    <w:rsid w:val="00D5024B"/>
    <w:rsid w:val="00D502D6"/>
    <w:rsid w:val="00D50771"/>
    <w:rsid w:val="00D50F2D"/>
    <w:rsid w:val="00D5107A"/>
    <w:rsid w:val="00D51D5A"/>
    <w:rsid w:val="00D51E9B"/>
    <w:rsid w:val="00D51F18"/>
    <w:rsid w:val="00D5205B"/>
    <w:rsid w:val="00D52D10"/>
    <w:rsid w:val="00D537C9"/>
    <w:rsid w:val="00D541DF"/>
    <w:rsid w:val="00D5463F"/>
    <w:rsid w:val="00D54F25"/>
    <w:rsid w:val="00D55A38"/>
    <w:rsid w:val="00D569F4"/>
    <w:rsid w:val="00D57034"/>
    <w:rsid w:val="00D57504"/>
    <w:rsid w:val="00D5767A"/>
    <w:rsid w:val="00D60094"/>
    <w:rsid w:val="00D60692"/>
    <w:rsid w:val="00D60F37"/>
    <w:rsid w:val="00D61E1F"/>
    <w:rsid w:val="00D62983"/>
    <w:rsid w:val="00D62ED6"/>
    <w:rsid w:val="00D62F70"/>
    <w:rsid w:val="00D62F84"/>
    <w:rsid w:val="00D6356E"/>
    <w:rsid w:val="00D63573"/>
    <w:rsid w:val="00D64830"/>
    <w:rsid w:val="00D64B71"/>
    <w:rsid w:val="00D663AA"/>
    <w:rsid w:val="00D66713"/>
    <w:rsid w:val="00D6709B"/>
    <w:rsid w:val="00D6754E"/>
    <w:rsid w:val="00D70F28"/>
    <w:rsid w:val="00D71247"/>
    <w:rsid w:val="00D714A2"/>
    <w:rsid w:val="00D715C7"/>
    <w:rsid w:val="00D71C4F"/>
    <w:rsid w:val="00D71C8C"/>
    <w:rsid w:val="00D72C8D"/>
    <w:rsid w:val="00D72DC0"/>
    <w:rsid w:val="00D72EB3"/>
    <w:rsid w:val="00D72FD5"/>
    <w:rsid w:val="00D73ED0"/>
    <w:rsid w:val="00D73FD9"/>
    <w:rsid w:val="00D74154"/>
    <w:rsid w:val="00D7447C"/>
    <w:rsid w:val="00D74942"/>
    <w:rsid w:val="00D74A01"/>
    <w:rsid w:val="00D75986"/>
    <w:rsid w:val="00D75AC0"/>
    <w:rsid w:val="00D75E4C"/>
    <w:rsid w:val="00D75F07"/>
    <w:rsid w:val="00D75F7D"/>
    <w:rsid w:val="00D76ECA"/>
    <w:rsid w:val="00D77510"/>
    <w:rsid w:val="00D77C23"/>
    <w:rsid w:val="00D77DC6"/>
    <w:rsid w:val="00D80290"/>
    <w:rsid w:val="00D8038D"/>
    <w:rsid w:val="00D809E4"/>
    <w:rsid w:val="00D80EC3"/>
    <w:rsid w:val="00D8115E"/>
    <w:rsid w:val="00D812B2"/>
    <w:rsid w:val="00D81AEC"/>
    <w:rsid w:val="00D82835"/>
    <w:rsid w:val="00D83D43"/>
    <w:rsid w:val="00D84080"/>
    <w:rsid w:val="00D84FFC"/>
    <w:rsid w:val="00D85070"/>
    <w:rsid w:val="00D86205"/>
    <w:rsid w:val="00D8643D"/>
    <w:rsid w:val="00D86DE1"/>
    <w:rsid w:val="00D871FA"/>
    <w:rsid w:val="00D879A6"/>
    <w:rsid w:val="00D911BE"/>
    <w:rsid w:val="00D9182B"/>
    <w:rsid w:val="00D919B2"/>
    <w:rsid w:val="00D920D3"/>
    <w:rsid w:val="00D9233A"/>
    <w:rsid w:val="00D9278D"/>
    <w:rsid w:val="00D9346A"/>
    <w:rsid w:val="00D93805"/>
    <w:rsid w:val="00D94A90"/>
    <w:rsid w:val="00D95C2F"/>
    <w:rsid w:val="00D95CD3"/>
    <w:rsid w:val="00D95FF1"/>
    <w:rsid w:val="00D961BD"/>
    <w:rsid w:val="00D964BC"/>
    <w:rsid w:val="00D96A1E"/>
    <w:rsid w:val="00D96BDD"/>
    <w:rsid w:val="00D971EE"/>
    <w:rsid w:val="00D97606"/>
    <w:rsid w:val="00DA0BD9"/>
    <w:rsid w:val="00DA0E9D"/>
    <w:rsid w:val="00DA1964"/>
    <w:rsid w:val="00DA1A9E"/>
    <w:rsid w:val="00DA3145"/>
    <w:rsid w:val="00DA31CA"/>
    <w:rsid w:val="00DA3DE2"/>
    <w:rsid w:val="00DA434F"/>
    <w:rsid w:val="00DA4BAD"/>
    <w:rsid w:val="00DA5067"/>
    <w:rsid w:val="00DA56F4"/>
    <w:rsid w:val="00DA5C15"/>
    <w:rsid w:val="00DA5FC4"/>
    <w:rsid w:val="00DA63C8"/>
    <w:rsid w:val="00DA69DD"/>
    <w:rsid w:val="00DA7300"/>
    <w:rsid w:val="00DB083A"/>
    <w:rsid w:val="00DB0870"/>
    <w:rsid w:val="00DB12A9"/>
    <w:rsid w:val="00DB1639"/>
    <w:rsid w:val="00DB18FB"/>
    <w:rsid w:val="00DB1AB4"/>
    <w:rsid w:val="00DB20F7"/>
    <w:rsid w:val="00DB2EF4"/>
    <w:rsid w:val="00DB3B51"/>
    <w:rsid w:val="00DB3FA7"/>
    <w:rsid w:val="00DB472E"/>
    <w:rsid w:val="00DB5133"/>
    <w:rsid w:val="00DB5E3E"/>
    <w:rsid w:val="00DB67B6"/>
    <w:rsid w:val="00DB6982"/>
    <w:rsid w:val="00DB74F7"/>
    <w:rsid w:val="00DB7F2F"/>
    <w:rsid w:val="00DC0661"/>
    <w:rsid w:val="00DC133C"/>
    <w:rsid w:val="00DC29BF"/>
    <w:rsid w:val="00DC2FE3"/>
    <w:rsid w:val="00DC352F"/>
    <w:rsid w:val="00DC38F8"/>
    <w:rsid w:val="00DC3922"/>
    <w:rsid w:val="00DC4B0D"/>
    <w:rsid w:val="00DC6135"/>
    <w:rsid w:val="00DC6816"/>
    <w:rsid w:val="00DC6861"/>
    <w:rsid w:val="00DC759E"/>
    <w:rsid w:val="00DC7C48"/>
    <w:rsid w:val="00DD03F7"/>
    <w:rsid w:val="00DD090F"/>
    <w:rsid w:val="00DD1FB8"/>
    <w:rsid w:val="00DD201A"/>
    <w:rsid w:val="00DD257A"/>
    <w:rsid w:val="00DD2853"/>
    <w:rsid w:val="00DD312F"/>
    <w:rsid w:val="00DD34A8"/>
    <w:rsid w:val="00DD37F5"/>
    <w:rsid w:val="00DD43A9"/>
    <w:rsid w:val="00DD51C3"/>
    <w:rsid w:val="00DD5323"/>
    <w:rsid w:val="00DD5E7A"/>
    <w:rsid w:val="00DD67E3"/>
    <w:rsid w:val="00DD6A9E"/>
    <w:rsid w:val="00DD6DAD"/>
    <w:rsid w:val="00DD6F39"/>
    <w:rsid w:val="00DD719B"/>
    <w:rsid w:val="00DD75E6"/>
    <w:rsid w:val="00DD79E7"/>
    <w:rsid w:val="00DD7B8C"/>
    <w:rsid w:val="00DE05FE"/>
    <w:rsid w:val="00DE0BAD"/>
    <w:rsid w:val="00DE1042"/>
    <w:rsid w:val="00DE2EEB"/>
    <w:rsid w:val="00DE306C"/>
    <w:rsid w:val="00DE346E"/>
    <w:rsid w:val="00DE3A8A"/>
    <w:rsid w:val="00DE3D01"/>
    <w:rsid w:val="00DE400E"/>
    <w:rsid w:val="00DE4403"/>
    <w:rsid w:val="00DE4AD2"/>
    <w:rsid w:val="00DE5023"/>
    <w:rsid w:val="00DE528A"/>
    <w:rsid w:val="00DE54D6"/>
    <w:rsid w:val="00DE5671"/>
    <w:rsid w:val="00DE57D4"/>
    <w:rsid w:val="00DE580F"/>
    <w:rsid w:val="00DE5964"/>
    <w:rsid w:val="00DE5E5C"/>
    <w:rsid w:val="00DE6647"/>
    <w:rsid w:val="00DE665A"/>
    <w:rsid w:val="00DE68C4"/>
    <w:rsid w:val="00DE6D4F"/>
    <w:rsid w:val="00DE6E32"/>
    <w:rsid w:val="00DE714B"/>
    <w:rsid w:val="00DF0090"/>
    <w:rsid w:val="00DF00A5"/>
    <w:rsid w:val="00DF00F6"/>
    <w:rsid w:val="00DF0404"/>
    <w:rsid w:val="00DF0688"/>
    <w:rsid w:val="00DF08BA"/>
    <w:rsid w:val="00DF13E6"/>
    <w:rsid w:val="00DF1758"/>
    <w:rsid w:val="00DF1ABC"/>
    <w:rsid w:val="00DF1B98"/>
    <w:rsid w:val="00DF1EEE"/>
    <w:rsid w:val="00DF21DA"/>
    <w:rsid w:val="00DF2529"/>
    <w:rsid w:val="00DF30FF"/>
    <w:rsid w:val="00DF3219"/>
    <w:rsid w:val="00DF36EE"/>
    <w:rsid w:val="00DF3E2F"/>
    <w:rsid w:val="00DF47E5"/>
    <w:rsid w:val="00DF49DB"/>
    <w:rsid w:val="00DF61B3"/>
    <w:rsid w:val="00DF6309"/>
    <w:rsid w:val="00DF6321"/>
    <w:rsid w:val="00DF658C"/>
    <w:rsid w:val="00DF6F16"/>
    <w:rsid w:val="00DF755E"/>
    <w:rsid w:val="00DF779C"/>
    <w:rsid w:val="00DF78CD"/>
    <w:rsid w:val="00E005B1"/>
    <w:rsid w:val="00E00632"/>
    <w:rsid w:val="00E02420"/>
    <w:rsid w:val="00E0440A"/>
    <w:rsid w:val="00E044AE"/>
    <w:rsid w:val="00E04651"/>
    <w:rsid w:val="00E04C2E"/>
    <w:rsid w:val="00E04FD5"/>
    <w:rsid w:val="00E05309"/>
    <w:rsid w:val="00E05373"/>
    <w:rsid w:val="00E056F6"/>
    <w:rsid w:val="00E0592B"/>
    <w:rsid w:val="00E05B2D"/>
    <w:rsid w:val="00E05C23"/>
    <w:rsid w:val="00E05F7C"/>
    <w:rsid w:val="00E06F50"/>
    <w:rsid w:val="00E070C9"/>
    <w:rsid w:val="00E07569"/>
    <w:rsid w:val="00E07D38"/>
    <w:rsid w:val="00E07DBF"/>
    <w:rsid w:val="00E117B4"/>
    <w:rsid w:val="00E122BE"/>
    <w:rsid w:val="00E1296C"/>
    <w:rsid w:val="00E12A6A"/>
    <w:rsid w:val="00E14DC9"/>
    <w:rsid w:val="00E15B6E"/>
    <w:rsid w:val="00E15CBF"/>
    <w:rsid w:val="00E15DEE"/>
    <w:rsid w:val="00E15FB4"/>
    <w:rsid w:val="00E1748F"/>
    <w:rsid w:val="00E1778A"/>
    <w:rsid w:val="00E206E1"/>
    <w:rsid w:val="00E20A56"/>
    <w:rsid w:val="00E20FD3"/>
    <w:rsid w:val="00E2210B"/>
    <w:rsid w:val="00E228AF"/>
    <w:rsid w:val="00E23439"/>
    <w:rsid w:val="00E2367D"/>
    <w:rsid w:val="00E23CB0"/>
    <w:rsid w:val="00E23F42"/>
    <w:rsid w:val="00E25619"/>
    <w:rsid w:val="00E25921"/>
    <w:rsid w:val="00E25B1D"/>
    <w:rsid w:val="00E26385"/>
    <w:rsid w:val="00E26621"/>
    <w:rsid w:val="00E26D77"/>
    <w:rsid w:val="00E27A2B"/>
    <w:rsid w:val="00E27BEC"/>
    <w:rsid w:val="00E308A0"/>
    <w:rsid w:val="00E3099B"/>
    <w:rsid w:val="00E31739"/>
    <w:rsid w:val="00E31A80"/>
    <w:rsid w:val="00E31AA2"/>
    <w:rsid w:val="00E31B24"/>
    <w:rsid w:val="00E31EDD"/>
    <w:rsid w:val="00E3278D"/>
    <w:rsid w:val="00E328DB"/>
    <w:rsid w:val="00E32C3F"/>
    <w:rsid w:val="00E330C5"/>
    <w:rsid w:val="00E33151"/>
    <w:rsid w:val="00E336A5"/>
    <w:rsid w:val="00E339E7"/>
    <w:rsid w:val="00E33B00"/>
    <w:rsid w:val="00E3486D"/>
    <w:rsid w:val="00E34AFA"/>
    <w:rsid w:val="00E35383"/>
    <w:rsid w:val="00E35B7F"/>
    <w:rsid w:val="00E35DC0"/>
    <w:rsid w:val="00E372BE"/>
    <w:rsid w:val="00E37C4C"/>
    <w:rsid w:val="00E40B68"/>
    <w:rsid w:val="00E40F44"/>
    <w:rsid w:val="00E41D73"/>
    <w:rsid w:val="00E41D7F"/>
    <w:rsid w:val="00E41E75"/>
    <w:rsid w:val="00E44BAD"/>
    <w:rsid w:val="00E44E14"/>
    <w:rsid w:val="00E44E18"/>
    <w:rsid w:val="00E45001"/>
    <w:rsid w:val="00E45149"/>
    <w:rsid w:val="00E46B3D"/>
    <w:rsid w:val="00E46F59"/>
    <w:rsid w:val="00E4785E"/>
    <w:rsid w:val="00E50305"/>
    <w:rsid w:val="00E509A6"/>
    <w:rsid w:val="00E5145E"/>
    <w:rsid w:val="00E51AAD"/>
    <w:rsid w:val="00E52031"/>
    <w:rsid w:val="00E539BC"/>
    <w:rsid w:val="00E53AB9"/>
    <w:rsid w:val="00E53B70"/>
    <w:rsid w:val="00E53C11"/>
    <w:rsid w:val="00E53FC4"/>
    <w:rsid w:val="00E5581D"/>
    <w:rsid w:val="00E55A23"/>
    <w:rsid w:val="00E55C49"/>
    <w:rsid w:val="00E55DA5"/>
    <w:rsid w:val="00E5608A"/>
    <w:rsid w:val="00E56658"/>
    <w:rsid w:val="00E57B59"/>
    <w:rsid w:val="00E60287"/>
    <w:rsid w:val="00E6069D"/>
    <w:rsid w:val="00E61A8F"/>
    <w:rsid w:val="00E61B6C"/>
    <w:rsid w:val="00E61F10"/>
    <w:rsid w:val="00E63802"/>
    <w:rsid w:val="00E63833"/>
    <w:rsid w:val="00E64CF2"/>
    <w:rsid w:val="00E6559C"/>
    <w:rsid w:val="00E65684"/>
    <w:rsid w:val="00E65D69"/>
    <w:rsid w:val="00E65FE6"/>
    <w:rsid w:val="00E66D70"/>
    <w:rsid w:val="00E66DF4"/>
    <w:rsid w:val="00E66FCA"/>
    <w:rsid w:val="00E67A5D"/>
    <w:rsid w:val="00E70165"/>
    <w:rsid w:val="00E702B1"/>
    <w:rsid w:val="00E71038"/>
    <w:rsid w:val="00E721EE"/>
    <w:rsid w:val="00E726E5"/>
    <w:rsid w:val="00E727C7"/>
    <w:rsid w:val="00E73912"/>
    <w:rsid w:val="00E7440D"/>
    <w:rsid w:val="00E74A0F"/>
    <w:rsid w:val="00E74B17"/>
    <w:rsid w:val="00E75DC3"/>
    <w:rsid w:val="00E76B14"/>
    <w:rsid w:val="00E77538"/>
    <w:rsid w:val="00E802A0"/>
    <w:rsid w:val="00E808E9"/>
    <w:rsid w:val="00E81881"/>
    <w:rsid w:val="00E828EA"/>
    <w:rsid w:val="00E82971"/>
    <w:rsid w:val="00E82D3F"/>
    <w:rsid w:val="00E82E64"/>
    <w:rsid w:val="00E82EB2"/>
    <w:rsid w:val="00E8375A"/>
    <w:rsid w:val="00E8392A"/>
    <w:rsid w:val="00E83A70"/>
    <w:rsid w:val="00E8415E"/>
    <w:rsid w:val="00E856A2"/>
    <w:rsid w:val="00E85F39"/>
    <w:rsid w:val="00E86940"/>
    <w:rsid w:val="00E86BB5"/>
    <w:rsid w:val="00E86E8D"/>
    <w:rsid w:val="00E873C3"/>
    <w:rsid w:val="00E87E09"/>
    <w:rsid w:val="00E904A5"/>
    <w:rsid w:val="00E90C16"/>
    <w:rsid w:val="00E913DD"/>
    <w:rsid w:val="00E91405"/>
    <w:rsid w:val="00E92227"/>
    <w:rsid w:val="00E922D2"/>
    <w:rsid w:val="00E93EB4"/>
    <w:rsid w:val="00E94194"/>
    <w:rsid w:val="00E941B6"/>
    <w:rsid w:val="00E947E0"/>
    <w:rsid w:val="00E96134"/>
    <w:rsid w:val="00E96635"/>
    <w:rsid w:val="00E9695C"/>
    <w:rsid w:val="00E96ACE"/>
    <w:rsid w:val="00EA091D"/>
    <w:rsid w:val="00EA28C4"/>
    <w:rsid w:val="00EA2930"/>
    <w:rsid w:val="00EA2C14"/>
    <w:rsid w:val="00EA2F32"/>
    <w:rsid w:val="00EA2FCD"/>
    <w:rsid w:val="00EA3AC7"/>
    <w:rsid w:val="00EA3DA8"/>
    <w:rsid w:val="00EA4909"/>
    <w:rsid w:val="00EA52F2"/>
    <w:rsid w:val="00EA56CE"/>
    <w:rsid w:val="00EA6066"/>
    <w:rsid w:val="00EA62FB"/>
    <w:rsid w:val="00EA75B4"/>
    <w:rsid w:val="00EB0446"/>
    <w:rsid w:val="00EB06F6"/>
    <w:rsid w:val="00EB10A1"/>
    <w:rsid w:val="00EB1145"/>
    <w:rsid w:val="00EB175D"/>
    <w:rsid w:val="00EB2284"/>
    <w:rsid w:val="00EB2311"/>
    <w:rsid w:val="00EB4000"/>
    <w:rsid w:val="00EB4345"/>
    <w:rsid w:val="00EB4496"/>
    <w:rsid w:val="00EB4C4A"/>
    <w:rsid w:val="00EB50AF"/>
    <w:rsid w:val="00EB575D"/>
    <w:rsid w:val="00EB60B8"/>
    <w:rsid w:val="00EB6440"/>
    <w:rsid w:val="00EB68BC"/>
    <w:rsid w:val="00EB72B9"/>
    <w:rsid w:val="00EB74B1"/>
    <w:rsid w:val="00EC06B0"/>
    <w:rsid w:val="00EC0C2B"/>
    <w:rsid w:val="00EC209C"/>
    <w:rsid w:val="00EC2596"/>
    <w:rsid w:val="00EC3D02"/>
    <w:rsid w:val="00EC3F0D"/>
    <w:rsid w:val="00EC465F"/>
    <w:rsid w:val="00EC5856"/>
    <w:rsid w:val="00EC5FA6"/>
    <w:rsid w:val="00EC6855"/>
    <w:rsid w:val="00EC69EB"/>
    <w:rsid w:val="00EC6E24"/>
    <w:rsid w:val="00EC7134"/>
    <w:rsid w:val="00EC729B"/>
    <w:rsid w:val="00EC7980"/>
    <w:rsid w:val="00EC7CD2"/>
    <w:rsid w:val="00EC7F0B"/>
    <w:rsid w:val="00EC7F94"/>
    <w:rsid w:val="00ED012E"/>
    <w:rsid w:val="00ED0B5D"/>
    <w:rsid w:val="00ED1564"/>
    <w:rsid w:val="00ED169B"/>
    <w:rsid w:val="00ED211C"/>
    <w:rsid w:val="00ED2790"/>
    <w:rsid w:val="00ED28F1"/>
    <w:rsid w:val="00ED3A77"/>
    <w:rsid w:val="00ED3E79"/>
    <w:rsid w:val="00ED43D0"/>
    <w:rsid w:val="00ED4437"/>
    <w:rsid w:val="00ED50C9"/>
    <w:rsid w:val="00ED5239"/>
    <w:rsid w:val="00ED5382"/>
    <w:rsid w:val="00ED6307"/>
    <w:rsid w:val="00ED6BB1"/>
    <w:rsid w:val="00ED6F3B"/>
    <w:rsid w:val="00ED75F3"/>
    <w:rsid w:val="00ED7774"/>
    <w:rsid w:val="00ED784C"/>
    <w:rsid w:val="00ED7F05"/>
    <w:rsid w:val="00EE0345"/>
    <w:rsid w:val="00EE06A6"/>
    <w:rsid w:val="00EE0858"/>
    <w:rsid w:val="00EE0CC7"/>
    <w:rsid w:val="00EE0FFB"/>
    <w:rsid w:val="00EE1354"/>
    <w:rsid w:val="00EE19D3"/>
    <w:rsid w:val="00EE27FB"/>
    <w:rsid w:val="00EE2AC5"/>
    <w:rsid w:val="00EE3414"/>
    <w:rsid w:val="00EE371A"/>
    <w:rsid w:val="00EE37C8"/>
    <w:rsid w:val="00EE3F1A"/>
    <w:rsid w:val="00EE3F77"/>
    <w:rsid w:val="00EE4014"/>
    <w:rsid w:val="00EE4A9E"/>
    <w:rsid w:val="00EE59F9"/>
    <w:rsid w:val="00EE5C8A"/>
    <w:rsid w:val="00EE686C"/>
    <w:rsid w:val="00EE68B4"/>
    <w:rsid w:val="00EE6C2F"/>
    <w:rsid w:val="00EE7175"/>
    <w:rsid w:val="00EE726B"/>
    <w:rsid w:val="00EE76B4"/>
    <w:rsid w:val="00EE7BFF"/>
    <w:rsid w:val="00EF0223"/>
    <w:rsid w:val="00EF11ED"/>
    <w:rsid w:val="00EF1932"/>
    <w:rsid w:val="00EF2347"/>
    <w:rsid w:val="00EF2571"/>
    <w:rsid w:val="00EF25DA"/>
    <w:rsid w:val="00EF3433"/>
    <w:rsid w:val="00EF40E2"/>
    <w:rsid w:val="00EF53E4"/>
    <w:rsid w:val="00EF57B0"/>
    <w:rsid w:val="00EF59BA"/>
    <w:rsid w:val="00EF657F"/>
    <w:rsid w:val="00EF78C9"/>
    <w:rsid w:val="00EF79F1"/>
    <w:rsid w:val="00EF7D24"/>
    <w:rsid w:val="00F00820"/>
    <w:rsid w:val="00F00D9B"/>
    <w:rsid w:val="00F00DCE"/>
    <w:rsid w:val="00F00EF9"/>
    <w:rsid w:val="00F0130A"/>
    <w:rsid w:val="00F014B9"/>
    <w:rsid w:val="00F01948"/>
    <w:rsid w:val="00F02098"/>
    <w:rsid w:val="00F020BF"/>
    <w:rsid w:val="00F024D0"/>
    <w:rsid w:val="00F02FB1"/>
    <w:rsid w:val="00F0312B"/>
    <w:rsid w:val="00F032B2"/>
    <w:rsid w:val="00F03FBA"/>
    <w:rsid w:val="00F048E6"/>
    <w:rsid w:val="00F05392"/>
    <w:rsid w:val="00F05A38"/>
    <w:rsid w:val="00F07075"/>
    <w:rsid w:val="00F0715D"/>
    <w:rsid w:val="00F073FE"/>
    <w:rsid w:val="00F0770C"/>
    <w:rsid w:val="00F07981"/>
    <w:rsid w:val="00F101DF"/>
    <w:rsid w:val="00F1080B"/>
    <w:rsid w:val="00F119CD"/>
    <w:rsid w:val="00F11C9C"/>
    <w:rsid w:val="00F11EFE"/>
    <w:rsid w:val="00F12C09"/>
    <w:rsid w:val="00F12C6B"/>
    <w:rsid w:val="00F12DB4"/>
    <w:rsid w:val="00F12F16"/>
    <w:rsid w:val="00F130A8"/>
    <w:rsid w:val="00F13D53"/>
    <w:rsid w:val="00F13FCB"/>
    <w:rsid w:val="00F14460"/>
    <w:rsid w:val="00F1479C"/>
    <w:rsid w:val="00F14872"/>
    <w:rsid w:val="00F160A0"/>
    <w:rsid w:val="00F164A8"/>
    <w:rsid w:val="00F16A20"/>
    <w:rsid w:val="00F16B01"/>
    <w:rsid w:val="00F173E1"/>
    <w:rsid w:val="00F17E71"/>
    <w:rsid w:val="00F20F90"/>
    <w:rsid w:val="00F21297"/>
    <w:rsid w:val="00F22A27"/>
    <w:rsid w:val="00F22D7A"/>
    <w:rsid w:val="00F234B9"/>
    <w:rsid w:val="00F23FF4"/>
    <w:rsid w:val="00F2424B"/>
    <w:rsid w:val="00F245F5"/>
    <w:rsid w:val="00F24778"/>
    <w:rsid w:val="00F24D30"/>
    <w:rsid w:val="00F25291"/>
    <w:rsid w:val="00F2529B"/>
    <w:rsid w:val="00F25C7C"/>
    <w:rsid w:val="00F2617C"/>
    <w:rsid w:val="00F26EC7"/>
    <w:rsid w:val="00F273B3"/>
    <w:rsid w:val="00F2779C"/>
    <w:rsid w:val="00F27E0A"/>
    <w:rsid w:val="00F30701"/>
    <w:rsid w:val="00F308AB"/>
    <w:rsid w:val="00F3160B"/>
    <w:rsid w:val="00F3351A"/>
    <w:rsid w:val="00F34418"/>
    <w:rsid w:val="00F34519"/>
    <w:rsid w:val="00F34575"/>
    <w:rsid w:val="00F34928"/>
    <w:rsid w:val="00F349ED"/>
    <w:rsid w:val="00F352C5"/>
    <w:rsid w:val="00F35A6F"/>
    <w:rsid w:val="00F35A71"/>
    <w:rsid w:val="00F35AEF"/>
    <w:rsid w:val="00F36133"/>
    <w:rsid w:val="00F3664B"/>
    <w:rsid w:val="00F36FCB"/>
    <w:rsid w:val="00F37257"/>
    <w:rsid w:val="00F41438"/>
    <w:rsid w:val="00F42DC4"/>
    <w:rsid w:val="00F435D4"/>
    <w:rsid w:val="00F4368F"/>
    <w:rsid w:val="00F43840"/>
    <w:rsid w:val="00F43BA1"/>
    <w:rsid w:val="00F44FB9"/>
    <w:rsid w:val="00F46D72"/>
    <w:rsid w:val="00F47D05"/>
    <w:rsid w:val="00F50201"/>
    <w:rsid w:val="00F50930"/>
    <w:rsid w:val="00F50B1E"/>
    <w:rsid w:val="00F50BC2"/>
    <w:rsid w:val="00F522D1"/>
    <w:rsid w:val="00F52816"/>
    <w:rsid w:val="00F53760"/>
    <w:rsid w:val="00F53FD4"/>
    <w:rsid w:val="00F54891"/>
    <w:rsid w:val="00F5492F"/>
    <w:rsid w:val="00F56136"/>
    <w:rsid w:val="00F56906"/>
    <w:rsid w:val="00F57B4E"/>
    <w:rsid w:val="00F604DD"/>
    <w:rsid w:val="00F60B82"/>
    <w:rsid w:val="00F6130A"/>
    <w:rsid w:val="00F61B27"/>
    <w:rsid w:val="00F624CB"/>
    <w:rsid w:val="00F62ABC"/>
    <w:rsid w:val="00F62E1D"/>
    <w:rsid w:val="00F6422B"/>
    <w:rsid w:val="00F64654"/>
    <w:rsid w:val="00F65854"/>
    <w:rsid w:val="00F65F87"/>
    <w:rsid w:val="00F66361"/>
    <w:rsid w:val="00F6649E"/>
    <w:rsid w:val="00F6730E"/>
    <w:rsid w:val="00F6733E"/>
    <w:rsid w:val="00F67777"/>
    <w:rsid w:val="00F67DCC"/>
    <w:rsid w:val="00F70339"/>
    <w:rsid w:val="00F707DE"/>
    <w:rsid w:val="00F7139B"/>
    <w:rsid w:val="00F716F7"/>
    <w:rsid w:val="00F7234A"/>
    <w:rsid w:val="00F72E46"/>
    <w:rsid w:val="00F736E4"/>
    <w:rsid w:val="00F73FAF"/>
    <w:rsid w:val="00F74152"/>
    <w:rsid w:val="00F74B50"/>
    <w:rsid w:val="00F7553B"/>
    <w:rsid w:val="00F757FB"/>
    <w:rsid w:val="00F75B16"/>
    <w:rsid w:val="00F76259"/>
    <w:rsid w:val="00F76D57"/>
    <w:rsid w:val="00F774AF"/>
    <w:rsid w:val="00F777B4"/>
    <w:rsid w:val="00F80098"/>
    <w:rsid w:val="00F800C7"/>
    <w:rsid w:val="00F80737"/>
    <w:rsid w:val="00F807C2"/>
    <w:rsid w:val="00F80CD5"/>
    <w:rsid w:val="00F80FB9"/>
    <w:rsid w:val="00F8214C"/>
    <w:rsid w:val="00F82583"/>
    <w:rsid w:val="00F8348E"/>
    <w:rsid w:val="00F836C7"/>
    <w:rsid w:val="00F837A0"/>
    <w:rsid w:val="00F83920"/>
    <w:rsid w:val="00F84098"/>
    <w:rsid w:val="00F84625"/>
    <w:rsid w:val="00F84BBF"/>
    <w:rsid w:val="00F852C3"/>
    <w:rsid w:val="00F85682"/>
    <w:rsid w:val="00F85E1C"/>
    <w:rsid w:val="00F8614F"/>
    <w:rsid w:val="00F865EC"/>
    <w:rsid w:val="00F8748A"/>
    <w:rsid w:val="00F87A73"/>
    <w:rsid w:val="00F906DF"/>
    <w:rsid w:val="00F90A40"/>
    <w:rsid w:val="00F90E17"/>
    <w:rsid w:val="00F91398"/>
    <w:rsid w:val="00F91D87"/>
    <w:rsid w:val="00F957BB"/>
    <w:rsid w:val="00F964A0"/>
    <w:rsid w:val="00F967CC"/>
    <w:rsid w:val="00F969AC"/>
    <w:rsid w:val="00F96BB5"/>
    <w:rsid w:val="00F9727B"/>
    <w:rsid w:val="00FA0186"/>
    <w:rsid w:val="00FA059F"/>
    <w:rsid w:val="00FA0C72"/>
    <w:rsid w:val="00FA0ED4"/>
    <w:rsid w:val="00FA16CD"/>
    <w:rsid w:val="00FA1856"/>
    <w:rsid w:val="00FA1E46"/>
    <w:rsid w:val="00FA1E51"/>
    <w:rsid w:val="00FA2BE8"/>
    <w:rsid w:val="00FA3C7D"/>
    <w:rsid w:val="00FA43CD"/>
    <w:rsid w:val="00FA5093"/>
    <w:rsid w:val="00FA673A"/>
    <w:rsid w:val="00FA7206"/>
    <w:rsid w:val="00FA7FC0"/>
    <w:rsid w:val="00FB02A5"/>
    <w:rsid w:val="00FB0391"/>
    <w:rsid w:val="00FB04FB"/>
    <w:rsid w:val="00FB1024"/>
    <w:rsid w:val="00FB1DCE"/>
    <w:rsid w:val="00FB2772"/>
    <w:rsid w:val="00FB3203"/>
    <w:rsid w:val="00FB3B5F"/>
    <w:rsid w:val="00FB3E3B"/>
    <w:rsid w:val="00FB6804"/>
    <w:rsid w:val="00FB6CB5"/>
    <w:rsid w:val="00FB786B"/>
    <w:rsid w:val="00FC1264"/>
    <w:rsid w:val="00FC1C86"/>
    <w:rsid w:val="00FC1DCB"/>
    <w:rsid w:val="00FC1E06"/>
    <w:rsid w:val="00FC1E23"/>
    <w:rsid w:val="00FC34AC"/>
    <w:rsid w:val="00FC4833"/>
    <w:rsid w:val="00FC4DF9"/>
    <w:rsid w:val="00FC5A6D"/>
    <w:rsid w:val="00FC6166"/>
    <w:rsid w:val="00FC6295"/>
    <w:rsid w:val="00FC6985"/>
    <w:rsid w:val="00FC7109"/>
    <w:rsid w:val="00FC77D5"/>
    <w:rsid w:val="00FC7851"/>
    <w:rsid w:val="00FC7F02"/>
    <w:rsid w:val="00FD04D5"/>
    <w:rsid w:val="00FD0AFC"/>
    <w:rsid w:val="00FD0FAF"/>
    <w:rsid w:val="00FD10FA"/>
    <w:rsid w:val="00FD137E"/>
    <w:rsid w:val="00FD15B0"/>
    <w:rsid w:val="00FD1933"/>
    <w:rsid w:val="00FD1C9A"/>
    <w:rsid w:val="00FD1D43"/>
    <w:rsid w:val="00FD230B"/>
    <w:rsid w:val="00FD2992"/>
    <w:rsid w:val="00FD2F25"/>
    <w:rsid w:val="00FD30AE"/>
    <w:rsid w:val="00FD36B8"/>
    <w:rsid w:val="00FD386D"/>
    <w:rsid w:val="00FD3902"/>
    <w:rsid w:val="00FD3C3E"/>
    <w:rsid w:val="00FD3CD9"/>
    <w:rsid w:val="00FD465C"/>
    <w:rsid w:val="00FD4690"/>
    <w:rsid w:val="00FD5A1B"/>
    <w:rsid w:val="00FD5E7F"/>
    <w:rsid w:val="00FD605F"/>
    <w:rsid w:val="00FD66B6"/>
    <w:rsid w:val="00FD7027"/>
    <w:rsid w:val="00FD7298"/>
    <w:rsid w:val="00FD7B0C"/>
    <w:rsid w:val="00FE1534"/>
    <w:rsid w:val="00FE178F"/>
    <w:rsid w:val="00FE258A"/>
    <w:rsid w:val="00FE2D29"/>
    <w:rsid w:val="00FE3199"/>
    <w:rsid w:val="00FE39C1"/>
    <w:rsid w:val="00FE3ECF"/>
    <w:rsid w:val="00FE4384"/>
    <w:rsid w:val="00FE46A2"/>
    <w:rsid w:val="00FE4CEF"/>
    <w:rsid w:val="00FE50CC"/>
    <w:rsid w:val="00FE57E4"/>
    <w:rsid w:val="00FE5894"/>
    <w:rsid w:val="00FE5947"/>
    <w:rsid w:val="00FE6C81"/>
    <w:rsid w:val="00FE7212"/>
    <w:rsid w:val="00FE74DE"/>
    <w:rsid w:val="00FE7C5D"/>
    <w:rsid w:val="00FE7D3D"/>
    <w:rsid w:val="00FF0CB0"/>
    <w:rsid w:val="00FF136A"/>
    <w:rsid w:val="00FF17C1"/>
    <w:rsid w:val="00FF2BC8"/>
    <w:rsid w:val="00FF348E"/>
    <w:rsid w:val="00FF3888"/>
    <w:rsid w:val="00FF3F78"/>
    <w:rsid w:val="00FF4627"/>
    <w:rsid w:val="00FF4BB4"/>
    <w:rsid w:val="00FF4F39"/>
    <w:rsid w:val="00FF504C"/>
    <w:rsid w:val="00FF50C8"/>
    <w:rsid w:val="00FF57F3"/>
    <w:rsid w:val="00FF5BEB"/>
    <w:rsid w:val="00FF5C90"/>
    <w:rsid w:val="00FF5D0B"/>
    <w:rsid w:val="00FF6CA1"/>
    <w:rsid w:val="00FF71D5"/>
    <w:rsid w:val="00FF728F"/>
    <w:rsid w:val="00FF72D5"/>
    <w:rsid w:val="00FF7566"/>
    <w:rsid w:val="01110B72"/>
    <w:rsid w:val="016246CE"/>
    <w:rsid w:val="023414C9"/>
    <w:rsid w:val="02B60D69"/>
    <w:rsid w:val="03555B7E"/>
    <w:rsid w:val="035F5017"/>
    <w:rsid w:val="03B97618"/>
    <w:rsid w:val="03DC6E5F"/>
    <w:rsid w:val="040A44F5"/>
    <w:rsid w:val="04365005"/>
    <w:rsid w:val="043A0FC1"/>
    <w:rsid w:val="04A71BE6"/>
    <w:rsid w:val="04E8275E"/>
    <w:rsid w:val="050B216A"/>
    <w:rsid w:val="05297944"/>
    <w:rsid w:val="05331C4F"/>
    <w:rsid w:val="0533534D"/>
    <w:rsid w:val="05CC2989"/>
    <w:rsid w:val="06215F6E"/>
    <w:rsid w:val="06676C47"/>
    <w:rsid w:val="068D5025"/>
    <w:rsid w:val="06A94362"/>
    <w:rsid w:val="06FB4614"/>
    <w:rsid w:val="070342A8"/>
    <w:rsid w:val="071A64FA"/>
    <w:rsid w:val="075A5B9A"/>
    <w:rsid w:val="075E25EE"/>
    <w:rsid w:val="079D651C"/>
    <w:rsid w:val="08842D53"/>
    <w:rsid w:val="089451D4"/>
    <w:rsid w:val="089625DC"/>
    <w:rsid w:val="08A72EAD"/>
    <w:rsid w:val="08CB6B5F"/>
    <w:rsid w:val="08E8211F"/>
    <w:rsid w:val="090B550A"/>
    <w:rsid w:val="09BF4FE5"/>
    <w:rsid w:val="09E762D3"/>
    <w:rsid w:val="0A0464D2"/>
    <w:rsid w:val="0A163823"/>
    <w:rsid w:val="0A5B4963"/>
    <w:rsid w:val="0A703867"/>
    <w:rsid w:val="0AAE3E7E"/>
    <w:rsid w:val="0AF60097"/>
    <w:rsid w:val="0B0E4882"/>
    <w:rsid w:val="0B900B6D"/>
    <w:rsid w:val="0B9068A4"/>
    <w:rsid w:val="0BA17D5E"/>
    <w:rsid w:val="0C0C32AC"/>
    <w:rsid w:val="0C941322"/>
    <w:rsid w:val="0CB7213A"/>
    <w:rsid w:val="0CF45E33"/>
    <w:rsid w:val="0D5B6F2B"/>
    <w:rsid w:val="0D9A44C4"/>
    <w:rsid w:val="0D9C4C93"/>
    <w:rsid w:val="0DEA4A27"/>
    <w:rsid w:val="0E4A7C7C"/>
    <w:rsid w:val="0E817140"/>
    <w:rsid w:val="0EA02814"/>
    <w:rsid w:val="0EDA17F2"/>
    <w:rsid w:val="0EDE0777"/>
    <w:rsid w:val="0F253616"/>
    <w:rsid w:val="0FC50469"/>
    <w:rsid w:val="0FE7638B"/>
    <w:rsid w:val="1003740F"/>
    <w:rsid w:val="10486C0C"/>
    <w:rsid w:val="106F23D4"/>
    <w:rsid w:val="11BC5516"/>
    <w:rsid w:val="11E4782C"/>
    <w:rsid w:val="12110DF7"/>
    <w:rsid w:val="122B5B31"/>
    <w:rsid w:val="12473D57"/>
    <w:rsid w:val="124B2168"/>
    <w:rsid w:val="12B1108E"/>
    <w:rsid w:val="13222EE8"/>
    <w:rsid w:val="137427FF"/>
    <w:rsid w:val="142F23F0"/>
    <w:rsid w:val="14675EC2"/>
    <w:rsid w:val="149816D1"/>
    <w:rsid w:val="14AC0E8A"/>
    <w:rsid w:val="14AE6EDD"/>
    <w:rsid w:val="14CB44CC"/>
    <w:rsid w:val="14F6304F"/>
    <w:rsid w:val="154121BE"/>
    <w:rsid w:val="15497C2F"/>
    <w:rsid w:val="15937275"/>
    <w:rsid w:val="15B34A91"/>
    <w:rsid w:val="161518CE"/>
    <w:rsid w:val="1642139A"/>
    <w:rsid w:val="164576AA"/>
    <w:rsid w:val="16766AD0"/>
    <w:rsid w:val="168635E5"/>
    <w:rsid w:val="168F394D"/>
    <w:rsid w:val="17352626"/>
    <w:rsid w:val="17544E22"/>
    <w:rsid w:val="17BC64D9"/>
    <w:rsid w:val="180F2913"/>
    <w:rsid w:val="18184681"/>
    <w:rsid w:val="181F6074"/>
    <w:rsid w:val="19075713"/>
    <w:rsid w:val="190B783F"/>
    <w:rsid w:val="193B2766"/>
    <w:rsid w:val="196462CE"/>
    <w:rsid w:val="19BD78CA"/>
    <w:rsid w:val="1A2B18DF"/>
    <w:rsid w:val="1A7700CF"/>
    <w:rsid w:val="1A961306"/>
    <w:rsid w:val="1AFF337C"/>
    <w:rsid w:val="1B1C3CB9"/>
    <w:rsid w:val="1B2D44B4"/>
    <w:rsid w:val="1B570C1B"/>
    <w:rsid w:val="1B5F4134"/>
    <w:rsid w:val="1B821E96"/>
    <w:rsid w:val="1B912195"/>
    <w:rsid w:val="1BC81F84"/>
    <w:rsid w:val="1C067FA0"/>
    <w:rsid w:val="1C157B54"/>
    <w:rsid w:val="1C3F6A53"/>
    <w:rsid w:val="1C450568"/>
    <w:rsid w:val="1C543150"/>
    <w:rsid w:val="1C5B0A85"/>
    <w:rsid w:val="1C89084A"/>
    <w:rsid w:val="1D520880"/>
    <w:rsid w:val="1D8C202F"/>
    <w:rsid w:val="1DA525CF"/>
    <w:rsid w:val="1DB03F8B"/>
    <w:rsid w:val="1DD223E1"/>
    <w:rsid w:val="1E0A5431"/>
    <w:rsid w:val="1E3C175A"/>
    <w:rsid w:val="1E590B6A"/>
    <w:rsid w:val="1F2518AB"/>
    <w:rsid w:val="1F982467"/>
    <w:rsid w:val="1FA13142"/>
    <w:rsid w:val="1FDB4F89"/>
    <w:rsid w:val="202836B5"/>
    <w:rsid w:val="20312A0F"/>
    <w:rsid w:val="20687595"/>
    <w:rsid w:val="209D5AA4"/>
    <w:rsid w:val="20FA2F6F"/>
    <w:rsid w:val="210A70D1"/>
    <w:rsid w:val="21221D60"/>
    <w:rsid w:val="21C24AC9"/>
    <w:rsid w:val="21D1111E"/>
    <w:rsid w:val="221500F6"/>
    <w:rsid w:val="22337842"/>
    <w:rsid w:val="2237245F"/>
    <w:rsid w:val="2276246C"/>
    <w:rsid w:val="22A418AE"/>
    <w:rsid w:val="22B76F74"/>
    <w:rsid w:val="22EF7C9F"/>
    <w:rsid w:val="22F8005E"/>
    <w:rsid w:val="22FC758C"/>
    <w:rsid w:val="2313676C"/>
    <w:rsid w:val="232E7F8E"/>
    <w:rsid w:val="23371303"/>
    <w:rsid w:val="23374A55"/>
    <w:rsid w:val="23A87CC5"/>
    <w:rsid w:val="23B95C68"/>
    <w:rsid w:val="23FB3887"/>
    <w:rsid w:val="24133368"/>
    <w:rsid w:val="24321A7A"/>
    <w:rsid w:val="24666D54"/>
    <w:rsid w:val="248D06B8"/>
    <w:rsid w:val="24916710"/>
    <w:rsid w:val="249C530B"/>
    <w:rsid w:val="24D50BFC"/>
    <w:rsid w:val="24D566BD"/>
    <w:rsid w:val="24EF37B1"/>
    <w:rsid w:val="25305ABB"/>
    <w:rsid w:val="2598673B"/>
    <w:rsid w:val="26573AAE"/>
    <w:rsid w:val="266C6012"/>
    <w:rsid w:val="26D22576"/>
    <w:rsid w:val="26F87CF8"/>
    <w:rsid w:val="26FF0444"/>
    <w:rsid w:val="27327775"/>
    <w:rsid w:val="27C01BAA"/>
    <w:rsid w:val="27C40FDF"/>
    <w:rsid w:val="28AB4DD3"/>
    <w:rsid w:val="28EA7013"/>
    <w:rsid w:val="29180D96"/>
    <w:rsid w:val="29304E7A"/>
    <w:rsid w:val="29384F2F"/>
    <w:rsid w:val="297930ED"/>
    <w:rsid w:val="29884218"/>
    <w:rsid w:val="29BF52F3"/>
    <w:rsid w:val="29EB07BA"/>
    <w:rsid w:val="2A20462B"/>
    <w:rsid w:val="2A357166"/>
    <w:rsid w:val="2A642AA3"/>
    <w:rsid w:val="2A69197E"/>
    <w:rsid w:val="2A751BE0"/>
    <w:rsid w:val="2AB61F67"/>
    <w:rsid w:val="2AEE58C1"/>
    <w:rsid w:val="2B217505"/>
    <w:rsid w:val="2B4F4251"/>
    <w:rsid w:val="2B6336E5"/>
    <w:rsid w:val="2C2C0CB9"/>
    <w:rsid w:val="2C35405B"/>
    <w:rsid w:val="2C6437E3"/>
    <w:rsid w:val="2DA822EC"/>
    <w:rsid w:val="2EDD4959"/>
    <w:rsid w:val="2EEB6098"/>
    <w:rsid w:val="2F3C2BF5"/>
    <w:rsid w:val="2F5D06FA"/>
    <w:rsid w:val="2F8B02C4"/>
    <w:rsid w:val="2FE74585"/>
    <w:rsid w:val="30A430FE"/>
    <w:rsid w:val="30D50796"/>
    <w:rsid w:val="30DE4B50"/>
    <w:rsid w:val="314174EA"/>
    <w:rsid w:val="31547B96"/>
    <w:rsid w:val="3163658C"/>
    <w:rsid w:val="316A0245"/>
    <w:rsid w:val="31AD2BC4"/>
    <w:rsid w:val="31D65BB3"/>
    <w:rsid w:val="31DB233A"/>
    <w:rsid w:val="321137D8"/>
    <w:rsid w:val="3215260D"/>
    <w:rsid w:val="32F74EB4"/>
    <w:rsid w:val="331C0979"/>
    <w:rsid w:val="332B4CDD"/>
    <w:rsid w:val="33713745"/>
    <w:rsid w:val="33876F12"/>
    <w:rsid w:val="33B5787B"/>
    <w:rsid w:val="3408594F"/>
    <w:rsid w:val="34123CC0"/>
    <w:rsid w:val="34393481"/>
    <w:rsid w:val="349F54D4"/>
    <w:rsid w:val="34F16C94"/>
    <w:rsid w:val="353A48AD"/>
    <w:rsid w:val="35444EF7"/>
    <w:rsid w:val="35740C40"/>
    <w:rsid w:val="35E8235A"/>
    <w:rsid w:val="35EA0598"/>
    <w:rsid w:val="362A5B86"/>
    <w:rsid w:val="36A37CC1"/>
    <w:rsid w:val="36C2237F"/>
    <w:rsid w:val="374136D9"/>
    <w:rsid w:val="37831033"/>
    <w:rsid w:val="37C36935"/>
    <w:rsid w:val="381302AB"/>
    <w:rsid w:val="381D6736"/>
    <w:rsid w:val="381F2B5C"/>
    <w:rsid w:val="385117D2"/>
    <w:rsid w:val="388C7381"/>
    <w:rsid w:val="38F87630"/>
    <w:rsid w:val="39192F2C"/>
    <w:rsid w:val="397E47BE"/>
    <w:rsid w:val="39B10FB5"/>
    <w:rsid w:val="3A0C51E9"/>
    <w:rsid w:val="3A27099C"/>
    <w:rsid w:val="3A6F08E9"/>
    <w:rsid w:val="3AA27865"/>
    <w:rsid w:val="3AA702BB"/>
    <w:rsid w:val="3AB37B41"/>
    <w:rsid w:val="3AB7593F"/>
    <w:rsid w:val="3ACB2A9E"/>
    <w:rsid w:val="3AED14BC"/>
    <w:rsid w:val="3B423C4E"/>
    <w:rsid w:val="3B630295"/>
    <w:rsid w:val="3B771209"/>
    <w:rsid w:val="3C2F23AD"/>
    <w:rsid w:val="3C616323"/>
    <w:rsid w:val="3CA7012D"/>
    <w:rsid w:val="3CC94BC5"/>
    <w:rsid w:val="3D1C6692"/>
    <w:rsid w:val="3DA9094E"/>
    <w:rsid w:val="3DC80A7A"/>
    <w:rsid w:val="3E144968"/>
    <w:rsid w:val="3E393478"/>
    <w:rsid w:val="3E442C2C"/>
    <w:rsid w:val="3E925999"/>
    <w:rsid w:val="3EB8252F"/>
    <w:rsid w:val="3F14481E"/>
    <w:rsid w:val="3F9E63B6"/>
    <w:rsid w:val="403505D4"/>
    <w:rsid w:val="404C0548"/>
    <w:rsid w:val="40542939"/>
    <w:rsid w:val="409323ED"/>
    <w:rsid w:val="40DB485A"/>
    <w:rsid w:val="414E5951"/>
    <w:rsid w:val="415315A1"/>
    <w:rsid w:val="41BC3E19"/>
    <w:rsid w:val="429C476B"/>
    <w:rsid w:val="42C922D0"/>
    <w:rsid w:val="441E5EF3"/>
    <w:rsid w:val="444C7999"/>
    <w:rsid w:val="44885735"/>
    <w:rsid w:val="44E603A0"/>
    <w:rsid w:val="45205279"/>
    <w:rsid w:val="45BD626C"/>
    <w:rsid w:val="45D906A5"/>
    <w:rsid w:val="45FE3526"/>
    <w:rsid w:val="46584E94"/>
    <w:rsid w:val="471C6001"/>
    <w:rsid w:val="47825449"/>
    <w:rsid w:val="47832D92"/>
    <w:rsid w:val="47D62A4B"/>
    <w:rsid w:val="47F15AD3"/>
    <w:rsid w:val="47F42234"/>
    <w:rsid w:val="484B0A18"/>
    <w:rsid w:val="48734061"/>
    <w:rsid w:val="48F930BC"/>
    <w:rsid w:val="4964125A"/>
    <w:rsid w:val="497F76F7"/>
    <w:rsid w:val="49EF3207"/>
    <w:rsid w:val="49F66C63"/>
    <w:rsid w:val="4A636E23"/>
    <w:rsid w:val="4AAB303B"/>
    <w:rsid w:val="4ADA7EA6"/>
    <w:rsid w:val="4AE939BD"/>
    <w:rsid w:val="4B251BB3"/>
    <w:rsid w:val="4B5C12BB"/>
    <w:rsid w:val="4B6E6BD8"/>
    <w:rsid w:val="4BDF2FDF"/>
    <w:rsid w:val="4BE10751"/>
    <w:rsid w:val="4BEB40C8"/>
    <w:rsid w:val="4BFC4E4B"/>
    <w:rsid w:val="4C3875C8"/>
    <w:rsid w:val="4C5715BC"/>
    <w:rsid w:val="4D1C7E90"/>
    <w:rsid w:val="4D4A1385"/>
    <w:rsid w:val="4D71752F"/>
    <w:rsid w:val="4D8C35B8"/>
    <w:rsid w:val="4DAB7931"/>
    <w:rsid w:val="4E3B28D2"/>
    <w:rsid w:val="4E5A7176"/>
    <w:rsid w:val="4E6B167C"/>
    <w:rsid w:val="4E7B1C02"/>
    <w:rsid w:val="4E870D33"/>
    <w:rsid w:val="4E8F35D4"/>
    <w:rsid w:val="4EB23066"/>
    <w:rsid w:val="4ED20572"/>
    <w:rsid w:val="4F0D21FF"/>
    <w:rsid w:val="4F1A1D5B"/>
    <w:rsid w:val="4FF40406"/>
    <w:rsid w:val="50626B92"/>
    <w:rsid w:val="50A85D49"/>
    <w:rsid w:val="50B06F46"/>
    <w:rsid w:val="51605B30"/>
    <w:rsid w:val="51697D9C"/>
    <w:rsid w:val="5171007F"/>
    <w:rsid w:val="524B5CDF"/>
    <w:rsid w:val="527C3313"/>
    <w:rsid w:val="529A76F5"/>
    <w:rsid w:val="53B87E28"/>
    <w:rsid w:val="540800A4"/>
    <w:rsid w:val="545478C0"/>
    <w:rsid w:val="54D2356E"/>
    <w:rsid w:val="550C4ED6"/>
    <w:rsid w:val="55811065"/>
    <w:rsid w:val="55BC4BD9"/>
    <w:rsid w:val="562D7906"/>
    <w:rsid w:val="56710142"/>
    <w:rsid w:val="56812679"/>
    <w:rsid w:val="569174BF"/>
    <w:rsid w:val="56C47668"/>
    <w:rsid w:val="57046DD7"/>
    <w:rsid w:val="577546C6"/>
    <w:rsid w:val="57975E5E"/>
    <w:rsid w:val="57C053B5"/>
    <w:rsid w:val="58901D76"/>
    <w:rsid w:val="58985A9C"/>
    <w:rsid w:val="58C32257"/>
    <w:rsid w:val="594C2950"/>
    <w:rsid w:val="596C7960"/>
    <w:rsid w:val="59A4077C"/>
    <w:rsid w:val="59BE0613"/>
    <w:rsid w:val="59C312C7"/>
    <w:rsid w:val="5A2422FD"/>
    <w:rsid w:val="5A7731CB"/>
    <w:rsid w:val="5AA971A3"/>
    <w:rsid w:val="5AC7027F"/>
    <w:rsid w:val="5B1D33CE"/>
    <w:rsid w:val="5B7A2BD0"/>
    <w:rsid w:val="5B7C6B16"/>
    <w:rsid w:val="5BE10FA8"/>
    <w:rsid w:val="5C2727F2"/>
    <w:rsid w:val="5C5A78A8"/>
    <w:rsid w:val="5C6B4CA4"/>
    <w:rsid w:val="5C7E50AE"/>
    <w:rsid w:val="5C91150F"/>
    <w:rsid w:val="5CB61EB5"/>
    <w:rsid w:val="5CBC30AC"/>
    <w:rsid w:val="5CE374AD"/>
    <w:rsid w:val="5CE94F33"/>
    <w:rsid w:val="5D2A14DD"/>
    <w:rsid w:val="5D2B6C69"/>
    <w:rsid w:val="5DD73372"/>
    <w:rsid w:val="5DE54709"/>
    <w:rsid w:val="5E050254"/>
    <w:rsid w:val="5E805626"/>
    <w:rsid w:val="5EEF06C3"/>
    <w:rsid w:val="5F0740A2"/>
    <w:rsid w:val="5F4D5C1F"/>
    <w:rsid w:val="5F5A785A"/>
    <w:rsid w:val="5F5B3E31"/>
    <w:rsid w:val="60055578"/>
    <w:rsid w:val="60951C2F"/>
    <w:rsid w:val="60FD4D5B"/>
    <w:rsid w:val="621F584D"/>
    <w:rsid w:val="62312D9E"/>
    <w:rsid w:val="6242091F"/>
    <w:rsid w:val="62444AC8"/>
    <w:rsid w:val="6269727E"/>
    <w:rsid w:val="63B65C4B"/>
    <w:rsid w:val="65206CE2"/>
    <w:rsid w:val="65C82948"/>
    <w:rsid w:val="65F542D0"/>
    <w:rsid w:val="66454FB4"/>
    <w:rsid w:val="66A170B1"/>
    <w:rsid w:val="66A553C7"/>
    <w:rsid w:val="67B34F5F"/>
    <w:rsid w:val="67F27F0F"/>
    <w:rsid w:val="681150B9"/>
    <w:rsid w:val="68580767"/>
    <w:rsid w:val="68815EA8"/>
    <w:rsid w:val="689F7016"/>
    <w:rsid w:val="68A51570"/>
    <w:rsid w:val="68C47989"/>
    <w:rsid w:val="69546BAF"/>
    <w:rsid w:val="69652F4F"/>
    <w:rsid w:val="696A75D5"/>
    <w:rsid w:val="6A0F2179"/>
    <w:rsid w:val="6A521B79"/>
    <w:rsid w:val="6A6139B5"/>
    <w:rsid w:val="6AB5321D"/>
    <w:rsid w:val="6AB847FD"/>
    <w:rsid w:val="6AE47E46"/>
    <w:rsid w:val="6AEC3996"/>
    <w:rsid w:val="6AF06083"/>
    <w:rsid w:val="6B691A16"/>
    <w:rsid w:val="6C461C29"/>
    <w:rsid w:val="6C4B07DD"/>
    <w:rsid w:val="6C6D135D"/>
    <w:rsid w:val="6C740719"/>
    <w:rsid w:val="6C8A0F70"/>
    <w:rsid w:val="6CC169BE"/>
    <w:rsid w:val="6CCE1EFA"/>
    <w:rsid w:val="6CFB2334"/>
    <w:rsid w:val="6D2C7397"/>
    <w:rsid w:val="6D3B3747"/>
    <w:rsid w:val="6DA076E8"/>
    <w:rsid w:val="6E7072FA"/>
    <w:rsid w:val="6EC8680F"/>
    <w:rsid w:val="6ED32D87"/>
    <w:rsid w:val="6EDA7B2C"/>
    <w:rsid w:val="6EE71AAA"/>
    <w:rsid w:val="6EE86037"/>
    <w:rsid w:val="6EF62255"/>
    <w:rsid w:val="6EFD13AA"/>
    <w:rsid w:val="6F217445"/>
    <w:rsid w:val="6F283F8A"/>
    <w:rsid w:val="6F4128F2"/>
    <w:rsid w:val="6FC92A8E"/>
    <w:rsid w:val="6FE24D7F"/>
    <w:rsid w:val="70174BA2"/>
    <w:rsid w:val="702944DE"/>
    <w:rsid w:val="702D6D56"/>
    <w:rsid w:val="70D91BF7"/>
    <w:rsid w:val="715D2D91"/>
    <w:rsid w:val="716D3E05"/>
    <w:rsid w:val="71D06DBA"/>
    <w:rsid w:val="722A5BAE"/>
    <w:rsid w:val="7257445D"/>
    <w:rsid w:val="72BE768D"/>
    <w:rsid w:val="72F84064"/>
    <w:rsid w:val="73AF58FF"/>
    <w:rsid w:val="73EE6B95"/>
    <w:rsid w:val="7463313E"/>
    <w:rsid w:val="74A401D5"/>
    <w:rsid w:val="74E277C6"/>
    <w:rsid w:val="75051AF8"/>
    <w:rsid w:val="75752C60"/>
    <w:rsid w:val="75BA3319"/>
    <w:rsid w:val="762070C9"/>
    <w:rsid w:val="76594E41"/>
    <w:rsid w:val="767D434C"/>
    <w:rsid w:val="767E6F68"/>
    <w:rsid w:val="76821321"/>
    <w:rsid w:val="76B8364B"/>
    <w:rsid w:val="77155D11"/>
    <w:rsid w:val="782B4AEC"/>
    <w:rsid w:val="78385BF5"/>
    <w:rsid w:val="783929A7"/>
    <w:rsid w:val="790B4799"/>
    <w:rsid w:val="791C6F4F"/>
    <w:rsid w:val="795C2C3B"/>
    <w:rsid w:val="796420BD"/>
    <w:rsid w:val="79EE7305"/>
    <w:rsid w:val="79F512E1"/>
    <w:rsid w:val="7A2A3012"/>
    <w:rsid w:val="7AF60C23"/>
    <w:rsid w:val="7B44065F"/>
    <w:rsid w:val="7B964F06"/>
    <w:rsid w:val="7C0202C3"/>
    <w:rsid w:val="7C122471"/>
    <w:rsid w:val="7C4152FC"/>
    <w:rsid w:val="7C513E72"/>
    <w:rsid w:val="7C610D69"/>
    <w:rsid w:val="7D1056C8"/>
    <w:rsid w:val="7DB1620B"/>
    <w:rsid w:val="7DB93BB7"/>
    <w:rsid w:val="7EB641DC"/>
    <w:rsid w:val="7ECD089A"/>
    <w:rsid w:val="7ECF7C09"/>
    <w:rsid w:val="7F7534A8"/>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qFormat="1"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qFormat="1"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7">
    <w:name w:val="heading 1"/>
    <w:basedOn w:val="1"/>
    <w:next w:val="1"/>
    <w:link w:val="46"/>
    <w:qFormat/>
    <w:uiPriority w:val="0"/>
    <w:pPr>
      <w:keepNext/>
      <w:keepLines/>
      <w:spacing w:before="340" w:after="330" w:line="578" w:lineRule="auto"/>
      <w:outlineLvl w:val="0"/>
    </w:pPr>
    <w:rPr>
      <w:b/>
      <w:bCs/>
      <w:kern w:val="44"/>
      <w:sz w:val="44"/>
      <w:szCs w:val="44"/>
    </w:rPr>
  </w:style>
  <w:style w:type="paragraph" w:styleId="8">
    <w:name w:val="heading 2"/>
    <w:basedOn w:val="1"/>
    <w:next w:val="1"/>
    <w:link w:val="47"/>
    <w:qFormat/>
    <w:uiPriority w:val="0"/>
    <w:pPr>
      <w:keepNext/>
      <w:keepLines/>
      <w:spacing w:before="260" w:after="260" w:line="416" w:lineRule="auto"/>
      <w:outlineLvl w:val="1"/>
    </w:pPr>
    <w:rPr>
      <w:rFonts w:ascii="Arial" w:hAnsi="Arial" w:eastAsia="黑体"/>
      <w:b/>
      <w:bCs/>
      <w:sz w:val="32"/>
      <w:szCs w:val="32"/>
    </w:rPr>
  </w:style>
  <w:style w:type="paragraph" w:styleId="9">
    <w:name w:val="heading 3"/>
    <w:basedOn w:val="1"/>
    <w:next w:val="1"/>
    <w:link w:val="48"/>
    <w:qFormat/>
    <w:uiPriority w:val="0"/>
    <w:pPr>
      <w:keepNext/>
      <w:keepLines/>
      <w:spacing w:before="260" w:after="260" w:line="416" w:lineRule="auto"/>
      <w:outlineLvl w:val="2"/>
    </w:pPr>
    <w:rPr>
      <w:b/>
      <w:bCs/>
      <w:sz w:val="32"/>
      <w:szCs w:val="32"/>
    </w:rPr>
  </w:style>
  <w:style w:type="paragraph" w:styleId="10">
    <w:name w:val="heading 4"/>
    <w:basedOn w:val="1"/>
    <w:next w:val="1"/>
    <w:link w:val="86"/>
    <w:qFormat/>
    <w:uiPriority w:val="0"/>
    <w:pPr>
      <w:keepNext/>
      <w:keepLines/>
      <w:outlineLvl w:val="3"/>
    </w:pPr>
    <w:rPr>
      <w:rFonts w:ascii="黑体" w:hAnsi="宋体" w:eastAsia="黑体"/>
      <w:b/>
      <w:bCs/>
      <w:sz w:val="28"/>
      <w:szCs w:val="28"/>
    </w:rPr>
  </w:style>
  <w:style w:type="paragraph" w:styleId="11">
    <w:name w:val="heading 5"/>
    <w:basedOn w:val="1"/>
    <w:next w:val="1"/>
    <w:link w:val="87"/>
    <w:qFormat/>
    <w:uiPriority w:val="0"/>
    <w:pPr>
      <w:keepNext/>
      <w:keepLines/>
      <w:spacing w:before="280" w:after="290" w:line="376" w:lineRule="auto"/>
      <w:outlineLvl w:val="4"/>
    </w:pPr>
    <w:rPr>
      <w:b/>
      <w:bCs/>
      <w:sz w:val="28"/>
      <w:szCs w:val="28"/>
    </w:rPr>
  </w:style>
  <w:style w:type="paragraph" w:styleId="12">
    <w:name w:val="heading 6"/>
    <w:basedOn w:val="1"/>
    <w:next w:val="1"/>
    <w:link w:val="88"/>
    <w:qFormat/>
    <w:uiPriority w:val="0"/>
    <w:pPr>
      <w:keepNext/>
      <w:keepLines/>
      <w:spacing w:before="40" w:after="40" w:line="360" w:lineRule="auto"/>
      <w:outlineLvl w:val="5"/>
    </w:pPr>
    <w:rPr>
      <w:rFonts w:ascii="Arial" w:hAnsi="Arial" w:eastAsia="黑体"/>
      <w:b/>
      <w:bCs/>
      <w:kern w:val="0"/>
      <w:sz w:val="24"/>
    </w:rPr>
  </w:style>
  <w:style w:type="paragraph" w:styleId="13">
    <w:name w:val="heading 7"/>
    <w:basedOn w:val="1"/>
    <w:next w:val="1"/>
    <w:link w:val="89"/>
    <w:qFormat/>
    <w:uiPriority w:val="0"/>
    <w:pPr>
      <w:keepNext/>
      <w:keepLines/>
      <w:spacing w:before="240" w:after="64" w:line="320" w:lineRule="auto"/>
      <w:outlineLvl w:val="6"/>
    </w:pPr>
    <w:rPr>
      <w:b/>
      <w:bCs/>
      <w:sz w:val="24"/>
    </w:rPr>
  </w:style>
  <w:style w:type="paragraph" w:styleId="14">
    <w:name w:val="heading 8"/>
    <w:basedOn w:val="1"/>
    <w:next w:val="1"/>
    <w:link w:val="90"/>
    <w:qFormat/>
    <w:uiPriority w:val="0"/>
    <w:pPr>
      <w:keepNext/>
      <w:keepLines/>
      <w:spacing w:before="240" w:after="64" w:line="320" w:lineRule="auto"/>
      <w:outlineLvl w:val="7"/>
    </w:pPr>
    <w:rPr>
      <w:rFonts w:ascii="Arial" w:hAnsi="Arial" w:eastAsia="黑体"/>
      <w:sz w:val="24"/>
    </w:rPr>
  </w:style>
  <w:style w:type="paragraph" w:styleId="15">
    <w:name w:val="heading 9"/>
    <w:basedOn w:val="1"/>
    <w:next w:val="1"/>
    <w:link w:val="91"/>
    <w:qFormat/>
    <w:uiPriority w:val="0"/>
    <w:pPr>
      <w:keepNext/>
      <w:keepLines/>
      <w:spacing w:before="240" w:after="64" w:line="320" w:lineRule="auto"/>
      <w:outlineLvl w:val="8"/>
    </w:pPr>
    <w:rPr>
      <w:rFonts w:ascii="Arial" w:hAnsi="Arial" w:eastAsia="黑体"/>
      <w:szCs w:val="21"/>
    </w:rPr>
  </w:style>
  <w:style w:type="character" w:default="1" w:styleId="41">
    <w:name w:val="Default Paragraph Font"/>
    <w:semiHidden/>
    <w:unhideWhenUsed/>
    <w:qFormat/>
    <w:uiPriority w:val="1"/>
  </w:style>
  <w:style w:type="table" w:default="1" w:styleId="39">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ind w:firstLine="420"/>
    </w:pPr>
    <w:rPr>
      <w:sz w:val="24"/>
    </w:rPr>
  </w:style>
  <w:style w:type="paragraph" w:styleId="3">
    <w:name w:val="Body Text Indent"/>
    <w:basedOn w:val="1"/>
    <w:next w:val="4"/>
    <w:link w:val="54"/>
    <w:qFormat/>
    <w:uiPriority w:val="0"/>
    <w:pPr>
      <w:spacing w:after="120"/>
      <w:ind w:left="420" w:leftChars="200"/>
    </w:pPr>
  </w:style>
  <w:style w:type="paragraph" w:styleId="4">
    <w:name w:val="header"/>
    <w:basedOn w:val="1"/>
    <w:next w:val="5"/>
    <w:link w:val="57"/>
    <w:qFormat/>
    <w:uiPriority w:val="0"/>
    <w:pPr>
      <w:pBdr>
        <w:bottom w:val="single" w:color="auto" w:sz="6" w:space="1"/>
      </w:pBdr>
      <w:tabs>
        <w:tab w:val="center" w:pos="4153"/>
        <w:tab w:val="right" w:pos="8306"/>
      </w:tabs>
      <w:snapToGrid w:val="0"/>
      <w:jc w:val="center"/>
    </w:pPr>
    <w:rPr>
      <w:sz w:val="18"/>
      <w:szCs w:val="18"/>
    </w:rPr>
  </w:style>
  <w:style w:type="paragraph" w:customStyle="1" w:styleId="5">
    <w:name w:val="样式5"/>
    <w:basedOn w:val="6"/>
    <w:qFormat/>
    <w:uiPriority w:val="0"/>
    <w:pPr>
      <w:snapToGrid w:val="0"/>
      <w:ind w:firstLine="510"/>
    </w:pPr>
  </w:style>
  <w:style w:type="paragraph" w:customStyle="1" w:styleId="6">
    <w:name w:val="正文1"/>
    <w:basedOn w:val="1"/>
    <w:next w:val="1"/>
    <w:qFormat/>
    <w:uiPriority w:val="0"/>
    <w:pPr>
      <w:adjustRightInd w:val="0"/>
      <w:snapToGrid w:val="0"/>
      <w:spacing w:line="500" w:lineRule="atLeast"/>
      <w:ind w:firstLine="567"/>
    </w:pPr>
    <w:rPr>
      <w:sz w:val="28"/>
      <w:szCs w:val="20"/>
    </w:rPr>
  </w:style>
  <w:style w:type="paragraph" w:styleId="16">
    <w:name w:val="caption"/>
    <w:basedOn w:val="17"/>
    <w:next w:val="1"/>
    <w:qFormat/>
    <w:uiPriority w:val="0"/>
    <w:rPr>
      <w:rFonts w:ascii="Cambria" w:hAnsi="Cambria" w:eastAsia="黑体"/>
      <w:sz w:val="20"/>
      <w:szCs w:val="20"/>
    </w:rPr>
  </w:style>
  <w:style w:type="paragraph" w:customStyle="1" w:styleId="17">
    <w:name w:val="表、图标题"/>
    <w:basedOn w:val="1"/>
    <w:link w:val="60"/>
    <w:qFormat/>
    <w:uiPriority w:val="0"/>
    <w:pPr>
      <w:adjustRightInd w:val="0"/>
      <w:snapToGrid w:val="0"/>
      <w:spacing w:line="480" w:lineRule="exact"/>
      <w:jc w:val="center"/>
    </w:pPr>
    <w:rPr>
      <w:b/>
      <w:bCs/>
      <w:kern w:val="0"/>
      <w:sz w:val="24"/>
      <w:szCs w:val="18"/>
    </w:rPr>
  </w:style>
  <w:style w:type="paragraph" w:styleId="18">
    <w:name w:val="annotation text"/>
    <w:basedOn w:val="1"/>
    <w:link w:val="49"/>
    <w:qFormat/>
    <w:uiPriority w:val="0"/>
    <w:pPr>
      <w:jc w:val="left"/>
    </w:pPr>
  </w:style>
  <w:style w:type="paragraph" w:styleId="19">
    <w:name w:val="Body Text"/>
    <w:basedOn w:val="1"/>
    <w:next w:val="20"/>
    <w:link w:val="51"/>
    <w:qFormat/>
    <w:uiPriority w:val="0"/>
    <w:pPr>
      <w:spacing w:after="120"/>
    </w:pPr>
  </w:style>
  <w:style w:type="paragraph" w:styleId="20">
    <w:name w:val="List Bullet 5"/>
    <w:basedOn w:val="1"/>
    <w:qFormat/>
    <w:uiPriority w:val="0"/>
    <w:pPr>
      <w:numPr>
        <w:ilvl w:val="0"/>
        <w:numId w:val="1"/>
      </w:numPr>
    </w:pPr>
  </w:style>
  <w:style w:type="paragraph" w:styleId="21">
    <w:name w:val="toc 3"/>
    <w:basedOn w:val="1"/>
    <w:next w:val="1"/>
    <w:qFormat/>
    <w:uiPriority w:val="39"/>
    <w:pPr>
      <w:ind w:left="840" w:leftChars="400"/>
    </w:pPr>
  </w:style>
  <w:style w:type="paragraph" w:styleId="22">
    <w:name w:val="Plain Text"/>
    <w:basedOn w:val="1"/>
    <w:next w:val="23"/>
    <w:link w:val="84"/>
    <w:qFormat/>
    <w:uiPriority w:val="0"/>
    <w:rPr>
      <w:rFonts w:ascii="宋体" w:hAnsi="Courier New"/>
      <w:szCs w:val="20"/>
    </w:rPr>
  </w:style>
  <w:style w:type="paragraph" w:styleId="23">
    <w:name w:val="List Continue 5"/>
    <w:basedOn w:val="1"/>
    <w:qFormat/>
    <w:uiPriority w:val="0"/>
    <w:pPr>
      <w:spacing w:after="120"/>
      <w:ind w:left="2100" w:leftChars="1000"/>
    </w:pPr>
  </w:style>
  <w:style w:type="paragraph" w:styleId="24">
    <w:name w:val="Date"/>
    <w:basedOn w:val="1"/>
    <w:next w:val="1"/>
    <w:link w:val="99"/>
    <w:qFormat/>
    <w:uiPriority w:val="0"/>
    <w:rPr>
      <w:sz w:val="28"/>
      <w:szCs w:val="20"/>
    </w:rPr>
  </w:style>
  <w:style w:type="paragraph" w:styleId="25">
    <w:name w:val="Body Text Indent 2"/>
    <w:basedOn w:val="1"/>
    <w:link w:val="96"/>
    <w:qFormat/>
    <w:uiPriority w:val="0"/>
    <w:pPr>
      <w:spacing w:line="360" w:lineRule="auto"/>
      <w:ind w:firstLine="480" w:firstLineChars="200"/>
    </w:pPr>
    <w:rPr>
      <w:b/>
      <w:bCs/>
      <w:sz w:val="24"/>
      <w:szCs w:val="20"/>
    </w:rPr>
  </w:style>
  <w:style w:type="paragraph" w:styleId="26">
    <w:name w:val="Balloon Text"/>
    <w:basedOn w:val="1"/>
    <w:semiHidden/>
    <w:qFormat/>
    <w:uiPriority w:val="0"/>
    <w:rPr>
      <w:sz w:val="18"/>
      <w:szCs w:val="18"/>
    </w:rPr>
  </w:style>
  <w:style w:type="paragraph" w:styleId="27">
    <w:name w:val="footer"/>
    <w:basedOn w:val="1"/>
    <w:link w:val="56"/>
    <w:qFormat/>
    <w:uiPriority w:val="0"/>
    <w:pPr>
      <w:tabs>
        <w:tab w:val="center" w:pos="4153"/>
        <w:tab w:val="right" w:pos="8306"/>
      </w:tabs>
      <w:snapToGrid w:val="0"/>
      <w:jc w:val="left"/>
    </w:pPr>
    <w:rPr>
      <w:sz w:val="18"/>
      <w:szCs w:val="18"/>
    </w:rPr>
  </w:style>
  <w:style w:type="paragraph" w:styleId="28">
    <w:name w:val="toc 1"/>
    <w:basedOn w:val="1"/>
    <w:next w:val="1"/>
    <w:qFormat/>
    <w:uiPriority w:val="39"/>
  </w:style>
  <w:style w:type="paragraph" w:styleId="29">
    <w:name w:val="Body Text Indent 3"/>
    <w:basedOn w:val="1"/>
    <w:link w:val="98"/>
    <w:qFormat/>
    <w:uiPriority w:val="0"/>
    <w:pPr>
      <w:spacing w:line="360" w:lineRule="auto"/>
      <w:ind w:firstLine="471" w:firstLineChars="200"/>
    </w:pPr>
    <w:rPr>
      <w:rFonts w:eastAsia="黑体"/>
      <w:b/>
      <w:bCs/>
      <w:sz w:val="24"/>
      <w:szCs w:val="20"/>
    </w:rPr>
  </w:style>
  <w:style w:type="paragraph" w:styleId="30">
    <w:name w:val="table of figures"/>
    <w:basedOn w:val="1"/>
    <w:next w:val="1"/>
    <w:qFormat/>
    <w:uiPriority w:val="0"/>
  </w:style>
  <w:style w:type="paragraph" w:styleId="31">
    <w:name w:val="toc 2"/>
    <w:basedOn w:val="1"/>
    <w:next w:val="1"/>
    <w:qFormat/>
    <w:uiPriority w:val="39"/>
    <w:pPr>
      <w:ind w:left="420" w:leftChars="200"/>
    </w:pPr>
  </w:style>
  <w:style w:type="paragraph" w:styleId="32">
    <w:name w:val="Body Text 2"/>
    <w:basedOn w:val="1"/>
    <w:link w:val="53"/>
    <w:qFormat/>
    <w:uiPriority w:val="0"/>
    <w:pPr>
      <w:spacing w:after="120" w:line="480" w:lineRule="auto"/>
    </w:pPr>
  </w:style>
  <w:style w:type="paragraph" w:styleId="33">
    <w:name w:val="HTML Preformatted"/>
    <w:basedOn w:val="1"/>
    <w:link w:val="5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34">
    <w:name w:val="Normal (Web)"/>
    <w:basedOn w:val="1"/>
    <w:qFormat/>
    <w:uiPriority w:val="99"/>
    <w:pPr>
      <w:widowControl/>
      <w:spacing w:before="100" w:beforeAutospacing="1" w:after="100" w:afterAutospacing="1"/>
      <w:jc w:val="left"/>
    </w:pPr>
    <w:rPr>
      <w:rFonts w:ascii="宋体" w:hAnsi="宋体" w:cs="宋体"/>
      <w:color w:val="000000"/>
      <w:kern w:val="0"/>
      <w:sz w:val="24"/>
    </w:rPr>
  </w:style>
  <w:style w:type="paragraph" w:styleId="35">
    <w:name w:val="index 1"/>
    <w:basedOn w:val="1"/>
    <w:next w:val="1"/>
    <w:qFormat/>
    <w:uiPriority w:val="0"/>
  </w:style>
  <w:style w:type="paragraph" w:styleId="36">
    <w:name w:val="Title"/>
    <w:basedOn w:val="1"/>
    <w:next w:val="1"/>
    <w:qFormat/>
    <w:uiPriority w:val="99"/>
    <w:pPr>
      <w:spacing w:line="360" w:lineRule="auto"/>
      <w:ind w:firstLine="200" w:firstLineChars="200"/>
    </w:pPr>
    <w:rPr>
      <w:sz w:val="24"/>
    </w:rPr>
  </w:style>
  <w:style w:type="paragraph" w:styleId="37">
    <w:name w:val="annotation subject"/>
    <w:basedOn w:val="18"/>
    <w:next w:val="18"/>
    <w:link w:val="50"/>
    <w:qFormat/>
    <w:uiPriority w:val="0"/>
    <w:rPr>
      <w:b/>
      <w:bCs/>
    </w:rPr>
  </w:style>
  <w:style w:type="paragraph" w:styleId="38">
    <w:name w:val="Body Text First Indent"/>
    <w:basedOn w:val="19"/>
    <w:next w:val="30"/>
    <w:link w:val="52"/>
    <w:qFormat/>
    <w:uiPriority w:val="0"/>
    <w:pPr>
      <w:ind w:firstLine="420" w:firstLineChars="100"/>
    </w:pPr>
  </w:style>
  <w:style w:type="table" w:styleId="40">
    <w:name w:val="Table Grid"/>
    <w:basedOn w:val="3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2">
    <w:name w:val="Strong"/>
    <w:qFormat/>
    <w:uiPriority w:val="0"/>
    <w:rPr>
      <w:b/>
      <w:bCs/>
    </w:rPr>
  </w:style>
  <w:style w:type="character" w:styleId="43">
    <w:name w:val="page number"/>
    <w:basedOn w:val="41"/>
    <w:qFormat/>
    <w:uiPriority w:val="0"/>
  </w:style>
  <w:style w:type="character" w:styleId="44">
    <w:name w:val="Hyperlink"/>
    <w:qFormat/>
    <w:uiPriority w:val="99"/>
    <w:rPr>
      <w:color w:val="0000FF"/>
      <w:u w:val="single"/>
    </w:rPr>
  </w:style>
  <w:style w:type="character" w:styleId="45">
    <w:name w:val="annotation reference"/>
    <w:qFormat/>
    <w:uiPriority w:val="0"/>
    <w:rPr>
      <w:sz w:val="21"/>
      <w:szCs w:val="21"/>
    </w:rPr>
  </w:style>
  <w:style w:type="character" w:customStyle="1" w:styleId="46">
    <w:name w:val="标题 1 Char"/>
    <w:link w:val="7"/>
    <w:qFormat/>
    <w:uiPriority w:val="0"/>
    <w:rPr>
      <w:b/>
      <w:bCs/>
      <w:kern w:val="44"/>
      <w:sz w:val="44"/>
      <w:szCs w:val="44"/>
    </w:rPr>
  </w:style>
  <w:style w:type="character" w:customStyle="1" w:styleId="47">
    <w:name w:val="标题 2 Char"/>
    <w:link w:val="8"/>
    <w:qFormat/>
    <w:uiPriority w:val="0"/>
    <w:rPr>
      <w:rFonts w:ascii="Arial" w:hAnsi="Arial" w:eastAsia="黑体"/>
      <w:b/>
      <w:bCs/>
      <w:kern w:val="2"/>
      <w:sz w:val="32"/>
      <w:szCs w:val="32"/>
      <w:lang w:val="en-US" w:eastAsia="zh-CN" w:bidi="ar-SA"/>
    </w:rPr>
  </w:style>
  <w:style w:type="character" w:customStyle="1" w:styleId="48">
    <w:name w:val="标题 3 Char"/>
    <w:link w:val="9"/>
    <w:semiHidden/>
    <w:qFormat/>
    <w:uiPriority w:val="0"/>
    <w:rPr>
      <w:b/>
      <w:bCs/>
      <w:kern w:val="2"/>
      <w:sz w:val="32"/>
      <w:szCs w:val="32"/>
    </w:rPr>
  </w:style>
  <w:style w:type="character" w:customStyle="1" w:styleId="49">
    <w:name w:val="批注文字 Char"/>
    <w:link w:val="18"/>
    <w:qFormat/>
    <w:uiPriority w:val="0"/>
    <w:rPr>
      <w:kern w:val="2"/>
      <w:sz w:val="21"/>
      <w:szCs w:val="24"/>
    </w:rPr>
  </w:style>
  <w:style w:type="character" w:customStyle="1" w:styleId="50">
    <w:name w:val="批注主题 Char"/>
    <w:link w:val="37"/>
    <w:qFormat/>
    <w:uiPriority w:val="0"/>
    <w:rPr>
      <w:b/>
      <w:bCs/>
      <w:kern w:val="2"/>
      <w:sz w:val="21"/>
      <w:szCs w:val="24"/>
    </w:rPr>
  </w:style>
  <w:style w:type="character" w:customStyle="1" w:styleId="51">
    <w:name w:val="正文文本 Char"/>
    <w:link w:val="19"/>
    <w:qFormat/>
    <w:uiPriority w:val="0"/>
    <w:rPr>
      <w:kern w:val="2"/>
      <w:sz w:val="21"/>
      <w:szCs w:val="24"/>
    </w:rPr>
  </w:style>
  <w:style w:type="character" w:customStyle="1" w:styleId="52">
    <w:name w:val="正文首行缩进 Char"/>
    <w:link w:val="38"/>
    <w:qFormat/>
    <w:uiPriority w:val="0"/>
    <w:rPr>
      <w:rFonts w:eastAsia="宋体"/>
      <w:kern w:val="2"/>
      <w:sz w:val="21"/>
      <w:szCs w:val="24"/>
      <w:lang w:val="en-US" w:eastAsia="zh-CN" w:bidi="ar-SA"/>
    </w:rPr>
  </w:style>
  <w:style w:type="character" w:customStyle="1" w:styleId="53">
    <w:name w:val="正文文本 2 Char"/>
    <w:link w:val="32"/>
    <w:qFormat/>
    <w:uiPriority w:val="0"/>
    <w:rPr>
      <w:rFonts w:eastAsia="宋体"/>
      <w:kern w:val="2"/>
      <w:sz w:val="21"/>
      <w:szCs w:val="24"/>
      <w:lang w:val="en-US" w:eastAsia="zh-CN" w:bidi="ar-SA"/>
    </w:rPr>
  </w:style>
  <w:style w:type="character" w:customStyle="1" w:styleId="54">
    <w:name w:val="正文文本缩进 Char"/>
    <w:link w:val="3"/>
    <w:qFormat/>
    <w:uiPriority w:val="0"/>
    <w:rPr>
      <w:kern w:val="2"/>
      <w:sz w:val="21"/>
      <w:szCs w:val="24"/>
    </w:rPr>
  </w:style>
  <w:style w:type="character" w:customStyle="1" w:styleId="55">
    <w:name w:val="纯文本 Char1"/>
    <w:qFormat/>
    <w:uiPriority w:val="0"/>
    <w:rPr>
      <w:rFonts w:ascii="宋体" w:hAnsi="Courier New"/>
      <w:kern w:val="2"/>
      <w:sz w:val="21"/>
    </w:rPr>
  </w:style>
  <w:style w:type="character" w:customStyle="1" w:styleId="56">
    <w:name w:val="页脚 Char"/>
    <w:link w:val="27"/>
    <w:qFormat/>
    <w:uiPriority w:val="0"/>
    <w:rPr>
      <w:kern w:val="2"/>
      <w:sz w:val="18"/>
      <w:szCs w:val="18"/>
    </w:rPr>
  </w:style>
  <w:style w:type="character" w:customStyle="1" w:styleId="57">
    <w:name w:val="页眉 Char"/>
    <w:link w:val="4"/>
    <w:qFormat/>
    <w:uiPriority w:val="0"/>
    <w:rPr>
      <w:kern w:val="2"/>
      <w:sz w:val="18"/>
      <w:szCs w:val="18"/>
    </w:rPr>
  </w:style>
  <w:style w:type="character" w:customStyle="1" w:styleId="58">
    <w:name w:val="HTML 预设格式 Char"/>
    <w:link w:val="33"/>
    <w:qFormat/>
    <w:uiPriority w:val="0"/>
    <w:rPr>
      <w:rFonts w:ascii="Arial" w:hAnsi="Arial" w:cs="Arial"/>
      <w:sz w:val="24"/>
      <w:szCs w:val="24"/>
    </w:rPr>
  </w:style>
  <w:style w:type="paragraph" w:customStyle="1" w:styleId="59">
    <w:name w:val="陈光的正文"/>
    <w:basedOn w:val="1"/>
    <w:qFormat/>
    <w:uiPriority w:val="0"/>
    <w:pPr>
      <w:adjustRightInd w:val="0"/>
      <w:snapToGrid w:val="0"/>
      <w:spacing w:beforeLines="10" w:afterLines="10" w:line="360" w:lineRule="auto"/>
      <w:ind w:firstLine="560" w:firstLineChars="200"/>
    </w:pPr>
    <w:rPr>
      <w:sz w:val="28"/>
      <w:szCs w:val="20"/>
    </w:rPr>
  </w:style>
  <w:style w:type="character" w:customStyle="1" w:styleId="60">
    <w:name w:val="表、图标题 Char Char"/>
    <w:link w:val="17"/>
    <w:qFormat/>
    <w:uiPriority w:val="0"/>
    <w:rPr>
      <w:rFonts w:eastAsia="宋体"/>
      <w:b/>
      <w:bCs/>
      <w:sz w:val="24"/>
      <w:szCs w:val="18"/>
      <w:lang w:val="en-US" w:eastAsia="zh-CN" w:bidi="ar-SA"/>
    </w:rPr>
  </w:style>
  <w:style w:type="paragraph" w:customStyle="1" w:styleId="61">
    <w:name w:val="Char Char Char Char"/>
    <w:basedOn w:val="1"/>
    <w:qFormat/>
    <w:uiPriority w:val="99"/>
    <w:rPr>
      <w:rFonts w:eastAsia="仿宋_GB2312"/>
      <w:sz w:val="32"/>
      <w:szCs w:val="32"/>
    </w:rPr>
  </w:style>
  <w:style w:type="paragraph" w:customStyle="1" w:styleId="62">
    <w:name w:val="默认段落字体 Para Char"/>
    <w:basedOn w:val="1"/>
    <w:qFormat/>
    <w:uiPriority w:val="0"/>
    <w:pPr>
      <w:adjustRightInd w:val="0"/>
      <w:spacing w:line="360" w:lineRule="atLeast"/>
      <w:textAlignment w:val="baseline"/>
    </w:pPr>
  </w:style>
  <w:style w:type="paragraph" w:customStyle="1" w:styleId="63">
    <w:name w:val="表格文字"/>
    <w:basedOn w:val="1"/>
    <w:qFormat/>
    <w:uiPriority w:val="0"/>
    <w:pPr>
      <w:adjustRightInd w:val="0"/>
      <w:snapToGrid w:val="0"/>
    </w:pPr>
    <w:rPr>
      <w:color w:val="000000"/>
      <w:kern w:val="0"/>
      <w:szCs w:val="20"/>
    </w:rPr>
  </w:style>
  <w:style w:type="paragraph" w:customStyle="1" w:styleId="64">
    <w:name w:val="Char Char Char Char Char Char Char"/>
    <w:basedOn w:val="1"/>
    <w:qFormat/>
    <w:uiPriority w:val="0"/>
    <w:pPr>
      <w:widowControl/>
      <w:spacing w:after="160" w:line="240" w:lineRule="exact"/>
      <w:jc w:val="left"/>
    </w:pPr>
    <w:rPr>
      <w:szCs w:val="20"/>
    </w:rPr>
  </w:style>
  <w:style w:type="paragraph" w:customStyle="1" w:styleId="65">
    <w:name w:val="默认段落字体 Para Char Char Char Char"/>
    <w:basedOn w:val="1"/>
    <w:qFormat/>
    <w:uiPriority w:val="0"/>
    <w:rPr>
      <w:szCs w:val="20"/>
    </w:rPr>
  </w:style>
  <w:style w:type="paragraph" w:customStyle="1" w:styleId="66">
    <w:name w:val="正文000000"/>
    <w:basedOn w:val="1"/>
    <w:next w:val="1"/>
    <w:qFormat/>
    <w:uiPriority w:val="0"/>
    <w:pPr>
      <w:adjustRightInd w:val="0"/>
      <w:snapToGrid w:val="0"/>
      <w:spacing w:line="360" w:lineRule="auto"/>
      <w:ind w:firstLine="200" w:firstLineChars="200"/>
    </w:pPr>
    <w:rPr>
      <w:rFonts w:ascii="宋体" w:hAnsi="宋体" w:cs="宋体"/>
      <w:sz w:val="24"/>
    </w:rPr>
  </w:style>
  <w:style w:type="paragraph" w:customStyle="1" w:styleId="67">
    <w:name w:val="表内容"/>
    <w:basedOn w:val="1"/>
    <w:link w:val="68"/>
    <w:qFormat/>
    <w:uiPriority w:val="0"/>
    <w:pPr>
      <w:adjustRightInd w:val="0"/>
      <w:snapToGrid w:val="0"/>
      <w:jc w:val="center"/>
    </w:pPr>
    <w:rPr>
      <w:snapToGrid w:val="0"/>
      <w:szCs w:val="21"/>
    </w:rPr>
  </w:style>
  <w:style w:type="character" w:customStyle="1" w:styleId="68">
    <w:name w:val="表内容 Char"/>
    <w:link w:val="67"/>
    <w:qFormat/>
    <w:uiPriority w:val="0"/>
    <w:rPr>
      <w:snapToGrid w:val="0"/>
      <w:kern w:val="2"/>
      <w:sz w:val="21"/>
      <w:szCs w:val="21"/>
    </w:rPr>
  </w:style>
  <w:style w:type="paragraph" w:customStyle="1" w:styleId="69">
    <w:name w:val="表标题"/>
    <w:basedOn w:val="1"/>
    <w:link w:val="70"/>
    <w:qFormat/>
    <w:uiPriority w:val="0"/>
    <w:pPr>
      <w:adjustRightInd w:val="0"/>
      <w:snapToGrid w:val="0"/>
      <w:spacing w:line="360" w:lineRule="auto"/>
      <w:jc w:val="center"/>
    </w:pPr>
    <w:rPr>
      <w:b/>
      <w:bCs/>
      <w:kern w:val="0"/>
      <w:sz w:val="24"/>
      <w:szCs w:val="18"/>
    </w:rPr>
  </w:style>
  <w:style w:type="character" w:customStyle="1" w:styleId="70">
    <w:name w:val="表标题 Char"/>
    <w:link w:val="69"/>
    <w:qFormat/>
    <w:uiPriority w:val="0"/>
    <w:rPr>
      <w:b/>
      <w:bCs/>
      <w:sz w:val="24"/>
      <w:szCs w:val="18"/>
    </w:rPr>
  </w:style>
  <w:style w:type="paragraph" w:customStyle="1" w:styleId="71">
    <w:name w:val="表格填充1"/>
    <w:basedOn w:val="1"/>
    <w:link w:val="72"/>
    <w:qFormat/>
    <w:uiPriority w:val="0"/>
    <w:pPr>
      <w:adjustRightInd w:val="0"/>
      <w:snapToGrid w:val="0"/>
      <w:spacing w:line="400" w:lineRule="exact"/>
      <w:jc w:val="center"/>
    </w:pPr>
    <w:rPr>
      <w:snapToGrid w:val="0"/>
      <w:szCs w:val="18"/>
    </w:rPr>
  </w:style>
  <w:style w:type="character" w:customStyle="1" w:styleId="72">
    <w:name w:val="表格填充1 Char"/>
    <w:link w:val="71"/>
    <w:qFormat/>
    <w:uiPriority w:val="0"/>
    <w:rPr>
      <w:snapToGrid w:val="0"/>
      <w:kern w:val="2"/>
      <w:sz w:val="21"/>
      <w:szCs w:val="18"/>
    </w:rPr>
  </w:style>
  <w:style w:type="paragraph" w:customStyle="1" w:styleId="73">
    <w:name w:val="Char Char1 Char Char Char Char Char Char Char Char Char Char Char Char Char Char Char Char Char Char Char Char1 Char"/>
    <w:basedOn w:val="1"/>
    <w:qFormat/>
    <w:uiPriority w:val="0"/>
    <w:pPr>
      <w:spacing w:line="360" w:lineRule="auto"/>
      <w:ind w:firstLine="200" w:firstLineChars="200"/>
    </w:pPr>
  </w:style>
  <w:style w:type="paragraph" w:customStyle="1" w:styleId="74">
    <w:name w:val="表格2"/>
    <w:basedOn w:val="1"/>
    <w:qFormat/>
    <w:uiPriority w:val="0"/>
    <w:pPr>
      <w:spacing w:line="320" w:lineRule="exact"/>
      <w:jc w:val="center"/>
    </w:pPr>
    <w:rPr>
      <w:sz w:val="24"/>
      <w:szCs w:val="28"/>
    </w:rPr>
  </w:style>
  <w:style w:type="paragraph" w:customStyle="1" w:styleId="75">
    <w:name w:val="样式3"/>
    <w:basedOn w:val="1"/>
    <w:link w:val="76"/>
    <w:qFormat/>
    <w:uiPriority w:val="0"/>
    <w:pPr>
      <w:tabs>
        <w:tab w:val="left" w:pos="6780"/>
      </w:tabs>
      <w:snapToGrid w:val="0"/>
      <w:spacing w:line="360" w:lineRule="auto"/>
      <w:ind w:left="105" w:leftChars="50" w:right="105" w:rightChars="50" w:firstLine="480" w:firstLineChars="200"/>
    </w:pPr>
    <w:rPr>
      <w:sz w:val="24"/>
      <w:lang w:val="zh-CN"/>
    </w:rPr>
  </w:style>
  <w:style w:type="character" w:customStyle="1" w:styleId="76">
    <w:name w:val="样式3 Char"/>
    <w:link w:val="75"/>
    <w:qFormat/>
    <w:uiPriority w:val="0"/>
    <w:rPr>
      <w:rFonts w:eastAsia="宋体"/>
      <w:kern w:val="2"/>
      <w:sz w:val="24"/>
      <w:szCs w:val="24"/>
      <w:lang w:val="zh-CN" w:bidi="ar-SA"/>
    </w:rPr>
  </w:style>
  <w:style w:type="paragraph" w:customStyle="1" w:styleId="77">
    <w:name w:val="正文首行缩进1"/>
    <w:basedOn w:val="19"/>
    <w:qFormat/>
    <w:uiPriority w:val="0"/>
    <w:pPr>
      <w:ind w:firstLine="420" w:firstLineChars="100"/>
    </w:pPr>
    <w:rPr>
      <w:sz w:val="24"/>
    </w:rPr>
  </w:style>
  <w:style w:type="paragraph" w:customStyle="1" w:styleId="78">
    <w:name w:val="索引 11"/>
    <w:basedOn w:val="1"/>
    <w:next w:val="1"/>
    <w:qFormat/>
    <w:uiPriority w:val="0"/>
  </w:style>
  <w:style w:type="character" w:customStyle="1" w:styleId="79">
    <w:name w:val="flname7"/>
    <w:basedOn w:val="41"/>
    <w:qFormat/>
    <w:uiPriority w:val="0"/>
  </w:style>
  <w:style w:type="character" w:customStyle="1" w:styleId="80">
    <w:name w:val="font11"/>
    <w:qFormat/>
    <w:uiPriority w:val="0"/>
    <w:rPr>
      <w:rFonts w:hint="default" w:ascii="Times New Roman" w:hAnsi="Times New Roman" w:cs="Times New Roman"/>
      <w:color w:val="000000"/>
      <w:sz w:val="21"/>
      <w:szCs w:val="21"/>
      <w:u w:val="none"/>
    </w:rPr>
  </w:style>
  <w:style w:type="character" w:customStyle="1" w:styleId="81">
    <w:name w:val="font21"/>
    <w:qFormat/>
    <w:uiPriority w:val="0"/>
    <w:rPr>
      <w:rFonts w:hint="eastAsia" w:ascii="宋体" w:hAnsi="宋体" w:eastAsia="宋体"/>
      <w:color w:val="000000"/>
      <w:sz w:val="21"/>
      <w:szCs w:val="21"/>
      <w:u w:val="none"/>
    </w:rPr>
  </w:style>
  <w:style w:type="character" w:customStyle="1" w:styleId="82">
    <w:name w:val="font31"/>
    <w:qFormat/>
    <w:uiPriority w:val="0"/>
    <w:rPr>
      <w:rFonts w:hint="default" w:ascii="Times New Roman" w:hAnsi="Times New Roman" w:cs="Times New Roman"/>
      <w:color w:val="000000"/>
      <w:sz w:val="21"/>
      <w:szCs w:val="21"/>
      <w:u w:val="none"/>
    </w:rPr>
  </w:style>
  <w:style w:type="character" w:customStyle="1" w:styleId="83">
    <w:name w:val="font51"/>
    <w:qFormat/>
    <w:uiPriority w:val="0"/>
    <w:rPr>
      <w:rFonts w:hint="default" w:ascii="Times New Roman" w:hAnsi="Times New Roman" w:cs="Times New Roman"/>
      <w:color w:val="000000"/>
      <w:sz w:val="21"/>
      <w:szCs w:val="21"/>
      <w:u w:val="none"/>
      <w:vertAlign w:val="superscript"/>
    </w:rPr>
  </w:style>
  <w:style w:type="character" w:customStyle="1" w:styleId="84">
    <w:name w:val="纯文本 Char"/>
    <w:link w:val="22"/>
    <w:qFormat/>
    <w:uiPriority w:val="0"/>
    <w:rPr>
      <w:rFonts w:ascii="宋体" w:hAnsi="Courier New" w:cs="Courier New"/>
      <w:kern w:val="2"/>
      <w:sz w:val="21"/>
      <w:szCs w:val="21"/>
    </w:rPr>
  </w:style>
  <w:style w:type="character" w:customStyle="1" w:styleId="85">
    <w:name w:val="Char Char11"/>
    <w:qFormat/>
    <w:uiPriority w:val="0"/>
    <w:rPr>
      <w:rFonts w:ascii="Arial" w:hAnsi="Arial" w:eastAsia="黑体"/>
      <w:b/>
      <w:bCs/>
      <w:kern w:val="2"/>
      <w:sz w:val="32"/>
      <w:szCs w:val="32"/>
      <w:lang w:val="en-US" w:eastAsia="zh-CN" w:bidi="ar-SA"/>
    </w:rPr>
  </w:style>
  <w:style w:type="character" w:customStyle="1" w:styleId="86">
    <w:name w:val="标题 4 Char"/>
    <w:link w:val="10"/>
    <w:qFormat/>
    <w:uiPriority w:val="0"/>
    <w:rPr>
      <w:rFonts w:ascii="黑体" w:hAnsi="宋体" w:eastAsia="黑体"/>
      <w:b/>
      <w:bCs/>
      <w:kern w:val="2"/>
      <w:sz w:val="28"/>
      <w:szCs w:val="28"/>
    </w:rPr>
  </w:style>
  <w:style w:type="character" w:customStyle="1" w:styleId="87">
    <w:name w:val="标题 5 Char"/>
    <w:link w:val="11"/>
    <w:qFormat/>
    <w:uiPriority w:val="0"/>
    <w:rPr>
      <w:b/>
      <w:bCs/>
      <w:kern w:val="2"/>
      <w:sz w:val="28"/>
      <w:szCs w:val="28"/>
    </w:rPr>
  </w:style>
  <w:style w:type="character" w:customStyle="1" w:styleId="88">
    <w:name w:val="标题 6 Char"/>
    <w:link w:val="12"/>
    <w:qFormat/>
    <w:uiPriority w:val="0"/>
    <w:rPr>
      <w:rFonts w:ascii="Arial" w:hAnsi="Arial" w:eastAsia="黑体"/>
      <w:b/>
      <w:bCs/>
      <w:sz w:val="24"/>
      <w:szCs w:val="24"/>
    </w:rPr>
  </w:style>
  <w:style w:type="character" w:customStyle="1" w:styleId="89">
    <w:name w:val="标题 7 Char"/>
    <w:link w:val="13"/>
    <w:qFormat/>
    <w:uiPriority w:val="0"/>
    <w:rPr>
      <w:b/>
      <w:bCs/>
      <w:kern w:val="2"/>
      <w:sz w:val="24"/>
      <w:szCs w:val="24"/>
    </w:rPr>
  </w:style>
  <w:style w:type="character" w:customStyle="1" w:styleId="90">
    <w:name w:val="标题 8 Char"/>
    <w:link w:val="14"/>
    <w:qFormat/>
    <w:uiPriority w:val="0"/>
    <w:rPr>
      <w:rFonts w:ascii="Arial" w:hAnsi="Arial" w:eastAsia="黑体"/>
      <w:kern w:val="2"/>
      <w:sz w:val="24"/>
      <w:szCs w:val="24"/>
    </w:rPr>
  </w:style>
  <w:style w:type="character" w:customStyle="1" w:styleId="91">
    <w:name w:val="标题 9 Char"/>
    <w:link w:val="15"/>
    <w:qFormat/>
    <w:uiPriority w:val="0"/>
    <w:rPr>
      <w:rFonts w:ascii="Arial" w:hAnsi="Arial" w:eastAsia="黑体"/>
      <w:kern w:val="2"/>
      <w:sz w:val="21"/>
      <w:szCs w:val="21"/>
    </w:rPr>
  </w:style>
  <w:style w:type="character" w:customStyle="1" w:styleId="92">
    <w:name w:val="p0 Char Char"/>
    <w:link w:val="93"/>
    <w:qFormat/>
    <w:uiPriority w:val="0"/>
    <w:rPr>
      <w:sz w:val="21"/>
      <w:szCs w:val="21"/>
    </w:rPr>
  </w:style>
  <w:style w:type="paragraph" w:customStyle="1" w:styleId="93">
    <w:name w:val="p0"/>
    <w:basedOn w:val="1"/>
    <w:link w:val="92"/>
    <w:qFormat/>
    <w:uiPriority w:val="0"/>
    <w:pPr>
      <w:widowControl/>
    </w:pPr>
    <w:rPr>
      <w:kern w:val="0"/>
      <w:szCs w:val="21"/>
    </w:rPr>
  </w:style>
  <w:style w:type="paragraph" w:customStyle="1" w:styleId="94">
    <w:name w:val="文本块 New New"/>
    <w:basedOn w:val="95"/>
    <w:qFormat/>
    <w:uiPriority w:val="0"/>
  </w:style>
  <w:style w:type="paragraph" w:customStyle="1" w:styleId="95">
    <w:name w:val="正文 New New New"/>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96">
    <w:name w:val="正文文本缩进 2 Char"/>
    <w:link w:val="25"/>
    <w:qFormat/>
    <w:uiPriority w:val="0"/>
    <w:rPr>
      <w:b/>
      <w:bCs/>
      <w:kern w:val="2"/>
      <w:sz w:val="24"/>
    </w:rPr>
  </w:style>
  <w:style w:type="paragraph" w:customStyle="1" w:styleId="97">
    <w:name w:val="正文文本缩进 3 New New"/>
    <w:basedOn w:val="95"/>
    <w:qFormat/>
    <w:uiPriority w:val="0"/>
  </w:style>
  <w:style w:type="character" w:customStyle="1" w:styleId="98">
    <w:name w:val="正文文本缩进 3 Char"/>
    <w:link w:val="29"/>
    <w:qFormat/>
    <w:uiPriority w:val="0"/>
    <w:rPr>
      <w:rFonts w:eastAsia="黑体"/>
      <w:b/>
      <w:bCs/>
      <w:kern w:val="2"/>
      <w:sz w:val="24"/>
    </w:rPr>
  </w:style>
  <w:style w:type="character" w:customStyle="1" w:styleId="99">
    <w:name w:val="日期 Char"/>
    <w:link w:val="24"/>
    <w:qFormat/>
    <w:uiPriority w:val="0"/>
    <w:rPr>
      <w:kern w:val="2"/>
      <w:sz w:val="28"/>
    </w:rPr>
  </w:style>
  <w:style w:type="paragraph" w:customStyle="1" w:styleId="100">
    <w:name w:val="列出段落1"/>
    <w:basedOn w:val="1"/>
    <w:qFormat/>
    <w:uiPriority w:val="0"/>
    <w:pPr>
      <w:ind w:firstLine="420" w:firstLineChars="200"/>
    </w:pPr>
    <w:rPr>
      <w:rFonts w:asciiTheme="minorHAnsi" w:hAnsiTheme="minorHAnsi" w:eastAsiaTheme="minorEastAsia" w:cstheme="minorBidi"/>
      <w:szCs w:val="22"/>
    </w:rPr>
  </w:style>
  <w:style w:type="paragraph" w:customStyle="1" w:styleId="101">
    <w:name w:val="Char"/>
    <w:basedOn w:val="1"/>
    <w:qFormat/>
    <w:uiPriority w:val="0"/>
    <w:rPr>
      <w:sz w:val="24"/>
    </w:rPr>
  </w:style>
  <w:style w:type="character" w:customStyle="1" w:styleId="102">
    <w:name w:val="aa1"/>
    <w:basedOn w:val="41"/>
    <w:qFormat/>
    <w:uiPriority w:val="0"/>
    <w:rPr>
      <w:rFonts w:hint="eastAsia" w:ascii="微软雅黑" w:hAnsi="微软雅黑" w:eastAsia="微软雅黑"/>
      <w:color w:val="666666"/>
      <w:sz w:val="18"/>
      <w:szCs w:val="18"/>
    </w:rPr>
  </w:style>
  <w:style w:type="paragraph" w:customStyle="1" w:styleId="103">
    <w:name w:val="样式1"/>
    <w:basedOn w:val="11"/>
    <w:qFormat/>
    <w:uiPriority w:val="0"/>
    <w:pPr>
      <w:keepNext w:val="0"/>
      <w:keepLines w:val="0"/>
      <w:spacing w:before="0" w:after="0" w:line="360" w:lineRule="auto"/>
      <w:ind w:firstLine="560"/>
      <w:outlineLvl w:val="9"/>
    </w:pPr>
    <w:rPr>
      <w:b w:val="0"/>
      <w:bCs w:val="0"/>
      <w:color w:val="FF0000"/>
      <w:sz w:val="24"/>
      <w:szCs w:val="24"/>
    </w:rPr>
  </w:style>
  <w:style w:type="paragraph" w:customStyle="1" w:styleId="104">
    <w:name w:val="常用正文格式"/>
    <w:basedOn w:val="1"/>
    <w:qFormat/>
    <w:uiPriority w:val="0"/>
    <w:pPr>
      <w:spacing w:line="360" w:lineRule="auto"/>
      <w:ind w:firstLine="420" w:firstLineChars="200"/>
    </w:pPr>
    <w:rPr>
      <w:rFonts w:cs="宋体"/>
      <w:sz w:val="24"/>
      <w:szCs w:val="20"/>
    </w:rPr>
  </w:style>
  <w:style w:type="paragraph" w:customStyle="1" w:styleId="105">
    <w:name w:val="文字描述"/>
    <w:basedOn w:val="1"/>
    <w:link w:val="107"/>
    <w:qFormat/>
    <w:uiPriority w:val="0"/>
    <w:pPr>
      <w:adjustRightInd w:val="0"/>
      <w:snapToGrid w:val="0"/>
      <w:spacing w:line="360" w:lineRule="auto"/>
      <w:ind w:firstLine="200" w:firstLineChars="200"/>
    </w:pPr>
    <w:rPr>
      <w:spacing w:val="-2"/>
      <w:sz w:val="24"/>
    </w:rPr>
  </w:style>
  <w:style w:type="paragraph" w:customStyle="1" w:styleId="106">
    <w:name w:val="表格"/>
    <w:basedOn w:val="1"/>
    <w:link w:val="108"/>
    <w:qFormat/>
    <w:uiPriority w:val="0"/>
    <w:pPr>
      <w:snapToGrid w:val="0"/>
      <w:jc w:val="center"/>
    </w:pPr>
    <w:rPr>
      <w:szCs w:val="21"/>
    </w:rPr>
  </w:style>
  <w:style w:type="character" w:customStyle="1" w:styleId="107">
    <w:name w:val="文字描述 Char"/>
    <w:link w:val="105"/>
    <w:qFormat/>
    <w:uiPriority w:val="0"/>
    <w:rPr>
      <w:spacing w:val="-2"/>
      <w:kern w:val="2"/>
      <w:sz w:val="24"/>
      <w:szCs w:val="24"/>
    </w:rPr>
  </w:style>
  <w:style w:type="character" w:customStyle="1" w:styleId="108">
    <w:name w:val="表格 Char2"/>
    <w:link w:val="106"/>
    <w:qFormat/>
    <w:uiPriority w:val="0"/>
    <w:rPr>
      <w:kern w:val="2"/>
      <w:sz w:val="21"/>
      <w:szCs w:val="21"/>
    </w:rPr>
  </w:style>
  <w:style w:type="paragraph" w:customStyle="1" w:styleId="109">
    <w:name w:val="普通(网站)1"/>
    <w:basedOn w:val="1"/>
    <w:qFormat/>
    <w:uiPriority w:val="0"/>
    <w:pPr>
      <w:widowControl/>
      <w:spacing w:before="100" w:beforeAutospacing="1" w:after="100" w:afterAutospacing="1"/>
      <w:jc w:val="left"/>
    </w:pPr>
    <w:rPr>
      <w:rFonts w:ascii="宋体" w:hAnsi="宋体" w:cs="宋体"/>
      <w:kern w:val="0"/>
      <w:sz w:val="24"/>
    </w:rPr>
  </w:style>
  <w:style w:type="paragraph" w:customStyle="1" w:styleId="110">
    <w:name w:val="04表名"/>
    <w:basedOn w:val="1"/>
    <w:link w:val="111"/>
    <w:qFormat/>
    <w:uiPriority w:val="0"/>
    <w:pPr>
      <w:adjustRightInd w:val="0"/>
      <w:snapToGrid w:val="0"/>
      <w:jc w:val="center"/>
    </w:pPr>
    <w:rPr>
      <w:b/>
    </w:rPr>
  </w:style>
  <w:style w:type="character" w:customStyle="1" w:styleId="111">
    <w:name w:val="表名 Char"/>
    <w:link w:val="110"/>
    <w:qFormat/>
    <w:uiPriority w:val="0"/>
    <w:rPr>
      <w:b/>
      <w:kern w:val="2"/>
      <w:sz w:val="21"/>
      <w:szCs w:val="24"/>
    </w:rPr>
  </w:style>
  <w:style w:type="paragraph" w:customStyle="1" w:styleId="112">
    <w:name w:val="04空格表名"/>
    <w:basedOn w:val="1"/>
    <w:link w:val="113"/>
    <w:qFormat/>
    <w:uiPriority w:val="0"/>
    <w:pPr>
      <w:adjustRightInd w:val="0"/>
      <w:snapToGrid w:val="0"/>
      <w:spacing w:before="50" w:beforeLines="50"/>
      <w:jc w:val="center"/>
    </w:pPr>
    <w:rPr>
      <w:b/>
    </w:rPr>
  </w:style>
  <w:style w:type="character" w:customStyle="1" w:styleId="113">
    <w:name w:val="04空格表名 Char"/>
    <w:link w:val="112"/>
    <w:qFormat/>
    <w:uiPriority w:val="0"/>
    <w:rPr>
      <w:b/>
      <w:kern w:val="2"/>
      <w:sz w:val="21"/>
      <w:szCs w:val="24"/>
    </w:rPr>
  </w:style>
  <w:style w:type="paragraph" w:customStyle="1" w:styleId="114">
    <w:name w:val="_Style 3"/>
    <w:basedOn w:val="7"/>
    <w:next w:val="1"/>
    <w:unhideWhenUsed/>
    <w:qFormat/>
    <w:uiPriority w:val="39"/>
    <w:pPr>
      <w:spacing w:before="480" w:after="0" w:line="276" w:lineRule="auto"/>
      <w:outlineLvl w:val="9"/>
    </w:pPr>
    <w:rPr>
      <w:rFonts w:ascii="Cambria" w:hAnsi="Cambria"/>
      <w:color w:val="365F91"/>
      <w:kern w:val="0"/>
      <w:sz w:val="28"/>
      <w:szCs w:val="28"/>
    </w:rPr>
  </w:style>
  <w:style w:type="paragraph" w:customStyle="1" w:styleId="115">
    <w:name w:val="列出段落111"/>
    <w:basedOn w:val="1"/>
    <w:qFormat/>
    <w:uiPriority w:val="0"/>
    <w:pPr>
      <w:ind w:firstLine="420" w:firstLineChars="200"/>
    </w:pPr>
    <w:rPr>
      <w:rFonts w:asciiTheme="minorHAnsi" w:hAnsiTheme="minorHAnsi" w:eastAsiaTheme="minorEastAsia" w:cstheme="minorBidi"/>
      <w:szCs w:val="22"/>
    </w:rPr>
  </w:style>
  <w:style w:type="paragraph" w:customStyle="1" w:styleId="116">
    <w:name w:val="列出段落11"/>
    <w:basedOn w:val="1"/>
    <w:qFormat/>
    <w:uiPriority w:val="0"/>
    <w:pPr>
      <w:ind w:firstLine="420" w:firstLineChars="200"/>
    </w:pPr>
    <w:rPr>
      <w:rFonts w:asciiTheme="minorHAnsi" w:hAnsiTheme="minorHAnsi" w:eastAsiaTheme="minorEastAsia" w:cstheme="minorBidi"/>
      <w:szCs w:val="22"/>
    </w:rPr>
  </w:style>
  <w:style w:type="paragraph" w:styleId="117">
    <w:name w:val="List Paragraph"/>
    <w:basedOn w:val="1"/>
    <w:qFormat/>
    <w:uiPriority w:val="34"/>
    <w:pPr>
      <w:ind w:firstLine="420" w:firstLineChars="200"/>
    </w:pPr>
    <w:rPr>
      <w:rFonts w:ascii="Calibri" w:hAnsi="Calibri"/>
      <w:szCs w:val="22"/>
    </w:rPr>
  </w:style>
  <w:style w:type="character" w:customStyle="1" w:styleId="118">
    <w:name w:val="fontstyle01"/>
    <w:qFormat/>
    <w:uiPriority w:val="0"/>
    <w:rPr>
      <w:rFonts w:hint="default" w:ascii="SSJ-PK74820002705-Identity-H" w:hAnsi="SSJ-PK74820002705-Identity-H"/>
      <w:color w:val="000000"/>
      <w:sz w:val="40"/>
      <w:szCs w:val="40"/>
    </w:rPr>
  </w:style>
  <w:style w:type="paragraph" w:customStyle="1" w:styleId="119">
    <w:name w:val="1111"/>
    <w:basedOn w:val="1"/>
    <w:qFormat/>
    <w:uiPriority w:val="0"/>
    <w:pPr>
      <w:widowControl/>
      <w:adjustRightInd w:val="0"/>
      <w:snapToGrid w:val="0"/>
      <w:spacing w:line="360" w:lineRule="auto"/>
      <w:ind w:firstLine="200" w:firstLineChars="200"/>
    </w:pPr>
    <w:rPr>
      <w:kern w:val="0"/>
      <w:sz w:val="24"/>
      <w:szCs w:val="30"/>
    </w:rPr>
  </w:style>
  <w:style w:type="paragraph" w:customStyle="1" w:styleId="120">
    <w:name w:val="Other|1"/>
    <w:basedOn w:val="1"/>
    <w:qFormat/>
    <w:uiPriority w:val="0"/>
    <w:pPr>
      <w:widowControl w:val="0"/>
      <w:shd w:val="clear" w:color="auto" w:fill="auto"/>
    </w:pPr>
    <w:rPr>
      <w:rFonts w:ascii="宋体" w:hAnsi="宋体" w:eastAsia="宋体" w:cs="宋体"/>
      <w:sz w:val="20"/>
      <w:szCs w:val="20"/>
      <w:u w:val="none"/>
      <w:shd w:val="clear" w:color="auto" w:fill="auto"/>
      <w:lang w:val="zh-TW" w:eastAsia="zh-TW" w:bidi="zh-TW"/>
    </w:rPr>
  </w:style>
  <w:style w:type="paragraph" w:customStyle="1" w:styleId="121">
    <w:name w:val="Heading #2|1"/>
    <w:basedOn w:val="1"/>
    <w:qFormat/>
    <w:uiPriority w:val="0"/>
    <w:pPr>
      <w:widowControl w:val="0"/>
      <w:shd w:val="clear" w:color="auto" w:fill="auto"/>
      <w:spacing w:after="40" w:line="446" w:lineRule="exact"/>
      <w:jc w:val="center"/>
      <w:outlineLvl w:val="1"/>
    </w:pPr>
    <w:rPr>
      <w:rFonts w:ascii="宋体" w:hAnsi="宋体" w:eastAsia="宋体" w:cs="宋体"/>
      <w:sz w:val="34"/>
      <w:szCs w:val="34"/>
      <w:u w:val="none"/>
      <w:shd w:val="clear" w:color="auto" w:fill="auto"/>
      <w:lang w:val="zh-TW" w:eastAsia="zh-TW" w:bidi="zh-TW"/>
    </w:rPr>
  </w:style>
  <w:style w:type="paragraph" w:customStyle="1" w:styleId="122">
    <w:name w:val="Header or footer|2"/>
    <w:basedOn w:val="1"/>
    <w:qFormat/>
    <w:uiPriority w:val="0"/>
    <w:pPr>
      <w:widowControl w:val="0"/>
      <w:shd w:val="clear" w:color="auto" w:fill="auto"/>
    </w:pPr>
    <w:rPr>
      <w:sz w:val="20"/>
      <w:szCs w:val="20"/>
      <w:u w:val="none"/>
      <w:shd w:val="clear" w:color="auto" w:fill="auto"/>
    </w:rPr>
  </w:style>
  <w:style w:type="paragraph" w:customStyle="1" w:styleId="123">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2" Type="http://schemas.openxmlformats.org/officeDocument/2006/relationships/fontTable" Target="fontTable.xml"/><Relationship Id="rId31" Type="http://schemas.openxmlformats.org/officeDocument/2006/relationships/customXml" Target="../customXml/item2.xml"/><Relationship Id="rId30" Type="http://schemas.openxmlformats.org/officeDocument/2006/relationships/numbering" Target="numbering.xml"/><Relationship Id="rId3" Type="http://schemas.openxmlformats.org/officeDocument/2006/relationships/header" Target="header1.xml"/><Relationship Id="rId29" Type="http://schemas.openxmlformats.org/officeDocument/2006/relationships/customXml" Target="../customXml/item1.xml"/><Relationship Id="rId28" Type="http://schemas.openxmlformats.org/officeDocument/2006/relationships/image" Target="media/image19.jpeg"/><Relationship Id="rId27" Type="http://schemas.openxmlformats.org/officeDocument/2006/relationships/image" Target="media/image18.png"/><Relationship Id="rId26" Type="http://schemas.openxmlformats.org/officeDocument/2006/relationships/image" Target="media/image17.png"/><Relationship Id="rId25" Type="http://schemas.openxmlformats.org/officeDocument/2006/relationships/image" Target="media/image16.jpeg"/><Relationship Id="rId24" Type="http://schemas.openxmlformats.org/officeDocument/2006/relationships/image" Target="media/image15.jpeg"/><Relationship Id="rId23" Type="http://schemas.openxmlformats.org/officeDocument/2006/relationships/image" Target="media/image14.jpeg"/><Relationship Id="rId22" Type="http://schemas.openxmlformats.org/officeDocument/2006/relationships/image" Target="media/image13.jpeg"/><Relationship Id="rId21" Type="http://schemas.openxmlformats.org/officeDocument/2006/relationships/image" Target="media/image12.jpeg"/><Relationship Id="rId20" Type="http://schemas.openxmlformats.org/officeDocument/2006/relationships/image" Target="media/image11.jpeg"/><Relationship Id="rId2" Type="http://schemas.openxmlformats.org/officeDocument/2006/relationships/settings" Target="settings.xml"/><Relationship Id="rId19" Type="http://schemas.openxmlformats.org/officeDocument/2006/relationships/image" Target="media/image10.jpeg"/><Relationship Id="rId18" Type="http://schemas.openxmlformats.org/officeDocument/2006/relationships/image" Target="media/image9.jpeg"/><Relationship Id="rId17" Type="http://schemas.openxmlformats.org/officeDocument/2006/relationships/image" Target="media/image8.jpeg"/><Relationship Id="rId16" Type="http://schemas.openxmlformats.org/officeDocument/2006/relationships/image" Target="media/image7.jpe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7AA7AF0-40EE-4E2A-AA0E-9453336F8F9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48</Pages>
  <Words>1970</Words>
  <Characters>11235</Characters>
  <Lines>93</Lines>
  <Paragraphs>26</Paragraphs>
  <TotalTime>9</TotalTime>
  <ScaleCrop>false</ScaleCrop>
  <LinksUpToDate>false</LinksUpToDate>
  <CharactersWithSpaces>13179</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2019-09-02T15:25:00Z</dcterms:created>
  <dc:creator>Sky123.Org</dc:creator>
  <cp:lastModifiedBy>Te  Amo</cp:lastModifiedBy>
  <cp:lastPrinted>2019-09-20T05:50:00Z</cp:lastPrinted>
  <dcterms:modified xsi:type="dcterms:W3CDTF">2020-01-18T03:43:50Z</dcterms:modified>
  <dc:title>建设项目竣工环境保护</dc:title>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y fmtid="{D5CDD505-2E9C-101B-9397-08002B2CF9AE}" pid="3" name="_DocHome">
    <vt:i4>-1971425476</vt:i4>
  </property>
</Properties>
</file>