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6" w:right="210" w:rightChars="100" w:hanging="16" w:hangingChars="5"/>
        <w:jc w:val="center"/>
        <w:rPr>
          <w:rFonts w:ascii="Times New Roman" w:hAnsi="Times New Roman" w:eastAsia="黑体"/>
          <w:sz w:val="32"/>
          <w:szCs w:val="32"/>
        </w:rPr>
      </w:pPr>
      <w:r>
        <w:rPr>
          <w:rFonts w:hint="eastAsia" w:ascii="Times New Roman" w:hAnsi="Times New Roman" w:eastAsia="黑体"/>
          <w:sz w:val="32"/>
          <w:szCs w:val="32"/>
        </w:rPr>
        <w:t>滕州市固诺家居有限公司年产1.4万m</w:t>
      </w:r>
      <w:r>
        <w:rPr>
          <w:rFonts w:hint="eastAsia" w:ascii="Times New Roman" w:hAnsi="Times New Roman" w:eastAsia="黑体"/>
          <w:sz w:val="32"/>
          <w:szCs w:val="32"/>
          <w:vertAlign w:val="superscript"/>
        </w:rPr>
        <w:t>2</w:t>
      </w:r>
      <w:r>
        <w:rPr>
          <w:rFonts w:hint="eastAsia" w:ascii="Times New Roman" w:hAnsi="Times New Roman" w:eastAsia="黑体"/>
          <w:sz w:val="32"/>
          <w:szCs w:val="32"/>
        </w:rPr>
        <w:t>衣柜和1.9万扇室内门（推拉门及平开门类）生产项目</w:t>
      </w:r>
    </w:p>
    <w:p>
      <w:pPr>
        <w:spacing w:line="480" w:lineRule="exact"/>
        <w:ind w:left="16" w:right="210" w:rightChars="100" w:hanging="16" w:hangingChars="5"/>
        <w:jc w:val="center"/>
        <w:rPr>
          <w:rFonts w:ascii="Times New Roman" w:hAnsi="Times New Roman" w:eastAsia="黑体"/>
          <w:sz w:val="32"/>
          <w:szCs w:val="32"/>
        </w:rPr>
      </w:pPr>
      <w:r>
        <w:rPr>
          <w:rFonts w:ascii="Times New Roman" w:hAnsi="Times New Roman" w:eastAsia="黑体"/>
          <w:sz w:val="32"/>
          <w:szCs w:val="32"/>
        </w:rPr>
        <w:t>竣工环境保护验收意见</w:t>
      </w:r>
    </w:p>
    <w:p>
      <w:pPr>
        <w:adjustRightInd w:val="0"/>
        <w:snapToGrid w:val="0"/>
        <w:spacing w:line="360" w:lineRule="auto"/>
        <w:ind w:left="105" w:leftChars="50" w:right="105" w:rightChars="50" w:firstLine="480" w:firstLineChars="200"/>
        <w:rPr>
          <w:rFonts w:ascii="Times New Roman" w:hAnsi="Times New Roman"/>
          <w:sz w:val="24"/>
        </w:rPr>
      </w:pPr>
    </w:p>
    <w:p>
      <w:pPr>
        <w:adjustRightInd w:val="0"/>
        <w:snapToGrid w:val="0"/>
        <w:spacing w:line="540" w:lineRule="exact"/>
        <w:ind w:left="105" w:leftChars="50" w:right="105" w:rightChars="50"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2019年11月1日，滕州市固诺家居有限公司在滕州经济开发区广源东路788号成立验收工作组并组织召开了</w:t>
      </w:r>
      <w:r>
        <w:rPr>
          <w:rFonts w:hint="eastAsia" w:cs="仿宋" w:asciiTheme="minorEastAsia" w:hAnsiTheme="minorEastAsia" w:eastAsiaTheme="minorEastAsia"/>
          <w:color w:val="000000"/>
          <w:sz w:val="24"/>
        </w:rPr>
        <w:t>其年产1.4万m</w:t>
      </w:r>
      <w:r>
        <w:rPr>
          <w:rFonts w:hint="eastAsia" w:cs="仿宋" w:asciiTheme="minorEastAsia" w:hAnsiTheme="minorEastAsia" w:eastAsiaTheme="minorEastAsia"/>
          <w:color w:val="000000"/>
          <w:sz w:val="24"/>
          <w:vertAlign w:val="superscript"/>
        </w:rPr>
        <w:t>2</w:t>
      </w:r>
      <w:r>
        <w:rPr>
          <w:rFonts w:hint="eastAsia" w:cs="仿宋" w:asciiTheme="minorEastAsia" w:hAnsiTheme="minorEastAsia" w:eastAsiaTheme="minorEastAsia"/>
          <w:color w:val="000000"/>
          <w:sz w:val="24"/>
        </w:rPr>
        <w:t>衣柜和1.9万扇室内门（推拉门及平开门类）生产项目</w:t>
      </w:r>
      <w:r>
        <w:rPr>
          <w:rFonts w:hint="eastAsia" w:cs="仿宋" w:asciiTheme="minorEastAsia" w:hAnsiTheme="minorEastAsia" w:eastAsiaTheme="minorEastAsia"/>
          <w:sz w:val="24"/>
        </w:rPr>
        <w:t>竣工环境保护验收现场会。验收工作组（名单附后）由建设单位（</w:t>
      </w:r>
      <w:r>
        <w:rPr>
          <w:rFonts w:hint="eastAsia" w:cs="仿宋" w:asciiTheme="minorEastAsia" w:hAnsiTheme="minorEastAsia" w:eastAsiaTheme="minorEastAsia"/>
          <w:color w:val="000000"/>
          <w:sz w:val="24"/>
        </w:rPr>
        <w:t>滕州市固诺家居有限公司</w:t>
      </w:r>
      <w:r>
        <w:rPr>
          <w:rFonts w:hint="eastAsia" w:cs="仿宋" w:asciiTheme="minorEastAsia" w:hAnsiTheme="minorEastAsia" w:eastAsiaTheme="minorEastAsia"/>
          <w:sz w:val="24"/>
        </w:rPr>
        <w:t>）、验收监测单位（山东环安检测科技有限公司）等单位的代表和3名特邀专家组成。</w:t>
      </w:r>
    </w:p>
    <w:p>
      <w:pPr>
        <w:adjustRightInd w:val="0"/>
        <w:snapToGrid w:val="0"/>
        <w:spacing w:line="540" w:lineRule="exact"/>
        <w:ind w:left="105" w:leftChars="50" w:right="105" w:rightChars="50"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验收工作组根据</w:t>
      </w:r>
      <w:r>
        <w:rPr>
          <w:rFonts w:hint="eastAsia" w:cs="仿宋" w:asciiTheme="minorEastAsia" w:hAnsiTheme="minorEastAsia" w:eastAsiaTheme="minorEastAsia"/>
          <w:color w:val="000000"/>
          <w:sz w:val="24"/>
        </w:rPr>
        <w:t>滕州市固诺家居有限公司年产1.4万m</w:t>
      </w:r>
      <w:r>
        <w:rPr>
          <w:rFonts w:hint="eastAsia" w:cs="仿宋" w:asciiTheme="minorEastAsia" w:hAnsiTheme="minorEastAsia" w:eastAsiaTheme="minorEastAsia"/>
          <w:color w:val="000000"/>
          <w:sz w:val="24"/>
          <w:vertAlign w:val="superscript"/>
        </w:rPr>
        <w:t>2</w:t>
      </w:r>
      <w:r>
        <w:rPr>
          <w:rFonts w:hint="eastAsia" w:cs="仿宋" w:asciiTheme="minorEastAsia" w:hAnsiTheme="minorEastAsia" w:eastAsiaTheme="minorEastAsia"/>
          <w:color w:val="000000"/>
          <w:sz w:val="24"/>
        </w:rPr>
        <w:t>衣柜和1.9万扇室内门（推拉门及平开门类）生产项目</w:t>
      </w:r>
      <w:r>
        <w:rPr>
          <w:rFonts w:hint="eastAsia" w:cs="仿宋" w:asciiTheme="minorEastAsia" w:hAnsiTheme="minorEastAsia" w:eastAsiaTheme="minorEastAsia"/>
          <w:sz w:val="24"/>
        </w:rPr>
        <w:t>竣工环境保护验收监测报告，并对照《建设项目竣工环境保护验收暂行办法》，严格依照国家有关法律法规、建设项目竣工环境保护验收技术规范、本项目环境影响报告表和审批部门审批决定等要求对本项目进行验收。验收工作组组织查看了项目主要建设内容，会议听取了建设单位关于验收项目基本情况、验收监测单位关于验收项目监测情况的简要汇报，经充分讨论形成验收意见如下：</w:t>
      </w:r>
    </w:p>
    <w:p>
      <w:pPr>
        <w:adjustRightInd w:val="0"/>
        <w:snapToGrid w:val="0"/>
        <w:spacing w:line="540" w:lineRule="exact"/>
        <w:ind w:firstLine="480"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一、工程建设基本情况</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（一）建设地点、规模、主要建设内容</w:t>
      </w:r>
    </w:p>
    <w:p>
      <w:pPr>
        <w:adjustRightInd w:val="0"/>
        <w:snapToGrid w:val="0"/>
        <w:spacing w:line="540" w:lineRule="exact"/>
        <w:ind w:left="105" w:leftChars="50" w:right="105" w:rightChars="50"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滕州市固诺家居有限公司投资200万，在滕州经济开发区广源东路788号</w:t>
      </w:r>
      <w:r>
        <w:rPr>
          <w:rFonts w:cs="仿宋" w:asciiTheme="minorEastAsia" w:hAnsiTheme="minorEastAsia" w:eastAsiaTheme="minorEastAsia"/>
          <w:sz w:val="24"/>
        </w:rPr>
        <w:t>建设</w:t>
      </w:r>
      <w:r>
        <w:rPr>
          <w:rFonts w:hint="eastAsia" w:cs="仿宋" w:asciiTheme="minorEastAsia" w:hAnsiTheme="minorEastAsia" w:eastAsiaTheme="minorEastAsia"/>
          <w:sz w:val="24"/>
        </w:rPr>
        <w:t>年产1.4万m</w:t>
      </w:r>
      <w:r>
        <w:rPr>
          <w:rFonts w:hint="eastAsia" w:cs="仿宋" w:asciiTheme="minorEastAsia" w:hAnsiTheme="minorEastAsia" w:eastAsiaTheme="minorEastAsia"/>
          <w:sz w:val="24"/>
          <w:vertAlign w:val="superscript"/>
        </w:rPr>
        <w:t>2</w:t>
      </w:r>
      <w:r>
        <w:rPr>
          <w:rFonts w:hint="eastAsia" w:cs="仿宋" w:asciiTheme="minorEastAsia" w:hAnsiTheme="minorEastAsia" w:eastAsiaTheme="minorEastAsia"/>
          <w:sz w:val="24"/>
        </w:rPr>
        <w:t>衣柜和1.9万扇室内门（推拉门及平开门类）生产项目。</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（二）建设过程及环保审批情况</w:t>
      </w:r>
    </w:p>
    <w:p>
      <w:pPr>
        <w:adjustRightInd w:val="0"/>
        <w:snapToGrid w:val="0"/>
        <w:spacing w:line="540" w:lineRule="exact"/>
        <w:ind w:firstLine="456" w:firstLineChars="200"/>
        <w:rPr>
          <w:rFonts w:cs="仿宋" w:asciiTheme="minorEastAsia" w:hAnsiTheme="minorEastAsia" w:eastAsiaTheme="minorEastAsia"/>
          <w:spacing w:val="-6"/>
          <w:sz w:val="24"/>
        </w:rPr>
      </w:pPr>
      <w:r>
        <w:rPr>
          <w:rFonts w:hint="eastAsia" w:cs="仿宋" w:asciiTheme="minorEastAsia" w:hAnsiTheme="minorEastAsia" w:eastAsiaTheme="minorEastAsia"/>
          <w:spacing w:val="-6"/>
          <w:sz w:val="24"/>
        </w:rPr>
        <w:t>2018年1月委托青岛洁瑞环保技术服务有限公司编制了《滕州市固诺家居有限公司年产1.4万m</w:t>
      </w:r>
      <w:r>
        <w:rPr>
          <w:rFonts w:hint="eastAsia" w:cs="仿宋" w:asciiTheme="minorEastAsia" w:hAnsiTheme="minorEastAsia" w:eastAsiaTheme="minorEastAsia"/>
          <w:spacing w:val="-6"/>
          <w:sz w:val="24"/>
          <w:vertAlign w:val="superscript"/>
        </w:rPr>
        <w:t>2</w:t>
      </w:r>
      <w:r>
        <w:rPr>
          <w:rFonts w:hint="eastAsia" w:cs="仿宋" w:asciiTheme="minorEastAsia" w:hAnsiTheme="minorEastAsia" w:eastAsiaTheme="minorEastAsia"/>
          <w:spacing w:val="-6"/>
          <w:sz w:val="24"/>
        </w:rPr>
        <w:t>衣柜和1.9万扇室内门（推拉门及平开门类）生产项目环境影响报告表》，2018年1月19日滕州市生态环境局以滕环行审字【2018】B-16号进行了环评批复，同意建设年产1.4万m2衣柜和1.9万扇室内门（推拉门及平开门类）生产项目及相应配套设施。2018年2月本项目开工建设，2018年12月项目建设完成，企业申请项目竣工环境保护验收。</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（三）投资情况</w:t>
      </w:r>
    </w:p>
    <w:p>
      <w:pPr>
        <w:adjustRightInd w:val="0"/>
        <w:snapToGrid w:val="0"/>
        <w:spacing w:line="540" w:lineRule="exact"/>
        <w:ind w:firstLine="480" w:firstLineChars="20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项目总投资200万元，其中环保投资为30万元，占总投资的15%。</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（四）验收范围</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本次是对“滕州市固诺家居有限公司年产1.4万m</w:t>
      </w:r>
      <w:r>
        <w:rPr>
          <w:rFonts w:hint="eastAsia" w:cs="仿宋" w:asciiTheme="minorEastAsia" w:hAnsiTheme="minorEastAsia" w:eastAsiaTheme="minorEastAsia"/>
          <w:sz w:val="24"/>
          <w:vertAlign w:val="superscript"/>
        </w:rPr>
        <w:t>2</w:t>
      </w:r>
      <w:r>
        <w:rPr>
          <w:rFonts w:hint="eastAsia" w:cs="仿宋" w:asciiTheme="minorEastAsia" w:hAnsiTheme="minorEastAsia" w:eastAsiaTheme="minorEastAsia"/>
          <w:sz w:val="24"/>
        </w:rPr>
        <w:t>衣柜和1.9万扇室内门（推拉门及平开门类）生产项目”进行竣工环境保护验收，即相应主体工程、储运工程、辅助工程、公用工程及环保工程等。</w:t>
      </w:r>
    </w:p>
    <w:p>
      <w:pPr>
        <w:adjustRightInd w:val="0"/>
        <w:snapToGrid w:val="0"/>
        <w:spacing w:line="540" w:lineRule="exact"/>
        <w:ind w:firstLine="480"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二、工程变动情况</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根据验收报告和现场核查，对照《关于印发环评管理中部分行业建设项目重大变动清单的通知》（环办〔2015〕52号），本工程变更不属于重大变动。</w:t>
      </w:r>
    </w:p>
    <w:p>
      <w:pPr>
        <w:adjustRightInd w:val="0"/>
        <w:snapToGrid w:val="0"/>
        <w:spacing w:line="540" w:lineRule="exact"/>
        <w:ind w:firstLine="480"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三、环境保护设施建设情况</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（一）废水</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本项目胶雾净化用水定期清理后循环使用，生活污水经化粪池处理后定期清运，无废水外排。</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（二）废气</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项目产生的废气为下料、封边、排孔、雕刻、铣型、打磨生产过程中产生的颗粒物废气和喷胶过程中产生颗粒物、VOCs、苯、甲苯、二甲苯废气。下料、封边、排孔、雕刻、铣型、打磨生产工序产生的颗粒物废气和喷胶工序产生的颗粒物废气经集气罩+布袋除尘装置处理后通过1根15m高排气筒P1有组织排放；喷胶工序产生的有机废气废气经UV光催化氧化设备处理后通过1根15m高排气筒P2有组织排放；未被集气罩收集的废气经车间排气扇加强强制通风，无组织排放。</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（三）噪声</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该项目生产过程中会产生机械噪声，通过选用低噪声设备、基础减振、合理布置、绿化吸声等降噪措施降低噪声。</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（四）固体废物</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项目产生固体废弃物主要为生活垃圾、木材、金属下脚料，收尘装置收集的木尘，废弃固态原料包装物、胶渣、废胶桶、光氧催化设备更换的UV灯管。生活垃圾环卫定期清运；木材、金属下脚料，收尘装置收集的木尘，废弃固态原料包装物企业收集后外售处理；胶渣、废胶桶、光氧催化设备更换的UV灯管危废库暂存后委托有</w:t>
      </w:r>
      <w:r>
        <w:rPr>
          <w:rFonts w:cs="仿宋" w:asciiTheme="minorEastAsia" w:hAnsiTheme="minorEastAsia" w:eastAsiaTheme="minorEastAsia"/>
          <w:bCs/>
          <w:color w:val="000000"/>
          <w:sz w:val="24"/>
        </w:rPr>
        <w:t>山东鲁南渤瑞危险废物集中处置有限公司</w:t>
      </w:r>
      <w:r>
        <w:rPr>
          <w:rFonts w:hint="eastAsia" w:cs="仿宋" w:asciiTheme="minorEastAsia" w:hAnsiTheme="minorEastAsia" w:eastAsiaTheme="minorEastAsia"/>
          <w:bCs/>
          <w:color w:val="000000"/>
          <w:sz w:val="24"/>
        </w:rPr>
        <w:t>处理。</w:t>
      </w:r>
    </w:p>
    <w:p>
      <w:pPr>
        <w:adjustRightInd w:val="0"/>
        <w:snapToGrid w:val="0"/>
        <w:spacing w:line="540" w:lineRule="exact"/>
        <w:ind w:firstLine="480"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四、环境保护设施调试效果</w:t>
      </w:r>
    </w:p>
    <w:p>
      <w:pPr>
        <w:adjustRightInd w:val="0"/>
        <w:snapToGrid w:val="0"/>
        <w:spacing w:line="540" w:lineRule="exact"/>
        <w:ind w:firstLine="480" w:firstLineChars="200"/>
        <w:rPr>
          <w:rFonts w:cs="仿宋" w:asciiTheme="minorEastAsia" w:hAnsiTheme="minorEastAsia" w:eastAsiaTheme="minorEastAsia"/>
          <w:bCs/>
          <w:sz w:val="24"/>
        </w:rPr>
      </w:pPr>
      <w:r>
        <w:rPr>
          <w:rFonts w:hint="eastAsia" w:cs="仿宋" w:asciiTheme="minorEastAsia" w:hAnsiTheme="minorEastAsia" w:eastAsiaTheme="minorEastAsia"/>
          <w:sz w:val="24"/>
        </w:rPr>
        <w:t>（一）</w:t>
      </w:r>
      <w:r>
        <w:rPr>
          <w:rFonts w:hint="eastAsia" w:cs="仿宋" w:asciiTheme="minorEastAsia" w:hAnsiTheme="minorEastAsia" w:eastAsiaTheme="minorEastAsia"/>
          <w:bCs/>
          <w:sz w:val="24"/>
        </w:rPr>
        <w:t>废气</w:t>
      </w:r>
    </w:p>
    <w:p>
      <w:pPr>
        <w:adjustRightInd w:val="0"/>
        <w:snapToGrid w:val="0"/>
        <w:spacing w:line="5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验收监测期间，废气排气筒P1：颗粒物最大排放浓度为9.8mg/m</w:t>
      </w:r>
      <w:r>
        <w:rPr>
          <w:rFonts w:asciiTheme="minorEastAsia" w:hAnsiTheme="minorEastAsia" w:eastAsiaTheme="minorEastAsia"/>
          <w:sz w:val="24"/>
          <w:vertAlign w:val="superscript"/>
        </w:rPr>
        <w:t>3</w:t>
      </w:r>
      <w:r>
        <w:rPr>
          <w:rFonts w:asciiTheme="minorEastAsia" w:hAnsiTheme="minorEastAsia" w:eastAsiaTheme="minorEastAsia"/>
          <w:sz w:val="24"/>
        </w:rPr>
        <w:t>、最大排放速率为0.044kg/h，废气排放浓度满足《区域性大气污染物综合排放标准》（DB37</w:t>
      </w:r>
      <w:r>
        <w:rPr>
          <w:rFonts w:hint="eastAsia" w:asciiTheme="minorEastAsia" w:hAnsiTheme="minorEastAsia" w:eastAsiaTheme="minorEastAsia"/>
          <w:sz w:val="24"/>
        </w:rPr>
        <w:t xml:space="preserve"> </w:t>
      </w:r>
      <w:r>
        <w:rPr>
          <w:rFonts w:asciiTheme="minorEastAsia" w:hAnsiTheme="minorEastAsia" w:eastAsiaTheme="minorEastAsia"/>
          <w:sz w:val="24"/>
        </w:rPr>
        <w:t>/2376-201</w:t>
      </w:r>
      <w:r>
        <w:rPr>
          <w:rFonts w:hint="eastAsia" w:asciiTheme="minorEastAsia" w:hAnsiTheme="minorEastAsia" w:eastAsiaTheme="minorEastAsia"/>
          <w:sz w:val="24"/>
        </w:rPr>
        <w:t>9</w:t>
      </w:r>
      <w:r>
        <w:rPr>
          <w:rFonts w:asciiTheme="minorEastAsia" w:hAnsiTheme="minorEastAsia" w:eastAsiaTheme="minorEastAsia"/>
          <w:sz w:val="24"/>
        </w:rPr>
        <w:t>）表2重点控制区排放浓度限值，排放速率满足大气污染物综合排放标准》(GB16297-1996)表2二级有组织排放速率限值；</w:t>
      </w:r>
    </w:p>
    <w:p>
      <w:pPr>
        <w:adjustRightInd w:val="0"/>
        <w:snapToGrid w:val="0"/>
        <w:spacing w:line="5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废气排气筒P2：废气</w:t>
      </w:r>
      <w:r>
        <w:rPr>
          <w:rFonts w:hint="eastAsia" w:asciiTheme="minorEastAsia" w:hAnsiTheme="minorEastAsia" w:eastAsiaTheme="minorEastAsia"/>
          <w:sz w:val="24"/>
        </w:rPr>
        <w:t>中</w:t>
      </w:r>
      <w:r>
        <w:rPr>
          <w:rFonts w:asciiTheme="minorEastAsia" w:hAnsiTheme="minorEastAsia" w:eastAsiaTheme="minorEastAsia"/>
          <w:sz w:val="24"/>
        </w:rPr>
        <w:t>VOCs出口最大排放浓度为0.911mg/m</w:t>
      </w:r>
      <w:r>
        <w:rPr>
          <w:rFonts w:asciiTheme="minorEastAsia" w:hAnsiTheme="minorEastAsia" w:eastAsiaTheme="minorEastAsia"/>
          <w:sz w:val="24"/>
          <w:vertAlign w:val="superscript"/>
        </w:rPr>
        <w:t>3</w:t>
      </w:r>
      <w:r>
        <w:rPr>
          <w:rFonts w:asciiTheme="minorEastAsia" w:hAnsiTheme="minorEastAsia" w:eastAsiaTheme="minorEastAsia"/>
          <w:sz w:val="24"/>
        </w:rPr>
        <w:t>，出口最大排放速率为0.007kg/h，VOCs废气处理效率为52.32%；苯出口最大排放浓度为0.043mg/m</w:t>
      </w:r>
      <w:r>
        <w:rPr>
          <w:rFonts w:asciiTheme="minorEastAsia" w:hAnsiTheme="minorEastAsia" w:eastAsiaTheme="minorEastAsia"/>
          <w:sz w:val="24"/>
          <w:vertAlign w:val="superscript"/>
        </w:rPr>
        <w:t>3</w:t>
      </w:r>
      <w:r>
        <w:rPr>
          <w:rFonts w:asciiTheme="minorEastAsia" w:hAnsiTheme="minorEastAsia" w:eastAsiaTheme="minorEastAsia"/>
          <w:sz w:val="24"/>
        </w:rPr>
        <w:t>，处理效率为46.67%；甲苯与二甲苯合计出口最大排放浓度为0.313mg/m</w:t>
      </w:r>
      <w:r>
        <w:rPr>
          <w:rFonts w:asciiTheme="minorEastAsia" w:hAnsiTheme="minorEastAsia" w:eastAsiaTheme="minorEastAsia"/>
          <w:sz w:val="24"/>
          <w:vertAlign w:val="superscript"/>
        </w:rPr>
        <w:t>3</w:t>
      </w:r>
      <w:r>
        <w:rPr>
          <w:rFonts w:hint="eastAsia" w:asciiTheme="minorEastAsia" w:hAnsiTheme="minorEastAsia" w:eastAsiaTheme="minorEastAsia"/>
          <w:sz w:val="24"/>
        </w:rPr>
        <w:t>，</w:t>
      </w:r>
      <w:r>
        <w:rPr>
          <w:rFonts w:asciiTheme="minorEastAsia" w:hAnsiTheme="minorEastAsia" w:eastAsiaTheme="minorEastAsia"/>
          <w:sz w:val="24"/>
        </w:rPr>
        <w:t>处理效率为55.78%；VOCs、苯、甲苯与二甲苯合计废气有组织排放浓度和速率满足《挥发性有机物排放标准第3部分：家具制造业》表1中第</w:t>
      </w:r>
      <w:r>
        <w:rPr>
          <w:rFonts w:cs="Yuanti TC Light" w:asciiTheme="minorEastAsia" w:hAnsiTheme="minorEastAsia" w:eastAsiaTheme="minorEastAsia"/>
          <w:sz w:val="24"/>
        </w:rPr>
        <w:t>Ⅱ</w:t>
      </w:r>
      <w:r>
        <w:rPr>
          <w:rFonts w:asciiTheme="minorEastAsia" w:hAnsiTheme="minorEastAsia" w:eastAsiaTheme="minorEastAsia"/>
          <w:sz w:val="24"/>
        </w:rPr>
        <w:t>时段最高允许排放浓度限值要求。</w:t>
      </w:r>
    </w:p>
    <w:p>
      <w:pPr>
        <w:adjustRightInd w:val="0"/>
        <w:snapToGrid w:val="0"/>
        <w:spacing w:line="540" w:lineRule="exact"/>
        <w:ind w:firstLine="480" w:firstLineChars="200"/>
        <w:rPr>
          <w:rFonts w:cs="仿宋" w:asciiTheme="minorEastAsia" w:hAnsiTheme="minorEastAsia" w:eastAsiaTheme="minorEastAsia"/>
          <w:sz w:val="24"/>
        </w:rPr>
      </w:pPr>
      <w:r>
        <w:rPr>
          <w:rFonts w:cs="仿宋" w:asciiTheme="minorEastAsia" w:hAnsiTheme="minorEastAsia" w:eastAsiaTheme="minorEastAsia"/>
          <w:sz w:val="24"/>
        </w:rPr>
        <w:t>监测结果表明：验收监测期间，厂界VOCs最大排放浓度值为0.701mg/m</w:t>
      </w:r>
      <w:r>
        <w:rPr>
          <w:rFonts w:cs="仿宋" w:asciiTheme="minorEastAsia" w:hAnsiTheme="minorEastAsia" w:eastAsiaTheme="minorEastAsia"/>
          <w:sz w:val="24"/>
          <w:vertAlign w:val="superscript"/>
        </w:rPr>
        <w:t>3</w:t>
      </w:r>
      <w:r>
        <w:rPr>
          <w:rFonts w:cs="仿宋" w:asciiTheme="minorEastAsia" w:hAnsiTheme="minorEastAsia" w:eastAsiaTheme="minorEastAsia"/>
          <w:sz w:val="24"/>
        </w:rPr>
        <w:t>，苯最大排放浓度值为0.0738mg/m</w:t>
      </w:r>
      <w:r>
        <w:rPr>
          <w:rFonts w:cs="仿宋" w:asciiTheme="minorEastAsia" w:hAnsiTheme="minorEastAsia" w:eastAsiaTheme="minorEastAsia"/>
          <w:sz w:val="24"/>
          <w:vertAlign w:val="superscript"/>
        </w:rPr>
        <w:t>3</w:t>
      </w:r>
      <w:r>
        <w:rPr>
          <w:rFonts w:cs="仿宋" w:asciiTheme="minorEastAsia" w:hAnsiTheme="minorEastAsia" w:eastAsiaTheme="minorEastAsia"/>
          <w:sz w:val="24"/>
        </w:rPr>
        <w:t>，甲苯最大排放浓度值为0.175mg/m</w:t>
      </w:r>
      <w:r>
        <w:rPr>
          <w:rFonts w:cs="仿宋" w:asciiTheme="minorEastAsia" w:hAnsiTheme="minorEastAsia" w:eastAsiaTheme="minorEastAsia"/>
          <w:sz w:val="24"/>
          <w:vertAlign w:val="superscript"/>
        </w:rPr>
        <w:t>3</w:t>
      </w:r>
      <w:r>
        <w:rPr>
          <w:rFonts w:cs="仿宋" w:asciiTheme="minorEastAsia" w:hAnsiTheme="minorEastAsia" w:eastAsiaTheme="minorEastAsia"/>
          <w:sz w:val="24"/>
        </w:rPr>
        <w:t>，二甲苯最大排放浓度值为0.193mg/m</w:t>
      </w:r>
      <w:r>
        <w:rPr>
          <w:rFonts w:cs="仿宋" w:asciiTheme="minorEastAsia" w:hAnsiTheme="minorEastAsia" w:eastAsiaTheme="minorEastAsia"/>
          <w:sz w:val="24"/>
          <w:vertAlign w:val="superscript"/>
        </w:rPr>
        <w:t>3</w:t>
      </w:r>
      <w:r>
        <w:rPr>
          <w:rFonts w:cs="仿宋" w:asciiTheme="minorEastAsia" w:hAnsiTheme="minorEastAsia" w:eastAsiaTheme="minorEastAsia"/>
          <w:sz w:val="24"/>
        </w:rPr>
        <w:t>，VOCs、苯、甲苯、二甲苯无组织排放满足《挥发性有机物排放标准第3部分：家具制造业》表2中厂界监控点浓度限值；厂界颗粒物最大排放浓度值为0.486mg/m</w:t>
      </w:r>
      <w:r>
        <w:rPr>
          <w:rFonts w:cs="仿宋" w:asciiTheme="minorEastAsia" w:hAnsiTheme="minorEastAsia" w:eastAsiaTheme="minorEastAsia"/>
          <w:sz w:val="24"/>
          <w:vertAlign w:val="superscript"/>
        </w:rPr>
        <w:t>3</w:t>
      </w:r>
      <w:r>
        <w:rPr>
          <w:rFonts w:cs="仿宋" w:asciiTheme="minorEastAsia" w:hAnsiTheme="minorEastAsia" w:eastAsiaTheme="minorEastAsia"/>
          <w:sz w:val="24"/>
        </w:rPr>
        <w:t>，满足《大气污染物综合排放标准》(GB</w:t>
      </w: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16297-1996)表2无组织排放浓度限值。</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bCs/>
          <w:sz w:val="24"/>
        </w:rPr>
        <w:t>（二）</w:t>
      </w:r>
      <w:r>
        <w:rPr>
          <w:rFonts w:hint="eastAsia" w:cs="仿宋" w:asciiTheme="minorEastAsia" w:hAnsiTheme="minorEastAsia" w:eastAsiaTheme="minorEastAsia"/>
          <w:sz w:val="24"/>
        </w:rPr>
        <w:t>噪声</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监测结果表明：验收监测期间，东、南、西、北厂界昼间噪声监测结果最大值为58.9dB(A)之间，夜间噪声监测结果最大值为48.5dB(A)之间，满足《工业企业厂界环境噪声排放标准》（GB 12348-2008）2类声环境功能区标准限值要求。综上，项目生产过程中噪声达标排放，对周边环境影响较小。</w:t>
      </w:r>
    </w:p>
    <w:p>
      <w:pPr>
        <w:adjustRightInd w:val="0"/>
        <w:snapToGrid w:val="0"/>
        <w:spacing w:line="540" w:lineRule="exact"/>
        <w:ind w:left="420" w:leftChars="200" w:right="105" w:rightChars="50"/>
        <w:jc w:val="left"/>
        <w:rPr>
          <w:rFonts w:cs="仿宋" w:asciiTheme="minorEastAsia" w:hAnsiTheme="minorEastAsia" w:eastAsiaTheme="minorEastAsia"/>
          <w:sz w:val="24"/>
        </w:rPr>
      </w:pPr>
      <w:r>
        <w:rPr>
          <w:rFonts w:hint="eastAsia" w:cs="仿宋" w:asciiTheme="minorEastAsia" w:hAnsiTheme="minorEastAsia" w:eastAsiaTheme="minorEastAsia"/>
          <w:sz w:val="24"/>
        </w:rPr>
        <w:t>（三）固废</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color w:val="000000"/>
          <w:sz w:val="24"/>
        </w:rPr>
        <w:t>根据固废调查结果，项目运营期产生的生活垃圾环卫定期清运；木材、金属下脚料，收尘装置收集的木尘，废弃固态原料包装物企业收集后外售处理；胶渣、</w:t>
      </w:r>
      <w:r>
        <w:rPr>
          <w:rFonts w:hint="eastAsia" w:cs="仿宋" w:asciiTheme="minorEastAsia" w:hAnsiTheme="minorEastAsia" w:eastAsiaTheme="minorEastAsia"/>
          <w:sz w:val="24"/>
        </w:rPr>
        <w:t>废胶桶、光氧催化设备更换的UV灯管危废库暂存后委托</w:t>
      </w:r>
      <w:r>
        <w:rPr>
          <w:rFonts w:cs="仿宋" w:asciiTheme="minorEastAsia" w:hAnsiTheme="minorEastAsia" w:eastAsiaTheme="minorEastAsia"/>
          <w:sz w:val="24"/>
        </w:rPr>
        <w:t>山东鲁南渤瑞危险废物集中处置有限公司</w:t>
      </w:r>
      <w:r>
        <w:rPr>
          <w:rFonts w:hint="eastAsia" w:cs="仿宋" w:asciiTheme="minorEastAsia" w:hAnsiTheme="minorEastAsia" w:eastAsiaTheme="minorEastAsia"/>
          <w:sz w:val="24"/>
        </w:rPr>
        <w:t>处理。本项目对产生的固体废物采取了妥善处置，满足环保要求。</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（四）污染物排放总量控制</w:t>
      </w:r>
    </w:p>
    <w:p>
      <w:pPr>
        <w:adjustRightInd w:val="0"/>
        <w:snapToGrid w:val="0"/>
        <w:spacing w:line="54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本项目无纳入总量控制的指标。</w:t>
      </w:r>
    </w:p>
    <w:p>
      <w:pPr>
        <w:adjustRightInd w:val="0"/>
        <w:snapToGrid w:val="0"/>
        <w:spacing w:line="540" w:lineRule="exact"/>
        <w:ind w:firstLine="480" w:firstLineChars="200"/>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五、验收结论</w:t>
      </w:r>
    </w:p>
    <w:p>
      <w:pPr>
        <w:adjustRightInd w:val="0"/>
        <w:snapToGrid w:val="0"/>
        <w:spacing w:line="540" w:lineRule="exact"/>
        <w:ind w:firstLine="480" w:firstLineChars="20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项目环境保护审批手续完备，技术资料齐全。项目建设实施过程中按照环评、批复及环保要求落实了相关环保措施，建立了相应的环保管理制度，具备正常运行条件。经监测各类污染物均可达标排放，项目具备。项目竣工环境保护验收条件，验收组同意项目验收合格。</w:t>
      </w:r>
    </w:p>
    <w:p>
      <w:pPr>
        <w:adjustRightInd w:val="0"/>
        <w:snapToGrid w:val="0"/>
        <w:spacing w:line="540" w:lineRule="exact"/>
        <w:ind w:firstLine="480" w:firstLineChars="200"/>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六、后续要求和建议</w:t>
      </w:r>
    </w:p>
    <w:p>
      <w:pPr>
        <w:pStyle w:val="2"/>
        <w:spacing w:after="0" w:line="360" w:lineRule="auto"/>
        <w:ind w:right="50" w:firstLine="480"/>
        <w:rPr>
          <w:rFonts w:hint="eastAsia"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1、进一步完善危废暂存库周边区域的硬化、防渗措施。加强危废暂存库管理，按危废种类分区分类存放，并挂牌标示，做好出入库台帐。</w:t>
      </w:r>
    </w:p>
    <w:p>
      <w:pPr>
        <w:pStyle w:val="2"/>
        <w:spacing w:after="0" w:line="360" w:lineRule="auto"/>
        <w:ind w:right="50" w:firstLine="480"/>
        <w:rPr>
          <w:rFonts w:hint="eastAsia"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2、规范环保设施运行操作、维护保记录。加强公司各类环保设施的运行管理，确保运行正常、污染物稳定达标排放。</w:t>
      </w:r>
    </w:p>
    <w:p>
      <w:pPr>
        <w:pStyle w:val="2"/>
        <w:spacing w:after="0" w:line="360" w:lineRule="auto"/>
        <w:ind w:right="50" w:firstLine="480"/>
        <w:rPr>
          <w:rFonts w:hint="eastAsia"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3、公司应加强环保工作，设立环保机构，督促负责建立健全环境保护相关规章制度。建立健全环保管理制度，制度上墙。加强职工安全生产及教育，提高职工环保意识，严格作业管理。</w:t>
      </w:r>
    </w:p>
    <w:p>
      <w:pPr>
        <w:pStyle w:val="2"/>
        <w:spacing w:after="0" w:line="360" w:lineRule="auto"/>
        <w:ind w:right="50" w:firstLine="480"/>
        <w:rPr>
          <w:rFonts w:hint="eastAsia"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4、加强工厂绿化建设，在厂区空余地段种植绿色植物，可隔音降噪、防尘，改善厂区生态环境。</w:t>
      </w:r>
    </w:p>
    <w:p>
      <w:pPr>
        <w:spacing w:line="360" w:lineRule="auto"/>
        <w:ind w:left="200"/>
        <w:rPr>
          <w:rFonts w:hint="eastAsia"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 xml:space="preserve">     5、加强废气收集设施的废气吸收效率，减小无组织排放。</w:t>
      </w:r>
    </w:p>
    <w:p>
      <w:pPr>
        <w:pStyle w:val="10"/>
        <w:widowControl/>
        <w:spacing w:beforeAutospacing="0" w:afterAutospacing="0" w:line="360" w:lineRule="auto"/>
        <w:ind w:left="200" w:right="50"/>
        <w:jc w:val="center"/>
        <w:rPr>
          <w:rFonts w:hint="eastAsia" w:ascii="宋体" w:hAnsi="宋体" w:cs="宋体"/>
          <w:kern w:val="2"/>
          <w:highlight w:val="yellow"/>
        </w:rPr>
      </w:pPr>
    </w:p>
    <w:p>
      <w:pPr>
        <w:spacing w:line="360" w:lineRule="auto"/>
        <w:ind w:left="200" w:right="50"/>
        <w:rPr>
          <w:rFonts w:hint="eastAsia"/>
          <w:sz w:val="24"/>
          <w:highlight w:val="yellow"/>
        </w:rPr>
      </w:pPr>
    </w:p>
    <w:p>
      <w:pPr>
        <w:spacing w:line="360" w:lineRule="auto"/>
        <w:ind w:left="50" w:right="50" w:firstLine="480" w:firstLineChars="200"/>
        <w:jc w:val="right"/>
        <w:rPr>
          <w:rFonts w:hint="eastAsia"/>
          <w:kern w:val="24"/>
          <w:sz w:val="24"/>
          <w:lang w:bidi="he-IL"/>
        </w:rPr>
      </w:pPr>
    </w:p>
    <w:p>
      <w:pPr>
        <w:spacing w:line="360" w:lineRule="auto"/>
        <w:ind w:left="50" w:right="50" w:firstLine="480" w:firstLineChars="200"/>
        <w:jc w:val="center"/>
        <w:rPr>
          <w:rFonts w:hint="eastAsia" w:ascii="仿宋_GB2312" w:eastAsia="仿宋_GB2312"/>
          <w:color w:val="000000"/>
          <w:sz w:val="24"/>
        </w:rPr>
      </w:pPr>
      <w:r>
        <w:rPr>
          <w:rFonts w:hint="eastAsia"/>
          <w:kern w:val="24"/>
          <w:sz w:val="24"/>
          <w:lang w:bidi="he-IL"/>
        </w:rPr>
        <w:t xml:space="preserve">                                                 验收工作组</w:t>
      </w:r>
      <w:r>
        <w:rPr>
          <w:rFonts w:hint="eastAsia" w:ascii="仿宋_GB2312" w:eastAsia="仿宋_GB2312"/>
          <w:color w:val="000000"/>
          <w:sz w:val="24"/>
        </w:rPr>
        <w:t xml:space="preserve">    </w:t>
      </w:r>
    </w:p>
    <w:p>
      <w:pPr>
        <w:pStyle w:val="2"/>
        <w:spacing w:line="360" w:lineRule="auto"/>
        <w:ind w:right="50" w:firstLine="480"/>
        <w:jc w:val="right"/>
        <w:rPr>
          <w:rFonts w:hint="eastAsia"/>
          <w:sz w:val="24"/>
        </w:rPr>
        <w:sectPr>
          <w:headerReference r:id="rId3" w:type="default"/>
          <w:pgSz w:w="11907" w:h="16840"/>
          <w:pgMar w:top="1440" w:right="1797" w:bottom="1440" w:left="1797" w:header="851" w:footer="992" w:gutter="0"/>
          <w:cols w:space="720" w:num="1"/>
          <w:docGrid w:type="linesAndChars" w:linePitch="392" w:charSpace="0"/>
        </w:sectPr>
      </w:pPr>
      <w:r>
        <w:rPr>
          <w:rFonts w:hint="eastAsia" w:ascii="宋体" w:hAnsi="宋体" w:cs="宋体"/>
          <w:color w:val="000000"/>
          <w:sz w:val="24"/>
        </w:rPr>
        <w:t>2019年11月1</w:t>
      </w:r>
      <w:bookmarkStart w:id="0" w:name="_GoBack"/>
      <w:bookmarkEnd w:id="0"/>
      <w:r>
        <w:rPr>
          <w:rFonts w:hint="eastAsia" w:ascii="宋体" w:hAnsi="宋体" w:cs="宋体"/>
          <w:color w:val="000000"/>
          <w:sz w:val="24"/>
        </w:rPr>
        <w:t>日</w:t>
      </w:r>
    </w:p>
    <w:p>
      <w:pPr>
        <w:spacing w:line="348" w:lineRule="auto"/>
        <w:ind w:left="16" w:right="210" w:rightChars="100" w:hanging="16" w:hangingChars="5"/>
        <w:jc w:val="center"/>
        <w:rPr>
          <w:rFonts w:hint="eastAsia" w:ascii="Times New Roman" w:hAnsi="Times New Roman" w:eastAsia="黑体"/>
          <w:sz w:val="32"/>
          <w:szCs w:val="32"/>
        </w:rPr>
      </w:pPr>
      <w:r>
        <w:rPr>
          <w:rFonts w:hint="eastAsia" w:ascii="Times New Roman" w:hAnsi="Times New Roman" w:eastAsia="黑体"/>
          <w:sz w:val="32"/>
          <w:szCs w:val="32"/>
        </w:rPr>
        <w:t>滕州市固诺家居有限公司年产1.4万m</w:t>
      </w:r>
      <w:r>
        <w:rPr>
          <w:rFonts w:hint="eastAsia" w:ascii="Times New Roman" w:hAnsi="Times New Roman" w:eastAsia="黑体"/>
          <w:sz w:val="32"/>
          <w:szCs w:val="32"/>
          <w:vertAlign w:val="superscript"/>
        </w:rPr>
        <w:t>2</w:t>
      </w:r>
      <w:r>
        <w:rPr>
          <w:rFonts w:hint="eastAsia" w:ascii="Times New Roman" w:hAnsi="Times New Roman" w:eastAsia="黑体"/>
          <w:sz w:val="32"/>
          <w:szCs w:val="32"/>
        </w:rPr>
        <w:t>衣柜和1.9万扇室内门（推拉门及平开门类）生产项目</w:t>
      </w:r>
    </w:p>
    <w:p>
      <w:pPr>
        <w:snapToGrid w:val="0"/>
        <w:jc w:val="center"/>
        <w:rPr>
          <w:b/>
          <w:bCs/>
          <w:sz w:val="32"/>
          <w:szCs w:val="32"/>
          <w:lang w:bidi="ar"/>
        </w:rPr>
      </w:pPr>
      <w:r>
        <w:rPr>
          <w:rFonts w:hint="eastAsia"/>
          <w:b/>
          <w:bCs/>
          <w:sz w:val="32"/>
          <w:szCs w:val="32"/>
          <w:lang w:bidi="ar"/>
        </w:rPr>
        <w:t>竣工环境保护验收组签到表</w:t>
      </w:r>
    </w:p>
    <w:p>
      <w:pPr>
        <w:rPr>
          <w:rFonts w:hint="eastAsia"/>
          <w:lang w:bidi="ar"/>
        </w:rPr>
      </w:pPr>
    </w:p>
    <w:p>
      <w:pPr>
        <w:rPr>
          <w:rFonts w:hint="eastAsia"/>
          <w:lang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9"/>
        <w:gridCol w:w="2439"/>
        <w:gridCol w:w="1154"/>
        <w:gridCol w:w="4095"/>
        <w:gridCol w:w="1271"/>
        <w:gridCol w:w="199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45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验收组</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姓名</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单位名称</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职务/职称</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电话</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b/>
                <w:sz w:val="24"/>
                <w:lang w:bidi="ar"/>
              </w:rPr>
            </w:pPr>
            <w:r>
              <w:rPr>
                <w:rFonts w:hint="eastAsia"/>
                <w:b/>
                <w:sz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组长</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建设单位</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王学全</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sz w:val="24"/>
                <w:lang w:bidi="ar"/>
              </w:rPr>
              <w:t>滕州市固诺家居有限公司</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经理</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sz w:val="24"/>
                <w:lang w:bidi="ar"/>
              </w:rPr>
              <w:t>15763260588</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p>
            <w:pPr>
              <w:jc w:val="center"/>
              <w:rPr>
                <w:rFonts w:hint="eastAsia"/>
                <w:sz w:val="24"/>
                <w:lang w:bidi="ar"/>
              </w:rPr>
            </w:pPr>
            <w:r>
              <w:rPr>
                <w:rFonts w:hint="eastAsia"/>
                <w:sz w:val="24"/>
                <w:lang w:bidi="ar"/>
              </w:rPr>
              <w:t>组员</w:t>
            </w: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专家</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宋志慧</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rPr>
              <w:t>青岛科技大学环境与安全工程学院</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副教授</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sz w:val="24"/>
                <w:lang w:bidi="ar"/>
              </w:rPr>
            </w:pPr>
            <w:r>
              <w:rPr>
                <w:rFonts w:hint="eastAsia"/>
                <w:sz w:val="24"/>
                <w:lang w:bidi="ar"/>
              </w:rPr>
              <w:t>13153273722</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专家</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汪清</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rPr>
              <w:t>山东环安检测科技有限公司</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高级工程师</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sz w:val="24"/>
                <w:lang w:bidi="ar"/>
              </w:rPr>
            </w:pPr>
            <w:r>
              <w:rPr>
                <w:rFonts w:hint="eastAsia"/>
                <w:sz w:val="24"/>
                <w:lang w:bidi="ar"/>
              </w:rPr>
              <w:t>13791443811</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专家</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王海霞</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青岛墨羽创新科技有限公司</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高级工程师</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sz w:val="24"/>
                <w:lang w:bidi="ar"/>
              </w:rPr>
            </w:pPr>
            <w:r>
              <w:rPr>
                <w:rFonts w:hint="eastAsia"/>
                <w:sz w:val="24"/>
                <w:lang w:bidi="ar"/>
              </w:rPr>
              <w:t>13210105746</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1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sz w:val="24"/>
                <w:highlight w:val="yellow"/>
                <w:lang w:bidi="ar"/>
              </w:rPr>
            </w:pPr>
          </w:p>
        </w:tc>
        <w:tc>
          <w:tcPr>
            <w:tcW w:w="243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验收监测单位</w:t>
            </w:r>
          </w:p>
        </w:tc>
        <w:tc>
          <w:tcPr>
            <w:tcW w:w="11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张 洲</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rPr>
              <w:t>山东环安检测科技有限公司</w:t>
            </w:r>
          </w:p>
        </w:tc>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r>
              <w:rPr>
                <w:rFonts w:hint="eastAsia"/>
                <w:sz w:val="24"/>
                <w:lang w:bidi="ar"/>
              </w:rPr>
              <w:t>经理</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sz w:val="24"/>
                <w:lang w:bidi="ar"/>
              </w:rPr>
            </w:pPr>
            <w:r>
              <w:rPr>
                <w:rFonts w:hint="eastAsia"/>
                <w:sz w:val="24"/>
                <w:lang w:bidi="ar"/>
              </w:rPr>
              <w:t>15666377368</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lang w:bidi="ar"/>
              </w:rPr>
            </w:pPr>
          </w:p>
        </w:tc>
      </w:tr>
    </w:tbl>
    <w:p>
      <w:pPr>
        <w:pStyle w:val="2"/>
      </w:pPr>
    </w:p>
    <w:p/>
    <w:p>
      <w:pPr>
        <w:spacing w:line="360" w:lineRule="auto"/>
        <w:rPr>
          <w:rFonts w:hint="eastAsia" w:ascii="仿宋_GB2312" w:eastAsia="仿宋_GB2312"/>
          <w:color w:val="000000"/>
          <w:sz w:val="28"/>
          <w:szCs w:val="28"/>
          <w:highlight w:val="yellow"/>
        </w:rPr>
        <w:sectPr>
          <w:headerReference r:id="rId4" w:type="default"/>
          <w:footerReference r:id="rId5" w:type="default"/>
          <w:footerReference r:id="rId6" w:type="even"/>
          <w:pgSz w:w="16838" w:h="11906" w:orient="landscape"/>
          <w:pgMar w:top="1800" w:right="1440" w:bottom="1800" w:left="1440" w:header="851" w:footer="992" w:gutter="0"/>
          <w:cols w:space="720" w:num="1"/>
          <w:docGrid w:type="lines" w:linePitch="312" w:charSpace="0"/>
        </w:sectPr>
      </w:pPr>
    </w:p>
    <w:p>
      <w:pPr>
        <w:adjustRightInd w:val="0"/>
        <w:snapToGrid w:val="0"/>
        <w:spacing w:line="540" w:lineRule="exact"/>
        <w:ind w:firstLine="562" w:firstLineChars="200"/>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七、验收工作组人员信息</w:t>
      </w:r>
    </w:p>
    <w:p>
      <w:pPr>
        <w:adjustRightInd w:val="0"/>
        <w:snapToGrid w:val="0"/>
        <w:spacing w:line="540" w:lineRule="exact"/>
        <w:ind w:firstLine="560" w:firstLineChars="200"/>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见附件：验收工作组人员名单。</w:t>
      </w:r>
    </w:p>
    <w:p>
      <w:pPr>
        <w:pStyle w:val="20"/>
        <w:snapToGrid w:val="0"/>
        <w:spacing w:line="540" w:lineRule="exact"/>
        <w:rPr>
          <w:rFonts w:cs="仿宋" w:asciiTheme="minorEastAsia" w:hAnsiTheme="minorEastAsia" w:eastAsiaTheme="minorEastAsia"/>
          <w:color w:val="auto"/>
          <w:sz w:val="28"/>
          <w:szCs w:val="28"/>
        </w:rPr>
      </w:pPr>
      <w:r>
        <w:rPr>
          <w:rFonts w:hint="eastAsia" w:cs="仿宋" w:asciiTheme="minorEastAsia" w:hAnsiTheme="minorEastAsia" w:eastAsiaTheme="minorEastAsia"/>
          <w:sz w:val="28"/>
          <w:szCs w:val="28"/>
        </w:rPr>
        <w:t xml:space="preserve">                        </w:t>
      </w:r>
      <w:r>
        <w:rPr>
          <w:rFonts w:hint="eastAsia" w:cs="仿宋" w:asciiTheme="minorEastAsia" w:hAnsiTheme="minorEastAsia" w:eastAsiaTheme="minorEastAsia"/>
          <w:color w:val="auto"/>
          <w:sz w:val="28"/>
          <w:szCs w:val="28"/>
        </w:rPr>
        <w:t xml:space="preserve">                     验收工作组                           </w:t>
      </w:r>
    </w:p>
    <w:p>
      <w:pPr>
        <w:adjustRightInd w:val="0"/>
        <w:snapToGrid w:val="0"/>
        <w:spacing w:line="540" w:lineRule="exact"/>
        <w:ind w:firstLine="560" w:firstLineChars="200"/>
        <w:jc w:val="right"/>
        <w:outlineLvl w:val="1"/>
        <w:rPr>
          <w:rFonts w:asciiTheme="minorEastAsia" w:hAnsiTheme="minorEastAsia" w:eastAsiaTheme="minorEastAsia"/>
          <w:bCs/>
          <w:sz w:val="28"/>
          <w:szCs w:val="28"/>
        </w:rPr>
      </w:pPr>
      <w:r>
        <w:rPr>
          <w:rFonts w:hint="eastAsia" w:cs="仿宋" w:asciiTheme="minorEastAsia" w:hAnsiTheme="minorEastAsia" w:eastAsiaTheme="minorEastAsia"/>
          <w:sz w:val="28"/>
          <w:szCs w:val="28"/>
        </w:rPr>
        <w:t xml:space="preserve">                                    2019年11月17日</w:t>
      </w:r>
    </w:p>
    <w:sectPr>
      <w:footerReference r:id="rId7"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Yuanti TC Light">
    <w:altName w:val="SimSun-ExtB"/>
    <w:panose1 w:val="02010600040101010101"/>
    <w:charset w:val="00"/>
    <w:family w:val="auto"/>
    <w:pitch w:val="default"/>
    <w:sig w:usb0="00000000" w:usb1="0000000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20"/>
    </w:pPr>
    <w: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6"/>
                  <w:ind w:left="420"/>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ind w:left="420"/>
      <w:rPr>
        <w:rStyle w:val="15"/>
      </w:rPr>
    </w:pPr>
    <w:r>
      <w:fldChar w:fldCharType="begin"/>
    </w:r>
    <w:r>
      <w:rPr>
        <w:rStyle w:val="15"/>
      </w:rPr>
      <w:instrText xml:space="preserve">PAGE  </w:instrText>
    </w:r>
    <w:r>
      <w:fldChar w:fldCharType="separate"/>
    </w:r>
    <w:r>
      <w:rPr>
        <w:rStyle w:val="15"/>
      </w:rPr>
      <w:t>1</w:t>
    </w:r>
    <w:r>
      <w:fldChar w:fldCharType="end"/>
    </w:r>
  </w:p>
  <w:p>
    <w:pPr>
      <w:pStyle w:val="6"/>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4770" cy="14605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8240;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0jy8gBACAAAEBAAADgAAAAAAAAABACAA&#10;AAAgAQAAZHJzL2Uyb0RvYy54bWxQSwUGAAAAAAYABgBZAQAAo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01"/>
    <w:rsid w:val="00857901"/>
    <w:rsid w:val="00936108"/>
    <w:rsid w:val="009C2FFA"/>
    <w:rsid w:val="00A578AD"/>
    <w:rsid w:val="00B81A53"/>
    <w:rsid w:val="00FE7828"/>
    <w:rsid w:val="0155776D"/>
    <w:rsid w:val="01C9137C"/>
    <w:rsid w:val="02BE7A41"/>
    <w:rsid w:val="033B3AE2"/>
    <w:rsid w:val="03F743BF"/>
    <w:rsid w:val="04C573E0"/>
    <w:rsid w:val="04F04292"/>
    <w:rsid w:val="06A6303B"/>
    <w:rsid w:val="07CB40D2"/>
    <w:rsid w:val="09C82C95"/>
    <w:rsid w:val="0D823B25"/>
    <w:rsid w:val="0E280280"/>
    <w:rsid w:val="0ED56BF3"/>
    <w:rsid w:val="0F417F75"/>
    <w:rsid w:val="10CC0959"/>
    <w:rsid w:val="125E3488"/>
    <w:rsid w:val="13DC6564"/>
    <w:rsid w:val="148D490F"/>
    <w:rsid w:val="15781888"/>
    <w:rsid w:val="17584785"/>
    <w:rsid w:val="18CB5186"/>
    <w:rsid w:val="194E54DF"/>
    <w:rsid w:val="199D14EA"/>
    <w:rsid w:val="1AB8394F"/>
    <w:rsid w:val="1B656061"/>
    <w:rsid w:val="1C525485"/>
    <w:rsid w:val="1E5D22F5"/>
    <w:rsid w:val="20273F82"/>
    <w:rsid w:val="20C959EA"/>
    <w:rsid w:val="20D7538E"/>
    <w:rsid w:val="210F37B3"/>
    <w:rsid w:val="21AB47EA"/>
    <w:rsid w:val="23636F06"/>
    <w:rsid w:val="239E02A2"/>
    <w:rsid w:val="24637346"/>
    <w:rsid w:val="24B56486"/>
    <w:rsid w:val="24B65F0C"/>
    <w:rsid w:val="24F040C7"/>
    <w:rsid w:val="25F174C5"/>
    <w:rsid w:val="25F62348"/>
    <w:rsid w:val="25FC1746"/>
    <w:rsid w:val="25FF2DE6"/>
    <w:rsid w:val="270842D1"/>
    <w:rsid w:val="2A0C365E"/>
    <w:rsid w:val="2A604D02"/>
    <w:rsid w:val="2B1A328B"/>
    <w:rsid w:val="2BB33551"/>
    <w:rsid w:val="2C224CE1"/>
    <w:rsid w:val="2C2F1DE9"/>
    <w:rsid w:val="2CC910CC"/>
    <w:rsid w:val="2E2E01ED"/>
    <w:rsid w:val="2E455CBD"/>
    <w:rsid w:val="2E6A7B91"/>
    <w:rsid w:val="2F517FD4"/>
    <w:rsid w:val="2F84619E"/>
    <w:rsid w:val="305B3E92"/>
    <w:rsid w:val="30A51526"/>
    <w:rsid w:val="30CF40A4"/>
    <w:rsid w:val="35024B17"/>
    <w:rsid w:val="35786C9F"/>
    <w:rsid w:val="35BA2784"/>
    <w:rsid w:val="361969E1"/>
    <w:rsid w:val="36933862"/>
    <w:rsid w:val="37942B65"/>
    <w:rsid w:val="385434EA"/>
    <w:rsid w:val="38CD313D"/>
    <w:rsid w:val="39492855"/>
    <w:rsid w:val="3A2A5988"/>
    <w:rsid w:val="3A517B98"/>
    <w:rsid w:val="3C961BA5"/>
    <w:rsid w:val="3D641187"/>
    <w:rsid w:val="3E7B6AD3"/>
    <w:rsid w:val="3F101C94"/>
    <w:rsid w:val="3FBD46B1"/>
    <w:rsid w:val="40385BBD"/>
    <w:rsid w:val="412D2091"/>
    <w:rsid w:val="417A70D4"/>
    <w:rsid w:val="420D3709"/>
    <w:rsid w:val="44830A89"/>
    <w:rsid w:val="47135E0E"/>
    <w:rsid w:val="471C693A"/>
    <w:rsid w:val="481F54B2"/>
    <w:rsid w:val="482677A3"/>
    <w:rsid w:val="497D7A03"/>
    <w:rsid w:val="4B10332A"/>
    <w:rsid w:val="4C045AC2"/>
    <w:rsid w:val="4F225BED"/>
    <w:rsid w:val="4F5347DE"/>
    <w:rsid w:val="4FC9275A"/>
    <w:rsid w:val="514035EB"/>
    <w:rsid w:val="52C67BD2"/>
    <w:rsid w:val="53131D99"/>
    <w:rsid w:val="538B0BF1"/>
    <w:rsid w:val="541261C3"/>
    <w:rsid w:val="541A6350"/>
    <w:rsid w:val="567B4195"/>
    <w:rsid w:val="57070BCF"/>
    <w:rsid w:val="5730310A"/>
    <w:rsid w:val="586324EA"/>
    <w:rsid w:val="58873894"/>
    <w:rsid w:val="5A781B57"/>
    <w:rsid w:val="5B115E4D"/>
    <w:rsid w:val="5B48306C"/>
    <w:rsid w:val="5C5B6E8A"/>
    <w:rsid w:val="5CB57AED"/>
    <w:rsid w:val="5DCD2182"/>
    <w:rsid w:val="5E8D75E1"/>
    <w:rsid w:val="5F4A36F8"/>
    <w:rsid w:val="5F994E58"/>
    <w:rsid w:val="601B29E1"/>
    <w:rsid w:val="603C2CD3"/>
    <w:rsid w:val="60926B07"/>
    <w:rsid w:val="61393FCF"/>
    <w:rsid w:val="6181705F"/>
    <w:rsid w:val="6248121F"/>
    <w:rsid w:val="627B428D"/>
    <w:rsid w:val="63302CA5"/>
    <w:rsid w:val="634769F0"/>
    <w:rsid w:val="65006CF7"/>
    <w:rsid w:val="655D352E"/>
    <w:rsid w:val="65C475F3"/>
    <w:rsid w:val="689F3FBA"/>
    <w:rsid w:val="68CB309F"/>
    <w:rsid w:val="697264E9"/>
    <w:rsid w:val="6A6D3C3A"/>
    <w:rsid w:val="6B335115"/>
    <w:rsid w:val="6C7645A1"/>
    <w:rsid w:val="6CB30F08"/>
    <w:rsid w:val="6D1636B2"/>
    <w:rsid w:val="6F3177AD"/>
    <w:rsid w:val="702E513E"/>
    <w:rsid w:val="70CB001E"/>
    <w:rsid w:val="71B36D09"/>
    <w:rsid w:val="72DD2BB0"/>
    <w:rsid w:val="73116E2D"/>
    <w:rsid w:val="73162D6C"/>
    <w:rsid w:val="73892168"/>
    <w:rsid w:val="74D4132F"/>
    <w:rsid w:val="78B12BD9"/>
    <w:rsid w:val="79115E07"/>
    <w:rsid w:val="79EE5286"/>
    <w:rsid w:val="7B2D0CA2"/>
    <w:rsid w:val="7BB268ED"/>
    <w:rsid w:val="7BBB1CB0"/>
    <w:rsid w:val="7C73654B"/>
    <w:rsid w:val="7DE46A37"/>
    <w:rsid w:val="7E44668B"/>
    <w:rsid w:val="7ECB6F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5">
    <w:name w:val="Body Text Indent 2"/>
    <w:basedOn w:val="1"/>
    <w:qFormat/>
    <w:uiPriority w:val="0"/>
    <w:pPr>
      <w:tabs>
        <w:tab w:val="left" w:pos="0"/>
      </w:tabs>
      <w:ind w:firstLine="473" w:firstLineChars="197"/>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8"/>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snapToGrid w:val="0"/>
      <w:spacing w:before="62" w:beforeLines="20" w:after="62" w:afterLines="20" w:line="480" w:lineRule="exact"/>
      <w:ind w:firstLine="523" w:firstLineChars="218"/>
    </w:pPr>
    <w:rPr>
      <w:i/>
      <w:iCs/>
      <w:szCs w:val="20"/>
    </w:rPr>
  </w:style>
  <w:style w:type="paragraph" w:customStyle="1" w:styleId="9">
    <w:name w:val="正文1"/>
    <w:basedOn w:val="1"/>
    <w:qFormat/>
    <w:uiPriority w:val="0"/>
    <w:pPr>
      <w:spacing w:line="360" w:lineRule="auto"/>
      <w:ind w:firstLine="200" w:firstLineChars="200"/>
    </w:pPr>
    <w:rPr>
      <w:sz w:val="24"/>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报告表正文"/>
    <w:qFormat/>
    <w:uiPriority w:val="0"/>
    <w:pPr>
      <w:widowControl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表内容"/>
    <w:basedOn w:val="1"/>
    <w:qFormat/>
    <w:uiPriority w:val="0"/>
    <w:pPr>
      <w:snapToGrid w:val="0"/>
      <w:jc w:val="center"/>
    </w:pPr>
    <w:rPr>
      <w:snapToGrid w:val="0"/>
      <w:szCs w:val="21"/>
    </w:rPr>
  </w:style>
  <w:style w:type="paragraph" w:customStyle="1" w:styleId="22">
    <w:name w:val="普通(网站)1"/>
    <w:basedOn w:val="1"/>
    <w:qFormat/>
    <w:uiPriority w:val="0"/>
    <w:pPr>
      <w:spacing w:before="100" w:beforeAutospacing="1" w:after="100" w:afterAutospacing="1"/>
    </w:pPr>
    <w:rPr>
      <w:rFonts w:ascii="宋体" w:hAnsi="宋体" w:cs="宋体"/>
      <w:sz w:val="24"/>
    </w:rPr>
  </w:style>
  <w:style w:type="paragraph" w:customStyle="1" w:styleId="23">
    <w:name w:val="标准正文文本"/>
    <w:basedOn w:val="1"/>
    <w:qFormat/>
    <w:uiPriority w:val="0"/>
    <w:pPr>
      <w:adjustRightInd w:val="0"/>
      <w:snapToGrid w:val="0"/>
      <w:spacing w:line="360" w:lineRule="auto"/>
      <w:ind w:firstLine="643" w:firstLineChars="200"/>
    </w:pPr>
    <w:rPr>
      <w:rFonts w:ascii="Times New Roman" w:hAnsi="Times New Roman" w:cs="宋体"/>
      <w:sz w:val="24"/>
    </w:rPr>
  </w:style>
  <w:style w:type="paragraph" w:customStyle="1" w:styleId="24">
    <w:name w:val="文字描述"/>
    <w:basedOn w:val="1"/>
    <w:qFormat/>
    <w:uiPriority w:val="99"/>
    <w:pPr>
      <w:adjustRightInd w:val="0"/>
      <w:snapToGrid w:val="0"/>
      <w:spacing w:line="360" w:lineRule="auto"/>
      <w:ind w:firstLine="200" w:firstLineChars="200"/>
    </w:pPr>
    <w:rPr>
      <w:spacing w:val="-2"/>
      <w:sz w:val="24"/>
    </w:rPr>
  </w:style>
  <w:style w:type="paragraph" w:customStyle="1" w:styleId="25">
    <w:name w:val="列出段落1"/>
    <w:basedOn w:val="1"/>
    <w:qFormat/>
    <w:uiPriority w:val="0"/>
    <w:pPr>
      <w:ind w:firstLine="420" w:firstLineChars="200"/>
    </w:pPr>
  </w:style>
  <w:style w:type="paragraph" w:customStyle="1" w:styleId="26">
    <w:name w:val="表格内容"/>
    <w:basedOn w:val="1"/>
    <w:qFormat/>
    <w:uiPriority w:val="0"/>
    <w:pPr>
      <w:spacing w:before="20" w:after="20"/>
      <w:jc w:val="center"/>
    </w:pPr>
    <w:rPr>
      <w:rFonts w:ascii="Times New Roman" w:hAnsi="Times New Roman"/>
    </w:rPr>
  </w:style>
  <w:style w:type="character" w:customStyle="1" w:styleId="27">
    <w:name w:val="页眉字符"/>
    <w:link w:val="7"/>
    <w:qFormat/>
    <w:uiPriority w:val="0"/>
    <w:rPr>
      <w:rFonts w:ascii="Calibri" w:hAnsi="Calibri"/>
      <w:kern w:val="2"/>
      <w:sz w:val="18"/>
      <w:szCs w:val="24"/>
    </w:rPr>
  </w:style>
  <w:style w:type="paragraph" w:customStyle="1" w:styleId="28">
    <w:name w:val="_Style 9"/>
    <w:basedOn w:val="1"/>
    <w:qFormat/>
    <w:uiPriority w:val="0"/>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505</Words>
  <Characters>2881</Characters>
  <Lines>24</Lines>
  <Paragraphs>6</Paragraphs>
  <TotalTime>12</TotalTime>
  <ScaleCrop>false</ScaleCrop>
  <LinksUpToDate>false</LinksUpToDate>
  <CharactersWithSpaces>3380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AM～滕州万和名车15666377368</cp:lastModifiedBy>
  <cp:lastPrinted>2018-11-10T05:48:00Z</cp:lastPrinted>
  <dcterms:modified xsi:type="dcterms:W3CDTF">2019-12-04T05:27:22Z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