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14:paraId="7EC91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0" w:hRule="atLeast"/>
          <w:tblCellSpacing w:w="0" w:type="dxa"/>
        </w:trPr>
        <w:tc>
          <w:tcPr>
            <w:tcW w:w="0" w:type="auto"/>
            <w:shd w:val="clear" w:color="auto" w:fill="FFFFFF"/>
            <w:vAlign w:val="center"/>
          </w:tcPr>
          <w:p w14:paraId="3A0ADC1B">
            <w:pPr>
              <w:keepNext w:val="0"/>
              <w:keepLines w:val="0"/>
              <w:widowControl/>
              <w:suppressLineNumbers w:val="0"/>
              <w:spacing w:before="0" w:beforeAutospacing="0" w:after="0" w:afterAutospacing="0" w:line="450" w:lineRule="atLeast"/>
              <w:ind w:left="0" w:right="0"/>
              <w:jc w:val="center"/>
              <w:rPr>
                <w:rFonts w:ascii="微软雅黑" w:hAnsi="微软雅黑" w:eastAsia="微软雅黑" w:cs="微软雅黑"/>
                <w:i w:val="0"/>
                <w:iCs w:val="0"/>
                <w:caps w:val="0"/>
                <w:color w:val="00559C"/>
                <w:spacing w:val="0"/>
                <w:sz w:val="27"/>
                <w:szCs w:val="27"/>
              </w:rPr>
            </w:pPr>
            <w:bookmarkStart w:id="0" w:name="_GoBack"/>
            <w:r>
              <w:rPr>
                <w:rStyle w:val="6"/>
                <w:rFonts w:hint="eastAsia" w:ascii="微软雅黑" w:hAnsi="微软雅黑" w:eastAsia="微软雅黑" w:cs="微软雅黑"/>
                <w:i w:val="0"/>
                <w:iCs w:val="0"/>
                <w:caps w:val="0"/>
                <w:color w:val="00559C"/>
                <w:spacing w:val="0"/>
                <w:kern w:val="0"/>
                <w:sz w:val="27"/>
                <w:szCs w:val="27"/>
                <w:bdr w:val="none" w:color="auto" w:sz="0" w:space="0"/>
                <w:lang w:val="en-US" w:eastAsia="zh-CN" w:bidi="ar"/>
              </w:rPr>
              <w:t>体育总局关于进一步加强体育赛事活动监管和服务工作的通知</w:t>
            </w:r>
            <w:bookmarkEnd w:id="0"/>
          </w:p>
        </w:tc>
      </w:tr>
    </w:tbl>
    <w:p w14:paraId="7ADC9611">
      <w:pPr>
        <w:rPr>
          <w:vanish/>
          <w:sz w:val="24"/>
          <w:szCs w:val="24"/>
        </w:rPr>
      </w:pP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14:paraId="5AB71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14:paraId="677280F8">
            <w:pPr>
              <w:keepNext w:val="0"/>
              <w:keepLines w:val="0"/>
              <w:widowControl/>
              <w:suppressLineNumbers w:val="0"/>
              <w:spacing w:before="0" w:beforeAutospacing="0" w:after="0" w:afterAutospacing="0"/>
              <w:ind w:left="0" w:right="0"/>
              <w:jc w:val="center"/>
              <w:rPr>
                <w:rFonts w:ascii="微软雅黑" w:hAnsi="微软雅黑" w:eastAsia="微软雅黑" w:cs="微软雅黑"/>
                <w:i w:val="0"/>
                <w:iCs w:val="0"/>
                <w:caps w:val="0"/>
                <w:color w:val="777777"/>
                <w:spacing w:val="0"/>
                <w:sz w:val="18"/>
                <w:szCs w:val="18"/>
              </w:rPr>
            </w:pPr>
            <w:r>
              <w:rPr>
                <w:rFonts w:hint="eastAsia" w:ascii="微软雅黑" w:hAnsi="微软雅黑" w:eastAsia="微软雅黑" w:cs="微软雅黑"/>
                <w:i w:val="0"/>
                <w:iCs w:val="0"/>
                <w:caps w:val="0"/>
                <w:color w:val="777777"/>
                <w:spacing w:val="0"/>
                <w:kern w:val="0"/>
                <w:sz w:val="18"/>
                <w:szCs w:val="18"/>
                <w:bdr w:val="none" w:color="auto" w:sz="0" w:space="0"/>
                <w:lang w:val="en-US" w:eastAsia="zh-CN" w:bidi="ar"/>
              </w:rPr>
              <w:t>发布时间：2019-02-28 来源：政策法规司 字体：大中小</w:t>
            </w:r>
          </w:p>
          <w:p w14:paraId="02E4EF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bCs w:val="0"/>
                <w:i w:val="0"/>
                <w:iCs w:val="0"/>
                <w:caps w:val="0"/>
                <w:color w:val="777777"/>
                <w:spacing w:val="0"/>
                <w:sz w:val="18"/>
                <w:szCs w:val="18"/>
                <w:u w:val="none"/>
              </w:rPr>
            </w:pPr>
            <w:r>
              <w:rPr>
                <w:rFonts w:hint="eastAsia" w:ascii="微软雅黑" w:hAnsi="微软雅黑" w:eastAsia="微软雅黑" w:cs="微软雅黑"/>
                <w:b w:val="0"/>
                <w:bCs w:val="0"/>
                <w:i w:val="0"/>
                <w:iCs w:val="0"/>
                <w:caps w:val="0"/>
                <w:color w:val="000000"/>
                <w:spacing w:val="0"/>
                <w:kern w:val="0"/>
                <w:sz w:val="18"/>
                <w:szCs w:val="18"/>
                <w:u w:val="none"/>
                <w:bdr w:val="none" w:color="auto" w:sz="0" w:space="0"/>
                <w:lang w:val="en-US" w:eastAsia="zh-CN" w:bidi="ar"/>
              </w:rPr>
              <w:t>   </w:t>
            </w:r>
          </w:p>
          <w:p w14:paraId="479958D1">
            <w:pPr>
              <w:keepNext w:val="0"/>
              <w:keepLines w:val="0"/>
              <w:widowControl/>
              <w:suppressLineNumbers w:val="0"/>
              <w:pBdr>
                <w:top w:val="single" w:color="DDDDDD" w:sz="6" w:space="0"/>
                <w:left w:val="single" w:color="DDDDDD" w:sz="6" w:space="7"/>
                <w:bottom w:val="single" w:color="DDDDDD" w:sz="6" w:space="7"/>
                <w:right w:val="single" w:color="DDDDDD" w:sz="6" w:space="7"/>
              </w:pBdr>
              <w:shd w:val="clear" w:fill="FFFFFF"/>
              <w:spacing w:before="0" w:beforeAutospacing="0" w:after="0" w:afterAutospacing="0"/>
              <w:ind w:left="-2430" w:right="0"/>
              <w:jc w:val="center"/>
              <w:rPr>
                <w:rFonts w:hint="eastAsia" w:ascii="微软雅黑" w:hAnsi="微软雅黑" w:eastAsia="微软雅黑" w:cs="微软雅黑"/>
                <w:b w:val="0"/>
                <w:bCs w:val="0"/>
                <w:i w:val="0"/>
                <w:iCs w:val="0"/>
                <w:caps w:val="0"/>
                <w:color w:val="777777"/>
                <w:spacing w:val="0"/>
                <w:sz w:val="18"/>
                <w:szCs w:val="18"/>
              </w:rPr>
            </w:pPr>
          </w:p>
        </w:tc>
      </w:tr>
    </w:tbl>
    <w:p w14:paraId="15B23527">
      <w:pPr>
        <w:rPr>
          <w:vanish/>
          <w:sz w:val="24"/>
          <w:szCs w:val="24"/>
        </w:rPr>
      </w:pP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14:paraId="19708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tcMar>
              <w:top w:w="225" w:type="dxa"/>
            </w:tcMar>
            <w:vAlign w:val="center"/>
          </w:tcPr>
          <w:p w14:paraId="510D7C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iCs w:val="0"/>
              </w:rPr>
            </w:pPr>
            <w:r>
              <w:rPr>
                <w:rFonts w:ascii="仿宋" w:hAnsi="仿宋" w:eastAsia="仿宋" w:cs="仿宋"/>
                <w:i w:val="0"/>
                <w:iCs w:val="0"/>
                <w:caps w:val="0"/>
                <w:color w:val="000000"/>
                <w:spacing w:val="0"/>
                <w:sz w:val="31"/>
                <w:szCs w:val="31"/>
                <w:u w:val="none"/>
                <w:bdr w:val="none" w:color="auto" w:sz="0" w:space="0"/>
              </w:rPr>
              <w:t>各省、自治区、直辖市、计划单列市、新疆生产建设兵团体育局，中央军委训练管理部军事体育训练中心，有关厅、司、局，有关直属单位，中国足球协会、中国篮球协会，各改革试点项目协会：</w:t>
            </w:r>
          </w:p>
          <w:p w14:paraId="4AE810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8"/>
              <w:rPr>
                <w:i w:val="0"/>
                <w:iCs w:val="0"/>
              </w:rPr>
            </w:pPr>
            <w:r>
              <w:rPr>
                <w:rFonts w:hint="eastAsia" w:ascii="仿宋" w:hAnsi="仿宋" w:eastAsia="仿宋" w:cs="仿宋"/>
                <w:i w:val="0"/>
                <w:iCs w:val="0"/>
                <w:caps w:val="0"/>
                <w:color w:val="000000"/>
                <w:spacing w:val="0"/>
                <w:sz w:val="31"/>
                <w:szCs w:val="31"/>
                <w:u w:val="none"/>
                <w:bdr w:val="none" w:color="auto" w:sz="0" w:space="0"/>
              </w:rPr>
              <w:t>为进一步加强对体育赛事活动的监管和服务，明确职责分工，确保相关政策措施和责任落实到位，现就有关事项通知如下：</w:t>
            </w:r>
          </w:p>
          <w:p w14:paraId="3DA8D4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rPr>
                <w:i w:val="0"/>
                <w:iCs w:val="0"/>
              </w:rPr>
            </w:pPr>
            <w:r>
              <w:rPr>
                <w:rFonts w:ascii="黑体" w:hAnsi="宋体" w:eastAsia="黑体" w:cs="黑体"/>
                <w:i w:val="0"/>
                <w:iCs w:val="0"/>
                <w:caps w:val="0"/>
                <w:color w:val="000000"/>
                <w:spacing w:val="0"/>
                <w:sz w:val="31"/>
                <w:szCs w:val="31"/>
                <w:u w:val="none"/>
                <w:bdr w:val="none" w:color="auto" w:sz="0" w:space="0"/>
              </w:rPr>
              <w:t>一、明确监管责任</w:t>
            </w:r>
          </w:p>
          <w:p w14:paraId="13E4DB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rPr>
                <w:i w:val="0"/>
                <w:iCs w:val="0"/>
              </w:rPr>
            </w:pPr>
            <w:r>
              <w:rPr>
                <w:rFonts w:hint="eastAsia" w:ascii="仿宋" w:hAnsi="仿宋" w:eastAsia="仿宋" w:cs="仿宋"/>
                <w:i w:val="0"/>
                <w:iCs w:val="0"/>
                <w:caps w:val="0"/>
                <w:color w:val="000000"/>
                <w:spacing w:val="0"/>
                <w:sz w:val="31"/>
                <w:szCs w:val="31"/>
                <w:u w:val="none"/>
                <w:bdr w:val="none" w:color="auto" w:sz="0" w:space="0"/>
              </w:rPr>
              <w:t>近年来，党中央、国务院陆续印发实施多个重要文件，包括《国务院关于加快发展体育产业促进体育消费的若干意见》（国发〔2014〕46号）、《国务院办公厅关于进一步激发社会领域投资活力的意见》（国办发〔2017〕21号）、《中共中央 国务院关于完善促进消费体制机制进一步激发居民消费潜力的若干意见》、《国务院办公厅关于印发完善促进消费体制机制实施方案（2018—2020年）的通知》（国办发〔2018〕93号）、《国务院办公厅关于加快发展体育竞赛表演产业的指导意见》（国办发〔2018〕121号）等，取消了商业性和群众性体育赛事活动审批，激发了市场活力，同时要求进一步加强对体育赛事活动的监管，不断优化服务。各级体育主管部门要认真组织学习宣传，抓好贯彻落实。</w:t>
            </w:r>
          </w:p>
          <w:p w14:paraId="6841DF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rPr>
                <w:i w:val="0"/>
                <w:iCs w:val="0"/>
              </w:rPr>
            </w:pPr>
            <w:r>
              <w:rPr>
                <w:rFonts w:hint="eastAsia" w:ascii="仿宋" w:hAnsi="仿宋" w:eastAsia="仿宋" w:cs="仿宋"/>
                <w:i w:val="0"/>
                <w:iCs w:val="0"/>
                <w:caps w:val="0"/>
                <w:color w:val="000000"/>
                <w:spacing w:val="0"/>
                <w:sz w:val="31"/>
                <w:szCs w:val="31"/>
                <w:u w:val="none"/>
                <w:bdr w:val="none" w:color="auto" w:sz="0" w:space="0"/>
              </w:rPr>
              <w:t>对体育赛事活动应按照“谁主办、谁负责”、“谁审批、谁负责”、“谁主管、谁负责”的原则进行。各级体育主管部门对所辖区域内的体育赛事活动负有领导责任；各级运动项目管理中心、单项体育协会对本项目赛事活动负有监管责任；各类体育赛事活动主办、承办单位对赛事活动负有主体责任。</w:t>
            </w:r>
          </w:p>
          <w:p w14:paraId="2DC214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rPr>
                <w:i w:val="0"/>
                <w:iCs w:val="0"/>
              </w:rPr>
            </w:pPr>
            <w:r>
              <w:rPr>
                <w:rFonts w:hint="eastAsia" w:ascii="黑体" w:hAnsi="宋体" w:eastAsia="黑体" w:cs="黑体"/>
                <w:i w:val="0"/>
                <w:iCs w:val="0"/>
                <w:caps w:val="0"/>
                <w:color w:val="000000"/>
                <w:spacing w:val="0"/>
                <w:sz w:val="31"/>
                <w:szCs w:val="31"/>
                <w:u w:val="none"/>
                <w:bdr w:val="none" w:color="auto" w:sz="0" w:space="0"/>
              </w:rPr>
              <w:t>二、健全监管政策</w:t>
            </w:r>
          </w:p>
          <w:p w14:paraId="6451FA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rPr>
                <w:i w:val="0"/>
                <w:iCs w:val="0"/>
              </w:rPr>
            </w:pPr>
            <w:r>
              <w:rPr>
                <w:rFonts w:hint="eastAsia" w:ascii="仿宋" w:hAnsi="仿宋" w:eastAsia="仿宋" w:cs="仿宋"/>
                <w:i w:val="0"/>
                <w:iCs w:val="0"/>
                <w:caps w:val="0"/>
                <w:color w:val="000000"/>
                <w:spacing w:val="0"/>
                <w:sz w:val="31"/>
                <w:szCs w:val="31"/>
                <w:u w:val="none"/>
                <w:bdr w:val="none" w:color="auto" w:sz="0" w:space="0"/>
              </w:rPr>
              <w:t>2017年11月以来，体育总局和国家有关部门陆续出台《关于进一步加强武术赛事活动监督管理的意见》（体政字〔2017〕107号）、《关于进一步加强马拉松赛事监督管理的意见》（体政字〔2017〕125号）、《关于进一步加强体育赛事活动监督管理的意见》（体规字〔2018〕3号）、《体育市场黑名单管理办法》（体规字〔2018〕7号）、《境外非政府组织在境内开展体育活动管理办法》（体规字〔2018〕8号）、《关于进一步规范体育赛场行为的若干意见》（体规字〔2018〕9号）等多个重要规范性文件，为落实党中央、国务院相关政策规定，进一步加强体育赛事活动监管和服务，保护体育赛事活动参与者的合法权益，确保体育赛事活动持续健康有序发展发挥了重要作用。</w:t>
            </w:r>
          </w:p>
          <w:p w14:paraId="235238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rPr>
                <w:i w:val="0"/>
                <w:iCs w:val="0"/>
              </w:rPr>
            </w:pPr>
            <w:r>
              <w:rPr>
                <w:rFonts w:hint="eastAsia" w:ascii="仿宋" w:hAnsi="仿宋" w:eastAsia="仿宋" w:cs="仿宋"/>
                <w:i w:val="0"/>
                <w:iCs w:val="0"/>
                <w:caps w:val="0"/>
                <w:color w:val="000000"/>
                <w:spacing w:val="0"/>
                <w:sz w:val="31"/>
                <w:szCs w:val="31"/>
                <w:u w:val="none"/>
                <w:bdr w:val="none" w:color="auto" w:sz="0" w:space="0"/>
              </w:rPr>
              <w:t>各级体育主管部门、运动项目管理中心、单项体育协会，要严格按照国家政策规定和体育总局要求，结合工作实践，全面梳理评估现有体育赛事活动相关法规、规章、规范性文件以及制度性、技术性文件，对内容冲突、实践中难以执行的，应及时进行或提请修订、废止，集中清理与国家规定不相符的文件，于4月1日前将清理情况汇总表（附件1）报体育总局政策法规司。</w:t>
            </w:r>
          </w:p>
          <w:p w14:paraId="27F124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rPr>
                <w:i w:val="0"/>
                <w:iCs w:val="0"/>
              </w:rPr>
            </w:pPr>
            <w:r>
              <w:rPr>
                <w:rFonts w:hint="eastAsia" w:ascii="黑体" w:hAnsi="宋体" w:eastAsia="黑体" w:cs="黑体"/>
                <w:i w:val="0"/>
                <w:iCs w:val="0"/>
                <w:caps w:val="0"/>
                <w:color w:val="000000"/>
                <w:spacing w:val="0"/>
                <w:sz w:val="31"/>
                <w:szCs w:val="31"/>
                <w:u w:val="none"/>
                <w:bdr w:val="none" w:color="auto" w:sz="0" w:space="0"/>
              </w:rPr>
              <w:t>三、依法加强监管</w:t>
            </w:r>
          </w:p>
          <w:p w14:paraId="04E4D7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rPr>
                <w:i w:val="0"/>
                <w:iCs w:val="0"/>
              </w:rPr>
            </w:pPr>
            <w:r>
              <w:rPr>
                <w:rFonts w:hint="eastAsia" w:ascii="仿宋" w:hAnsi="仿宋" w:eastAsia="仿宋" w:cs="仿宋"/>
                <w:i w:val="0"/>
                <w:iCs w:val="0"/>
                <w:caps w:val="0"/>
                <w:color w:val="000000"/>
                <w:spacing w:val="0"/>
                <w:sz w:val="31"/>
                <w:szCs w:val="31"/>
                <w:u w:val="none"/>
                <w:bdr w:val="none" w:color="auto" w:sz="0" w:space="0"/>
              </w:rPr>
              <w:t>近期，有些项目出现了一些违规办赛、低质办赛、虚报信息、消极比赛、使用兴奋剂等不良现象，对此应引起各地、各单位高度重视，对于类似情形，各级体育主管部门、运动项目管理中心、单项体育协会应在第一时间了解情况，主动或配合相关部门开展调查、弄清事实，严格依法依规处理，并公开处理结果，及时回应社会关切。对在国际体育赛事活动中出现的违规行为或受到国际体育组织处罚的运动员、教练员、裁判员、运动队等，相关体育主管部门、运动项目管理中心、单项体育协会应尽快了解情况、查明真相，根据性质分类处置，依法依规处理并及时表明态度，同时举一反三，加强监管。对体育赛事活动监管不力、发生违规事件未及时处理或处置不当而造成不良社会影响的，要按照管理权限，对责任单位和责任人追责问责，严肃处理。</w:t>
            </w:r>
          </w:p>
          <w:p w14:paraId="13E421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rPr>
                <w:i w:val="0"/>
                <w:iCs w:val="0"/>
              </w:rPr>
            </w:pPr>
            <w:r>
              <w:rPr>
                <w:rFonts w:hint="eastAsia" w:ascii="黑体" w:hAnsi="宋体" w:eastAsia="黑体" w:cs="黑体"/>
                <w:i w:val="0"/>
                <w:iCs w:val="0"/>
                <w:caps w:val="0"/>
                <w:color w:val="000000"/>
                <w:spacing w:val="0"/>
                <w:sz w:val="31"/>
                <w:szCs w:val="31"/>
                <w:u w:val="none"/>
                <w:bdr w:val="none" w:color="auto" w:sz="0" w:space="0"/>
              </w:rPr>
              <w:t>四、完善赛事服务</w:t>
            </w:r>
          </w:p>
          <w:p w14:paraId="1D253F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rPr>
                <w:i w:val="0"/>
                <w:iCs w:val="0"/>
              </w:rPr>
            </w:pPr>
            <w:r>
              <w:rPr>
                <w:rFonts w:hint="eastAsia" w:ascii="仿宋" w:hAnsi="仿宋" w:eastAsia="仿宋" w:cs="仿宋"/>
                <w:i w:val="0"/>
                <w:iCs w:val="0"/>
                <w:caps w:val="0"/>
                <w:color w:val="000000"/>
                <w:spacing w:val="0"/>
                <w:sz w:val="31"/>
                <w:szCs w:val="31"/>
                <w:u w:val="none"/>
                <w:bdr w:val="none" w:color="auto" w:sz="0" w:space="0"/>
              </w:rPr>
              <w:t>体育总局各运动项目管理中心、全国性单项体育协会要根据项目发展水平，从准入、规模、等级、场地、器材、装备、人员等方面加快构建相互衔接、配套支撑的标准体系，加快研究制定办赛指南和参赛指引，明确各类赛事活动举办的基本条件、标准、规则和程序，合理确定赛事活动服务收费标准并及时向社会公开，规范赛事活动从业行为，为赛事活动从业机构和从业人员提供指导和服务。体育总局各运动项目管理中心、全国性单项体育协会应将本项目办赛、参赛等规范制定和公布情况（附件2）于4月1日前书面报送体育总局政策法规司。</w:t>
            </w:r>
          </w:p>
          <w:p w14:paraId="2B9121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rPr>
                <w:i w:val="0"/>
                <w:iCs w:val="0"/>
              </w:rPr>
            </w:pPr>
            <w:r>
              <w:rPr>
                <w:rFonts w:hint="eastAsia" w:ascii="黑体" w:hAnsi="宋体" w:eastAsia="黑体" w:cs="黑体"/>
                <w:i w:val="0"/>
                <w:iCs w:val="0"/>
                <w:caps w:val="0"/>
                <w:color w:val="000000"/>
                <w:spacing w:val="0"/>
                <w:sz w:val="31"/>
                <w:szCs w:val="31"/>
                <w:u w:val="none"/>
                <w:bdr w:val="none" w:color="auto" w:sz="0" w:space="0"/>
              </w:rPr>
              <w:t>五、强化政策执行</w:t>
            </w:r>
          </w:p>
          <w:p w14:paraId="03289A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rPr>
                <w:i w:val="0"/>
                <w:iCs w:val="0"/>
              </w:rPr>
            </w:pPr>
            <w:r>
              <w:rPr>
                <w:rFonts w:hint="eastAsia" w:ascii="仿宋" w:hAnsi="仿宋" w:eastAsia="仿宋" w:cs="仿宋"/>
                <w:i w:val="0"/>
                <w:iCs w:val="0"/>
                <w:caps w:val="0"/>
                <w:color w:val="000000"/>
                <w:spacing w:val="0"/>
                <w:sz w:val="31"/>
                <w:szCs w:val="31"/>
                <w:u w:val="none"/>
                <w:bdr w:val="none" w:color="auto" w:sz="0" w:space="0"/>
              </w:rPr>
              <w:t>各级体育主管部门、运动项目管理中心、单项体育协会要遵循标准管理、分类指导，优化服务、保障安全的原则，强化执行，狠抓政策落实。</w:t>
            </w:r>
          </w:p>
          <w:p w14:paraId="7126A3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rPr>
                <w:i w:val="0"/>
                <w:iCs w:val="0"/>
              </w:rPr>
            </w:pPr>
            <w:r>
              <w:rPr>
                <w:rFonts w:hint="eastAsia" w:ascii="仿宋" w:hAnsi="仿宋" w:eastAsia="仿宋" w:cs="仿宋"/>
                <w:i w:val="0"/>
                <w:iCs w:val="0"/>
                <w:caps w:val="0"/>
                <w:color w:val="000000"/>
                <w:spacing w:val="0"/>
                <w:sz w:val="31"/>
                <w:szCs w:val="31"/>
                <w:u w:val="none"/>
                <w:bdr w:val="none" w:color="auto" w:sz="0" w:space="0"/>
              </w:rPr>
              <w:t>一是创新体育赛事活动监管与服务手段。加快建立体育行业的“互联网+监管”系统，向社会公告赛事管理政策文件、赛事目录及相关信用信息，并尽早实现各相关部门、各层级和各领域监管信息的互联互通和统一应用，实现综合监管、动态监管。探索建立体育赛事活动组织机构等级评定机制，并有针对性地开展监管和提供服务。</w:t>
            </w:r>
          </w:p>
          <w:p w14:paraId="64C109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rPr>
                <w:i w:val="0"/>
                <w:iCs w:val="0"/>
              </w:rPr>
            </w:pPr>
            <w:r>
              <w:rPr>
                <w:rFonts w:hint="eastAsia" w:ascii="仿宋" w:hAnsi="仿宋" w:eastAsia="仿宋" w:cs="仿宋"/>
                <w:i w:val="0"/>
                <w:iCs w:val="0"/>
                <w:caps w:val="0"/>
                <w:color w:val="000000"/>
                <w:spacing w:val="0"/>
                <w:sz w:val="31"/>
                <w:szCs w:val="31"/>
                <w:u w:val="none"/>
                <w:bdr w:val="none" w:color="auto" w:sz="0" w:space="0"/>
              </w:rPr>
              <w:t>二是建立体育赛事活动信用评价体系。不断推动建立并完善对体育赛事活动组织者、参与者的守信联合激励对象、失信联合惩戒对象名单制度和信用联合奖惩等制度，实施体育市场退出机制。</w:t>
            </w:r>
          </w:p>
          <w:p w14:paraId="5C39C0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rPr>
                <w:i w:val="0"/>
                <w:iCs w:val="0"/>
              </w:rPr>
            </w:pPr>
            <w:r>
              <w:rPr>
                <w:rFonts w:hint="eastAsia" w:ascii="仿宋" w:hAnsi="仿宋" w:eastAsia="仿宋" w:cs="仿宋"/>
                <w:i w:val="0"/>
                <w:iCs w:val="0"/>
                <w:caps w:val="0"/>
                <w:color w:val="000000"/>
                <w:spacing w:val="0"/>
                <w:sz w:val="31"/>
                <w:szCs w:val="31"/>
                <w:u w:val="none"/>
                <w:bdr w:val="none" w:color="auto" w:sz="0" w:space="0"/>
              </w:rPr>
              <w:t>三是组建体育赛事活动监管与服务专家库。选配体育赛事活动组织经验丰富的教练员、裁判员、媒体人员等专家担任体育赛事活动监督员，并按项目分类组建专家库。适时委派体育赛事活动监督员现场指导群众性、商业性体育赛事活动的举办，指导组织机构履行好体育赛事活动的规范管理职责，提高体育赛事活动组织的专业化水平。</w:t>
            </w:r>
          </w:p>
          <w:p w14:paraId="273210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rPr>
                <w:i w:val="0"/>
                <w:iCs w:val="0"/>
              </w:rPr>
            </w:pPr>
            <w:r>
              <w:rPr>
                <w:rFonts w:hint="eastAsia" w:ascii="仿宋" w:hAnsi="仿宋" w:eastAsia="仿宋" w:cs="仿宋"/>
                <w:i w:val="0"/>
                <w:iCs w:val="0"/>
                <w:caps w:val="0"/>
                <w:color w:val="000000"/>
                <w:spacing w:val="0"/>
                <w:sz w:val="31"/>
                <w:szCs w:val="31"/>
                <w:u w:val="none"/>
                <w:bdr w:val="none" w:color="auto" w:sz="0" w:space="0"/>
              </w:rPr>
              <w:t>四是建立部门协同工作机制。《国务院办公厅关于加快发展体育竞赛表演产业的指导意见》（国办发〔2018〕121）明确要求“加快制定赛事审批取消后的服务管理办法，对与举办体育赛事相关联的审批事项，相关部门不得要求赛事主办方提交体育部门的审批材料。”地方各级体育部门应当按照要求，主动与本级公安、市场监管、卫生健康、城管、外事等部门沟通，建立工作协调机制，在体育赛事活动监管与服务方面，明确各自职责，制定相关规范，联合研究解决问题，联合下发指导文件，联合督导政策执行。</w:t>
            </w:r>
          </w:p>
          <w:p w14:paraId="4B6049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rPr>
                <w:i w:val="0"/>
                <w:iCs w:val="0"/>
              </w:rPr>
            </w:pPr>
            <w:r>
              <w:rPr>
                <w:rFonts w:hint="eastAsia" w:ascii="仿宋" w:hAnsi="仿宋" w:eastAsia="仿宋" w:cs="仿宋"/>
                <w:i w:val="0"/>
                <w:iCs w:val="0"/>
                <w:caps w:val="0"/>
                <w:color w:val="000000"/>
                <w:spacing w:val="0"/>
                <w:sz w:val="31"/>
                <w:szCs w:val="31"/>
                <w:u w:val="none"/>
                <w:bdr w:val="none" w:color="auto" w:sz="0" w:space="0"/>
              </w:rPr>
              <w:t>五是开展监管专项行动。从本通知印发之日起至5月底，开展全国范围内体育赛事活动监管专项行动。各部门、各单位要按照国家政策规定以及本通知要求，高度重视、统一部署，细化方案、落实责任，对按照本部门、本单位职责负有领导、监管责任的体育赛事活动，从建章立制、政策执行、监管服务、违规查处等方面，系统梳理、分门别类确定监管工作重点，坚决避免和杜绝发生重大违规违纪事件。各部门、各单位要及时总结并于5月31日前向体育总局政策法规司提交包括基本情况、主要做法、意见建议在内的书面报告。体育总局将根据监管专项行动开展情况，部署下一阶段工作。</w:t>
            </w:r>
          </w:p>
          <w:p w14:paraId="4C125E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rPr>
                <w:i w:val="0"/>
                <w:iCs w:val="0"/>
              </w:rPr>
            </w:pPr>
            <w:r>
              <w:rPr>
                <w:rFonts w:hint="eastAsia" w:ascii="仿宋" w:hAnsi="仿宋" w:eastAsia="仿宋" w:cs="仿宋"/>
                <w:i w:val="0"/>
                <w:iCs w:val="0"/>
                <w:caps w:val="0"/>
                <w:color w:val="000000"/>
                <w:spacing w:val="0"/>
                <w:sz w:val="31"/>
                <w:szCs w:val="31"/>
                <w:u w:val="none"/>
                <w:bdr w:val="none" w:color="auto" w:sz="0" w:space="0"/>
              </w:rPr>
              <w:t>各级体育部门、运动项目管理中心、单项体育协会要提高政治站位，不断增强责任感、使命感，加强对体育赛事活动的组织领导、监督管理和指导服务，坚决防止和严肃查处体育赛事活动中的不良行为，办人民满意的体育赛事活动，为促进体育赛事活动健康有序发展，营造良好社会氛围做出积极努力和应有贡献。</w:t>
            </w:r>
          </w:p>
          <w:p w14:paraId="0FFFA9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8"/>
              <w:rPr>
                <w:i w:val="0"/>
                <w:iCs w:val="0"/>
              </w:rPr>
            </w:pPr>
            <w:r>
              <w:rPr>
                <w:rFonts w:hint="eastAsia" w:ascii="仿宋" w:hAnsi="仿宋" w:eastAsia="仿宋" w:cs="仿宋"/>
                <w:i w:val="0"/>
                <w:iCs w:val="0"/>
                <w:caps w:val="0"/>
                <w:color w:val="000000"/>
                <w:spacing w:val="0"/>
                <w:sz w:val="31"/>
                <w:szCs w:val="31"/>
                <w:u w:val="none"/>
                <w:bdr w:val="none" w:color="auto" w:sz="0" w:space="0"/>
              </w:rPr>
              <w:t>特此通知。</w:t>
            </w:r>
          </w:p>
          <w:p w14:paraId="494778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8"/>
              <w:rPr>
                <w:i w:val="0"/>
                <w:iCs w:val="0"/>
              </w:rPr>
            </w:pPr>
            <w:r>
              <w:rPr>
                <w:rFonts w:hint="eastAsia" w:ascii="仿宋" w:hAnsi="仿宋" w:eastAsia="仿宋" w:cs="仿宋"/>
                <w:i w:val="0"/>
                <w:iCs w:val="0"/>
                <w:caps w:val="0"/>
                <w:color w:val="000000"/>
                <w:spacing w:val="0"/>
                <w:sz w:val="31"/>
                <w:szCs w:val="31"/>
                <w:u w:val="none"/>
                <w:bdr w:val="none" w:color="auto" w:sz="0" w:space="0"/>
              </w:rPr>
              <w:t>联系人：李冰凝、韩向飞</w:t>
            </w:r>
          </w:p>
          <w:p w14:paraId="096AE4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8"/>
              <w:rPr>
                <w:i w:val="0"/>
                <w:iCs w:val="0"/>
              </w:rPr>
            </w:pPr>
            <w:r>
              <w:rPr>
                <w:rFonts w:hint="eastAsia" w:ascii="仿宋" w:hAnsi="仿宋" w:eastAsia="仿宋" w:cs="仿宋"/>
                <w:i w:val="0"/>
                <w:iCs w:val="0"/>
                <w:caps w:val="0"/>
                <w:color w:val="000000"/>
                <w:spacing w:val="0"/>
                <w:sz w:val="31"/>
                <w:szCs w:val="31"/>
                <w:u w:val="none"/>
                <w:bdr w:val="none" w:color="auto" w:sz="0" w:space="0"/>
              </w:rPr>
              <w:t>联系电话：010—87182805、87182159</w:t>
            </w:r>
          </w:p>
          <w:p w14:paraId="3EF74E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8"/>
              <w:rPr>
                <w:i w:val="0"/>
                <w:iCs w:val="0"/>
              </w:rPr>
            </w:pPr>
            <w:r>
              <w:rPr>
                <w:rFonts w:hint="eastAsia" w:ascii="微软雅黑" w:hAnsi="微软雅黑" w:eastAsia="微软雅黑" w:cs="微软雅黑"/>
                <w:i w:val="0"/>
                <w:iCs w:val="0"/>
                <w:caps w:val="0"/>
                <w:color w:val="000000"/>
                <w:spacing w:val="0"/>
                <w:sz w:val="21"/>
                <w:szCs w:val="21"/>
                <w:u w:val="none"/>
                <w:bdr w:val="none" w:color="auto" w:sz="0" w:space="0"/>
              </w:rPr>
              <w:t> </w:t>
            </w:r>
          </w:p>
          <w:p w14:paraId="6707E8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8"/>
              <w:rPr>
                <w:i w:val="0"/>
                <w:iCs w:val="0"/>
              </w:rPr>
            </w:pPr>
            <w:r>
              <w:rPr>
                <w:rFonts w:hint="eastAsia" w:ascii="仿宋" w:hAnsi="仿宋" w:eastAsia="仿宋" w:cs="仿宋"/>
                <w:i w:val="0"/>
                <w:iCs w:val="0"/>
                <w:caps w:val="0"/>
                <w:color w:val="000000"/>
                <w:spacing w:val="0"/>
                <w:sz w:val="31"/>
                <w:szCs w:val="31"/>
                <w:u w:val="none"/>
                <w:bdr w:val="none" w:color="auto" w:sz="0" w:space="0"/>
              </w:rPr>
              <w:t>附件：</w:t>
            </w:r>
          </w:p>
          <w:p w14:paraId="625839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8"/>
              <w:rPr>
                <w:i w:val="0"/>
                <w:iCs w:val="0"/>
              </w:rPr>
            </w:pPr>
            <w:r>
              <w:rPr>
                <w:rFonts w:hint="eastAsia" w:ascii="仿宋" w:hAnsi="仿宋" w:eastAsia="仿宋" w:cs="仿宋"/>
                <w:i w:val="0"/>
                <w:iCs w:val="0"/>
                <w:caps w:val="0"/>
                <w:color w:val="000000"/>
                <w:spacing w:val="0"/>
                <w:sz w:val="31"/>
                <w:szCs w:val="31"/>
                <w:u w:val="none"/>
                <w:bdr w:val="none" w:color="auto" w:sz="0" w:space="0"/>
              </w:rPr>
              <w:t>1.体育赛事活动相关法规、规章、规范性文件以及制度性、技术性文件清理情况汇总表</w:t>
            </w:r>
          </w:p>
          <w:p w14:paraId="5F9885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8"/>
              <w:rPr>
                <w:i w:val="0"/>
                <w:iCs w:val="0"/>
              </w:rPr>
            </w:pPr>
            <w:r>
              <w:rPr>
                <w:rFonts w:hint="eastAsia" w:ascii="仿宋" w:hAnsi="仿宋" w:eastAsia="仿宋" w:cs="仿宋"/>
                <w:i w:val="0"/>
                <w:iCs w:val="0"/>
                <w:caps w:val="0"/>
                <w:color w:val="000000"/>
                <w:spacing w:val="0"/>
                <w:sz w:val="31"/>
                <w:szCs w:val="31"/>
                <w:u w:val="none"/>
                <w:bdr w:val="none" w:color="auto" w:sz="0" w:space="0"/>
              </w:rPr>
              <w:t>2.XX项目办赛参赛规范制定和公布情况汇总表　</w:t>
            </w:r>
          </w:p>
        </w:tc>
      </w:tr>
    </w:tbl>
    <w:p w14:paraId="755DA7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jMzdiNWZlZDBiZWEzNjFjYWQ1ODNjOGU1Mjg3ODAifQ=="/>
  </w:docVars>
  <w:rsids>
    <w:rsidRoot w:val="68924E78"/>
    <w:rsid w:val="68924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2024-06-28T01:48:00Z</dcterms:created>
  <dc:creator>喇嘛提着哑巴吹喇叭</dc:creator>
  <cp:lastModifiedBy>喇嘛提着哑巴吹喇叭</cp:lastModifiedBy>
  <dcterms:modified xsi:type="dcterms:W3CDTF">2024-06-28T01:48:50Z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0F22BA7517714FF68038848A154CFB53_11</vt:lpwstr>
  </property>
</Properties>
</file>