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闵行区“十四五”规划主要指标责任分解表</w:t>
      </w:r>
    </w:p>
    <w:tbl>
      <w:tblPr>
        <w:tblStyle w:val="2"/>
        <w:tblW w:w="98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2836"/>
        <w:gridCol w:w="1245"/>
        <w:gridCol w:w="953"/>
        <w:gridCol w:w="2215"/>
        <w:gridCol w:w="18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70" w:hRule="atLeast"/>
          <w:jc w:val="center"/>
        </w:trPr>
        <w:tc>
          <w:tcPr>
            <w:tcW w:w="393" w:type="pct"/>
            <w:tcBorders>
              <w:top w:val="double" w:color="auto" w:sz="4" w:space="0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40" w:type="pct"/>
            <w:tcBorders>
              <w:top w:val="double" w:color="auto" w:sz="4" w:space="0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指标名称</w:t>
            </w:r>
          </w:p>
        </w:tc>
        <w:tc>
          <w:tcPr>
            <w:tcW w:w="632" w:type="pct"/>
            <w:tcBorders>
              <w:top w:val="double" w:color="auto" w:sz="4" w:space="0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属性</w:t>
            </w:r>
          </w:p>
        </w:tc>
        <w:tc>
          <w:tcPr>
            <w:tcW w:w="484" w:type="pct"/>
            <w:tcBorders>
              <w:top w:val="double" w:color="auto" w:sz="4" w:space="0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125" w:type="pct"/>
            <w:tcBorders>
              <w:top w:val="double" w:color="auto" w:sz="4" w:space="0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“十四五”目标值</w:t>
            </w:r>
          </w:p>
        </w:tc>
        <w:tc>
          <w:tcPr>
            <w:tcW w:w="923" w:type="pct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全区生产总值年均增长率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5以上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（党代会报告：比全市平均水平高1到3个百分点）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区发改委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区级一般公共预算收入年均增长率</w:t>
            </w:r>
            <w:bookmarkStart w:id="0" w:name="_GoBack"/>
            <w:bookmarkEnd w:id="0"/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与经济增长相适应（党代会报告：年均增长10%）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区财政局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制造业增加值占全区生产总值比重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35以上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区经委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工业固定资产投资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亿元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5年累计600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区经委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社会消费品零售总额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亿元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2600以上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区经委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园区单位土地面积税收产出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亿元/平方公里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区经委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“4+4”特色产业集群营业收入占全区四上企业营业收入比重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区经委、区科委、区财政局（区金融办）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功能性外资机构数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家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130以上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区经委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全社会研发经费支出相当于全区生产总值比例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12左右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区科委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单位生产总值能耗降低率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完成市政府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下达目标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区发改委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单位生产总值二氧化碳排放降低率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完成市政府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下达目标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区生态环境局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大气常规污染物年均浓度（PM</w:t>
            </w: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vertAlign w:val="baseline"/>
                <w:lang w:val="en-US" w:eastAsia="zh-CN" w:bidi="ar"/>
              </w:rPr>
              <w:t>2.5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、PM</w:t>
            </w: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vertAlign w:val="baseline"/>
                <w:lang w:val="en-US" w:eastAsia="zh-CN" w:bidi="ar"/>
              </w:rPr>
              <w:t>10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、SO</w:t>
            </w: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、NO</w:t>
            </w: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、O</w:t>
            </w:r>
            <w:r>
              <w:rPr>
                <w:rFonts w:hint="default" w:ascii="仿宋_GB2312" w:eastAsia="仿宋_GB2312" w:cs="仿宋_GB2312" w:hAnsiTheme="minorHAnsi"/>
                <w:kern w:val="0"/>
                <w:sz w:val="15"/>
                <w:szCs w:val="15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、CO）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全面稳定达到国家二级标准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区生态环境局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主要河湖水质断面优于Ⅲ类（含Ⅲ类）比例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60以上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区水务局、区生态环境局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森林覆盖率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19.8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（党代会报告：20）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区绿化市容局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生活垃圾回收利用率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45以上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区绿化市容局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路网密度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公里/平方公里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4.0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新增就业岗位数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万个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5年累计16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义务教育公办学校优质资源共享覆盖率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区教育局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居民平均预期寿命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预期性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岁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84以上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区卫健委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新增公共文化设施面积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万平方米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区文化旅游局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新增体育场地面积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万平方米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区体育局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393" w:type="pct"/>
            <w:tcBorders>
              <w:top w:val="nil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40" w:type="pct"/>
            <w:tcBorders>
              <w:top w:val="nil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单位生产总值生产安全事故死亡率</w:t>
            </w:r>
          </w:p>
        </w:tc>
        <w:tc>
          <w:tcPr>
            <w:tcW w:w="632" w:type="pct"/>
            <w:tcBorders>
              <w:top w:val="nil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约束性</w:t>
            </w:r>
          </w:p>
        </w:tc>
        <w:tc>
          <w:tcPr>
            <w:tcW w:w="484" w:type="pct"/>
            <w:tcBorders>
              <w:top w:val="nil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人/亿元</w:t>
            </w:r>
          </w:p>
        </w:tc>
        <w:tc>
          <w:tcPr>
            <w:tcW w:w="1125" w:type="pct"/>
            <w:tcBorders>
              <w:top w:val="nil"/>
              <w:left w:val="nil"/>
              <w:bottom w:val="doub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控制在0.016以内</w:t>
            </w:r>
          </w:p>
        </w:tc>
        <w:tc>
          <w:tcPr>
            <w:tcW w:w="923" w:type="pct"/>
            <w:tcBorders>
              <w:top w:val="nil"/>
              <w:left w:val="nil"/>
              <w:bottom w:val="double" w:color="auto" w:sz="4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spacing w:val="-8"/>
                <w:kern w:val="0"/>
                <w:sz w:val="24"/>
                <w:szCs w:val="24"/>
                <w:lang w:val="en-US" w:eastAsia="zh-CN" w:bidi="ar"/>
              </w:rPr>
              <w:t>区应急局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2U5NjA1NjhmODliNTE2OTY4ODQ1NGFhNTRmOGQifQ=="/>
  </w:docVars>
  <w:rsids>
    <w:rsidRoot w:val="65F54088"/>
    <w:rsid w:val="60CA5819"/>
    <w:rsid w:val="65F5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752</Characters>
  <Lines>0</Lines>
  <Paragraphs>0</Paragraphs>
  <TotalTime>1</TotalTime>
  <ScaleCrop>false</ScaleCrop>
  <LinksUpToDate>false</LinksUpToDate>
  <CharactersWithSpaces>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2023-04-27T08:42:00Z</dcterms:created>
  <dc:creator>shally</dc:creator>
  <cp:lastModifiedBy>shally</cp:lastModifiedBy>
  <dcterms:modified xsi:type="dcterms:W3CDTF">2023-04-27T08:54:54Z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69EB610F3C7B4134BBC3A7A1F9D0C921_11</vt:lpwstr>
  </property>
</Properties>
</file>