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2E2" w:rsidRDefault="00E612E2" w:rsidP="00E612E2">
      <w:pPr>
        <w:snapToGrid w:val="0"/>
        <w:spacing w:line="600" w:lineRule="atLeast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color w:val="000000"/>
          <w:spacing w:val="6"/>
          <w:sz w:val="28"/>
          <w:szCs w:val="28"/>
        </w:rPr>
        <w:t>：评审办法（申报单位不填写）</w:t>
      </w:r>
    </w:p>
    <w:p w:rsidR="00E612E2" w:rsidRDefault="00E612E2" w:rsidP="00E612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612E2" w:rsidRDefault="00E612E2" w:rsidP="00E612E2">
      <w:pPr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E612E2" w:rsidRDefault="00E612E2" w:rsidP="00E612E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上海虹桥国际中央商务区专项发展资金项目</w:t>
      </w:r>
    </w:p>
    <w:p w:rsidR="00E612E2" w:rsidRDefault="00E612E2" w:rsidP="00E612E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（绿色建筑运行评价标识）立项评审表</w:t>
      </w:r>
    </w:p>
    <w:p w:rsidR="00E612E2" w:rsidRDefault="00E612E2" w:rsidP="00E612E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（公共建筑）</w:t>
      </w:r>
    </w:p>
    <w:p w:rsidR="00E612E2" w:rsidRDefault="00E612E2" w:rsidP="00E612E2">
      <w:pPr>
        <w:spacing w:beforeLines="50" w:before="156" w:afterLines="50" w:after="156" w:line="288" w:lineRule="auto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p w:rsidR="00E612E2" w:rsidRDefault="00E612E2" w:rsidP="00E612E2">
      <w:pPr>
        <w:spacing w:beforeLines="50" w:before="156" w:afterLines="50" w:after="156" w:line="288" w:lineRule="auto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p w:rsidR="00E612E2" w:rsidRDefault="00E612E2" w:rsidP="00E612E2">
      <w:pPr>
        <w:spacing w:beforeLines="50" w:before="156" w:afterLines="50" w:after="156" w:line="288" w:lineRule="auto"/>
        <w:ind w:firstLineChars="400" w:firstLine="12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项目名称：</w:t>
      </w:r>
    </w:p>
    <w:p w:rsidR="00E612E2" w:rsidRDefault="00E612E2" w:rsidP="00E612E2">
      <w:pPr>
        <w:spacing w:beforeLines="50" w:before="156" w:afterLines="50" w:after="156" w:line="288" w:lineRule="auto"/>
        <w:ind w:firstLineChars="400" w:firstLine="12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申报单位：</w:t>
      </w:r>
    </w:p>
    <w:p w:rsidR="00E612E2" w:rsidRDefault="00E612E2" w:rsidP="00E612E2">
      <w:pPr>
        <w:spacing w:beforeLines="50" w:before="156" w:afterLines="50" w:after="156" w:line="288" w:lineRule="auto"/>
        <w:ind w:firstLineChars="400" w:firstLine="12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绿色建筑运行评价标识星级：</w:t>
      </w:r>
    </w:p>
    <w:p w:rsidR="00E612E2" w:rsidRDefault="00E612E2" w:rsidP="00E612E2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E612E2" w:rsidRDefault="00E612E2" w:rsidP="00E612E2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E612E2" w:rsidRDefault="00E612E2" w:rsidP="00E612E2">
      <w:pPr>
        <w:spacing w:line="640" w:lineRule="exact"/>
        <w:ind w:firstLineChars="200" w:firstLine="600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年月日</w:t>
      </w:r>
    </w:p>
    <w:p w:rsidR="00E612E2" w:rsidRDefault="00E612E2" w:rsidP="00E612E2">
      <w:pPr>
        <w:widowControl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</w:p>
    <w:p w:rsidR="00E612E2" w:rsidRDefault="00E612E2" w:rsidP="00E612E2">
      <w:pPr>
        <w:ind w:firstLineChars="200" w:firstLine="800"/>
        <w:jc w:val="center"/>
        <w:rPr>
          <w:rFonts w:ascii="Times New Roman" w:eastAsia="仿宋_GB2312" w:hAnsi="Times New Roman" w:cs="Times New Roman"/>
          <w:b/>
          <w:sz w:val="40"/>
          <w:szCs w:val="30"/>
        </w:rPr>
      </w:pPr>
      <w:r>
        <w:rPr>
          <w:rFonts w:ascii="Times New Roman" w:eastAsia="仿宋_GB2312" w:hAnsi="Times New Roman" w:cs="Times New Roman" w:hint="eastAsia"/>
          <w:b/>
          <w:sz w:val="40"/>
          <w:szCs w:val="30"/>
        </w:rPr>
        <w:lastRenderedPageBreak/>
        <w:t>相关说明</w:t>
      </w:r>
    </w:p>
    <w:p w:rsidR="00E612E2" w:rsidRDefault="00E612E2" w:rsidP="00E612E2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本评审表为申报上海虹桥国际中央商务区专项发展资金项目（绿色建筑运行评价标识）立项评审专家</w:t>
      </w:r>
      <w:r>
        <w:rPr>
          <w:rFonts w:ascii="Times New Roman" w:eastAsia="仿宋_GB2312" w:hAnsi="Times New Roman" w:cs="Times New Roman"/>
          <w:sz w:val="28"/>
          <w:szCs w:val="28"/>
        </w:rPr>
        <w:t>评分表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612E2" w:rsidRDefault="00E612E2" w:rsidP="00E612E2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根据《上海虹桥商务区管</w:t>
      </w:r>
      <w:r>
        <w:rPr>
          <w:rFonts w:ascii="Times New Roman" w:eastAsia="仿宋" w:hAnsi="Times New Roman" w:cs="Times New Roman" w:hint="eastAsia"/>
          <w:sz w:val="28"/>
          <w:szCs w:val="28"/>
        </w:rPr>
        <w:t>委会关于推进低碳实践区建设的政策意见》，对符合绿色建筑二星级运营要求的项目支持标准为最高不超过</w:t>
      </w:r>
      <w:r>
        <w:rPr>
          <w:rFonts w:ascii="Times New Roman" w:eastAsia="仿宋" w:hAnsi="Times New Roman" w:cs="Times New Roman"/>
          <w:sz w:val="28"/>
          <w:szCs w:val="28"/>
        </w:rPr>
        <w:t xml:space="preserve"> 50 </w:t>
      </w:r>
      <w:r>
        <w:rPr>
          <w:rFonts w:ascii="Times New Roman" w:eastAsia="仿宋" w:hAnsi="Times New Roman" w:cs="Times New Roman" w:hint="eastAsia"/>
          <w:sz w:val="28"/>
          <w:szCs w:val="28"/>
        </w:rPr>
        <w:t>元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平方米，对符合三星级运营要求的项目支持标准为最高不超过</w:t>
      </w:r>
      <w:r>
        <w:rPr>
          <w:rFonts w:ascii="Times New Roman" w:eastAsia="仿宋" w:hAnsi="Times New Roman" w:cs="Times New Roman"/>
          <w:sz w:val="28"/>
          <w:szCs w:val="28"/>
        </w:rPr>
        <w:t xml:space="preserve"> 100 </w:t>
      </w:r>
      <w:r>
        <w:rPr>
          <w:rFonts w:ascii="Times New Roman" w:eastAsia="仿宋" w:hAnsi="Times New Roman" w:cs="Times New Roman" w:hint="eastAsia"/>
          <w:sz w:val="28"/>
          <w:szCs w:val="28"/>
        </w:rPr>
        <w:t>元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平方米。综合项目评审表得分和评审意见最终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确定各项目补贴金额。</w:t>
      </w:r>
    </w:p>
    <w:p w:rsidR="00E612E2" w:rsidRDefault="00E612E2" w:rsidP="00E612E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本评审表总分</w:t>
      </w:r>
      <w:r>
        <w:rPr>
          <w:rFonts w:ascii="Times New Roman" w:eastAsia="仿宋_GB2312" w:hAnsi="Times New Roman" w:cs="Times New Roman"/>
          <w:sz w:val="28"/>
          <w:szCs w:val="28"/>
        </w:rPr>
        <w:t>100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分，包含基础项和技术应用项。基础项指项目的绿色建筑运行标识认证情况（</w:t>
      </w:r>
      <w:r>
        <w:rPr>
          <w:rFonts w:ascii="Times New Roman" w:eastAsia="仿宋_GB2312" w:hAnsi="Times New Roman" w:cs="Times New Roman"/>
          <w:sz w:val="28"/>
          <w:szCs w:val="28"/>
        </w:rPr>
        <w:t>85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分），技术应用项主要考察项目的绿色建筑保障措施（</w:t>
      </w:r>
      <w:r>
        <w:rPr>
          <w:rFonts w:ascii="Times New Roman" w:eastAsia="仿宋_GB2312" w:hAnsi="Times New Roman" w:cs="Times New Roman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分）。</w:t>
      </w:r>
    </w:p>
    <w:p w:rsidR="00E612E2" w:rsidRDefault="00E612E2" w:rsidP="00E612E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评定方式：按照评分项的评分标准说明及分值设定，在“得分”栏中评定各评分项得分分值，分值取整。表中分值设定为该项最高得分，实际得分根据项目完成情况进行评定。实际</w:t>
      </w:r>
      <w:r>
        <w:rPr>
          <w:rFonts w:ascii="Times New Roman" w:eastAsia="仿宋_GB2312" w:hAnsi="Times New Roman" w:cs="Times New Roman"/>
          <w:sz w:val="28"/>
          <w:szCs w:val="28"/>
        </w:rPr>
        <w:t>支持标准</w:t>
      </w:r>
      <w:r>
        <w:rPr>
          <w:rFonts w:ascii="Times New Roman" w:eastAsia="仿宋_GB2312" w:hAnsi="Times New Roman" w:cs="Times New Roman"/>
          <w:sz w:val="28"/>
          <w:szCs w:val="28"/>
        </w:rPr>
        <w:t>=</w:t>
      </w:r>
      <w:r>
        <w:rPr>
          <w:rFonts w:ascii="Times New Roman" w:eastAsia="仿宋_GB2312" w:hAnsi="Times New Roman" w:cs="Times New Roman"/>
          <w:sz w:val="28"/>
          <w:szCs w:val="28"/>
        </w:rPr>
        <w:t>最高支持标准</w:t>
      </w:r>
      <w:r>
        <w:rPr>
          <w:rFonts w:ascii="Times New Roman" w:eastAsia="仿宋_GB2312" w:hAnsi="Times New Roman" w:cs="Times New Roman"/>
          <w:sz w:val="28"/>
          <w:szCs w:val="28"/>
        </w:rPr>
        <w:t>*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专家评分之</w:t>
      </w:r>
      <w:r>
        <w:rPr>
          <w:rFonts w:ascii="Times New Roman" w:eastAsia="仿宋_GB2312" w:hAnsi="Times New Roman" w:cs="Times New Roman"/>
          <w:sz w:val="28"/>
          <w:szCs w:val="28"/>
        </w:rPr>
        <w:t>平均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/100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612E2" w:rsidRDefault="00E612E2" w:rsidP="00E612E2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E612E2" w:rsidRDefault="00E612E2" w:rsidP="00E612E2">
      <w:pPr>
        <w:spacing w:line="360" w:lineRule="auto"/>
        <w:ind w:left="600"/>
        <w:rPr>
          <w:rFonts w:ascii="Times New Roman" w:eastAsia="仿宋_GB2312" w:hAnsi="Times New Roman" w:cs="Times New Roman"/>
          <w:sz w:val="30"/>
          <w:szCs w:val="30"/>
        </w:rPr>
        <w:sectPr w:rsidR="00E612E2">
          <w:footerReference w:type="even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E612E2" w:rsidRDefault="00E612E2" w:rsidP="00E612E2">
      <w:pPr>
        <w:spacing w:line="360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sz w:val="28"/>
          <w:szCs w:val="28"/>
        </w:rPr>
        <w:lastRenderedPageBreak/>
        <w:t>上海虹桥国际中央商务区专项发展资金项目</w:t>
      </w:r>
      <w:r>
        <w:rPr>
          <w:rFonts w:ascii="Times New Roman" w:eastAsia="华文中宋" w:hAnsi="Times New Roman" w:cs="Times New Roman"/>
          <w:b/>
          <w:sz w:val="28"/>
          <w:szCs w:val="28"/>
        </w:rPr>
        <w:t>(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绿色建筑运行评价标识</w:t>
      </w:r>
      <w:r>
        <w:rPr>
          <w:rFonts w:ascii="Times New Roman" w:eastAsia="华文中宋" w:hAnsi="Times New Roman" w:cs="Times New Roman"/>
          <w:b/>
          <w:sz w:val="28"/>
          <w:szCs w:val="28"/>
        </w:rPr>
        <w:t>)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立项评审表</w:t>
      </w:r>
    </w:p>
    <w:p w:rsidR="00E612E2" w:rsidRDefault="00E612E2" w:rsidP="00E612E2">
      <w:pPr>
        <w:spacing w:line="360" w:lineRule="auto"/>
        <w:jc w:val="center"/>
        <w:rPr>
          <w:rStyle w:val="textcontents1"/>
          <w:rFonts w:ascii="Times New Roman" w:eastAsia="仿宋_GB2312" w:hAnsi="Times New Roman" w:cs="Times New Roman"/>
          <w:b/>
          <w:sz w:val="28"/>
          <w:szCs w:val="28"/>
        </w:rPr>
      </w:pPr>
    </w:p>
    <w:p w:rsidR="00E612E2" w:rsidRDefault="00E612E2" w:rsidP="00E612E2">
      <w:pPr>
        <w:spacing w:line="360" w:lineRule="auto"/>
        <w:jc w:val="left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</w:rPr>
        <w:t>项目名称：日期：</w:t>
      </w:r>
    </w:p>
    <w:p w:rsidR="00E612E2" w:rsidRDefault="00E612E2" w:rsidP="00E612E2">
      <w:pPr>
        <w:spacing w:line="360" w:lineRule="auto"/>
        <w:jc w:val="left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sz w:val="24"/>
        </w:rPr>
        <w:t>一、评分表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23"/>
        <w:gridCol w:w="5341"/>
        <w:gridCol w:w="898"/>
        <w:gridCol w:w="849"/>
      </w:tblGrid>
      <w:tr w:rsidR="00E612E2" w:rsidTr="004C41DE">
        <w:trPr>
          <w:trHeight w:val="20"/>
          <w:tblHeader/>
        </w:trPr>
        <w:tc>
          <w:tcPr>
            <w:tcW w:w="445" w:type="dxa"/>
            <w:vAlign w:val="center"/>
          </w:tcPr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评分项</w:t>
            </w:r>
          </w:p>
        </w:tc>
        <w:tc>
          <w:tcPr>
            <w:tcW w:w="5341" w:type="dxa"/>
            <w:vAlign w:val="center"/>
          </w:tcPr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评分标准说明</w:t>
            </w:r>
          </w:p>
        </w:tc>
        <w:tc>
          <w:tcPr>
            <w:tcW w:w="898" w:type="dxa"/>
            <w:vAlign w:val="center"/>
          </w:tcPr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分值</w:t>
            </w:r>
          </w:p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设定</w:t>
            </w:r>
          </w:p>
        </w:tc>
        <w:tc>
          <w:tcPr>
            <w:tcW w:w="849" w:type="dxa"/>
            <w:vAlign w:val="center"/>
          </w:tcPr>
          <w:p w:rsidR="00E612E2" w:rsidRDefault="00E612E2" w:rsidP="004C41DE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得分</w:t>
            </w:r>
          </w:p>
        </w:tc>
      </w:tr>
      <w:tr w:rsidR="00E612E2" w:rsidTr="004C41DE">
        <w:trPr>
          <w:trHeight w:val="946"/>
          <w:tblHeader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基础项</w:t>
            </w:r>
          </w:p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85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分）</w:t>
            </w:r>
          </w:p>
        </w:tc>
        <w:tc>
          <w:tcPr>
            <w:tcW w:w="5341" w:type="dxa"/>
            <w:vAlign w:val="center"/>
          </w:tcPr>
          <w:p w:rsidR="00E612E2" w:rsidRDefault="00E612E2" w:rsidP="004C41D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获得绿色建筑二星级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三星级运行评价标识证书。</w:t>
            </w:r>
          </w:p>
        </w:tc>
        <w:tc>
          <w:tcPr>
            <w:tcW w:w="898" w:type="dxa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849" w:type="dxa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612E2" w:rsidTr="004C41DE">
        <w:trPr>
          <w:trHeight w:val="1130"/>
          <w:tblHeader/>
        </w:trPr>
        <w:tc>
          <w:tcPr>
            <w:tcW w:w="445" w:type="dxa"/>
            <w:vMerge w:val="restart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223" w:type="dxa"/>
            <w:vMerge w:val="restart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技术应用项</w:t>
            </w:r>
          </w:p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分）</w:t>
            </w:r>
          </w:p>
        </w:tc>
        <w:tc>
          <w:tcPr>
            <w:tcW w:w="5341" w:type="dxa"/>
            <w:tcBorders>
              <w:left w:val="nil"/>
            </w:tcBorders>
            <w:vAlign w:val="center"/>
          </w:tcPr>
          <w:p w:rsidR="00E612E2" w:rsidRDefault="00E612E2" w:rsidP="004C41D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公共建筑项目能耗数据须按要求接入虹桥商务区低碳能效管理平台，并已稳定上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传至少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三个月的能耗监测数据；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住宅项目直接得分。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2E2" w:rsidTr="004C41DE">
        <w:trPr>
          <w:trHeight w:val="976"/>
          <w:tblHeader/>
        </w:trPr>
        <w:tc>
          <w:tcPr>
            <w:tcW w:w="445" w:type="dxa"/>
            <w:vMerge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1" w:type="dxa"/>
            <w:tcBorders>
              <w:left w:val="nil"/>
            </w:tcBorders>
            <w:vAlign w:val="center"/>
          </w:tcPr>
          <w:p w:rsidR="00E612E2" w:rsidRDefault="00E612E2" w:rsidP="004C41D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项目充分考虑了运行阶段采取的绿色建筑技术措施，并实施绿色运营保障措施。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2E2" w:rsidTr="004C41DE">
        <w:trPr>
          <w:trHeight w:val="1259"/>
          <w:tblHeader/>
        </w:trPr>
        <w:tc>
          <w:tcPr>
            <w:tcW w:w="445" w:type="dxa"/>
            <w:vMerge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341" w:type="dxa"/>
            <w:tcBorders>
              <w:left w:val="nil"/>
            </w:tcBorders>
            <w:vAlign w:val="center"/>
          </w:tcPr>
          <w:p w:rsidR="00E612E2" w:rsidRDefault="00E612E2" w:rsidP="004C41D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项目充分考虑虹桥商务区气候、资源及规划特点，并与虹桥商务区功能定位相符；项目在区域内可起到绿色运行示范效应。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12E2" w:rsidTr="004C41DE">
        <w:trPr>
          <w:trHeight w:val="710"/>
          <w:tblHeader/>
        </w:trPr>
        <w:tc>
          <w:tcPr>
            <w:tcW w:w="445" w:type="dxa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6564" w:type="dxa"/>
            <w:gridSpan w:val="2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总分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12E2" w:rsidRDefault="00E612E2" w:rsidP="004C41D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12E2" w:rsidRDefault="00E612E2" w:rsidP="00E612E2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spacing w:val="6"/>
          <w:szCs w:val="21"/>
        </w:rPr>
      </w:pPr>
    </w:p>
    <w:p w:rsidR="00E612E2" w:rsidRDefault="00E612E2" w:rsidP="00E612E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53084" w:rsidRPr="00E612E2" w:rsidRDefault="00053084" w:rsidP="00E612E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053084" w:rsidRPr="00E612E2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437" w:rsidRDefault="00887437">
      <w:r>
        <w:separator/>
      </w:r>
    </w:p>
  </w:endnote>
  <w:endnote w:type="continuationSeparator" w:id="0">
    <w:p w:rsidR="00887437" w:rsidRDefault="0088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037" w:rsidRDefault="00E612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437" w:rsidRDefault="00887437">
      <w:r>
        <w:separator/>
      </w:r>
    </w:p>
  </w:footnote>
  <w:footnote w:type="continuationSeparator" w:id="0">
    <w:p w:rsidR="00887437" w:rsidRDefault="0088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C4BA3"/>
    <w:multiLevelType w:val="multilevel"/>
    <w:tmpl w:val="57EC4BA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98465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E2"/>
    <w:rsid w:val="00053084"/>
    <w:rsid w:val="000711DB"/>
    <w:rsid w:val="00887437"/>
    <w:rsid w:val="00E6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140F6-00B2-4921-82DC-62F8DE9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6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12E2"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612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qFormat/>
    <w:rsid w:val="00E612E2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page number"/>
    <w:basedOn w:val="a0"/>
    <w:qFormat/>
    <w:rsid w:val="00E612E2"/>
  </w:style>
  <w:style w:type="character" w:customStyle="1" w:styleId="textcontents1">
    <w:name w:val="textcontents1"/>
    <w:basedOn w:val="a0"/>
    <w:qFormat/>
    <w:rsid w:val="00E612E2"/>
    <w:rPr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E61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2023-03-03T08:33:00Z</dcterms:created>
  <dcterms:modified xsi:type="dcterms:W3CDTF">2023-03-03T08:33:00Z</dcterms:modified>
</cp:coreProperties>
</file>