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szCs w:val="21"/>
        </w:rPr>
      </w:pPr>
      <w:bookmarkStart w:id="0" w:name="_Toc67627991"/>
    </w:p>
    <w:p>
      <w:pPr>
        <w:pStyle w:val="26"/>
        <w:rPr>
          <w:szCs w:val="21"/>
        </w:rPr>
      </w:pPr>
    </w:p>
    <w:p>
      <w:pPr>
        <w:pStyle w:val="26"/>
        <w:spacing w:line="360" w:lineRule="auto"/>
        <w:rPr>
          <w:szCs w:val="21"/>
        </w:rPr>
      </w:pPr>
    </w:p>
    <w:p>
      <w:pPr>
        <w:spacing w:before="120" w:line="360" w:lineRule="auto"/>
        <w:jc w:val="center"/>
        <w:rPr>
          <w:rFonts w:ascii="华文中宋" w:hAnsi="华文中宋" w:eastAsia="华文中宋"/>
          <w:sz w:val="52"/>
          <w:szCs w:val="48"/>
        </w:rPr>
      </w:pPr>
      <w:bookmarkStart w:id="1" w:name="_Hlk24582742"/>
      <w:r>
        <w:rPr>
          <w:rFonts w:hint="eastAsia" w:ascii="华文中宋" w:hAnsi="华文中宋" w:eastAsia="华文中宋"/>
          <w:sz w:val="52"/>
          <w:szCs w:val="48"/>
        </w:rPr>
        <w:t>苏舜</w:t>
      </w:r>
      <w:r>
        <w:rPr>
          <w:rFonts w:hint="eastAsia" w:ascii="华文中宋" w:hAnsi="华文中宋" w:eastAsia="华文中宋"/>
          <w:sz w:val="52"/>
          <w:szCs w:val="48"/>
          <w:lang w:val="en-US" w:eastAsia="zh-CN"/>
        </w:rPr>
        <w:t>板桥4S店</w:t>
      </w:r>
      <w:r>
        <w:rPr>
          <w:rFonts w:hint="eastAsia" w:ascii="华文中宋" w:hAnsi="华文中宋" w:eastAsia="华文中宋"/>
          <w:sz w:val="52"/>
          <w:szCs w:val="48"/>
        </w:rPr>
        <w:t>装饰工程</w:t>
      </w:r>
      <w:bookmarkEnd w:id="1"/>
    </w:p>
    <w:p>
      <w:pPr>
        <w:spacing w:before="120" w:line="360" w:lineRule="auto"/>
        <w:jc w:val="center"/>
        <w:rPr>
          <w:rFonts w:ascii="华文中宋" w:hAnsi="华文中宋" w:eastAsia="华文中宋"/>
          <w:sz w:val="72"/>
        </w:rPr>
      </w:pPr>
      <w:r>
        <w:rPr>
          <w:rFonts w:hint="eastAsia" w:ascii="华文中宋" w:hAnsi="华文中宋" w:eastAsia="华文中宋"/>
          <w:sz w:val="72"/>
        </w:rPr>
        <w:t>招 标 文 件</w:t>
      </w:r>
    </w:p>
    <w:p>
      <w:pPr>
        <w:spacing w:before="120" w:line="300" w:lineRule="auto"/>
        <w:jc w:val="center"/>
        <w:rPr>
          <w:rFonts w:ascii="华文中宋" w:hAnsi="华文中宋" w:eastAsia="华文中宋"/>
          <w:b/>
          <w:sz w:val="28"/>
        </w:rPr>
      </w:pPr>
    </w:p>
    <w:p>
      <w:pPr>
        <w:spacing w:before="120" w:line="300" w:lineRule="auto"/>
        <w:jc w:val="center"/>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pacing w:before="120" w:line="360" w:lineRule="auto"/>
        <w:jc w:val="center"/>
        <w:rPr>
          <w:rFonts w:ascii="华文中宋" w:hAnsi="华文中宋" w:eastAsia="华文中宋"/>
          <w:bCs/>
          <w:kern w:val="32"/>
          <w:sz w:val="32"/>
          <w:szCs w:val="32"/>
        </w:rPr>
      </w:pPr>
      <w:r>
        <w:rPr>
          <w:rFonts w:hint="eastAsia" w:ascii="华文中宋" w:hAnsi="华文中宋" w:eastAsia="华文中宋"/>
          <w:kern w:val="32"/>
          <w:sz w:val="32"/>
          <w:szCs w:val="32"/>
        </w:rPr>
        <w:t>招标人：</w:t>
      </w:r>
      <w:r>
        <w:rPr>
          <w:rFonts w:ascii="华文中宋" w:hAnsi="华文中宋" w:eastAsia="华文中宋"/>
          <w:bCs/>
          <w:kern w:val="32"/>
          <w:sz w:val="32"/>
          <w:szCs w:val="32"/>
        </w:rPr>
        <w:t>江苏</w:t>
      </w:r>
      <w:r>
        <w:rPr>
          <w:rFonts w:hint="eastAsia" w:ascii="华文中宋" w:hAnsi="华文中宋" w:eastAsia="华文中宋"/>
          <w:bCs/>
          <w:kern w:val="32"/>
          <w:sz w:val="32"/>
          <w:szCs w:val="32"/>
          <w:lang w:val="en-US" w:eastAsia="zh-CN"/>
        </w:rPr>
        <w:t>省苏舜集团</w:t>
      </w:r>
      <w:r>
        <w:rPr>
          <w:rFonts w:ascii="华文中宋" w:hAnsi="华文中宋" w:eastAsia="华文中宋"/>
          <w:bCs/>
          <w:kern w:val="32"/>
          <w:sz w:val="32"/>
          <w:szCs w:val="32"/>
        </w:rPr>
        <w:t>有限公司</w:t>
      </w:r>
    </w:p>
    <w:p>
      <w:pPr>
        <w:spacing w:before="120" w:line="360" w:lineRule="auto"/>
        <w:jc w:val="center"/>
        <w:rPr>
          <w:rFonts w:ascii="宋体" w:hAnsi="宋体"/>
          <w:b/>
          <w:sz w:val="44"/>
        </w:rPr>
      </w:pPr>
      <w:r>
        <w:rPr>
          <w:rFonts w:hint="eastAsia" w:ascii="华文中宋" w:hAnsi="华文中宋" w:eastAsia="华文中宋"/>
          <w:kern w:val="32"/>
          <w:sz w:val="32"/>
          <w:szCs w:val="32"/>
        </w:rPr>
        <w:t>时间：20</w:t>
      </w:r>
      <w:r>
        <w:rPr>
          <w:rFonts w:hint="eastAsia" w:ascii="华文中宋" w:hAnsi="华文中宋" w:eastAsia="华文中宋"/>
          <w:kern w:val="32"/>
          <w:sz w:val="32"/>
          <w:szCs w:val="32"/>
          <w:lang w:val="en-US" w:eastAsia="zh-CN"/>
        </w:rPr>
        <w:t>21</w:t>
      </w:r>
      <w:r>
        <w:rPr>
          <w:rFonts w:hint="eastAsia" w:ascii="华文中宋" w:hAnsi="华文中宋" w:eastAsia="华文中宋"/>
          <w:kern w:val="32"/>
          <w:sz w:val="32"/>
          <w:szCs w:val="32"/>
        </w:rPr>
        <w:t>年</w:t>
      </w:r>
      <w:r>
        <w:rPr>
          <w:rFonts w:hint="eastAsia" w:ascii="华文中宋" w:hAnsi="华文中宋" w:eastAsia="华文中宋"/>
          <w:kern w:val="32"/>
          <w:sz w:val="32"/>
          <w:szCs w:val="32"/>
          <w:lang w:val="en-US" w:eastAsia="zh-CN"/>
        </w:rPr>
        <w:t>5</w:t>
      </w:r>
      <w:r>
        <w:rPr>
          <w:rFonts w:hint="eastAsia" w:ascii="华文中宋" w:hAnsi="华文中宋" w:eastAsia="华文中宋"/>
          <w:kern w:val="32"/>
          <w:sz w:val="32"/>
          <w:szCs w:val="32"/>
        </w:rPr>
        <w:t>月</w:t>
      </w:r>
      <w:bookmarkStart w:id="2" w:name="_Toc209492061"/>
      <w:r>
        <w:rPr>
          <w:rFonts w:ascii="宋体" w:hAnsi="宋体"/>
          <w:b/>
        </w:rPr>
        <w:br w:type="page"/>
      </w:r>
      <w:bookmarkStart w:id="3" w:name="_Toc224544375"/>
      <w:bookmarkStart w:id="4" w:name="_Toc222642039"/>
      <w:bookmarkStart w:id="5" w:name="_Toc223141123"/>
      <w:bookmarkStart w:id="6" w:name="_Toc223510726"/>
      <w:bookmarkStart w:id="7" w:name="_Toc209492062"/>
      <w:r>
        <w:rPr>
          <w:rFonts w:hint="eastAsia" w:ascii="宋体" w:hAnsi="宋体"/>
          <w:b/>
          <w:sz w:val="44"/>
        </w:rPr>
        <w:t>总  目  录</w:t>
      </w:r>
      <w:bookmarkEnd w:id="2"/>
      <w:bookmarkEnd w:id="3"/>
      <w:bookmarkEnd w:id="4"/>
      <w:bookmarkEnd w:id="5"/>
      <w:bookmarkEnd w:id="6"/>
      <w:bookmarkEnd w:id="7"/>
    </w:p>
    <w:p>
      <w:pPr>
        <w:pStyle w:val="47"/>
        <w:rPr>
          <w:rFonts w:ascii="Calibri" w:hAnsi="Calibri"/>
          <w:sz w:val="36"/>
          <w:szCs w:val="22"/>
        </w:rPr>
      </w:pPr>
      <w:r>
        <w:rPr>
          <w:rFonts w:ascii="宋体" w:hAnsi="宋体"/>
          <w:b/>
          <w:sz w:val="56"/>
          <w:szCs w:val="36"/>
        </w:rPr>
        <w:fldChar w:fldCharType="begin"/>
      </w:r>
      <w:r>
        <w:rPr>
          <w:rFonts w:ascii="宋体" w:hAnsi="宋体"/>
          <w:b/>
          <w:sz w:val="56"/>
          <w:szCs w:val="36"/>
        </w:rPr>
        <w:instrText xml:space="preserve"> TOC \o "1-3" \h \z \u </w:instrText>
      </w:r>
      <w:r>
        <w:rPr>
          <w:rFonts w:ascii="宋体" w:hAnsi="宋体"/>
          <w:b/>
          <w:sz w:val="56"/>
          <w:szCs w:val="36"/>
        </w:rPr>
        <w:fldChar w:fldCharType="separate"/>
      </w:r>
      <w:r>
        <w:fldChar w:fldCharType="begin"/>
      </w:r>
      <w:r>
        <w:instrText xml:space="preserve"> HYPERLINK \l "_Toc503354851" </w:instrText>
      </w:r>
      <w:r>
        <w:fldChar w:fldCharType="separate"/>
      </w:r>
      <w:r>
        <w:rPr>
          <w:rStyle w:val="69"/>
          <w:rFonts w:hint="eastAsia" w:ascii="黑体" w:eastAsia="黑体"/>
          <w:bCs/>
          <w:snapToGrid w:val="0"/>
          <w:color w:val="auto"/>
          <w:sz w:val="36"/>
        </w:rPr>
        <w:t>招标公告</w:t>
      </w:r>
      <w:r>
        <w:rPr>
          <w:sz w:val="36"/>
        </w:rPr>
        <w:tab/>
      </w:r>
      <w:r>
        <w:rPr>
          <w:sz w:val="36"/>
        </w:rPr>
        <w:fldChar w:fldCharType="begin"/>
      </w:r>
      <w:r>
        <w:rPr>
          <w:sz w:val="36"/>
        </w:rPr>
        <w:instrText xml:space="preserve"> PAGEREF _Toc503354851 \h </w:instrText>
      </w:r>
      <w:r>
        <w:rPr>
          <w:sz w:val="36"/>
        </w:rPr>
        <w:fldChar w:fldCharType="separate"/>
      </w:r>
      <w:r>
        <w:rPr>
          <w:sz w:val="36"/>
        </w:rPr>
        <w:t>3</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"_Toc503354852" </w:instrText>
      </w:r>
      <w:r>
        <w:fldChar w:fldCharType="separate"/>
      </w:r>
      <w:r>
        <w:rPr>
          <w:rStyle w:val="69"/>
          <w:rFonts w:hint="eastAsia" w:ascii="黑体" w:eastAsia="黑体"/>
          <w:bCs/>
          <w:snapToGrid w:val="0"/>
          <w:color w:val="auto"/>
          <w:sz w:val="36"/>
        </w:rPr>
        <w:t>第一章投标人须知</w:t>
      </w:r>
      <w:r>
        <w:rPr>
          <w:sz w:val="36"/>
        </w:rPr>
        <w:tab/>
      </w:r>
      <w:r>
        <w:rPr>
          <w:sz w:val="36"/>
        </w:rPr>
        <w:fldChar w:fldCharType="begin"/>
      </w:r>
      <w:r>
        <w:rPr>
          <w:sz w:val="36"/>
        </w:rPr>
        <w:instrText xml:space="preserve"> PAGEREF _Toc503354852 \h </w:instrText>
      </w:r>
      <w:r>
        <w:rPr>
          <w:sz w:val="36"/>
        </w:rPr>
        <w:fldChar w:fldCharType="separate"/>
      </w:r>
      <w:r>
        <w:rPr>
          <w:sz w:val="36"/>
        </w:rPr>
        <w:t>5</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"_Toc503354853" </w:instrText>
      </w:r>
      <w:r>
        <w:fldChar w:fldCharType="separate"/>
      </w:r>
      <w:r>
        <w:rPr>
          <w:rStyle w:val="69"/>
          <w:rFonts w:hint="eastAsia" w:ascii="黑体" w:hAnsi="黑体" w:eastAsia="黑体"/>
          <w:snapToGrid w:val="0"/>
          <w:color w:val="auto"/>
          <w:sz w:val="36"/>
        </w:rPr>
        <w:t>第二章招标内容及技术要求</w:t>
      </w:r>
      <w:r>
        <w:rPr>
          <w:sz w:val="36"/>
        </w:rPr>
        <w:tab/>
      </w:r>
      <w:r>
        <w:rPr>
          <w:sz w:val="36"/>
        </w:rPr>
        <w:fldChar w:fldCharType="begin"/>
      </w:r>
      <w:r>
        <w:rPr>
          <w:sz w:val="36"/>
        </w:rPr>
        <w:instrText xml:space="preserve"> PAGEREF _Toc503354853 \h </w:instrText>
      </w:r>
      <w:r>
        <w:rPr>
          <w:sz w:val="36"/>
        </w:rPr>
        <w:fldChar w:fldCharType="separate"/>
      </w:r>
      <w:r>
        <w:rPr>
          <w:sz w:val="36"/>
        </w:rPr>
        <w:t>14</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"_Toc503354858" </w:instrText>
      </w:r>
      <w:r>
        <w:fldChar w:fldCharType="separate"/>
      </w:r>
      <w:r>
        <w:rPr>
          <w:rStyle w:val="69"/>
          <w:rFonts w:hint="eastAsia" w:ascii="黑体" w:hAnsi="黑体" w:eastAsia="黑体"/>
          <w:snapToGrid w:val="0"/>
          <w:color w:val="auto"/>
          <w:sz w:val="36"/>
        </w:rPr>
        <w:t>第三章合同条款</w:t>
      </w:r>
      <w:r>
        <w:rPr>
          <w:sz w:val="36"/>
        </w:rPr>
        <w:tab/>
      </w:r>
      <w:r>
        <w:rPr>
          <w:sz w:val="36"/>
        </w:rPr>
        <w:fldChar w:fldCharType="begin"/>
      </w:r>
      <w:r>
        <w:rPr>
          <w:sz w:val="36"/>
        </w:rPr>
        <w:instrText xml:space="preserve"> PAGEREF _Toc503354858 \h </w:instrText>
      </w:r>
      <w:r>
        <w:rPr>
          <w:sz w:val="36"/>
        </w:rPr>
        <w:fldChar w:fldCharType="separate"/>
      </w:r>
      <w:r>
        <w:rPr>
          <w:sz w:val="36"/>
        </w:rPr>
        <w:t>15</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"_Toc503354859" </w:instrText>
      </w:r>
      <w:r>
        <w:fldChar w:fldCharType="separate"/>
      </w:r>
      <w:r>
        <w:rPr>
          <w:rStyle w:val="69"/>
          <w:rFonts w:hint="eastAsia" w:ascii="黑体" w:eastAsia="黑体"/>
          <w:bCs/>
          <w:snapToGrid w:val="0"/>
          <w:color w:val="auto"/>
          <w:sz w:val="36"/>
        </w:rPr>
        <w:t>第四章 投标文件格式</w:t>
      </w:r>
      <w:r>
        <w:rPr>
          <w:sz w:val="36"/>
        </w:rPr>
        <w:tab/>
      </w:r>
      <w:r>
        <w:rPr>
          <w:sz w:val="36"/>
        </w:rPr>
        <w:fldChar w:fldCharType="begin"/>
      </w:r>
      <w:r>
        <w:rPr>
          <w:sz w:val="36"/>
        </w:rPr>
        <w:instrText xml:space="preserve"> PAGEREF _Toc503354859 \h </w:instrText>
      </w:r>
      <w:r>
        <w:rPr>
          <w:sz w:val="36"/>
        </w:rPr>
        <w:fldChar w:fldCharType="separate"/>
      </w:r>
      <w:r>
        <w:rPr>
          <w:sz w:val="36"/>
        </w:rPr>
        <w:t>15</w:t>
      </w:r>
      <w:r>
        <w:rPr>
          <w:sz w:val="36"/>
        </w:rPr>
        <w:fldChar w:fldCharType="end"/>
      </w:r>
      <w:r>
        <w:rPr>
          <w:sz w:val="36"/>
        </w:rPr>
        <w:fldChar w:fldCharType="end"/>
      </w:r>
    </w:p>
    <w:p>
      <w:pPr>
        <w:spacing w:line="480" w:lineRule="auto"/>
        <w:jc w:val="center"/>
        <w:rPr>
          <w:rFonts w:ascii="宋体" w:hAnsi="宋体"/>
          <w:b/>
          <w:sz w:val="48"/>
        </w:rPr>
      </w:pPr>
      <w:r>
        <w:rPr>
          <w:rFonts w:ascii="宋体" w:hAnsi="宋体"/>
          <w:b/>
          <w:sz w:val="56"/>
          <w:szCs w:val="36"/>
        </w:rPr>
        <w:fldChar w:fldCharType="end"/>
      </w:r>
    </w:p>
    <w:p>
      <w:pPr>
        <w:pStyle w:val="2"/>
        <w:spacing w:line="400" w:lineRule="exact"/>
        <w:jc w:val="center"/>
        <w:rPr>
          <w:kern w:val="0"/>
        </w:rPr>
      </w:pPr>
      <w:r>
        <w:rPr>
          <w:rFonts w:ascii="宋体" w:hAnsi="宋体"/>
        </w:rPr>
        <w:br w:type="page"/>
      </w:r>
      <w:bookmarkEnd w:id="0"/>
      <w:bookmarkStart w:id="8" w:name="_Toc503354851"/>
      <w:bookmarkStart w:id="9" w:name="_Toc223141124"/>
      <w:bookmarkStart w:id="10" w:name="_Toc222642040"/>
      <w:bookmarkStart w:id="11" w:name="_Toc223510727"/>
      <w:bookmarkStart w:id="12" w:name="_Toc209492065"/>
      <w:r>
        <w:rPr>
          <w:rFonts w:hint="eastAsia" w:ascii="黑体" w:eastAsia="黑体"/>
          <w:bCs/>
          <w:snapToGrid w:val="0"/>
          <w:sz w:val="28"/>
          <w:szCs w:val="28"/>
        </w:rPr>
        <w:t>招标公告</w:t>
      </w:r>
      <w:bookmarkEnd w:id="8"/>
    </w:p>
    <w:bookmarkEnd w:id="9"/>
    <w:bookmarkEnd w:id="10"/>
    <w:bookmarkEnd w:id="11"/>
    <w:bookmarkEnd w:id="12"/>
    <w:p>
      <w:pPr>
        <w:widowControl/>
        <w:spacing w:line="360" w:lineRule="auto"/>
        <w:ind w:firstLine="442" w:firstLineChars="200"/>
        <w:jc w:val="left"/>
        <w:rPr>
          <w:rFonts w:ascii="宋体" w:hAnsi="宋体"/>
          <w:b/>
          <w:kern w:val="0"/>
          <w:sz w:val="22"/>
          <w:u w:val="single"/>
        </w:rPr>
      </w:pPr>
      <w:bookmarkStart w:id="13" w:name="_Toc503354852"/>
      <w:bookmarkStart w:id="14" w:name="_Toc209492066"/>
      <w:r>
        <w:rPr>
          <w:rFonts w:hint="eastAsia" w:ascii="宋体" w:hAnsi="宋体"/>
          <w:b/>
          <w:kern w:val="0"/>
          <w:sz w:val="22"/>
          <w:u w:val="single"/>
        </w:rPr>
        <w:t>苏舜</w:t>
      </w:r>
      <w:r>
        <w:rPr>
          <w:rFonts w:hint="eastAsia" w:ascii="宋体" w:hAnsi="宋体"/>
          <w:b/>
          <w:kern w:val="0"/>
          <w:sz w:val="22"/>
          <w:u w:val="single"/>
          <w:lang w:val="en-US" w:eastAsia="zh-CN"/>
        </w:rPr>
        <w:t>板桥4S店</w:t>
      </w:r>
      <w:r>
        <w:rPr>
          <w:rFonts w:hint="eastAsia" w:ascii="宋体" w:hAnsi="宋体"/>
          <w:b/>
          <w:kern w:val="0"/>
          <w:sz w:val="22"/>
          <w:u w:val="single"/>
        </w:rPr>
        <w:t>装饰工程</w:t>
      </w:r>
      <w:r>
        <w:rPr>
          <w:rFonts w:hint="eastAsia" w:ascii="宋体" w:hAnsi="宋体"/>
          <w:kern w:val="0"/>
          <w:sz w:val="22"/>
        </w:rPr>
        <w:t>已获批准建设。工程所须资金来源</w:t>
      </w:r>
      <w:r>
        <w:rPr>
          <w:rFonts w:hint="eastAsia" w:ascii="宋体" w:hAnsi="宋体"/>
          <w:b/>
          <w:kern w:val="0"/>
          <w:sz w:val="22"/>
          <w:u w:val="single"/>
        </w:rPr>
        <w:t>自筹资金，现已落实</w:t>
      </w:r>
      <w:r>
        <w:rPr>
          <w:rFonts w:ascii="宋体" w:hAnsi="宋体"/>
          <w:kern w:val="0"/>
          <w:sz w:val="22"/>
        </w:rPr>
        <w:t>。本工程对投标申请人的资格审查，采用</w:t>
      </w:r>
      <w:r>
        <w:rPr>
          <w:rFonts w:ascii="宋体" w:hAnsi="宋体"/>
          <w:b/>
          <w:kern w:val="0"/>
          <w:sz w:val="22"/>
          <w:u w:val="single"/>
        </w:rPr>
        <w:t>资格</w:t>
      </w:r>
      <w:r>
        <w:rPr>
          <w:rFonts w:hint="eastAsia" w:ascii="宋体" w:hAnsi="宋体"/>
          <w:b/>
          <w:kern w:val="0"/>
          <w:sz w:val="22"/>
          <w:u w:val="single"/>
        </w:rPr>
        <w:t>后</w:t>
      </w:r>
      <w:r>
        <w:rPr>
          <w:rFonts w:ascii="宋体" w:hAnsi="宋体"/>
          <w:b/>
          <w:kern w:val="0"/>
          <w:sz w:val="22"/>
          <w:u w:val="single"/>
        </w:rPr>
        <w:t>审</w:t>
      </w:r>
      <w:r>
        <w:rPr>
          <w:rFonts w:ascii="宋体" w:hAnsi="宋体"/>
          <w:kern w:val="0"/>
          <w:sz w:val="22"/>
        </w:rPr>
        <w:t>方法选择合格的投标申请人参加投标。</w:t>
      </w:r>
    </w:p>
    <w:p>
      <w:pPr>
        <w:widowControl/>
        <w:spacing w:line="360" w:lineRule="auto"/>
        <w:ind w:firstLine="422" w:firstLineChars="200"/>
        <w:jc w:val="left"/>
        <w:rPr>
          <w:rFonts w:ascii="宋体" w:hAnsi="宋体"/>
          <w:b/>
          <w:kern w:val="0"/>
        </w:rPr>
      </w:pPr>
      <w:r>
        <w:rPr>
          <w:rFonts w:hint="eastAsia" w:ascii="宋体" w:hAnsi="宋体"/>
          <w:b/>
          <w:kern w:val="0"/>
        </w:rPr>
        <w:t>一、本招标工程概况</w:t>
      </w:r>
    </w:p>
    <w:p>
      <w:pPr>
        <w:widowControl/>
        <w:spacing w:line="360" w:lineRule="auto"/>
        <w:ind w:firstLine="420" w:firstLineChars="200"/>
        <w:jc w:val="left"/>
        <w:rPr>
          <w:rFonts w:ascii="宋体" w:hAnsi="宋体"/>
          <w:kern w:val="0"/>
        </w:rPr>
      </w:pPr>
      <w:r>
        <w:rPr>
          <w:rFonts w:hint="eastAsia" w:ascii="宋体" w:hAnsi="宋体"/>
          <w:kern w:val="0"/>
        </w:rPr>
        <w:t>1.项目名称：</w:t>
      </w:r>
      <w:r>
        <w:rPr>
          <w:rFonts w:hint="eastAsia" w:ascii="宋体" w:hAnsi="宋体"/>
          <w:b/>
          <w:kern w:val="0"/>
          <w:sz w:val="22"/>
          <w:u w:val="single"/>
        </w:rPr>
        <w:t>苏舜</w:t>
      </w:r>
      <w:r>
        <w:rPr>
          <w:rFonts w:hint="eastAsia" w:ascii="宋体" w:hAnsi="宋体"/>
          <w:b/>
          <w:kern w:val="0"/>
          <w:sz w:val="22"/>
          <w:u w:val="single"/>
          <w:lang w:val="en-US" w:eastAsia="zh-CN"/>
        </w:rPr>
        <w:t>板桥4S店</w:t>
      </w:r>
      <w:r>
        <w:rPr>
          <w:rFonts w:hint="eastAsia" w:ascii="宋体" w:hAnsi="宋体"/>
          <w:b/>
          <w:kern w:val="0"/>
          <w:sz w:val="22"/>
          <w:u w:val="single"/>
        </w:rPr>
        <w:t>装饰工程</w:t>
      </w:r>
      <w:r>
        <w:rPr>
          <w:rFonts w:hint="eastAsia" w:ascii="宋体" w:hAnsi="宋体"/>
          <w:b/>
          <w:kern w:val="0"/>
          <w:sz w:val="22"/>
        </w:rPr>
        <w:t>；</w:t>
      </w:r>
    </w:p>
    <w:p>
      <w:pPr>
        <w:widowControl/>
        <w:spacing w:line="360" w:lineRule="auto"/>
        <w:ind w:firstLine="420" w:firstLineChars="200"/>
        <w:jc w:val="left"/>
        <w:rPr>
          <w:rFonts w:ascii="宋体" w:hAnsi="宋体"/>
          <w:kern w:val="0"/>
          <w:u w:val="single"/>
        </w:rPr>
      </w:pPr>
      <w:r>
        <w:rPr>
          <w:rFonts w:hint="eastAsia" w:ascii="宋体" w:hAnsi="宋体"/>
          <w:kern w:val="0"/>
        </w:rPr>
        <w:t>（1）工程地点：</w:t>
      </w:r>
      <w:r>
        <w:rPr>
          <w:rFonts w:hint="eastAsia" w:ascii="宋体" w:hAnsi="宋体"/>
          <w:b/>
          <w:kern w:val="0"/>
          <w:u w:val="single"/>
        </w:rPr>
        <w:t>江苏省南京市雨花台区；</w:t>
      </w:r>
    </w:p>
    <w:p>
      <w:pPr>
        <w:widowControl/>
        <w:spacing w:line="360" w:lineRule="auto"/>
        <w:ind w:firstLine="420" w:firstLineChars="200"/>
        <w:jc w:val="left"/>
        <w:rPr>
          <w:rFonts w:ascii="宋体" w:hAnsi="宋体"/>
          <w:kern w:val="0"/>
        </w:rPr>
      </w:pPr>
      <w:r>
        <w:rPr>
          <w:rFonts w:hint="eastAsia" w:ascii="宋体" w:hAnsi="宋体"/>
          <w:kern w:val="0"/>
        </w:rPr>
        <w:t>（2）计划工期：</w:t>
      </w:r>
      <w:r>
        <w:rPr>
          <w:rFonts w:hint="eastAsia" w:ascii="宋体" w:hAnsi="宋体"/>
          <w:b/>
          <w:kern w:val="0"/>
          <w:u w:val="single"/>
        </w:rPr>
        <w:t xml:space="preserve"> </w:t>
      </w:r>
      <w:r>
        <w:rPr>
          <w:rFonts w:hint="eastAsia" w:ascii="宋体" w:hAnsi="宋体"/>
          <w:b/>
          <w:kern w:val="0"/>
          <w:u w:val="single"/>
          <w:lang w:val="en-US" w:eastAsia="zh-CN"/>
        </w:rPr>
        <w:t>40</w:t>
      </w:r>
      <w:r>
        <w:rPr>
          <w:rFonts w:hint="eastAsia" w:ascii="宋体" w:hAnsi="宋体"/>
          <w:b/>
          <w:kern w:val="0"/>
          <w:u w:val="single"/>
        </w:rPr>
        <w:t>天</w:t>
      </w:r>
      <w:r>
        <w:rPr>
          <w:rFonts w:hint="eastAsia" w:ascii="宋体" w:hAnsi="宋体"/>
          <w:b/>
          <w:kern w:val="0"/>
        </w:rPr>
        <w:t xml:space="preserve"> ；</w:t>
      </w:r>
    </w:p>
    <w:p>
      <w:pPr>
        <w:widowControl/>
        <w:spacing w:line="360" w:lineRule="auto"/>
        <w:ind w:firstLine="420" w:firstLineChars="200"/>
        <w:jc w:val="left"/>
        <w:rPr>
          <w:rFonts w:ascii="宋体" w:hAnsi="宋体"/>
          <w:kern w:val="0"/>
        </w:rPr>
      </w:pPr>
      <w:r>
        <w:rPr>
          <w:rFonts w:hint="eastAsia" w:ascii="宋体" w:hAnsi="宋体"/>
          <w:kern w:val="0"/>
        </w:rPr>
        <w:t xml:space="preserve">（3）质量等级要求：符合国家质量验收标准； </w:t>
      </w:r>
    </w:p>
    <w:p>
      <w:pPr>
        <w:widowControl/>
        <w:spacing w:line="360" w:lineRule="auto"/>
        <w:ind w:firstLine="420" w:firstLineChars="200"/>
        <w:jc w:val="left"/>
        <w:rPr>
          <w:rFonts w:ascii="宋体" w:hAnsi="宋体"/>
          <w:kern w:val="0"/>
        </w:rPr>
      </w:pPr>
      <w:r>
        <w:rPr>
          <w:rFonts w:hint="eastAsia" w:ascii="宋体" w:hAnsi="宋体"/>
          <w:kern w:val="0"/>
        </w:rPr>
        <w:t>（4）建设规模:总投资约</w:t>
      </w:r>
      <w:r>
        <w:rPr>
          <w:rFonts w:hint="eastAsia" w:ascii="宋体" w:hAnsi="宋体"/>
          <w:kern w:val="0"/>
          <w:highlight w:val="yellow"/>
          <w:lang w:val="en-US" w:eastAsia="zh-CN"/>
        </w:rPr>
        <w:t>78</w:t>
      </w:r>
      <w:r>
        <w:rPr>
          <w:rFonts w:hint="eastAsia" w:ascii="宋体" w:hAnsi="宋体"/>
          <w:kern w:val="0"/>
          <w:highlight w:val="yellow"/>
        </w:rPr>
        <w:t>万</w:t>
      </w:r>
      <w:r>
        <w:rPr>
          <w:rFonts w:hint="eastAsia" w:ascii="宋体" w:hAnsi="宋体"/>
          <w:kern w:val="0"/>
        </w:rPr>
        <w:t>元</w:t>
      </w:r>
      <w:r>
        <w:rPr>
          <w:rFonts w:hint="eastAsia" w:ascii="宋体" w:hAnsi="宋体"/>
          <w:kern w:val="0"/>
          <w:lang w:eastAsia="zh-CN"/>
        </w:rPr>
        <w:t>（</w:t>
      </w:r>
      <w:r>
        <w:rPr>
          <w:rFonts w:hint="eastAsia" w:ascii="宋体" w:hAnsi="宋体"/>
          <w:kern w:val="0"/>
          <w:highlight w:val="yellow"/>
          <w:lang w:val="en-US" w:eastAsia="zh-CN"/>
        </w:rPr>
        <w:t>含不可预见费用7万</w:t>
      </w:r>
      <w:r>
        <w:rPr>
          <w:rFonts w:hint="eastAsia" w:ascii="宋体" w:hAnsi="宋体"/>
          <w:kern w:val="0"/>
          <w:lang w:val="en-US" w:eastAsia="zh-CN"/>
        </w:rPr>
        <w:t>）</w:t>
      </w:r>
      <w:r>
        <w:rPr>
          <w:rFonts w:hint="eastAsia" w:ascii="宋体" w:hAnsi="宋体"/>
          <w:kern w:val="0"/>
        </w:rPr>
        <w:t>；</w:t>
      </w:r>
    </w:p>
    <w:p>
      <w:pPr>
        <w:widowControl/>
        <w:spacing w:line="360" w:lineRule="auto"/>
        <w:ind w:firstLine="422" w:firstLineChars="200"/>
        <w:jc w:val="left"/>
        <w:rPr>
          <w:rFonts w:ascii="宋体" w:hAnsi="宋体"/>
          <w:kern w:val="0"/>
        </w:rPr>
      </w:pPr>
      <w:r>
        <w:rPr>
          <w:rFonts w:hint="eastAsia" w:ascii="宋体" w:hAnsi="宋体"/>
          <w:b/>
          <w:kern w:val="0"/>
        </w:rPr>
        <w:t xml:space="preserve"> (5)标段划分情况：</w:t>
      </w:r>
      <w:r>
        <w:rPr>
          <w:rFonts w:hint="eastAsia" w:ascii="宋体" w:hAnsi="宋体"/>
          <w:kern w:val="0"/>
        </w:rPr>
        <w:t>本次招标共划为1个标段，施工招标内容以具体工程量以招标文件工程量清单及图纸为准；</w:t>
      </w:r>
    </w:p>
    <w:p>
      <w:pPr>
        <w:widowControl/>
        <w:spacing w:line="360" w:lineRule="auto"/>
        <w:ind w:firstLine="422" w:firstLineChars="200"/>
        <w:jc w:val="left"/>
        <w:rPr>
          <w:rFonts w:ascii="宋体" w:hAnsi="宋体"/>
          <w:b/>
          <w:kern w:val="0"/>
        </w:rPr>
      </w:pPr>
      <w:r>
        <w:rPr>
          <w:rFonts w:hint="eastAsia" w:ascii="宋体" w:hAnsi="宋体"/>
          <w:b/>
          <w:kern w:val="0"/>
        </w:rPr>
        <w:t>二、资格审查必要合格条件</w:t>
      </w:r>
    </w:p>
    <w:p>
      <w:pPr>
        <w:widowControl/>
        <w:spacing w:line="360" w:lineRule="auto"/>
        <w:ind w:firstLine="420" w:firstLineChars="200"/>
        <w:jc w:val="left"/>
        <w:rPr>
          <w:rFonts w:ascii="宋体" w:hAnsi="宋体"/>
          <w:kern w:val="0"/>
        </w:rPr>
      </w:pPr>
      <w:r>
        <w:rPr>
          <w:rFonts w:ascii="宋体" w:hAnsi="宋体"/>
          <w:kern w:val="0"/>
        </w:rPr>
        <w:t>1</w:t>
      </w:r>
      <w:r>
        <w:rPr>
          <w:rFonts w:hint="eastAsia" w:ascii="宋体" w:hAnsi="宋体"/>
          <w:kern w:val="0"/>
        </w:rPr>
        <w:t>．申请人资质等级及范围：</w:t>
      </w:r>
      <w:r>
        <w:rPr>
          <w:rFonts w:hint="eastAsia" w:ascii="宋体" w:hAnsi="宋体"/>
          <w:kern w:val="0"/>
          <w:u w:val="single"/>
        </w:rPr>
        <w:t>具有建筑装修装饰工程专业承包二级资质或具有建筑装饰工程施工设计一体化二级资质；并具有有效的安全生产许可证</w:t>
      </w:r>
      <w:r>
        <w:rPr>
          <w:rFonts w:ascii="宋体" w:hAnsi="宋体"/>
          <w:kern w:val="0"/>
        </w:rPr>
        <w:t>。</w:t>
      </w:r>
    </w:p>
    <w:p>
      <w:pPr>
        <w:widowControl/>
        <w:spacing w:line="360" w:lineRule="auto"/>
        <w:ind w:firstLine="420" w:firstLineChars="200"/>
        <w:jc w:val="left"/>
        <w:rPr>
          <w:rFonts w:ascii="宋体" w:hAnsi="宋体"/>
          <w:kern w:val="0"/>
        </w:rPr>
      </w:pPr>
      <w:r>
        <w:rPr>
          <w:rFonts w:ascii="宋体" w:hAnsi="宋体"/>
          <w:kern w:val="0"/>
        </w:rPr>
        <w:t>2</w:t>
      </w:r>
      <w:r>
        <w:rPr>
          <w:rFonts w:hint="eastAsia" w:ascii="宋体" w:hAnsi="宋体"/>
          <w:kern w:val="0"/>
        </w:rPr>
        <w:t>．</w:t>
      </w:r>
      <w:r>
        <w:rPr>
          <w:rFonts w:ascii="宋体" w:hAnsi="宋体"/>
          <w:kern w:val="0"/>
        </w:rPr>
        <w:t>项目经理资质类别和等级</w:t>
      </w:r>
      <w:r>
        <w:rPr>
          <w:rFonts w:hint="eastAsia" w:ascii="宋体" w:hAnsi="宋体"/>
          <w:kern w:val="0"/>
        </w:rPr>
        <w:t>：</w:t>
      </w:r>
      <w:r>
        <w:rPr>
          <w:rFonts w:hint="eastAsia" w:ascii="宋体" w:hAnsi="宋体"/>
          <w:kern w:val="0"/>
          <w:u w:val="single"/>
        </w:rPr>
        <w:t>注册建造师证建筑工程二级(含)以上</w:t>
      </w:r>
      <w:r>
        <w:rPr>
          <w:rFonts w:ascii="宋体" w:hAnsi="宋体"/>
          <w:kern w:val="0"/>
        </w:rPr>
        <w:t>。</w:t>
      </w:r>
    </w:p>
    <w:p>
      <w:pPr>
        <w:widowControl/>
        <w:spacing w:line="360" w:lineRule="auto"/>
        <w:ind w:firstLine="420" w:firstLineChars="200"/>
        <w:jc w:val="left"/>
        <w:rPr>
          <w:rFonts w:ascii="宋体" w:hAnsi="宋体"/>
          <w:kern w:val="0"/>
        </w:rPr>
      </w:pPr>
      <w:r>
        <w:rPr>
          <w:rFonts w:hint="eastAsia" w:ascii="宋体" w:hAnsi="宋体"/>
          <w:kern w:val="0"/>
        </w:rPr>
        <w:t>3、资格条件中需提供的主要材料：</w:t>
      </w:r>
    </w:p>
    <w:p>
      <w:pPr>
        <w:widowControl/>
        <w:spacing w:line="360" w:lineRule="auto"/>
        <w:ind w:firstLine="420" w:firstLineChars="200"/>
        <w:jc w:val="left"/>
        <w:rPr>
          <w:rFonts w:ascii="宋体" w:hAnsi="宋体"/>
          <w:kern w:val="0"/>
        </w:rPr>
      </w:pPr>
      <w:r>
        <w:rPr>
          <w:rFonts w:hint="eastAsia" w:ascii="宋体" w:hAnsi="宋体"/>
          <w:kern w:val="0"/>
        </w:rPr>
        <w:t>（1）</w:t>
      </w:r>
      <w:r>
        <w:rPr>
          <w:rFonts w:hint="eastAsia" w:ascii="宋体" w:hAnsi="宋体"/>
          <w:kern w:val="0"/>
          <w:u w:val="single"/>
        </w:rPr>
        <w:t>投标申请人必须是独立的法人实体，具有年检合格的营业执照，拟派施工项目负责人与投标人签订的劳动用工合同以及投标人为其连续缴纳最近6个月的缴纳的养老保险、医疗保险证明材料（注：提供证明材料，且能显示交纳单位的名称、人员的姓名、日期等（复印件加盖公章）</w:t>
      </w:r>
      <w:r>
        <w:rPr>
          <w:rFonts w:hint="eastAsia" w:ascii="宋体" w:hAnsi="宋体"/>
          <w:kern w:val="0"/>
        </w:rPr>
        <w:t>;</w:t>
      </w:r>
    </w:p>
    <w:p>
      <w:pPr>
        <w:widowControl/>
        <w:spacing w:line="360" w:lineRule="auto"/>
        <w:ind w:firstLine="420" w:firstLineChars="200"/>
        <w:jc w:val="left"/>
        <w:rPr>
          <w:rFonts w:ascii="宋体" w:hAnsi="宋体"/>
          <w:kern w:val="0"/>
        </w:rPr>
      </w:pPr>
      <w:r>
        <w:rPr>
          <w:rFonts w:hint="eastAsia" w:ascii="宋体" w:hAnsi="宋体"/>
          <w:kern w:val="0"/>
        </w:rPr>
        <w:t>（2）</w:t>
      </w:r>
      <w:r>
        <w:rPr>
          <w:rFonts w:hint="eastAsia" w:ascii="宋体" w:hAnsi="宋体"/>
          <w:kern w:val="0"/>
          <w:u w:val="single"/>
        </w:rPr>
        <w:t>企业2016年1月1日以来承担过单个标段合同额</w:t>
      </w:r>
      <w:r>
        <w:rPr>
          <w:rFonts w:hint="eastAsia" w:ascii="宋体" w:hAnsi="宋体"/>
          <w:kern w:val="0"/>
          <w:u w:val="single"/>
          <w:lang w:val="en-US" w:eastAsia="zh-CN"/>
        </w:rPr>
        <w:t>2</w:t>
      </w:r>
      <w:r>
        <w:rPr>
          <w:rFonts w:hint="eastAsia" w:ascii="宋体" w:hAnsi="宋体"/>
          <w:kern w:val="0"/>
          <w:u w:val="single"/>
        </w:rPr>
        <w:t>00万元以上的装饰工程（提供合同复印件加盖公章）</w:t>
      </w:r>
      <w:r>
        <w:rPr>
          <w:rFonts w:hint="eastAsia" w:ascii="宋体" w:hAnsi="宋体"/>
          <w:kern w:val="0"/>
        </w:rPr>
        <w:t xml:space="preserve">; </w:t>
      </w:r>
    </w:p>
    <w:p>
      <w:pPr>
        <w:widowControl/>
        <w:spacing w:line="360" w:lineRule="auto"/>
        <w:ind w:firstLine="420" w:firstLineChars="200"/>
        <w:jc w:val="left"/>
        <w:rPr>
          <w:rFonts w:ascii="宋体" w:hAnsi="宋体"/>
          <w:kern w:val="0"/>
          <w:u w:val="single"/>
        </w:rPr>
      </w:pPr>
      <w:r>
        <w:rPr>
          <w:rFonts w:hint="eastAsia" w:ascii="宋体" w:hAnsi="宋体"/>
          <w:kern w:val="0"/>
        </w:rPr>
        <w:t>（3）</w:t>
      </w:r>
      <w:r>
        <w:rPr>
          <w:rFonts w:hint="eastAsia" w:ascii="宋体" w:hAnsi="宋体"/>
          <w:kern w:val="0"/>
          <w:u w:val="single"/>
        </w:rPr>
        <w:t>投标申请人</w:t>
      </w:r>
      <w:r>
        <w:rPr>
          <w:rFonts w:ascii="宋体" w:hAnsi="宋体"/>
          <w:kern w:val="0"/>
          <w:u w:val="single"/>
        </w:rPr>
        <w:t>未处于被责令停业</w:t>
      </w:r>
      <w:r>
        <w:rPr>
          <w:rFonts w:hint="eastAsia" w:ascii="宋体" w:hAnsi="宋体"/>
          <w:kern w:val="0"/>
          <w:u w:val="single"/>
        </w:rPr>
        <w:t>，</w:t>
      </w:r>
      <w:r>
        <w:rPr>
          <w:rFonts w:ascii="宋体" w:hAnsi="宋体"/>
          <w:kern w:val="0"/>
          <w:u w:val="single"/>
        </w:rPr>
        <w:t>投标资格</w:t>
      </w:r>
      <w:r>
        <w:rPr>
          <w:rFonts w:hint="eastAsia" w:ascii="宋体" w:hAnsi="宋体"/>
          <w:kern w:val="0"/>
          <w:u w:val="single"/>
        </w:rPr>
        <w:t>未</w:t>
      </w:r>
      <w:r>
        <w:rPr>
          <w:rFonts w:ascii="宋体" w:hAnsi="宋体"/>
          <w:kern w:val="0"/>
          <w:u w:val="single"/>
        </w:rPr>
        <w:t>被取消或者财产</w:t>
      </w:r>
      <w:r>
        <w:rPr>
          <w:rFonts w:hint="eastAsia" w:ascii="宋体" w:hAnsi="宋体"/>
          <w:kern w:val="0"/>
          <w:u w:val="single"/>
        </w:rPr>
        <w:t>未</w:t>
      </w:r>
      <w:r>
        <w:rPr>
          <w:rFonts w:ascii="宋体" w:hAnsi="宋体"/>
          <w:kern w:val="0"/>
          <w:u w:val="single"/>
        </w:rPr>
        <w:t>被接管</w:t>
      </w:r>
      <w:r>
        <w:rPr>
          <w:rFonts w:hint="eastAsia" w:ascii="宋体" w:hAnsi="宋体"/>
          <w:kern w:val="0"/>
          <w:u w:val="single"/>
        </w:rPr>
        <w:t>、</w:t>
      </w:r>
      <w:r>
        <w:rPr>
          <w:rFonts w:ascii="宋体" w:hAnsi="宋体"/>
          <w:kern w:val="0"/>
          <w:u w:val="single"/>
        </w:rPr>
        <w:t>冻结</w:t>
      </w:r>
      <w:r>
        <w:rPr>
          <w:rFonts w:hint="eastAsia" w:ascii="宋体" w:hAnsi="宋体"/>
          <w:kern w:val="0"/>
          <w:u w:val="single"/>
        </w:rPr>
        <w:t>、</w:t>
      </w:r>
      <w:r>
        <w:rPr>
          <w:rFonts w:ascii="宋体" w:hAnsi="宋体"/>
          <w:kern w:val="0"/>
          <w:u w:val="single"/>
        </w:rPr>
        <w:t>破产状态；企业没有因骗取中标或者严重违约以及发生重大工程质量</w:t>
      </w:r>
      <w:r>
        <w:rPr>
          <w:rFonts w:hint="eastAsia" w:ascii="宋体" w:hAnsi="宋体"/>
          <w:kern w:val="0"/>
          <w:u w:val="single"/>
        </w:rPr>
        <w:t>，</w:t>
      </w:r>
      <w:r>
        <w:rPr>
          <w:rFonts w:ascii="宋体" w:hAnsi="宋体"/>
          <w:kern w:val="0"/>
          <w:u w:val="single"/>
        </w:rPr>
        <w:t>安全生产事故等问题</w:t>
      </w:r>
      <w:r>
        <w:rPr>
          <w:rFonts w:hint="eastAsia" w:ascii="宋体" w:hAnsi="宋体"/>
          <w:kern w:val="0"/>
          <w:u w:val="single"/>
        </w:rPr>
        <w:t>（提供承诺书原件）。</w:t>
      </w:r>
    </w:p>
    <w:p>
      <w:pPr>
        <w:widowControl/>
        <w:spacing w:line="360" w:lineRule="auto"/>
        <w:ind w:firstLine="420" w:firstLineChars="200"/>
        <w:jc w:val="left"/>
        <w:rPr>
          <w:rFonts w:ascii="宋体" w:hAnsi="宋体"/>
          <w:kern w:val="0"/>
        </w:rPr>
      </w:pPr>
      <w:r>
        <w:rPr>
          <w:rFonts w:hint="eastAsia" w:ascii="宋体" w:hAnsi="宋体"/>
          <w:kern w:val="0"/>
        </w:rPr>
        <w:t>4.有下列行为之一的投标人，招标人不接受其参加投标：</w:t>
      </w:r>
    </w:p>
    <w:p>
      <w:pPr>
        <w:widowControl/>
        <w:spacing w:line="360" w:lineRule="auto"/>
        <w:jc w:val="left"/>
        <w:rPr>
          <w:rFonts w:ascii="宋体" w:hAnsi="宋体"/>
          <w:b/>
          <w:kern w:val="0"/>
        </w:rPr>
      </w:pPr>
      <w:r>
        <w:rPr>
          <w:rFonts w:hint="eastAsia" w:ascii="宋体" w:hAnsi="宋体"/>
          <w:kern w:val="0"/>
        </w:rPr>
        <w:t>（一）有违反法律、法规行为，依法被取消投标资格且期限未满的；</w:t>
      </w:r>
      <w:r>
        <w:rPr>
          <w:rFonts w:hint="eastAsia" w:ascii="宋体" w:hAnsi="宋体"/>
          <w:kern w:val="0"/>
        </w:rPr>
        <w:br w:type="textWrapping"/>
      </w:r>
      <w:r>
        <w:rPr>
          <w:rFonts w:hint="eastAsia" w:ascii="宋体" w:hAnsi="宋体"/>
          <w:kern w:val="0"/>
        </w:rPr>
        <w:t>（二）因招投标活动中有违法违规和不良行为，被有关招投标行政监督部门公示且公示期限未满的;</w:t>
      </w:r>
    </w:p>
    <w:p>
      <w:pPr>
        <w:widowControl/>
        <w:spacing w:line="360" w:lineRule="auto"/>
        <w:ind w:firstLine="422" w:firstLineChars="200"/>
        <w:jc w:val="left"/>
        <w:rPr>
          <w:rFonts w:ascii="宋体" w:hAnsi="宋体"/>
          <w:kern w:val="0"/>
        </w:rPr>
      </w:pPr>
      <w:r>
        <w:rPr>
          <w:rFonts w:hint="eastAsia" w:ascii="宋体" w:hAnsi="宋体"/>
          <w:b/>
          <w:kern w:val="0"/>
        </w:rPr>
        <w:t>三、报名方法</w:t>
      </w:r>
    </w:p>
    <w:p>
      <w:pPr>
        <w:widowControl/>
        <w:spacing w:line="360" w:lineRule="auto"/>
        <w:ind w:firstLine="422" w:firstLineChars="200"/>
        <w:jc w:val="left"/>
        <w:rPr>
          <w:rFonts w:ascii="宋体" w:hAnsi="宋体"/>
          <w:b/>
          <w:kern w:val="0"/>
        </w:rPr>
      </w:pPr>
      <w:r>
        <w:rPr>
          <w:rFonts w:hint="eastAsia" w:ascii="宋体" w:hAnsi="宋体"/>
          <w:b/>
          <w:kern w:val="0"/>
        </w:rPr>
        <w:t>1. 报名时间：20</w:t>
      </w:r>
      <w:r>
        <w:rPr>
          <w:rFonts w:hint="eastAsia" w:ascii="宋体" w:hAnsi="宋体"/>
          <w:b/>
          <w:kern w:val="0"/>
          <w:lang w:val="en-US" w:eastAsia="zh-CN"/>
        </w:rPr>
        <w:t>21</w:t>
      </w:r>
      <w:r>
        <w:rPr>
          <w:rFonts w:hint="eastAsia" w:ascii="宋体" w:hAnsi="宋体"/>
          <w:b/>
          <w:kern w:val="0"/>
        </w:rPr>
        <w:t>年</w:t>
      </w:r>
      <w:r>
        <w:rPr>
          <w:rFonts w:hint="eastAsia" w:ascii="宋体" w:hAnsi="宋体"/>
          <w:b/>
          <w:kern w:val="0"/>
          <w:lang w:val="en-US" w:eastAsia="zh-CN"/>
        </w:rPr>
        <w:t>5</w:t>
      </w:r>
      <w:r>
        <w:rPr>
          <w:rFonts w:hint="eastAsia" w:ascii="宋体" w:hAnsi="宋体"/>
          <w:b/>
          <w:kern w:val="0"/>
        </w:rPr>
        <w:t>月</w:t>
      </w:r>
      <w:r>
        <w:rPr>
          <w:rFonts w:ascii="宋体" w:hAnsi="宋体"/>
          <w:b/>
          <w:kern w:val="0"/>
        </w:rPr>
        <w:t xml:space="preserve"> </w:t>
      </w:r>
      <w:r>
        <w:rPr>
          <w:rFonts w:hint="eastAsia" w:ascii="宋体" w:hAnsi="宋体"/>
          <w:b/>
          <w:kern w:val="0"/>
          <w:lang w:val="en-US" w:eastAsia="zh-CN"/>
        </w:rPr>
        <w:t>14</w:t>
      </w:r>
      <w:r>
        <w:rPr>
          <w:rFonts w:hint="eastAsia" w:ascii="宋体" w:hAnsi="宋体"/>
          <w:b/>
          <w:kern w:val="0"/>
        </w:rPr>
        <w:t>日至20</w:t>
      </w:r>
      <w:r>
        <w:rPr>
          <w:rFonts w:hint="eastAsia" w:ascii="宋体" w:hAnsi="宋体"/>
          <w:b/>
          <w:kern w:val="0"/>
          <w:lang w:val="en-US" w:eastAsia="zh-CN"/>
        </w:rPr>
        <w:t>21</w:t>
      </w:r>
      <w:r>
        <w:rPr>
          <w:rFonts w:hint="eastAsia" w:ascii="宋体" w:hAnsi="宋体"/>
          <w:b/>
          <w:kern w:val="0"/>
        </w:rPr>
        <w:t>年</w:t>
      </w:r>
      <w:r>
        <w:rPr>
          <w:rFonts w:ascii="宋体" w:hAnsi="宋体"/>
          <w:b/>
          <w:kern w:val="0"/>
        </w:rPr>
        <w:t xml:space="preserve"> </w:t>
      </w:r>
      <w:r>
        <w:rPr>
          <w:rFonts w:hint="eastAsia" w:ascii="宋体" w:hAnsi="宋体"/>
          <w:b/>
          <w:kern w:val="0"/>
          <w:lang w:val="en-US" w:eastAsia="zh-CN"/>
        </w:rPr>
        <w:t>5</w:t>
      </w:r>
      <w:r>
        <w:rPr>
          <w:rFonts w:ascii="宋体" w:hAnsi="宋体"/>
          <w:b/>
          <w:kern w:val="0"/>
        </w:rPr>
        <w:t xml:space="preserve"> </w:t>
      </w:r>
      <w:r>
        <w:rPr>
          <w:rFonts w:hint="eastAsia" w:ascii="宋体" w:hAnsi="宋体"/>
          <w:b/>
          <w:kern w:val="0"/>
        </w:rPr>
        <w:t>月</w:t>
      </w:r>
      <w:r>
        <w:rPr>
          <w:rFonts w:ascii="宋体" w:hAnsi="宋体"/>
          <w:b/>
          <w:kern w:val="0"/>
        </w:rPr>
        <w:t xml:space="preserve"> </w:t>
      </w:r>
      <w:r>
        <w:rPr>
          <w:rFonts w:hint="eastAsia" w:ascii="宋体" w:hAnsi="宋体"/>
          <w:b/>
          <w:kern w:val="0"/>
          <w:lang w:val="en-US" w:eastAsia="zh-CN"/>
        </w:rPr>
        <w:t>19</w:t>
      </w:r>
      <w:r>
        <w:rPr>
          <w:rFonts w:hint="eastAsia" w:ascii="宋体" w:hAnsi="宋体"/>
          <w:b/>
          <w:kern w:val="0"/>
        </w:rPr>
        <w:t>日</w:t>
      </w:r>
      <w:r>
        <w:rPr>
          <w:rFonts w:ascii="宋体" w:hAnsi="宋体"/>
          <w:b/>
          <w:kern w:val="0"/>
        </w:rPr>
        <w:t>，每天下午14:00至17:</w:t>
      </w:r>
      <w:r>
        <w:rPr>
          <w:rFonts w:hint="eastAsia" w:ascii="宋体" w:hAnsi="宋体"/>
          <w:b/>
          <w:kern w:val="0"/>
          <w:lang w:val="en-US" w:eastAsia="zh-CN"/>
        </w:rPr>
        <w:t>3</w:t>
      </w:r>
      <w:r>
        <w:rPr>
          <w:rFonts w:ascii="宋体" w:hAnsi="宋体"/>
          <w:b/>
          <w:kern w:val="0"/>
        </w:rPr>
        <w:t>0。</w:t>
      </w:r>
    </w:p>
    <w:p>
      <w:pPr>
        <w:widowControl/>
        <w:spacing w:line="360" w:lineRule="auto"/>
        <w:ind w:firstLine="420" w:firstLineChars="200"/>
        <w:jc w:val="left"/>
        <w:rPr>
          <w:rFonts w:ascii="宋体" w:hAnsi="宋体"/>
          <w:b/>
          <w:kern w:val="0"/>
        </w:rPr>
      </w:pPr>
      <w:r>
        <w:rPr>
          <w:rFonts w:hint="eastAsia" w:ascii="宋体" w:hAnsi="宋体"/>
          <w:kern w:val="0"/>
        </w:rPr>
        <w:t xml:space="preserve">2. </w:t>
      </w:r>
      <w:r>
        <w:rPr>
          <w:rFonts w:ascii="宋体" w:hAnsi="宋体"/>
          <w:kern w:val="0"/>
        </w:rPr>
        <w:t>本工程采用现场报名，报名地点：</w:t>
      </w:r>
      <w:r>
        <w:rPr>
          <w:rFonts w:hint="eastAsia"/>
          <w:b/>
          <w:bCs/>
          <w:u w:val="single"/>
        </w:rPr>
        <w:t>南京市</w:t>
      </w:r>
      <w:r>
        <w:rPr>
          <w:rFonts w:hint="eastAsia"/>
          <w:b/>
          <w:bCs/>
          <w:u w:val="single"/>
          <w:lang w:val="en-US" w:eastAsia="zh-CN"/>
        </w:rPr>
        <w:t>建邺区恒山路136号苏垦大厦六楼631</w:t>
      </w:r>
      <w:r>
        <w:rPr>
          <w:rFonts w:hint="eastAsia"/>
          <w:b/>
          <w:bCs/>
          <w:u w:val="single"/>
        </w:rPr>
        <w:t>室</w:t>
      </w:r>
      <w:r>
        <w:rPr>
          <w:rFonts w:hint="eastAsia" w:ascii="宋体" w:hAnsi="宋体"/>
          <w:bCs/>
          <w:kern w:val="0"/>
        </w:rPr>
        <w:t>,</w:t>
      </w:r>
      <w:r>
        <w:rPr>
          <w:rFonts w:hint="eastAsia" w:ascii="宋体" w:hAnsi="宋体"/>
          <w:b/>
          <w:kern w:val="0"/>
          <w:u w:val="single"/>
        </w:rPr>
        <w:t>投标企业经办人携带证明身份等有效证件、介绍信及企业营业执照复印件进行报名</w:t>
      </w:r>
      <w:r>
        <w:rPr>
          <w:rFonts w:hint="eastAsia" w:ascii="宋体" w:hAnsi="宋体"/>
          <w:bCs/>
          <w:kern w:val="0"/>
        </w:rPr>
        <w:t>。</w:t>
      </w:r>
    </w:p>
    <w:p>
      <w:pPr>
        <w:widowControl/>
        <w:spacing w:line="360" w:lineRule="auto"/>
        <w:ind w:firstLine="422" w:firstLineChars="200"/>
        <w:jc w:val="left"/>
        <w:rPr>
          <w:rFonts w:ascii="宋体" w:hAnsi="宋体"/>
          <w:b/>
          <w:kern w:val="0"/>
        </w:rPr>
      </w:pPr>
      <w:r>
        <w:rPr>
          <w:rFonts w:hint="eastAsia" w:ascii="宋体" w:hAnsi="宋体"/>
          <w:b/>
          <w:kern w:val="0"/>
        </w:rPr>
        <w:t>四、资格审查办法：</w:t>
      </w:r>
    </w:p>
    <w:p>
      <w:pPr>
        <w:widowControl/>
        <w:spacing w:line="360" w:lineRule="auto"/>
        <w:ind w:firstLine="420" w:firstLineChars="200"/>
        <w:jc w:val="left"/>
        <w:rPr>
          <w:snapToGrid w:val="0"/>
        </w:rPr>
      </w:pPr>
      <w:r>
        <w:rPr>
          <w:rFonts w:hint="eastAsia" w:ascii="宋体" w:hAnsi="宋体"/>
          <w:kern w:val="0"/>
        </w:rPr>
        <w:t>本项目资格审查采用资格后审的形式。资格审查方法：合格制。</w:t>
      </w:r>
    </w:p>
    <w:bookmarkEnd w:id="13"/>
    <w:bookmarkEnd w:id="14"/>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ascii="宋体" w:hAnsi="宋体"/>
          <w:b/>
          <w:sz w:val="24"/>
          <w:szCs w:val="24"/>
        </w:rPr>
      </w:pPr>
      <w:r>
        <w:rPr>
          <w:rFonts w:hint="eastAsia" w:ascii="宋体" w:hAnsi="宋体"/>
          <w:b/>
          <w:sz w:val="24"/>
          <w:szCs w:val="24"/>
        </w:rPr>
        <w:t>一、说明</w:t>
      </w:r>
    </w:p>
    <w:p>
      <w:pPr>
        <w:spacing w:line="300" w:lineRule="auto"/>
        <w:rPr>
          <w:rFonts w:ascii="宋体" w:hAnsi="宋体"/>
          <w:szCs w:val="21"/>
        </w:rPr>
      </w:pPr>
    </w:p>
    <w:p>
      <w:pPr>
        <w:spacing w:line="300" w:lineRule="auto"/>
        <w:rPr>
          <w:rFonts w:ascii="宋体" w:hAnsi="宋体"/>
        </w:rPr>
      </w:pPr>
      <w:r>
        <w:rPr>
          <w:rFonts w:hint="eastAsia" w:ascii="宋体" w:hAnsi="宋体"/>
        </w:rPr>
        <w:t>1.招标人及合格的投标人</w:t>
      </w:r>
    </w:p>
    <w:p>
      <w:pPr>
        <w:spacing w:line="300" w:lineRule="auto"/>
        <w:rPr>
          <w:rFonts w:ascii="宋体" w:hAnsi="宋体"/>
        </w:rPr>
      </w:pPr>
      <w:r>
        <w:rPr>
          <w:rFonts w:hint="eastAsia" w:ascii="宋体" w:hAnsi="宋体"/>
        </w:rPr>
        <w:t>1.1本项目招标人：</w:t>
      </w:r>
      <w:r>
        <w:rPr>
          <w:rFonts w:hint="eastAsia" w:ascii="宋体" w:hAnsi="宋体"/>
          <w:kern w:val="0"/>
          <w:u w:val="single"/>
        </w:rPr>
        <w:t>江苏</w:t>
      </w:r>
      <w:r>
        <w:rPr>
          <w:rFonts w:hint="eastAsia" w:ascii="宋体" w:hAnsi="宋体"/>
          <w:kern w:val="0"/>
          <w:u w:val="single"/>
          <w:lang w:val="en-US" w:eastAsia="zh-CN"/>
        </w:rPr>
        <w:t>省苏舜集团有限公司</w:t>
      </w:r>
      <w:r>
        <w:rPr>
          <w:rFonts w:hint="eastAsia" w:ascii="宋体" w:hAnsi="宋体"/>
        </w:rPr>
        <w:t>。</w:t>
      </w:r>
    </w:p>
    <w:p>
      <w:pPr>
        <w:spacing w:line="300" w:lineRule="auto"/>
        <w:rPr>
          <w:rFonts w:ascii="宋体" w:hAnsi="宋体"/>
        </w:rPr>
      </w:pPr>
      <w:r>
        <w:rPr>
          <w:rFonts w:hint="eastAsia" w:ascii="宋体" w:hAnsi="宋体"/>
        </w:rPr>
        <w:t>1.2合格的投标人：</w:t>
      </w:r>
    </w:p>
    <w:p>
      <w:pPr>
        <w:spacing w:line="300" w:lineRule="auto"/>
        <w:rPr>
          <w:rFonts w:ascii="宋体" w:hAnsi="宋体"/>
          <w:szCs w:val="21"/>
        </w:rPr>
      </w:pPr>
      <w:r>
        <w:rPr>
          <w:rFonts w:hint="eastAsia" w:ascii="宋体" w:hAnsi="宋体"/>
        </w:rPr>
        <w:t>1.2.1</w:t>
      </w:r>
      <w:r>
        <w:rPr>
          <w:rFonts w:hint="eastAsia" w:ascii="宋体" w:hAnsi="宋体"/>
          <w:szCs w:val="21"/>
        </w:rPr>
        <w:t>投标申请人必须是独立的法人实体，具有年检合格的营业执照，拟派施工项目负责人与投标人签订的劳动用工合同以及投标人为其连续缴纳超过6个月的缴纳的养老保险、医疗保险证明材料（注：提供证明材料，且能显示交纳单位的名称、人员的姓名、日期等（复印件加盖公章）</w:t>
      </w:r>
    </w:p>
    <w:p>
      <w:pPr>
        <w:spacing w:line="300" w:lineRule="auto"/>
        <w:rPr>
          <w:rFonts w:ascii="宋体" w:hAnsi="宋体"/>
          <w:szCs w:val="21"/>
        </w:rPr>
      </w:pPr>
      <w:r>
        <w:rPr>
          <w:rFonts w:hint="eastAsia" w:ascii="宋体" w:hAnsi="宋体"/>
        </w:rPr>
        <w:t>1.2.2</w:t>
      </w:r>
      <w:r>
        <w:rPr>
          <w:rFonts w:hint="eastAsia" w:ascii="宋体" w:hAnsi="宋体"/>
          <w:szCs w:val="21"/>
        </w:rPr>
        <w:t>集成商资质要求：</w:t>
      </w:r>
    </w:p>
    <w:p>
      <w:pPr>
        <w:widowControl/>
        <w:spacing w:line="360" w:lineRule="auto"/>
        <w:ind w:firstLine="420" w:firstLineChars="200"/>
        <w:jc w:val="left"/>
        <w:rPr>
          <w:rFonts w:ascii="宋体" w:hAnsi="宋体"/>
          <w:kern w:val="0"/>
        </w:rPr>
      </w:pPr>
      <w:r>
        <w:rPr>
          <w:rFonts w:ascii="宋体" w:hAnsi="宋体"/>
          <w:kern w:val="0"/>
        </w:rPr>
        <w:t>1</w:t>
      </w:r>
      <w:r>
        <w:rPr>
          <w:rFonts w:hint="eastAsia" w:ascii="宋体" w:hAnsi="宋体"/>
          <w:kern w:val="0"/>
        </w:rPr>
        <w:t>．申请人资质等级及范围：</w:t>
      </w:r>
      <w:r>
        <w:rPr>
          <w:rFonts w:hint="eastAsia" w:ascii="宋体" w:hAnsi="宋体"/>
          <w:kern w:val="0"/>
          <w:u w:val="single"/>
        </w:rPr>
        <w:t>具有建筑装修装饰工程专业承包二级资质或具有建筑装饰工程施工设计一体化二级资质；并具有有效的安全生产许可证</w:t>
      </w:r>
      <w:r>
        <w:rPr>
          <w:rFonts w:ascii="宋体" w:hAnsi="宋体"/>
          <w:kern w:val="0"/>
        </w:rPr>
        <w:t>。</w:t>
      </w:r>
    </w:p>
    <w:p>
      <w:pPr>
        <w:widowControl/>
        <w:spacing w:line="360" w:lineRule="auto"/>
        <w:ind w:firstLine="420" w:firstLineChars="200"/>
        <w:jc w:val="left"/>
        <w:rPr>
          <w:rFonts w:ascii="宋体" w:hAnsi="宋体"/>
          <w:kern w:val="0"/>
        </w:rPr>
      </w:pPr>
      <w:r>
        <w:rPr>
          <w:rFonts w:ascii="宋体" w:hAnsi="宋体"/>
          <w:kern w:val="0"/>
        </w:rPr>
        <w:t>2</w:t>
      </w:r>
      <w:r>
        <w:rPr>
          <w:rFonts w:hint="eastAsia" w:ascii="宋体" w:hAnsi="宋体"/>
          <w:kern w:val="0"/>
        </w:rPr>
        <w:t>．</w:t>
      </w:r>
      <w:r>
        <w:rPr>
          <w:rFonts w:ascii="宋体" w:hAnsi="宋体"/>
          <w:kern w:val="0"/>
        </w:rPr>
        <w:t>项目经理资质类别和等级</w:t>
      </w:r>
      <w:r>
        <w:rPr>
          <w:rFonts w:hint="eastAsia" w:ascii="宋体" w:hAnsi="宋体"/>
          <w:kern w:val="0"/>
        </w:rPr>
        <w:t>：</w:t>
      </w:r>
      <w:r>
        <w:rPr>
          <w:rFonts w:hint="eastAsia" w:ascii="宋体" w:hAnsi="宋体"/>
          <w:kern w:val="0"/>
          <w:u w:val="single"/>
        </w:rPr>
        <w:t>注册建造师证建筑工程二级(含)以上</w:t>
      </w:r>
      <w:r>
        <w:rPr>
          <w:rFonts w:ascii="宋体" w:hAnsi="宋体"/>
          <w:kern w:val="0"/>
        </w:rPr>
        <w:t xml:space="preserve">。 </w:t>
      </w:r>
    </w:p>
    <w:p>
      <w:pPr>
        <w:widowControl/>
        <w:spacing w:line="360" w:lineRule="auto"/>
        <w:jc w:val="left"/>
        <w:rPr>
          <w:rFonts w:ascii="宋体" w:hAnsi="宋体"/>
          <w:b/>
          <w:kern w:val="0"/>
        </w:rPr>
      </w:pPr>
      <w:r>
        <w:rPr>
          <w:rFonts w:hint="eastAsia" w:ascii="宋体" w:hAnsi="宋体"/>
          <w:b/>
          <w:kern w:val="0"/>
        </w:rPr>
        <w:t>1.2.3资格条件中需提供的主要材料：</w:t>
      </w:r>
    </w:p>
    <w:p>
      <w:pPr>
        <w:widowControl/>
        <w:spacing w:line="360" w:lineRule="auto"/>
        <w:ind w:firstLine="422" w:firstLineChars="200"/>
        <w:jc w:val="left"/>
        <w:rPr>
          <w:rFonts w:ascii="宋体" w:hAnsi="宋体"/>
          <w:b/>
          <w:kern w:val="0"/>
        </w:rPr>
      </w:pPr>
      <w:r>
        <w:rPr>
          <w:rFonts w:hint="eastAsia" w:ascii="宋体" w:hAnsi="宋体"/>
          <w:b/>
          <w:kern w:val="0"/>
        </w:rPr>
        <w:t xml:space="preserve">（1）投标申请人必须是独立的法人实体，具有年检合格的营业执照，拟派施工项目负责人与投标人签订的劳动用工合同以及投标人为其连续缴纳最近6个月的缴纳的养老保险、医疗保险证明材料（注：提供证明材料，且能显示交纳单位的名称、人员的姓名、日期等（复印件加盖公章）; </w:t>
      </w:r>
    </w:p>
    <w:p>
      <w:pPr>
        <w:widowControl/>
        <w:spacing w:line="360" w:lineRule="auto"/>
        <w:ind w:firstLine="422" w:firstLineChars="200"/>
        <w:jc w:val="left"/>
        <w:rPr>
          <w:rFonts w:ascii="宋体" w:hAnsi="宋体"/>
          <w:b/>
          <w:kern w:val="0"/>
        </w:rPr>
      </w:pPr>
      <w:r>
        <w:rPr>
          <w:rFonts w:hint="eastAsia" w:ascii="宋体" w:hAnsi="宋体"/>
          <w:b/>
          <w:kern w:val="0"/>
        </w:rPr>
        <w:t>（2）企业2016年1月1日以来承担过单个标段合同额</w:t>
      </w:r>
      <w:r>
        <w:rPr>
          <w:rFonts w:hint="eastAsia" w:ascii="宋体" w:hAnsi="宋体"/>
          <w:b/>
          <w:kern w:val="0"/>
          <w:lang w:val="en-US" w:eastAsia="zh-CN"/>
        </w:rPr>
        <w:t>2</w:t>
      </w:r>
      <w:r>
        <w:rPr>
          <w:rFonts w:hint="eastAsia" w:ascii="宋体" w:hAnsi="宋体"/>
          <w:b/>
          <w:kern w:val="0"/>
        </w:rPr>
        <w:t xml:space="preserve">00万元以上的装饰工程（提供合同复印件加盖公章）; </w:t>
      </w:r>
    </w:p>
    <w:p>
      <w:pPr>
        <w:widowControl/>
        <w:spacing w:line="360" w:lineRule="auto"/>
        <w:ind w:firstLine="422" w:firstLineChars="200"/>
        <w:jc w:val="left"/>
        <w:rPr>
          <w:rFonts w:ascii="宋体" w:hAnsi="宋体"/>
          <w:b/>
          <w:kern w:val="0"/>
        </w:rPr>
      </w:pPr>
      <w:r>
        <w:rPr>
          <w:rFonts w:hint="eastAsia" w:ascii="宋体" w:hAnsi="宋体"/>
          <w:b/>
          <w:kern w:val="0"/>
        </w:rPr>
        <w:t>（3）投标申请人未处于被责令停业，投标资格未被取消或者财产未被接管、冻结、破产状态；企业没有因骗取中标或者严重违约以及发生重大工程质量，安全生产事故等问题（提供承诺书原件）。</w:t>
      </w:r>
    </w:p>
    <w:p>
      <w:pPr>
        <w:widowControl/>
        <w:spacing w:line="360" w:lineRule="auto"/>
        <w:jc w:val="left"/>
        <w:rPr>
          <w:rFonts w:ascii="宋体" w:hAnsi="宋体"/>
          <w:b/>
          <w:kern w:val="0"/>
        </w:rPr>
      </w:pPr>
      <w:r>
        <w:rPr>
          <w:rFonts w:hint="eastAsia" w:ascii="宋体" w:hAnsi="宋体"/>
          <w:b/>
          <w:kern w:val="0"/>
        </w:rPr>
        <w:t>1.2.4.有下列行为之一的投标人，招标人不接受其参加投标：</w:t>
      </w:r>
    </w:p>
    <w:p>
      <w:pPr>
        <w:widowControl/>
        <w:spacing w:line="360" w:lineRule="auto"/>
        <w:ind w:left="307" w:leftChars="146"/>
        <w:jc w:val="left"/>
        <w:rPr>
          <w:rFonts w:ascii="宋体" w:hAnsi="宋体"/>
          <w:b/>
          <w:kern w:val="0"/>
        </w:rPr>
      </w:pPr>
      <w:r>
        <w:rPr>
          <w:rFonts w:hint="eastAsia" w:ascii="宋体" w:hAnsi="宋体"/>
          <w:b/>
          <w:kern w:val="0"/>
        </w:rPr>
        <w:t>（一）有违反法律、法规行为，依法被取消投标资格且期限未满的；</w:t>
      </w:r>
      <w:r>
        <w:rPr>
          <w:rFonts w:hint="eastAsia" w:ascii="宋体" w:hAnsi="宋体"/>
          <w:b/>
          <w:kern w:val="0"/>
        </w:rPr>
        <w:br w:type="textWrapping"/>
      </w:r>
      <w:r>
        <w:rPr>
          <w:rFonts w:hint="eastAsia" w:ascii="宋体" w:hAnsi="宋体"/>
          <w:b/>
          <w:kern w:val="0"/>
        </w:rPr>
        <w:t xml:space="preserve">（二）因招投标活动中有违法违规和不良行为，被有关招投标行政监督部门公示且公示期限未满的;  </w:t>
      </w:r>
    </w:p>
    <w:p>
      <w:pPr>
        <w:spacing w:line="300" w:lineRule="auto"/>
        <w:rPr>
          <w:rFonts w:ascii="宋体" w:hAnsi="宋体" w:cs="宋体"/>
          <w:kern w:val="0"/>
          <w:szCs w:val="21"/>
        </w:rPr>
      </w:pPr>
      <w:r>
        <w:rPr>
          <w:rFonts w:hint="eastAsia" w:ascii="宋体" w:hAnsi="宋体"/>
          <w:szCs w:val="21"/>
        </w:rPr>
        <w:t>1.2.5本次招标不接受联合体投标。</w:t>
      </w:r>
    </w:p>
    <w:p>
      <w:pPr>
        <w:spacing w:line="300" w:lineRule="auto"/>
        <w:rPr>
          <w:rFonts w:ascii="宋体" w:hAnsi="宋体"/>
        </w:rPr>
      </w:pPr>
      <w:r>
        <w:rPr>
          <w:rFonts w:hint="eastAsia" w:ascii="宋体" w:hAnsi="宋体"/>
          <w:b/>
          <w:szCs w:val="21"/>
        </w:rPr>
        <w:t>注：请将上述材料按要求按顺序装订在投标文件“格式8”中，且须提供相应原件备查。</w:t>
      </w:r>
    </w:p>
    <w:p>
      <w:pPr>
        <w:spacing w:line="300" w:lineRule="auto"/>
        <w:rPr>
          <w:rFonts w:ascii="宋体" w:hAnsi="宋体"/>
        </w:rPr>
      </w:pPr>
    </w:p>
    <w:p>
      <w:pPr>
        <w:spacing w:line="300" w:lineRule="auto"/>
        <w:rPr>
          <w:rFonts w:ascii="宋体" w:hAnsi="宋体"/>
        </w:rPr>
      </w:pPr>
      <w:r>
        <w:rPr>
          <w:rFonts w:hint="eastAsia" w:ascii="宋体" w:hAnsi="宋体"/>
        </w:rPr>
        <w:t>2.费用</w:t>
      </w:r>
    </w:p>
    <w:p>
      <w:pPr>
        <w:spacing w:line="300" w:lineRule="auto"/>
        <w:rPr>
          <w:rFonts w:ascii="宋体" w:hAnsi="宋体"/>
        </w:rPr>
      </w:pPr>
      <w:r>
        <w:rPr>
          <w:rFonts w:hint="eastAsia" w:ascii="宋体" w:hAnsi="宋体"/>
        </w:rPr>
        <w:t>2.1投标人应承担所有与准备和参加竞争有关的费用。不论结果如何，招标人均无义务和责任承担这些费用。</w:t>
      </w: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jc w:val="center"/>
        <w:rPr>
          <w:rFonts w:ascii="宋体" w:hAnsi="宋体"/>
          <w:b/>
          <w:sz w:val="24"/>
          <w:szCs w:val="24"/>
        </w:rPr>
      </w:pPr>
      <w:r>
        <w:rPr>
          <w:rFonts w:hint="eastAsia" w:ascii="宋体" w:hAnsi="宋体"/>
          <w:b/>
          <w:sz w:val="24"/>
          <w:szCs w:val="24"/>
        </w:rPr>
        <w:t>二、招标文件</w:t>
      </w:r>
    </w:p>
    <w:p>
      <w:pPr>
        <w:spacing w:line="300" w:lineRule="auto"/>
        <w:rPr>
          <w:rFonts w:ascii="宋体" w:hAnsi="宋体"/>
        </w:rPr>
      </w:pPr>
    </w:p>
    <w:p>
      <w:pPr>
        <w:spacing w:line="300" w:lineRule="auto"/>
        <w:rPr>
          <w:rFonts w:ascii="宋体" w:hAnsi="宋体"/>
        </w:rPr>
      </w:pPr>
      <w:r>
        <w:rPr>
          <w:rFonts w:hint="eastAsia" w:ascii="宋体" w:hAnsi="宋体"/>
        </w:rPr>
        <w:t>3.招标文件构成</w:t>
      </w:r>
    </w:p>
    <w:p>
      <w:pPr>
        <w:spacing w:line="300" w:lineRule="auto"/>
        <w:rPr>
          <w:rFonts w:ascii="宋体" w:hAnsi="宋体"/>
        </w:rPr>
      </w:pPr>
      <w:r>
        <w:rPr>
          <w:rFonts w:hint="eastAsia" w:ascii="宋体" w:hAnsi="宋体"/>
        </w:rPr>
        <w:t>3.1 招标文件共四章，内容如下：</w:t>
      </w:r>
    </w:p>
    <w:p>
      <w:pPr>
        <w:spacing w:line="300" w:lineRule="auto"/>
        <w:ind w:firstLine="945"/>
        <w:rPr>
          <w:rFonts w:ascii="宋体" w:hAnsi="宋体"/>
        </w:rPr>
      </w:pPr>
      <w:r>
        <w:rPr>
          <w:rFonts w:hint="eastAsia" w:ascii="宋体" w:hAnsi="宋体"/>
        </w:rPr>
        <w:t>第一章 投标人须知</w:t>
      </w:r>
    </w:p>
    <w:p>
      <w:pPr>
        <w:spacing w:line="300" w:lineRule="auto"/>
        <w:ind w:firstLine="945"/>
        <w:rPr>
          <w:rFonts w:ascii="宋体" w:hAnsi="宋体"/>
        </w:rPr>
      </w:pPr>
      <w:r>
        <w:rPr>
          <w:rFonts w:hint="eastAsia" w:ascii="宋体" w:hAnsi="宋体"/>
        </w:rPr>
        <w:t>第二章 招标内容及要求</w:t>
      </w:r>
    </w:p>
    <w:p>
      <w:pPr>
        <w:spacing w:line="300" w:lineRule="auto"/>
        <w:ind w:firstLine="945"/>
        <w:rPr>
          <w:rFonts w:ascii="宋体" w:hAnsi="宋体"/>
        </w:rPr>
      </w:pPr>
      <w:r>
        <w:rPr>
          <w:rFonts w:hint="eastAsia" w:ascii="宋体" w:hAnsi="宋体"/>
        </w:rPr>
        <w:t>第三章 合同条款</w:t>
      </w:r>
    </w:p>
    <w:p>
      <w:pPr>
        <w:spacing w:line="300" w:lineRule="auto"/>
        <w:ind w:firstLine="945"/>
        <w:rPr>
          <w:rFonts w:ascii="宋体" w:hAnsi="宋体"/>
        </w:rPr>
      </w:pPr>
      <w:r>
        <w:rPr>
          <w:rFonts w:hint="eastAsia" w:ascii="宋体" w:hAnsi="宋体"/>
        </w:rPr>
        <w:t xml:space="preserve">第四章 投标文件格式 </w:t>
      </w:r>
    </w:p>
    <w:p>
      <w:pPr>
        <w:spacing w:line="300" w:lineRule="auto"/>
        <w:rPr>
          <w:rFonts w:ascii="宋体" w:hAnsi="宋体"/>
        </w:rPr>
      </w:pPr>
      <w:r>
        <w:rPr>
          <w:rFonts w:hint="eastAsia" w:ascii="宋体" w:hAnsi="宋体"/>
        </w:rPr>
        <w:t>3.2 投标人应认真阅读招标文件中所有的事项、格式、条款和技术规范等。投标人没有按照招标文件要求提交全部资料，或者投标文件没有对招标文件在各方面都作出实质性响应是投标人的风险，并可能导致其投标文件被拒绝。</w:t>
      </w:r>
    </w:p>
    <w:p>
      <w:pPr>
        <w:spacing w:line="300" w:lineRule="auto"/>
        <w:rPr>
          <w:rFonts w:ascii="宋体" w:hAnsi="宋体"/>
        </w:rPr>
      </w:pPr>
      <w:r>
        <w:rPr>
          <w:rFonts w:hint="eastAsia" w:ascii="宋体" w:hAnsi="宋体"/>
        </w:rPr>
        <w:t>3.3投标人应仔细核查招标文件（如技术资料、清单、图纸等）内容是否有遗漏，如有应及时向招标代理索取，否则后果自负。</w:t>
      </w:r>
    </w:p>
    <w:p>
      <w:pPr>
        <w:spacing w:line="300" w:lineRule="auto"/>
        <w:ind w:left="525"/>
        <w:rPr>
          <w:rFonts w:ascii="宋体" w:hAnsi="宋体"/>
        </w:rPr>
      </w:pPr>
    </w:p>
    <w:p>
      <w:pPr>
        <w:spacing w:line="300" w:lineRule="auto"/>
        <w:rPr>
          <w:rFonts w:ascii="宋体" w:hAnsi="宋体"/>
        </w:rPr>
      </w:pPr>
      <w:r>
        <w:rPr>
          <w:rFonts w:hint="eastAsia" w:ascii="宋体" w:hAnsi="宋体"/>
        </w:rPr>
        <w:t>4.招标文件的澄清</w:t>
      </w:r>
    </w:p>
    <w:p>
      <w:pPr>
        <w:spacing w:line="300" w:lineRule="auto"/>
        <w:rPr>
          <w:rFonts w:ascii="宋体" w:hAnsi="宋体"/>
        </w:rPr>
      </w:pPr>
      <w:r>
        <w:rPr>
          <w:rFonts w:hint="eastAsia" w:ascii="宋体" w:hAnsi="宋体"/>
        </w:rPr>
        <w:t>4.1 任何要求对招标文件进行澄清的投标人，均应按相关规定的时间以书面形式通知招标人。逾期的澄清要求将不被接受。（提问格式附后）</w:t>
      </w:r>
    </w:p>
    <w:p>
      <w:pPr>
        <w:spacing w:line="300" w:lineRule="auto"/>
        <w:ind w:left="525"/>
        <w:rPr>
          <w:rFonts w:ascii="宋体" w:hAnsi="宋体"/>
        </w:rPr>
      </w:pPr>
    </w:p>
    <w:p>
      <w:pPr>
        <w:spacing w:line="300" w:lineRule="auto"/>
        <w:rPr>
          <w:rFonts w:ascii="宋体" w:hAnsi="宋体"/>
        </w:rPr>
      </w:pPr>
      <w:r>
        <w:rPr>
          <w:rFonts w:hint="eastAsia" w:ascii="宋体" w:hAnsi="宋体"/>
        </w:rPr>
        <w:t>5.招标文件的修改</w:t>
      </w:r>
    </w:p>
    <w:p>
      <w:pPr>
        <w:spacing w:line="300" w:lineRule="auto"/>
        <w:rPr>
          <w:rFonts w:ascii="宋体" w:hAnsi="宋体"/>
        </w:rPr>
      </w:pPr>
      <w:r>
        <w:rPr>
          <w:rFonts w:hint="eastAsia" w:ascii="宋体" w:hAnsi="宋体"/>
        </w:rPr>
        <w:t>5.1 为使投标人准备投标文件时有充分时间对招标文件的修改部分进行研究，招标人可自行决定是否延长递交投标文件截止时间。</w:t>
      </w:r>
    </w:p>
    <w:p>
      <w:pPr>
        <w:spacing w:line="300" w:lineRule="auto"/>
        <w:rPr>
          <w:rFonts w:ascii="宋体" w:hAnsi="宋体"/>
        </w:rPr>
      </w:pPr>
      <w:r>
        <w:rPr>
          <w:rFonts w:hint="eastAsia" w:ascii="宋体" w:hAnsi="宋体"/>
        </w:rPr>
        <w:t>5.2 在递交投标文件截止时间（包含延长了的递交投标文件截止时间）15天以前的任何时候，无论出于何种原因，招标人可主动地或在解答投标人提出的澄清问题时对招标文件进行修改。</w:t>
      </w:r>
    </w:p>
    <w:p>
      <w:pPr>
        <w:spacing w:line="300" w:lineRule="auto"/>
        <w:rPr>
          <w:rFonts w:ascii="宋体" w:hAnsi="宋体"/>
        </w:rPr>
      </w:pPr>
      <w:r>
        <w:rPr>
          <w:rFonts w:hint="eastAsia" w:ascii="宋体" w:hAnsi="宋体"/>
        </w:rPr>
        <w:t>5.3 招标文件的修改将以书面形式在递交投标文件截止时间（包含延长了的递交投标文件截止时间）15天前通知所有购买招标文件的投标人，并对其具有约束力。投标人在收到上述通知后，应立即向招标代理机构回函确认已收到上述通知，但是投标人的回函不作为其收到上述通知的唯一证据。</w:t>
      </w:r>
    </w:p>
    <w:p>
      <w:pPr>
        <w:spacing w:line="300" w:lineRule="auto"/>
        <w:ind w:left="525"/>
        <w:rPr>
          <w:rFonts w:ascii="宋体" w:hAnsi="宋体"/>
        </w:rPr>
      </w:pPr>
    </w:p>
    <w:p>
      <w:pPr>
        <w:spacing w:line="300" w:lineRule="auto"/>
        <w:jc w:val="center"/>
        <w:rPr>
          <w:rFonts w:ascii="宋体" w:hAnsi="宋体"/>
          <w:b/>
          <w:sz w:val="24"/>
          <w:szCs w:val="24"/>
        </w:rPr>
      </w:pPr>
      <w:r>
        <w:rPr>
          <w:rFonts w:hint="eastAsia" w:ascii="宋体" w:hAnsi="宋体"/>
          <w:b/>
          <w:sz w:val="24"/>
          <w:szCs w:val="24"/>
        </w:rPr>
        <w:t>三、投标文件的编制</w:t>
      </w:r>
    </w:p>
    <w:p>
      <w:pPr>
        <w:spacing w:line="300" w:lineRule="auto"/>
        <w:rPr>
          <w:rFonts w:ascii="宋体" w:hAnsi="宋体"/>
        </w:rPr>
      </w:pPr>
    </w:p>
    <w:p>
      <w:pPr>
        <w:spacing w:line="300" w:lineRule="auto"/>
        <w:rPr>
          <w:rFonts w:ascii="宋体" w:hAnsi="宋体"/>
        </w:rPr>
      </w:pPr>
      <w:r>
        <w:rPr>
          <w:rFonts w:hint="eastAsia" w:ascii="宋体" w:hAnsi="宋体"/>
        </w:rPr>
        <w:t>6.投标文件的语言</w:t>
      </w:r>
    </w:p>
    <w:p>
      <w:pPr>
        <w:spacing w:line="300" w:lineRule="auto"/>
        <w:rPr>
          <w:rFonts w:ascii="宋体" w:hAnsi="宋体"/>
        </w:rPr>
      </w:pPr>
      <w:r>
        <w:rPr>
          <w:rFonts w:ascii="宋体" w:hAnsi="宋体"/>
        </w:rPr>
        <w:t>6</w:t>
      </w:r>
      <w:r>
        <w:rPr>
          <w:rFonts w:hint="eastAsia" w:ascii="宋体" w:hAnsi="宋体"/>
        </w:rPr>
        <w:t>.1 投标人提交的投标文件以及投标人与招标人就有关投标文件的所有来往函电均应使用中文书写。投标人提交的支持文件和印制的文献可以用另一种语言，但相应内容应附有中文的翻译本，在解释投标文件时以中文翻译本为准。</w:t>
      </w:r>
    </w:p>
    <w:p>
      <w:pPr>
        <w:spacing w:line="300" w:lineRule="auto"/>
        <w:ind w:left="525"/>
        <w:rPr>
          <w:rFonts w:ascii="宋体" w:hAnsi="宋体"/>
        </w:rPr>
      </w:pPr>
    </w:p>
    <w:p>
      <w:pPr>
        <w:spacing w:line="300" w:lineRule="auto"/>
        <w:rPr>
          <w:rFonts w:ascii="宋体" w:hAnsi="宋体"/>
        </w:rPr>
      </w:pPr>
      <w:r>
        <w:rPr>
          <w:rFonts w:hint="eastAsia" w:ascii="宋体" w:hAnsi="宋体"/>
        </w:rPr>
        <w:t>7.投标文件构成（见第三章投标文件格式，按序装订）</w:t>
      </w:r>
    </w:p>
    <w:p>
      <w:pPr>
        <w:spacing w:line="300" w:lineRule="auto"/>
        <w:rPr>
          <w:rFonts w:ascii="宋体" w:hAnsi="宋体"/>
        </w:rPr>
      </w:pPr>
      <w:r>
        <w:rPr>
          <w:rFonts w:hint="eastAsia" w:ascii="宋体" w:hAnsi="宋体"/>
        </w:rPr>
        <w:t>7.1商务标</w:t>
      </w:r>
    </w:p>
    <w:p>
      <w:pPr>
        <w:spacing w:line="300" w:lineRule="auto"/>
        <w:ind w:firstLine="105"/>
        <w:rPr>
          <w:rFonts w:ascii="宋体" w:hAnsi="宋体"/>
        </w:rPr>
      </w:pPr>
      <w:r>
        <w:rPr>
          <w:rFonts w:hint="eastAsia" w:ascii="宋体" w:hAnsi="宋体"/>
        </w:rPr>
        <w:t>（1）投标书</w:t>
      </w:r>
    </w:p>
    <w:p>
      <w:pPr>
        <w:spacing w:line="300" w:lineRule="auto"/>
        <w:ind w:firstLine="105" w:firstLineChars="50"/>
        <w:rPr>
          <w:rFonts w:ascii="宋体" w:hAnsi="宋体"/>
        </w:rPr>
      </w:pPr>
      <w:r>
        <w:rPr>
          <w:rFonts w:hint="eastAsia" w:ascii="宋体" w:hAnsi="宋体"/>
        </w:rPr>
        <w:t>（2）法定代表人资格证明书</w:t>
      </w:r>
    </w:p>
    <w:p>
      <w:pPr>
        <w:spacing w:line="300" w:lineRule="auto"/>
        <w:ind w:firstLine="105" w:firstLineChars="50"/>
        <w:rPr>
          <w:rFonts w:ascii="宋体" w:hAnsi="宋体"/>
        </w:rPr>
      </w:pPr>
      <w:r>
        <w:rPr>
          <w:rFonts w:hint="eastAsia" w:ascii="宋体" w:hAnsi="宋体"/>
        </w:rPr>
        <w:t>（3）授权委托书</w:t>
      </w:r>
    </w:p>
    <w:p>
      <w:pPr>
        <w:spacing w:line="300" w:lineRule="auto"/>
        <w:ind w:firstLine="105" w:firstLineChars="50"/>
        <w:rPr>
          <w:rFonts w:ascii="宋体" w:hAnsi="宋体"/>
        </w:rPr>
      </w:pPr>
      <w:r>
        <w:rPr>
          <w:rFonts w:hint="eastAsia" w:ascii="宋体" w:hAnsi="宋体"/>
        </w:rPr>
        <w:t>（4）投标报价表</w:t>
      </w:r>
    </w:p>
    <w:p>
      <w:pPr>
        <w:spacing w:line="300" w:lineRule="auto"/>
        <w:ind w:firstLine="105" w:firstLineChars="50"/>
        <w:rPr>
          <w:rFonts w:ascii="宋体" w:hAnsi="宋体"/>
        </w:rPr>
      </w:pPr>
      <w:r>
        <w:rPr>
          <w:rFonts w:hint="eastAsia" w:ascii="宋体" w:hAnsi="宋体"/>
        </w:rPr>
        <w:t>（5）商务条款与技术条款偏离表</w:t>
      </w:r>
    </w:p>
    <w:p>
      <w:pPr>
        <w:spacing w:line="300" w:lineRule="auto"/>
        <w:ind w:firstLine="105" w:firstLineChars="50"/>
        <w:rPr>
          <w:rFonts w:ascii="宋体" w:hAnsi="宋体"/>
        </w:rPr>
      </w:pPr>
      <w:r>
        <w:rPr>
          <w:rFonts w:hint="eastAsia" w:ascii="宋体" w:hAnsi="宋体"/>
        </w:rPr>
        <w:t>（6）质量、服务承诺书</w:t>
      </w:r>
    </w:p>
    <w:p>
      <w:pPr>
        <w:spacing w:line="300" w:lineRule="auto"/>
        <w:ind w:left="567" w:leftChars="50" w:hanging="462" w:hangingChars="220"/>
        <w:rPr>
          <w:rFonts w:ascii="宋体" w:hAnsi="宋体"/>
          <w:szCs w:val="21"/>
        </w:rPr>
      </w:pPr>
      <w:r>
        <w:rPr>
          <w:rFonts w:hint="eastAsia" w:ascii="宋体" w:hAnsi="宋体"/>
          <w:szCs w:val="21"/>
        </w:rPr>
        <w:t>（7）承诺书</w:t>
      </w:r>
    </w:p>
    <w:p>
      <w:pPr>
        <w:spacing w:line="300" w:lineRule="auto"/>
        <w:ind w:firstLine="105" w:firstLineChars="50"/>
        <w:rPr>
          <w:rFonts w:ascii="宋体" w:hAnsi="宋体"/>
        </w:rPr>
      </w:pPr>
      <w:r>
        <w:rPr>
          <w:rFonts w:hint="eastAsia" w:ascii="宋体" w:hAnsi="宋体"/>
        </w:rPr>
        <w:t>（8）辅助资料表</w:t>
      </w:r>
    </w:p>
    <w:p>
      <w:pPr>
        <w:spacing w:line="300" w:lineRule="auto"/>
        <w:ind w:firstLine="105" w:firstLineChars="50"/>
        <w:rPr>
          <w:rFonts w:ascii="宋体" w:hAnsi="宋体"/>
        </w:rPr>
      </w:pPr>
      <w:r>
        <w:rPr>
          <w:rFonts w:hint="eastAsia" w:ascii="宋体" w:hAnsi="宋体"/>
        </w:rPr>
        <w:t>（9）合格投标人资格证明文件（请按1.2条顺序装订）</w:t>
      </w:r>
    </w:p>
    <w:p>
      <w:pPr>
        <w:spacing w:line="300" w:lineRule="auto"/>
        <w:ind w:firstLine="105" w:firstLineChars="50"/>
        <w:rPr>
          <w:rFonts w:ascii="宋体" w:hAnsi="宋体"/>
        </w:rPr>
      </w:pPr>
      <w:r>
        <w:rPr>
          <w:rFonts w:hint="eastAsia" w:ascii="宋体" w:hAnsi="宋体"/>
        </w:rPr>
        <w:t>（10）其它投标附件：</w:t>
      </w:r>
    </w:p>
    <w:p>
      <w:pPr>
        <w:spacing w:line="300" w:lineRule="auto"/>
        <w:ind w:left="735" w:leftChars="350"/>
        <w:rPr>
          <w:rFonts w:ascii="宋体" w:hAnsi="宋体"/>
        </w:rPr>
      </w:pPr>
      <w:r>
        <w:rPr>
          <w:rFonts w:hint="eastAsia" w:ascii="宋体" w:hAnsi="宋体"/>
        </w:rPr>
        <w:t>企业法人营业执照（副本）、资质证书、业绩、资信等级证书复印件等投标人相关证明材料。</w:t>
      </w:r>
    </w:p>
    <w:p>
      <w:pPr>
        <w:spacing w:line="300" w:lineRule="auto"/>
        <w:ind w:firstLine="105" w:firstLineChars="50"/>
        <w:rPr>
          <w:rFonts w:ascii="宋体" w:hAnsi="宋体"/>
        </w:rPr>
      </w:pPr>
      <w:r>
        <w:rPr>
          <w:rFonts w:hint="eastAsia" w:ascii="宋体" w:hAnsi="宋体"/>
        </w:rPr>
        <w:t>7.2技术标</w:t>
      </w:r>
    </w:p>
    <w:p>
      <w:pPr>
        <w:spacing w:line="300" w:lineRule="auto"/>
        <w:ind w:firstLine="210" w:firstLineChars="100"/>
        <w:rPr>
          <w:rFonts w:ascii="宋体" w:hAnsi="宋体"/>
        </w:rPr>
      </w:pPr>
      <w:r>
        <w:rPr>
          <w:rFonts w:hint="eastAsia" w:ascii="宋体" w:hAnsi="宋体"/>
        </w:rPr>
        <w:t>（1）设计方案优化及合理化建议</w:t>
      </w:r>
    </w:p>
    <w:p>
      <w:pPr>
        <w:spacing w:line="300" w:lineRule="auto"/>
        <w:ind w:firstLine="210" w:firstLineChars="100"/>
        <w:rPr>
          <w:rFonts w:ascii="宋体" w:hAnsi="宋体"/>
        </w:rPr>
      </w:pPr>
      <w:r>
        <w:rPr>
          <w:rFonts w:hint="eastAsia" w:ascii="宋体" w:hAnsi="宋体"/>
        </w:rPr>
        <w:t>（2）施工组织设计：投标人的施工组织架构与人员部署、进度计划方案，以及质量保证体系及措施；保证工期措施、保证安全措施、工程进度计划表等合理性方面。</w:t>
      </w:r>
    </w:p>
    <w:p>
      <w:pPr>
        <w:spacing w:line="300" w:lineRule="auto"/>
        <w:rPr>
          <w:rFonts w:ascii="宋体" w:hAnsi="宋体"/>
        </w:rPr>
      </w:pPr>
      <w:r>
        <w:rPr>
          <w:rFonts w:hint="eastAsia" w:ascii="宋体" w:hAnsi="宋体"/>
        </w:rPr>
        <w:t>注：投标单位应充分理解招标文件中的全部内容，投标文件一经提出即表明投标单位已经充分理解，完全确认招标文件的全部内容。投标单位确认的投标文件具有法律效力，与招标单位任何人的口头协议不能影响投标文件的任何条款和内容。投标人提供的以上材料必须真实有效，任何一项的虚假将导致其投标文件被拒绝。</w:t>
      </w:r>
    </w:p>
    <w:p>
      <w:pPr>
        <w:spacing w:line="300" w:lineRule="auto"/>
        <w:ind w:left="525"/>
        <w:rPr>
          <w:rFonts w:ascii="宋体" w:hAnsi="宋体"/>
        </w:rPr>
      </w:pPr>
    </w:p>
    <w:p>
      <w:pPr>
        <w:spacing w:line="300" w:lineRule="auto"/>
        <w:rPr>
          <w:rFonts w:ascii="宋体" w:hAnsi="宋体"/>
          <w:szCs w:val="21"/>
        </w:rPr>
      </w:pPr>
      <w:r>
        <w:rPr>
          <w:rFonts w:hint="eastAsia" w:ascii="宋体" w:hAnsi="宋体"/>
          <w:szCs w:val="21"/>
        </w:rPr>
        <w:t>8.投标文件的式样和签署</w:t>
      </w:r>
    </w:p>
    <w:p>
      <w:pPr>
        <w:spacing w:line="300" w:lineRule="auto"/>
        <w:rPr>
          <w:rFonts w:ascii="宋体" w:hAnsi="宋体"/>
        </w:rPr>
      </w:pPr>
      <w:r>
        <w:rPr>
          <w:rFonts w:hint="eastAsia" w:ascii="宋体" w:hAnsi="宋体"/>
        </w:rPr>
        <w:t>8.1</w:t>
      </w:r>
      <w:r>
        <w:rPr>
          <w:rFonts w:ascii="宋体" w:hAnsi="宋体"/>
        </w:rPr>
        <w:t xml:space="preserve"> 投标文件一式</w:t>
      </w:r>
      <w:r>
        <w:rPr>
          <w:rFonts w:hint="eastAsia" w:ascii="宋体" w:hAnsi="宋体"/>
          <w:lang w:val="en-US" w:eastAsia="zh-CN"/>
        </w:rPr>
        <w:t>2</w:t>
      </w:r>
      <w:r>
        <w:rPr>
          <w:rFonts w:hint="eastAsia" w:ascii="宋体" w:hAnsi="宋体"/>
          <w:u w:val="single"/>
        </w:rPr>
        <w:t xml:space="preserve"> </w:t>
      </w:r>
      <w:r>
        <w:rPr>
          <w:rFonts w:hint="eastAsia" w:ascii="宋体" w:hAnsi="宋体"/>
        </w:rPr>
        <w:t>份，其中，正本</w:t>
      </w:r>
      <w:r>
        <w:rPr>
          <w:rFonts w:hint="eastAsia" w:ascii="宋体" w:hAnsi="宋体"/>
          <w:u w:val="single"/>
        </w:rPr>
        <w:t xml:space="preserve"> 1</w:t>
      </w:r>
      <w:r>
        <w:rPr>
          <w:rFonts w:hint="eastAsia" w:ascii="宋体" w:hAnsi="宋体"/>
        </w:rPr>
        <w:t>份，副本</w:t>
      </w:r>
      <w:r>
        <w:rPr>
          <w:rFonts w:hint="eastAsia" w:ascii="宋体" w:hAnsi="宋体"/>
          <w:lang w:val="en-US" w:eastAsia="zh-CN"/>
        </w:rPr>
        <w:t>1</w:t>
      </w:r>
      <w:r>
        <w:rPr>
          <w:rFonts w:hint="eastAsia" w:ascii="宋体" w:hAnsi="宋体"/>
        </w:rPr>
        <w:t>份，电子版</w:t>
      </w:r>
      <w:r>
        <w:rPr>
          <w:rFonts w:hint="eastAsia" w:ascii="宋体" w:hAnsi="宋体"/>
          <w:u w:val="single"/>
        </w:rPr>
        <w:t xml:space="preserve"> 1 </w:t>
      </w:r>
      <w:r>
        <w:rPr>
          <w:rFonts w:hint="eastAsia" w:ascii="宋体" w:hAnsi="宋体"/>
        </w:rPr>
        <w:t>份。投标文件用中文编写，建议A4纸胶装（图纸除外）。其中正本必须注明“正本”字样，正、副本内容必须保持一致，副本可以用复印件。若正本和副本不符，以正本为准。</w:t>
      </w:r>
    </w:p>
    <w:p>
      <w:pPr>
        <w:spacing w:line="300" w:lineRule="auto"/>
        <w:rPr>
          <w:rFonts w:ascii="宋体" w:hAnsi="宋体"/>
        </w:rPr>
      </w:pPr>
      <w:r>
        <w:rPr>
          <w:rFonts w:hint="eastAsia" w:ascii="宋体" w:hAnsi="宋体"/>
        </w:rPr>
        <w:t>8.2 投标文件需由投标人法定代表人或经法定代表人正式授权并对投标人有约束力的代表在投标文件上签字。投标文件如是授权代表签字，须将“法定代表人授权书”附在投标文件中。投标文件无法定代表人签字，或签字无法定代表人有效授权，投标文件将被拒绝。</w:t>
      </w:r>
    </w:p>
    <w:p>
      <w:pPr>
        <w:spacing w:line="300" w:lineRule="auto"/>
        <w:rPr>
          <w:rFonts w:ascii="宋体" w:hAnsi="宋体"/>
        </w:rPr>
      </w:pPr>
      <w:r>
        <w:rPr>
          <w:rFonts w:hint="eastAsia" w:ascii="宋体" w:hAnsi="宋体"/>
        </w:rPr>
        <w:t>8.3 如投标人对招标文件个别内容不能接受，应在投标文件中另做声明，否则将视为投标人接受招标文件全部内容。</w:t>
      </w:r>
    </w:p>
    <w:p>
      <w:pPr>
        <w:spacing w:line="300" w:lineRule="auto"/>
        <w:rPr>
          <w:rFonts w:ascii="宋体" w:hAnsi="宋体"/>
        </w:rPr>
      </w:pPr>
      <w:r>
        <w:rPr>
          <w:rFonts w:hint="eastAsia" w:ascii="宋体" w:hAnsi="宋体"/>
        </w:rPr>
        <w:t>8.4 任何对投标文件行间插字、涂改和增删，必须由投标文件签字人签字或盖章后才有效。</w:t>
      </w:r>
    </w:p>
    <w:p>
      <w:pPr>
        <w:spacing w:line="300" w:lineRule="auto"/>
        <w:rPr>
          <w:rFonts w:ascii="宋体" w:hAnsi="宋体"/>
        </w:rPr>
      </w:pPr>
      <w:r>
        <w:rPr>
          <w:rFonts w:hint="eastAsia" w:ascii="宋体" w:hAnsi="宋体"/>
        </w:rPr>
        <w:t>8.5 投标文件因字迹潦草或表达不清所引起的后果由投标人负责。</w:t>
      </w:r>
    </w:p>
    <w:p>
      <w:pPr>
        <w:spacing w:line="300" w:lineRule="auto"/>
        <w:rPr>
          <w:rFonts w:ascii="宋体" w:hAnsi="宋体"/>
          <w:b/>
        </w:rPr>
      </w:pPr>
      <w:r>
        <w:rPr>
          <w:rFonts w:hint="eastAsia" w:ascii="宋体" w:hAnsi="宋体"/>
          <w:b/>
        </w:rPr>
        <w:t>8.6 投标人在整个项目过程中相关文件的签订、履行、通知等事项的书面文件中的单位盖章、印章、公章等处均仅指与当事人名称全称相一致的标准公章，不得使用其他形式（如带有“专用章”等字样）的印章。</w:t>
      </w:r>
    </w:p>
    <w:p>
      <w:pPr>
        <w:spacing w:line="300" w:lineRule="auto"/>
        <w:ind w:left="525"/>
        <w:rPr>
          <w:rFonts w:ascii="宋体" w:hAnsi="宋体"/>
        </w:rPr>
      </w:pPr>
    </w:p>
    <w:p>
      <w:pPr>
        <w:spacing w:line="300" w:lineRule="auto"/>
        <w:rPr>
          <w:rFonts w:ascii="宋体" w:hAnsi="宋体"/>
        </w:rPr>
      </w:pPr>
      <w:r>
        <w:rPr>
          <w:rFonts w:hint="eastAsia" w:ascii="宋体" w:hAnsi="宋体"/>
        </w:rPr>
        <w:t>9.报价</w:t>
      </w:r>
    </w:p>
    <w:p>
      <w:pPr>
        <w:spacing w:line="300" w:lineRule="auto"/>
        <w:rPr>
          <w:rFonts w:ascii="宋体" w:hAnsi="宋体"/>
        </w:rPr>
      </w:pPr>
      <w:r>
        <w:rPr>
          <w:rFonts w:hint="eastAsia" w:ascii="宋体" w:hAnsi="宋体"/>
        </w:rPr>
        <w:t>9.1 报价：人民币，元，单价。</w:t>
      </w:r>
    </w:p>
    <w:p>
      <w:pPr>
        <w:spacing w:line="300" w:lineRule="auto"/>
        <w:rPr>
          <w:rFonts w:ascii="宋体" w:hAnsi="宋体"/>
        </w:rPr>
      </w:pPr>
      <w:r>
        <w:rPr>
          <w:rFonts w:hint="eastAsia" w:ascii="宋体" w:hAnsi="宋体"/>
        </w:rPr>
        <w:t>9.2投标报价，应包括：</w:t>
      </w:r>
    </w:p>
    <w:p>
      <w:pPr>
        <w:spacing w:line="300" w:lineRule="auto"/>
        <w:rPr>
          <w:rFonts w:ascii="宋体" w:hAnsi="宋体"/>
        </w:rPr>
      </w:pPr>
      <w:r>
        <w:rPr>
          <w:rFonts w:hint="eastAsia" w:ascii="宋体" w:hAnsi="宋体"/>
        </w:rPr>
        <w:t>9.2.1，以招标人营业场所预警接入项目作为模拟采购报价依据。交付买方使用约定免费质保期两年。</w:t>
      </w:r>
    </w:p>
    <w:p>
      <w:pPr>
        <w:spacing w:line="300" w:lineRule="auto"/>
        <w:rPr>
          <w:rFonts w:ascii="宋体" w:hAnsi="宋体"/>
        </w:rPr>
      </w:pPr>
      <w:r>
        <w:rPr>
          <w:rFonts w:hint="eastAsia" w:ascii="宋体" w:hAnsi="宋体"/>
        </w:rPr>
        <w:t>9.2.2投标总价不得包含招标文件要求以外的内容，否则，在评标时不予核减。投标总价中也不得缺漏招标文件所要求的内容，否则视为让利（有重大缺项、漏项评委会讨论作废标处理的除外）。</w:t>
      </w:r>
    </w:p>
    <w:p>
      <w:pPr>
        <w:spacing w:line="300" w:lineRule="auto"/>
        <w:rPr>
          <w:rFonts w:ascii="宋体" w:hAnsi="宋体"/>
        </w:rPr>
      </w:pPr>
      <w:r>
        <w:rPr>
          <w:rFonts w:hint="eastAsia" w:ascii="宋体" w:hAnsi="宋体"/>
        </w:rPr>
        <w:t>9.2.3投标人应根据自身实际情况进行自主报价，并最大限度地满足招标文件的要求，但不得低于成本。</w:t>
      </w:r>
    </w:p>
    <w:p>
      <w:pPr>
        <w:spacing w:line="300" w:lineRule="auto"/>
        <w:rPr>
          <w:rFonts w:ascii="宋体" w:hAnsi="宋体"/>
        </w:rPr>
      </w:pPr>
      <w:r>
        <w:rPr>
          <w:rFonts w:hint="eastAsia" w:ascii="宋体" w:hAnsi="宋体"/>
        </w:rPr>
        <w:t>9.2.4本次报价招标人提供所需设备集采目录，目录之外的设备采购选择请注明并说明选择的原因。</w:t>
      </w:r>
    </w:p>
    <w:p>
      <w:pPr>
        <w:spacing w:line="300" w:lineRule="auto"/>
        <w:rPr>
          <w:rFonts w:ascii="宋体" w:hAnsi="宋体"/>
        </w:rPr>
      </w:pPr>
      <w:r>
        <w:rPr>
          <w:rFonts w:hint="eastAsia" w:ascii="宋体" w:hAnsi="宋体"/>
        </w:rPr>
        <w:t>9.2.5投标单位对招标文件要求的设备材料进行报价，投标报价时设备数量必须按照招标清单中的数量，不得增减，投标总价包括所有设备材料产品的成本、包装、运输、安装、调试、保险、利润、税金、政策性文件规定及合同包含的所有风险、责任以及土建等单位的配合费、中标服务费等各项应有费用，招标单位不接受任何选择价。</w:t>
      </w:r>
    </w:p>
    <w:p>
      <w:pPr>
        <w:spacing w:line="300" w:lineRule="auto"/>
        <w:rPr>
          <w:rFonts w:ascii="宋体" w:hAnsi="宋体"/>
        </w:rPr>
      </w:pPr>
      <w:r>
        <w:rPr>
          <w:rFonts w:hint="eastAsia" w:ascii="宋体" w:hAnsi="宋体"/>
        </w:rPr>
        <w:t>9.2.6</w:t>
      </w:r>
      <w:r>
        <w:rPr>
          <w:rFonts w:ascii="宋体" w:hAnsi="宋体"/>
        </w:rPr>
        <w:t>投标单位应按照招标单位提供的技术资料及招标文件规定的格式填报</w:t>
      </w:r>
      <w:r>
        <w:rPr>
          <w:rFonts w:hint="eastAsia" w:ascii="宋体" w:hAnsi="宋体"/>
        </w:rPr>
        <w:t>，投标人所投产品须满足或优于招标文件要求</w:t>
      </w:r>
      <w:r>
        <w:rPr>
          <w:rFonts w:ascii="宋体" w:hAnsi="宋体"/>
        </w:rPr>
        <w:t>。</w:t>
      </w:r>
    </w:p>
    <w:p>
      <w:pPr>
        <w:spacing w:line="300" w:lineRule="auto"/>
        <w:rPr>
          <w:rFonts w:ascii="宋体" w:hAnsi="宋体"/>
        </w:rPr>
      </w:pPr>
    </w:p>
    <w:p>
      <w:pPr>
        <w:spacing w:line="300" w:lineRule="auto"/>
        <w:rPr>
          <w:rFonts w:ascii="宋体" w:hAnsi="宋体"/>
        </w:rPr>
      </w:pPr>
      <w:r>
        <w:rPr>
          <w:rFonts w:hint="eastAsia" w:ascii="宋体" w:hAnsi="宋体"/>
        </w:rPr>
        <w:t>10</w:t>
      </w:r>
      <w:r>
        <w:rPr>
          <w:rFonts w:ascii="宋体" w:hAnsi="宋体"/>
        </w:rPr>
        <w:t>.</w:t>
      </w:r>
      <w:r>
        <w:rPr>
          <w:rFonts w:hint="eastAsia" w:ascii="宋体" w:hAnsi="宋体"/>
        </w:rPr>
        <w:t>投标保证金</w:t>
      </w:r>
    </w:p>
    <w:p>
      <w:pPr>
        <w:spacing w:line="300" w:lineRule="auto"/>
        <w:ind w:firstLine="525"/>
        <w:rPr>
          <w:rFonts w:hint="eastAsia" w:ascii="宋体" w:hAnsi="宋体" w:eastAsia="宋体"/>
          <w:lang w:eastAsia="zh-CN"/>
        </w:rPr>
      </w:pPr>
      <w:r>
        <w:rPr>
          <w:rFonts w:hint="eastAsia" w:ascii="宋体" w:hAnsi="宋体"/>
          <w:lang w:val="en-US" w:eastAsia="zh-CN"/>
        </w:rPr>
        <w:t>无</w:t>
      </w:r>
    </w:p>
    <w:p>
      <w:pPr>
        <w:spacing w:line="300" w:lineRule="auto"/>
        <w:rPr>
          <w:rFonts w:ascii="宋体" w:hAnsi="宋体"/>
          <w:szCs w:val="21"/>
        </w:rPr>
      </w:pPr>
      <w:r>
        <w:rPr>
          <w:rFonts w:ascii="宋体" w:hAnsi="宋体"/>
        </w:rPr>
        <w:t>11</w:t>
      </w:r>
      <w:r>
        <w:rPr>
          <w:rFonts w:hint="eastAsia" w:ascii="宋体" w:hAnsi="宋体"/>
        </w:rPr>
        <w:t>.投标文件有效期</w:t>
      </w:r>
    </w:p>
    <w:p>
      <w:pPr>
        <w:spacing w:line="300" w:lineRule="auto"/>
        <w:rPr>
          <w:rFonts w:ascii="宋体" w:hAnsi="宋体"/>
        </w:rPr>
      </w:pPr>
      <w:r>
        <w:rPr>
          <w:rFonts w:ascii="宋体" w:hAnsi="宋体"/>
        </w:rPr>
        <w:t>11.1</w:t>
      </w:r>
      <w:r>
        <w:rPr>
          <w:rFonts w:hint="eastAsia" w:ascii="宋体" w:hAnsi="宋体"/>
        </w:rPr>
        <w:t>投标人递交的投标文件应在规定的递交投标文件截止日后的90天内保持有效。有效期不满足要求的投标文件将被视为非响应性文件而予以拒绝。</w:t>
      </w:r>
    </w:p>
    <w:p>
      <w:pPr>
        <w:spacing w:line="300" w:lineRule="auto"/>
        <w:rPr>
          <w:rFonts w:ascii="宋体" w:hAnsi="宋体"/>
        </w:rPr>
      </w:pPr>
      <w:r>
        <w:rPr>
          <w:rFonts w:ascii="宋体" w:hAnsi="宋体"/>
        </w:rPr>
        <w:t xml:space="preserve">11.2 </w:t>
      </w:r>
      <w:r>
        <w:rPr>
          <w:rFonts w:hint="eastAsia" w:ascii="宋体" w:hAnsi="宋体"/>
        </w:rPr>
        <w:t>特殊情况下，在原投标有效期截止之前，招标人可要求投标人同意延长投标有效期。这种要求与答复均应以书面形式提交。投标人可拒绝这种要求，其保证金将不会被没收。接受延长有效期的投标人将不会被要求和允许修正其投标文件，而只会被要求相应地延长其投标保证金的有效期。在这种情况下，本须知第</w:t>
      </w:r>
      <w:r>
        <w:rPr>
          <w:rFonts w:ascii="宋体" w:hAnsi="宋体"/>
        </w:rPr>
        <w:t>1</w:t>
      </w:r>
      <w:r>
        <w:rPr>
          <w:rFonts w:hint="eastAsia" w:ascii="宋体" w:hAnsi="宋体"/>
        </w:rPr>
        <w:t>0条有关投标保证金的退还和没收的规定将在延长了的有效期内继续有效。</w:t>
      </w:r>
    </w:p>
    <w:p>
      <w:pPr>
        <w:spacing w:line="300" w:lineRule="auto"/>
        <w:ind w:left="525"/>
        <w:rPr>
          <w:rFonts w:ascii="宋体" w:hAnsi="宋体"/>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四、投标文件的递交</w:t>
      </w:r>
    </w:p>
    <w:p>
      <w:pPr>
        <w:spacing w:line="300" w:lineRule="auto"/>
        <w:rPr>
          <w:rFonts w:ascii="宋体" w:hAnsi="宋体"/>
        </w:rPr>
      </w:pPr>
    </w:p>
    <w:p>
      <w:pPr>
        <w:spacing w:line="300" w:lineRule="auto"/>
        <w:rPr>
          <w:rFonts w:ascii="宋体" w:hAnsi="宋体"/>
        </w:rPr>
      </w:pPr>
      <w:r>
        <w:rPr>
          <w:rFonts w:ascii="宋体" w:hAnsi="宋体"/>
        </w:rPr>
        <w:t>12</w:t>
      </w:r>
      <w:r>
        <w:rPr>
          <w:rFonts w:hint="eastAsia" w:ascii="宋体" w:hAnsi="宋体"/>
        </w:rPr>
        <w:t>.投标文件的密封和标记</w:t>
      </w:r>
    </w:p>
    <w:p>
      <w:pPr>
        <w:spacing w:line="300" w:lineRule="auto"/>
        <w:rPr>
          <w:rFonts w:ascii="宋体" w:hAnsi="宋体"/>
        </w:rPr>
      </w:pPr>
      <w:r>
        <w:rPr>
          <w:rFonts w:ascii="宋体" w:hAnsi="宋体"/>
        </w:rPr>
        <w:t>12.1</w:t>
      </w:r>
      <w:r>
        <w:rPr>
          <w:rFonts w:hint="eastAsia" w:ascii="宋体" w:hAnsi="宋体"/>
        </w:rPr>
        <w:t xml:space="preserve"> 投标人应密封提交开标一览表（附后）两份，并在信封上标明“开标一览表”字样。投标文件正本和副本、“开标一览表”分开密封，封袋</w:t>
      </w:r>
      <w:r>
        <w:rPr>
          <w:rFonts w:hint="eastAsia"/>
        </w:rPr>
        <w:t>封口处加盖投标人公章</w:t>
      </w:r>
      <w:r>
        <w:rPr>
          <w:rFonts w:hint="eastAsia" w:ascii="宋体" w:hAnsi="宋体"/>
        </w:rPr>
        <w:t>且在封袋上标明“正本”、“副本” “开标一览表”字样。</w:t>
      </w:r>
    </w:p>
    <w:p>
      <w:pPr>
        <w:pStyle w:val="36"/>
        <w:spacing w:line="300" w:lineRule="auto"/>
      </w:pPr>
      <w:r>
        <w:rPr>
          <w:rFonts w:hAnsi="宋体"/>
        </w:rPr>
        <w:t>12.</w:t>
      </w:r>
      <w:r>
        <w:rPr>
          <w:rFonts w:hint="eastAsia" w:hAnsi="宋体"/>
        </w:rPr>
        <w:t>2</w:t>
      </w:r>
      <w:r>
        <w:rPr>
          <w:rFonts w:hint="eastAsia"/>
        </w:rPr>
        <w:t>封袋上均应：</w:t>
      </w:r>
    </w:p>
    <w:p>
      <w:pPr>
        <w:spacing w:line="300" w:lineRule="auto"/>
        <w:ind w:left="525" w:leftChars="250"/>
      </w:pPr>
      <w:r>
        <w:rPr>
          <w:rFonts w:hint="eastAsia"/>
        </w:rPr>
        <w:t>1）注明“招标文件”中指明的项目名称、编号和“</w:t>
      </w:r>
      <w:r>
        <w:rPr>
          <w:rFonts w:hint="eastAsia"/>
          <w:u w:val="single"/>
        </w:rPr>
        <w:t>年月日时间</w:t>
      </w:r>
      <w:r>
        <w:rPr>
          <w:rFonts w:hint="eastAsia"/>
        </w:rPr>
        <w:t>”之前不得启封的字样，并填入“招标文件”规定的日期和时间。</w:t>
      </w:r>
    </w:p>
    <w:p>
      <w:pPr>
        <w:spacing w:line="300" w:lineRule="auto"/>
        <w:rPr>
          <w:rFonts w:ascii="宋体" w:hAnsi="宋体"/>
        </w:rPr>
      </w:pPr>
      <w:r>
        <w:rPr>
          <w:rFonts w:ascii="宋体" w:hAnsi="宋体"/>
        </w:rPr>
        <w:t>12.</w:t>
      </w:r>
      <w:r>
        <w:rPr>
          <w:rFonts w:hint="eastAsia" w:ascii="宋体" w:hAnsi="宋体"/>
        </w:rPr>
        <w:t>3封袋应写明投标人名称和地址，以便若其投标文件被宣布为“迟到”投标文件时，能原封退回。</w:t>
      </w:r>
    </w:p>
    <w:p>
      <w:pPr>
        <w:spacing w:line="300" w:lineRule="auto"/>
        <w:rPr>
          <w:rFonts w:ascii="宋体" w:hAnsi="宋体"/>
        </w:rPr>
      </w:pPr>
      <w:r>
        <w:rPr>
          <w:rFonts w:ascii="宋体" w:hAnsi="宋体"/>
        </w:rPr>
        <w:t>12.</w:t>
      </w:r>
      <w:r>
        <w:rPr>
          <w:rFonts w:hint="eastAsia" w:ascii="宋体" w:hAnsi="宋体"/>
        </w:rPr>
        <w:t>4 如果封袋未按本须知第12.2条要求加写标记和密封，招标人对误投或过早启封概不负责。</w:t>
      </w:r>
    </w:p>
    <w:p>
      <w:pPr>
        <w:spacing w:line="300" w:lineRule="auto"/>
        <w:rPr>
          <w:rFonts w:ascii="宋体" w:hAnsi="宋体"/>
        </w:rPr>
      </w:pPr>
      <w:r>
        <w:rPr>
          <w:rFonts w:hint="eastAsia" w:ascii="宋体" w:hAnsi="宋体"/>
        </w:rPr>
        <w:t>12.5 投标人须由其合法的授权人在递交投标文件截止时间之前将投标文件送达递交地点。投标人须承担因未送达及签字所造成的一切责任。</w:t>
      </w:r>
    </w:p>
    <w:p>
      <w:pPr>
        <w:spacing w:line="300" w:lineRule="auto"/>
        <w:ind w:left="525"/>
        <w:rPr>
          <w:rFonts w:ascii="宋体" w:hAnsi="宋体"/>
        </w:rPr>
      </w:pPr>
    </w:p>
    <w:p>
      <w:pPr>
        <w:spacing w:line="300" w:lineRule="auto"/>
        <w:rPr>
          <w:rFonts w:ascii="宋体" w:hAnsi="宋体"/>
          <w:szCs w:val="21"/>
        </w:rPr>
      </w:pPr>
      <w:r>
        <w:rPr>
          <w:rFonts w:ascii="宋体" w:hAnsi="宋体"/>
        </w:rPr>
        <w:t>13</w:t>
      </w:r>
      <w:r>
        <w:rPr>
          <w:rFonts w:hint="eastAsia" w:ascii="宋体" w:hAnsi="宋体"/>
        </w:rPr>
        <w:t>.递交投标文件截止时间</w:t>
      </w:r>
    </w:p>
    <w:p>
      <w:pPr>
        <w:spacing w:line="300" w:lineRule="auto"/>
        <w:rPr>
          <w:rFonts w:ascii="宋体" w:hAnsi="宋体"/>
        </w:rPr>
      </w:pPr>
      <w:r>
        <w:rPr>
          <w:rFonts w:ascii="宋体" w:hAnsi="宋体"/>
        </w:rPr>
        <w:t>13.1</w:t>
      </w:r>
      <w:r>
        <w:rPr>
          <w:rFonts w:hint="eastAsia" w:ascii="宋体" w:hAnsi="宋体"/>
        </w:rPr>
        <w:t>招标人收到投标文件的时间不迟于前附表规定的递交投标文件截止时间。</w:t>
      </w:r>
    </w:p>
    <w:p>
      <w:pPr>
        <w:spacing w:line="300" w:lineRule="auto"/>
        <w:rPr>
          <w:rFonts w:ascii="宋体" w:hAnsi="宋体"/>
        </w:rPr>
      </w:pPr>
      <w:r>
        <w:rPr>
          <w:rFonts w:ascii="宋体" w:hAnsi="宋体"/>
        </w:rPr>
        <w:t>13.2</w:t>
      </w:r>
      <w:r>
        <w:rPr>
          <w:rFonts w:hint="eastAsia" w:ascii="宋体" w:hAnsi="宋体"/>
        </w:rPr>
        <w:t>招标人可以按本须知第5条规定，通过修改招标文件自行决定酌情延长递交投标文件截止时间。在此情况下，招标人和投标人受递交投标文件截止时间制约的所有权利和义务均应延长至新的截止期。</w:t>
      </w:r>
    </w:p>
    <w:p>
      <w:pPr>
        <w:spacing w:line="300" w:lineRule="auto"/>
        <w:ind w:firstLine="525" w:firstLineChars="250"/>
        <w:rPr>
          <w:rFonts w:ascii="宋体" w:hAnsi="宋体"/>
        </w:rPr>
      </w:pPr>
    </w:p>
    <w:p>
      <w:pPr>
        <w:spacing w:line="300" w:lineRule="auto"/>
        <w:rPr>
          <w:rFonts w:ascii="宋体" w:hAnsi="宋体"/>
        </w:rPr>
      </w:pPr>
      <w:r>
        <w:rPr>
          <w:rFonts w:hint="eastAsia" w:ascii="宋体" w:hAnsi="宋体"/>
        </w:rPr>
        <w:t>14.迟交的投标文件</w:t>
      </w:r>
    </w:p>
    <w:p>
      <w:pPr>
        <w:spacing w:line="300" w:lineRule="auto"/>
        <w:rPr>
          <w:rFonts w:ascii="宋体" w:hAnsi="宋体"/>
        </w:rPr>
      </w:pPr>
      <w:r>
        <w:rPr>
          <w:rFonts w:ascii="宋体" w:hAnsi="宋体"/>
        </w:rPr>
        <w:t>14.1</w:t>
      </w:r>
      <w:r>
        <w:rPr>
          <w:rFonts w:hint="eastAsia" w:ascii="宋体" w:hAnsi="宋体"/>
        </w:rPr>
        <w:t>招标人将拒绝并原封退回在规定的递交投标文件截止时间后收到的任何投标文件。</w:t>
      </w:r>
    </w:p>
    <w:p>
      <w:pPr>
        <w:spacing w:line="300" w:lineRule="auto"/>
        <w:ind w:left="525"/>
        <w:rPr>
          <w:rFonts w:ascii="宋体" w:hAnsi="宋体"/>
        </w:rPr>
      </w:pPr>
    </w:p>
    <w:p>
      <w:pPr>
        <w:spacing w:line="300" w:lineRule="auto"/>
        <w:rPr>
          <w:rFonts w:ascii="宋体" w:hAnsi="宋体"/>
        </w:rPr>
      </w:pPr>
      <w:r>
        <w:rPr>
          <w:rFonts w:ascii="宋体" w:hAnsi="宋体"/>
        </w:rPr>
        <w:t>15</w:t>
      </w:r>
      <w:r>
        <w:rPr>
          <w:rFonts w:hint="eastAsia" w:ascii="宋体" w:hAnsi="宋体"/>
        </w:rPr>
        <w:t>.投标文件的修改与撤回</w:t>
      </w:r>
    </w:p>
    <w:p>
      <w:pPr>
        <w:spacing w:line="300" w:lineRule="auto"/>
        <w:rPr>
          <w:rFonts w:ascii="宋体" w:hAnsi="宋体"/>
        </w:rPr>
      </w:pPr>
      <w:r>
        <w:rPr>
          <w:rFonts w:ascii="宋体" w:hAnsi="宋体"/>
        </w:rPr>
        <w:t>15.1</w:t>
      </w:r>
      <w:r>
        <w:rPr>
          <w:rFonts w:hint="eastAsia" w:ascii="宋体" w:hAnsi="宋体"/>
        </w:rPr>
        <w:t>投标人在递交投标文件后，可以修改或撤回其投标文件，但招标人必须在规定的递交投标文件截止时间之前，收到投标人发出的修改或撤回的书面通知。</w:t>
      </w:r>
    </w:p>
    <w:p>
      <w:pPr>
        <w:spacing w:line="300" w:lineRule="auto"/>
        <w:rPr>
          <w:rFonts w:ascii="宋体" w:hAnsi="宋体"/>
        </w:rPr>
      </w:pPr>
      <w:r>
        <w:rPr>
          <w:rFonts w:ascii="宋体" w:hAnsi="宋体"/>
        </w:rPr>
        <w:t>15.2</w:t>
      </w:r>
      <w:r>
        <w:rPr>
          <w:rFonts w:hint="eastAsia" w:ascii="宋体" w:hAnsi="宋体"/>
        </w:rPr>
        <w:t>投标人的修改或撤回通知应按本须知第</w:t>
      </w:r>
      <w:r>
        <w:rPr>
          <w:rFonts w:ascii="宋体" w:hAnsi="宋体"/>
        </w:rPr>
        <w:t>1</w:t>
      </w:r>
      <w:r>
        <w:rPr>
          <w:rFonts w:hint="eastAsia" w:ascii="宋体" w:hAnsi="宋体"/>
        </w:rPr>
        <w:t>2条规定编制、密封、标记和发送。</w:t>
      </w:r>
    </w:p>
    <w:p>
      <w:pPr>
        <w:spacing w:line="300" w:lineRule="auto"/>
        <w:rPr>
          <w:rFonts w:ascii="宋体" w:hAnsi="宋体"/>
        </w:rPr>
      </w:pPr>
      <w:r>
        <w:rPr>
          <w:rFonts w:ascii="宋体" w:hAnsi="宋体"/>
        </w:rPr>
        <w:t>15.3</w:t>
      </w:r>
      <w:r>
        <w:rPr>
          <w:rFonts w:hint="eastAsia" w:ascii="宋体" w:hAnsi="宋体"/>
        </w:rPr>
        <w:t>在递交投标文件截止时间之后，投标人不得对其投标文件做任何修改。</w:t>
      </w:r>
    </w:p>
    <w:p>
      <w:pPr>
        <w:spacing w:line="300" w:lineRule="auto"/>
        <w:rPr>
          <w:rFonts w:ascii="宋体" w:hAnsi="宋体"/>
        </w:rPr>
      </w:pPr>
      <w:r>
        <w:rPr>
          <w:rFonts w:ascii="宋体" w:hAnsi="宋体"/>
        </w:rPr>
        <w:t>15.4</w:t>
      </w:r>
      <w:r>
        <w:rPr>
          <w:rFonts w:hint="eastAsia" w:ascii="宋体" w:hAnsi="宋体"/>
        </w:rPr>
        <w:t>从递交投标文件截止时间至投标人在</w:t>
      </w:r>
      <w:r>
        <w:rPr>
          <w:rFonts w:hint="eastAsia" w:ascii="宋体" w:hAnsi="宋体" w:cs="宋体"/>
        </w:rPr>
        <w:t>投标书</w:t>
      </w:r>
      <w:r>
        <w:rPr>
          <w:rFonts w:hint="eastAsia" w:ascii="宋体" w:hAnsi="宋体"/>
        </w:rPr>
        <w:t>格式中确定的投标有效期之间的这段时间内，投标人不得撤回其投标文件，否则其投标保证金将按照本须知第10</w:t>
      </w:r>
      <w:r>
        <w:rPr>
          <w:rFonts w:ascii="宋体" w:hAnsi="宋体"/>
        </w:rPr>
        <w:t>.</w:t>
      </w:r>
      <w:r>
        <w:rPr>
          <w:rFonts w:hint="eastAsia" w:ascii="宋体" w:hAnsi="宋体"/>
        </w:rPr>
        <w:t>6条的规定被没收。</w:t>
      </w:r>
    </w:p>
    <w:p>
      <w:pPr>
        <w:spacing w:line="300" w:lineRule="auto"/>
        <w:ind w:left="525"/>
        <w:rPr>
          <w:rFonts w:ascii="宋体" w:hAnsi="宋体"/>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五、开标及评标</w:t>
      </w:r>
    </w:p>
    <w:p>
      <w:pPr>
        <w:spacing w:line="300" w:lineRule="auto"/>
        <w:rPr>
          <w:rFonts w:ascii="宋体" w:hAnsi="宋体"/>
        </w:rPr>
      </w:pPr>
      <w:r>
        <w:rPr>
          <w:rFonts w:hint="eastAsia" w:ascii="宋体" w:hAnsi="宋体"/>
        </w:rPr>
        <w:t>16.开标</w:t>
      </w:r>
    </w:p>
    <w:p>
      <w:pPr>
        <w:spacing w:line="300" w:lineRule="auto"/>
        <w:rPr>
          <w:rFonts w:ascii="宋体" w:hAnsi="宋体"/>
        </w:rPr>
      </w:pPr>
      <w:r>
        <w:rPr>
          <w:rFonts w:hint="eastAsia" w:ascii="宋体" w:hAnsi="宋体"/>
        </w:rPr>
        <w:t>16.l招标人按第一章“投标人须知”前附表规定的时间和地点开标，。</w:t>
      </w:r>
    </w:p>
    <w:p>
      <w:pPr>
        <w:spacing w:line="300" w:lineRule="auto"/>
        <w:rPr>
          <w:rFonts w:ascii="宋体" w:hAnsi="宋体"/>
        </w:rPr>
      </w:pPr>
      <w:r>
        <w:rPr>
          <w:rFonts w:hint="eastAsia" w:ascii="宋体" w:hAnsi="宋体"/>
        </w:rPr>
        <w:t>16.2</w:t>
      </w:r>
      <w:r>
        <w:rPr>
          <w:rFonts w:hint="eastAsia" w:ascii="楷体_GB2312" w:eastAsia="楷体_GB2312"/>
          <w:color w:val="000000"/>
          <w:sz w:val="24"/>
        </w:rPr>
        <w:t xml:space="preserve"> </w:t>
      </w:r>
      <w:r>
        <w:rPr>
          <w:rFonts w:hint="eastAsia" w:asciiTheme="minorEastAsia" w:hAnsiTheme="minorEastAsia" w:eastAsiaTheme="minorEastAsia" w:cstheme="minorEastAsia"/>
          <w:sz w:val="21"/>
          <w:szCs w:val="21"/>
        </w:rPr>
        <w:t>投标人无需到场。</w:t>
      </w:r>
    </w:p>
    <w:p>
      <w:pPr>
        <w:spacing w:line="300" w:lineRule="auto"/>
        <w:rPr>
          <w:rFonts w:ascii="宋体" w:hAnsi="宋体"/>
        </w:rPr>
      </w:pPr>
      <w:r>
        <w:rPr>
          <w:rFonts w:hint="eastAsia" w:ascii="宋体" w:hAnsi="宋体"/>
        </w:rPr>
        <w:t>16.3开标时，招标人、监督人员将查验投标文件密封情况，确认无误后拆封唱标，公布每份投标文件中“开标一览表”的各项内容，以及招标人认为合适的其他内容并记录。</w:t>
      </w:r>
    </w:p>
    <w:p>
      <w:pPr>
        <w:spacing w:line="300" w:lineRule="auto"/>
        <w:rPr>
          <w:rFonts w:ascii="宋体" w:hAnsi="宋体"/>
        </w:rPr>
      </w:pPr>
      <w:r>
        <w:rPr>
          <w:rFonts w:hint="eastAsia" w:ascii="宋体" w:hAnsi="宋体"/>
        </w:rPr>
        <w:t>16.4若投标文件未密封，或逾期送达的或者未送达指定地点的，招标人不予受理。</w:t>
      </w:r>
    </w:p>
    <w:p>
      <w:pPr>
        <w:spacing w:line="300" w:lineRule="auto"/>
        <w:rPr>
          <w:rFonts w:ascii="宋体" w:hAnsi="宋体"/>
        </w:rPr>
      </w:pPr>
      <w:r>
        <w:rPr>
          <w:rFonts w:hint="eastAsia" w:ascii="宋体" w:hAnsi="宋体"/>
        </w:rPr>
        <w:t>17.评标委员会</w:t>
      </w:r>
    </w:p>
    <w:p>
      <w:pPr>
        <w:spacing w:line="300" w:lineRule="auto"/>
        <w:rPr>
          <w:rFonts w:ascii="宋体" w:hAnsi="宋体"/>
        </w:rPr>
      </w:pPr>
      <w:r>
        <w:rPr>
          <w:rFonts w:hint="eastAsia" w:ascii="宋体" w:hAnsi="宋体"/>
        </w:rPr>
        <w:t>17.l评标委员会由招标人和有关技术、经济等方面的专家组成，人数为5人或以上的单数。</w:t>
      </w:r>
    </w:p>
    <w:p>
      <w:pPr>
        <w:spacing w:line="300" w:lineRule="auto"/>
        <w:rPr>
          <w:rFonts w:ascii="宋体" w:hAnsi="宋体"/>
        </w:rPr>
      </w:pPr>
      <w:r>
        <w:rPr>
          <w:rFonts w:hint="eastAsia" w:ascii="宋体" w:hAnsi="宋体"/>
        </w:rPr>
        <w:t>18.投标文件的初审</w:t>
      </w:r>
    </w:p>
    <w:p>
      <w:pPr>
        <w:spacing w:line="300" w:lineRule="auto"/>
        <w:rPr>
          <w:rFonts w:ascii="宋体" w:hAnsi="宋体"/>
        </w:rPr>
      </w:pPr>
      <w:r>
        <w:rPr>
          <w:rFonts w:hint="eastAsia" w:ascii="宋体" w:hAnsi="宋体"/>
        </w:rPr>
        <w:t>18</w:t>
      </w:r>
      <w:r>
        <w:rPr>
          <w:rFonts w:ascii="宋体" w:hAnsi="宋体"/>
        </w:rPr>
        <w:t xml:space="preserve">.1 </w:t>
      </w:r>
      <w:r>
        <w:rPr>
          <w:rFonts w:hint="eastAsia" w:ascii="宋体" w:hAnsi="宋体"/>
        </w:rPr>
        <w:t>评标委员会将初步审查投标文件是否完整、总体编排是否有序、文件签署是否合格、投标人是否提交了保证金、有无计算上的错误等。只有通过初步评审才能进入详细评审。</w:t>
      </w:r>
    </w:p>
    <w:p>
      <w:pPr>
        <w:spacing w:line="300" w:lineRule="auto"/>
        <w:rPr>
          <w:rFonts w:ascii="宋体" w:hAnsi="宋体"/>
        </w:rPr>
      </w:pPr>
      <w:r>
        <w:rPr>
          <w:rFonts w:hint="eastAsia" w:ascii="宋体" w:hAnsi="宋体"/>
        </w:rPr>
        <w:t>18</w:t>
      </w:r>
      <w:r>
        <w:rPr>
          <w:rFonts w:ascii="宋体" w:hAnsi="宋体"/>
        </w:rPr>
        <w:t xml:space="preserve">.2 </w:t>
      </w:r>
      <w:r>
        <w:rPr>
          <w:rFonts w:hint="eastAsia" w:ascii="宋体" w:hAnsi="宋体"/>
        </w:rPr>
        <w:t>算术错误将按以下方法更正：若单价计算的结果与总价不一致，以单价为准修改总价；若用文字表示的数值与用数字表示的数值不一致，以文字表示的数值为准。如果投标人不接受对其错误的更正，其投标文件将被拒绝。</w:t>
      </w:r>
    </w:p>
    <w:p>
      <w:pPr>
        <w:spacing w:line="300" w:lineRule="auto"/>
        <w:rPr>
          <w:rFonts w:ascii="宋体" w:hAnsi="宋体"/>
        </w:rPr>
      </w:pPr>
      <w:r>
        <w:rPr>
          <w:rFonts w:hint="eastAsia" w:ascii="宋体" w:hAnsi="宋体"/>
        </w:rPr>
        <w:t>18</w:t>
      </w:r>
      <w:r>
        <w:rPr>
          <w:rFonts w:ascii="宋体" w:hAnsi="宋体"/>
        </w:rPr>
        <w:t xml:space="preserve">.3 </w:t>
      </w:r>
      <w:r>
        <w:rPr>
          <w:rFonts w:hint="eastAsia" w:ascii="宋体" w:hAnsi="宋体"/>
        </w:rPr>
        <w:t>对于投标文件中不构成实质性偏差的不正规、不一致或不规则，评审委员会可以接受，但这种接受不能损害或影响任何投标人的相对排序。</w:t>
      </w:r>
    </w:p>
    <w:p>
      <w:pPr>
        <w:spacing w:line="300" w:lineRule="auto"/>
        <w:rPr>
          <w:rFonts w:hint="eastAsia"/>
        </w:rPr>
      </w:pPr>
      <w:r>
        <w:rPr>
          <w:rFonts w:hint="eastAsia" w:ascii="宋体" w:hAnsi="宋体"/>
        </w:rPr>
        <w:t>18</w:t>
      </w:r>
      <w:r>
        <w:rPr>
          <w:rFonts w:ascii="宋体" w:hAnsi="宋体"/>
        </w:rPr>
        <w:t>.4</w:t>
      </w:r>
      <w:r>
        <w:rPr>
          <w:rFonts w:hint="eastAsia"/>
        </w:rPr>
        <w:t>评标委员会还将审查每份投标文件对招标文件的要求是否作出了实质性的响应。实质性响应是指投标文件符合招标文件的所有条款、条件和规格，而没有重大偏离或保留。重大偏离或保留系指影响到招标文件规定的供货范围、质量和性能，或限制了买方的权力和投标人的义务的规定，而纠正这</w:t>
      </w: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ascii="宋体" w:hAnsi="宋体"/>
        </w:rPr>
      </w:pPr>
      <w:r>
        <w:rPr>
          <w:rFonts w:hint="eastAsia"/>
        </w:rPr>
        <w:t>些偏离将影响到其他提交了实质性响应投标文件的投标人的公平竞争地位。</w:t>
      </w:r>
      <w:r>
        <w:rPr>
          <w:rFonts w:hint="eastAsia" w:ascii="宋体" w:hAnsi="宋体"/>
        </w:rPr>
        <w:t>评标委员会决定投标文件的响应性只根据投标文件本身的内容，而不寻求外部的证据。</w:t>
      </w:r>
    </w:p>
    <w:p>
      <w:pPr>
        <w:spacing w:line="300" w:lineRule="auto"/>
        <w:rPr>
          <w:rFonts w:ascii="宋体" w:hAnsi="宋体"/>
        </w:rPr>
      </w:pPr>
      <w:r>
        <w:rPr>
          <w:rFonts w:hint="eastAsia" w:ascii="宋体" w:hAnsi="宋体"/>
        </w:rPr>
        <w:t>18</w:t>
      </w:r>
      <w:r>
        <w:rPr>
          <w:rFonts w:ascii="宋体" w:hAnsi="宋体"/>
        </w:rPr>
        <w:t xml:space="preserve">.5 </w:t>
      </w:r>
      <w:r>
        <w:rPr>
          <w:rFonts w:hint="eastAsia" w:ascii="宋体" w:hAnsi="宋体"/>
        </w:rPr>
        <w:t>实质上没有响应招标文件要求的投标文件将被拒绝。投标人不得通过修正或撤消不合要求的偏离或保留从而使其投标文件成为实质上响应的投标文件。如发现下列情况之一的，其投标文件将可能被拒绝：</w:t>
      </w:r>
    </w:p>
    <w:p>
      <w:pPr>
        <w:spacing w:line="300" w:lineRule="auto"/>
        <w:ind w:left="424" w:leftChars="202"/>
      </w:pPr>
      <w:r>
        <w:rPr>
          <w:rFonts w:hint="eastAsia"/>
          <w:lang w:val="en-US" w:eastAsia="zh-CN"/>
        </w:rPr>
        <w:t>1</w:t>
      </w:r>
      <w:r>
        <w:rPr>
          <w:rFonts w:hint="eastAsia"/>
        </w:rPr>
        <w:t>）投标人</w:t>
      </w:r>
      <w:r>
        <w:rPr>
          <w:rFonts w:hint="eastAsia" w:ascii="宋体" w:hAnsi="宋体"/>
        </w:rPr>
        <w:t>在</w:t>
      </w:r>
      <w:r>
        <w:rPr>
          <w:rFonts w:hint="eastAsia"/>
        </w:rPr>
        <w:t>投标文件</w:t>
      </w:r>
      <w:r>
        <w:rPr>
          <w:rFonts w:hint="eastAsia" w:ascii="宋体" w:hAnsi="宋体"/>
        </w:rPr>
        <w:t>中提供的货物及/或服务不能实质性满足招标文件要求的；</w:t>
      </w:r>
    </w:p>
    <w:p>
      <w:pPr>
        <w:spacing w:line="300" w:lineRule="auto"/>
        <w:ind w:left="424" w:leftChars="202"/>
        <w:rPr>
          <w:rFonts w:ascii="宋体" w:hAnsi="宋体"/>
        </w:rPr>
      </w:pPr>
      <w:r>
        <w:rPr>
          <w:rFonts w:hint="eastAsia"/>
          <w:lang w:val="en-US" w:eastAsia="zh-CN"/>
        </w:rPr>
        <w:t>2</w:t>
      </w:r>
      <w:r>
        <w:rPr>
          <w:rFonts w:hint="eastAsia"/>
        </w:rPr>
        <w:t>）资格证明文件不全、失效或不符合招标文件要求的；</w:t>
      </w:r>
    </w:p>
    <w:p>
      <w:pPr>
        <w:spacing w:line="300" w:lineRule="auto"/>
        <w:ind w:left="424" w:leftChars="202"/>
      </w:pPr>
      <w:r>
        <w:rPr>
          <w:rFonts w:hint="eastAsia"/>
          <w:lang w:val="en-US" w:eastAsia="zh-CN"/>
        </w:rPr>
        <w:t>3</w:t>
      </w:r>
      <w:r>
        <w:rPr>
          <w:rFonts w:hint="eastAsia"/>
        </w:rPr>
        <w:t>）投标文件未盖投标人公章、无法定代表人签字，或签字人无法定代表人有效授权的；</w:t>
      </w:r>
    </w:p>
    <w:p>
      <w:pPr>
        <w:spacing w:line="300" w:lineRule="auto"/>
        <w:ind w:left="424" w:leftChars="202"/>
      </w:pPr>
      <w:r>
        <w:rPr>
          <w:rFonts w:hint="eastAsia"/>
          <w:lang w:val="en-US" w:eastAsia="zh-CN"/>
        </w:rPr>
        <w:t>4</w:t>
      </w:r>
      <w:r>
        <w:rPr>
          <w:rFonts w:hint="eastAsia"/>
        </w:rPr>
        <w:t>）投标文件有效期不足的；</w:t>
      </w:r>
    </w:p>
    <w:p>
      <w:pPr>
        <w:spacing w:line="300" w:lineRule="auto"/>
        <w:ind w:left="424" w:leftChars="202"/>
      </w:pPr>
      <w:r>
        <w:rPr>
          <w:rFonts w:hint="eastAsia"/>
          <w:lang w:val="en-US" w:eastAsia="zh-CN"/>
        </w:rPr>
        <w:t>5</w:t>
      </w:r>
      <w:r>
        <w:rPr>
          <w:rFonts w:hint="eastAsia"/>
        </w:rPr>
        <w:t>）投标文件载明的招标项目完成期限及质保期不满足招标文件规定的；</w:t>
      </w:r>
    </w:p>
    <w:p>
      <w:pPr>
        <w:spacing w:line="300" w:lineRule="auto"/>
        <w:ind w:left="424" w:leftChars="202"/>
      </w:pPr>
      <w:r>
        <w:rPr>
          <w:rFonts w:hint="eastAsia"/>
          <w:lang w:val="en-US" w:eastAsia="zh-CN"/>
        </w:rPr>
        <w:t>6</w:t>
      </w:r>
      <w:r>
        <w:rPr>
          <w:rFonts w:hint="eastAsia"/>
        </w:rPr>
        <w:t>）明显不符合技术规范、技术标准的要求；</w:t>
      </w:r>
    </w:p>
    <w:p>
      <w:pPr>
        <w:spacing w:line="300" w:lineRule="auto"/>
        <w:ind w:left="424" w:leftChars="202"/>
      </w:pPr>
      <w:r>
        <w:rPr>
          <w:rFonts w:hint="eastAsia"/>
          <w:lang w:val="en-US" w:eastAsia="zh-CN"/>
        </w:rPr>
        <w:t>7</w:t>
      </w:r>
      <w:r>
        <w:rPr>
          <w:rFonts w:hint="eastAsia"/>
        </w:rPr>
        <w:t>）投标报价超过招标文件规定的最高限价或改变了招标文件规定的暂定价格的；</w:t>
      </w:r>
    </w:p>
    <w:p>
      <w:pPr>
        <w:spacing w:line="300" w:lineRule="auto"/>
        <w:ind w:left="424" w:leftChars="202"/>
      </w:pPr>
      <w:r>
        <w:rPr>
          <w:rFonts w:hint="eastAsia"/>
          <w:lang w:val="en-US" w:eastAsia="zh-CN"/>
        </w:rPr>
        <w:t>8</w:t>
      </w:r>
      <w:r>
        <w:rPr>
          <w:rFonts w:hint="eastAsia"/>
        </w:rPr>
        <w:t>）改变了招标文件提供的工程量清单名称及数量的；</w:t>
      </w:r>
    </w:p>
    <w:p>
      <w:pPr>
        <w:spacing w:line="300" w:lineRule="auto"/>
        <w:ind w:left="424" w:leftChars="202"/>
      </w:pPr>
      <w:r>
        <w:rPr>
          <w:rFonts w:hint="eastAsia"/>
          <w:lang w:val="en-US" w:eastAsia="zh-CN"/>
        </w:rPr>
        <w:t>9</w:t>
      </w:r>
      <w:r>
        <w:rPr>
          <w:rFonts w:hint="eastAsia"/>
        </w:rPr>
        <w:t>）投标文件附有招标人不能接受的条件；</w:t>
      </w:r>
    </w:p>
    <w:p>
      <w:pPr>
        <w:spacing w:line="300" w:lineRule="auto"/>
        <w:ind w:left="424" w:leftChars="202"/>
      </w:pPr>
      <w:r>
        <w:rPr>
          <w:rFonts w:hint="eastAsia"/>
        </w:rPr>
        <w:t>1</w:t>
      </w:r>
      <w:r>
        <w:rPr>
          <w:rFonts w:hint="eastAsia"/>
          <w:lang w:val="en-US" w:eastAsia="zh-CN"/>
        </w:rPr>
        <w:t>0</w:t>
      </w:r>
      <w:r>
        <w:rPr>
          <w:rFonts w:hint="eastAsia"/>
        </w:rPr>
        <w:t>）投标文件中提供虚假或失实资料的；</w:t>
      </w:r>
    </w:p>
    <w:p>
      <w:pPr>
        <w:spacing w:line="300" w:lineRule="auto"/>
        <w:ind w:left="424" w:leftChars="202"/>
      </w:pPr>
      <w:r>
        <w:rPr>
          <w:rFonts w:hint="eastAsia"/>
        </w:rPr>
        <w:t>1</w:t>
      </w:r>
      <w:r>
        <w:rPr>
          <w:rFonts w:hint="eastAsia"/>
          <w:lang w:val="en-US" w:eastAsia="zh-CN"/>
        </w:rPr>
        <w:t>1</w:t>
      </w:r>
      <w:r>
        <w:rPr>
          <w:rFonts w:hint="eastAsia"/>
        </w:rPr>
        <w:t>）评标委员会认为不能实质上满足招标文件其它要求的。</w:t>
      </w:r>
    </w:p>
    <w:p>
      <w:pPr>
        <w:spacing w:line="300" w:lineRule="auto"/>
        <w:rPr>
          <w:rFonts w:ascii="宋体" w:hAnsi="宋体"/>
        </w:rPr>
      </w:pPr>
      <w:r>
        <w:rPr>
          <w:rFonts w:hint="eastAsia" w:ascii="宋体" w:hAnsi="宋体"/>
        </w:rPr>
        <w:t>18</w:t>
      </w:r>
      <w:r>
        <w:rPr>
          <w:rFonts w:ascii="宋体" w:hAnsi="宋体"/>
        </w:rPr>
        <w:t>.</w:t>
      </w:r>
      <w:r>
        <w:rPr>
          <w:rFonts w:hint="eastAsia" w:ascii="宋体" w:hAnsi="宋体"/>
        </w:rPr>
        <w:t>6招标人保留对通过初审的投标人进行进一步审查的权利。招标人在认为必要的情况下，有权要求已通过初审的投标人提交有关资质证明文件的原件，如发现投标人提供的投标文件与资质原件有不符</w:t>
      </w:r>
      <w:r>
        <w:rPr>
          <w:rFonts w:ascii="宋体" w:hAnsi="宋体"/>
        </w:rPr>
        <w:t>、</w:t>
      </w:r>
      <w:r>
        <w:rPr>
          <w:rFonts w:hint="eastAsia" w:ascii="宋体" w:hAnsi="宋体"/>
        </w:rPr>
        <w:t>伪造或涂改等情况，将取消该投标人的资格。</w:t>
      </w:r>
    </w:p>
    <w:p>
      <w:pPr>
        <w:spacing w:line="300" w:lineRule="auto"/>
        <w:rPr>
          <w:rFonts w:ascii="宋体" w:hAnsi="宋体"/>
        </w:rPr>
      </w:pPr>
      <w:r>
        <w:rPr>
          <w:rFonts w:hint="eastAsia" w:ascii="宋体" w:hAnsi="宋体"/>
        </w:rPr>
        <w:t>19.投标文件的澄清</w:t>
      </w:r>
    </w:p>
    <w:p>
      <w:pPr>
        <w:spacing w:line="300" w:lineRule="auto"/>
        <w:rPr>
          <w:rFonts w:ascii="宋体" w:hAnsi="宋体"/>
        </w:rPr>
      </w:pPr>
      <w:r>
        <w:rPr>
          <w:rFonts w:hint="eastAsia" w:ascii="宋体" w:hAnsi="宋体"/>
        </w:rPr>
        <w:t>19</w:t>
      </w:r>
      <w:r>
        <w:rPr>
          <w:rFonts w:ascii="宋体" w:hAnsi="宋体"/>
        </w:rPr>
        <w:t>.1</w:t>
      </w:r>
      <w:r>
        <w:rPr>
          <w:rFonts w:hint="eastAsia"/>
        </w:rPr>
        <w:t>在评标期间，评标委员会有权要求投标人对其投标文件进行澄清。投标人应派授权代表和技术人员按评标委员会通知的时间和地点接受询标。</w:t>
      </w:r>
    </w:p>
    <w:p>
      <w:pPr>
        <w:spacing w:line="300" w:lineRule="auto"/>
        <w:rPr>
          <w:rFonts w:ascii="宋体" w:hAnsi="宋体"/>
        </w:rPr>
      </w:pPr>
      <w:r>
        <w:rPr>
          <w:rFonts w:hint="eastAsia" w:ascii="宋体" w:hAnsi="宋体"/>
        </w:rPr>
        <w:t>19</w:t>
      </w:r>
      <w:r>
        <w:rPr>
          <w:rFonts w:ascii="宋体" w:hAnsi="宋体"/>
        </w:rPr>
        <w:t>.</w:t>
      </w:r>
      <w:r>
        <w:rPr>
          <w:rFonts w:hint="eastAsia" w:ascii="宋体" w:hAnsi="宋体"/>
        </w:rPr>
        <w:t>2</w:t>
      </w:r>
      <w:r>
        <w:rPr>
          <w:rFonts w:hint="eastAsia"/>
        </w:rPr>
        <w:t>评标委员会认为有必要，可要求投标人对某些问题作出书面答复。书面答复须由投标人法人代表或授权代表签署，并作为投标文件的补充，参与评标</w:t>
      </w:r>
      <w:r>
        <w:rPr>
          <w:rFonts w:hint="eastAsia" w:ascii="宋体" w:hAnsi="宋体"/>
        </w:rPr>
        <w:t>。</w:t>
      </w:r>
    </w:p>
    <w:p>
      <w:pPr>
        <w:spacing w:line="300" w:lineRule="auto"/>
        <w:rPr>
          <w:rFonts w:ascii="宋体" w:hAnsi="宋体"/>
        </w:rPr>
      </w:pPr>
      <w:r>
        <w:rPr>
          <w:rFonts w:hint="eastAsia" w:ascii="宋体" w:hAnsi="宋体"/>
        </w:rPr>
        <w:t>19.3</w:t>
      </w:r>
      <w:r>
        <w:rPr>
          <w:rFonts w:hint="eastAsia"/>
        </w:rPr>
        <w:t>并非每个投标人都将被询标</w:t>
      </w:r>
      <w:r>
        <w:rPr>
          <w:rFonts w:hint="eastAsia" w:ascii="宋体" w:hAnsi="宋体"/>
        </w:rPr>
        <w:t>。</w:t>
      </w:r>
    </w:p>
    <w:p>
      <w:pPr>
        <w:spacing w:line="300" w:lineRule="auto"/>
        <w:rPr>
          <w:rFonts w:ascii="宋体" w:hAnsi="宋体"/>
        </w:rPr>
      </w:pPr>
      <w:r>
        <w:rPr>
          <w:rFonts w:hint="eastAsia" w:ascii="宋体" w:hAnsi="宋体"/>
        </w:rPr>
        <w:t>19.4 接到评标委员会澄清要求的投标人如未按第19条的规定做出澄清，其风险由投标人自行承担。</w:t>
      </w:r>
    </w:p>
    <w:p>
      <w:pPr>
        <w:spacing w:line="300" w:lineRule="auto"/>
        <w:rPr>
          <w:rFonts w:ascii="宋体" w:hAnsi="宋体"/>
        </w:rPr>
      </w:pPr>
      <w:r>
        <w:rPr>
          <w:rFonts w:hint="eastAsia" w:ascii="宋体" w:hAnsi="宋体"/>
        </w:rPr>
        <w:t>20. 评标及定标</w:t>
      </w:r>
    </w:p>
    <w:p>
      <w:pPr>
        <w:spacing w:line="300" w:lineRule="auto"/>
        <w:rPr>
          <w:rFonts w:ascii="宋体" w:hAnsi="宋体"/>
        </w:rPr>
      </w:pPr>
      <w:r>
        <w:rPr>
          <w:rFonts w:hint="eastAsia" w:ascii="宋体" w:hAnsi="宋体"/>
        </w:rPr>
        <w:t>20.1</w:t>
      </w:r>
      <w:r>
        <w:rPr>
          <w:rFonts w:hint="eastAsia"/>
        </w:rPr>
        <w:t>评标委员会将对实质上响应招标文件的投标文件进行评价和比较。最低投标价等任何单项因素的最优不是中标的必要条件。</w:t>
      </w:r>
    </w:p>
    <w:p>
      <w:pPr>
        <w:spacing w:line="300" w:lineRule="auto"/>
        <w:rPr>
          <w:rFonts w:hint="eastAsia"/>
        </w:rPr>
      </w:pPr>
      <w:r>
        <w:rPr>
          <w:rFonts w:hint="eastAsia" w:ascii="宋体" w:hAnsi="宋体"/>
        </w:rPr>
        <w:t>20.2本项目采用综合评估法，由评标委员会对各有效投标文件的报价、技术、施工组织计划进行评审和比较，采用百分制评估，取所有评委的</w:t>
      </w:r>
      <w:r>
        <w:rPr>
          <w:rFonts w:hint="eastAsia"/>
        </w:rPr>
        <w:t>算术平均值作为投标人最终得分，并根据得分高低排1-5名，并推荐中标候选人。</w:t>
      </w: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ascii="宋体" w:hAnsi="宋体"/>
        </w:rPr>
      </w:pPr>
    </w:p>
    <w:p>
      <w:pPr>
        <w:spacing w:line="300" w:lineRule="auto"/>
        <w:rPr>
          <w:rFonts w:ascii="宋体" w:hAnsi="宋体"/>
        </w:rPr>
      </w:pPr>
      <w:r>
        <w:rPr>
          <w:rFonts w:hint="eastAsia" w:ascii="宋体" w:hAnsi="宋体"/>
        </w:rPr>
        <w:t>20.4评分标准：满分100分</w:t>
      </w:r>
    </w:p>
    <w:tbl>
      <w:tblPr>
        <w:tblStyle w:val="63"/>
        <w:tblW w:w="9636" w:type="dxa"/>
        <w:jc w:val="center"/>
        <w:tblLayout w:type="fixed"/>
        <w:tblCellMar>
          <w:top w:w="0" w:type="dxa"/>
          <w:left w:w="108" w:type="dxa"/>
          <w:bottom w:w="0" w:type="dxa"/>
          <w:right w:w="108" w:type="dxa"/>
        </w:tblCellMar>
      </w:tblPr>
      <w:tblGrid>
        <w:gridCol w:w="1111"/>
        <w:gridCol w:w="1830"/>
        <w:gridCol w:w="6024"/>
        <w:gridCol w:w="671"/>
      </w:tblGrid>
      <w:tr>
        <w:tblPrEx>
          <w:tblCellMar>
            <w:top w:w="0" w:type="dxa"/>
            <w:left w:w="108" w:type="dxa"/>
            <w:bottom w:w="0" w:type="dxa"/>
            <w:right w:w="108" w:type="dxa"/>
          </w:tblCellMar>
        </w:tblPrEx>
        <w:trPr>
          <w:trHeight w:val="450"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Cs w:val="21"/>
              </w:rPr>
            </w:pPr>
            <w:r>
              <w:rPr>
                <w:rFonts w:hint="eastAsia" w:ascii="宋体" w:hAnsi="宋体" w:cs="宋体"/>
                <w:b/>
                <w:bCs/>
                <w:kern w:val="0"/>
                <w:szCs w:val="21"/>
              </w:rPr>
              <w:t>评审项目</w:t>
            </w:r>
          </w:p>
        </w:tc>
        <w:tc>
          <w:tcPr>
            <w:tcW w:w="6024"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Cs w:val="21"/>
              </w:rPr>
            </w:pPr>
            <w:r>
              <w:rPr>
                <w:rFonts w:hint="eastAsia" w:ascii="宋体" w:hAnsi="宋体" w:cs="宋体"/>
                <w:b/>
                <w:bCs/>
                <w:kern w:val="0"/>
                <w:szCs w:val="21"/>
              </w:rPr>
              <w:t>评分要求</w:t>
            </w:r>
          </w:p>
        </w:tc>
        <w:tc>
          <w:tcPr>
            <w:tcW w:w="671" w:type="dxa"/>
            <w:tcBorders>
              <w:top w:val="single" w:color="auto" w:sz="2" w:space="0"/>
              <w:bottom w:val="single" w:color="auto" w:sz="2" w:space="0"/>
              <w:right w:val="single" w:color="auto" w:sz="2" w:space="0"/>
            </w:tcBorders>
            <w:vAlign w:val="center"/>
          </w:tcPr>
          <w:p>
            <w:pPr>
              <w:widowControl/>
              <w:jc w:val="center"/>
              <w:rPr>
                <w:kern w:val="0"/>
                <w:sz w:val="20"/>
              </w:rPr>
            </w:pPr>
            <w:r>
              <w:rPr>
                <w:rFonts w:hint="eastAsia"/>
                <w:b/>
              </w:rPr>
              <w:t>得分</w:t>
            </w:r>
          </w:p>
        </w:tc>
      </w:tr>
      <w:tr>
        <w:tblPrEx>
          <w:tblCellMar>
            <w:top w:w="0" w:type="dxa"/>
            <w:left w:w="108" w:type="dxa"/>
            <w:bottom w:w="0" w:type="dxa"/>
            <w:right w:w="108" w:type="dxa"/>
          </w:tblCellMar>
        </w:tblPrEx>
        <w:trPr>
          <w:trHeight w:val="1799"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价格分</w:t>
            </w:r>
          </w:p>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0</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若满足招标文件要求的各有效投标人≥7家，去掉最高价和最低价，剩余有效投标报价的平均报价作为评审基准价；若满足招标文件要求的各有效投标人＜7家，则有效投标报价的平均报价作为评审基准价；投标人的报价较评审基准价，每高1%扣0.</w:t>
            </w:r>
            <w:r>
              <w:rPr>
                <w:rFonts w:ascii="宋体" w:hAnsi="宋体"/>
                <w:kern w:val="0"/>
                <w:szCs w:val="21"/>
              </w:rPr>
              <w:t>6</w:t>
            </w:r>
            <w:r>
              <w:rPr>
                <w:rFonts w:hint="eastAsia" w:ascii="宋体" w:hAnsi="宋体"/>
                <w:kern w:val="0"/>
                <w:szCs w:val="21"/>
              </w:rPr>
              <w:t>分，每低1%，扣减0.</w:t>
            </w:r>
            <w:r>
              <w:rPr>
                <w:rFonts w:ascii="宋体" w:hAnsi="宋体"/>
                <w:kern w:val="0"/>
                <w:szCs w:val="21"/>
              </w:rPr>
              <w:t>3</w:t>
            </w:r>
            <w:r>
              <w:rPr>
                <w:rFonts w:hint="eastAsia" w:ascii="宋体" w:hAnsi="宋体"/>
                <w:kern w:val="0"/>
                <w:szCs w:val="21"/>
              </w:rPr>
              <w:t>分。不足1%部分按插值法计算扣分，得分保留小数点后2位。</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4"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商务分（10分）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公司信誉（</w:t>
            </w:r>
            <w:r>
              <w:rPr>
                <w:rFonts w:hint="eastAsia" w:ascii="宋体" w:hAnsi="宋体" w:cs="宋体"/>
                <w:kern w:val="0"/>
                <w:szCs w:val="21"/>
                <w:lang w:val="en-US" w:eastAsia="zh-CN"/>
              </w:rPr>
              <w:t>4</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投标人需提供南京市建委信用评定分值截图加盖公章，折算值=评定分/</w:t>
            </w:r>
            <w:r>
              <w:rPr>
                <w:rFonts w:ascii="宋体" w:hAnsi="宋体"/>
                <w:kern w:val="0"/>
                <w:szCs w:val="21"/>
              </w:rPr>
              <w:t>100</w:t>
            </w: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。满分</w:t>
            </w:r>
            <w:r>
              <w:rPr>
                <w:rFonts w:hint="eastAsia" w:ascii="宋体" w:hAnsi="宋体"/>
                <w:kern w:val="0"/>
                <w:szCs w:val="21"/>
                <w:lang w:val="en-US" w:eastAsia="zh-CN"/>
              </w:rPr>
              <w:t>4</w:t>
            </w:r>
            <w:r>
              <w:rPr>
                <w:rFonts w:hint="eastAsia" w:ascii="宋体" w:hAnsi="宋体"/>
                <w:kern w:val="0"/>
                <w:szCs w:val="21"/>
              </w:rPr>
              <w:t>分。</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797" w:hRule="atLeast"/>
          <w:jc w:val="center"/>
        </w:trPr>
        <w:tc>
          <w:tcPr>
            <w:tcW w:w="1111"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项目案例（</w:t>
            </w:r>
            <w:r>
              <w:rPr>
                <w:rFonts w:hint="eastAsia" w:ascii="宋体" w:hAnsi="宋体" w:cs="宋体"/>
                <w:kern w:val="0"/>
                <w:szCs w:val="21"/>
                <w:lang w:val="en-US" w:eastAsia="zh-CN"/>
              </w:rPr>
              <w:t>6</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企业2016年1月1日以来承担过单个标段合同额</w:t>
            </w:r>
            <w:r>
              <w:rPr>
                <w:rFonts w:hint="eastAsia" w:ascii="宋体" w:hAnsi="宋体"/>
                <w:kern w:val="0"/>
                <w:szCs w:val="21"/>
                <w:lang w:val="en-US" w:eastAsia="zh-CN"/>
              </w:rPr>
              <w:t>2</w:t>
            </w:r>
            <w:r>
              <w:rPr>
                <w:rFonts w:hint="eastAsia" w:ascii="宋体" w:hAnsi="宋体"/>
                <w:kern w:val="0"/>
                <w:szCs w:val="21"/>
              </w:rPr>
              <w:t>00万元以上的装饰工程（提供合同复印件加盖公章），1个的1分，最高得2分；</w:t>
            </w:r>
            <w:r>
              <w:rPr>
                <w:rFonts w:hint="eastAsia" w:ascii="宋体" w:hAnsi="宋体"/>
                <w:kern w:val="0"/>
                <w:szCs w:val="21"/>
                <w:highlight w:val="yellow"/>
              </w:rPr>
              <w:t>做过4S店装修工程得</w:t>
            </w:r>
            <w:r>
              <w:rPr>
                <w:rFonts w:hint="eastAsia" w:ascii="宋体" w:hAnsi="宋体"/>
                <w:kern w:val="0"/>
                <w:szCs w:val="21"/>
                <w:highlight w:val="yellow"/>
                <w:lang w:val="en-US" w:eastAsia="zh-CN"/>
              </w:rPr>
              <w:t>4</w:t>
            </w:r>
            <w:r>
              <w:rPr>
                <w:rFonts w:hint="eastAsia" w:ascii="宋体" w:hAnsi="宋体"/>
                <w:kern w:val="0"/>
                <w:szCs w:val="21"/>
                <w:highlight w:val="yellow"/>
              </w:rPr>
              <w:t>分</w:t>
            </w:r>
            <w:r>
              <w:rPr>
                <w:rFonts w:hint="eastAsia" w:ascii="宋体" w:hAnsi="宋体"/>
                <w:kern w:val="0"/>
                <w:szCs w:val="21"/>
              </w:rPr>
              <w:t>。</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9"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技术分</w:t>
            </w:r>
          </w:p>
          <w:p>
            <w:pPr>
              <w:widowControl/>
              <w:adjustRightInd w:val="0"/>
              <w:snapToGrid w:val="0"/>
              <w:spacing w:line="240" w:lineRule="atLeast"/>
              <w:jc w:val="center"/>
              <w:rPr>
                <w:rFonts w:ascii="宋体" w:hAnsi="宋体" w:cs="宋体"/>
                <w:kern w:val="0"/>
                <w:szCs w:val="21"/>
              </w:rPr>
            </w:pPr>
            <w:r>
              <w:rPr>
                <w:rFonts w:hint="eastAsia" w:ascii="宋体" w:hAnsi="宋体"/>
                <w:spacing w:val="-6"/>
                <w:szCs w:val="21"/>
              </w:rPr>
              <w:t>（20分）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pacing w:val="-6"/>
                <w:szCs w:val="21"/>
              </w:rPr>
            </w:pPr>
            <w:r>
              <w:rPr>
                <w:rFonts w:hint="eastAsia" w:ascii="宋体" w:hAnsi="宋体"/>
                <w:spacing w:val="-6"/>
                <w:szCs w:val="21"/>
              </w:rPr>
              <w:t>方案的可操作性、合理性（4分）</w:t>
            </w:r>
          </w:p>
        </w:tc>
        <w:tc>
          <w:tcPr>
            <w:tcW w:w="6024" w:type="dxa"/>
            <w:tcBorders>
              <w:top w:val="single" w:color="auto" w:sz="4" w:space="0"/>
              <w:left w:val="nil"/>
              <w:bottom w:val="single" w:color="auto" w:sz="4" w:space="0"/>
              <w:right w:val="single" w:color="auto" w:sz="4" w:space="0"/>
            </w:tcBorders>
            <w:vAlign w:val="center"/>
          </w:tcPr>
          <w:p>
            <w:pPr>
              <w:jc w:val="left"/>
              <w:rPr>
                <w:rFonts w:ascii="宋体" w:hAnsi="宋体"/>
                <w:spacing w:val="-6"/>
                <w:szCs w:val="21"/>
              </w:rPr>
            </w:pPr>
            <w:r>
              <w:rPr>
                <w:rFonts w:hint="eastAsia" w:ascii="宋体" w:hAnsi="宋体" w:cs="宋体"/>
                <w:kern w:val="0"/>
                <w:szCs w:val="21"/>
              </w:rPr>
              <w:t>优4分,良3分，中2分，差1分，无0分。</w:t>
            </w:r>
          </w:p>
        </w:tc>
        <w:tc>
          <w:tcPr>
            <w:tcW w:w="671" w:type="dxa"/>
            <w:vMerge w:val="restart"/>
            <w:tcBorders>
              <w:top w:val="single" w:color="auto" w:sz="4" w:space="0"/>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安全文明施工及环境保护措施（4分）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spacing w:val="-6"/>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项目管理班子的人员配备、素质及管理经验（4分）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cs="宋体"/>
                <w:kern w:val="0"/>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关键施工技术、工艺及工程项目实施的重点、难点和解决方案（4分）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cs="宋体"/>
                <w:kern w:val="0"/>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nil"/>
              <w:bottom w:val="single" w:color="auto" w:sz="4" w:space="0"/>
              <w:right w:val="single" w:color="auto" w:sz="2"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售后服务承诺</w:t>
            </w:r>
          </w:p>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（4分）</w:t>
            </w:r>
          </w:p>
        </w:tc>
        <w:tc>
          <w:tcPr>
            <w:tcW w:w="6024" w:type="dxa"/>
            <w:tcBorders>
              <w:top w:val="single" w:color="auto" w:sz="4" w:space="0"/>
              <w:left w:val="single" w:color="auto" w:sz="2" w:space="0"/>
              <w:bottom w:val="single" w:color="auto" w:sz="4" w:space="0"/>
              <w:right w:val="single" w:color="auto" w:sz="2" w:space="0"/>
            </w:tcBorders>
            <w:vAlign w:val="center"/>
          </w:tcPr>
          <w:p>
            <w:pPr>
              <w:widowControl/>
              <w:adjustRightInd w:val="0"/>
              <w:snapToGrid w:val="0"/>
              <w:spacing w:line="240" w:lineRule="atLeast"/>
              <w:jc w:val="left"/>
              <w:rPr>
                <w:rFonts w:ascii="宋体" w:hAnsi="宋体" w:cs="宋体"/>
                <w:kern w:val="0"/>
                <w:szCs w:val="21"/>
              </w:rPr>
            </w:pPr>
            <w:r>
              <w:rPr>
                <w:rFonts w:hint="eastAsia" w:ascii="宋体" w:hAnsi="宋体" w:cs="宋体"/>
                <w:kern w:val="0"/>
                <w:szCs w:val="21"/>
              </w:rPr>
              <w:t>由评委专家根据供应商提交的下列资料打分：供应商对于整个系统的免费保修期限、保修期内服务承诺、备品备件支持、免费保修期外服务方案、其它服务承诺等。</w:t>
            </w:r>
          </w:p>
          <w:p>
            <w:pPr>
              <w:widowControl/>
              <w:adjustRightInd w:val="0"/>
              <w:snapToGrid w:val="0"/>
              <w:spacing w:line="240" w:lineRule="atLeast"/>
              <w:jc w:val="left"/>
              <w:rPr>
                <w:rFonts w:ascii="宋体" w:hAnsi="宋体" w:cs="宋体"/>
                <w:kern w:val="0"/>
                <w:szCs w:val="21"/>
              </w:rPr>
            </w:pPr>
            <w:r>
              <w:rPr>
                <w:rFonts w:hint="eastAsia" w:ascii="宋体" w:hAnsi="宋体"/>
                <w:kern w:val="0"/>
                <w:szCs w:val="21"/>
              </w:rPr>
              <w:t>优良4分；较好3分；一般2分。</w:t>
            </w:r>
          </w:p>
        </w:tc>
        <w:tc>
          <w:tcPr>
            <w:tcW w:w="671" w:type="dxa"/>
            <w:vMerge w:val="continue"/>
            <w:tcBorders>
              <w:bottom w:val="single" w:color="auto" w:sz="4" w:space="0"/>
              <w:right w:val="single" w:color="auto" w:sz="2" w:space="0"/>
            </w:tcBorders>
            <w:vAlign w:val="center"/>
          </w:tcPr>
          <w:p>
            <w:pPr>
              <w:widowControl/>
              <w:jc w:val="center"/>
              <w:rPr>
                <w:kern w:val="0"/>
                <w:sz w:val="20"/>
              </w:rPr>
            </w:pPr>
          </w:p>
        </w:tc>
      </w:tr>
    </w:tbl>
    <w:p>
      <w:pPr>
        <w:spacing w:line="300" w:lineRule="auto"/>
        <w:rPr>
          <w:rFonts w:ascii="宋体" w:hAnsi="宋体"/>
        </w:rPr>
      </w:pPr>
    </w:p>
    <w:p>
      <w:pPr>
        <w:spacing w:line="300" w:lineRule="auto"/>
        <w:rPr>
          <w:rFonts w:ascii="宋体" w:hAnsi="宋体"/>
        </w:rPr>
      </w:pPr>
    </w:p>
    <w:p>
      <w:pPr>
        <w:spacing w:line="300" w:lineRule="auto"/>
        <w:jc w:val="center"/>
        <w:rPr>
          <w:rFonts w:ascii="宋体" w:hAnsi="宋体"/>
          <w:b/>
          <w:sz w:val="24"/>
          <w:szCs w:val="24"/>
        </w:rPr>
      </w:pPr>
      <w:r>
        <w:rPr>
          <w:rFonts w:hint="eastAsia" w:ascii="宋体" w:hAnsi="宋体"/>
          <w:b/>
          <w:sz w:val="24"/>
          <w:szCs w:val="24"/>
        </w:rPr>
        <w:t>六、保密</w:t>
      </w:r>
    </w:p>
    <w:p>
      <w:pPr>
        <w:spacing w:line="300" w:lineRule="auto"/>
        <w:ind w:left="525"/>
        <w:rPr>
          <w:rFonts w:ascii="宋体" w:hAnsi="宋体"/>
        </w:rPr>
      </w:pPr>
    </w:p>
    <w:p>
      <w:pPr>
        <w:spacing w:line="300" w:lineRule="auto"/>
        <w:rPr>
          <w:rFonts w:ascii="宋体" w:hAnsi="宋体"/>
        </w:rPr>
      </w:pPr>
      <w:r>
        <w:rPr>
          <w:rFonts w:hint="eastAsia" w:ascii="宋体" w:hAnsi="宋体"/>
        </w:rPr>
        <w:t>21.与招标人的接触</w:t>
      </w:r>
    </w:p>
    <w:p>
      <w:pPr>
        <w:spacing w:line="300" w:lineRule="auto"/>
        <w:rPr>
          <w:rFonts w:ascii="宋体" w:hAnsi="宋体"/>
        </w:rPr>
      </w:pPr>
      <w:r>
        <w:rPr>
          <w:rFonts w:hint="eastAsia" w:ascii="宋体" w:hAnsi="宋体"/>
        </w:rPr>
        <w:t>21</w:t>
      </w:r>
      <w:r>
        <w:rPr>
          <w:rFonts w:ascii="宋体" w:hAnsi="宋体"/>
        </w:rPr>
        <w:t xml:space="preserve">.1 </w:t>
      </w:r>
      <w:r>
        <w:rPr>
          <w:rFonts w:hint="eastAsia" w:ascii="宋体" w:hAnsi="宋体"/>
        </w:rPr>
        <w:t>除本须知第19条规定外，递交投标文件后，直至向中标的投标人授予合同时止，凡是与审查、澄清、评价和比较的有关资料等，均不得向投标人及与评标无关的其他人员透露。</w:t>
      </w:r>
    </w:p>
    <w:p>
      <w:pPr>
        <w:spacing w:line="300" w:lineRule="auto"/>
        <w:rPr>
          <w:rFonts w:ascii="宋体" w:hAnsi="宋体"/>
        </w:rPr>
      </w:pPr>
      <w:r>
        <w:rPr>
          <w:rFonts w:ascii="宋体" w:hAnsi="宋体"/>
        </w:rPr>
        <w:t>2</w:t>
      </w:r>
      <w:r>
        <w:rPr>
          <w:rFonts w:hint="eastAsia" w:ascii="宋体" w:hAnsi="宋体"/>
        </w:rPr>
        <w:t>1</w:t>
      </w:r>
      <w:r>
        <w:rPr>
          <w:rFonts w:ascii="宋体" w:hAnsi="宋体"/>
        </w:rPr>
        <w:t xml:space="preserve">.2 </w:t>
      </w:r>
      <w:r>
        <w:rPr>
          <w:rFonts w:hint="eastAsia" w:ascii="宋体" w:hAnsi="宋体"/>
        </w:rPr>
        <w:t>投标人试图对评标委员会的评审、比较或授予合同的决定进行影响，都可能导致其投标文件被拒绝。</w:t>
      </w:r>
    </w:p>
    <w:p>
      <w:pPr>
        <w:spacing w:line="300" w:lineRule="auto"/>
        <w:ind w:left="525"/>
        <w:rPr>
          <w:rFonts w:ascii="宋体" w:hAnsi="宋体"/>
        </w:rPr>
      </w:pPr>
    </w:p>
    <w:p>
      <w:pPr>
        <w:spacing w:line="300" w:lineRule="auto"/>
        <w:jc w:val="center"/>
        <w:rPr>
          <w:rFonts w:ascii="宋体" w:hAnsi="宋体"/>
          <w:b/>
          <w:sz w:val="24"/>
          <w:szCs w:val="24"/>
        </w:rPr>
      </w:pPr>
      <w:r>
        <w:rPr>
          <w:rFonts w:hint="eastAsia" w:ascii="宋体" w:hAnsi="宋体"/>
          <w:b/>
          <w:sz w:val="24"/>
          <w:szCs w:val="24"/>
        </w:rPr>
        <w:t>七、授标及签约</w:t>
      </w:r>
    </w:p>
    <w:p>
      <w:r>
        <w:rPr>
          <w:rFonts w:hint="eastAsia"/>
        </w:rPr>
        <w:t>22</w:t>
      </w:r>
      <w:r>
        <w:rPr>
          <w:rFonts w:hint="eastAsia" w:ascii="宋体" w:hAnsi="宋体"/>
        </w:rPr>
        <w:t>.</w:t>
      </w:r>
      <w:r>
        <w:rPr>
          <w:rFonts w:hint="eastAsia"/>
        </w:rPr>
        <w:t>最终审查</w:t>
      </w:r>
    </w:p>
    <w:p>
      <w:pPr>
        <w:spacing w:line="300" w:lineRule="auto"/>
        <w:rPr>
          <w:rFonts w:ascii="宋体" w:hAnsi="宋体"/>
        </w:rPr>
      </w:pPr>
      <w:r>
        <w:rPr>
          <w:rFonts w:hint="eastAsia" w:ascii="宋体" w:hAnsi="宋体"/>
        </w:rPr>
        <w:t>22.1评标委员会将根据投标人综合评估结果，按综合得分排序向招标人推荐本项目的中标候选人。</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2招标人将按综合评估排序审查中标候选人是否有能力令人满意地履行合同。</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3签订合同的决定将考虑投标人的财务、技术、实施和售后服务支持能力，其基础是审查投标人提交的资格证明文件和其它招标人认为必要的、合适的资料。</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4如果审查通过，招标人将与该投标人签订合同；如果审查没有通过，招标人将拒绝其投标文件，并对下一个候选人能否令人满意地履行合同作类似的审查。</w:t>
      </w:r>
    </w:p>
    <w:p>
      <w:pPr>
        <w:spacing w:line="300" w:lineRule="auto"/>
        <w:rPr>
          <w:rFonts w:ascii="宋体" w:hAnsi="宋体"/>
        </w:rPr>
      </w:pPr>
      <w:r>
        <w:rPr>
          <w:rFonts w:hint="eastAsia" w:ascii="宋体" w:hAnsi="宋体"/>
        </w:rPr>
        <w:t>22.5评标委员会在评标结束后，根据有关法律法规规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00" w:lineRule="auto"/>
        <w:rPr>
          <w:rFonts w:ascii="宋体" w:hAnsi="宋体"/>
        </w:rPr>
      </w:pPr>
    </w:p>
    <w:p>
      <w:pPr>
        <w:spacing w:line="300" w:lineRule="auto"/>
        <w:rPr>
          <w:rFonts w:ascii="宋体" w:hAnsi="宋体"/>
        </w:rPr>
      </w:pPr>
      <w:r>
        <w:rPr>
          <w:rFonts w:hint="eastAsia" w:ascii="宋体" w:hAnsi="宋体"/>
        </w:rPr>
        <w:t>23.招标人拒绝任何或所有投标的权利</w:t>
      </w:r>
    </w:p>
    <w:p>
      <w:pPr>
        <w:spacing w:line="300" w:lineRule="auto"/>
        <w:rPr>
          <w:rFonts w:ascii="宋体" w:hAnsi="宋体"/>
        </w:rPr>
      </w:pPr>
      <w:r>
        <w:rPr>
          <w:rFonts w:hint="eastAsia" w:ascii="宋体" w:hAnsi="宋体"/>
        </w:rPr>
        <w:t>23.l招标人保留在授标之前接受任何投标，及拒绝任何或所有投标的权利，而没有向投标人解释原因的义务。</w:t>
      </w:r>
    </w:p>
    <w:p>
      <w:pPr>
        <w:spacing w:line="300" w:lineRule="auto"/>
        <w:rPr>
          <w:rFonts w:ascii="宋体" w:hAnsi="宋体"/>
        </w:rPr>
      </w:pPr>
    </w:p>
    <w:p>
      <w:pPr>
        <w:spacing w:line="300" w:lineRule="auto"/>
        <w:rPr>
          <w:rFonts w:ascii="宋体" w:hAnsi="宋体"/>
        </w:rPr>
      </w:pPr>
      <w:r>
        <w:rPr>
          <w:rFonts w:hint="eastAsia" w:ascii="宋体" w:hAnsi="宋体"/>
        </w:rPr>
        <w:t>24.招标人在授标时变更采购货物数量的权利</w:t>
      </w:r>
    </w:p>
    <w:p>
      <w:pPr>
        <w:spacing w:line="300" w:lineRule="auto"/>
        <w:rPr>
          <w:rFonts w:ascii="宋体" w:hAnsi="宋体"/>
        </w:rPr>
      </w:pPr>
      <w:r>
        <w:rPr>
          <w:rFonts w:hint="eastAsia" w:ascii="宋体" w:hAnsi="宋体"/>
        </w:rPr>
        <w:t>24.l招标人在授标时有权对第三章“招标内容及要求”中所达货物在适当幅度内变更其数量。</w:t>
      </w:r>
    </w:p>
    <w:p>
      <w:pPr>
        <w:spacing w:line="300" w:lineRule="auto"/>
        <w:rPr>
          <w:rFonts w:ascii="宋体" w:hAnsi="宋体"/>
        </w:rPr>
      </w:pPr>
    </w:p>
    <w:p>
      <w:pPr>
        <w:spacing w:line="300" w:lineRule="auto"/>
        <w:rPr>
          <w:rFonts w:ascii="宋体" w:hAnsi="宋体"/>
        </w:rPr>
      </w:pPr>
      <w:r>
        <w:rPr>
          <w:rFonts w:hint="eastAsia" w:ascii="宋体" w:hAnsi="宋体"/>
        </w:rPr>
        <w:t>25.中标通知</w:t>
      </w:r>
    </w:p>
    <w:p>
      <w:pPr>
        <w:spacing w:line="300" w:lineRule="auto"/>
        <w:rPr>
          <w:rFonts w:ascii="宋体" w:hAnsi="宋体"/>
        </w:rPr>
      </w:pPr>
      <w:r>
        <w:rPr>
          <w:rFonts w:hint="eastAsia" w:ascii="宋体" w:hAnsi="宋体"/>
        </w:rPr>
        <w:t>25.l中标人确定后，招标人（或招标代理）向中标人发出书面中标通知书。</w:t>
      </w:r>
    </w:p>
    <w:p>
      <w:pPr>
        <w:spacing w:line="300" w:lineRule="auto"/>
        <w:rPr>
          <w:rFonts w:ascii="宋体" w:hAnsi="宋体"/>
        </w:rPr>
      </w:pPr>
    </w:p>
    <w:p>
      <w:pPr>
        <w:spacing w:line="300" w:lineRule="auto"/>
        <w:rPr>
          <w:rFonts w:ascii="宋体" w:hAnsi="宋体"/>
        </w:rPr>
      </w:pPr>
      <w:r>
        <w:rPr>
          <w:rFonts w:hint="eastAsia" w:ascii="宋体" w:hAnsi="宋体"/>
        </w:rPr>
        <w:t>26.签订合同</w:t>
      </w:r>
    </w:p>
    <w:p>
      <w:pPr>
        <w:spacing w:line="300" w:lineRule="auto"/>
        <w:rPr>
          <w:rFonts w:ascii="宋体" w:hAnsi="宋体"/>
        </w:rPr>
      </w:pPr>
      <w:r>
        <w:rPr>
          <w:rFonts w:hint="eastAsia" w:ascii="宋体" w:hAnsi="宋体"/>
        </w:rPr>
        <w:t>26.l中标投标人应按规定的时间、地点与招标人签订合同，否则按投标文件有效期内撤回投标文件处理，其保证金将被没收。</w:t>
      </w:r>
    </w:p>
    <w:p>
      <w:pPr>
        <w:spacing w:line="300" w:lineRule="auto"/>
        <w:rPr>
          <w:rFonts w:ascii="宋体" w:hAnsi="宋体"/>
        </w:rPr>
      </w:pPr>
      <w:r>
        <w:rPr>
          <w:rFonts w:hint="eastAsia" w:ascii="宋体" w:hAnsi="宋体"/>
        </w:rPr>
        <w:t>26.2中标人的投标文件、对投标文件的书面澄清、中标通知书等均应作为合同附件。</w:t>
      </w:r>
    </w:p>
    <w:p>
      <w:pPr>
        <w:spacing w:line="300" w:lineRule="auto"/>
        <w:rPr>
          <w:rFonts w:ascii="宋体" w:hAnsi="宋体"/>
        </w:rPr>
      </w:pPr>
    </w:p>
    <w:p>
      <w:pPr>
        <w:spacing w:line="300" w:lineRule="auto"/>
        <w:rPr>
          <w:rFonts w:ascii="宋体" w:hAnsi="宋体"/>
        </w:rPr>
      </w:pPr>
      <w:r>
        <w:rPr>
          <w:rFonts w:hint="eastAsia" w:ascii="宋体" w:hAnsi="宋体"/>
        </w:rPr>
        <w:t>27.履约保证金</w:t>
      </w:r>
    </w:p>
    <w:p>
      <w:pPr>
        <w:spacing w:line="300" w:lineRule="auto"/>
        <w:rPr>
          <w:rFonts w:hint="eastAsia" w:ascii="宋体" w:hAnsi="宋体"/>
        </w:rPr>
      </w:pPr>
      <w:r>
        <w:rPr>
          <w:rFonts w:hint="eastAsia" w:ascii="宋体" w:hAnsi="宋体"/>
        </w:rPr>
        <w:t>27.1为保证合同的顺利执行，在合同签定同时中标人须按买方要求提供合同总价</w:t>
      </w:r>
      <w:r>
        <w:rPr>
          <w:rFonts w:hint="eastAsia" w:ascii="宋体" w:hAnsi="宋体"/>
          <w:u w:val="single"/>
        </w:rPr>
        <w:t xml:space="preserve">  10% </w:t>
      </w:r>
      <w:r>
        <w:rPr>
          <w:rFonts w:hint="eastAsia" w:ascii="宋体" w:hAnsi="宋体"/>
        </w:rPr>
        <w:t>的履约保证金，在安装调试完成后一周内无息退还。但如果合同中订有相应的保证合同执行的条款，原则上二者不同时使用。</w:t>
      </w:r>
      <w:bookmarkStart w:id="15" w:name="_Toc209492070"/>
      <w:bookmarkStart w:id="16" w:name="_Toc222642042"/>
      <w:bookmarkStart w:id="17" w:name="_Toc223141126"/>
      <w:bookmarkStart w:id="18" w:name="_Toc209465619"/>
      <w:bookmarkStart w:id="19" w:name="_Toc223510729"/>
    </w:p>
    <w:p>
      <w:pPr>
        <w:bidi w:val="0"/>
        <w:rPr>
          <w:rFonts w:hint="eastAsia" w:ascii="Times New Roman" w:hAnsi="Times New Roman" w:eastAsia="宋体" w:cs="Times New Roman"/>
          <w:kern w:val="2"/>
          <w:sz w:val="21"/>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658"/>
        </w:tabs>
        <w:bidi w:val="0"/>
        <w:jc w:val="left"/>
        <w:rPr>
          <w:rFonts w:hint="eastAsia"/>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134" w:right="1466" w:bottom="1134" w:left="1260" w:header="851" w:footer="992" w:gutter="0"/>
          <w:cols w:space="720" w:num="1"/>
          <w:docGrid w:linePitch="326" w:charSpace="-4916"/>
        </w:sectPr>
      </w:pPr>
    </w:p>
    <w:p>
      <w:pPr>
        <w:pStyle w:val="2"/>
        <w:jc w:val="both"/>
        <w:rPr>
          <w:rFonts w:ascii="黑体" w:hAnsi="黑体" w:eastAsia="黑体"/>
          <w:snapToGrid w:val="0"/>
          <w:sz w:val="28"/>
        </w:rPr>
      </w:pPr>
      <w:bookmarkStart w:id="20" w:name="_Toc503354853"/>
      <w:r>
        <w:rPr>
          <w:rFonts w:hint="eastAsia" w:ascii="黑体" w:hAnsi="黑体" w:eastAsia="黑体"/>
          <w:snapToGrid w:val="0"/>
          <w:sz w:val="28"/>
        </w:rPr>
        <w:t>第二章  招标内容及技术要求</w:t>
      </w:r>
      <w:bookmarkEnd w:id="15"/>
      <w:bookmarkEnd w:id="16"/>
      <w:bookmarkEnd w:id="17"/>
      <w:bookmarkEnd w:id="18"/>
      <w:bookmarkEnd w:id="19"/>
      <w:bookmarkEnd w:id="20"/>
    </w:p>
    <w:p>
      <w:pPr>
        <w:numPr>
          <w:ilvl w:val="0"/>
          <w:numId w:val="9"/>
        </w:numPr>
        <w:spacing w:line="240" w:lineRule="atLeast"/>
        <w:outlineLvl w:val="1"/>
        <w:rPr>
          <w:rFonts w:ascii="宋体" w:hAnsi="宋体"/>
          <w:b/>
          <w:bCs/>
          <w:szCs w:val="21"/>
        </w:rPr>
      </w:pPr>
      <w:bookmarkStart w:id="21" w:name="_Toc503354854"/>
      <w:bookmarkStart w:id="22" w:name="_Toc222642043"/>
      <w:bookmarkStart w:id="23" w:name="_Toc223510730"/>
      <w:bookmarkStart w:id="24" w:name="_Toc223141127"/>
      <w:bookmarkStart w:id="25" w:name="_Toc224544379"/>
      <w:r>
        <w:rPr>
          <w:rFonts w:hint="eastAsia" w:ascii="宋体" w:hAnsi="宋体"/>
          <w:b/>
          <w:bCs/>
          <w:szCs w:val="21"/>
        </w:rPr>
        <w:t>采购清单</w:t>
      </w:r>
      <w:bookmarkEnd w:id="21"/>
    </w:p>
    <w:p>
      <w:pPr>
        <w:spacing w:line="240" w:lineRule="atLeast"/>
        <w:outlineLvl w:val="1"/>
        <w:rPr>
          <w:rFonts w:ascii="宋体" w:hAnsi="宋体"/>
          <w:b/>
          <w:bCs/>
          <w:szCs w:val="21"/>
        </w:rPr>
      </w:pPr>
      <w:bookmarkStart w:id="26" w:name="_Toc503354855"/>
      <w:r>
        <w:rPr>
          <w:rFonts w:hint="eastAsia" w:ascii="宋体" w:hAnsi="宋体"/>
          <w:b/>
          <w:bCs/>
          <w:szCs w:val="21"/>
        </w:rPr>
        <w:t>见“附件：苏舜</w:t>
      </w:r>
      <w:r>
        <w:rPr>
          <w:rFonts w:hint="eastAsia" w:ascii="宋体" w:hAnsi="宋体"/>
          <w:b/>
          <w:bCs/>
          <w:szCs w:val="21"/>
          <w:lang w:val="en-US" w:eastAsia="zh-CN"/>
        </w:rPr>
        <w:t>板桥4S店</w:t>
      </w:r>
      <w:r>
        <w:rPr>
          <w:rFonts w:hint="eastAsia" w:ascii="宋体" w:hAnsi="宋体"/>
          <w:b/>
          <w:bCs/>
          <w:szCs w:val="21"/>
        </w:rPr>
        <w:t>装饰工程工程量清单”</w:t>
      </w:r>
      <w:bookmarkEnd w:id="26"/>
    </w:p>
    <w:p>
      <w:pPr>
        <w:numPr>
          <w:ilvl w:val="0"/>
          <w:numId w:val="9"/>
        </w:numPr>
        <w:spacing w:line="360" w:lineRule="auto"/>
        <w:outlineLvl w:val="1"/>
        <w:rPr>
          <w:rFonts w:ascii="宋体" w:hAnsi="宋体"/>
          <w:b/>
          <w:bCs/>
          <w:szCs w:val="21"/>
        </w:rPr>
      </w:pPr>
      <w:bookmarkStart w:id="27" w:name="_Toc503354856"/>
      <w:r>
        <w:rPr>
          <w:rFonts w:hint="eastAsia" w:ascii="宋体" w:hAnsi="宋体"/>
          <w:b/>
          <w:bCs/>
          <w:szCs w:val="21"/>
        </w:rPr>
        <w:t>参数及具体要求</w:t>
      </w:r>
      <w:bookmarkEnd w:id="27"/>
    </w:p>
    <w:p>
      <w:pPr>
        <w:rPr>
          <w:snapToGrid w:val="0"/>
        </w:rPr>
      </w:pPr>
      <w:bookmarkStart w:id="28" w:name="_Toc503354858"/>
    </w:p>
    <w:p>
      <w:pPr>
        <w:rPr>
          <w:snapToGrid w:val="0"/>
        </w:rPr>
      </w:pPr>
    </w:p>
    <w:p>
      <w:pPr>
        <w:pStyle w:val="2"/>
        <w:jc w:val="center"/>
        <w:rPr>
          <w:rFonts w:ascii="黑体" w:hAnsi="黑体" w:eastAsia="黑体"/>
          <w:snapToGrid w:val="0"/>
          <w:sz w:val="28"/>
        </w:rPr>
        <w:sectPr>
          <w:footerReference r:id="rId9" w:type="default"/>
          <w:pgSz w:w="11906" w:h="16838"/>
          <w:pgMar w:top="1418" w:right="1554" w:bottom="1418" w:left="1531" w:header="851" w:footer="992" w:gutter="0"/>
          <w:cols w:space="720" w:num="1"/>
          <w:titlePg/>
          <w:docGrid w:type="linesAndChars" w:linePitch="312" w:charSpace="0"/>
        </w:sectPr>
      </w:pPr>
    </w:p>
    <w:p>
      <w:pPr>
        <w:pStyle w:val="2"/>
        <w:jc w:val="center"/>
        <w:rPr>
          <w:rFonts w:ascii="黑体" w:hAnsi="黑体" w:eastAsia="黑体"/>
          <w:snapToGrid w:val="0"/>
          <w:sz w:val="28"/>
        </w:rPr>
      </w:pPr>
      <w:r>
        <w:rPr>
          <w:rFonts w:hint="eastAsia" w:ascii="黑体" w:hAnsi="黑体" w:eastAsia="黑体"/>
          <w:snapToGrid w:val="0"/>
          <w:sz w:val="28"/>
        </w:rPr>
        <w:t>第三章  合同条款</w:t>
      </w:r>
      <w:bookmarkEnd w:id="28"/>
    </w:p>
    <w:p>
      <w:pPr>
        <w:spacing w:line="360" w:lineRule="auto"/>
        <w:jc w:val="center"/>
      </w:pPr>
      <w:r>
        <w:rPr>
          <w:rFonts w:hint="eastAsia"/>
        </w:rPr>
        <w:t>第一部分 合同协议书</w:t>
      </w:r>
    </w:p>
    <w:p>
      <w:pPr>
        <w:spacing w:line="360" w:lineRule="auto"/>
      </w:pPr>
      <w:r>
        <w:rPr>
          <w:rFonts w:hint="eastAsia"/>
        </w:rPr>
        <w:t>发包人（全称）：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省苏舜集团</w:t>
      </w:r>
      <w:r>
        <w:rPr>
          <w:rFonts w:hint="eastAsia" w:ascii="仿宋" w:hAnsi="仿宋" w:eastAsia="仿宋" w:cs="Arial"/>
          <w:sz w:val="24"/>
          <w:szCs w:val="24"/>
          <w:u w:val="single"/>
        </w:rPr>
        <w:t>有限公司</w:t>
      </w:r>
      <w:r>
        <w:rPr>
          <w:rFonts w:hint="eastAsia"/>
          <w:u w:val="single"/>
        </w:rPr>
        <w:t xml:space="preserve"> </w:t>
      </w:r>
    </w:p>
    <w:p>
      <w:pPr>
        <w:spacing w:line="360" w:lineRule="auto"/>
      </w:pPr>
      <w:r>
        <w:rPr>
          <w:rFonts w:hint="eastAsia"/>
        </w:rPr>
        <w:t>承包人（全称）：                          </w:t>
      </w:r>
    </w:p>
    <w:p>
      <w:pPr>
        <w:spacing w:line="360" w:lineRule="auto"/>
      </w:pPr>
      <w:r>
        <w:rPr>
          <w:rFonts w:hint="eastAsia"/>
        </w:rPr>
        <w:t>根据《中华人民共和国合同法》、《中华人民共和国建筑法》及有关法律规定，遵循平等、自愿、公平和诚实信用的原则，双方就苏舜</w:t>
      </w:r>
      <w:r>
        <w:rPr>
          <w:rFonts w:hint="eastAsia"/>
          <w:lang w:val="en-US" w:eastAsia="zh-CN"/>
        </w:rPr>
        <w:t>板桥4S店装饰</w:t>
      </w:r>
      <w:r>
        <w:rPr>
          <w:rFonts w:hint="eastAsia"/>
        </w:rPr>
        <w:t>工程及有关事项协商一致，共同达成如下协议：</w:t>
      </w:r>
    </w:p>
    <w:p>
      <w:pPr>
        <w:spacing w:line="360" w:lineRule="auto"/>
      </w:pPr>
      <w:r>
        <w:rPr>
          <w:rFonts w:hint="eastAsia"/>
        </w:rPr>
        <w:t xml:space="preserve">    一、工程概况</w:t>
      </w:r>
    </w:p>
    <w:p>
      <w:pPr>
        <w:spacing w:line="360" w:lineRule="auto"/>
      </w:pPr>
      <w:r>
        <w:rPr>
          <w:rFonts w:hint="eastAsia"/>
        </w:rPr>
        <w:t>1.工程名称</w:t>
      </w:r>
      <w:r>
        <w:rPr>
          <w:rFonts w:hint="eastAsia" w:ascii="宋体" w:hAnsi="宋体"/>
          <w:b/>
          <w:bCs/>
          <w:szCs w:val="21"/>
          <w:u w:val="single"/>
        </w:rPr>
        <w:t>苏舜</w:t>
      </w:r>
      <w:r>
        <w:rPr>
          <w:rFonts w:hint="eastAsia" w:ascii="宋体" w:hAnsi="宋体"/>
          <w:b/>
          <w:bCs/>
          <w:szCs w:val="21"/>
          <w:u w:val="single"/>
          <w:lang w:val="en-US" w:eastAsia="zh-CN"/>
        </w:rPr>
        <w:t>板桥4S店</w:t>
      </w:r>
      <w:r>
        <w:rPr>
          <w:rFonts w:hint="eastAsia" w:ascii="宋体" w:hAnsi="宋体"/>
          <w:b/>
          <w:bCs/>
          <w:szCs w:val="21"/>
          <w:u w:val="single"/>
        </w:rPr>
        <w:t>装饰工程</w:t>
      </w:r>
      <w:r>
        <w:rPr>
          <w:rFonts w:hint="eastAsia"/>
        </w:rPr>
        <w:t>。</w:t>
      </w:r>
    </w:p>
    <w:p>
      <w:pPr>
        <w:spacing w:line="360" w:lineRule="auto"/>
      </w:pPr>
      <w:r>
        <w:rPr>
          <w:rFonts w:hint="eastAsia"/>
        </w:rPr>
        <w:t>2.工程地点：</w:t>
      </w:r>
      <w:r>
        <w:rPr>
          <w:u w:val="single"/>
        </w:rPr>
        <w:t xml:space="preserve"> </w:t>
      </w:r>
      <w:r>
        <w:rPr>
          <w:rFonts w:hint="eastAsia"/>
          <w:u w:val="single"/>
          <w:lang w:val="en-US" w:eastAsia="zh-CN"/>
        </w:rPr>
        <w:t>雨花国际汽贸园</w:t>
      </w:r>
      <w:r>
        <w:rPr>
          <w:u w:val="single"/>
        </w:rPr>
        <w:t xml:space="preserve">              </w:t>
      </w:r>
      <w:r>
        <w:rPr>
          <w:rFonts w:hint="eastAsia"/>
        </w:rPr>
        <w:t>。</w:t>
      </w:r>
    </w:p>
    <w:p>
      <w:pPr>
        <w:spacing w:line="360" w:lineRule="auto"/>
      </w:pPr>
      <w:r>
        <w:rPr>
          <w:rFonts w:hint="eastAsia"/>
        </w:rPr>
        <w:t>3.工程立项批准文号：</w:t>
      </w:r>
      <w:r>
        <w:rPr>
          <w:u w:val="single"/>
        </w:rPr>
        <w:t xml:space="preserve">               </w:t>
      </w:r>
      <w:r>
        <w:rPr>
          <w:rFonts w:hint="eastAsia"/>
        </w:rPr>
        <w:t>。</w:t>
      </w:r>
    </w:p>
    <w:p>
      <w:pPr>
        <w:spacing w:line="360" w:lineRule="auto"/>
      </w:pPr>
      <w:r>
        <w:rPr>
          <w:rFonts w:hint="eastAsia"/>
        </w:rPr>
        <w:t>4.资金来源：自筹。</w:t>
      </w:r>
    </w:p>
    <w:p>
      <w:pPr>
        <w:spacing w:line="360" w:lineRule="auto"/>
        <w:rPr>
          <w:u w:val="single"/>
        </w:rPr>
      </w:pPr>
      <w:r>
        <w:rPr>
          <w:rFonts w:hint="eastAsia"/>
        </w:rPr>
        <w:t>5.工程内容：</w:t>
      </w:r>
      <w:r>
        <w:rPr>
          <w:u w:val="single"/>
        </w:rPr>
        <w:t xml:space="preserve">               </w:t>
      </w:r>
    </w:p>
    <w:p>
      <w:pPr>
        <w:spacing w:line="360" w:lineRule="auto"/>
      </w:pPr>
      <w:r>
        <w:rPr>
          <w:rFonts w:hint="eastAsia"/>
        </w:rPr>
        <w:t>6.工程承包范围：图纸及清单范围内的工程。</w:t>
      </w:r>
    </w:p>
    <w:p>
      <w:pPr>
        <w:spacing w:line="360" w:lineRule="auto"/>
      </w:pPr>
      <w:r>
        <w:rPr>
          <w:rFonts w:hint="eastAsia"/>
        </w:rPr>
        <w:t xml:space="preserve">    二、合同工期</w:t>
      </w:r>
      <w:bookmarkStart w:id="408" w:name="_GoBack"/>
      <w:bookmarkEnd w:id="408"/>
    </w:p>
    <w:p>
      <w:pPr>
        <w:spacing w:line="360" w:lineRule="auto"/>
      </w:pPr>
      <w:r>
        <w:rPr>
          <w:rFonts w:hint="eastAsia"/>
        </w:rPr>
        <w:t xml:space="preserve">计划开工日期：  </w:t>
      </w:r>
      <w:r>
        <w:rPr>
          <w:rFonts w:hint="eastAsia"/>
          <w:lang w:val="en-US" w:eastAsia="zh-CN"/>
        </w:rPr>
        <w:t>20201</w:t>
      </w:r>
      <w:r>
        <w:rPr>
          <w:rFonts w:hint="eastAsia"/>
        </w:rPr>
        <w:t xml:space="preserve"> 年</w:t>
      </w:r>
      <w:r>
        <w:rPr>
          <w:rFonts w:hint="eastAsia"/>
          <w:lang w:val="en-US" w:eastAsia="zh-CN"/>
        </w:rPr>
        <w:t>5</w:t>
      </w:r>
      <w:r>
        <w:rPr>
          <w:rFonts w:hint="eastAsia"/>
        </w:rPr>
        <w:t xml:space="preserve"> 月  </w:t>
      </w:r>
      <w:r>
        <w:rPr>
          <w:rFonts w:hint="eastAsia"/>
          <w:lang w:val="en-US" w:eastAsia="zh-CN"/>
        </w:rPr>
        <w:t>25</w:t>
      </w:r>
      <w:r>
        <w:rPr>
          <w:rFonts w:hint="eastAsia"/>
        </w:rPr>
        <w:t xml:space="preserve"> 日。</w:t>
      </w:r>
    </w:p>
    <w:p>
      <w:pPr>
        <w:spacing w:line="360" w:lineRule="auto"/>
      </w:pPr>
      <w:r>
        <w:rPr>
          <w:rFonts w:hint="eastAsia"/>
        </w:rPr>
        <w:t xml:space="preserve">计划竣工日期：   </w:t>
      </w:r>
      <w:r>
        <w:rPr>
          <w:rFonts w:hint="eastAsia"/>
          <w:lang w:val="en-US" w:eastAsia="zh-CN"/>
        </w:rPr>
        <w:t>2021</w:t>
      </w:r>
      <w:r>
        <w:rPr>
          <w:rFonts w:hint="eastAsia"/>
        </w:rPr>
        <w:t xml:space="preserve"> 年 </w:t>
      </w:r>
      <w:r>
        <w:rPr>
          <w:rFonts w:hint="eastAsia"/>
          <w:lang w:val="en-US" w:eastAsia="zh-CN"/>
        </w:rPr>
        <w:t>7</w:t>
      </w:r>
      <w:r>
        <w:rPr>
          <w:rFonts w:hint="eastAsia"/>
        </w:rPr>
        <w:t>月</w:t>
      </w:r>
      <w:r>
        <w:rPr>
          <w:rFonts w:hint="eastAsia"/>
          <w:lang w:val="en-US" w:eastAsia="zh-CN"/>
        </w:rPr>
        <w:t>5</w:t>
      </w:r>
      <w:r>
        <w:rPr>
          <w:rFonts w:hint="eastAsia"/>
        </w:rPr>
        <w:t xml:space="preserve"> 日。</w:t>
      </w:r>
    </w:p>
    <w:p>
      <w:pPr>
        <w:spacing w:line="360" w:lineRule="auto"/>
      </w:pPr>
      <w:r>
        <w:rPr>
          <w:rFonts w:hint="eastAsia"/>
        </w:rPr>
        <w:t>工期总日历天数：</w:t>
      </w:r>
      <w:r>
        <w:rPr>
          <w:rFonts w:hint="eastAsia"/>
          <w:lang w:val="en-US" w:eastAsia="zh-CN"/>
        </w:rPr>
        <w:t>40</w:t>
      </w:r>
      <w:r>
        <w:rPr>
          <w:rFonts w:hint="eastAsia"/>
        </w:rPr>
        <w:t>天。工期总日历天数与根据前述计划开竣工日期计算的工期天数不一致的，以工期总日历天数为准。</w:t>
      </w:r>
    </w:p>
    <w:p>
      <w:pPr>
        <w:spacing w:line="360" w:lineRule="auto"/>
      </w:pPr>
      <w:r>
        <w:rPr>
          <w:rFonts w:hint="eastAsia"/>
        </w:rPr>
        <w:t xml:space="preserve">    三、质量标准</w:t>
      </w:r>
    </w:p>
    <w:p>
      <w:pPr>
        <w:spacing w:line="360" w:lineRule="auto"/>
      </w:pPr>
      <w:r>
        <w:rPr>
          <w:rFonts w:hint="eastAsia"/>
        </w:rPr>
        <w:t>工程质量符合符合国家验收标准、通用条款及专用条款。</w:t>
      </w:r>
    </w:p>
    <w:p>
      <w:pPr>
        <w:spacing w:line="360" w:lineRule="auto"/>
      </w:pPr>
      <w:r>
        <w:rPr>
          <w:rFonts w:hint="eastAsia"/>
        </w:rPr>
        <w:t xml:space="preserve">    四、签约合同价与合同价格形式</w:t>
      </w:r>
      <w:r>
        <w:rPr>
          <w:rFonts w:hint="eastAsia"/>
        </w:rPr>
        <w:tab/>
      </w:r>
    </w:p>
    <w:p>
      <w:pPr>
        <w:spacing w:line="360" w:lineRule="auto"/>
      </w:pPr>
      <w:r>
        <w:rPr>
          <w:rFonts w:hint="eastAsia"/>
        </w:rPr>
        <w:t>1</w:t>
      </w:r>
      <w:r>
        <w:rPr>
          <w:rFonts w:hint="eastAsia"/>
          <w:highlight w:val="yellow"/>
        </w:rPr>
        <w:t>.暂定合同价为</w:t>
      </w:r>
      <w:r>
        <w:rPr>
          <w:rFonts w:hint="eastAsia"/>
        </w:rPr>
        <w:t>：</w:t>
      </w:r>
    </w:p>
    <w:p>
      <w:pPr>
        <w:spacing w:line="360" w:lineRule="auto"/>
        <w:rPr>
          <w:u w:val="single"/>
        </w:rPr>
      </w:pPr>
      <w:r>
        <w:rPr>
          <w:rFonts w:hint="eastAsia"/>
          <w:u w:val="single"/>
        </w:rPr>
        <w:t>人民币（大写）             (¥            元)；</w:t>
      </w:r>
    </w:p>
    <w:p>
      <w:pPr>
        <w:spacing w:line="360" w:lineRule="auto"/>
      </w:pPr>
      <w:r>
        <w:rPr>
          <w:rFonts w:hint="eastAsia"/>
        </w:rPr>
        <w:t>2.合同价格形式：</w:t>
      </w:r>
      <w:r>
        <w:rPr>
          <w:rFonts w:hint="eastAsia"/>
          <w:highlight w:val="yellow"/>
          <w:u w:val="single"/>
        </w:rPr>
        <w:t>本合同为固定单价合同，该单价为含税价，且在工程结算时不作调整。工程竣工验收后，承包方应及时报送决算审计资料，经决算审计后确定最终合同总价固定单价合同</w:t>
      </w:r>
      <w:r>
        <w:rPr>
          <w:rFonts w:hint="eastAsia"/>
          <w:u w:val="single"/>
        </w:rPr>
        <w:t>。</w:t>
      </w:r>
    </w:p>
    <w:p>
      <w:pPr>
        <w:spacing w:line="360" w:lineRule="auto"/>
      </w:pPr>
      <w:r>
        <w:rPr>
          <w:rFonts w:hint="eastAsia"/>
        </w:rPr>
        <w:t>3. 结算核减率（核减额/送审造价）超出5%，审计费由施工单位支付。</w:t>
      </w:r>
    </w:p>
    <w:p>
      <w:pPr>
        <w:spacing w:line="360" w:lineRule="auto"/>
      </w:pPr>
      <w:r>
        <w:rPr>
          <w:rFonts w:hint="eastAsia"/>
        </w:rPr>
        <w:t>4. 承包人自本合同约定工程竣工验收合格之日起</w:t>
      </w:r>
      <w:r>
        <w:rPr>
          <w:rFonts w:hint="eastAsia"/>
          <w:lang w:val="en-US" w:eastAsia="zh-CN"/>
        </w:rPr>
        <w:t>1</w:t>
      </w:r>
      <w:r>
        <w:rPr>
          <w:rFonts w:hint="eastAsia"/>
        </w:rPr>
        <w:t>个月必须完成工程决算，由于承包人原因未在上述时间内完成决算的，审计费由施工单位支付。</w:t>
      </w:r>
    </w:p>
    <w:p>
      <w:pPr>
        <w:spacing w:line="360" w:lineRule="auto"/>
      </w:pPr>
      <w:r>
        <w:rPr>
          <w:rFonts w:hint="eastAsia"/>
        </w:rPr>
        <w:t>5.承包人工程款收款信息：</w:t>
      </w:r>
    </w:p>
    <w:p>
      <w:pPr>
        <w:spacing w:line="360" w:lineRule="auto"/>
      </w:pPr>
      <w:r>
        <w:rPr>
          <w:rFonts w:hint="eastAsia"/>
        </w:rPr>
        <w:t xml:space="preserve">  户  名：</w:t>
      </w:r>
      <w:r>
        <w:rPr>
          <w:rFonts w:hint="eastAsia"/>
          <w:u w:val="single"/>
        </w:rPr>
        <w:t xml:space="preserve">             </w:t>
      </w:r>
    </w:p>
    <w:p>
      <w:pPr>
        <w:spacing w:line="360" w:lineRule="auto"/>
      </w:pPr>
      <w:r>
        <w:rPr>
          <w:rFonts w:hint="eastAsia"/>
        </w:rPr>
        <w:t xml:space="preserve">  帐  号：</w:t>
      </w:r>
      <w:r>
        <w:rPr>
          <w:rFonts w:hint="eastAsia"/>
          <w:u w:val="single"/>
        </w:rPr>
        <w:t xml:space="preserve">                      </w:t>
      </w:r>
    </w:p>
    <w:p>
      <w:pPr>
        <w:spacing w:line="360" w:lineRule="auto"/>
      </w:pPr>
      <w:r>
        <w:rPr>
          <w:rFonts w:hint="eastAsia"/>
        </w:rPr>
        <w:t xml:space="preserve">  开户行：</w:t>
      </w:r>
      <w:r>
        <w:rPr>
          <w:rFonts w:hint="eastAsia"/>
          <w:u w:val="single"/>
        </w:rPr>
        <w:t xml:space="preserve">              </w:t>
      </w:r>
    </w:p>
    <w:p>
      <w:pPr>
        <w:spacing w:line="360" w:lineRule="auto"/>
      </w:pPr>
      <w:r>
        <w:rPr>
          <w:rFonts w:hint="eastAsia"/>
        </w:rPr>
        <w:t>承包人确认发包人将应付款项汇入上述收款帐号后即视为已履行本合同项下付款义务，如由此产生纠纷与发包方无关。在未结清本合同项下的工程款前，收款帐号不得变更。</w:t>
      </w:r>
    </w:p>
    <w:p>
      <w:pPr>
        <w:spacing w:line="360" w:lineRule="auto"/>
      </w:pPr>
      <w:r>
        <w:rPr>
          <w:rFonts w:hint="eastAsia"/>
        </w:rPr>
        <w:t xml:space="preserve">    五、项目经理</w:t>
      </w:r>
    </w:p>
    <w:p>
      <w:pPr>
        <w:spacing w:line="360" w:lineRule="auto"/>
      </w:pPr>
      <w:r>
        <w:rPr>
          <w:rFonts w:hint="eastAsia"/>
        </w:rPr>
        <w:t>承包人项目经理：</w:t>
      </w:r>
      <w:r>
        <w:rPr>
          <w:rFonts w:hint="eastAsia"/>
          <w:u w:val="single"/>
        </w:rPr>
        <w:t xml:space="preserve">       </w:t>
      </w:r>
      <w:r>
        <w:rPr>
          <w:rFonts w:hint="eastAsia"/>
        </w:rPr>
        <w:t>。</w:t>
      </w:r>
    </w:p>
    <w:p>
      <w:pPr>
        <w:spacing w:line="360" w:lineRule="auto"/>
      </w:pPr>
      <w:r>
        <w:rPr>
          <w:rFonts w:hint="eastAsia"/>
        </w:rPr>
        <w:t xml:space="preserve">    六、合同文件构成</w:t>
      </w:r>
    </w:p>
    <w:p>
      <w:pPr>
        <w:spacing w:line="360" w:lineRule="auto"/>
      </w:pPr>
      <w:r>
        <w:rPr>
          <w:rFonts w:hint="eastAsia"/>
        </w:rPr>
        <w:t>本协议书与下列文件一起构成合同文件：</w:t>
      </w:r>
    </w:p>
    <w:p>
      <w:pPr>
        <w:spacing w:line="360" w:lineRule="auto"/>
      </w:pPr>
      <w:r>
        <w:rPr>
          <w:rFonts w:hint="eastAsia"/>
        </w:rPr>
        <w:t>（1）中标通知书（如果有）；</w:t>
      </w:r>
    </w:p>
    <w:p>
      <w:pPr>
        <w:spacing w:line="360" w:lineRule="auto"/>
      </w:pPr>
      <w:r>
        <w:rPr>
          <w:rFonts w:hint="eastAsia"/>
        </w:rPr>
        <w:t xml:space="preserve">（2）参选函及其附录（如果有）； </w:t>
      </w:r>
    </w:p>
    <w:p>
      <w:pPr>
        <w:spacing w:line="360" w:lineRule="auto"/>
      </w:pPr>
      <w:r>
        <w:rPr>
          <w:rFonts w:hint="eastAsia"/>
        </w:rPr>
        <w:t>（3）专用合同条款及其附件；</w:t>
      </w:r>
    </w:p>
    <w:p>
      <w:pPr>
        <w:spacing w:line="360" w:lineRule="auto"/>
      </w:pPr>
      <w:r>
        <w:rPr>
          <w:rFonts w:hint="eastAsia"/>
        </w:rPr>
        <w:t>（4）通用合同条款；</w:t>
      </w:r>
    </w:p>
    <w:p>
      <w:pPr>
        <w:spacing w:line="360" w:lineRule="auto"/>
      </w:pPr>
      <w:r>
        <w:rPr>
          <w:rFonts w:hint="eastAsia"/>
        </w:rPr>
        <w:t>（5）技术标准和要求；</w:t>
      </w:r>
    </w:p>
    <w:p>
      <w:pPr>
        <w:spacing w:line="360" w:lineRule="auto"/>
      </w:pPr>
      <w:r>
        <w:rPr>
          <w:rFonts w:hint="eastAsia"/>
        </w:rPr>
        <w:t>（6）图纸；</w:t>
      </w:r>
    </w:p>
    <w:p>
      <w:pPr>
        <w:spacing w:line="360" w:lineRule="auto"/>
      </w:pPr>
      <w:r>
        <w:rPr>
          <w:rFonts w:hint="eastAsia"/>
        </w:rPr>
        <w:t>（7）已标价工程量清单或预算书；</w:t>
      </w:r>
    </w:p>
    <w:p>
      <w:pPr>
        <w:spacing w:line="360" w:lineRule="auto"/>
      </w:pPr>
      <w:r>
        <w:rPr>
          <w:rFonts w:hint="eastAsia"/>
        </w:rPr>
        <w:t>（8）其他合同文件。</w:t>
      </w:r>
    </w:p>
    <w:p>
      <w:pPr>
        <w:spacing w:line="360" w:lineRule="auto"/>
      </w:pPr>
      <w:r>
        <w:rPr>
          <w:rFonts w:hint="eastAsia"/>
        </w:rPr>
        <w:t>在合同订立及履行过程中形成的与合同有关的文件均构成合同文件组成部分。</w:t>
      </w:r>
    </w:p>
    <w:p>
      <w:pPr>
        <w:spacing w:line="360" w:lineRule="auto"/>
      </w:pPr>
      <w:r>
        <w:rPr>
          <w:rFonts w:hint="eastAsia"/>
        </w:rPr>
        <w:t>上述各项合同文件包括合同当事人就该项合同文件所作出的补充和修改，属于同一类内容的文件，应以最新签署的为准。专用合同条款及其附件须经合同当事人签字并盖章。</w:t>
      </w:r>
    </w:p>
    <w:p>
      <w:pPr>
        <w:spacing w:line="360" w:lineRule="auto"/>
      </w:pPr>
      <w:r>
        <w:rPr>
          <w:rFonts w:hint="eastAsia"/>
        </w:rPr>
        <w:t xml:space="preserve">    七、承诺</w:t>
      </w:r>
    </w:p>
    <w:p>
      <w:pPr>
        <w:spacing w:line="360" w:lineRule="auto"/>
      </w:pPr>
      <w:r>
        <w:rPr>
          <w:rFonts w:hint="eastAsia"/>
        </w:rPr>
        <w:t>1.发包人承诺按照法律规定履行项目审批手续、筹集工程建设资金并按照合同约定支付合同价款。</w:t>
      </w:r>
    </w:p>
    <w:p>
      <w:pPr>
        <w:spacing w:line="360" w:lineRule="auto"/>
      </w:pPr>
      <w:r>
        <w:rPr>
          <w:rFonts w:hint="eastAsia"/>
        </w:rPr>
        <w:t>2.承包人承诺按照法律规定及合同约定组织完成工程施工，确保工程质量和安全，不进行转包及分包，并在缺陷责任期及保修期内承担相应的工程维修责任。</w:t>
      </w:r>
    </w:p>
    <w:p>
      <w:pPr>
        <w:spacing w:line="360" w:lineRule="auto"/>
      </w:pPr>
      <w:r>
        <w:rPr>
          <w:rFonts w:hint="eastAsia"/>
        </w:rPr>
        <w:t>3.发包人和承包人通过招参选形式签订合同的，双方理解并承诺不再就同一工程另行签订与合同实质性内容相背离的协议。</w:t>
      </w:r>
    </w:p>
    <w:p>
      <w:pPr>
        <w:spacing w:line="360" w:lineRule="auto"/>
      </w:pPr>
      <w:r>
        <w:rPr>
          <w:rFonts w:hint="eastAsia"/>
        </w:rPr>
        <w:t xml:space="preserve">    八、词语含义</w:t>
      </w:r>
    </w:p>
    <w:p>
      <w:pPr>
        <w:spacing w:line="360" w:lineRule="auto"/>
      </w:pPr>
      <w:r>
        <w:rPr>
          <w:rFonts w:hint="eastAsia"/>
        </w:rPr>
        <w:t xml:space="preserve">本协议书中词语含义与中华人民共和国住房和城乡建设部及中华人民共和国国家工商行政管理总局于2017年9月22日发布的“《建设工程施工合同（示范文本）》（GF-2017-0201）”中“通用合同条款”中赋予的含义相同。    </w:t>
      </w:r>
    </w:p>
    <w:p>
      <w:pPr>
        <w:spacing w:line="360" w:lineRule="auto"/>
      </w:pPr>
      <w:r>
        <w:rPr>
          <w:rFonts w:hint="eastAsia"/>
        </w:rPr>
        <w:t>九、签订地点</w:t>
      </w:r>
    </w:p>
    <w:p>
      <w:pPr>
        <w:spacing w:line="360" w:lineRule="auto"/>
      </w:pPr>
      <w:r>
        <w:rPr>
          <w:rFonts w:hint="eastAsia"/>
        </w:rPr>
        <w:t>本合同在</w:t>
      </w:r>
      <w:r>
        <w:rPr>
          <w:rFonts w:hint="eastAsia"/>
          <w:u w:val="single"/>
        </w:rPr>
        <w:t xml:space="preserve">             </w:t>
      </w:r>
      <w:r>
        <w:rPr>
          <w:rFonts w:hint="eastAsia"/>
        </w:rPr>
        <w:t>签订。</w:t>
      </w:r>
    </w:p>
    <w:p>
      <w:pPr>
        <w:spacing w:line="360" w:lineRule="auto"/>
      </w:pPr>
      <w:r>
        <w:rPr>
          <w:rFonts w:hint="eastAsia"/>
        </w:rPr>
        <w:t xml:space="preserve">    十、补充协议</w:t>
      </w:r>
    </w:p>
    <w:p>
      <w:pPr>
        <w:spacing w:line="360" w:lineRule="auto"/>
      </w:pPr>
      <w:r>
        <w:rPr>
          <w:rFonts w:hint="eastAsia"/>
        </w:rPr>
        <w:t>合同未尽事宜，合同当事人另行签订补充协议，补充协议是合同的组成部分。</w:t>
      </w:r>
    </w:p>
    <w:p>
      <w:pPr>
        <w:spacing w:line="360" w:lineRule="auto"/>
      </w:pPr>
      <w:r>
        <w:rPr>
          <w:rFonts w:hint="eastAsia"/>
        </w:rPr>
        <w:t xml:space="preserve">    十一、合同生效</w:t>
      </w:r>
    </w:p>
    <w:p>
      <w:pPr>
        <w:spacing w:line="360" w:lineRule="auto"/>
      </w:pPr>
      <w:r>
        <w:rPr>
          <w:rFonts w:hint="eastAsia"/>
        </w:rPr>
        <w:t>本合同自双方加盖公章生效。</w:t>
      </w:r>
    </w:p>
    <w:p>
      <w:pPr>
        <w:spacing w:line="360" w:lineRule="auto"/>
      </w:pPr>
      <w:r>
        <w:rPr>
          <w:rFonts w:hint="eastAsia"/>
        </w:rPr>
        <w:t xml:space="preserve">    十二、合同份数</w:t>
      </w:r>
    </w:p>
    <w:p>
      <w:pPr>
        <w:spacing w:line="360" w:lineRule="auto"/>
      </w:pPr>
      <w:r>
        <w:rPr>
          <w:rFonts w:hint="eastAsia"/>
        </w:rPr>
        <w:t>本合同一式叁份，均具有同等法律效力，发包人执壹份，承包人执贰份。</w:t>
      </w:r>
    </w:p>
    <w:p>
      <w:pPr>
        <w:spacing w:line="360" w:lineRule="auto"/>
      </w:pPr>
    </w:p>
    <w:p>
      <w:pPr>
        <w:spacing w:line="360" w:lineRule="auto"/>
      </w:pPr>
    </w:p>
    <w:p>
      <w:pPr>
        <w:spacing w:line="360" w:lineRule="auto"/>
      </w:pPr>
      <w:r>
        <w:rPr>
          <w:rFonts w:hint="eastAsia"/>
        </w:rPr>
        <w:t>发包人：(公章)                          承包人：(公章)</w:t>
      </w:r>
    </w:p>
    <w:p>
      <w:pPr>
        <w:spacing w:line="360" w:lineRule="auto"/>
      </w:pPr>
    </w:p>
    <w:p>
      <w:pPr>
        <w:spacing w:line="360" w:lineRule="auto"/>
      </w:pPr>
      <w:r>
        <w:rPr>
          <w:rFonts w:hint="eastAsia"/>
        </w:rPr>
        <w:t xml:space="preserve">    签定日期：                             签定日期： </w:t>
      </w:r>
    </w:p>
    <w:p>
      <w:pPr>
        <w:spacing w:line="360" w:lineRule="auto"/>
        <w:jc w:val="center"/>
      </w:pPr>
      <w:r>
        <w:br w:type="page"/>
      </w:r>
      <w:r>
        <w:rPr>
          <w:rFonts w:hint="eastAsia"/>
        </w:rPr>
        <w:t>第二部分 专用合同条款</w:t>
      </w:r>
    </w:p>
    <w:p>
      <w:pPr>
        <w:spacing w:line="360" w:lineRule="auto"/>
      </w:pPr>
      <w:r>
        <w:rPr>
          <w:rFonts w:hint="eastAsia"/>
        </w:rPr>
        <w:t>1. 一般约定</w:t>
      </w:r>
    </w:p>
    <w:p>
      <w:pPr>
        <w:spacing w:line="360" w:lineRule="auto"/>
      </w:pPr>
      <w:r>
        <w:rPr>
          <w:rFonts w:hint="eastAsia"/>
        </w:rPr>
        <w:t>1.1 词语定义</w:t>
      </w:r>
    </w:p>
    <w:p>
      <w:pPr>
        <w:spacing w:line="360" w:lineRule="auto"/>
      </w:pPr>
      <w:r>
        <w:rPr>
          <w:rFonts w:hint="eastAsia"/>
        </w:rPr>
        <w:t>1.1.1合同</w:t>
      </w:r>
    </w:p>
    <w:p>
      <w:pPr>
        <w:spacing w:line="360" w:lineRule="auto"/>
      </w:pPr>
      <w:r>
        <w:rPr>
          <w:rFonts w:hint="eastAsia"/>
        </w:rPr>
        <w:t>1.1.1.10其他合同文件包括但不限于：</w:t>
      </w:r>
      <w:r>
        <w:rPr>
          <w:rFonts w:hint="eastAsia"/>
          <w:u w:val="single"/>
        </w:rPr>
        <w:t>(1)本合同协议书；（2）比选文件参选须知及比选文件修改澄清(含答疑)；(3)明确双方权利、义务的纪要、协议；（4）中标通知书；（5）参选书及其附件； (6)本合同专用条款； （7）本合同通用条款；（8）标准、规范及有关技术文件、技术要求； (9)施工图纸；（10）工程量清单及其总说明；（11）工程报价单或预算书</w:t>
      </w:r>
      <w:r>
        <w:rPr>
          <w:rFonts w:hint="eastAsia"/>
        </w:rPr>
        <w:t>。</w:t>
      </w:r>
    </w:p>
    <w:p>
      <w:pPr>
        <w:spacing w:line="360" w:lineRule="auto"/>
      </w:pPr>
      <w:r>
        <w:rPr>
          <w:rFonts w:hint="eastAsia"/>
        </w:rPr>
        <w:t xml:space="preserve">1.3法律 </w:t>
      </w:r>
    </w:p>
    <w:p>
      <w:pPr>
        <w:spacing w:line="360" w:lineRule="auto"/>
      </w:pPr>
      <w:r>
        <w:rPr>
          <w:rFonts w:hint="eastAsia"/>
        </w:rPr>
        <w:t>适用于合同的其他规范性文件包括但不限于：</w:t>
      </w:r>
      <w:r>
        <w:rPr>
          <w:rFonts w:hint="eastAsia"/>
          <w:u w:val="single"/>
        </w:rPr>
        <w:t>《中华人民共和国建筑法》、《中华人民共和国合同法》、《建设工程质量管理条例》等国家、部委相关法律、法规</w:t>
      </w:r>
      <w:r>
        <w:rPr>
          <w:rFonts w:hint="eastAsia"/>
        </w:rPr>
        <w:t>。</w:t>
      </w:r>
    </w:p>
    <w:p>
      <w:pPr>
        <w:spacing w:line="360" w:lineRule="auto"/>
      </w:pPr>
      <w:r>
        <w:rPr>
          <w:rFonts w:hint="eastAsia"/>
        </w:rPr>
        <w:t>1.4 标准和规范</w:t>
      </w:r>
    </w:p>
    <w:p>
      <w:pPr>
        <w:spacing w:line="360" w:lineRule="auto"/>
      </w:pPr>
      <w:r>
        <w:rPr>
          <w:rFonts w:hint="eastAsia"/>
        </w:rPr>
        <w:t>1.4.1适用于工程的标准规范包括：国家、地方及现行的有关规范、标准。</w:t>
      </w:r>
    </w:p>
    <w:p>
      <w:pPr>
        <w:spacing w:line="360" w:lineRule="auto"/>
      </w:pPr>
      <w:r>
        <w:rPr>
          <w:rFonts w:hint="eastAsia"/>
        </w:rPr>
        <w:t>发包人提供标准、规范。国内没有相应标准、规范时的约定： 按通用条款执行。</w:t>
      </w:r>
    </w:p>
    <w:p>
      <w:pPr>
        <w:spacing w:line="360" w:lineRule="auto"/>
      </w:pPr>
      <w:r>
        <w:rPr>
          <w:rFonts w:hint="eastAsia"/>
        </w:rPr>
        <w:t>1.5 合同文件的优先顺序</w:t>
      </w:r>
    </w:p>
    <w:p>
      <w:pPr>
        <w:spacing w:line="360" w:lineRule="auto"/>
      </w:pPr>
      <w:r>
        <w:rPr>
          <w:rFonts w:hint="eastAsia"/>
        </w:rPr>
        <w:t>合同文件组成及优先顺序为</w:t>
      </w:r>
      <w:r>
        <w:rPr>
          <w:rFonts w:hint="eastAsia"/>
          <w:u w:val="single"/>
        </w:rPr>
        <w:t>(1)本合同协议书；（2）比选文件参选须知及比选文件修改澄清(含答疑)；(3)明确双方权利、义务的纪要、协议；（4）中标通知书；（5）参选书及其附件； (6)本合同专用条款； （7）本合同通用条款；（8）标准、规范及有关技术文件、技术要求； (9)施工图纸；（10）工程量清单及其总说明；（11）工程报价单或预算书。</w:t>
      </w:r>
    </w:p>
    <w:p>
      <w:pPr>
        <w:spacing w:line="360" w:lineRule="auto"/>
      </w:pPr>
      <w:r>
        <w:rPr>
          <w:rFonts w:hint="eastAsia"/>
        </w:rPr>
        <w:t>1.6 图纸和承包人文件</w:t>
      </w:r>
      <w:r>
        <w:rPr>
          <w:rFonts w:hint="eastAsia"/>
        </w:rPr>
        <w:tab/>
      </w:r>
    </w:p>
    <w:p>
      <w:pPr>
        <w:spacing w:line="360" w:lineRule="auto"/>
      </w:pPr>
      <w:r>
        <w:rPr>
          <w:rFonts w:hint="eastAsia"/>
        </w:rPr>
        <w:t>1.6.1 图纸的提供</w:t>
      </w:r>
    </w:p>
    <w:p>
      <w:pPr>
        <w:spacing w:line="360" w:lineRule="auto"/>
      </w:pPr>
      <w:r>
        <w:rPr>
          <w:rFonts w:hint="eastAsia"/>
        </w:rPr>
        <w:t>发包人向承包人提供图纸的期限：</w:t>
      </w:r>
      <w:r>
        <w:rPr>
          <w:rFonts w:hint="eastAsia"/>
          <w:u w:val="single"/>
        </w:rPr>
        <w:t>开工前一周</w:t>
      </w:r>
      <w:r>
        <w:rPr>
          <w:rFonts w:hint="eastAsia"/>
        </w:rPr>
        <w:t>；</w:t>
      </w:r>
    </w:p>
    <w:p>
      <w:pPr>
        <w:spacing w:line="360" w:lineRule="auto"/>
      </w:pPr>
      <w:r>
        <w:rPr>
          <w:rFonts w:hint="eastAsia"/>
        </w:rPr>
        <w:t>发包人向承包人提供图纸的数量：</w:t>
      </w:r>
      <w:r>
        <w:rPr>
          <w:rFonts w:hint="eastAsia"/>
          <w:u w:val="single"/>
        </w:rPr>
        <w:t>提供</w:t>
      </w:r>
      <w:r>
        <w:rPr>
          <w:rFonts w:hint="eastAsia"/>
          <w:u w:val="single"/>
          <w:lang w:val="en-US" w:eastAsia="zh-CN"/>
        </w:rPr>
        <w:t>壹</w:t>
      </w:r>
      <w:r>
        <w:rPr>
          <w:rFonts w:hint="eastAsia"/>
          <w:u w:val="single"/>
        </w:rPr>
        <w:t>套施工图纸</w:t>
      </w:r>
      <w:r>
        <w:rPr>
          <w:rFonts w:hint="eastAsia"/>
        </w:rPr>
        <w:t>；</w:t>
      </w:r>
    </w:p>
    <w:p>
      <w:pPr>
        <w:spacing w:line="360" w:lineRule="auto"/>
      </w:pPr>
      <w:r>
        <w:rPr>
          <w:rFonts w:hint="eastAsia"/>
        </w:rPr>
        <w:t>发包人向承包人提供图纸的内容：</w:t>
      </w:r>
      <w:r>
        <w:rPr>
          <w:rFonts w:hint="eastAsia"/>
          <w:u w:val="single"/>
        </w:rPr>
        <w:t>发包人对图纸的保密要求：未经发包人同意不得复制，不得向承包人以外的人员泄漏有关图纸的内容或挪作他用</w:t>
      </w:r>
      <w:r>
        <w:rPr>
          <w:rFonts w:hint="eastAsia"/>
        </w:rPr>
        <w:t>。</w:t>
      </w:r>
    </w:p>
    <w:p>
      <w:pPr>
        <w:spacing w:line="360" w:lineRule="auto"/>
      </w:pPr>
      <w:r>
        <w:rPr>
          <w:rFonts w:hint="eastAsia"/>
        </w:rPr>
        <w:t>1.7 联络</w:t>
      </w:r>
    </w:p>
    <w:p>
      <w:pPr>
        <w:spacing w:line="360" w:lineRule="auto"/>
      </w:pPr>
      <w:r>
        <w:rPr>
          <w:rFonts w:hint="eastAsia"/>
        </w:rPr>
        <w:t>1.7.1发包人和承包人应当在10天内将与合同有关的通知、批准、证明、证书、指示、指令、要求、请求、同意、意见、确定和决定等书面函件送达对方当事人。</w:t>
      </w:r>
    </w:p>
    <w:p>
      <w:pPr>
        <w:spacing w:line="360" w:lineRule="auto"/>
      </w:pPr>
      <w:r>
        <w:rPr>
          <w:rFonts w:hint="eastAsia"/>
        </w:rPr>
        <w:t>1.10.4超大件和超重件的运输</w:t>
      </w:r>
    </w:p>
    <w:p>
      <w:pPr>
        <w:spacing w:line="360" w:lineRule="auto"/>
      </w:pPr>
      <w:r>
        <w:rPr>
          <w:rFonts w:hint="eastAsia"/>
        </w:rPr>
        <w:t>运输超大件或超重件所需的道路和桥梁临时加固改造费用和其他有关费用由承包人承担。</w:t>
      </w:r>
    </w:p>
    <w:p>
      <w:pPr>
        <w:spacing w:line="360" w:lineRule="auto"/>
      </w:pPr>
      <w:r>
        <w:rPr>
          <w:rFonts w:hint="eastAsia"/>
        </w:rPr>
        <w:t>1.11 知识产权</w:t>
      </w:r>
    </w:p>
    <w:p>
      <w:pPr>
        <w:spacing w:line="360" w:lineRule="auto"/>
      </w:pPr>
      <w:r>
        <w:rPr>
          <w:rFonts w:hint="eastAsia"/>
        </w:rPr>
        <w:t>1.11.1关于发包人提供给承包人的图纸、发包人为实施工程自行编制或委托编制的技术规范以及反映发包人关于合同要求或其他类似性质的文件的著作权的归属：发包人。</w:t>
      </w:r>
    </w:p>
    <w:p>
      <w:pPr>
        <w:spacing w:line="360" w:lineRule="auto"/>
      </w:pPr>
      <w:r>
        <w:rPr>
          <w:rFonts w:hint="eastAsia"/>
        </w:rPr>
        <w:t>2. 发包人</w:t>
      </w:r>
    </w:p>
    <w:p>
      <w:pPr>
        <w:spacing w:line="360" w:lineRule="auto"/>
      </w:pPr>
      <w:r>
        <w:rPr>
          <w:rFonts w:hint="eastAsia"/>
        </w:rPr>
        <w:t>2.2 发包人代表</w:t>
      </w:r>
    </w:p>
    <w:p>
      <w:pPr>
        <w:spacing w:line="360" w:lineRule="auto"/>
      </w:pPr>
      <w:r>
        <w:rPr>
          <w:rFonts w:hint="eastAsia"/>
        </w:rPr>
        <w:t>发包人代表：</w:t>
      </w:r>
    </w:p>
    <w:p>
      <w:pPr>
        <w:spacing w:line="360" w:lineRule="auto"/>
      </w:pPr>
      <w:r>
        <w:rPr>
          <w:rFonts w:hint="eastAsia"/>
        </w:rPr>
        <w:t>姓    名：</w:t>
      </w:r>
      <w:r>
        <w:rPr>
          <w:rFonts w:hint="eastAsia"/>
          <w:u w:val="single"/>
        </w:rPr>
        <w:t> </w:t>
      </w:r>
      <w:r>
        <w:rPr>
          <w:rFonts w:hint="eastAsia"/>
        </w:rPr>
        <w:t>；</w:t>
      </w:r>
    </w:p>
    <w:p>
      <w:pPr>
        <w:spacing w:line="360" w:lineRule="auto"/>
      </w:pPr>
      <w:r>
        <w:rPr>
          <w:rFonts w:hint="eastAsia"/>
        </w:rPr>
        <w:t>身份证号：</w:t>
      </w:r>
      <w:r>
        <w:rPr>
          <w:rFonts w:hint="eastAsia"/>
          <w:u w:val="single"/>
        </w:rPr>
        <w:t>   </w:t>
      </w:r>
      <w:r>
        <w:rPr>
          <w:rFonts w:hint="eastAsia"/>
        </w:rPr>
        <w:t>；</w:t>
      </w:r>
    </w:p>
    <w:p>
      <w:pPr>
        <w:spacing w:line="360" w:lineRule="auto"/>
      </w:pPr>
      <w:r>
        <w:rPr>
          <w:rFonts w:hint="eastAsia"/>
        </w:rPr>
        <w:t>职    务：</w:t>
      </w:r>
      <w:r>
        <w:rPr>
          <w:rFonts w:hint="eastAsia"/>
          <w:u w:val="single"/>
        </w:rPr>
        <w:t></w:t>
      </w:r>
      <w:r>
        <w:rPr>
          <w:rFonts w:hint="eastAsia"/>
        </w:rPr>
        <w:t>；</w:t>
      </w:r>
    </w:p>
    <w:p>
      <w:pPr>
        <w:spacing w:line="360" w:lineRule="auto"/>
      </w:pPr>
      <w:r>
        <w:rPr>
          <w:rFonts w:hint="eastAsia"/>
        </w:rPr>
        <w:t>联系电话：</w:t>
      </w:r>
      <w:r>
        <w:rPr>
          <w:rFonts w:hint="eastAsia"/>
          <w:u w:val="single"/>
        </w:rPr>
        <w:t>  </w:t>
      </w:r>
      <w:r>
        <w:rPr>
          <w:rFonts w:hint="eastAsia"/>
        </w:rPr>
        <w:t>；</w:t>
      </w:r>
    </w:p>
    <w:p>
      <w:pPr>
        <w:spacing w:line="360" w:lineRule="auto"/>
      </w:pPr>
      <w:r>
        <w:rPr>
          <w:rFonts w:hint="eastAsia"/>
        </w:rPr>
        <w:t>电子信箱：</w:t>
      </w:r>
      <w:r>
        <w:rPr>
          <w:rFonts w:hint="eastAsia"/>
          <w:u w:val="single"/>
        </w:rPr>
        <w:t xml:space="preserve">  </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发包人对发包人代表的授权范围如下：</w:t>
      </w:r>
      <w:r>
        <w:rPr>
          <w:rFonts w:hint="eastAsia"/>
          <w:u w:val="single"/>
        </w:rPr>
        <w:t>①确认承包人提出的顺延工期的签证；②对发生的不可抗力造成工程无法施工的处置；③设计变更及施工条件变更等有关签证的确认；④工程竣工验收报告的确认；⑤处理和协调外部施工条件；⑥代表发包人行使本合同约定的其它权力和义务</w:t>
      </w:r>
      <w:r>
        <w:rPr>
          <w:rFonts w:hint="eastAsia"/>
        </w:rPr>
        <w:t>。</w:t>
      </w:r>
    </w:p>
    <w:p>
      <w:pPr>
        <w:spacing w:line="360" w:lineRule="auto"/>
      </w:pPr>
      <w:r>
        <w:rPr>
          <w:rFonts w:hint="eastAsia"/>
        </w:rPr>
        <w:t>3. 承包人</w:t>
      </w:r>
    </w:p>
    <w:p>
      <w:pPr>
        <w:spacing w:line="360" w:lineRule="auto"/>
      </w:pPr>
      <w:r>
        <w:rPr>
          <w:rFonts w:hint="eastAsia"/>
        </w:rPr>
        <w:t>3.1 承包人的一般义务</w:t>
      </w:r>
    </w:p>
    <w:p>
      <w:pPr>
        <w:spacing w:line="360" w:lineRule="auto"/>
      </w:pPr>
      <w:r>
        <w:rPr>
          <w:rFonts w:hint="eastAsia"/>
        </w:rPr>
        <w:t>（5）承包人提交的竣工资料的内容：竣工图纸（含电子档）、决算报告、竣工报告。</w:t>
      </w:r>
    </w:p>
    <w:p>
      <w:pPr>
        <w:spacing w:line="360" w:lineRule="auto"/>
      </w:pPr>
      <w:r>
        <w:rPr>
          <w:rFonts w:hint="eastAsia"/>
        </w:rPr>
        <w:t>承包人需要提交的竣工资料套数：贰套  。</w:t>
      </w:r>
    </w:p>
    <w:p>
      <w:pPr>
        <w:spacing w:line="360" w:lineRule="auto"/>
      </w:pPr>
      <w:r>
        <w:rPr>
          <w:rFonts w:hint="eastAsia"/>
        </w:rPr>
        <w:t>承包人提交的竣工资料的费用承担：施工方承担。</w:t>
      </w:r>
    </w:p>
    <w:p>
      <w:pPr>
        <w:spacing w:line="360" w:lineRule="auto"/>
      </w:pPr>
      <w:r>
        <w:rPr>
          <w:rFonts w:hint="eastAsia"/>
        </w:rPr>
        <w:t>承包人提交的竣工资料移交时间：工程竣工结束后一周内  。</w:t>
      </w:r>
    </w:p>
    <w:p>
      <w:pPr>
        <w:spacing w:line="360" w:lineRule="auto"/>
      </w:pPr>
      <w:r>
        <w:rPr>
          <w:rFonts w:hint="eastAsia"/>
        </w:rPr>
        <w:t>承包人提交的竣工资料形式要求：纸质、电子档。</w:t>
      </w:r>
    </w:p>
    <w:p>
      <w:pPr>
        <w:spacing w:line="360" w:lineRule="auto"/>
      </w:pPr>
      <w:r>
        <w:rPr>
          <w:rFonts w:hint="eastAsia"/>
        </w:rPr>
        <w:t>（6）承包人应履行的其他义务：本工程参选的项目经理和主要技术管理人员承包人不得单方面更换;若出现更换情况发包人有权终止合同并责令承包人退场,并按500元/天索赔(从进场之日至退场之日)。</w:t>
      </w:r>
    </w:p>
    <w:p>
      <w:pPr>
        <w:spacing w:line="360" w:lineRule="auto"/>
      </w:pPr>
      <w:r>
        <w:rPr>
          <w:rFonts w:hint="eastAsia"/>
        </w:rPr>
        <w:t>3.2 项目经理</w:t>
      </w:r>
    </w:p>
    <w:p>
      <w:pPr>
        <w:spacing w:line="360" w:lineRule="auto"/>
      </w:pPr>
      <w:r>
        <w:rPr>
          <w:rFonts w:hint="eastAsia"/>
        </w:rPr>
        <w:t>3.2.1 项目经理：</w:t>
      </w:r>
    </w:p>
    <w:p>
      <w:pPr>
        <w:spacing w:line="360" w:lineRule="auto"/>
      </w:pPr>
      <w:r>
        <w:rPr>
          <w:rFonts w:hint="eastAsia"/>
        </w:rPr>
        <w:t>姓    名：</w:t>
      </w:r>
      <w:r>
        <w:rPr>
          <w:rFonts w:hint="eastAsia"/>
          <w:u w:val="single"/>
        </w:rPr>
        <w:t></w:t>
      </w:r>
      <w:r>
        <w:rPr>
          <w:rFonts w:hint="eastAsia"/>
        </w:rPr>
        <w:t>；</w:t>
      </w:r>
    </w:p>
    <w:p>
      <w:pPr>
        <w:spacing w:line="360" w:lineRule="auto"/>
      </w:pPr>
      <w:r>
        <w:rPr>
          <w:rFonts w:hint="eastAsia"/>
        </w:rPr>
        <w:t>身份证号：</w:t>
      </w:r>
      <w:r>
        <w:rPr>
          <w:rFonts w:hint="eastAsia"/>
          <w:u w:val="single"/>
        </w:rPr>
        <w:t></w:t>
      </w:r>
      <w:r>
        <w:rPr>
          <w:rFonts w:hint="eastAsia"/>
        </w:rPr>
        <w:t>；</w:t>
      </w:r>
    </w:p>
    <w:p>
      <w:pPr>
        <w:spacing w:line="360" w:lineRule="auto"/>
      </w:pPr>
      <w:r>
        <w:rPr>
          <w:rFonts w:hint="eastAsia"/>
        </w:rPr>
        <w:t>建造师执业资格等级：</w:t>
      </w:r>
      <w:r>
        <w:rPr>
          <w:rFonts w:hint="eastAsia"/>
          <w:u w:val="single"/>
        </w:rPr>
        <w:t></w:t>
      </w:r>
      <w:r>
        <w:rPr>
          <w:rFonts w:hint="eastAsia"/>
        </w:rPr>
        <w:t>；</w:t>
      </w:r>
    </w:p>
    <w:p>
      <w:pPr>
        <w:spacing w:line="360" w:lineRule="auto"/>
      </w:pPr>
      <w:r>
        <w:rPr>
          <w:rFonts w:hint="eastAsia"/>
        </w:rPr>
        <w:t>建造师注册证书号：</w:t>
      </w:r>
      <w:r>
        <w:rPr>
          <w:rFonts w:hint="eastAsia"/>
          <w:u w:val="single"/>
        </w:rPr>
        <w:t></w:t>
      </w:r>
      <w:r>
        <w:rPr>
          <w:rFonts w:hint="eastAsia"/>
        </w:rPr>
        <w:t>；</w:t>
      </w:r>
    </w:p>
    <w:p>
      <w:pPr>
        <w:spacing w:line="360" w:lineRule="auto"/>
      </w:pPr>
      <w:r>
        <w:rPr>
          <w:rFonts w:hint="eastAsia"/>
        </w:rPr>
        <w:t>建造师执业印章号：</w:t>
      </w:r>
      <w:r>
        <w:rPr>
          <w:rFonts w:hint="eastAsia"/>
          <w:u w:val="single"/>
        </w:rPr>
        <w:t></w:t>
      </w:r>
      <w:r>
        <w:rPr>
          <w:rFonts w:hint="eastAsia"/>
        </w:rPr>
        <w:t>；</w:t>
      </w:r>
    </w:p>
    <w:p>
      <w:pPr>
        <w:spacing w:line="360" w:lineRule="auto"/>
      </w:pPr>
      <w:r>
        <w:rPr>
          <w:rFonts w:hint="eastAsia"/>
        </w:rPr>
        <w:t>安全生产考核合格证书号：</w:t>
      </w:r>
      <w:r>
        <w:rPr>
          <w:rFonts w:hint="eastAsia"/>
          <w:u w:val="single"/>
        </w:rPr>
        <w:t></w:t>
      </w:r>
      <w:r>
        <w:rPr>
          <w:rFonts w:hint="eastAsia"/>
        </w:rPr>
        <w:t>；</w:t>
      </w:r>
    </w:p>
    <w:p>
      <w:pPr>
        <w:spacing w:line="360" w:lineRule="auto"/>
      </w:pPr>
      <w:r>
        <w:rPr>
          <w:rFonts w:hint="eastAsia"/>
        </w:rPr>
        <w:t>联系电话：</w:t>
      </w:r>
      <w:r>
        <w:rPr>
          <w:rFonts w:hint="eastAsia"/>
          <w:u w:val="single"/>
        </w:rPr>
        <w:t></w:t>
      </w:r>
      <w:r>
        <w:rPr>
          <w:rFonts w:hint="eastAsia"/>
        </w:rPr>
        <w:t>；</w:t>
      </w:r>
    </w:p>
    <w:p>
      <w:pPr>
        <w:spacing w:line="360" w:lineRule="auto"/>
      </w:pPr>
      <w:r>
        <w:rPr>
          <w:rFonts w:hint="eastAsia"/>
        </w:rPr>
        <w:t>电子信箱：</w:t>
      </w:r>
      <w:r>
        <w:rPr>
          <w:rFonts w:hint="eastAsia"/>
          <w:u w:val="single"/>
        </w:rPr>
        <w:t></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承包人对项目经理的授权范围如下：</w:t>
      </w:r>
      <w:r>
        <w:rPr>
          <w:rFonts w:hint="eastAsia"/>
          <w:u w:val="single"/>
        </w:rPr>
        <w:t>项目经理按本施工合同约定进行该项目的施工组织与管理；对工程施工进度、质量、安全等全面负责，履行承包人职责。开工之日起到竣工结束，项目经理每周至少5日，每天必须保证8小时以上在现场组织施工，离开现场需征得发包人的负责人同意，否则发包人将对承包人处以500元/天的罚款，每月发生5次每周少于5日或每天少于8小时的情况或累计发生10次的，发包人有权解除合同</w:t>
      </w:r>
      <w:r>
        <w:rPr>
          <w:rFonts w:hint="eastAsia"/>
        </w:rPr>
        <w:t>。</w:t>
      </w:r>
    </w:p>
    <w:p>
      <w:pPr>
        <w:spacing w:line="360" w:lineRule="auto"/>
      </w:pPr>
      <w:r>
        <w:rPr>
          <w:rFonts w:hint="eastAsia"/>
        </w:rPr>
        <w:t>3.3 承包人人员</w:t>
      </w:r>
    </w:p>
    <w:p>
      <w:pPr>
        <w:spacing w:line="360" w:lineRule="auto"/>
      </w:pPr>
      <w:r>
        <w:rPr>
          <w:rFonts w:hint="eastAsia"/>
        </w:rPr>
        <w:t>3.3.1承担施工安全保卫工作及非夜间施工照明的责任和要求：承包人负责和加强施工现场的安全保卫工作，负责施工人员的治安、教育和管理工作并承担相应费用，禁止外单位施工车辆、人员出入工地，负责发包人供应材料的保管。</w:t>
      </w:r>
    </w:p>
    <w:p>
      <w:pPr>
        <w:spacing w:line="360" w:lineRule="auto"/>
      </w:pPr>
      <w:r>
        <w:rPr>
          <w:rFonts w:hint="eastAsia"/>
        </w:rPr>
        <w:t>3.3.2需承包人办理的有关施工场地交通、环卫和施工噪音管理等手续：在开工前或施工中由承包人按照政府部门的规定办理各项手续，费用由承包人在报价中综合考虑。因承包人造成的罚款的也由承包人承担。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rPr>
          <w:rFonts w:hint="eastAsia"/>
        </w:rPr>
        <w:t>3.6 工程照管与成品、半成品保护</w:t>
      </w:r>
    </w:p>
    <w:p>
      <w:pPr>
        <w:spacing w:line="360" w:lineRule="auto"/>
      </w:pPr>
      <w:r>
        <w:rPr>
          <w:rFonts w:hint="eastAsia"/>
        </w:rPr>
        <w:t>已完工程成品保护的特殊要求及费用承担：</w:t>
      </w:r>
      <w:r>
        <w:rPr>
          <w:rFonts w:hint="eastAsia"/>
          <w:u w:val="single"/>
        </w:rPr>
        <w:t>工程交付前由承包方负责成品保护工作，直至竣工交接，相关费用考虑在参选报价中。竣工交付后由发包人负责。施工场地周围地下管线和邻近建筑物、构筑物(含文物保护建筑)、古树名木的保护要求及费用承担：现场施工采取相应的保护措施，如承包人未履行上述义务造成工程、财产损失或人身损失的，相关责任及费用由承包人承担</w:t>
      </w:r>
      <w:r>
        <w:rPr>
          <w:rFonts w:hint="eastAsia"/>
        </w:rPr>
        <w:t>。</w:t>
      </w:r>
    </w:p>
    <w:p>
      <w:pPr>
        <w:spacing w:line="360" w:lineRule="auto"/>
      </w:pPr>
      <w:r>
        <w:rPr>
          <w:rFonts w:hint="eastAsia"/>
        </w:rPr>
        <w:t>施工场地清洁卫生的要求：</w:t>
      </w:r>
      <w:r>
        <w:rPr>
          <w:rFonts w:hint="eastAsia"/>
          <w:u w:val="single"/>
        </w:rPr>
        <w:t>按文件和标化现场管理要求执行</w:t>
      </w:r>
      <w:r>
        <w:rPr>
          <w:rFonts w:hint="eastAsia"/>
        </w:rPr>
        <w:t>。</w:t>
      </w:r>
    </w:p>
    <w:p>
      <w:pPr>
        <w:spacing w:line="360" w:lineRule="auto"/>
      </w:pPr>
      <w:r>
        <w:rPr>
          <w:rFonts w:hint="eastAsia"/>
        </w:rPr>
        <w:t>4.4 商定或确定承包人应做的其它工作：</w:t>
      </w:r>
    </w:p>
    <w:p>
      <w:pPr>
        <w:spacing w:line="360" w:lineRule="auto"/>
      </w:pPr>
      <w:r>
        <w:rPr>
          <w:rFonts w:hint="eastAsia"/>
        </w:rPr>
        <w:t xml:space="preserve">1．遵守政府和有关部门对施工现场的一切规定和要求，承担因自身原因违反有关规定造成的损失和罚款。 </w:t>
      </w:r>
    </w:p>
    <w:p>
      <w:pPr>
        <w:spacing w:line="360" w:lineRule="auto"/>
      </w:pPr>
      <w:r>
        <w:rPr>
          <w:rFonts w:hint="eastAsia"/>
        </w:rPr>
        <w:t>2．竣工后将临时设施拆除、建筑垃圾清运出场后经发包人验收合格，否则发生的一切费用从工程款总扣回。</w:t>
      </w:r>
    </w:p>
    <w:p>
      <w:pPr>
        <w:spacing w:line="360" w:lineRule="auto"/>
      </w:pPr>
      <w:r>
        <w:rPr>
          <w:rFonts w:hint="eastAsia"/>
        </w:rPr>
        <w:t>3．承包人应按照政府相关规定，建立健全的雇员工资发放和劳动保障制度。如因雇员的工资发放和劳动保障制度不健全而引发纠纷，发包人有权终止施工合同，产生的一切后果由承包人自行承担。</w:t>
      </w:r>
    </w:p>
    <w:p>
      <w:pPr>
        <w:spacing w:line="360" w:lineRule="auto"/>
      </w:pPr>
      <w:r>
        <w:rPr>
          <w:rFonts w:hint="eastAsia"/>
        </w:rPr>
        <w:t>4．承包人应配合协调处理扰民与民扰问题。因场地管理不善引发的一切纠纷由承包人自行解决，发包人不承担任何责任。</w:t>
      </w:r>
    </w:p>
    <w:p>
      <w:pPr>
        <w:spacing w:line="360" w:lineRule="auto"/>
      </w:pPr>
      <w:r>
        <w:rPr>
          <w:rFonts w:hint="eastAsia"/>
        </w:rPr>
        <w:t>5．室内空气、环境的检测按GB50325-2010《民用建筑工程室内环境污染控制规范》的标准执行，检测项目包括检测室内空气中的甲醛、苯、TVOC、氨、放射性氡等指标参数。检测费用含在合同总价中。</w:t>
      </w:r>
    </w:p>
    <w:p>
      <w:pPr>
        <w:spacing w:line="360" w:lineRule="auto"/>
      </w:pPr>
      <w:r>
        <w:rPr>
          <w:rFonts w:hint="eastAsia"/>
        </w:rPr>
        <w:t>6．检测单位应具有相应资质，由承包人委托（但须经发包人认可）。如检测结果为不合格，则承包人须进行整改，直至检测结果合格。整改所发生的一切直接费用、间接费用及再次检测的费用均由承包人承担。</w:t>
      </w:r>
    </w:p>
    <w:p>
      <w:pPr>
        <w:spacing w:line="360" w:lineRule="auto"/>
      </w:pPr>
      <w:r>
        <w:rPr>
          <w:rFonts w:hint="eastAsia"/>
        </w:rPr>
        <w:t>7．承包人施工时对主体结构开孔、洞后由承包人负责补孔、洞并达到验收标准，此项费用应含在参选报价中，结算时不因开孔、洞大小及数量的变化而另增加费用。</w:t>
      </w:r>
    </w:p>
    <w:p>
      <w:pPr>
        <w:spacing w:line="360" w:lineRule="auto"/>
      </w:pPr>
      <w:r>
        <w:rPr>
          <w:rFonts w:hint="eastAsia"/>
        </w:rPr>
        <w:t>8. 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rPr>
          <w:rFonts w:hint="eastAsia"/>
        </w:rPr>
        <w:t>5. 工程质量</w:t>
      </w:r>
    </w:p>
    <w:p>
      <w:pPr>
        <w:spacing w:line="360" w:lineRule="auto"/>
      </w:pPr>
      <w:r>
        <w:rPr>
          <w:rFonts w:hint="eastAsia"/>
        </w:rPr>
        <w:t>5.1 质量要求</w:t>
      </w:r>
    </w:p>
    <w:p>
      <w:pPr>
        <w:spacing w:line="360" w:lineRule="auto"/>
      </w:pPr>
      <w:r>
        <w:rPr>
          <w:rFonts w:hint="eastAsia"/>
        </w:rPr>
        <w:t>5.1.1 特殊质量标准和要求：工程质量必须达到《建筑工程施工质量验收统一标准》（GB 50300-2013）以及行业的各项规定。</w:t>
      </w:r>
    </w:p>
    <w:p>
      <w:pPr>
        <w:spacing w:line="360" w:lineRule="auto"/>
      </w:pPr>
      <w:r>
        <w:rPr>
          <w:rFonts w:hint="eastAsia"/>
        </w:rPr>
        <w:t>5.3 隐蔽工程检查</w:t>
      </w:r>
    </w:p>
    <w:p>
      <w:pPr>
        <w:spacing w:line="360" w:lineRule="auto"/>
      </w:pPr>
      <w:r>
        <w:rPr>
          <w:rFonts w:hint="eastAsia"/>
        </w:rPr>
        <w:t>5.3.2双方约定中间验收部位按照国家以及行业现行文件和相关规范执行，此外发包人有权要求对本工程任何部位进行中间验收，中间部位验收时，承包人须提前一天通知发包人、监理等有关各方，否则，未验收而又继续执行下一道工序施工的，承包人必须返工，由此造成的一切经济损失由承包人自行承担。</w:t>
      </w:r>
    </w:p>
    <w:p>
      <w:pPr>
        <w:spacing w:line="360" w:lineRule="auto"/>
      </w:pPr>
      <w:r>
        <w:rPr>
          <w:rFonts w:hint="eastAsia"/>
        </w:rPr>
        <w:t>6. 安全文明施工与环境保护</w:t>
      </w:r>
    </w:p>
    <w:p>
      <w:pPr>
        <w:spacing w:line="360" w:lineRule="auto"/>
      </w:pPr>
      <w:r>
        <w:rPr>
          <w:rFonts w:hint="eastAsia"/>
        </w:rPr>
        <w:t>6.1安全文明施工</w:t>
      </w:r>
    </w:p>
    <w:p>
      <w:pPr>
        <w:spacing w:line="360" w:lineRule="auto"/>
      </w:pPr>
      <w:r>
        <w:rPr>
          <w:rFonts w:hint="eastAsia"/>
        </w:rPr>
        <w:t>承包人应遵守工程建设安全生产有关管理规定，严格按安全标准组织施工，并随时接受行业安全检查人员依法实施的监督检查，采取必要的安全防护措施，消除事故隐患。</w:t>
      </w:r>
    </w:p>
    <w:p>
      <w:pPr>
        <w:spacing w:line="360" w:lineRule="auto"/>
      </w:pPr>
      <w:r>
        <w:rPr>
          <w:rFonts w:hint="eastAsia"/>
        </w:rPr>
        <w:t>7. 工期和进度</w:t>
      </w:r>
    </w:p>
    <w:p>
      <w:pPr>
        <w:spacing w:line="360" w:lineRule="auto"/>
      </w:pPr>
      <w:r>
        <w:rPr>
          <w:rFonts w:hint="eastAsia"/>
        </w:rPr>
        <w:t>7.1 施工组织设计</w:t>
      </w:r>
    </w:p>
    <w:p>
      <w:pPr>
        <w:spacing w:line="360" w:lineRule="auto"/>
      </w:pPr>
      <w:r>
        <w:rPr>
          <w:rFonts w:hint="eastAsia"/>
        </w:rPr>
        <w:t>7.1.1 合同当事人约定的施工组织设计应包括的其他内容：/ .</w:t>
      </w:r>
    </w:p>
    <w:p>
      <w:pPr>
        <w:spacing w:line="360" w:lineRule="auto"/>
      </w:pPr>
      <w:r>
        <w:rPr>
          <w:rFonts w:hint="eastAsia"/>
        </w:rPr>
        <w:t>7.1.2 施工组织设计的提交和修改</w:t>
      </w:r>
    </w:p>
    <w:p>
      <w:pPr>
        <w:spacing w:line="360" w:lineRule="auto"/>
      </w:pPr>
      <w:r>
        <w:rPr>
          <w:rFonts w:hint="eastAsia"/>
        </w:rPr>
        <w:t>承包人提交详细施工组织设计的期限的约定：承包人收到中标通知书后五天内做出详细的施工组织方案，报发包人及监理总监审批，施工组织方案应包括现场平面布置、机械设备、人员和材料进场计划等。承包人不按时送审符合要求的施工组织方案，造成发包人无法判断工程进展顺利与否，发包人可按照现实情况要求承包人支付5000元/天的违约金，责任由承包人承担。</w:t>
      </w:r>
    </w:p>
    <w:p>
      <w:pPr>
        <w:spacing w:line="360" w:lineRule="auto"/>
      </w:pPr>
      <w:r>
        <w:rPr>
          <w:rFonts w:hint="eastAsia"/>
        </w:rPr>
        <w:t>发包人和监理人在收到详细的施工组织设计后确认或提出修改意见的期限：收到后7天内。</w:t>
      </w:r>
    </w:p>
    <w:p>
      <w:pPr>
        <w:spacing w:line="360" w:lineRule="auto"/>
      </w:pPr>
      <w:r>
        <w:rPr>
          <w:rFonts w:hint="eastAsia"/>
        </w:rPr>
        <w:t>7.2 施工进度计划</w:t>
      </w:r>
    </w:p>
    <w:p>
      <w:pPr>
        <w:spacing w:line="360" w:lineRule="auto"/>
      </w:pPr>
      <w:r>
        <w:rPr>
          <w:rFonts w:hint="eastAsia"/>
        </w:rPr>
        <w:t>7.2.2 施工进度计划的修订</w:t>
      </w:r>
    </w:p>
    <w:p>
      <w:pPr>
        <w:spacing w:line="360" w:lineRule="auto"/>
      </w:pPr>
      <w:r>
        <w:rPr>
          <w:rFonts w:hint="eastAsia"/>
        </w:rPr>
        <w:t>发包人和监理人在收到修订的施工进度计划后确认或提出修改意见的期限：收到后7天内。</w:t>
      </w:r>
    </w:p>
    <w:p>
      <w:pPr>
        <w:spacing w:line="360" w:lineRule="auto"/>
      </w:pPr>
      <w:r>
        <w:rPr>
          <w:rFonts w:hint="eastAsia"/>
        </w:rPr>
        <w:t>7.3 开工</w:t>
      </w:r>
    </w:p>
    <w:p>
      <w:pPr>
        <w:spacing w:line="360" w:lineRule="auto"/>
      </w:pPr>
      <w:r>
        <w:rPr>
          <w:rFonts w:hint="eastAsia"/>
        </w:rPr>
        <w:t>7.3.1 开工准备</w:t>
      </w:r>
    </w:p>
    <w:p>
      <w:pPr>
        <w:spacing w:line="360" w:lineRule="auto"/>
      </w:pPr>
      <w:r>
        <w:rPr>
          <w:rFonts w:hint="eastAsia"/>
        </w:rPr>
        <w:t>关于承包人提交工程开工报审表的期限：合同签订后、正式开工前。</w:t>
      </w:r>
    </w:p>
    <w:p>
      <w:pPr>
        <w:spacing w:line="360" w:lineRule="auto"/>
      </w:pPr>
      <w:r>
        <w:rPr>
          <w:rFonts w:hint="eastAsia"/>
        </w:rPr>
        <w:t>关于发包人应完成的其他开工准备工作及期限：/。</w:t>
      </w:r>
    </w:p>
    <w:p>
      <w:pPr>
        <w:spacing w:line="360" w:lineRule="auto"/>
      </w:pPr>
      <w:r>
        <w:rPr>
          <w:rFonts w:hint="eastAsia"/>
        </w:rPr>
        <w:t>关于承包人应完成的其他开工准备工作及期限：/。</w:t>
      </w:r>
    </w:p>
    <w:p>
      <w:pPr>
        <w:spacing w:line="360" w:lineRule="auto"/>
      </w:pPr>
      <w:r>
        <w:rPr>
          <w:rFonts w:hint="eastAsia"/>
        </w:rPr>
        <w:t>7.3.2开工通知</w:t>
      </w:r>
    </w:p>
    <w:p>
      <w:pPr>
        <w:spacing w:line="360" w:lineRule="auto"/>
      </w:pPr>
      <w:r>
        <w:rPr>
          <w:rFonts w:hint="eastAsia"/>
        </w:rPr>
        <w:t>因发包人原因造成监理人未能在计划开工日期之日起20天内发出开工通知的，承包人有权提出价格调整要求，或者解除合同。</w:t>
      </w:r>
    </w:p>
    <w:p>
      <w:pPr>
        <w:spacing w:line="360" w:lineRule="auto"/>
      </w:pPr>
      <w:r>
        <w:rPr>
          <w:rFonts w:hint="eastAsia"/>
        </w:rPr>
        <w:t>7.4 测量放线</w:t>
      </w:r>
    </w:p>
    <w:p>
      <w:pPr>
        <w:spacing w:line="360" w:lineRule="auto"/>
      </w:pPr>
      <w:r>
        <w:rPr>
          <w:rFonts w:hint="eastAsia"/>
        </w:rPr>
        <w:t>7.4.1发包人通过监理人向承包人提供测量基准点、基准线和水准点及其书面资料的期限：合同签订后、正式开工前。</w:t>
      </w:r>
    </w:p>
    <w:p>
      <w:pPr>
        <w:spacing w:line="360" w:lineRule="auto"/>
      </w:pPr>
      <w:r>
        <w:rPr>
          <w:rFonts w:hint="eastAsia"/>
        </w:rPr>
        <w:t>7.5 工期延误</w:t>
      </w:r>
    </w:p>
    <w:p>
      <w:pPr>
        <w:spacing w:line="360" w:lineRule="auto"/>
      </w:pPr>
      <w:r>
        <w:rPr>
          <w:rFonts w:hint="eastAsia"/>
        </w:rPr>
        <w:t>7.5.1 因发包人原因导致工期延误</w:t>
      </w:r>
    </w:p>
    <w:p>
      <w:pPr>
        <w:spacing w:line="360" w:lineRule="auto"/>
      </w:pPr>
      <w:r>
        <w:rPr>
          <w:rFonts w:hint="eastAsia"/>
        </w:rPr>
        <w:t>（7）因发包人原因导致工期延误的其他情形：①发包人未按合同规定支付工程款并确实影响施工进度；②重大设计变更而影响施工进度；③政策处理问题影响施工进度；④不可抗力，此延误工期须在发现后28天内办理签证，逾期不予认可。</w:t>
      </w:r>
    </w:p>
    <w:p>
      <w:pPr>
        <w:spacing w:line="360" w:lineRule="auto"/>
      </w:pPr>
      <w:r>
        <w:rPr>
          <w:rFonts w:hint="eastAsia"/>
        </w:rPr>
        <w:t>7.5.2 因承包人原因导致工期延误</w:t>
      </w:r>
    </w:p>
    <w:p>
      <w:pPr>
        <w:spacing w:line="360" w:lineRule="auto"/>
      </w:pPr>
      <w:r>
        <w:rPr>
          <w:rFonts w:hint="eastAsia"/>
        </w:rPr>
        <w:t>因承包人原因造成工期延误，逾期竣工违约金的计算方法为：</w:t>
      </w:r>
    </w:p>
    <w:p>
      <w:pPr>
        <w:spacing w:line="360" w:lineRule="auto"/>
      </w:pPr>
      <w:r>
        <w:rPr>
          <w:rFonts w:hint="eastAsia"/>
        </w:rPr>
        <w:t>工期不予顺延，每逾期一天罚款千分之一。逾期超过20天，发包人有权单方面解除本合同，由此造成的所有损失由承包人承担  。</w:t>
      </w:r>
    </w:p>
    <w:p>
      <w:pPr>
        <w:spacing w:line="360" w:lineRule="auto"/>
      </w:pPr>
      <w:r>
        <w:rPr>
          <w:rFonts w:hint="eastAsia"/>
        </w:rPr>
        <w:t>因承包人原因造成工期延误，逾期竣工违约金的上限：工程造价的20%，如因承包人原因造成造成工期延误的违约金超过上限，发包人有权解除合同，承包人并赔偿发包人损失。</w:t>
      </w:r>
    </w:p>
    <w:p>
      <w:pPr>
        <w:spacing w:line="360" w:lineRule="auto"/>
      </w:pPr>
      <w:r>
        <w:rPr>
          <w:rFonts w:hint="eastAsia"/>
        </w:rPr>
        <w:t>7.6 不利物质条件</w:t>
      </w:r>
    </w:p>
    <w:p>
      <w:pPr>
        <w:spacing w:line="360" w:lineRule="auto"/>
      </w:pPr>
      <w:r>
        <w:rPr>
          <w:rFonts w:hint="eastAsia"/>
        </w:rPr>
        <w:t>不利物质条件的其他情形和有关约定：</w:t>
      </w:r>
      <w:r>
        <w:rPr>
          <w:rFonts w:hint="eastAsia"/>
          <w:u w:val="single"/>
        </w:rPr>
        <w:t xml:space="preserve">  /  </w:t>
      </w:r>
      <w:r>
        <w:rPr>
          <w:rFonts w:hint="eastAsia"/>
        </w:rPr>
        <w:t>。</w:t>
      </w:r>
    </w:p>
    <w:p>
      <w:pPr>
        <w:spacing w:line="360" w:lineRule="auto"/>
      </w:pPr>
      <w:r>
        <w:rPr>
          <w:rFonts w:hint="eastAsia"/>
        </w:rPr>
        <w:t>7.7异常恶劣的气候条件</w:t>
      </w:r>
    </w:p>
    <w:p>
      <w:pPr>
        <w:spacing w:line="360" w:lineRule="auto"/>
      </w:pPr>
      <w:r>
        <w:rPr>
          <w:rFonts w:hint="eastAsia"/>
        </w:rPr>
        <w:t>发包人和承包人同意以下情形视为异常恶劣的气候条件：</w:t>
      </w:r>
    </w:p>
    <w:p>
      <w:pPr>
        <w:spacing w:line="360" w:lineRule="auto"/>
      </w:pPr>
      <w:r>
        <w:rPr>
          <w:rFonts w:hint="eastAsia"/>
        </w:rPr>
        <w:t>（1）</w:t>
      </w:r>
      <w:r>
        <w:rPr>
          <w:rFonts w:hint="eastAsia"/>
          <w:u w:val="single"/>
        </w:rPr>
        <w:t xml:space="preserve"> / </w:t>
      </w:r>
      <w:r>
        <w:rPr>
          <w:rFonts w:hint="eastAsia"/>
        </w:rPr>
        <w:t>；</w:t>
      </w:r>
    </w:p>
    <w:p>
      <w:pPr>
        <w:spacing w:line="360" w:lineRule="auto"/>
      </w:pPr>
      <w:r>
        <w:rPr>
          <w:rFonts w:hint="eastAsia"/>
        </w:rPr>
        <w:t>7.9 提前竣工的奖励</w:t>
      </w:r>
    </w:p>
    <w:p>
      <w:pPr>
        <w:spacing w:line="360" w:lineRule="auto"/>
      </w:pPr>
      <w:r>
        <w:rPr>
          <w:rFonts w:hint="eastAsia"/>
        </w:rPr>
        <w:t>7.9.2提前竣工的奖励：</w:t>
      </w:r>
      <w:r>
        <w:rPr>
          <w:rFonts w:hint="eastAsia"/>
          <w:u w:val="single"/>
        </w:rPr>
        <w:t xml:space="preserve">  /  </w:t>
      </w:r>
      <w:r>
        <w:rPr>
          <w:rFonts w:hint="eastAsia"/>
        </w:rPr>
        <w:t>。</w:t>
      </w:r>
    </w:p>
    <w:p>
      <w:pPr>
        <w:spacing w:line="360" w:lineRule="auto"/>
      </w:pPr>
      <w:r>
        <w:rPr>
          <w:rFonts w:hint="eastAsia"/>
        </w:rPr>
        <w:t>8. 材料与设备</w:t>
      </w:r>
    </w:p>
    <w:p>
      <w:pPr>
        <w:spacing w:line="360" w:lineRule="auto"/>
      </w:pPr>
      <w:r>
        <w:rPr>
          <w:rFonts w:hint="eastAsia"/>
        </w:rPr>
        <w:t>8.4材料与工程设备的保管与使用</w:t>
      </w:r>
    </w:p>
    <w:p>
      <w:pPr>
        <w:spacing w:line="360" w:lineRule="auto"/>
      </w:pPr>
      <w:r>
        <w:rPr>
          <w:rFonts w:hint="eastAsia"/>
        </w:rPr>
        <w:t>8.4.1发包人供应的材料设备的保管费用的承担：发包人供应的材料设备的保管费用含在固定单价中，发包人供应的材料设备的保管费用含在参选报价中，发包人不另行支付，承包人承担所供应设备的保管费用  。</w:t>
      </w:r>
    </w:p>
    <w:p>
      <w:pPr>
        <w:spacing w:line="360" w:lineRule="auto"/>
      </w:pPr>
      <w:r>
        <w:rPr>
          <w:rFonts w:hint="eastAsia"/>
        </w:rPr>
        <w:t>8.6 样品</w:t>
      </w:r>
    </w:p>
    <w:p>
      <w:pPr>
        <w:spacing w:line="360" w:lineRule="auto"/>
      </w:pPr>
      <w:r>
        <w:rPr>
          <w:rFonts w:hint="eastAsia"/>
        </w:rPr>
        <w:t>8.6.1</w:t>
      </w:r>
      <w:r>
        <w:rPr>
          <w:rFonts w:hint="eastAsia"/>
        </w:rPr>
        <w:tab/>
      </w:r>
      <w:r>
        <w:rPr>
          <w:rFonts w:hint="eastAsia"/>
        </w:rPr>
        <w:t>样品的报送与封存</w:t>
      </w:r>
    </w:p>
    <w:p>
      <w:pPr>
        <w:spacing w:line="360" w:lineRule="auto"/>
      </w:pPr>
      <w:r>
        <w:rPr>
          <w:rFonts w:hint="eastAsia"/>
        </w:rPr>
        <w:t>需要承包人报送样品的材料或工程设备，样品的种类、名称、规格、数量要求：</w:t>
      </w:r>
    </w:p>
    <w:p>
      <w:pPr>
        <w:spacing w:line="360" w:lineRule="auto"/>
      </w:pPr>
      <w:r>
        <w:rPr>
          <w:rFonts w:hint="eastAsia"/>
        </w:rPr>
        <w:t>①施工中，根据发包人具体指令制作，样品不得另行收取费用。</w:t>
      </w:r>
    </w:p>
    <w:p>
      <w:pPr>
        <w:spacing w:line="360" w:lineRule="auto"/>
      </w:pPr>
      <w:r>
        <w:rPr>
          <w:rFonts w:hint="eastAsia"/>
        </w:rPr>
        <w:t>②承包人在采购材料、设备前须提供与施工图纸及发包人要求的规格相符的样品至少 1 份 份，样品应在订购制造此样品材料的7 日历天前呈报。有关此样品的材料及加工步骤在被工程师或发包人核准之前均不允许使用。每份样品都应有标签并附有相应的说明书（性能介绍、出厂报告、合格证明）及在工程中的使用位置等，标签上应留有空间让工程师或发包人写上意见及盖用核准章。</w:t>
      </w:r>
    </w:p>
    <w:p>
      <w:pPr>
        <w:spacing w:line="360" w:lineRule="auto"/>
      </w:pPr>
      <w:r>
        <w:rPr>
          <w:rFonts w:hint="eastAsia"/>
        </w:rPr>
        <w:t xml:space="preserve"> ③如样品有不同的款式及颜色时，承包人应提供足够多的样品以供选择。样品审核通过后承包人应严格按照样品采购与施工，禁止使用其他种类的样品，除非发包人在需求上有所改变，承包人需再依上法报交样品审核，有关经费由承包人负担。所有材料及设备应与样品相符，承包人应提供适合尺寸的样品作为方便对照之用。</w:t>
      </w:r>
    </w:p>
    <w:p>
      <w:pPr>
        <w:spacing w:line="360" w:lineRule="auto"/>
      </w:pPr>
      <w:r>
        <w:rPr>
          <w:rFonts w:hint="eastAsia"/>
        </w:rPr>
        <w:t xml:space="preserve"> ④所有样品均为发包人所有，被发包人核准通过的样品应由监理方、发包人和承包人共同予以封存成为日后用于对照的标准，承包人需在工地办公区选择一间有锁的样品室给监理人，以保存样品以便施工中对照。</w:t>
      </w:r>
    </w:p>
    <w:p>
      <w:pPr>
        <w:spacing w:line="360" w:lineRule="auto"/>
      </w:pPr>
      <w:r>
        <w:rPr>
          <w:rFonts w:hint="eastAsia"/>
        </w:rPr>
        <w:t>8.8 施工设备和临时设施</w:t>
      </w:r>
    </w:p>
    <w:p>
      <w:pPr>
        <w:spacing w:line="360" w:lineRule="auto"/>
      </w:pPr>
      <w:r>
        <w:rPr>
          <w:rFonts w:hint="eastAsia"/>
        </w:rPr>
        <w:t>8.8.1 承包人提供的施工设备和临时设施</w:t>
      </w:r>
    </w:p>
    <w:p>
      <w:pPr>
        <w:spacing w:line="360" w:lineRule="auto"/>
      </w:pPr>
      <w:r>
        <w:rPr>
          <w:rFonts w:hint="eastAsia"/>
        </w:rPr>
        <w:t>关于修建临时设施费用承担的约定：由承包人承担，已包含在合同总价中，该报价包括搭建、拆除外运等费用。</w:t>
      </w:r>
    </w:p>
    <w:p>
      <w:pPr>
        <w:spacing w:line="360" w:lineRule="auto"/>
      </w:pPr>
      <w:bookmarkStart w:id="29" w:name="_Toc351203641"/>
      <w:r>
        <w:rPr>
          <w:rFonts w:hint="eastAsia"/>
        </w:rPr>
        <w:t>9</w:t>
      </w:r>
      <w:bookmarkStart w:id="30" w:name="_Toc312677495"/>
      <w:bookmarkStart w:id="31" w:name="_Toc303539139"/>
      <w:bookmarkStart w:id="32" w:name="_Toc297123533"/>
      <w:bookmarkStart w:id="33" w:name="_Toc297216192"/>
      <w:bookmarkStart w:id="34" w:name="_Toc312678021"/>
      <w:bookmarkStart w:id="35" w:name="_Toc304295559"/>
      <w:bookmarkStart w:id="36" w:name="_Toc300934982"/>
      <w:bookmarkStart w:id="37" w:name="_Toc296347172"/>
      <w:bookmarkStart w:id="38" w:name="_Toc292559883"/>
      <w:bookmarkStart w:id="39" w:name="_Toc296944512"/>
      <w:bookmarkStart w:id="40" w:name="_Toc296891213"/>
      <w:bookmarkStart w:id="41" w:name="_Toc297120473"/>
      <w:bookmarkStart w:id="42" w:name="_Toc292559378"/>
      <w:bookmarkStart w:id="43" w:name="_Toc297048359"/>
      <w:bookmarkStart w:id="44" w:name="_Toc267251427"/>
      <w:bookmarkStart w:id="45" w:name="_Toc267251428"/>
      <w:bookmarkStart w:id="46" w:name="_Toc296346674"/>
      <w:bookmarkStart w:id="47" w:name="_Toc296891001"/>
      <w:bookmarkStart w:id="48" w:name="_Toc296503173"/>
      <w:r>
        <w:rPr>
          <w:rFonts w:hint="eastAsia"/>
        </w:rPr>
        <w:t>. 试验与检验</w:t>
      </w:r>
      <w:bookmarkEnd w:id="29"/>
    </w:p>
    <w:bookmarkEnd w:id="30"/>
    <w:bookmarkEnd w:id="31"/>
    <w:bookmarkEnd w:id="32"/>
    <w:bookmarkEnd w:id="33"/>
    <w:bookmarkEnd w:id="34"/>
    <w:bookmarkEnd w:id="35"/>
    <w:bookmarkEnd w:id="36"/>
    <w:p>
      <w:pPr>
        <w:spacing w:line="360" w:lineRule="auto"/>
      </w:pPr>
      <w:r>
        <w:rPr>
          <w:rFonts w:hint="eastAsia"/>
        </w:rPr>
        <w:t>9</w:t>
      </w:r>
      <w:bookmarkStart w:id="49" w:name="_Toc304295560"/>
      <w:bookmarkStart w:id="50" w:name="_Toc297216193"/>
      <w:bookmarkStart w:id="51" w:name="_Toc312677496"/>
      <w:bookmarkStart w:id="52" w:name="_Toc303539140"/>
      <w:bookmarkStart w:id="53" w:name="_Toc300934983"/>
      <w:bookmarkStart w:id="54" w:name="_Toc297123534"/>
      <w:bookmarkStart w:id="55" w:name="_Toc312678022"/>
      <w:r>
        <w:rPr>
          <w:rFonts w:hint="eastAsia"/>
        </w:rPr>
        <w:t>.1试验设备与试验人员</w:t>
      </w:r>
    </w:p>
    <w:bookmarkEnd w:id="49"/>
    <w:bookmarkEnd w:id="50"/>
    <w:bookmarkEnd w:id="51"/>
    <w:bookmarkEnd w:id="52"/>
    <w:bookmarkEnd w:id="53"/>
    <w:bookmarkEnd w:id="54"/>
    <w:bookmarkEnd w:id="55"/>
    <w:p>
      <w:pPr>
        <w:spacing w:line="360" w:lineRule="auto"/>
      </w:pPr>
      <w:r>
        <w:rPr>
          <w:rFonts w:hint="eastAsia"/>
        </w:rPr>
        <w:t>9</w:t>
      </w:r>
      <w:bookmarkStart w:id="56" w:name="_Toc297216194"/>
      <w:bookmarkStart w:id="57" w:name="_Toc312678023"/>
      <w:bookmarkStart w:id="58" w:name="_Toc303539141"/>
      <w:bookmarkStart w:id="59" w:name="_Toc304295561"/>
      <w:bookmarkStart w:id="60" w:name="_Toc297123535"/>
      <w:bookmarkStart w:id="61" w:name="_Toc300934984"/>
      <w:bookmarkStart w:id="62" w:name="_Toc312677497"/>
      <w:bookmarkStart w:id="63" w:name="_Toc318581174"/>
      <w:r>
        <w:rPr>
          <w:rFonts w:hint="eastAsia"/>
        </w:rPr>
        <w:t>.1.2 试验设备</w:t>
      </w:r>
    </w:p>
    <w:p>
      <w:pPr>
        <w:spacing w:line="360" w:lineRule="auto"/>
      </w:pPr>
      <w:r>
        <w:rPr>
          <w:rFonts w:hint="eastAsia"/>
        </w:rPr>
        <w:t>施工现场需要配置的试验场所：</w:t>
      </w:r>
      <w:bookmarkEnd w:id="56"/>
      <w:bookmarkEnd w:id="57"/>
      <w:bookmarkEnd w:id="58"/>
      <w:bookmarkEnd w:id="59"/>
      <w:bookmarkEnd w:id="60"/>
      <w:bookmarkEnd w:id="61"/>
      <w:bookmarkEnd w:id="62"/>
      <w:bookmarkStart w:id="64" w:name="_Toc304295562"/>
      <w:bookmarkStart w:id="65" w:name="_Toc297123536"/>
      <w:bookmarkStart w:id="66" w:name="_Toc300934985"/>
      <w:bookmarkStart w:id="67" w:name="_Toc297216195"/>
      <w:bookmarkStart w:id="68" w:name="_Toc312677498"/>
      <w:bookmarkStart w:id="69" w:name="_Toc303539142"/>
      <w:bookmarkStart w:id="70" w:name="_Toc312678024"/>
      <w:r>
        <w:rPr>
          <w:rFonts w:hint="eastAsia"/>
          <w:u w:val="single"/>
        </w:rPr>
        <w:t>承包人自行考虑，费用由承包人承担</w:t>
      </w:r>
      <w:r>
        <w:rPr>
          <w:rFonts w:hint="eastAsia"/>
        </w:rPr>
        <w:t>。</w:t>
      </w:r>
    </w:p>
    <w:p>
      <w:pPr>
        <w:spacing w:line="360" w:lineRule="auto"/>
      </w:pPr>
      <w:r>
        <w:rPr>
          <w:rFonts w:hint="eastAsia"/>
        </w:rPr>
        <w:t>施工现场需要配备的试验设备：</w:t>
      </w:r>
      <w:r>
        <w:rPr>
          <w:rFonts w:hint="eastAsia"/>
          <w:u w:val="single"/>
        </w:rPr>
        <w:t>承包人自行考虑，费用由承包人承担</w:t>
      </w:r>
      <w:r>
        <w:rPr>
          <w:rFonts w:hint="eastAsia"/>
        </w:rPr>
        <w:t>。</w:t>
      </w:r>
    </w:p>
    <w:p>
      <w:pPr>
        <w:spacing w:line="360" w:lineRule="auto"/>
      </w:pPr>
      <w:r>
        <w:rPr>
          <w:rFonts w:hint="eastAsia"/>
        </w:rPr>
        <w:t>施工现场需要具备的其他试验条件：</w:t>
      </w:r>
      <w:r>
        <w:rPr>
          <w:rFonts w:hint="eastAsia"/>
          <w:u w:val="single"/>
        </w:rPr>
        <w:t>承包人自行考虑，费用由承包人承担</w:t>
      </w:r>
      <w:r>
        <w:rPr>
          <w:rFonts w:hint="eastAsia"/>
        </w:rPr>
        <w:t>。</w:t>
      </w:r>
    </w:p>
    <w:p>
      <w:pPr>
        <w:spacing w:line="360" w:lineRule="auto"/>
      </w:pPr>
      <w:r>
        <w:rPr>
          <w:rFonts w:hint="eastAsia"/>
        </w:rPr>
        <w:t xml:space="preserve">9.4 现场工艺试验 </w:t>
      </w:r>
    </w:p>
    <w:p>
      <w:pPr>
        <w:spacing w:line="360" w:lineRule="auto"/>
      </w:pPr>
      <w:r>
        <w:rPr>
          <w:rFonts w:hint="eastAsia"/>
        </w:rPr>
        <w:t>现场工艺试验的有关约定：承包人根据相关法律、标准和规范及按照监理人指示进行试验并承担检测费用。</w:t>
      </w:r>
    </w:p>
    <w:p>
      <w:pPr>
        <w:spacing w:line="360" w:lineRule="auto"/>
      </w:pPr>
      <w:r>
        <w:rPr>
          <w:rFonts w:hint="eastAsia"/>
        </w:rPr>
        <w:t>9.5 承包人根据已有施工经验，对项目施工图不合理之处（如有）提出合理化建议，并保证项目通过相关部门验收。</w:t>
      </w:r>
    </w:p>
    <w:bookmarkEnd w:id="63"/>
    <w:bookmarkEnd w:id="64"/>
    <w:bookmarkEnd w:id="65"/>
    <w:bookmarkEnd w:id="66"/>
    <w:bookmarkEnd w:id="67"/>
    <w:bookmarkEnd w:id="68"/>
    <w:bookmarkEnd w:id="69"/>
    <w:bookmarkEnd w:id="70"/>
    <w:p>
      <w:pPr>
        <w:spacing w:line="360" w:lineRule="auto"/>
      </w:pPr>
      <w:bookmarkStart w:id="71" w:name="_Toc351203642"/>
      <w:r>
        <w:rPr>
          <w:rFonts w:hint="eastAsia"/>
        </w:rPr>
        <w:t>1</w:t>
      </w:r>
      <w:bookmarkEnd w:id="37"/>
      <w:bookmarkEnd w:id="38"/>
      <w:bookmarkEnd w:id="39"/>
      <w:bookmarkEnd w:id="40"/>
      <w:bookmarkEnd w:id="41"/>
      <w:bookmarkEnd w:id="42"/>
      <w:bookmarkEnd w:id="43"/>
      <w:bookmarkEnd w:id="44"/>
      <w:bookmarkEnd w:id="45"/>
      <w:bookmarkEnd w:id="46"/>
      <w:bookmarkEnd w:id="47"/>
      <w:bookmarkEnd w:id="48"/>
      <w:bookmarkStart w:id="72" w:name="_Toc297048379"/>
      <w:bookmarkStart w:id="73" w:name="_Toc292559903"/>
      <w:bookmarkStart w:id="74" w:name="_Toc296891233"/>
      <w:bookmarkStart w:id="75" w:name="_Toc297123540"/>
      <w:bookmarkStart w:id="76" w:name="_Toc304295566"/>
      <w:bookmarkStart w:id="77" w:name="_Toc296503193"/>
      <w:bookmarkStart w:id="78" w:name="_Toc296944532"/>
      <w:bookmarkStart w:id="79" w:name="_Toc300934989"/>
      <w:bookmarkStart w:id="80" w:name="_Toc296891021"/>
      <w:bookmarkStart w:id="81" w:name="_Toc296347192"/>
      <w:bookmarkStart w:id="82" w:name="_Toc297216199"/>
      <w:bookmarkStart w:id="83" w:name="_Toc297120493"/>
      <w:bookmarkStart w:id="84" w:name="_Toc303539146"/>
      <w:bookmarkStart w:id="85" w:name="_Toc292559398"/>
      <w:bookmarkStart w:id="86" w:name="_Toc296346694"/>
      <w:bookmarkStart w:id="87" w:name="_Toc312678025"/>
      <w:bookmarkStart w:id="88" w:name="_Toc312677499"/>
      <w:bookmarkStart w:id="89" w:name="_Toc267251435"/>
      <w:bookmarkStart w:id="90" w:name="_Toc267251433"/>
      <w:bookmarkStart w:id="91" w:name="_Toc267251441"/>
      <w:bookmarkStart w:id="92" w:name="_Toc267251437"/>
      <w:bookmarkStart w:id="93" w:name="_Toc267251440"/>
      <w:bookmarkStart w:id="94" w:name="_Toc267251439"/>
      <w:bookmarkStart w:id="95" w:name="_Toc267251442"/>
      <w:r>
        <w:rPr>
          <w:rFonts w:hint="eastAsia"/>
        </w:rPr>
        <w:t>0. 变更</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bookmarkEnd w:id="88"/>
    <w:p>
      <w:pPr>
        <w:spacing w:line="360" w:lineRule="auto"/>
      </w:pPr>
      <w:r>
        <w:rPr>
          <w:rFonts w:hint="eastAsia"/>
        </w:rPr>
        <w:t>1</w:t>
      </w:r>
      <w:bookmarkStart w:id="96" w:name="_Toc296944533"/>
      <w:bookmarkStart w:id="97" w:name="_Toc296347193"/>
      <w:bookmarkStart w:id="98" w:name="_Toc312677500"/>
      <w:bookmarkStart w:id="99" w:name="_Toc292559399"/>
      <w:bookmarkStart w:id="100" w:name="_Toc303539147"/>
      <w:bookmarkStart w:id="101" w:name="_Toc296503194"/>
      <w:bookmarkStart w:id="102" w:name="_Toc304295567"/>
      <w:bookmarkStart w:id="103" w:name="_Toc296891022"/>
      <w:bookmarkStart w:id="104" w:name="_Toc300934990"/>
      <w:bookmarkStart w:id="105" w:name="_Toc296891234"/>
      <w:bookmarkStart w:id="106" w:name="_Toc292559904"/>
      <w:bookmarkStart w:id="107" w:name="_Toc297120494"/>
      <w:bookmarkStart w:id="108" w:name="_Toc297123541"/>
      <w:bookmarkStart w:id="109" w:name="_Toc297048380"/>
      <w:bookmarkStart w:id="110" w:name="_Toc312678026"/>
      <w:bookmarkStart w:id="111" w:name="_Toc296346695"/>
      <w:bookmarkStart w:id="112" w:name="_Toc297216200"/>
      <w:r>
        <w:rPr>
          <w:rFonts w:hint="eastAsia"/>
        </w:rPr>
        <w:t>0.1变更的范围</w:t>
      </w:r>
    </w:p>
    <w:p>
      <w:pPr>
        <w:spacing w:line="360" w:lineRule="auto"/>
      </w:pPr>
      <w:r>
        <w:rPr>
          <w:rFonts w:hint="eastAsia"/>
        </w:rPr>
        <w:t>关于变更的范围的约定：</w:t>
      </w:r>
    </w:p>
    <w:p>
      <w:pPr>
        <w:spacing w:line="360" w:lineRule="auto"/>
      </w:pPr>
      <w:r>
        <w:rPr>
          <w:rFonts w:hint="eastAsia"/>
        </w:rPr>
        <w:t>10.1.1发包人提出的设计变更，以设计单位和发包人的书面文件为准。</w:t>
      </w:r>
    </w:p>
    <w:p>
      <w:pPr>
        <w:spacing w:line="360" w:lineRule="auto"/>
      </w:pPr>
      <w:r>
        <w:rPr>
          <w:rFonts w:hint="eastAsia"/>
        </w:rPr>
        <w:t>10.1.2承包人提出的变更设计，必须征得发包人、监理单位确认同意后方可实施；</w:t>
      </w:r>
    </w:p>
    <w:p>
      <w:pPr>
        <w:spacing w:line="360" w:lineRule="auto"/>
      </w:pPr>
      <w:r>
        <w:rPr>
          <w:rFonts w:hint="eastAsia"/>
        </w:rPr>
        <w:t>10.1.3承包人提出的合理化建议等涉及设计变更或补充的，应征得监理人、发包人共同确认的书面同意后方可实施；</w:t>
      </w:r>
    </w:p>
    <w:p>
      <w:pPr>
        <w:spacing w:line="360" w:lineRule="auto"/>
      </w:pPr>
      <w:r>
        <w:rPr>
          <w:rFonts w:hint="eastAsia"/>
        </w:rPr>
        <w:t>10.1.4未经发包人确认的变更、签证及调整不作为施工、结算的依据。如承包人根据未经共同确认的变更、调整施工，由此造成的相关费用及损失由承包人自行承担。</w:t>
      </w:r>
    </w:p>
    <w:p>
      <w:pPr>
        <w:spacing w:line="360" w:lineRule="auto"/>
      </w:pPr>
      <w:r>
        <w:rPr>
          <w:rFonts w:hint="eastAsia"/>
        </w:rPr>
        <w:t>10.4 变更估价</w:t>
      </w:r>
    </w:p>
    <w:p>
      <w:pPr>
        <w:spacing w:line="360" w:lineRule="auto"/>
      </w:pPr>
      <w:r>
        <w:rPr>
          <w:rFonts w:hint="eastAsia"/>
        </w:rPr>
        <w:t>10.4.1 变更估价原则</w:t>
      </w:r>
    </w:p>
    <w:p>
      <w:pPr>
        <w:spacing w:line="360" w:lineRule="auto"/>
      </w:pPr>
      <w:r>
        <w:rPr>
          <w:rFonts w:hint="eastAsia"/>
        </w:rPr>
        <w:t>关于变更估价的约定：</w:t>
      </w:r>
    </w:p>
    <w:p>
      <w:pPr>
        <w:spacing w:line="360" w:lineRule="auto"/>
      </w:pPr>
      <w:r>
        <w:rPr>
          <w:rFonts w:hint="eastAsia"/>
        </w:rPr>
        <w:t>（1）因非承包人原因的工程变更，造成施工组织设计或施工方案变更，引起措施项目发生变化时，措施项目费应按下列原则调整：单价措施费按综合单价进行调整，总价措施费不予调整。</w:t>
      </w:r>
    </w:p>
    <w:p>
      <w:pPr>
        <w:spacing w:line="360" w:lineRule="auto"/>
      </w:pPr>
      <w:r>
        <w:rPr>
          <w:rFonts w:hint="eastAsia"/>
        </w:rPr>
        <w:t>（2）因非承包人原因的工程变更，造成增加的工程量清单项目以下列方式确定其综合单价：</w:t>
      </w:r>
    </w:p>
    <w:p>
      <w:pPr>
        <w:spacing w:line="360" w:lineRule="auto"/>
      </w:pPr>
      <w:r>
        <w:rPr>
          <w:rFonts w:hint="eastAsia"/>
        </w:rPr>
        <w:t>①合同中已有适用新增项目的单价，按合同中已有的价格；</w:t>
      </w:r>
    </w:p>
    <w:p>
      <w:pPr>
        <w:spacing w:line="360" w:lineRule="auto"/>
      </w:pPr>
      <w:r>
        <w:rPr>
          <w:rFonts w:hint="eastAsia"/>
        </w:rPr>
        <w:t>②合同中只有类似新增项目的单价，可以参照类似价格进行组价；</w:t>
      </w:r>
    </w:p>
    <w:p>
      <w:pPr>
        <w:spacing w:line="360" w:lineRule="auto"/>
      </w:pPr>
      <w:r>
        <w:rPr>
          <w:rFonts w:hint="eastAsia"/>
        </w:rPr>
        <w:t>③合同中没有适用或类似新增项目的单价，由承包人提出。其相应综合单价按本比选文件比选控制价的计价方法编制变更工程的价格（此价格应按比选时建设工程比选价调整系数进行调整）并进行下浮，[下浮率计算方法为承包人参选报价（不含比选人暂列金额、暂估价、甲供材料价格以及安全文明施工措施费、规费及税金等不可竞争费用）相对于比选控制价（扣除暂列金额、暂估价、甲供材料价格以及安全文明施工措施费、规费及税金等不可竞争费用）的下浮比率；④如变更等原因造成工程量增加，且该清单项目参选单位超过比选控制价单价，则结算时，增加部分的工程量按本条款③点方法进行结算调增。</w:t>
      </w:r>
    </w:p>
    <w:p>
      <w:pPr>
        <w:spacing w:line="360" w:lineRule="auto"/>
      </w:pPr>
      <w:r>
        <w:rPr>
          <w:rFonts w:hint="eastAsia"/>
        </w:rPr>
        <w:t>（3）承包人对在竣工结算之前发包人确认的签证变更价款有异议的，可以在竣工结算时提出，而不得在竣工结算之前以此为理由拒绝实施或拖延实施变更工程。</w:t>
      </w:r>
    </w:p>
    <w:p>
      <w:pPr>
        <w:spacing w:line="360" w:lineRule="auto"/>
      </w:pPr>
      <w:r>
        <w:rPr>
          <w:rFonts w:hint="eastAsia"/>
        </w:rPr>
        <w:t>（4）变更及签证部分增加的价款待审计结算后按审计结算价支付，任何未经发包人确认的变更，均不作为施工和结算的依据。</w:t>
      </w:r>
    </w:p>
    <w:p>
      <w:pPr>
        <w:spacing w:line="360" w:lineRule="auto"/>
      </w:pPr>
      <w:r>
        <w:rPr>
          <w:rFonts w:hint="eastAsia"/>
        </w:rPr>
        <w:t>1</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3" w:name="_Toc296503197"/>
      <w:bookmarkStart w:id="114" w:name="_Toc297048383"/>
      <w:bookmarkStart w:id="115" w:name="_Toc292559907"/>
      <w:bookmarkStart w:id="116" w:name="_Toc292559402"/>
      <w:bookmarkStart w:id="117" w:name="_Toc296346698"/>
      <w:bookmarkStart w:id="118" w:name="_Toc303539150"/>
      <w:bookmarkStart w:id="119" w:name="_Toc297123544"/>
      <w:bookmarkStart w:id="120" w:name="_Toc296891025"/>
      <w:bookmarkStart w:id="121" w:name="_Toc296891237"/>
      <w:bookmarkStart w:id="122" w:name="_Toc297216203"/>
      <w:bookmarkStart w:id="123" w:name="_Toc297120497"/>
      <w:bookmarkStart w:id="124" w:name="_Toc296347196"/>
      <w:bookmarkStart w:id="125" w:name="_Toc296944536"/>
      <w:bookmarkStart w:id="126" w:name="_Toc300934993"/>
      <w:bookmarkStart w:id="127" w:name="_Toc304295570"/>
      <w:bookmarkStart w:id="128" w:name="_Toc312678029"/>
      <w:bookmarkStart w:id="129" w:name="_Toc312677503"/>
      <w:r>
        <w:rPr>
          <w:rFonts w:hint="eastAsia"/>
        </w:rPr>
        <w:t>0.5承</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Start w:id="130" w:name="_Toc296891031"/>
      <w:bookmarkStart w:id="131" w:name="_Toc297120503"/>
      <w:bookmarkStart w:id="132" w:name="_Toc300934994"/>
      <w:bookmarkStart w:id="133" w:name="_Toc297216204"/>
      <w:bookmarkStart w:id="134" w:name="_Toc296891243"/>
      <w:bookmarkStart w:id="135" w:name="_Toc292559913"/>
      <w:bookmarkStart w:id="136" w:name="_Toc292559408"/>
      <w:bookmarkStart w:id="137" w:name="_Toc296503203"/>
      <w:bookmarkStart w:id="138" w:name="_Toc297123545"/>
      <w:bookmarkStart w:id="139" w:name="_Toc296346704"/>
      <w:bookmarkStart w:id="140" w:name="_Toc297048389"/>
      <w:bookmarkStart w:id="141" w:name="_Toc296347202"/>
      <w:bookmarkStart w:id="142" w:name="_Toc296944542"/>
      <w:bookmarkStart w:id="143" w:name="_Toc303539151"/>
      <w:r>
        <w:rPr>
          <w:rFonts w:hint="eastAsia"/>
        </w:rPr>
        <w:t>包人的合理化建议</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Pr>
        <w:spacing w:line="360" w:lineRule="auto"/>
      </w:pPr>
      <w:r>
        <w:rPr>
          <w:rFonts w:hint="eastAsia"/>
        </w:rPr>
        <w:t>监理人审查承包人合理化建议的期限：收到建议之日起3日内。</w:t>
      </w:r>
    </w:p>
    <w:p>
      <w:pPr>
        <w:spacing w:line="360" w:lineRule="auto"/>
      </w:pPr>
      <w:r>
        <w:rPr>
          <w:rFonts w:hint="eastAsia"/>
        </w:rPr>
        <w:t>发包人审批承包人合理化建议的期限：收到建议之日起3日内。</w:t>
      </w:r>
    </w:p>
    <w:p>
      <w:pPr>
        <w:spacing w:line="360" w:lineRule="auto"/>
      </w:pPr>
      <w:r>
        <w:rPr>
          <w:rFonts w:hint="eastAsia"/>
        </w:rPr>
        <w:t>承</w:t>
      </w:r>
      <w:bookmarkStart w:id="144" w:name="_Toc296503204"/>
      <w:bookmarkStart w:id="145" w:name="_Toc303539152"/>
      <w:bookmarkStart w:id="146" w:name="_Toc297123546"/>
      <w:bookmarkStart w:id="147" w:name="_Toc296944543"/>
      <w:bookmarkStart w:id="148" w:name="_Toc296891032"/>
      <w:bookmarkStart w:id="149" w:name="_Toc297120504"/>
      <w:bookmarkStart w:id="150" w:name="_Toc297048390"/>
      <w:bookmarkStart w:id="151" w:name="_Toc296891244"/>
      <w:bookmarkStart w:id="152" w:name="_Toc297216205"/>
      <w:bookmarkStart w:id="153" w:name="_Toc292559409"/>
      <w:bookmarkStart w:id="154" w:name="_Toc318581175"/>
      <w:bookmarkStart w:id="155" w:name="_Toc292559914"/>
      <w:bookmarkStart w:id="156" w:name="_Toc304295571"/>
      <w:bookmarkStart w:id="157" w:name="_Toc312678030"/>
      <w:bookmarkStart w:id="158" w:name="_Toc312677504"/>
      <w:bookmarkStart w:id="159" w:name="_Toc296347203"/>
      <w:bookmarkStart w:id="160" w:name="_Toc296346705"/>
      <w:bookmarkStart w:id="161" w:name="_Toc300934995"/>
      <w:r>
        <w:rPr>
          <w:rFonts w:hint="eastAsia"/>
        </w:rPr>
        <w:t>包人提出的合理化建议降低了合同价格或者提高了工程经济效益的奖励的方法和金额为：双方另行协商。</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Pr>
        <w:spacing w:line="360" w:lineRule="auto"/>
      </w:pPr>
      <w:r>
        <w:rPr>
          <w:rFonts w:hint="eastAsia"/>
        </w:rPr>
        <w:t>1</w:t>
      </w:r>
      <w:bookmarkStart w:id="162" w:name="_Toc300934997"/>
      <w:bookmarkStart w:id="163" w:name="_Toc297123548"/>
      <w:bookmarkStart w:id="164" w:name="_Toc312677507"/>
      <w:bookmarkStart w:id="165" w:name="_Toc303539154"/>
      <w:bookmarkStart w:id="166" w:name="_Toc297120499"/>
      <w:bookmarkStart w:id="167" w:name="_Toc292559404"/>
      <w:bookmarkStart w:id="168" w:name="_Toc304295574"/>
      <w:bookmarkStart w:id="169" w:name="_Toc297216207"/>
      <w:bookmarkStart w:id="170" w:name="_Toc296891239"/>
      <w:bookmarkStart w:id="171" w:name="_Toc292559909"/>
      <w:bookmarkStart w:id="172" w:name="_Toc312678033"/>
      <w:bookmarkStart w:id="173" w:name="_Toc297048385"/>
      <w:bookmarkStart w:id="174" w:name="_Toc296346700"/>
      <w:bookmarkStart w:id="175" w:name="_Toc296347198"/>
      <w:bookmarkStart w:id="176" w:name="_Toc296503199"/>
      <w:bookmarkStart w:id="177" w:name="_Toc296944538"/>
      <w:bookmarkStart w:id="178" w:name="_Toc296891027"/>
      <w:r>
        <w:rPr>
          <w:rFonts w:hint="eastAsia"/>
        </w:rPr>
        <w:t>0.7 暂估价</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Pr>
        <w:spacing w:line="360" w:lineRule="auto"/>
      </w:pPr>
      <w:r>
        <w:rPr>
          <w:rFonts w:hint="eastAsia"/>
        </w:rPr>
        <w:t>暂</w:t>
      </w:r>
      <w:bookmarkStart w:id="179" w:name="_Toc312677508"/>
      <w:bookmarkStart w:id="180" w:name="_Toc318581176"/>
      <w:bookmarkStart w:id="181" w:name="_Toc312678034"/>
      <w:r>
        <w:rPr>
          <w:rFonts w:hint="eastAsia"/>
        </w:rPr>
        <w:t>估价材料和工程设备的明细详见附件11：《暂估价一览表》。</w:t>
      </w:r>
    </w:p>
    <w:bookmarkEnd w:id="179"/>
    <w:bookmarkEnd w:id="180"/>
    <w:bookmarkEnd w:id="181"/>
    <w:p>
      <w:pPr>
        <w:spacing w:line="360" w:lineRule="auto"/>
      </w:pPr>
      <w:r>
        <w:rPr>
          <w:rFonts w:hint="eastAsia"/>
        </w:rPr>
        <w:t>1</w:t>
      </w:r>
      <w:bookmarkStart w:id="182" w:name="_Toc312677509"/>
      <w:bookmarkStart w:id="183" w:name="_Toc312678035"/>
      <w:bookmarkStart w:id="184" w:name="_Toc318581177"/>
      <w:r>
        <w:rPr>
          <w:rFonts w:hint="eastAsia"/>
        </w:rPr>
        <w:t>0.7.1 依法必须比选的暂估价项目</w:t>
      </w:r>
    </w:p>
    <w:bookmarkEnd w:id="182"/>
    <w:bookmarkEnd w:id="183"/>
    <w:bookmarkEnd w:id="184"/>
    <w:p>
      <w:pPr>
        <w:spacing w:line="360" w:lineRule="auto"/>
      </w:pPr>
      <w:r>
        <w:rPr>
          <w:rFonts w:hint="eastAsia"/>
        </w:rPr>
        <w:t>对于依法必须比选的暂估价项目的确认和批准采取第2种方式确定，对于依法必须比选的暂估价项目，由发包人和承包人共同比选确定暂估价供应商或分包人的，承包人应按照施工进度计划，在比选工作启动前14天通知发包人，并提交暂估价比选方案和工作分工。发包人应在收到后7天内确认。确定中标人后，由发包人、承包人与中标人共同签订暂估价合同。</w:t>
      </w:r>
    </w:p>
    <w:p>
      <w:pPr>
        <w:spacing w:line="360" w:lineRule="auto"/>
      </w:pPr>
      <w:r>
        <w:rPr>
          <w:rFonts w:hint="eastAsia"/>
        </w:rPr>
        <w:t>10.7.2 不属于依法必须比选的暂估价项目</w:t>
      </w:r>
    </w:p>
    <w:p>
      <w:pPr>
        <w:spacing w:line="360" w:lineRule="auto"/>
      </w:pPr>
      <w:r>
        <w:rPr>
          <w:rFonts w:hint="eastAsia"/>
        </w:rPr>
        <w:t>对于不属于依法必须比选的暂估价项目的确认和批准采取第2种方式确定。</w:t>
      </w:r>
    </w:p>
    <w:p>
      <w:pPr>
        <w:spacing w:line="360" w:lineRule="auto"/>
      </w:pPr>
      <w:r>
        <w:rPr>
          <w:rFonts w:hint="eastAsia"/>
        </w:rPr>
        <w:t>承包人直接实施的暂估价项目</w:t>
      </w:r>
    </w:p>
    <w:p>
      <w:pPr>
        <w:spacing w:line="360" w:lineRule="auto"/>
      </w:pPr>
      <w:r>
        <w:rPr>
          <w:rFonts w:hint="eastAsia"/>
        </w:rPr>
        <w:t>承包人直接实施的暂估价项目的约定：</w:t>
      </w:r>
      <w:r>
        <w:rPr>
          <w:rFonts w:hint="eastAsia"/>
          <w:u w:val="single"/>
        </w:rPr>
        <w:t xml:space="preserve">  详见招标清单  </w:t>
      </w:r>
      <w:r>
        <w:rPr>
          <w:rFonts w:hint="eastAsia"/>
        </w:rPr>
        <w:t>。</w:t>
      </w:r>
    </w:p>
    <w:p>
      <w:pPr>
        <w:spacing w:line="360" w:lineRule="auto"/>
      </w:pPr>
      <w:r>
        <w:rPr>
          <w:rFonts w:hint="eastAsia"/>
        </w:rPr>
        <w:t>10.8 暂列金额</w:t>
      </w:r>
    </w:p>
    <w:p>
      <w:pPr>
        <w:spacing w:line="360" w:lineRule="auto"/>
      </w:pPr>
      <w:r>
        <w:rPr>
          <w:rFonts w:hint="eastAsia"/>
        </w:rPr>
        <w:t>合同当事人关于暂列金额使用的约定：</w:t>
      </w:r>
      <w:r>
        <w:rPr>
          <w:rFonts w:hint="eastAsia"/>
          <w:u w:val="single"/>
        </w:rPr>
        <w:t xml:space="preserve">  双方另行协商  </w:t>
      </w:r>
      <w:r>
        <w:rPr>
          <w:rFonts w:hint="eastAsia"/>
        </w:rPr>
        <w:t>。</w:t>
      </w:r>
    </w:p>
    <w:p>
      <w:pPr>
        <w:spacing w:line="360" w:lineRule="auto"/>
      </w:pPr>
      <w:bookmarkStart w:id="185" w:name="_Toc351203643"/>
      <w:r>
        <w:rPr>
          <w:rFonts w:hint="eastAsia"/>
        </w:rPr>
        <w:t>11. 价格调整</w:t>
      </w:r>
      <w:bookmarkEnd w:id="185"/>
    </w:p>
    <w:p>
      <w:pPr>
        <w:spacing w:line="360" w:lineRule="auto"/>
      </w:pPr>
      <w:bookmarkStart w:id="186" w:name="_Toc292559911"/>
      <w:bookmarkStart w:id="187" w:name="_Toc296944540"/>
      <w:bookmarkStart w:id="188" w:name="_Toc297120501"/>
      <w:bookmarkStart w:id="189" w:name="_Toc300935000"/>
      <w:bookmarkStart w:id="190" w:name="_Toc292559406"/>
      <w:bookmarkStart w:id="191" w:name="_Toc296347200"/>
      <w:bookmarkStart w:id="192" w:name="_Toc296346702"/>
      <w:bookmarkStart w:id="193" w:name="_Toc312678039"/>
      <w:bookmarkStart w:id="194" w:name="_Toc297216209"/>
      <w:bookmarkStart w:id="195" w:name="_Toc297048387"/>
      <w:bookmarkStart w:id="196" w:name="_Toc297123550"/>
      <w:bookmarkStart w:id="197" w:name="_Toc296891029"/>
      <w:bookmarkStart w:id="198" w:name="_Toc304295577"/>
      <w:bookmarkStart w:id="199" w:name="_Toc296891241"/>
      <w:bookmarkStart w:id="200" w:name="_Toc296503201"/>
      <w:bookmarkStart w:id="201" w:name="_Toc303539157"/>
      <w:r>
        <w:rPr>
          <w:rFonts w:hint="eastAsia"/>
        </w:rPr>
        <w:t>11.1 市场价格波动引起的调整</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Pr>
        <w:spacing w:line="360" w:lineRule="auto"/>
      </w:pPr>
      <w:r>
        <w:rPr>
          <w:rFonts w:hint="eastAsia"/>
        </w:rPr>
        <w:t xml:space="preserve">市场价格波动是否调整合同价格的约定： </w:t>
      </w:r>
      <w:r>
        <w:rPr>
          <w:rFonts w:hint="eastAsia"/>
          <w:u w:val="single"/>
        </w:rPr>
        <w:t>承包人应充分考虑参选至开工期间及施工期间除本合同有特别说明外的一切风险。由承包人供应的材料，其价格在结算时均不再调整，如有前后不统一之处，以此为准</w:t>
      </w:r>
      <w:r>
        <w:rPr>
          <w:rFonts w:hint="eastAsia"/>
        </w:rPr>
        <w:t xml:space="preserve"> 。</w:t>
      </w:r>
    </w:p>
    <w:bookmarkEnd w:id="89"/>
    <w:bookmarkEnd w:id="90"/>
    <w:bookmarkEnd w:id="91"/>
    <w:bookmarkEnd w:id="92"/>
    <w:bookmarkEnd w:id="93"/>
    <w:bookmarkEnd w:id="94"/>
    <w:p>
      <w:pPr>
        <w:spacing w:line="360" w:lineRule="auto"/>
      </w:pPr>
      <w:bookmarkStart w:id="202" w:name="_Toc292559410"/>
      <w:bookmarkStart w:id="203" w:name="_Toc297120505"/>
      <w:bookmarkStart w:id="204" w:name="_Toc296891245"/>
      <w:bookmarkStart w:id="205" w:name="_Toc296944544"/>
      <w:bookmarkStart w:id="206" w:name="_Toc292559915"/>
      <w:bookmarkStart w:id="207" w:name="_Toc296346706"/>
      <w:bookmarkStart w:id="208" w:name="_Toc297048391"/>
      <w:bookmarkStart w:id="209" w:name="_Toc296891033"/>
      <w:bookmarkStart w:id="210" w:name="_Toc296503205"/>
      <w:bookmarkStart w:id="211" w:name="_Toc296347204"/>
      <w:bookmarkStart w:id="212" w:name="_Toc351203644"/>
      <w:bookmarkStart w:id="213" w:name="_Toc297216211"/>
      <w:bookmarkStart w:id="214" w:name="_Toc303539159"/>
      <w:bookmarkStart w:id="215" w:name="_Toc297123552"/>
      <w:bookmarkStart w:id="216" w:name="_Toc304295579"/>
      <w:bookmarkStart w:id="217" w:name="_Toc300935002"/>
      <w:bookmarkStart w:id="218" w:name="_Toc312678040"/>
      <w:r>
        <w:rPr>
          <w:rFonts w:hint="eastAsia"/>
        </w:rPr>
        <w:t xml:space="preserve">12. </w:t>
      </w:r>
      <w:bookmarkEnd w:id="202"/>
      <w:bookmarkEnd w:id="203"/>
      <w:bookmarkEnd w:id="204"/>
      <w:bookmarkEnd w:id="205"/>
      <w:bookmarkEnd w:id="206"/>
      <w:bookmarkEnd w:id="207"/>
      <w:bookmarkEnd w:id="208"/>
      <w:bookmarkEnd w:id="209"/>
      <w:bookmarkEnd w:id="210"/>
      <w:bookmarkEnd w:id="211"/>
      <w:r>
        <w:rPr>
          <w:rFonts w:hint="eastAsia"/>
        </w:rPr>
        <w:t>合同价格、计量与支付</w:t>
      </w:r>
      <w:bookmarkEnd w:id="212"/>
    </w:p>
    <w:bookmarkEnd w:id="213"/>
    <w:bookmarkEnd w:id="214"/>
    <w:bookmarkEnd w:id="215"/>
    <w:bookmarkEnd w:id="216"/>
    <w:bookmarkEnd w:id="217"/>
    <w:bookmarkEnd w:id="218"/>
    <w:p>
      <w:pPr>
        <w:spacing w:line="360" w:lineRule="auto"/>
      </w:pPr>
      <w:bookmarkStart w:id="219" w:name="_Toc292559411"/>
      <w:bookmarkStart w:id="220" w:name="_Toc292559916"/>
      <w:bookmarkStart w:id="221" w:name="_Toc267251461"/>
      <w:bookmarkStart w:id="222" w:name="_Toc296891246"/>
      <w:bookmarkStart w:id="223" w:name="_Toc296944545"/>
      <w:bookmarkStart w:id="224" w:name="_Toc296891034"/>
      <w:bookmarkStart w:id="225" w:name="_Toc297048392"/>
      <w:bookmarkStart w:id="226" w:name="_Toc296503206"/>
      <w:bookmarkStart w:id="227" w:name="_Toc296346707"/>
      <w:bookmarkStart w:id="228" w:name="_Toc296347205"/>
      <w:bookmarkStart w:id="229" w:name="_Toc297120506"/>
      <w:bookmarkStart w:id="230" w:name="_Toc303539160"/>
      <w:bookmarkStart w:id="231" w:name="_Toc297123553"/>
      <w:bookmarkStart w:id="232" w:name="_Toc312678041"/>
      <w:bookmarkStart w:id="233" w:name="_Toc297216212"/>
      <w:bookmarkStart w:id="234" w:name="_Toc300935003"/>
      <w:bookmarkStart w:id="235" w:name="_Toc304295580"/>
      <w:r>
        <w:rPr>
          <w:rFonts w:hint="eastAsia"/>
        </w:rPr>
        <w:t>12.1 合</w:t>
      </w:r>
      <w:bookmarkEnd w:id="219"/>
      <w:bookmarkEnd w:id="220"/>
      <w:bookmarkEnd w:id="221"/>
      <w:r>
        <w:rPr>
          <w:rFonts w:hint="eastAsia"/>
        </w:rPr>
        <w:t>同价</w:t>
      </w:r>
      <w:bookmarkEnd w:id="222"/>
      <w:bookmarkEnd w:id="223"/>
      <w:bookmarkEnd w:id="224"/>
      <w:bookmarkEnd w:id="225"/>
      <w:bookmarkEnd w:id="226"/>
      <w:bookmarkEnd w:id="227"/>
      <w:bookmarkEnd w:id="228"/>
      <w:bookmarkEnd w:id="229"/>
      <w:r>
        <w:rPr>
          <w:rFonts w:hint="eastAsia"/>
        </w:rPr>
        <w:t>格形式</w:t>
      </w:r>
    </w:p>
    <w:bookmarkEnd w:id="230"/>
    <w:bookmarkEnd w:id="231"/>
    <w:bookmarkEnd w:id="232"/>
    <w:bookmarkEnd w:id="233"/>
    <w:bookmarkEnd w:id="234"/>
    <w:bookmarkEnd w:id="235"/>
    <w:p>
      <w:pPr>
        <w:spacing w:line="360" w:lineRule="auto"/>
      </w:pPr>
      <w:r>
        <w:rPr>
          <w:rFonts w:hint="eastAsia"/>
        </w:rPr>
        <w:t>1、固定综合单价合同。</w:t>
      </w:r>
    </w:p>
    <w:p>
      <w:pPr>
        <w:spacing w:line="360" w:lineRule="auto"/>
      </w:pPr>
      <w:r>
        <w:rPr>
          <w:rFonts w:hint="eastAsia"/>
        </w:rPr>
        <w:t>综合单价包含的风险范围：</w:t>
      </w:r>
      <w:r>
        <w:rPr>
          <w:rFonts w:hint="eastAsia"/>
          <w:u w:val="single"/>
        </w:rPr>
        <w:t xml:space="preserve"> a苏建函价（2018）761号；b 材料费、机械费结算不予调整，措施费不予调整；c 合同中明示及隐含的风险及有经验的承包商可以或应该预见的，为完成整体工程内容所必须考虑的风险；d 一周内非承包人原因停水、停电造成累计停工在八小时以内的风险</w:t>
      </w:r>
      <w:r>
        <w:rPr>
          <w:rFonts w:hint="eastAsia"/>
        </w:rPr>
        <w:t>。风险费用的计算方法：</w:t>
      </w:r>
      <w:r>
        <w:rPr>
          <w:rFonts w:hint="eastAsia"/>
          <w:u w:val="single"/>
        </w:rPr>
        <w:t>风险费用已包含在合同价中</w:t>
      </w:r>
      <w:r>
        <w:rPr>
          <w:rFonts w:hint="eastAsia"/>
        </w:rPr>
        <w:t>。</w:t>
      </w:r>
    </w:p>
    <w:p>
      <w:pPr>
        <w:spacing w:line="360" w:lineRule="auto"/>
      </w:pPr>
      <w:r>
        <w:rPr>
          <w:rFonts w:hint="eastAsia"/>
        </w:rPr>
        <w:t>风险范围以外合同价格的调整方法：</w:t>
      </w:r>
    </w:p>
    <w:p>
      <w:pPr>
        <w:spacing w:line="360" w:lineRule="auto"/>
      </w:pPr>
      <w:r>
        <w:rPr>
          <w:rFonts w:hint="eastAsia"/>
        </w:rPr>
        <w:t>1）竣工结算的工程量按发承包双方在合同中约定应予计量且实际完成的工程量确定， 完成发包人要求的合同以外的零星工作或发生非承包人责任事件的工程量按现场签证确定。</w:t>
      </w:r>
    </w:p>
    <w:p>
      <w:pPr>
        <w:spacing w:line="360" w:lineRule="auto"/>
      </w:pPr>
      <w:r>
        <w:rPr>
          <w:rFonts w:hint="eastAsia"/>
        </w:rPr>
        <w:t>2）工程设计变更或具有完备手续的现场工程签证，价款调整按照以下方法处理：①合同中已有适用的固定单价，按合同中已有的固定单价结算；②合同中有类似单价的，按类似单价结算；③参选文件中没有适用或类似的综合单价的，按控制价计价办法计算，并乘以中标价与控制价的比率作为结算依据。</w:t>
      </w:r>
    </w:p>
    <w:p>
      <w:pPr>
        <w:spacing w:line="360" w:lineRule="auto"/>
      </w:pPr>
      <w:r>
        <w:rPr>
          <w:rFonts w:hint="eastAsia"/>
        </w:rPr>
        <w:t>3）当实际施工中存在取消或未施工的工程内容，其费用结算时从合同价中扣除。</w:t>
      </w:r>
    </w:p>
    <w:p>
      <w:pPr>
        <w:spacing w:line="360" w:lineRule="auto"/>
      </w:pPr>
      <w:r>
        <w:rPr>
          <w:rFonts w:hint="eastAsia"/>
        </w:rPr>
        <w:t>4）发包人根据施工现场实际情况，有权增减施工内容及对应的费用，承包人须无条件接受，并按现场签证执行。</w:t>
      </w:r>
    </w:p>
    <w:p>
      <w:pPr>
        <w:spacing w:line="360" w:lineRule="auto"/>
      </w:pPr>
      <w:r>
        <w:rPr>
          <w:rFonts w:hint="eastAsia"/>
        </w:rPr>
        <w:t>5）关于法律、法规、规章或各级政府在施工期间出台的有关政策导致工程规费、税金发生变化的，应按照有关规定执行。</w:t>
      </w:r>
    </w:p>
    <w:p>
      <w:pPr>
        <w:spacing w:line="360" w:lineRule="auto"/>
      </w:pPr>
      <w:r>
        <w:rPr>
          <w:rFonts w:hint="eastAsia"/>
        </w:rPr>
        <w:t>2、总价合同。</w:t>
      </w:r>
    </w:p>
    <w:p>
      <w:pPr>
        <w:spacing w:line="360" w:lineRule="auto"/>
      </w:pPr>
      <w:r>
        <w:rPr>
          <w:rFonts w:hint="eastAsia"/>
        </w:rPr>
        <w:t>总价包含的风险范围：</w:t>
      </w:r>
      <w:r>
        <w:rPr>
          <w:rFonts w:hint="eastAsia"/>
          <w:u w:val="single"/>
        </w:rPr>
        <w:t xml:space="preserve">  无 </w:t>
      </w:r>
      <w:r>
        <w:rPr>
          <w:rFonts w:hint="eastAsia"/>
        </w:rPr>
        <w:t xml:space="preserve"> 。</w:t>
      </w:r>
    </w:p>
    <w:p>
      <w:pPr>
        <w:spacing w:line="360" w:lineRule="auto"/>
      </w:pPr>
      <w:r>
        <w:rPr>
          <w:rFonts w:hint="eastAsia"/>
        </w:rPr>
        <w:t>风险费用的计算方法：</w:t>
      </w:r>
      <w:r>
        <w:rPr>
          <w:rFonts w:hint="eastAsia"/>
          <w:u w:val="single"/>
        </w:rPr>
        <w:t xml:space="preserve">  /  </w:t>
      </w:r>
      <w:r>
        <w:rPr>
          <w:rFonts w:hint="eastAsia"/>
        </w:rPr>
        <w:t>。</w:t>
      </w:r>
    </w:p>
    <w:p>
      <w:pPr>
        <w:spacing w:line="360" w:lineRule="auto"/>
      </w:pPr>
      <w:r>
        <w:rPr>
          <w:rFonts w:hint="eastAsia"/>
        </w:rPr>
        <w:t>风险范围以外合同价格的调整方法：</w:t>
      </w:r>
      <w:r>
        <w:rPr>
          <w:rFonts w:hint="eastAsia"/>
          <w:u w:val="single"/>
        </w:rPr>
        <w:t xml:space="preserve">  /  </w:t>
      </w:r>
      <w:r>
        <w:rPr>
          <w:rFonts w:hint="eastAsia"/>
        </w:rPr>
        <w:t>。</w:t>
      </w:r>
    </w:p>
    <w:p>
      <w:pPr>
        <w:spacing w:line="360" w:lineRule="auto"/>
      </w:pPr>
      <w:r>
        <w:rPr>
          <w:rFonts w:hint="eastAsia"/>
        </w:rPr>
        <w:t>3、其他价格方式：</w:t>
      </w:r>
      <w:r>
        <w:rPr>
          <w:rFonts w:hint="eastAsia"/>
          <w:u w:val="single"/>
        </w:rPr>
        <w:t xml:space="preserve">  /  </w:t>
      </w:r>
      <w:r>
        <w:rPr>
          <w:rFonts w:hint="eastAsia"/>
        </w:rPr>
        <w:t>。</w:t>
      </w:r>
    </w:p>
    <w:p>
      <w:pPr>
        <w:spacing w:line="360" w:lineRule="auto"/>
      </w:pPr>
      <w:bookmarkStart w:id="236" w:name="_Toc297123554"/>
      <w:bookmarkStart w:id="237" w:name="_Toc303539161"/>
      <w:bookmarkStart w:id="238" w:name="_Toc312678042"/>
      <w:bookmarkStart w:id="239" w:name="_Toc304295581"/>
      <w:bookmarkStart w:id="240" w:name="_Toc297216213"/>
      <w:bookmarkStart w:id="241" w:name="_Toc300935004"/>
      <w:bookmarkStart w:id="242" w:name="_Toc296891247"/>
      <w:bookmarkStart w:id="243" w:name="_Toc296503207"/>
      <w:bookmarkStart w:id="244" w:name="_Toc296944546"/>
      <w:bookmarkStart w:id="245" w:name="_Toc297048393"/>
      <w:bookmarkStart w:id="246" w:name="_Toc292559917"/>
      <w:bookmarkStart w:id="247" w:name="_Toc292559412"/>
      <w:bookmarkStart w:id="248" w:name="_Toc296346708"/>
      <w:bookmarkStart w:id="249" w:name="_Toc297120507"/>
      <w:bookmarkStart w:id="250" w:name="_Toc296347206"/>
      <w:bookmarkStart w:id="251" w:name="_Toc296891035"/>
      <w:r>
        <w:rPr>
          <w:rFonts w:hint="eastAsia"/>
        </w:rPr>
        <w:t>12.2 预付款</w:t>
      </w:r>
    </w:p>
    <w:bookmarkEnd w:id="236"/>
    <w:bookmarkEnd w:id="237"/>
    <w:bookmarkEnd w:id="238"/>
    <w:bookmarkEnd w:id="239"/>
    <w:bookmarkEnd w:id="240"/>
    <w:bookmarkEnd w:id="241"/>
    <w:p>
      <w:pPr>
        <w:spacing w:line="360" w:lineRule="auto"/>
      </w:pPr>
      <w:r>
        <w:rPr>
          <w:rFonts w:hint="eastAsia"/>
        </w:rPr>
        <w:t>12.2.1 预付款的支付</w:t>
      </w:r>
    </w:p>
    <w:p>
      <w:pPr>
        <w:spacing w:line="360" w:lineRule="auto"/>
      </w:pPr>
      <w:r>
        <w:rPr>
          <w:rFonts w:hint="eastAsia"/>
          <w:highlight w:val="yellow"/>
        </w:rPr>
        <w:t>预付款支付比例或金额：暂定</w:t>
      </w:r>
      <w:r>
        <w:rPr>
          <w:rFonts w:hint="eastAsia"/>
          <w:highlight w:val="yellow"/>
          <w:u w:val="single"/>
        </w:rPr>
        <w:t>合同总价的10%</w:t>
      </w:r>
      <w:r>
        <w:rPr>
          <w:rFonts w:hint="eastAsia"/>
          <w:highlight w:val="yellow"/>
        </w:rPr>
        <w:t>。</w:t>
      </w:r>
    </w:p>
    <w:p>
      <w:pPr>
        <w:spacing w:line="360" w:lineRule="auto"/>
      </w:pPr>
      <w:r>
        <w:rPr>
          <w:rFonts w:hint="eastAsia"/>
        </w:rPr>
        <w:t>预付款支付期限：</w:t>
      </w:r>
      <w:r>
        <w:rPr>
          <w:rFonts w:hint="eastAsia"/>
          <w:u w:val="single"/>
        </w:rPr>
        <w:t xml:space="preserve"> 合同签订后15日内</w:t>
      </w:r>
      <w:r>
        <w:rPr>
          <w:rFonts w:hint="eastAsia"/>
        </w:rPr>
        <w:t>。</w:t>
      </w:r>
    </w:p>
    <w:p>
      <w:pPr>
        <w:spacing w:line="360" w:lineRule="auto"/>
      </w:pPr>
      <w:r>
        <w:rPr>
          <w:rFonts w:hint="eastAsia"/>
        </w:rPr>
        <w:t>预付款扣回的方式：</w:t>
      </w:r>
      <w:r>
        <w:rPr>
          <w:rFonts w:hint="eastAsia"/>
          <w:u w:val="single"/>
        </w:rPr>
        <w:t xml:space="preserve">不扣回，抵工程款 </w:t>
      </w:r>
      <w:r>
        <w:rPr>
          <w:rFonts w:hint="eastAsia"/>
        </w:rPr>
        <w:t>。</w:t>
      </w:r>
    </w:p>
    <w:p>
      <w:pPr>
        <w:spacing w:line="360" w:lineRule="auto"/>
      </w:pPr>
      <w:r>
        <w:rPr>
          <w:rFonts w:hint="eastAsia"/>
        </w:rPr>
        <w:t>12.2.2 预付款担保</w:t>
      </w:r>
    </w:p>
    <w:p>
      <w:pPr>
        <w:spacing w:line="360" w:lineRule="auto"/>
      </w:pPr>
      <w:r>
        <w:rPr>
          <w:rFonts w:hint="eastAsia"/>
        </w:rPr>
        <w:t>承包人提交预付款担保的期限：</w:t>
      </w:r>
      <w:r>
        <w:rPr>
          <w:rFonts w:hint="eastAsia"/>
          <w:u w:val="single"/>
        </w:rPr>
        <w:t>合同签订后7日内</w:t>
      </w:r>
      <w:r>
        <w:rPr>
          <w:rFonts w:hint="eastAsia"/>
        </w:rPr>
        <w:t>。</w:t>
      </w:r>
    </w:p>
    <w:p>
      <w:pPr>
        <w:spacing w:line="360" w:lineRule="auto"/>
      </w:pPr>
      <w:r>
        <w:rPr>
          <w:rFonts w:hint="eastAsia"/>
        </w:rPr>
        <w:t>预付款担保的形式为：</w:t>
      </w:r>
      <w:r>
        <w:rPr>
          <w:rFonts w:hint="eastAsia"/>
          <w:u w:val="single"/>
        </w:rPr>
        <w:t>保函、现金、支票、汇票</w:t>
      </w:r>
      <w:r>
        <w:rPr>
          <w:rFonts w:hint="eastAsia"/>
        </w:rPr>
        <w:t>。</w:t>
      </w:r>
    </w:p>
    <w:bookmarkEnd w:id="242"/>
    <w:bookmarkEnd w:id="243"/>
    <w:bookmarkEnd w:id="244"/>
    <w:bookmarkEnd w:id="245"/>
    <w:bookmarkEnd w:id="246"/>
    <w:bookmarkEnd w:id="247"/>
    <w:bookmarkEnd w:id="248"/>
    <w:bookmarkEnd w:id="249"/>
    <w:bookmarkEnd w:id="250"/>
    <w:bookmarkEnd w:id="251"/>
    <w:p>
      <w:pPr>
        <w:spacing w:line="360" w:lineRule="auto"/>
      </w:pPr>
      <w:r>
        <w:rPr>
          <w:rFonts w:hint="eastAsia"/>
        </w:rPr>
        <w:t>12.3 计量</w:t>
      </w:r>
    </w:p>
    <w:p>
      <w:pPr>
        <w:spacing w:line="360" w:lineRule="auto"/>
      </w:pPr>
      <w:r>
        <w:rPr>
          <w:rFonts w:hint="eastAsia"/>
        </w:rPr>
        <w:t>12.3.1 计量原则</w:t>
      </w:r>
    </w:p>
    <w:p>
      <w:pPr>
        <w:spacing w:line="360" w:lineRule="auto"/>
      </w:pPr>
      <w:r>
        <w:rPr>
          <w:rFonts w:hint="eastAsia"/>
        </w:rPr>
        <w:t>工程量计算规则：</w:t>
      </w:r>
      <w:r>
        <w:rPr>
          <w:rFonts w:hint="eastAsia"/>
          <w:u w:val="single"/>
        </w:rPr>
        <w:t>最新规范</w:t>
      </w:r>
      <w:r>
        <w:rPr>
          <w:rFonts w:hint="eastAsia"/>
        </w:rPr>
        <w:t>。</w:t>
      </w:r>
    </w:p>
    <w:p>
      <w:pPr>
        <w:spacing w:line="360" w:lineRule="auto"/>
      </w:pPr>
      <w:r>
        <w:rPr>
          <w:rFonts w:hint="eastAsia"/>
        </w:rPr>
        <w:t>12.3.2 计量周期</w:t>
      </w:r>
    </w:p>
    <w:p>
      <w:pPr>
        <w:spacing w:line="360" w:lineRule="auto"/>
      </w:pPr>
      <w:r>
        <w:rPr>
          <w:rFonts w:hint="eastAsia"/>
        </w:rPr>
        <w:t>关于计量周期的约定：</w:t>
      </w:r>
      <w:r>
        <w:rPr>
          <w:rFonts w:hint="eastAsia"/>
          <w:u w:val="single"/>
        </w:rPr>
        <w:t>按通用条款执行</w:t>
      </w:r>
      <w:r>
        <w:rPr>
          <w:rFonts w:hint="eastAsia"/>
        </w:rPr>
        <w:t>。</w:t>
      </w:r>
    </w:p>
    <w:p>
      <w:pPr>
        <w:spacing w:line="360" w:lineRule="auto"/>
      </w:pPr>
      <w:r>
        <w:rPr>
          <w:rFonts w:hint="eastAsia"/>
        </w:rPr>
        <w:t>12.3.3 单价合同的计量</w:t>
      </w:r>
    </w:p>
    <w:p>
      <w:pPr>
        <w:spacing w:line="360" w:lineRule="auto"/>
      </w:pPr>
      <w:r>
        <w:rPr>
          <w:rFonts w:hint="eastAsia"/>
        </w:rPr>
        <w:t>关于单价合同计量的约定：</w:t>
      </w:r>
      <w:r>
        <w:rPr>
          <w:rFonts w:hint="eastAsia"/>
          <w:u w:val="single"/>
        </w:rPr>
        <w:t>按通用条款执行</w:t>
      </w:r>
      <w:r>
        <w:rPr>
          <w:rFonts w:hint="eastAsia"/>
        </w:rPr>
        <w:t>。</w:t>
      </w:r>
    </w:p>
    <w:p>
      <w:pPr>
        <w:spacing w:line="360" w:lineRule="auto"/>
      </w:pPr>
      <w:r>
        <w:rPr>
          <w:rFonts w:hint="eastAsia"/>
        </w:rPr>
        <w:t>12.3.4 总价合同的计量</w:t>
      </w:r>
    </w:p>
    <w:p>
      <w:pPr>
        <w:spacing w:line="360" w:lineRule="auto"/>
      </w:pPr>
      <w:r>
        <w:rPr>
          <w:rFonts w:hint="eastAsia"/>
        </w:rPr>
        <w:t>关于总价合同计量的约定：</w:t>
      </w:r>
      <w:r>
        <w:rPr>
          <w:rFonts w:hint="eastAsia"/>
          <w:u w:val="single"/>
        </w:rPr>
        <w:t>按通用条款执行</w:t>
      </w:r>
      <w:r>
        <w:rPr>
          <w:rFonts w:hint="eastAsia"/>
        </w:rPr>
        <w:t>。</w:t>
      </w:r>
    </w:p>
    <w:p>
      <w:pPr>
        <w:spacing w:line="360" w:lineRule="auto"/>
      </w:pPr>
      <w:r>
        <w:rPr>
          <w:rFonts w:hint="eastAsia"/>
        </w:rPr>
        <w:t>12.3.5总价合同采用支付分解表计量支付的，是否适用第12.3.4 项〔总价合同的计量〕约定进行计量：</w:t>
      </w:r>
      <w:r>
        <w:rPr>
          <w:rFonts w:hint="eastAsia"/>
          <w:u w:val="single"/>
        </w:rPr>
        <w:t xml:space="preserve">  /  </w:t>
      </w:r>
      <w:r>
        <w:rPr>
          <w:rFonts w:hint="eastAsia"/>
        </w:rPr>
        <w:t>。</w:t>
      </w:r>
    </w:p>
    <w:p>
      <w:pPr>
        <w:spacing w:line="360" w:lineRule="auto"/>
      </w:pPr>
      <w:r>
        <w:rPr>
          <w:rFonts w:hint="eastAsia"/>
        </w:rPr>
        <w:t>12.3.6 其他价格形式合同的计量</w:t>
      </w:r>
    </w:p>
    <w:p>
      <w:pPr>
        <w:spacing w:line="360" w:lineRule="auto"/>
      </w:pPr>
      <w:r>
        <w:rPr>
          <w:rFonts w:hint="eastAsia"/>
        </w:rPr>
        <w:t>其他价格形式的计量方式和程序：</w:t>
      </w:r>
      <w:r>
        <w:rPr>
          <w:rFonts w:hint="eastAsia"/>
          <w:u w:val="single"/>
        </w:rPr>
        <w:t xml:space="preserve">  /  </w:t>
      </w:r>
      <w:r>
        <w:rPr>
          <w:rFonts w:hint="eastAsia"/>
        </w:rPr>
        <w:t>。</w:t>
      </w:r>
    </w:p>
    <w:p>
      <w:pPr>
        <w:spacing w:line="360" w:lineRule="auto"/>
      </w:pPr>
      <w:r>
        <w:rPr>
          <w:rFonts w:hint="eastAsia"/>
        </w:rPr>
        <w:t>12.4 工程进度款支付</w:t>
      </w:r>
    </w:p>
    <w:p>
      <w:pPr>
        <w:spacing w:line="360" w:lineRule="auto"/>
      </w:pPr>
      <w:bookmarkStart w:id="252" w:name="_Toc297123556"/>
      <w:bookmarkStart w:id="253" w:name="_Toc300935006"/>
      <w:bookmarkStart w:id="254" w:name="_Toc296503211"/>
      <w:bookmarkStart w:id="255" w:name="_Toc296347210"/>
      <w:bookmarkStart w:id="256" w:name="_Toc296891251"/>
      <w:bookmarkStart w:id="257" w:name="_Toc297216215"/>
      <w:bookmarkStart w:id="258" w:name="_Toc292559921"/>
      <w:bookmarkStart w:id="259" w:name="_Toc297120511"/>
      <w:bookmarkStart w:id="260" w:name="_Toc296944550"/>
      <w:bookmarkStart w:id="261" w:name="_Toc296346712"/>
      <w:bookmarkStart w:id="262" w:name="_Toc297048397"/>
      <w:bookmarkStart w:id="263" w:name="_Toc303539163"/>
      <w:bookmarkStart w:id="264" w:name="_Toc296891039"/>
      <w:bookmarkStart w:id="265" w:name="_Toc292559416"/>
      <w:r>
        <w:rPr>
          <w:rFonts w:hint="eastAsia"/>
        </w:rPr>
        <w:t>12.4.1 付款周期</w:t>
      </w:r>
    </w:p>
    <w:p>
      <w:pPr>
        <w:spacing w:line="360" w:lineRule="auto"/>
      </w:pPr>
      <w:r>
        <w:rPr>
          <w:rFonts w:hint="eastAsia"/>
        </w:rPr>
        <w:t>（1）</w:t>
      </w:r>
      <w:r>
        <w:rPr>
          <w:rFonts w:hint="eastAsia"/>
          <w:highlight w:val="yellow"/>
        </w:rPr>
        <w:t>完成工程总量的50%，以承包人月报、</w:t>
      </w:r>
      <w:r>
        <w:rPr>
          <w:rFonts w:hint="eastAsia"/>
          <w:highlight w:val="yellow"/>
          <w:lang w:val="en-US" w:eastAsia="zh-CN"/>
        </w:rPr>
        <w:t>跟踪审计，</w:t>
      </w:r>
      <w:r>
        <w:rPr>
          <w:rFonts w:hint="eastAsia"/>
          <w:highlight w:val="yellow"/>
        </w:rPr>
        <w:t>发包人签证为准，经审核完成后十五日内支付已完成工程量的80%工程款(预付款在此抵扣)；</w:t>
      </w:r>
    </w:p>
    <w:p>
      <w:pPr>
        <w:spacing w:line="360" w:lineRule="auto"/>
      </w:pPr>
      <w:r>
        <w:rPr>
          <w:rFonts w:hint="eastAsia"/>
        </w:rPr>
        <w:t>（2）</w:t>
      </w:r>
      <w:r>
        <w:rPr>
          <w:rFonts w:hint="eastAsia"/>
          <w:highlight w:val="yellow"/>
        </w:rPr>
        <w:t>竣工验收合格后支付至暂定合同总价的80%工程款</w:t>
      </w:r>
      <w:r>
        <w:rPr>
          <w:rFonts w:hint="eastAsia"/>
        </w:rPr>
        <w:t>。</w:t>
      </w:r>
    </w:p>
    <w:p>
      <w:pPr>
        <w:spacing w:line="360" w:lineRule="auto"/>
      </w:pPr>
      <w:r>
        <w:rPr>
          <w:rFonts w:hint="eastAsia"/>
          <w:highlight w:val="yellow"/>
        </w:rPr>
        <w:t>（3）工程审计结束后发包人向承包人支付至审定价的97%，付至审定价的97%前，承包人必须开具全额发票，否则，发包人有权延期付款且不承担违约责任，余款即审定价的3%作为质</w:t>
      </w:r>
      <w:r>
        <w:rPr>
          <w:rFonts w:hint="eastAsia"/>
          <w:highlight w:val="yellow"/>
          <w:lang w:val="en-US" w:eastAsia="zh-CN"/>
        </w:rPr>
        <w:t>量</w:t>
      </w:r>
      <w:r>
        <w:rPr>
          <w:rFonts w:hint="eastAsia"/>
          <w:highlight w:val="yellow"/>
        </w:rPr>
        <w:t>保</w:t>
      </w:r>
      <w:r>
        <w:rPr>
          <w:rFonts w:hint="eastAsia"/>
          <w:highlight w:val="yellow"/>
          <w:lang w:val="en-US" w:eastAsia="zh-CN"/>
        </w:rPr>
        <w:t>证</w:t>
      </w:r>
      <w:r>
        <w:rPr>
          <w:rFonts w:hint="eastAsia"/>
          <w:highlight w:val="yellow"/>
        </w:rPr>
        <w:t>金，</w:t>
      </w:r>
      <w:r>
        <w:rPr>
          <w:rFonts w:hint="eastAsia"/>
          <w:highlight w:val="yellow"/>
          <w:lang w:val="en-US" w:eastAsia="zh-CN"/>
        </w:rPr>
        <w:t>质保期为2年（验收合格交付日算起），</w:t>
      </w:r>
      <w:r>
        <w:rPr>
          <w:rFonts w:hint="eastAsia"/>
          <w:highlight w:val="yellow"/>
        </w:rPr>
        <w:t>在质保期满后30天内（无息）退还。</w:t>
      </w:r>
    </w:p>
    <w:p>
      <w:pPr>
        <w:spacing w:line="360" w:lineRule="auto"/>
      </w:pPr>
      <w:r>
        <w:rPr>
          <w:rFonts w:hint="eastAsia"/>
        </w:rPr>
        <w:t>（3）</w:t>
      </w:r>
      <w:r>
        <w:rPr>
          <w:rFonts w:hint="eastAsia"/>
          <w:highlight w:val="yellow"/>
        </w:rPr>
        <w:t>付款日期以发包人通知银行付款日期为准，在每次付款前，承包人须提供合法的相应金额的增值税专用发票，否则，发包人有权延期付款且不承担违约责任。</w:t>
      </w:r>
    </w:p>
    <w:p>
      <w:pPr>
        <w:spacing w:line="360" w:lineRule="auto"/>
      </w:pPr>
      <w:r>
        <w:rPr>
          <w:rFonts w:hint="eastAsia"/>
        </w:rPr>
        <w:t>（4）本合同国家规定的各种税费，已包含在本合同造价内款项。承包人每次收取发包人支付的货款前须提供与本合同价款相符的有效税票，否则发包人有权拒绝支付对应款项。</w:t>
      </w:r>
    </w:p>
    <w:p>
      <w:pPr>
        <w:spacing w:line="360" w:lineRule="auto"/>
      </w:pPr>
      <w:r>
        <w:rPr>
          <w:rFonts w:hint="eastAsia"/>
        </w:rPr>
        <w:t>（5）每次支付的工程款中不包含变更及签证，变更、签证部分在最终审计结束后随最终审定价一同支付。</w:t>
      </w:r>
    </w:p>
    <w:p>
      <w:pPr>
        <w:spacing w:line="360" w:lineRule="auto"/>
      </w:pPr>
      <w:r>
        <w:rPr>
          <w:rFonts w:hint="eastAsia"/>
        </w:rPr>
        <w:t>（6）根据本合同规定，承包人应当支付费用、质保金、违约金、承担赔偿责任，发包人有权从上述付款中直接扣除相应金额。</w:t>
      </w:r>
    </w:p>
    <w:p>
      <w:pPr>
        <w:spacing w:line="360" w:lineRule="auto"/>
      </w:pPr>
      <w:r>
        <w:rPr>
          <w:rFonts w:hint="eastAsia"/>
        </w:rPr>
        <w:t>12.4.2 进度付款申请单的编制</w:t>
      </w:r>
    </w:p>
    <w:p>
      <w:pPr>
        <w:spacing w:line="360" w:lineRule="auto"/>
      </w:pPr>
      <w:r>
        <w:rPr>
          <w:rFonts w:hint="eastAsia"/>
        </w:rPr>
        <w:t>关于进度付款申请单编制的约定：按通用条款执行。</w:t>
      </w:r>
    </w:p>
    <w:p>
      <w:pPr>
        <w:spacing w:line="360" w:lineRule="auto"/>
      </w:pPr>
      <w:r>
        <w:rPr>
          <w:rFonts w:hint="eastAsia"/>
        </w:rPr>
        <w:t>1</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Pr>
          <w:rFonts w:hint="eastAsia"/>
        </w:rPr>
        <w:t>2.4.3 进度付款申请单的提交</w:t>
      </w:r>
    </w:p>
    <w:p>
      <w:pPr>
        <w:spacing w:line="360" w:lineRule="auto"/>
      </w:pPr>
      <w:r>
        <w:rPr>
          <w:rFonts w:hint="eastAsia"/>
        </w:rPr>
        <w:t>（1）单价合同进度付款申请单提交的约定：</w:t>
      </w:r>
      <w:r>
        <w:rPr>
          <w:rFonts w:hint="eastAsia"/>
          <w:u w:val="single"/>
        </w:rPr>
        <w:t>按通用条款执行</w:t>
      </w:r>
      <w:r>
        <w:rPr>
          <w:rFonts w:hint="eastAsia"/>
        </w:rPr>
        <w:t>。</w:t>
      </w:r>
    </w:p>
    <w:p>
      <w:pPr>
        <w:spacing w:line="360" w:lineRule="auto"/>
      </w:pPr>
      <w:r>
        <w:rPr>
          <w:rFonts w:hint="eastAsia"/>
        </w:rPr>
        <w:t>（2）总价合同进度付款申请单提交的约定：</w:t>
      </w:r>
      <w:r>
        <w:rPr>
          <w:rFonts w:hint="eastAsia"/>
          <w:u w:val="single"/>
        </w:rPr>
        <w:t xml:space="preserve">  /  </w:t>
      </w:r>
      <w:r>
        <w:rPr>
          <w:rFonts w:hint="eastAsia"/>
        </w:rPr>
        <w:t>。</w:t>
      </w:r>
    </w:p>
    <w:p>
      <w:pPr>
        <w:spacing w:line="360" w:lineRule="auto"/>
      </w:pPr>
      <w:r>
        <w:rPr>
          <w:rFonts w:hint="eastAsia"/>
        </w:rPr>
        <w:t>（3）其他价格形式合同进度付款申请单提交的约定：</w:t>
      </w:r>
      <w:r>
        <w:rPr>
          <w:rFonts w:hint="eastAsia"/>
          <w:u w:val="single"/>
        </w:rPr>
        <w:t xml:space="preserve">  /  </w:t>
      </w:r>
      <w:r>
        <w:rPr>
          <w:rFonts w:hint="eastAsia"/>
        </w:rPr>
        <w:t>。</w:t>
      </w:r>
    </w:p>
    <w:p>
      <w:pPr>
        <w:spacing w:line="360" w:lineRule="auto"/>
      </w:pPr>
      <w:r>
        <w:rPr>
          <w:rFonts w:hint="eastAsia"/>
        </w:rPr>
        <w:t>12.4.4 进度款审核和支付</w:t>
      </w:r>
    </w:p>
    <w:p>
      <w:pPr>
        <w:spacing w:line="360" w:lineRule="auto"/>
      </w:pPr>
      <w:r>
        <w:rPr>
          <w:rFonts w:hint="eastAsia"/>
        </w:rPr>
        <w:t>（1）监理人审查并报送发包人的期限：按通用条款执行。</w:t>
      </w:r>
    </w:p>
    <w:p>
      <w:pPr>
        <w:spacing w:line="360" w:lineRule="auto"/>
      </w:pPr>
      <w:r>
        <w:rPr>
          <w:rFonts w:hint="eastAsia"/>
        </w:rPr>
        <w:t>发包人完成审批并签发进度款支付证书的期限：按通用条款执行。</w:t>
      </w:r>
    </w:p>
    <w:p>
      <w:pPr>
        <w:spacing w:line="360" w:lineRule="auto"/>
      </w:pPr>
      <w:r>
        <w:rPr>
          <w:rFonts w:hint="eastAsia"/>
        </w:rPr>
        <w:t>（2）发包人支付进度款的期限：按通用条款执行。</w:t>
      </w:r>
    </w:p>
    <w:p>
      <w:pPr>
        <w:spacing w:line="360" w:lineRule="auto"/>
      </w:pPr>
      <w:r>
        <w:rPr>
          <w:rFonts w:hint="eastAsia"/>
        </w:rPr>
        <w:t>发包人逾期支付进度款的违约金的计算方式：双方另行协商。</w:t>
      </w:r>
    </w:p>
    <w:p>
      <w:pPr>
        <w:spacing w:line="360" w:lineRule="auto"/>
      </w:pPr>
      <w:r>
        <w:rPr>
          <w:rFonts w:hint="eastAsia"/>
        </w:rPr>
        <w:t>12.4.6 支付分解表的编制</w:t>
      </w:r>
    </w:p>
    <w:p>
      <w:pPr>
        <w:spacing w:line="360" w:lineRule="auto"/>
      </w:pPr>
      <w:r>
        <w:rPr>
          <w:rFonts w:hint="eastAsia"/>
        </w:rPr>
        <w:t>2、总价合同支付分解表的编制与审批：按通用条款执行。</w:t>
      </w:r>
    </w:p>
    <w:p>
      <w:pPr>
        <w:spacing w:line="360" w:lineRule="auto"/>
      </w:pPr>
      <w:r>
        <w:rPr>
          <w:rFonts w:hint="eastAsia"/>
        </w:rPr>
        <w:t>3、单价合同的总价项目支付分解表的编制与审批：按通用条款执行。</w:t>
      </w:r>
    </w:p>
    <w:bookmarkEnd w:id="95"/>
    <w:p>
      <w:pPr>
        <w:spacing w:line="360" w:lineRule="auto"/>
      </w:pPr>
      <w:bookmarkStart w:id="266" w:name="_Toc351203645"/>
      <w:bookmarkStart w:id="267" w:name="_Toc296503219"/>
      <w:bookmarkStart w:id="268" w:name="_Toc292559424"/>
      <w:bookmarkStart w:id="269" w:name="_Toc300935015"/>
      <w:bookmarkStart w:id="270" w:name="_Toc297216223"/>
      <w:bookmarkStart w:id="271" w:name="_Toc296347218"/>
      <w:bookmarkStart w:id="272" w:name="_Toc312678053"/>
      <w:bookmarkStart w:id="273" w:name="_Toc296346720"/>
      <w:bookmarkStart w:id="274" w:name="_Toc297120519"/>
      <w:bookmarkStart w:id="275" w:name="_Toc304295593"/>
      <w:bookmarkStart w:id="276" w:name="_Toc303539172"/>
      <w:bookmarkStart w:id="277" w:name="_Toc297048405"/>
      <w:bookmarkStart w:id="278" w:name="_Toc292559929"/>
      <w:bookmarkStart w:id="279" w:name="_Toc296944558"/>
      <w:bookmarkStart w:id="280" w:name="_Toc296891259"/>
      <w:bookmarkStart w:id="281" w:name="_Toc296891047"/>
      <w:bookmarkStart w:id="282" w:name="_Toc297123564"/>
      <w:r>
        <w:rPr>
          <w:rFonts w:hint="eastAsia"/>
        </w:rPr>
        <w:t>13. 验收和工程试车</w:t>
      </w:r>
      <w:bookmarkEnd w:id="266"/>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Pr>
        <w:spacing w:line="360" w:lineRule="auto"/>
      </w:pPr>
      <w:r>
        <w:rPr>
          <w:rFonts w:hint="eastAsia"/>
        </w:rPr>
        <w:t>13.1 分部分项工程验收</w:t>
      </w:r>
    </w:p>
    <w:p>
      <w:pPr>
        <w:spacing w:line="360" w:lineRule="auto"/>
      </w:pPr>
      <w:r>
        <w:rPr>
          <w:rFonts w:hint="eastAsia"/>
        </w:rPr>
        <w:t>13.1.2监理人不能按时进行验收时，应提前24小时提交书面延期要求。</w:t>
      </w:r>
    </w:p>
    <w:p>
      <w:pPr>
        <w:spacing w:line="360" w:lineRule="auto"/>
      </w:pPr>
      <w:r>
        <w:rPr>
          <w:rFonts w:hint="eastAsia"/>
        </w:rPr>
        <w:t>关于延期最长不得超过：48小时。</w:t>
      </w:r>
    </w:p>
    <w:p>
      <w:pPr>
        <w:spacing w:line="360" w:lineRule="auto"/>
      </w:pPr>
      <w:bookmarkStart w:id="283" w:name="_Toc312678056"/>
      <w:bookmarkStart w:id="284" w:name="_Toc303539173"/>
      <w:bookmarkStart w:id="285" w:name="_Toc292559428"/>
      <w:bookmarkStart w:id="286" w:name="_Toc296891263"/>
      <w:bookmarkStart w:id="287" w:name="_Toc297120523"/>
      <w:bookmarkStart w:id="288" w:name="_Toc297216224"/>
      <w:bookmarkStart w:id="289" w:name="_Toc296347222"/>
      <w:bookmarkStart w:id="290" w:name="_Toc300935016"/>
      <w:bookmarkStart w:id="291" w:name="_Toc296944562"/>
      <w:bookmarkStart w:id="292" w:name="_Toc297123565"/>
      <w:bookmarkStart w:id="293" w:name="_Toc292559933"/>
      <w:bookmarkStart w:id="294" w:name="_Toc297048409"/>
      <w:bookmarkStart w:id="295" w:name="_Toc296503223"/>
      <w:bookmarkStart w:id="296" w:name="_Toc296346724"/>
      <w:bookmarkStart w:id="297" w:name="_Toc296891051"/>
      <w:bookmarkStart w:id="298" w:name="_Toc304295596"/>
      <w:bookmarkStart w:id="299" w:name="_Toc267251474"/>
      <w:bookmarkStart w:id="300" w:name="_Toc267251470"/>
      <w:bookmarkStart w:id="301" w:name="_Toc267251473"/>
      <w:bookmarkStart w:id="302" w:name="_Toc267251471"/>
      <w:bookmarkStart w:id="303" w:name="_Toc267251475"/>
      <w:bookmarkStart w:id="304" w:name="_Toc267251476"/>
      <w:bookmarkStart w:id="305" w:name="_Toc267251472"/>
      <w:r>
        <w:rPr>
          <w:rFonts w:hint="eastAsia"/>
        </w:rPr>
        <w:t>13.2 竣工验收</w:t>
      </w:r>
    </w:p>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Pr>
        <w:spacing w:line="360" w:lineRule="auto"/>
      </w:pPr>
      <w:bookmarkStart w:id="306" w:name="_Toc280868704"/>
      <w:bookmarkStart w:id="307" w:name="_Toc280868705"/>
      <w:bookmarkStart w:id="308" w:name="_Toc280868706"/>
      <w:bookmarkStart w:id="309" w:name="_Toc280868707"/>
      <w:bookmarkStart w:id="310" w:name="_Toc280868708"/>
      <w:bookmarkStart w:id="311" w:name="_Toc280868709"/>
      <w:r>
        <w:rPr>
          <w:rFonts w:hint="eastAsia"/>
        </w:rPr>
        <w:t>13.2.2竣工验收程序</w:t>
      </w:r>
    </w:p>
    <w:bookmarkEnd w:id="306"/>
    <w:p>
      <w:pPr>
        <w:spacing w:line="360" w:lineRule="auto"/>
      </w:pPr>
      <w:r>
        <w:rPr>
          <w:rFonts w:hint="eastAsia"/>
        </w:rPr>
        <w:t>关于竣工验收程序的约定：按通用条款执行。</w:t>
      </w:r>
    </w:p>
    <w:p>
      <w:pPr>
        <w:spacing w:line="360" w:lineRule="auto"/>
      </w:pPr>
      <w:r>
        <w:rPr>
          <w:rFonts w:hint="eastAsia"/>
        </w:rPr>
        <w:t>发包人指定第三方检测机构对本项目进行检测、验收，费用由承包人支付，如有不合格之处，承包人负责返工合格为止，并承担相关费用及责任。</w:t>
      </w:r>
    </w:p>
    <w:p>
      <w:pPr>
        <w:spacing w:line="360" w:lineRule="auto"/>
      </w:pPr>
      <w:r>
        <w:rPr>
          <w:rFonts w:hint="eastAsia"/>
        </w:rPr>
        <w:t>发包人不按照本项约定组织竣工验收、颁发工程接收证书的违约金的计算方法：双方另行协商。</w:t>
      </w:r>
    </w:p>
    <w:bookmarkEnd w:id="307"/>
    <w:p>
      <w:pPr>
        <w:spacing w:line="360" w:lineRule="auto"/>
      </w:pPr>
      <w:r>
        <w:rPr>
          <w:rFonts w:hint="eastAsia"/>
        </w:rPr>
        <w:t>13.2.5移交、接收全部与部分工程</w:t>
      </w:r>
    </w:p>
    <w:bookmarkEnd w:id="308"/>
    <w:p>
      <w:pPr>
        <w:spacing w:line="360" w:lineRule="auto"/>
      </w:pPr>
      <w:r>
        <w:rPr>
          <w:rFonts w:hint="eastAsia"/>
        </w:rPr>
        <w:t>承包人向发包人移交工程的期限：按通用条款执行。</w:t>
      </w:r>
    </w:p>
    <w:p>
      <w:pPr>
        <w:spacing w:line="360" w:lineRule="auto"/>
      </w:pPr>
      <w:r>
        <w:rPr>
          <w:rFonts w:hint="eastAsia"/>
        </w:rPr>
        <w:t>发包人未按本合同约定接收全部或部分工程的，违约金的计算方法为：双方另行协商。</w:t>
      </w:r>
    </w:p>
    <w:bookmarkEnd w:id="309"/>
    <w:p>
      <w:pPr>
        <w:spacing w:line="360" w:lineRule="auto"/>
      </w:pPr>
      <w:r>
        <w:rPr>
          <w:rFonts w:hint="eastAsia"/>
        </w:rPr>
        <w:t>承包人未按时移交工程的，违约金的计算方法为：按通用条款执行。</w:t>
      </w:r>
    </w:p>
    <w:p>
      <w:pPr>
        <w:spacing w:line="360" w:lineRule="auto"/>
      </w:pPr>
      <w:r>
        <w:rPr>
          <w:rFonts w:hint="eastAsia"/>
        </w:rPr>
        <w:t>13.3 工程试车</w:t>
      </w:r>
    </w:p>
    <w:bookmarkEnd w:id="310"/>
    <w:p>
      <w:pPr>
        <w:spacing w:line="360" w:lineRule="auto"/>
      </w:pPr>
      <w:r>
        <w:rPr>
          <w:rFonts w:hint="eastAsia"/>
        </w:rPr>
        <w:t>13.3.1 试车程序</w:t>
      </w:r>
    </w:p>
    <w:p>
      <w:pPr>
        <w:spacing w:line="360" w:lineRule="auto"/>
      </w:pPr>
      <w:r>
        <w:rPr>
          <w:rFonts w:hint="eastAsia"/>
        </w:rPr>
        <w:t>工程试车内容：  /  。</w:t>
      </w:r>
    </w:p>
    <w:p>
      <w:pPr>
        <w:spacing w:line="360" w:lineRule="auto"/>
      </w:pPr>
      <w:r>
        <w:rPr>
          <w:rFonts w:hint="eastAsia"/>
        </w:rPr>
        <w:t>（1）单机无负荷试车费用由  /  承担；</w:t>
      </w:r>
    </w:p>
    <w:p>
      <w:pPr>
        <w:spacing w:line="360" w:lineRule="auto"/>
      </w:pPr>
      <w:r>
        <w:rPr>
          <w:rFonts w:hint="eastAsia"/>
        </w:rPr>
        <w:t>（2）无负荷联动试车费用由  /  承担。</w:t>
      </w:r>
    </w:p>
    <w:p>
      <w:pPr>
        <w:spacing w:line="360" w:lineRule="auto"/>
      </w:pPr>
      <w:r>
        <w:rPr>
          <w:rFonts w:hint="eastAsia"/>
        </w:rPr>
        <w:t>13.3.3 投料试车</w:t>
      </w:r>
    </w:p>
    <w:p>
      <w:pPr>
        <w:spacing w:line="360" w:lineRule="auto"/>
      </w:pPr>
      <w:r>
        <w:rPr>
          <w:rFonts w:hint="eastAsia"/>
        </w:rPr>
        <w:t>关于投料试车相关事项的约定：  /  。</w:t>
      </w:r>
    </w:p>
    <w:p>
      <w:pPr>
        <w:spacing w:line="360" w:lineRule="auto"/>
      </w:pPr>
      <w:r>
        <w:rPr>
          <w:rFonts w:hint="eastAsia"/>
        </w:rPr>
        <w:t>13.6 竣工退场</w:t>
      </w:r>
    </w:p>
    <w:p>
      <w:pPr>
        <w:spacing w:line="360" w:lineRule="auto"/>
      </w:pPr>
      <w:r>
        <w:rPr>
          <w:rFonts w:hint="eastAsia"/>
        </w:rPr>
        <w:t>13.6.1 竣工退场</w:t>
      </w:r>
    </w:p>
    <w:p>
      <w:pPr>
        <w:spacing w:line="360" w:lineRule="auto"/>
      </w:pPr>
      <w:r>
        <w:rPr>
          <w:rFonts w:hint="eastAsia"/>
        </w:rPr>
        <w:t>承包人完成竣工退场的期限：按通用条款执行。</w:t>
      </w:r>
    </w:p>
    <w:p>
      <w:pPr>
        <w:spacing w:line="360" w:lineRule="auto"/>
      </w:pPr>
    </w:p>
    <w:p>
      <w:pPr>
        <w:spacing w:line="360" w:lineRule="auto"/>
      </w:pPr>
      <w:bookmarkStart w:id="312" w:name="_Toc351203646"/>
      <w:r>
        <w:rPr>
          <w:rFonts w:hint="eastAsia"/>
        </w:rPr>
        <w:t>14. 竣工结算</w:t>
      </w:r>
      <w:bookmarkEnd w:id="312"/>
    </w:p>
    <w:p>
      <w:pPr>
        <w:spacing w:line="360" w:lineRule="auto"/>
      </w:pPr>
      <w:r>
        <w:rPr>
          <w:rFonts w:hint="eastAsia"/>
        </w:rPr>
        <w:t>14.1 竣工付款申请</w:t>
      </w:r>
    </w:p>
    <w:p>
      <w:pPr>
        <w:spacing w:line="360" w:lineRule="auto"/>
      </w:pPr>
      <w:r>
        <w:rPr>
          <w:rFonts w:hint="eastAsia"/>
        </w:rPr>
        <w:t>承包人提交竣工结算申请单的期限：工程竣工验收合格后28天内。</w:t>
      </w:r>
    </w:p>
    <w:p>
      <w:pPr>
        <w:spacing w:line="360" w:lineRule="auto"/>
      </w:pPr>
      <w:r>
        <w:rPr>
          <w:rFonts w:hint="eastAsia"/>
        </w:rPr>
        <w:t>竣工结算申请单应包括的内容：按通用条款执行。</w:t>
      </w:r>
    </w:p>
    <w:p>
      <w:pPr>
        <w:spacing w:line="360" w:lineRule="auto"/>
      </w:pPr>
      <w:r>
        <w:rPr>
          <w:rFonts w:hint="eastAsia"/>
        </w:rPr>
        <w:t>14.2 竣工结算审核</w:t>
      </w:r>
    </w:p>
    <w:p>
      <w:pPr>
        <w:spacing w:line="360" w:lineRule="auto"/>
      </w:pPr>
      <w:r>
        <w:rPr>
          <w:rFonts w:hint="eastAsia"/>
        </w:rPr>
        <w:t>发包人审批竣工付款申请单的期限：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spacing w:line="360" w:lineRule="auto"/>
      </w:pPr>
      <w:r>
        <w:rPr>
          <w:rFonts w:hint="eastAsia"/>
        </w:rPr>
        <w:t>发包人完成竣工付款的期限：发包人应在签发竣工付款证书后的14 天内，完成对承包人的竣工付款。</w:t>
      </w:r>
    </w:p>
    <w:p>
      <w:pPr>
        <w:spacing w:line="360" w:lineRule="auto"/>
      </w:pPr>
      <w:r>
        <w:rPr>
          <w:rFonts w:hint="eastAsia"/>
        </w:rPr>
        <w:t>关于竣工付款证书异议部分复核的方式和程序：承包人对发包人签认的竣工付款证书有异议的，对于有异议部分应在收到发包人签认的竣工付款证书后7天内提出异议，并由合同当事人按照专用合同条款约定的方式和程序进行复核。对于无异议部分，发包人应签发临时竣工付款证书，并按本款第（2）项完成付款。承包人逾期未提出异议的，视为认可发包人的审批结果。</w:t>
      </w:r>
    </w:p>
    <w:p>
      <w:pPr>
        <w:spacing w:line="360" w:lineRule="auto"/>
      </w:pPr>
      <w:r>
        <w:rPr>
          <w:rFonts w:hint="eastAsia"/>
        </w:rPr>
        <w:t>结算方式：经双方约定，工程竣工验收合格后，承包方应及时报送决算资料，并接受审计单位审计，审计以承包人的送审价为基数，如经审计审减额在5%以内的由发包人承担审计费用；若审减额超过5%，则由承包人承担审减额超过5%部分的审计费用，在支付工程款时由发包人直接扣除并支付给审计单位。</w:t>
      </w:r>
    </w:p>
    <w:p>
      <w:pPr>
        <w:spacing w:line="360" w:lineRule="auto"/>
      </w:pPr>
      <w:r>
        <w:rPr>
          <w:rFonts w:hint="eastAsia"/>
        </w:rPr>
        <w:t>14.4 最终结清</w:t>
      </w:r>
    </w:p>
    <w:p>
      <w:pPr>
        <w:spacing w:line="360" w:lineRule="auto"/>
      </w:pPr>
      <w:r>
        <w:rPr>
          <w:rFonts w:hint="eastAsia"/>
        </w:rPr>
        <w:t>14.4.1 最终结清申请单</w:t>
      </w:r>
    </w:p>
    <w:p>
      <w:pPr>
        <w:spacing w:line="360" w:lineRule="auto"/>
      </w:pPr>
      <w:r>
        <w:rPr>
          <w:rFonts w:hint="eastAsia"/>
        </w:rPr>
        <w:t>承包人提交最终结清申请单的份数：按通用条款执行。</w:t>
      </w:r>
    </w:p>
    <w:p>
      <w:pPr>
        <w:spacing w:line="360" w:lineRule="auto"/>
      </w:pPr>
      <w:r>
        <w:rPr>
          <w:rFonts w:hint="eastAsia"/>
        </w:rPr>
        <w:t xml:space="preserve">承包人提交最终结算申请单的期限：按通用条款执行。 </w:t>
      </w:r>
    </w:p>
    <w:p>
      <w:pPr>
        <w:spacing w:line="360" w:lineRule="auto"/>
      </w:pPr>
      <w:r>
        <w:rPr>
          <w:rFonts w:hint="eastAsia"/>
        </w:rPr>
        <w:t>14.4.2 最终结清证书和支付</w:t>
      </w:r>
    </w:p>
    <w:p>
      <w:pPr>
        <w:spacing w:line="360" w:lineRule="auto"/>
      </w:pPr>
      <w:r>
        <w:rPr>
          <w:rFonts w:hint="eastAsia"/>
        </w:rPr>
        <w:t>（1）发包人完成最终结清申请单的审批并颁发最终结清证书的期限：按通用条款执行。</w:t>
      </w:r>
    </w:p>
    <w:p>
      <w:pPr>
        <w:spacing w:line="360" w:lineRule="auto"/>
      </w:pPr>
      <w:r>
        <w:rPr>
          <w:rFonts w:hint="eastAsia"/>
        </w:rPr>
        <w:t>（2）发包人完成支付的期限：按通用条款执行。</w:t>
      </w:r>
    </w:p>
    <w:bookmarkEnd w:id="299"/>
    <w:bookmarkEnd w:id="300"/>
    <w:bookmarkEnd w:id="301"/>
    <w:bookmarkEnd w:id="302"/>
    <w:bookmarkEnd w:id="303"/>
    <w:bookmarkEnd w:id="304"/>
    <w:bookmarkEnd w:id="305"/>
    <w:bookmarkEnd w:id="311"/>
    <w:p>
      <w:pPr>
        <w:spacing w:line="360" w:lineRule="auto"/>
      </w:pPr>
      <w:bookmarkStart w:id="313" w:name="_Toc351203647"/>
      <w:bookmarkStart w:id="314" w:name="_Toc267251483"/>
      <w:bookmarkStart w:id="315" w:name="_Toc267251482"/>
      <w:bookmarkStart w:id="316" w:name="_Toc267251484"/>
      <w:bookmarkStart w:id="317" w:name="_Toc267251485"/>
      <w:bookmarkStart w:id="318" w:name="_Toc267251489"/>
      <w:bookmarkStart w:id="319" w:name="_Toc267251490"/>
      <w:bookmarkStart w:id="320" w:name="_Toc267251486"/>
      <w:bookmarkStart w:id="321" w:name="_Toc267251488"/>
      <w:bookmarkStart w:id="322" w:name="_Toc267251494"/>
      <w:bookmarkStart w:id="323" w:name="_Toc267251491"/>
      <w:bookmarkStart w:id="324" w:name="_Toc267251496"/>
      <w:bookmarkStart w:id="325" w:name="_Toc267251492"/>
      <w:bookmarkStart w:id="326" w:name="_Toc267251498"/>
      <w:bookmarkStart w:id="327" w:name="_Toc267251493"/>
      <w:bookmarkStart w:id="328" w:name="_Toc267251502"/>
      <w:bookmarkStart w:id="329" w:name="_Toc267251503"/>
      <w:bookmarkStart w:id="330" w:name="_Toc267251499"/>
      <w:bookmarkStart w:id="331" w:name="_Toc267251495"/>
      <w:bookmarkStart w:id="332" w:name="_Toc267251497"/>
      <w:bookmarkStart w:id="333" w:name="_Toc267251501"/>
      <w:bookmarkStart w:id="334" w:name="_Toc267251507"/>
      <w:bookmarkStart w:id="335" w:name="_Toc267251508"/>
      <w:bookmarkStart w:id="336" w:name="_Toc267251504"/>
      <w:bookmarkStart w:id="337" w:name="_Toc267251506"/>
      <w:bookmarkStart w:id="338" w:name="_Toc267251515"/>
      <w:bookmarkStart w:id="339" w:name="_Toc267251513"/>
      <w:bookmarkStart w:id="340" w:name="_Toc267251509"/>
      <w:bookmarkStart w:id="341" w:name="_Toc267251511"/>
      <w:bookmarkStart w:id="342" w:name="_Toc267251510"/>
      <w:bookmarkStart w:id="343" w:name="_Toc267251514"/>
      <w:r>
        <w:rPr>
          <w:rFonts w:hint="eastAsia"/>
        </w:rPr>
        <w:t>15. 缺陷责任期与保修</w:t>
      </w:r>
      <w:bookmarkEnd w:id="313"/>
    </w:p>
    <w:p>
      <w:pPr>
        <w:spacing w:line="360" w:lineRule="auto"/>
      </w:pPr>
      <w:r>
        <w:rPr>
          <w:rFonts w:hint="eastAsia"/>
        </w:rPr>
        <w:t>15.2缺陷责任期</w:t>
      </w:r>
      <w:bookmarkEnd w:id="314"/>
    </w:p>
    <w:p>
      <w:pPr>
        <w:spacing w:line="360" w:lineRule="auto"/>
      </w:pPr>
      <w:r>
        <w:rPr>
          <w:rFonts w:hint="eastAsia"/>
        </w:rPr>
        <w:t>缺陷责任期的具体期限：自工程竣工验收合格之日起24个月。</w:t>
      </w:r>
    </w:p>
    <w:p>
      <w:pPr>
        <w:spacing w:line="360" w:lineRule="auto"/>
      </w:pPr>
      <w:r>
        <w:rPr>
          <w:rFonts w:hint="eastAsia"/>
        </w:rPr>
        <w:t>15.3 质量保证金</w:t>
      </w:r>
    </w:p>
    <w:p>
      <w:pPr>
        <w:spacing w:line="360" w:lineRule="auto"/>
      </w:pPr>
      <w:r>
        <w:rPr>
          <w:rFonts w:hint="eastAsia"/>
        </w:rPr>
        <w:t>关于是否扣留质量保证金的约定：审计结算价的3%作为质量保证金。</w:t>
      </w:r>
    </w:p>
    <w:p>
      <w:pPr>
        <w:spacing w:line="360" w:lineRule="auto"/>
      </w:pPr>
      <w:r>
        <w:rPr>
          <w:rFonts w:hint="eastAsia"/>
        </w:rPr>
        <w:t>15.3.1 承包人提供质量保证金的方式</w:t>
      </w:r>
    </w:p>
    <w:p>
      <w:pPr>
        <w:spacing w:line="360" w:lineRule="auto"/>
      </w:pPr>
      <w:r>
        <w:rPr>
          <w:rFonts w:hint="eastAsia"/>
        </w:rPr>
        <w:t>质量保证金采用以下第</w:t>
      </w:r>
      <w:r>
        <w:rPr>
          <w:rFonts w:hint="eastAsia"/>
          <w:u w:val="single"/>
        </w:rPr>
        <w:t>（3）</w:t>
      </w:r>
      <w:r>
        <w:rPr>
          <w:rFonts w:hint="eastAsia"/>
        </w:rPr>
        <w:t>种方式：</w:t>
      </w:r>
    </w:p>
    <w:p>
      <w:pPr>
        <w:spacing w:line="360" w:lineRule="auto"/>
      </w:pPr>
      <w:r>
        <w:rPr>
          <w:rFonts w:hint="eastAsia"/>
        </w:rPr>
        <w:t xml:space="preserve">（1）质量保证金保函，保证金额为：； </w:t>
      </w:r>
    </w:p>
    <w:p>
      <w:pPr>
        <w:spacing w:line="360" w:lineRule="auto"/>
      </w:pPr>
      <w:r>
        <w:rPr>
          <w:rFonts w:hint="eastAsia"/>
        </w:rPr>
        <w:t>（2）%的工程款；</w:t>
      </w:r>
    </w:p>
    <w:p>
      <w:pPr>
        <w:spacing w:line="360" w:lineRule="auto"/>
      </w:pPr>
      <w:r>
        <w:rPr>
          <w:rFonts w:hint="eastAsia"/>
        </w:rPr>
        <w:t>（3）其他方式：</w:t>
      </w:r>
      <w:r>
        <w:rPr>
          <w:rFonts w:hint="eastAsia"/>
          <w:u w:val="single"/>
        </w:rPr>
        <w:t>审计结算价的3%</w:t>
      </w:r>
      <w:r>
        <w:rPr>
          <w:rFonts w:hint="eastAsia"/>
        </w:rPr>
        <w:t>。</w:t>
      </w:r>
    </w:p>
    <w:p>
      <w:pPr>
        <w:spacing w:line="360" w:lineRule="auto"/>
      </w:pPr>
      <w:r>
        <w:rPr>
          <w:rFonts w:hint="eastAsia"/>
        </w:rPr>
        <w:t xml:space="preserve">15.3.2 质量保证金的扣留 </w:t>
      </w:r>
    </w:p>
    <w:p>
      <w:pPr>
        <w:spacing w:line="360" w:lineRule="auto"/>
      </w:pPr>
      <w:r>
        <w:rPr>
          <w:rFonts w:hint="eastAsia"/>
        </w:rPr>
        <w:t>质量保证金的扣留采取以下第</w:t>
      </w:r>
      <w:r>
        <w:rPr>
          <w:rFonts w:hint="eastAsia"/>
          <w:u w:val="single"/>
        </w:rPr>
        <w:t xml:space="preserve">  （2）  </w:t>
      </w:r>
      <w:r>
        <w:rPr>
          <w:rFonts w:hint="eastAsia"/>
        </w:rPr>
        <w:t>种方式：</w:t>
      </w:r>
    </w:p>
    <w:p>
      <w:pPr>
        <w:spacing w:line="360" w:lineRule="auto"/>
      </w:pPr>
      <w:r>
        <w:rPr>
          <w:rFonts w:hint="eastAsia"/>
        </w:rPr>
        <w:t>（1）在支付工程进度款时逐次扣留，在此情形下，质量保证金的计算基数不包括预付款的支付、扣回以及价格调整的金额；</w:t>
      </w:r>
    </w:p>
    <w:p>
      <w:pPr>
        <w:spacing w:line="360" w:lineRule="auto"/>
      </w:pPr>
      <w:r>
        <w:rPr>
          <w:rFonts w:hint="eastAsia"/>
        </w:rPr>
        <w:t>（2）工程竣工结算时一次性扣留质量保证金；</w:t>
      </w:r>
    </w:p>
    <w:p>
      <w:pPr>
        <w:spacing w:line="360" w:lineRule="auto"/>
      </w:pPr>
      <w:r>
        <w:rPr>
          <w:rFonts w:hint="eastAsia"/>
        </w:rPr>
        <w:t>（3）其他扣留方式：。</w:t>
      </w:r>
    </w:p>
    <w:p>
      <w:pPr>
        <w:spacing w:line="360" w:lineRule="auto"/>
      </w:pPr>
      <w:r>
        <w:rPr>
          <w:rFonts w:hint="eastAsia"/>
        </w:rPr>
        <w:t>关于质量保证金的补充约定：发包人在缺陷责任期满后14天内，将剩余保修金无息返还承包人。</w:t>
      </w:r>
    </w:p>
    <w:bookmarkEnd w:id="315"/>
    <w:bookmarkEnd w:id="316"/>
    <w:p>
      <w:pPr>
        <w:spacing w:line="360" w:lineRule="auto"/>
      </w:pPr>
      <w:r>
        <w:rPr>
          <w:rFonts w:hint="eastAsia"/>
        </w:rPr>
        <w:t>15.4保修</w:t>
      </w:r>
    </w:p>
    <w:bookmarkEnd w:id="317"/>
    <w:p>
      <w:pPr>
        <w:spacing w:line="360" w:lineRule="auto"/>
      </w:pPr>
      <w:r>
        <w:rPr>
          <w:rFonts w:hint="eastAsia"/>
        </w:rPr>
        <w:t>15.4.1 保修责任</w:t>
      </w:r>
    </w:p>
    <w:p>
      <w:pPr>
        <w:spacing w:line="360" w:lineRule="auto"/>
      </w:pPr>
      <w:r>
        <w:rPr>
          <w:rFonts w:hint="eastAsia"/>
        </w:rPr>
        <w:t>工程保修期为：详见质量保修合同。</w:t>
      </w:r>
    </w:p>
    <w:p>
      <w:pPr>
        <w:spacing w:line="360" w:lineRule="auto"/>
      </w:pPr>
      <w:r>
        <w:rPr>
          <w:rFonts w:hint="eastAsia"/>
        </w:rPr>
        <w:t>15.4.3 修复通知</w:t>
      </w:r>
    </w:p>
    <w:p>
      <w:pPr>
        <w:spacing w:line="360" w:lineRule="auto"/>
      </w:pPr>
      <w:r>
        <w:rPr>
          <w:rFonts w:hint="eastAsia"/>
        </w:rPr>
        <w:t>承包人收到保修通知并到达工程现场的合理时间：</w:t>
      </w:r>
    </w:p>
    <w:p>
      <w:pPr>
        <w:spacing w:line="360" w:lineRule="auto"/>
      </w:pPr>
      <w:r>
        <w:rPr>
          <w:rFonts w:hint="eastAsia"/>
        </w:rPr>
        <w:t>缺陷责任期为工程竣工验收合格后2年。在缺陷责任期内承包人接通知后5天内派人上门维修，直至修复。</w:t>
      </w:r>
    </w:p>
    <w:bookmarkEnd w:id="318"/>
    <w:bookmarkEnd w:id="319"/>
    <w:bookmarkEnd w:id="320"/>
    <w:bookmarkEnd w:id="321"/>
    <w:p>
      <w:pPr>
        <w:spacing w:line="360" w:lineRule="auto"/>
      </w:pPr>
      <w:bookmarkStart w:id="344" w:name="_Toc351203648"/>
      <w:bookmarkStart w:id="345" w:name="_Toc280868717"/>
      <w:bookmarkStart w:id="346" w:name="_Toc280868718"/>
      <w:r>
        <w:rPr>
          <w:rFonts w:hint="eastAsia"/>
        </w:rPr>
        <w:t>16. 违约</w:t>
      </w:r>
      <w:bookmarkEnd w:id="344"/>
    </w:p>
    <w:p>
      <w:pPr>
        <w:spacing w:line="360" w:lineRule="auto"/>
      </w:pPr>
      <w:r>
        <w:rPr>
          <w:rFonts w:hint="eastAsia"/>
        </w:rPr>
        <w:t>16.1 发包人违约</w:t>
      </w:r>
    </w:p>
    <w:p>
      <w:pPr>
        <w:spacing w:line="360" w:lineRule="auto"/>
      </w:pPr>
      <w:r>
        <w:rPr>
          <w:rFonts w:hint="eastAsia"/>
        </w:rPr>
        <w:t>16.1.1发包人违约的情形</w:t>
      </w:r>
    </w:p>
    <w:p>
      <w:pPr>
        <w:spacing w:line="360" w:lineRule="auto"/>
      </w:pPr>
      <w:r>
        <w:rPr>
          <w:rFonts w:hint="eastAsia"/>
        </w:rPr>
        <w:t>发包人违约的其他情形：</w:t>
      </w:r>
      <w:r>
        <w:rPr>
          <w:rFonts w:hint="eastAsia"/>
          <w:u w:val="single"/>
        </w:rPr>
        <w:t xml:space="preserve">  /  </w:t>
      </w:r>
      <w:r>
        <w:rPr>
          <w:rFonts w:hint="eastAsia"/>
        </w:rPr>
        <w:t>。</w:t>
      </w:r>
    </w:p>
    <w:p>
      <w:pPr>
        <w:spacing w:line="360" w:lineRule="auto"/>
      </w:pPr>
      <w:r>
        <w:rPr>
          <w:rFonts w:hint="eastAsia"/>
        </w:rPr>
        <w:t>16.1.2 发包人违约的责任</w:t>
      </w:r>
    </w:p>
    <w:p>
      <w:pPr>
        <w:spacing w:line="360" w:lineRule="auto"/>
      </w:pPr>
      <w:r>
        <w:rPr>
          <w:rFonts w:hint="eastAsia"/>
        </w:rPr>
        <w:t>发包人违约责任的承担方式和计算方法：</w:t>
      </w:r>
    </w:p>
    <w:p>
      <w:pPr>
        <w:spacing w:line="360" w:lineRule="auto"/>
      </w:pPr>
      <w:r>
        <w:rPr>
          <w:rFonts w:hint="eastAsia"/>
        </w:rPr>
        <w:t>（1）因发包人原因未能在计划开工日期前7天内下达开工通知的违约责任：工期顺延。</w:t>
      </w:r>
    </w:p>
    <w:p>
      <w:pPr>
        <w:spacing w:line="360" w:lineRule="auto"/>
      </w:pPr>
      <w:r>
        <w:rPr>
          <w:rFonts w:hint="eastAsia"/>
        </w:rPr>
        <w:t>（2）因发包人原因未能按合同约定支付合同价款的违约责任：双方协商解决。</w:t>
      </w:r>
    </w:p>
    <w:p>
      <w:pPr>
        <w:spacing w:line="360" w:lineRule="auto"/>
      </w:pPr>
      <w:r>
        <w:rPr>
          <w:rFonts w:hint="eastAsia"/>
        </w:rPr>
        <w:t>（3）发包人违反第10.1款〔变更的范围〕第（2）项约定，自行实施被取消的工作或转由他人实施的违约责任：</w:t>
      </w:r>
      <w:r>
        <w:rPr>
          <w:rFonts w:hint="eastAsia"/>
          <w:u w:val="single"/>
        </w:rPr>
        <w:t xml:space="preserve">  ／  </w:t>
      </w:r>
      <w:r>
        <w:rPr>
          <w:rFonts w:hint="eastAsia"/>
        </w:rPr>
        <w:t>。</w:t>
      </w:r>
    </w:p>
    <w:p>
      <w:pPr>
        <w:spacing w:line="360" w:lineRule="auto"/>
      </w:pPr>
      <w:r>
        <w:rPr>
          <w:rFonts w:hint="eastAsia"/>
        </w:rPr>
        <w:t>（4）发包人提供的材料、工程设备的规格、数量或质量不符合合同约定，或因发包人原因导致交货日期延误或交货地点变更等情况的违约责任：</w:t>
      </w:r>
      <w:r>
        <w:rPr>
          <w:rFonts w:hint="eastAsia"/>
          <w:u w:val="single"/>
        </w:rPr>
        <w:t xml:space="preserve">  ／  </w:t>
      </w:r>
      <w:r>
        <w:rPr>
          <w:rFonts w:hint="eastAsia"/>
        </w:rPr>
        <w:t>。</w:t>
      </w:r>
    </w:p>
    <w:p>
      <w:pPr>
        <w:spacing w:line="360" w:lineRule="auto"/>
      </w:pPr>
      <w:r>
        <w:rPr>
          <w:rFonts w:hint="eastAsia"/>
        </w:rPr>
        <w:t>（5）因发包人违反合同约定造成暂停施工的违约责任：工期顺延。</w:t>
      </w:r>
    </w:p>
    <w:p>
      <w:pPr>
        <w:spacing w:line="360" w:lineRule="auto"/>
      </w:pPr>
      <w:r>
        <w:rPr>
          <w:rFonts w:hint="eastAsia"/>
        </w:rPr>
        <w:t>（6）发包人无正当理由没有在约定期限内发出复工指示，导致承包人无法复工的违约责任：</w:t>
      </w:r>
      <w:r>
        <w:rPr>
          <w:rFonts w:hint="eastAsia"/>
          <w:u w:val="single"/>
        </w:rPr>
        <w:t xml:space="preserve">  ／  </w:t>
      </w:r>
      <w:r>
        <w:rPr>
          <w:rFonts w:hint="eastAsia"/>
        </w:rPr>
        <w:t>。</w:t>
      </w:r>
    </w:p>
    <w:p>
      <w:pPr>
        <w:spacing w:line="360" w:lineRule="auto"/>
      </w:pPr>
      <w:r>
        <w:rPr>
          <w:rFonts w:hint="eastAsia"/>
        </w:rPr>
        <w:t>（7）其他：</w:t>
      </w:r>
      <w:r>
        <w:rPr>
          <w:rFonts w:hint="eastAsia"/>
          <w:u w:val="single"/>
        </w:rPr>
        <w:t xml:space="preserve">  ／  </w:t>
      </w:r>
      <w:r>
        <w:rPr>
          <w:rFonts w:hint="eastAsia"/>
        </w:rPr>
        <w:t>。</w:t>
      </w:r>
    </w:p>
    <w:p>
      <w:pPr>
        <w:spacing w:line="360" w:lineRule="auto"/>
      </w:pPr>
      <w:r>
        <w:rPr>
          <w:rFonts w:hint="eastAsia"/>
        </w:rPr>
        <w:t>16.1.3 因发包人违约解除合同</w:t>
      </w:r>
    </w:p>
    <w:p>
      <w:pPr>
        <w:spacing w:line="360" w:lineRule="auto"/>
      </w:pPr>
      <w:r>
        <w:rPr>
          <w:rFonts w:hint="eastAsia"/>
        </w:rPr>
        <w:t>承包人按16.1.1项〔发包人违约的情形〕约定暂停施工满</w:t>
      </w:r>
      <w:r>
        <w:rPr>
          <w:rFonts w:hint="eastAsia"/>
          <w:u w:val="single"/>
        </w:rPr>
        <w:t xml:space="preserve">  56  </w:t>
      </w:r>
      <w:r>
        <w:rPr>
          <w:rFonts w:hint="eastAsia"/>
        </w:rPr>
        <w:t>天后发包人仍不纠正其违约行为并致使合同目的不能实现的，承包人有权解除合同。</w:t>
      </w:r>
    </w:p>
    <w:p>
      <w:pPr>
        <w:spacing w:line="360" w:lineRule="auto"/>
      </w:pPr>
      <w:r>
        <w:rPr>
          <w:rFonts w:hint="eastAsia"/>
        </w:rPr>
        <w:t>16.2 承包人违约</w:t>
      </w:r>
    </w:p>
    <w:p>
      <w:pPr>
        <w:spacing w:line="360" w:lineRule="auto"/>
      </w:pPr>
      <w:r>
        <w:rPr>
          <w:rFonts w:hint="eastAsia"/>
        </w:rPr>
        <w:t>16.2.1 承包人违约的情形</w:t>
      </w:r>
    </w:p>
    <w:p>
      <w:pPr>
        <w:spacing w:line="360" w:lineRule="auto"/>
      </w:pPr>
      <w:r>
        <w:rPr>
          <w:rFonts w:hint="eastAsia"/>
        </w:rPr>
        <w:t>承包人违约的其他情形：按合同相关条款。</w:t>
      </w:r>
    </w:p>
    <w:p>
      <w:pPr>
        <w:spacing w:line="360" w:lineRule="auto"/>
      </w:pPr>
      <w:r>
        <w:rPr>
          <w:rFonts w:hint="eastAsia"/>
        </w:rPr>
        <w:t>16.2.2承包人违约的责任</w:t>
      </w:r>
    </w:p>
    <w:p>
      <w:pPr>
        <w:spacing w:line="360" w:lineRule="auto"/>
      </w:pPr>
      <w:r>
        <w:rPr>
          <w:rFonts w:hint="eastAsia"/>
        </w:rPr>
        <w:t>承包人违约责任的承担方式和计算方法：承包人原因引起的工期延误，承包人按合</w:t>
      </w:r>
      <w:r>
        <w:rPr>
          <w:rFonts w:hint="eastAsia"/>
          <w:highlight w:val="yellow"/>
        </w:rPr>
        <w:t>同价的千分之一/天支付违约金</w:t>
      </w:r>
      <w:r>
        <w:rPr>
          <w:rFonts w:hint="eastAsia"/>
        </w:rPr>
        <w:t>。逾期超过20天，发包人有权单方面解除本合同，由此造成的所有损失由承包人承担。发包人原因引起的总工期延误，工期顺延。</w:t>
      </w:r>
    </w:p>
    <w:p>
      <w:pPr>
        <w:spacing w:line="360" w:lineRule="auto"/>
      </w:pPr>
      <w:r>
        <w:rPr>
          <w:rFonts w:hint="eastAsia"/>
        </w:rPr>
        <w:t>承包人必须服从发包人及总承包单位的施工进度安排，满足同时施工或穿插施工的承包人施工作业进度要求，及时提供作业面。</w:t>
      </w:r>
    </w:p>
    <w:p>
      <w:pPr>
        <w:spacing w:line="360" w:lineRule="auto"/>
      </w:pPr>
      <w:r>
        <w:rPr>
          <w:rFonts w:hint="eastAsia"/>
        </w:rPr>
        <w:t>承包人工程质量达不到合同约定的质量标准的，应返工重做，以达到合同约定的质量标准，其返工费自负。在返工期限内仍不能达到合同约定质量标准的，视为承包人不能履行合同，发包人有权解除合同，承包人除应返还已收工程款外，还应按合同总价的20%对发包人支付违约金。造成发包人损失的，还应承担赔偿责任。</w:t>
      </w:r>
    </w:p>
    <w:p>
      <w:pPr>
        <w:spacing w:line="360" w:lineRule="auto"/>
      </w:pPr>
      <w:r>
        <w:rPr>
          <w:rFonts w:hint="eastAsia"/>
        </w:rPr>
        <w:t xml:space="preserve"> 双方约定的承包人其他违约责任：承包人出现严重安全、质量事故，或在发包人规定的整改期限内达不到整改要求或明显无法按期完工的，发包人有权解除合同并要求承包人退场，并按验收合格工程量的50%款项结算，同时发包人扣除承包人不能履行合同的违约金。。</w:t>
      </w:r>
    </w:p>
    <w:p>
      <w:pPr>
        <w:spacing w:line="360" w:lineRule="auto"/>
      </w:pPr>
      <w:r>
        <w:rPr>
          <w:rFonts w:hint="eastAsia"/>
        </w:rPr>
        <w:t>16.2.3 因承包人违约解除合同</w:t>
      </w:r>
    </w:p>
    <w:p>
      <w:pPr>
        <w:spacing w:line="360" w:lineRule="auto"/>
      </w:pPr>
      <w:r>
        <w:rPr>
          <w:rFonts w:hint="eastAsia"/>
        </w:rPr>
        <w:t>关于承包人违约解除合同的特别约定：发包人发现承包人有以下行为之一的，发包人有权立即单方面解除本合同，且由此造成的所有损失由承包人承担；同时，发包人有权要求承包人无条件退场，承包人在现场的设备和材料无条件供发包人使用，其设备租金和材料价值待解决争议的法院裁定或判决或双方协商一致后，如有剩余，在裁判文书生效或双方协商一致的文件生效后7个工作日内支付。（1）工程质量、进度、安全与合同有较大差距的；（2）发现或发生建造师（项目负责人）擅自更换的；（3）出现擅自转包、分包现象的；（4）在建设、安全、卫生系统行业检查中未达标的；（5）建造师（项目负责人）不参加工程例会三次以上的；（6）不服从发包人或监理管理的；（7）承包人进场后，发包人若发现项目部主要人员和主要机械设备不能满足本工程需要的，发包人有权终止合同，由此产生的后果由承包人负责；（8）停工或拖延施工进度或影响施工质量；（9）无正当理由，单方面要挟发包人提高合同价款或者给予某种补偿的;（10）其它类似影响发包人权益或工程正常进行的情况。</w:t>
      </w:r>
    </w:p>
    <w:p>
      <w:pPr>
        <w:spacing w:line="360" w:lineRule="auto"/>
      </w:pPr>
      <w:r>
        <w:rPr>
          <w:rFonts w:hint="eastAsia"/>
        </w:rPr>
        <w:t>特别说明：本合同履行过程中，因承包人违约导致发包人提前解除（终止）合同的，发包人有权参照前述“承包人应履行的其它义务”中相关因延误工期终止合同的约定处理，追究承包人的违约责任。</w:t>
      </w:r>
    </w:p>
    <w:p>
      <w:pPr>
        <w:spacing w:line="360" w:lineRule="auto"/>
      </w:pPr>
      <w:r>
        <w:rPr>
          <w:rFonts w:hint="eastAsia"/>
        </w:rPr>
        <w:t>发包人继续使用承包人在施工现场的材料、设备、临时工程、承包人文件和由承包人或以其名义编制的其他文件的费用承担方式：</w:t>
      </w:r>
      <w:r>
        <w:rPr>
          <w:rFonts w:hint="eastAsia"/>
          <w:u w:val="single"/>
        </w:rPr>
        <w:t xml:space="preserve">  ／  </w:t>
      </w:r>
      <w:r>
        <w:rPr>
          <w:rFonts w:hint="eastAsia"/>
        </w:rPr>
        <w:t>。</w:t>
      </w:r>
    </w:p>
    <w:p>
      <w:pPr>
        <w:spacing w:line="360" w:lineRule="auto"/>
      </w:pPr>
      <w:bookmarkStart w:id="347" w:name="_Toc351203649"/>
      <w:r>
        <w:rPr>
          <w:rFonts w:hint="eastAsia"/>
        </w:rPr>
        <w:t>17. 不可抗力</w:t>
      </w:r>
      <w:bookmarkEnd w:id="345"/>
      <w:bookmarkEnd w:id="347"/>
    </w:p>
    <w:p>
      <w:pPr>
        <w:spacing w:line="360" w:lineRule="auto"/>
      </w:pPr>
      <w:r>
        <w:rPr>
          <w:rFonts w:hint="eastAsia"/>
        </w:rPr>
        <w:t>17.1 不可抗力的确认</w:t>
      </w:r>
    </w:p>
    <w:p>
      <w:pPr>
        <w:spacing w:line="360" w:lineRule="auto"/>
      </w:pPr>
      <w:r>
        <w:rPr>
          <w:rFonts w:hint="eastAsia"/>
        </w:rPr>
        <w:t>除通用合同条款约定的不可抗力事件之外，视为不可抗力的其他情形：</w:t>
      </w:r>
      <w:r>
        <w:rPr>
          <w:rFonts w:hint="eastAsia"/>
          <w:u w:val="single"/>
        </w:rPr>
        <w:t xml:space="preserve">  ／  </w:t>
      </w:r>
      <w:r>
        <w:rPr>
          <w:rFonts w:hint="eastAsia"/>
        </w:rPr>
        <w:t>。</w:t>
      </w:r>
    </w:p>
    <w:p>
      <w:pPr>
        <w:spacing w:line="360" w:lineRule="auto"/>
      </w:pPr>
      <w:r>
        <w:rPr>
          <w:rFonts w:hint="eastAsia"/>
        </w:rPr>
        <w:t>17.4 因不可抗力解除合同</w:t>
      </w:r>
    </w:p>
    <w:p>
      <w:pPr>
        <w:spacing w:line="360" w:lineRule="auto"/>
      </w:pPr>
      <w:r>
        <w:rPr>
          <w:rFonts w:hint="eastAsia"/>
        </w:rPr>
        <w:t>合同解除后，发包人应在商定或确定发包人应支付款项后90天内完成款项的支付。</w:t>
      </w:r>
    </w:p>
    <w:p>
      <w:pPr>
        <w:spacing w:line="360" w:lineRule="auto"/>
      </w:pPr>
      <w:bookmarkStart w:id="348" w:name="_Toc351203650"/>
      <w:r>
        <w:rPr>
          <w:rFonts w:hint="eastAsia"/>
        </w:rPr>
        <w:t>18. 保险</w:t>
      </w:r>
      <w:bookmarkEnd w:id="348"/>
    </w:p>
    <w:bookmarkEnd w:id="346"/>
    <w:p>
      <w:pPr>
        <w:spacing w:line="360" w:lineRule="auto"/>
      </w:pPr>
      <w:r>
        <w:rPr>
          <w:rFonts w:hint="eastAsia"/>
        </w:rPr>
        <w:t>18.1 工程保险</w:t>
      </w:r>
    </w:p>
    <w:p>
      <w:pPr>
        <w:spacing w:line="360" w:lineRule="auto"/>
      </w:pPr>
      <w:r>
        <w:rPr>
          <w:rFonts w:hint="eastAsia"/>
        </w:rPr>
        <w:t>关于工程保险的特别约定：承包人投保并承担费用；承包人不投保的，由承包人承担全部责任。</w:t>
      </w:r>
    </w:p>
    <w:p>
      <w:pPr>
        <w:spacing w:line="360" w:lineRule="auto"/>
      </w:pPr>
      <w:r>
        <w:rPr>
          <w:rFonts w:hint="eastAsia"/>
        </w:rPr>
        <w:t>18.3 其他保险</w:t>
      </w:r>
    </w:p>
    <w:p>
      <w:pPr>
        <w:spacing w:line="360" w:lineRule="auto"/>
      </w:pPr>
      <w:r>
        <w:rPr>
          <w:rFonts w:hint="eastAsia"/>
        </w:rPr>
        <w:t>关于其他保险的约定：承包人负责投保所需的所有人身和财产保险，费用由承包人承担；承包人不投保的，由承包人承担全部责任。</w:t>
      </w:r>
    </w:p>
    <w:p>
      <w:pPr>
        <w:spacing w:line="360" w:lineRule="auto"/>
      </w:pPr>
      <w:r>
        <w:rPr>
          <w:rFonts w:hint="eastAsia"/>
        </w:rPr>
        <w:t>承包人是否应为其施工设备等办理财产保险：承包人投保并承担费用；承包人不投保的，由承包人承担全部责任。</w:t>
      </w:r>
    </w:p>
    <w:p>
      <w:pPr>
        <w:spacing w:line="360" w:lineRule="auto"/>
      </w:pPr>
      <w:r>
        <w:rPr>
          <w:rFonts w:hint="eastAsia"/>
        </w:rPr>
        <w:t>18.7 通知义务</w:t>
      </w:r>
    </w:p>
    <w:p>
      <w:pPr>
        <w:spacing w:line="360" w:lineRule="auto"/>
      </w:pPr>
      <w:r>
        <w:rPr>
          <w:rFonts w:hint="eastAsia"/>
        </w:rPr>
        <w:t>关于变更保险合同时的通知义务的约定：按通用条款执行。</w:t>
      </w:r>
    </w:p>
    <w:bookmarkEnd w:id="322"/>
    <w:bookmarkEnd w:id="323"/>
    <w:bookmarkEnd w:id="324"/>
    <w:bookmarkEnd w:id="325"/>
    <w:bookmarkEnd w:id="326"/>
    <w:bookmarkEnd w:id="327"/>
    <w:bookmarkEnd w:id="328"/>
    <w:bookmarkEnd w:id="329"/>
    <w:bookmarkEnd w:id="330"/>
    <w:bookmarkEnd w:id="331"/>
    <w:bookmarkEnd w:id="332"/>
    <w:bookmarkEnd w:id="333"/>
    <w:p>
      <w:pPr>
        <w:spacing w:line="360" w:lineRule="auto"/>
      </w:pPr>
      <w:bookmarkStart w:id="349" w:name="_Toc351203651"/>
      <w:r>
        <w:rPr>
          <w:rFonts w:hint="eastAsia"/>
        </w:rPr>
        <w:t>20. 争议解决</w:t>
      </w:r>
      <w:bookmarkEnd w:id="349"/>
    </w:p>
    <w:bookmarkEnd w:id="334"/>
    <w:bookmarkEnd w:id="335"/>
    <w:bookmarkEnd w:id="336"/>
    <w:bookmarkEnd w:id="337"/>
    <w:p>
      <w:pPr>
        <w:spacing w:line="360" w:lineRule="auto"/>
      </w:pPr>
      <w:r>
        <w:rPr>
          <w:rFonts w:hint="eastAsia"/>
        </w:rPr>
        <w:t>因合同及合同有关事项发生的争议，按下列第（2）种方式解决：</w:t>
      </w:r>
    </w:p>
    <w:p>
      <w:pPr>
        <w:spacing w:line="360" w:lineRule="auto"/>
      </w:pPr>
      <w:r>
        <w:rPr>
          <w:rFonts w:hint="eastAsia"/>
        </w:rPr>
        <w:t>（1）向仲裁委员会申请仲裁；</w:t>
      </w:r>
    </w:p>
    <w:p>
      <w:pPr>
        <w:spacing w:line="360" w:lineRule="auto"/>
      </w:pPr>
      <w:r>
        <w:rPr>
          <w:rFonts w:hint="eastAsia"/>
        </w:rPr>
        <w:t>（2）向</w:t>
      </w:r>
      <w:r>
        <w:rPr>
          <w:rFonts w:hint="eastAsia"/>
          <w:u w:val="single"/>
        </w:rPr>
        <w:t xml:space="preserve"> 发包人所在地 </w:t>
      </w:r>
      <w:r>
        <w:rPr>
          <w:rFonts w:hint="eastAsia"/>
        </w:rPr>
        <w:t>人民法院起诉。</w:t>
      </w:r>
      <w:bookmarkEnd w:id="338"/>
      <w:bookmarkEnd w:id="339"/>
      <w:bookmarkEnd w:id="340"/>
      <w:bookmarkEnd w:id="341"/>
      <w:bookmarkEnd w:id="342"/>
      <w:bookmarkEnd w:id="343"/>
    </w:p>
    <w:p>
      <w:pPr>
        <w:spacing w:line="360" w:lineRule="auto"/>
      </w:pPr>
      <w:r>
        <w:rPr>
          <w:rFonts w:hint="eastAsia"/>
        </w:rPr>
        <w:t>补充条款：</w:t>
      </w:r>
    </w:p>
    <w:p>
      <w:pPr>
        <w:spacing w:line="360" w:lineRule="auto"/>
      </w:pPr>
      <w:r>
        <w:rPr>
          <w:rFonts w:hint="eastAsia"/>
        </w:rPr>
        <w:t>1、承包人需按所参选品牌供货。如遇品牌停产等不可抗力因素，需经发包人允许方可更换。</w:t>
      </w:r>
    </w:p>
    <w:p>
      <w:pPr>
        <w:spacing w:line="360" w:lineRule="auto"/>
      </w:pPr>
      <w:r>
        <w:rPr>
          <w:rFonts w:hint="eastAsia"/>
        </w:rPr>
        <w:t>附件</w:t>
      </w:r>
    </w:p>
    <w:p>
      <w:pPr>
        <w:spacing w:line="360" w:lineRule="auto"/>
      </w:pPr>
      <w:r>
        <w:rPr>
          <w:rFonts w:hint="eastAsia"/>
        </w:rPr>
        <w:t>协议书附件：</w:t>
      </w:r>
    </w:p>
    <w:p>
      <w:pPr>
        <w:spacing w:line="360" w:lineRule="auto"/>
      </w:pPr>
      <w:r>
        <w:rPr>
          <w:rFonts w:hint="eastAsia"/>
        </w:rPr>
        <w:t>附件1：承包人承揽工程项目一览表</w:t>
      </w:r>
    </w:p>
    <w:p>
      <w:pPr>
        <w:spacing w:line="360" w:lineRule="auto"/>
      </w:pPr>
      <w:r>
        <w:rPr>
          <w:rFonts w:hint="eastAsia"/>
        </w:rPr>
        <w:t>专用合同条款附件：</w:t>
      </w:r>
    </w:p>
    <w:p>
      <w:pPr>
        <w:spacing w:line="360" w:lineRule="auto"/>
      </w:pPr>
      <w:r>
        <w:rPr>
          <w:rFonts w:hint="eastAsia"/>
        </w:rPr>
        <w:t>附件2：发包人供应材料设备一览表</w:t>
      </w:r>
    </w:p>
    <w:p>
      <w:pPr>
        <w:spacing w:line="360" w:lineRule="auto"/>
      </w:pPr>
      <w:r>
        <w:rPr>
          <w:rFonts w:hint="eastAsia"/>
        </w:rPr>
        <w:t>附件3：工程质量保修书</w:t>
      </w:r>
    </w:p>
    <w:p>
      <w:pPr>
        <w:spacing w:line="360" w:lineRule="auto"/>
      </w:pPr>
      <w:r>
        <w:rPr>
          <w:rFonts w:hint="eastAsia"/>
        </w:rPr>
        <w:t>附件4：主要建设工程文件目录</w:t>
      </w:r>
    </w:p>
    <w:p>
      <w:pPr>
        <w:spacing w:line="360" w:lineRule="auto"/>
      </w:pPr>
      <w:r>
        <w:rPr>
          <w:rFonts w:hint="eastAsia"/>
        </w:rPr>
        <w:t>附件5：承包人用于本工程施工的机械设备表</w:t>
      </w:r>
    </w:p>
    <w:p>
      <w:pPr>
        <w:spacing w:line="360" w:lineRule="auto"/>
      </w:pPr>
      <w:r>
        <w:rPr>
          <w:rFonts w:hint="eastAsia"/>
        </w:rPr>
        <w:t>附件6：承包人主要施工管理人员表</w:t>
      </w:r>
    </w:p>
    <w:p>
      <w:pPr>
        <w:spacing w:line="360" w:lineRule="auto"/>
      </w:pPr>
      <w:r>
        <w:rPr>
          <w:rFonts w:hint="eastAsia"/>
        </w:rPr>
        <w:t>附件7：分包人主要施工管理人员表</w:t>
      </w:r>
    </w:p>
    <w:p>
      <w:pPr>
        <w:spacing w:line="360" w:lineRule="auto"/>
      </w:pPr>
      <w:r>
        <w:rPr>
          <w:rFonts w:hint="eastAsia"/>
        </w:rPr>
        <w:t>附件8：履约担保格式</w:t>
      </w:r>
    </w:p>
    <w:p>
      <w:pPr>
        <w:spacing w:line="360" w:lineRule="auto"/>
      </w:pPr>
      <w:r>
        <w:rPr>
          <w:rFonts w:hint="eastAsia"/>
        </w:rPr>
        <w:t>附件9：预付款担保格式</w:t>
      </w:r>
    </w:p>
    <w:p>
      <w:pPr>
        <w:spacing w:line="360" w:lineRule="auto"/>
      </w:pPr>
      <w:r>
        <w:rPr>
          <w:rFonts w:hint="eastAsia"/>
        </w:rPr>
        <w:t>附件10：支付担保格式</w:t>
      </w:r>
    </w:p>
    <w:p>
      <w:pPr>
        <w:spacing w:line="360" w:lineRule="auto"/>
      </w:pPr>
      <w:r>
        <w:rPr>
          <w:rFonts w:hint="eastAsia"/>
        </w:rPr>
        <w:t>附件11：暂估价一览表</w:t>
      </w:r>
    </w:p>
    <w:p>
      <w:r>
        <w:br w:type="page"/>
      </w:r>
      <w:bookmarkStart w:id="350" w:name="_Toc494291869"/>
      <w:r>
        <w:rPr>
          <w:rFonts w:hint="eastAsia"/>
        </w:rPr>
        <w:t>附件1：承包人承揽工程项目一览表</w:t>
      </w:r>
      <w:bookmarkEnd w:id="350"/>
    </w:p>
    <w:p>
      <w:pPr>
        <w:jc w:val="center"/>
      </w:pPr>
      <w:r>
        <w:rPr>
          <w:rFonts w:hint="eastAsia"/>
        </w:rPr>
        <w:t>承包人承揽工程项目一览表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31"/>
        <w:gridCol w:w="851"/>
        <w:gridCol w:w="1083"/>
        <w:gridCol w:w="835"/>
        <w:gridCol w:w="463"/>
        <w:gridCol w:w="917"/>
        <w:gridCol w:w="1605"/>
        <w:gridCol w:w="1021"/>
        <w:gridCol w:w="1036"/>
        <w:gridCol w:w="12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31" w:type="dxa"/>
            <w:tcBorders>
              <w:top w:val="single" w:color="auto" w:sz="12" w:space="0"/>
              <w:bottom w:val="double" w:color="auto" w:sz="6" w:space="0"/>
            </w:tcBorders>
            <w:vAlign w:val="center"/>
          </w:tcPr>
          <w:p>
            <w:r>
              <w:rPr>
                <w:rFonts w:hint="eastAsia"/>
              </w:rPr>
              <w:t>单位工程名称</w:t>
            </w:r>
          </w:p>
        </w:tc>
        <w:tc>
          <w:tcPr>
            <w:tcW w:w="851" w:type="dxa"/>
            <w:tcBorders>
              <w:top w:val="single" w:color="auto" w:sz="12" w:space="0"/>
              <w:bottom w:val="double" w:color="auto" w:sz="6" w:space="0"/>
            </w:tcBorders>
            <w:vAlign w:val="center"/>
          </w:tcPr>
          <w:p>
            <w:r>
              <w:rPr>
                <w:rFonts w:hint="eastAsia"/>
              </w:rPr>
              <w:t>建设规模</w:t>
            </w:r>
          </w:p>
        </w:tc>
        <w:tc>
          <w:tcPr>
            <w:tcW w:w="1083" w:type="dxa"/>
            <w:tcBorders>
              <w:top w:val="single" w:color="auto" w:sz="12" w:space="0"/>
              <w:bottom w:val="double" w:color="auto" w:sz="6" w:space="0"/>
            </w:tcBorders>
            <w:vAlign w:val="center"/>
          </w:tcPr>
          <w:p>
            <w:r>
              <w:rPr>
                <w:rFonts w:hint="eastAsia"/>
              </w:rPr>
              <w:t>建筑面积（平方米）</w:t>
            </w:r>
          </w:p>
        </w:tc>
        <w:tc>
          <w:tcPr>
            <w:tcW w:w="835" w:type="dxa"/>
            <w:tcBorders>
              <w:top w:val="single" w:color="auto" w:sz="12" w:space="0"/>
              <w:bottom w:val="double" w:color="auto" w:sz="6" w:space="0"/>
            </w:tcBorders>
            <w:vAlign w:val="center"/>
          </w:tcPr>
          <w:p>
            <w:r>
              <w:rPr>
                <w:rFonts w:hint="eastAsia"/>
              </w:rPr>
              <w:t>结构形式</w:t>
            </w:r>
          </w:p>
        </w:tc>
        <w:tc>
          <w:tcPr>
            <w:tcW w:w="463" w:type="dxa"/>
            <w:tcBorders>
              <w:top w:val="single" w:color="auto" w:sz="12" w:space="0"/>
              <w:bottom w:val="double" w:color="auto" w:sz="6" w:space="0"/>
            </w:tcBorders>
            <w:vAlign w:val="center"/>
          </w:tcPr>
          <w:p>
            <w:r>
              <w:rPr>
                <w:rFonts w:hint="eastAsia"/>
              </w:rPr>
              <w:t>层数</w:t>
            </w:r>
          </w:p>
        </w:tc>
        <w:tc>
          <w:tcPr>
            <w:tcW w:w="917" w:type="dxa"/>
            <w:tcBorders>
              <w:top w:val="single" w:color="auto" w:sz="12" w:space="0"/>
              <w:bottom w:val="double" w:color="auto" w:sz="6" w:space="0"/>
            </w:tcBorders>
            <w:vAlign w:val="center"/>
          </w:tcPr>
          <w:p>
            <w:r>
              <w:rPr>
                <w:rFonts w:hint="eastAsia"/>
              </w:rPr>
              <w:t>生产能力</w:t>
            </w:r>
          </w:p>
        </w:tc>
        <w:tc>
          <w:tcPr>
            <w:tcW w:w="1605" w:type="dxa"/>
            <w:tcBorders>
              <w:top w:val="single" w:color="auto" w:sz="12" w:space="0"/>
              <w:bottom w:val="double" w:color="auto" w:sz="6" w:space="0"/>
            </w:tcBorders>
            <w:vAlign w:val="center"/>
          </w:tcPr>
          <w:p>
            <w:r>
              <w:rPr>
                <w:rFonts w:hint="eastAsia"/>
              </w:rPr>
              <w:t>设备安装内容</w:t>
            </w:r>
          </w:p>
        </w:tc>
        <w:tc>
          <w:tcPr>
            <w:tcW w:w="1021" w:type="dxa"/>
            <w:tcBorders>
              <w:top w:val="single" w:color="auto" w:sz="12" w:space="0"/>
              <w:bottom w:val="double" w:color="auto" w:sz="6" w:space="0"/>
            </w:tcBorders>
            <w:vAlign w:val="center"/>
          </w:tcPr>
          <w:p>
            <w:r>
              <w:rPr>
                <w:rFonts w:hint="eastAsia"/>
              </w:rPr>
              <w:t>合同价格（元）</w:t>
            </w:r>
          </w:p>
        </w:tc>
        <w:tc>
          <w:tcPr>
            <w:tcW w:w="1036" w:type="dxa"/>
            <w:tcBorders>
              <w:top w:val="single" w:color="auto" w:sz="12" w:space="0"/>
              <w:bottom w:val="double" w:color="auto" w:sz="6" w:space="0"/>
            </w:tcBorders>
            <w:vAlign w:val="center"/>
          </w:tcPr>
          <w:p>
            <w:r>
              <w:rPr>
                <w:rFonts w:hint="eastAsia"/>
              </w:rPr>
              <w:t>开工日期</w:t>
            </w:r>
          </w:p>
        </w:tc>
        <w:tc>
          <w:tcPr>
            <w:tcW w:w="1291" w:type="dxa"/>
            <w:tcBorders>
              <w:top w:val="single" w:color="auto" w:sz="12" w:space="0"/>
              <w:bottom w:val="double" w:color="auto" w:sz="6" w:space="0"/>
            </w:tcBorders>
            <w:vAlign w:val="center"/>
          </w:tcPr>
          <w:p>
            <w:r>
              <w:rPr>
                <w:rFonts w:hint="eastAsia"/>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double" w:color="auto" w:sz="6" w:space="0"/>
            </w:tcBorders>
            <w:vAlign w:val="center"/>
          </w:tcPr>
          <w:p/>
        </w:tc>
        <w:tc>
          <w:tcPr>
            <w:tcW w:w="851" w:type="dxa"/>
            <w:tcBorders>
              <w:top w:val="double" w:color="auto" w:sz="6" w:space="0"/>
            </w:tcBorders>
            <w:vAlign w:val="center"/>
          </w:tcPr>
          <w:p/>
        </w:tc>
        <w:tc>
          <w:tcPr>
            <w:tcW w:w="1083" w:type="dxa"/>
            <w:tcBorders>
              <w:top w:val="double" w:color="auto" w:sz="6" w:space="0"/>
            </w:tcBorders>
            <w:vAlign w:val="center"/>
          </w:tcPr>
          <w:p/>
        </w:tc>
        <w:tc>
          <w:tcPr>
            <w:tcW w:w="835" w:type="dxa"/>
            <w:tcBorders>
              <w:top w:val="double" w:color="auto" w:sz="6" w:space="0"/>
            </w:tcBorders>
            <w:vAlign w:val="center"/>
          </w:tcPr>
          <w:p/>
        </w:tc>
        <w:tc>
          <w:tcPr>
            <w:tcW w:w="463" w:type="dxa"/>
            <w:tcBorders>
              <w:top w:val="double" w:color="auto" w:sz="6" w:space="0"/>
            </w:tcBorders>
            <w:vAlign w:val="center"/>
          </w:tcPr>
          <w:p/>
        </w:tc>
        <w:tc>
          <w:tcPr>
            <w:tcW w:w="917" w:type="dxa"/>
            <w:tcBorders>
              <w:top w:val="double" w:color="auto" w:sz="6" w:space="0"/>
            </w:tcBorders>
            <w:vAlign w:val="center"/>
          </w:tcPr>
          <w:p/>
        </w:tc>
        <w:tc>
          <w:tcPr>
            <w:tcW w:w="1605" w:type="dxa"/>
            <w:tcBorders>
              <w:top w:val="double" w:color="auto" w:sz="6" w:space="0"/>
            </w:tcBorders>
            <w:vAlign w:val="center"/>
          </w:tcPr>
          <w:p/>
        </w:tc>
        <w:tc>
          <w:tcPr>
            <w:tcW w:w="1021" w:type="dxa"/>
            <w:tcBorders>
              <w:top w:val="double" w:color="auto" w:sz="6" w:space="0"/>
            </w:tcBorders>
            <w:vAlign w:val="center"/>
          </w:tcPr>
          <w:p/>
        </w:tc>
        <w:tc>
          <w:tcPr>
            <w:tcW w:w="1036" w:type="dxa"/>
            <w:tcBorders>
              <w:top w:val="double" w:color="auto" w:sz="6" w:space="0"/>
            </w:tcBorders>
            <w:vAlign w:val="center"/>
          </w:tcPr>
          <w:p/>
        </w:tc>
        <w:tc>
          <w:tcPr>
            <w:tcW w:w="129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bottom w:val="single" w:color="auto" w:sz="12" w:space="0"/>
            </w:tcBorders>
            <w:vAlign w:val="center"/>
          </w:tcPr>
          <w:p/>
        </w:tc>
        <w:tc>
          <w:tcPr>
            <w:tcW w:w="851" w:type="dxa"/>
            <w:tcBorders>
              <w:top w:val="nil"/>
              <w:bottom w:val="single" w:color="auto" w:sz="12" w:space="0"/>
            </w:tcBorders>
            <w:vAlign w:val="center"/>
          </w:tcPr>
          <w:p/>
        </w:tc>
        <w:tc>
          <w:tcPr>
            <w:tcW w:w="1083" w:type="dxa"/>
            <w:tcBorders>
              <w:top w:val="nil"/>
              <w:bottom w:val="single" w:color="auto" w:sz="12" w:space="0"/>
            </w:tcBorders>
            <w:vAlign w:val="center"/>
          </w:tcPr>
          <w:p/>
        </w:tc>
        <w:tc>
          <w:tcPr>
            <w:tcW w:w="835" w:type="dxa"/>
            <w:tcBorders>
              <w:top w:val="nil"/>
              <w:bottom w:val="single" w:color="auto" w:sz="12" w:space="0"/>
            </w:tcBorders>
            <w:vAlign w:val="center"/>
          </w:tcPr>
          <w:p/>
        </w:tc>
        <w:tc>
          <w:tcPr>
            <w:tcW w:w="463" w:type="dxa"/>
            <w:tcBorders>
              <w:top w:val="nil"/>
              <w:bottom w:val="single" w:color="auto" w:sz="12" w:space="0"/>
            </w:tcBorders>
            <w:vAlign w:val="center"/>
          </w:tcPr>
          <w:p/>
        </w:tc>
        <w:tc>
          <w:tcPr>
            <w:tcW w:w="917" w:type="dxa"/>
            <w:tcBorders>
              <w:top w:val="nil"/>
              <w:bottom w:val="single" w:color="auto" w:sz="12" w:space="0"/>
            </w:tcBorders>
            <w:vAlign w:val="center"/>
          </w:tcPr>
          <w:p/>
        </w:tc>
        <w:tc>
          <w:tcPr>
            <w:tcW w:w="1605" w:type="dxa"/>
            <w:tcBorders>
              <w:top w:val="nil"/>
              <w:bottom w:val="single" w:color="auto" w:sz="12" w:space="0"/>
            </w:tcBorders>
            <w:vAlign w:val="center"/>
          </w:tcPr>
          <w:p/>
        </w:tc>
        <w:tc>
          <w:tcPr>
            <w:tcW w:w="1021" w:type="dxa"/>
            <w:tcBorders>
              <w:top w:val="nil"/>
              <w:bottom w:val="single" w:color="auto" w:sz="12" w:space="0"/>
            </w:tcBorders>
            <w:vAlign w:val="center"/>
          </w:tcPr>
          <w:p/>
        </w:tc>
        <w:tc>
          <w:tcPr>
            <w:tcW w:w="1036" w:type="dxa"/>
            <w:tcBorders>
              <w:top w:val="nil"/>
              <w:bottom w:val="single" w:color="auto" w:sz="12" w:space="0"/>
            </w:tcBorders>
            <w:vAlign w:val="center"/>
          </w:tcPr>
          <w:p/>
        </w:tc>
        <w:tc>
          <w:tcPr>
            <w:tcW w:w="1291" w:type="dxa"/>
            <w:tcBorders>
              <w:top w:val="nil"/>
              <w:bottom w:val="single" w:color="auto" w:sz="12" w:space="0"/>
            </w:tcBorders>
            <w:vAlign w:val="center"/>
          </w:tcPr>
          <w:p/>
        </w:tc>
      </w:tr>
    </w:tbl>
    <w:p>
      <w:pPr>
        <w:sectPr>
          <w:pgSz w:w="11906" w:h="16838"/>
          <w:pgMar w:top="1418" w:right="1554" w:bottom="1418" w:left="1531" w:header="851" w:footer="992" w:gutter="0"/>
          <w:cols w:space="720" w:num="1"/>
          <w:titlePg/>
          <w:docGrid w:type="linesAndChars" w:linePitch="312" w:charSpace="0"/>
        </w:sectPr>
      </w:pPr>
    </w:p>
    <w:p>
      <w:bookmarkStart w:id="351" w:name="_Toc494291870"/>
      <w:r>
        <w:rPr>
          <w:rFonts w:hint="eastAsia"/>
        </w:rPr>
        <w:t>附</w:t>
      </w:r>
      <w:bookmarkStart w:id="352" w:name="_Toc267261692"/>
      <w:bookmarkStart w:id="353" w:name="_Toc296944564"/>
      <w:bookmarkStart w:id="354" w:name="_Toc296891053"/>
      <w:bookmarkStart w:id="355" w:name="_Toc296503225"/>
      <w:bookmarkStart w:id="356" w:name="_Toc296347224"/>
      <w:bookmarkStart w:id="357" w:name="_Toc296891265"/>
      <w:bookmarkStart w:id="358" w:name="_Toc296346726"/>
      <w:r>
        <w:rPr>
          <w:rFonts w:hint="eastAsia"/>
        </w:rPr>
        <w:t>件2：发包人供应材料设备一览表</w:t>
      </w:r>
      <w:bookmarkEnd w:id="351"/>
    </w:p>
    <w:bookmarkEnd w:id="352"/>
    <w:bookmarkEnd w:id="353"/>
    <w:bookmarkEnd w:id="354"/>
    <w:bookmarkEnd w:id="355"/>
    <w:bookmarkEnd w:id="356"/>
    <w:bookmarkEnd w:id="357"/>
    <w:bookmarkEnd w:id="358"/>
    <w:p>
      <w:pPr>
        <w:jc w:val="center"/>
      </w:pPr>
      <w:r>
        <w:rPr>
          <w:rFonts w:hint="eastAsia"/>
        </w:rPr>
        <w:t>发包人供应材料设备一览表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6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r>
              <w:rPr>
                <w:rFonts w:hint="eastAsia"/>
              </w:rPr>
              <w:t>序号</w:t>
            </w:r>
          </w:p>
        </w:tc>
        <w:tc>
          <w:tcPr>
            <w:tcW w:w="1276" w:type="dxa"/>
            <w:tcBorders>
              <w:top w:val="single" w:color="auto" w:sz="12" w:space="0"/>
              <w:bottom w:val="double" w:color="auto" w:sz="6" w:space="0"/>
            </w:tcBorders>
            <w:vAlign w:val="center"/>
          </w:tcPr>
          <w:p>
            <w:r>
              <w:rPr>
                <w:rFonts w:hint="eastAsia"/>
              </w:rPr>
              <w:t>材料、</w:t>
            </w:r>
          </w:p>
          <w:p>
            <w:r>
              <w:rPr>
                <w:rFonts w:hint="eastAsia"/>
              </w:rPr>
              <w:t>设备品种</w:t>
            </w:r>
          </w:p>
        </w:tc>
        <w:tc>
          <w:tcPr>
            <w:tcW w:w="1418" w:type="dxa"/>
            <w:tcBorders>
              <w:top w:val="single" w:color="auto" w:sz="12" w:space="0"/>
              <w:bottom w:val="double" w:color="auto" w:sz="6" w:space="0"/>
            </w:tcBorders>
            <w:vAlign w:val="center"/>
          </w:tcPr>
          <w:p>
            <w:r>
              <w:rPr>
                <w:rFonts w:hint="eastAsia"/>
              </w:rPr>
              <w:t>规格型号</w:t>
            </w:r>
          </w:p>
        </w:tc>
        <w:tc>
          <w:tcPr>
            <w:tcW w:w="940" w:type="dxa"/>
            <w:tcBorders>
              <w:top w:val="single" w:color="auto" w:sz="12" w:space="0"/>
              <w:bottom w:val="double" w:color="auto" w:sz="6" w:space="0"/>
            </w:tcBorders>
            <w:vAlign w:val="center"/>
          </w:tcPr>
          <w:p>
            <w:r>
              <w:rPr>
                <w:rFonts w:hint="eastAsia"/>
              </w:rPr>
              <w:t>单位</w:t>
            </w:r>
          </w:p>
        </w:tc>
        <w:tc>
          <w:tcPr>
            <w:tcW w:w="851" w:type="dxa"/>
            <w:tcBorders>
              <w:top w:val="single" w:color="auto" w:sz="12" w:space="0"/>
              <w:bottom w:val="double" w:color="auto" w:sz="6" w:space="0"/>
            </w:tcBorders>
            <w:vAlign w:val="center"/>
          </w:tcPr>
          <w:p>
            <w:r>
              <w:rPr>
                <w:rFonts w:hint="eastAsia"/>
              </w:rPr>
              <w:t>数量</w:t>
            </w:r>
          </w:p>
        </w:tc>
        <w:tc>
          <w:tcPr>
            <w:tcW w:w="1044" w:type="dxa"/>
            <w:tcBorders>
              <w:top w:val="single" w:color="auto" w:sz="12" w:space="0"/>
              <w:bottom w:val="double" w:color="auto" w:sz="6" w:space="0"/>
            </w:tcBorders>
            <w:vAlign w:val="center"/>
          </w:tcPr>
          <w:p>
            <w:r>
              <w:rPr>
                <w:rFonts w:hint="eastAsia"/>
              </w:rPr>
              <w:t>单价（元）</w:t>
            </w:r>
          </w:p>
        </w:tc>
        <w:tc>
          <w:tcPr>
            <w:tcW w:w="992" w:type="dxa"/>
            <w:tcBorders>
              <w:top w:val="single" w:color="auto" w:sz="12" w:space="0"/>
              <w:bottom w:val="double" w:color="auto" w:sz="6" w:space="0"/>
            </w:tcBorders>
            <w:vAlign w:val="center"/>
          </w:tcPr>
          <w:p>
            <w:r>
              <w:rPr>
                <w:rFonts w:hint="eastAsia"/>
              </w:rPr>
              <w:t>质量等级</w:t>
            </w:r>
          </w:p>
        </w:tc>
        <w:tc>
          <w:tcPr>
            <w:tcW w:w="851" w:type="dxa"/>
            <w:tcBorders>
              <w:top w:val="single" w:color="auto" w:sz="12" w:space="0"/>
              <w:bottom w:val="double" w:color="auto" w:sz="6" w:space="0"/>
            </w:tcBorders>
            <w:vAlign w:val="center"/>
          </w:tcPr>
          <w:p>
            <w:r>
              <w:rPr>
                <w:rFonts w:hint="eastAsia"/>
              </w:rPr>
              <w:t>供应时间</w:t>
            </w:r>
          </w:p>
        </w:tc>
        <w:tc>
          <w:tcPr>
            <w:tcW w:w="1487" w:type="dxa"/>
            <w:tcBorders>
              <w:top w:val="single" w:color="auto" w:sz="12" w:space="0"/>
              <w:bottom w:val="double" w:color="auto" w:sz="6" w:space="0"/>
            </w:tcBorders>
            <w:vAlign w:val="center"/>
          </w:tcPr>
          <w:p>
            <w:r>
              <w:rPr>
                <w:rFonts w:hint="eastAsia"/>
              </w:rPr>
              <w:t>送达地点</w:t>
            </w:r>
          </w:p>
        </w:tc>
        <w:tc>
          <w:tcPr>
            <w:tcW w:w="604"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tcBorders>
            <w:vAlign w:val="center"/>
          </w:tcPr>
          <w:p/>
        </w:tc>
        <w:tc>
          <w:tcPr>
            <w:tcW w:w="1276" w:type="dxa"/>
            <w:tcBorders>
              <w:top w:val="double" w:color="auto" w:sz="6" w:space="0"/>
            </w:tcBorders>
            <w:vAlign w:val="center"/>
          </w:tcPr>
          <w:p/>
        </w:tc>
        <w:tc>
          <w:tcPr>
            <w:tcW w:w="1418" w:type="dxa"/>
            <w:tcBorders>
              <w:top w:val="double" w:color="auto" w:sz="6" w:space="0"/>
            </w:tcBorders>
            <w:vAlign w:val="center"/>
          </w:tcPr>
          <w:p/>
        </w:tc>
        <w:tc>
          <w:tcPr>
            <w:tcW w:w="940" w:type="dxa"/>
            <w:tcBorders>
              <w:top w:val="double" w:color="auto" w:sz="6" w:space="0"/>
            </w:tcBorders>
            <w:vAlign w:val="center"/>
          </w:tcPr>
          <w:p/>
        </w:tc>
        <w:tc>
          <w:tcPr>
            <w:tcW w:w="851" w:type="dxa"/>
            <w:tcBorders>
              <w:top w:val="double" w:color="auto" w:sz="6" w:space="0"/>
            </w:tcBorders>
            <w:vAlign w:val="center"/>
          </w:tcPr>
          <w:p/>
        </w:tc>
        <w:tc>
          <w:tcPr>
            <w:tcW w:w="1044" w:type="dxa"/>
            <w:tcBorders>
              <w:top w:val="double" w:color="auto" w:sz="6" w:space="0"/>
            </w:tcBorders>
            <w:vAlign w:val="center"/>
          </w:tcPr>
          <w:p/>
        </w:tc>
        <w:tc>
          <w:tcPr>
            <w:tcW w:w="992" w:type="dxa"/>
            <w:tcBorders>
              <w:top w:val="double" w:color="auto" w:sz="6" w:space="0"/>
            </w:tcBorders>
            <w:vAlign w:val="center"/>
          </w:tcPr>
          <w:p/>
        </w:tc>
        <w:tc>
          <w:tcPr>
            <w:tcW w:w="851" w:type="dxa"/>
            <w:tcBorders>
              <w:top w:val="double" w:color="auto" w:sz="6" w:space="0"/>
            </w:tcBorders>
            <w:vAlign w:val="center"/>
          </w:tcPr>
          <w:p/>
        </w:tc>
        <w:tc>
          <w:tcPr>
            <w:tcW w:w="1487" w:type="dxa"/>
            <w:tcBorders>
              <w:top w:val="double" w:color="auto" w:sz="6" w:space="0"/>
            </w:tcBorders>
            <w:vAlign w:val="center"/>
          </w:tcPr>
          <w:p/>
        </w:tc>
        <w:tc>
          <w:tcPr>
            <w:tcW w:w="604"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tc>
        <w:tc>
          <w:tcPr>
            <w:tcW w:w="1276" w:type="dxa"/>
            <w:tcBorders>
              <w:top w:val="nil"/>
            </w:tcBorders>
            <w:vAlign w:val="center"/>
          </w:tcPr>
          <w:p/>
        </w:tc>
        <w:tc>
          <w:tcPr>
            <w:tcW w:w="1418" w:type="dxa"/>
            <w:tcBorders>
              <w:top w:val="nil"/>
            </w:tcBorders>
            <w:vAlign w:val="center"/>
          </w:tcPr>
          <w:p/>
        </w:tc>
        <w:tc>
          <w:tcPr>
            <w:tcW w:w="940" w:type="dxa"/>
            <w:tcBorders>
              <w:top w:val="nil"/>
            </w:tcBorders>
            <w:vAlign w:val="center"/>
          </w:tcPr>
          <w:p/>
        </w:tc>
        <w:tc>
          <w:tcPr>
            <w:tcW w:w="851" w:type="dxa"/>
            <w:tcBorders>
              <w:top w:val="nil"/>
            </w:tcBorders>
            <w:vAlign w:val="center"/>
          </w:tcPr>
          <w:p/>
        </w:tc>
        <w:tc>
          <w:tcPr>
            <w:tcW w:w="1044" w:type="dxa"/>
            <w:tcBorders>
              <w:top w:val="nil"/>
            </w:tcBorders>
            <w:vAlign w:val="center"/>
          </w:tcPr>
          <w:p/>
        </w:tc>
        <w:tc>
          <w:tcPr>
            <w:tcW w:w="992" w:type="dxa"/>
            <w:tcBorders>
              <w:top w:val="nil"/>
            </w:tcBorders>
            <w:vAlign w:val="center"/>
          </w:tcPr>
          <w:p/>
        </w:tc>
        <w:tc>
          <w:tcPr>
            <w:tcW w:w="851" w:type="dxa"/>
            <w:tcBorders>
              <w:top w:val="nil"/>
            </w:tcBorders>
            <w:vAlign w:val="center"/>
          </w:tcPr>
          <w:p/>
        </w:tc>
        <w:tc>
          <w:tcPr>
            <w:tcW w:w="1487" w:type="dxa"/>
            <w:tcBorders>
              <w:top w:val="nil"/>
            </w:tcBorders>
            <w:vAlign w:val="center"/>
          </w:tcPr>
          <w:p/>
        </w:tc>
        <w:tc>
          <w:tcPr>
            <w:tcW w:w="604"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bottom w:val="single" w:color="auto" w:sz="12" w:space="0"/>
            </w:tcBorders>
            <w:vAlign w:val="center"/>
          </w:tcPr>
          <w:p/>
        </w:tc>
        <w:tc>
          <w:tcPr>
            <w:tcW w:w="1276" w:type="dxa"/>
            <w:tcBorders>
              <w:bottom w:val="single" w:color="auto" w:sz="12" w:space="0"/>
            </w:tcBorders>
            <w:vAlign w:val="center"/>
          </w:tcPr>
          <w:p/>
        </w:tc>
        <w:tc>
          <w:tcPr>
            <w:tcW w:w="1418" w:type="dxa"/>
            <w:tcBorders>
              <w:bottom w:val="single" w:color="auto" w:sz="12" w:space="0"/>
            </w:tcBorders>
            <w:vAlign w:val="center"/>
          </w:tcPr>
          <w:p/>
        </w:tc>
        <w:tc>
          <w:tcPr>
            <w:tcW w:w="940" w:type="dxa"/>
            <w:tcBorders>
              <w:bottom w:val="single" w:color="auto" w:sz="12" w:space="0"/>
            </w:tcBorders>
            <w:vAlign w:val="center"/>
          </w:tcPr>
          <w:p/>
        </w:tc>
        <w:tc>
          <w:tcPr>
            <w:tcW w:w="851" w:type="dxa"/>
            <w:tcBorders>
              <w:bottom w:val="single" w:color="auto" w:sz="12" w:space="0"/>
            </w:tcBorders>
            <w:vAlign w:val="center"/>
          </w:tcPr>
          <w:p/>
        </w:tc>
        <w:tc>
          <w:tcPr>
            <w:tcW w:w="1044" w:type="dxa"/>
            <w:tcBorders>
              <w:bottom w:val="single" w:color="auto" w:sz="12" w:space="0"/>
            </w:tcBorders>
            <w:vAlign w:val="center"/>
          </w:tcPr>
          <w:p/>
        </w:tc>
        <w:tc>
          <w:tcPr>
            <w:tcW w:w="992" w:type="dxa"/>
            <w:tcBorders>
              <w:bottom w:val="single" w:color="auto" w:sz="12" w:space="0"/>
            </w:tcBorders>
            <w:vAlign w:val="center"/>
          </w:tcPr>
          <w:p/>
        </w:tc>
        <w:tc>
          <w:tcPr>
            <w:tcW w:w="851" w:type="dxa"/>
            <w:tcBorders>
              <w:bottom w:val="single" w:color="auto" w:sz="12" w:space="0"/>
            </w:tcBorders>
            <w:vAlign w:val="center"/>
          </w:tcPr>
          <w:p/>
        </w:tc>
        <w:tc>
          <w:tcPr>
            <w:tcW w:w="1487" w:type="dxa"/>
            <w:tcBorders>
              <w:bottom w:val="single" w:color="auto" w:sz="12" w:space="0"/>
            </w:tcBorders>
            <w:vAlign w:val="center"/>
          </w:tcPr>
          <w:p/>
        </w:tc>
        <w:tc>
          <w:tcPr>
            <w:tcW w:w="604" w:type="dxa"/>
            <w:tcBorders>
              <w:bottom w:val="single" w:color="auto" w:sz="12" w:space="0"/>
            </w:tcBorders>
            <w:vAlign w:val="center"/>
          </w:tcPr>
          <w:p/>
        </w:tc>
      </w:tr>
    </w:tbl>
    <w:p/>
    <w:p>
      <w:r>
        <w:rPr>
          <w:rFonts w:hint="eastAsia"/>
        </w:rPr>
        <w:br w:type="page"/>
      </w:r>
      <w:bookmarkStart w:id="359" w:name="_Toc494291871"/>
      <w:r>
        <w:rPr>
          <w:rFonts w:hint="eastAsia"/>
        </w:rPr>
        <w:t>附</w:t>
      </w:r>
      <w:bookmarkStart w:id="360" w:name="_Toc296891266"/>
      <w:bookmarkStart w:id="361" w:name="_Toc296891054"/>
      <w:bookmarkStart w:id="362" w:name="_Toc267261693"/>
      <w:bookmarkStart w:id="363" w:name="_Toc296944565"/>
      <w:bookmarkStart w:id="364" w:name="_Toc296503226"/>
      <w:bookmarkStart w:id="365" w:name="_Toc296346727"/>
      <w:bookmarkStart w:id="366" w:name="_Toc296347225"/>
      <w:r>
        <w:rPr>
          <w:rFonts w:hint="eastAsia"/>
        </w:rPr>
        <w:t>件3：</w:t>
      </w:r>
      <w:bookmarkEnd w:id="360"/>
      <w:bookmarkEnd w:id="361"/>
      <w:bookmarkEnd w:id="362"/>
      <w:bookmarkEnd w:id="363"/>
      <w:bookmarkEnd w:id="364"/>
      <w:bookmarkEnd w:id="365"/>
      <w:bookmarkEnd w:id="366"/>
      <w:r>
        <w:rPr>
          <w:rFonts w:hint="eastAsia"/>
        </w:rPr>
        <w:t>工程质量保修书</w:t>
      </w:r>
      <w:bookmarkEnd w:id="359"/>
    </w:p>
    <w:p>
      <w:pPr>
        <w:jc w:val="center"/>
      </w:pPr>
      <w:r>
        <w:rPr>
          <w:rFonts w:hint="eastAsia"/>
        </w:rPr>
        <w:t>工程质量保修书</w:t>
      </w:r>
    </w:p>
    <w:p>
      <w:r>
        <w:rPr>
          <w:rFonts w:hint="eastAsia"/>
        </w:rPr>
        <w:t>发包人（全称）：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省苏舜集团</w:t>
      </w:r>
      <w:r>
        <w:rPr>
          <w:rFonts w:hint="eastAsia" w:ascii="仿宋" w:hAnsi="仿宋" w:eastAsia="仿宋" w:cs="Arial"/>
          <w:sz w:val="24"/>
          <w:szCs w:val="24"/>
          <w:u w:val="single"/>
        </w:rPr>
        <w:t>有限公司</w:t>
      </w:r>
    </w:p>
    <w:p>
      <w:r>
        <w:rPr>
          <w:rFonts w:hint="eastAsia"/>
        </w:rPr>
        <w:t>　　承包人（全称）：</w:t>
      </w:r>
    </w:p>
    <w:p>
      <w:r>
        <w:rPr>
          <w:rFonts w:hint="eastAsia"/>
        </w:rPr>
        <w:t>　　发包人和承包人根据《中华人民共和国建筑法》和《建设工程质量管理条例》，经协商一致就                            （工程全称）签订工程质量保修书。</w:t>
      </w:r>
    </w:p>
    <w:p>
      <w:r>
        <w:rPr>
          <w:rFonts w:hint="eastAsia"/>
        </w:rPr>
        <w:t>　　一、工程质量保修范围和内容</w:t>
      </w:r>
    </w:p>
    <w:p>
      <w:r>
        <w:rPr>
          <w:rFonts w:hint="eastAsia"/>
        </w:rPr>
        <w:t>　　承包人在质量保修期内，按照有关法律规定和合同约定，承担工程质量保修责任。</w:t>
      </w:r>
    </w:p>
    <w:p>
      <w:r>
        <w:rPr>
          <w:rFonts w:hint="eastAsia"/>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工程量清单及施工图纸所示全部内容。</w:t>
      </w:r>
    </w:p>
    <w:p>
      <w:r>
        <w:rPr>
          <w:rFonts w:hint="eastAsia"/>
        </w:rPr>
        <w:t>　　二、质量保修期</w:t>
      </w:r>
    </w:p>
    <w:p>
      <w:r>
        <w:rPr>
          <w:rFonts w:hint="eastAsia"/>
        </w:rPr>
        <w:t>根据《建设工程质量管理条例》及有关规定，工程的质量保修期如下：</w:t>
      </w:r>
    </w:p>
    <w:p>
      <w:r>
        <w:rPr>
          <w:rFonts w:hint="eastAsia"/>
        </w:rPr>
        <w:t>1.地基基础工程和主体结构工程为设计文件规定的工程合理使用年限；</w:t>
      </w:r>
    </w:p>
    <w:p>
      <w:r>
        <w:rPr>
          <w:rFonts w:hint="eastAsia"/>
        </w:rPr>
        <w:t>2.屋面防水工程、有防水要求的卫生间、房间和外墙面的防渗为5 年；</w:t>
      </w:r>
    </w:p>
    <w:p>
      <w:r>
        <w:rPr>
          <w:rFonts w:hint="eastAsia"/>
        </w:rPr>
        <w:t>3.装修工程为 2  年；</w:t>
      </w:r>
    </w:p>
    <w:p>
      <w:r>
        <w:rPr>
          <w:rFonts w:hint="eastAsia"/>
        </w:rPr>
        <w:t>4.电气管线、给排水管道、设备安装工程为  2  年；</w:t>
      </w:r>
    </w:p>
    <w:p>
      <w:r>
        <w:rPr>
          <w:rFonts w:hint="eastAsia"/>
        </w:rPr>
        <w:t>5.供热与供冷系统为2个采暖期、供冷期；</w:t>
      </w:r>
    </w:p>
    <w:p>
      <w:r>
        <w:rPr>
          <w:rFonts w:hint="eastAsia"/>
        </w:rPr>
        <w:t>6.住宅小区内的给排水设施、道路等配套工程为2年；</w:t>
      </w:r>
    </w:p>
    <w:p>
      <w:r>
        <w:rPr>
          <w:rFonts w:hint="eastAsia"/>
        </w:rPr>
        <w:t>7.其他项目保修期限约定如下：/ 。</w:t>
      </w:r>
    </w:p>
    <w:p>
      <w:r>
        <w:rPr>
          <w:rFonts w:hint="eastAsia"/>
        </w:rPr>
        <w:t>　　质量保修期自工程竣工验收合格之日起计算。</w:t>
      </w:r>
    </w:p>
    <w:p>
      <w:r>
        <w:rPr>
          <w:rFonts w:hint="eastAsia"/>
        </w:rPr>
        <w:t>三、缺陷责任期</w:t>
      </w:r>
    </w:p>
    <w:p>
      <w:r>
        <w:rPr>
          <w:rFonts w:hint="eastAsia"/>
        </w:rPr>
        <w:t>工程缺陷责任期为24个月，缺陷责任期自工程通过竣工验收之日起计算。单位工程先于全部工程进行验收，单位工程缺陷责任期自单位工程通过竣工验收合格之日起算。</w:t>
      </w:r>
    </w:p>
    <w:p>
      <w:r>
        <w:rPr>
          <w:rFonts w:hint="eastAsia"/>
        </w:rPr>
        <w:t>缺陷责任期终止后，发包人应退还剩余的质量保证金。</w:t>
      </w:r>
    </w:p>
    <w:p>
      <w:r>
        <w:rPr>
          <w:rFonts w:hint="eastAsia"/>
        </w:rPr>
        <w:t xml:space="preserve">    四、质量保修责任</w:t>
      </w:r>
    </w:p>
    <w:p>
      <w:r>
        <w:rPr>
          <w:rFonts w:hint="eastAsia"/>
        </w:rPr>
        <w:t>1.属于保修范围、内容的项目，承包人应当在接到保修通知之日起7天内派人保修。承包人不在约定期限内派人保修的，发包人可以委托他人修理，保修费用从质量保修金内扣除。</w:t>
      </w:r>
    </w:p>
    <w:p>
      <w:r>
        <w:rPr>
          <w:rFonts w:hint="eastAsia"/>
        </w:rPr>
        <w:t>2.发生紧急事故需抢修的，承包人在接到事故通知后，应当立即到达事故现场抢修。</w:t>
      </w:r>
    </w:p>
    <w:p>
      <w:r>
        <w:rPr>
          <w:rFonts w:hint="eastAsi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
        <w:rPr>
          <w:rFonts w:hint="eastAsia"/>
        </w:rPr>
        <w:t>4.质量保修完成后，由发包人组织验收。</w:t>
      </w:r>
    </w:p>
    <w:p>
      <w:r>
        <w:rPr>
          <w:rFonts w:hint="eastAsia"/>
        </w:rPr>
        <w:t>　　五、保修费用</w:t>
      </w:r>
    </w:p>
    <w:p>
      <w:r>
        <w:rPr>
          <w:rFonts w:hint="eastAsia"/>
        </w:rPr>
        <w:t>　　保修费用由造成质量缺陷的责任方承担。</w:t>
      </w:r>
    </w:p>
    <w:p>
      <w:r>
        <w:rPr>
          <w:rFonts w:hint="eastAsia"/>
        </w:rPr>
        <w:t>六、双方约定的其他工程质量保修事项：</w:t>
      </w:r>
    </w:p>
    <w:p>
      <w:r>
        <w:rPr>
          <w:rFonts w:hint="eastAsia"/>
        </w:rPr>
        <w:t>（1）承包人在竣工交付后落实专人负责向发包人办理交付手续，在保修期内承包人明确专人服务。承包人在竣工交付的同时以公函形式明确人员、联系方法、通讯地址，在保修期内如有变化，承包人应以公函形式告知发包人，联系不上、保修函被退回的情况均视为已通知到承包人，发包人可按4.1条款的约定执行。</w:t>
      </w:r>
    </w:p>
    <w:p>
      <w:r>
        <w:rPr>
          <w:rFonts w:hint="eastAsia"/>
        </w:rPr>
        <w:t xml:space="preserve">（2）如因承包人的责任，造成直接或间接损失，由承包人负责赔偿，费用从质保金中扣除。   </w:t>
      </w:r>
    </w:p>
    <w:p/>
    <w:p>
      <w:r>
        <w:rPr>
          <w:rFonts w:hint="eastAsia"/>
        </w:rPr>
        <w:t>工程质量保修书由发包人、承包人在工程竣工验收前共同签署，作为施工合同附件，其有效期限至保修期满。</w:t>
      </w:r>
    </w:p>
    <w:p/>
    <w:p>
      <w:r>
        <w:rPr>
          <w:rFonts w:hint="eastAsia"/>
        </w:rPr>
        <w:t>发包人（公章）：                                   承包人（公章）：</w:t>
      </w:r>
    </w:p>
    <w:p>
      <w:r>
        <w:rPr>
          <w:rFonts w:hint="eastAsia"/>
        </w:rPr>
        <w:t>地  址：                                          地  址：</w:t>
      </w:r>
    </w:p>
    <w:p>
      <w:r>
        <w:rPr>
          <w:rFonts w:hint="eastAsia"/>
        </w:rPr>
        <w:t>法定代表人（签字）：                               法定代表人（签字）：</w:t>
      </w:r>
    </w:p>
    <w:p>
      <w:r>
        <w:rPr>
          <w:rFonts w:hint="eastAsia"/>
        </w:rPr>
        <w:t>委托代理人（签字）：                               委托代理人（签字）：</w:t>
      </w:r>
    </w:p>
    <w:p>
      <w:r>
        <w:rPr>
          <w:rFonts w:hint="eastAsia"/>
        </w:rPr>
        <w:t>电  话：                                          电  话：</w:t>
      </w:r>
    </w:p>
    <w:p>
      <w:r>
        <w:rPr>
          <w:rFonts w:hint="eastAsia"/>
        </w:rPr>
        <w:t>传  真：                                          传  真：</w:t>
      </w:r>
    </w:p>
    <w:p>
      <w:r>
        <w:rPr>
          <w:rFonts w:hint="eastAsia"/>
        </w:rPr>
        <w:t>开户银行：                                        开户银行：</w:t>
      </w:r>
    </w:p>
    <w:p>
      <w:r>
        <w:rPr>
          <w:rFonts w:hint="eastAsia"/>
        </w:rPr>
        <w:t>账  号：                                          账  号：</w:t>
      </w:r>
    </w:p>
    <w:p>
      <w:r>
        <w:rPr>
          <w:rFonts w:hint="eastAsia"/>
        </w:rPr>
        <w:t>邮政编码：                                        邮政编码：</w:t>
      </w:r>
    </w:p>
    <w:p>
      <w:r>
        <w:rPr>
          <w:rFonts w:hint="eastAsia"/>
        </w:rPr>
        <w:br w:type="page"/>
      </w:r>
      <w:bookmarkStart w:id="367" w:name="_Toc494291872"/>
      <w:r>
        <w:rPr>
          <w:rFonts w:hint="eastAsia"/>
        </w:rPr>
        <w:t>附件4：主要建设工程文件目录</w:t>
      </w:r>
      <w:bookmarkEnd w:id="367"/>
    </w:p>
    <w:p>
      <w:pPr>
        <w:jc w:val="center"/>
      </w:pPr>
      <w:r>
        <w:rPr>
          <w:rFonts w:hint="eastAsia"/>
        </w:rPr>
        <w:t>主要建设工程文件目录</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r>
              <w:rPr>
                <w:rFonts w:hint="eastAsia"/>
              </w:rPr>
              <w:t>文件名称</w:t>
            </w:r>
          </w:p>
        </w:tc>
        <w:tc>
          <w:tcPr>
            <w:tcW w:w="1276" w:type="dxa"/>
            <w:tcBorders>
              <w:top w:val="single" w:color="auto" w:sz="12" w:space="0"/>
              <w:bottom w:val="double" w:color="auto" w:sz="6" w:space="0"/>
            </w:tcBorders>
            <w:vAlign w:val="center"/>
          </w:tcPr>
          <w:p>
            <w:r>
              <w:rPr>
                <w:rFonts w:hint="eastAsia"/>
              </w:rPr>
              <w:t>套数</w:t>
            </w:r>
          </w:p>
        </w:tc>
        <w:tc>
          <w:tcPr>
            <w:tcW w:w="1450" w:type="dxa"/>
            <w:tcBorders>
              <w:top w:val="single" w:color="auto" w:sz="12" w:space="0"/>
              <w:bottom w:val="double" w:color="auto" w:sz="6" w:space="0"/>
            </w:tcBorders>
            <w:vAlign w:val="center"/>
          </w:tcPr>
          <w:p>
            <w:r>
              <w:rPr>
                <w:rFonts w:hint="eastAsia"/>
              </w:rPr>
              <w:t>费用（元）</w:t>
            </w:r>
          </w:p>
        </w:tc>
        <w:tc>
          <w:tcPr>
            <w:tcW w:w="1243" w:type="dxa"/>
            <w:tcBorders>
              <w:top w:val="single" w:color="auto" w:sz="12" w:space="0"/>
              <w:bottom w:val="double" w:color="auto" w:sz="6" w:space="0"/>
            </w:tcBorders>
            <w:vAlign w:val="center"/>
          </w:tcPr>
          <w:p>
            <w:r>
              <w:rPr>
                <w:rFonts w:hint="eastAsia"/>
              </w:rPr>
              <w:t>质量</w:t>
            </w:r>
          </w:p>
        </w:tc>
        <w:tc>
          <w:tcPr>
            <w:tcW w:w="1450" w:type="dxa"/>
            <w:tcBorders>
              <w:top w:val="single" w:color="auto" w:sz="12" w:space="0"/>
              <w:bottom w:val="double" w:color="auto" w:sz="6" w:space="0"/>
            </w:tcBorders>
          </w:tcPr>
          <w:p>
            <w:r>
              <w:rPr>
                <w:rFonts w:hint="eastAsia"/>
              </w:rPr>
              <w:t>移交时间</w:t>
            </w:r>
          </w:p>
        </w:tc>
        <w:tc>
          <w:tcPr>
            <w:tcW w:w="1667" w:type="dxa"/>
            <w:tcBorders>
              <w:top w:val="single" w:color="auto" w:sz="12" w:space="0"/>
              <w:bottom w:val="double" w:color="auto" w:sz="6" w:space="0"/>
            </w:tcBorders>
          </w:tcPr>
          <w:p>
            <w:r>
              <w:rPr>
                <w:rFonts w:hint="eastAsia"/>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tcBorders>
            <w:vAlign w:val="center"/>
          </w:tcPr>
          <w:p/>
        </w:tc>
        <w:tc>
          <w:tcPr>
            <w:tcW w:w="1276" w:type="dxa"/>
            <w:tcBorders>
              <w:top w:val="double" w:color="auto" w:sz="6" w:space="0"/>
            </w:tcBorders>
            <w:vAlign w:val="center"/>
          </w:tcPr>
          <w:p/>
        </w:tc>
        <w:tc>
          <w:tcPr>
            <w:tcW w:w="1450" w:type="dxa"/>
            <w:tcBorders>
              <w:top w:val="double" w:color="auto" w:sz="6" w:space="0"/>
            </w:tcBorders>
            <w:vAlign w:val="center"/>
          </w:tcPr>
          <w:p/>
        </w:tc>
        <w:tc>
          <w:tcPr>
            <w:tcW w:w="1243" w:type="dxa"/>
            <w:tcBorders>
              <w:top w:val="double" w:color="auto" w:sz="6" w:space="0"/>
            </w:tcBorders>
            <w:vAlign w:val="center"/>
          </w:tcPr>
          <w:p/>
        </w:tc>
        <w:tc>
          <w:tcPr>
            <w:tcW w:w="1450" w:type="dxa"/>
            <w:tcBorders>
              <w:top w:val="double" w:color="auto" w:sz="6" w:space="0"/>
            </w:tcBorders>
            <w:vAlign w:val="center"/>
          </w:tcPr>
          <w:p/>
        </w:tc>
        <w:tc>
          <w:tcPr>
            <w:tcW w:w="1667"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tc>
        <w:tc>
          <w:tcPr>
            <w:tcW w:w="1276" w:type="dxa"/>
            <w:tcBorders>
              <w:top w:val="nil"/>
            </w:tcBorders>
            <w:vAlign w:val="center"/>
          </w:tcPr>
          <w:p/>
        </w:tc>
        <w:tc>
          <w:tcPr>
            <w:tcW w:w="1450" w:type="dxa"/>
            <w:tcBorders>
              <w:top w:val="nil"/>
            </w:tcBorders>
            <w:vAlign w:val="center"/>
          </w:tcPr>
          <w:p/>
        </w:tc>
        <w:tc>
          <w:tcPr>
            <w:tcW w:w="1243" w:type="dxa"/>
            <w:tcBorders>
              <w:top w:val="nil"/>
            </w:tcBorders>
            <w:vAlign w:val="center"/>
          </w:tcPr>
          <w:p/>
        </w:tc>
        <w:tc>
          <w:tcPr>
            <w:tcW w:w="1450" w:type="dxa"/>
            <w:tcBorders>
              <w:top w:val="nil"/>
            </w:tcBorders>
            <w:vAlign w:val="center"/>
          </w:tcPr>
          <w:p/>
        </w:tc>
        <w:tc>
          <w:tcPr>
            <w:tcW w:w="1667"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bottom w:val="single" w:color="auto" w:sz="12" w:space="0"/>
            </w:tcBorders>
          </w:tcPr>
          <w:p/>
        </w:tc>
        <w:tc>
          <w:tcPr>
            <w:tcW w:w="1276" w:type="dxa"/>
            <w:tcBorders>
              <w:bottom w:val="single" w:color="auto" w:sz="12" w:space="0"/>
            </w:tcBorders>
          </w:tcPr>
          <w:p/>
        </w:tc>
        <w:tc>
          <w:tcPr>
            <w:tcW w:w="1450" w:type="dxa"/>
            <w:tcBorders>
              <w:bottom w:val="single" w:color="auto" w:sz="12" w:space="0"/>
            </w:tcBorders>
          </w:tcPr>
          <w:p/>
        </w:tc>
        <w:tc>
          <w:tcPr>
            <w:tcW w:w="1243" w:type="dxa"/>
            <w:tcBorders>
              <w:bottom w:val="single" w:color="auto" w:sz="12" w:space="0"/>
            </w:tcBorders>
          </w:tcPr>
          <w:p/>
        </w:tc>
        <w:tc>
          <w:tcPr>
            <w:tcW w:w="1450" w:type="dxa"/>
            <w:tcBorders>
              <w:bottom w:val="single" w:color="auto" w:sz="12" w:space="0"/>
            </w:tcBorders>
          </w:tcPr>
          <w:p/>
        </w:tc>
        <w:tc>
          <w:tcPr>
            <w:tcW w:w="1667" w:type="dxa"/>
            <w:tcBorders>
              <w:bottom w:val="single" w:color="auto" w:sz="12" w:space="0"/>
            </w:tcBorders>
          </w:tcPr>
          <w:p/>
        </w:tc>
      </w:tr>
    </w:tbl>
    <w:p/>
    <w:p>
      <w:r>
        <w:rPr>
          <w:rFonts w:hint="eastAsia"/>
        </w:rPr>
        <w:br w:type="page"/>
      </w:r>
      <w:bookmarkStart w:id="368" w:name="_Toc494291873"/>
      <w:r>
        <w:rPr>
          <w:rFonts w:hint="eastAsia"/>
        </w:rPr>
        <w:t>附</w:t>
      </w:r>
      <w:bookmarkStart w:id="369" w:name="_Toc296891055"/>
      <w:bookmarkStart w:id="370" w:name="_Toc296944566"/>
      <w:bookmarkStart w:id="371" w:name="_Toc267261698"/>
      <w:bookmarkStart w:id="372" w:name="_Toc296891267"/>
      <w:bookmarkStart w:id="373" w:name="_Toc296346728"/>
      <w:bookmarkStart w:id="374" w:name="_Toc296503227"/>
      <w:bookmarkStart w:id="375" w:name="_Toc296347226"/>
      <w:r>
        <w:rPr>
          <w:rFonts w:hint="eastAsia"/>
        </w:rPr>
        <w:t>件5：承包人用于本工程施工的机械设备表</w:t>
      </w:r>
      <w:bookmarkEnd w:id="368"/>
    </w:p>
    <w:bookmarkEnd w:id="369"/>
    <w:bookmarkEnd w:id="370"/>
    <w:bookmarkEnd w:id="371"/>
    <w:bookmarkEnd w:id="372"/>
    <w:bookmarkEnd w:id="373"/>
    <w:bookmarkEnd w:id="374"/>
    <w:bookmarkEnd w:id="375"/>
    <w:p>
      <w:pPr>
        <w:jc w:val="center"/>
      </w:pPr>
      <w:r>
        <w:rPr>
          <w:rFonts w:hint="eastAsia"/>
        </w:rPr>
        <w:t>承包人用于本工程施工的机械设备表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r>
              <w:rPr>
                <w:rFonts w:hint="eastAsia"/>
              </w:rPr>
              <w:t>序号</w:t>
            </w:r>
          </w:p>
        </w:tc>
        <w:tc>
          <w:tcPr>
            <w:tcW w:w="1418" w:type="dxa"/>
            <w:tcBorders>
              <w:top w:val="single" w:color="auto" w:sz="12" w:space="0"/>
              <w:bottom w:val="double" w:color="auto" w:sz="6" w:space="0"/>
            </w:tcBorders>
            <w:vAlign w:val="center"/>
          </w:tcPr>
          <w:p>
            <w:r>
              <w:rPr>
                <w:rFonts w:hint="eastAsia"/>
              </w:rPr>
              <w:t>机械或设备名称</w:t>
            </w:r>
          </w:p>
        </w:tc>
        <w:tc>
          <w:tcPr>
            <w:tcW w:w="850" w:type="dxa"/>
            <w:tcBorders>
              <w:top w:val="single" w:color="auto" w:sz="12" w:space="0"/>
              <w:bottom w:val="double" w:color="auto" w:sz="6" w:space="0"/>
            </w:tcBorders>
            <w:vAlign w:val="center"/>
          </w:tcPr>
          <w:p>
            <w:r>
              <w:rPr>
                <w:rFonts w:hint="eastAsia"/>
              </w:rPr>
              <w:t>规格型号</w:t>
            </w:r>
          </w:p>
        </w:tc>
        <w:tc>
          <w:tcPr>
            <w:tcW w:w="1058" w:type="dxa"/>
            <w:tcBorders>
              <w:top w:val="single" w:color="auto" w:sz="12" w:space="0"/>
              <w:bottom w:val="double" w:color="auto" w:sz="6" w:space="0"/>
            </w:tcBorders>
            <w:vAlign w:val="center"/>
          </w:tcPr>
          <w:p>
            <w:r>
              <w:rPr>
                <w:rFonts w:hint="eastAsia"/>
              </w:rPr>
              <w:t>数量</w:t>
            </w:r>
          </w:p>
        </w:tc>
        <w:tc>
          <w:tcPr>
            <w:tcW w:w="880" w:type="dxa"/>
            <w:tcBorders>
              <w:top w:val="single" w:color="auto" w:sz="12" w:space="0"/>
              <w:bottom w:val="double" w:color="auto" w:sz="6" w:space="0"/>
            </w:tcBorders>
            <w:vAlign w:val="center"/>
          </w:tcPr>
          <w:p>
            <w:r>
              <w:rPr>
                <w:rFonts w:hint="eastAsia"/>
              </w:rPr>
              <w:t>产地</w:t>
            </w:r>
          </w:p>
        </w:tc>
        <w:tc>
          <w:tcPr>
            <w:tcW w:w="1020" w:type="dxa"/>
            <w:tcBorders>
              <w:top w:val="single" w:color="auto" w:sz="12" w:space="0"/>
              <w:bottom w:val="double" w:color="auto" w:sz="6" w:space="0"/>
            </w:tcBorders>
            <w:vAlign w:val="center"/>
          </w:tcPr>
          <w:p>
            <w:r>
              <w:rPr>
                <w:rFonts w:hint="eastAsia"/>
              </w:rPr>
              <w:t>制造年份</w:t>
            </w:r>
          </w:p>
        </w:tc>
        <w:tc>
          <w:tcPr>
            <w:tcW w:w="1480" w:type="dxa"/>
            <w:tcBorders>
              <w:top w:val="single" w:color="auto" w:sz="12" w:space="0"/>
              <w:bottom w:val="double" w:color="auto" w:sz="6" w:space="0"/>
            </w:tcBorders>
            <w:vAlign w:val="center"/>
          </w:tcPr>
          <w:p>
            <w:r>
              <w:rPr>
                <w:rFonts w:hint="eastAsia"/>
              </w:rPr>
              <w:t>额定功率（kW）</w:t>
            </w:r>
          </w:p>
        </w:tc>
        <w:tc>
          <w:tcPr>
            <w:tcW w:w="1020" w:type="dxa"/>
            <w:tcBorders>
              <w:top w:val="single" w:color="auto" w:sz="12" w:space="0"/>
              <w:bottom w:val="double" w:color="auto" w:sz="6" w:space="0"/>
            </w:tcBorders>
            <w:vAlign w:val="center"/>
          </w:tcPr>
          <w:p>
            <w:r>
              <w:rPr>
                <w:rFonts w:hint="eastAsia"/>
              </w:rPr>
              <w:t>生产能力</w:t>
            </w:r>
          </w:p>
        </w:tc>
        <w:tc>
          <w:tcPr>
            <w:tcW w:w="921"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tc>
        <w:tc>
          <w:tcPr>
            <w:tcW w:w="1418" w:type="dxa"/>
            <w:tcBorders>
              <w:top w:val="double" w:color="auto" w:sz="6" w:space="0"/>
            </w:tcBorders>
            <w:vAlign w:val="center"/>
          </w:tcPr>
          <w:p/>
        </w:tc>
        <w:tc>
          <w:tcPr>
            <w:tcW w:w="850" w:type="dxa"/>
            <w:tcBorders>
              <w:top w:val="double" w:color="auto" w:sz="6" w:space="0"/>
            </w:tcBorders>
            <w:vAlign w:val="center"/>
          </w:tcPr>
          <w:p/>
        </w:tc>
        <w:tc>
          <w:tcPr>
            <w:tcW w:w="1058" w:type="dxa"/>
            <w:tcBorders>
              <w:top w:val="double" w:color="auto" w:sz="6" w:space="0"/>
            </w:tcBorders>
            <w:vAlign w:val="center"/>
          </w:tcPr>
          <w:p/>
        </w:tc>
        <w:tc>
          <w:tcPr>
            <w:tcW w:w="880" w:type="dxa"/>
            <w:tcBorders>
              <w:top w:val="double" w:color="auto" w:sz="6" w:space="0"/>
            </w:tcBorders>
            <w:vAlign w:val="center"/>
          </w:tcPr>
          <w:p/>
        </w:tc>
        <w:tc>
          <w:tcPr>
            <w:tcW w:w="1020" w:type="dxa"/>
            <w:tcBorders>
              <w:top w:val="double" w:color="auto" w:sz="6" w:space="0"/>
            </w:tcBorders>
            <w:vAlign w:val="center"/>
          </w:tcPr>
          <w:p/>
        </w:tc>
        <w:tc>
          <w:tcPr>
            <w:tcW w:w="1480" w:type="dxa"/>
            <w:tcBorders>
              <w:top w:val="double" w:color="auto" w:sz="6" w:space="0"/>
            </w:tcBorders>
            <w:vAlign w:val="center"/>
          </w:tcPr>
          <w:p/>
        </w:tc>
        <w:tc>
          <w:tcPr>
            <w:tcW w:w="1020" w:type="dxa"/>
            <w:tcBorders>
              <w:top w:val="double" w:color="auto" w:sz="6" w:space="0"/>
            </w:tcBorders>
            <w:vAlign w:val="center"/>
          </w:tcPr>
          <w:p/>
        </w:tc>
        <w:tc>
          <w:tcPr>
            <w:tcW w:w="92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tc>
        <w:tc>
          <w:tcPr>
            <w:tcW w:w="1418" w:type="dxa"/>
            <w:tcBorders>
              <w:top w:val="nil"/>
            </w:tcBorders>
            <w:vAlign w:val="center"/>
          </w:tcPr>
          <w:p/>
        </w:tc>
        <w:tc>
          <w:tcPr>
            <w:tcW w:w="850" w:type="dxa"/>
            <w:tcBorders>
              <w:top w:val="nil"/>
            </w:tcBorders>
            <w:vAlign w:val="center"/>
          </w:tcPr>
          <w:p/>
        </w:tc>
        <w:tc>
          <w:tcPr>
            <w:tcW w:w="1058" w:type="dxa"/>
            <w:tcBorders>
              <w:top w:val="nil"/>
            </w:tcBorders>
            <w:vAlign w:val="center"/>
          </w:tcPr>
          <w:p/>
        </w:tc>
        <w:tc>
          <w:tcPr>
            <w:tcW w:w="880" w:type="dxa"/>
            <w:tcBorders>
              <w:top w:val="nil"/>
            </w:tcBorders>
            <w:vAlign w:val="center"/>
          </w:tcPr>
          <w:p/>
        </w:tc>
        <w:tc>
          <w:tcPr>
            <w:tcW w:w="1020" w:type="dxa"/>
            <w:tcBorders>
              <w:top w:val="nil"/>
            </w:tcBorders>
            <w:vAlign w:val="center"/>
          </w:tcPr>
          <w:p/>
        </w:tc>
        <w:tc>
          <w:tcPr>
            <w:tcW w:w="1480" w:type="dxa"/>
            <w:tcBorders>
              <w:top w:val="nil"/>
            </w:tcBorders>
            <w:vAlign w:val="center"/>
          </w:tcPr>
          <w:p/>
        </w:tc>
        <w:tc>
          <w:tcPr>
            <w:tcW w:w="1020" w:type="dxa"/>
            <w:tcBorders>
              <w:top w:val="nil"/>
            </w:tcBorders>
            <w:vAlign w:val="center"/>
          </w:tcPr>
          <w:p/>
        </w:tc>
        <w:tc>
          <w:tcPr>
            <w:tcW w:w="92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tc>
        <w:tc>
          <w:tcPr>
            <w:tcW w:w="1418" w:type="dxa"/>
            <w:tcBorders>
              <w:bottom w:val="single" w:color="auto" w:sz="12" w:space="0"/>
            </w:tcBorders>
          </w:tcPr>
          <w:p/>
        </w:tc>
        <w:tc>
          <w:tcPr>
            <w:tcW w:w="850" w:type="dxa"/>
            <w:tcBorders>
              <w:bottom w:val="single" w:color="auto" w:sz="12" w:space="0"/>
            </w:tcBorders>
          </w:tcPr>
          <w:p/>
        </w:tc>
        <w:tc>
          <w:tcPr>
            <w:tcW w:w="1058" w:type="dxa"/>
            <w:tcBorders>
              <w:bottom w:val="single" w:color="auto" w:sz="12" w:space="0"/>
            </w:tcBorders>
          </w:tcPr>
          <w:p/>
        </w:tc>
        <w:tc>
          <w:tcPr>
            <w:tcW w:w="880" w:type="dxa"/>
            <w:tcBorders>
              <w:bottom w:val="single" w:color="auto" w:sz="12" w:space="0"/>
            </w:tcBorders>
          </w:tcPr>
          <w:p/>
        </w:tc>
        <w:tc>
          <w:tcPr>
            <w:tcW w:w="1020" w:type="dxa"/>
            <w:tcBorders>
              <w:bottom w:val="single" w:color="auto" w:sz="12" w:space="0"/>
            </w:tcBorders>
          </w:tcPr>
          <w:p/>
        </w:tc>
        <w:tc>
          <w:tcPr>
            <w:tcW w:w="1480" w:type="dxa"/>
            <w:tcBorders>
              <w:bottom w:val="single" w:color="auto" w:sz="12" w:space="0"/>
            </w:tcBorders>
          </w:tcPr>
          <w:p/>
        </w:tc>
        <w:tc>
          <w:tcPr>
            <w:tcW w:w="1020" w:type="dxa"/>
            <w:tcBorders>
              <w:bottom w:val="single" w:color="auto" w:sz="12" w:space="0"/>
            </w:tcBorders>
          </w:tcPr>
          <w:p/>
        </w:tc>
        <w:tc>
          <w:tcPr>
            <w:tcW w:w="921" w:type="dxa"/>
            <w:tcBorders>
              <w:bottom w:val="single" w:color="auto" w:sz="12" w:space="0"/>
            </w:tcBorders>
          </w:tcPr>
          <w:p/>
        </w:tc>
      </w:tr>
    </w:tbl>
    <w:p/>
    <w:p>
      <w:bookmarkStart w:id="376" w:name="_Toc494291874"/>
    </w:p>
    <w:p>
      <w:r>
        <w:br w:type="page"/>
      </w:r>
      <w:r>
        <w:rPr>
          <w:rFonts w:hint="eastAsia"/>
        </w:rPr>
        <w:t>附</w:t>
      </w:r>
      <w:bookmarkStart w:id="377" w:name="_Toc296346729"/>
      <w:bookmarkStart w:id="378" w:name="_Toc296347227"/>
      <w:bookmarkStart w:id="379" w:name="_Toc296503228"/>
      <w:bookmarkStart w:id="380" w:name="_Toc296891268"/>
      <w:bookmarkStart w:id="381" w:name="_Toc296891056"/>
      <w:bookmarkStart w:id="382" w:name="_Toc296944567"/>
      <w:bookmarkStart w:id="383" w:name="_Toc267261699"/>
      <w:r>
        <w:rPr>
          <w:rFonts w:hint="eastAsia"/>
        </w:rPr>
        <w:t>件6：承包人主要施工管理人员表</w:t>
      </w:r>
      <w:bookmarkEnd w:id="376"/>
    </w:p>
    <w:bookmarkEnd w:id="377"/>
    <w:bookmarkEnd w:id="378"/>
    <w:bookmarkEnd w:id="379"/>
    <w:bookmarkEnd w:id="380"/>
    <w:bookmarkEnd w:id="381"/>
    <w:bookmarkEnd w:id="382"/>
    <w:bookmarkEnd w:id="383"/>
    <w:p>
      <w:pPr>
        <w:jc w:val="center"/>
      </w:pPr>
      <w:r>
        <w:rPr>
          <w:rFonts w:hint="eastAsia"/>
        </w:rPr>
        <w:t>承包人主要施工管理人员表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r>
              <w:rPr>
                <w:rFonts w:hint="eastAsia"/>
              </w:rPr>
              <w:t>名称</w:t>
            </w:r>
          </w:p>
        </w:tc>
        <w:tc>
          <w:tcPr>
            <w:tcW w:w="1418" w:type="dxa"/>
            <w:tcBorders>
              <w:top w:val="single" w:color="auto" w:sz="12" w:space="0"/>
              <w:bottom w:val="double" w:color="auto" w:sz="6" w:space="0"/>
            </w:tcBorders>
            <w:vAlign w:val="center"/>
          </w:tcPr>
          <w:p>
            <w:r>
              <w:rPr>
                <w:rFonts w:hint="eastAsia"/>
              </w:rPr>
              <w:t>姓名</w:t>
            </w:r>
          </w:p>
        </w:tc>
        <w:tc>
          <w:tcPr>
            <w:tcW w:w="1134" w:type="dxa"/>
            <w:tcBorders>
              <w:top w:val="single" w:color="auto" w:sz="12" w:space="0"/>
              <w:bottom w:val="double" w:color="auto" w:sz="6" w:space="0"/>
            </w:tcBorders>
            <w:vAlign w:val="center"/>
          </w:tcPr>
          <w:p>
            <w:r>
              <w:rPr>
                <w:rFonts w:hint="eastAsia"/>
              </w:rPr>
              <w:t>职务</w:t>
            </w:r>
          </w:p>
        </w:tc>
        <w:tc>
          <w:tcPr>
            <w:tcW w:w="1134" w:type="dxa"/>
            <w:tcBorders>
              <w:top w:val="single" w:color="auto" w:sz="12" w:space="0"/>
              <w:bottom w:val="double" w:color="auto" w:sz="6" w:space="0"/>
            </w:tcBorders>
            <w:vAlign w:val="center"/>
          </w:tcPr>
          <w:p>
            <w:r>
              <w:rPr>
                <w:rFonts w:hint="eastAsia"/>
              </w:rPr>
              <w:t>职称</w:t>
            </w:r>
          </w:p>
        </w:tc>
        <w:tc>
          <w:tcPr>
            <w:tcW w:w="4252" w:type="dxa"/>
            <w:tcBorders>
              <w:top w:val="single" w:color="auto" w:sz="12" w:space="0"/>
              <w:bottom w:val="double" w:color="auto" w:sz="6" w:space="0"/>
            </w:tcBorders>
            <w:vAlign w:val="center"/>
          </w:tcPr>
          <w:p>
            <w:r>
              <w:rPr>
                <w:rFonts w:hint="eastAsi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vAlign w:val="center"/>
          </w:tcPr>
          <w:p>
            <w:r>
              <w:rPr>
                <w:rFonts w:hint="eastAsi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项目主管</w:t>
            </w:r>
          </w:p>
        </w:tc>
        <w:tc>
          <w:tcPr>
            <w:tcW w:w="1418" w:type="dxa"/>
            <w:tcBorders>
              <w:top w:val="nil"/>
            </w:tcBorders>
            <w:vAlign w:val="center"/>
          </w:tcPr>
          <w:p/>
        </w:tc>
        <w:tc>
          <w:tcPr>
            <w:tcW w:w="1134" w:type="dxa"/>
            <w:tcBorders>
              <w:top w:val="nil"/>
            </w:tcBorders>
            <w:vAlign w:val="center"/>
          </w:tcPr>
          <w:p/>
        </w:tc>
        <w:tc>
          <w:tcPr>
            <w:tcW w:w="1134" w:type="dxa"/>
            <w:tcBorders>
              <w:top w:val="nil"/>
            </w:tcBorders>
            <w:vAlign w:val="center"/>
          </w:tcPr>
          <w:p/>
        </w:tc>
        <w:tc>
          <w:tcPr>
            <w:tcW w:w="4252"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vAlign w:val="center"/>
          </w:tcPr>
          <w:p>
            <w:r>
              <w:rPr>
                <w:rFonts w:hint="eastAsi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项目副经理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技术负责人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造价管理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质量管理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材料管理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计划管理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安全管理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tc>
        <w:tc>
          <w:tcPr>
            <w:tcW w:w="1418" w:type="dxa"/>
            <w:tcBorders>
              <w:bottom w:val="single" w:color="auto" w:sz="12" w:space="0"/>
            </w:tcBorders>
            <w:vAlign w:val="center"/>
          </w:tcPr>
          <w:p/>
        </w:tc>
        <w:tc>
          <w:tcPr>
            <w:tcW w:w="1134" w:type="dxa"/>
            <w:tcBorders>
              <w:bottom w:val="single" w:color="auto" w:sz="12" w:space="0"/>
            </w:tcBorders>
            <w:vAlign w:val="center"/>
          </w:tcPr>
          <w:p/>
        </w:tc>
        <w:tc>
          <w:tcPr>
            <w:tcW w:w="1134" w:type="dxa"/>
            <w:tcBorders>
              <w:bottom w:val="single" w:color="auto" w:sz="12" w:space="0"/>
            </w:tcBorders>
            <w:vAlign w:val="center"/>
          </w:tcPr>
          <w:p/>
        </w:tc>
        <w:tc>
          <w:tcPr>
            <w:tcW w:w="4252" w:type="dxa"/>
            <w:tcBorders>
              <w:bottom w:val="single" w:color="auto" w:sz="12" w:space="0"/>
            </w:tcBorders>
            <w:vAlign w:val="center"/>
          </w:tcPr>
          <w:p/>
        </w:tc>
      </w:tr>
    </w:tbl>
    <w:p/>
    <w:p>
      <w:bookmarkStart w:id="384" w:name="_Toc494291876"/>
      <w:bookmarkStart w:id="385" w:name="_Toc267261701"/>
    </w:p>
    <w:p/>
    <w:p/>
    <w:p/>
    <w:p>
      <w:pPr>
        <w:sectPr>
          <w:pgSz w:w="11906" w:h="16838"/>
          <w:pgMar w:top="1417" w:right="1800" w:bottom="1440" w:left="1701" w:header="851" w:footer="992" w:gutter="0"/>
          <w:cols w:space="720" w:num="1"/>
          <w:docGrid w:type="lines" w:linePitch="312" w:charSpace="0"/>
        </w:sectPr>
      </w:pPr>
    </w:p>
    <w:p>
      <w:r>
        <w:rPr>
          <w:rFonts w:hint="eastAsia"/>
        </w:rPr>
        <w:t>附</w:t>
      </w:r>
      <w:bookmarkStart w:id="386" w:name="_Toc296891059"/>
      <w:bookmarkStart w:id="387" w:name="_Toc296891271"/>
      <w:bookmarkStart w:id="388" w:name="_Toc296347230"/>
      <w:bookmarkStart w:id="389" w:name="_Toc296346732"/>
      <w:bookmarkStart w:id="390" w:name="_Toc296944570"/>
      <w:bookmarkStart w:id="391" w:name="_Toc296503231"/>
      <w:r>
        <w:rPr>
          <w:rFonts w:hint="eastAsia"/>
        </w:rPr>
        <w:t>件8：履约担保</w:t>
      </w:r>
      <w:bookmarkEnd w:id="384"/>
    </w:p>
    <w:bookmarkEnd w:id="385"/>
    <w:bookmarkEnd w:id="386"/>
    <w:bookmarkEnd w:id="387"/>
    <w:bookmarkEnd w:id="388"/>
    <w:bookmarkEnd w:id="389"/>
    <w:bookmarkEnd w:id="390"/>
    <w:bookmarkEnd w:id="391"/>
    <w:p>
      <w:pPr>
        <w:jc w:val="center"/>
      </w:pPr>
      <w:r>
        <w:rPr>
          <w:rFonts w:hint="eastAsia"/>
        </w:rPr>
        <w:t>履约担保</w:t>
      </w:r>
    </w:p>
    <w:p>
      <w:r>
        <w:rPr>
          <w:rFonts w:hint="eastAsia"/>
        </w:rPr>
        <w:tab/>
      </w:r>
      <w:r>
        <w:rPr>
          <w:rFonts w:hint="eastAsia"/>
        </w:rPr>
        <w:t>（发包人名称）：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省苏舜集团</w:t>
      </w:r>
      <w:r>
        <w:rPr>
          <w:rFonts w:hint="eastAsia" w:ascii="仿宋" w:hAnsi="仿宋" w:eastAsia="仿宋" w:cs="Arial"/>
          <w:sz w:val="24"/>
          <w:szCs w:val="24"/>
          <w:u w:val="single"/>
        </w:rPr>
        <w:t>有限公司</w:t>
      </w:r>
    </w:p>
    <w:p>
      <w:r>
        <w:rPr>
          <w:rFonts w:hint="eastAsia"/>
        </w:rPr>
        <w:t xml:space="preserve">鉴于（发包人名称，以下简称“发包人”）与 （承包人名称）（以下称“承包人”）于年月日就（工程名称）施工及有关事项协商一致共同签订《建设工程施工合同》。我方愿意无条件地、不可撤销地就承包人履行与你方签订的合同，向你方提供连带责任担保。 </w:t>
      </w:r>
    </w:p>
    <w:p>
      <w:r>
        <w:rPr>
          <w:rFonts w:hint="eastAsia"/>
        </w:rPr>
        <w:t>1. 担保金额人民币（大写）元（¥）。</w:t>
      </w:r>
    </w:p>
    <w:p>
      <w:r>
        <w:rPr>
          <w:rFonts w:hint="eastAsia"/>
        </w:rPr>
        <w:t>2. 担保有效期自你方与承包人签订的合同生效之日起至你方签发或应签发工程接收证书之日止。</w:t>
      </w:r>
    </w:p>
    <w:p>
      <w:r>
        <w:rPr>
          <w:rFonts w:hint="eastAsia"/>
        </w:rPr>
        <w:t>3. 在本担保有效期内，因承包人违反合同约定的义务给你方造成经济损失时，我方在收到你方以书面形式提出的在担保金额内的赔偿要求后，在7天内无条件支付。</w:t>
      </w:r>
    </w:p>
    <w:p>
      <w:r>
        <w:rPr>
          <w:rFonts w:hint="eastAsia"/>
        </w:rPr>
        <w:t>4. 你方和承包人按合同约定变更合同时，我方承担本担保规定的义务不变。</w:t>
      </w:r>
    </w:p>
    <w:p>
      <w:r>
        <w:rPr>
          <w:rFonts w:hint="eastAsia"/>
        </w:rPr>
        <w:t>5. 因本保函发生的纠纷，可由双方协商解决，协商不成的，任何一方均可提请仲裁委员会仲裁。</w:t>
      </w:r>
    </w:p>
    <w:p>
      <w:r>
        <w:rPr>
          <w:rFonts w:hint="eastAsia"/>
        </w:rPr>
        <w:t>6. 本保函自我方法定代表人（或其授权代理人）签字并加盖公章之日起生效。</w:t>
      </w:r>
    </w:p>
    <w:p/>
    <w:p>
      <w:r>
        <w:rPr>
          <w:rFonts w:hint="eastAsia"/>
        </w:rPr>
        <w:t>担 保 人：（盖单位章）</w:t>
      </w:r>
    </w:p>
    <w:p>
      <w:r>
        <w:rPr>
          <w:rFonts w:hint="eastAsia"/>
        </w:rPr>
        <w:t>法定代表人或其委托代理人：（签字）</w:t>
      </w:r>
    </w:p>
    <w:p>
      <w:r>
        <w:rPr>
          <w:rFonts w:hint="eastAsia"/>
        </w:rPr>
        <w:t>地    址：</w:t>
      </w:r>
    </w:p>
    <w:p>
      <w:r>
        <w:rPr>
          <w:rFonts w:hint="eastAsia"/>
        </w:rPr>
        <w:t>邮政编码：</w:t>
      </w:r>
    </w:p>
    <w:p>
      <w:r>
        <w:rPr>
          <w:rFonts w:hint="eastAsia"/>
        </w:rPr>
        <w:t>电    话：</w:t>
      </w:r>
    </w:p>
    <w:p>
      <w:r>
        <w:rPr>
          <w:rFonts w:hint="eastAsia"/>
        </w:rPr>
        <w:t>传    真：</w:t>
      </w:r>
    </w:p>
    <w:p/>
    <w:p>
      <w:r>
        <w:rPr>
          <w:rFonts w:hint="eastAsia"/>
        </w:rPr>
        <w:t>年月日</w:t>
      </w:r>
    </w:p>
    <w:p>
      <w:r>
        <w:rPr>
          <w:rFonts w:hint="eastAsia"/>
        </w:rPr>
        <w:br w:type="page"/>
      </w:r>
      <w:bookmarkStart w:id="392" w:name="_Toc494291877"/>
      <w:r>
        <w:rPr>
          <w:rFonts w:hint="eastAsia"/>
        </w:rPr>
        <w:t>附</w:t>
      </w:r>
      <w:bookmarkStart w:id="393" w:name="_Toc296891272"/>
      <w:bookmarkStart w:id="394" w:name="_Toc296347231"/>
      <w:bookmarkStart w:id="395" w:name="_Toc267261702"/>
      <w:bookmarkStart w:id="396" w:name="_Toc296944571"/>
      <w:bookmarkStart w:id="397" w:name="_Toc296503232"/>
      <w:bookmarkStart w:id="398" w:name="_Toc296346733"/>
      <w:bookmarkStart w:id="399" w:name="_Toc296891060"/>
      <w:r>
        <w:rPr>
          <w:rFonts w:hint="eastAsia"/>
        </w:rPr>
        <w:t>件9 ：预付款担保</w:t>
      </w:r>
      <w:bookmarkEnd w:id="392"/>
    </w:p>
    <w:bookmarkEnd w:id="393"/>
    <w:bookmarkEnd w:id="394"/>
    <w:bookmarkEnd w:id="395"/>
    <w:bookmarkEnd w:id="396"/>
    <w:bookmarkEnd w:id="397"/>
    <w:bookmarkEnd w:id="398"/>
    <w:bookmarkEnd w:id="399"/>
    <w:p>
      <w:pPr>
        <w:jc w:val="center"/>
      </w:pPr>
      <w:r>
        <w:rPr>
          <w:rFonts w:hint="eastAsia"/>
        </w:rPr>
        <w:t>预付款担保</w:t>
      </w:r>
    </w:p>
    <w:p>
      <w:r>
        <w:rPr>
          <w:rFonts w:hint="eastAsia"/>
        </w:rPr>
        <w:tab/>
      </w:r>
      <w:r>
        <w:rPr>
          <w:rFonts w:hint="eastAsia"/>
        </w:rPr>
        <w:tab/>
      </w:r>
      <w:r>
        <w:rPr>
          <w:rFonts w:hint="eastAsia"/>
        </w:rPr>
        <w:t xml:space="preserve"> （发包人名称）：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省苏舜集团</w:t>
      </w:r>
      <w:r>
        <w:rPr>
          <w:rFonts w:hint="eastAsia" w:ascii="仿宋" w:hAnsi="仿宋" w:eastAsia="仿宋" w:cs="Arial"/>
          <w:sz w:val="24"/>
          <w:szCs w:val="24"/>
          <w:u w:val="single"/>
        </w:rPr>
        <w:t>有限公司</w:t>
      </w:r>
    </w:p>
    <w:p/>
    <w:p>
      <w:r>
        <w:rPr>
          <w:rFonts w:hint="eastAsia"/>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
        <w:rPr>
          <w:rFonts w:hint="eastAsia"/>
        </w:rPr>
        <w:t>1. 担保金额人民币（大写）元（¥）。</w:t>
      </w:r>
    </w:p>
    <w:p>
      <w:r>
        <w:rPr>
          <w:rFonts w:hint="eastAsia"/>
        </w:rPr>
        <w:t>2. 担保有效期自预付款支付给承包人起生效，至你方签发的进度款支付证书说明已完全扣清止。</w:t>
      </w:r>
    </w:p>
    <w:p>
      <w:r>
        <w:rPr>
          <w:rFonts w:hint="eastAsia"/>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
        <w:rPr>
          <w:rFonts w:hint="eastAsia"/>
        </w:rPr>
        <w:t>4. 你方和承包人按合同约定变更合同时，我方承担本保函规定的义务不变。</w:t>
      </w:r>
    </w:p>
    <w:p>
      <w:r>
        <w:rPr>
          <w:rFonts w:hint="eastAsia"/>
        </w:rPr>
        <w:t>5. 因本保函发生的纠纷，可由双方协商解决，协商不成的，任何一方均可提请仲裁委员会仲裁。</w:t>
      </w:r>
    </w:p>
    <w:p>
      <w:r>
        <w:rPr>
          <w:rFonts w:hint="eastAsia"/>
        </w:rPr>
        <w:t>6. 本保函自我方法定代表人（或其授权代理人）签字并加盖公章之日起生效。</w:t>
      </w:r>
    </w:p>
    <w:p>
      <w:r>
        <w:rPr>
          <w:rFonts w:hint="eastAsia"/>
        </w:rPr>
        <w:t>担保人：（盖单位章）</w:t>
      </w:r>
    </w:p>
    <w:p>
      <w:r>
        <w:rPr>
          <w:rFonts w:hint="eastAsia"/>
        </w:rPr>
        <w:t>法定代表人或其委托代理人：（签字）</w:t>
      </w:r>
    </w:p>
    <w:p>
      <w:r>
        <w:rPr>
          <w:rFonts w:hint="eastAsia"/>
        </w:rPr>
        <w:t>地    址：</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邮政编码：</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电    话：</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传    真：</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年月日</w:t>
      </w:r>
      <w:r>
        <w:rPr>
          <w:rFonts w:hint="eastAsia"/>
        </w:rPr>
        <w:br w:type="page"/>
      </w:r>
      <w:bookmarkStart w:id="400" w:name="_Toc494291878"/>
      <w:r>
        <w:rPr>
          <w:rFonts w:hint="eastAsia"/>
        </w:rPr>
        <w:t>附</w:t>
      </w:r>
      <w:bookmarkStart w:id="401" w:name="_Toc296891273"/>
      <w:bookmarkStart w:id="402" w:name="_Toc296891061"/>
      <w:bookmarkStart w:id="403" w:name="_Toc296346734"/>
      <w:bookmarkStart w:id="404" w:name="_Toc296944572"/>
      <w:bookmarkStart w:id="405" w:name="_Toc296347232"/>
      <w:bookmarkStart w:id="406" w:name="_Toc296503233"/>
      <w:r>
        <w:rPr>
          <w:rFonts w:hint="eastAsia"/>
        </w:rPr>
        <w:t>件10：支付担保</w:t>
      </w:r>
      <w:bookmarkEnd w:id="400"/>
    </w:p>
    <w:bookmarkEnd w:id="401"/>
    <w:bookmarkEnd w:id="402"/>
    <w:bookmarkEnd w:id="403"/>
    <w:bookmarkEnd w:id="404"/>
    <w:bookmarkEnd w:id="405"/>
    <w:bookmarkEnd w:id="406"/>
    <w:p>
      <w:pPr>
        <w:jc w:val="center"/>
      </w:pPr>
      <w:r>
        <w:rPr>
          <w:rFonts w:hint="eastAsia"/>
        </w:rPr>
        <w:t>支付担保</w:t>
      </w:r>
    </w:p>
    <w:p>
      <w:r>
        <w:rPr>
          <w:rFonts w:hint="eastAsia"/>
        </w:rPr>
        <w:t>（承包人）：</w:t>
      </w:r>
    </w:p>
    <w:p>
      <w:r>
        <w:rPr>
          <w:rFonts w:hint="eastAsia"/>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r>
        <w:rPr>
          <w:rFonts w:hint="eastAsia"/>
        </w:rPr>
        <w:t>一、保证的范围及保证金额</w:t>
      </w:r>
    </w:p>
    <w:p>
      <w:r>
        <w:rPr>
          <w:rFonts w:hint="eastAsia"/>
        </w:rPr>
        <w:t>1. 我方的保证范围是主合同约定的工程款。</w:t>
      </w:r>
    </w:p>
    <w:p>
      <w:r>
        <w:rPr>
          <w:rFonts w:hint="eastAsia"/>
        </w:rPr>
        <w:t>2. 本保函所称主合同约定的工程款是指主合同约定的除工程质量保证金以外的合同价款。</w:t>
      </w:r>
    </w:p>
    <w:p>
      <w:r>
        <w:rPr>
          <w:rFonts w:hint="eastAsia"/>
        </w:rPr>
        <w:t>3. 我方保证的金额是主合同约定的工程款的  %，数额最高不超过人民币    元（大写：    ）。</w:t>
      </w:r>
    </w:p>
    <w:p>
      <w:r>
        <w:rPr>
          <w:rFonts w:hint="eastAsia"/>
        </w:rPr>
        <w:t>二、保证的方式及保证期间</w:t>
      </w:r>
    </w:p>
    <w:p>
      <w:r>
        <w:rPr>
          <w:rFonts w:hint="eastAsia"/>
        </w:rPr>
        <w:t>1. 我方保证的方式为：连带责任保证。</w:t>
      </w:r>
    </w:p>
    <w:p>
      <w:r>
        <w:rPr>
          <w:rFonts w:hint="eastAsia"/>
        </w:rPr>
        <w:t>2. 我方保证的期间为：自本合同生效之日起至主合同约定的工程款支付完毕之日后日内。</w:t>
      </w:r>
    </w:p>
    <w:p>
      <w:r>
        <w:rPr>
          <w:rFonts w:hint="eastAsia"/>
        </w:rPr>
        <w:t>3. 你方与发包人协议变更工程款支付日期的，经我方书面同意后，保证期间按照变更后的支付日期做相应调整。</w:t>
      </w:r>
    </w:p>
    <w:p>
      <w:r>
        <w:rPr>
          <w:rFonts w:hint="eastAsia"/>
        </w:rPr>
        <w:t>三、承担保证责任的形式</w:t>
      </w:r>
    </w:p>
    <w:p>
      <w:r>
        <w:rPr>
          <w:rFonts w:hint="eastAsia"/>
        </w:rPr>
        <w:t>我方承担保证责任的形式是代为支付。发包人未按主合同约定向你方支付工程款的，由我方在保证金额内代为支付。</w:t>
      </w:r>
    </w:p>
    <w:p>
      <w:r>
        <w:rPr>
          <w:rFonts w:hint="eastAsia"/>
        </w:rPr>
        <w:t>四、代偿的安排</w:t>
      </w:r>
    </w:p>
    <w:p>
      <w:r>
        <w:rPr>
          <w:rFonts w:hint="eastAsia"/>
        </w:rPr>
        <w:t>1. 你方要求我方承担保证责任的，应向我方发出书面索赔通知及发包人未支付主合同约定工程款的证明材料。索赔通知应写明要求索赔的金额，支付款项应到达的账号。</w:t>
      </w:r>
    </w:p>
    <w:p>
      <w:r>
        <w:rPr>
          <w:rFonts w:hint="eastAsia"/>
        </w:rPr>
        <w:t>2. 在出现你方与发包人因工程质量发生争议，发包人拒绝向你方支付工程款的情形时，你方要求我方履行保证责任代为支付的，需提供符合相应条件要求的工程质量检测机构出具的质量说明材料。</w:t>
      </w:r>
    </w:p>
    <w:p>
      <w:r>
        <w:rPr>
          <w:rFonts w:hint="eastAsia"/>
        </w:rPr>
        <w:t>3. 我方收到你方的书面索赔通知及相应的证明材料后７天内无条件支付。</w:t>
      </w:r>
    </w:p>
    <w:p>
      <w:r>
        <w:rPr>
          <w:rFonts w:hint="eastAsia"/>
        </w:rPr>
        <w:t>五、保证责任的解除</w:t>
      </w:r>
    </w:p>
    <w:p>
      <w:r>
        <w:rPr>
          <w:rFonts w:hint="eastAsia"/>
        </w:rPr>
        <w:t>1. 在本保函承诺的保证期间内，你方未书面向我方主张保证责任的，自保证期间届满次日起，我方保证责任解除。</w:t>
      </w:r>
    </w:p>
    <w:p>
      <w:r>
        <w:rPr>
          <w:rFonts w:hint="eastAsia"/>
        </w:rPr>
        <w:t>2. 发包人按主合同约定履行了工程款的全部支付义务的，自本保函承诺的保证期间届满次日起，我方保证责任解除。</w:t>
      </w:r>
    </w:p>
    <w:p>
      <w:r>
        <w:rPr>
          <w:rFonts w:hint="eastAsia"/>
        </w:rPr>
        <w:t>3. 我方按照本保函向你方履行保证责任所支付金额达到本保函保证金额时，自我方向你方支付（支付款项从我方账户划出）之日起，保证责任即解除。</w:t>
      </w:r>
    </w:p>
    <w:p>
      <w:r>
        <w:rPr>
          <w:rFonts w:hint="eastAsia"/>
        </w:rPr>
        <w:t>4. 按照法律法规的规定或出现应解除我方保证责任的其他情形的，我方在本保函项下的保证责任亦解除。</w:t>
      </w:r>
    </w:p>
    <w:p>
      <w:r>
        <w:rPr>
          <w:rFonts w:hint="eastAsia"/>
        </w:rPr>
        <w:t>5. 我方解除保证责任后，你方应自我方保证责任解除之日起个工作日内，将本保函原件返还我方。</w:t>
      </w:r>
    </w:p>
    <w:p>
      <w:r>
        <w:rPr>
          <w:rFonts w:hint="eastAsia"/>
        </w:rPr>
        <w:t>六、免责条款</w:t>
      </w:r>
    </w:p>
    <w:p>
      <w:r>
        <w:rPr>
          <w:rFonts w:hint="eastAsia"/>
        </w:rPr>
        <w:t>1. 因你方违约致使发包人不能履行义务的，我方不承担保证责任。</w:t>
      </w:r>
    </w:p>
    <w:p>
      <w:r>
        <w:rPr>
          <w:rFonts w:hint="eastAsia"/>
        </w:rPr>
        <w:t>2. 依照法律法规的规定或你方与发包人的另行约定，免除发包人部分或全部义务的，我方亦免除其相应的保证责任。</w:t>
      </w:r>
    </w:p>
    <w:p>
      <w:r>
        <w:rPr>
          <w:rFonts w:hint="eastAsia"/>
        </w:rPr>
        <w:t>3. 你方与发包人协议变更主合同的，如加重发包人责任致使我方保证责任加重的，需征得我方书面同意，否则我方不再承担因此而加重部分的保证责任，但主合同第10条〔变更〕约定的变更不受本款限制。</w:t>
      </w:r>
    </w:p>
    <w:p>
      <w:r>
        <w:rPr>
          <w:rFonts w:hint="eastAsia"/>
        </w:rPr>
        <w:t>4. 因不可抗力造成发包人不能履行义务的，我方不承担保证责任。</w:t>
      </w:r>
    </w:p>
    <w:p>
      <w:r>
        <w:rPr>
          <w:rFonts w:hint="eastAsia"/>
        </w:rPr>
        <w:t>七、争议解决</w:t>
      </w:r>
    </w:p>
    <w:p>
      <w:r>
        <w:rPr>
          <w:rFonts w:hint="eastAsia"/>
        </w:rPr>
        <w:t>因本保函或本保函相关事项发生的纠纷，可由双方协商解决，协商不成的，按下列第种方式解决：</w:t>
      </w:r>
    </w:p>
    <w:p>
      <w:r>
        <w:rPr>
          <w:rFonts w:hint="eastAsia"/>
        </w:rPr>
        <w:t>（1）向仲裁委员会申请仲裁；</w:t>
      </w:r>
    </w:p>
    <w:p>
      <w:r>
        <w:rPr>
          <w:rFonts w:hint="eastAsia"/>
        </w:rPr>
        <w:t>（2）向人民法院起诉。</w:t>
      </w:r>
    </w:p>
    <w:p>
      <w:r>
        <w:rPr>
          <w:rFonts w:hint="eastAsia"/>
        </w:rPr>
        <w:t>八、保函的生效</w:t>
      </w:r>
    </w:p>
    <w:p>
      <w:r>
        <w:rPr>
          <w:rFonts w:hint="eastAsia"/>
        </w:rPr>
        <w:t>本保函自我方法定代表人（或其授权代理人）签字并加盖公章之日起生效。</w:t>
      </w:r>
    </w:p>
    <w:p>
      <w:r>
        <w:rPr>
          <w:rFonts w:hint="eastAsia"/>
        </w:rPr>
        <w:t>担保人：（盖章）</w:t>
      </w:r>
    </w:p>
    <w:p>
      <w:r>
        <w:rPr>
          <w:rFonts w:hint="eastAsia"/>
        </w:rPr>
        <w:t>法定代表人或委托代理人：（签字）</w:t>
      </w:r>
    </w:p>
    <w:p>
      <w:r>
        <w:rPr>
          <w:rFonts w:hint="eastAsia"/>
        </w:rPr>
        <w:t>地    址：</w:t>
      </w:r>
    </w:p>
    <w:p>
      <w:r>
        <w:rPr>
          <w:rFonts w:hint="eastAsia"/>
        </w:rPr>
        <w:t>邮政编码：</w:t>
      </w:r>
    </w:p>
    <w:p>
      <w:r>
        <w:rPr>
          <w:rFonts w:hint="eastAsia"/>
        </w:rPr>
        <w:t>传    真：</w:t>
      </w:r>
    </w:p>
    <w:p/>
    <w:p>
      <w:r>
        <w:rPr>
          <w:rFonts w:hint="eastAsia"/>
        </w:rPr>
        <w:t>年月日</w:t>
      </w: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rPr>
          <w:rFonts w:ascii="黑体" w:eastAsia="黑体"/>
          <w:bCs/>
          <w:snapToGrid w:val="0"/>
          <w:sz w:val="28"/>
          <w:szCs w:val="28"/>
        </w:rPr>
      </w:pPr>
      <w:bookmarkStart w:id="407" w:name="_Toc503354859"/>
      <w:r>
        <w:rPr>
          <w:rFonts w:hint="eastAsia" w:ascii="黑体" w:eastAsia="黑体"/>
          <w:bCs/>
          <w:snapToGrid w:val="0"/>
          <w:sz w:val="28"/>
          <w:szCs w:val="28"/>
        </w:rPr>
        <w:t>投标文件格式</w:t>
      </w:r>
      <w:bookmarkEnd w:id="22"/>
      <w:bookmarkEnd w:id="23"/>
      <w:bookmarkEnd w:id="24"/>
      <w:bookmarkEnd w:id="25"/>
      <w:bookmarkEnd w:id="407"/>
    </w:p>
    <w:p>
      <w:pPr>
        <w:pStyle w:val="36"/>
        <w:spacing w:line="264" w:lineRule="auto"/>
        <w:jc w:val="center"/>
        <w:rPr>
          <w:rFonts w:hAnsi="宋体"/>
          <w:sz w:val="36"/>
        </w:rPr>
      </w:pPr>
      <w:r>
        <w:rPr>
          <w:rFonts w:hint="eastAsia" w:hAnsi="宋体"/>
          <w:sz w:val="36"/>
        </w:rPr>
        <w:t>（封      面）</w:t>
      </w:r>
    </w:p>
    <w:p>
      <w:pPr>
        <w:pStyle w:val="36"/>
        <w:spacing w:line="264" w:lineRule="auto"/>
        <w:jc w:val="center"/>
        <w:rPr>
          <w:rFonts w:hAnsi="宋体"/>
          <w:sz w:val="36"/>
        </w:rPr>
      </w:pPr>
    </w:p>
    <w:p>
      <w:pPr>
        <w:pStyle w:val="36"/>
        <w:spacing w:line="264" w:lineRule="auto"/>
        <w:jc w:val="center"/>
        <w:rPr>
          <w:rFonts w:hAnsi="宋体"/>
          <w:sz w:val="36"/>
        </w:rPr>
      </w:pPr>
      <w:r>
        <w:rPr>
          <w:rFonts w:hAnsi="宋体"/>
          <w:sz w:val="36"/>
        </w:rPr>
        <w:t>__________________________________</w:t>
      </w:r>
      <w:r>
        <w:rPr>
          <w:rFonts w:hint="eastAsia" w:hAnsi="宋体"/>
          <w:sz w:val="44"/>
        </w:rPr>
        <w:t>工程</w:t>
      </w:r>
    </w:p>
    <w:p>
      <w:pPr>
        <w:pStyle w:val="36"/>
        <w:spacing w:line="264" w:lineRule="auto"/>
        <w:jc w:val="center"/>
        <w:rPr>
          <w:rFonts w:hAnsi="宋体"/>
          <w:sz w:val="36"/>
        </w:rPr>
      </w:pPr>
    </w:p>
    <w:p>
      <w:pPr>
        <w:pStyle w:val="36"/>
        <w:spacing w:line="264" w:lineRule="auto"/>
        <w:jc w:val="center"/>
        <w:rPr>
          <w:rFonts w:hAnsi="宋体"/>
          <w:b/>
          <w:sz w:val="84"/>
        </w:rPr>
      </w:pPr>
      <w:r>
        <w:rPr>
          <w:rFonts w:hint="eastAsia" w:hAnsi="宋体"/>
          <w:b/>
          <w:sz w:val="84"/>
        </w:rPr>
        <w:t>投 标 文 件</w:t>
      </w:r>
    </w:p>
    <w:p>
      <w:pPr>
        <w:pStyle w:val="36"/>
        <w:spacing w:line="264" w:lineRule="auto"/>
        <w:jc w:val="center"/>
        <w:rPr>
          <w:rFonts w:hAnsi="宋体"/>
          <w:sz w:val="28"/>
        </w:rPr>
      </w:pPr>
    </w:p>
    <w:p>
      <w:pPr>
        <w:pStyle w:val="36"/>
        <w:spacing w:line="264" w:lineRule="auto"/>
        <w:jc w:val="center"/>
        <w:rPr>
          <w:rFonts w:hAnsi="宋体"/>
          <w:sz w:val="28"/>
        </w:rPr>
      </w:pPr>
    </w:p>
    <w:p>
      <w:pPr>
        <w:pStyle w:val="36"/>
        <w:spacing w:line="264" w:lineRule="auto"/>
        <w:jc w:val="center"/>
        <w:rPr>
          <w:rFonts w:hAnsi="宋体"/>
          <w:sz w:val="28"/>
        </w:rPr>
      </w:pPr>
      <w:r>
        <w:rPr>
          <w:rFonts w:hint="eastAsia" w:hAnsi="宋体"/>
          <w:sz w:val="28"/>
        </w:rPr>
        <w:t xml:space="preserve">商务标 </w:t>
      </w:r>
    </w:p>
    <w:p>
      <w:pPr>
        <w:pStyle w:val="36"/>
        <w:spacing w:line="264" w:lineRule="auto"/>
        <w:jc w:val="center"/>
        <w:rPr>
          <w:rFonts w:hAnsi="宋体"/>
          <w:sz w:val="28"/>
        </w:rPr>
      </w:pPr>
    </w:p>
    <w:p>
      <w:pPr>
        <w:adjustRightInd w:val="0"/>
        <w:snapToGrid w:val="0"/>
        <w:spacing w:line="300" w:lineRule="auto"/>
        <w:jc w:val="center"/>
        <w:rPr>
          <w:rFonts w:ascii="宋体" w:hAnsi="宋体"/>
          <w:snapToGrid w:val="0"/>
          <w:sz w:val="30"/>
        </w:rPr>
      </w:pPr>
      <w:r>
        <w:rPr>
          <w:rFonts w:hint="eastAsia" w:ascii="宋体" w:hAnsi="宋体"/>
          <w:b/>
          <w:bCs/>
          <w:snapToGrid w:val="0"/>
          <w:sz w:val="30"/>
        </w:rPr>
        <w:t xml:space="preserve">招标编号： </w:t>
      </w: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840" w:lineRule="auto"/>
        <w:ind w:left="630"/>
        <w:rPr>
          <w:rFonts w:hAnsi="宋体"/>
          <w:sz w:val="30"/>
        </w:rPr>
      </w:pPr>
      <w:r>
        <w:rPr>
          <w:rFonts w:hint="eastAsia" w:hAnsi="宋体"/>
          <w:sz w:val="30"/>
        </w:rPr>
        <w:t>投标人（章）</w:t>
      </w:r>
      <w:r>
        <w:rPr>
          <w:rFonts w:hAnsi="宋体"/>
          <w:sz w:val="30"/>
        </w:rPr>
        <w:t>:</w:t>
      </w:r>
    </w:p>
    <w:p>
      <w:pPr>
        <w:pStyle w:val="36"/>
        <w:spacing w:line="840" w:lineRule="auto"/>
        <w:ind w:left="630"/>
        <w:rPr>
          <w:rFonts w:hAnsi="宋体"/>
          <w:sz w:val="30"/>
        </w:rPr>
      </w:pPr>
      <w:r>
        <w:rPr>
          <w:rFonts w:hint="eastAsia" w:hAnsi="宋体"/>
          <w:sz w:val="30"/>
        </w:rPr>
        <w:t>法定代表人或委托代理人（签字或盖章）</w:t>
      </w:r>
      <w:r>
        <w:rPr>
          <w:rFonts w:hAnsi="宋体"/>
          <w:sz w:val="30"/>
        </w:rPr>
        <w:t>:</w:t>
      </w:r>
    </w:p>
    <w:p>
      <w:pPr>
        <w:pStyle w:val="36"/>
        <w:spacing w:line="840" w:lineRule="auto"/>
        <w:ind w:left="210" w:firstLine="420"/>
        <w:rPr>
          <w:rFonts w:hAnsi="宋体"/>
          <w:sz w:val="72"/>
        </w:rPr>
      </w:pPr>
      <w:r>
        <w:rPr>
          <w:rFonts w:hint="eastAsia" w:hAnsi="宋体"/>
          <w:sz w:val="30"/>
        </w:rPr>
        <w:t>日期：</w:t>
      </w:r>
      <w:r>
        <w:rPr>
          <w:rFonts w:hAnsi="宋体"/>
          <w:sz w:val="30"/>
        </w:rPr>
        <w:t>__________</w:t>
      </w:r>
      <w:r>
        <w:rPr>
          <w:rFonts w:hint="eastAsia" w:hAnsi="宋体"/>
          <w:sz w:val="30"/>
        </w:rPr>
        <w:t>年</w:t>
      </w:r>
      <w:r>
        <w:rPr>
          <w:rFonts w:hAnsi="宋体"/>
          <w:sz w:val="30"/>
        </w:rPr>
        <w:t>__________</w:t>
      </w:r>
      <w:r>
        <w:rPr>
          <w:rFonts w:hint="eastAsia" w:hAnsi="宋体"/>
          <w:sz w:val="30"/>
        </w:rPr>
        <w:t>月</w:t>
      </w:r>
      <w:r>
        <w:rPr>
          <w:rFonts w:hAnsi="宋体"/>
          <w:sz w:val="30"/>
        </w:rPr>
        <w:t>____________</w:t>
      </w:r>
      <w:r>
        <w:rPr>
          <w:rFonts w:hint="eastAsia" w:hAnsi="宋体"/>
          <w:sz w:val="30"/>
        </w:rPr>
        <w:t>日</w:t>
      </w:r>
    </w:p>
    <w:p>
      <w:pPr>
        <w:spacing w:line="360" w:lineRule="auto"/>
        <w:rPr>
          <w:rFonts w:ascii="黑体" w:eastAsia="黑体"/>
          <w:b/>
          <w:sz w:val="30"/>
        </w:rPr>
      </w:pPr>
      <w:r>
        <w:rPr>
          <w:rFonts w:hint="eastAsia"/>
          <w:b/>
          <w:sz w:val="24"/>
          <w:szCs w:val="24"/>
        </w:rPr>
        <w:t>格式</w:t>
      </w:r>
      <w:r>
        <w:rPr>
          <w:rFonts w:hint="eastAsia"/>
          <w:b/>
          <w:sz w:val="24"/>
          <w:szCs w:val="24"/>
          <w:lang w:val="en-US" w:eastAsia="zh-CN"/>
        </w:rPr>
        <w:t>1</w:t>
      </w:r>
      <w:r>
        <w:rPr>
          <w:rFonts w:hint="eastAsia"/>
          <w:b/>
          <w:sz w:val="24"/>
          <w:szCs w:val="24"/>
        </w:rPr>
        <w:t>：</w:t>
      </w:r>
    </w:p>
    <w:p>
      <w:pPr>
        <w:jc w:val="center"/>
        <w:rPr>
          <w:b/>
          <w:sz w:val="24"/>
          <w:szCs w:val="24"/>
        </w:rPr>
      </w:pPr>
      <w:r>
        <w:rPr>
          <w:rFonts w:hint="eastAsia"/>
          <w:b/>
          <w:sz w:val="24"/>
          <w:szCs w:val="24"/>
        </w:rPr>
        <w:t>法定代表人资格证明书</w:t>
      </w:r>
    </w:p>
    <w:p>
      <w:pPr>
        <w:jc w:val="center"/>
        <w:rPr>
          <w:rFonts w:ascii="宋体"/>
          <w:b/>
          <w:sz w:val="28"/>
        </w:rPr>
      </w:pPr>
    </w:p>
    <w:p>
      <w:pPr>
        <w:spacing w:line="360" w:lineRule="auto"/>
        <w:rPr>
          <w:rFonts w:ascii="宋体"/>
          <w:szCs w:val="21"/>
        </w:rPr>
      </w:pPr>
      <w:r>
        <w:rPr>
          <w:rFonts w:hint="eastAsia" w:ascii="宋体"/>
          <w:szCs w:val="21"/>
        </w:rPr>
        <w:t>单位名称：</w:t>
      </w:r>
    </w:p>
    <w:p>
      <w:pPr>
        <w:spacing w:line="360" w:lineRule="auto"/>
        <w:rPr>
          <w:rFonts w:ascii="宋体"/>
          <w:szCs w:val="21"/>
        </w:rPr>
      </w:pPr>
      <w:r>
        <w:rPr>
          <w:rFonts w:hint="eastAsia" w:ascii="宋体"/>
          <w:szCs w:val="21"/>
        </w:rPr>
        <w:t>地址：</w:t>
      </w:r>
    </w:p>
    <w:p>
      <w:pPr>
        <w:spacing w:line="360" w:lineRule="auto"/>
        <w:rPr>
          <w:rFonts w:ascii="宋体"/>
          <w:szCs w:val="21"/>
        </w:rPr>
      </w:pPr>
      <w:r>
        <w:rPr>
          <w:rFonts w:hint="eastAsia" w:ascii="宋体"/>
          <w:szCs w:val="21"/>
        </w:rPr>
        <w:t>姓名： 性别：  年龄： 职务：</w:t>
      </w:r>
    </w:p>
    <w:p>
      <w:pPr>
        <w:spacing w:line="360" w:lineRule="auto"/>
        <w:rPr>
          <w:rFonts w:ascii="宋体"/>
          <w:szCs w:val="21"/>
        </w:rPr>
      </w:pPr>
      <w:r>
        <w:rPr>
          <w:rFonts w:hint="eastAsia" w:ascii="宋体"/>
          <w:szCs w:val="21"/>
        </w:rPr>
        <w:t>系的法定代表人。为签署</w:t>
      </w:r>
      <w:r>
        <w:rPr>
          <w:rFonts w:hint="eastAsia" w:ascii="宋体"/>
          <w:szCs w:val="21"/>
          <w:lang w:val="en-US" w:eastAsia="zh-CN"/>
        </w:rPr>
        <w:t xml:space="preserve">   </w:t>
      </w:r>
      <w:r>
        <w:rPr>
          <w:rFonts w:hint="eastAsia" w:ascii="仿宋" w:hAnsi="仿宋" w:eastAsia="仿宋" w:cs="Arial"/>
          <w:sz w:val="24"/>
          <w:szCs w:val="24"/>
          <w:u w:val="single"/>
          <w:lang w:val="en-US" w:eastAsia="zh-CN"/>
        </w:rPr>
        <w:t>苏舜板桥4S店</w:t>
      </w:r>
      <w:r>
        <w:rPr>
          <w:rFonts w:hint="eastAsia" w:ascii="宋体"/>
          <w:szCs w:val="21"/>
          <w:u w:val="single"/>
        </w:rPr>
        <w:t xml:space="preserve">装饰工程（招标编号：           ）  </w:t>
      </w:r>
      <w:r>
        <w:rPr>
          <w:rFonts w:hint="eastAsia" w:ascii="宋体"/>
          <w:szCs w:val="21"/>
        </w:rPr>
        <w:t>投标文件、进行合同谈判、签署合同和处理与之有关的一切事务。</w:t>
      </w:r>
    </w:p>
    <w:p>
      <w:pPr>
        <w:pStyle w:val="41"/>
        <w:spacing w:line="360" w:lineRule="auto"/>
        <w:ind w:left="5250"/>
        <w:rPr>
          <w:szCs w:val="21"/>
        </w:rPr>
      </w:pPr>
      <w:r>
        <w:rPr>
          <w:rFonts w:hint="eastAsia"/>
          <w:szCs w:val="21"/>
        </w:rPr>
        <w:t>特此证明。</w:t>
      </w:r>
    </w:p>
    <w:p>
      <w:pPr>
        <w:spacing w:line="360" w:lineRule="auto"/>
        <w:rPr>
          <w:rFonts w:ascii="宋体"/>
          <w:szCs w:val="21"/>
        </w:rPr>
      </w:pPr>
    </w:p>
    <w:p>
      <w:pPr>
        <w:spacing w:line="360" w:lineRule="auto"/>
        <w:jc w:val="center"/>
        <w:rPr>
          <w:rFonts w:ascii="宋体"/>
          <w:szCs w:val="21"/>
        </w:rPr>
      </w:pPr>
      <w:r>
        <w:rPr>
          <w:rFonts w:hint="eastAsia" w:ascii="宋体"/>
          <w:szCs w:val="21"/>
        </w:rPr>
        <w:tab/>
      </w:r>
      <w:r>
        <w:rPr>
          <w:rFonts w:hint="eastAsia" w:ascii="宋体"/>
          <w:szCs w:val="21"/>
        </w:rPr>
        <w:t>投标人(盖章)：</w:t>
      </w:r>
    </w:p>
    <w:p>
      <w:pPr>
        <w:spacing w:after="240"/>
        <w:jc w:val="center"/>
        <w:rPr>
          <w:rFonts w:ascii="宋体"/>
          <w:szCs w:val="21"/>
        </w:rPr>
      </w:pPr>
      <w:r>
        <w:rPr>
          <w:rFonts w:hint="eastAsia" w:ascii="宋体"/>
          <w:szCs w:val="21"/>
        </w:rPr>
        <w:t xml:space="preserve">                               日期：    年   月   日</w:t>
      </w:r>
    </w:p>
    <w:p>
      <w:pPr>
        <w:spacing w:line="360" w:lineRule="auto"/>
        <w:jc w:val="left"/>
      </w:pPr>
    </w:p>
    <w:p>
      <w:pPr>
        <w:spacing w:after="240"/>
        <w:rPr>
          <w:b/>
          <w:sz w:val="24"/>
          <w:szCs w:val="24"/>
        </w:rPr>
      </w:pPr>
      <w:r>
        <w:rPr>
          <w:b/>
          <w:sz w:val="24"/>
          <w:szCs w:val="24"/>
        </w:rPr>
        <w:br w:type="page"/>
      </w:r>
      <w:r>
        <w:rPr>
          <w:rFonts w:hint="eastAsia"/>
          <w:b/>
          <w:sz w:val="24"/>
          <w:szCs w:val="24"/>
        </w:rPr>
        <w:t>格式</w:t>
      </w:r>
      <w:r>
        <w:rPr>
          <w:rFonts w:hint="eastAsia"/>
          <w:b/>
          <w:sz w:val="24"/>
          <w:szCs w:val="24"/>
          <w:lang w:val="en-US" w:eastAsia="zh-CN"/>
        </w:rPr>
        <w:t>2</w:t>
      </w:r>
      <w:r>
        <w:rPr>
          <w:rFonts w:hint="eastAsia"/>
          <w:b/>
          <w:sz w:val="24"/>
          <w:szCs w:val="24"/>
        </w:rPr>
        <w:t>：</w:t>
      </w:r>
    </w:p>
    <w:p>
      <w:pPr>
        <w:jc w:val="center"/>
        <w:rPr>
          <w:b/>
          <w:sz w:val="24"/>
          <w:szCs w:val="24"/>
        </w:rPr>
      </w:pPr>
      <w:r>
        <w:rPr>
          <w:rFonts w:hint="eastAsia"/>
          <w:b/>
          <w:sz w:val="24"/>
          <w:szCs w:val="24"/>
        </w:rPr>
        <w:t>授权委托书</w:t>
      </w:r>
    </w:p>
    <w:p>
      <w:pPr>
        <w:spacing w:after="120" w:line="360" w:lineRule="auto"/>
        <w:rPr>
          <w:rFonts w:ascii="宋体"/>
          <w:b/>
          <w:szCs w:val="21"/>
        </w:rPr>
      </w:pPr>
    </w:p>
    <w:p>
      <w:pPr>
        <w:spacing w:after="120" w:line="360" w:lineRule="auto"/>
        <w:rPr>
          <w:rFonts w:ascii="宋体"/>
          <w:szCs w:val="21"/>
        </w:rPr>
      </w:pPr>
      <w:r>
        <w:rPr>
          <w:rFonts w:hint="eastAsia" w:ascii="宋体"/>
          <w:b/>
          <w:szCs w:val="21"/>
        </w:rPr>
        <w:t>致</w:t>
      </w:r>
      <w:r>
        <w:rPr>
          <w:rFonts w:hint="eastAsia" w:ascii="宋体"/>
          <w:szCs w:val="21"/>
        </w:rPr>
        <w:t>：</w:t>
      </w:r>
    </w:p>
    <w:p>
      <w:pPr>
        <w:spacing w:line="360" w:lineRule="auto"/>
        <w:ind w:firstLine="420"/>
        <w:rPr>
          <w:rFonts w:ascii="宋体"/>
          <w:szCs w:val="21"/>
        </w:rPr>
      </w:pPr>
      <w:r>
        <w:rPr>
          <w:rFonts w:hint="eastAsia" w:ascii="宋体"/>
          <w:szCs w:val="21"/>
        </w:rPr>
        <w:t>本授权委托书声明：</w:t>
      </w:r>
    </w:p>
    <w:p>
      <w:pPr>
        <w:spacing w:line="360" w:lineRule="auto"/>
        <w:ind w:firstLine="420"/>
        <w:rPr>
          <w:rFonts w:ascii="宋体"/>
          <w:szCs w:val="21"/>
        </w:rPr>
      </w:pPr>
      <w:r>
        <w:rPr>
          <w:rFonts w:ascii="宋体"/>
          <w:szCs w:val="21"/>
        </w:rPr>
        <mc:AlternateContent>
          <mc:Choice Requires="wps">
            <w:drawing>
              <wp:anchor distT="0" distB="0" distL="114300" distR="114300" simplePos="0" relativeHeight="251659264" behindDoc="0" locked="0" layoutInCell="0" allowOverlap="1">
                <wp:simplePos x="0" y="0"/>
                <wp:positionH relativeFrom="column">
                  <wp:posOffset>3086100</wp:posOffset>
                </wp:positionH>
                <wp:positionV relativeFrom="paragraph">
                  <wp:posOffset>46990</wp:posOffset>
                </wp:positionV>
                <wp:extent cx="25400" cy="19050"/>
                <wp:effectExtent l="0" t="0" r="12700" b="0"/>
                <wp:wrapNone/>
                <wp:docPr id="2" name="直线 2"/>
                <wp:cNvGraphicFramePr/>
                <a:graphic xmlns:a="http://schemas.openxmlformats.org/drawingml/2006/main">
                  <a:graphicData uri="http://schemas.microsoft.com/office/word/2010/wordprocessingShape">
                    <wps:wsp>
                      <wps:cNvCnPr>
                        <a:cxnSpLocks noChangeShapeType="1"/>
                      </wps:cNvCnPr>
                      <wps:spPr bwMode="auto">
                        <a:xfrm flipH="1">
                          <a:off x="0" y="0"/>
                          <a:ext cx="25400" cy="19050"/>
                        </a:xfrm>
                        <a:prstGeom prst="line">
                          <a:avLst/>
                        </a:prstGeom>
                        <a:noFill/>
                        <a:ln w="9525" cmpd="sng">
                          <a:solidFill>
                            <a:srgbClr val="000000"/>
                          </a:solidFill>
                          <a:round/>
                        </a:ln>
                      </wps:spPr>
                      <wps:bodyPr/>
                    </wps:wsp>
                  </a:graphicData>
                </a:graphic>
              </wp:anchor>
            </w:drawing>
          </mc:Choice>
          <mc:Fallback>
            <w:pict>
              <v:line id="直线 2" o:spid="_x0000_s1026" o:spt="20" style="position:absolute;left:0pt;flip:x;margin-left:243pt;margin-top:3.7pt;height:1.5pt;width:2pt;z-index:251659264;mso-width-relative:page;mso-height-relative:page;" filled="f" stroked="t" coordsize="21600,21600" o:allowincell="f" o:gfxdata="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3p9kLWAAAA&#10;CAEAAA8AAAAAAAAAAQAgAAAAIgAAAGRycy9kb3ducmV2LnhtbFBLAQIUABQAAAAIAIdO4kB76u5t&#10;5gEAALgDAAAOAAAAAAAAAAEAIAAAACUBAABkcnMvZTJvRG9jLnhtbFBLBQYAAAAABgAGAFkBAAB9&#10;BQAAAAA=&#10;">
                <v:fill on="f" focussize="0,0"/>
                <v:stroke color="#000000" joinstyle="round"/>
                <v:imagedata o:title=""/>
                <o:lock v:ext="edit" aspectratio="f"/>
              </v:line>
            </w:pict>
          </mc:Fallback>
        </mc:AlternateContent>
      </w:r>
      <w:r>
        <w:rPr>
          <w:rFonts w:hint="eastAsia" w:ascii="宋体"/>
          <w:szCs w:val="21"/>
        </w:rPr>
        <w:t>我（姓名），系 （投标人名称）的法定代表人，现授权委托</w:t>
      </w:r>
      <w:r>
        <w:rPr>
          <w:rFonts w:hint="eastAsia" w:ascii="宋体"/>
          <w:szCs w:val="21"/>
          <w:u w:val="single"/>
        </w:rPr>
        <w:t xml:space="preserve">(姓名)     </w:t>
      </w:r>
      <w:r>
        <w:rPr>
          <w:rFonts w:hint="eastAsia" w:ascii="宋体"/>
          <w:szCs w:val="21"/>
        </w:rPr>
        <w:t>为我公司授权代理人，以本公司的名义参加</w:t>
      </w:r>
      <w:r>
        <w:rPr>
          <w:rFonts w:hint="eastAsia" w:ascii="宋体"/>
          <w:szCs w:val="21"/>
          <w:u w:val="single"/>
        </w:rPr>
        <w:t xml:space="preserve">  苏舜</w:t>
      </w:r>
      <w:r>
        <w:rPr>
          <w:rFonts w:hint="eastAsia" w:ascii="宋体"/>
          <w:szCs w:val="21"/>
          <w:u w:val="single"/>
          <w:lang w:val="en-US" w:eastAsia="zh-CN"/>
        </w:rPr>
        <w:t>板桥4S店</w:t>
      </w:r>
      <w:r>
        <w:rPr>
          <w:rFonts w:hint="eastAsia" w:ascii="宋体"/>
          <w:szCs w:val="21"/>
          <w:u w:val="single"/>
        </w:rPr>
        <w:t xml:space="preserve">装饰工程（招标编号：         ）   </w:t>
      </w:r>
      <w:r>
        <w:rPr>
          <w:rFonts w:hint="eastAsia" w:ascii="宋体" w:hAnsi="宋体"/>
          <w:szCs w:val="21"/>
        </w:rPr>
        <w:t>的招</w:t>
      </w:r>
      <w:r>
        <w:rPr>
          <w:rFonts w:hint="eastAsia" w:ascii="宋体"/>
          <w:szCs w:val="21"/>
        </w:rPr>
        <w:t>投标活动。</w:t>
      </w:r>
    </w:p>
    <w:p>
      <w:pPr>
        <w:pStyle w:val="27"/>
        <w:spacing w:line="360" w:lineRule="auto"/>
        <w:ind w:left="0" w:leftChars="0" w:firstLine="420" w:firstLineChars="200"/>
        <w:rPr>
          <w:szCs w:val="21"/>
        </w:rPr>
      </w:pPr>
      <w:r>
        <w:rPr>
          <w:rFonts w:hint="eastAsia"/>
          <w:szCs w:val="21"/>
        </w:rPr>
        <w:t>授权代理人在开标、评标、合同谈判、签约及办理相关公证等过程中所签署的一切文件和处理与之有关的一切事物，我均予以承认。该被授权人在宁办理相关事宜无转委权。</w:t>
      </w:r>
    </w:p>
    <w:p>
      <w:pPr>
        <w:spacing w:line="360" w:lineRule="auto"/>
        <w:ind w:left="840"/>
        <w:rPr>
          <w:rFonts w:ascii="宋体"/>
          <w:szCs w:val="21"/>
        </w:rPr>
      </w:pPr>
      <w:r>
        <w:rPr>
          <w:rFonts w:hint="eastAsia" w:ascii="宋体"/>
          <w:szCs w:val="21"/>
        </w:rPr>
        <w:t>授权代理人：         性别：    年龄：    职务：</w:t>
      </w:r>
    </w:p>
    <w:p>
      <w:pPr>
        <w:spacing w:line="360" w:lineRule="auto"/>
        <w:ind w:left="840"/>
        <w:rPr>
          <w:rFonts w:ascii="宋体"/>
          <w:szCs w:val="21"/>
        </w:rPr>
      </w:pPr>
      <w:r>
        <w:rPr>
          <w:rFonts w:hint="eastAsia" w:ascii="宋体"/>
          <w:szCs w:val="21"/>
        </w:rPr>
        <w:t xml:space="preserve">身份证号码：  </w:t>
      </w:r>
    </w:p>
    <w:p>
      <w:pPr>
        <w:spacing w:line="360" w:lineRule="auto"/>
        <w:rPr>
          <w:rFonts w:ascii="宋体"/>
          <w:szCs w:val="21"/>
        </w:rPr>
      </w:pPr>
      <w:r>
        <w:rPr>
          <w:rFonts w:hint="eastAsia" w:ascii="宋体"/>
          <w:szCs w:val="21"/>
        </w:rPr>
        <w:t>特此委托。</w:t>
      </w:r>
    </w:p>
    <w:p>
      <w:pPr>
        <w:spacing w:line="360" w:lineRule="auto"/>
        <w:rPr>
          <w:rFonts w:ascii="宋体"/>
          <w:szCs w:val="21"/>
        </w:rPr>
      </w:pP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投    标    人（公章）：</w:t>
      </w: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法人代表（签字或印章）：</w:t>
      </w: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 xml:space="preserve">授权代理人（签字或印章）：                </w:t>
      </w:r>
    </w:p>
    <w:p>
      <w:pPr>
        <w:spacing w:line="360" w:lineRule="auto"/>
        <w:ind w:left="4200" w:leftChars="2000" w:firstLine="420" w:firstLineChars="200"/>
        <w:rPr>
          <w:rFonts w:ascii="宋体"/>
          <w:szCs w:val="21"/>
        </w:rPr>
      </w:pPr>
      <w:r>
        <w:rPr>
          <w:rFonts w:hint="eastAsia" w:ascii="宋体"/>
          <w:szCs w:val="21"/>
        </w:rPr>
        <w:t>日  期 ：   年  月  日</w:t>
      </w:r>
    </w:p>
    <w:p>
      <w:pPr>
        <w:spacing w:line="300" w:lineRule="auto"/>
        <w:rPr>
          <w:b/>
          <w:sz w:val="24"/>
          <w:szCs w:val="24"/>
        </w:rPr>
      </w:pPr>
      <w:r>
        <w:rPr>
          <w:b/>
          <w:sz w:val="24"/>
          <w:szCs w:val="24"/>
        </w:rPr>
        <w:br w:type="page"/>
      </w:r>
      <w:r>
        <w:rPr>
          <w:rFonts w:hint="eastAsia"/>
          <w:b/>
          <w:sz w:val="24"/>
          <w:szCs w:val="24"/>
        </w:rPr>
        <w:t>格式4：</w:t>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p>
    <w:p>
      <w:pPr>
        <w:jc w:val="center"/>
        <w:rPr>
          <w:rFonts w:ascii="宋体" w:hAnsi="宋体"/>
          <w:b/>
          <w:sz w:val="32"/>
          <w:szCs w:val="32"/>
        </w:rPr>
      </w:pPr>
      <w:r>
        <w:rPr>
          <w:rFonts w:hint="eastAsia" w:ascii="宋体" w:hAnsi="宋体"/>
          <w:b/>
          <w:sz w:val="32"/>
          <w:szCs w:val="32"/>
        </w:rPr>
        <w:t>投标报价表</w:t>
      </w:r>
    </w:p>
    <w:p>
      <w:pPr>
        <w:jc w:val="center"/>
        <w:rPr>
          <w:rFonts w:ascii="宋体" w:hAnsi="宋体"/>
          <w:b/>
          <w:sz w:val="24"/>
          <w:szCs w:val="24"/>
        </w:rPr>
      </w:pPr>
      <w:r>
        <w:rPr>
          <w:rFonts w:hint="eastAsia" w:ascii="宋体" w:hAnsi="宋体"/>
          <w:b/>
          <w:sz w:val="24"/>
          <w:szCs w:val="24"/>
        </w:rPr>
        <w:t>（根据招标人提供的工程量清单填写）</w:t>
      </w:r>
    </w:p>
    <w:p>
      <w:pPr>
        <w:pageBreakBefore/>
        <w:rPr>
          <w:rFonts w:ascii="宋体" w:hAnsi="宋体"/>
          <w:b/>
          <w:spacing w:val="20"/>
          <w:sz w:val="24"/>
          <w:szCs w:val="24"/>
        </w:rPr>
      </w:pPr>
      <w:r>
        <w:rPr>
          <w:rFonts w:hint="eastAsia"/>
          <w:b/>
          <w:sz w:val="24"/>
          <w:szCs w:val="24"/>
        </w:rPr>
        <w:t>格式5：</w:t>
      </w:r>
      <w:r>
        <w:rPr>
          <w:rFonts w:hint="eastAsia" w:ascii="宋体" w:hAnsi="宋体"/>
          <w:b/>
          <w:spacing w:val="20"/>
          <w:sz w:val="24"/>
          <w:szCs w:val="24"/>
        </w:rPr>
        <w:t>商务条款与技术条款偏离表</w:t>
      </w:r>
    </w:p>
    <w:p>
      <w:pPr>
        <w:spacing w:after="156" w:afterLines="50"/>
        <w:jc w:val="center"/>
        <w:rPr>
          <w:rFonts w:ascii="宋体" w:hAnsi="宋体"/>
          <w:b/>
          <w:spacing w:val="20"/>
          <w:sz w:val="24"/>
          <w:szCs w:val="24"/>
        </w:rPr>
      </w:pPr>
      <w:r>
        <w:rPr>
          <w:rFonts w:hint="eastAsia" w:ascii="宋体" w:hAnsi="宋体"/>
          <w:b/>
          <w:spacing w:val="20"/>
          <w:sz w:val="24"/>
          <w:szCs w:val="24"/>
        </w:rPr>
        <w:t>5-1商务条款偏离表</w:t>
      </w:r>
    </w:p>
    <w:p>
      <w:pPr>
        <w:rPr>
          <w:rFonts w:ascii="宋体" w:hAnsi="宋体"/>
          <w:spacing w:val="20"/>
          <w:szCs w:val="21"/>
        </w:rPr>
      </w:pPr>
    </w:p>
    <w:p>
      <w:pPr>
        <w:rPr>
          <w:rFonts w:ascii="宋体" w:hAnsi="宋体"/>
          <w:spacing w:val="20"/>
          <w:szCs w:val="21"/>
        </w:rPr>
      </w:pPr>
      <w:r>
        <w:rPr>
          <w:rFonts w:hint="eastAsia" w:ascii="宋体" w:hAnsi="宋体"/>
          <w:spacing w:val="20"/>
          <w:szCs w:val="21"/>
        </w:rPr>
        <w:t>招标编号：</w:t>
      </w:r>
    </w:p>
    <w:tbl>
      <w:tblPr>
        <w:tblStyle w:val="63"/>
        <w:tblW w:w="0" w:type="auto"/>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507"/>
        <w:gridCol w:w="2835"/>
        <w:gridCol w:w="12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b/>
                <w:spacing w:val="20"/>
                <w:szCs w:val="21"/>
              </w:rPr>
            </w:pPr>
            <w:r>
              <w:rPr>
                <w:rFonts w:hint="eastAsia" w:ascii="宋体" w:hAnsi="宋体"/>
                <w:b/>
                <w:spacing w:val="20"/>
                <w:szCs w:val="21"/>
              </w:rPr>
              <w:t>序号</w:t>
            </w:r>
          </w:p>
        </w:tc>
        <w:tc>
          <w:tcPr>
            <w:tcW w:w="4507" w:type="dxa"/>
            <w:vAlign w:val="center"/>
          </w:tcPr>
          <w:p>
            <w:pPr>
              <w:jc w:val="center"/>
              <w:rPr>
                <w:rFonts w:ascii="宋体" w:hAnsi="宋体"/>
                <w:b/>
                <w:spacing w:val="20"/>
                <w:szCs w:val="21"/>
              </w:rPr>
            </w:pPr>
            <w:r>
              <w:rPr>
                <w:rFonts w:hint="eastAsia" w:ascii="宋体" w:hAnsi="宋体"/>
                <w:b/>
                <w:spacing w:val="20"/>
                <w:szCs w:val="21"/>
              </w:rPr>
              <w:t>招标文件的商务条款</w:t>
            </w:r>
          </w:p>
        </w:tc>
        <w:tc>
          <w:tcPr>
            <w:tcW w:w="2835" w:type="dxa"/>
            <w:vAlign w:val="center"/>
          </w:tcPr>
          <w:p>
            <w:pPr>
              <w:jc w:val="center"/>
              <w:rPr>
                <w:rFonts w:ascii="宋体" w:hAnsi="宋体"/>
                <w:b/>
                <w:spacing w:val="20"/>
                <w:szCs w:val="21"/>
              </w:rPr>
            </w:pPr>
            <w:r>
              <w:rPr>
                <w:rFonts w:hint="eastAsia" w:ascii="宋体" w:hAnsi="宋体"/>
                <w:b/>
                <w:spacing w:val="20"/>
                <w:szCs w:val="21"/>
              </w:rPr>
              <w:t>投标文件的商务条款</w:t>
            </w:r>
          </w:p>
        </w:tc>
        <w:tc>
          <w:tcPr>
            <w:tcW w:w="1276" w:type="dxa"/>
            <w:vAlign w:val="center"/>
          </w:tcPr>
          <w:p>
            <w:pPr>
              <w:jc w:val="center"/>
              <w:rPr>
                <w:rFonts w:ascii="宋体" w:hAns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507" w:type="dxa"/>
            <w:vAlign w:val="center"/>
          </w:tcPr>
          <w:p>
            <w:pPr>
              <w:jc w:val="center"/>
              <w:rPr>
                <w:rFonts w:ascii="宋体" w:hAnsi="宋体"/>
                <w:spacing w:val="20"/>
                <w:szCs w:val="21"/>
              </w:rPr>
            </w:pPr>
          </w:p>
        </w:tc>
        <w:tc>
          <w:tcPr>
            <w:tcW w:w="2835" w:type="dxa"/>
            <w:vAlign w:val="center"/>
          </w:tcPr>
          <w:p>
            <w:pPr>
              <w:jc w:val="center"/>
              <w:rPr>
                <w:rFonts w:ascii="宋体" w:hAnsi="宋体"/>
                <w:spacing w:val="20"/>
                <w:szCs w:val="21"/>
              </w:rPr>
            </w:pPr>
          </w:p>
        </w:tc>
        <w:tc>
          <w:tcPr>
            <w:tcW w:w="1276" w:type="dxa"/>
            <w:vAlign w:val="center"/>
          </w:tcPr>
          <w:p>
            <w:pPr>
              <w:jc w:val="cente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bl>
    <w:p>
      <w:pPr>
        <w:rPr>
          <w:rFonts w:ascii="宋体" w:hAnsi="宋体"/>
          <w:szCs w:val="21"/>
        </w:rPr>
      </w:pPr>
      <w:r>
        <w:rPr>
          <w:rFonts w:hint="eastAsia" w:ascii="宋体" w:hAnsi="宋体"/>
          <w:szCs w:val="21"/>
        </w:rPr>
        <w:t>备注：</w:t>
      </w:r>
    </w:p>
    <w:p>
      <w:pPr>
        <w:rPr>
          <w:rFonts w:ascii="宋体" w:hAnsi="宋体"/>
          <w:szCs w:val="21"/>
        </w:rPr>
      </w:pPr>
      <w:r>
        <w:rPr>
          <w:rFonts w:hint="eastAsia" w:ascii="宋体" w:hAnsi="宋体"/>
          <w:szCs w:val="21"/>
        </w:rPr>
        <w:t>1、商务条款内容主要是针对《招标文件》有关的包括付款条件、交货期、质保期、合同特殊条款等内容。</w:t>
      </w:r>
    </w:p>
    <w:p>
      <w:pPr>
        <w:rPr>
          <w:rFonts w:ascii="宋体" w:hAnsi="宋体"/>
          <w:szCs w:val="21"/>
        </w:rPr>
      </w:pPr>
      <w:r>
        <w:rPr>
          <w:rFonts w:hint="eastAsia" w:ascii="宋体" w:hAnsi="宋体"/>
          <w:szCs w:val="21"/>
        </w:rPr>
        <w:t>2、无偏离应在本表空白处醒目地注明“无商务条款偏离”的字样。</w:t>
      </w:r>
    </w:p>
    <w:p>
      <w:pPr>
        <w:rPr>
          <w:rFonts w:ascii="宋体" w:hAnsi="宋体"/>
          <w:szCs w:val="21"/>
        </w:rPr>
      </w:pPr>
      <w:r>
        <w:rPr>
          <w:rFonts w:hint="eastAsia" w:ascii="宋体" w:hAnsi="宋体"/>
          <w:szCs w:val="21"/>
        </w:rPr>
        <w:t>3、如不填写，则视为完全响应招标文件的技术要求。</w:t>
      </w:r>
    </w:p>
    <w:p>
      <w:pPr>
        <w:rPr>
          <w:rFonts w:ascii="宋体" w:hAnsi="宋体"/>
          <w:szCs w:val="21"/>
        </w:rPr>
      </w:pPr>
    </w:p>
    <w:p>
      <w:pPr>
        <w:rPr>
          <w:rFonts w:ascii="宋体" w:hAnsi="宋体"/>
          <w:spacing w:val="20"/>
          <w:szCs w:val="21"/>
          <w:u w:val="single"/>
        </w:rPr>
      </w:pPr>
      <w:r>
        <w:rPr>
          <w:rFonts w:hint="eastAsia" w:ascii="宋体" w:hAnsi="宋体"/>
          <w:spacing w:val="20"/>
          <w:szCs w:val="21"/>
        </w:rPr>
        <w:t>投标人名称（加盖公章）：</w:t>
      </w:r>
    </w:p>
    <w:p>
      <w:pPr>
        <w:rPr>
          <w:rFonts w:ascii="宋体" w:hAnsi="宋体"/>
          <w:spacing w:val="20"/>
          <w:szCs w:val="21"/>
          <w:u w:val="single"/>
        </w:rPr>
      </w:pPr>
    </w:p>
    <w:p>
      <w:pPr>
        <w:rPr>
          <w:rFonts w:ascii="宋体" w:hAnsi="宋体"/>
          <w:spacing w:val="20"/>
          <w:szCs w:val="21"/>
          <w:u w:val="single"/>
        </w:rPr>
      </w:pPr>
      <w:r>
        <w:rPr>
          <w:rFonts w:hint="eastAsia" w:ascii="宋体" w:hAnsi="宋体"/>
          <w:spacing w:val="20"/>
          <w:szCs w:val="21"/>
        </w:rPr>
        <w:t>全权代表签字</w:t>
      </w:r>
    </w:p>
    <w:p>
      <w:pPr>
        <w:rPr>
          <w:rFonts w:ascii="宋体" w:hAnsi="宋体"/>
          <w:spacing w:val="20"/>
          <w:szCs w:val="21"/>
          <w:u w:val="single"/>
        </w:rPr>
      </w:pPr>
    </w:p>
    <w:p>
      <w:pPr>
        <w:rPr>
          <w:rFonts w:ascii="宋体" w:hAnsi="宋体"/>
          <w:spacing w:val="20"/>
          <w:szCs w:val="21"/>
          <w:u w:val="single"/>
        </w:rPr>
      </w:pPr>
      <w:r>
        <w:rPr>
          <w:rFonts w:hint="eastAsia" w:ascii="宋体" w:hAnsi="宋体"/>
          <w:spacing w:val="20"/>
          <w:szCs w:val="21"/>
        </w:rPr>
        <w:t>日期：</w:t>
      </w:r>
    </w:p>
    <w:p>
      <w:pPr>
        <w:spacing w:line="360" w:lineRule="auto"/>
        <w:jc w:val="left"/>
        <w:rPr>
          <w:b/>
          <w:sz w:val="24"/>
          <w:szCs w:val="24"/>
          <w:u w:val="dotted"/>
        </w:rPr>
      </w:pPr>
    </w:p>
    <w:p>
      <w:pPr>
        <w:spacing w:after="156" w:afterLines="50"/>
        <w:jc w:val="center"/>
        <w:rPr>
          <w:rFonts w:ascii="宋体" w:hAnsi="宋体"/>
          <w:b/>
          <w:spacing w:val="20"/>
          <w:sz w:val="24"/>
          <w:szCs w:val="24"/>
        </w:rPr>
      </w:pPr>
      <w:r>
        <w:rPr>
          <w:rFonts w:hint="eastAsia" w:ascii="宋体" w:hAnsi="宋体"/>
          <w:b/>
          <w:spacing w:val="20"/>
          <w:sz w:val="24"/>
          <w:szCs w:val="24"/>
        </w:rPr>
        <w:t>5-2技术条款偏离表</w:t>
      </w:r>
    </w:p>
    <w:p>
      <w:pPr>
        <w:rPr>
          <w:rFonts w:ascii="宋体" w:hAnsi="宋体"/>
          <w:spacing w:val="20"/>
          <w:szCs w:val="21"/>
        </w:rPr>
      </w:pPr>
      <w:r>
        <w:rPr>
          <w:rFonts w:hint="eastAsia" w:ascii="宋体" w:hAnsi="宋体"/>
          <w:spacing w:val="20"/>
          <w:szCs w:val="21"/>
        </w:rPr>
        <w:t>招标编号：</w:t>
      </w:r>
    </w:p>
    <w:tbl>
      <w:tblPr>
        <w:tblStyle w:val="63"/>
        <w:tblW w:w="0" w:type="auto"/>
        <w:tblInd w:w="-93"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615"/>
        <w:gridCol w:w="2654"/>
        <w:gridCol w:w="145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blHeader/>
        </w:trPr>
        <w:tc>
          <w:tcPr>
            <w:tcW w:w="738" w:type="dxa"/>
            <w:vAlign w:val="center"/>
          </w:tcPr>
          <w:p>
            <w:pPr>
              <w:jc w:val="center"/>
              <w:rPr>
                <w:rFonts w:ascii="宋体" w:hAnsi="宋体"/>
                <w:b/>
                <w:spacing w:val="20"/>
                <w:szCs w:val="21"/>
              </w:rPr>
            </w:pPr>
            <w:r>
              <w:rPr>
                <w:rFonts w:hint="eastAsia" w:ascii="宋体" w:hAnsi="宋体"/>
                <w:b/>
                <w:spacing w:val="20"/>
                <w:szCs w:val="21"/>
              </w:rPr>
              <w:t>序号</w:t>
            </w:r>
          </w:p>
        </w:tc>
        <w:tc>
          <w:tcPr>
            <w:tcW w:w="4615" w:type="dxa"/>
            <w:vAlign w:val="center"/>
          </w:tcPr>
          <w:p>
            <w:pPr>
              <w:jc w:val="center"/>
              <w:rPr>
                <w:rFonts w:ascii="宋体" w:hAnsi="宋体"/>
                <w:b/>
                <w:spacing w:val="20"/>
                <w:szCs w:val="21"/>
              </w:rPr>
            </w:pPr>
            <w:r>
              <w:rPr>
                <w:rFonts w:hint="eastAsia" w:ascii="宋体" w:hAnsi="宋体"/>
                <w:b/>
                <w:spacing w:val="20"/>
                <w:szCs w:val="21"/>
              </w:rPr>
              <w:t>招标文件的技术条款</w:t>
            </w:r>
          </w:p>
        </w:tc>
        <w:tc>
          <w:tcPr>
            <w:tcW w:w="2654" w:type="dxa"/>
            <w:vAlign w:val="center"/>
          </w:tcPr>
          <w:p>
            <w:pPr>
              <w:jc w:val="center"/>
              <w:rPr>
                <w:rFonts w:ascii="宋体" w:hAnsi="宋体"/>
                <w:b/>
                <w:spacing w:val="20"/>
                <w:szCs w:val="21"/>
              </w:rPr>
            </w:pPr>
            <w:r>
              <w:rPr>
                <w:rFonts w:hint="eastAsia" w:ascii="宋体" w:hAnsi="宋体"/>
                <w:b/>
                <w:spacing w:val="20"/>
                <w:szCs w:val="21"/>
              </w:rPr>
              <w:t>投标文件的技术条款</w:t>
            </w:r>
          </w:p>
        </w:tc>
        <w:tc>
          <w:tcPr>
            <w:tcW w:w="1457" w:type="dxa"/>
            <w:vAlign w:val="center"/>
          </w:tcPr>
          <w:p>
            <w:pPr>
              <w:jc w:val="center"/>
              <w:rPr>
                <w:rFonts w:ascii="宋体" w:hAns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615" w:type="dxa"/>
            <w:vAlign w:val="center"/>
          </w:tcPr>
          <w:p>
            <w:pPr>
              <w:rPr>
                <w:rFonts w:ascii="宋体" w:hAnsi="宋体"/>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hAnsi="宋体"/>
                <w:spacing w:val="20"/>
                <w:szCs w:val="21"/>
              </w:rPr>
            </w:pPr>
          </w:p>
        </w:tc>
        <w:tc>
          <w:tcPr>
            <w:tcW w:w="4615" w:type="dxa"/>
            <w:vAlign w:val="center"/>
          </w:tcPr>
          <w:p>
            <w:pPr>
              <w:rPr>
                <w:rFonts w:ascii="宋体" w:hAnsi="宋体"/>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615" w:type="dxa"/>
          </w:tcPr>
          <w:p>
            <w:pPr>
              <w:tabs>
                <w:tab w:val="left" w:pos="3390"/>
              </w:tabs>
              <w:jc w:val="left"/>
              <w:rPr>
                <w:b/>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hAnsi="宋体"/>
                <w:spacing w:val="20"/>
                <w:szCs w:val="21"/>
              </w:rPr>
            </w:pPr>
            <w:r>
              <w:rPr>
                <w:rFonts w:hint="eastAsia" w:ascii="宋体" w:hAnsi="宋体"/>
                <w:spacing w:val="20"/>
                <w:szCs w:val="21"/>
              </w:rPr>
              <w:t>……</w:t>
            </w:r>
          </w:p>
        </w:tc>
        <w:tc>
          <w:tcPr>
            <w:tcW w:w="4615" w:type="dxa"/>
          </w:tcPr>
          <w:p>
            <w:pPr>
              <w:rPr>
                <w:rFonts w:ascii="宋体" w:hAnsi="宋体"/>
                <w:spacing w:val="20"/>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bl>
    <w:p>
      <w:pPr>
        <w:rPr>
          <w:rFonts w:ascii="宋体" w:hAnsi="宋体"/>
          <w:szCs w:val="21"/>
        </w:rPr>
      </w:pPr>
      <w:r>
        <w:rPr>
          <w:rFonts w:hint="eastAsia" w:ascii="宋体" w:hAnsi="宋体"/>
          <w:szCs w:val="21"/>
        </w:rPr>
        <w:t>备注：</w:t>
      </w:r>
    </w:p>
    <w:p>
      <w:pPr>
        <w:rPr>
          <w:rFonts w:ascii="宋体" w:hAnsi="宋体"/>
          <w:szCs w:val="21"/>
        </w:rPr>
      </w:pPr>
      <w:r>
        <w:rPr>
          <w:rFonts w:hint="eastAsia" w:ascii="宋体" w:hAnsi="宋体"/>
          <w:szCs w:val="21"/>
        </w:rPr>
        <w:t>1、无偏离应在本表空白处醒目地注明“无技术条款偏离”的字样。</w:t>
      </w:r>
    </w:p>
    <w:p>
      <w:pPr>
        <w:rPr>
          <w:rFonts w:ascii="宋体" w:hAnsi="宋体"/>
          <w:szCs w:val="21"/>
        </w:rPr>
      </w:pPr>
      <w:r>
        <w:rPr>
          <w:rFonts w:hint="eastAsia" w:ascii="宋体" w:hAnsi="宋体"/>
          <w:szCs w:val="21"/>
        </w:rPr>
        <w:t>2、如不填写，则视为完全响应招标文件的技术要求。</w:t>
      </w:r>
    </w:p>
    <w:p>
      <w:pPr>
        <w:rPr>
          <w:rFonts w:ascii="宋体" w:hAnsi="宋体"/>
          <w:szCs w:val="21"/>
        </w:rPr>
      </w:pPr>
    </w:p>
    <w:p>
      <w:pPr>
        <w:rPr>
          <w:rFonts w:ascii="宋体" w:hAnsi="宋体"/>
          <w:spacing w:val="20"/>
          <w:szCs w:val="21"/>
          <w:u w:val="single"/>
        </w:rPr>
      </w:pPr>
      <w:r>
        <w:rPr>
          <w:rFonts w:hint="eastAsia" w:ascii="宋体" w:hAnsi="宋体"/>
          <w:spacing w:val="20"/>
          <w:szCs w:val="21"/>
        </w:rPr>
        <w:t>投标人名称（加盖公章）：</w:t>
      </w:r>
    </w:p>
    <w:p>
      <w:pPr>
        <w:rPr>
          <w:rFonts w:ascii="宋体" w:hAnsi="宋体"/>
          <w:spacing w:val="20"/>
          <w:szCs w:val="21"/>
          <w:u w:val="single"/>
        </w:rPr>
      </w:pPr>
      <w:r>
        <w:rPr>
          <w:rFonts w:hint="eastAsia" w:ascii="宋体" w:hAnsi="宋体"/>
          <w:spacing w:val="20"/>
          <w:szCs w:val="21"/>
        </w:rPr>
        <w:t>全权代表签字</w:t>
      </w:r>
    </w:p>
    <w:p>
      <w:pPr>
        <w:spacing w:line="360" w:lineRule="auto"/>
        <w:jc w:val="left"/>
        <w:rPr>
          <w:sz w:val="24"/>
        </w:rPr>
      </w:pPr>
      <w:r>
        <w:rPr>
          <w:rFonts w:hint="eastAsia" w:ascii="宋体" w:hAnsi="宋体"/>
          <w:spacing w:val="20"/>
          <w:szCs w:val="21"/>
        </w:rPr>
        <w:t>日期：</w:t>
      </w:r>
    </w:p>
    <w:p>
      <w:pPr>
        <w:ind w:firstLine="120" w:firstLineChars="50"/>
        <w:rPr>
          <w:b/>
          <w:sz w:val="24"/>
          <w:szCs w:val="24"/>
        </w:rPr>
      </w:pPr>
      <w:r>
        <w:rPr>
          <w:sz w:val="24"/>
        </w:rPr>
        <w:br w:type="page"/>
      </w:r>
      <w:r>
        <w:rPr>
          <w:rFonts w:hint="eastAsia"/>
          <w:b/>
          <w:sz w:val="24"/>
          <w:szCs w:val="24"/>
        </w:rPr>
        <w:t>格式6：</w:t>
      </w:r>
    </w:p>
    <w:p>
      <w:pPr>
        <w:ind w:firstLine="125" w:firstLineChars="50"/>
        <w:rPr>
          <w:rFonts w:ascii="宋体" w:hAnsi="宋体"/>
          <w:bCs/>
          <w:spacing w:val="20"/>
          <w:szCs w:val="21"/>
        </w:rPr>
      </w:pPr>
    </w:p>
    <w:p>
      <w:pPr>
        <w:ind w:firstLine="120" w:firstLineChars="50"/>
        <w:jc w:val="center"/>
        <w:rPr>
          <w:rFonts w:ascii="宋体" w:hAnsi="宋体"/>
          <w:b/>
          <w:sz w:val="24"/>
          <w:szCs w:val="24"/>
        </w:rPr>
      </w:pPr>
      <w:r>
        <w:rPr>
          <w:rFonts w:hint="eastAsia" w:ascii="宋体" w:hAnsi="宋体"/>
          <w:b/>
          <w:sz w:val="24"/>
          <w:szCs w:val="24"/>
        </w:rPr>
        <w:t>技术及实施方案</w:t>
      </w:r>
    </w:p>
    <w:p>
      <w:pPr>
        <w:ind w:firstLine="475" w:firstLineChars="197"/>
        <w:rPr>
          <w:rFonts w:ascii="宋体" w:hAnsi="宋体"/>
          <w:b/>
          <w:sz w:val="24"/>
          <w:szCs w:val="24"/>
        </w:rPr>
      </w:pPr>
      <w:r>
        <w:rPr>
          <w:rFonts w:hint="eastAsia" w:ascii="宋体" w:hAnsi="宋体"/>
          <w:b/>
          <w:sz w:val="24"/>
          <w:szCs w:val="24"/>
        </w:rPr>
        <w:t>投标人针对本项目的特点，结合自身技术条件、实力编制。内容全面、针对性、可行性高。格式自拟。</w:t>
      </w:r>
    </w:p>
    <w:p>
      <w:pPr>
        <w:ind w:firstLine="475" w:firstLineChars="197"/>
        <w:rPr>
          <w:rFonts w:ascii="宋体" w:hAnsi="宋体"/>
          <w:bCs/>
          <w:spacing w:val="20"/>
          <w:szCs w:val="21"/>
        </w:rPr>
      </w:pPr>
      <w:r>
        <w:rPr>
          <w:b/>
          <w:sz w:val="24"/>
          <w:szCs w:val="24"/>
        </w:rPr>
        <w:br w:type="page"/>
      </w:r>
      <w:r>
        <w:rPr>
          <w:rFonts w:hint="eastAsia"/>
          <w:b/>
          <w:sz w:val="24"/>
          <w:szCs w:val="24"/>
        </w:rPr>
        <w:t>格式7：</w:t>
      </w:r>
      <w:r>
        <w:rPr>
          <w:rFonts w:hint="eastAsia" w:ascii="宋体" w:hAnsi="宋体"/>
          <w:b/>
          <w:sz w:val="24"/>
          <w:szCs w:val="24"/>
        </w:rPr>
        <w:t>辅助资料表</w:t>
      </w:r>
    </w:p>
    <w:p>
      <w:pPr>
        <w:jc w:val="center"/>
        <w:rPr>
          <w:rFonts w:ascii="宋体" w:hAnsi="宋体" w:eastAsia="黑体"/>
          <w:sz w:val="24"/>
          <w:szCs w:val="24"/>
        </w:rPr>
      </w:pPr>
      <w:r>
        <w:rPr>
          <w:rFonts w:hint="eastAsia" w:ascii="宋体" w:hAnsi="宋体" w:eastAsia="黑体"/>
          <w:sz w:val="24"/>
          <w:szCs w:val="24"/>
        </w:rPr>
        <w:t>表7-1项目经理简历表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11"/>
        <w:gridCol w:w="136"/>
        <w:gridCol w:w="682"/>
        <w:gridCol w:w="623"/>
        <w:gridCol w:w="751"/>
        <w:gridCol w:w="684"/>
        <w:gridCol w:w="1416"/>
        <w:gridCol w:w="1765"/>
        <w:gridCol w:w="323"/>
        <w:gridCol w:w="114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11" w:type="dxa"/>
            <w:vAlign w:val="center"/>
          </w:tcPr>
          <w:p>
            <w:pPr>
              <w:jc w:val="center"/>
              <w:rPr>
                <w:rFonts w:ascii="宋体" w:hAnsi="宋体"/>
                <w:szCs w:val="21"/>
              </w:rPr>
            </w:pPr>
            <w:r>
              <w:rPr>
                <w:rFonts w:hint="eastAsia" w:ascii="宋体" w:hAnsi="宋体"/>
                <w:szCs w:val="21"/>
              </w:rPr>
              <w:t>姓名</w:t>
            </w:r>
          </w:p>
        </w:tc>
        <w:tc>
          <w:tcPr>
            <w:tcW w:w="1441" w:type="dxa"/>
            <w:gridSpan w:val="3"/>
            <w:vAlign w:val="center"/>
          </w:tcPr>
          <w:p>
            <w:pPr>
              <w:jc w:val="center"/>
              <w:rPr>
                <w:rFonts w:ascii="宋体" w:hAnsi="宋体"/>
                <w:szCs w:val="21"/>
              </w:rPr>
            </w:pPr>
          </w:p>
        </w:tc>
        <w:tc>
          <w:tcPr>
            <w:tcW w:w="1435" w:type="dxa"/>
            <w:gridSpan w:val="2"/>
            <w:vAlign w:val="center"/>
          </w:tcPr>
          <w:p>
            <w:pPr>
              <w:jc w:val="center"/>
              <w:rPr>
                <w:rFonts w:ascii="宋体" w:hAnsi="宋体"/>
                <w:szCs w:val="21"/>
              </w:rPr>
            </w:pPr>
            <w:r>
              <w:rPr>
                <w:rFonts w:hint="eastAsia" w:ascii="宋体" w:hAnsi="宋体"/>
                <w:szCs w:val="21"/>
              </w:rPr>
              <w:t>性别</w:t>
            </w:r>
          </w:p>
        </w:tc>
        <w:tc>
          <w:tcPr>
            <w:tcW w:w="1416" w:type="dxa"/>
            <w:vAlign w:val="center"/>
          </w:tcPr>
          <w:p>
            <w:pPr>
              <w:jc w:val="center"/>
              <w:rPr>
                <w:rFonts w:ascii="宋体" w:hAnsi="宋体"/>
                <w:szCs w:val="21"/>
              </w:rPr>
            </w:pPr>
          </w:p>
        </w:tc>
        <w:tc>
          <w:tcPr>
            <w:tcW w:w="2088" w:type="dxa"/>
            <w:gridSpan w:val="2"/>
            <w:vAlign w:val="center"/>
          </w:tcPr>
          <w:p>
            <w:pPr>
              <w:jc w:val="center"/>
              <w:rPr>
                <w:rFonts w:ascii="宋体" w:hAnsi="宋体"/>
                <w:szCs w:val="21"/>
              </w:rPr>
            </w:pPr>
            <w:r>
              <w:rPr>
                <w:rFonts w:hint="eastAsia" w:ascii="宋体" w:hAnsi="宋体"/>
                <w:szCs w:val="21"/>
              </w:rPr>
              <w:t>年龄</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11" w:type="dxa"/>
            <w:vAlign w:val="center"/>
          </w:tcPr>
          <w:p>
            <w:pPr>
              <w:jc w:val="center"/>
              <w:rPr>
                <w:rFonts w:ascii="宋体" w:hAnsi="宋体"/>
                <w:szCs w:val="21"/>
              </w:rPr>
            </w:pPr>
            <w:r>
              <w:rPr>
                <w:rFonts w:hint="eastAsia" w:ascii="宋体" w:hAnsi="宋体"/>
                <w:szCs w:val="21"/>
              </w:rPr>
              <w:t>职务</w:t>
            </w:r>
          </w:p>
        </w:tc>
        <w:tc>
          <w:tcPr>
            <w:tcW w:w="1441" w:type="dxa"/>
            <w:gridSpan w:val="3"/>
            <w:vAlign w:val="center"/>
          </w:tcPr>
          <w:p>
            <w:pPr>
              <w:jc w:val="center"/>
              <w:rPr>
                <w:rFonts w:ascii="宋体" w:hAnsi="宋体"/>
                <w:szCs w:val="21"/>
              </w:rPr>
            </w:pPr>
          </w:p>
        </w:tc>
        <w:tc>
          <w:tcPr>
            <w:tcW w:w="1435" w:type="dxa"/>
            <w:gridSpan w:val="2"/>
            <w:vAlign w:val="center"/>
          </w:tcPr>
          <w:p>
            <w:pPr>
              <w:jc w:val="center"/>
              <w:rPr>
                <w:rFonts w:ascii="宋体" w:hAnsi="宋体"/>
                <w:szCs w:val="21"/>
              </w:rPr>
            </w:pPr>
            <w:r>
              <w:rPr>
                <w:rFonts w:hint="eastAsia" w:ascii="宋体" w:hAnsi="宋体"/>
                <w:szCs w:val="21"/>
              </w:rPr>
              <w:t>职称</w:t>
            </w:r>
          </w:p>
        </w:tc>
        <w:tc>
          <w:tcPr>
            <w:tcW w:w="1416" w:type="dxa"/>
            <w:vAlign w:val="center"/>
          </w:tcPr>
          <w:p>
            <w:pPr>
              <w:jc w:val="center"/>
              <w:rPr>
                <w:rFonts w:ascii="宋体" w:hAnsi="宋体"/>
                <w:szCs w:val="21"/>
              </w:rPr>
            </w:pPr>
          </w:p>
        </w:tc>
        <w:tc>
          <w:tcPr>
            <w:tcW w:w="2088" w:type="dxa"/>
            <w:gridSpan w:val="2"/>
            <w:vAlign w:val="center"/>
          </w:tcPr>
          <w:p>
            <w:pPr>
              <w:jc w:val="center"/>
              <w:rPr>
                <w:rFonts w:ascii="宋体" w:hAnsi="宋体"/>
                <w:szCs w:val="21"/>
              </w:rPr>
            </w:pPr>
            <w:r>
              <w:rPr>
                <w:rFonts w:hint="eastAsia" w:ascii="宋体" w:hAnsi="宋体"/>
                <w:szCs w:val="21"/>
              </w:rPr>
              <w:t>学历</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329" w:type="dxa"/>
            <w:gridSpan w:val="3"/>
            <w:vAlign w:val="center"/>
          </w:tcPr>
          <w:p>
            <w:pPr>
              <w:jc w:val="center"/>
              <w:rPr>
                <w:rFonts w:ascii="宋体" w:hAnsi="宋体"/>
                <w:szCs w:val="21"/>
              </w:rPr>
            </w:pPr>
            <w:r>
              <w:rPr>
                <w:rFonts w:hint="eastAsia" w:ascii="宋体" w:hAnsi="宋体"/>
                <w:szCs w:val="21"/>
              </w:rPr>
              <w:t>参加工作时间</w:t>
            </w:r>
          </w:p>
        </w:tc>
        <w:tc>
          <w:tcPr>
            <w:tcW w:w="2058" w:type="dxa"/>
            <w:gridSpan w:val="3"/>
            <w:vAlign w:val="center"/>
          </w:tcPr>
          <w:p>
            <w:pPr>
              <w:jc w:val="center"/>
              <w:rPr>
                <w:rFonts w:ascii="宋体" w:hAnsi="宋体"/>
                <w:szCs w:val="21"/>
              </w:rPr>
            </w:pPr>
          </w:p>
        </w:tc>
        <w:tc>
          <w:tcPr>
            <w:tcW w:w="3504" w:type="dxa"/>
            <w:gridSpan w:val="3"/>
            <w:vAlign w:val="center"/>
          </w:tcPr>
          <w:p>
            <w:pPr>
              <w:jc w:val="center"/>
              <w:rPr>
                <w:rFonts w:ascii="宋体" w:hAnsi="宋体"/>
                <w:szCs w:val="21"/>
              </w:rPr>
            </w:pPr>
            <w:r>
              <w:rPr>
                <w:rFonts w:hint="eastAsia" w:ascii="宋体" w:hAnsi="宋体"/>
                <w:szCs w:val="21"/>
              </w:rPr>
              <w:t>从事项目经理年限</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859" w:type="dxa"/>
            <w:gridSpan w:val="11"/>
            <w:vAlign w:val="center"/>
          </w:tcPr>
          <w:p>
            <w:pPr>
              <w:jc w:val="center"/>
              <w:rPr>
                <w:rFonts w:ascii="宋体" w:hAnsi="宋体"/>
                <w:szCs w:val="21"/>
              </w:rPr>
            </w:pPr>
            <w:r>
              <w:rPr>
                <w:rFonts w:hint="eastAsia" w:ascii="宋体" w:hAnsi="宋体"/>
                <w:szCs w:val="21"/>
              </w:rPr>
              <w:t>项目经理业绩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r>
              <w:rPr>
                <w:rFonts w:hint="eastAsia" w:ascii="宋体" w:hAnsi="宋体"/>
                <w:szCs w:val="21"/>
              </w:rPr>
              <w:t>项目名称</w:t>
            </w:r>
          </w:p>
        </w:tc>
        <w:tc>
          <w:tcPr>
            <w:tcW w:w="2056" w:type="dxa"/>
            <w:gridSpan w:val="3"/>
            <w:vAlign w:val="center"/>
          </w:tcPr>
          <w:p>
            <w:pPr>
              <w:jc w:val="center"/>
              <w:rPr>
                <w:rFonts w:ascii="宋体" w:hAnsi="宋体"/>
                <w:szCs w:val="21"/>
              </w:rPr>
            </w:pPr>
            <w:r>
              <w:rPr>
                <w:rFonts w:hint="eastAsia" w:ascii="宋体" w:hAnsi="宋体"/>
                <w:szCs w:val="21"/>
              </w:rPr>
              <w:t>开、竣工程日期</w:t>
            </w:r>
          </w:p>
        </w:tc>
        <w:tc>
          <w:tcPr>
            <w:tcW w:w="3865" w:type="dxa"/>
            <w:gridSpan w:val="3"/>
            <w:vAlign w:val="center"/>
          </w:tcPr>
          <w:p>
            <w:pPr>
              <w:jc w:val="center"/>
              <w:rPr>
                <w:rFonts w:ascii="宋体" w:hAnsi="宋体"/>
                <w:szCs w:val="21"/>
              </w:rPr>
            </w:pPr>
            <w:r>
              <w:rPr>
                <w:rFonts w:hint="eastAsia" w:ascii="宋体" w:hAnsi="宋体"/>
                <w:szCs w:val="21"/>
              </w:rPr>
              <w:t>所含建筑智能化各子系统名称</w:t>
            </w:r>
          </w:p>
        </w:tc>
        <w:tc>
          <w:tcPr>
            <w:tcW w:w="1467" w:type="dxa"/>
            <w:gridSpan w:val="2"/>
            <w:vAlign w:val="center"/>
          </w:tcPr>
          <w:p>
            <w:pPr>
              <w:jc w:val="center"/>
              <w:rPr>
                <w:rFonts w:ascii="宋体" w:hAnsi="宋体"/>
                <w:szCs w:val="21"/>
              </w:rPr>
            </w:pPr>
            <w:r>
              <w:rPr>
                <w:rFonts w:hint="eastAsia" w:ascii="宋体" w:hAnsi="宋体"/>
                <w:szCs w:val="21"/>
              </w:rPr>
              <w:t>中标价</w:t>
            </w:r>
          </w:p>
        </w:tc>
        <w:tc>
          <w:tcPr>
            <w:tcW w:w="824" w:type="dxa"/>
            <w:vAlign w:val="center"/>
          </w:tcPr>
          <w:p>
            <w:pPr>
              <w:jc w:val="center"/>
              <w:rPr>
                <w:rFonts w:ascii="宋体" w:hAnsi="宋体"/>
                <w:szCs w:val="21"/>
              </w:rPr>
            </w:pPr>
            <w:r>
              <w:rPr>
                <w:rFonts w:hint="eastAsia" w:ascii="宋体" w:hAnsi="宋体"/>
                <w:szCs w:val="21"/>
              </w:rPr>
              <w:t>其它情况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p>
        </w:tc>
        <w:tc>
          <w:tcPr>
            <w:tcW w:w="2056" w:type="dxa"/>
            <w:gridSpan w:val="3"/>
            <w:vAlign w:val="center"/>
          </w:tcPr>
          <w:p>
            <w:pPr>
              <w:jc w:val="center"/>
              <w:rPr>
                <w:rFonts w:ascii="宋体" w:hAnsi="宋体"/>
                <w:szCs w:val="21"/>
              </w:rPr>
            </w:pPr>
          </w:p>
        </w:tc>
        <w:tc>
          <w:tcPr>
            <w:tcW w:w="3865" w:type="dxa"/>
            <w:gridSpan w:val="3"/>
            <w:vAlign w:val="center"/>
          </w:tcPr>
          <w:p>
            <w:pPr>
              <w:jc w:val="center"/>
              <w:rPr>
                <w:rFonts w:ascii="宋体" w:hAnsi="宋体"/>
                <w:szCs w:val="21"/>
              </w:rPr>
            </w:pPr>
          </w:p>
        </w:tc>
        <w:tc>
          <w:tcPr>
            <w:tcW w:w="1467" w:type="dxa"/>
            <w:gridSpan w:val="2"/>
            <w:vAlign w:val="center"/>
          </w:tcPr>
          <w:p>
            <w:pPr>
              <w:jc w:val="center"/>
              <w:rPr>
                <w:rFonts w:ascii="宋体" w:hAnsi="宋体"/>
                <w:szCs w:val="21"/>
              </w:rPr>
            </w:pPr>
          </w:p>
        </w:tc>
        <w:tc>
          <w:tcPr>
            <w:tcW w:w="82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r>
              <w:rPr>
                <w:rFonts w:hint="eastAsia" w:ascii="宋体" w:hAnsi="宋体"/>
                <w:szCs w:val="21"/>
              </w:rPr>
              <w:t>……</w:t>
            </w:r>
          </w:p>
        </w:tc>
        <w:tc>
          <w:tcPr>
            <w:tcW w:w="2056" w:type="dxa"/>
            <w:gridSpan w:val="3"/>
            <w:vAlign w:val="center"/>
          </w:tcPr>
          <w:p>
            <w:pPr>
              <w:jc w:val="center"/>
              <w:rPr>
                <w:rFonts w:ascii="宋体" w:hAnsi="宋体"/>
                <w:szCs w:val="21"/>
              </w:rPr>
            </w:pPr>
          </w:p>
        </w:tc>
        <w:tc>
          <w:tcPr>
            <w:tcW w:w="3865" w:type="dxa"/>
            <w:gridSpan w:val="3"/>
            <w:vAlign w:val="center"/>
          </w:tcPr>
          <w:p>
            <w:pPr>
              <w:jc w:val="center"/>
              <w:rPr>
                <w:rFonts w:ascii="宋体" w:hAnsi="宋体"/>
                <w:szCs w:val="21"/>
              </w:rPr>
            </w:pPr>
          </w:p>
        </w:tc>
        <w:tc>
          <w:tcPr>
            <w:tcW w:w="1467" w:type="dxa"/>
            <w:gridSpan w:val="2"/>
            <w:vAlign w:val="center"/>
          </w:tcPr>
          <w:p>
            <w:pPr>
              <w:jc w:val="center"/>
              <w:rPr>
                <w:rFonts w:ascii="宋体" w:hAnsi="宋体"/>
                <w:szCs w:val="21"/>
              </w:rPr>
            </w:pPr>
          </w:p>
        </w:tc>
        <w:tc>
          <w:tcPr>
            <w:tcW w:w="824" w:type="dxa"/>
            <w:vAlign w:val="center"/>
          </w:tcPr>
          <w:p>
            <w:pPr>
              <w:jc w:val="center"/>
              <w:rPr>
                <w:rFonts w:ascii="宋体" w:hAnsi="宋体"/>
                <w:szCs w:val="21"/>
              </w:rPr>
            </w:pPr>
          </w:p>
        </w:tc>
      </w:tr>
    </w:tbl>
    <w:p>
      <w:pPr>
        <w:ind w:firstLine="160" w:firstLineChars="50"/>
        <w:rPr>
          <w:rFonts w:ascii="宋体" w:hAnsi="宋体" w:eastAsia="黑体"/>
          <w:sz w:val="32"/>
          <w:szCs w:val="30"/>
        </w:rPr>
      </w:pPr>
    </w:p>
    <w:p>
      <w:pPr>
        <w:jc w:val="center"/>
        <w:rPr>
          <w:rFonts w:ascii="宋体" w:hAnsi="宋体" w:eastAsia="黑体"/>
          <w:sz w:val="24"/>
          <w:szCs w:val="24"/>
        </w:rPr>
      </w:pPr>
      <w:r>
        <w:rPr>
          <w:rFonts w:hint="eastAsia" w:ascii="宋体" w:hAnsi="宋体" w:eastAsia="黑体"/>
          <w:sz w:val="24"/>
          <w:szCs w:val="24"/>
        </w:rPr>
        <w:t>表7-2主要施工管理人员表（项目组人员表）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40"/>
        <w:gridCol w:w="698"/>
        <w:gridCol w:w="700"/>
        <w:gridCol w:w="1111"/>
        <w:gridCol w:w="698"/>
        <w:gridCol w:w="698"/>
        <w:gridCol w:w="4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1640" w:type="dxa"/>
            <w:vAlign w:val="center"/>
          </w:tcPr>
          <w:p>
            <w:pPr>
              <w:jc w:val="center"/>
              <w:rPr>
                <w:rFonts w:ascii="宋体" w:hAnsi="宋体"/>
                <w:position w:val="-12"/>
                <w:szCs w:val="21"/>
              </w:rPr>
            </w:pPr>
            <w:r>
              <w:rPr>
                <w:rFonts w:hint="eastAsia" w:ascii="宋体" w:hAnsi="宋体"/>
                <w:position w:val="-12"/>
                <w:szCs w:val="21"/>
              </w:rPr>
              <w:t>名称</w:t>
            </w:r>
          </w:p>
        </w:tc>
        <w:tc>
          <w:tcPr>
            <w:tcW w:w="698" w:type="dxa"/>
            <w:vAlign w:val="center"/>
          </w:tcPr>
          <w:p>
            <w:pPr>
              <w:jc w:val="center"/>
              <w:rPr>
                <w:rFonts w:ascii="宋体" w:hAnsi="宋体"/>
                <w:position w:val="-12"/>
                <w:szCs w:val="21"/>
              </w:rPr>
            </w:pPr>
            <w:r>
              <w:rPr>
                <w:rFonts w:hint="eastAsia" w:ascii="宋体" w:hAnsi="宋体"/>
                <w:position w:val="-12"/>
                <w:szCs w:val="21"/>
              </w:rPr>
              <w:t>姓名</w:t>
            </w:r>
          </w:p>
        </w:tc>
        <w:tc>
          <w:tcPr>
            <w:tcW w:w="700" w:type="dxa"/>
            <w:vAlign w:val="center"/>
          </w:tcPr>
          <w:p>
            <w:pPr>
              <w:jc w:val="center"/>
              <w:rPr>
                <w:rFonts w:ascii="宋体" w:hAnsi="宋体"/>
                <w:position w:val="-12"/>
                <w:szCs w:val="21"/>
              </w:rPr>
            </w:pPr>
            <w:r>
              <w:rPr>
                <w:rFonts w:hint="eastAsia" w:ascii="宋体" w:hAnsi="宋体"/>
                <w:position w:val="-12"/>
                <w:szCs w:val="21"/>
              </w:rPr>
              <w:t>年龄</w:t>
            </w:r>
          </w:p>
        </w:tc>
        <w:tc>
          <w:tcPr>
            <w:tcW w:w="1111" w:type="dxa"/>
            <w:vAlign w:val="center"/>
          </w:tcPr>
          <w:p>
            <w:pPr>
              <w:jc w:val="center"/>
              <w:rPr>
                <w:rFonts w:ascii="宋体" w:hAnsi="宋体"/>
                <w:position w:val="-12"/>
                <w:szCs w:val="21"/>
              </w:rPr>
            </w:pPr>
            <w:r>
              <w:rPr>
                <w:rFonts w:hint="eastAsia" w:ascii="宋体" w:hAnsi="宋体"/>
                <w:position w:val="-12"/>
                <w:szCs w:val="21"/>
              </w:rPr>
              <w:t>身份证号</w:t>
            </w:r>
          </w:p>
        </w:tc>
        <w:tc>
          <w:tcPr>
            <w:tcW w:w="698" w:type="dxa"/>
            <w:vAlign w:val="center"/>
          </w:tcPr>
          <w:p>
            <w:pPr>
              <w:jc w:val="center"/>
              <w:rPr>
                <w:rFonts w:ascii="宋体" w:hAnsi="宋体"/>
                <w:position w:val="-12"/>
                <w:szCs w:val="21"/>
              </w:rPr>
            </w:pPr>
            <w:r>
              <w:rPr>
                <w:rFonts w:hint="eastAsia" w:ascii="宋体" w:hAnsi="宋体"/>
                <w:position w:val="-12"/>
                <w:szCs w:val="21"/>
              </w:rPr>
              <w:t>职务</w:t>
            </w:r>
          </w:p>
        </w:tc>
        <w:tc>
          <w:tcPr>
            <w:tcW w:w="698" w:type="dxa"/>
            <w:vAlign w:val="center"/>
          </w:tcPr>
          <w:p>
            <w:pPr>
              <w:jc w:val="center"/>
              <w:rPr>
                <w:rFonts w:ascii="宋体" w:hAnsi="宋体"/>
                <w:position w:val="-12"/>
                <w:szCs w:val="21"/>
              </w:rPr>
            </w:pPr>
            <w:r>
              <w:rPr>
                <w:rFonts w:hint="eastAsia" w:ascii="宋体" w:hAnsi="宋体"/>
                <w:position w:val="-12"/>
                <w:szCs w:val="21"/>
              </w:rPr>
              <w:t>职称</w:t>
            </w:r>
          </w:p>
        </w:tc>
        <w:tc>
          <w:tcPr>
            <w:tcW w:w="4201" w:type="dxa"/>
            <w:vAlign w:val="center"/>
          </w:tcPr>
          <w:p>
            <w:pPr>
              <w:jc w:val="center"/>
              <w:rPr>
                <w:rFonts w:ascii="宋体" w:hAnsi="宋体"/>
                <w:position w:val="-12"/>
                <w:szCs w:val="21"/>
              </w:rPr>
            </w:pPr>
            <w:r>
              <w:rPr>
                <w:rFonts w:hint="eastAsia" w:ascii="宋体" w:hAnsi="宋体"/>
                <w:position w:val="-12"/>
                <w:szCs w:val="21"/>
              </w:rPr>
              <w:t>主要资历：参加过的专业培训情况、以往参加类似项目情况、在项目中的责任等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32" w:hRule="atLeast"/>
          <w:jc w:val="center"/>
        </w:trPr>
        <w:tc>
          <w:tcPr>
            <w:tcW w:w="1640" w:type="dxa"/>
            <w:vAlign w:val="center"/>
          </w:tcPr>
          <w:p>
            <w:pPr>
              <w:numPr>
                <w:ilvl w:val="0"/>
                <w:numId w:val="7"/>
              </w:numPr>
              <w:rPr>
                <w:rFonts w:ascii="宋体" w:hAnsi="宋体"/>
                <w:szCs w:val="21"/>
              </w:rPr>
            </w:pPr>
            <w:r>
              <w:rPr>
                <w:rFonts w:hint="eastAsia" w:ascii="宋体" w:hAnsi="宋体"/>
                <w:szCs w:val="21"/>
              </w:rPr>
              <w:t>总部</w:t>
            </w:r>
          </w:p>
          <w:p>
            <w:pPr>
              <w:numPr>
                <w:ilvl w:val="0"/>
                <w:numId w:val="4"/>
              </w:numPr>
              <w:rPr>
                <w:rFonts w:ascii="宋体" w:hAnsi="宋体"/>
                <w:szCs w:val="21"/>
              </w:rPr>
            </w:pPr>
            <w:r>
              <w:rPr>
                <w:rFonts w:hint="eastAsia" w:ascii="宋体" w:hAnsi="宋体"/>
                <w:szCs w:val="21"/>
              </w:rPr>
              <w:t>项目主管</w:t>
            </w:r>
          </w:p>
          <w:p>
            <w:pPr>
              <w:numPr>
                <w:ilvl w:val="0"/>
                <w:numId w:val="4"/>
              </w:numPr>
              <w:rPr>
                <w:rFonts w:ascii="宋体" w:hAnsi="宋体"/>
                <w:szCs w:val="21"/>
              </w:rPr>
            </w:pPr>
            <w:r>
              <w:rPr>
                <w:rFonts w:hint="eastAsia" w:ascii="宋体" w:hAnsi="宋体"/>
                <w:szCs w:val="21"/>
              </w:rPr>
              <w:t>其他人员</w:t>
            </w:r>
          </w:p>
          <w:p>
            <w:pPr>
              <w:ind w:firstLine="1155" w:firstLineChars="550"/>
              <w:rPr>
                <w:rFonts w:ascii="宋体" w:hAnsi="宋体"/>
                <w:szCs w:val="21"/>
              </w:rPr>
            </w:pPr>
            <w:r>
              <w:rPr>
                <w:rFonts w:ascii="宋体" w:hAnsi="宋体"/>
                <w:szCs w:val="21"/>
              </w:rPr>
              <w:t>…</w:t>
            </w:r>
          </w:p>
          <w:p>
            <w:pPr>
              <w:numPr>
                <w:ilvl w:val="0"/>
                <w:numId w:val="7"/>
              </w:numPr>
              <w:rPr>
                <w:rFonts w:ascii="宋体" w:hAnsi="宋体"/>
                <w:szCs w:val="21"/>
              </w:rPr>
            </w:pPr>
            <w:r>
              <w:rPr>
                <w:rFonts w:hint="eastAsia" w:ascii="宋体" w:hAnsi="宋体"/>
                <w:szCs w:val="21"/>
              </w:rPr>
              <w:t>现场</w:t>
            </w:r>
          </w:p>
          <w:p>
            <w:pPr>
              <w:numPr>
                <w:ilvl w:val="0"/>
                <w:numId w:val="10"/>
              </w:numPr>
              <w:rPr>
                <w:rFonts w:ascii="宋体" w:hAnsi="宋体"/>
                <w:szCs w:val="21"/>
              </w:rPr>
            </w:pPr>
            <w:r>
              <w:rPr>
                <w:rFonts w:hint="eastAsia" w:ascii="宋体" w:hAnsi="宋体"/>
                <w:szCs w:val="21"/>
              </w:rPr>
              <w:t>项目经理</w:t>
            </w:r>
          </w:p>
          <w:p>
            <w:pPr>
              <w:numPr>
                <w:ilvl w:val="0"/>
                <w:numId w:val="10"/>
              </w:numPr>
              <w:rPr>
                <w:rFonts w:ascii="宋体" w:hAnsi="宋体"/>
                <w:szCs w:val="21"/>
              </w:rPr>
            </w:pPr>
            <w:r>
              <w:rPr>
                <w:rFonts w:hint="eastAsia" w:ascii="宋体" w:hAnsi="宋体"/>
                <w:szCs w:val="21"/>
              </w:rPr>
              <w:t>项目副经理</w:t>
            </w:r>
          </w:p>
          <w:p>
            <w:pPr>
              <w:numPr>
                <w:ilvl w:val="0"/>
                <w:numId w:val="10"/>
              </w:numPr>
              <w:rPr>
                <w:rFonts w:ascii="宋体" w:hAnsi="宋体"/>
                <w:szCs w:val="21"/>
              </w:rPr>
            </w:pPr>
            <w:r>
              <w:rPr>
                <w:rFonts w:hint="eastAsia" w:ascii="宋体" w:hAnsi="宋体"/>
                <w:szCs w:val="21"/>
              </w:rPr>
              <w:t>质量管理</w:t>
            </w:r>
          </w:p>
          <w:p>
            <w:pPr>
              <w:numPr>
                <w:ilvl w:val="0"/>
                <w:numId w:val="10"/>
              </w:numPr>
              <w:rPr>
                <w:rFonts w:ascii="宋体" w:hAnsi="宋体"/>
                <w:szCs w:val="21"/>
              </w:rPr>
            </w:pPr>
            <w:r>
              <w:rPr>
                <w:rFonts w:hint="eastAsia" w:ascii="宋体" w:hAnsi="宋体"/>
                <w:szCs w:val="21"/>
              </w:rPr>
              <w:t>材料管理</w:t>
            </w:r>
          </w:p>
          <w:p>
            <w:pPr>
              <w:numPr>
                <w:ilvl w:val="0"/>
                <w:numId w:val="10"/>
              </w:numPr>
              <w:rPr>
                <w:rFonts w:ascii="宋体" w:hAnsi="宋体"/>
                <w:szCs w:val="21"/>
              </w:rPr>
            </w:pPr>
            <w:r>
              <w:rPr>
                <w:rFonts w:hint="eastAsia" w:ascii="宋体" w:hAnsi="宋体"/>
                <w:szCs w:val="21"/>
              </w:rPr>
              <w:t>计划管理</w:t>
            </w:r>
          </w:p>
          <w:p>
            <w:pPr>
              <w:numPr>
                <w:ilvl w:val="0"/>
                <w:numId w:val="10"/>
              </w:numPr>
              <w:rPr>
                <w:rFonts w:ascii="宋体" w:hAnsi="宋体"/>
                <w:szCs w:val="21"/>
              </w:rPr>
            </w:pPr>
            <w:r>
              <w:rPr>
                <w:rFonts w:hint="eastAsia" w:ascii="宋体" w:hAnsi="宋体"/>
                <w:szCs w:val="21"/>
              </w:rPr>
              <w:t>安全管理</w:t>
            </w:r>
          </w:p>
          <w:p>
            <w:pPr>
              <w:ind w:firstLine="1050" w:firstLineChars="500"/>
              <w:rPr>
                <w:rFonts w:ascii="宋体" w:hAnsi="宋体"/>
                <w:szCs w:val="21"/>
              </w:rPr>
            </w:pPr>
            <w:r>
              <w:rPr>
                <w:rFonts w:ascii="宋体" w:hAnsi="宋体"/>
                <w:szCs w:val="21"/>
              </w:rPr>
              <w:t>…</w:t>
            </w:r>
          </w:p>
        </w:tc>
        <w:tc>
          <w:tcPr>
            <w:tcW w:w="698" w:type="dxa"/>
            <w:vAlign w:val="center"/>
          </w:tcPr>
          <w:p>
            <w:pPr>
              <w:jc w:val="center"/>
              <w:rPr>
                <w:rFonts w:ascii="宋体" w:hAnsi="宋体"/>
                <w:szCs w:val="21"/>
              </w:rPr>
            </w:pPr>
          </w:p>
        </w:tc>
        <w:tc>
          <w:tcPr>
            <w:tcW w:w="700" w:type="dxa"/>
            <w:vAlign w:val="center"/>
          </w:tcPr>
          <w:p>
            <w:pPr>
              <w:jc w:val="center"/>
              <w:rPr>
                <w:rFonts w:ascii="宋体" w:hAnsi="宋体"/>
                <w:szCs w:val="21"/>
              </w:rPr>
            </w:pPr>
          </w:p>
        </w:tc>
        <w:tc>
          <w:tcPr>
            <w:tcW w:w="1111" w:type="dxa"/>
            <w:vAlign w:val="center"/>
          </w:tcPr>
          <w:p>
            <w:pPr>
              <w:jc w:val="center"/>
              <w:rPr>
                <w:rFonts w:ascii="宋体" w:hAnsi="宋体"/>
                <w:szCs w:val="21"/>
              </w:rPr>
            </w:pPr>
          </w:p>
        </w:tc>
        <w:tc>
          <w:tcPr>
            <w:tcW w:w="698" w:type="dxa"/>
            <w:vAlign w:val="center"/>
          </w:tcPr>
          <w:p>
            <w:pPr>
              <w:jc w:val="center"/>
              <w:rPr>
                <w:rFonts w:ascii="宋体" w:hAnsi="宋体"/>
                <w:szCs w:val="21"/>
              </w:rPr>
            </w:pPr>
          </w:p>
        </w:tc>
        <w:tc>
          <w:tcPr>
            <w:tcW w:w="698" w:type="dxa"/>
            <w:vAlign w:val="center"/>
          </w:tcPr>
          <w:p>
            <w:pPr>
              <w:jc w:val="center"/>
              <w:rPr>
                <w:rFonts w:ascii="宋体" w:hAnsi="宋体"/>
                <w:szCs w:val="21"/>
              </w:rPr>
            </w:pPr>
          </w:p>
        </w:tc>
        <w:tc>
          <w:tcPr>
            <w:tcW w:w="4201" w:type="dxa"/>
            <w:vAlign w:val="center"/>
          </w:tcPr>
          <w:p>
            <w:pPr>
              <w:jc w:val="center"/>
              <w:rPr>
                <w:rFonts w:ascii="宋体" w:hAnsi="宋体"/>
                <w:szCs w:val="21"/>
              </w:rPr>
            </w:pPr>
          </w:p>
        </w:tc>
      </w:tr>
    </w:tbl>
    <w:p>
      <w:pPr>
        <w:tabs>
          <w:tab w:val="left" w:pos="462"/>
        </w:tabs>
        <w:spacing w:line="300" w:lineRule="auto"/>
        <w:ind w:right="-20"/>
        <w:rPr>
          <w:b/>
          <w:snapToGrid w:val="0"/>
          <w:szCs w:val="21"/>
        </w:rPr>
      </w:pPr>
    </w:p>
    <w:p>
      <w:pPr>
        <w:ind w:firstLine="105" w:firstLineChars="50"/>
        <w:rPr>
          <w:rFonts w:ascii="宋体" w:hAnsi="宋体"/>
          <w:b/>
          <w:szCs w:val="21"/>
        </w:rPr>
      </w:pPr>
    </w:p>
    <w:p>
      <w:pPr>
        <w:ind w:firstLine="120" w:firstLineChars="50"/>
        <w:rPr>
          <w:b/>
          <w:sz w:val="24"/>
          <w:szCs w:val="24"/>
          <w:u w:val="dotted"/>
        </w:rPr>
      </w:pPr>
    </w:p>
    <w:p>
      <w:pPr>
        <w:ind w:firstLine="120" w:firstLineChars="50"/>
        <w:rPr>
          <w:b/>
          <w:sz w:val="24"/>
          <w:szCs w:val="24"/>
        </w:rPr>
      </w:pPr>
      <w:r>
        <w:rPr>
          <w:rFonts w:hint="eastAsia" w:ascii="宋体" w:hAnsi="宋体"/>
          <w:b/>
          <w:sz w:val="24"/>
          <w:szCs w:val="24"/>
        </w:rPr>
        <w:t>格式</w:t>
      </w:r>
      <w:r>
        <w:rPr>
          <w:rFonts w:hint="eastAsia"/>
          <w:b/>
          <w:sz w:val="24"/>
          <w:szCs w:val="24"/>
        </w:rPr>
        <w:t>8：</w:t>
      </w:r>
    </w:p>
    <w:p>
      <w:pPr>
        <w:pStyle w:val="36"/>
        <w:spacing w:line="264" w:lineRule="auto"/>
        <w:rPr>
          <w:b/>
          <w:sz w:val="24"/>
          <w:szCs w:val="24"/>
        </w:rPr>
      </w:pPr>
    </w:p>
    <w:p>
      <w:pPr>
        <w:pStyle w:val="36"/>
        <w:spacing w:line="264" w:lineRule="auto"/>
        <w:jc w:val="center"/>
        <w:rPr>
          <w:rFonts w:ascii="仿宋_GB2312" w:eastAsia="仿宋_GB2312"/>
          <w:b/>
          <w:bCs/>
          <w:sz w:val="36"/>
        </w:rPr>
      </w:pPr>
      <w:r>
        <w:rPr>
          <w:rFonts w:hint="eastAsia" w:hAnsi="宋体" w:eastAsia="黑体"/>
          <w:sz w:val="24"/>
          <w:szCs w:val="24"/>
        </w:rPr>
        <w:t>其它投标附件</w:t>
      </w:r>
      <w:r>
        <w:rPr>
          <w:rFonts w:hAnsi="宋体" w:eastAsia="黑体"/>
          <w:sz w:val="24"/>
          <w:szCs w:val="24"/>
        </w:rPr>
        <w:br w:type="page"/>
      </w:r>
      <w:r>
        <w:rPr>
          <w:rFonts w:hint="eastAsia" w:ascii="仿宋_GB2312" w:eastAsia="仿宋_GB2312"/>
          <w:b/>
          <w:bCs/>
          <w:sz w:val="36"/>
        </w:rPr>
        <w:t>开 标 一览 表</w:t>
      </w:r>
    </w:p>
    <w:p>
      <w:pPr>
        <w:ind w:firstLine="280" w:firstLineChars="100"/>
        <w:rPr>
          <w:rFonts w:ascii="仿宋_GB2312" w:eastAsia="仿宋_GB2312"/>
          <w:sz w:val="28"/>
        </w:rPr>
      </w:pPr>
      <w:r>
        <w:rPr>
          <w:rFonts w:hint="eastAsia" w:ascii="仿宋_GB2312" w:eastAsia="仿宋_GB2312"/>
          <w:sz w:val="28"/>
        </w:rPr>
        <w:t xml:space="preserve">标书编号  </w:t>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p>
    <w:tbl>
      <w:tblPr>
        <w:tblStyle w:val="63"/>
        <w:tblW w:w="0" w:type="auto"/>
        <w:tblInd w:w="3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17"/>
        <w:gridCol w:w="5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top w:val="double" w:color="auto" w:sz="4" w:space="0"/>
              <w:left w:val="double" w:color="auto" w:sz="4" w:space="0"/>
            </w:tcBorders>
            <w:vAlign w:val="center"/>
          </w:tcPr>
          <w:p>
            <w:pPr>
              <w:jc w:val="center"/>
              <w:rPr>
                <w:rFonts w:ascii="仿宋_GB2312" w:eastAsia="仿宋_GB2312"/>
                <w:sz w:val="28"/>
              </w:rPr>
            </w:pPr>
            <w:r>
              <w:rPr>
                <w:rFonts w:hint="eastAsia" w:ascii="仿宋_GB2312" w:eastAsia="仿宋_GB2312"/>
                <w:sz w:val="28"/>
              </w:rPr>
              <w:t>项目名称</w:t>
            </w:r>
          </w:p>
        </w:tc>
        <w:tc>
          <w:tcPr>
            <w:tcW w:w="5911" w:type="dxa"/>
            <w:tcBorders>
              <w:top w:val="double" w:color="auto" w:sz="4" w:space="0"/>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投标单位</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项目经理</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投标总价</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总工期</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9" w:hRule="atLeast"/>
        </w:trPr>
        <w:tc>
          <w:tcPr>
            <w:tcW w:w="2617" w:type="dxa"/>
            <w:tcBorders>
              <w:left w:val="double" w:color="auto" w:sz="4" w:space="0"/>
              <w:bottom w:val="double" w:color="auto" w:sz="4" w:space="0"/>
            </w:tcBorders>
            <w:vAlign w:val="center"/>
          </w:tcPr>
          <w:p>
            <w:pPr>
              <w:jc w:val="center"/>
              <w:rPr>
                <w:rFonts w:ascii="仿宋_GB2312" w:eastAsia="仿宋_GB2312"/>
                <w:sz w:val="28"/>
              </w:rPr>
            </w:pPr>
            <w:r>
              <w:rPr>
                <w:rFonts w:hint="eastAsia" w:ascii="仿宋_GB2312" w:eastAsia="仿宋_GB2312"/>
                <w:sz w:val="28"/>
              </w:rPr>
              <w:t>备注</w:t>
            </w:r>
          </w:p>
        </w:tc>
        <w:tc>
          <w:tcPr>
            <w:tcW w:w="5911" w:type="dxa"/>
            <w:tcBorders>
              <w:bottom w:val="double" w:color="auto" w:sz="4" w:space="0"/>
              <w:right w:val="double" w:color="auto" w:sz="4" w:space="0"/>
            </w:tcBorders>
            <w:vAlign w:val="center"/>
          </w:tcPr>
          <w:p>
            <w:pPr>
              <w:rPr>
                <w:rFonts w:ascii="仿宋_GB2312" w:eastAsia="仿宋_GB2312"/>
                <w:sz w:val="28"/>
              </w:rPr>
            </w:pPr>
          </w:p>
        </w:tc>
      </w:tr>
    </w:tbl>
    <w:p>
      <w:pPr>
        <w:ind w:left="4675" w:firstLine="425"/>
        <w:rPr>
          <w:rFonts w:ascii="仿宋_GB2312" w:eastAsia="仿宋_GB2312"/>
          <w:sz w:val="28"/>
        </w:rPr>
      </w:pPr>
    </w:p>
    <w:p>
      <w:pPr>
        <w:ind w:left="4675" w:firstLine="425"/>
        <w:rPr>
          <w:rFonts w:ascii="仿宋_GB2312" w:eastAsia="仿宋_GB2312"/>
          <w:sz w:val="28"/>
        </w:rPr>
      </w:pPr>
      <w:r>
        <w:rPr>
          <w:rFonts w:hint="eastAsia" w:ascii="仿宋_GB2312" w:eastAsia="仿宋_GB2312"/>
          <w:sz w:val="28"/>
        </w:rPr>
        <w:t>投标人全称（盖章）</w:t>
      </w:r>
    </w:p>
    <w:p>
      <w:pPr>
        <w:ind w:firstLine="448" w:firstLineChars="187"/>
        <w:rPr>
          <w:rFonts w:ascii="仿宋_GB2312" w:eastAsia="仿宋_GB2312"/>
          <w:sz w:val="24"/>
        </w:rPr>
      </w:pPr>
    </w:p>
    <w:p>
      <w:pPr>
        <w:spacing w:line="300" w:lineRule="auto"/>
        <w:ind w:right="-20"/>
        <w:rPr>
          <w:rFonts w:ascii="仿宋_GB2312" w:eastAsia="仿宋_GB2312"/>
          <w:sz w:val="24"/>
        </w:rPr>
      </w:pPr>
      <w:r>
        <w:rPr>
          <w:rFonts w:hint="eastAsia" w:ascii="仿宋_GB2312" w:eastAsia="仿宋_GB2312"/>
          <w:sz w:val="24"/>
        </w:rPr>
        <w:t>说明：此表一式两份，请完整准确填写， 单独密封提交，以便开标时工作人员准确公布您的投标情况  。</w:t>
      </w:r>
    </w:p>
    <w:p>
      <w:pPr>
        <w:spacing w:line="300" w:lineRule="auto"/>
        <w:jc w:val="center"/>
        <w:rPr>
          <w:rFonts w:ascii="宋体" w:hAnsi="宋体"/>
          <w:b/>
          <w:sz w:val="24"/>
          <w:szCs w:val="24"/>
        </w:rPr>
      </w:pPr>
      <w:r>
        <w:rPr>
          <w:rFonts w:ascii="仿宋_GB2312" w:eastAsia="仿宋_GB2312"/>
          <w:sz w:val="24"/>
        </w:rPr>
        <w:br w:type="page"/>
      </w:r>
      <w:r>
        <w:rPr>
          <w:rFonts w:hint="eastAsia" w:ascii="宋体" w:hAnsi="宋体"/>
          <w:b/>
          <w:sz w:val="24"/>
          <w:szCs w:val="24"/>
        </w:rPr>
        <w:t>投标保证金说明</w:t>
      </w:r>
    </w:p>
    <w:p>
      <w:pPr>
        <w:spacing w:line="300" w:lineRule="auto"/>
        <w:jc w:val="center"/>
        <w:rPr>
          <w:rFonts w:ascii="宋体" w:hAnsi="宋体"/>
          <w:b/>
          <w:sz w:val="24"/>
          <w:szCs w:val="24"/>
        </w:rPr>
      </w:pPr>
      <w:r>
        <w:rPr>
          <w:rFonts w:hint="eastAsia" w:ascii="宋体" w:hAnsi="宋体"/>
          <w:b/>
          <w:szCs w:val="21"/>
        </w:rPr>
        <w:t>（请将此页装订在投标文件中）</w:t>
      </w:r>
    </w:p>
    <w:p>
      <w:pPr>
        <w:rPr>
          <w:rFonts w:ascii="宋体" w:hAnsi="宋体"/>
        </w:rPr>
      </w:pPr>
    </w:p>
    <w:tbl>
      <w:tblPr>
        <w:tblStyle w:val="63"/>
        <w:tblW w:w="0" w:type="auto"/>
        <w:jc w:val="center"/>
        <w:tblLayout w:type="fixed"/>
        <w:tblCellMar>
          <w:top w:w="0" w:type="dxa"/>
          <w:left w:w="108" w:type="dxa"/>
          <w:bottom w:w="0" w:type="dxa"/>
          <w:right w:w="108" w:type="dxa"/>
        </w:tblCellMar>
      </w:tblPr>
      <w:tblGrid>
        <w:gridCol w:w="1858"/>
        <w:gridCol w:w="2552"/>
        <w:gridCol w:w="113"/>
        <w:gridCol w:w="2013"/>
        <w:gridCol w:w="2511"/>
      </w:tblGrid>
      <w:tr>
        <w:tblPrEx>
          <w:tblCellMar>
            <w:top w:w="0" w:type="dxa"/>
            <w:left w:w="108" w:type="dxa"/>
            <w:bottom w:w="0" w:type="dxa"/>
            <w:right w:w="108" w:type="dxa"/>
          </w:tblCellMar>
        </w:tblPrEx>
        <w:trPr>
          <w:trHeight w:val="420" w:hRule="atLeast"/>
          <w:jc w:val="center"/>
        </w:trPr>
        <w:tc>
          <w:tcPr>
            <w:tcW w:w="185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项目名称</w:t>
            </w:r>
          </w:p>
        </w:tc>
        <w:tc>
          <w:tcPr>
            <w:tcW w:w="2552"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项目编号</w:t>
            </w:r>
          </w:p>
        </w:tc>
        <w:tc>
          <w:tcPr>
            <w:tcW w:w="2511"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供应商单位名称</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保证金缴纳方式</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电汇( )银行汇票( )</w:t>
            </w: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账号</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开户行</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汇款金额</w:t>
            </w:r>
          </w:p>
        </w:tc>
        <w:tc>
          <w:tcPr>
            <w:tcW w:w="7189" w:type="dxa"/>
            <w:gridSpan w:val="4"/>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人民币大写</w:t>
            </w:r>
            <w:r>
              <w:rPr>
                <w:rFonts w:hint="eastAsia" w:ascii="仿宋" w:hAnsi="仿宋" w:eastAsia="仿宋"/>
                <w:color w:val="000000" w:themeColor="text1"/>
                <w:szCs w:val="21"/>
                <w:u w:val="single"/>
                <w14:textFill>
                  <w14:solidFill>
                    <w14:schemeClr w14:val="tx1"/>
                  </w14:solidFill>
                </w14:textFill>
              </w:rPr>
              <w:t xml:space="preserve">         </w:t>
            </w:r>
            <w:r>
              <w:rPr>
                <w:rFonts w:hint="eastAsia" w:ascii="仿宋" w:hAnsi="仿宋" w:eastAsia="仿宋"/>
                <w:color w:val="000000" w:themeColor="text1"/>
                <w:szCs w:val="21"/>
                <w14:textFill>
                  <w14:solidFill>
                    <w14:schemeClr w14:val="tx1"/>
                  </w14:solidFill>
                </w14:textFill>
              </w:rPr>
              <w:t>小写</w:t>
            </w: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汇出时间</w:t>
            </w:r>
          </w:p>
        </w:tc>
        <w:tc>
          <w:tcPr>
            <w:tcW w:w="7189" w:type="dxa"/>
            <w:gridSpan w:val="4"/>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9047" w:type="dxa"/>
            <w:gridSpan w:val="5"/>
            <w:tcBorders>
              <w:top w:val="nil"/>
              <w:left w:val="single" w:color="auto" w:sz="4" w:space="0"/>
              <w:bottom w:val="single" w:color="auto" w:sz="4" w:space="0"/>
              <w:right w:val="single" w:color="auto" w:sz="4" w:space="0"/>
            </w:tcBorders>
            <w:vAlign w:val="center"/>
          </w:tcPr>
          <w:p>
            <w:pPr>
              <w:widowControl/>
              <w:ind w:firstLine="422"/>
              <w:jc w:val="center"/>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开具发票信息</w:t>
            </w:r>
          </w:p>
        </w:tc>
      </w:tr>
      <w:tr>
        <w:tblPrEx>
          <w:tblCellMar>
            <w:top w:w="0" w:type="dxa"/>
            <w:left w:w="108" w:type="dxa"/>
            <w:bottom w:w="0" w:type="dxa"/>
            <w:right w:w="108" w:type="dxa"/>
          </w:tblCellMar>
        </w:tblPrEx>
        <w:trPr>
          <w:trHeight w:val="318"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发票类型</w:t>
            </w:r>
          </w:p>
        </w:tc>
        <w:tc>
          <w:tcPr>
            <w:tcW w:w="7189" w:type="dxa"/>
            <w:gridSpan w:val="4"/>
            <w:tcBorders>
              <w:top w:val="nil"/>
              <w:left w:val="nil"/>
              <w:bottom w:val="single" w:color="auto" w:sz="4" w:space="0"/>
              <w:right w:val="single" w:color="auto" w:sz="4" w:space="0"/>
            </w:tcBorders>
            <w:vAlign w:val="center"/>
          </w:tcPr>
          <w:p>
            <w:pPr>
              <w:widowControl/>
              <w:ind w:firstLine="480"/>
              <w:jc w:val="center"/>
              <w:rPr>
                <w:rFonts w:ascii="仿宋" w:hAnsi="仿宋" w:eastAsia="仿宋" w:cs="Arial"/>
                <w:color w:val="000000" w:themeColor="text1"/>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w:t>
            </w:r>
            <w:r>
              <w:rPr>
                <w:rStyle w:val="380"/>
                <w:rFonts w:hint="eastAsia" w:ascii="仿宋" w:hAnsi="仿宋" w:eastAsia="仿宋" w:cs="Arial"/>
                <w:color w:val="000000" w:themeColor="text1"/>
                <w14:textFill>
                  <w14:solidFill>
                    <w14:schemeClr w14:val="tx1"/>
                  </w14:solidFill>
                </w14:textFill>
              </w:rPr>
              <w:t xml:space="preserve">增值税专用发票          </w:t>
            </w:r>
            <w:r>
              <w:rPr>
                <w:rFonts w:hint="eastAsia" w:ascii="仿宋" w:hAnsi="仿宋" w:eastAsia="仿宋"/>
                <w:color w:val="000000" w:themeColor="text1"/>
                <w:sz w:val="24"/>
                <w14:textFill>
                  <w14:solidFill>
                    <w14:schemeClr w14:val="tx1"/>
                  </w14:solidFill>
                </w14:textFill>
              </w:rPr>
              <w:t>□</w:t>
            </w:r>
            <w:r>
              <w:rPr>
                <w:rStyle w:val="380"/>
                <w:rFonts w:hint="eastAsia" w:ascii="仿宋" w:hAnsi="仿宋" w:eastAsia="仿宋" w:cs="Arial"/>
                <w:color w:val="000000" w:themeColor="text1"/>
                <w14:textFill>
                  <w14:solidFill>
                    <w14:schemeClr w14:val="tx1"/>
                  </w14:solidFill>
                </w14:textFill>
              </w:rPr>
              <w:t xml:space="preserve"> 增值税普通发票</w:t>
            </w: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税号（对于三证合一单位提供统一社会信用代码）</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单位注册地址</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单位联系电话（增值税发票上填列的）</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开户银行及账号（在主管国税机关备案登记的）</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9047" w:type="dxa"/>
            <w:gridSpan w:val="5"/>
            <w:tcBorders>
              <w:top w:val="nil"/>
              <w:left w:val="single" w:color="auto" w:sz="4" w:space="0"/>
              <w:bottom w:val="single" w:color="auto" w:sz="4" w:space="0"/>
              <w:right w:val="single" w:color="auto" w:sz="4" w:space="0"/>
            </w:tcBorders>
            <w:vAlign w:val="center"/>
          </w:tcPr>
          <w:p>
            <w:pPr>
              <w:widowControl/>
              <w:ind w:firstLine="422"/>
              <w:jc w:val="center"/>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如需邮寄发票，请填写如下内容：</w:t>
            </w:r>
          </w:p>
        </w:tc>
      </w:tr>
      <w:tr>
        <w:tblPrEx>
          <w:tblCellMar>
            <w:top w:w="0" w:type="dxa"/>
            <w:left w:w="108" w:type="dxa"/>
            <w:bottom w:w="0" w:type="dxa"/>
            <w:right w:w="108" w:type="dxa"/>
          </w:tblCellMar>
        </w:tblPrEx>
        <w:trPr>
          <w:trHeight w:val="318"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收件人地址</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收件人单位名称</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联系人</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联系电话</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bl>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保证金缴纳凭证的复印件：</w:t>
      </w: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我公司承诺上述资料是真实正确的，并愿承担如因上述资料填写错误而导</w:t>
      </w: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致的一切经济损失及法律责任。</w:t>
      </w:r>
    </w:p>
    <w:p>
      <w:pPr>
        <w:ind w:firstLine="480"/>
        <w:rPr>
          <w:color w:val="000000" w:themeColor="text1"/>
          <w:sz w:val="24"/>
          <w:lang w:bidi="en-US"/>
          <w14:textFill>
            <w14:solidFill>
              <w14:schemeClr w14:val="tx1"/>
            </w14:solidFill>
          </w14:textFill>
        </w:rPr>
      </w:pPr>
      <w:r>
        <w:rPr>
          <w:rFonts w:hint="eastAsia"/>
          <w:color w:val="000000" w:themeColor="text1"/>
          <w:sz w:val="24"/>
          <w:lang w:bidi="en-US"/>
          <w14:textFill>
            <w14:solidFill>
              <w14:schemeClr w14:val="tx1"/>
            </w14:solidFill>
          </w14:textFill>
        </w:rPr>
        <w:t>供应商名称（公章）：</w:t>
      </w:r>
    </w:p>
    <w:p>
      <w:pPr>
        <w:ind w:firstLine="480"/>
        <w:rPr>
          <w:color w:val="000000" w:themeColor="text1"/>
          <w:sz w:val="24"/>
          <w:lang w:bidi="en-US"/>
          <w14:textFill>
            <w14:solidFill>
              <w14:schemeClr w14:val="tx1"/>
            </w14:solidFill>
          </w14:textFill>
        </w:rPr>
      </w:pPr>
      <w:r>
        <w:rPr>
          <w:rFonts w:hint="eastAsia"/>
          <w:color w:val="000000" w:themeColor="text1"/>
          <w:sz w:val="24"/>
          <w:lang w:bidi="en-US"/>
          <w14:textFill>
            <w14:solidFill>
              <w14:schemeClr w14:val="tx1"/>
            </w14:solidFill>
          </w14:textFill>
        </w:rPr>
        <w:t>授权代表签字：_______________________</w:t>
      </w:r>
    </w:p>
    <w:p>
      <w:pPr>
        <w:spacing w:line="360" w:lineRule="auto"/>
        <w:jc w:val="center"/>
        <w:rPr>
          <w:rFonts w:ascii="宋体" w:hAnsi="宋体"/>
        </w:rPr>
      </w:pPr>
      <w:r>
        <w:rPr>
          <w:rFonts w:hint="eastAsia"/>
          <w:color w:val="000000" w:themeColor="text1"/>
          <w:szCs w:val="21"/>
          <w14:textFill>
            <w14:solidFill>
              <w14:schemeClr w14:val="tx1"/>
            </w14:solidFill>
          </w14:textFill>
        </w:rPr>
        <w:t xml:space="preserve">       年  月  日</w:t>
      </w:r>
      <w:r>
        <w:rPr>
          <w:rFonts w:ascii="宋体" w:hAnsi="宋体"/>
        </w:rPr>
        <w:br w:type="page"/>
      </w:r>
    </w:p>
    <w:sectPr>
      <w:pgSz w:w="11906" w:h="16838"/>
      <w:pgMar w:top="1417"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长城仿宋">
    <w:altName w:val="黑体"/>
    <w:panose1 w:val="00000000000000000000"/>
    <w:charset w:val="86"/>
    <w:family w:val="decorative"/>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icrosoft Sans Serif">
    <w:panose1 w:val="020B0604020202020204"/>
    <w:charset w:val="00"/>
    <w:family w:val="swiss"/>
    <w:pitch w:val="default"/>
    <w:sig w:usb0="E5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昆仑楷体">
    <w:altName w:val="宋体"/>
    <w:panose1 w:val="00000000000000000000"/>
    <w:charset w:val="86"/>
    <w:family w:val="moder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华文楷体">
    <w:panose1 w:val="02010600040101010101"/>
    <w:charset w:val="86"/>
    <w:family w:val="auto"/>
    <w:pitch w:val="default"/>
    <w:sig w:usb0="00000287" w:usb1="080F0000" w:usb2="00000000" w:usb3="00000000" w:csb0="0004009F" w:csb1="DFD70000"/>
  </w:font>
  <w:font w:name="Century Gothic">
    <w:panose1 w:val="020B0502020202020204"/>
    <w:charset w:val="00"/>
    <w:family w:val="swiss"/>
    <w:pitch w:val="default"/>
    <w:sig w:usb0="00000287" w:usb1="00000000" w:usb2="00000000" w:usb3="00000000" w:csb0="2000009F" w:csb1="DFD70000"/>
  </w:font>
  <w:font w:name="華康簡楷">
    <w:altName w:val="宋体"/>
    <w:panose1 w:val="00000000000000000000"/>
    <w:charset w:val="88"/>
    <w:family w:val="auto"/>
    <w:pitch w:val="default"/>
    <w:sig w:usb0="00000000" w:usb1="00000000" w:usb2="00000010" w:usb3="00000000" w:csb0="0010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rPr>
        <w:lang w:val="zh-CN"/>
      </w:rPr>
      <w:t>21</w:t>
    </w:r>
    <w: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none" w:color="auto" w:sz="0" w:space="0"/>
      </w:pBdr>
    </w:pPr>
    <w:r>
      <w:rPr>
        <w:rFonts w:hint="eastAsia"/>
      </w:rPr>
      <w:drawing>
        <wp:anchor distT="0" distB="0" distL="114300" distR="114300" simplePos="0" relativeHeight="251659264" behindDoc="0" locked="0" layoutInCell="1" allowOverlap="1">
          <wp:simplePos x="0" y="0"/>
          <wp:positionH relativeFrom="column">
            <wp:posOffset>4380230</wp:posOffset>
          </wp:positionH>
          <wp:positionV relativeFrom="paragraph">
            <wp:posOffset>-174625</wp:posOffset>
          </wp:positionV>
          <wp:extent cx="1611630" cy="357505"/>
          <wp:effectExtent l="0" t="0" r="7620" b="4445"/>
          <wp:wrapNone/>
          <wp:docPr id="1" name="图片 2" descr="C:\Users\anson\AppData\Roaming\Tencent\Users\987213618\QQ\WinTemp\RichOle\AHGY%OD72R3`77KT@ZPOIX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nson\AppData\Roaming\Tencent\Users\987213618\QQ\WinTemp\RichOle\AHGY%OD72R3`77KT@ZPOIX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11630" cy="35750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327"/>
      <w:lvlText w:val="%1)"/>
      <w:lvlJc w:val="left"/>
      <w:pPr>
        <w:tabs>
          <w:tab w:val="left" w:pos="900"/>
        </w:tabs>
        <w:ind w:left="900" w:hanging="420"/>
      </w:pPr>
      <w:rPr>
        <w:rFonts w:hint="eastAsia"/>
        <w:b/>
        <w:i w:val="0"/>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00000004"/>
    <w:multiLevelType w:val="multilevel"/>
    <w:tmpl w:val="00000004"/>
    <w:lvl w:ilvl="0" w:tentative="0">
      <w:start w:val="1"/>
      <w:numFmt w:val="japaneseCounting"/>
      <w:pStyle w:val="286"/>
      <w:lvlText w:val="%1、"/>
      <w:lvlJc w:val="left"/>
      <w:pPr>
        <w:tabs>
          <w:tab w:val="left" w:pos="1320"/>
        </w:tabs>
        <w:ind w:left="1320" w:hanging="720"/>
      </w:pPr>
      <w:rPr>
        <w:rFonts w:hint="eastAsia"/>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2">
    <w:nsid w:val="00000006"/>
    <w:multiLevelType w:val="multilevel"/>
    <w:tmpl w:val="00000006"/>
    <w:lvl w:ilvl="0" w:tentative="0">
      <w:start w:val="1"/>
      <w:numFmt w:val="japaneseCounting"/>
      <w:pStyle w:val="299"/>
      <w:lvlText w:val="%1、"/>
      <w:lvlJc w:val="left"/>
      <w:pPr>
        <w:tabs>
          <w:tab w:val="left" w:pos="480"/>
        </w:tabs>
        <w:ind w:left="480" w:hanging="480"/>
      </w:pPr>
      <w:rPr>
        <w:rFonts w:hint="default"/>
      </w:rPr>
    </w:lvl>
    <w:lvl w:ilvl="1" w:tentative="0">
      <w:start w:val="1"/>
      <w:numFmt w:val="japaneseCounting"/>
      <w:lvlText w:val="%2、"/>
      <w:lvlJc w:val="left"/>
      <w:pPr>
        <w:tabs>
          <w:tab w:val="left" w:pos="900"/>
        </w:tabs>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bullet"/>
      <w:pStyle w:val="283"/>
      <w:lvlText w:val=""/>
      <w:lvlJc w:val="left"/>
      <w:pPr>
        <w:tabs>
          <w:tab w:val="left" w:pos="900"/>
        </w:tabs>
        <w:ind w:left="900" w:hanging="420"/>
      </w:pPr>
      <w:rPr>
        <w:rFonts w:hint="default" w:ascii="Wingdings" w:hAnsi="Wingdings"/>
        <w:color w:val="000000"/>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0000000A"/>
    <w:multiLevelType w:val="multilevel"/>
    <w:tmpl w:val="0000000A"/>
    <w:lvl w:ilvl="0" w:tentative="0">
      <w:start w:val="1"/>
      <w:numFmt w:val="decimal"/>
      <w:pStyle w:val="167"/>
      <w:lvlText w:val="%1."/>
      <w:lvlJc w:val="left"/>
      <w:pPr>
        <w:tabs>
          <w:tab w:val="left" w:pos="425"/>
        </w:tabs>
        <w:ind w:left="425" w:hanging="425"/>
      </w:pPr>
      <w:rPr>
        <w:rFonts w:hint="eastAsia"/>
      </w:rPr>
    </w:lvl>
    <w:lvl w:ilvl="1" w:tentative="0">
      <w:start w:val="1"/>
      <w:numFmt w:val="decimal"/>
      <w:pStyle w:val="155"/>
      <w:lvlText w:val="3.%2."/>
      <w:lvlJc w:val="left"/>
      <w:pPr>
        <w:tabs>
          <w:tab w:val="left" w:pos="720"/>
        </w:tabs>
        <w:ind w:left="567" w:hanging="567"/>
      </w:pPr>
      <w:rPr>
        <w:rFonts w:hint="eastAsia"/>
      </w:rPr>
    </w:lvl>
    <w:lvl w:ilvl="2" w:tentative="0">
      <w:start w:val="1"/>
      <w:numFmt w:val="decimal"/>
      <w:pStyle w:val="298"/>
      <w:lvlText w:val="%1.%2.%3."/>
      <w:lvlJc w:val="left"/>
      <w:pPr>
        <w:tabs>
          <w:tab w:val="left" w:pos="1080"/>
        </w:tabs>
        <w:ind w:left="709" w:hanging="709"/>
      </w:pPr>
      <w:rPr>
        <w:rFonts w:hint="eastAsia"/>
      </w:rPr>
    </w:lvl>
    <w:lvl w:ilvl="3" w:tentative="0">
      <w:start w:val="1"/>
      <w:numFmt w:val="decimal"/>
      <w:lvlText w:val="%1.%2.%3.%4."/>
      <w:lvlJc w:val="left"/>
      <w:pPr>
        <w:tabs>
          <w:tab w:val="left" w:pos="1080"/>
        </w:tabs>
        <w:ind w:left="851" w:hanging="851"/>
      </w:pPr>
      <w:rPr>
        <w:rFonts w:hint="eastAsia"/>
      </w:rPr>
    </w:lvl>
    <w:lvl w:ilvl="4" w:tentative="0">
      <w:start w:val="1"/>
      <w:numFmt w:val="decimal"/>
      <w:lvlText w:val="%1.%2.%3.%4.%5."/>
      <w:lvlJc w:val="left"/>
      <w:pPr>
        <w:tabs>
          <w:tab w:val="left" w:pos="1440"/>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000000B"/>
    <w:multiLevelType w:val="singleLevel"/>
    <w:tmpl w:val="0000000B"/>
    <w:lvl w:ilvl="0" w:tentative="0">
      <w:start w:val="1"/>
      <w:numFmt w:val="chineseCounting"/>
      <w:suff w:val="nothing"/>
      <w:lvlText w:val="%1、"/>
      <w:lvlJc w:val="left"/>
    </w:lvl>
  </w:abstractNum>
  <w:abstractNum w:abstractNumId="6">
    <w:nsid w:val="0000000C"/>
    <w:multiLevelType w:val="multilevel"/>
    <w:tmpl w:val="0000000C"/>
    <w:lvl w:ilvl="0" w:tentative="0">
      <w:start w:val="1"/>
      <w:numFmt w:val="decimal"/>
      <w:pStyle w:val="215"/>
      <w:lvlText w:val="%1、"/>
      <w:lvlJc w:val="left"/>
      <w:pPr>
        <w:tabs>
          <w:tab w:val="left" w:pos="1497"/>
        </w:tabs>
        <w:ind w:left="1497" w:hanging="930"/>
      </w:pPr>
      <w:rPr>
        <w:rFonts w:hint="eastAsia"/>
      </w:rPr>
    </w:lvl>
    <w:lvl w:ilvl="1" w:tentative="0">
      <w:start w:val="1"/>
      <w:numFmt w:val="lowerLetter"/>
      <w:lvlText w:val="%2)"/>
      <w:lvlJc w:val="left"/>
      <w:pPr>
        <w:tabs>
          <w:tab w:val="left" w:pos="1407"/>
        </w:tabs>
        <w:ind w:left="1407" w:hanging="420"/>
      </w:pPr>
    </w:lvl>
    <w:lvl w:ilvl="2" w:tentative="0">
      <w:start w:val="1"/>
      <w:numFmt w:val="lowerRoman"/>
      <w:lvlText w:val="%3."/>
      <w:lvlJc w:val="right"/>
      <w:pPr>
        <w:tabs>
          <w:tab w:val="left" w:pos="1827"/>
        </w:tabs>
        <w:ind w:left="1827" w:hanging="420"/>
      </w:pPr>
    </w:lvl>
    <w:lvl w:ilvl="3" w:tentative="0">
      <w:start w:val="1"/>
      <w:numFmt w:val="decimal"/>
      <w:lvlText w:val="%4."/>
      <w:lvlJc w:val="left"/>
      <w:pPr>
        <w:tabs>
          <w:tab w:val="left" w:pos="2247"/>
        </w:tabs>
        <w:ind w:left="2247" w:hanging="420"/>
      </w:pPr>
    </w:lvl>
    <w:lvl w:ilvl="4" w:tentative="0">
      <w:start w:val="1"/>
      <w:numFmt w:val="lowerLetter"/>
      <w:lvlText w:val="%5)"/>
      <w:lvlJc w:val="left"/>
      <w:pPr>
        <w:tabs>
          <w:tab w:val="left" w:pos="2667"/>
        </w:tabs>
        <w:ind w:left="2667" w:hanging="420"/>
      </w:pPr>
    </w:lvl>
    <w:lvl w:ilvl="5" w:tentative="0">
      <w:start w:val="1"/>
      <w:numFmt w:val="lowerRoman"/>
      <w:lvlText w:val="%6."/>
      <w:lvlJc w:val="right"/>
      <w:pPr>
        <w:tabs>
          <w:tab w:val="left" w:pos="3087"/>
        </w:tabs>
        <w:ind w:left="3087" w:hanging="420"/>
      </w:pPr>
    </w:lvl>
    <w:lvl w:ilvl="6" w:tentative="0">
      <w:start w:val="1"/>
      <w:numFmt w:val="decimal"/>
      <w:lvlText w:val="%7."/>
      <w:lvlJc w:val="left"/>
      <w:pPr>
        <w:tabs>
          <w:tab w:val="left" w:pos="3507"/>
        </w:tabs>
        <w:ind w:left="3507" w:hanging="420"/>
      </w:pPr>
    </w:lvl>
    <w:lvl w:ilvl="7" w:tentative="0">
      <w:start w:val="1"/>
      <w:numFmt w:val="lowerLetter"/>
      <w:lvlText w:val="%8)"/>
      <w:lvlJc w:val="left"/>
      <w:pPr>
        <w:tabs>
          <w:tab w:val="left" w:pos="3927"/>
        </w:tabs>
        <w:ind w:left="3927" w:hanging="420"/>
      </w:pPr>
    </w:lvl>
    <w:lvl w:ilvl="8" w:tentative="0">
      <w:start w:val="1"/>
      <w:numFmt w:val="lowerRoman"/>
      <w:lvlText w:val="%9."/>
      <w:lvlJc w:val="right"/>
      <w:pPr>
        <w:tabs>
          <w:tab w:val="left" w:pos="4347"/>
        </w:tabs>
        <w:ind w:left="4347" w:hanging="420"/>
      </w:pPr>
    </w:lvl>
  </w:abstractNum>
  <w:abstractNum w:abstractNumId="7">
    <w:nsid w:val="0000000D"/>
    <w:multiLevelType w:val="multilevel"/>
    <w:tmpl w:val="0000000D"/>
    <w:lvl w:ilvl="0" w:tentative="0">
      <w:start w:val="1"/>
      <w:numFmt w:val="decimal"/>
      <w:pStyle w:val="23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E"/>
    <w:multiLevelType w:val="multilevel"/>
    <w:tmpl w:val="000000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0F"/>
    <w:multiLevelType w:val="multilevel"/>
    <w:tmpl w:val="0000000F"/>
    <w:lvl w:ilvl="0" w:tentative="0">
      <w:start w:val="1"/>
      <w:numFmt w:val="upperLetter"/>
      <w:pStyle w:val="220"/>
      <w:lvlText w:val="%1."/>
      <w:lvlJc w:val="left"/>
      <w:pPr>
        <w:ind w:left="420" w:hanging="420"/>
      </w:pPr>
      <w:rPr>
        <w:rFonts w:hint="eastAsia"/>
        <w:b/>
        <w:sz w:val="24"/>
        <w:szCs w:val="24"/>
      </w:rPr>
    </w:lvl>
    <w:lvl w:ilvl="1" w:tentative="0">
      <w:start w:val="1"/>
      <w:numFmt w:val="bullet"/>
      <w:pStyle w:val="219"/>
      <w:lvlText w:val=""/>
      <w:lvlJc w:val="left"/>
      <w:pPr>
        <w:tabs>
          <w:tab w:val="left" w:pos="840"/>
        </w:tabs>
        <w:ind w:left="840" w:hanging="420"/>
      </w:pPr>
      <w:rPr>
        <w:rFonts w:hint="default" w:ascii="Wingdings" w:hAnsi="Wingdings"/>
        <w:b/>
        <w:sz w:val="24"/>
        <w:szCs w:val="24"/>
      </w:rPr>
    </w:lvl>
    <w:lvl w:ilvl="2" w:tentative="0">
      <w:start w:val="1"/>
      <w:numFmt w:val="lowerRoman"/>
      <w:pStyle w:val="202"/>
      <w:lvlText w:val="%3."/>
      <w:lvlJc w:val="right"/>
      <w:pPr>
        <w:ind w:left="1260" w:hanging="420"/>
      </w:pPr>
    </w:lvl>
    <w:lvl w:ilvl="3" w:tentative="0">
      <w:start w:val="1"/>
      <w:numFmt w:val="decimal"/>
      <w:lvlText w:val="%4."/>
      <w:lvlJc w:val="left"/>
      <w:pPr>
        <w:ind w:left="1680" w:hanging="420"/>
      </w:pPr>
    </w:lvl>
    <w:lvl w:ilvl="4" w:tentative="0">
      <w:start w:val="1"/>
      <w:numFmt w:val="lowerLetter"/>
      <w:pStyle w:val="275"/>
      <w:lvlText w:val="%5)"/>
      <w:lvlJc w:val="left"/>
      <w:pPr>
        <w:ind w:left="2100" w:hanging="420"/>
      </w:pPr>
    </w:lvl>
    <w:lvl w:ilvl="5" w:tentative="0">
      <w:start w:val="1"/>
      <w:numFmt w:val="lowerRoman"/>
      <w:pStyle w:val="230"/>
      <w:lvlText w:val="%6."/>
      <w:lvlJc w:val="right"/>
      <w:pPr>
        <w:ind w:left="2520" w:hanging="420"/>
      </w:pPr>
    </w:lvl>
    <w:lvl w:ilvl="6" w:tentative="0">
      <w:start w:val="1"/>
      <w:numFmt w:val="decimal"/>
      <w:pStyle w:val="43"/>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4"/>
  </w:num>
  <w:num w:numId="3">
    <w:abstractNumId w:val="6"/>
  </w:num>
  <w:num w:numId="4">
    <w:abstractNumId w:val="7"/>
  </w:num>
  <w:num w:numId="5">
    <w:abstractNumId w:val="3"/>
  </w:num>
  <w:num w:numId="6">
    <w:abstractNumId w:val="1"/>
  </w:num>
  <w:num w:numId="7">
    <w:abstractNumId w:val="2"/>
  </w:num>
  <w:num w:numId="8">
    <w:abstractNumId w:val="0"/>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0"/>
  <w:displayHorizontalDrawingGridEvery w:val="0"/>
  <w:displayVerticalDrawingGridEvery w:val="0"/>
  <w:doNotUseMarginsForDrawingGridOrigin w:val="1"/>
  <w:drawingGridHorizontalOrigin w:val="0"/>
  <w:drawingGridVerticalOrigin w:val="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782"/>
    <w:rsid w:val="00026840"/>
    <w:rsid w:val="00051017"/>
    <w:rsid w:val="00052EC8"/>
    <w:rsid w:val="00055B10"/>
    <w:rsid w:val="000820F9"/>
    <w:rsid w:val="000A36DD"/>
    <w:rsid w:val="000D6423"/>
    <w:rsid w:val="000D743F"/>
    <w:rsid w:val="00112291"/>
    <w:rsid w:val="00126F04"/>
    <w:rsid w:val="00156323"/>
    <w:rsid w:val="00172A27"/>
    <w:rsid w:val="001801C3"/>
    <w:rsid w:val="00195C2D"/>
    <w:rsid w:val="001A2940"/>
    <w:rsid w:val="001A7D38"/>
    <w:rsid w:val="001D056E"/>
    <w:rsid w:val="001D091F"/>
    <w:rsid w:val="00254AD8"/>
    <w:rsid w:val="002C29D8"/>
    <w:rsid w:val="002E6DDD"/>
    <w:rsid w:val="002F2AA1"/>
    <w:rsid w:val="00306702"/>
    <w:rsid w:val="00342797"/>
    <w:rsid w:val="004137BF"/>
    <w:rsid w:val="0043617B"/>
    <w:rsid w:val="004726DA"/>
    <w:rsid w:val="004759D8"/>
    <w:rsid w:val="00494092"/>
    <w:rsid w:val="004A1078"/>
    <w:rsid w:val="004A4229"/>
    <w:rsid w:val="005037D7"/>
    <w:rsid w:val="00510D6E"/>
    <w:rsid w:val="00556B1A"/>
    <w:rsid w:val="00621D70"/>
    <w:rsid w:val="0062416D"/>
    <w:rsid w:val="0063121D"/>
    <w:rsid w:val="0069511E"/>
    <w:rsid w:val="006B177B"/>
    <w:rsid w:val="00703B8D"/>
    <w:rsid w:val="00706AFD"/>
    <w:rsid w:val="00740D6B"/>
    <w:rsid w:val="00745999"/>
    <w:rsid w:val="00760165"/>
    <w:rsid w:val="00780763"/>
    <w:rsid w:val="00780B03"/>
    <w:rsid w:val="007A7EC7"/>
    <w:rsid w:val="007C2A5F"/>
    <w:rsid w:val="007D20BB"/>
    <w:rsid w:val="008036FF"/>
    <w:rsid w:val="00822D65"/>
    <w:rsid w:val="00870859"/>
    <w:rsid w:val="008C2CFE"/>
    <w:rsid w:val="00994FFC"/>
    <w:rsid w:val="009E6089"/>
    <w:rsid w:val="00A34990"/>
    <w:rsid w:val="00A40ED7"/>
    <w:rsid w:val="00A7735F"/>
    <w:rsid w:val="00A95250"/>
    <w:rsid w:val="00B12D91"/>
    <w:rsid w:val="00B231AA"/>
    <w:rsid w:val="00B510E0"/>
    <w:rsid w:val="00BC05E5"/>
    <w:rsid w:val="00BC72E6"/>
    <w:rsid w:val="00C10944"/>
    <w:rsid w:val="00C16BF5"/>
    <w:rsid w:val="00C26E9F"/>
    <w:rsid w:val="00C653FD"/>
    <w:rsid w:val="00C72918"/>
    <w:rsid w:val="00CC18E4"/>
    <w:rsid w:val="00CC7AC8"/>
    <w:rsid w:val="00CE772E"/>
    <w:rsid w:val="00D00652"/>
    <w:rsid w:val="00D0539F"/>
    <w:rsid w:val="00D17537"/>
    <w:rsid w:val="00D42D9E"/>
    <w:rsid w:val="00D57C86"/>
    <w:rsid w:val="00D60EC6"/>
    <w:rsid w:val="00DB681E"/>
    <w:rsid w:val="00E03F99"/>
    <w:rsid w:val="00E619AA"/>
    <w:rsid w:val="00E72AB6"/>
    <w:rsid w:val="00E73F41"/>
    <w:rsid w:val="00EB24A2"/>
    <w:rsid w:val="00EC4FAA"/>
    <w:rsid w:val="00F029D5"/>
    <w:rsid w:val="00F02BDF"/>
    <w:rsid w:val="00F26D24"/>
    <w:rsid w:val="00F33002"/>
    <w:rsid w:val="00F61757"/>
    <w:rsid w:val="00F81BC9"/>
    <w:rsid w:val="00FB29F5"/>
    <w:rsid w:val="00FE2939"/>
    <w:rsid w:val="01A52CC1"/>
    <w:rsid w:val="032F27C8"/>
    <w:rsid w:val="03425F66"/>
    <w:rsid w:val="03C84B54"/>
    <w:rsid w:val="03E14604"/>
    <w:rsid w:val="05734F81"/>
    <w:rsid w:val="057E320F"/>
    <w:rsid w:val="076C50C5"/>
    <w:rsid w:val="078F0773"/>
    <w:rsid w:val="079064E1"/>
    <w:rsid w:val="07C2369D"/>
    <w:rsid w:val="08051A37"/>
    <w:rsid w:val="08116091"/>
    <w:rsid w:val="09BB7E03"/>
    <w:rsid w:val="09DD6B4C"/>
    <w:rsid w:val="0B056B21"/>
    <w:rsid w:val="0B251462"/>
    <w:rsid w:val="0B7E0D69"/>
    <w:rsid w:val="0C1B2D0A"/>
    <w:rsid w:val="0D5F692A"/>
    <w:rsid w:val="0E750A47"/>
    <w:rsid w:val="0EB457FE"/>
    <w:rsid w:val="0F9878A4"/>
    <w:rsid w:val="106C3100"/>
    <w:rsid w:val="10C57012"/>
    <w:rsid w:val="11604C92"/>
    <w:rsid w:val="11930964"/>
    <w:rsid w:val="11B33417"/>
    <w:rsid w:val="129758AF"/>
    <w:rsid w:val="14505F04"/>
    <w:rsid w:val="151C0732"/>
    <w:rsid w:val="15A25C0B"/>
    <w:rsid w:val="16697BD2"/>
    <w:rsid w:val="170809D5"/>
    <w:rsid w:val="18282132"/>
    <w:rsid w:val="185B5E04"/>
    <w:rsid w:val="1A5F77D3"/>
    <w:rsid w:val="1D6E4ED7"/>
    <w:rsid w:val="1F093656"/>
    <w:rsid w:val="1F2332A4"/>
    <w:rsid w:val="1FF92002"/>
    <w:rsid w:val="20387569"/>
    <w:rsid w:val="20AC2DE8"/>
    <w:rsid w:val="211911F7"/>
    <w:rsid w:val="21A65541"/>
    <w:rsid w:val="21D42BD4"/>
    <w:rsid w:val="21F43172"/>
    <w:rsid w:val="22C8439F"/>
    <w:rsid w:val="2491359A"/>
    <w:rsid w:val="24BB25D0"/>
    <w:rsid w:val="24F301AC"/>
    <w:rsid w:val="2590132F"/>
    <w:rsid w:val="265C1CFC"/>
    <w:rsid w:val="26781E52"/>
    <w:rsid w:val="27A06B10"/>
    <w:rsid w:val="27DD6975"/>
    <w:rsid w:val="280B61C0"/>
    <w:rsid w:val="2BEB4B62"/>
    <w:rsid w:val="2C055EA0"/>
    <w:rsid w:val="2DF05FBC"/>
    <w:rsid w:val="2F797671"/>
    <w:rsid w:val="2F837F80"/>
    <w:rsid w:val="2FC73C78"/>
    <w:rsid w:val="301C6E7A"/>
    <w:rsid w:val="310338F4"/>
    <w:rsid w:val="32331A68"/>
    <w:rsid w:val="324A4F10"/>
    <w:rsid w:val="32A400F5"/>
    <w:rsid w:val="32ED471A"/>
    <w:rsid w:val="334E32EF"/>
    <w:rsid w:val="340711EA"/>
    <w:rsid w:val="3483454D"/>
    <w:rsid w:val="359336F3"/>
    <w:rsid w:val="35AB6B9C"/>
    <w:rsid w:val="35C21948"/>
    <w:rsid w:val="35C34243"/>
    <w:rsid w:val="36BC1539"/>
    <w:rsid w:val="37EB70CB"/>
    <w:rsid w:val="38AD4C0A"/>
    <w:rsid w:val="3B306EA8"/>
    <w:rsid w:val="3B682885"/>
    <w:rsid w:val="3BFC52F7"/>
    <w:rsid w:val="3C73403C"/>
    <w:rsid w:val="3CD662DF"/>
    <w:rsid w:val="3CEE40B5"/>
    <w:rsid w:val="3D091FB1"/>
    <w:rsid w:val="3EDF4DCC"/>
    <w:rsid w:val="40AE30AC"/>
    <w:rsid w:val="428224A2"/>
    <w:rsid w:val="433B14DC"/>
    <w:rsid w:val="43A62D89"/>
    <w:rsid w:val="44A52CAC"/>
    <w:rsid w:val="44B96B0E"/>
    <w:rsid w:val="45EB6847"/>
    <w:rsid w:val="47A45B98"/>
    <w:rsid w:val="47D61969"/>
    <w:rsid w:val="4968677D"/>
    <w:rsid w:val="4A03697C"/>
    <w:rsid w:val="4A3E54DC"/>
    <w:rsid w:val="4AA01CFD"/>
    <w:rsid w:val="4C763054"/>
    <w:rsid w:val="4DE6710C"/>
    <w:rsid w:val="4EAD3AA1"/>
    <w:rsid w:val="50303C1D"/>
    <w:rsid w:val="51047479"/>
    <w:rsid w:val="5106297C"/>
    <w:rsid w:val="51476332"/>
    <w:rsid w:val="53C3157B"/>
    <w:rsid w:val="54A05E56"/>
    <w:rsid w:val="562B51ED"/>
    <w:rsid w:val="571C2577"/>
    <w:rsid w:val="57316C99"/>
    <w:rsid w:val="57904628"/>
    <w:rsid w:val="57CC4919"/>
    <w:rsid w:val="5A252970"/>
    <w:rsid w:val="5B2E1AA7"/>
    <w:rsid w:val="5B983F99"/>
    <w:rsid w:val="5BB62C85"/>
    <w:rsid w:val="5C784F41"/>
    <w:rsid w:val="5E941DB9"/>
    <w:rsid w:val="5F75492A"/>
    <w:rsid w:val="5FA55479"/>
    <w:rsid w:val="616C0B45"/>
    <w:rsid w:val="61B6615E"/>
    <w:rsid w:val="6248306F"/>
    <w:rsid w:val="628855B4"/>
    <w:rsid w:val="634023E1"/>
    <w:rsid w:val="634072AF"/>
    <w:rsid w:val="64482C14"/>
    <w:rsid w:val="65F4154B"/>
    <w:rsid w:val="674E548A"/>
    <w:rsid w:val="698B4A35"/>
    <w:rsid w:val="6A474311"/>
    <w:rsid w:val="6AA66486"/>
    <w:rsid w:val="6AAD20F4"/>
    <w:rsid w:val="6C6363B9"/>
    <w:rsid w:val="6C7E3B0E"/>
    <w:rsid w:val="6C814A92"/>
    <w:rsid w:val="6CBB3973"/>
    <w:rsid w:val="6CFD43DC"/>
    <w:rsid w:val="6DDB21EC"/>
    <w:rsid w:val="6EEA6186"/>
    <w:rsid w:val="6F416B95"/>
    <w:rsid w:val="6F9775A3"/>
    <w:rsid w:val="6FC92509"/>
    <w:rsid w:val="701A42F9"/>
    <w:rsid w:val="716C0423"/>
    <w:rsid w:val="72C61269"/>
    <w:rsid w:val="732919FE"/>
    <w:rsid w:val="73DE0228"/>
    <w:rsid w:val="74481E55"/>
    <w:rsid w:val="74566E9F"/>
    <w:rsid w:val="745829FD"/>
    <w:rsid w:val="756D5EBB"/>
    <w:rsid w:val="75B23626"/>
    <w:rsid w:val="76936197"/>
    <w:rsid w:val="76D214FF"/>
    <w:rsid w:val="76F75EBB"/>
    <w:rsid w:val="7714326D"/>
    <w:rsid w:val="771D60FB"/>
    <w:rsid w:val="774A7EC4"/>
    <w:rsid w:val="77F34E5A"/>
    <w:rsid w:val="785051F3"/>
    <w:rsid w:val="78DA18D4"/>
    <w:rsid w:val="78F37F43"/>
    <w:rsid w:val="7A7570F7"/>
    <w:rsid w:val="7A927C8F"/>
    <w:rsid w:val="7B4B5E55"/>
    <w:rsid w:val="7B95174D"/>
    <w:rsid w:val="7C166823"/>
    <w:rsid w:val="7C675328"/>
    <w:rsid w:val="7C7A0AC6"/>
    <w:rsid w:val="7D5B3637"/>
    <w:rsid w:val="7D907D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0" w:name="List 3"/>
    <w:lsdException w:uiPriority="0" w:name="List 4"/>
    <w:lsdException w:uiPriority="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2"/>
    <w:qFormat/>
    <w:uiPriority w:val="0"/>
    <w:pPr>
      <w:keepNext/>
      <w:keepLines/>
      <w:spacing w:before="340" w:after="330" w:line="578" w:lineRule="auto"/>
      <w:outlineLvl w:val="0"/>
    </w:pPr>
    <w:rPr>
      <w:b/>
      <w:kern w:val="44"/>
      <w:sz w:val="44"/>
      <w:szCs w:val="24"/>
    </w:rPr>
  </w:style>
  <w:style w:type="paragraph" w:styleId="3">
    <w:name w:val="heading 2"/>
    <w:basedOn w:val="1"/>
    <w:next w:val="1"/>
    <w:link w:val="9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6"/>
    <w:qFormat/>
    <w:uiPriority w:val="0"/>
    <w:pPr>
      <w:keepNext/>
      <w:keepLines/>
      <w:spacing w:before="260" w:after="260" w:line="416" w:lineRule="auto"/>
      <w:outlineLvl w:val="2"/>
    </w:pPr>
    <w:rPr>
      <w:b/>
      <w:bCs/>
      <w:sz w:val="32"/>
      <w:szCs w:val="32"/>
    </w:rPr>
  </w:style>
  <w:style w:type="paragraph" w:styleId="5">
    <w:name w:val="heading 4"/>
    <w:basedOn w:val="1"/>
    <w:next w:val="1"/>
    <w:link w:val="107"/>
    <w:qFormat/>
    <w:uiPriority w:val="0"/>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qFormat/>
    <w:uiPriority w:val="0"/>
    <w:pPr>
      <w:keepNext/>
      <w:keepLines/>
      <w:adjustRightInd w:val="0"/>
      <w:spacing w:before="280" w:after="290" w:line="376" w:lineRule="atLeast"/>
      <w:textAlignment w:val="baseline"/>
      <w:outlineLvl w:val="4"/>
    </w:pPr>
    <w:rPr>
      <w:b/>
      <w:kern w:val="0"/>
      <w:sz w:val="28"/>
    </w:rPr>
  </w:style>
  <w:style w:type="paragraph" w:styleId="7">
    <w:name w:val="heading 6"/>
    <w:basedOn w:val="1"/>
    <w:next w:val="1"/>
    <w:qFormat/>
    <w:uiPriority w:val="0"/>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qFormat/>
    <w:uiPriority w:val="0"/>
    <w:pPr>
      <w:keepNext/>
      <w:keepLines/>
      <w:adjustRightInd w:val="0"/>
      <w:spacing w:before="240" w:after="64" w:line="320" w:lineRule="atLeast"/>
      <w:textAlignment w:val="baseline"/>
      <w:outlineLvl w:val="6"/>
    </w:pPr>
    <w:rPr>
      <w:b/>
      <w:kern w:val="0"/>
      <w:sz w:val="24"/>
    </w:rPr>
  </w:style>
  <w:style w:type="paragraph" w:styleId="9">
    <w:name w:val="heading 8"/>
    <w:basedOn w:val="1"/>
    <w:next w:val="1"/>
    <w:qFormat/>
    <w:uiPriority w:val="0"/>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qFormat/>
    <w:uiPriority w:val="0"/>
    <w:pPr>
      <w:keepNext/>
      <w:keepLines/>
      <w:adjustRightInd w:val="0"/>
      <w:spacing w:before="240" w:after="64" w:line="320" w:lineRule="atLeast"/>
      <w:textAlignment w:val="baseline"/>
      <w:outlineLvl w:val="8"/>
    </w:pPr>
    <w:rPr>
      <w:rFonts w:ascii="Arial" w:hAnsi="Arial" w:eastAsia="黑体"/>
      <w:kern w:val="0"/>
    </w:rPr>
  </w:style>
  <w:style w:type="character" w:default="1" w:styleId="64">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Number 2"/>
    <w:basedOn w:val="1"/>
    <w:qFormat/>
    <w:uiPriority w:val="0"/>
    <w:pPr>
      <w:widowControl/>
      <w:tabs>
        <w:tab w:val="left" w:pos="720"/>
      </w:tabs>
      <w:ind w:left="720" w:hanging="360"/>
    </w:pPr>
    <w:rPr>
      <w:rFonts w:ascii="Arial" w:hAnsi="Arial"/>
      <w:kern w:val="0"/>
      <w:sz w:val="20"/>
      <w:lang w:eastAsia="en-US"/>
    </w:rPr>
  </w:style>
  <w:style w:type="paragraph" w:styleId="13">
    <w:name w:val="List Bullet 4"/>
    <w:basedOn w:val="1"/>
    <w:qFormat/>
    <w:uiPriority w:val="0"/>
    <w:pPr>
      <w:widowControl/>
      <w:tabs>
        <w:tab w:val="left" w:pos="1440"/>
      </w:tabs>
      <w:ind w:left="1440" w:hanging="360"/>
    </w:pPr>
    <w:rPr>
      <w:rFonts w:ascii="Arial" w:hAnsi="Arial"/>
      <w:kern w:val="0"/>
      <w:sz w:val="20"/>
      <w:lang w:eastAsia="en-US"/>
    </w:rPr>
  </w:style>
  <w:style w:type="paragraph" w:styleId="14">
    <w:name w:val="index 8"/>
    <w:basedOn w:val="1"/>
    <w:next w:val="1"/>
    <w:qFormat/>
    <w:uiPriority w:val="0"/>
    <w:pPr>
      <w:ind w:left="1680" w:hanging="210"/>
      <w:jc w:val="left"/>
    </w:pPr>
    <w:rPr>
      <w:sz w:val="20"/>
    </w:rPr>
  </w:style>
  <w:style w:type="paragraph" w:styleId="15">
    <w:name w:val="List Number"/>
    <w:basedOn w:val="1"/>
    <w:qFormat/>
    <w:uiPriority w:val="0"/>
    <w:pPr>
      <w:tabs>
        <w:tab w:val="left" w:pos="360"/>
      </w:tabs>
      <w:ind w:left="360" w:hanging="360" w:hangingChars="200"/>
    </w:pPr>
    <w:rPr>
      <w:szCs w:val="24"/>
    </w:rPr>
  </w:style>
  <w:style w:type="paragraph" w:styleId="16">
    <w:name w:val="Normal Indent"/>
    <w:basedOn w:val="1"/>
    <w:qFormat/>
    <w:uiPriority w:val="0"/>
    <w:pPr>
      <w:ind w:firstLine="420"/>
    </w:pPr>
    <w:rPr>
      <w:rFonts w:ascii="宋体"/>
      <w:sz w:val="24"/>
    </w:rPr>
  </w:style>
  <w:style w:type="paragraph" w:styleId="17">
    <w:name w:val="index 5"/>
    <w:basedOn w:val="1"/>
    <w:next w:val="1"/>
    <w:qFormat/>
    <w:uiPriority w:val="0"/>
    <w:pPr>
      <w:ind w:left="1050" w:hanging="210"/>
      <w:jc w:val="left"/>
    </w:pPr>
    <w:rPr>
      <w:sz w:val="20"/>
    </w:rPr>
  </w:style>
  <w:style w:type="paragraph" w:styleId="18">
    <w:name w:val="List Bullet"/>
    <w:basedOn w:val="1"/>
    <w:qFormat/>
    <w:uiPriority w:val="0"/>
    <w:pPr>
      <w:tabs>
        <w:tab w:val="left" w:pos="360"/>
      </w:tabs>
      <w:ind w:left="360" w:hanging="360"/>
    </w:pPr>
    <w:rPr>
      <w:sz w:val="24"/>
      <w:szCs w:val="24"/>
    </w:rPr>
  </w:style>
  <w:style w:type="paragraph" w:styleId="19">
    <w:name w:val="Document Map"/>
    <w:basedOn w:val="1"/>
    <w:link w:val="75"/>
    <w:qFormat/>
    <w:uiPriority w:val="0"/>
    <w:pPr>
      <w:shd w:val="clear" w:color="auto" w:fill="000080"/>
    </w:pPr>
    <w:rPr>
      <w:shd w:val="clear" w:color="auto" w:fill="000080"/>
    </w:rPr>
  </w:style>
  <w:style w:type="paragraph" w:styleId="20">
    <w:name w:val="toa heading"/>
    <w:basedOn w:val="1"/>
    <w:next w:val="1"/>
    <w:qFormat/>
    <w:uiPriority w:val="0"/>
    <w:pPr>
      <w:spacing w:before="120"/>
    </w:pPr>
    <w:rPr>
      <w:rFonts w:ascii="Cambria" w:hAnsi="Cambria"/>
      <w:sz w:val="24"/>
      <w:szCs w:val="24"/>
    </w:rPr>
  </w:style>
  <w:style w:type="paragraph" w:styleId="21">
    <w:name w:val="annotation text"/>
    <w:basedOn w:val="1"/>
    <w:link w:val="94"/>
    <w:qFormat/>
    <w:uiPriority w:val="0"/>
    <w:pPr>
      <w:jc w:val="left"/>
    </w:pPr>
  </w:style>
  <w:style w:type="paragraph" w:styleId="22">
    <w:name w:val="index 6"/>
    <w:basedOn w:val="1"/>
    <w:next w:val="1"/>
    <w:qFormat/>
    <w:uiPriority w:val="0"/>
    <w:pPr>
      <w:ind w:left="1260" w:hanging="210"/>
      <w:jc w:val="left"/>
    </w:pPr>
    <w:rPr>
      <w:sz w:val="20"/>
    </w:rPr>
  </w:style>
  <w:style w:type="paragraph" w:styleId="23">
    <w:name w:val="Salutation"/>
    <w:basedOn w:val="1"/>
    <w:next w:val="1"/>
    <w:qFormat/>
    <w:uiPriority w:val="0"/>
    <w:rPr>
      <w:sz w:val="28"/>
    </w:rPr>
  </w:style>
  <w:style w:type="paragraph" w:styleId="24">
    <w:name w:val="Body Text 3"/>
    <w:basedOn w:val="1"/>
    <w:qFormat/>
    <w:uiPriority w:val="0"/>
    <w:pPr>
      <w:spacing w:after="120"/>
    </w:pPr>
    <w:rPr>
      <w:sz w:val="16"/>
      <w:szCs w:val="16"/>
    </w:rPr>
  </w:style>
  <w:style w:type="paragraph" w:styleId="25">
    <w:name w:val="List Bullet 3"/>
    <w:basedOn w:val="1"/>
    <w:qFormat/>
    <w:uiPriority w:val="0"/>
    <w:pPr>
      <w:widowControl/>
      <w:tabs>
        <w:tab w:val="left" w:pos="1080"/>
      </w:tabs>
      <w:ind w:left="1080" w:hanging="360"/>
    </w:pPr>
    <w:rPr>
      <w:rFonts w:ascii="Arial" w:hAnsi="Arial"/>
      <w:kern w:val="0"/>
      <w:sz w:val="20"/>
      <w:lang w:eastAsia="en-US"/>
    </w:rPr>
  </w:style>
  <w:style w:type="paragraph" w:styleId="26">
    <w:name w:val="Body Text"/>
    <w:basedOn w:val="1"/>
    <w:link w:val="76"/>
    <w:qFormat/>
    <w:uiPriority w:val="0"/>
    <w:pPr>
      <w:spacing w:after="120"/>
    </w:pPr>
  </w:style>
  <w:style w:type="paragraph" w:styleId="27">
    <w:name w:val="Body Text Indent"/>
    <w:basedOn w:val="1"/>
    <w:qFormat/>
    <w:uiPriority w:val="0"/>
    <w:pPr>
      <w:spacing w:after="120"/>
      <w:ind w:left="420" w:leftChars="200"/>
    </w:pPr>
  </w:style>
  <w:style w:type="paragraph" w:styleId="28">
    <w:name w:val="List Number 3"/>
    <w:basedOn w:val="1"/>
    <w:qFormat/>
    <w:uiPriority w:val="0"/>
    <w:pPr>
      <w:widowControl/>
      <w:tabs>
        <w:tab w:val="left" w:pos="1080"/>
      </w:tabs>
      <w:ind w:left="1080" w:hanging="360"/>
    </w:pPr>
    <w:rPr>
      <w:rFonts w:ascii="Arial" w:hAnsi="Arial"/>
      <w:kern w:val="0"/>
      <w:sz w:val="20"/>
      <w:lang w:eastAsia="en-US"/>
    </w:rPr>
  </w:style>
  <w:style w:type="paragraph" w:styleId="29">
    <w:name w:val="List 2"/>
    <w:basedOn w:val="1"/>
    <w:qFormat/>
    <w:uiPriority w:val="0"/>
    <w:pPr>
      <w:ind w:left="100" w:leftChars="200" w:hanging="200" w:hangingChars="200"/>
    </w:pPr>
    <w:rPr>
      <w:sz w:val="28"/>
    </w:rPr>
  </w:style>
  <w:style w:type="paragraph" w:styleId="30">
    <w:name w:val="Block Text"/>
    <w:basedOn w:val="1"/>
    <w:qFormat/>
    <w:uiPriority w:val="0"/>
    <w:pPr>
      <w:autoSpaceDE w:val="0"/>
      <w:autoSpaceDN w:val="0"/>
      <w:adjustRightInd w:val="0"/>
      <w:snapToGrid w:val="0"/>
      <w:spacing w:line="360" w:lineRule="auto"/>
      <w:ind w:left="210" w:right="246"/>
    </w:pPr>
    <w:rPr>
      <w:rFonts w:ascii="宋体"/>
      <w:sz w:val="24"/>
    </w:rPr>
  </w:style>
  <w:style w:type="paragraph" w:styleId="31">
    <w:name w:val="List Bullet 2"/>
    <w:basedOn w:val="1"/>
    <w:next w:val="32"/>
    <w:uiPriority w:val="0"/>
    <w:pPr>
      <w:keepLines/>
      <w:tabs>
        <w:tab w:val="left" w:pos="780"/>
      </w:tabs>
      <w:spacing w:afterLines="20" w:line="264" w:lineRule="auto"/>
      <w:ind w:left="780" w:hanging="360"/>
    </w:pPr>
    <w:rPr>
      <w:rFonts w:ascii="宋体"/>
      <w:sz w:val="24"/>
      <w:szCs w:val="21"/>
    </w:rPr>
  </w:style>
  <w:style w:type="paragraph" w:styleId="32">
    <w:name w:val="Body Text First Indent"/>
    <w:basedOn w:val="26"/>
    <w:uiPriority w:val="0"/>
    <w:pPr>
      <w:ind w:firstLine="210" w:firstLineChars="100"/>
    </w:pPr>
  </w:style>
  <w:style w:type="paragraph" w:styleId="33">
    <w:name w:val="index 4"/>
    <w:basedOn w:val="1"/>
    <w:next w:val="1"/>
    <w:qFormat/>
    <w:uiPriority w:val="0"/>
    <w:pPr>
      <w:ind w:left="840" w:hanging="210"/>
      <w:jc w:val="left"/>
    </w:pPr>
    <w:rPr>
      <w:sz w:val="20"/>
    </w:rPr>
  </w:style>
  <w:style w:type="paragraph" w:styleId="34">
    <w:name w:val="toc 5"/>
    <w:basedOn w:val="1"/>
    <w:next w:val="1"/>
    <w:qFormat/>
    <w:uiPriority w:val="0"/>
    <w:pPr>
      <w:ind w:left="840"/>
      <w:jc w:val="left"/>
    </w:pPr>
    <w:rPr>
      <w:sz w:val="18"/>
      <w:szCs w:val="18"/>
    </w:rPr>
  </w:style>
  <w:style w:type="paragraph" w:styleId="35">
    <w:name w:val="toc 3"/>
    <w:basedOn w:val="1"/>
    <w:next w:val="1"/>
    <w:qFormat/>
    <w:uiPriority w:val="0"/>
    <w:pPr>
      <w:tabs>
        <w:tab w:val="right" w:leader="dot" w:pos="9020"/>
      </w:tabs>
      <w:ind w:left="840" w:leftChars="400"/>
    </w:pPr>
  </w:style>
  <w:style w:type="paragraph" w:styleId="36">
    <w:name w:val="Plain Text"/>
    <w:basedOn w:val="1"/>
    <w:uiPriority w:val="0"/>
    <w:pPr>
      <w:adjustRightInd w:val="0"/>
      <w:textAlignment w:val="baseline"/>
    </w:pPr>
    <w:rPr>
      <w:rFonts w:ascii="宋体" w:hAnsi="Courier New"/>
    </w:rPr>
  </w:style>
  <w:style w:type="paragraph" w:styleId="37">
    <w:name w:val="List Bullet 5"/>
    <w:basedOn w:val="1"/>
    <w:uiPriority w:val="0"/>
    <w:pPr>
      <w:widowControl/>
      <w:tabs>
        <w:tab w:val="left" w:pos="1800"/>
      </w:tabs>
      <w:ind w:left="1800" w:hanging="360"/>
    </w:pPr>
    <w:rPr>
      <w:rFonts w:ascii="Arial" w:hAnsi="Arial"/>
      <w:kern w:val="0"/>
      <w:sz w:val="20"/>
      <w:lang w:eastAsia="en-US"/>
    </w:rPr>
  </w:style>
  <w:style w:type="paragraph" w:styleId="38">
    <w:name w:val="List Number 4"/>
    <w:basedOn w:val="1"/>
    <w:qFormat/>
    <w:uiPriority w:val="0"/>
    <w:pPr>
      <w:widowControl/>
      <w:tabs>
        <w:tab w:val="left" w:pos="1440"/>
      </w:tabs>
      <w:ind w:left="1440" w:hanging="360"/>
    </w:pPr>
    <w:rPr>
      <w:rFonts w:ascii="Arial" w:hAnsi="Arial"/>
      <w:kern w:val="0"/>
      <w:sz w:val="20"/>
      <w:lang w:eastAsia="en-US"/>
    </w:rPr>
  </w:style>
  <w:style w:type="paragraph" w:styleId="39">
    <w:name w:val="toc 8"/>
    <w:basedOn w:val="1"/>
    <w:next w:val="1"/>
    <w:qFormat/>
    <w:uiPriority w:val="0"/>
    <w:pPr>
      <w:ind w:left="1470"/>
      <w:jc w:val="left"/>
    </w:pPr>
    <w:rPr>
      <w:sz w:val="18"/>
      <w:szCs w:val="18"/>
    </w:rPr>
  </w:style>
  <w:style w:type="paragraph" w:styleId="40">
    <w:name w:val="index 3"/>
    <w:basedOn w:val="1"/>
    <w:next w:val="1"/>
    <w:qFormat/>
    <w:uiPriority w:val="0"/>
    <w:pPr>
      <w:ind w:left="630" w:hanging="210"/>
      <w:jc w:val="left"/>
    </w:pPr>
    <w:rPr>
      <w:sz w:val="20"/>
    </w:rPr>
  </w:style>
  <w:style w:type="paragraph" w:styleId="41">
    <w:name w:val="Date"/>
    <w:basedOn w:val="1"/>
    <w:next w:val="1"/>
    <w:qFormat/>
    <w:uiPriority w:val="0"/>
    <w:pPr>
      <w:ind w:left="100" w:leftChars="2500"/>
    </w:pPr>
  </w:style>
  <w:style w:type="paragraph" w:styleId="42">
    <w:name w:val="Body Text Indent 2"/>
    <w:basedOn w:val="1"/>
    <w:uiPriority w:val="0"/>
    <w:pPr>
      <w:ind w:left="105" w:firstLine="690"/>
    </w:pPr>
    <w:rPr>
      <w:sz w:val="32"/>
    </w:rPr>
  </w:style>
  <w:style w:type="paragraph" w:styleId="43">
    <w:name w:val="endnote text"/>
    <w:basedOn w:val="1"/>
    <w:qFormat/>
    <w:uiPriority w:val="0"/>
    <w:pPr>
      <w:numPr>
        <w:ilvl w:val="6"/>
        <w:numId w:val="1"/>
      </w:numPr>
      <w:snapToGrid w:val="0"/>
      <w:jc w:val="left"/>
    </w:pPr>
    <w:rPr>
      <w:szCs w:val="24"/>
    </w:rPr>
  </w:style>
  <w:style w:type="paragraph" w:styleId="44">
    <w:name w:val="Balloon Text"/>
    <w:basedOn w:val="1"/>
    <w:uiPriority w:val="0"/>
    <w:rPr>
      <w:sz w:val="18"/>
      <w:szCs w:val="18"/>
    </w:rPr>
  </w:style>
  <w:style w:type="paragraph" w:styleId="45">
    <w:name w:val="footer"/>
    <w:basedOn w:val="1"/>
    <w:link w:val="87"/>
    <w:qFormat/>
    <w:uiPriority w:val="0"/>
    <w:pPr>
      <w:tabs>
        <w:tab w:val="center" w:pos="4153"/>
        <w:tab w:val="right" w:pos="8306"/>
      </w:tabs>
      <w:snapToGrid w:val="0"/>
      <w:jc w:val="left"/>
    </w:pPr>
    <w:rPr>
      <w:sz w:val="18"/>
      <w:szCs w:val="18"/>
    </w:rPr>
  </w:style>
  <w:style w:type="paragraph" w:styleId="46">
    <w:name w:val="header"/>
    <w:basedOn w:val="1"/>
    <w:link w:val="93"/>
    <w:qFormat/>
    <w:uiPriority w:val="0"/>
    <w:pPr>
      <w:pBdr>
        <w:bottom w:val="single" w:color="auto" w:sz="6" w:space="1"/>
      </w:pBdr>
      <w:tabs>
        <w:tab w:val="center" w:pos="4153"/>
        <w:tab w:val="right" w:pos="8306"/>
      </w:tabs>
      <w:snapToGrid w:val="0"/>
      <w:jc w:val="center"/>
    </w:pPr>
    <w:rPr>
      <w:sz w:val="18"/>
      <w:szCs w:val="18"/>
    </w:rPr>
  </w:style>
  <w:style w:type="paragraph" w:styleId="47">
    <w:name w:val="toc 1"/>
    <w:basedOn w:val="1"/>
    <w:next w:val="1"/>
    <w:qFormat/>
    <w:uiPriority w:val="39"/>
    <w:pPr>
      <w:tabs>
        <w:tab w:val="right" w:leader="dot" w:pos="9020"/>
      </w:tabs>
      <w:spacing w:line="360" w:lineRule="auto"/>
    </w:pPr>
  </w:style>
  <w:style w:type="paragraph" w:styleId="48">
    <w:name w:val="toc 4"/>
    <w:basedOn w:val="1"/>
    <w:next w:val="1"/>
    <w:qFormat/>
    <w:uiPriority w:val="0"/>
    <w:pPr>
      <w:ind w:left="630"/>
      <w:jc w:val="left"/>
    </w:pPr>
    <w:rPr>
      <w:sz w:val="18"/>
      <w:szCs w:val="18"/>
    </w:rPr>
  </w:style>
  <w:style w:type="paragraph" w:styleId="49">
    <w:name w:val="index heading"/>
    <w:basedOn w:val="1"/>
    <w:next w:val="50"/>
    <w:uiPriority w:val="0"/>
    <w:pPr>
      <w:adjustRightInd w:val="0"/>
      <w:spacing w:line="312" w:lineRule="atLeast"/>
      <w:textAlignment w:val="baseline"/>
    </w:pPr>
    <w:rPr>
      <w:kern w:val="0"/>
    </w:rPr>
  </w:style>
  <w:style w:type="paragraph" w:styleId="50">
    <w:name w:val="index 1"/>
    <w:basedOn w:val="1"/>
    <w:next w:val="1"/>
    <w:qFormat/>
    <w:uiPriority w:val="0"/>
  </w:style>
  <w:style w:type="paragraph" w:styleId="51">
    <w:name w:val="List Number 5"/>
    <w:basedOn w:val="1"/>
    <w:uiPriority w:val="0"/>
    <w:pPr>
      <w:widowControl/>
      <w:tabs>
        <w:tab w:val="left" w:pos="1800"/>
      </w:tabs>
      <w:ind w:left="1800" w:hanging="360"/>
    </w:pPr>
    <w:rPr>
      <w:rFonts w:ascii="Arial" w:hAnsi="Arial"/>
      <w:kern w:val="0"/>
      <w:sz w:val="20"/>
      <w:lang w:eastAsia="en-US"/>
    </w:rPr>
  </w:style>
  <w:style w:type="paragraph" w:styleId="52">
    <w:name w:val="toc 6"/>
    <w:basedOn w:val="1"/>
    <w:next w:val="1"/>
    <w:uiPriority w:val="0"/>
    <w:pPr>
      <w:ind w:left="1050"/>
      <w:jc w:val="left"/>
    </w:pPr>
    <w:rPr>
      <w:sz w:val="18"/>
      <w:szCs w:val="18"/>
    </w:rPr>
  </w:style>
  <w:style w:type="paragraph" w:styleId="53">
    <w:name w:val="Body Text Indent 3"/>
    <w:basedOn w:val="1"/>
    <w:link w:val="89"/>
    <w:qFormat/>
    <w:uiPriority w:val="0"/>
    <w:pPr>
      <w:adjustRightInd w:val="0"/>
      <w:spacing w:line="360" w:lineRule="auto"/>
      <w:ind w:left="960"/>
      <w:jc w:val="left"/>
      <w:textAlignment w:val="baseline"/>
    </w:pPr>
    <w:rPr>
      <w:rFonts w:eastAsia="楷体"/>
      <w:kern w:val="0"/>
      <w:sz w:val="24"/>
    </w:rPr>
  </w:style>
  <w:style w:type="paragraph" w:styleId="54">
    <w:name w:val="index 7"/>
    <w:basedOn w:val="1"/>
    <w:next w:val="1"/>
    <w:uiPriority w:val="0"/>
    <w:pPr>
      <w:ind w:left="1470" w:hanging="210"/>
      <w:jc w:val="left"/>
    </w:pPr>
    <w:rPr>
      <w:sz w:val="20"/>
    </w:rPr>
  </w:style>
  <w:style w:type="paragraph" w:styleId="55">
    <w:name w:val="index 9"/>
    <w:basedOn w:val="1"/>
    <w:next w:val="1"/>
    <w:uiPriority w:val="0"/>
    <w:pPr>
      <w:ind w:left="1890" w:hanging="210"/>
      <w:jc w:val="left"/>
    </w:pPr>
    <w:rPr>
      <w:sz w:val="20"/>
    </w:rPr>
  </w:style>
  <w:style w:type="paragraph" w:styleId="56">
    <w:name w:val="toc 2"/>
    <w:basedOn w:val="1"/>
    <w:next w:val="1"/>
    <w:qFormat/>
    <w:uiPriority w:val="39"/>
    <w:pPr>
      <w:tabs>
        <w:tab w:val="left" w:pos="1050"/>
        <w:tab w:val="right" w:leader="dot" w:pos="9020"/>
      </w:tabs>
      <w:spacing w:line="300" w:lineRule="auto"/>
      <w:ind w:left="420" w:leftChars="200"/>
    </w:pPr>
  </w:style>
  <w:style w:type="paragraph" w:styleId="57">
    <w:name w:val="toc 9"/>
    <w:basedOn w:val="1"/>
    <w:next w:val="1"/>
    <w:qFormat/>
    <w:uiPriority w:val="0"/>
    <w:pPr>
      <w:ind w:left="1680"/>
      <w:jc w:val="left"/>
    </w:pPr>
    <w:rPr>
      <w:sz w:val="18"/>
      <w:szCs w:val="18"/>
    </w:rPr>
  </w:style>
  <w:style w:type="paragraph" w:styleId="58">
    <w:name w:val="Body Text 2"/>
    <w:basedOn w:val="1"/>
    <w:link w:val="108"/>
    <w:uiPriority w:val="0"/>
    <w:rPr>
      <w:color w:val="FF0000"/>
    </w:rPr>
  </w:style>
  <w:style w:type="paragraph" w:styleId="59">
    <w:name w:val="Normal (Web)"/>
    <w:basedOn w:val="1"/>
    <w:uiPriority w:val="0"/>
    <w:pPr>
      <w:widowControl/>
      <w:spacing w:before="100" w:beforeAutospacing="1" w:after="100" w:afterAutospacing="1"/>
      <w:jc w:val="left"/>
    </w:pPr>
    <w:rPr>
      <w:rFonts w:ascii="宋体" w:hAnsi="宋体"/>
      <w:kern w:val="0"/>
      <w:sz w:val="24"/>
      <w:szCs w:val="24"/>
    </w:rPr>
  </w:style>
  <w:style w:type="paragraph" w:styleId="60">
    <w:name w:val="index 2"/>
    <w:basedOn w:val="1"/>
    <w:next w:val="1"/>
    <w:uiPriority w:val="0"/>
    <w:pPr>
      <w:ind w:left="420" w:hanging="210"/>
      <w:jc w:val="left"/>
    </w:pPr>
    <w:rPr>
      <w:sz w:val="20"/>
    </w:rPr>
  </w:style>
  <w:style w:type="paragraph" w:styleId="61">
    <w:name w:val="Title"/>
    <w:basedOn w:val="1"/>
    <w:next w:val="1"/>
    <w:qFormat/>
    <w:uiPriority w:val="0"/>
    <w:pPr>
      <w:spacing w:before="240" w:after="60"/>
      <w:jc w:val="center"/>
      <w:outlineLvl w:val="0"/>
    </w:pPr>
    <w:rPr>
      <w:rFonts w:ascii="Cambria" w:hAnsi="Cambria"/>
      <w:b/>
      <w:bCs/>
      <w:sz w:val="32"/>
      <w:szCs w:val="32"/>
    </w:rPr>
  </w:style>
  <w:style w:type="paragraph" w:styleId="62">
    <w:name w:val="annotation subject"/>
    <w:basedOn w:val="21"/>
    <w:next w:val="21"/>
    <w:qFormat/>
    <w:uiPriority w:val="0"/>
    <w:rPr>
      <w:b/>
      <w:bCs/>
    </w:rPr>
  </w:style>
  <w:style w:type="character" w:styleId="65">
    <w:name w:val="Strong"/>
    <w:qFormat/>
    <w:uiPriority w:val="0"/>
    <w:rPr>
      <w:b/>
      <w:bCs/>
    </w:rPr>
  </w:style>
  <w:style w:type="character" w:styleId="66">
    <w:name w:val="page number"/>
    <w:basedOn w:val="64"/>
    <w:uiPriority w:val="0"/>
  </w:style>
  <w:style w:type="character" w:styleId="67">
    <w:name w:val="FollowedHyperlink"/>
    <w:uiPriority w:val="0"/>
    <w:rPr>
      <w:color w:val="800080"/>
      <w:u w:val="single"/>
    </w:rPr>
  </w:style>
  <w:style w:type="character" w:styleId="68">
    <w:name w:val="HTML Typewriter"/>
    <w:qFormat/>
    <w:uiPriority w:val="0"/>
    <w:rPr>
      <w:rFonts w:ascii="宋体" w:hAnsi="宋体" w:eastAsia="宋体" w:cs="宋体"/>
      <w:sz w:val="24"/>
      <w:szCs w:val="24"/>
    </w:rPr>
  </w:style>
  <w:style w:type="character" w:styleId="69">
    <w:name w:val="Hyperlink"/>
    <w:uiPriority w:val="99"/>
    <w:rPr>
      <w:color w:val="0000FF"/>
      <w:u w:val="single"/>
    </w:rPr>
  </w:style>
  <w:style w:type="character" w:styleId="70">
    <w:name w:val="annotation reference"/>
    <w:uiPriority w:val="0"/>
    <w:rPr>
      <w:sz w:val="21"/>
      <w:szCs w:val="21"/>
    </w:rPr>
  </w:style>
  <w:style w:type="character" w:customStyle="1" w:styleId="71">
    <w:name w:val="页眉 Char Char Char"/>
    <w:uiPriority w:val="0"/>
    <w:rPr>
      <w:rFonts w:eastAsia="宋体"/>
      <w:kern w:val="2"/>
      <w:sz w:val="18"/>
      <w:szCs w:val="18"/>
      <w:lang w:val="en-US" w:eastAsia="zh-CN" w:bidi="ar-SA"/>
    </w:rPr>
  </w:style>
  <w:style w:type="character" w:customStyle="1" w:styleId="72">
    <w:name w:val="标题 6 Char Char Char"/>
    <w:uiPriority w:val="0"/>
    <w:rPr>
      <w:rFonts w:ascii="Arial" w:hAnsi="Arial" w:eastAsia="黑体"/>
      <w:b/>
      <w:sz w:val="24"/>
      <w:lang w:val="en-US" w:eastAsia="zh-CN" w:bidi="ar-SA"/>
    </w:rPr>
  </w:style>
  <w:style w:type="character" w:customStyle="1" w:styleId="73">
    <w:name w:val="zhengwen1"/>
    <w:uiPriority w:val="0"/>
    <w:rPr>
      <w:sz w:val="21"/>
      <w:szCs w:val="21"/>
    </w:rPr>
  </w:style>
  <w:style w:type="character" w:customStyle="1" w:styleId="74">
    <w:name w:val="批注文字 Char Char Char"/>
    <w:uiPriority w:val="0"/>
    <w:rPr>
      <w:rFonts w:eastAsia="宋体"/>
      <w:kern w:val="2"/>
      <w:sz w:val="21"/>
      <w:lang w:val="en-US" w:eastAsia="zh-CN" w:bidi="ar-SA"/>
    </w:rPr>
  </w:style>
  <w:style w:type="character" w:customStyle="1" w:styleId="75">
    <w:name w:val="文档结构图 字符"/>
    <w:link w:val="19"/>
    <w:uiPriority w:val="0"/>
    <w:rPr>
      <w:kern w:val="2"/>
      <w:sz w:val="21"/>
      <w:shd w:val="clear" w:color="auto" w:fill="000080"/>
    </w:rPr>
  </w:style>
  <w:style w:type="character" w:customStyle="1" w:styleId="76">
    <w:name w:val="正文文本 字符"/>
    <w:link w:val="26"/>
    <w:uiPriority w:val="0"/>
    <w:rPr>
      <w:kern w:val="2"/>
      <w:sz w:val="21"/>
    </w:rPr>
  </w:style>
  <w:style w:type="character" w:customStyle="1" w:styleId="77">
    <w:name w:val="普通文字1 Char"/>
    <w:qFormat/>
    <w:uiPriority w:val="0"/>
    <w:rPr>
      <w:rFonts w:ascii="宋体" w:hAnsi="Courier New" w:eastAsia="宋体"/>
      <w:kern w:val="2"/>
      <w:sz w:val="21"/>
      <w:lang w:val="en-US" w:eastAsia="zh-CN" w:bidi="ar-SA"/>
    </w:rPr>
  </w:style>
  <w:style w:type="character" w:customStyle="1" w:styleId="78">
    <w:name w:val="标题 1 Char Char"/>
    <w:uiPriority w:val="0"/>
    <w:rPr>
      <w:rFonts w:ascii="Times New Roman" w:hAnsi="Times New Roman" w:eastAsia="宋体" w:cs="Courier New"/>
      <w:b/>
      <w:bCs/>
      <w:kern w:val="44"/>
      <w:sz w:val="28"/>
      <w:szCs w:val="28"/>
      <w:lang w:val="en-US" w:eastAsia="zh-CN" w:bidi="ar-SA"/>
    </w:rPr>
  </w:style>
  <w:style w:type="character" w:customStyle="1" w:styleId="79">
    <w:name w:val="正文文字 Char Char"/>
    <w:uiPriority w:val="0"/>
    <w:rPr>
      <w:rFonts w:ascii="宋体" w:eastAsia="宋体" w:cs="宋体"/>
      <w:kern w:val="2"/>
      <w:sz w:val="21"/>
      <w:lang w:val="en-US" w:eastAsia="zh-CN" w:bidi="ar-SA"/>
    </w:rPr>
  </w:style>
  <w:style w:type="character" w:customStyle="1" w:styleId="80">
    <w:name w:val="Char Char1"/>
    <w:uiPriority w:val="0"/>
    <w:rPr>
      <w:rFonts w:ascii="楷体_GB2312" w:eastAsia="楷体_GB2312"/>
      <w:sz w:val="28"/>
    </w:rPr>
  </w:style>
  <w:style w:type="character" w:customStyle="1" w:styleId="81">
    <w:name w:val="纯文本 Char Char Char"/>
    <w:uiPriority w:val="0"/>
    <w:rPr>
      <w:rFonts w:ascii="宋体" w:hAnsi="Courier New" w:eastAsia="宋体"/>
      <w:kern w:val="2"/>
      <w:sz w:val="21"/>
      <w:lang w:val="en-US" w:eastAsia="zh-CN" w:bidi="ar-SA"/>
    </w:rPr>
  </w:style>
  <w:style w:type="character" w:customStyle="1" w:styleId="82">
    <w:name w:val="文档结构图 Char Char Char"/>
    <w:uiPriority w:val="0"/>
    <w:rPr>
      <w:rFonts w:eastAsia="宋体"/>
      <w:kern w:val="2"/>
      <w:sz w:val="21"/>
      <w:lang w:val="en-US" w:eastAsia="zh-CN" w:bidi="ar-SA"/>
    </w:rPr>
  </w:style>
  <w:style w:type="character" w:customStyle="1" w:styleId="83">
    <w:name w:val="尾注文本 Char Char Char"/>
    <w:uiPriority w:val="0"/>
    <w:rPr>
      <w:rFonts w:eastAsia="宋体"/>
      <w:kern w:val="2"/>
      <w:sz w:val="21"/>
      <w:szCs w:val="24"/>
      <w:lang w:bidi="ar-SA"/>
    </w:rPr>
  </w:style>
  <w:style w:type="character" w:customStyle="1" w:styleId="84">
    <w:name w:val="正文文本缩进 3 Char Char Char"/>
    <w:uiPriority w:val="0"/>
    <w:rPr>
      <w:rFonts w:eastAsia="楷体"/>
      <w:sz w:val="24"/>
      <w:lang w:val="en-US" w:eastAsia="zh-CN" w:bidi="ar-SA"/>
    </w:rPr>
  </w:style>
  <w:style w:type="character" w:customStyle="1" w:styleId="85">
    <w:name w:val="Char Char Char Char Char"/>
    <w:uiPriority w:val="0"/>
    <w:rPr>
      <w:rFonts w:ascii="Cambria" w:hAnsi="Cambria" w:cs="Times New Roman"/>
      <w:b/>
      <w:bCs/>
      <w:kern w:val="2"/>
      <w:sz w:val="32"/>
      <w:szCs w:val="32"/>
    </w:rPr>
  </w:style>
  <w:style w:type="character" w:customStyle="1" w:styleId="86">
    <w:name w:val="标题 3 字符"/>
    <w:link w:val="4"/>
    <w:qFormat/>
    <w:uiPriority w:val="0"/>
    <w:rPr>
      <w:b/>
      <w:bCs/>
      <w:kern w:val="2"/>
      <w:sz w:val="32"/>
      <w:szCs w:val="32"/>
    </w:rPr>
  </w:style>
  <w:style w:type="character" w:customStyle="1" w:styleId="87">
    <w:name w:val="页脚 字符"/>
    <w:link w:val="45"/>
    <w:uiPriority w:val="0"/>
    <w:rPr>
      <w:kern w:val="2"/>
      <w:sz w:val="18"/>
      <w:szCs w:val="18"/>
    </w:rPr>
  </w:style>
  <w:style w:type="character" w:customStyle="1" w:styleId="88">
    <w:name w:val="标题 7 Char Char Char"/>
    <w:uiPriority w:val="0"/>
    <w:rPr>
      <w:rFonts w:eastAsia="宋体"/>
      <w:b/>
      <w:sz w:val="24"/>
      <w:lang w:val="en-US" w:eastAsia="zh-CN" w:bidi="ar-SA"/>
    </w:rPr>
  </w:style>
  <w:style w:type="character" w:customStyle="1" w:styleId="89">
    <w:name w:val="正文文本缩进 3 字符"/>
    <w:link w:val="53"/>
    <w:uiPriority w:val="0"/>
    <w:rPr>
      <w:rFonts w:eastAsia="楷体"/>
      <w:sz w:val="24"/>
    </w:rPr>
  </w:style>
  <w:style w:type="character" w:customStyle="1" w:styleId="90">
    <w:name w:val="标题 2 字符"/>
    <w:link w:val="3"/>
    <w:uiPriority w:val="0"/>
    <w:rPr>
      <w:rFonts w:ascii="Arial" w:hAnsi="Arial" w:eastAsia="黑体"/>
      <w:b/>
      <w:bCs/>
      <w:kern w:val="2"/>
      <w:sz w:val="32"/>
      <w:szCs w:val="32"/>
    </w:rPr>
  </w:style>
  <w:style w:type="character" w:customStyle="1" w:styleId="91">
    <w:name w:val="正文文本 2 Char Char Char"/>
    <w:uiPriority w:val="0"/>
    <w:rPr>
      <w:rFonts w:eastAsia="宋体"/>
      <w:color w:val="FF0000"/>
      <w:kern w:val="2"/>
      <w:sz w:val="21"/>
      <w:lang w:val="en-US" w:eastAsia="zh-CN" w:bidi="ar-SA"/>
    </w:rPr>
  </w:style>
  <w:style w:type="character" w:customStyle="1" w:styleId="92">
    <w:name w:val="正文文本缩进 Char1"/>
    <w:uiPriority w:val="0"/>
    <w:rPr>
      <w:rFonts w:eastAsia="宋体"/>
      <w:kern w:val="2"/>
      <w:sz w:val="21"/>
      <w:lang w:val="en-US" w:eastAsia="zh-CN" w:bidi="ar-SA"/>
    </w:rPr>
  </w:style>
  <w:style w:type="character" w:customStyle="1" w:styleId="93">
    <w:name w:val="页眉 字符"/>
    <w:link w:val="46"/>
    <w:qFormat/>
    <w:uiPriority w:val="0"/>
    <w:rPr>
      <w:kern w:val="2"/>
      <w:sz w:val="18"/>
      <w:szCs w:val="18"/>
    </w:rPr>
  </w:style>
  <w:style w:type="character" w:customStyle="1" w:styleId="94">
    <w:name w:val="批注文字 字符"/>
    <w:link w:val="21"/>
    <w:uiPriority w:val="0"/>
    <w:rPr>
      <w:kern w:val="2"/>
      <w:sz w:val="21"/>
    </w:rPr>
  </w:style>
  <w:style w:type="character" w:customStyle="1" w:styleId="95">
    <w:name w:val="小四 段落 宋体 Char Char Char1"/>
    <w:uiPriority w:val="0"/>
    <w:rPr>
      <w:rFonts w:ascii="宋体" w:hAnsi="宋体" w:eastAsia="宋体"/>
      <w:kern w:val="2"/>
      <w:sz w:val="24"/>
      <w:szCs w:val="24"/>
      <w:lang w:val="en-US" w:eastAsia="zh-CN" w:bidi="ar-SA"/>
    </w:rPr>
  </w:style>
  <w:style w:type="character" w:customStyle="1" w:styleId="96">
    <w:name w:val="Char Char17"/>
    <w:uiPriority w:val="0"/>
    <w:rPr>
      <w:rFonts w:eastAsia="宋体"/>
      <w:kern w:val="2"/>
      <w:sz w:val="32"/>
      <w:lang w:val="en-US" w:eastAsia="zh-CN" w:bidi="ar-SA"/>
    </w:rPr>
  </w:style>
  <w:style w:type="character" w:customStyle="1" w:styleId="97">
    <w:name w:val="Char Char2"/>
    <w:uiPriority w:val="0"/>
    <w:rPr>
      <w:rFonts w:ascii="宋体" w:hAnsi="Courier New" w:eastAsia="宋体"/>
      <w:kern w:val="2"/>
      <w:sz w:val="21"/>
      <w:lang w:val="en-US" w:eastAsia="zh-CN" w:bidi="ar-SA"/>
    </w:rPr>
  </w:style>
  <w:style w:type="character" w:customStyle="1" w:styleId="98">
    <w:name w:val="正文文本 3 Char Char Char"/>
    <w:uiPriority w:val="0"/>
    <w:rPr>
      <w:rFonts w:eastAsia="宋体"/>
      <w:kern w:val="2"/>
      <w:sz w:val="16"/>
      <w:szCs w:val="16"/>
      <w:lang w:val="en-US" w:eastAsia="zh-CN" w:bidi="ar-SA"/>
    </w:rPr>
  </w:style>
  <w:style w:type="character" w:customStyle="1" w:styleId="99">
    <w:name w:val="批注主题 Char Char Char"/>
    <w:uiPriority w:val="0"/>
    <w:rPr>
      <w:rFonts w:eastAsia="宋体"/>
      <w:b/>
      <w:bCs/>
      <w:kern w:val="2"/>
      <w:sz w:val="21"/>
      <w:lang w:val="en-US" w:eastAsia="zh-CN" w:bidi="ar-SA"/>
    </w:rPr>
  </w:style>
  <w:style w:type="character" w:customStyle="1" w:styleId="100">
    <w:name w:val="标题 9 Char Char Char"/>
    <w:uiPriority w:val="0"/>
    <w:rPr>
      <w:rFonts w:ascii="Arial" w:hAnsi="Arial" w:eastAsia="黑体"/>
      <w:sz w:val="21"/>
      <w:lang w:val="en-US" w:eastAsia="zh-CN" w:bidi="ar-SA"/>
    </w:rPr>
  </w:style>
  <w:style w:type="character" w:customStyle="1" w:styleId="101">
    <w:name w:val="Char Char8"/>
    <w:uiPriority w:val="0"/>
    <w:rPr>
      <w:rFonts w:eastAsia="宋体"/>
      <w:kern w:val="2"/>
      <w:sz w:val="18"/>
      <w:szCs w:val="18"/>
      <w:lang w:val="en-US" w:eastAsia="zh-CN" w:bidi="ar-SA"/>
    </w:rPr>
  </w:style>
  <w:style w:type="character" w:customStyle="1" w:styleId="102">
    <w:name w:val="标题 1 字符"/>
    <w:link w:val="2"/>
    <w:qFormat/>
    <w:uiPriority w:val="0"/>
    <w:rPr>
      <w:b/>
      <w:kern w:val="44"/>
      <w:sz w:val="44"/>
      <w:szCs w:val="24"/>
    </w:rPr>
  </w:style>
  <w:style w:type="character" w:customStyle="1" w:styleId="103">
    <w:name w:val="正文文本 Char Char Char"/>
    <w:qFormat/>
    <w:uiPriority w:val="0"/>
    <w:rPr>
      <w:rFonts w:eastAsia="宋体"/>
      <w:kern w:val="2"/>
      <w:sz w:val="21"/>
      <w:lang w:val="en-US" w:eastAsia="zh-CN" w:bidi="ar-SA"/>
    </w:rPr>
  </w:style>
  <w:style w:type="character" w:customStyle="1" w:styleId="104">
    <w:name w:val="标书正文格式 Char Char"/>
    <w:qFormat/>
    <w:uiPriority w:val="0"/>
    <w:rPr>
      <w:rFonts w:eastAsia="楷体_GB2312"/>
      <w:kern w:val="2"/>
      <w:sz w:val="24"/>
      <w:szCs w:val="24"/>
      <w:lang w:val="en-US" w:eastAsia="zh-CN" w:bidi="ar-SA"/>
    </w:rPr>
  </w:style>
  <w:style w:type="character" w:customStyle="1" w:styleId="105">
    <w:name w:val="标题 5 Char Char Char"/>
    <w:qFormat/>
    <w:uiPriority w:val="0"/>
    <w:rPr>
      <w:rFonts w:eastAsia="宋体"/>
      <w:b/>
      <w:sz w:val="28"/>
      <w:lang w:val="en-US" w:eastAsia="zh-CN" w:bidi="ar-SA"/>
    </w:rPr>
  </w:style>
  <w:style w:type="character" w:customStyle="1" w:styleId="106">
    <w:name w:val="正文首行缩进 Char Char Char"/>
    <w:uiPriority w:val="0"/>
    <w:rPr>
      <w:rFonts w:eastAsia="宋体"/>
      <w:kern w:val="2"/>
      <w:sz w:val="21"/>
      <w:lang w:val="en-US" w:eastAsia="zh-CN" w:bidi="ar-SA"/>
    </w:rPr>
  </w:style>
  <w:style w:type="character" w:customStyle="1" w:styleId="107">
    <w:name w:val="标题 4 字符"/>
    <w:link w:val="5"/>
    <w:uiPriority w:val="0"/>
    <w:rPr>
      <w:rFonts w:ascii="Arial" w:hAnsi="Arial" w:eastAsia="黑体"/>
      <w:b/>
      <w:sz w:val="28"/>
    </w:rPr>
  </w:style>
  <w:style w:type="character" w:customStyle="1" w:styleId="108">
    <w:name w:val="正文文本 2 字符"/>
    <w:link w:val="58"/>
    <w:uiPriority w:val="0"/>
    <w:rPr>
      <w:color w:val="FF0000"/>
      <w:kern w:val="2"/>
      <w:sz w:val="21"/>
    </w:rPr>
  </w:style>
  <w:style w:type="character" w:customStyle="1" w:styleId="109">
    <w:name w:val="正文缩进 Char Char Char"/>
    <w:uiPriority w:val="0"/>
    <w:rPr>
      <w:rFonts w:ascii="宋体" w:eastAsia="宋体"/>
      <w:kern w:val="2"/>
      <w:sz w:val="24"/>
      <w:lang w:val="en-US" w:eastAsia="zh-CN" w:bidi="ar-SA"/>
    </w:rPr>
  </w:style>
  <w:style w:type="character" w:customStyle="1" w:styleId="110">
    <w:name w:val="hei16b1"/>
    <w:uiPriority w:val="0"/>
    <w:rPr>
      <w:rFonts w:hint="default" w:ascii="Arial" w:hAnsi="Arial" w:cs="Arial"/>
      <w:b/>
      <w:bCs/>
      <w:color w:val="000000"/>
      <w:sz w:val="24"/>
      <w:szCs w:val="24"/>
    </w:rPr>
  </w:style>
  <w:style w:type="character" w:customStyle="1" w:styleId="111">
    <w:name w:val="Plain Text Char"/>
    <w:uiPriority w:val="0"/>
    <w:rPr>
      <w:rFonts w:ascii="宋体" w:hAnsi="Courier New" w:eastAsia="宋体"/>
      <w:kern w:val="2"/>
      <w:sz w:val="21"/>
      <w:lang w:val="en-US" w:eastAsia="zh-CN" w:bidi="ar-SA"/>
    </w:rPr>
  </w:style>
  <w:style w:type="character" w:customStyle="1" w:styleId="112">
    <w:name w:val="infodetail1"/>
    <w:uiPriority w:val="0"/>
    <w:rPr>
      <w:sz w:val="21"/>
      <w:szCs w:val="21"/>
    </w:rPr>
  </w:style>
  <w:style w:type="character" w:customStyle="1" w:styleId="113">
    <w:name w:val="标题 1.1 Char"/>
    <w:uiPriority w:val="0"/>
    <w:rPr>
      <w:rFonts w:ascii="Arial" w:hAnsi="Arial" w:eastAsia="黑体"/>
      <w:b/>
      <w:bCs/>
      <w:kern w:val="2"/>
      <w:sz w:val="32"/>
      <w:szCs w:val="32"/>
      <w:lang w:val="en-US" w:eastAsia="zh-CN" w:bidi="ar-SA"/>
    </w:rPr>
  </w:style>
  <w:style w:type="character" w:customStyle="1" w:styleId="114">
    <w:name w:val="页脚 Char Char Char"/>
    <w:uiPriority w:val="0"/>
    <w:rPr>
      <w:rFonts w:eastAsia="宋体"/>
      <w:kern w:val="2"/>
      <w:sz w:val="18"/>
      <w:szCs w:val="18"/>
      <w:lang w:val="en-US" w:eastAsia="zh-CN" w:bidi="ar-SA"/>
    </w:rPr>
  </w:style>
  <w:style w:type="character" w:customStyle="1" w:styleId="115">
    <w:name w:val="集电港招标文件二级标题 Char Char Char"/>
    <w:uiPriority w:val="0"/>
    <w:rPr>
      <w:rFonts w:ascii="Arial" w:hAnsi="Arial" w:eastAsia="黑体"/>
      <w:b/>
      <w:sz w:val="28"/>
      <w:lang w:val="en-US" w:eastAsia="zh-CN" w:bidi="ar-SA"/>
    </w:rPr>
  </w:style>
  <w:style w:type="character" w:customStyle="1" w:styleId="116">
    <w:name w:val="正文文本缩进 2 Char Char Char"/>
    <w:uiPriority w:val="0"/>
    <w:rPr>
      <w:rFonts w:eastAsia="宋体"/>
      <w:kern w:val="2"/>
      <w:sz w:val="32"/>
      <w:lang w:val="en-US" w:eastAsia="zh-CN" w:bidi="ar-SA"/>
    </w:rPr>
  </w:style>
  <w:style w:type="character" w:customStyle="1" w:styleId="117">
    <w:name w:val="标题 3 Char Char Char"/>
    <w:uiPriority w:val="0"/>
    <w:rPr>
      <w:rFonts w:eastAsia="宋体"/>
      <w:b/>
      <w:bCs/>
      <w:kern w:val="2"/>
      <w:sz w:val="32"/>
      <w:szCs w:val="32"/>
      <w:lang w:val="en-US" w:eastAsia="zh-CN" w:bidi="ar-SA"/>
    </w:rPr>
  </w:style>
  <w:style w:type="character" w:customStyle="1" w:styleId="118">
    <w:name w:val="方案文档 Char Char"/>
    <w:uiPriority w:val="0"/>
    <w:rPr>
      <w:rFonts w:ascii="Arial" w:hAnsi="Arial" w:eastAsia="宋体"/>
      <w:b/>
      <w:kern w:val="2"/>
      <w:sz w:val="24"/>
      <w:szCs w:val="24"/>
      <w:lang w:val="en-US" w:eastAsia="zh-CN" w:bidi="ar-SA"/>
    </w:rPr>
  </w:style>
  <w:style w:type="character" w:customStyle="1" w:styleId="119">
    <w:name w:val="标题 8 Char Char Char"/>
    <w:uiPriority w:val="0"/>
    <w:rPr>
      <w:rFonts w:ascii="Arial" w:hAnsi="Arial" w:eastAsia="黑体"/>
      <w:sz w:val="24"/>
      <w:lang w:val="en-US" w:eastAsia="zh-CN" w:bidi="ar-SA"/>
    </w:rPr>
  </w:style>
  <w:style w:type="character" w:customStyle="1" w:styleId="120">
    <w:name w:val="标题 2 Char Char Char"/>
    <w:qFormat/>
    <w:uiPriority w:val="0"/>
    <w:rPr>
      <w:rFonts w:ascii="Arial" w:hAnsi="Arial" w:eastAsia="黑体"/>
      <w:b/>
      <w:bCs/>
      <w:kern w:val="2"/>
      <w:sz w:val="32"/>
      <w:szCs w:val="32"/>
      <w:lang w:val="en-US" w:eastAsia="zh-CN" w:bidi="ar-SA"/>
    </w:rPr>
  </w:style>
  <w:style w:type="character" w:customStyle="1" w:styleId="121">
    <w:name w:val="tt21"/>
    <w:uiPriority w:val="0"/>
    <w:rPr>
      <w:rFonts w:ascii="宋体" w:hAnsi="宋体"/>
      <w:b/>
      <w:bCs/>
      <w:sz w:val="32"/>
      <w:szCs w:val="18"/>
    </w:rPr>
  </w:style>
  <w:style w:type="character" w:customStyle="1" w:styleId="122">
    <w:name w:val="textcontents1"/>
    <w:uiPriority w:val="0"/>
    <w:rPr>
      <w:color w:val="000000"/>
      <w:spacing w:val="360"/>
      <w:sz w:val="18"/>
      <w:szCs w:val="18"/>
    </w:rPr>
  </w:style>
  <w:style w:type="character" w:customStyle="1" w:styleId="123">
    <w:name w:val="标题 4 Char Char Char"/>
    <w:uiPriority w:val="0"/>
    <w:rPr>
      <w:rFonts w:ascii="Arial" w:hAnsi="Arial" w:eastAsia="黑体"/>
      <w:b/>
      <w:sz w:val="28"/>
      <w:lang w:val="en-US" w:eastAsia="zh-CN" w:bidi="ar-SA"/>
    </w:rPr>
  </w:style>
  <w:style w:type="character" w:customStyle="1" w:styleId="124">
    <w:name w:val="集电港招标文件二级标题 Char Char"/>
    <w:qFormat/>
    <w:uiPriority w:val="0"/>
    <w:rPr>
      <w:rFonts w:ascii="Arial" w:hAnsi="Arial" w:eastAsia="黑体"/>
      <w:b/>
      <w:sz w:val="28"/>
      <w:lang w:val="en-US" w:eastAsia="zh-CN" w:bidi="ar-SA"/>
    </w:rPr>
  </w:style>
  <w:style w:type="character" w:customStyle="1" w:styleId="125">
    <w:name w:val="正文文本缩进 Char"/>
    <w:qFormat/>
    <w:uiPriority w:val="0"/>
    <w:rPr>
      <w:rFonts w:eastAsia="宋体"/>
      <w:kern w:val="2"/>
      <w:sz w:val="32"/>
      <w:lang w:val="en-US" w:eastAsia="zh-CN" w:bidi="ar-SA"/>
    </w:rPr>
  </w:style>
  <w:style w:type="character" w:customStyle="1" w:styleId="126">
    <w:name w:val="标题 Char Char Char"/>
    <w:uiPriority w:val="0"/>
    <w:rPr>
      <w:rFonts w:ascii="Cambria" w:hAnsi="Cambria" w:cs="Times New Roman"/>
      <w:b/>
      <w:bCs/>
      <w:kern w:val="2"/>
      <w:sz w:val="32"/>
      <w:szCs w:val="32"/>
    </w:rPr>
  </w:style>
  <w:style w:type="character" w:customStyle="1" w:styleId="127">
    <w:name w:val="标题 Char Char"/>
    <w:uiPriority w:val="0"/>
    <w:rPr>
      <w:rFonts w:ascii="Cambria" w:hAnsi="Cambria" w:cs="Times New Roman"/>
      <w:b/>
      <w:bCs/>
      <w:kern w:val="2"/>
      <w:sz w:val="32"/>
      <w:szCs w:val="32"/>
    </w:rPr>
  </w:style>
  <w:style w:type="character" w:customStyle="1" w:styleId="128">
    <w:name w:val="集电港招标文件二级标题 Char Char Char Char"/>
    <w:uiPriority w:val="0"/>
    <w:rPr>
      <w:rFonts w:ascii="Arial" w:hAnsi="Arial" w:eastAsia="黑体"/>
      <w:b/>
      <w:sz w:val="28"/>
      <w:lang w:val="en-US" w:eastAsia="zh-CN" w:bidi="ar-SA"/>
    </w:rPr>
  </w:style>
  <w:style w:type="character" w:customStyle="1" w:styleId="129">
    <w:name w:val="9 Char Char"/>
    <w:uiPriority w:val="0"/>
    <w:rPr>
      <w:rFonts w:ascii="Arial" w:hAnsi="Arial" w:eastAsia="黑体"/>
      <w:b/>
      <w:sz w:val="28"/>
      <w:lang w:val="en-US" w:eastAsia="zh-CN" w:bidi="ar-SA"/>
    </w:rPr>
  </w:style>
  <w:style w:type="character" w:customStyle="1" w:styleId="130">
    <w:name w:val="Char Char23"/>
    <w:qFormat/>
    <w:uiPriority w:val="0"/>
    <w:rPr>
      <w:rFonts w:ascii="Arial" w:hAnsi="Arial" w:eastAsia="黑体"/>
      <w:b/>
      <w:sz w:val="28"/>
    </w:rPr>
  </w:style>
  <w:style w:type="character" w:customStyle="1" w:styleId="131">
    <w:name w:val="LJNNormal Char Char"/>
    <w:qFormat/>
    <w:uiPriority w:val="0"/>
    <w:rPr>
      <w:rFonts w:ascii="宋体" w:hAnsi="宋体"/>
      <w:color w:val="FF0000"/>
      <w:sz w:val="21"/>
      <w:szCs w:val="21"/>
      <w:lang w:val="en-GB" w:bidi="ar-SA"/>
    </w:rPr>
  </w:style>
  <w:style w:type="character" w:customStyle="1" w:styleId="132">
    <w:name w:val="p131"/>
    <w:qFormat/>
    <w:uiPriority w:val="0"/>
    <w:rPr>
      <w:sz w:val="22"/>
      <w:szCs w:val="22"/>
      <w:u w:val="none"/>
    </w:rPr>
  </w:style>
  <w:style w:type="character" w:customStyle="1" w:styleId="133">
    <w:name w:val="标题 1 Char Char Char"/>
    <w:qFormat/>
    <w:uiPriority w:val="0"/>
    <w:rPr>
      <w:rFonts w:ascii="Times New Roman" w:hAnsi="Times New Roman" w:eastAsia="宋体" w:cs="Courier New"/>
      <w:b/>
      <w:bCs/>
      <w:kern w:val="44"/>
      <w:sz w:val="28"/>
      <w:szCs w:val="28"/>
      <w:lang w:val="en-US" w:eastAsia="zh-CN" w:bidi="ar-SA"/>
    </w:rPr>
  </w:style>
  <w:style w:type="character" w:customStyle="1" w:styleId="134">
    <w:name w:val="文档正文 Char1"/>
    <w:uiPriority w:val="0"/>
    <w:rPr>
      <w:rFonts w:ascii="长城仿宋" w:eastAsia="长城仿宋"/>
      <w:sz w:val="28"/>
      <w:lang w:val="en-US" w:eastAsia="zh-CN" w:bidi="ar-SA"/>
    </w:rPr>
  </w:style>
  <w:style w:type="character" w:customStyle="1" w:styleId="135">
    <w:name w:val="日期 Char Char Char"/>
    <w:uiPriority w:val="0"/>
    <w:rPr>
      <w:rFonts w:eastAsia="宋体"/>
      <w:kern w:val="2"/>
      <w:sz w:val="21"/>
      <w:lang w:val="en-US" w:eastAsia="zh-CN" w:bidi="ar-SA"/>
    </w:rPr>
  </w:style>
  <w:style w:type="character" w:customStyle="1" w:styleId="136">
    <w:name w:val="Heading 2 Char"/>
    <w:qFormat/>
    <w:uiPriority w:val="0"/>
    <w:rPr>
      <w:rFonts w:ascii="宋体" w:hAnsi="宋体" w:eastAsia="黑体"/>
      <w:bCs/>
      <w:i/>
      <w:iCs/>
      <w:kern w:val="2"/>
      <w:sz w:val="24"/>
      <w:lang w:val="en-US" w:eastAsia="zh-CN" w:bidi="ar-SA"/>
    </w:rPr>
  </w:style>
  <w:style w:type="character" w:customStyle="1" w:styleId="137">
    <w:name w:val="Heading 3 Char"/>
    <w:qFormat/>
    <w:uiPriority w:val="0"/>
    <w:rPr>
      <w:rFonts w:eastAsia="宋体"/>
      <w:b/>
      <w:bCs/>
      <w:kern w:val="2"/>
      <w:sz w:val="32"/>
      <w:szCs w:val="32"/>
      <w:lang w:val="en-US" w:eastAsia="zh-CN" w:bidi="ar-SA"/>
    </w:rPr>
  </w:style>
  <w:style w:type="paragraph" w:customStyle="1" w:styleId="138">
    <w:name w:val="xl52"/>
    <w:basedOn w:val="1"/>
    <w:qFormat/>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39">
    <w:name w:val="样式2"/>
    <w:basedOn w:val="2"/>
    <w:uiPriority w:val="0"/>
    <w:pPr>
      <w:tabs>
        <w:tab w:val="left" w:pos="840"/>
      </w:tabs>
      <w:adjustRightInd w:val="0"/>
      <w:snapToGrid w:val="0"/>
      <w:spacing w:before="240" w:after="240" w:line="360" w:lineRule="auto"/>
      <w:ind w:left="840" w:hanging="420"/>
    </w:pPr>
    <w:rPr>
      <w:rFonts w:eastAsia="黑体"/>
      <w:b w:val="0"/>
      <w:bCs/>
      <w:szCs w:val="28"/>
    </w:rPr>
  </w:style>
  <w:style w:type="paragraph" w:customStyle="1" w:styleId="140">
    <w:name w:val="Char1 Char Char Char Char Char Char Char Char Char Char Char Char Char"/>
    <w:basedOn w:val="1"/>
    <w:uiPriority w:val="0"/>
    <w:pPr>
      <w:adjustRightInd w:val="0"/>
      <w:spacing w:line="360" w:lineRule="auto"/>
    </w:pPr>
    <w:rPr>
      <w:kern w:val="0"/>
      <w:sz w:val="24"/>
    </w:rPr>
  </w:style>
  <w:style w:type="paragraph" w:customStyle="1" w:styleId="141">
    <w:name w:val="标题5"/>
    <w:basedOn w:val="1"/>
    <w:qFormat/>
    <w:uiPriority w:val="0"/>
    <w:pPr>
      <w:tabs>
        <w:tab w:val="left" w:pos="0"/>
      </w:tabs>
      <w:autoSpaceDE w:val="0"/>
      <w:autoSpaceDN w:val="0"/>
      <w:adjustRightInd w:val="0"/>
      <w:snapToGrid w:val="0"/>
      <w:spacing w:line="320" w:lineRule="atLeast"/>
    </w:pPr>
    <w:rPr>
      <w:rFonts w:ascii="宋体"/>
      <w:kern w:val="0"/>
      <w:szCs w:val="21"/>
    </w:rPr>
  </w:style>
  <w:style w:type="paragraph" w:customStyle="1" w:styleId="142">
    <w:name w:val="xl40"/>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Unicode MS" w:hAnsi="Arial Unicode MS"/>
      <w:b/>
      <w:bCs/>
      <w:kern w:val="0"/>
      <w:sz w:val="20"/>
    </w:rPr>
  </w:style>
  <w:style w:type="paragraph" w:customStyle="1" w:styleId="143">
    <w:name w:val="xl39"/>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44">
    <w:name w:val="强调列表"/>
    <w:basedOn w:val="1"/>
    <w:qFormat/>
    <w:uiPriority w:val="0"/>
    <w:pPr>
      <w:tabs>
        <w:tab w:val="left" w:pos="1742"/>
      </w:tabs>
      <w:ind w:left="1742" w:hanging="420"/>
    </w:pPr>
    <w:rPr>
      <w:sz w:val="24"/>
    </w:rPr>
  </w:style>
  <w:style w:type="paragraph" w:customStyle="1" w:styleId="145">
    <w:name w:val="正文文字（缩进2字）"/>
    <w:basedOn w:val="26"/>
    <w:qFormat/>
    <w:uiPriority w:val="0"/>
    <w:pPr>
      <w:spacing w:beforeLines="50" w:afterLines="50"/>
      <w:ind w:firstLine="200" w:firstLineChars="200"/>
    </w:pPr>
  </w:style>
  <w:style w:type="paragraph" w:customStyle="1" w:styleId="14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47">
    <w:name w:val="c"/>
    <w:qFormat/>
    <w:uiPriority w:val="0"/>
    <w:pPr>
      <w:widowControl w:val="0"/>
      <w:autoSpaceDE w:val="0"/>
      <w:autoSpaceDN w:val="0"/>
      <w:adjustRightInd w:val="0"/>
      <w:jc w:val="both"/>
    </w:pPr>
    <w:rPr>
      <w:rFonts w:ascii="Arial" w:hAnsi="Arial" w:eastAsia="宋体" w:cs="Times New Roman"/>
      <w:sz w:val="24"/>
      <w:lang w:val="en-US" w:eastAsia="zh-CN" w:bidi="ar-SA"/>
    </w:rPr>
  </w:style>
  <w:style w:type="paragraph" w:customStyle="1" w:styleId="14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49">
    <w:name w:val="2"/>
    <w:basedOn w:val="1"/>
    <w:next w:val="27"/>
    <w:qFormat/>
    <w:uiPriority w:val="0"/>
    <w:pPr>
      <w:spacing w:line="440" w:lineRule="exact"/>
      <w:ind w:firstLine="420"/>
    </w:pPr>
    <w:rPr>
      <w:sz w:val="28"/>
    </w:rPr>
  </w:style>
  <w:style w:type="paragraph" w:customStyle="1" w:styleId="150">
    <w:name w:val="xl68"/>
    <w:basedOn w:val="1"/>
    <w:qFormat/>
    <w:uiPriority w:val="0"/>
    <w:pPr>
      <w:widowControl/>
      <w:spacing w:before="100" w:beforeAutospacing="1" w:after="100" w:afterAutospacing="1"/>
      <w:jc w:val="center"/>
    </w:pPr>
    <w:rPr>
      <w:rFonts w:ascii="Arial" w:hAnsi="Arial" w:cs="Arial"/>
      <w:kern w:val="0"/>
      <w:sz w:val="20"/>
    </w:rPr>
  </w:style>
  <w:style w:type="paragraph" w:customStyle="1" w:styleId="151">
    <w:name w:val="xl2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5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3">
    <w:name w:val="xl84"/>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54">
    <w:name w:val="样式4"/>
    <w:uiPriority w:val="0"/>
    <w:rPr>
      <w:rFonts w:ascii="宋体" w:hAnsi="宋体" w:eastAsia="宋体" w:cs="Times New Roman"/>
      <w:b/>
      <w:bCs/>
      <w:kern w:val="2"/>
      <w:sz w:val="28"/>
      <w:szCs w:val="28"/>
      <w:lang w:val="en-US" w:eastAsia="zh-CN" w:bidi="ar-SA"/>
    </w:rPr>
  </w:style>
  <w:style w:type="paragraph" w:customStyle="1" w:styleId="155">
    <w:name w:val="分标题"/>
    <w:basedOn w:val="1"/>
    <w:next w:val="16"/>
    <w:qFormat/>
    <w:uiPriority w:val="0"/>
    <w:pPr>
      <w:numPr>
        <w:ilvl w:val="1"/>
        <w:numId w:val="2"/>
      </w:numPr>
      <w:tabs>
        <w:tab w:val="left" w:pos="567"/>
        <w:tab w:val="clear" w:pos="720"/>
      </w:tabs>
      <w:spacing w:before="120" w:after="120" w:line="360" w:lineRule="exact"/>
      <w:outlineLvl w:val="3"/>
    </w:pPr>
    <w:rPr>
      <w:rFonts w:ascii="宋体" w:hAnsi="宋体"/>
      <w:b/>
      <w:sz w:val="24"/>
      <w:szCs w:val="24"/>
    </w:rPr>
  </w:style>
  <w:style w:type="paragraph" w:customStyle="1" w:styleId="156">
    <w:name w:val="样式3"/>
    <w:basedOn w:val="3"/>
    <w:uiPriority w:val="0"/>
    <w:pPr>
      <w:keepNext w:val="0"/>
      <w:keepLines w:val="0"/>
      <w:tabs>
        <w:tab w:val="left" w:pos="576"/>
      </w:tabs>
      <w:spacing w:before="0" w:after="0" w:line="360" w:lineRule="auto"/>
      <w:ind w:left="576" w:hanging="576"/>
    </w:pPr>
    <w:rPr>
      <w:rFonts w:ascii="宋体" w:hAnsi="宋体" w:eastAsia="宋体"/>
      <w:sz w:val="28"/>
      <w:szCs w:val="28"/>
    </w:rPr>
  </w:style>
  <w:style w:type="paragraph" w:customStyle="1" w:styleId="157">
    <w:name w:val="_Style 251"/>
    <w:next w:val="1"/>
    <w:uiPriority w:val="0"/>
    <w:pPr>
      <w:widowControl w:val="0"/>
      <w:jc w:val="both"/>
    </w:pPr>
    <w:rPr>
      <w:rFonts w:ascii="Times New Roman" w:hAnsi="Times New Roman" w:eastAsia="宋体" w:cs="Times New Roman"/>
      <w:kern w:val="2"/>
      <w:sz w:val="21"/>
      <w:lang w:val="en-US" w:eastAsia="zh-CN" w:bidi="ar-SA"/>
    </w:rPr>
  </w:style>
  <w:style w:type="paragraph" w:customStyle="1" w:styleId="158">
    <w:name w:val="Table Heading"/>
    <w:basedOn w:val="159"/>
    <w:uiPriority w:val="0"/>
    <w:pPr>
      <w:autoSpaceDE/>
      <w:autoSpaceDN/>
      <w:spacing w:line="288" w:lineRule="auto"/>
      <w:jc w:val="center"/>
    </w:pPr>
    <w:rPr>
      <w:rFonts w:ascii="宋体" w:hAnsi="宋体"/>
      <w:b/>
    </w:rPr>
  </w:style>
  <w:style w:type="paragraph" w:customStyle="1" w:styleId="159">
    <w:name w:val="Table Text"/>
    <w:basedOn w:val="1"/>
    <w:qFormat/>
    <w:uiPriority w:val="0"/>
    <w:pPr>
      <w:widowControl/>
      <w:autoSpaceDE w:val="0"/>
      <w:autoSpaceDN w:val="0"/>
      <w:spacing w:before="60" w:after="60"/>
      <w:jc w:val="left"/>
    </w:pPr>
    <w:rPr>
      <w:kern w:val="0"/>
    </w:rPr>
  </w:style>
  <w:style w:type="paragraph" w:customStyle="1" w:styleId="160">
    <w:name w:val="标题下列示顺序"/>
    <w:basedOn w:val="161"/>
    <w:uiPriority w:val="0"/>
    <w:pPr>
      <w:tabs>
        <w:tab w:val="left" w:pos="1680"/>
      </w:tabs>
      <w:ind w:left="1680" w:leftChars="0" w:hanging="420"/>
    </w:pPr>
  </w:style>
  <w:style w:type="paragraph" w:customStyle="1" w:styleId="161">
    <w:name w:val="标题下顺序正文"/>
    <w:basedOn w:val="1"/>
    <w:qFormat/>
    <w:uiPriority w:val="0"/>
    <w:pPr>
      <w:spacing w:beforeLines="50" w:line="0" w:lineRule="atLeast"/>
      <w:ind w:left="1049" w:leftChars="437" w:firstLine="1"/>
    </w:pPr>
    <w:rPr>
      <w:rFonts w:ascii="宋体"/>
      <w:sz w:val="24"/>
    </w:rPr>
  </w:style>
  <w:style w:type="paragraph" w:customStyle="1" w:styleId="162">
    <w:name w:val="附录 Heading 2"/>
    <w:basedOn w:val="3"/>
    <w:qFormat/>
    <w:uiPriority w:val="0"/>
    <w:pPr>
      <w:keepLines w:val="0"/>
      <w:widowControl/>
      <w:tabs>
        <w:tab w:val="left" w:pos="0"/>
        <w:tab w:val="left" w:pos="420"/>
      </w:tabs>
      <w:spacing w:before="480" w:after="120" w:line="288" w:lineRule="auto"/>
      <w:ind w:left="420" w:hanging="420"/>
      <w:jc w:val="left"/>
    </w:pPr>
    <w:rPr>
      <w:rFonts w:ascii="Microsoft Sans Serif" w:hAnsi="Microsoft Sans Serif" w:eastAsia="仿宋_GB2312" w:cs="Microsoft Sans Serif"/>
      <w:iCs/>
      <w:kern w:val="0"/>
      <w:szCs w:val="28"/>
    </w:rPr>
  </w:style>
  <w:style w:type="paragraph" w:customStyle="1" w:styleId="163">
    <w:name w:val="xl23"/>
    <w:basedOn w:val="1"/>
    <w:qFormat/>
    <w:uiPriority w:val="0"/>
    <w:pPr>
      <w:widowControl/>
    </w:pPr>
    <w:rPr>
      <w:rFonts w:eastAsia="Arial Unicode MS"/>
      <w:kern w:val="0"/>
    </w:rPr>
  </w:style>
  <w:style w:type="paragraph" w:customStyle="1" w:styleId="164">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宋体" w:hAnsi="宋体" w:cs="Arial Unicode MS"/>
      <w:kern w:val="0"/>
      <w:sz w:val="24"/>
      <w:szCs w:val="24"/>
    </w:rPr>
  </w:style>
  <w:style w:type="paragraph" w:customStyle="1" w:styleId="165">
    <w:name w:val="xl67"/>
    <w:basedOn w:val="1"/>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66">
    <w:name w:val="首行缩进 1"/>
    <w:basedOn w:val="1"/>
    <w:uiPriority w:val="0"/>
    <w:pPr>
      <w:spacing w:after="120" w:line="360" w:lineRule="auto"/>
      <w:ind w:firstLine="200" w:firstLineChars="200"/>
    </w:pPr>
    <w:rPr>
      <w:sz w:val="24"/>
      <w:szCs w:val="24"/>
    </w:rPr>
  </w:style>
  <w:style w:type="paragraph" w:customStyle="1" w:styleId="167">
    <w:name w:val="节标题"/>
    <w:basedOn w:val="1"/>
    <w:next w:val="16"/>
    <w:uiPriority w:val="0"/>
    <w:pPr>
      <w:numPr>
        <w:ilvl w:val="0"/>
        <w:numId w:val="2"/>
      </w:numPr>
      <w:spacing w:before="120" w:after="120" w:line="360" w:lineRule="exact"/>
      <w:outlineLvl w:val="0"/>
    </w:pPr>
    <w:rPr>
      <w:b/>
      <w:bCs/>
      <w:sz w:val="28"/>
    </w:rPr>
  </w:style>
  <w:style w:type="paragraph" w:customStyle="1" w:styleId="168">
    <w:name w:val="标题四"/>
    <w:basedOn w:val="4"/>
    <w:qFormat/>
    <w:uiPriority w:val="0"/>
    <w:pPr>
      <w:spacing w:line="413" w:lineRule="auto"/>
    </w:pPr>
    <w:rPr>
      <w:sz w:val="28"/>
    </w:rPr>
  </w:style>
  <w:style w:type="paragraph" w:customStyle="1" w:styleId="169">
    <w:name w:val="font8"/>
    <w:basedOn w:val="1"/>
    <w:uiPriority w:val="0"/>
    <w:pPr>
      <w:widowControl/>
      <w:spacing w:before="100" w:beforeAutospacing="1" w:after="100" w:afterAutospacing="1"/>
      <w:jc w:val="left"/>
    </w:pPr>
    <w:rPr>
      <w:rFonts w:hint="eastAsia" w:ascii="宋体" w:hAnsi="宋体"/>
      <w:b/>
      <w:bCs/>
      <w:kern w:val="0"/>
      <w:sz w:val="20"/>
    </w:rPr>
  </w:style>
  <w:style w:type="paragraph" w:customStyle="1" w:styleId="170">
    <w:name w:val="华宇段落1"/>
    <w:basedOn w:val="1"/>
    <w:uiPriority w:val="0"/>
    <w:pPr>
      <w:spacing w:line="360" w:lineRule="auto"/>
      <w:ind w:firstLine="420" w:firstLineChars="175"/>
    </w:pPr>
    <w:rPr>
      <w:rFonts w:ascii="宋体" w:hAnsi="宋体"/>
      <w:kern w:val="0"/>
      <w:sz w:val="24"/>
    </w:rPr>
  </w:style>
  <w:style w:type="paragraph" w:customStyle="1" w:styleId="171">
    <w:name w:val="招标文件》"/>
    <w:basedOn w:val="172"/>
    <w:uiPriority w:val="0"/>
    <w:pPr>
      <w:tabs>
        <w:tab w:val="left" w:pos="560"/>
      </w:tabs>
      <w:ind w:left="200" w:firstLine="0" w:firstLineChars="0"/>
    </w:pPr>
  </w:style>
  <w:style w:type="paragraph" w:customStyle="1" w:styleId="172">
    <w:name w:val="招标文件正文"/>
    <w:uiPriority w:val="0"/>
    <w:pPr>
      <w:spacing w:before="120" w:after="120" w:line="300" w:lineRule="auto"/>
      <w:ind w:firstLine="200" w:firstLineChars="200"/>
    </w:pPr>
    <w:rPr>
      <w:rFonts w:ascii="宋体" w:hAnsi="Times New Roman" w:eastAsia="宋体" w:cs="Times New Roman"/>
      <w:spacing w:val="10"/>
      <w:w w:val="95"/>
      <w:sz w:val="21"/>
      <w:lang w:val="en-US" w:eastAsia="zh-CN" w:bidi="ar-SA"/>
    </w:rPr>
  </w:style>
  <w:style w:type="paragraph" w:customStyle="1" w:styleId="173">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rPr>
  </w:style>
  <w:style w:type="paragraph" w:customStyle="1" w:styleId="174">
    <w:name w:val="Heading A"/>
    <w:basedOn w:val="2"/>
    <w:next w:val="26"/>
    <w:uiPriority w:val="0"/>
    <w:pPr>
      <w:widowControl/>
      <w:tabs>
        <w:tab w:val="left" w:pos="435"/>
      </w:tabs>
      <w:overflowPunct w:val="0"/>
      <w:autoSpaceDE w:val="0"/>
      <w:autoSpaceDN w:val="0"/>
      <w:adjustRightInd w:val="0"/>
      <w:spacing w:before="142" w:after="113" w:line="576" w:lineRule="auto"/>
      <w:jc w:val="left"/>
      <w:textAlignment w:val="baseline"/>
      <w:outlineLvl w:val="9"/>
    </w:pPr>
    <w:rPr>
      <w:rFonts w:ascii="Arial" w:hAnsi="Arial" w:eastAsia="仿宋_GB2312" w:cs="Arial"/>
      <w:kern w:val="28"/>
      <w:sz w:val="36"/>
      <w:szCs w:val="20"/>
    </w:rPr>
  </w:style>
  <w:style w:type="paragraph" w:customStyle="1" w:styleId="175">
    <w:name w:val="xl43"/>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 w:val="16"/>
      <w:szCs w:val="16"/>
    </w:rPr>
  </w:style>
  <w:style w:type="paragraph" w:customStyle="1" w:styleId="176">
    <w:name w:val="小表格项目"/>
    <w:uiPriority w:val="0"/>
    <w:pPr>
      <w:jc w:val="center"/>
    </w:pPr>
    <w:rPr>
      <w:rFonts w:ascii="Arial" w:hAnsi="Arial" w:eastAsia="宋体" w:cs="Times New Roman"/>
      <w:b/>
      <w:caps/>
      <w:sz w:val="24"/>
      <w:lang w:val="en-US" w:eastAsia="zh-CN" w:bidi="ar-SA"/>
    </w:rPr>
  </w:style>
  <w:style w:type="paragraph" w:customStyle="1" w:styleId="177">
    <w:name w:val="序4"/>
    <w:basedOn w:val="1"/>
    <w:uiPriority w:val="0"/>
    <w:pPr>
      <w:tabs>
        <w:tab w:val="left" w:pos="1680"/>
      </w:tabs>
      <w:spacing w:before="120"/>
      <w:ind w:left="1680" w:hanging="420"/>
      <w:jc w:val="left"/>
    </w:pPr>
    <w:rPr>
      <w:rFonts w:eastAsia="黑体"/>
      <w:b/>
      <w:bCs/>
      <w:caps/>
      <w:sz w:val="24"/>
      <w:szCs w:val="24"/>
    </w:rPr>
  </w:style>
  <w:style w:type="paragraph" w:customStyle="1" w:styleId="178">
    <w:name w:val="gczx正文"/>
    <w:basedOn w:val="1"/>
    <w:qFormat/>
    <w:uiPriority w:val="0"/>
    <w:pPr>
      <w:spacing w:beforeLines="25" w:afterLines="25" w:line="440" w:lineRule="exact"/>
      <w:ind w:firstLine="200" w:firstLineChars="200"/>
    </w:pPr>
    <w:rPr>
      <w:sz w:val="24"/>
    </w:rPr>
  </w:style>
  <w:style w:type="paragraph" w:customStyle="1" w:styleId="179">
    <w:name w:val="默认段落字体 Para Char Char Char1 Char Char Char Char Char Char Char"/>
    <w:basedOn w:val="1"/>
    <w:qFormat/>
    <w:uiPriority w:val="0"/>
    <w:pPr>
      <w:adjustRightInd w:val="0"/>
      <w:spacing w:line="360" w:lineRule="auto"/>
    </w:pPr>
    <w:rPr>
      <w:kern w:val="0"/>
      <w:sz w:val="24"/>
    </w:rPr>
  </w:style>
  <w:style w:type="paragraph" w:customStyle="1" w:styleId="180">
    <w:name w:val="样式 正文缩进正文（首行缩进两字）表正文正文非缩进特点标题4段1 + 首行缩进:  2 字符"/>
    <w:basedOn w:val="16"/>
    <w:qFormat/>
    <w:uiPriority w:val="0"/>
    <w:pPr>
      <w:adjustRightInd w:val="0"/>
      <w:snapToGrid w:val="0"/>
      <w:spacing w:line="360" w:lineRule="auto"/>
      <w:ind w:firstLine="480" w:firstLineChars="200"/>
    </w:pPr>
    <w:rPr>
      <w:rFonts w:ascii="Times New Roman"/>
    </w:rPr>
  </w:style>
  <w:style w:type="paragraph" w:customStyle="1" w:styleId="181">
    <w:name w:val="列出段落1"/>
    <w:basedOn w:val="1"/>
    <w:qFormat/>
    <w:uiPriority w:val="0"/>
    <w:pPr>
      <w:ind w:firstLine="420" w:firstLineChars="200"/>
    </w:pPr>
    <w:rPr>
      <w:szCs w:val="24"/>
    </w:rPr>
  </w:style>
  <w:style w:type="paragraph" w:customStyle="1" w:styleId="182">
    <w:name w:val="font6"/>
    <w:basedOn w:val="1"/>
    <w:uiPriority w:val="0"/>
    <w:pPr>
      <w:widowControl/>
      <w:spacing w:before="100" w:beforeAutospacing="1" w:after="100" w:afterAutospacing="1"/>
      <w:jc w:val="left"/>
    </w:pPr>
    <w:rPr>
      <w:rFonts w:ascii="Arial" w:hAnsi="Arial" w:cs="Arial"/>
      <w:kern w:val="0"/>
      <w:sz w:val="16"/>
      <w:szCs w:val="16"/>
    </w:rPr>
  </w:style>
  <w:style w:type="paragraph" w:customStyle="1" w:styleId="183">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84">
    <w:name w:val="P5"/>
    <w:uiPriority w:val="0"/>
    <w:pPr>
      <w:widowControl w:val="0"/>
      <w:adjustRightInd w:val="0"/>
      <w:spacing w:after="240" w:line="0" w:lineRule="atLeast"/>
      <w:ind w:left="2304"/>
      <w:jc w:val="both"/>
      <w:textAlignment w:val="baseline"/>
    </w:pPr>
    <w:rPr>
      <w:rFonts w:ascii="Times New Roman" w:hAnsi="Times New Roman" w:eastAsia="全真中明體" w:cs="Times New Roman"/>
      <w:spacing w:val="30"/>
      <w:sz w:val="24"/>
      <w:lang w:val="en-GB" w:eastAsia="zh-TW" w:bidi="ar-SA"/>
    </w:rPr>
  </w:style>
  <w:style w:type="paragraph" w:customStyle="1" w:styleId="185">
    <w:name w:val="黑正体次次级"/>
    <w:basedOn w:val="186"/>
    <w:uiPriority w:val="0"/>
    <w:pPr>
      <w:tabs>
        <w:tab w:val="left" w:pos="425"/>
      </w:tabs>
      <w:ind w:left="1417" w:hanging="425"/>
    </w:pPr>
    <w:rPr>
      <w:i/>
      <w:sz w:val="20"/>
    </w:rPr>
  </w:style>
  <w:style w:type="paragraph" w:customStyle="1" w:styleId="186">
    <w:name w:val="黑正文次级"/>
    <w:basedOn w:val="1"/>
    <w:uiPriority w:val="0"/>
    <w:pPr>
      <w:widowControl/>
      <w:overflowPunct w:val="0"/>
      <w:autoSpaceDE w:val="0"/>
      <w:autoSpaceDN w:val="0"/>
      <w:adjustRightInd w:val="0"/>
      <w:spacing w:line="300" w:lineRule="auto"/>
      <w:ind w:left="400" w:leftChars="300" w:hanging="100" w:hangingChars="100"/>
      <w:jc w:val="left"/>
      <w:textAlignment w:val="baseline"/>
    </w:pPr>
    <w:rPr>
      <w:kern w:val="0"/>
      <w:sz w:val="24"/>
    </w:rPr>
  </w:style>
  <w:style w:type="paragraph" w:customStyle="1" w:styleId="187">
    <w:name w:val="B_项目符号"/>
    <w:basedOn w:val="1"/>
    <w:uiPriority w:val="0"/>
    <w:pPr>
      <w:widowControl/>
      <w:tabs>
        <w:tab w:val="left" w:pos="851"/>
      </w:tabs>
      <w:overflowPunct w:val="0"/>
      <w:autoSpaceDE w:val="0"/>
      <w:autoSpaceDN w:val="0"/>
      <w:adjustRightInd w:val="0"/>
      <w:spacing w:line="312" w:lineRule="atLeast"/>
      <w:ind w:left="851" w:hanging="426"/>
      <w:textAlignment w:val="baseline"/>
    </w:pPr>
    <w:rPr>
      <w:rFonts w:ascii="宋体"/>
      <w:kern w:val="0"/>
    </w:rPr>
  </w:style>
  <w:style w:type="paragraph" w:customStyle="1" w:styleId="188">
    <w:name w:val="合同正文"/>
    <w:basedOn w:val="1"/>
    <w:next w:val="1"/>
    <w:qFormat/>
    <w:uiPriority w:val="0"/>
    <w:pPr>
      <w:spacing w:line="360" w:lineRule="auto"/>
      <w:ind w:firstLine="480" w:firstLineChars="200"/>
    </w:pPr>
    <w:rPr>
      <w:rFonts w:ascii="宋体" w:hAnsi="宋体"/>
      <w:sz w:val="24"/>
    </w:rPr>
  </w:style>
  <w:style w:type="paragraph" w:customStyle="1" w:styleId="189">
    <w:name w:val="blockquote"/>
    <w:basedOn w:val="1"/>
    <w:uiPriority w:val="0"/>
    <w:pPr>
      <w:widowControl/>
      <w:spacing w:before="100" w:beforeAutospacing="1" w:after="100" w:afterAutospacing="1"/>
      <w:jc w:val="left"/>
    </w:pPr>
    <w:rPr>
      <w:rFonts w:ascii="宋体" w:hAnsi="宋体" w:cs="宋体"/>
      <w:kern w:val="0"/>
      <w:sz w:val="24"/>
      <w:szCs w:val="24"/>
      <w:lang w:eastAsia="en-US" w:bidi="en-US"/>
    </w:rPr>
  </w:style>
  <w:style w:type="paragraph" w:customStyle="1" w:styleId="190">
    <w:name w:val="Char Char Char"/>
    <w:basedOn w:val="1"/>
    <w:qFormat/>
    <w:uiPriority w:val="0"/>
    <w:pPr>
      <w:adjustRightInd w:val="0"/>
      <w:spacing w:line="360" w:lineRule="auto"/>
    </w:pPr>
    <w:rPr>
      <w:kern w:val="0"/>
      <w:sz w:val="24"/>
    </w:rPr>
  </w:style>
  <w:style w:type="paragraph" w:customStyle="1" w:styleId="191">
    <w:name w:val="P8"/>
    <w:basedOn w:val="192"/>
    <w:uiPriority w:val="0"/>
    <w:pPr>
      <w:ind w:left="4032"/>
    </w:pPr>
  </w:style>
  <w:style w:type="paragraph" w:customStyle="1" w:styleId="192">
    <w:name w:val="P6"/>
    <w:uiPriority w:val="0"/>
    <w:pPr>
      <w:widowControl w:val="0"/>
      <w:adjustRightInd w:val="0"/>
      <w:spacing w:after="240" w:line="0" w:lineRule="atLeast"/>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193">
    <w:name w:val="可研正文"/>
    <w:basedOn w:val="26"/>
    <w:uiPriority w:val="0"/>
    <w:pPr>
      <w:adjustRightInd w:val="0"/>
      <w:snapToGrid w:val="0"/>
      <w:spacing w:after="0" w:line="440" w:lineRule="exact"/>
      <w:ind w:firstLine="567"/>
    </w:pPr>
    <w:rPr>
      <w:rFonts w:ascii="仿宋_GB2312" w:eastAsia="仿宋_GB2312"/>
      <w:sz w:val="28"/>
    </w:rPr>
  </w:style>
  <w:style w:type="paragraph" w:customStyle="1" w:styleId="194">
    <w:name w:val="Char Char2 Char"/>
    <w:basedOn w:val="1"/>
    <w:uiPriority w:val="0"/>
    <w:pPr>
      <w:keepNext/>
      <w:keepLines/>
      <w:pageBreakBefore/>
      <w:tabs>
        <w:tab w:val="left" w:pos="845"/>
      </w:tabs>
      <w:ind w:left="845" w:hanging="420"/>
    </w:pPr>
    <w:rPr>
      <w:rFonts w:ascii="Tahoma" w:hAnsi="Tahoma"/>
      <w:sz w:val="24"/>
    </w:rPr>
  </w:style>
  <w:style w:type="paragraph" w:customStyle="1" w:styleId="195">
    <w:name w:val="xl49"/>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96">
    <w:name w:val="附件小标题"/>
    <w:basedOn w:val="5"/>
    <w:uiPriority w:val="0"/>
    <w:pPr>
      <w:tabs>
        <w:tab w:val="left" w:pos="720"/>
      </w:tabs>
      <w:adjustRightInd/>
      <w:spacing w:before="120" w:after="120" w:line="240" w:lineRule="atLeast"/>
      <w:ind w:left="720" w:hanging="720"/>
      <w:jc w:val="left"/>
      <w:textAlignment w:val="auto"/>
    </w:pPr>
    <w:rPr>
      <w:rFonts w:ascii="Verdana" w:hAnsi="Verdana" w:eastAsia="宋体"/>
      <w:bCs/>
      <w:szCs w:val="28"/>
    </w:rPr>
  </w:style>
  <w:style w:type="paragraph" w:customStyle="1" w:styleId="197">
    <w:name w:val="操作步骤"/>
    <w:basedOn w:val="1"/>
    <w:uiPriority w:val="0"/>
    <w:pPr>
      <w:tabs>
        <w:tab w:val="left" w:pos="840"/>
      </w:tabs>
      <w:autoSpaceDE w:val="0"/>
      <w:autoSpaceDN w:val="0"/>
      <w:adjustRightInd w:val="0"/>
      <w:snapToGrid w:val="0"/>
      <w:spacing w:line="40" w:lineRule="atLeast"/>
      <w:ind w:left="840" w:hanging="420"/>
      <w:textAlignment w:val="bottom"/>
    </w:pPr>
    <w:rPr>
      <w:rFonts w:ascii="昆仑楷体" w:eastAsia="楷体_GB2312"/>
      <w:kern w:val="0"/>
    </w:rPr>
  </w:style>
  <w:style w:type="paragraph" w:customStyle="1" w:styleId="198">
    <w:name w:val="xl86"/>
    <w:basedOn w:val="1"/>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199">
    <w:name w:val="Char1 Char Char Char Char Char Char Char Char Char Char Char Char Char1"/>
    <w:basedOn w:val="1"/>
    <w:uiPriority w:val="0"/>
    <w:pPr>
      <w:adjustRightInd w:val="0"/>
      <w:spacing w:line="360" w:lineRule="auto"/>
    </w:pPr>
    <w:rPr>
      <w:kern w:val="0"/>
      <w:sz w:val="24"/>
    </w:rPr>
  </w:style>
  <w:style w:type="paragraph" w:customStyle="1" w:styleId="200">
    <w:name w:val="招标文件1.1.1"/>
    <w:uiPriority w:val="0"/>
    <w:pPr>
      <w:spacing w:before="120" w:after="120" w:line="480" w:lineRule="exact"/>
      <w:ind w:left="200"/>
      <w:outlineLvl w:val="3"/>
    </w:pPr>
    <w:rPr>
      <w:rFonts w:ascii="宋体" w:hAnsi="Times New Roman" w:eastAsia="宋体" w:cs="Times New Roman"/>
      <w:b/>
      <w:spacing w:val="10"/>
      <w:w w:val="95"/>
      <w:sz w:val="21"/>
      <w:lang w:val="en-US" w:eastAsia="zh-CN" w:bidi="ar-SA"/>
    </w:rPr>
  </w:style>
  <w:style w:type="paragraph" w:customStyle="1" w:styleId="201">
    <w:name w:val="6"/>
    <w:basedOn w:val="1"/>
    <w:next w:val="59"/>
    <w:uiPriority w:val="0"/>
    <w:pPr>
      <w:adjustRightInd w:val="0"/>
      <w:snapToGrid w:val="0"/>
    </w:pPr>
    <w:rPr>
      <w:sz w:val="24"/>
      <w:szCs w:val="24"/>
    </w:rPr>
  </w:style>
  <w:style w:type="paragraph" w:customStyle="1" w:styleId="202">
    <w:name w:val="样式 标题 3二级节名(C+F3)H3Heading 3 - oldh33rd level3l3CTLeve..."/>
    <w:basedOn w:val="4"/>
    <w:uiPriority w:val="0"/>
    <w:pPr>
      <w:keepLines w:val="0"/>
      <w:numPr>
        <w:ilvl w:val="2"/>
        <w:numId w:val="1"/>
      </w:numPr>
      <w:tabs>
        <w:tab w:val="left" w:pos="0"/>
      </w:tabs>
      <w:overflowPunct w:val="0"/>
      <w:adjustRightInd w:val="0"/>
      <w:spacing w:before="0" w:after="0" w:line="360" w:lineRule="auto"/>
      <w:ind w:left="1560"/>
    </w:pPr>
    <w:rPr>
      <w:rFonts w:ascii="宋体" w:hAnsi="宋体"/>
      <w:bCs w:val="0"/>
      <w:color w:val="FF0000"/>
      <w:kern w:val="28"/>
      <w:sz w:val="24"/>
      <w:szCs w:val="20"/>
    </w:rPr>
  </w:style>
  <w:style w:type="paragraph" w:customStyle="1" w:styleId="203">
    <w:name w:val="日期1"/>
    <w:basedOn w:val="1"/>
    <w:next w:val="1"/>
    <w:uiPriority w:val="0"/>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204">
    <w:name w:val="CM36"/>
    <w:basedOn w:val="1"/>
    <w:next w:val="1"/>
    <w:uiPriority w:val="0"/>
    <w:pPr>
      <w:autoSpaceDE w:val="0"/>
      <w:autoSpaceDN w:val="0"/>
      <w:adjustRightInd w:val="0"/>
      <w:spacing w:line="468" w:lineRule="atLeast"/>
      <w:jc w:val="left"/>
    </w:pPr>
    <w:rPr>
      <w:rFonts w:ascii="宋体"/>
      <w:kern w:val="0"/>
      <w:sz w:val="24"/>
      <w:szCs w:val="24"/>
    </w:rPr>
  </w:style>
  <w:style w:type="paragraph" w:customStyle="1" w:styleId="205">
    <w:name w:val="招标文件1"/>
    <w:basedOn w:val="1"/>
    <w:uiPriority w:val="0"/>
    <w:pPr>
      <w:tabs>
        <w:tab w:val="left" w:pos="420"/>
      </w:tabs>
      <w:spacing w:before="120" w:after="120" w:line="480" w:lineRule="exact"/>
      <w:ind w:left="200"/>
      <w:jc w:val="left"/>
      <w:outlineLvl w:val="1"/>
    </w:pPr>
    <w:rPr>
      <w:rFonts w:ascii="宋体"/>
      <w:b/>
      <w:spacing w:val="10"/>
      <w:w w:val="95"/>
      <w:kern w:val="0"/>
      <w:sz w:val="28"/>
      <w:szCs w:val="24"/>
    </w:rPr>
  </w:style>
  <w:style w:type="paragraph" w:customStyle="1" w:styleId="206">
    <w:name w:val="项目 1"/>
    <w:basedOn w:val="1"/>
    <w:uiPriority w:val="0"/>
    <w:pPr>
      <w:tabs>
        <w:tab w:val="left" w:pos="1446"/>
      </w:tabs>
      <w:adjustRightInd w:val="0"/>
      <w:snapToGrid w:val="0"/>
      <w:spacing w:afterLines="50"/>
      <w:ind w:left="1446" w:hanging="488"/>
    </w:pPr>
    <w:rPr>
      <w:rFonts w:ascii="Tahoma" w:hAnsi="Tahoma"/>
      <w:sz w:val="24"/>
      <w:szCs w:val="24"/>
    </w:rPr>
  </w:style>
  <w:style w:type="paragraph" w:customStyle="1" w:styleId="207">
    <w:name w:val="Char"/>
    <w:basedOn w:val="1"/>
    <w:uiPriority w:val="0"/>
    <w:pPr>
      <w:adjustRightInd w:val="0"/>
      <w:spacing w:line="360" w:lineRule="atLeast"/>
      <w:textAlignment w:val="baseline"/>
    </w:pPr>
    <w:rPr>
      <w:rFonts w:ascii="Tahoma" w:hAnsi="Tahoma" w:cs="Tahoma"/>
      <w:sz w:val="24"/>
      <w:szCs w:val="24"/>
    </w:rPr>
  </w:style>
  <w:style w:type="paragraph" w:customStyle="1" w:styleId="208">
    <w:name w:val="Heading B"/>
    <w:basedOn w:val="3"/>
    <w:next w:val="26"/>
    <w:uiPriority w:val="0"/>
    <w:pPr>
      <w:keepLines w:val="0"/>
      <w:widowControl/>
      <w:pBdr>
        <w:top w:val="single" w:color="auto" w:sz="6" w:space="1"/>
      </w:pBdr>
      <w:tabs>
        <w:tab w:val="left" w:pos="435"/>
      </w:tabs>
      <w:overflowPunct w:val="0"/>
      <w:autoSpaceDE w:val="0"/>
      <w:autoSpaceDN w:val="0"/>
      <w:adjustRightInd w:val="0"/>
      <w:spacing w:before="425" w:after="113" w:line="240" w:lineRule="auto"/>
      <w:jc w:val="left"/>
      <w:textAlignment w:val="baseline"/>
      <w:outlineLvl w:val="9"/>
    </w:pPr>
    <w:rPr>
      <w:rFonts w:eastAsia="仿宋_GB2312" w:cs="Arial"/>
      <w:bCs w:val="0"/>
      <w:kern w:val="0"/>
      <w:sz w:val="24"/>
      <w:szCs w:val="20"/>
    </w:rPr>
  </w:style>
  <w:style w:type="paragraph" w:customStyle="1" w:styleId="209">
    <w:name w:val="Reader's comments"/>
    <w:basedOn w:val="1"/>
    <w:uiPriority w:val="0"/>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210">
    <w:name w:val="*8. General Text"/>
    <w:basedOn w:val="152"/>
    <w:next w:val="152"/>
    <w:uiPriority w:val="0"/>
    <w:pPr>
      <w:spacing w:after="120"/>
    </w:pPr>
    <w:rPr>
      <w:color w:val="auto"/>
    </w:rPr>
  </w:style>
  <w:style w:type="paragraph" w:customStyle="1" w:styleId="211">
    <w:name w:val="font7"/>
    <w:basedOn w:val="1"/>
    <w:uiPriority w:val="0"/>
    <w:pPr>
      <w:widowControl/>
      <w:spacing w:before="100" w:beforeAutospacing="1" w:after="100" w:afterAutospacing="1"/>
      <w:jc w:val="left"/>
    </w:pPr>
    <w:rPr>
      <w:rFonts w:ascii="Arial" w:hAnsi="Arial" w:cs="Arial"/>
      <w:b/>
      <w:bCs/>
      <w:kern w:val="0"/>
      <w:sz w:val="20"/>
    </w:rPr>
  </w:style>
  <w:style w:type="paragraph" w:customStyle="1" w:styleId="212">
    <w:name w:val="图标"/>
    <w:basedOn w:val="1"/>
    <w:uiPriority w:val="0"/>
    <w:pPr>
      <w:jc w:val="center"/>
    </w:pPr>
    <w:rPr>
      <w:kern w:val="10"/>
    </w:rPr>
  </w:style>
  <w:style w:type="paragraph" w:customStyle="1" w:styleId="213">
    <w:name w:val="Char1 Char Char Char Char Char"/>
    <w:basedOn w:val="1"/>
    <w:uiPriority w:val="0"/>
    <w:pPr>
      <w:adjustRightInd w:val="0"/>
    </w:pPr>
    <w:rPr>
      <w:rFonts w:ascii="Tahoma" w:hAnsi="Tahoma"/>
      <w:sz w:val="24"/>
    </w:rPr>
  </w:style>
  <w:style w:type="paragraph" w:customStyle="1" w:styleId="214">
    <w:name w:val="样式 普通(网站) + 仿宋_GB2312 段前: 自动 段后: 自动 行距: 1.5 倍行距1"/>
    <w:basedOn w:val="1"/>
    <w:uiPriority w:val="0"/>
    <w:pPr>
      <w:widowControl/>
      <w:tabs>
        <w:tab w:val="left" w:pos="1134"/>
      </w:tabs>
      <w:spacing w:after="120"/>
      <w:ind w:left="1134" w:hanging="294"/>
      <w:jc w:val="left"/>
    </w:pPr>
    <w:rPr>
      <w:rFonts w:ascii="Arial" w:hAnsi="Arial"/>
      <w:kern w:val="0"/>
      <w:sz w:val="20"/>
      <w:lang w:val="en-GB"/>
    </w:rPr>
  </w:style>
  <w:style w:type="paragraph" w:customStyle="1" w:styleId="215">
    <w:name w:val="章标题"/>
    <w:next w:val="1"/>
    <w:uiPriority w:val="0"/>
    <w:pPr>
      <w:numPr>
        <w:ilvl w:val="0"/>
        <w:numId w:val="3"/>
      </w:numPr>
      <w:tabs>
        <w:tab w:val="left" w:pos="907"/>
        <w:tab w:val="clear" w:pos="1497"/>
      </w:tabs>
      <w:spacing w:beforeLines="50" w:afterLines="50"/>
      <w:jc w:val="both"/>
      <w:outlineLvl w:val="1"/>
    </w:pPr>
    <w:rPr>
      <w:rFonts w:ascii="黑体" w:hAnsi="Times New Roman" w:eastAsia="黑体" w:cs="Times New Roman"/>
      <w:sz w:val="21"/>
      <w:lang w:val="en-US" w:eastAsia="zh-CN" w:bidi="ar-SA"/>
    </w:rPr>
  </w:style>
  <w:style w:type="paragraph" w:customStyle="1" w:styleId="216">
    <w:name w:val="List Bullet1"/>
    <w:basedOn w:val="1"/>
    <w:uiPriority w:val="0"/>
    <w:pPr>
      <w:widowControl/>
      <w:tabs>
        <w:tab w:val="left" w:pos="987"/>
      </w:tabs>
      <w:adjustRightInd w:val="0"/>
      <w:snapToGrid w:val="0"/>
      <w:spacing w:line="360" w:lineRule="auto"/>
      <w:ind w:left="987" w:right="57" w:hanging="420"/>
      <w:jc w:val="left"/>
    </w:pPr>
    <w:rPr>
      <w:kern w:val="0"/>
      <w:sz w:val="24"/>
      <w:szCs w:val="24"/>
    </w:rPr>
  </w:style>
  <w:style w:type="paragraph" w:customStyle="1" w:styleId="217">
    <w:name w:val="四级条标题"/>
    <w:basedOn w:val="218"/>
    <w:next w:val="1"/>
    <w:uiPriority w:val="0"/>
    <w:pPr>
      <w:numPr>
        <w:ilvl w:val="3"/>
      </w:numPr>
      <w:tabs>
        <w:tab w:val="left" w:pos="840"/>
        <w:tab w:val="left" w:pos="1260"/>
        <w:tab w:val="left" w:pos="1680"/>
        <w:tab w:val="left" w:pos="2100"/>
        <w:tab w:val="left" w:pos="2520"/>
      </w:tabs>
      <w:ind w:left="2520" w:hanging="420"/>
      <w:outlineLvl w:val="5"/>
    </w:pPr>
  </w:style>
  <w:style w:type="paragraph" w:customStyle="1" w:styleId="218">
    <w:name w:val="三级条标题"/>
    <w:basedOn w:val="219"/>
    <w:next w:val="1"/>
    <w:uiPriority w:val="0"/>
    <w:pPr>
      <w:numPr>
        <w:ilvl w:val="0"/>
        <w:numId w:val="0"/>
      </w:numPr>
      <w:tabs>
        <w:tab w:val="left" w:pos="840"/>
        <w:tab w:val="left" w:pos="1260"/>
        <w:tab w:val="left" w:pos="1680"/>
        <w:tab w:val="left" w:pos="2100"/>
      </w:tabs>
      <w:ind w:left="2100" w:hanging="420"/>
      <w:outlineLvl w:val="4"/>
    </w:pPr>
  </w:style>
  <w:style w:type="paragraph" w:customStyle="1" w:styleId="219">
    <w:name w:val="二级条标题"/>
    <w:basedOn w:val="220"/>
    <w:next w:val="1"/>
    <w:uiPriority w:val="0"/>
    <w:pPr>
      <w:numPr>
        <w:ilvl w:val="1"/>
      </w:numPr>
      <w:tabs>
        <w:tab w:val="left" w:pos="840"/>
        <w:tab w:val="left" w:pos="1260"/>
        <w:tab w:val="left" w:pos="1680"/>
      </w:tabs>
      <w:ind w:left="1680"/>
      <w:outlineLvl w:val="3"/>
    </w:pPr>
  </w:style>
  <w:style w:type="paragraph" w:customStyle="1" w:styleId="220">
    <w:name w:val="一级条标题"/>
    <w:basedOn w:val="215"/>
    <w:next w:val="1"/>
    <w:uiPriority w:val="0"/>
    <w:pPr>
      <w:numPr>
        <w:numId w:val="1"/>
      </w:numPr>
      <w:tabs>
        <w:tab w:val="left" w:pos="840"/>
        <w:tab w:val="left" w:pos="1260"/>
        <w:tab w:val="clear" w:pos="907"/>
      </w:tabs>
      <w:spacing w:beforeLines="0" w:afterLines="0"/>
      <w:ind w:left="1260"/>
      <w:outlineLvl w:val="2"/>
    </w:pPr>
  </w:style>
  <w:style w:type="paragraph" w:customStyle="1" w:styleId="221">
    <w:name w:val="方案文档"/>
    <w:basedOn w:val="1"/>
    <w:uiPriority w:val="0"/>
    <w:pPr>
      <w:tabs>
        <w:tab w:val="left" w:pos="9540"/>
      </w:tabs>
      <w:spacing w:before="120" w:after="120" w:line="360" w:lineRule="auto"/>
      <w:ind w:right="210" w:rightChars="100"/>
    </w:pPr>
    <w:rPr>
      <w:rFonts w:ascii="Arial" w:hAnsi="Arial"/>
      <w:b/>
      <w:sz w:val="24"/>
      <w:szCs w:val="24"/>
    </w:rPr>
  </w:style>
  <w:style w:type="paragraph" w:customStyle="1" w:styleId="222">
    <w:name w:val="xl51"/>
    <w:basedOn w:val="1"/>
    <w:uiPriority w:val="0"/>
    <w:pPr>
      <w:widowControl/>
      <w:pBdr>
        <w:top w:val="single" w:color="auto" w:sz="8"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Unicode MS" w:hAnsi="Arial Unicode MS"/>
      <w:b/>
      <w:bCs/>
      <w:kern w:val="0"/>
      <w:sz w:val="20"/>
    </w:rPr>
  </w:style>
  <w:style w:type="paragraph" w:customStyle="1" w:styleId="223">
    <w:name w:val="项目 1 Char Char"/>
    <w:basedOn w:val="1"/>
    <w:uiPriority w:val="0"/>
    <w:pPr>
      <w:tabs>
        <w:tab w:val="left" w:pos="907"/>
      </w:tabs>
      <w:adjustRightInd w:val="0"/>
      <w:snapToGrid w:val="0"/>
      <w:spacing w:afterLines="50"/>
      <w:ind w:left="902" w:hanging="420"/>
    </w:pPr>
    <w:rPr>
      <w:rFonts w:ascii="Tahoma" w:hAnsi="Tahoma"/>
      <w:sz w:val="24"/>
      <w:szCs w:val="24"/>
    </w:rPr>
  </w:style>
  <w:style w:type="paragraph" w:customStyle="1" w:styleId="224">
    <w:name w:val="序3"/>
    <w:basedOn w:val="1"/>
    <w:qFormat/>
    <w:uiPriority w:val="0"/>
    <w:pPr>
      <w:tabs>
        <w:tab w:val="left" w:pos="0"/>
        <w:tab w:val="left" w:pos="643"/>
      </w:tabs>
      <w:ind w:left="643" w:hanging="360"/>
    </w:pPr>
    <w:rPr>
      <w:rFonts w:eastAsia="楷体_GB2312"/>
      <w:b/>
      <w:bCs/>
      <w:sz w:val="32"/>
      <w:szCs w:val="24"/>
    </w:rPr>
  </w:style>
  <w:style w:type="paragraph" w:customStyle="1" w:styleId="225">
    <w:name w:val="编号列表"/>
    <w:basedOn w:val="1"/>
    <w:qFormat/>
    <w:uiPriority w:val="0"/>
    <w:pPr>
      <w:tabs>
        <w:tab w:val="left" w:pos="992"/>
      </w:tabs>
      <w:adjustRightInd w:val="0"/>
      <w:snapToGrid w:val="0"/>
      <w:spacing w:beforeLines="50" w:afterLines="50" w:line="360" w:lineRule="auto"/>
      <w:ind w:left="992" w:hanging="572"/>
    </w:pPr>
    <w:rPr>
      <w:rFonts w:ascii="Verdana" w:hAnsi="Verdana"/>
      <w:sz w:val="24"/>
      <w:szCs w:val="24"/>
    </w:rPr>
  </w:style>
  <w:style w:type="paragraph" w:customStyle="1" w:styleId="226">
    <w:name w:val="招标文件1.1"/>
    <w:uiPriority w:val="0"/>
    <w:pPr>
      <w:tabs>
        <w:tab w:val="left" w:pos="630"/>
      </w:tabs>
      <w:spacing w:before="120" w:after="120" w:line="480" w:lineRule="exact"/>
      <w:ind w:left="200"/>
      <w:outlineLvl w:val="2"/>
    </w:pPr>
    <w:rPr>
      <w:rFonts w:ascii="宋体" w:hAnsi="Times New Roman" w:eastAsia="宋体" w:cs="Times New Roman"/>
      <w:b/>
      <w:spacing w:val="10"/>
      <w:w w:val="95"/>
      <w:sz w:val="24"/>
      <w:lang w:val="en-US" w:eastAsia="zh-CN" w:bidi="ar-SA"/>
    </w:rPr>
  </w:style>
  <w:style w:type="paragraph" w:customStyle="1" w:styleId="227">
    <w:name w:val="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28">
    <w:name w:val="正文1"/>
    <w:basedOn w:val="1"/>
    <w:uiPriority w:val="0"/>
    <w:pPr>
      <w:widowControl/>
      <w:overflowPunct w:val="0"/>
      <w:autoSpaceDE w:val="0"/>
      <w:autoSpaceDN w:val="0"/>
      <w:adjustRightInd w:val="0"/>
      <w:spacing w:before="120" w:after="120" w:line="360" w:lineRule="auto"/>
      <w:ind w:firstLine="567"/>
      <w:textAlignment w:val="baseline"/>
    </w:pPr>
    <w:rPr>
      <w:rFonts w:ascii="Arial" w:hAnsi="Arial"/>
      <w:kern w:val="0"/>
      <w:sz w:val="24"/>
    </w:rPr>
  </w:style>
  <w:style w:type="paragraph" w:customStyle="1" w:styleId="229">
    <w:name w:val="批注框文本 Char Char"/>
    <w:basedOn w:val="1"/>
    <w:qFormat/>
    <w:uiPriority w:val="0"/>
    <w:rPr>
      <w:sz w:val="18"/>
    </w:rPr>
  </w:style>
  <w:style w:type="paragraph" w:customStyle="1" w:styleId="230">
    <w:name w:val="正文表标题"/>
    <w:next w:val="1"/>
    <w:qFormat/>
    <w:uiPriority w:val="0"/>
    <w:pPr>
      <w:numPr>
        <w:ilvl w:val="5"/>
        <w:numId w:val="1"/>
      </w:numPr>
      <w:tabs>
        <w:tab w:val="left" w:pos="360"/>
      </w:tabs>
      <w:jc w:val="center"/>
    </w:pPr>
    <w:rPr>
      <w:rFonts w:ascii="黑体" w:hAnsi="Times New Roman" w:eastAsia="黑体" w:cs="Times New Roman"/>
      <w:sz w:val="21"/>
      <w:lang w:val="en-US" w:eastAsia="zh-CN" w:bidi="ar-SA"/>
    </w:rPr>
  </w:style>
  <w:style w:type="paragraph" w:customStyle="1" w:styleId="23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0"/>
    </w:rPr>
  </w:style>
  <w:style w:type="paragraph" w:customStyle="1" w:styleId="232">
    <w:name w:val="xl69"/>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33">
    <w:name w:val="xl44"/>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kern w:val="0"/>
      <w:sz w:val="18"/>
      <w:szCs w:val="18"/>
    </w:rPr>
  </w:style>
  <w:style w:type="paragraph" w:customStyle="1" w:styleId="234">
    <w:name w:val="LJNNormal"/>
    <w:basedOn w:val="1"/>
    <w:qFormat/>
    <w:uiPriority w:val="0"/>
    <w:pPr>
      <w:widowControl/>
      <w:numPr>
        <w:ilvl w:val="0"/>
        <w:numId w:val="4"/>
      </w:numPr>
      <w:tabs>
        <w:tab w:val="left" w:pos="900"/>
        <w:tab w:val="clear" w:pos="360"/>
      </w:tabs>
      <w:spacing w:line="360" w:lineRule="auto"/>
      <w:jc w:val="left"/>
    </w:pPr>
    <w:rPr>
      <w:rFonts w:ascii="宋体" w:hAnsi="宋体"/>
      <w:color w:val="FF0000"/>
      <w:kern w:val="0"/>
      <w:szCs w:val="21"/>
      <w:lang w:val="en-GB"/>
    </w:rPr>
  </w:style>
  <w:style w:type="paragraph" w:customStyle="1" w:styleId="235">
    <w:name w:val="Char Char Char1"/>
    <w:basedOn w:val="1"/>
    <w:uiPriority w:val="0"/>
    <w:rPr>
      <w:rFonts w:ascii="Tahoma" w:hAnsi="Tahoma"/>
      <w:sz w:val="24"/>
    </w:rPr>
  </w:style>
  <w:style w:type="paragraph" w:customStyle="1" w:styleId="236">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37">
    <w:name w:val="Blockquote"/>
    <w:basedOn w:val="1"/>
    <w:qFormat/>
    <w:uiPriority w:val="0"/>
    <w:pPr>
      <w:autoSpaceDE w:val="0"/>
      <w:autoSpaceDN w:val="0"/>
      <w:adjustRightInd w:val="0"/>
      <w:spacing w:before="100" w:after="100"/>
      <w:ind w:left="360" w:right="360"/>
      <w:jc w:val="left"/>
    </w:pPr>
    <w:rPr>
      <w:kern w:val="0"/>
      <w:sz w:val="24"/>
    </w:rPr>
  </w:style>
  <w:style w:type="paragraph" w:styleId="238">
    <w:name w:val="List Paragraph"/>
    <w:basedOn w:val="1"/>
    <w:qFormat/>
    <w:uiPriority w:val="0"/>
    <w:pPr>
      <w:ind w:firstLine="420" w:firstLineChars="200"/>
    </w:pPr>
  </w:style>
  <w:style w:type="paragraph" w:customStyle="1" w:styleId="239">
    <w:name w:val="xl47"/>
    <w:basedOn w:val="1"/>
    <w:uiPriority w:val="0"/>
    <w:pPr>
      <w:widowControl/>
      <w:pBdr>
        <w:top w:val="single" w:color="auto" w:sz="4" w:space="0"/>
        <w:bottom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40">
    <w:name w:val="文档正文 Char Char Char Char Char"/>
    <w:basedOn w:val="1"/>
    <w:uiPriority w:val="0"/>
    <w:pPr>
      <w:adjustRightInd w:val="0"/>
      <w:spacing w:line="440" w:lineRule="exact"/>
      <w:ind w:left="100" w:leftChars="100" w:right="210" w:rightChars="100" w:firstLine="420"/>
      <w:textAlignment w:val="baseline"/>
    </w:pPr>
    <w:rPr>
      <w:rFonts w:ascii="Arial Narrow" w:hAnsi="Arial Narrow"/>
      <w:kern w:val="0"/>
      <w:sz w:val="24"/>
      <w:szCs w:val="24"/>
    </w:rPr>
  </w:style>
  <w:style w:type="paragraph" w:customStyle="1" w:styleId="241">
    <w:name w:val="小四 段落 宋体 Char"/>
    <w:basedOn w:val="1"/>
    <w:uiPriority w:val="0"/>
    <w:pPr>
      <w:spacing w:line="360" w:lineRule="auto"/>
      <w:ind w:right="-33" w:firstLine="480" w:firstLineChars="200"/>
      <w:jc w:val="left"/>
    </w:pPr>
    <w:rPr>
      <w:sz w:val="24"/>
      <w:szCs w:val="24"/>
    </w:rPr>
  </w:style>
  <w:style w:type="paragraph" w:customStyle="1" w:styleId="242">
    <w:name w:val="xl7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243">
    <w:name w:val="Char Char Char1 Char Char Char Char Char Char Char Char Char Char Char Char Char Char Char Char Char Char Char"/>
    <w:basedOn w:val="1"/>
    <w:uiPriority w:val="0"/>
    <w:rPr>
      <w:szCs w:val="24"/>
    </w:rPr>
  </w:style>
  <w:style w:type="paragraph" w:customStyle="1" w:styleId="244">
    <w:name w:val="xl54"/>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245">
    <w:name w:val="xl85"/>
    <w:basedOn w:val="1"/>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46">
    <w:name w:val="CN Title"/>
    <w:basedOn w:val="1"/>
    <w:uiPriority w:val="0"/>
    <w:pPr>
      <w:widowControl/>
      <w:tabs>
        <w:tab w:val="left" w:pos="720"/>
      </w:tabs>
      <w:spacing w:before="144" w:after="72"/>
      <w:ind w:left="720" w:hanging="360"/>
      <w:jc w:val="center"/>
    </w:pPr>
    <w:rPr>
      <w:b/>
      <w:bCs/>
      <w:kern w:val="0"/>
      <w:sz w:val="28"/>
      <w:szCs w:val="28"/>
    </w:rPr>
  </w:style>
  <w:style w:type="paragraph" w:customStyle="1" w:styleId="247">
    <w:name w:val="Char1"/>
    <w:basedOn w:val="1"/>
    <w:uiPriority w:val="0"/>
    <w:pPr>
      <w:widowControl/>
      <w:spacing w:after="160" w:line="240" w:lineRule="exact"/>
      <w:jc w:val="left"/>
    </w:pPr>
    <w:rPr>
      <w:rFonts w:ascii="Verdana" w:hAnsi="Verdana"/>
      <w:kern w:val="0"/>
      <w:sz w:val="20"/>
      <w:lang w:eastAsia="en-US"/>
    </w:rPr>
  </w:style>
  <w:style w:type="paragraph" w:customStyle="1" w:styleId="248">
    <w:name w:val="font9"/>
    <w:basedOn w:val="1"/>
    <w:uiPriority w:val="0"/>
    <w:pPr>
      <w:widowControl/>
      <w:spacing w:before="100" w:beforeAutospacing="1" w:after="100" w:afterAutospacing="1"/>
      <w:jc w:val="left"/>
    </w:pPr>
    <w:rPr>
      <w:rFonts w:hint="eastAsia" w:ascii="华文楷体" w:hAnsi="华文楷体" w:eastAsia="华文楷体"/>
      <w:b/>
      <w:bCs/>
      <w:kern w:val="0"/>
      <w:sz w:val="20"/>
    </w:rPr>
  </w:style>
  <w:style w:type="paragraph" w:customStyle="1" w:styleId="249">
    <w:name w:val="集电港招标文件二级标题"/>
    <w:basedOn w:val="3"/>
    <w:next w:val="1"/>
    <w:uiPriority w:val="0"/>
    <w:pPr>
      <w:widowControl/>
      <w:spacing w:before="60" w:after="60" w:line="240" w:lineRule="auto"/>
      <w:jc w:val="left"/>
    </w:pPr>
    <w:rPr>
      <w:bCs w:val="0"/>
      <w:kern w:val="0"/>
      <w:sz w:val="28"/>
      <w:szCs w:val="20"/>
    </w:rPr>
  </w:style>
  <w:style w:type="paragraph" w:customStyle="1" w:styleId="250">
    <w:name w:val="xl37"/>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51">
    <w:name w:val="Char Char21"/>
    <w:basedOn w:val="1"/>
    <w:qFormat/>
    <w:uiPriority w:val="0"/>
    <w:rPr>
      <w:rFonts w:ascii="Tahoma" w:hAnsi="Tahoma"/>
      <w:sz w:val="24"/>
    </w:rPr>
  </w:style>
  <w:style w:type="paragraph" w:customStyle="1" w:styleId="252">
    <w:name w:val="标题下列示"/>
    <w:basedOn w:val="253"/>
    <w:next w:val="161"/>
    <w:uiPriority w:val="0"/>
    <w:pPr>
      <w:tabs>
        <w:tab w:val="left" w:pos="420"/>
        <w:tab w:val="left" w:pos="1680"/>
      </w:tabs>
      <w:ind w:left="1680"/>
    </w:pPr>
  </w:style>
  <w:style w:type="paragraph" w:customStyle="1" w:styleId="253">
    <w:name w:val="标题下顺序"/>
    <w:basedOn w:val="1"/>
    <w:uiPriority w:val="0"/>
    <w:pPr>
      <w:tabs>
        <w:tab w:val="left" w:pos="420"/>
      </w:tabs>
      <w:spacing w:beforeLines="50" w:line="0" w:lineRule="atLeast"/>
      <w:ind w:left="420" w:hanging="420"/>
    </w:pPr>
    <w:rPr>
      <w:rFonts w:ascii="宋体" w:hAnsi="宋体"/>
      <w:sz w:val="28"/>
    </w:rPr>
  </w:style>
  <w:style w:type="paragraph" w:customStyle="1" w:styleId="254">
    <w:name w:val="小表格内容"/>
    <w:uiPriority w:val="0"/>
    <w:rPr>
      <w:rFonts w:ascii="Arial" w:hAnsi="Arial" w:eastAsia="仿宋_GB2312" w:cs="Times New Roman"/>
      <w:sz w:val="21"/>
      <w:lang w:val="en-US" w:eastAsia="zh-CN" w:bidi="ar-SA"/>
    </w:rPr>
  </w:style>
  <w:style w:type="paragraph" w:customStyle="1" w:styleId="255">
    <w:name w:val="Char1 Char Char Char Char Char Char"/>
    <w:basedOn w:val="1"/>
    <w:uiPriority w:val="0"/>
    <w:rPr>
      <w:rFonts w:ascii="Tahoma" w:hAnsi="Tahoma"/>
      <w:sz w:val="24"/>
    </w:rPr>
  </w:style>
  <w:style w:type="paragraph" w:customStyle="1" w:styleId="256">
    <w:name w:val="正文表格"/>
    <w:basedOn w:val="1"/>
    <w:qFormat/>
    <w:uiPriority w:val="0"/>
    <w:pPr>
      <w:ind w:left="10" w:leftChars="10" w:right="10" w:rightChars="10"/>
    </w:pPr>
    <w:rPr>
      <w:bCs/>
      <w:szCs w:val="24"/>
    </w:rPr>
  </w:style>
  <w:style w:type="paragraph" w:customStyle="1" w:styleId="257">
    <w:name w:val="xl75"/>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258">
    <w:name w:val="font0"/>
    <w:basedOn w:val="1"/>
    <w:uiPriority w:val="0"/>
    <w:pPr>
      <w:widowControl/>
      <w:spacing w:before="100" w:beforeAutospacing="1" w:after="100" w:afterAutospacing="1"/>
      <w:jc w:val="left"/>
    </w:pPr>
    <w:rPr>
      <w:rFonts w:ascii="Arial" w:hAnsi="Arial" w:eastAsia="Arial Unicode MS" w:cs="Arial"/>
      <w:kern w:val="0"/>
      <w:sz w:val="20"/>
    </w:rPr>
  </w:style>
  <w:style w:type="paragraph" w:customStyle="1" w:styleId="259">
    <w:name w:val="正文样式1"/>
    <w:basedOn w:val="1"/>
    <w:uiPriority w:val="0"/>
    <w:pPr>
      <w:spacing w:line="300" w:lineRule="auto"/>
      <w:ind w:firstLine="560" w:firstLineChars="200"/>
    </w:pPr>
    <w:rPr>
      <w:rFonts w:ascii="楷体_GB2312" w:eastAsia="楷体_GB2312"/>
      <w:kern w:val="0"/>
      <w:sz w:val="28"/>
      <w:szCs w:val="24"/>
    </w:rPr>
  </w:style>
  <w:style w:type="paragraph" w:customStyle="1" w:styleId="260">
    <w:name w:val="Char Char2 Char Char Char Char Char Char"/>
    <w:basedOn w:val="1"/>
    <w:uiPriority w:val="0"/>
    <w:pPr>
      <w:tabs>
        <w:tab w:val="left" w:pos="360"/>
      </w:tabs>
      <w:ind w:firstLine="420" w:firstLineChars="150"/>
    </w:pPr>
    <w:rPr>
      <w:rFonts w:ascii="Arial" w:hAnsi="Arial" w:cs="Arial"/>
      <w:sz w:val="20"/>
    </w:rPr>
  </w:style>
  <w:style w:type="paragraph" w:customStyle="1" w:styleId="261">
    <w:name w:val="Char Char Char Char Char Char1 Char Char Char Char Char Char"/>
    <w:basedOn w:val="1"/>
    <w:uiPriority w:val="0"/>
    <w:rPr>
      <w:rFonts w:ascii="Tahoma" w:hAnsi="Tahoma"/>
      <w:sz w:val="24"/>
    </w:rPr>
  </w:style>
  <w:style w:type="paragraph" w:customStyle="1" w:styleId="262">
    <w:name w:val="正文（首行缩进）"/>
    <w:basedOn w:val="1"/>
    <w:qFormat/>
    <w:uiPriority w:val="0"/>
    <w:pPr>
      <w:spacing w:line="360" w:lineRule="auto"/>
      <w:ind w:firstLine="420"/>
    </w:pPr>
    <w:rPr>
      <w:sz w:val="24"/>
    </w:rPr>
  </w:style>
  <w:style w:type="paragraph" w:customStyle="1" w:styleId="26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0"/>
    </w:rPr>
  </w:style>
  <w:style w:type="paragraph" w:customStyle="1" w:styleId="264">
    <w:name w:val="项目"/>
    <w:basedOn w:val="27"/>
    <w:uiPriority w:val="0"/>
    <w:pPr>
      <w:ind w:left="0" w:leftChars="0"/>
      <w:jc w:val="center"/>
    </w:pPr>
    <w:rPr>
      <w:rFonts w:ascii="楷体_GB2312" w:eastAsia="楷体_GB2312"/>
      <w:b/>
      <w:sz w:val="24"/>
    </w:rPr>
  </w:style>
  <w:style w:type="paragraph" w:customStyle="1" w:styleId="265">
    <w:name w:val="1册标题1"/>
    <w:basedOn w:val="1"/>
    <w:next w:val="1"/>
    <w:uiPriority w:val="0"/>
    <w:pPr>
      <w:spacing w:beforeLines="50" w:afterLines="50" w:line="300" w:lineRule="auto"/>
      <w:jc w:val="center"/>
      <w:outlineLvl w:val="0"/>
    </w:pPr>
    <w:rPr>
      <w:rFonts w:ascii="Arial" w:hAnsi="Arial" w:eastAsia="黑体"/>
      <w:b/>
      <w:bCs/>
      <w:sz w:val="48"/>
    </w:rPr>
  </w:style>
  <w:style w:type="paragraph" w:customStyle="1" w:styleId="266">
    <w:name w:val="Char11"/>
    <w:basedOn w:val="1"/>
    <w:qFormat/>
    <w:uiPriority w:val="0"/>
    <w:rPr>
      <w:rFonts w:ascii="仿宋_GB2312" w:eastAsia="仿宋_GB2312"/>
      <w:b/>
      <w:sz w:val="32"/>
      <w:szCs w:val="32"/>
    </w:rPr>
  </w:style>
  <w:style w:type="paragraph" w:customStyle="1" w:styleId="267">
    <w:name w:val="表格文字（大）"/>
    <w:basedOn w:val="1"/>
    <w:uiPriority w:val="0"/>
    <w:pPr>
      <w:spacing w:before="20" w:after="20"/>
    </w:pPr>
    <w:rPr>
      <w:rFonts w:ascii="Century Gothic" w:hAnsi="Century Gothic"/>
      <w:sz w:val="24"/>
    </w:rPr>
  </w:style>
  <w:style w:type="paragraph" w:customStyle="1" w:styleId="268">
    <w:name w:val="文档正文"/>
    <w:basedOn w:val="1"/>
    <w:uiPriority w:val="0"/>
    <w:pPr>
      <w:adjustRightInd w:val="0"/>
      <w:spacing w:line="312" w:lineRule="atLeast"/>
      <w:ind w:firstLine="567"/>
      <w:textAlignment w:val="baseline"/>
    </w:pPr>
    <w:rPr>
      <w:rFonts w:ascii="长城仿宋" w:eastAsia="长城仿宋"/>
      <w:kern w:val="0"/>
      <w:sz w:val="28"/>
    </w:rPr>
  </w:style>
  <w:style w:type="paragraph" w:customStyle="1" w:styleId="269">
    <w:name w:val="aria"/>
    <w:basedOn w:val="1"/>
    <w:uiPriority w:val="0"/>
    <w:pPr>
      <w:spacing w:line="360" w:lineRule="auto"/>
    </w:pPr>
    <w:rPr>
      <w:b/>
      <w:sz w:val="24"/>
      <w:szCs w:val="24"/>
    </w:rPr>
  </w:style>
  <w:style w:type="paragraph" w:customStyle="1" w:styleId="270">
    <w:name w:val="font11"/>
    <w:basedOn w:val="1"/>
    <w:uiPriority w:val="0"/>
    <w:pPr>
      <w:widowControl/>
      <w:spacing w:before="100" w:beforeAutospacing="1" w:after="100" w:afterAutospacing="1"/>
      <w:jc w:val="left"/>
    </w:pPr>
    <w:rPr>
      <w:rFonts w:hint="eastAsia" w:ascii="宋体" w:hAnsi="宋体" w:cs="Arial Unicode MS"/>
      <w:color w:val="FF0000"/>
      <w:kern w:val="0"/>
      <w:sz w:val="24"/>
      <w:szCs w:val="24"/>
    </w:rPr>
  </w:style>
  <w:style w:type="paragraph" w:customStyle="1" w:styleId="271">
    <w:name w:val="标题3"/>
    <w:basedOn w:val="4"/>
    <w:uiPriority w:val="0"/>
    <w:pPr>
      <w:keepLines w:val="0"/>
      <w:overflowPunct w:val="0"/>
      <w:adjustRightInd w:val="0"/>
      <w:spacing w:before="0" w:after="0" w:line="360" w:lineRule="auto"/>
      <w:ind w:left="839"/>
    </w:pPr>
    <w:rPr>
      <w:rFonts w:ascii="宋体" w:hAnsi="宋体"/>
      <w:bCs w:val="0"/>
      <w:color w:val="FF0000"/>
      <w:kern w:val="28"/>
      <w:sz w:val="24"/>
      <w:szCs w:val="20"/>
    </w:rPr>
  </w:style>
  <w:style w:type="paragraph" w:customStyle="1" w:styleId="272">
    <w:name w:val="招标文件1.1.1.1"/>
    <w:basedOn w:val="1"/>
    <w:uiPriority w:val="0"/>
    <w:pPr>
      <w:spacing w:before="120" w:after="120" w:line="480" w:lineRule="exact"/>
      <w:ind w:left="200"/>
      <w:jc w:val="left"/>
      <w:outlineLvl w:val="4"/>
    </w:pPr>
    <w:rPr>
      <w:rFonts w:ascii="宋体"/>
      <w:b/>
      <w:spacing w:val="10"/>
      <w:w w:val="95"/>
      <w:szCs w:val="24"/>
    </w:rPr>
  </w:style>
  <w:style w:type="paragraph" w:customStyle="1" w:styleId="273">
    <w:name w:val="格式３"/>
    <w:basedOn w:val="1"/>
    <w:uiPriority w:val="0"/>
    <w:pPr>
      <w:spacing w:line="420" w:lineRule="exact"/>
      <w:ind w:left="600" w:hanging="600" w:hangingChars="250"/>
    </w:pPr>
    <w:rPr>
      <w:rFonts w:ascii="宋体" w:hAnsi="宋体"/>
      <w:color w:val="000000"/>
      <w:sz w:val="24"/>
    </w:rPr>
  </w:style>
  <w:style w:type="paragraph" w:customStyle="1" w:styleId="274">
    <w:name w:val="文本框样式1"/>
    <w:basedOn w:val="1"/>
    <w:uiPriority w:val="0"/>
    <w:pPr>
      <w:adjustRightInd w:val="0"/>
      <w:snapToGrid w:val="0"/>
      <w:spacing w:before="60" w:line="180" w:lineRule="exact"/>
      <w:jc w:val="center"/>
    </w:pPr>
    <w:rPr>
      <w:szCs w:val="21"/>
    </w:rPr>
  </w:style>
  <w:style w:type="paragraph" w:customStyle="1" w:styleId="275">
    <w:name w:val="五级条标题"/>
    <w:basedOn w:val="1"/>
    <w:next w:val="1"/>
    <w:qFormat/>
    <w:uiPriority w:val="0"/>
    <w:pPr>
      <w:widowControl/>
      <w:numPr>
        <w:ilvl w:val="4"/>
        <w:numId w:val="1"/>
      </w:numPr>
      <w:tabs>
        <w:tab w:val="left" w:pos="2940"/>
      </w:tabs>
      <w:ind w:left="2940"/>
      <w:outlineLvl w:val="6"/>
    </w:pPr>
    <w:rPr>
      <w:rFonts w:ascii="黑体" w:eastAsia="黑体"/>
      <w:kern w:val="0"/>
    </w:rPr>
  </w:style>
  <w:style w:type="paragraph" w:customStyle="1" w:styleId="276">
    <w:name w:val="xl42"/>
    <w:basedOn w:val="1"/>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b/>
      <w:bCs/>
      <w:kern w:val="0"/>
      <w:sz w:val="20"/>
    </w:rPr>
  </w:style>
  <w:style w:type="paragraph" w:customStyle="1" w:styleId="277">
    <w:name w:val="图中文字"/>
    <w:basedOn w:val="1"/>
    <w:qFormat/>
    <w:uiPriority w:val="0"/>
    <w:pPr>
      <w:adjustRightInd w:val="0"/>
      <w:snapToGrid w:val="0"/>
      <w:spacing w:line="0" w:lineRule="atLeast"/>
      <w:jc w:val="center"/>
    </w:pPr>
  </w:style>
  <w:style w:type="paragraph" w:customStyle="1" w:styleId="278">
    <w:name w:val="TOC 标题1"/>
    <w:basedOn w:val="2"/>
    <w:next w:val="1"/>
    <w:qFormat/>
    <w:uiPriority w:val="0"/>
    <w:pPr>
      <w:widowControl/>
      <w:spacing w:before="480" w:after="0" w:line="276" w:lineRule="auto"/>
      <w:jc w:val="left"/>
      <w:outlineLvl w:val="9"/>
    </w:pPr>
    <w:rPr>
      <w:rFonts w:ascii="Cambria" w:hAnsi="Cambria"/>
      <w:bCs/>
      <w:color w:val="365F91"/>
      <w:kern w:val="0"/>
      <w:sz w:val="28"/>
      <w:szCs w:val="28"/>
    </w:rPr>
  </w:style>
  <w:style w:type="paragraph" w:customStyle="1" w:styleId="279">
    <w:name w:val="标题1"/>
    <w:basedOn w:val="1"/>
    <w:qFormat/>
    <w:uiPriority w:val="0"/>
    <w:pPr>
      <w:widowControl/>
      <w:jc w:val="left"/>
    </w:pPr>
    <w:rPr>
      <w:kern w:val="0"/>
      <w:sz w:val="30"/>
    </w:rPr>
  </w:style>
  <w:style w:type="paragraph" w:customStyle="1" w:styleId="280">
    <w:name w:val="Default Text"/>
    <w:basedOn w:val="1"/>
    <w:qFormat/>
    <w:uiPriority w:val="0"/>
    <w:pPr>
      <w:autoSpaceDE w:val="0"/>
      <w:autoSpaceDN w:val="0"/>
      <w:adjustRightInd w:val="0"/>
      <w:spacing w:after="100"/>
      <w:jc w:val="left"/>
    </w:pPr>
    <w:rPr>
      <w:rFonts w:ascii="Arial" w:hAnsi="Arial" w:cs="Arial"/>
      <w:kern w:val="0"/>
      <w:sz w:val="20"/>
    </w:rPr>
  </w:style>
  <w:style w:type="paragraph" w:customStyle="1" w:styleId="281">
    <w:name w:val="正文文字(ALT+W)"/>
    <w:basedOn w:val="1"/>
    <w:next w:val="16"/>
    <w:qFormat/>
    <w:uiPriority w:val="0"/>
    <w:pPr>
      <w:adjustRightInd w:val="0"/>
      <w:snapToGrid w:val="0"/>
      <w:spacing w:line="360" w:lineRule="auto"/>
      <w:ind w:firstLine="420"/>
    </w:pPr>
    <w:rPr>
      <w:sz w:val="24"/>
    </w:rPr>
  </w:style>
  <w:style w:type="paragraph" w:customStyle="1" w:styleId="282">
    <w:name w:val="xl87"/>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83">
    <w:name w:val="规范正文"/>
    <w:basedOn w:val="1"/>
    <w:qFormat/>
    <w:uiPriority w:val="0"/>
    <w:pPr>
      <w:numPr>
        <w:ilvl w:val="0"/>
        <w:numId w:val="5"/>
      </w:numPr>
      <w:adjustRightInd w:val="0"/>
      <w:spacing w:beforeLines="50" w:line="360" w:lineRule="auto"/>
      <w:textAlignment w:val="baseline"/>
    </w:pPr>
  </w:style>
  <w:style w:type="paragraph" w:customStyle="1" w:styleId="284">
    <w:name w:val="xl48"/>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85">
    <w:name w:val="xl24"/>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286">
    <w:name w:val="格式4"/>
    <w:basedOn w:val="1"/>
    <w:qFormat/>
    <w:uiPriority w:val="0"/>
    <w:pPr>
      <w:numPr>
        <w:ilvl w:val="0"/>
        <w:numId w:val="6"/>
      </w:numPr>
      <w:tabs>
        <w:tab w:val="clear" w:pos="1320"/>
      </w:tabs>
      <w:spacing w:line="420" w:lineRule="exact"/>
      <w:ind w:left="990" w:leftChars="300" w:hanging="360" w:hangingChars="150"/>
    </w:pPr>
    <w:rPr>
      <w:rFonts w:ascii="宋体" w:hAnsi="宋体"/>
      <w:color w:val="000000"/>
      <w:sz w:val="24"/>
    </w:rPr>
  </w:style>
  <w:style w:type="paragraph" w:customStyle="1" w:styleId="287">
    <w:name w:val="font10"/>
    <w:basedOn w:val="1"/>
    <w:qFormat/>
    <w:uiPriority w:val="0"/>
    <w:pPr>
      <w:widowControl/>
      <w:spacing w:before="100" w:beforeAutospacing="1" w:after="100" w:afterAutospacing="1"/>
      <w:jc w:val="left"/>
    </w:pPr>
    <w:rPr>
      <w:kern w:val="0"/>
      <w:sz w:val="20"/>
    </w:rPr>
  </w:style>
  <w:style w:type="paragraph" w:customStyle="1" w:styleId="288">
    <w:name w:val="表格项目符号 2"/>
    <w:basedOn w:val="31"/>
    <w:qFormat/>
    <w:uiPriority w:val="0"/>
    <w:pPr>
      <w:keepLines w:val="0"/>
      <w:tabs>
        <w:tab w:val="left" w:pos="624"/>
        <w:tab w:val="left" w:pos="720"/>
        <w:tab w:val="clear" w:pos="780"/>
      </w:tabs>
      <w:snapToGrid w:val="0"/>
      <w:spacing w:afterLines="0" w:line="300" w:lineRule="auto"/>
      <w:ind w:left="623" w:hanging="374"/>
    </w:pPr>
    <w:rPr>
      <w:rFonts w:ascii="Times New Roman"/>
      <w:sz w:val="21"/>
      <w:szCs w:val="24"/>
    </w:rPr>
  </w:style>
  <w:style w:type="paragraph" w:customStyle="1" w:styleId="289">
    <w:name w:val="Char Char1 Char Char Char Char1 Char Char Char Char Char Char Char Char Char Char Char Char"/>
    <w:basedOn w:val="1"/>
    <w:qFormat/>
    <w:uiPriority w:val="0"/>
    <w:rPr>
      <w:rFonts w:ascii="Tahoma" w:hAnsi="Tahoma"/>
      <w:sz w:val="24"/>
    </w:rPr>
  </w:style>
  <w:style w:type="paragraph" w:customStyle="1" w:styleId="290">
    <w:name w:val="P4"/>
    <w:qFormat/>
    <w:uiPriority w:val="0"/>
    <w:pPr>
      <w:widowControl w:val="0"/>
      <w:adjustRightInd w:val="0"/>
      <w:spacing w:after="240" w:line="0" w:lineRule="atLeast"/>
      <w:ind w:left="2880"/>
      <w:jc w:val="both"/>
      <w:textAlignment w:val="baseline"/>
    </w:pPr>
    <w:rPr>
      <w:rFonts w:ascii="Times New Roman" w:hAnsi="Times New Roman" w:eastAsia="全真中明體" w:cs="Times New Roman"/>
      <w:spacing w:val="30"/>
      <w:sz w:val="24"/>
      <w:lang w:val="en-GB" w:eastAsia="zh-TW" w:bidi="ar-SA"/>
    </w:rPr>
  </w:style>
  <w:style w:type="paragraph" w:customStyle="1" w:styleId="291">
    <w:name w:val="style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292">
    <w:name w:val="默认段落字体 Para Char"/>
    <w:basedOn w:val="1"/>
    <w:qFormat/>
    <w:uiPriority w:val="0"/>
    <w:rPr>
      <w:rFonts w:ascii="Tahoma" w:hAnsi="Tahoma"/>
      <w:sz w:val="24"/>
    </w:rPr>
  </w:style>
  <w:style w:type="paragraph" w:customStyle="1" w:styleId="293">
    <w:name w:val="1"/>
    <w:basedOn w:val="1"/>
    <w:next w:val="16"/>
    <w:qFormat/>
    <w:uiPriority w:val="0"/>
    <w:pPr>
      <w:autoSpaceDE w:val="0"/>
      <w:autoSpaceDN w:val="0"/>
      <w:adjustRightInd w:val="0"/>
      <w:spacing w:line="312" w:lineRule="atLeast"/>
      <w:ind w:firstLine="420" w:firstLineChars="200"/>
      <w:jc w:val="left"/>
      <w:textAlignment w:val="baseline"/>
    </w:pPr>
    <w:rPr>
      <w:rFonts w:ascii="宋体" w:hAnsi="宋体"/>
      <w:kern w:val="0"/>
      <w:sz w:val="24"/>
    </w:rPr>
  </w:style>
  <w:style w:type="paragraph" w:customStyle="1" w:styleId="294">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95">
    <w:name w:val="图片"/>
    <w:basedOn w:val="1"/>
    <w:next w:val="296"/>
    <w:qFormat/>
    <w:uiPriority w:val="0"/>
    <w:pPr>
      <w:spacing w:beforeLines="50" w:afterLines="50"/>
      <w:jc w:val="center"/>
    </w:pPr>
    <w:rPr>
      <w:szCs w:val="24"/>
    </w:rPr>
  </w:style>
  <w:style w:type="paragraph" w:customStyle="1" w:styleId="296">
    <w:name w:val="图名"/>
    <w:basedOn w:val="1"/>
    <w:next w:val="16"/>
    <w:qFormat/>
    <w:uiPriority w:val="0"/>
    <w:pPr>
      <w:spacing w:line="360" w:lineRule="auto"/>
      <w:jc w:val="center"/>
    </w:pPr>
    <w:rPr>
      <w:rFonts w:ascii="Arial" w:hAnsi="Arial" w:eastAsia="黑体"/>
      <w:b/>
      <w:szCs w:val="24"/>
    </w:rPr>
  </w:style>
  <w:style w:type="paragraph" w:customStyle="1" w:styleId="297">
    <w:name w:val="Char Char Char1 Char"/>
    <w:basedOn w:val="1"/>
    <w:qFormat/>
    <w:uiPriority w:val="0"/>
    <w:rPr>
      <w:rFonts w:ascii="Tahoma" w:hAnsi="Tahoma"/>
      <w:sz w:val="24"/>
    </w:rPr>
  </w:style>
  <w:style w:type="paragraph" w:customStyle="1" w:styleId="298">
    <w:name w:val="分层标题"/>
    <w:basedOn w:val="1"/>
    <w:next w:val="16"/>
    <w:qFormat/>
    <w:uiPriority w:val="0"/>
    <w:pPr>
      <w:numPr>
        <w:ilvl w:val="2"/>
        <w:numId w:val="2"/>
      </w:numPr>
      <w:tabs>
        <w:tab w:val="left" w:pos="709"/>
        <w:tab w:val="clear" w:pos="1080"/>
      </w:tabs>
      <w:spacing w:before="120" w:after="120" w:line="360" w:lineRule="exact"/>
      <w:outlineLvl w:val="4"/>
    </w:pPr>
    <w:rPr>
      <w:b/>
      <w:sz w:val="24"/>
      <w:szCs w:val="24"/>
    </w:rPr>
  </w:style>
  <w:style w:type="paragraph" w:customStyle="1" w:styleId="299">
    <w:name w:val="test1"/>
    <w:basedOn w:val="1"/>
    <w:qFormat/>
    <w:uiPriority w:val="0"/>
    <w:pPr>
      <w:numPr>
        <w:ilvl w:val="0"/>
        <w:numId w:val="7"/>
      </w:numPr>
      <w:tabs>
        <w:tab w:val="left" w:pos="360"/>
        <w:tab w:val="clear" w:pos="480"/>
      </w:tabs>
      <w:overflowPunct w:val="0"/>
      <w:autoSpaceDE w:val="0"/>
      <w:autoSpaceDN w:val="0"/>
      <w:adjustRightInd w:val="0"/>
      <w:spacing w:before="120" w:line="288" w:lineRule="auto"/>
      <w:ind w:left="0" w:firstLine="0"/>
      <w:jc w:val="left"/>
      <w:textAlignment w:val="baseline"/>
    </w:pPr>
    <w:rPr>
      <w:rFonts w:ascii="宋体"/>
      <w:b/>
      <w:bCs/>
      <w:kern w:val="0"/>
      <w:szCs w:val="21"/>
    </w:rPr>
  </w:style>
  <w:style w:type="paragraph" w:customStyle="1" w:styleId="300">
    <w:name w:val="格式1"/>
    <w:basedOn w:val="1"/>
    <w:qFormat/>
    <w:uiPriority w:val="0"/>
    <w:pPr>
      <w:spacing w:beforeLines="50"/>
      <w:jc w:val="center"/>
    </w:pPr>
    <w:rPr>
      <w:rFonts w:ascii="黑体" w:hAnsi="宋体" w:eastAsia="黑体"/>
      <w:b/>
      <w:bCs/>
      <w:color w:val="000000"/>
      <w:sz w:val="32"/>
    </w:rPr>
  </w:style>
  <w:style w:type="paragraph" w:customStyle="1" w:styleId="301">
    <w:name w:val="*4. Head 1"/>
    <w:basedOn w:val="152"/>
    <w:next w:val="152"/>
    <w:qFormat/>
    <w:uiPriority w:val="0"/>
    <w:pPr>
      <w:spacing w:before="180" w:after="60"/>
    </w:pPr>
    <w:rPr>
      <w:rFonts w:ascii="Arial" w:hAnsi="Arial"/>
      <w:color w:val="auto"/>
    </w:rPr>
  </w:style>
  <w:style w:type="paragraph" w:customStyle="1" w:styleId="302">
    <w:name w:val="P3"/>
    <w:qFormat/>
    <w:uiPriority w:val="0"/>
    <w:pPr>
      <w:widowControl w:val="0"/>
      <w:adjustRightInd w:val="0"/>
      <w:spacing w:after="240" w:line="0" w:lineRule="atLeast"/>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303">
    <w:name w:val="xl71"/>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szCs w:val="22"/>
    </w:rPr>
  </w:style>
  <w:style w:type="paragraph" w:customStyle="1" w:styleId="304">
    <w:name w:val="prop1"/>
    <w:basedOn w:val="5"/>
    <w:qFormat/>
    <w:uiPriority w:val="0"/>
    <w:pPr>
      <w:tabs>
        <w:tab w:val="left" w:pos="540"/>
      </w:tabs>
      <w:adjustRightInd/>
      <w:spacing w:line="360" w:lineRule="auto"/>
      <w:ind w:left="540" w:hanging="540"/>
      <w:textAlignment w:val="auto"/>
    </w:pPr>
  </w:style>
  <w:style w:type="paragraph" w:customStyle="1" w:styleId="305">
    <w:name w:val="xl4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306">
    <w:name w:val="Char Char Char Char Char Char1 Char Char Char Char Char Char1"/>
    <w:basedOn w:val="1"/>
    <w:qFormat/>
    <w:uiPriority w:val="0"/>
    <w:rPr>
      <w:rFonts w:ascii="Tahoma" w:hAnsi="Tahoma"/>
      <w:sz w:val="24"/>
    </w:rPr>
  </w:style>
  <w:style w:type="paragraph" w:customStyle="1" w:styleId="307">
    <w:name w:val="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08">
    <w:name w:val="Char Char1 Char Char Char Char Char"/>
    <w:basedOn w:val="1"/>
    <w:qFormat/>
    <w:uiPriority w:val="0"/>
    <w:rPr>
      <w:rFonts w:ascii="Tahoma" w:hAnsi="Tahoma"/>
      <w:sz w:val="24"/>
    </w:rPr>
  </w:style>
  <w:style w:type="paragraph" w:customStyle="1" w:styleId="309">
    <w:name w:val="表格首行"/>
    <w:basedOn w:val="1"/>
    <w:qFormat/>
    <w:uiPriority w:val="0"/>
    <w:pPr>
      <w:jc w:val="center"/>
    </w:pPr>
    <w:rPr>
      <w:rFonts w:ascii="宋体" w:hAnsi="宋体"/>
      <w:szCs w:val="24"/>
    </w:rPr>
  </w:style>
  <w:style w:type="paragraph" w:customStyle="1" w:styleId="310">
    <w:name w:val="正文带点"/>
    <w:basedOn w:val="1"/>
    <w:qFormat/>
    <w:uiPriority w:val="0"/>
    <w:pPr>
      <w:tabs>
        <w:tab w:val="left" w:pos="927"/>
      </w:tabs>
      <w:spacing w:line="360" w:lineRule="auto"/>
      <w:ind w:left="567"/>
      <w:jc w:val="left"/>
    </w:pPr>
    <w:rPr>
      <w:rFonts w:ascii="楷体_GB2312" w:eastAsia="楷体_GB2312"/>
      <w:bCs/>
      <w:sz w:val="28"/>
      <w:szCs w:val="24"/>
    </w:rPr>
  </w:style>
  <w:style w:type="paragraph" w:customStyle="1" w:styleId="311">
    <w:name w:val="黑列表"/>
    <w:basedOn w:val="1"/>
    <w:qFormat/>
    <w:uiPriority w:val="0"/>
    <w:pPr>
      <w:widowControl/>
      <w:tabs>
        <w:tab w:val="left" w:pos="420"/>
      </w:tabs>
      <w:adjustRightInd w:val="0"/>
      <w:spacing w:line="300" w:lineRule="auto"/>
      <w:ind w:left="300" w:leftChars="200" w:hanging="100" w:hangingChars="100"/>
      <w:jc w:val="left"/>
    </w:pPr>
    <w:rPr>
      <w:bCs/>
      <w:kern w:val="0"/>
      <w:sz w:val="24"/>
    </w:rPr>
  </w:style>
  <w:style w:type="paragraph" w:customStyle="1" w:styleId="312">
    <w:name w:val="表格"/>
    <w:basedOn w:val="1"/>
    <w:qFormat/>
    <w:uiPriority w:val="0"/>
    <w:pPr>
      <w:jc w:val="left"/>
    </w:pPr>
    <w:rPr>
      <w:bCs/>
      <w:color w:val="000000"/>
      <w:szCs w:val="21"/>
    </w:rPr>
  </w:style>
  <w:style w:type="paragraph" w:customStyle="1" w:styleId="313">
    <w:name w:val="注释"/>
    <w:basedOn w:val="1"/>
    <w:qFormat/>
    <w:uiPriority w:val="0"/>
    <w:pPr>
      <w:shd w:val="clear" w:color="auto" w:fill="E0E0E0"/>
      <w:spacing w:beforeLines="50" w:afterLines="50"/>
    </w:pPr>
    <w:rPr>
      <w:rFonts w:ascii="Arial" w:hAnsi="Arial" w:eastAsia="仿宋_GB2312"/>
      <w:szCs w:val="24"/>
    </w:rPr>
  </w:style>
  <w:style w:type="paragraph" w:customStyle="1" w:styleId="314">
    <w:name w:val="注释文字"/>
    <w:basedOn w:val="1"/>
    <w:qFormat/>
    <w:uiPriority w:val="0"/>
    <w:pPr>
      <w:tabs>
        <w:tab w:val="left" w:pos="620"/>
        <w:tab w:val="left" w:pos="720"/>
      </w:tabs>
      <w:ind w:left="620" w:hanging="420"/>
      <w:jc w:val="left"/>
    </w:pPr>
    <w:rPr>
      <w:color w:val="008080"/>
      <w:sz w:val="24"/>
      <w:szCs w:val="24"/>
      <w:u w:val="words"/>
    </w:rPr>
  </w:style>
  <w:style w:type="paragraph" w:customStyle="1" w:styleId="315">
    <w:name w:val="样式 样式 正文 小四 行距: 1.5 倍行距 + 首行缩进:  2 字符 + 蓝色"/>
    <w:basedOn w:val="1"/>
    <w:qFormat/>
    <w:uiPriority w:val="0"/>
    <w:pPr>
      <w:spacing w:line="360" w:lineRule="auto"/>
      <w:ind w:firstLine="480" w:firstLineChars="200"/>
    </w:pPr>
    <w:rPr>
      <w:rFonts w:ascii="宋体" w:hAnsi="宋体" w:cs="宋体"/>
      <w:sz w:val="24"/>
      <w:szCs w:val="24"/>
    </w:rPr>
  </w:style>
  <w:style w:type="paragraph" w:customStyle="1" w:styleId="316">
    <w:name w:val="Char Char Char Char Char Char Char Char Char Char Char Char Char"/>
    <w:basedOn w:val="19"/>
    <w:qFormat/>
    <w:uiPriority w:val="0"/>
    <w:rPr>
      <w:rFonts w:ascii="Tahoma" w:hAnsi="Tahoma"/>
      <w:sz w:val="24"/>
      <w:szCs w:val="24"/>
    </w:rPr>
  </w:style>
  <w:style w:type="paragraph" w:customStyle="1" w:styleId="317">
    <w:name w:val="xl3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18">
    <w:name w:val="xl83"/>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19">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20">
    <w:name w:val="xl7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0"/>
    </w:rPr>
  </w:style>
  <w:style w:type="paragraph" w:customStyle="1" w:styleId="321">
    <w:name w:val="默认段落字体 Para Char Char Char Char"/>
    <w:basedOn w:val="1"/>
    <w:qFormat/>
    <w:uiPriority w:val="0"/>
    <w:rPr>
      <w:szCs w:val="24"/>
    </w:rPr>
  </w:style>
  <w:style w:type="paragraph" w:customStyle="1" w:styleId="322">
    <w:name w:val="xl45"/>
    <w:basedOn w:val="1"/>
    <w:qFormat/>
    <w:uiPriority w:val="0"/>
    <w:pPr>
      <w:widowControl/>
      <w:pBdr>
        <w:top w:val="single" w:color="auto" w:sz="4" w:space="0"/>
        <w:bottom w:val="single" w:color="auto" w:sz="4" w:space="0"/>
      </w:pBdr>
      <w:spacing w:before="100" w:beforeAutospacing="1" w:after="100" w:afterAutospacing="1"/>
      <w:jc w:val="left"/>
    </w:pPr>
    <w:rPr>
      <w:rFonts w:ascii="Arial" w:hAnsi="Arial" w:cs="Arial"/>
      <w:kern w:val="0"/>
      <w:sz w:val="20"/>
    </w:rPr>
  </w:style>
  <w:style w:type="paragraph" w:customStyle="1" w:styleId="323">
    <w:name w:val="招标文件1）"/>
    <w:qFormat/>
    <w:uiPriority w:val="0"/>
    <w:pPr>
      <w:spacing w:before="120" w:after="120" w:line="300" w:lineRule="auto"/>
      <w:outlineLvl w:val="5"/>
    </w:pPr>
    <w:rPr>
      <w:rFonts w:ascii="宋体" w:hAnsi="Times New Roman" w:eastAsia="宋体" w:cs="Times New Roman"/>
      <w:spacing w:val="10"/>
      <w:w w:val="95"/>
      <w:sz w:val="21"/>
      <w:lang w:val="en-US" w:eastAsia="zh-CN" w:bidi="ar-SA"/>
    </w:rPr>
  </w:style>
  <w:style w:type="paragraph" w:customStyle="1" w:styleId="324">
    <w:name w:val="空项目内容"/>
    <w:basedOn w:val="1"/>
    <w:qFormat/>
    <w:uiPriority w:val="0"/>
    <w:pPr>
      <w:tabs>
        <w:tab w:val="left" w:pos="720"/>
      </w:tabs>
      <w:spacing w:line="360" w:lineRule="auto"/>
      <w:ind w:left="720" w:hanging="720"/>
    </w:pPr>
    <w:rPr>
      <w:sz w:val="24"/>
      <w:szCs w:val="24"/>
    </w:rPr>
  </w:style>
  <w:style w:type="paragraph" w:customStyle="1" w:styleId="325">
    <w:name w:val="样式 标题 2 + Times New Roman 四号 非加粗 段前: 5 磅 段后: 0 磅 行距: 固定值 20..."/>
    <w:basedOn w:val="3"/>
    <w:qFormat/>
    <w:uiPriority w:val="0"/>
    <w:pPr>
      <w:spacing w:before="100" w:after="0" w:line="400" w:lineRule="exact"/>
    </w:pPr>
    <w:rPr>
      <w:rFonts w:ascii="Times New Roman" w:hAnsi="Times New Roman"/>
      <w:b w:val="0"/>
      <w:bCs w:val="0"/>
      <w:sz w:val="28"/>
      <w:szCs w:val="20"/>
    </w:rPr>
  </w:style>
  <w:style w:type="paragraph" w:customStyle="1" w:styleId="326">
    <w:name w:val="我的正文下级"/>
    <w:basedOn w:val="1"/>
    <w:qFormat/>
    <w:uiPriority w:val="0"/>
    <w:rPr>
      <w:rFonts w:hint="eastAsia" w:ascii="仿宋_GB2312" w:hAnsi="宋体" w:eastAsia="仿宋_GB2312"/>
      <w:kern w:val="0"/>
      <w:sz w:val="28"/>
      <w:szCs w:val="24"/>
    </w:rPr>
  </w:style>
  <w:style w:type="paragraph" w:customStyle="1" w:styleId="327">
    <w:name w:val="项目编号A"/>
    <w:basedOn w:val="1"/>
    <w:qFormat/>
    <w:uiPriority w:val="0"/>
    <w:pPr>
      <w:numPr>
        <w:ilvl w:val="0"/>
        <w:numId w:val="8"/>
      </w:numPr>
      <w:spacing w:line="360" w:lineRule="auto"/>
    </w:pPr>
    <w:rPr>
      <w:rFonts w:ascii="Arial" w:hAnsi="Arial"/>
      <w:sz w:val="24"/>
      <w:szCs w:val="24"/>
    </w:rPr>
  </w:style>
  <w:style w:type="paragraph" w:customStyle="1" w:styleId="328">
    <w:name w:val="修订1"/>
    <w:qFormat/>
    <w:uiPriority w:val="0"/>
    <w:rPr>
      <w:rFonts w:ascii="Times New Roman" w:hAnsi="Times New Roman" w:eastAsia="宋体" w:cs="Times New Roman"/>
      <w:kern w:val="2"/>
      <w:sz w:val="21"/>
      <w:lang w:val="en-US" w:eastAsia="zh-CN" w:bidi="ar-SA"/>
    </w:rPr>
  </w:style>
  <w:style w:type="paragraph" w:customStyle="1" w:styleId="329">
    <w:name w:val="xl41"/>
    <w:basedOn w:val="1"/>
    <w:qFormat/>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kern w:val="0"/>
      <w:sz w:val="20"/>
    </w:rPr>
  </w:style>
  <w:style w:type="paragraph" w:customStyle="1" w:styleId="330">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0"/>
    </w:rPr>
  </w:style>
  <w:style w:type="paragraph" w:customStyle="1" w:styleId="331">
    <w:name w:val="Char Char1 Char Char Char Char Char1"/>
    <w:basedOn w:val="1"/>
    <w:qFormat/>
    <w:uiPriority w:val="0"/>
    <w:rPr>
      <w:rFonts w:ascii="Tahoma" w:hAnsi="Tahoma"/>
      <w:sz w:val="24"/>
    </w:rPr>
  </w:style>
  <w:style w:type="paragraph" w:customStyle="1" w:styleId="332">
    <w:name w:val="xl7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rPr>
  </w:style>
  <w:style w:type="paragraph" w:customStyle="1" w:styleId="333">
    <w:name w:val="缺省文本"/>
    <w:basedOn w:val="1"/>
    <w:qFormat/>
    <w:uiPriority w:val="0"/>
    <w:pPr>
      <w:autoSpaceDE w:val="0"/>
      <w:autoSpaceDN w:val="0"/>
      <w:adjustRightInd w:val="0"/>
      <w:jc w:val="left"/>
    </w:pPr>
    <w:rPr>
      <w:kern w:val="0"/>
      <w:sz w:val="24"/>
    </w:rPr>
  </w:style>
  <w:style w:type="paragraph" w:customStyle="1" w:styleId="334">
    <w:name w:val="修订版本号"/>
    <w:qFormat/>
    <w:uiPriority w:val="0"/>
    <w:rPr>
      <w:rFonts w:ascii="Times New Roman" w:hAnsi="Times New Roman" w:eastAsia="宋体" w:cs="Times New Roman"/>
      <w:kern w:val="2"/>
      <w:sz w:val="21"/>
      <w:lang w:val="en-US" w:eastAsia="zh-CN" w:bidi="ar-SA"/>
    </w:rPr>
  </w:style>
  <w:style w:type="paragraph" w:customStyle="1" w:styleId="335">
    <w:name w:val="合同一级"/>
    <w:basedOn w:val="1"/>
    <w:next w:val="1"/>
    <w:qFormat/>
    <w:uiPriority w:val="0"/>
    <w:pPr>
      <w:spacing w:beforeLines="50" w:afterLines="50" w:line="360" w:lineRule="auto"/>
      <w:ind w:firstLine="482" w:firstLineChars="200"/>
      <w:jc w:val="left"/>
      <w:outlineLvl w:val="1"/>
    </w:pPr>
    <w:rPr>
      <w:rFonts w:ascii="宋体" w:hAnsi="宋体"/>
      <w:b/>
      <w:sz w:val="24"/>
    </w:rPr>
  </w:style>
  <w:style w:type="paragraph" w:customStyle="1" w:styleId="336">
    <w:name w:val="Char Char1 Char Char Char Char1 Char Char Char Char Char Char Char Char Char Char Char Char1"/>
    <w:basedOn w:val="1"/>
    <w:qFormat/>
    <w:uiPriority w:val="0"/>
    <w:rPr>
      <w:rFonts w:ascii="Tahoma" w:hAnsi="Tahoma"/>
      <w:sz w:val="24"/>
    </w:rPr>
  </w:style>
  <w:style w:type="paragraph" w:customStyle="1" w:styleId="337">
    <w:name w:val="正文3"/>
    <w:basedOn w:val="1"/>
    <w:qFormat/>
    <w:uiPriority w:val="0"/>
    <w:pPr>
      <w:tabs>
        <w:tab w:val="left" w:pos="1497"/>
      </w:tabs>
      <w:spacing w:beforeLines="50" w:line="460" w:lineRule="exact"/>
      <w:ind w:left="1225" w:hanging="624"/>
    </w:pPr>
    <w:rPr>
      <w:rFonts w:eastAsia="楷体_GB2312"/>
      <w:b/>
      <w:bCs/>
      <w:sz w:val="30"/>
      <w:szCs w:val="24"/>
    </w:rPr>
  </w:style>
  <w:style w:type="paragraph" w:customStyle="1" w:styleId="338">
    <w:name w:val="样式1"/>
    <w:basedOn w:val="241"/>
    <w:qFormat/>
    <w:uiPriority w:val="0"/>
    <w:pPr>
      <w:tabs>
        <w:tab w:val="left" w:pos="900"/>
      </w:tabs>
      <w:ind w:left="900" w:firstLine="0" w:firstLineChars="0"/>
    </w:pPr>
    <w:rPr>
      <w:snapToGrid w:val="0"/>
    </w:rPr>
  </w:style>
  <w:style w:type="paragraph" w:customStyle="1" w:styleId="339">
    <w:name w:val="楷体粗正文文字"/>
    <w:basedOn w:val="1"/>
    <w:next w:val="53"/>
    <w:qFormat/>
    <w:uiPriority w:val="0"/>
    <w:pPr>
      <w:snapToGrid w:val="0"/>
      <w:spacing w:line="480" w:lineRule="exact"/>
      <w:ind w:firstLine="560"/>
    </w:pPr>
    <w:rPr>
      <w:sz w:val="28"/>
    </w:rPr>
  </w:style>
  <w:style w:type="paragraph" w:customStyle="1" w:styleId="34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41">
    <w:name w:val="xl80"/>
    <w:basedOn w:val="1"/>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cs="宋体"/>
      <w:kern w:val="0"/>
      <w:sz w:val="20"/>
    </w:rPr>
  </w:style>
  <w:style w:type="paragraph" w:customStyle="1" w:styleId="342">
    <w:name w:val="xl73"/>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343">
    <w:name w:val="默认段落字体 Para Char Char Char Char Char Char Char"/>
    <w:basedOn w:val="1"/>
    <w:qFormat/>
    <w:uiPriority w:val="0"/>
    <w:rPr>
      <w:rFonts w:ascii="Tahoma" w:hAnsi="Tahoma"/>
      <w:sz w:val="24"/>
    </w:rPr>
  </w:style>
  <w:style w:type="paragraph" w:customStyle="1" w:styleId="344">
    <w:name w:val="日期11"/>
    <w:basedOn w:val="1"/>
    <w:next w:val="1"/>
    <w:uiPriority w:val="0"/>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345">
    <w:name w:val="P2"/>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30"/>
      <w:sz w:val="24"/>
      <w:lang w:val="en-GB" w:eastAsia="zh-TW" w:bidi="ar-SA"/>
    </w:rPr>
  </w:style>
  <w:style w:type="paragraph" w:customStyle="1" w:styleId="346">
    <w:name w:val="正文首行缩进两字符"/>
    <w:basedOn w:val="1"/>
    <w:uiPriority w:val="0"/>
    <w:pPr>
      <w:autoSpaceDE w:val="0"/>
      <w:autoSpaceDN w:val="0"/>
      <w:adjustRightInd w:val="0"/>
      <w:spacing w:line="360" w:lineRule="atLeast"/>
      <w:ind w:firstLine="200"/>
    </w:pPr>
    <w:rPr>
      <w:kern w:val="0"/>
      <w:szCs w:val="21"/>
    </w:rPr>
  </w:style>
  <w:style w:type="paragraph" w:customStyle="1" w:styleId="347">
    <w:name w:val="一级标题"/>
    <w:basedOn w:val="19"/>
    <w:uiPriority w:val="0"/>
    <w:pPr>
      <w:adjustRightInd w:val="0"/>
      <w:spacing w:line="360" w:lineRule="auto"/>
      <w:ind w:left="1985" w:hanging="709"/>
      <w:jc w:val="center"/>
      <w:outlineLvl w:val="3"/>
    </w:pPr>
    <w:rPr>
      <w:rFonts w:ascii="Tahoma" w:hAnsi="Tahoma"/>
      <w:sz w:val="24"/>
      <w:szCs w:val="24"/>
    </w:rPr>
  </w:style>
  <w:style w:type="paragraph" w:customStyle="1" w:styleId="3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b/>
      <w:bCs/>
      <w:kern w:val="0"/>
      <w:sz w:val="20"/>
    </w:rPr>
  </w:style>
  <w:style w:type="paragraph" w:customStyle="1" w:styleId="349">
    <w:name w:val="样式 四号 行距: 1.5 倍行距 首行缩进:  2 字符"/>
    <w:basedOn w:val="1"/>
    <w:uiPriority w:val="0"/>
    <w:pPr>
      <w:spacing w:line="360" w:lineRule="auto"/>
      <w:ind w:firstLine="560" w:firstLineChars="200"/>
    </w:pPr>
    <w:rPr>
      <w:sz w:val="24"/>
    </w:rPr>
  </w:style>
  <w:style w:type="paragraph" w:customStyle="1" w:styleId="350">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51">
    <w:name w:val="Normal Cenered"/>
    <w:basedOn w:val="1"/>
    <w:uiPriority w:val="0"/>
    <w:pPr>
      <w:widowControl/>
      <w:tabs>
        <w:tab w:val="left" w:pos="6660"/>
      </w:tabs>
      <w:spacing w:before="240" w:after="120" w:line="288" w:lineRule="auto"/>
      <w:jc w:val="center"/>
    </w:pPr>
    <w:rPr>
      <w:kern w:val="0"/>
      <w:szCs w:val="24"/>
    </w:rPr>
  </w:style>
  <w:style w:type="paragraph" w:customStyle="1" w:styleId="352">
    <w:name w:val="xl81"/>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53">
    <w:name w:val="小四 段落 宋体 Char Char Char"/>
    <w:basedOn w:val="15"/>
    <w:uiPriority w:val="0"/>
    <w:pPr>
      <w:tabs>
        <w:tab w:val="clear" w:pos="360"/>
      </w:tabs>
      <w:spacing w:line="360" w:lineRule="auto"/>
      <w:ind w:left="0" w:right="-33" w:firstLine="480" w:firstLineChars="200"/>
      <w:jc w:val="left"/>
    </w:pPr>
    <w:rPr>
      <w:sz w:val="24"/>
    </w:rPr>
  </w:style>
  <w:style w:type="paragraph" w:customStyle="1" w:styleId="354">
    <w:name w:val="xl70"/>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55">
    <w:name w:val="section list2"/>
    <w:basedOn w:val="1"/>
    <w:uiPriority w:val="0"/>
    <w:pPr>
      <w:widowControl/>
      <w:tabs>
        <w:tab w:val="left" w:pos="1680"/>
      </w:tabs>
      <w:autoSpaceDE w:val="0"/>
      <w:autoSpaceDN w:val="0"/>
      <w:spacing w:line="360" w:lineRule="auto"/>
      <w:ind w:left="1680" w:hanging="420"/>
      <w:jc w:val="left"/>
    </w:pPr>
    <w:rPr>
      <w:spacing w:val="20"/>
    </w:rPr>
  </w:style>
  <w:style w:type="paragraph" w:customStyle="1" w:styleId="356">
    <w:name w:val="黑正文"/>
    <w:basedOn w:val="1"/>
    <w:uiPriority w:val="0"/>
    <w:pPr>
      <w:widowControl/>
      <w:tabs>
        <w:tab w:val="left" w:pos="625"/>
      </w:tabs>
      <w:overflowPunct w:val="0"/>
      <w:adjustRightInd w:val="0"/>
      <w:spacing w:line="300" w:lineRule="auto"/>
      <w:ind w:left="625" w:hanging="425"/>
      <w:jc w:val="left"/>
    </w:pPr>
    <w:rPr>
      <w:b/>
      <w:kern w:val="0"/>
      <w:sz w:val="24"/>
    </w:rPr>
  </w:style>
  <w:style w:type="paragraph" w:customStyle="1" w:styleId="357">
    <w:name w:val="Comment"/>
    <w:basedOn w:val="1"/>
    <w:uiPriority w:val="0"/>
    <w:pPr>
      <w:widowControl/>
      <w:overflowPunct w:val="0"/>
      <w:autoSpaceDE w:val="0"/>
      <w:autoSpaceDN w:val="0"/>
      <w:adjustRightInd w:val="0"/>
      <w:spacing w:after="100"/>
      <w:jc w:val="left"/>
      <w:textAlignment w:val="baseline"/>
    </w:pPr>
    <w:rPr>
      <w:rFonts w:ascii="Arial" w:hAnsi="Arial" w:cs="Arial"/>
      <w:color w:val="0000FF"/>
      <w:kern w:val="0"/>
      <w:sz w:val="20"/>
    </w:rPr>
  </w:style>
  <w:style w:type="paragraph" w:customStyle="1" w:styleId="358">
    <w:name w:val="正文--表格内正文"/>
    <w:basedOn w:val="1"/>
    <w:uiPriority w:val="0"/>
    <w:pPr>
      <w:spacing w:line="360" w:lineRule="auto"/>
    </w:pPr>
    <w:rPr>
      <w:rFonts w:ascii="宋体" w:hAnsi="宋体"/>
      <w:b/>
      <w:szCs w:val="24"/>
    </w:rPr>
  </w:style>
  <w:style w:type="paragraph" w:customStyle="1" w:styleId="359">
    <w:name w:val="编号正文"/>
    <w:basedOn w:val="268"/>
    <w:uiPriority w:val="0"/>
    <w:pPr>
      <w:tabs>
        <w:tab w:val="left" w:pos="1407"/>
      </w:tabs>
      <w:spacing w:line="440" w:lineRule="exact"/>
      <w:ind w:left="1407" w:hanging="420"/>
      <w:jc w:val="left"/>
    </w:pPr>
    <w:rPr>
      <w:rFonts w:ascii="Arial Narrow" w:hAnsi="Arial Narrow" w:eastAsia="仿宋_GB2312"/>
      <w:sz w:val="24"/>
      <w:szCs w:val="24"/>
    </w:rPr>
  </w:style>
  <w:style w:type="paragraph" w:customStyle="1" w:styleId="360">
    <w:name w:val="P1"/>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361">
    <w:name w:val="xl79"/>
    <w:basedOn w:val="1"/>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kern w:val="0"/>
      <w:sz w:val="20"/>
    </w:rPr>
  </w:style>
  <w:style w:type="paragraph" w:customStyle="1" w:styleId="362">
    <w:name w:val="Centered"/>
    <w:basedOn w:val="1"/>
    <w:next w:val="26"/>
    <w:uiPriority w:val="0"/>
    <w:pPr>
      <w:widowControl/>
      <w:spacing w:after="240" w:line="240" w:lineRule="exact"/>
      <w:jc w:val="center"/>
    </w:pPr>
    <w:rPr>
      <w:kern w:val="0"/>
      <w:sz w:val="24"/>
      <w:szCs w:val="24"/>
      <w:lang w:val="en-GB"/>
    </w:rPr>
  </w:style>
  <w:style w:type="paragraph" w:customStyle="1" w:styleId="363">
    <w:name w:val="序2"/>
    <w:basedOn w:val="1"/>
    <w:uiPriority w:val="0"/>
    <w:pPr>
      <w:tabs>
        <w:tab w:val="left" w:pos="360"/>
        <w:tab w:val="left" w:pos="840"/>
      </w:tabs>
      <w:ind w:left="360" w:hanging="360"/>
    </w:pPr>
    <w:rPr>
      <w:rFonts w:eastAsia="黑体"/>
      <w:b/>
      <w:bCs/>
      <w:sz w:val="44"/>
      <w:szCs w:val="24"/>
    </w:rPr>
  </w:style>
  <w:style w:type="paragraph" w:customStyle="1" w:styleId="364">
    <w:name w:val="Bullet 1"/>
    <w:basedOn w:val="1"/>
    <w:uiPriority w:val="0"/>
    <w:pPr>
      <w:widowControl/>
      <w:tabs>
        <w:tab w:val="left" w:pos="420"/>
      </w:tabs>
      <w:autoSpaceDE w:val="0"/>
      <w:autoSpaceDN w:val="0"/>
      <w:spacing w:after="72"/>
      <w:ind w:left="420" w:hanging="420"/>
    </w:pPr>
    <w:rPr>
      <w:kern w:val="0"/>
      <w:sz w:val="24"/>
    </w:rPr>
  </w:style>
  <w:style w:type="paragraph" w:customStyle="1" w:styleId="365">
    <w:name w:val="xl2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Arial Unicode MS" w:hAnsi="Arial Unicode MS" w:eastAsia="Arial Unicode MS"/>
      <w:kern w:val="0"/>
      <w:sz w:val="24"/>
    </w:rPr>
  </w:style>
  <w:style w:type="paragraph" w:customStyle="1" w:styleId="366">
    <w:name w:val="Char2"/>
    <w:basedOn w:val="1"/>
    <w:uiPriority w:val="0"/>
    <w:pPr>
      <w:tabs>
        <w:tab w:val="left" w:pos="360"/>
      </w:tabs>
      <w:ind w:left="360" w:hanging="360" w:hangingChars="200"/>
    </w:pPr>
    <w:rPr>
      <w:sz w:val="24"/>
      <w:szCs w:val="24"/>
    </w:rPr>
  </w:style>
  <w:style w:type="paragraph" w:customStyle="1" w:styleId="367">
    <w:name w:val="项目2"/>
    <w:uiPriority w:val="0"/>
    <w:pPr>
      <w:tabs>
        <w:tab w:val="left" w:pos="425"/>
      </w:tabs>
      <w:spacing w:before="120" w:after="120" w:line="360" w:lineRule="auto"/>
      <w:ind w:left="425" w:hanging="425"/>
    </w:pPr>
    <w:rPr>
      <w:rFonts w:ascii="Times New Roman" w:hAnsi="Times New Roman" w:eastAsia="仿宋_GB2312" w:cs="Times New Roman"/>
      <w:sz w:val="24"/>
      <w:lang w:val="en-US" w:eastAsia="zh-CN" w:bidi="ar-SA"/>
    </w:rPr>
  </w:style>
  <w:style w:type="paragraph" w:customStyle="1" w:styleId="368">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369">
    <w:name w:val="标书正文格式"/>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370">
    <w:name w:val="flType"/>
    <w:basedOn w:val="1"/>
    <w:uiPriority w:val="0"/>
    <w:pPr>
      <w:adjustRightInd w:val="0"/>
      <w:spacing w:after="284" w:line="113" w:lineRule="atLeast"/>
      <w:jc w:val="center"/>
      <w:textAlignment w:val="baseline"/>
    </w:pPr>
    <w:rPr>
      <w:kern w:val="0"/>
      <w:sz w:val="24"/>
    </w:rPr>
  </w:style>
  <w:style w:type="paragraph" w:customStyle="1" w:styleId="371">
    <w:name w:val="xl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rPr>
  </w:style>
  <w:style w:type="paragraph" w:customStyle="1" w:styleId="372">
    <w:name w:val="标题2"/>
    <w:basedOn w:val="3"/>
    <w:uiPriority w:val="0"/>
    <w:pPr>
      <w:ind w:left="420" w:hanging="420"/>
    </w:pPr>
    <w:rPr>
      <w:rFonts w:ascii="宋体" w:hAnsi="宋体" w:eastAsia="宋体"/>
      <w:b w:val="0"/>
      <w:kern w:val="0"/>
      <w:sz w:val="24"/>
    </w:rPr>
  </w:style>
  <w:style w:type="paragraph" w:customStyle="1" w:styleId="373">
    <w:name w:val="文章标题"/>
    <w:basedOn w:val="1"/>
    <w:uiPriority w:val="0"/>
    <w:pPr>
      <w:spacing w:beforeLines="200" w:afterLines="200"/>
      <w:jc w:val="center"/>
    </w:pPr>
    <w:rPr>
      <w:b/>
      <w:sz w:val="44"/>
      <w:szCs w:val="24"/>
    </w:rPr>
  </w:style>
  <w:style w:type="paragraph" w:customStyle="1" w:styleId="374">
    <w:name w:val="xl53"/>
    <w:basedOn w:val="1"/>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75">
    <w:name w:val="xl29"/>
    <w:basedOn w:val="1"/>
    <w:uiPriority w:val="0"/>
    <w:pPr>
      <w:widowControl/>
      <w:pBdr>
        <w:top w:val="single" w:color="auto" w:sz="4" w:space="0"/>
        <w:bottom w:val="single" w:color="auto" w:sz="4" w:space="0"/>
      </w:pBdr>
      <w:spacing w:before="100" w:beforeAutospacing="1" w:after="100" w:afterAutospacing="1"/>
      <w:jc w:val="left"/>
    </w:pPr>
    <w:rPr>
      <w:rFonts w:hint="eastAsia" w:ascii="宋体" w:hAnsi="宋体" w:cs="Arial Unicode MS"/>
      <w:kern w:val="0"/>
      <w:sz w:val="24"/>
      <w:szCs w:val="24"/>
    </w:rPr>
  </w:style>
  <w:style w:type="paragraph" w:customStyle="1" w:styleId="376">
    <w:name w:val="樣式1"/>
    <w:basedOn w:val="1"/>
    <w:uiPriority w:val="0"/>
    <w:pPr>
      <w:snapToGrid w:val="0"/>
      <w:spacing w:line="360" w:lineRule="atLeast"/>
    </w:pPr>
    <w:rPr>
      <w:rFonts w:eastAsia="華康簡楷"/>
      <w:sz w:val="26"/>
      <w:lang w:eastAsia="zh-TW"/>
    </w:rPr>
  </w:style>
  <w:style w:type="paragraph" w:customStyle="1" w:styleId="377">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78">
    <w:name w:val="Char Char2 Char Char Char Char Char Char1"/>
    <w:basedOn w:val="1"/>
    <w:uiPriority w:val="0"/>
    <w:pPr>
      <w:tabs>
        <w:tab w:val="left" w:pos="360"/>
      </w:tabs>
      <w:ind w:firstLine="420" w:firstLineChars="150"/>
    </w:pPr>
    <w:rPr>
      <w:rFonts w:ascii="Arial" w:hAnsi="Arial" w:cs="Arial"/>
      <w:sz w:val="20"/>
    </w:rPr>
  </w:style>
  <w:style w:type="paragraph" w:customStyle="1" w:styleId="379">
    <w:name w:val="正文文字"/>
    <w:basedOn w:val="1"/>
    <w:uiPriority w:val="0"/>
    <w:pPr>
      <w:spacing w:line="360" w:lineRule="auto"/>
      <w:ind w:firstLine="420" w:firstLineChars="200"/>
    </w:pPr>
    <w:rPr>
      <w:rFonts w:ascii="宋体" w:cs="宋体"/>
    </w:rPr>
  </w:style>
  <w:style w:type="character" w:customStyle="1" w:styleId="380">
    <w:name w:val="ask-title2"/>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57</Pages>
  <Words>4990</Words>
  <Characters>28447</Characters>
  <Lines>237</Lines>
  <Paragraphs>66</Paragraphs>
  <TotalTime>22</TotalTime>
  <ScaleCrop>false</ScaleCrop>
  <LinksUpToDate>false</LinksUpToDate>
  <CharactersWithSpaces>33371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2019-01-18T02:37:00Z</dcterms:created>
  <dc:creator>SONY</dc:creator>
  <cp:lastModifiedBy>二郎神</cp:lastModifiedBy>
  <cp:lastPrinted>2018-09-06T00:32:00Z</cp:lastPrinted>
  <dcterms:modified xsi:type="dcterms:W3CDTF">2021-05-14T02:19:15Z</dcterms:modified>
  <dc:title>系统资源整合</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5FA726AF692E45A9BCB8150AA6A4B5B2</vt:lpwstr>
  </property>
</Properties>
</file>