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103505</wp:posOffset>
                </wp:positionV>
                <wp:extent cx="0" cy="10321290"/>
                <wp:effectExtent l="23495" t="0" r="27305" b="381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335" y="29845"/>
                          <a:ext cx="0" cy="10321290"/>
                        </a:xfrm>
                        <a:prstGeom prst="line">
                          <a:avLst/>
                        </a:prstGeom>
                        <a:noFill/>
                        <a:ln w="47625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4pt;margin-top:8.15pt;height:812.7pt;width:0pt;z-index:251660288;mso-width-relative:page;mso-height-relative:page;" filled="f" stroked="t" coordsize="21600,21600" o:gfxdata="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6W8FO1AAAAAsBAAAPAAAAAAAAAAEAIAAAACIAAABkcnMvZG93bnJldi54bWxQSwEC&#10;FAAUAAAACACHTuJAfXsfYvgBAADKAwAADgAAAAAAAAABACAAAAAjAQAAZHJzL2Uyb0RvYy54bWxQ&#10;SwUGAAAAAAYABgBZAQAAjQUAAAAA&#10;">
                <v:fill on="f" focussize="0,0"/>
                <v:stroke weight="3.75pt" color="#000000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w:t>绝对值编码器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MODBUS RTU+0-20mA双输出说明书（4.0版）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20955</wp:posOffset>
            </wp:positionV>
            <wp:extent cx="2449830" cy="1530985"/>
            <wp:effectExtent l="0" t="0" r="1270" b="5715"/>
            <wp:wrapNone/>
            <wp:docPr id="8" name="图片 32" descr="15610409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2" descr="1561040958(1)"/>
                    <pic:cNvPicPr>
                      <a:picLocks noChangeAspect="1"/>
                    </pic:cNvPicPr>
                  </pic:nvPicPr>
                  <pic:blipFill>
                    <a:blip r:embed="rId4">
                      <a:lum bright="25998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104775</wp:posOffset>
            </wp:positionV>
            <wp:extent cx="572135" cy="441960"/>
            <wp:effectExtent l="0" t="0" r="12065" b="2540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24"/>
        </w:rPr>
      </w:pPr>
    </w:p>
    <w:p>
      <w:pPr>
        <w:jc w:val="center"/>
        <w:rPr>
          <w:rFonts w:hint="eastAsia" w:eastAsia="黑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★</w:t>
      </w:r>
      <w:r>
        <w:rPr>
          <w:rFonts w:hint="eastAsia" w:eastAsia="黑体"/>
          <w:b/>
          <w:bCs/>
          <w:sz w:val="24"/>
        </w:rPr>
        <w:t>在使用编码器前，请完整阅读下面的说明，正确使用！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1F1F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748"/>
        <w:gridCol w:w="1382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  <w:gridSpan w:val="2"/>
            <w:shd w:val="clear" w:color="auto" w:fill="F1F1F1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机械参数</w:t>
            </w:r>
          </w:p>
        </w:tc>
        <w:tc>
          <w:tcPr>
            <w:tcW w:w="5612" w:type="dxa"/>
            <w:gridSpan w:val="2"/>
            <w:shd w:val="clear" w:color="auto" w:fill="F1F1F1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电气参数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D6DCE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最大转速</w:t>
            </w:r>
          </w:p>
        </w:tc>
        <w:tc>
          <w:tcPr>
            <w:tcW w:w="3748" w:type="dxa"/>
            <w:shd w:val="clear" w:color="auto" w:fill="F1F1F1"/>
            <w:noWrap w:val="0"/>
            <w:vAlign w:val="center"/>
          </w:tcPr>
          <w:p>
            <w:pPr>
              <w:tabs>
                <w:tab w:val="left" w:pos="1067"/>
              </w:tabs>
              <w:spacing w:line="260" w:lineRule="exac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000转/分</w:t>
            </w:r>
          </w:p>
        </w:tc>
        <w:tc>
          <w:tcPr>
            <w:tcW w:w="1382" w:type="dxa"/>
            <w:shd w:val="clear" w:color="auto" w:fill="DEEBF6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</w:rPr>
              <w:t>工作电压</w:t>
            </w:r>
          </w:p>
        </w:tc>
        <w:tc>
          <w:tcPr>
            <w:tcW w:w="4230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10-30Vdc (5Vdc可定制）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D6DCE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</w:rPr>
              <w:t>主轴负载</w:t>
            </w:r>
          </w:p>
        </w:tc>
        <w:tc>
          <w:tcPr>
            <w:tcW w:w="3748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</w:rPr>
              <w:t xml:space="preserve">轴向40N，径向100N </w:t>
            </w:r>
          </w:p>
        </w:tc>
        <w:tc>
          <w:tcPr>
            <w:tcW w:w="1382" w:type="dxa"/>
            <w:shd w:val="clear" w:color="auto" w:fill="DEEBF6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消耗电流</w:t>
            </w:r>
          </w:p>
        </w:tc>
        <w:tc>
          <w:tcPr>
            <w:tcW w:w="4230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&lt; 50mA (24Vdc)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空载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D6DCE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</w:rPr>
              <w:t>抗冲击</w:t>
            </w:r>
          </w:p>
        </w:tc>
        <w:tc>
          <w:tcPr>
            <w:tcW w:w="3748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</w:rPr>
              <w:t>1000m/s²(6ms),等于100g</w:t>
            </w:r>
          </w:p>
        </w:tc>
        <w:tc>
          <w:tcPr>
            <w:tcW w:w="1382" w:type="dxa"/>
            <w:shd w:val="clear" w:color="auto" w:fill="DEEBF6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输出信号</w:t>
            </w:r>
          </w:p>
        </w:tc>
        <w:tc>
          <w:tcPr>
            <w:tcW w:w="4230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MODBUS RTU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协议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 xml:space="preserve"> + 0-20mA双输出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D6DCE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</w:rPr>
              <w:t>抗振动</w:t>
            </w:r>
          </w:p>
        </w:tc>
        <w:tc>
          <w:tcPr>
            <w:tcW w:w="3748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</w:rPr>
              <w:t>00m/s²(10-2000Hz),等于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</w:rPr>
              <w:t>0g</w:t>
            </w:r>
          </w:p>
        </w:tc>
        <w:tc>
          <w:tcPr>
            <w:tcW w:w="1382" w:type="dxa"/>
            <w:shd w:val="clear" w:color="auto" w:fill="DEEBF6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线性分辨率</w:t>
            </w:r>
          </w:p>
        </w:tc>
        <w:tc>
          <w:tcPr>
            <w:tcW w:w="4230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1/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4096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D6DCE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</w:rPr>
              <w:t>允许轴向窜动</w:t>
            </w:r>
          </w:p>
        </w:tc>
        <w:tc>
          <w:tcPr>
            <w:tcW w:w="3748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</w:rPr>
              <w:t>±1.5mm</w:t>
            </w:r>
          </w:p>
        </w:tc>
        <w:tc>
          <w:tcPr>
            <w:tcW w:w="1382" w:type="dxa"/>
            <w:shd w:val="clear" w:color="auto" w:fill="DEEBF6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lang w:eastAsia="zh-CN"/>
              </w:rPr>
              <w:t>工作圈数</w:t>
            </w:r>
          </w:p>
        </w:tc>
        <w:tc>
          <w:tcPr>
            <w:tcW w:w="4230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4096圈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D6DCE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</w:rPr>
              <w:t>允许径向跳动</w:t>
            </w:r>
          </w:p>
        </w:tc>
        <w:tc>
          <w:tcPr>
            <w:tcW w:w="3748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</w:rPr>
              <w:t>±0.2mm</w:t>
            </w:r>
          </w:p>
        </w:tc>
        <w:tc>
          <w:tcPr>
            <w:tcW w:w="1382" w:type="dxa"/>
            <w:shd w:val="clear" w:color="auto" w:fill="DEEBF6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重复定位精度</w:t>
            </w:r>
          </w:p>
        </w:tc>
        <w:tc>
          <w:tcPr>
            <w:tcW w:w="4230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小于2Bit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D6DCE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</w:rPr>
              <w:t>外形结构</w:t>
            </w:r>
          </w:p>
        </w:tc>
        <w:tc>
          <w:tcPr>
            <w:tcW w:w="3748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</w:rPr>
              <w:t>mm外径，实心轴，盲孔轴</w:t>
            </w:r>
          </w:p>
        </w:tc>
        <w:tc>
          <w:tcPr>
            <w:tcW w:w="1382" w:type="dxa"/>
            <w:shd w:val="clear" w:color="auto" w:fill="DEEBF6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工作温度</w:t>
            </w:r>
          </w:p>
        </w:tc>
        <w:tc>
          <w:tcPr>
            <w:tcW w:w="4230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℃~8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D6DCE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</w:rPr>
              <w:t>连接形式</w:t>
            </w:r>
          </w:p>
        </w:tc>
        <w:tc>
          <w:tcPr>
            <w:tcW w:w="3748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</w:rPr>
              <w:t>芯屏蔽电缆或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航空插头</w:t>
            </w:r>
          </w:p>
        </w:tc>
        <w:tc>
          <w:tcPr>
            <w:tcW w:w="1382" w:type="dxa"/>
            <w:shd w:val="clear" w:color="auto" w:fill="DEEBF6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储存温度</w:t>
            </w:r>
          </w:p>
        </w:tc>
        <w:tc>
          <w:tcPr>
            <w:tcW w:w="4230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-40℃~8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℃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接线图：</w:t>
      </w:r>
    </w:p>
    <w:p>
      <w:pPr>
        <w:tabs>
          <w:tab w:val="left" w:pos="0"/>
        </w:tabs>
        <w:rPr>
          <w:rFonts w:hint="eastAsia"/>
          <w:sz w:val="18"/>
          <w:szCs w:val="18"/>
          <w:lang w:val="en-US" w:eastAsia="zh-CN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750" w:tblpY="20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BF1DE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673"/>
        <w:gridCol w:w="705"/>
        <w:gridCol w:w="1110"/>
        <w:gridCol w:w="1170"/>
        <w:gridCol w:w="1185"/>
        <w:gridCol w:w="1200"/>
        <w:gridCol w:w="1095"/>
        <w:gridCol w:w="1341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7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功能</w:t>
            </w:r>
          </w:p>
        </w:tc>
        <w:tc>
          <w:tcPr>
            <w:tcW w:w="673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cc</w:t>
            </w:r>
          </w:p>
        </w:tc>
        <w:tc>
          <w:tcPr>
            <w:tcW w:w="705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GND</w:t>
            </w:r>
          </w:p>
        </w:tc>
        <w:tc>
          <w:tcPr>
            <w:tcW w:w="1110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RTU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A</w:t>
            </w:r>
          </w:p>
        </w:tc>
        <w:tc>
          <w:tcPr>
            <w:tcW w:w="1170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RTU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185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0-20mA+</w:t>
            </w:r>
          </w:p>
        </w:tc>
        <w:tc>
          <w:tcPr>
            <w:tcW w:w="1200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0-20mA-</w:t>
            </w:r>
          </w:p>
        </w:tc>
        <w:tc>
          <w:tcPr>
            <w:tcW w:w="1095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置位</w:t>
            </w:r>
          </w:p>
        </w:tc>
        <w:tc>
          <w:tcPr>
            <w:tcW w:w="1341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设置允许</w:t>
            </w:r>
          </w:p>
        </w:tc>
        <w:tc>
          <w:tcPr>
            <w:tcW w:w="1312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屏蔽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7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颜色</w:t>
            </w:r>
          </w:p>
        </w:tc>
        <w:tc>
          <w:tcPr>
            <w:tcW w:w="673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棕色</w:t>
            </w:r>
          </w:p>
        </w:tc>
        <w:tc>
          <w:tcPr>
            <w:tcW w:w="705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白色</w:t>
            </w:r>
          </w:p>
        </w:tc>
        <w:tc>
          <w:tcPr>
            <w:tcW w:w="1110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绿色</w:t>
            </w:r>
          </w:p>
        </w:tc>
        <w:tc>
          <w:tcPr>
            <w:tcW w:w="1170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黄色</w:t>
            </w:r>
          </w:p>
        </w:tc>
        <w:tc>
          <w:tcPr>
            <w:tcW w:w="1185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粉红</w:t>
            </w:r>
          </w:p>
        </w:tc>
        <w:tc>
          <w:tcPr>
            <w:tcW w:w="1200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黑色</w:t>
            </w:r>
          </w:p>
        </w:tc>
        <w:tc>
          <w:tcPr>
            <w:tcW w:w="1095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灰色</w:t>
            </w:r>
          </w:p>
        </w:tc>
        <w:tc>
          <w:tcPr>
            <w:tcW w:w="1341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蓝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色</w:t>
            </w:r>
          </w:p>
        </w:tc>
        <w:tc>
          <w:tcPr>
            <w:tcW w:w="1312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网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（粗红色）</w:t>
            </w:r>
          </w:p>
        </w:tc>
      </w:tr>
    </w:tbl>
    <w:p>
      <w:pPr>
        <w:tabs>
          <w:tab w:val="left" w:pos="0"/>
        </w:tabs>
        <w:rPr>
          <w:rFonts w:hint="eastAsia"/>
          <w:sz w:val="18"/>
          <w:szCs w:val="18"/>
          <w:lang w:val="en-US" w:eastAsia="zh-CN"/>
        </w:rPr>
      </w:pPr>
    </w:p>
    <w:p>
      <w:pPr>
        <w:tabs>
          <w:tab w:val="left" w:pos="0"/>
        </w:tabs>
        <w:rPr>
          <w:rFonts w:hint="eastAsia"/>
          <w:b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注：1、</w:t>
      </w:r>
      <w:r>
        <w:rPr>
          <w:rFonts w:hint="eastAsia"/>
          <w:b/>
          <w:sz w:val="18"/>
          <w:szCs w:val="18"/>
          <w:lang w:val="en-US" w:eastAsia="zh-CN"/>
        </w:rPr>
        <w:t>设置</w:t>
      </w:r>
      <w:r>
        <w:rPr>
          <w:rFonts w:hint="eastAsia"/>
          <w:b/>
          <w:sz w:val="18"/>
          <w:szCs w:val="18"/>
        </w:rPr>
        <w:t>允许线（蓝色）的使用</w:t>
      </w:r>
    </w:p>
    <w:p>
      <w:pPr>
        <w:tabs>
          <w:tab w:val="left" w:pos="0"/>
        </w:tabs>
        <w:rPr>
          <w:rFonts w:hint="eastAsia"/>
          <w:b/>
          <w:sz w:val="18"/>
          <w:szCs w:val="18"/>
        </w:rPr>
      </w:pPr>
    </w:p>
    <w:p>
      <w:pPr>
        <w:tabs>
          <w:tab w:val="left" w:pos="0"/>
        </w:tabs>
        <w:ind w:firstLine="720" w:firstLineChars="4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设置模式时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rFonts w:hint="eastAsia"/>
          <w:sz w:val="18"/>
          <w:szCs w:val="18"/>
        </w:rPr>
        <w:t>编码器蓝色线与棕色线并在一起接正电源。此时，编码器的通讯速率固定为19200bps。</w:t>
      </w:r>
    </w:p>
    <w:p>
      <w:pPr>
        <w:tabs>
          <w:tab w:val="left" w:pos="0"/>
        </w:tabs>
        <w:ind w:firstLine="720" w:firstLineChars="4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非设置模式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rFonts w:hint="eastAsia"/>
          <w:sz w:val="18"/>
          <w:szCs w:val="18"/>
        </w:rPr>
        <w:t>即正常工作时，</w:t>
      </w:r>
      <w:r>
        <w:rPr>
          <w:rFonts w:hint="eastAsia"/>
          <w:sz w:val="18"/>
          <w:szCs w:val="18"/>
          <w:lang w:val="en-US" w:eastAsia="zh-CN"/>
        </w:rPr>
        <w:t>必须</w:t>
      </w:r>
      <w:r>
        <w:rPr>
          <w:rFonts w:hint="eastAsia"/>
          <w:sz w:val="18"/>
          <w:szCs w:val="18"/>
        </w:rPr>
        <w:t>将蓝色线与白色线并在一起接电源地线。</w:t>
      </w:r>
    </w:p>
    <w:p>
      <w:pPr>
        <w:tabs>
          <w:tab w:val="left" w:pos="0"/>
        </w:tabs>
        <w:ind w:firstLine="720" w:firstLineChars="400"/>
        <w:rPr>
          <w:rFonts w:hint="eastAsia"/>
          <w:sz w:val="18"/>
          <w:szCs w:val="18"/>
        </w:rPr>
      </w:pPr>
    </w:p>
    <w:p>
      <w:pPr>
        <w:numPr>
          <w:ilvl w:val="0"/>
          <w:numId w:val="1"/>
        </w:numPr>
        <w:tabs>
          <w:tab w:val="left" w:pos="0"/>
        </w:tabs>
        <w:ind w:firstLine="360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置位线（灰色）的使用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b/>
          <w:bCs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当置位线（灰色）触碰Vcc大于1秒钟，编码器的当前数据即变为置位值（编码器的置位值可任意设置）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宋体" w:hAnsi="宋体" w:eastAsia="宋体"/>
          <w:b/>
          <w:bCs/>
          <w:sz w:val="18"/>
          <w:szCs w:val="18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63500</wp:posOffset>
            </wp:positionV>
            <wp:extent cx="3029585" cy="1461135"/>
            <wp:effectExtent l="0" t="0" r="5715" b="12065"/>
            <wp:wrapNone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18"/>
          <w:szCs w:val="18"/>
          <w:lang w:val="en-US" w:eastAsia="zh-CN"/>
        </w:rPr>
        <w:t>示例（输出信号演变）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b w:val="0"/>
          <w:bCs w:val="0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b w:val="0"/>
          <w:bCs w:val="0"/>
          <w:sz w:val="18"/>
          <w:szCs w:val="1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机械尺寸图：</w:t>
      </w:r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sz w:val="18"/>
          <w:szCs w:val="18"/>
          <w:u w:val="singl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夹紧法兰  ( 电缆输出或插头输出可选 )                                                                              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</w:t>
      </w:r>
    </w:p>
    <w:p>
      <w:pPr>
        <w:ind w:firstLine="630" w:firstLineChars="300"/>
        <w:jc w:val="left"/>
        <w:rPr>
          <w:rFonts w:hint="default"/>
          <w:sz w:val="18"/>
          <w:szCs w:val="18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2229485</wp:posOffset>
            </wp:positionH>
            <wp:positionV relativeFrom="paragraph">
              <wp:posOffset>-843280</wp:posOffset>
            </wp:positionV>
            <wp:extent cx="1787525" cy="3544570"/>
            <wp:effectExtent l="0" t="0" r="11430" b="3175"/>
            <wp:wrapNone/>
            <wp:docPr id="5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787525" cy="35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15875</wp:posOffset>
                </wp:positionV>
                <wp:extent cx="6905625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8135" y="704215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4pt;margin-top:1.25pt;height:0pt;width:543.75pt;z-index:251663360;mso-width-relative:page;mso-height-relative:page;" filled="f" stroked="t" coordsize="21600,21600" o:gfxdata="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IaAbdcAAAAIAQAADwAAAAAAAAABACAAAAAiAAAAZHJzL2Rvd25yZXYu&#10;eG1sUEsBAhQAFAAAAAgAh07iQEZveuX8AQAAywMAAA4AAAAAAAAAAQAgAAAAJgEAAGRycy9lMm9E&#10;b2MueG1sUEsFBgAAAAAGAAYAWQEAAJQFAAAAAA=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40" w:firstLineChars="300"/>
        <w:jc w:val="left"/>
        <w:rPr>
          <w:rFonts w:hint="default"/>
          <w:sz w:val="18"/>
          <w:szCs w:val="18"/>
          <w:lang w:val="en-US" w:eastAsia="zh-CN"/>
        </w:rPr>
      </w:pPr>
    </w:p>
    <w:p>
      <w:pPr>
        <w:ind w:firstLine="540" w:firstLineChars="300"/>
        <w:jc w:val="left"/>
        <w:rPr>
          <w:rFonts w:hint="default"/>
          <w:sz w:val="18"/>
          <w:szCs w:val="18"/>
          <w:lang w:val="en-US" w:eastAsia="zh-CN"/>
        </w:rPr>
      </w:pPr>
    </w:p>
    <w:p>
      <w:pPr>
        <w:ind w:firstLine="540" w:firstLineChars="300"/>
        <w:jc w:val="left"/>
        <w:rPr>
          <w:rFonts w:hint="default"/>
          <w:sz w:val="18"/>
          <w:szCs w:val="18"/>
          <w:lang w:val="en-US" w:eastAsia="zh-CN"/>
        </w:rPr>
      </w:pPr>
    </w:p>
    <w:p>
      <w:pPr>
        <w:ind w:firstLine="540" w:firstLineChars="300"/>
        <w:jc w:val="left"/>
        <w:rPr>
          <w:rFonts w:hint="default"/>
          <w:sz w:val="18"/>
          <w:szCs w:val="18"/>
          <w:lang w:val="en-US" w:eastAsia="zh-CN"/>
        </w:rPr>
      </w:pPr>
    </w:p>
    <w:p>
      <w:pPr>
        <w:ind w:firstLine="540" w:firstLineChars="300"/>
        <w:jc w:val="left"/>
        <w:rPr>
          <w:rFonts w:hint="default"/>
          <w:sz w:val="18"/>
          <w:szCs w:val="18"/>
          <w:lang w:val="en-US" w:eastAsia="zh-CN"/>
        </w:rPr>
      </w:pPr>
    </w:p>
    <w:p>
      <w:pPr>
        <w:ind w:firstLine="540" w:firstLineChars="300"/>
        <w:jc w:val="left"/>
        <w:rPr>
          <w:rFonts w:hint="default"/>
          <w:sz w:val="18"/>
          <w:szCs w:val="18"/>
          <w:lang w:val="en-US" w:eastAsia="zh-CN"/>
        </w:rPr>
      </w:pPr>
    </w:p>
    <w:p>
      <w:pPr>
        <w:ind w:firstLine="540" w:firstLineChars="300"/>
        <w:jc w:val="left"/>
        <w:rPr>
          <w:rFonts w:hint="default"/>
          <w:sz w:val="18"/>
          <w:szCs w:val="18"/>
          <w:lang w:val="en-US" w:eastAsia="zh-CN"/>
        </w:rPr>
      </w:pPr>
    </w:p>
    <w:p>
      <w:pPr>
        <w:ind w:firstLine="540" w:firstLineChars="300"/>
        <w:jc w:val="left"/>
        <w:rPr>
          <w:rFonts w:hint="default"/>
          <w:sz w:val="18"/>
          <w:szCs w:val="18"/>
          <w:lang w:val="en-US" w:eastAsia="zh-CN"/>
        </w:rPr>
      </w:pPr>
    </w:p>
    <w:p>
      <w:pPr>
        <w:ind w:firstLine="3750" w:firstLineChars="2500"/>
        <w:jc w:val="left"/>
        <w:rPr>
          <w:rFonts w:hint="eastAsia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</w:p>
    <w:p>
      <w:pPr>
        <w:ind w:firstLine="3750" w:firstLineChars="2500"/>
        <w:jc w:val="left"/>
        <w:rPr>
          <w:rFonts w:hint="eastAsia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15"/>
          <w:szCs w:val="18"/>
          <w:highlight w:val="none"/>
          <w:lang w:val="en-US" w:eastAsia="zh-CN"/>
        </w:rPr>
        <w:t>38mm外径   6mm轴径可选   15mm轴长  径向出线可选</w:t>
      </w:r>
    </w:p>
    <w:p>
      <w:pPr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282575</wp:posOffset>
                </wp:positionV>
                <wp:extent cx="6905625" cy="0"/>
                <wp:effectExtent l="0" t="4445" r="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15pt;margin-top:22.25pt;height:0pt;width:543.75pt;z-index:251664384;mso-width-relative:page;mso-height-relative:page;" filled="f" stroked="t" coordsize="21600,21600" o:gfxdata="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skAVrZAAAACgEAAA8AAAAAAAAAAQAgAAAAIgAAAGRycy9kb3ducmV2LnhtbFBLAQIUABQA&#10;AAAIAIdO4kC3E4Bf7wEAAMEDAAAOAAAAAAAAAAEAIAAAACgBAABkcnMvZTJvRG9jLnhtbFBLBQYA&#10;AAAABgAGAFkBAACJBQAAAAA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同步法兰/伺服法兰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</w:t>
      </w:r>
      <w:r>
        <w:rPr>
          <w:rFonts w:hint="eastAsia"/>
          <w:sz w:val="18"/>
          <w:szCs w:val="18"/>
          <w:u w:val="none"/>
          <w:lang w:val="en-US" w:eastAsia="zh-CN"/>
        </w:rPr>
        <w:t>( 电缆输出或插头输出可选 )</w:t>
      </w: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2192655</wp:posOffset>
            </wp:positionH>
            <wp:positionV relativeFrom="paragraph">
              <wp:posOffset>-877570</wp:posOffset>
            </wp:positionV>
            <wp:extent cx="1861820" cy="3734435"/>
            <wp:effectExtent l="0" t="0" r="12065" b="5080"/>
            <wp:wrapNone/>
            <wp:docPr id="6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861820" cy="37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15"/>
          <w:szCs w:val="18"/>
          <w:highlight w:val="none"/>
          <w:lang w:val="en-US" w:eastAsia="zh-CN"/>
        </w:rPr>
        <w:t xml:space="preserve"> </w:t>
      </w:r>
    </w:p>
    <w:p>
      <w:pPr>
        <w:ind w:firstLine="3450" w:firstLineChars="2300"/>
        <w:jc w:val="left"/>
        <w:rPr>
          <w:rFonts w:hint="default"/>
          <w:sz w:val="18"/>
          <w:szCs w:val="18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15"/>
          <w:szCs w:val="18"/>
          <w:highlight w:val="none"/>
          <w:lang w:val="en-US" w:eastAsia="zh-CN"/>
        </w:rPr>
        <w:t>38mm外径    6mm轴径  10mm轴长    径向出线可选</w:t>
      </w:r>
    </w:p>
    <w:p>
      <w:pPr>
        <w:jc w:val="left"/>
        <w:rPr>
          <w:rFonts w:hint="eastAsia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盲孔型/半通孔法兰 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  <w:u w:val="none"/>
          <w:lang w:val="en-US" w:eastAsia="zh-CN"/>
        </w:rPr>
        <w:t>( 电缆输出或插头输出可选 )</w:t>
      </w: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63500</wp:posOffset>
                </wp:positionV>
                <wp:extent cx="6905625" cy="0"/>
                <wp:effectExtent l="0" t="4445" r="0" b="508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4pt;margin-top:5pt;height:0pt;width:543.75pt;z-index:251665408;mso-width-relative:page;mso-height-relative:page;" filled="f" stroked="t" coordsize="21600,21600" o:gfxdata="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EYdbdcAAAAKAQAADwAAAAAAAAABACAAAAAiAAAAZHJzL2Rvd25yZXYueG1sUEsBAhQAFAAA&#10;AAgAh07iQKGLLGPwAQAAwQMAAA4AAAAAAAAAAQAgAAAAJgEAAGRycy9lMm9Eb2MueG1sUEsFBgAA&#10;AAAGAAYAWQEAAIgFAAAAAA=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8"/>
          <w:szCs w:val="18"/>
          <w:u w:val="none"/>
          <w:lang w:val="en-US" w:eastAsia="zh-CN"/>
        </w:rPr>
        <w:t xml:space="preserve"> </w:t>
      </w: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99695</wp:posOffset>
            </wp:positionV>
            <wp:extent cx="5672455" cy="1941195"/>
            <wp:effectExtent l="0" t="0" r="4445" b="1905"/>
            <wp:wrapNone/>
            <wp:docPr id="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245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ind w:firstLine="3150" w:firstLineChars="2100"/>
        <w:jc w:val="left"/>
        <w:rPr>
          <w:rFonts w:hint="eastAsia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15"/>
          <w:szCs w:val="18"/>
          <w:highlight w:val="none"/>
          <w:lang w:val="en-US" w:eastAsia="zh-CN"/>
        </w:rPr>
        <w:t>38mm外径   6，8mm孔径可选     13mm孔深   轴向出线可选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sz w:val="24"/>
          <w:szCs w:val="24"/>
        </w:rPr>
      </w:pPr>
    </w:p>
    <w:p>
      <w:pPr>
        <w:jc w:val="left"/>
        <w:rPr>
          <w:rFonts w:hint="default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Modbus通讯协议说明:</w:t>
      </w:r>
    </w:p>
    <w:p>
      <w:pPr>
        <w:rPr>
          <w:rFonts w:hint="eastAsia" w:ascii="宋体" w:hAnsi="宋体" w:eastAsia="宋体" w:cs="宋体"/>
          <w:b/>
          <w:sz w:val="18"/>
          <w:szCs w:val="18"/>
        </w:rPr>
      </w:pPr>
      <w:r>
        <w:rPr>
          <w:rFonts w:hint="eastAsia" w:ascii="宋体" w:hAnsi="宋体" w:eastAsia="宋体" w:cs="宋体"/>
          <w:b/>
          <w:sz w:val="18"/>
          <w:szCs w:val="18"/>
        </w:rPr>
        <w:t>波特率：4800bps. 9600bps. 19200bps. 38400bps. 115200bps.</w:t>
      </w:r>
    </w:p>
    <w:p>
      <w:pPr>
        <w:rPr>
          <w:rFonts w:hint="default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sz w:val="18"/>
          <w:szCs w:val="18"/>
        </w:rPr>
        <w:t>帧格式：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数据位8位，停止位1位，偶校验，无控制流</w:t>
      </w:r>
      <w:r>
        <w:rPr>
          <w:rFonts w:hint="eastAsia" w:ascii="宋体" w:hAnsi="宋体" w:cs="宋体"/>
          <w:b/>
          <w:bCs/>
          <w:sz w:val="18"/>
          <w:szCs w:val="1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i/>
          <w:iCs/>
          <w:sz w:val="18"/>
          <w:szCs w:val="18"/>
          <w:lang w:val="en-US" w:eastAsia="zh-CN"/>
        </w:rPr>
        <w:t>(可定制无校验，订货说明）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1：</w:t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t>报文格式说明</w:t>
      </w:r>
    </w:p>
    <w:p>
      <w:pPr>
        <w:autoSpaceDE w:val="0"/>
        <w:autoSpaceDN w:val="0"/>
        <w:adjustRightInd w:val="0"/>
        <w:ind w:firstLine="360" w:firstLineChars="20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命令字03H：读取参数值</w: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-896620</wp:posOffset>
                </wp:positionV>
                <wp:extent cx="0" cy="10321290"/>
                <wp:effectExtent l="23495" t="0" r="27305" b="38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21290"/>
                        </a:xfrm>
                        <a:prstGeom prst="line">
                          <a:avLst/>
                        </a:prstGeom>
                        <a:noFill/>
                        <a:ln w="47625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4pt;margin-top:-70.6pt;height:812.7pt;width:0pt;z-index:251662336;mso-width-relative:page;mso-height-relative:page;" filled="f" stroked="t" coordsize="21600,21600" o:gfxdata="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Qgy&#10;CNUAAAANAQAADwAAAAAAAAABACAAAAAiAAAAZHJzL2Rvd25yZXYueG1sUEsBAhQAFAAAAAgAh07i&#10;QNrFxEbsAQAAwgMAAA4AAAAAAAAAAQAgAAAAJAEAAGRycy9lMm9Eb2MueG1sUEsFBgAAAAAGAAYA&#10;WQEAAIIFAAAAAA==&#10;">
                <v:fill on="f" focussize="0,0"/>
                <v:stroke weight="3.75pt" color="#000000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adjustRightInd w:val="0"/>
        <w:ind w:firstLine="1530" w:firstLineChars="850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主机请求：地址 命令字 参数地址 数据长度 校验码</w:t>
      </w:r>
    </w:p>
    <w:p>
      <w:pPr>
        <w:autoSpaceDE w:val="0"/>
        <w:autoSpaceDN w:val="0"/>
        <w:adjustRightInd w:val="0"/>
        <w:ind w:firstLine="1530" w:firstLineChars="850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从机响应：地址 命令字 字节长度 参数值   校验码</w:t>
      </w:r>
    </w:p>
    <w:p>
      <w:pPr>
        <w:autoSpaceDE w:val="0"/>
        <w:autoSpaceDN w:val="0"/>
        <w:adjustRightInd w:val="0"/>
        <w:ind w:firstLine="360" w:firstLineChars="20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命令字04H：读取测量值</w:t>
      </w:r>
    </w:p>
    <w:p>
      <w:pPr>
        <w:autoSpaceDE w:val="0"/>
        <w:autoSpaceDN w:val="0"/>
        <w:adjustRightInd w:val="0"/>
        <w:ind w:firstLine="1530" w:firstLineChars="850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主机请求：地址 命令字 数据地址 数据长度 校验码</w:t>
      </w:r>
    </w:p>
    <w:p>
      <w:pPr>
        <w:autoSpaceDE w:val="0"/>
        <w:autoSpaceDN w:val="0"/>
        <w:adjustRightInd w:val="0"/>
        <w:ind w:firstLine="1530" w:firstLineChars="850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从机响应：地址 命令字 字节长度 数据信息 校验码</w:t>
      </w:r>
    </w:p>
    <w:p>
      <w:pPr>
        <w:autoSpaceDE w:val="0"/>
        <w:autoSpaceDN w:val="0"/>
        <w:adjustRightInd w:val="0"/>
        <w:ind w:firstLine="360" w:firstLineChars="20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命令字10H：修改参数值</w:t>
      </w:r>
    </w:p>
    <w:p>
      <w:pPr>
        <w:autoSpaceDE w:val="0"/>
        <w:autoSpaceDN w:val="0"/>
        <w:adjustRightInd w:val="0"/>
        <w:ind w:firstLine="1620" w:firstLineChars="900"/>
        <w:jc w:val="both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主机请求：地址 命令字 参数地址 数据长度 字节长度 参数值 校验码</w:t>
      </w:r>
    </w:p>
    <w:p>
      <w:pPr>
        <w:autoSpaceDE w:val="0"/>
        <w:autoSpaceDN w:val="0"/>
        <w:adjustRightInd w:val="0"/>
        <w:ind w:firstLine="1620" w:firstLineChars="900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从机响应：地址 命令字 参数地址 数据长度 校验码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b/>
          <w:kern w:val="0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2：</w:t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t>主从机之间的通讯规约：</w:t>
      </w:r>
    </w:p>
    <w:p>
      <w:pPr>
        <w:autoSpaceDE w:val="0"/>
        <w:autoSpaceDN w:val="0"/>
        <w:adjustRightInd w:val="0"/>
        <w:ind w:firstLine="360" w:firstLineChars="20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主机发送的每一帧数据应包含如下信息（</w:t>
      </w:r>
      <w:r>
        <w:rPr>
          <w:rFonts w:hint="eastAsia" w:ascii="宋体" w:hAnsi="宋体" w:eastAsia="宋体" w:cs="宋体"/>
          <w:b/>
          <w:bCs/>
          <w:kern w:val="0"/>
          <w:sz w:val="18"/>
          <w:szCs w:val="18"/>
        </w:rPr>
        <w:t xml:space="preserve">16 </w:t>
      </w:r>
      <w:r>
        <w:rPr>
          <w:rFonts w:hint="eastAsia" w:ascii="宋体" w:hAnsi="宋体" w:eastAsia="宋体" w:cs="宋体"/>
          <w:kern w:val="0"/>
          <w:sz w:val="18"/>
          <w:szCs w:val="18"/>
        </w:rPr>
        <w:t>进制）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kern w:val="0"/>
          <w:sz w:val="18"/>
          <w:szCs w:val="18"/>
        </w:rPr>
        <w:t>从机地址   命令字   信息字   校验码</w:t>
      </w:r>
    </w:p>
    <w:p>
      <w:pPr>
        <w:autoSpaceDE w:val="0"/>
        <w:autoSpaceDN w:val="0"/>
        <w:adjustRightInd w:val="0"/>
        <w:ind w:left="2310" w:hanging="1980" w:hangingChars="110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从机地址（1 个字节）：从机设备号，主机利用从机地址来识别进行通讯的从机设备。表明由用户设置地址的从机将接收由主机发送来的信息。在一个Modbus网络中每个从机都必须有唯一的地址码，并且只有符合地址码的从机才能响应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命令字（1 个字节）： 主机发送的功能码，通知从机执行什么任务。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信息字（N 个字节）： 包括进行两机通讯中的各种数据地址、数据长度、数据信息。</w:t>
      </w:r>
    </w:p>
    <w:p>
      <w:pPr>
        <w:autoSpaceDE w:val="0"/>
        <w:autoSpaceDN w:val="0"/>
        <w:adjustRightInd w:val="0"/>
        <w:jc w:val="left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校验码（2 个字节）： 用于检测数据通讯错误，采用循环冗余CRC16校验。</w:t>
      </w:r>
    </w:p>
    <w:p>
      <w:pPr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例程 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     </w:t>
      </w:r>
    </w:p>
    <w:p>
      <w:pPr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读取测量数据指令：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           </w:t>
      </w:r>
      <w:r>
        <w:rPr>
          <w:rFonts w:hint="eastAsia" w:ascii="宋体" w:hAnsi="宋体" w:eastAsia="宋体" w:cs="宋体"/>
          <w:sz w:val="18"/>
          <w:szCs w:val="18"/>
        </w:rPr>
        <w:t>主机发送 01 04 00 01 00 02 20 0B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注：01为编码器通信地址，04H为命令字，00H 01H为数据地址，00H 02H为数据长度，20H 0BH为校验码。</w:t>
      </w: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     从机回：01H 04H 04H 00H 00H 01H 00H FAH 14H</w:t>
      </w:r>
    </w:p>
    <w:p>
      <w:pPr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注：01为编码器通信地址，04H为命令字，04H为数据长度，00H 00H 01H 00H为数据，FAH 14H为校验码。</w:t>
      </w:r>
    </w:p>
    <w:p>
      <w:pPr>
        <w:jc w:val="left"/>
        <w:rPr>
          <w:rFonts w:hint="eastAsia" w:ascii="宋体" w:hAnsi="宋体"/>
          <w:b/>
          <w:bCs/>
          <w:sz w:val="18"/>
          <w:szCs w:val="18"/>
          <w:highlight w:val="none"/>
          <w:lang w:val="en-US" w:eastAsia="zh-CN"/>
        </w:rPr>
      </w:pPr>
    </w:p>
    <w:p>
      <w:pPr>
        <w:jc w:val="left"/>
        <w:rPr>
          <w:rFonts w:hint="default" w:ascii="宋体" w:hAnsi="宋体"/>
          <w:b/>
          <w:bCs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18"/>
          <w:szCs w:val="18"/>
          <w:highlight w:val="none"/>
          <w:lang w:val="en-US" w:eastAsia="zh-CN"/>
        </w:rPr>
        <w:t>4-20mA对应值以及编码器modbus rtu参数设置请使用我公司专用ZHCOD软件及使用方法：请致电我公司索取(下图）</w:t>
      </w:r>
    </w:p>
    <w:p>
      <w:pPr>
        <w:jc w:val="left"/>
        <w:rPr>
          <w:rFonts w:hint="default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  <w:r>
        <w:rPr>
          <w:rFonts w:hint="default" w:ascii="宋体" w:hAnsi="宋体"/>
          <w:b w:val="0"/>
          <w:bCs w:val="0"/>
          <w:sz w:val="15"/>
          <w:szCs w:val="18"/>
          <w:highlight w:val="none"/>
          <w:lang w:val="en-US" w:eastAsia="zh-CN"/>
        </w:rPr>
        <w:drawing>
          <wp:inline distT="0" distB="0" distL="114300" distR="114300">
            <wp:extent cx="6617335" cy="4157980"/>
            <wp:effectExtent l="0" t="0" r="12065" b="7620"/>
            <wp:docPr id="9" name="图片 3" descr="a80de80c625a13d3833785a80ecf4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a80de80c625a13d3833785a80ecf49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7335" cy="415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软件使用说明：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测量模式：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循环工作：即数据超过最大测量值以后数据回0的循环模式。反之超过0也一样。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往复工作：即数据超过最大测量值以后数据保持不变。反之超过0也一样。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2、数据方向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顺时针为正转方向：面对编码器转轴顺时针旋转编码器数据增加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逆时针为正转方向：面对编码器转轴逆时针旋转编码器数据增加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3、设置主/被动模式：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主动模式即为广播式（RTU协议主动模式无效）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被动模式即为问答式 （必须设置成被动模式）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4、设置RTU信号工作时波特率：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设置范围：4800----115200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5、设置每圈分辨率：即为编码器转一圈编码器输出的数据</w:t>
      </w:r>
    </w:p>
    <w:p>
      <w:pPr>
        <w:numPr>
          <w:ilvl w:val="0"/>
          <w:numId w:val="0"/>
        </w:numPr>
        <w:ind w:leftChars="0"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1--4096以内任意设置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6、设置编码器RTU信号地址：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设置范围：0--99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7、设置置位值：</w:t>
      </w:r>
    </w:p>
    <w:p>
      <w:pPr>
        <w:numPr>
          <w:ilvl w:val="0"/>
          <w:numId w:val="3"/>
        </w:numPr>
        <w:ind w:left="21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当置位线（灰色）触碰电源正极大于1秒后，编码器的当前值即变为设置的置位值。</w:t>
      </w:r>
    </w:p>
    <w:p>
      <w:pPr>
        <w:numPr>
          <w:ilvl w:val="0"/>
          <w:numId w:val="3"/>
        </w:numPr>
        <w:ind w:left="21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当发送置位指令给编码器，编码器的当前值即变为设置的置位值。（例程2）</w:t>
      </w:r>
    </w:p>
    <w:p>
      <w:pPr>
        <w:numPr>
          <w:ilvl w:val="0"/>
          <w:numId w:val="4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设置最大测量值：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 w:val="0"/>
          <w:bCs w:val="0"/>
          <w:lang w:val="en-US" w:eastAsia="zh-CN"/>
        </w:rPr>
        <w:t>最大测量值范围是分辨率*圈数（具体值根据实际情况而定）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9、设置最小模拟量值：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 xml:space="preserve"> 必须小于最大测量值，一般设置为0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10、设最大模拟量值：</w:t>
      </w:r>
    </w:p>
    <w:p>
      <w:pPr>
        <w:jc w:val="left"/>
        <w:rPr>
          <w:rFonts w:hint="default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 xml:space="preserve"> 根据实际情况而定，但必须小于或等于最大测量值</w:t>
      </w:r>
    </w:p>
    <w:p>
      <w:pPr>
        <w:jc w:val="left"/>
        <w:rPr>
          <w:rFonts w:hint="default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读取当前参数：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即读取编码器在设置前的当前参数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保存当前参数：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即将当前使用要求修改的参数写入到编码器里。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导出当前参数：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即将保存的当前参数另存到电脑指定的地方存储起来。以便日后再次使用的时候直接导入存储参数即可。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导入存储参数：</w:t>
      </w:r>
    </w:p>
    <w:p>
      <w:pPr>
        <w:jc w:val="left"/>
        <w:rPr>
          <w:rFonts w:hint="default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即将之前导出的当前参数导入到软件中，即可使用。</w:t>
      </w:r>
    </w:p>
    <w:p>
      <w:pPr>
        <w:jc w:val="left"/>
        <w:rPr>
          <w:rFonts w:hint="default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</w:p>
    <w:p>
      <w:pPr>
        <w:jc w:val="left"/>
        <w:rPr>
          <w:rFonts w:hint="default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</w:p>
    <w:p>
      <w:pPr>
        <w:tabs>
          <w:tab w:val="left" w:pos="0"/>
        </w:tabs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MODBUS RTU</w:t>
      </w:r>
      <w:r>
        <w:rPr>
          <w:rFonts w:hint="eastAsia" w:ascii="宋体" w:hAnsi="宋体" w:eastAsia="宋体" w:cs="宋体"/>
          <w:b/>
          <w:sz w:val="21"/>
          <w:szCs w:val="21"/>
        </w:rPr>
        <w:t>通讯的注意事项：</w:t>
      </w:r>
    </w:p>
    <w:p>
      <w:pPr>
        <w:numPr>
          <w:ilvl w:val="0"/>
          <w:numId w:val="5"/>
        </w:numPr>
        <w:tabs>
          <w:tab w:val="left" w:pos="0"/>
          <w:tab w:val="clear" w:pos="360"/>
        </w:tabs>
        <w:ind w:left="0" w:firstLine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通讯速率与传输距离是一对矛盾。速率越高，传输距离越近、但也越稳定，反之亦然。</w:t>
      </w:r>
    </w:p>
    <w:p>
      <w:pPr>
        <w:numPr>
          <w:ilvl w:val="0"/>
          <w:numId w:val="5"/>
        </w:numPr>
        <w:tabs>
          <w:tab w:val="left" w:pos="0"/>
          <w:tab w:val="clear" w:pos="360"/>
        </w:tabs>
        <w:ind w:left="0" w:firstLine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在外部电磁干扰强时，外部置位线在对编码器置位需接高电平，但置位结束后建议强制接低电平，</w:t>
      </w:r>
    </w:p>
    <w:p>
      <w:pPr>
        <w:numPr>
          <w:ilvl w:val="0"/>
          <w:numId w:val="0"/>
        </w:numPr>
        <w:tabs>
          <w:tab w:val="left" w:pos="0"/>
        </w:tabs>
        <w:ind w:firstLine="360" w:firstLine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以防止编码器由于外部干扰而突然回零。</w:t>
      </w:r>
    </w:p>
    <w:p>
      <w:pPr>
        <w:numPr>
          <w:ilvl w:val="0"/>
          <w:numId w:val="5"/>
        </w:numPr>
        <w:tabs>
          <w:tab w:val="left" w:pos="0"/>
          <w:tab w:val="clear" w:pos="360"/>
        </w:tabs>
        <w:ind w:left="0" w:firstLine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在外部电磁干扰强时，</w:t>
      </w:r>
      <w:r>
        <w:rPr>
          <w:rFonts w:hint="eastAsia" w:ascii="宋体" w:hAnsi="宋体" w:cs="宋体"/>
          <w:sz w:val="18"/>
          <w:szCs w:val="18"/>
          <w:lang w:val="en-US" w:eastAsia="zh-CN"/>
        </w:rPr>
        <w:t>RTU</w:t>
      </w:r>
      <w:r>
        <w:rPr>
          <w:rFonts w:hint="eastAsia" w:ascii="宋体" w:hAnsi="宋体" w:eastAsia="宋体" w:cs="宋体"/>
          <w:sz w:val="18"/>
          <w:szCs w:val="18"/>
        </w:rPr>
        <w:t>接线最好使用双屏蔽电缆。</w:t>
      </w:r>
    </w:p>
    <w:p>
      <w:pPr>
        <w:numPr>
          <w:ilvl w:val="0"/>
          <w:numId w:val="5"/>
        </w:numPr>
        <w:tabs>
          <w:tab w:val="left" w:pos="0"/>
          <w:tab w:val="clear" w:pos="360"/>
        </w:tabs>
        <w:ind w:left="0" w:firstLine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多个编码器接上位机时，由于编码器返回数据没有奇偶校验，故建议在上位机编程时在时间上对各个编码器返回的数据进行区分。</w:t>
      </w:r>
    </w:p>
    <w:p>
      <w:pPr>
        <w:numPr>
          <w:ilvl w:val="0"/>
          <w:numId w:val="5"/>
        </w:numPr>
        <w:tabs>
          <w:tab w:val="left" w:pos="0"/>
          <w:tab w:val="clear" w:pos="360"/>
        </w:tabs>
        <w:ind w:left="0" w:firstLine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当系统中有电动机时，编码器电源需与其他电源隔离。</w:t>
      </w:r>
    </w:p>
    <w:p>
      <w:pPr>
        <w:ind w:firstLine="360" w:firstLine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由于</w:t>
      </w:r>
      <w:r>
        <w:rPr>
          <w:rFonts w:hint="eastAsia" w:ascii="宋体" w:hAnsi="宋体" w:cs="宋体"/>
          <w:sz w:val="18"/>
          <w:szCs w:val="18"/>
          <w:lang w:val="en-US" w:eastAsia="zh-CN"/>
        </w:rPr>
        <w:t>RTU</w:t>
      </w:r>
      <w:r>
        <w:rPr>
          <w:rFonts w:hint="eastAsia" w:ascii="宋体" w:hAnsi="宋体" w:eastAsia="宋体" w:cs="宋体"/>
          <w:sz w:val="18"/>
          <w:szCs w:val="18"/>
        </w:rPr>
        <w:t>电路是差分形式的，A＋，B－都是带电压的，常时间接地或接高电平都会造成</w:t>
      </w:r>
      <w:r>
        <w:rPr>
          <w:rFonts w:hint="eastAsia" w:ascii="宋体" w:hAnsi="宋体" w:cs="宋体"/>
          <w:sz w:val="18"/>
          <w:szCs w:val="18"/>
          <w:lang w:val="en-US" w:eastAsia="zh-CN"/>
        </w:rPr>
        <w:t>modus rtu</w:t>
      </w:r>
      <w:r>
        <w:rPr>
          <w:rFonts w:hint="eastAsia" w:ascii="宋体" w:hAnsi="宋体" w:eastAsia="宋体" w:cs="宋体"/>
          <w:sz w:val="18"/>
          <w:szCs w:val="18"/>
        </w:rPr>
        <w:t>电路损坏</w:t>
      </w: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                               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18"/>
          <w:szCs w:val="18"/>
        </w:rPr>
        <w:t xml:space="preserve">       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18"/>
          <w:szCs w:val="18"/>
        </w:rPr>
        <w:t xml:space="preserve"> 上海</w:t>
      </w:r>
      <w:r>
        <w:rPr>
          <w:rFonts w:hint="eastAsia" w:ascii="宋体" w:hAnsi="宋体" w:cs="宋体"/>
          <w:sz w:val="18"/>
          <w:szCs w:val="18"/>
          <w:lang w:val="en-US" w:eastAsia="zh-CN"/>
        </w:rPr>
        <w:t>锦思瑞</w:t>
      </w:r>
      <w:r>
        <w:rPr>
          <w:rFonts w:hint="eastAsia" w:ascii="宋体" w:hAnsi="宋体" w:eastAsia="宋体" w:cs="宋体"/>
          <w:sz w:val="18"/>
          <w:szCs w:val="18"/>
        </w:rPr>
        <w:t>自动化科技有限公司技术部</w:t>
      </w:r>
    </w:p>
    <w:p>
      <w:pPr>
        <w:jc w:val="left"/>
        <w:rPr>
          <w:rFonts w:hint="default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</w:p>
    <w:p/>
    <w:sectPr>
      <w:pgSz w:w="11906" w:h="16838"/>
      <w:pgMar w:top="79" w:right="669" w:bottom="646" w:left="66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C035B7"/>
    <w:multiLevelType w:val="singleLevel"/>
    <w:tmpl w:val="D0C035B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F7E53FBD"/>
    <w:multiLevelType w:val="singleLevel"/>
    <w:tmpl w:val="F7E53FB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C"/>
    <w:multiLevelType w:val="multilevel"/>
    <w:tmpl w:val="0000000C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5"/>
      <w:numFmt w:val="japaneseCounting"/>
      <w:lvlText w:val="%2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650F5F7"/>
    <w:multiLevelType w:val="singleLevel"/>
    <w:tmpl w:val="0650F5F7"/>
    <w:lvl w:ilvl="0" w:tentative="0">
      <w:start w:val="1"/>
      <w:numFmt w:val="decimal"/>
      <w:suff w:val="nothing"/>
      <w:lvlText w:val="%1、"/>
      <w:lvlJc w:val="left"/>
      <w:pPr>
        <w:ind w:left="210" w:firstLine="0"/>
      </w:pPr>
    </w:lvl>
  </w:abstractNum>
  <w:abstractNum w:abstractNumId="4">
    <w:nsid w:val="5F103A24"/>
    <w:multiLevelType w:val="singleLevel"/>
    <w:tmpl w:val="5F103A24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10E23E14"/>
    <w:rsid w:val="120359EF"/>
    <w:rsid w:val="123B5E77"/>
    <w:rsid w:val="16F55B8D"/>
    <w:rsid w:val="1C4677B9"/>
    <w:rsid w:val="2D0A645B"/>
    <w:rsid w:val="34C840B5"/>
    <w:rsid w:val="34EA4BCF"/>
    <w:rsid w:val="37480879"/>
    <w:rsid w:val="3A9765DF"/>
    <w:rsid w:val="3C7C48E8"/>
    <w:rsid w:val="44C12DFF"/>
    <w:rsid w:val="46863D90"/>
    <w:rsid w:val="486D1F75"/>
    <w:rsid w:val="4D7C3FD1"/>
    <w:rsid w:val="50693B32"/>
    <w:rsid w:val="50AA7B00"/>
    <w:rsid w:val="529608EB"/>
    <w:rsid w:val="5AAE4744"/>
    <w:rsid w:val="76DA4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1997</Words>
  <Characters>2355</Characters>
  <Lines>0</Lines>
  <Paragraphs>0</Paragraphs>
  <TotalTime>0</TotalTime>
  <ScaleCrop>false</ScaleCrop>
  <LinksUpToDate>false</LinksUpToDate>
  <CharactersWithSpaces>2729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oricod</dc:creator>
  <cp:lastModifiedBy>follow</cp:lastModifiedBy>
  <dcterms:modified xsi:type="dcterms:W3CDTF">2024-04-23T02:35:37Z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A2422790104E4DD888EA867BBA01FD0B_13</vt:lpwstr>
  </property>
</Properties>
</file>