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88" w:rsidRDefault="00750A88" w:rsidP="00750A88">
      <w:pPr>
        <w:jc w:val="center"/>
        <w:rPr>
          <w:rFonts w:asciiTheme="majorEastAsia" w:eastAsiaTheme="majorEastAsia" w:hAnsiTheme="majorEastAsia"/>
          <w:b/>
          <w:sz w:val="32"/>
          <w:szCs w:val="40"/>
        </w:rPr>
      </w:pPr>
      <w:r>
        <w:rPr>
          <w:rFonts w:asciiTheme="majorEastAsia" w:eastAsiaTheme="majorEastAsia" w:hAnsiTheme="majorEastAsia" w:cs="方正宋黑简体" w:hint="eastAsia"/>
          <w:b/>
          <w:bCs/>
          <w:sz w:val="44"/>
          <w:szCs w:val="52"/>
        </w:rPr>
        <w:t>安徽省中等职业学校</w:t>
      </w:r>
      <w:bookmarkStart w:id="0" w:name="_GoBack"/>
      <w:bookmarkEnd w:id="0"/>
      <w:r>
        <w:rPr>
          <w:rFonts w:asciiTheme="majorEastAsia" w:eastAsiaTheme="majorEastAsia" w:hAnsiTheme="majorEastAsia" w:cs="方正宋黑简体" w:hint="eastAsia"/>
          <w:b/>
          <w:bCs/>
          <w:sz w:val="44"/>
          <w:szCs w:val="52"/>
        </w:rPr>
        <w:t>优秀论文、优质课和优秀教学软件评选推荐表</w:t>
      </w:r>
    </w:p>
    <w:tbl>
      <w:tblPr>
        <w:tblStyle w:val="a3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7"/>
        <w:gridCol w:w="1718"/>
        <w:gridCol w:w="2087"/>
        <w:gridCol w:w="3598"/>
      </w:tblGrid>
      <w:tr w:rsidR="00750A88" w:rsidTr="00750A88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jc w:val="distribute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标题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《鸿门宴》</w:t>
            </w:r>
          </w:p>
        </w:tc>
      </w:tr>
      <w:tr w:rsidR="00750A88" w:rsidTr="00750A88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jc w:val="distribute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作者姓名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周红军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rPr>
                <w:rFonts w:eastAsiaTheme="minorEastAsia"/>
              </w:rPr>
            </w:pPr>
            <w:r>
              <w:t>18095690699</w:t>
            </w:r>
          </w:p>
        </w:tc>
      </w:tr>
      <w:tr w:rsidR="00750A88" w:rsidTr="00750A88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jc w:val="distribute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单位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88" w:rsidRDefault="00750A88">
            <w:pPr>
              <w:spacing w:line="480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砀山铁路中学</w:t>
            </w:r>
          </w:p>
        </w:tc>
      </w:tr>
      <w:tr w:rsidR="00750A88" w:rsidTr="00750A88">
        <w:trPr>
          <w:trHeight w:val="472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88" w:rsidRDefault="00750A8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内容介绍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88" w:rsidRDefault="00750A88">
            <w:pPr>
              <w:rPr>
                <w:rFonts w:eastAsiaTheme="minorEastAsia"/>
              </w:rPr>
            </w:pPr>
            <w:r>
              <w:t xml:space="preserve">  </w:t>
            </w:r>
          </w:p>
          <w:p w:rsidR="00750A88" w:rsidRDefault="00750A88">
            <w:pPr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《鸿门宴》是职高语文教学中的一篇重要文章，共安排四课时，在这篇文章教学时我一改传统教学尽量让学生动起来，给学生提供自渎研讨和历练的宽广平台，真正确立学生学习的主体地位，让学生成为课堂的主人。首先把文化常识和写作背景让学生结合注释了解一下，我再做补充。针对</w:t>
            </w:r>
            <w:proofErr w:type="gramStart"/>
            <w:r>
              <w:rPr>
                <w:rFonts w:ascii="宋体" w:eastAsia="宋体" w:hAnsi="宋体" w:cs="宋体" w:hint="eastAsia"/>
              </w:rPr>
              <w:t>本节课其教学</w:t>
            </w:r>
            <w:proofErr w:type="gramEnd"/>
            <w:r>
              <w:rPr>
                <w:rFonts w:ascii="宋体" w:eastAsia="宋体" w:hAnsi="宋体" w:cs="宋体" w:hint="eastAsia"/>
              </w:rPr>
              <w:t>重点是主要让学生积累文言实词和虚词的意思及用法同时附</w:t>
            </w:r>
            <w:proofErr w:type="gramStart"/>
            <w:r>
              <w:rPr>
                <w:rFonts w:ascii="宋体" w:eastAsia="宋体" w:hAnsi="宋体" w:cs="宋体" w:hint="eastAsia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</w:rPr>
              <w:t>当堂训练，让学生进行巩固，做到讲练结合，在课堂上完成教学内容。</w:t>
            </w:r>
          </w:p>
        </w:tc>
      </w:tr>
      <w:tr w:rsidR="00750A88" w:rsidTr="00750A88">
        <w:trPr>
          <w:trHeight w:val="229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88" w:rsidRDefault="00750A8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市专家评选组意见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88" w:rsidRDefault="00750A88">
            <w:pPr>
              <w:jc w:val="right"/>
              <w:rPr>
                <w:rFonts w:eastAsiaTheme="minorEastAsia"/>
              </w:rPr>
            </w:pPr>
          </w:p>
          <w:p w:rsidR="00750A88" w:rsidRDefault="00750A88">
            <w:pPr>
              <w:jc w:val="right"/>
            </w:pPr>
          </w:p>
          <w:p w:rsidR="00750A88" w:rsidRDefault="00750A88">
            <w:pPr>
              <w:jc w:val="right"/>
            </w:pPr>
          </w:p>
          <w:p w:rsidR="00750A88" w:rsidRDefault="00750A88">
            <w:pPr>
              <w:wordWrap w:val="0"/>
              <w:ind w:right="420"/>
              <w:jc w:val="center"/>
            </w:pPr>
            <w:r>
              <w:t xml:space="preserve">        </w:t>
            </w:r>
            <w:r>
              <w:rPr>
                <w:rFonts w:ascii="宋体" w:eastAsia="宋体" w:hAnsi="宋体" w:cs="宋体" w:hint="eastAsia"/>
              </w:rPr>
              <w:t>专家组组长签名</w:t>
            </w:r>
          </w:p>
          <w:p w:rsidR="00750A88" w:rsidRDefault="00750A88">
            <w:pPr>
              <w:wordWrap w:val="0"/>
              <w:ind w:right="630"/>
              <w:jc w:val="right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750A88" w:rsidTr="00750A88">
        <w:trPr>
          <w:trHeight w:val="268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88" w:rsidRDefault="00750A88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市教育局职教研究室推荐意见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88" w:rsidRDefault="00750A88">
            <w:pPr>
              <w:rPr>
                <w:rFonts w:eastAsiaTheme="minorEastAsia"/>
              </w:rPr>
            </w:pPr>
          </w:p>
          <w:p w:rsidR="00750A88" w:rsidRDefault="00750A88"/>
          <w:p w:rsidR="00750A88" w:rsidRDefault="00750A88"/>
          <w:p w:rsidR="00750A88" w:rsidRDefault="00750A88"/>
          <w:p w:rsidR="00750A88" w:rsidRDefault="00750A88"/>
          <w:p w:rsidR="00750A88" w:rsidRDefault="00750A88">
            <w:pPr>
              <w:wordWrap w:val="0"/>
              <w:jc w:val="right"/>
            </w:pPr>
            <w:r>
              <w:rPr>
                <w:rFonts w:ascii="宋体" w:eastAsia="宋体" w:hAnsi="宋体" w:cs="宋体" w:hint="eastAsia"/>
              </w:rPr>
              <w:t>市教育局教职教研究室</w:t>
            </w:r>
            <w:r>
              <w:t xml:space="preserve">            </w:t>
            </w:r>
          </w:p>
          <w:p w:rsidR="00750A88" w:rsidRDefault="00750A88"/>
          <w:p w:rsidR="00750A88" w:rsidRDefault="00750A88">
            <w:pPr>
              <w:ind w:right="420"/>
              <w:jc w:val="center"/>
              <w:rPr>
                <w:rFonts w:eastAsiaTheme="minorEastAsia"/>
              </w:rPr>
            </w:pPr>
            <w:r>
              <w:t xml:space="preserve">                         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50A88" w:rsidRDefault="00750A88" w:rsidP="00750A88">
      <w:pPr>
        <w:rPr>
          <w:rFonts w:hint="eastAsia"/>
        </w:rPr>
      </w:pPr>
    </w:p>
    <w:p w:rsidR="00750A88" w:rsidRDefault="00750A88" w:rsidP="00DA4168">
      <w:pPr>
        <w:widowControl/>
        <w:spacing w:after="27" w:line="489" w:lineRule="atLeast"/>
        <w:jc w:val="center"/>
        <w:outlineLvl w:val="1"/>
        <w:rPr>
          <w:rFonts w:ascii="宋体" w:eastAsia="宋体" w:hAnsi="宋体" w:cs="宋体"/>
          <w:b/>
          <w:bCs/>
          <w:color w:val="003366"/>
          <w:kern w:val="36"/>
          <w:sz w:val="35"/>
          <w:szCs w:val="35"/>
        </w:rPr>
      </w:pPr>
      <w:r>
        <w:rPr>
          <w:rFonts w:ascii="宋体" w:eastAsia="宋体" w:hAnsi="宋体" w:cs="宋体"/>
          <w:b/>
          <w:bCs/>
          <w:color w:val="003366"/>
          <w:kern w:val="36"/>
          <w:sz w:val="35"/>
          <w:szCs w:val="35"/>
        </w:rPr>
        <w:br w:type="page"/>
      </w:r>
    </w:p>
    <w:p w:rsidR="00DA4168" w:rsidRPr="00DA4168" w:rsidRDefault="00DA4168" w:rsidP="00DA4168">
      <w:pPr>
        <w:widowControl/>
        <w:spacing w:after="27" w:line="489" w:lineRule="atLeast"/>
        <w:jc w:val="center"/>
        <w:outlineLvl w:val="1"/>
        <w:rPr>
          <w:rFonts w:ascii="宋体" w:eastAsia="宋体" w:hAnsi="宋体" w:cs="宋体"/>
          <w:b/>
          <w:bCs/>
          <w:color w:val="003366"/>
          <w:kern w:val="36"/>
          <w:sz w:val="35"/>
          <w:szCs w:val="35"/>
        </w:rPr>
      </w:pPr>
      <w:r w:rsidRPr="00DA4168">
        <w:rPr>
          <w:rFonts w:ascii="宋体" w:eastAsia="宋体" w:hAnsi="宋体" w:cs="宋体"/>
          <w:b/>
          <w:bCs/>
          <w:color w:val="003366"/>
          <w:kern w:val="36"/>
          <w:sz w:val="35"/>
          <w:szCs w:val="35"/>
        </w:rPr>
        <w:lastRenderedPageBreak/>
        <w:t>鸿门宴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（一）知识与能力目标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1、积累文中重点字词、句式。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2、能准确概括文章的故事情节，结合故事情节分析项羽、刘邦的性格特征。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3、体会紧张复杂的情节、戏剧性的场面及个性化的人物语言。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（二）过程和方法目标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1、学习作者把人物放在激烈的矛盾斗争中，通过人物的语言、行动展示人物个性特征的写作方法。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2、了解课文中词类活用、成分省略等语言现象，掌握疑问句中代词宾语前置的语言规律，掌握“举”、“谢”、“为”、“斗”、“因”等古汉语兼词。   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（三）情感态度和价值观目标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1、了解项羽、刘邦等人的个性特征，认识鸿门宴这场斗争中刘、项胜败的原因。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2、探究“鸿门宴”在楚汉战争中的意义。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【教学重点】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1、分析“项羽”这个主要的人物形象。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2、把握紧张场面对揭示人物性格的作用。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【教学难点】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1、理解“因、如、举、谢、意”等五个多义词义项，掌握两个句式。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2、辨析疑难语句、准确翻译文中的句子。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【课时安排】</w:t>
      </w:r>
      <w:r w:rsidR="00BA428F">
        <w:rPr>
          <w:rFonts w:ascii="宋体" w:eastAsia="宋体" w:hAnsi="宋体" w:cs="宋体" w:hint="eastAsia"/>
          <w:color w:val="333333"/>
          <w:kern w:val="0"/>
          <w:sz w:val="22"/>
        </w:rPr>
        <w:t>4</w:t>
      </w:r>
      <w:r w:rsidRPr="00DA4168">
        <w:rPr>
          <w:rFonts w:ascii="宋体" w:eastAsia="宋体" w:hAnsi="宋体" w:cs="宋体"/>
          <w:color w:val="333333"/>
          <w:kern w:val="0"/>
          <w:sz w:val="22"/>
        </w:rPr>
        <w:t>课时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【教学步骤】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lastRenderedPageBreak/>
        <w:t>第一课时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一、【导语设计】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大风歌 刘邦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大风起兮云飞扬， 威加海内兮归故乡， 安得猛士兮守四方。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提示：这首歌是刘邦打败项羽，统一天下后在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平定鲸布叛乱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回京（长安）途中，转道故乡沛县时所作。流露出他得天下、归故里得沾沾自喜之情和对今后国防的忧心。第一句指包括刘邦在内的群雄在各地纷纷起义，而最终只有他刘邦威望远扬天下。同为交战双方，为何胜败迥异呢？《鸿门宴》可以让我们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窥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一斑而知全貌。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二、【作者与《史记》】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  司马迁（约前145－前80或前135－前93）字子长，西汉夏阳（今陕西韩城南）人，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司马谈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之子。少时随父在长安研习经史，二十岁后，游踪几遍全国，考察风俗，探访古迹，采集传说。初任郎中，后继父任太史令，博读史官所藏图书。太初元年（前104）与唐都、落下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闳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等共订太初历。承继其父遗志，著《太史公书》（即《史记》），后因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替降子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匈奴的李陵辩解，而受腐刑下狱。出狱后任中书令，发愤著述，完成《史记》。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《史记》全书由十二“本纪”、十“表”、八“书”、三十“世家”、七十“列传”五部分组成，计一百三十篇，五十二万余字，记黄帝至汉武帝太初年间史事。作者基本上站在同情被压迫者的立场，在一定程度上嘲笑了封建社会的最高权威，鞭挞了贪官酷吏和土豪劣绅，同情并歌颂了农民起义的领袖和当时被社会所贱视的小人物；他写的一些人物传纪，不仅表现了高度的思想性，而且大部份有很动人的艺术力量。人物塑造形象鲜明，文笔简练朴素。其中也有许多思想性和艺术性高度结合的作品。如《项羽本纪》、《魏其武安侯列传》等。它不仅是一部相当完备的古代史书，同时又是我国古代史传文学最高成就的代表作品。鲁迅先生曾誉它为“史家之绝唱，无韵之《离骚》。”这正说明了《史记》在史学和文学上的伟大成就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三、【时代背景】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  课文选自司马迁《史记项羽本纪》。《项羽本纪》是我国古代传记文学中的一篇著名作品。在这篇传记中，司马迁以他精彩的笔墨，倾注了很大的热情，成功地刻画了一个“失败英雄”项羽的生动形象，使其成为我国历代相传的一个典型人物。而《鸿门宴》则又是《项羽本纪》中极为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精采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的一节。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lastRenderedPageBreak/>
        <w:t>   “鸿门宴”这个历史事件发生于公元前206年（即陈涉起义后的第三年），地点在现在陕西省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临潼市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新丰镇附近的“项王营”，当时叫“鸿门”。这是刘邦、项羽在推翻秦王朝后，为了争夺农民起义军胜利果实而展开的第一场惊心动魄的斗争。当时刘弱项强，在双方力量极为悬殊的情况下，刘邦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冒险到项营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，骗取项羽的信任，经过种种斗智斗勇的艰难曲折的斗争。终于脱险逃归营地。作者以令人信服的艺术力量描写了刘邦如何从被动中争取主动，变劣势为优势，化险为夷；而项羽则由优势转为劣势，成为以后“刘胜项败”的一个重要因素。故事情节完整，跌宕起伏，人物栩栩如生，语言精当，文字传神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这场斗争是在这样的背景下展开的：公元前209年（秦二世元年）7月，陈涉、吴广在大泽乡起义，各地纷纷响应。楚国旧贵族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项梁率侄项羽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（24岁）于会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稽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起义，泗水亭长刘邦（48岁）也在沛起义后，归项梁领导。后来项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梁由于恃胜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而骄，被秦将章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邯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击杀。章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邯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得胜后，移师围赵。这时楚怀王一面命宋义为上将，项羽为次将，北上救赵；一面命刘邦攻秦，并与诸将约定：“先入关（函谷关）者王之”。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宋义停军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不进，为项羽所杀。项羽率军队与秦军大战九次，最后在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钜鹿彻底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击溃秦之主力军，章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邯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率二十万大军投降。秦丞相赵高逼杀秦二世，立二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世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之侄子婴为王。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由于秦主力军为项羽所破，刘邦就很顺利地进入咸阳，秦王子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婴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投降。刘邦入咸阳后，为了收买民心，与秦民约法三章：“杀人者死，伤人及盗抵罪”，并申明军纪，废除了秦朝一系列严刑苛政，得到了广大百姓的支持。于是派兵守关，想做关中王，驻军于霸上。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    项羽击败秦军后，也向函谷关进军，破关而入咸阳，驻军于鸿门，并准备消灭刘邦军队。就在这样的剑拔弩张形势下，出现了“鸿门宴”这场激烈的政治斗争。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四、【放录音，注意以下字的读音】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鲰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zōu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   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卮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zhī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          卻（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xì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     戟（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jǐ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彘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zhì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   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眦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zì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      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跽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jì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    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芷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zhǐ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欲王关中（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wàng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 道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芷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阳间行（</w:t>
      </w:r>
      <w:proofErr w:type="spellStart"/>
      <w:r w:rsidRPr="00DA4168">
        <w:rPr>
          <w:rFonts w:ascii="宋体" w:eastAsia="宋体" w:hAnsi="宋体" w:cs="宋体"/>
          <w:color w:val="333333"/>
          <w:kern w:val="0"/>
          <w:sz w:val="22"/>
        </w:rPr>
        <w:t>jiàn</w:t>
      </w:r>
      <w:proofErr w:type="spellEnd"/>
      <w:r w:rsidRPr="00DA4168">
        <w:rPr>
          <w:rFonts w:ascii="宋体" w:eastAsia="宋体" w:hAnsi="宋体" w:cs="宋体"/>
          <w:color w:val="333333"/>
          <w:kern w:val="0"/>
          <w:sz w:val="22"/>
        </w:rPr>
        <w:t>）     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樊哙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           刀俎        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五、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文言知识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lastRenderedPageBreak/>
        <w:t>（一）通假字、异体字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1.距─拒：距关，毋内诸侯，秦地可尽王也。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2.内─纳：距关，毋内诸侯，秦地可尽王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3.要─邀：张良出，要项伯。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4.倍─背：愿伯具言臣之不敢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倍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德也。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5.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蚤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─早：旦日不可不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蚤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自来谢项王。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6.郤─隙：今者有小人之言，令将军与臣有郤……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（二）古今异义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1．山东  古：指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崤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山以东地区。  今：指太行山东边的一个省。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2．非常  古：意外的变故。      今：程度副词，很不一般。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3．河北  古：黄河以北地区。    今：黄河北部的一个省。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4．河南  古：黄河以南地区。    今：黄河南部的一个省。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（三）一词多义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1、谢      谢罪、道歉：旦日不可不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蚤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自来谢项王。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感谢：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哙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拜谢，起，立而饮之。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辞谢、告别：乃令张良留谢。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2、辞     推辞：臣死且不避，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厄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酒安足辞！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告别：今者出，未辞也，为之奈何？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3、故    旧、交情：君安与项伯有故？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固此：故听之。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lastRenderedPageBreak/>
        <w:t>特意：故遣将守关者，备他盗出入与非常也。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4、且    将：且为之奈何？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况且：臣死且不避，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厄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酒安足辞！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5、幸     宠幸、亲近：妇女无所幸。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幸亏、幸而：故幸来告良。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6、之     到：项伯乃夜驰之沛公军。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代词，这：为之奈何？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取消句子的独立性：愿伯具言臣之不敢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倍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德也。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结构助词，的：今者有小人之言。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助词，衬字，无义：珍宝尽有之。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7、去     距离：相去四十里。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离去，离开：脱身独去。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8、于     向，对：沛公左司马曹无伤使人言于项羽曰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比：长于臣。在：复得见将军于此。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9、因     就此：不如因善遇之。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就、于是：项王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即日固留沛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公与饮。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趁势、趁机：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固击沛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公于坐，杀之。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10、为    任，做：使子婴为相。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替，给：旦日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飨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士卒，为击破沛公军！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被：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不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者，若属皆且为所虏！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lastRenderedPageBreak/>
        <w:t>作为：军中无以为乐。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是：如今人方为刀俎，我为鱼肉。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句末语气词：何辞为？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（四）词类活用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1．名词用如动词：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沛公军（驻军，动词）霸上。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沛公左司马使人言（告诉，动词）项羽曰：……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沛公欲王（为王、称王，动词）关中。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不可不语（告诉，动词）。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吾得兄事（做事、侍奉，动词）之。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籍（登记，动词）吏民。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范增数目（使眼色，动词）项王。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刑（施加肉刑，动词）人如恐不胜。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道（取道，动词）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芷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阳。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2．形容词用如动词：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素善（友善、交好，动词）留侯张良。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3．意动、使动：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先破秦入咸阳者王之（以之为王，称王，意动）。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项伯杀人，臣活之（使之活，救了他的命，使动）。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沛公旦日从（使……跟从，意即带领，使动）百余骑来见项王。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lastRenderedPageBreak/>
        <w:t>交戟之卫士欲止（使之止，制止，使动）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不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内。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4。名词作状语：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君为我呼入，吾得兄（用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对侍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兄长的礼节）事之。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项伯亦拔剑起舞，常以身翼（像鸟用翅膀）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蔽沛公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（五）句式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1、宾语前置：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客何为者？（何为─ 为何）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大王来何操？（何操─ 操何）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沛公安在？（安在─在安）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2、判断句：楚左尹项伯者，项羽季父也。沛公之参乘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樊哙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者也。如今人方为刀俎，我为鱼肉，何辞为？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3、省略句：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欲呼张良与（省略“之”）俱去。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毋从（省略“之”）俱死也。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奉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厄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酒为（省略“之”）寿。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旦日（省略主语“沛公”）不可不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蚤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自来谢项王。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将军战（省略“于”）河北，臣战（省略“于”）河南。</w:t>
      </w:r>
    </w:p>
    <w:p w:rsidR="00DA4168" w:rsidRP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DA4168">
        <w:rPr>
          <w:rFonts w:ascii="宋体" w:eastAsia="宋体" w:hAnsi="宋体" w:cs="宋体"/>
          <w:color w:val="333333"/>
          <w:kern w:val="0"/>
          <w:sz w:val="22"/>
        </w:rPr>
        <w:t>加</w:t>
      </w:r>
      <w:proofErr w:type="gramStart"/>
      <w:r w:rsidRPr="00DA4168">
        <w:rPr>
          <w:rFonts w:ascii="宋体" w:eastAsia="宋体" w:hAnsi="宋体" w:cs="宋体"/>
          <w:color w:val="333333"/>
          <w:kern w:val="0"/>
          <w:sz w:val="22"/>
        </w:rPr>
        <w:t>彘</w:t>
      </w:r>
      <w:proofErr w:type="gramEnd"/>
      <w:r w:rsidRPr="00DA4168">
        <w:rPr>
          <w:rFonts w:ascii="宋体" w:eastAsia="宋体" w:hAnsi="宋体" w:cs="宋体"/>
          <w:color w:val="333333"/>
          <w:kern w:val="0"/>
          <w:sz w:val="22"/>
        </w:rPr>
        <w:t>肩（省略“于其” ）上。</w:t>
      </w:r>
    </w:p>
    <w:p w:rsidR="00DA4168" w:rsidRDefault="00DA4168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>
        <w:rPr>
          <w:rFonts w:ascii="宋体" w:eastAsia="宋体" w:hAnsi="宋体" w:cs="宋体" w:hint="eastAsia"/>
          <w:color w:val="333333"/>
          <w:kern w:val="0"/>
          <w:sz w:val="22"/>
        </w:rPr>
        <w:t>六</w:t>
      </w:r>
      <w:r w:rsidRPr="00DA4168">
        <w:rPr>
          <w:rFonts w:ascii="宋体" w:eastAsia="宋体" w:hAnsi="宋体" w:cs="宋体"/>
          <w:color w:val="333333"/>
          <w:kern w:val="0"/>
          <w:sz w:val="22"/>
        </w:rPr>
        <w:t>、【作业布置】</w:t>
      </w:r>
    </w:p>
    <w:p w:rsidR="0012228C" w:rsidRDefault="0012228C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>
        <w:rPr>
          <w:rFonts w:ascii="宋体" w:eastAsia="宋体" w:hAnsi="宋体" w:cs="宋体" w:hint="eastAsia"/>
          <w:color w:val="333333"/>
          <w:kern w:val="0"/>
          <w:sz w:val="22"/>
        </w:rPr>
        <w:t>1.分析人物形象</w:t>
      </w:r>
    </w:p>
    <w:p w:rsidR="0012228C" w:rsidRPr="00DA4168" w:rsidRDefault="0012228C" w:rsidP="00DA4168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>
        <w:rPr>
          <w:rFonts w:ascii="宋体" w:eastAsia="宋体" w:hAnsi="宋体" w:cs="宋体" w:hint="eastAsia"/>
          <w:color w:val="333333"/>
          <w:kern w:val="0"/>
          <w:sz w:val="22"/>
        </w:rPr>
        <w:t>2.完成课后习题</w:t>
      </w:r>
    </w:p>
    <w:p w:rsidR="00DE7C03" w:rsidRDefault="00DE7C03"/>
    <w:sectPr w:rsidR="00DE7C03" w:rsidSect="00DE7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168"/>
    <w:rsid w:val="0012228C"/>
    <w:rsid w:val="00750A88"/>
    <w:rsid w:val="007522CC"/>
    <w:rsid w:val="008C02FC"/>
    <w:rsid w:val="00BA428F"/>
    <w:rsid w:val="00DA4168"/>
    <w:rsid w:val="00D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1">
    <w:name w:val="info1"/>
    <w:basedOn w:val="a"/>
    <w:rsid w:val="00DA4168"/>
    <w:pPr>
      <w:widowControl/>
      <w:spacing w:before="27" w:after="27" w:line="326" w:lineRule="atLeast"/>
      <w:jc w:val="center"/>
    </w:pPr>
    <w:rPr>
      <w:rFonts w:ascii="宋体" w:eastAsia="宋体" w:hAnsi="宋体" w:cs="宋体"/>
      <w:color w:val="C5C5C5"/>
      <w:kern w:val="0"/>
      <w:sz w:val="24"/>
      <w:szCs w:val="24"/>
    </w:rPr>
  </w:style>
  <w:style w:type="table" w:styleId="a3">
    <w:name w:val="Table Grid"/>
    <w:basedOn w:val="a1"/>
    <w:rsid w:val="00750A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3775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2018-05-29T00:12:00Z</dcterms:created>
  <dcterms:modified xsi:type="dcterms:W3CDTF">2018-05-30T09:03:00Z</dcterms:modified>
</cp:coreProperties>
</file>