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0" w:after="312" w:afterLines="100" w:afterAutospacing="0" w:line="380" w:lineRule="exact"/>
        <w:ind w:left="0" w:right="0"/>
        <w:jc w:val="center"/>
      </w:pPr>
      <w:r>
        <w:rPr>
          <w:rStyle w:val="3"/>
          <w:rFonts w:hint="eastAsia" w:ascii="Times New Roman" w:hAnsi="Times New Roman" w:eastAsia="宋体" w:cs="宋体"/>
          <w:kern w:val="0"/>
          <w:sz w:val="24"/>
          <w:szCs w:val="24"/>
          <w:lang w:val="en-US" w:eastAsia="zh-CN" w:bidi="ar"/>
        </w:rPr>
        <w:t>工贸企业有限空间作业安全管理与监督暂行规定</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w:t>
      </w:r>
      <w:r>
        <w:rPr>
          <w:rFonts w:hint="default" w:ascii="Calibri" w:hAnsi="Calibri" w:eastAsia="宋体" w:cs="Calibri"/>
          <w:kern w:val="0"/>
          <w:sz w:val="24"/>
          <w:szCs w:val="24"/>
          <w:lang w:val="en-US" w:eastAsia="zh-CN" w:bidi="ar"/>
        </w:rPr>
        <w:t>2013</w:t>
      </w:r>
      <w:r>
        <w:rPr>
          <w:rFonts w:hint="eastAsia" w:ascii="Calibri" w:hAnsi="Calibri" w:eastAsia="宋体" w:cs="宋体"/>
          <w:kern w:val="0"/>
          <w:sz w:val="24"/>
          <w:szCs w:val="24"/>
          <w:lang w:val="en-US" w:eastAsia="zh-CN" w:bidi="ar"/>
        </w:rPr>
        <w:t>年</w:t>
      </w:r>
      <w:r>
        <w:rPr>
          <w:rFonts w:hint="default" w:ascii="Calibri" w:hAnsi="Calibri" w:eastAsia="宋体" w:cs="Calibri"/>
          <w:kern w:val="0"/>
          <w:sz w:val="24"/>
          <w:szCs w:val="24"/>
          <w:lang w:val="en-US" w:eastAsia="zh-CN" w:bidi="ar"/>
        </w:rPr>
        <w:t>5</w:t>
      </w:r>
      <w:r>
        <w:rPr>
          <w:rFonts w:hint="eastAsia" w:ascii="Calibri" w:hAnsi="Calibri" w:eastAsia="宋体" w:cs="宋体"/>
          <w:kern w:val="0"/>
          <w:sz w:val="24"/>
          <w:szCs w:val="24"/>
          <w:lang w:val="en-US" w:eastAsia="zh-CN" w:bidi="ar"/>
        </w:rPr>
        <w:t>月</w:t>
      </w:r>
      <w:r>
        <w:rPr>
          <w:rFonts w:hint="default" w:ascii="Calibri" w:hAnsi="Calibri" w:eastAsia="宋体" w:cs="Calibri"/>
          <w:kern w:val="0"/>
          <w:sz w:val="24"/>
          <w:szCs w:val="24"/>
          <w:lang w:val="en-US" w:eastAsia="zh-CN" w:bidi="ar"/>
        </w:rPr>
        <w:t>20</w:t>
      </w:r>
      <w:r>
        <w:rPr>
          <w:rFonts w:hint="eastAsia" w:ascii="Calibri" w:hAnsi="Calibri" w:eastAsia="宋体" w:cs="宋体"/>
          <w:kern w:val="0"/>
          <w:sz w:val="24"/>
          <w:szCs w:val="24"/>
          <w:lang w:val="en-US" w:eastAsia="zh-CN" w:bidi="ar"/>
        </w:rPr>
        <w:t>日国家安全监管总局令第</w:t>
      </w:r>
      <w:r>
        <w:rPr>
          <w:rFonts w:hint="default" w:ascii="Calibri" w:hAnsi="Calibri" w:eastAsia="宋体" w:cs="Calibri"/>
          <w:kern w:val="0"/>
          <w:sz w:val="24"/>
          <w:szCs w:val="24"/>
          <w:lang w:val="en-US" w:eastAsia="zh-CN" w:bidi="ar"/>
        </w:rPr>
        <w:t>59</w:t>
      </w:r>
      <w:r>
        <w:rPr>
          <w:rFonts w:hint="eastAsia" w:ascii="Calibri" w:hAnsi="Calibri" w:eastAsia="宋体" w:cs="宋体"/>
          <w:kern w:val="0"/>
          <w:sz w:val="24"/>
          <w:szCs w:val="24"/>
          <w:lang w:val="en-US" w:eastAsia="zh-CN" w:bidi="ar"/>
        </w:rPr>
        <w:t>号公布，根据</w:t>
      </w:r>
      <w:r>
        <w:rPr>
          <w:rFonts w:hint="default" w:ascii="Calibri" w:hAnsi="Calibri" w:eastAsia="宋体" w:cs="Calibri"/>
          <w:kern w:val="0"/>
          <w:sz w:val="24"/>
          <w:szCs w:val="24"/>
          <w:lang w:val="en-US" w:eastAsia="zh-CN" w:bidi="ar"/>
        </w:rPr>
        <w:t>2015</w:t>
      </w:r>
      <w:r>
        <w:rPr>
          <w:rFonts w:hint="eastAsia" w:ascii="Calibri" w:hAnsi="Calibri" w:eastAsia="宋体" w:cs="宋体"/>
          <w:kern w:val="0"/>
          <w:sz w:val="24"/>
          <w:szCs w:val="24"/>
          <w:lang w:val="en-US" w:eastAsia="zh-CN" w:bidi="ar"/>
        </w:rPr>
        <w:t>年</w:t>
      </w:r>
      <w:r>
        <w:rPr>
          <w:rFonts w:hint="default" w:ascii="Calibri" w:hAnsi="Calibri" w:eastAsia="宋体" w:cs="Calibri"/>
          <w:kern w:val="0"/>
          <w:sz w:val="24"/>
          <w:szCs w:val="24"/>
          <w:lang w:val="en-US" w:eastAsia="zh-CN" w:bidi="ar"/>
        </w:rPr>
        <w:t>5</w:t>
      </w:r>
      <w:r>
        <w:rPr>
          <w:rFonts w:hint="eastAsia" w:ascii="Calibri" w:hAnsi="Calibri" w:eastAsia="宋体" w:cs="宋体"/>
          <w:kern w:val="0"/>
          <w:sz w:val="24"/>
          <w:szCs w:val="24"/>
          <w:lang w:val="en-US" w:eastAsia="zh-CN" w:bidi="ar"/>
        </w:rPr>
        <w:t>月</w:t>
      </w:r>
      <w:r>
        <w:rPr>
          <w:rFonts w:hint="default" w:ascii="Calibri" w:hAnsi="Calibri" w:eastAsia="宋体" w:cs="Calibri"/>
          <w:kern w:val="0"/>
          <w:sz w:val="24"/>
          <w:szCs w:val="24"/>
          <w:lang w:val="en-US" w:eastAsia="zh-CN" w:bidi="ar"/>
        </w:rPr>
        <w:t>29</w:t>
      </w:r>
      <w:r>
        <w:rPr>
          <w:rFonts w:hint="eastAsia" w:ascii="Calibri" w:hAnsi="Calibri" w:eastAsia="宋体" w:cs="宋体"/>
          <w:kern w:val="0"/>
          <w:sz w:val="24"/>
          <w:szCs w:val="24"/>
          <w:lang w:val="en-US" w:eastAsia="zh-CN" w:bidi="ar"/>
        </w:rPr>
        <w:t>日国家安全监管总局令第</w:t>
      </w:r>
      <w:r>
        <w:rPr>
          <w:rFonts w:hint="default" w:ascii="Calibri" w:hAnsi="Calibri" w:eastAsia="宋体" w:cs="Calibri"/>
          <w:kern w:val="0"/>
          <w:sz w:val="24"/>
          <w:szCs w:val="24"/>
          <w:lang w:val="en-US" w:eastAsia="zh-CN" w:bidi="ar"/>
        </w:rPr>
        <w:t>80</w:t>
      </w:r>
      <w:r>
        <w:rPr>
          <w:rFonts w:hint="eastAsia" w:ascii="Calibri" w:hAnsi="Calibri" w:eastAsia="宋体" w:cs="宋体"/>
          <w:kern w:val="0"/>
          <w:sz w:val="24"/>
          <w:szCs w:val="24"/>
          <w:lang w:val="en-US" w:eastAsia="zh-CN" w:bidi="ar"/>
        </w:rPr>
        <w:t>号修正）</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Style w:val="3"/>
          <w:rFonts w:hint="eastAsia" w:ascii="Calibri" w:hAnsi="Calibri" w:eastAsia="宋体" w:cs="宋体"/>
          <w:kern w:val="0"/>
          <w:sz w:val="24"/>
          <w:szCs w:val="24"/>
          <w:lang w:val="en-US" w:eastAsia="zh-CN" w:bidi="ar"/>
        </w:rPr>
        <w:t>第一章</w:t>
      </w:r>
      <w:r>
        <w:rPr>
          <w:rStyle w:val="3"/>
          <w:rFonts w:hint="default" w:ascii="Calibri" w:hAnsi="Calibri" w:eastAsia="宋体" w:cs="Calibri"/>
          <w:kern w:val="0"/>
          <w:sz w:val="24"/>
          <w:szCs w:val="24"/>
          <w:lang w:val="en-US" w:eastAsia="zh-CN" w:bidi="ar"/>
        </w:rPr>
        <w:t xml:space="preserve"> </w:t>
      </w:r>
      <w:r>
        <w:rPr>
          <w:rStyle w:val="3"/>
          <w:rFonts w:hint="eastAsia" w:ascii="Calibri" w:hAnsi="Calibri" w:eastAsia="宋体" w:cs="宋体"/>
          <w:kern w:val="0"/>
          <w:sz w:val="24"/>
          <w:szCs w:val="24"/>
          <w:lang w:val="en-US" w:eastAsia="zh-CN" w:bidi="ar"/>
        </w:rPr>
        <w:t>总</w:t>
      </w:r>
      <w:r>
        <w:rPr>
          <w:rStyle w:val="3"/>
          <w:rFonts w:hint="default" w:ascii="Calibri" w:hAnsi="Calibri" w:eastAsia="宋体" w:cs="Calibri"/>
          <w:kern w:val="0"/>
          <w:sz w:val="24"/>
          <w:szCs w:val="24"/>
          <w:lang w:val="en-US" w:eastAsia="zh-CN" w:bidi="ar"/>
        </w:rPr>
        <w:t xml:space="preserve"> </w:t>
      </w:r>
      <w:r>
        <w:rPr>
          <w:rStyle w:val="3"/>
          <w:rFonts w:hint="eastAsia" w:ascii="Times New Roman" w:hAnsi="Times New Roman" w:eastAsia="宋体" w:cs="宋体"/>
          <w:kern w:val="0"/>
          <w:sz w:val="24"/>
          <w:szCs w:val="24"/>
          <w:lang w:val="en-US" w:eastAsia="zh-CN" w:bidi="ar"/>
        </w:rPr>
        <w:t>则</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第一条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第二条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工贸企业有限空间作业的安全管理与监督，适用本规定。</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第三条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工贸企业是本企业有限空间作业安全的责任主体，其主要负责人对本企业有限空间作业安全全面负责，相关负责人在各自职责范围内对本企业有限空间作业安全负责。</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第四条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国家安全生产监督管理总局对全国工贸企业有限空间作业安全实施监督管理。</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县级以上地方各级安全生产监督管理部门按照属地监管、分级负责的原则，对本行政区域内工贸企业有限空间作业安全实施监督管理。省、自治区、直辖市人民政府对工贸企业有限空间作业的安全生产监督管理职责另有规定的，依照其规定。</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Style w:val="3"/>
          <w:rFonts w:hint="eastAsia" w:ascii="Calibri" w:hAnsi="Calibri" w:eastAsia="宋体" w:cs="宋体"/>
          <w:kern w:val="0"/>
          <w:sz w:val="24"/>
          <w:szCs w:val="24"/>
          <w:lang w:val="en-US" w:eastAsia="zh-CN" w:bidi="ar"/>
        </w:rPr>
        <w:t>第二章</w:t>
      </w:r>
      <w:r>
        <w:rPr>
          <w:rStyle w:val="3"/>
          <w:rFonts w:hint="default" w:ascii="Calibri" w:hAnsi="Calibri" w:eastAsia="宋体" w:cs="Calibri"/>
          <w:kern w:val="0"/>
          <w:sz w:val="24"/>
          <w:szCs w:val="24"/>
          <w:lang w:val="en-US" w:eastAsia="zh-CN" w:bidi="ar"/>
        </w:rPr>
        <w:t xml:space="preserve"> </w:t>
      </w:r>
      <w:r>
        <w:rPr>
          <w:rStyle w:val="3"/>
          <w:rFonts w:hint="eastAsia" w:ascii="Calibri" w:hAnsi="Calibri" w:eastAsia="宋体" w:cs="宋体"/>
          <w:kern w:val="0"/>
          <w:sz w:val="24"/>
          <w:szCs w:val="24"/>
          <w:lang w:val="en-US" w:eastAsia="zh-CN" w:bidi="ar"/>
        </w:rPr>
        <w:t>有限空间作业的安全保障</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第五条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存在有限空间作业的工贸企业应当建立下列安全生产制度和规程：</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（一）有限空间作业安全责任制度；</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（二）有限空间作业审批制度；</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（三）有限空间作业现场安全管理制度；</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（四）有限空间作业现场负责人、监护人员、作业人员、应急救援人员安全培训教育制度；</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（五）有限空间作业应急管理制度；</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（六）有限空间作业安全操作规程。</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第六条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工贸企业应当对从事有限空间作业的现场负责人、监护人员、作业人员、应急救援人员进行专项安全培训。专项安全培训应当包括下列内容</w:t>
      </w:r>
      <w:r>
        <w:rPr>
          <w:rFonts w:hint="default" w:ascii="Calibri" w:hAnsi="Calibri" w:eastAsia="宋体" w:cs="Calibri"/>
          <w:kern w:val="0"/>
          <w:sz w:val="24"/>
          <w:szCs w:val="24"/>
          <w:lang w:val="en-US" w:eastAsia="zh-CN" w:bidi="ar"/>
        </w:rPr>
        <w:t>:</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（一）有限空间作业的危险有害因素和安全防范措施；</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（二）有限空间作业的安全操作规程；</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（三）检测仪器、劳动防护用品的正确使用；</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（四）紧急情况下的应急处置措施。</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安全培训应当有专门记录，并由参加培训的人员签字确认。</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第七条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工贸企业应当对本企业的有限空间进行辨识，确定有限空间的数量、位置以及危险有害因素等基本情况，建立有限空间管理台账，并及时更新。</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第八条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工贸企业实施有限空间作业前，应当对作业环境进行评估，分析存在的危险有害因素，提出消除、控制危害的措施，制定有限空间作业方案，并经本企业安全生产管理人员审核，负责人批准。</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第九条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工贸企业应当按照有限空间作业方案，明确作业现场负责人、监护人员、作业人员及其安全职责。</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第十条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工贸企业实施有限空间作业前，应当将有限空间作业方案和作业现场可能存在的危险有害因素、防控措施告知作业人员。现场负责人应当监督作业人员按照方案进行作业准备。</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第十一条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工贸企业应当采取可靠的隔断（隔离）措施，将可能危及作业安全的设施设备、存在有毒有害物质的空间与作业地点隔开。</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第十二条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有限空间作业应当严格遵守“先通风、再检测、后作业”的原则。检测指标包括氧浓度、易燃易爆物质（可燃性气体、爆炸性粉尘）浓度、有毒有害气体浓度。检测应当符合相关国家标准或者行业标准的规定。</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未经通风和检测合格，任何人员不得进入有限空间作业。检测的时间不得早于作业开始前</w:t>
      </w:r>
      <w:r>
        <w:rPr>
          <w:rFonts w:hint="default" w:ascii="Calibri" w:hAnsi="Calibri" w:eastAsia="宋体" w:cs="Calibri"/>
          <w:kern w:val="0"/>
          <w:sz w:val="24"/>
          <w:szCs w:val="24"/>
          <w:lang w:val="en-US" w:eastAsia="zh-CN" w:bidi="ar"/>
        </w:rPr>
        <w:t>30</w:t>
      </w:r>
      <w:r>
        <w:rPr>
          <w:rFonts w:hint="eastAsia" w:ascii="Calibri" w:hAnsi="Calibri" w:eastAsia="宋体" w:cs="宋体"/>
          <w:kern w:val="0"/>
          <w:sz w:val="24"/>
          <w:szCs w:val="24"/>
          <w:lang w:val="en-US" w:eastAsia="zh-CN" w:bidi="ar"/>
        </w:rPr>
        <w:t>分钟。</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第十三条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检测人员进行检测时，应当记录检测的时间、地点、气体种类、浓度等信息。检测记录经检测人员签字后存档。</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检测人员应当采取相应的安全防护措施，防止中毒窒息等事故发生。</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第十四条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有限空间内盛装或者残留的物料对作业存在危害时，作业人员应当在作业前对物料进行清洗、清空或者置换。经检测，有限空间的危险有害因素符合《工作场所有害因素职业接触限值第一部分化学有害因素》（</w:t>
      </w:r>
      <w:r>
        <w:rPr>
          <w:rFonts w:hint="default" w:ascii="Calibri" w:hAnsi="Calibri" w:eastAsia="宋体" w:cs="Calibri"/>
          <w:kern w:val="0"/>
          <w:sz w:val="24"/>
          <w:szCs w:val="24"/>
          <w:lang w:val="en-US" w:eastAsia="zh-CN" w:bidi="ar"/>
        </w:rPr>
        <w:t>GBZ2.1</w:t>
      </w:r>
      <w:r>
        <w:rPr>
          <w:rFonts w:hint="eastAsia" w:ascii="Calibri" w:hAnsi="Calibri" w:eastAsia="宋体" w:cs="宋体"/>
          <w:kern w:val="0"/>
          <w:sz w:val="24"/>
          <w:szCs w:val="24"/>
          <w:lang w:val="en-US" w:eastAsia="zh-CN" w:bidi="ar"/>
        </w:rPr>
        <w:t>）的要求后，方可进入有限空间作业。</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第十五条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在有限空间作业过程中，工贸企业应当采取通风措施，保持空气流通，禁止采用纯氧通风换气。</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发现通风设备停止运转、有限空间内氧含量浓度低于或者有毒有害气体浓度高于国家标准或者行业标准规定的限值时，工贸企业必须立即停止有限空间作业，清点作业人员，撤离作业现场。</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第十六条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在有限空间作业过程中，工贸企业应当对作业场所中的危险有害因素进行定时检测或者连续监测。</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作业中断超过</w:t>
      </w:r>
      <w:r>
        <w:rPr>
          <w:rFonts w:hint="default" w:ascii="Calibri" w:hAnsi="Calibri" w:eastAsia="宋体" w:cs="Calibri"/>
          <w:kern w:val="0"/>
          <w:sz w:val="24"/>
          <w:szCs w:val="24"/>
          <w:lang w:val="en-US" w:eastAsia="zh-CN" w:bidi="ar"/>
        </w:rPr>
        <w:t>30</w:t>
      </w:r>
      <w:r>
        <w:rPr>
          <w:rFonts w:hint="eastAsia" w:ascii="Calibri" w:hAnsi="Calibri" w:eastAsia="宋体" w:cs="宋体"/>
          <w:kern w:val="0"/>
          <w:sz w:val="24"/>
          <w:szCs w:val="24"/>
          <w:lang w:val="en-US" w:eastAsia="zh-CN" w:bidi="ar"/>
        </w:rPr>
        <w:t>分钟，作业人员再次进入有限空间作业前，应当重新通风、检测合格后方可进入。</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第十七条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有限空间作业场所的照明灯具电压应当符合《特低电压限值》</w:t>
      </w:r>
      <w:r>
        <w:rPr>
          <w:rFonts w:hint="default" w:ascii="Calibri" w:hAnsi="Calibri" w:eastAsia="宋体" w:cs="Calibri"/>
          <w:kern w:val="0"/>
          <w:sz w:val="24"/>
          <w:szCs w:val="24"/>
          <w:lang w:val="en-US" w:eastAsia="zh-CN" w:bidi="ar"/>
        </w:rPr>
        <w:t>(GB/T3805)</w:t>
      </w:r>
      <w:r>
        <w:rPr>
          <w:rFonts w:hint="eastAsia" w:ascii="Calibri" w:hAnsi="Calibri" w:eastAsia="宋体" w:cs="宋体"/>
          <w:kern w:val="0"/>
          <w:sz w:val="24"/>
          <w:szCs w:val="24"/>
          <w:lang w:val="en-US" w:eastAsia="zh-CN" w:bidi="ar"/>
        </w:rPr>
        <w:t>等国家标准或者行业标准的规定；作业场所存在可燃性气体、粉尘的，其电气设施设备及照明灯具的防爆安全要求应当符合《爆炸性环境第一部分：设备通用要求》（</w:t>
      </w:r>
      <w:r>
        <w:rPr>
          <w:rFonts w:hint="default" w:ascii="Calibri" w:hAnsi="Calibri" w:eastAsia="宋体" w:cs="Calibri"/>
          <w:kern w:val="0"/>
          <w:sz w:val="24"/>
          <w:szCs w:val="24"/>
          <w:lang w:val="en-US" w:eastAsia="zh-CN" w:bidi="ar"/>
        </w:rPr>
        <w:t>GB3836.1</w:t>
      </w:r>
      <w:r>
        <w:rPr>
          <w:rFonts w:hint="eastAsia" w:ascii="Calibri" w:hAnsi="Calibri" w:eastAsia="宋体" w:cs="宋体"/>
          <w:kern w:val="0"/>
          <w:sz w:val="24"/>
          <w:szCs w:val="24"/>
          <w:lang w:val="en-US" w:eastAsia="zh-CN" w:bidi="ar"/>
        </w:rPr>
        <w:t>）等国家标准或者行业标准的规定。</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第十八条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工贸企业应当根据有限空间存在危险有害因素的种类和危害程度，为作业人员提供符合国家标准或者行业标准规定的劳动防护用品，并教育监督作业人员正确佩戴与使用。</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第十九条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工贸企业有限空间作业还应当符合下列要求：</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（一）保持有限空间出入口畅通；</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（二）设置明显的安全警示标志和警示说明；</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（三）作业前清点作业人员和工器具；</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（四）作业人员与外部有可靠的通讯联络；</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（五）监护人员不得离开作业现场，并与作业人员保持联系；</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（六）存在交叉作业时，采取避免互相伤害的措施。</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第二十条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有限空间作业结束后，作业现场负责人、监护人员应当对作业现场进行清理，撤离作业人员。</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第二十一条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第二十二条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工贸企业对其发包的有限空间作业安全承担主体责任。承包方对其承包的有限空间作业安全承担直接责任。</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第二十三条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有限空间作业中发生事故后，现场有关人员应当立即报警，禁止盲目施救。应急救援人员实施救援时，应当做好自身防护，佩戴必要的呼吸器具、救援器材。</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Style w:val="3"/>
          <w:rFonts w:hint="eastAsia" w:ascii="Calibri" w:hAnsi="Calibri" w:eastAsia="宋体" w:cs="宋体"/>
          <w:kern w:val="0"/>
          <w:sz w:val="24"/>
          <w:szCs w:val="24"/>
          <w:lang w:val="en-US" w:eastAsia="zh-CN" w:bidi="ar"/>
        </w:rPr>
        <w:t>第三章</w:t>
      </w:r>
      <w:r>
        <w:rPr>
          <w:rStyle w:val="3"/>
          <w:rFonts w:hint="default" w:ascii="Calibri" w:hAnsi="Calibri" w:eastAsia="宋体" w:cs="Calibri"/>
          <w:kern w:val="0"/>
          <w:sz w:val="24"/>
          <w:szCs w:val="24"/>
          <w:lang w:val="en-US" w:eastAsia="zh-CN" w:bidi="ar"/>
        </w:rPr>
        <w:t xml:space="preserve"> </w:t>
      </w:r>
      <w:r>
        <w:rPr>
          <w:rStyle w:val="3"/>
          <w:rFonts w:hint="eastAsia" w:ascii="Calibri" w:hAnsi="Calibri" w:eastAsia="宋体" w:cs="宋体"/>
          <w:kern w:val="0"/>
          <w:sz w:val="24"/>
          <w:szCs w:val="24"/>
          <w:lang w:val="en-US" w:eastAsia="zh-CN" w:bidi="ar"/>
        </w:rPr>
        <w:t>有限空间作业的安全监督管理</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第二十四条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安全生产监督管理部门应当加强对工贸企业有限空间作业的监督检查，将检查纳入年度执法工作计划。对发现的事故隐患和违法行为，依法作出处理。</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第二十五条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安全生产监督管理部门对工贸企业有限空间作业实施监督检查时，应当重点抽查有限空间作业安全管理制度、有限空间管理台账、检测记录、劳动防护用品配备、应急救援演练、专项安全培训等情况。</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第二十六条安全生产监督管理部门应当加强对行政执法人员的有限空间作业安全知识培训，并为检查有限空间作业安全的行政执法人员配备必需的劳动防护用品、检测仪器。</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第二十七条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Style w:val="3"/>
          <w:rFonts w:hint="eastAsia" w:ascii="Calibri" w:hAnsi="Calibri" w:eastAsia="宋体" w:cs="宋体"/>
          <w:kern w:val="0"/>
          <w:sz w:val="24"/>
          <w:szCs w:val="24"/>
          <w:lang w:val="en-US" w:eastAsia="zh-CN" w:bidi="ar"/>
        </w:rPr>
        <w:t>第四章</w:t>
      </w:r>
      <w:r>
        <w:rPr>
          <w:rStyle w:val="3"/>
          <w:rFonts w:hint="default" w:ascii="Calibri" w:hAnsi="Calibri" w:eastAsia="宋体" w:cs="Calibri"/>
          <w:kern w:val="0"/>
          <w:sz w:val="24"/>
          <w:szCs w:val="24"/>
          <w:lang w:val="en-US" w:eastAsia="zh-CN" w:bidi="ar"/>
        </w:rPr>
        <w:t xml:space="preserve"> </w:t>
      </w:r>
      <w:r>
        <w:rPr>
          <w:rStyle w:val="3"/>
          <w:rFonts w:hint="eastAsia" w:ascii="Calibri" w:hAnsi="Calibri" w:eastAsia="宋体" w:cs="宋体"/>
          <w:kern w:val="0"/>
          <w:sz w:val="24"/>
          <w:szCs w:val="24"/>
          <w:lang w:val="en-US" w:eastAsia="zh-CN" w:bidi="ar"/>
        </w:rPr>
        <w:t>法律责任</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第二十八条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工贸企业有下列行为之一的，由县级以上安全生产监督管理部门责令限期改正，可以处</w:t>
      </w:r>
      <w:r>
        <w:rPr>
          <w:rFonts w:hint="default" w:ascii="Calibri" w:hAnsi="Calibri" w:eastAsia="宋体" w:cs="Calibri"/>
          <w:kern w:val="0"/>
          <w:sz w:val="24"/>
          <w:szCs w:val="24"/>
          <w:lang w:val="en-US" w:eastAsia="zh-CN" w:bidi="ar"/>
        </w:rPr>
        <w:t>5</w:t>
      </w:r>
      <w:r>
        <w:rPr>
          <w:rFonts w:hint="eastAsia" w:ascii="Calibri" w:hAnsi="Calibri" w:eastAsia="宋体" w:cs="宋体"/>
          <w:kern w:val="0"/>
          <w:sz w:val="24"/>
          <w:szCs w:val="24"/>
          <w:lang w:val="en-US" w:eastAsia="zh-CN" w:bidi="ar"/>
        </w:rPr>
        <w:t>万元以下的罚款；逾期未改正的，处</w:t>
      </w:r>
      <w:r>
        <w:rPr>
          <w:rFonts w:hint="default" w:ascii="Calibri" w:hAnsi="Calibri" w:eastAsia="宋体" w:cs="Calibri"/>
          <w:kern w:val="0"/>
          <w:sz w:val="24"/>
          <w:szCs w:val="24"/>
          <w:lang w:val="en-US" w:eastAsia="zh-CN" w:bidi="ar"/>
        </w:rPr>
        <w:t>5</w:t>
      </w:r>
      <w:r>
        <w:rPr>
          <w:rFonts w:hint="eastAsia" w:ascii="Calibri" w:hAnsi="Calibri" w:eastAsia="宋体" w:cs="宋体"/>
          <w:kern w:val="0"/>
          <w:sz w:val="24"/>
          <w:szCs w:val="24"/>
          <w:lang w:val="en-US" w:eastAsia="zh-CN" w:bidi="ar"/>
        </w:rPr>
        <w:t>万元以上</w:t>
      </w:r>
      <w:r>
        <w:rPr>
          <w:rFonts w:hint="default" w:ascii="Calibri" w:hAnsi="Calibri" w:eastAsia="宋体" w:cs="Calibri"/>
          <w:kern w:val="0"/>
          <w:sz w:val="24"/>
          <w:szCs w:val="24"/>
          <w:lang w:val="en-US" w:eastAsia="zh-CN" w:bidi="ar"/>
        </w:rPr>
        <w:t>20</w:t>
      </w:r>
      <w:r>
        <w:rPr>
          <w:rFonts w:hint="eastAsia" w:ascii="Calibri" w:hAnsi="Calibri" w:eastAsia="宋体" w:cs="宋体"/>
          <w:kern w:val="0"/>
          <w:sz w:val="24"/>
          <w:szCs w:val="24"/>
          <w:lang w:val="en-US" w:eastAsia="zh-CN" w:bidi="ar"/>
        </w:rPr>
        <w:t>万元以下的罚款，其直接负责的主管人员和其他直接责任人员处</w:t>
      </w:r>
      <w:r>
        <w:rPr>
          <w:rFonts w:hint="default" w:ascii="Calibri" w:hAnsi="Calibri" w:eastAsia="宋体" w:cs="Calibri"/>
          <w:kern w:val="0"/>
          <w:sz w:val="24"/>
          <w:szCs w:val="24"/>
          <w:lang w:val="en-US" w:eastAsia="zh-CN" w:bidi="ar"/>
        </w:rPr>
        <w:t>1</w:t>
      </w:r>
      <w:r>
        <w:rPr>
          <w:rFonts w:hint="eastAsia" w:ascii="Calibri" w:hAnsi="Calibri" w:eastAsia="宋体" w:cs="宋体"/>
          <w:kern w:val="0"/>
          <w:sz w:val="24"/>
          <w:szCs w:val="24"/>
          <w:lang w:val="en-US" w:eastAsia="zh-CN" w:bidi="ar"/>
        </w:rPr>
        <w:t>万元以上</w:t>
      </w:r>
      <w:r>
        <w:rPr>
          <w:rFonts w:hint="default" w:ascii="Calibri" w:hAnsi="Calibri" w:eastAsia="宋体" w:cs="Calibri"/>
          <w:kern w:val="0"/>
          <w:sz w:val="24"/>
          <w:szCs w:val="24"/>
          <w:lang w:val="en-US" w:eastAsia="zh-CN" w:bidi="ar"/>
        </w:rPr>
        <w:t>2</w:t>
      </w:r>
      <w:r>
        <w:rPr>
          <w:rFonts w:hint="eastAsia" w:ascii="Calibri" w:hAnsi="Calibri" w:eastAsia="宋体" w:cs="宋体"/>
          <w:kern w:val="0"/>
          <w:sz w:val="24"/>
          <w:szCs w:val="24"/>
          <w:lang w:val="en-US" w:eastAsia="zh-CN" w:bidi="ar"/>
        </w:rPr>
        <w:t>万元以下的罚款；情节严重的，责令停产停业整顿：</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（一）未在有限空间作业场所设置明显的安全警示标志的；</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（二）未按照本规定为作业人员提供符合国家标准或者行业标准的劳动防护用品的。</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第二十九条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工贸企业有下列情形之一的，由县级以上安全生产监督管理部门责令限期改正，可以处</w:t>
      </w:r>
      <w:r>
        <w:rPr>
          <w:rFonts w:hint="default" w:ascii="Calibri" w:hAnsi="Calibri" w:eastAsia="宋体" w:cs="Calibri"/>
          <w:kern w:val="0"/>
          <w:sz w:val="24"/>
          <w:szCs w:val="24"/>
          <w:lang w:val="en-US" w:eastAsia="zh-CN" w:bidi="ar"/>
        </w:rPr>
        <w:t>5</w:t>
      </w:r>
      <w:r>
        <w:rPr>
          <w:rFonts w:hint="eastAsia" w:ascii="Calibri" w:hAnsi="Calibri" w:eastAsia="宋体" w:cs="宋体"/>
          <w:kern w:val="0"/>
          <w:sz w:val="24"/>
          <w:szCs w:val="24"/>
          <w:lang w:val="en-US" w:eastAsia="zh-CN" w:bidi="ar"/>
        </w:rPr>
        <w:t>万元以下的罚款；逾期未改正的，责令停产停业整顿，并处</w:t>
      </w:r>
      <w:r>
        <w:rPr>
          <w:rFonts w:hint="default" w:ascii="Calibri" w:hAnsi="Calibri" w:eastAsia="宋体" w:cs="Calibri"/>
          <w:kern w:val="0"/>
          <w:sz w:val="24"/>
          <w:szCs w:val="24"/>
          <w:lang w:val="en-US" w:eastAsia="zh-CN" w:bidi="ar"/>
        </w:rPr>
        <w:t>5</w:t>
      </w:r>
      <w:r>
        <w:rPr>
          <w:rFonts w:hint="eastAsia" w:ascii="Calibri" w:hAnsi="Calibri" w:eastAsia="宋体" w:cs="宋体"/>
          <w:kern w:val="0"/>
          <w:sz w:val="24"/>
          <w:szCs w:val="24"/>
          <w:lang w:val="en-US" w:eastAsia="zh-CN" w:bidi="ar"/>
        </w:rPr>
        <w:t>万元以上</w:t>
      </w:r>
      <w:r>
        <w:rPr>
          <w:rFonts w:hint="default" w:ascii="Calibri" w:hAnsi="Calibri" w:eastAsia="宋体" w:cs="Calibri"/>
          <w:kern w:val="0"/>
          <w:sz w:val="24"/>
          <w:szCs w:val="24"/>
          <w:lang w:val="en-US" w:eastAsia="zh-CN" w:bidi="ar"/>
        </w:rPr>
        <w:t>10</w:t>
      </w:r>
      <w:r>
        <w:rPr>
          <w:rFonts w:hint="eastAsia" w:ascii="Calibri" w:hAnsi="Calibri" w:eastAsia="宋体" w:cs="宋体"/>
          <w:kern w:val="0"/>
          <w:sz w:val="24"/>
          <w:szCs w:val="24"/>
          <w:lang w:val="en-US" w:eastAsia="zh-CN" w:bidi="ar"/>
        </w:rPr>
        <w:t>万元以下的罚款，对其直接负责的主管人员和其他直接责任人员处</w:t>
      </w:r>
      <w:r>
        <w:rPr>
          <w:rFonts w:hint="default" w:ascii="Calibri" w:hAnsi="Calibri" w:eastAsia="宋体" w:cs="Calibri"/>
          <w:kern w:val="0"/>
          <w:sz w:val="24"/>
          <w:szCs w:val="24"/>
          <w:lang w:val="en-US" w:eastAsia="zh-CN" w:bidi="ar"/>
        </w:rPr>
        <w:t>1</w:t>
      </w:r>
      <w:r>
        <w:rPr>
          <w:rFonts w:hint="eastAsia" w:ascii="Calibri" w:hAnsi="Calibri" w:eastAsia="宋体" w:cs="宋体"/>
          <w:kern w:val="0"/>
          <w:sz w:val="24"/>
          <w:szCs w:val="24"/>
          <w:lang w:val="en-US" w:eastAsia="zh-CN" w:bidi="ar"/>
        </w:rPr>
        <w:t>万元以上</w:t>
      </w:r>
      <w:r>
        <w:rPr>
          <w:rFonts w:hint="default" w:ascii="Calibri" w:hAnsi="Calibri" w:eastAsia="宋体" w:cs="Calibri"/>
          <w:kern w:val="0"/>
          <w:sz w:val="24"/>
          <w:szCs w:val="24"/>
          <w:lang w:val="en-US" w:eastAsia="zh-CN" w:bidi="ar"/>
        </w:rPr>
        <w:t>2</w:t>
      </w:r>
      <w:r>
        <w:rPr>
          <w:rFonts w:hint="eastAsia" w:ascii="Calibri" w:hAnsi="Calibri" w:eastAsia="宋体" w:cs="宋体"/>
          <w:kern w:val="0"/>
          <w:sz w:val="24"/>
          <w:szCs w:val="24"/>
          <w:lang w:val="en-US" w:eastAsia="zh-CN" w:bidi="ar"/>
        </w:rPr>
        <w:t>万元以下的罚款：</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（一）未按照本规定对有限空间的现场负责人、监护人员、作业人员和应急救援人员进行安全培训的；</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（二）未按照本规定对有限空间作业制定应急预案，或者定期进行演练的。</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第三十条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工贸企业有下列情形之一的，由县级以上安全生产监督管理部门责令限期改正，可以处</w:t>
      </w:r>
      <w:r>
        <w:rPr>
          <w:rFonts w:hint="default" w:ascii="Calibri" w:hAnsi="Calibri" w:eastAsia="宋体" w:cs="Calibri"/>
          <w:kern w:val="0"/>
          <w:sz w:val="24"/>
          <w:szCs w:val="24"/>
          <w:lang w:val="en-US" w:eastAsia="zh-CN" w:bidi="ar"/>
        </w:rPr>
        <w:t>3</w:t>
      </w:r>
      <w:r>
        <w:rPr>
          <w:rFonts w:hint="eastAsia" w:ascii="Calibri" w:hAnsi="Calibri" w:eastAsia="宋体" w:cs="宋体"/>
          <w:kern w:val="0"/>
          <w:sz w:val="24"/>
          <w:szCs w:val="24"/>
          <w:lang w:val="en-US" w:eastAsia="zh-CN" w:bidi="ar"/>
        </w:rPr>
        <w:t>万元以下的罚款，对其直接负责的主管人员和其他直接责任人员处</w:t>
      </w:r>
      <w:r>
        <w:rPr>
          <w:rFonts w:hint="default" w:ascii="Calibri" w:hAnsi="Calibri" w:eastAsia="宋体" w:cs="Calibri"/>
          <w:kern w:val="0"/>
          <w:sz w:val="24"/>
          <w:szCs w:val="24"/>
          <w:lang w:val="en-US" w:eastAsia="zh-CN" w:bidi="ar"/>
        </w:rPr>
        <w:t>1</w:t>
      </w:r>
      <w:r>
        <w:rPr>
          <w:rFonts w:hint="eastAsia" w:ascii="Calibri" w:hAnsi="Calibri" w:eastAsia="宋体" w:cs="宋体"/>
          <w:kern w:val="0"/>
          <w:sz w:val="24"/>
          <w:szCs w:val="24"/>
          <w:lang w:val="en-US" w:eastAsia="zh-CN" w:bidi="ar"/>
        </w:rPr>
        <w:t>万元以下的罚款：</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（一）未按照本规定对有限空间作业进行辨识、提出防范措施、建立有限空间管理台账的；</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（二）未按照本规定对有限空间作业制定作业方案或者方案未经审批擅自作业的；</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（三）有限空间作业未按照本规定进行危险有害因素检测或者监测，并实行专人监护作业的。</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Style w:val="3"/>
          <w:rFonts w:hint="eastAsia" w:ascii="Calibri" w:hAnsi="Calibri" w:eastAsia="宋体" w:cs="宋体"/>
          <w:kern w:val="0"/>
          <w:sz w:val="24"/>
          <w:szCs w:val="24"/>
          <w:lang w:val="en-US" w:eastAsia="zh-CN" w:bidi="ar"/>
        </w:rPr>
        <w:t>第五章</w:t>
      </w:r>
      <w:r>
        <w:rPr>
          <w:rStyle w:val="3"/>
          <w:rFonts w:hint="default" w:ascii="Calibri" w:hAnsi="Calibri" w:eastAsia="宋体" w:cs="Calibri"/>
          <w:kern w:val="0"/>
          <w:sz w:val="24"/>
          <w:szCs w:val="24"/>
          <w:lang w:val="en-US" w:eastAsia="zh-CN" w:bidi="ar"/>
        </w:rPr>
        <w:t xml:space="preserve"> </w:t>
      </w:r>
      <w:r>
        <w:rPr>
          <w:rStyle w:val="3"/>
          <w:rFonts w:hint="eastAsia" w:ascii="Calibri" w:hAnsi="Calibri" w:eastAsia="宋体" w:cs="宋体"/>
          <w:kern w:val="0"/>
          <w:sz w:val="24"/>
          <w:szCs w:val="24"/>
          <w:lang w:val="en-US" w:eastAsia="zh-CN" w:bidi="ar"/>
        </w:rPr>
        <w:t>附</w:t>
      </w:r>
      <w:r>
        <w:rPr>
          <w:rStyle w:val="3"/>
          <w:rFonts w:hint="default" w:ascii="Calibri" w:hAnsi="Calibri" w:eastAsia="宋体" w:cs="Calibri"/>
          <w:kern w:val="0"/>
          <w:sz w:val="24"/>
          <w:szCs w:val="24"/>
          <w:lang w:val="en-US" w:eastAsia="zh-CN" w:bidi="ar"/>
        </w:rPr>
        <w:t xml:space="preserve"> </w:t>
      </w:r>
      <w:r>
        <w:rPr>
          <w:rStyle w:val="3"/>
          <w:rFonts w:hint="eastAsia" w:ascii="Times New Roman" w:hAnsi="Times New Roman" w:eastAsia="宋体" w:cs="宋体"/>
          <w:kern w:val="0"/>
          <w:sz w:val="24"/>
          <w:szCs w:val="24"/>
          <w:lang w:val="en-US" w:eastAsia="zh-CN" w:bidi="ar"/>
        </w:rPr>
        <w:t>则</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Calibri" w:hAnsi="Calibri" w:eastAsia="宋体" w:cs="宋体"/>
          <w:kern w:val="0"/>
          <w:sz w:val="24"/>
          <w:szCs w:val="24"/>
          <w:lang w:val="en-US" w:eastAsia="zh-CN" w:bidi="ar"/>
        </w:rPr>
        <w:t>第三十一条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本规定自</w:t>
      </w:r>
      <w:r>
        <w:rPr>
          <w:rFonts w:hint="default" w:ascii="Calibri" w:hAnsi="Calibri" w:eastAsia="宋体" w:cs="Calibri"/>
          <w:kern w:val="0"/>
          <w:sz w:val="24"/>
          <w:szCs w:val="24"/>
          <w:lang w:val="en-US" w:eastAsia="zh-CN" w:bidi="ar"/>
        </w:rPr>
        <w:t>2013</w:t>
      </w:r>
      <w:r>
        <w:rPr>
          <w:rFonts w:hint="eastAsia" w:ascii="Calibri" w:hAnsi="Calibri" w:eastAsia="宋体" w:cs="宋体"/>
          <w:kern w:val="0"/>
          <w:sz w:val="24"/>
          <w:szCs w:val="24"/>
          <w:lang w:val="en-US" w:eastAsia="zh-CN" w:bidi="ar"/>
        </w:rPr>
        <w:t>年</w:t>
      </w:r>
      <w:r>
        <w:rPr>
          <w:rFonts w:hint="default" w:ascii="Calibri" w:hAnsi="Calibri" w:eastAsia="宋体" w:cs="Calibri"/>
          <w:kern w:val="0"/>
          <w:sz w:val="24"/>
          <w:szCs w:val="24"/>
          <w:lang w:val="en-US" w:eastAsia="zh-CN" w:bidi="ar"/>
        </w:rPr>
        <w:t>7</w:t>
      </w:r>
      <w:r>
        <w:rPr>
          <w:rFonts w:hint="eastAsia" w:ascii="Calibri" w:hAnsi="Calibri" w:eastAsia="宋体" w:cs="宋体"/>
          <w:kern w:val="0"/>
          <w:sz w:val="24"/>
          <w:szCs w:val="24"/>
          <w:lang w:val="en-US" w:eastAsia="zh-CN" w:bidi="ar"/>
        </w:rPr>
        <w:t>月</w:t>
      </w:r>
      <w:r>
        <w:rPr>
          <w:rFonts w:hint="default" w:ascii="Calibri" w:hAnsi="Calibri" w:eastAsia="宋体" w:cs="Calibri"/>
          <w:kern w:val="0"/>
          <w:sz w:val="24"/>
          <w:szCs w:val="24"/>
          <w:lang w:val="en-US" w:eastAsia="zh-CN" w:bidi="ar"/>
        </w:rPr>
        <w:t>1</w:t>
      </w:r>
      <w:r>
        <w:rPr>
          <w:rFonts w:hint="eastAsia" w:ascii="Calibri" w:hAnsi="Calibri" w:eastAsia="宋体" w:cs="宋体"/>
          <w:kern w:val="0"/>
          <w:sz w:val="24"/>
          <w:szCs w:val="24"/>
          <w:lang w:val="en-US" w:eastAsia="zh-CN" w:bidi="ar"/>
        </w:rPr>
        <w:t>日起施行。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069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2016-08-03T05:36:36Z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