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6"/>
          <w:szCs w:val="32"/>
        </w:rPr>
        <w:t>报名回执</w:t>
      </w:r>
    </w:p>
    <w:p>
      <w:pPr>
        <w:spacing w:line="460" w:lineRule="exact"/>
        <w:jc w:val="center"/>
        <w:rPr>
          <w:rFonts w:ascii="Times New Roman" w:hAnsi="Times New Roman" w:eastAsia="黑体"/>
          <w:sz w:val="36"/>
          <w:szCs w:val="32"/>
        </w:rPr>
      </w:pPr>
    </w:p>
    <w:tbl>
      <w:tblPr>
        <w:tblStyle w:val="2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60"/>
        <w:gridCol w:w="843"/>
        <w:gridCol w:w="795"/>
        <w:gridCol w:w="1523"/>
        <w:gridCol w:w="184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企业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2020届四川省评委证书编号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1049"/>
    <w:rsid w:val="6B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2021-09-01T06:26:00Z</dcterms:created>
  <dc:creator>Weiβ Kreuz</dc:creator>
  <cp:lastModifiedBy>Weiβ Kreuz</cp:lastModifiedBy>
  <dcterms:modified xsi:type="dcterms:W3CDTF">2021-09-01T06:27:39Z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06750FFA01F240699F7B50414559671E</vt:lpwstr>
  </property>
</Properties>
</file>